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45B33F">
      <w:pPr>
        <w:pStyle w:val="9"/>
        <w:keepNext w:val="0"/>
        <w:keepLines w:val="0"/>
        <w:pageBreakBefore w:val="0"/>
        <w:kinsoku/>
        <w:overflowPunct/>
        <w:topLinePunct/>
        <w:autoSpaceDE/>
        <w:autoSpaceDN/>
        <w:bidi w:val="0"/>
        <w:spacing w:line="460" w:lineRule="exact"/>
        <w:textAlignment w:val="auto"/>
        <w:rPr>
          <w:rFonts w:hint="eastAsia" w:ascii="宋体" w:hAnsi="宋体" w:eastAsia="宋体" w:cs="宋体"/>
          <w:highlight w:val="none"/>
        </w:rPr>
      </w:pPr>
    </w:p>
    <w:p w14:paraId="14D17702">
      <w:pPr>
        <w:pStyle w:val="9"/>
        <w:keepNext w:val="0"/>
        <w:keepLines w:val="0"/>
        <w:pageBreakBefore w:val="0"/>
        <w:kinsoku/>
        <w:overflowPunct/>
        <w:topLinePunct/>
        <w:autoSpaceDE/>
        <w:autoSpaceDN/>
        <w:bidi w:val="0"/>
        <w:spacing w:line="460" w:lineRule="exact"/>
        <w:textAlignment w:val="auto"/>
        <w:rPr>
          <w:rFonts w:hint="eastAsia" w:ascii="宋体" w:hAnsi="宋体" w:eastAsia="宋体" w:cs="宋体"/>
          <w:highlight w:val="none"/>
        </w:rPr>
      </w:pPr>
    </w:p>
    <w:p w14:paraId="4085B3F4">
      <w:pPr>
        <w:keepNext w:val="0"/>
        <w:keepLines w:val="0"/>
        <w:pageBreakBefore w:val="0"/>
        <w:kinsoku/>
        <w:overflowPunct/>
        <w:topLinePunct/>
        <w:autoSpaceDE/>
        <w:autoSpaceDN/>
        <w:bidi w:val="0"/>
        <w:spacing w:after="165" w:afterLines="50" w:line="360" w:lineRule="auto"/>
        <w:jc w:val="center"/>
        <w:textAlignment w:val="auto"/>
        <w:outlineLvl w:val="9"/>
        <w:rPr>
          <w:rFonts w:hint="eastAsia" w:ascii="仿宋" w:hAnsi="仿宋" w:eastAsia="仿宋" w:cs="仿宋"/>
          <w:b/>
          <w:bCs w:val="0"/>
          <w:sz w:val="72"/>
          <w:szCs w:val="72"/>
          <w:lang w:eastAsia="zh-CN"/>
        </w:rPr>
      </w:pPr>
      <w:r>
        <w:rPr>
          <w:rFonts w:hint="eastAsia" w:ascii="仿宋" w:hAnsi="仿宋" w:eastAsia="仿宋" w:cs="仿宋"/>
          <w:b/>
          <w:bCs w:val="0"/>
          <w:sz w:val="72"/>
          <w:szCs w:val="72"/>
          <w:lang w:eastAsia="zh-CN"/>
        </w:rPr>
        <w:t>威海环晟文旅发展有限公司</w:t>
      </w:r>
    </w:p>
    <w:p w14:paraId="7931E70A">
      <w:pPr>
        <w:keepNext w:val="0"/>
        <w:keepLines w:val="0"/>
        <w:pageBreakBefore w:val="0"/>
        <w:kinsoku/>
        <w:overflowPunct/>
        <w:topLinePunct/>
        <w:autoSpaceDE/>
        <w:autoSpaceDN/>
        <w:bidi w:val="0"/>
        <w:spacing w:after="165" w:afterLines="50" w:line="360" w:lineRule="auto"/>
        <w:jc w:val="center"/>
        <w:textAlignment w:val="auto"/>
        <w:outlineLvl w:val="9"/>
        <w:rPr>
          <w:rFonts w:hint="eastAsia" w:ascii="仿宋" w:hAnsi="仿宋" w:eastAsia="仿宋" w:cs="仿宋"/>
          <w:b/>
          <w:bCs w:val="0"/>
          <w:sz w:val="72"/>
          <w:szCs w:val="72"/>
          <w:lang w:eastAsia="zh-CN"/>
        </w:rPr>
      </w:pPr>
      <w:bookmarkStart w:id="0" w:name="_Toc12524"/>
      <w:r>
        <w:rPr>
          <w:rFonts w:hint="eastAsia" w:ascii="仿宋" w:hAnsi="仿宋" w:eastAsia="仿宋" w:cs="仿宋"/>
          <w:b/>
          <w:bCs w:val="0"/>
          <w:sz w:val="72"/>
          <w:szCs w:val="72"/>
          <w:lang w:eastAsia="zh-CN"/>
        </w:rPr>
        <w:t>选定景区物料供应入围单位</w:t>
      </w:r>
    </w:p>
    <w:p w14:paraId="74EC1F1E">
      <w:pPr>
        <w:keepNext w:val="0"/>
        <w:keepLines w:val="0"/>
        <w:pageBreakBefore w:val="0"/>
        <w:kinsoku/>
        <w:overflowPunct/>
        <w:topLinePunct/>
        <w:autoSpaceDE/>
        <w:autoSpaceDN/>
        <w:bidi w:val="0"/>
        <w:spacing w:after="165" w:afterLines="50" w:line="360" w:lineRule="auto"/>
        <w:jc w:val="center"/>
        <w:textAlignment w:val="auto"/>
        <w:outlineLvl w:val="9"/>
        <w:rPr>
          <w:rFonts w:hint="eastAsia" w:ascii="仿宋" w:hAnsi="仿宋" w:eastAsia="仿宋" w:cs="仿宋"/>
          <w:b/>
          <w:bCs/>
          <w:color w:val="auto"/>
          <w:spacing w:val="0"/>
          <w:kern w:val="2"/>
          <w:sz w:val="72"/>
          <w:szCs w:val="72"/>
          <w:highlight w:val="none"/>
          <w:lang w:val="en-US" w:eastAsia="zh-CN" w:bidi="ar-SA"/>
        </w:rPr>
      </w:pPr>
      <w:r>
        <w:rPr>
          <w:rFonts w:hint="eastAsia" w:ascii="仿宋" w:hAnsi="仿宋" w:eastAsia="仿宋" w:cs="仿宋"/>
          <w:b/>
          <w:sz w:val="72"/>
          <w:szCs w:val="72"/>
        </w:rPr>
        <w:t>公开</w:t>
      </w:r>
      <w:r>
        <w:rPr>
          <w:rFonts w:hint="eastAsia" w:ascii="仿宋" w:hAnsi="仿宋" w:eastAsia="仿宋" w:cs="仿宋"/>
          <w:b/>
          <w:bCs/>
          <w:color w:val="auto"/>
          <w:spacing w:val="0"/>
          <w:kern w:val="2"/>
          <w:sz w:val="72"/>
          <w:szCs w:val="72"/>
          <w:highlight w:val="none"/>
          <w:lang w:val="en-US" w:eastAsia="zh-CN" w:bidi="ar-SA"/>
        </w:rPr>
        <w:t>招标文件</w:t>
      </w:r>
      <w:bookmarkEnd w:id="0"/>
    </w:p>
    <w:p w14:paraId="78A031CA">
      <w:pPr>
        <w:pStyle w:val="9"/>
        <w:keepNext w:val="0"/>
        <w:keepLines w:val="0"/>
        <w:pageBreakBefore w:val="0"/>
        <w:kinsoku/>
        <w:overflowPunct/>
        <w:topLinePunct/>
        <w:autoSpaceDE/>
        <w:autoSpaceDN/>
        <w:bidi w:val="0"/>
        <w:spacing w:line="460" w:lineRule="exact"/>
        <w:textAlignment w:val="auto"/>
        <w:rPr>
          <w:rFonts w:hint="eastAsia" w:ascii="宋体" w:hAnsi="宋体" w:eastAsia="宋体" w:cs="宋体"/>
          <w:highlight w:val="none"/>
        </w:rPr>
      </w:pPr>
      <w:r>
        <w:rPr>
          <w:rFonts w:hint="eastAsia" w:ascii="宋体" w:hAnsi="宋体" w:eastAsia="宋体" w:cs="宋体"/>
          <w:sz w:val="21"/>
          <w:szCs w:val="21"/>
          <w:highlight w:val="none"/>
        </w:rPr>
        <w:drawing>
          <wp:anchor distT="0" distB="0" distL="114300" distR="114300" simplePos="0" relativeHeight="251659264" behindDoc="0" locked="0" layoutInCell="1" allowOverlap="1">
            <wp:simplePos x="0" y="0"/>
            <wp:positionH relativeFrom="column">
              <wp:posOffset>1543050</wp:posOffset>
            </wp:positionH>
            <wp:positionV relativeFrom="paragraph">
              <wp:posOffset>103505</wp:posOffset>
            </wp:positionV>
            <wp:extent cx="2666365" cy="2007235"/>
            <wp:effectExtent l="0" t="0" r="0" b="12700"/>
            <wp:wrapNone/>
            <wp:docPr id="4" name="图片 1"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LOGO1"/>
                    <pic:cNvPicPr>
                      <a:picLocks noChangeAspect="1"/>
                    </pic:cNvPicPr>
                  </pic:nvPicPr>
                  <pic:blipFill>
                    <a:blip r:embed="rId10"/>
                    <a:stretch>
                      <a:fillRect/>
                    </a:stretch>
                  </pic:blipFill>
                  <pic:spPr>
                    <a:xfrm>
                      <a:off x="0" y="0"/>
                      <a:ext cx="2666365" cy="2007235"/>
                    </a:xfrm>
                    <a:prstGeom prst="rect">
                      <a:avLst/>
                    </a:prstGeom>
                    <a:noFill/>
                    <a:ln>
                      <a:noFill/>
                    </a:ln>
                  </pic:spPr>
                </pic:pic>
              </a:graphicData>
            </a:graphic>
          </wp:anchor>
        </w:drawing>
      </w:r>
    </w:p>
    <w:p w14:paraId="2CD014F0">
      <w:pPr>
        <w:pStyle w:val="9"/>
        <w:keepNext w:val="0"/>
        <w:keepLines w:val="0"/>
        <w:pageBreakBefore w:val="0"/>
        <w:kinsoku/>
        <w:overflowPunct/>
        <w:topLinePunct/>
        <w:autoSpaceDE/>
        <w:autoSpaceDN/>
        <w:bidi w:val="0"/>
        <w:spacing w:line="460" w:lineRule="exact"/>
        <w:textAlignment w:val="auto"/>
        <w:rPr>
          <w:rFonts w:hint="eastAsia" w:ascii="宋体" w:hAnsi="宋体" w:eastAsia="宋体" w:cs="宋体"/>
          <w:highlight w:val="none"/>
        </w:rPr>
      </w:pPr>
    </w:p>
    <w:p w14:paraId="233A9ECB">
      <w:pPr>
        <w:keepNext w:val="0"/>
        <w:keepLines w:val="0"/>
        <w:pageBreakBefore w:val="0"/>
        <w:kinsoku/>
        <w:overflowPunct/>
        <w:topLinePunct/>
        <w:autoSpaceDE/>
        <w:autoSpaceDN/>
        <w:bidi w:val="0"/>
        <w:spacing w:line="460" w:lineRule="exact"/>
        <w:textAlignment w:val="auto"/>
        <w:rPr>
          <w:rFonts w:hint="eastAsia" w:ascii="宋体" w:hAnsi="宋体" w:eastAsia="宋体" w:cs="宋体"/>
          <w:highlight w:val="none"/>
        </w:rPr>
      </w:pPr>
    </w:p>
    <w:p w14:paraId="1EA6DEA2">
      <w:pPr>
        <w:pStyle w:val="9"/>
        <w:keepNext w:val="0"/>
        <w:keepLines w:val="0"/>
        <w:pageBreakBefore w:val="0"/>
        <w:kinsoku/>
        <w:overflowPunct/>
        <w:topLinePunct/>
        <w:autoSpaceDE/>
        <w:autoSpaceDN/>
        <w:bidi w:val="0"/>
        <w:spacing w:line="460" w:lineRule="exact"/>
        <w:textAlignment w:val="auto"/>
        <w:rPr>
          <w:rFonts w:hint="eastAsia" w:ascii="宋体" w:hAnsi="宋体" w:eastAsia="宋体" w:cs="宋体"/>
          <w:highlight w:val="none"/>
        </w:rPr>
      </w:pPr>
    </w:p>
    <w:p w14:paraId="2C7E74AE">
      <w:pPr>
        <w:keepNext w:val="0"/>
        <w:keepLines w:val="0"/>
        <w:pageBreakBefore w:val="0"/>
        <w:kinsoku/>
        <w:overflowPunct/>
        <w:topLinePunct/>
        <w:autoSpaceDE/>
        <w:autoSpaceDN/>
        <w:bidi w:val="0"/>
        <w:spacing w:line="460" w:lineRule="exact"/>
        <w:textAlignment w:val="auto"/>
        <w:rPr>
          <w:rFonts w:hint="eastAsia" w:ascii="宋体" w:hAnsi="宋体" w:eastAsia="宋体" w:cs="宋体"/>
          <w:highlight w:val="none"/>
        </w:rPr>
      </w:pPr>
    </w:p>
    <w:p w14:paraId="4CE5E3C2">
      <w:pPr>
        <w:keepNext w:val="0"/>
        <w:keepLines w:val="0"/>
        <w:pageBreakBefore w:val="0"/>
        <w:kinsoku/>
        <w:overflowPunct/>
        <w:topLinePunct/>
        <w:autoSpaceDE/>
        <w:autoSpaceDN/>
        <w:bidi w:val="0"/>
        <w:spacing w:line="460" w:lineRule="exact"/>
        <w:ind w:left="0" w:leftChars="0" w:firstLine="0" w:firstLineChars="0"/>
        <w:textAlignment w:val="auto"/>
        <w:rPr>
          <w:rFonts w:hint="eastAsia" w:ascii="宋体" w:hAnsi="宋体" w:eastAsia="宋体" w:cs="宋体"/>
          <w:highlight w:val="none"/>
        </w:rPr>
      </w:pPr>
    </w:p>
    <w:p w14:paraId="61444C20">
      <w:pPr>
        <w:keepNext w:val="0"/>
        <w:keepLines w:val="0"/>
        <w:pageBreakBefore w:val="0"/>
        <w:kinsoku/>
        <w:overflowPunct/>
        <w:topLinePunct/>
        <w:autoSpaceDE/>
        <w:autoSpaceDN/>
        <w:bidi w:val="0"/>
        <w:spacing w:line="460" w:lineRule="exact"/>
        <w:ind w:left="0" w:leftChars="0" w:firstLine="0" w:firstLineChars="0"/>
        <w:textAlignment w:val="auto"/>
        <w:rPr>
          <w:rFonts w:hint="eastAsia" w:ascii="宋体" w:hAnsi="宋体" w:eastAsia="宋体" w:cs="宋体"/>
          <w:highlight w:val="none"/>
        </w:rPr>
      </w:pPr>
    </w:p>
    <w:p w14:paraId="17F81738">
      <w:pPr>
        <w:keepNext w:val="0"/>
        <w:keepLines w:val="0"/>
        <w:pageBreakBefore w:val="0"/>
        <w:kinsoku/>
        <w:overflowPunct/>
        <w:topLinePunct/>
        <w:autoSpaceDE/>
        <w:autoSpaceDN/>
        <w:bidi w:val="0"/>
        <w:spacing w:line="460" w:lineRule="exact"/>
        <w:ind w:left="0" w:leftChars="0" w:firstLine="0" w:firstLineChars="0"/>
        <w:textAlignment w:val="auto"/>
        <w:rPr>
          <w:rFonts w:hint="eastAsia" w:ascii="宋体" w:hAnsi="宋体" w:eastAsia="宋体" w:cs="宋体"/>
          <w:highlight w:val="none"/>
        </w:rPr>
      </w:pPr>
    </w:p>
    <w:p w14:paraId="5FA8F536">
      <w:pPr>
        <w:pStyle w:val="33"/>
        <w:keepNext w:val="0"/>
        <w:keepLines w:val="0"/>
        <w:pageBreakBefore w:val="0"/>
        <w:kinsoku/>
        <w:overflowPunct/>
        <w:topLinePunct/>
        <w:autoSpaceDE/>
        <w:autoSpaceDN/>
        <w:bidi w:val="0"/>
        <w:textAlignment w:val="auto"/>
        <w:rPr>
          <w:rFonts w:hint="eastAsia" w:ascii="宋体" w:hAnsi="宋体" w:eastAsia="宋体" w:cs="宋体"/>
          <w:highlight w:val="none"/>
        </w:rPr>
      </w:pPr>
    </w:p>
    <w:p w14:paraId="0F5D37AA">
      <w:pPr>
        <w:keepNext w:val="0"/>
        <w:keepLines w:val="0"/>
        <w:pageBreakBefore w:val="0"/>
        <w:kinsoku/>
        <w:overflowPunct/>
        <w:topLinePunct/>
        <w:autoSpaceDE/>
        <w:autoSpaceDN/>
        <w:bidi w:val="0"/>
        <w:spacing w:before="165" w:beforeLines="50" w:line="480" w:lineRule="auto"/>
        <w:ind w:left="-198" w:leftChars="-189" w:hanging="199" w:hangingChars="62"/>
        <w:jc w:val="center"/>
        <w:textAlignment w:val="auto"/>
        <w:outlineLvl w:val="9"/>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t>招标人：威海环晟文旅发展有限公司</w:t>
      </w:r>
    </w:p>
    <w:p w14:paraId="47985D91">
      <w:pPr>
        <w:keepNext w:val="0"/>
        <w:keepLines w:val="0"/>
        <w:pageBreakBefore w:val="0"/>
        <w:kinsoku/>
        <w:overflowPunct/>
        <w:topLinePunct/>
        <w:autoSpaceDE/>
        <w:autoSpaceDN/>
        <w:bidi w:val="0"/>
        <w:spacing w:before="165" w:beforeLines="50" w:line="480" w:lineRule="auto"/>
        <w:ind w:left="-198" w:leftChars="-189" w:hanging="199" w:hangingChars="62"/>
        <w:jc w:val="center"/>
        <w:textAlignment w:val="auto"/>
        <w:outlineLvl w:val="9"/>
        <w:rPr>
          <w:rFonts w:hint="eastAsia" w:ascii="仿宋" w:hAnsi="仿宋" w:eastAsia="仿宋" w:cs="仿宋"/>
          <w:b/>
          <w:color w:val="auto"/>
          <w:sz w:val="32"/>
          <w:szCs w:val="32"/>
          <w:highlight w:val="none"/>
          <w:lang w:eastAsia="zh-CN"/>
        </w:rPr>
      </w:pPr>
      <w:r>
        <w:rPr>
          <w:rFonts w:hint="eastAsia" w:ascii="仿宋" w:hAnsi="仿宋" w:eastAsia="仿宋" w:cs="仿宋"/>
          <w:b/>
          <w:color w:val="auto"/>
          <w:sz w:val="32"/>
          <w:szCs w:val="32"/>
          <w:highlight w:val="none"/>
          <w:lang w:val="en-US" w:eastAsia="zh-CN"/>
        </w:rPr>
        <w:t>代理机构：</w:t>
      </w:r>
      <w:r>
        <w:rPr>
          <w:rFonts w:hint="eastAsia" w:ascii="仿宋" w:hAnsi="仿宋" w:eastAsia="仿宋" w:cs="仿宋"/>
          <w:b/>
          <w:color w:val="auto"/>
          <w:sz w:val="32"/>
          <w:szCs w:val="32"/>
          <w:highlight w:val="none"/>
          <w:lang w:eastAsia="zh-CN"/>
        </w:rPr>
        <w:t>山东瀚泰建设管理有限公司</w:t>
      </w:r>
    </w:p>
    <w:p w14:paraId="132C37D7">
      <w:pPr>
        <w:keepNext w:val="0"/>
        <w:keepLines w:val="0"/>
        <w:pageBreakBefore w:val="0"/>
        <w:kinsoku/>
        <w:overflowPunct/>
        <w:topLinePunct/>
        <w:autoSpaceDE/>
        <w:autoSpaceDN/>
        <w:bidi w:val="0"/>
        <w:spacing w:line="480" w:lineRule="auto"/>
        <w:jc w:val="center"/>
        <w:textAlignment w:val="auto"/>
        <w:rPr>
          <w:rFonts w:hint="eastAsia" w:ascii="宋体" w:hAnsi="宋体" w:eastAsia="宋体" w:cs="宋体"/>
          <w:b/>
          <w:sz w:val="32"/>
          <w:highlight w:val="none"/>
          <w:lang w:val="en-US" w:eastAsia="zh-CN"/>
        </w:rPr>
        <w:sectPr>
          <w:headerReference r:id="rId4" w:type="first"/>
          <w:headerReference r:id="rId3" w:type="default"/>
          <w:footerReference r:id="rId5" w:type="even"/>
          <w:pgSz w:w="11907" w:h="16840"/>
          <w:pgMar w:top="1318" w:right="1020" w:bottom="850" w:left="1134" w:header="1511" w:footer="572" w:gutter="567"/>
          <w:paperSrc w:first="7" w:other="7"/>
          <w:pgBorders>
            <w:top w:val="none" w:sz="0" w:space="0"/>
            <w:left w:val="none" w:sz="0" w:space="0"/>
            <w:bottom w:val="none" w:sz="0" w:space="0"/>
            <w:right w:val="none" w:sz="0" w:space="0"/>
          </w:pgBorders>
          <w:pgNumType w:fmt="decimal"/>
          <w:cols w:space="720" w:num="1"/>
          <w:titlePg/>
          <w:rtlGutter w:val="0"/>
          <w:docGrid w:linePitch="312" w:charSpace="0"/>
        </w:sectPr>
      </w:pPr>
      <w:r>
        <w:rPr>
          <w:rFonts w:hint="eastAsia" w:ascii="仿宋" w:hAnsi="仿宋" w:eastAsia="仿宋" w:cs="仿宋"/>
          <w:b/>
          <w:color w:val="auto"/>
          <w:sz w:val="32"/>
          <w:szCs w:val="32"/>
          <w:highlight w:val="none"/>
          <w:lang w:val="en-US" w:eastAsia="zh-CN"/>
        </w:rPr>
        <w:t>时间：二〇二六年七月</w:t>
      </w:r>
    </w:p>
    <w:sdt>
      <w:sdtPr>
        <w:rPr>
          <w:rFonts w:hint="eastAsia" w:ascii="仿宋" w:hAnsi="仿宋" w:eastAsia="仿宋" w:cs="仿宋"/>
          <w:b/>
          <w:bCs/>
          <w:color w:val="auto"/>
          <w:kern w:val="2"/>
          <w:sz w:val="44"/>
          <w:szCs w:val="44"/>
          <w:highlight w:val="none"/>
          <w:lang w:val="en-US" w:eastAsia="zh-CN" w:bidi="ar-SA"/>
        </w:rPr>
        <w:id w:val="147459276"/>
        <w15:color w:val="DBDBDB"/>
        <w:docPartObj>
          <w:docPartGallery w:val="Table of Contents"/>
          <w:docPartUnique/>
        </w:docPartObj>
      </w:sdtPr>
      <w:sdtEndPr>
        <w:rPr>
          <w:rFonts w:hint="eastAsia" w:ascii="仿宋" w:hAnsi="仿宋" w:eastAsia="仿宋" w:cs="仿宋"/>
          <w:b/>
          <w:bCs/>
          <w:color w:val="auto"/>
          <w:kern w:val="2"/>
          <w:sz w:val="20"/>
          <w:szCs w:val="32"/>
          <w:highlight w:val="none"/>
          <w:lang w:val="en-US" w:eastAsia="zh-CN" w:bidi="ar-SA"/>
        </w:rPr>
      </w:sdtEndPr>
      <w:sdtContent>
        <w:p w14:paraId="1ECB4717">
          <w:pPr>
            <w:pStyle w:val="23"/>
            <w:keepNext w:val="0"/>
            <w:keepLines w:val="0"/>
            <w:pageBreakBefore w:val="0"/>
            <w:kinsoku/>
            <w:overflowPunct/>
            <w:topLinePunct/>
            <w:autoSpaceDE/>
            <w:autoSpaceDN/>
            <w:bidi w:val="0"/>
            <w:spacing w:line="360" w:lineRule="auto"/>
            <w:jc w:val="center"/>
            <w:textAlignment w:val="auto"/>
            <w:rPr>
              <w:rFonts w:hint="eastAsia" w:ascii="仿宋" w:hAnsi="仿宋" w:eastAsia="仿宋" w:cs="仿宋"/>
              <w:b/>
              <w:bCs/>
              <w:color w:val="auto"/>
              <w:sz w:val="44"/>
              <w:szCs w:val="44"/>
              <w:highlight w:val="none"/>
            </w:rPr>
          </w:pPr>
          <w:r>
            <w:rPr>
              <w:rFonts w:hint="eastAsia" w:ascii="仿宋" w:hAnsi="仿宋" w:eastAsia="仿宋" w:cs="仿宋"/>
              <w:b/>
              <w:bCs/>
              <w:color w:val="auto"/>
              <w:kern w:val="0"/>
              <w:sz w:val="44"/>
              <w:szCs w:val="44"/>
              <w:highlight w:val="none"/>
              <w:lang w:val="en-US" w:eastAsia="zh-CN" w:bidi="ar-SA"/>
            </w:rPr>
            <w:t>目  录</w:t>
          </w:r>
        </w:p>
        <w:p w14:paraId="141FEDD1">
          <w:pPr>
            <w:pStyle w:val="21"/>
            <w:keepNext w:val="0"/>
            <w:keepLines w:val="0"/>
            <w:pageBreakBefore w:val="0"/>
            <w:tabs>
              <w:tab w:val="right" w:leader="dot" w:pos="9299"/>
            </w:tabs>
            <w:kinsoku/>
            <w:overflowPunct/>
            <w:topLinePunct/>
            <w:autoSpaceDE/>
            <w:autoSpaceDN/>
            <w:bidi w:val="0"/>
            <w:textAlignment w:val="auto"/>
            <w:rPr>
              <w:rFonts w:hint="eastAsia" w:ascii="仿宋" w:hAnsi="仿宋" w:eastAsia="仿宋" w:cs="仿宋"/>
              <w:color w:val="auto"/>
              <w:sz w:val="30"/>
              <w:szCs w:val="30"/>
              <w:highlight w:val="none"/>
            </w:rPr>
          </w:pPr>
          <w:r>
            <w:rPr>
              <w:rFonts w:hint="eastAsia" w:ascii="仿宋" w:hAnsi="仿宋" w:eastAsia="仿宋" w:cs="仿宋"/>
              <w:b/>
              <w:bCs/>
              <w:color w:val="auto"/>
              <w:kern w:val="2"/>
              <w:sz w:val="36"/>
              <w:szCs w:val="36"/>
              <w:highlight w:val="none"/>
              <w:lang w:val="en-US" w:eastAsia="zh-CN" w:bidi="ar-SA"/>
            </w:rPr>
            <w:fldChar w:fldCharType="begin"/>
          </w:r>
          <w:r>
            <w:rPr>
              <w:rFonts w:hint="eastAsia" w:ascii="仿宋" w:hAnsi="仿宋" w:eastAsia="仿宋" w:cs="仿宋"/>
              <w:b/>
              <w:bCs/>
              <w:color w:val="auto"/>
              <w:kern w:val="2"/>
              <w:sz w:val="36"/>
              <w:szCs w:val="36"/>
              <w:highlight w:val="none"/>
              <w:lang w:val="en-US" w:eastAsia="zh-CN" w:bidi="ar-SA"/>
            </w:rPr>
            <w:instrText xml:space="preserve">TOC \o "1-2" \h \u </w:instrText>
          </w:r>
          <w:r>
            <w:rPr>
              <w:rFonts w:hint="eastAsia" w:ascii="仿宋" w:hAnsi="仿宋" w:eastAsia="仿宋" w:cs="仿宋"/>
              <w:b/>
              <w:bCs/>
              <w:color w:val="auto"/>
              <w:kern w:val="2"/>
              <w:sz w:val="36"/>
              <w:szCs w:val="36"/>
              <w:highlight w:val="none"/>
              <w:lang w:val="en-US" w:eastAsia="zh-CN" w:bidi="ar-SA"/>
            </w:rPr>
            <w:fldChar w:fldCharType="separate"/>
          </w:r>
          <w:r>
            <w:rPr>
              <w:rFonts w:hint="eastAsia" w:ascii="仿宋" w:hAnsi="仿宋" w:eastAsia="仿宋" w:cs="仿宋"/>
              <w:bCs/>
              <w:color w:val="auto"/>
              <w:kern w:val="2"/>
              <w:sz w:val="30"/>
              <w:szCs w:val="30"/>
              <w:highlight w:val="none"/>
              <w:lang w:val="en-US" w:eastAsia="zh-CN" w:bidi="ar-SA"/>
            </w:rPr>
            <w:fldChar w:fldCharType="begin"/>
          </w:r>
          <w:r>
            <w:rPr>
              <w:rFonts w:hint="eastAsia" w:ascii="仿宋" w:hAnsi="仿宋" w:eastAsia="仿宋" w:cs="仿宋"/>
              <w:bCs/>
              <w:color w:val="auto"/>
              <w:kern w:val="2"/>
              <w:sz w:val="30"/>
              <w:szCs w:val="30"/>
              <w:highlight w:val="none"/>
              <w:lang w:val="en-US" w:eastAsia="zh-CN" w:bidi="ar-SA"/>
            </w:rPr>
            <w:instrText xml:space="preserve"> HYPERLINK \l _Toc7017 </w:instrText>
          </w:r>
          <w:r>
            <w:rPr>
              <w:rFonts w:hint="eastAsia" w:ascii="仿宋" w:hAnsi="仿宋" w:eastAsia="仿宋" w:cs="仿宋"/>
              <w:bCs/>
              <w:color w:val="auto"/>
              <w:kern w:val="2"/>
              <w:sz w:val="30"/>
              <w:szCs w:val="30"/>
              <w:highlight w:val="none"/>
              <w:lang w:val="en-US" w:eastAsia="zh-CN" w:bidi="ar-SA"/>
            </w:rPr>
            <w:fldChar w:fldCharType="separate"/>
          </w:r>
          <w:r>
            <w:rPr>
              <w:rFonts w:hint="eastAsia" w:ascii="仿宋" w:hAnsi="仿宋" w:eastAsia="仿宋" w:cs="仿宋"/>
              <w:bCs/>
              <w:color w:val="auto"/>
              <w:kern w:val="0"/>
              <w:sz w:val="30"/>
              <w:szCs w:val="30"/>
              <w:highlight w:val="none"/>
              <w:lang w:val="en-US" w:eastAsia="zh-CN" w:bidi="ar-SA"/>
            </w:rPr>
            <w:t>第一章</w:t>
          </w:r>
          <w:r>
            <w:rPr>
              <w:rFonts w:hint="eastAsia" w:ascii="仿宋" w:hAnsi="仿宋" w:eastAsia="仿宋" w:cs="仿宋"/>
              <w:color w:val="auto"/>
              <w:sz w:val="30"/>
              <w:szCs w:val="30"/>
              <w:highlight w:val="none"/>
              <w:lang w:val="en-US" w:eastAsia="zh-CN"/>
            </w:rPr>
            <w:t xml:space="preserve"> 招标</w:t>
          </w:r>
          <w:r>
            <w:rPr>
              <w:rFonts w:hint="eastAsia" w:ascii="仿宋" w:hAnsi="仿宋" w:eastAsia="仿宋" w:cs="仿宋"/>
              <w:color w:val="auto"/>
              <w:sz w:val="30"/>
              <w:szCs w:val="30"/>
              <w:highlight w:val="none"/>
            </w:rPr>
            <w:t>公告</w:t>
          </w:r>
          <w:r>
            <w:rPr>
              <w:rFonts w:hint="eastAsia" w:ascii="仿宋" w:hAnsi="仿宋" w:eastAsia="仿宋" w:cs="仿宋"/>
              <w:color w:val="auto"/>
              <w:sz w:val="30"/>
              <w:szCs w:val="30"/>
              <w:highlight w:val="none"/>
            </w:rPr>
            <w:tab/>
          </w:r>
          <w:r>
            <w:rPr>
              <w:rFonts w:hint="eastAsia" w:ascii="仿宋" w:hAnsi="仿宋" w:eastAsia="仿宋" w:cs="仿宋"/>
              <w:color w:val="auto"/>
              <w:sz w:val="30"/>
              <w:szCs w:val="30"/>
              <w:highlight w:val="none"/>
            </w:rPr>
            <w:fldChar w:fldCharType="begin"/>
          </w:r>
          <w:r>
            <w:rPr>
              <w:rFonts w:hint="eastAsia" w:ascii="仿宋" w:hAnsi="仿宋" w:eastAsia="仿宋" w:cs="仿宋"/>
              <w:color w:val="auto"/>
              <w:sz w:val="30"/>
              <w:szCs w:val="30"/>
              <w:highlight w:val="none"/>
            </w:rPr>
            <w:instrText xml:space="preserve"> PAGEREF _Toc7017 \h </w:instrText>
          </w:r>
          <w:r>
            <w:rPr>
              <w:rFonts w:hint="eastAsia" w:ascii="仿宋" w:hAnsi="仿宋" w:eastAsia="仿宋" w:cs="仿宋"/>
              <w:color w:val="auto"/>
              <w:sz w:val="30"/>
              <w:szCs w:val="30"/>
              <w:highlight w:val="none"/>
            </w:rPr>
            <w:fldChar w:fldCharType="separate"/>
          </w:r>
          <w:r>
            <w:rPr>
              <w:rFonts w:hint="eastAsia" w:ascii="仿宋" w:hAnsi="仿宋" w:eastAsia="仿宋" w:cs="仿宋"/>
              <w:color w:val="auto"/>
              <w:sz w:val="30"/>
              <w:szCs w:val="30"/>
              <w:highlight w:val="none"/>
            </w:rPr>
            <w:t>1</w:t>
          </w:r>
          <w:r>
            <w:rPr>
              <w:rFonts w:hint="eastAsia" w:ascii="仿宋" w:hAnsi="仿宋" w:eastAsia="仿宋" w:cs="仿宋"/>
              <w:color w:val="auto"/>
              <w:sz w:val="30"/>
              <w:szCs w:val="30"/>
              <w:highlight w:val="none"/>
            </w:rPr>
            <w:fldChar w:fldCharType="end"/>
          </w:r>
          <w:r>
            <w:rPr>
              <w:rFonts w:hint="eastAsia" w:ascii="仿宋" w:hAnsi="仿宋" w:eastAsia="仿宋" w:cs="仿宋"/>
              <w:bCs/>
              <w:color w:val="auto"/>
              <w:kern w:val="2"/>
              <w:sz w:val="30"/>
              <w:szCs w:val="30"/>
              <w:highlight w:val="none"/>
              <w:lang w:val="en-US" w:eastAsia="zh-CN" w:bidi="ar-SA"/>
            </w:rPr>
            <w:fldChar w:fldCharType="end"/>
          </w:r>
        </w:p>
        <w:p w14:paraId="27F1C86B">
          <w:pPr>
            <w:pStyle w:val="22"/>
            <w:keepNext w:val="0"/>
            <w:keepLines w:val="0"/>
            <w:pageBreakBefore w:val="0"/>
            <w:tabs>
              <w:tab w:val="right" w:leader="dot" w:pos="9299"/>
            </w:tabs>
            <w:kinsoku/>
            <w:overflowPunct/>
            <w:topLinePunct/>
            <w:autoSpaceDE/>
            <w:autoSpaceDN/>
            <w:bidi w:val="0"/>
            <w:textAlignment w:val="auto"/>
            <w:rPr>
              <w:rFonts w:hint="eastAsia" w:ascii="仿宋" w:hAnsi="仿宋" w:eastAsia="仿宋" w:cs="仿宋"/>
              <w:color w:val="auto"/>
              <w:sz w:val="30"/>
              <w:szCs w:val="30"/>
              <w:highlight w:val="none"/>
            </w:rPr>
          </w:pPr>
        </w:p>
        <w:p w14:paraId="2C266F92">
          <w:pPr>
            <w:pStyle w:val="21"/>
            <w:keepNext w:val="0"/>
            <w:keepLines w:val="0"/>
            <w:pageBreakBefore w:val="0"/>
            <w:tabs>
              <w:tab w:val="right" w:leader="dot" w:pos="9299"/>
            </w:tabs>
            <w:kinsoku/>
            <w:overflowPunct/>
            <w:topLinePunct/>
            <w:autoSpaceDE/>
            <w:autoSpaceDN/>
            <w:bidi w:val="0"/>
            <w:textAlignment w:val="auto"/>
            <w:rPr>
              <w:rFonts w:hint="eastAsia" w:ascii="仿宋" w:hAnsi="仿宋" w:eastAsia="仿宋" w:cs="仿宋"/>
              <w:color w:val="auto"/>
              <w:sz w:val="30"/>
              <w:szCs w:val="30"/>
              <w:highlight w:val="none"/>
            </w:rPr>
          </w:pPr>
          <w:r>
            <w:rPr>
              <w:rFonts w:hint="eastAsia" w:ascii="仿宋" w:hAnsi="仿宋" w:eastAsia="仿宋" w:cs="仿宋"/>
              <w:bCs/>
              <w:color w:val="auto"/>
              <w:kern w:val="2"/>
              <w:sz w:val="30"/>
              <w:szCs w:val="30"/>
              <w:highlight w:val="none"/>
              <w:lang w:val="en-US" w:eastAsia="zh-CN" w:bidi="ar-SA"/>
            </w:rPr>
            <w:fldChar w:fldCharType="begin"/>
          </w:r>
          <w:r>
            <w:rPr>
              <w:rFonts w:hint="eastAsia" w:ascii="仿宋" w:hAnsi="仿宋" w:eastAsia="仿宋" w:cs="仿宋"/>
              <w:bCs/>
              <w:color w:val="auto"/>
              <w:kern w:val="2"/>
              <w:sz w:val="30"/>
              <w:szCs w:val="30"/>
              <w:highlight w:val="none"/>
              <w:lang w:val="en-US" w:eastAsia="zh-CN" w:bidi="ar-SA"/>
            </w:rPr>
            <w:instrText xml:space="preserve"> HYPERLINK \l _Toc3210 </w:instrText>
          </w:r>
          <w:r>
            <w:rPr>
              <w:rFonts w:hint="eastAsia" w:ascii="仿宋" w:hAnsi="仿宋" w:eastAsia="仿宋" w:cs="仿宋"/>
              <w:bCs/>
              <w:color w:val="auto"/>
              <w:kern w:val="2"/>
              <w:sz w:val="30"/>
              <w:szCs w:val="30"/>
              <w:highlight w:val="none"/>
              <w:lang w:val="en-US" w:eastAsia="zh-CN" w:bidi="ar-SA"/>
            </w:rPr>
            <w:fldChar w:fldCharType="separate"/>
          </w:r>
          <w:r>
            <w:rPr>
              <w:rFonts w:hint="eastAsia" w:ascii="仿宋" w:hAnsi="仿宋" w:eastAsia="仿宋" w:cs="仿宋"/>
              <w:bCs/>
              <w:color w:val="auto"/>
              <w:kern w:val="0"/>
              <w:sz w:val="30"/>
              <w:szCs w:val="30"/>
              <w:highlight w:val="none"/>
              <w:lang w:val="en-US" w:eastAsia="zh-CN" w:bidi="ar-SA"/>
            </w:rPr>
            <w:t>第二章 投标须知</w:t>
          </w:r>
          <w:r>
            <w:rPr>
              <w:rFonts w:hint="eastAsia" w:ascii="仿宋" w:hAnsi="仿宋" w:eastAsia="仿宋" w:cs="仿宋"/>
              <w:color w:val="auto"/>
              <w:sz w:val="30"/>
              <w:szCs w:val="30"/>
              <w:highlight w:val="none"/>
            </w:rPr>
            <w:tab/>
          </w:r>
          <w:r>
            <w:rPr>
              <w:rFonts w:hint="eastAsia" w:ascii="仿宋" w:hAnsi="仿宋" w:eastAsia="仿宋" w:cs="仿宋"/>
              <w:color w:val="auto"/>
              <w:sz w:val="30"/>
              <w:szCs w:val="30"/>
              <w:highlight w:val="none"/>
            </w:rPr>
            <w:fldChar w:fldCharType="begin"/>
          </w:r>
          <w:r>
            <w:rPr>
              <w:rFonts w:hint="eastAsia" w:ascii="仿宋" w:hAnsi="仿宋" w:eastAsia="仿宋" w:cs="仿宋"/>
              <w:color w:val="auto"/>
              <w:sz w:val="30"/>
              <w:szCs w:val="30"/>
              <w:highlight w:val="none"/>
            </w:rPr>
            <w:instrText xml:space="preserve"> PAGEREF _Toc3210 \h </w:instrText>
          </w:r>
          <w:r>
            <w:rPr>
              <w:rFonts w:hint="eastAsia" w:ascii="仿宋" w:hAnsi="仿宋" w:eastAsia="仿宋" w:cs="仿宋"/>
              <w:color w:val="auto"/>
              <w:sz w:val="30"/>
              <w:szCs w:val="30"/>
              <w:highlight w:val="none"/>
            </w:rPr>
            <w:fldChar w:fldCharType="separate"/>
          </w:r>
          <w:r>
            <w:rPr>
              <w:rFonts w:hint="eastAsia" w:ascii="仿宋" w:hAnsi="仿宋" w:eastAsia="仿宋" w:cs="仿宋"/>
              <w:color w:val="auto"/>
              <w:sz w:val="30"/>
              <w:szCs w:val="30"/>
              <w:highlight w:val="none"/>
            </w:rPr>
            <w:t>4</w:t>
          </w:r>
          <w:r>
            <w:rPr>
              <w:rFonts w:hint="eastAsia" w:ascii="仿宋" w:hAnsi="仿宋" w:eastAsia="仿宋" w:cs="仿宋"/>
              <w:color w:val="auto"/>
              <w:sz w:val="30"/>
              <w:szCs w:val="30"/>
              <w:highlight w:val="none"/>
            </w:rPr>
            <w:fldChar w:fldCharType="end"/>
          </w:r>
          <w:r>
            <w:rPr>
              <w:rFonts w:hint="eastAsia" w:ascii="仿宋" w:hAnsi="仿宋" w:eastAsia="仿宋" w:cs="仿宋"/>
              <w:bCs/>
              <w:color w:val="auto"/>
              <w:kern w:val="2"/>
              <w:sz w:val="30"/>
              <w:szCs w:val="30"/>
              <w:highlight w:val="none"/>
              <w:lang w:val="en-US" w:eastAsia="zh-CN" w:bidi="ar-SA"/>
            </w:rPr>
            <w:fldChar w:fldCharType="end"/>
          </w:r>
        </w:p>
        <w:p w14:paraId="3BBA001A">
          <w:pPr>
            <w:pStyle w:val="22"/>
            <w:keepNext w:val="0"/>
            <w:keepLines w:val="0"/>
            <w:pageBreakBefore w:val="0"/>
            <w:tabs>
              <w:tab w:val="right" w:leader="dot" w:pos="9299"/>
            </w:tabs>
            <w:kinsoku/>
            <w:overflowPunct/>
            <w:topLinePunct/>
            <w:autoSpaceDE/>
            <w:autoSpaceDN/>
            <w:bidi w:val="0"/>
            <w:textAlignment w:val="auto"/>
            <w:rPr>
              <w:rFonts w:hint="eastAsia" w:ascii="仿宋" w:hAnsi="仿宋" w:eastAsia="仿宋" w:cs="仿宋"/>
              <w:color w:val="auto"/>
              <w:sz w:val="30"/>
              <w:szCs w:val="30"/>
              <w:highlight w:val="none"/>
            </w:rPr>
          </w:pPr>
        </w:p>
        <w:p w14:paraId="79455381">
          <w:pPr>
            <w:pStyle w:val="21"/>
            <w:keepNext w:val="0"/>
            <w:keepLines w:val="0"/>
            <w:pageBreakBefore w:val="0"/>
            <w:tabs>
              <w:tab w:val="right" w:leader="dot" w:pos="9299"/>
            </w:tabs>
            <w:kinsoku/>
            <w:overflowPunct/>
            <w:topLinePunct/>
            <w:autoSpaceDE/>
            <w:autoSpaceDN/>
            <w:bidi w:val="0"/>
            <w:textAlignment w:val="auto"/>
            <w:rPr>
              <w:rFonts w:hint="eastAsia" w:ascii="仿宋" w:hAnsi="仿宋" w:eastAsia="仿宋" w:cs="仿宋"/>
              <w:color w:val="auto"/>
              <w:sz w:val="30"/>
              <w:szCs w:val="30"/>
              <w:highlight w:val="none"/>
            </w:rPr>
          </w:pPr>
          <w:r>
            <w:rPr>
              <w:rFonts w:hint="eastAsia" w:ascii="仿宋" w:hAnsi="仿宋" w:eastAsia="仿宋" w:cs="仿宋"/>
              <w:bCs/>
              <w:color w:val="auto"/>
              <w:kern w:val="2"/>
              <w:sz w:val="30"/>
              <w:szCs w:val="30"/>
              <w:highlight w:val="none"/>
              <w:lang w:val="en-US" w:eastAsia="zh-CN" w:bidi="ar-SA"/>
            </w:rPr>
            <w:fldChar w:fldCharType="begin"/>
          </w:r>
          <w:r>
            <w:rPr>
              <w:rFonts w:hint="eastAsia" w:ascii="仿宋" w:hAnsi="仿宋" w:eastAsia="仿宋" w:cs="仿宋"/>
              <w:bCs/>
              <w:color w:val="auto"/>
              <w:kern w:val="2"/>
              <w:sz w:val="30"/>
              <w:szCs w:val="30"/>
              <w:highlight w:val="none"/>
              <w:lang w:val="en-US" w:eastAsia="zh-CN" w:bidi="ar-SA"/>
            </w:rPr>
            <w:instrText xml:space="preserve"> HYPERLINK \l _Toc27540 </w:instrText>
          </w:r>
          <w:r>
            <w:rPr>
              <w:rFonts w:hint="eastAsia" w:ascii="仿宋" w:hAnsi="仿宋" w:eastAsia="仿宋" w:cs="仿宋"/>
              <w:bCs/>
              <w:color w:val="auto"/>
              <w:kern w:val="2"/>
              <w:sz w:val="30"/>
              <w:szCs w:val="30"/>
              <w:highlight w:val="none"/>
              <w:lang w:val="en-US" w:eastAsia="zh-CN" w:bidi="ar-SA"/>
            </w:rPr>
            <w:fldChar w:fldCharType="separate"/>
          </w:r>
          <w:r>
            <w:rPr>
              <w:rFonts w:hint="eastAsia" w:ascii="仿宋" w:hAnsi="仿宋" w:eastAsia="仿宋" w:cs="仿宋"/>
              <w:bCs/>
              <w:color w:val="auto"/>
              <w:kern w:val="0"/>
              <w:sz w:val="30"/>
              <w:szCs w:val="30"/>
              <w:highlight w:val="none"/>
              <w:lang w:val="en-US" w:eastAsia="zh-CN" w:bidi="ar-SA"/>
            </w:rPr>
            <w:t>第三章 招标内容与要求</w:t>
          </w:r>
          <w:r>
            <w:rPr>
              <w:rFonts w:hint="eastAsia" w:ascii="仿宋" w:hAnsi="仿宋" w:eastAsia="仿宋" w:cs="仿宋"/>
              <w:color w:val="auto"/>
              <w:sz w:val="30"/>
              <w:szCs w:val="30"/>
              <w:highlight w:val="none"/>
            </w:rPr>
            <w:tab/>
          </w:r>
          <w:r>
            <w:rPr>
              <w:rFonts w:hint="eastAsia" w:ascii="仿宋" w:hAnsi="仿宋" w:eastAsia="仿宋" w:cs="仿宋"/>
              <w:color w:val="auto"/>
              <w:sz w:val="30"/>
              <w:szCs w:val="30"/>
              <w:highlight w:val="none"/>
            </w:rPr>
            <w:fldChar w:fldCharType="begin"/>
          </w:r>
          <w:r>
            <w:rPr>
              <w:rFonts w:hint="eastAsia" w:ascii="仿宋" w:hAnsi="仿宋" w:eastAsia="仿宋" w:cs="仿宋"/>
              <w:color w:val="auto"/>
              <w:sz w:val="30"/>
              <w:szCs w:val="30"/>
              <w:highlight w:val="none"/>
            </w:rPr>
            <w:instrText xml:space="preserve"> PAGEREF _Toc27540 \h </w:instrText>
          </w:r>
          <w:r>
            <w:rPr>
              <w:rFonts w:hint="eastAsia" w:ascii="仿宋" w:hAnsi="仿宋" w:eastAsia="仿宋" w:cs="仿宋"/>
              <w:color w:val="auto"/>
              <w:sz w:val="30"/>
              <w:szCs w:val="30"/>
              <w:highlight w:val="none"/>
            </w:rPr>
            <w:fldChar w:fldCharType="separate"/>
          </w:r>
          <w:r>
            <w:rPr>
              <w:rFonts w:hint="eastAsia" w:ascii="仿宋" w:hAnsi="仿宋" w:eastAsia="仿宋" w:cs="仿宋"/>
              <w:color w:val="auto"/>
              <w:sz w:val="30"/>
              <w:szCs w:val="30"/>
              <w:highlight w:val="none"/>
            </w:rPr>
            <w:t>38</w:t>
          </w:r>
          <w:r>
            <w:rPr>
              <w:rFonts w:hint="eastAsia" w:ascii="仿宋" w:hAnsi="仿宋" w:eastAsia="仿宋" w:cs="仿宋"/>
              <w:color w:val="auto"/>
              <w:sz w:val="30"/>
              <w:szCs w:val="30"/>
              <w:highlight w:val="none"/>
            </w:rPr>
            <w:fldChar w:fldCharType="end"/>
          </w:r>
          <w:r>
            <w:rPr>
              <w:rFonts w:hint="eastAsia" w:ascii="仿宋" w:hAnsi="仿宋" w:eastAsia="仿宋" w:cs="仿宋"/>
              <w:bCs/>
              <w:color w:val="auto"/>
              <w:kern w:val="2"/>
              <w:sz w:val="30"/>
              <w:szCs w:val="30"/>
              <w:highlight w:val="none"/>
              <w:lang w:val="en-US" w:eastAsia="zh-CN" w:bidi="ar-SA"/>
            </w:rPr>
            <w:fldChar w:fldCharType="end"/>
          </w:r>
        </w:p>
        <w:p w14:paraId="19AD5C2F">
          <w:pPr>
            <w:pStyle w:val="22"/>
            <w:keepNext w:val="0"/>
            <w:keepLines w:val="0"/>
            <w:pageBreakBefore w:val="0"/>
            <w:tabs>
              <w:tab w:val="right" w:leader="dot" w:pos="9299"/>
            </w:tabs>
            <w:kinsoku/>
            <w:overflowPunct/>
            <w:topLinePunct/>
            <w:autoSpaceDE/>
            <w:autoSpaceDN/>
            <w:bidi w:val="0"/>
            <w:textAlignment w:val="auto"/>
            <w:rPr>
              <w:rFonts w:hint="eastAsia" w:ascii="仿宋" w:hAnsi="仿宋" w:eastAsia="仿宋" w:cs="仿宋"/>
              <w:color w:val="auto"/>
              <w:sz w:val="30"/>
              <w:szCs w:val="30"/>
              <w:highlight w:val="none"/>
            </w:rPr>
          </w:pPr>
        </w:p>
        <w:p w14:paraId="70B8CE1A">
          <w:pPr>
            <w:pStyle w:val="21"/>
            <w:keepNext w:val="0"/>
            <w:keepLines w:val="0"/>
            <w:pageBreakBefore w:val="0"/>
            <w:tabs>
              <w:tab w:val="right" w:leader="dot" w:pos="9299"/>
            </w:tabs>
            <w:kinsoku/>
            <w:overflowPunct/>
            <w:topLinePunct/>
            <w:autoSpaceDE/>
            <w:autoSpaceDN/>
            <w:bidi w:val="0"/>
            <w:textAlignment w:val="auto"/>
            <w:rPr>
              <w:rFonts w:hint="eastAsia" w:ascii="仿宋" w:hAnsi="仿宋" w:eastAsia="仿宋" w:cs="仿宋"/>
              <w:color w:val="auto"/>
              <w:sz w:val="30"/>
              <w:szCs w:val="30"/>
              <w:highlight w:val="none"/>
            </w:rPr>
          </w:pPr>
          <w:r>
            <w:rPr>
              <w:rFonts w:hint="eastAsia" w:ascii="仿宋" w:hAnsi="仿宋" w:eastAsia="仿宋" w:cs="仿宋"/>
              <w:bCs/>
              <w:color w:val="auto"/>
              <w:kern w:val="2"/>
              <w:sz w:val="30"/>
              <w:szCs w:val="30"/>
              <w:highlight w:val="none"/>
              <w:lang w:val="en-US" w:eastAsia="zh-CN" w:bidi="ar-SA"/>
            </w:rPr>
            <w:fldChar w:fldCharType="begin"/>
          </w:r>
          <w:r>
            <w:rPr>
              <w:rFonts w:hint="eastAsia" w:ascii="仿宋" w:hAnsi="仿宋" w:eastAsia="仿宋" w:cs="仿宋"/>
              <w:bCs/>
              <w:color w:val="auto"/>
              <w:kern w:val="2"/>
              <w:sz w:val="30"/>
              <w:szCs w:val="30"/>
              <w:highlight w:val="none"/>
              <w:lang w:val="en-US" w:eastAsia="zh-CN" w:bidi="ar-SA"/>
            </w:rPr>
            <w:instrText xml:space="preserve"> HYPERLINK \l _Toc6837 </w:instrText>
          </w:r>
          <w:r>
            <w:rPr>
              <w:rFonts w:hint="eastAsia" w:ascii="仿宋" w:hAnsi="仿宋" w:eastAsia="仿宋" w:cs="仿宋"/>
              <w:bCs/>
              <w:color w:val="auto"/>
              <w:kern w:val="2"/>
              <w:sz w:val="30"/>
              <w:szCs w:val="30"/>
              <w:highlight w:val="none"/>
              <w:lang w:val="en-US" w:eastAsia="zh-CN" w:bidi="ar-SA"/>
            </w:rPr>
            <w:fldChar w:fldCharType="separate"/>
          </w:r>
          <w:r>
            <w:rPr>
              <w:rFonts w:hint="eastAsia" w:ascii="仿宋" w:hAnsi="仿宋" w:eastAsia="仿宋" w:cs="仿宋"/>
              <w:bCs/>
              <w:color w:val="auto"/>
              <w:kern w:val="0"/>
              <w:sz w:val="30"/>
              <w:szCs w:val="30"/>
              <w:highlight w:val="none"/>
              <w:lang w:val="en-US" w:eastAsia="zh-CN" w:bidi="ar-SA"/>
            </w:rPr>
            <w:t>第四章 评标原则、程序与方法</w:t>
          </w:r>
          <w:r>
            <w:rPr>
              <w:rFonts w:hint="eastAsia" w:ascii="仿宋" w:hAnsi="仿宋" w:eastAsia="仿宋" w:cs="仿宋"/>
              <w:color w:val="auto"/>
              <w:sz w:val="30"/>
              <w:szCs w:val="30"/>
              <w:highlight w:val="none"/>
            </w:rPr>
            <w:tab/>
          </w:r>
          <w:r>
            <w:rPr>
              <w:rFonts w:hint="eastAsia" w:ascii="仿宋" w:hAnsi="仿宋" w:eastAsia="仿宋" w:cs="仿宋"/>
              <w:color w:val="auto"/>
              <w:sz w:val="30"/>
              <w:szCs w:val="30"/>
              <w:highlight w:val="none"/>
            </w:rPr>
            <w:fldChar w:fldCharType="begin"/>
          </w:r>
          <w:r>
            <w:rPr>
              <w:rFonts w:hint="eastAsia" w:ascii="仿宋" w:hAnsi="仿宋" w:eastAsia="仿宋" w:cs="仿宋"/>
              <w:color w:val="auto"/>
              <w:sz w:val="30"/>
              <w:szCs w:val="30"/>
              <w:highlight w:val="none"/>
            </w:rPr>
            <w:instrText xml:space="preserve"> PAGEREF _Toc6837 \h </w:instrText>
          </w:r>
          <w:r>
            <w:rPr>
              <w:rFonts w:hint="eastAsia" w:ascii="仿宋" w:hAnsi="仿宋" w:eastAsia="仿宋" w:cs="仿宋"/>
              <w:color w:val="auto"/>
              <w:sz w:val="30"/>
              <w:szCs w:val="30"/>
              <w:highlight w:val="none"/>
            </w:rPr>
            <w:fldChar w:fldCharType="separate"/>
          </w:r>
          <w:r>
            <w:rPr>
              <w:rFonts w:hint="eastAsia" w:ascii="仿宋" w:hAnsi="仿宋" w:eastAsia="仿宋" w:cs="仿宋"/>
              <w:color w:val="auto"/>
              <w:sz w:val="30"/>
              <w:szCs w:val="30"/>
              <w:highlight w:val="none"/>
            </w:rPr>
            <w:t>41</w:t>
          </w:r>
          <w:r>
            <w:rPr>
              <w:rFonts w:hint="eastAsia" w:ascii="仿宋" w:hAnsi="仿宋" w:eastAsia="仿宋" w:cs="仿宋"/>
              <w:color w:val="auto"/>
              <w:sz w:val="30"/>
              <w:szCs w:val="30"/>
              <w:highlight w:val="none"/>
            </w:rPr>
            <w:fldChar w:fldCharType="end"/>
          </w:r>
          <w:r>
            <w:rPr>
              <w:rFonts w:hint="eastAsia" w:ascii="仿宋" w:hAnsi="仿宋" w:eastAsia="仿宋" w:cs="仿宋"/>
              <w:bCs/>
              <w:color w:val="auto"/>
              <w:kern w:val="2"/>
              <w:sz w:val="30"/>
              <w:szCs w:val="30"/>
              <w:highlight w:val="none"/>
              <w:lang w:val="en-US" w:eastAsia="zh-CN" w:bidi="ar-SA"/>
            </w:rPr>
            <w:fldChar w:fldCharType="end"/>
          </w:r>
        </w:p>
        <w:p w14:paraId="518AF0FF">
          <w:pPr>
            <w:pStyle w:val="22"/>
            <w:keepNext w:val="0"/>
            <w:keepLines w:val="0"/>
            <w:pageBreakBefore w:val="0"/>
            <w:tabs>
              <w:tab w:val="right" w:leader="dot" w:pos="9299"/>
            </w:tabs>
            <w:kinsoku/>
            <w:overflowPunct/>
            <w:topLinePunct/>
            <w:autoSpaceDE/>
            <w:autoSpaceDN/>
            <w:bidi w:val="0"/>
            <w:textAlignment w:val="auto"/>
            <w:rPr>
              <w:rFonts w:hint="eastAsia" w:ascii="仿宋" w:hAnsi="仿宋" w:eastAsia="仿宋" w:cs="仿宋"/>
              <w:color w:val="auto"/>
              <w:sz w:val="30"/>
              <w:szCs w:val="30"/>
              <w:highlight w:val="none"/>
            </w:rPr>
          </w:pPr>
        </w:p>
        <w:p w14:paraId="50474755">
          <w:pPr>
            <w:pStyle w:val="21"/>
            <w:keepNext w:val="0"/>
            <w:keepLines w:val="0"/>
            <w:pageBreakBefore w:val="0"/>
            <w:tabs>
              <w:tab w:val="right" w:leader="dot" w:pos="9299"/>
            </w:tabs>
            <w:kinsoku/>
            <w:overflowPunct/>
            <w:topLinePunct/>
            <w:autoSpaceDE/>
            <w:autoSpaceDN/>
            <w:bidi w:val="0"/>
            <w:textAlignment w:val="auto"/>
            <w:rPr>
              <w:rFonts w:hint="eastAsia" w:ascii="仿宋" w:hAnsi="仿宋" w:eastAsia="仿宋" w:cs="仿宋"/>
              <w:color w:val="auto"/>
              <w:sz w:val="30"/>
              <w:szCs w:val="30"/>
              <w:highlight w:val="none"/>
            </w:rPr>
          </w:pPr>
          <w:r>
            <w:rPr>
              <w:rFonts w:hint="eastAsia" w:ascii="仿宋" w:hAnsi="仿宋" w:eastAsia="仿宋" w:cs="仿宋"/>
              <w:bCs/>
              <w:color w:val="auto"/>
              <w:kern w:val="2"/>
              <w:sz w:val="30"/>
              <w:szCs w:val="30"/>
              <w:highlight w:val="none"/>
              <w:lang w:val="en-US" w:eastAsia="zh-CN" w:bidi="ar-SA"/>
            </w:rPr>
            <w:fldChar w:fldCharType="begin"/>
          </w:r>
          <w:r>
            <w:rPr>
              <w:rFonts w:hint="eastAsia" w:ascii="仿宋" w:hAnsi="仿宋" w:eastAsia="仿宋" w:cs="仿宋"/>
              <w:bCs/>
              <w:color w:val="auto"/>
              <w:kern w:val="2"/>
              <w:sz w:val="30"/>
              <w:szCs w:val="30"/>
              <w:highlight w:val="none"/>
              <w:lang w:val="en-US" w:eastAsia="zh-CN" w:bidi="ar-SA"/>
            </w:rPr>
            <w:instrText xml:space="preserve"> HYPERLINK \l _Toc18976 </w:instrText>
          </w:r>
          <w:r>
            <w:rPr>
              <w:rFonts w:hint="eastAsia" w:ascii="仿宋" w:hAnsi="仿宋" w:eastAsia="仿宋" w:cs="仿宋"/>
              <w:bCs/>
              <w:color w:val="auto"/>
              <w:kern w:val="2"/>
              <w:sz w:val="30"/>
              <w:szCs w:val="30"/>
              <w:highlight w:val="none"/>
              <w:lang w:val="en-US" w:eastAsia="zh-CN" w:bidi="ar-SA"/>
            </w:rPr>
            <w:fldChar w:fldCharType="separate"/>
          </w:r>
          <w:r>
            <w:rPr>
              <w:rFonts w:hint="eastAsia" w:ascii="仿宋" w:hAnsi="仿宋" w:eastAsia="仿宋" w:cs="仿宋"/>
              <w:bCs/>
              <w:color w:val="auto"/>
              <w:kern w:val="0"/>
              <w:sz w:val="30"/>
              <w:szCs w:val="30"/>
              <w:highlight w:val="none"/>
              <w:lang w:val="en-US" w:eastAsia="zh-CN" w:bidi="ar-SA"/>
            </w:rPr>
            <w:t>第五章 投标文件（格式）</w:t>
          </w:r>
          <w:r>
            <w:rPr>
              <w:rFonts w:hint="eastAsia" w:ascii="仿宋" w:hAnsi="仿宋" w:eastAsia="仿宋" w:cs="仿宋"/>
              <w:color w:val="auto"/>
              <w:sz w:val="30"/>
              <w:szCs w:val="30"/>
              <w:highlight w:val="none"/>
            </w:rPr>
            <w:tab/>
          </w:r>
          <w:r>
            <w:rPr>
              <w:rFonts w:hint="eastAsia" w:ascii="仿宋" w:hAnsi="仿宋" w:eastAsia="仿宋" w:cs="仿宋"/>
              <w:color w:val="auto"/>
              <w:sz w:val="30"/>
              <w:szCs w:val="30"/>
              <w:highlight w:val="none"/>
            </w:rPr>
            <w:fldChar w:fldCharType="begin"/>
          </w:r>
          <w:r>
            <w:rPr>
              <w:rFonts w:hint="eastAsia" w:ascii="仿宋" w:hAnsi="仿宋" w:eastAsia="仿宋" w:cs="仿宋"/>
              <w:color w:val="auto"/>
              <w:sz w:val="30"/>
              <w:szCs w:val="30"/>
              <w:highlight w:val="none"/>
            </w:rPr>
            <w:instrText xml:space="preserve"> PAGEREF _Toc18976 \h </w:instrText>
          </w:r>
          <w:r>
            <w:rPr>
              <w:rFonts w:hint="eastAsia" w:ascii="仿宋" w:hAnsi="仿宋" w:eastAsia="仿宋" w:cs="仿宋"/>
              <w:color w:val="auto"/>
              <w:sz w:val="30"/>
              <w:szCs w:val="30"/>
              <w:highlight w:val="none"/>
            </w:rPr>
            <w:fldChar w:fldCharType="separate"/>
          </w:r>
          <w:r>
            <w:rPr>
              <w:rFonts w:hint="eastAsia" w:ascii="仿宋" w:hAnsi="仿宋" w:eastAsia="仿宋" w:cs="仿宋"/>
              <w:color w:val="auto"/>
              <w:sz w:val="30"/>
              <w:szCs w:val="30"/>
              <w:highlight w:val="none"/>
            </w:rPr>
            <w:t>50</w:t>
          </w:r>
          <w:r>
            <w:rPr>
              <w:rFonts w:hint="eastAsia" w:ascii="仿宋" w:hAnsi="仿宋" w:eastAsia="仿宋" w:cs="仿宋"/>
              <w:color w:val="auto"/>
              <w:sz w:val="30"/>
              <w:szCs w:val="30"/>
              <w:highlight w:val="none"/>
            </w:rPr>
            <w:fldChar w:fldCharType="end"/>
          </w:r>
          <w:r>
            <w:rPr>
              <w:rFonts w:hint="eastAsia" w:ascii="仿宋" w:hAnsi="仿宋" w:eastAsia="仿宋" w:cs="仿宋"/>
              <w:bCs/>
              <w:color w:val="auto"/>
              <w:kern w:val="2"/>
              <w:sz w:val="30"/>
              <w:szCs w:val="30"/>
              <w:highlight w:val="none"/>
              <w:lang w:val="en-US" w:eastAsia="zh-CN" w:bidi="ar-SA"/>
            </w:rPr>
            <w:fldChar w:fldCharType="end"/>
          </w:r>
        </w:p>
        <w:p w14:paraId="1799011A">
          <w:pPr>
            <w:pStyle w:val="22"/>
            <w:keepNext w:val="0"/>
            <w:keepLines w:val="0"/>
            <w:pageBreakBefore w:val="0"/>
            <w:tabs>
              <w:tab w:val="right" w:leader="dot" w:pos="9299"/>
            </w:tabs>
            <w:kinsoku/>
            <w:overflowPunct/>
            <w:topLinePunct/>
            <w:autoSpaceDE/>
            <w:autoSpaceDN/>
            <w:bidi w:val="0"/>
            <w:textAlignment w:val="auto"/>
            <w:rPr>
              <w:rFonts w:hint="eastAsia" w:ascii="仿宋" w:hAnsi="仿宋" w:eastAsia="仿宋" w:cs="仿宋"/>
              <w:color w:val="auto"/>
              <w:sz w:val="30"/>
              <w:szCs w:val="30"/>
              <w:highlight w:val="none"/>
            </w:rPr>
          </w:pPr>
        </w:p>
        <w:p w14:paraId="3B58FDF3">
          <w:pPr>
            <w:pStyle w:val="21"/>
            <w:keepNext w:val="0"/>
            <w:keepLines w:val="0"/>
            <w:pageBreakBefore w:val="0"/>
            <w:tabs>
              <w:tab w:val="right" w:leader="dot" w:pos="9299"/>
            </w:tabs>
            <w:kinsoku/>
            <w:overflowPunct/>
            <w:topLinePunct/>
            <w:autoSpaceDE/>
            <w:autoSpaceDN/>
            <w:bidi w:val="0"/>
            <w:textAlignment w:val="auto"/>
            <w:rPr>
              <w:rFonts w:hint="eastAsia" w:ascii="仿宋" w:hAnsi="仿宋" w:eastAsia="仿宋" w:cs="仿宋"/>
              <w:color w:val="auto"/>
              <w:sz w:val="30"/>
              <w:szCs w:val="30"/>
              <w:highlight w:val="none"/>
            </w:rPr>
          </w:pPr>
          <w:r>
            <w:rPr>
              <w:rFonts w:hint="eastAsia" w:ascii="仿宋" w:hAnsi="仿宋" w:eastAsia="仿宋" w:cs="仿宋"/>
              <w:bCs/>
              <w:color w:val="auto"/>
              <w:kern w:val="2"/>
              <w:sz w:val="30"/>
              <w:szCs w:val="30"/>
              <w:highlight w:val="none"/>
              <w:lang w:val="en-US" w:eastAsia="zh-CN" w:bidi="ar-SA"/>
            </w:rPr>
            <w:fldChar w:fldCharType="begin"/>
          </w:r>
          <w:r>
            <w:rPr>
              <w:rFonts w:hint="eastAsia" w:ascii="仿宋" w:hAnsi="仿宋" w:eastAsia="仿宋" w:cs="仿宋"/>
              <w:bCs/>
              <w:color w:val="auto"/>
              <w:kern w:val="2"/>
              <w:sz w:val="30"/>
              <w:szCs w:val="30"/>
              <w:highlight w:val="none"/>
              <w:lang w:val="en-US" w:eastAsia="zh-CN" w:bidi="ar-SA"/>
            </w:rPr>
            <w:instrText xml:space="preserve"> HYPERLINK \l _Toc30028 </w:instrText>
          </w:r>
          <w:r>
            <w:rPr>
              <w:rFonts w:hint="eastAsia" w:ascii="仿宋" w:hAnsi="仿宋" w:eastAsia="仿宋" w:cs="仿宋"/>
              <w:bCs/>
              <w:color w:val="auto"/>
              <w:kern w:val="2"/>
              <w:sz w:val="30"/>
              <w:szCs w:val="30"/>
              <w:highlight w:val="none"/>
              <w:lang w:val="en-US" w:eastAsia="zh-CN" w:bidi="ar-SA"/>
            </w:rPr>
            <w:fldChar w:fldCharType="separate"/>
          </w:r>
          <w:r>
            <w:rPr>
              <w:rFonts w:hint="eastAsia" w:ascii="仿宋" w:hAnsi="仿宋" w:eastAsia="仿宋" w:cs="仿宋"/>
              <w:bCs/>
              <w:color w:val="auto"/>
              <w:kern w:val="0"/>
              <w:sz w:val="30"/>
              <w:szCs w:val="30"/>
              <w:highlight w:val="none"/>
              <w:lang w:val="en-US" w:eastAsia="zh-CN" w:bidi="ar-SA"/>
            </w:rPr>
            <w:t>第六章 合同（范本）</w:t>
          </w:r>
          <w:r>
            <w:rPr>
              <w:rFonts w:hint="eastAsia" w:ascii="仿宋" w:hAnsi="仿宋" w:eastAsia="仿宋" w:cs="仿宋"/>
              <w:color w:val="auto"/>
              <w:sz w:val="30"/>
              <w:szCs w:val="30"/>
              <w:highlight w:val="none"/>
            </w:rPr>
            <w:tab/>
          </w:r>
          <w:r>
            <w:rPr>
              <w:rFonts w:hint="eastAsia" w:ascii="仿宋" w:hAnsi="仿宋" w:eastAsia="仿宋" w:cs="仿宋"/>
              <w:color w:val="auto"/>
              <w:sz w:val="30"/>
              <w:szCs w:val="30"/>
              <w:highlight w:val="none"/>
            </w:rPr>
            <w:fldChar w:fldCharType="begin"/>
          </w:r>
          <w:r>
            <w:rPr>
              <w:rFonts w:hint="eastAsia" w:ascii="仿宋" w:hAnsi="仿宋" w:eastAsia="仿宋" w:cs="仿宋"/>
              <w:color w:val="auto"/>
              <w:sz w:val="30"/>
              <w:szCs w:val="30"/>
              <w:highlight w:val="none"/>
            </w:rPr>
            <w:instrText xml:space="preserve"> PAGEREF _Toc30028 \h </w:instrText>
          </w:r>
          <w:r>
            <w:rPr>
              <w:rFonts w:hint="eastAsia" w:ascii="仿宋" w:hAnsi="仿宋" w:eastAsia="仿宋" w:cs="仿宋"/>
              <w:color w:val="auto"/>
              <w:sz w:val="30"/>
              <w:szCs w:val="30"/>
              <w:highlight w:val="none"/>
            </w:rPr>
            <w:fldChar w:fldCharType="separate"/>
          </w:r>
          <w:r>
            <w:rPr>
              <w:rFonts w:hint="eastAsia" w:ascii="仿宋" w:hAnsi="仿宋" w:eastAsia="仿宋" w:cs="仿宋"/>
              <w:color w:val="auto"/>
              <w:sz w:val="30"/>
              <w:szCs w:val="30"/>
              <w:highlight w:val="none"/>
            </w:rPr>
            <w:t>69</w:t>
          </w:r>
          <w:r>
            <w:rPr>
              <w:rFonts w:hint="eastAsia" w:ascii="仿宋" w:hAnsi="仿宋" w:eastAsia="仿宋" w:cs="仿宋"/>
              <w:color w:val="auto"/>
              <w:sz w:val="30"/>
              <w:szCs w:val="30"/>
              <w:highlight w:val="none"/>
            </w:rPr>
            <w:fldChar w:fldCharType="end"/>
          </w:r>
          <w:r>
            <w:rPr>
              <w:rFonts w:hint="eastAsia" w:ascii="仿宋" w:hAnsi="仿宋" w:eastAsia="仿宋" w:cs="仿宋"/>
              <w:bCs/>
              <w:color w:val="auto"/>
              <w:kern w:val="2"/>
              <w:sz w:val="30"/>
              <w:szCs w:val="30"/>
              <w:highlight w:val="none"/>
              <w:lang w:val="en-US" w:eastAsia="zh-CN" w:bidi="ar-SA"/>
            </w:rPr>
            <w:fldChar w:fldCharType="end"/>
          </w:r>
        </w:p>
        <w:p w14:paraId="4EBB5710">
          <w:pPr>
            <w:pStyle w:val="21"/>
            <w:keepNext w:val="0"/>
            <w:keepLines w:val="0"/>
            <w:pageBreakBefore w:val="0"/>
            <w:tabs>
              <w:tab w:val="right" w:leader="dot" w:pos="9299"/>
            </w:tabs>
            <w:kinsoku/>
            <w:overflowPunct/>
            <w:topLinePunct/>
            <w:autoSpaceDE/>
            <w:autoSpaceDN/>
            <w:bidi w:val="0"/>
            <w:textAlignment w:val="auto"/>
            <w:rPr>
              <w:rFonts w:hint="eastAsia" w:ascii="仿宋" w:hAnsi="仿宋" w:eastAsia="仿宋" w:cs="仿宋"/>
              <w:color w:val="auto"/>
              <w:sz w:val="36"/>
              <w:szCs w:val="36"/>
              <w:highlight w:val="none"/>
            </w:rPr>
          </w:pPr>
        </w:p>
        <w:p w14:paraId="0F54C512">
          <w:pPr>
            <w:pStyle w:val="23"/>
            <w:keepNext w:val="0"/>
            <w:keepLines w:val="0"/>
            <w:pageBreakBefore w:val="0"/>
            <w:kinsoku/>
            <w:overflowPunct/>
            <w:topLinePunct/>
            <w:autoSpaceDE/>
            <w:autoSpaceDN/>
            <w:bidi w:val="0"/>
            <w:spacing w:line="360" w:lineRule="auto"/>
            <w:textAlignment w:val="auto"/>
            <w:rPr>
              <w:rFonts w:hint="eastAsia" w:ascii="仿宋" w:hAnsi="仿宋" w:eastAsia="仿宋" w:cs="仿宋"/>
              <w:color w:val="auto"/>
              <w:sz w:val="32"/>
              <w:szCs w:val="32"/>
              <w:highlight w:val="none"/>
            </w:rPr>
          </w:pPr>
          <w:r>
            <w:rPr>
              <w:rFonts w:hint="eastAsia" w:ascii="仿宋" w:hAnsi="仿宋" w:eastAsia="仿宋" w:cs="仿宋"/>
              <w:bCs/>
              <w:color w:val="auto"/>
              <w:kern w:val="2"/>
              <w:sz w:val="36"/>
              <w:szCs w:val="36"/>
              <w:highlight w:val="none"/>
              <w:lang w:val="en-US" w:eastAsia="zh-CN" w:bidi="ar-SA"/>
            </w:rPr>
            <w:fldChar w:fldCharType="end"/>
          </w:r>
        </w:p>
      </w:sdtContent>
    </w:sdt>
    <w:p w14:paraId="2A538A48">
      <w:pPr>
        <w:pStyle w:val="23"/>
        <w:keepNext w:val="0"/>
        <w:keepLines w:val="0"/>
        <w:pageBreakBefore w:val="0"/>
        <w:kinsoku/>
        <w:overflowPunct/>
        <w:topLinePunct/>
        <w:autoSpaceDE/>
        <w:autoSpaceDN/>
        <w:bidi w:val="0"/>
        <w:spacing w:line="360" w:lineRule="auto"/>
        <w:textAlignment w:val="auto"/>
        <w:rPr>
          <w:rFonts w:hint="eastAsia" w:ascii="仿宋" w:hAnsi="仿宋" w:eastAsia="仿宋" w:cs="仿宋"/>
          <w:color w:val="auto"/>
          <w:sz w:val="32"/>
          <w:szCs w:val="32"/>
          <w:highlight w:val="none"/>
        </w:rPr>
      </w:pPr>
    </w:p>
    <w:p w14:paraId="39FB4070">
      <w:pPr>
        <w:pStyle w:val="23"/>
        <w:keepNext w:val="0"/>
        <w:keepLines w:val="0"/>
        <w:pageBreakBefore w:val="0"/>
        <w:tabs>
          <w:tab w:val="clear" w:pos="916"/>
          <w:tab w:val="clear" w:pos="2748"/>
          <w:tab w:val="clear" w:pos="4580"/>
          <w:tab w:val="clear" w:pos="6412"/>
          <w:tab w:val="clear" w:pos="8244"/>
          <w:tab w:val="clear" w:pos="10076"/>
          <w:tab w:val="clear" w:pos="11908"/>
          <w:tab w:val="clear" w:pos="13740"/>
        </w:tabs>
        <w:kinsoku/>
        <w:overflowPunct/>
        <w:topLinePunct/>
        <w:autoSpaceDE/>
        <w:autoSpaceDN/>
        <w:bidi w:val="0"/>
        <w:spacing w:line="360" w:lineRule="auto"/>
        <w:jc w:val="center"/>
        <w:textAlignment w:val="auto"/>
        <w:rPr>
          <w:rFonts w:hint="eastAsia" w:ascii="仿宋" w:hAnsi="仿宋" w:eastAsia="仿宋" w:cs="仿宋"/>
          <w:color w:val="auto"/>
          <w:sz w:val="32"/>
          <w:szCs w:val="32"/>
          <w:highlight w:val="none"/>
        </w:rPr>
      </w:pPr>
    </w:p>
    <w:p w14:paraId="55EEC2CE">
      <w:pPr>
        <w:pStyle w:val="23"/>
        <w:keepNext w:val="0"/>
        <w:keepLines w:val="0"/>
        <w:pageBreakBefore w:val="0"/>
        <w:kinsoku/>
        <w:overflowPunct/>
        <w:topLinePunct/>
        <w:autoSpaceDE/>
        <w:autoSpaceDN/>
        <w:bidi w:val="0"/>
        <w:spacing w:line="360" w:lineRule="auto"/>
        <w:textAlignment w:val="auto"/>
        <w:rPr>
          <w:rFonts w:hint="eastAsia" w:ascii="仿宋" w:hAnsi="仿宋" w:eastAsia="仿宋" w:cs="仿宋"/>
          <w:color w:val="auto"/>
          <w:sz w:val="32"/>
          <w:szCs w:val="32"/>
          <w:highlight w:val="none"/>
        </w:rPr>
      </w:pPr>
    </w:p>
    <w:p w14:paraId="1F4B9270">
      <w:pPr>
        <w:pStyle w:val="23"/>
        <w:keepNext w:val="0"/>
        <w:keepLines w:val="0"/>
        <w:pageBreakBefore w:val="0"/>
        <w:kinsoku/>
        <w:overflowPunct/>
        <w:topLinePunct/>
        <w:autoSpaceDE/>
        <w:autoSpaceDN/>
        <w:bidi w:val="0"/>
        <w:spacing w:line="360" w:lineRule="auto"/>
        <w:textAlignment w:val="auto"/>
        <w:rPr>
          <w:rFonts w:hint="eastAsia" w:ascii="仿宋" w:hAnsi="仿宋" w:eastAsia="仿宋" w:cs="仿宋"/>
          <w:color w:val="auto"/>
          <w:sz w:val="32"/>
          <w:szCs w:val="32"/>
          <w:highlight w:val="none"/>
        </w:rPr>
      </w:pPr>
    </w:p>
    <w:p w14:paraId="1134B9AC">
      <w:pPr>
        <w:pStyle w:val="23"/>
        <w:keepNext w:val="0"/>
        <w:keepLines w:val="0"/>
        <w:pageBreakBefore w:val="0"/>
        <w:kinsoku/>
        <w:overflowPunct/>
        <w:topLinePunct/>
        <w:autoSpaceDE/>
        <w:autoSpaceDN/>
        <w:bidi w:val="0"/>
        <w:spacing w:line="360" w:lineRule="auto"/>
        <w:textAlignment w:val="auto"/>
        <w:rPr>
          <w:rFonts w:hint="eastAsia" w:ascii="仿宋" w:hAnsi="仿宋" w:eastAsia="仿宋" w:cs="仿宋"/>
          <w:color w:val="auto"/>
          <w:sz w:val="32"/>
          <w:szCs w:val="32"/>
          <w:highlight w:val="none"/>
        </w:rPr>
      </w:pPr>
    </w:p>
    <w:p w14:paraId="2CAA0B24">
      <w:pPr>
        <w:pStyle w:val="23"/>
        <w:keepNext w:val="0"/>
        <w:keepLines w:val="0"/>
        <w:pageBreakBefore w:val="0"/>
        <w:kinsoku/>
        <w:overflowPunct/>
        <w:topLinePunct/>
        <w:autoSpaceDE/>
        <w:autoSpaceDN/>
        <w:bidi w:val="0"/>
        <w:spacing w:line="360" w:lineRule="auto"/>
        <w:textAlignment w:val="auto"/>
        <w:rPr>
          <w:rFonts w:hint="eastAsia" w:ascii="仿宋" w:hAnsi="仿宋" w:eastAsia="仿宋" w:cs="仿宋"/>
          <w:color w:val="auto"/>
          <w:sz w:val="32"/>
          <w:szCs w:val="32"/>
          <w:highlight w:val="none"/>
        </w:rPr>
      </w:pPr>
    </w:p>
    <w:p w14:paraId="2A48602C">
      <w:pPr>
        <w:keepNext w:val="0"/>
        <w:keepLines w:val="0"/>
        <w:pageBreakBefore w:val="0"/>
        <w:kinsoku/>
        <w:overflowPunct/>
        <w:topLinePunct/>
        <w:autoSpaceDE/>
        <w:autoSpaceDN/>
        <w:bidi w:val="0"/>
        <w:spacing w:line="475" w:lineRule="exact"/>
        <w:ind w:right="140"/>
        <w:textAlignment w:val="auto"/>
        <w:rPr>
          <w:rFonts w:hint="eastAsia" w:ascii="仿宋" w:hAnsi="仿宋" w:eastAsia="仿宋" w:cs="仿宋"/>
          <w:color w:val="auto"/>
          <w:sz w:val="32"/>
          <w:highlight w:val="none"/>
        </w:rPr>
      </w:pPr>
    </w:p>
    <w:p w14:paraId="46EA0853">
      <w:pPr>
        <w:pStyle w:val="7"/>
        <w:keepNext w:val="0"/>
        <w:keepLines w:val="0"/>
        <w:pageBreakBefore w:val="0"/>
        <w:kinsoku/>
        <w:overflowPunct/>
        <w:topLinePunct/>
        <w:autoSpaceDE/>
        <w:autoSpaceDN/>
        <w:bidi w:val="0"/>
        <w:textAlignment w:val="auto"/>
        <w:rPr>
          <w:rFonts w:hint="eastAsia" w:ascii="仿宋" w:hAnsi="仿宋" w:eastAsia="仿宋" w:cs="仿宋"/>
          <w:color w:val="auto"/>
          <w:sz w:val="32"/>
          <w:highlight w:val="none"/>
        </w:rPr>
      </w:pPr>
    </w:p>
    <w:p w14:paraId="3069B900">
      <w:pPr>
        <w:pStyle w:val="7"/>
        <w:keepNext w:val="0"/>
        <w:keepLines w:val="0"/>
        <w:pageBreakBefore w:val="0"/>
        <w:kinsoku/>
        <w:overflowPunct/>
        <w:topLinePunct/>
        <w:autoSpaceDE/>
        <w:autoSpaceDN/>
        <w:bidi w:val="0"/>
        <w:textAlignment w:val="auto"/>
        <w:rPr>
          <w:rFonts w:hint="eastAsia" w:ascii="仿宋" w:hAnsi="仿宋" w:eastAsia="仿宋" w:cs="仿宋"/>
          <w:color w:val="auto"/>
          <w:sz w:val="32"/>
          <w:highlight w:val="none"/>
        </w:rPr>
      </w:pPr>
    </w:p>
    <w:p w14:paraId="0152305C">
      <w:pPr>
        <w:pStyle w:val="7"/>
        <w:keepNext w:val="0"/>
        <w:keepLines w:val="0"/>
        <w:pageBreakBefore w:val="0"/>
        <w:kinsoku/>
        <w:overflowPunct/>
        <w:topLinePunct/>
        <w:autoSpaceDE/>
        <w:autoSpaceDN/>
        <w:bidi w:val="0"/>
        <w:textAlignment w:val="auto"/>
        <w:rPr>
          <w:rFonts w:hint="eastAsia" w:ascii="仿宋" w:hAnsi="仿宋" w:eastAsia="仿宋" w:cs="仿宋"/>
          <w:color w:val="auto"/>
          <w:sz w:val="32"/>
          <w:highlight w:val="none"/>
        </w:rPr>
      </w:pPr>
    </w:p>
    <w:p w14:paraId="6A9BBC13">
      <w:pPr>
        <w:pStyle w:val="7"/>
        <w:keepNext w:val="0"/>
        <w:keepLines w:val="0"/>
        <w:pageBreakBefore w:val="0"/>
        <w:kinsoku/>
        <w:overflowPunct/>
        <w:topLinePunct/>
        <w:autoSpaceDE/>
        <w:autoSpaceDN/>
        <w:bidi w:val="0"/>
        <w:textAlignment w:val="auto"/>
        <w:rPr>
          <w:rFonts w:hint="eastAsia" w:ascii="仿宋" w:hAnsi="仿宋" w:eastAsia="仿宋" w:cs="仿宋"/>
          <w:color w:val="auto"/>
          <w:sz w:val="32"/>
          <w:highlight w:val="none"/>
        </w:rPr>
      </w:pPr>
    </w:p>
    <w:p w14:paraId="2E761F3A">
      <w:pPr>
        <w:pStyle w:val="7"/>
        <w:keepNext w:val="0"/>
        <w:keepLines w:val="0"/>
        <w:pageBreakBefore w:val="0"/>
        <w:kinsoku/>
        <w:overflowPunct/>
        <w:topLinePunct/>
        <w:autoSpaceDE/>
        <w:autoSpaceDN/>
        <w:bidi w:val="0"/>
        <w:textAlignment w:val="auto"/>
        <w:rPr>
          <w:rFonts w:hint="eastAsia" w:ascii="仿宋" w:hAnsi="仿宋" w:eastAsia="仿宋" w:cs="仿宋"/>
          <w:color w:val="auto"/>
          <w:sz w:val="32"/>
          <w:highlight w:val="none"/>
        </w:rPr>
      </w:pPr>
    </w:p>
    <w:p w14:paraId="020BAA1B">
      <w:pPr>
        <w:pStyle w:val="7"/>
        <w:keepNext w:val="0"/>
        <w:keepLines w:val="0"/>
        <w:pageBreakBefore w:val="0"/>
        <w:kinsoku/>
        <w:overflowPunct/>
        <w:topLinePunct/>
        <w:autoSpaceDE/>
        <w:autoSpaceDN/>
        <w:bidi w:val="0"/>
        <w:textAlignment w:val="auto"/>
        <w:rPr>
          <w:rFonts w:hint="eastAsia" w:ascii="仿宋" w:hAnsi="仿宋" w:eastAsia="仿宋" w:cs="仿宋"/>
          <w:color w:val="auto"/>
          <w:sz w:val="32"/>
          <w:highlight w:val="none"/>
        </w:rPr>
      </w:pPr>
    </w:p>
    <w:p w14:paraId="254E914C">
      <w:pPr>
        <w:pStyle w:val="7"/>
        <w:keepNext w:val="0"/>
        <w:keepLines w:val="0"/>
        <w:pageBreakBefore w:val="0"/>
        <w:kinsoku/>
        <w:overflowPunct/>
        <w:topLinePunct/>
        <w:autoSpaceDE/>
        <w:autoSpaceDN/>
        <w:bidi w:val="0"/>
        <w:textAlignment w:val="auto"/>
        <w:rPr>
          <w:rFonts w:hint="eastAsia" w:ascii="仿宋" w:hAnsi="仿宋" w:eastAsia="仿宋" w:cs="仿宋"/>
          <w:color w:val="auto"/>
          <w:sz w:val="32"/>
          <w:highlight w:val="none"/>
        </w:rPr>
      </w:pPr>
    </w:p>
    <w:p w14:paraId="306F3101">
      <w:pPr>
        <w:pStyle w:val="7"/>
        <w:keepNext w:val="0"/>
        <w:keepLines w:val="0"/>
        <w:pageBreakBefore w:val="0"/>
        <w:kinsoku/>
        <w:overflowPunct/>
        <w:topLinePunct/>
        <w:autoSpaceDE/>
        <w:autoSpaceDN/>
        <w:bidi w:val="0"/>
        <w:textAlignment w:val="auto"/>
        <w:rPr>
          <w:rFonts w:hint="eastAsia" w:ascii="仿宋" w:hAnsi="仿宋" w:eastAsia="仿宋" w:cs="仿宋"/>
          <w:color w:val="auto"/>
          <w:sz w:val="32"/>
          <w:highlight w:val="none"/>
        </w:rPr>
      </w:pPr>
    </w:p>
    <w:p w14:paraId="3A1C0FCD">
      <w:pPr>
        <w:pStyle w:val="24"/>
        <w:keepNext w:val="0"/>
        <w:keepLines w:val="0"/>
        <w:pageBreakBefore w:val="0"/>
        <w:numPr>
          <w:ilvl w:val="0"/>
          <w:numId w:val="0"/>
        </w:numPr>
        <w:kinsoku/>
        <w:overflowPunct/>
        <w:topLinePunct/>
        <w:autoSpaceDE/>
        <w:autoSpaceDN/>
        <w:bidi w:val="0"/>
        <w:spacing w:before="100" w:beforeAutospacing="1" w:after="100" w:afterAutospacing="1" w:line="240" w:lineRule="auto"/>
        <w:ind w:left="1440" w:leftChars="0" w:hanging="1440" w:firstLineChars="0"/>
        <w:jc w:val="center"/>
        <w:textAlignment w:val="auto"/>
        <w:rPr>
          <w:rFonts w:hint="eastAsia" w:ascii="仿宋" w:hAnsi="仿宋" w:eastAsia="仿宋" w:cs="仿宋"/>
          <w:b/>
          <w:bCs/>
          <w:color w:val="auto"/>
          <w:kern w:val="0"/>
          <w:sz w:val="40"/>
          <w:szCs w:val="44"/>
          <w:highlight w:val="none"/>
          <w:lang w:val="en-US" w:eastAsia="zh-CN" w:bidi="ar-SA"/>
        </w:rPr>
        <w:sectPr>
          <w:headerReference r:id="rId6" w:type="default"/>
          <w:footerReference r:id="rId7" w:type="default"/>
          <w:pgSz w:w="11906" w:h="16838"/>
          <w:pgMar w:top="1260" w:right="1142" w:bottom="1118" w:left="1324" w:header="567" w:footer="680" w:gutter="0"/>
          <w:pgNumType w:fmt="decimal"/>
          <w:cols w:space="0" w:num="1"/>
          <w:docGrid w:linePitch="312" w:charSpace="0"/>
        </w:sectPr>
      </w:pPr>
      <w:bookmarkStart w:id="1" w:name="_Toc7017"/>
    </w:p>
    <w:p w14:paraId="13DA0F2C">
      <w:pPr>
        <w:pStyle w:val="24"/>
        <w:keepNext w:val="0"/>
        <w:keepLines w:val="0"/>
        <w:pageBreakBefore w:val="0"/>
        <w:numPr>
          <w:ilvl w:val="0"/>
          <w:numId w:val="0"/>
        </w:numPr>
        <w:kinsoku/>
        <w:overflowPunct/>
        <w:topLinePunct/>
        <w:autoSpaceDE/>
        <w:autoSpaceDN/>
        <w:bidi w:val="0"/>
        <w:spacing w:before="100" w:beforeAutospacing="1" w:after="100" w:afterAutospacing="1" w:line="240" w:lineRule="auto"/>
        <w:ind w:left="1440" w:leftChars="0" w:hanging="1440" w:firstLineChars="0"/>
        <w:jc w:val="center"/>
        <w:textAlignment w:val="auto"/>
        <w:rPr>
          <w:rFonts w:hint="eastAsia" w:ascii="仿宋" w:hAnsi="仿宋" w:eastAsia="仿宋" w:cs="仿宋"/>
          <w:color w:val="auto"/>
          <w:sz w:val="48"/>
          <w:szCs w:val="48"/>
          <w:highlight w:val="none"/>
        </w:rPr>
      </w:pPr>
      <w:r>
        <w:rPr>
          <w:rFonts w:hint="eastAsia" w:ascii="仿宋" w:hAnsi="仿宋" w:eastAsia="仿宋" w:cs="仿宋"/>
          <w:b/>
          <w:bCs/>
          <w:color w:val="auto"/>
          <w:kern w:val="0"/>
          <w:sz w:val="48"/>
          <w:szCs w:val="48"/>
          <w:highlight w:val="none"/>
          <w:lang w:val="en-US" w:eastAsia="zh-CN" w:bidi="ar-SA"/>
        </w:rPr>
        <w:t>第一章</w:t>
      </w:r>
      <w:r>
        <w:rPr>
          <w:rFonts w:hint="eastAsia" w:ascii="仿宋" w:hAnsi="仿宋" w:eastAsia="仿宋" w:cs="仿宋"/>
          <w:color w:val="auto"/>
          <w:sz w:val="48"/>
          <w:szCs w:val="48"/>
          <w:highlight w:val="none"/>
          <w:lang w:val="en-US" w:eastAsia="zh-CN"/>
        </w:rPr>
        <w:t xml:space="preserve"> 招标</w:t>
      </w:r>
      <w:r>
        <w:rPr>
          <w:rFonts w:hint="eastAsia" w:ascii="仿宋" w:hAnsi="仿宋" w:eastAsia="仿宋" w:cs="仿宋"/>
          <w:color w:val="auto"/>
          <w:sz w:val="48"/>
          <w:szCs w:val="48"/>
          <w:highlight w:val="none"/>
        </w:rPr>
        <w:t>公告</w:t>
      </w:r>
      <w:bookmarkEnd w:id="1"/>
    </w:p>
    <w:p w14:paraId="757CEB6E">
      <w:pPr>
        <w:pStyle w:val="24"/>
        <w:keepNext w:val="0"/>
        <w:keepLines w:val="0"/>
        <w:pageBreakBefore w:val="0"/>
        <w:kinsoku/>
        <w:overflowPunct/>
        <w:topLinePunct/>
        <w:autoSpaceDE/>
        <w:autoSpaceDN/>
        <w:bidi w:val="0"/>
        <w:jc w:val="center"/>
        <w:textAlignment w:val="auto"/>
        <w:outlineLvl w:val="1"/>
        <w:rPr>
          <w:rFonts w:hint="eastAsia" w:ascii="仿宋" w:hAnsi="仿宋" w:eastAsia="仿宋" w:cs="仿宋"/>
          <w:color w:val="auto"/>
          <w:sz w:val="36"/>
          <w:szCs w:val="36"/>
          <w:highlight w:val="none"/>
        </w:rPr>
      </w:pPr>
      <w:bookmarkStart w:id="2" w:name="_Toc6197"/>
      <w:r>
        <w:rPr>
          <w:rFonts w:hint="eastAsia" w:ascii="仿宋" w:hAnsi="仿宋" w:eastAsia="仿宋" w:cs="仿宋"/>
          <w:color w:val="auto"/>
          <w:sz w:val="36"/>
          <w:szCs w:val="36"/>
          <w:highlight w:val="none"/>
          <w:lang w:val="en-US" w:eastAsia="zh-CN"/>
        </w:rPr>
        <w:t>选定景区物料供应入围单位</w:t>
      </w:r>
      <w:r>
        <w:rPr>
          <w:rFonts w:hint="eastAsia" w:ascii="仿宋" w:hAnsi="仿宋" w:eastAsia="仿宋" w:cs="仿宋"/>
          <w:color w:val="auto"/>
          <w:sz w:val="36"/>
          <w:szCs w:val="36"/>
          <w:highlight w:val="none"/>
          <w:lang w:eastAsia="zh-CN"/>
        </w:rPr>
        <w:t>招标</w:t>
      </w:r>
      <w:r>
        <w:rPr>
          <w:rFonts w:hint="eastAsia" w:ascii="仿宋" w:hAnsi="仿宋" w:eastAsia="仿宋" w:cs="仿宋"/>
          <w:color w:val="auto"/>
          <w:sz w:val="36"/>
          <w:szCs w:val="36"/>
          <w:highlight w:val="none"/>
        </w:rPr>
        <w:t>公告</w:t>
      </w:r>
      <w:bookmarkEnd w:id="2"/>
    </w:p>
    <w:p w14:paraId="3A22FFFA">
      <w:pPr>
        <w:keepNext w:val="0"/>
        <w:keepLines w:val="0"/>
        <w:pageBreakBefore w:val="0"/>
        <w:widowControl w:val="0"/>
        <w:shd w:val="clear"/>
        <w:kinsoku/>
        <w:wordWrap/>
        <w:overflowPunct/>
        <w:topLinePunct/>
        <w:autoSpaceDE/>
        <w:autoSpaceDN/>
        <w:bidi w:val="0"/>
        <w:adjustRightInd/>
        <w:snapToGrid/>
        <w:spacing w:afterLines="50" w:line="360" w:lineRule="auto"/>
        <w:jc w:val="center"/>
        <w:textAlignment w:val="auto"/>
        <w:rPr>
          <w:rFonts w:hint="default"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lang w:val="en-US" w:eastAsia="zh-CN"/>
        </w:rPr>
        <w:t>(采购</w:t>
      </w:r>
      <w:r>
        <w:rPr>
          <w:rFonts w:hint="eastAsia" w:ascii="仿宋" w:hAnsi="仿宋" w:eastAsia="仿宋" w:cs="仿宋"/>
          <w:b/>
          <w:color w:val="auto"/>
          <w:sz w:val="28"/>
          <w:szCs w:val="28"/>
          <w:highlight w:val="none"/>
        </w:rPr>
        <w:t>编号：HSZBFW20260001</w:t>
      </w:r>
      <w:r>
        <w:rPr>
          <w:rFonts w:hint="eastAsia" w:ascii="仿宋" w:hAnsi="仿宋" w:eastAsia="仿宋" w:cs="仿宋"/>
          <w:b/>
          <w:color w:val="auto"/>
          <w:sz w:val="28"/>
          <w:szCs w:val="28"/>
          <w:highlight w:val="none"/>
          <w:lang w:val="en-US" w:eastAsia="zh-CN"/>
        </w:rPr>
        <w:t>)</w:t>
      </w:r>
    </w:p>
    <w:p w14:paraId="21A5638B">
      <w:pPr>
        <w:keepNext w:val="0"/>
        <w:keepLines w:val="0"/>
        <w:pageBreakBefore w:val="0"/>
        <w:widowControl w:val="0"/>
        <w:kinsoku/>
        <w:wordWrap w:val="0"/>
        <w:overflowPunct/>
        <w:topLinePunct/>
        <w:autoSpaceDE/>
        <w:autoSpaceDN/>
        <w:bidi w:val="0"/>
        <w:snapToGrid/>
        <w:spacing w:line="520" w:lineRule="exact"/>
        <w:ind w:firstLine="562" w:firstLineChars="200"/>
        <w:jc w:val="left"/>
        <w:textAlignment w:val="auto"/>
        <w:outlineLvl w:val="1"/>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一、招标条件</w:t>
      </w:r>
    </w:p>
    <w:p w14:paraId="6B2C6D2B">
      <w:pPr>
        <w:keepNext w:val="0"/>
        <w:keepLines w:val="0"/>
        <w:pageBreakBefore w:val="0"/>
        <w:widowControl w:val="0"/>
        <w:kinsoku/>
        <w:wordWrap w:val="0"/>
        <w:overflowPunct/>
        <w:topLinePunct/>
        <w:autoSpaceDE/>
        <w:autoSpaceDN/>
        <w:bidi w:val="0"/>
        <w:adjustRightInd w:val="0"/>
        <w:snapToGrid/>
        <w:spacing w:line="520" w:lineRule="exact"/>
        <w:ind w:firstLine="592" w:firstLineChars="200"/>
        <w:jc w:val="left"/>
        <w:textAlignment w:val="auto"/>
        <w:rPr>
          <w:rFonts w:hint="eastAsia" w:ascii="仿宋" w:hAnsi="仿宋" w:eastAsia="仿宋" w:cs="仿宋"/>
          <w:i w:val="0"/>
          <w:iCs w:val="0"/>
          <w:color w:val="auto"/>
          <w:spacing w:val="8"/>
          <w:kern w:val="0"/>
          <w:sz w:val="28"/>
          <w:szCs w:val="28"/>
          <w:highlight w:val="none"/>
          <w:lang w:val="en-US" w:eastAsia="zh-CN"/>
        </w:rPr>
      </w:pPr>
      <w:r>
        <w:rPr>
          <w:rFonts w:hint="eastAsia" w:ascii="仿宋" w:hAnsi="仿宋" w:eastAsia="仿宋" w:cs="仿宋"/>
          <w:i w:val="0"/>
          <w:iCs w:val="0"/>
          <w:color w:val="auto"/>
          <w:spacing w:val="8"/>
          <w:kern w:val="0"/>
          <w:sz w:val="28"/>
          <w:szCs w:val="28"/>
          <w:highlight w:val="none"/>
          <w:lang w:val="en-US" w:eastAsia="zh-CN"/>
        </w:rPr>
        <w:t>本招标项目选定景区物料供应入围单位，招标申请已经相关部门批准，招标人为</w:t>
      </w:r>
      <w:r>
        <w:rPr>
          <w:rFonts w:hint="eastAsia" w:ascii="仿宋" w:hAnsi="仿宋" w:eastAsia="仿宋" w:cs="仿宋"/>
          <w:color w:val="auto"/>
          <w:sz w:val="28"/>
          <w:szCs w:val="28"/>
          <w:highlight w:val="none"/>
          <w:lang w:eastAsia="zh-CN"/>
        </w:rPr>
        <w:t>威海环晟文旅发展有限公司</w:t>
      </w:r>
      <w:r>
        <w:rPr>
          <w:rFonts w:hint="eastAsia" w:ascii="仿宋" w:hAnsi="仿宋" w:eastAsia="仿宋" w:cs="仿宋"/>
          <w:i w:val="0"/>
          <w:iCs w:val="0"/>
          <w:color w:val="auto"/>
          <w:spacing w:val="8"/>
          <w:kern w:val="0"/>
          <w:sz w:val="28"/>
          <w:szCs w:val="28"/>
          <w:highlight w:val="none"/>
          <w:lang w:val="en-US" w:eastAsia="zh-CN"/>
        </w:rPr>
        <w:t>，项目资金来源为自筹，出资比例为100%。项目已具备招标条件，现对该项目进行公开招标。</w:t>
      </w:r>
    </w:p>
    <w:p w14:paraId="7613DEAC">
      <w:pPr>
        <w:keepNext w:val="0"/>
        <w:keepLines w:val="0"/>
        <w:pageBreakBefore w:val="0"/>
        <w:widowControl w:val="0"/>
        <w:kinsoku/>
        <w:wordWrap w:val="0"/>
        <w:overflowPunct/>
        <w:topLinePunct/>
        <w:autoSpaceDE/>
        <w:autoSpaceDN/>
        <w:bidi w:val="0"/>
        <w:snapToGrid/>
        <w:spacing w:line="520" w:lineRule="exact"/>
        <w:ind w:firstLine="562" w:firstLineChars="200"/>
        <w:jc w:val="left"/>
        <w:textAlignment w:val="auto"/>
        <w:outlineLvl w:val="1"/>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二、项目概况和招标范围</w:t>
      </w:r>
    </w:p>
    <w:p w14:paraId="3EA767D8">
      <w:pPr>
        <w:keepNext w:val="0"/>
        <w:keepLines w:val="0"/>
        <w:pageBreakBefore w:val="0"/>
        <w:widowControl w:val="0"/>
        <w:kinsoku/>
        <w:wordWrap w:val="0"/>
        <w:overflowPunct/>
        <w:topLinePunct/>
        <w:autoSpaceDE/>
        <w:autoSpaceDN/>
        <w:bidi w:val="0"/>
        <w:adjustRightInd w:val="0"/>
        <w:snapToGrid/>
        <w:spacing w:line="520" w:lineRule="exact"/>
        <w:ind w:firstLine="592" w:firstLineChars="200"/>
        <w:jc w:val="left"/>
        <w:textAlignment w:val="auto"/>
        <w:rPr>
          <w:rFonts w:hint="default" w:ascii="仿宋" w:hAnsi="仿宋" w:eastAsia="仿宋" w:cs="仿宋"/>
          <w:i w:val="0"/>
          <w:iCs w:val="0"/>
          <w:color w:val="auto"/>
          <w:spacing w:val="8"/>
          <w:kern w:val="0"/>
          <w:sz w:val="28"/>
          <w:szCs w:val="28"/>
          <w:highlight w:val="none"/>
          <w:lang w:val="en-US" w:eastAsia="zh-CN"/>
        </w:rPr>
      </w:pPr>
      <w:r>
        <w:rPr>
          <w:rFonts w:hint="eastAsia" w:ascii="仿宋" w:hAnsi="仿宋" w:eastAsia="仿宋" w:cs="仿宋"/>
          <w:i w:val="0"/>
          <w:iCs w:val="0"/>
          <w:color w:val="auto"/>
          <w:spacing w:val="8"/>
          <w:kern w:val="0"/>
          <w:sz w:val="28"/>
          <w:szCs w:val="28"/>
          <w:highlight w:val="none"/>
          <w:lang w:val="en-US" w:eastAsia="zh-CN"/>
        </w:rPr>
        <w:t>1、项目名称：选定景区物料供应入围单位；</w:t>
      </w:r>
    </w:p>
    <w:p w14:paraId="34B987AC">
      <w:pPr>
        <w:keepNext w:val="0"/>
        <w:keepLines w:val="0"/>
        <w:pageBreakBefore w:val="0"/>
        <w:widowControl w:val="0"/>
        <w:kinsoku/>
        <w:wordWrap w:val="0"/>
        <w:overflowPunct/>
        <w:topLinePunct/>
        <w:autoSpaceDE/>
        <w:autoSpaceDN/>
        <w:bidi w:val="0"/>
        <w:adjustRightInd w:val="0"/>
        <w:snapToGrid/>
        <w:spacing w:line="520" w:lineRule="exact"/>
        <w:ind w:firstLine="592" w:firstLineChars="200"/>
        <w:jc w:val="left"/>
        <w:textAlignment w:val="auto"/>
        <w:rPr>
          <w:rFonts w:hint="eastAsia" w:ascii="仿宋" w:hAnsi="仿宋" w:eastAsia="仿宋" w:cs="仿宋"/>
          <w:i w:val="0"/>
          <w:iCs w:val="0"/>
          <w:color w:val="auto"/>
          <w:spacing w:val="8"/>
          <w:kern w:val="0"/>
          <w:sz w:val="28"/>
          <w:szCs w:val="28"/>
          <w:highlight w:val="none"/>
          <w:lang w:val="en-US" w:eastAsia="zh-CN"/>
        </w:rPr>
      </w:pPr>
      <w:r>
        <w:rPr>
          <w:rFonts w:hint="eastAsia" w:ascii="仿宋" w:hAnsi="仿宋" w:eastAsia="仿宋" w:cs="仿宋"/>
          <w:i w:val="0"/>
          <w:iCs w:val="0"/>
          <w:color w:val="auto"/>
          <w:spacing w:val="8"/>
          <w:kern w:val="0"/>
          <w:sz w:val="28"/>
          <w:szCs w:val="28"/>
          <w:highlight w:val="none"/>
          <w:lang w:val="en-US" w:eastAsia="zh-CN"/>
        </w:rPr>
        <w:t>2、招标范围：选定2家入围单位，能够根据半月湾景区(包含但不限于环海路、中国油画交易中心等运营项目)日常运营及活动需求，提供各类通用物资、基础物品的供应或租赁服务，并配套仓储管理和紧急补货物流服务，</w:t>
      </w:r>
      <w:r>
        <w:rPr>
          <w:rFonts w:hint="eastAsia" w:ascii="仿宋" w:hAnsi="仿宋" w:eastAsia="仿宋" w:cs="仿宋"/>
          <w:bCs/>
          <w:color w:val="000000" w:themeColor="text1"/>
          <w:spacing w:val="8"/>
          <w:kern w:val="0"/>
          <w:sz w:val="28"/>
          <w:szCs w:val="28"/>
        </w:rPr>
        <w:t>具体要求详见招标文件。</w:t>
      </w:r>
    </w:p>
    <w:p w14:paraId="1F9D75E5">
      <w:pPr>
        <w:keepNext w:val="0"/>
        <w:keepLines w:val="0"/>
        <w:pageBreakBefore w:val="0"/>
        <w:widowControl w:val="0"/>
        <w:kinsoku/>
        <w:wordWrap w:val="0"/>
        <w:overflowPunct/>
        <w:topLinePunct/>
        <w:autoSpaceDE/>
        <w:autoSpaceDN/>
        <w:bidi w:val="0"/>
        <w:snapToGrid/>
        <w:spacing w:line="520" w:lineRule="exact"/>
        <w:ind w:firstLine="562" w:firstLineChars="200"/>
        <w:jc w:val="left"/>
        <w:textAlignment w:val="auto"/>
        <w:outlineLvl w:val="1"/>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三、投标人资格要求</w:t>
      </w:r>
    </w:p>
    <w:p w14:paraId="6C26B2A6">
      <w:pPr>
        <w:keepNext w:val="0"/>
        <w:keepLines w:val="0"/>
        <w:pageBreakBefore w:val="0"/>
        <w:widowControl w:val="0"/>
        <w:kinsoku/>
        <w:wordWrap w:val="0"/>
        <w:overflowPunct/>
        <w:topLinePunct/>
        <w:autoSpaceDE/>
        <w:autoSpaceDN/>
        <w:bidi w:val="0"/>
        <w:adjustRightInd w:val="0"/>
        <w:snapToGrid/>
        <w:spacing w:line="520" w:lineRule="exact"/>
        <w:ind w:firstLine="592" w:firstLineChars="200"/>
        <w:jc w:val="left"/>
        <w:textAlignment w:val="auto"/>
        <w:rPr>
          <w:rFonts w:hint="eastAsia" w:ascii="仿宋" w:hAnsi="仿宋" w:eastAsia="仿宋" w:cs="仿宋"/>
          <w:i w:val="0"/>
          <w:iCs w:val="0"/>
          <w:color w:val="auto"/>
          <w:spacing w:val="8"/>
          <w:kern w:val="0"/>
          <w:sz w:val="28"/>
          <w:szCs w:val="28"/>
          <w:highlight w:val="none"/>
          <w:lang w:val="en-US" w:eastAsia="zh-CN"/>
        </w:rPr>
      </w:pPr>
      <w:r>
        <w:rPr>
          <w:rFonts w:hint="eastAsia" w:ascii="仿宋" w:hAnsi="仿宋" w:eastAsia="仿宋" w:cs="仿宋"/>
          <w:i w:val="0"/>
          <w:iCs w:val="0"/>
          <w:color w:val="auto"/>
          <w:spacing w:val="8"/>
          <w:kern w:val="0"/>
          <w:sz w:val="28"/>
          <w:szCs w:val="28"/>
          <w:highlight w:val="none"/>
          <w:lang w:val="en-US" w:eastAsia="zh-CN"/>
        </w:rPr>
        <w:t>1、具有独立承担民事责任的能力；</w:t>
      </w:r>
    </w:p>
    <w:p w14:paraId="29E10EAD">
      <w:pPr>
        <w:keepNext w:val="0"/>
        <w:keepLines w:val="0"/>
        <w:pageBreakBefore w:val="0"/>
        <w:widowControl w:val="0"/>
        <w:kinsoku/>
        <w:wordWrap w:val="0"/>
        <w:overflowPunct/>
        <w:topLinePunct/>
        <w:autoSpaceDE/>
        <w:autoSpaceDN/>
        <w:bidi w:val="0"/>
        <w:adjustRightInd w:val="0"/>
        <w:snapToGrid/>
        <w:spacing w:line="520" w:lineRule="exact"/>
        <w:ind w:firstLine="592" w:firstLineChars="200"/>
        <w:jc w:val="left"/>
        <w:textAlignment w:val="auto"/>
        <w:rPr>
          <w:rFonts w:hint="eastAsia" w:ascii="仿宋" w:hAnsi="仿宋" w:eastAsia="仿宋" w:cs="仿宋"/>
          <w:i w:val="0"/>
          <w:iCs w:val="0"/>
          <w:color w:val="auto"/>
          <w:spacing w:val="8"/>
          <w:kern w:val="0"/>
          <w:sz w:val="28"/>
          <w:szCs w:val="28"/>
          <w:highlight w:val="none"/>
          <w:lang w:val="en-US" w:eastAsia="zh-CN"/>
        </w:rPr>
      </w:pPr>
      <w:r>
        <w:rPr>
          <w:rFonts w:hint="eastAsia" w:ascii="仿宋" w:hAnsi="仿宋" w:eastAsia="仿宋" w:cs="仿宋"/>
          <w:i w:val="0"/>
          <w:iCs w:val="0"/>
          <w:color w:val="auto"/>
          <w:spacing w:val="8"/>
          <w:kern w:val="0"/>
          <w:sz w:val="28"/>
          <w:szCs w:val="28"/>
          <w:highlight w:val="none"/>
          <w:lang w:val="en-US" w:eastAsia="zh-CN"/>
        </w:rPr>
        <w:t>2、具有良好的商业信誉和健全的财务会计制度；</w:t>
      </w:r>
    </w:p>
    <w:p w14:paraId="7FEC272A">
      <w:pPr>
        <w:keepNext w:val="0"/>
        <w:keepLines w:val="0"/>
        <w:pageBreakBefore w:val="0"/>
        <w:widowControl w:val="0"/>
        <w:kinsoku/>
        <w:wordWrap w:val="0"/>
        <w:overflowPunct/>
        <w:topLinePunct/>
        <w:autoSpaceDE/>
        <w:autoSpaceDN/>
        <w:bidi w:val="0"/>
        <w:adjustRightInd w:val="0"/>
        <w:snapToGrid/>
        <w:spacing w:line="520" w:lineRule="exact"/>
        <w:ind w:firstLine="592" w:firstLineChars="200"/>
        <w:jc w:val="left"/>
        <w:textAlignment w:val="auto"/>
        <w:rPr>
          <w:rFonts w:hint="eastAsia" w:ascii="仿宋" w:hAnsi="仿宋" w:eastAsia="仿宋" w:cs="仿宋"/>
          <w:i w:val="0"/>
          <w:iCs w:val="0"/>
          <w:color w:val="auto"/>
          <w:spacing w:val="8"/>
          <w:kern w:val="0"/>
          <w:sz w:val="28"/>
          <w:szCs w:val="28"/>
          <w:highlight w:val="none"/>
          <w:lang w:val="en-US" w:eastAsia="zh-CN"/>
        </w:rPr>
      </w:pPr>
      <w:r>
        <w:rPr>
          <w:rFonts w:hint="eastAsia" w:ascii="仿宋" w:hAnsi="仿宋" w:eastAsia="仿宋" w:cs="仿宋"/>
          <w:i w:val="0"/>
          <w:iCs w:val="0"/>
          <w:color w:val="auto"/>
          <w:spacing w:val="8"/>
          <w:kern w:val="0"/>
          <w:sz w:val="28"/>
          <w:szCs w:val="28"/>
          <w:highlight w:val="none"/>
          <w:lang w:val="en-US" w:eastAsia="zh-CN"/>
        </w:rPr>
        <w:t>3、具有依法缴纳税收和社会保障资金的良好记录；</w:t>
      </w:r>
    </w:p>
    <w:p w14:paraId="3176C230">
      <w:pPr>
        <w:keepNext w:val="0"/>
        <w:keepLines w:val="0"/>
        <w:pageBreakBefore w:val="0"/>
        <w:widowControl w:val="0"/>
        <w:kinsoku/>
        <w:wordWrap w:val="0"/>
        <w:overflowPunct/>
        <w:topLinePunct/>
        <w:autoSpaceDE/>
        <w:autoSpaceDN/>
        <w:bidi w:val="0"/>
        <w:adjustRightInd w:val="0"/>
        <w:snapToGrid/>
        <w:spacing w:line="520" w:lineRule="exact"/>
        <w:ind w:firstLine="592" w:firstLineChars="200"/>
        <w:jc w:val="left"/>
        <w:textAlignment w:val="auto"/>
        <w:rPr>
          <w:rFonts w:hint="eastAsia" w:ascii="仿宋" w:hAnsi="仿宋" w:eastAsia="仿宋" w:cs="仿宋"/>
          <w:i w:val="0"/>
          <w:iCs w:val="0"/>
          <w:color w:val="auto"/>
          <w:spacing w:val="8"/>
          <w:kern w:val="0"/>
          <w:sz w:val="28"/>
          <w:szCs w:val="28"/>
          <w:highlight w:val="none"/>
          <w:lang w:val="en-US" w:eastAsia="zh-CN"/>
        </w:rPr>
      </w:pPr>
      <w:r>
        <w:rPr>
          <w:rFonts w:hint="eastAsia" w:ascii="仿宋" w:hAnsi="仿宋" w:eastAsia="仿宋" w:cs="仿宋"/>
          <w:i w:val="0"/>
          <w:iCs w:val="0"/>
          <w:color w:val="auto"/>
          <w:spacing w:val="8"/>
          <w:kern w:val="0"/>
          <w:sz w:val="28"/>
          <w:szCs w:val="28"/>
          <w:highlight w:val="none"/>
          <w:lang w:val="en-US" w:eastAsia="zh-CN"/>
        </w:rPr>
        <w:t>4、具有履行合同所必需的设备和人员，并能提供优质的服务；</w:t>
      </w:r>
    </w:p>
    <w:p w14:paraId="26265C56">
      <w:pPr>
        <w:keepNext w:val="0"/>
        <w:keepLines w:val="0"/>
        <w:pageBreakBefore w:val="0"/>
        <w:widowControl w:val="0"/>
        <w:kinsoku/>
        <w:wordWrap w:val="0"/>
        <w:overflowPunct/>
        <w:topLinePunct/>
        <w:autoSpaceDE/>
        <w:autoSpaceDN/>
        <w:bidi w:val="0"/>
        <w:adjustRightInd w:val="0"/>
        <w:snapToGrid/>
        <w:spacing w:line="520" w:lineRule="exact"/>
        <w:ind w:firstLine="592" w:firstLineChars="200"/>
        <w:jc w:val="left"/>
        <w:textAlignment w:val="auto"/>
        <w:rPr>
          <w:rFonts w:hint="eastAsia" w:ascii="仿宋" w:hAnsi="仿宋" w:eastAsia="仿宋" w:cs="仿宋"/>
          <w:i w:val="0"/>
          <w:iCs w:val="0"/>
          <w:color w:val="auto"/>
          <w:spacing w:val="8"/>
          <w:kern w:val="0"/>
          <w:sz w:val="28"/>
          <w:szCs w:val="28"/>
          <w:highlight w:val="none"/>
          <w:lang w:val="en-US" w:eastAsia="zh-CN"/>
        </w:rPr>
      </w:pPr>
      <w:r>
        <w:rPr>
          <w:rFonts w:hint="eastAsia" w:ascii="仿宋" w:hAnsi="仿宋" w:eastAsia="仿宋" w:cs="仿宋"/>
          <w:i w:val="0"/>
          <w:iCs w:val="0"/>
          <w:color w:val="auto"/>
          <w:spacing w:val="8"/>
          <w:kern w:val="0"/>
          <w:sz w:val="28"/>
          <w:szCs w:val="28"/>
          <w:highlight w:val="none"/>
          <w:lang w:val="en-US" w:eastAsia="zh-CN"/>
        </w:rPr>
        <w:t>5、参加本次采购活动前三年内，在经营活动中没有重大违法记录；</w:t>
      </w:r>
    </w:p>
    <w:p w14:paraId="7DAA48C6">
      <w:pPr>
        <w:keepNext w:val="0"/>
        <w:keepLines w:val="0"/>
        <w:pageBreakBefore w:val="0"/>
        <w:widowControl w:val="0"/>
        <w:kinsoku/>
        <w:wordWrap w:val="0"/>
        <w:overflowPunct/>
        <w:topLinePunct/>
        <w:autoSpaceDE/>
        <w:autoSpaceDN/>
        <w:bidi w:val="0"/>
        <w:adjustRightInd w:val="0"/>
        <w:snapToGrid/>
        <w:spacing w:line="520" w:lineRule="exact"/>
        <w:ind w:firstLine="592" w:firstLineChars="200"/>
        <w:jc w:val="left"/>
        <w:textAlignment w:val="auto"/>
        <w:rPr>
          <w:rFonts w:hint="eastAsia" w:ascii="仿宋" w:hAnsi="仿宋" w:eastAsia="仿宋" w:cs="仿宋"/>
          <w:i w:val="0"/>
          <w:iCs w:val="0"/>
          <w:color w:val="auto"/>
          <w:spacing w:val="8"/>
          <w:kern w:val="0"/>
          <w:sz w:val="28"/>
          <w:szCs w:val="28"/>
          <w:highlight w:val="none"/>
          <w:lang w:val="en-US" w:eastAsia="zh-CN"/>
        </w:rPr>
      </w:pPr>
      <w:r>
        <w:rPr>
          <w:rFonts w:hint="eastAsia" w:ascii="仿宋" w:hAnsi="仿宋" w:eastAsia="仿宋" w:cs="仿宋"/>
          <w:i w:val="0"/>
          <w:iCs w:val="0"/>
          <w:color w:val="auto"/>
          <w:spacing w:val="8"/>
          <w:kern w:val="0"/>
          <w:sz w:val="28"/>
          <w:szCs w:val="28"/>
          <w:highlight w:val="none"/>
          <w:lang w:val="en-US" w:eastAsia="zh-CN"/>
        </w:rPr>
        <w:t>6、投标人、法定代表人、委托代理人未被最高法院列入失信被执行人；</w:t>
      </w:r>
    </w:p>
    <w:p w14:paraId="51432E8E">
      <w:pPr>
        <w:keepNext w:val="0"/>
        <w:keepLines w:val="0"/>
        <w:pageBreakBefore w:val="0"/>
        <w:widowControl w:val="0"/>
        <w:kinsoku/>
        <w:wordWrap w:val="0"/>
        <w:overflowPunct/>
        <w:topLinePunct/>
        <w:autoSpaceDE/>
        <w:autoSpaceDN/>
        <w:bidi w:val="0"/>
        <w:adjustRightInd w:val="0"/>
        <w:snapToGrid/>
        <w:spacing w:line="520" w:lineRule="exact"/>
        <w:ind w:firstLine="592" w:firstLineChars="200"/>
        <w:jc w:val="left"/>
        <w:textAlignment w:val="auto"/>
        <w:rPr>
          <w:rFonts w:hint="eastAsia" w:ascii="仿宋" w:hAnsi="仿宋" w:eastAsia="仿宋" w:cs="仿宋"/>
          <w:i w:val="0"/>
          <w:iCs w:val="0"/>
          <w:color w:val="auto"/>
          <w:spacing w:val="8"/>
          <w:kern w:val="0"/>
          <w:sz w:val="28"/>
          <w:szCs w:val="28"/>
          <w:highlight w:val="none"/>
          <w:lang w:val="en-US" w:eastAsia="zh-CN"/>
        </w:rPr>
      </w:pPr>
      <w:r>
        <w:rPr>
          <w:rFonts w:hint="eastAsia" w:ascii="仿宋" w:hAnsi="仿宋" w:eastAsia="仿宋" w:cs="仿宋"/>
          <w:i w:val="0"/>
          <w:iCs w:val="0"/>
          <w:color w:val="auto"/>
          <w:spacing w:val="8"/>
          <w:kern w:val="0"/>
          <w:sz w:val="28"/>
          <w:szCs w:val="28"/>
          <w:highlight w:val="none"/>
          <w:lang w:val="en-US" w:eastAsia="zh-CN"/>
        </w:rPr>
        <w:t>7、近一年在“信用中国”或“信用中国（山东）”无严重失信记录；</w:t>
      </w:r>
    </w:p>
    <w:p w14:paraId="0AFAFAAF">
      <w:pPr>
        <w:keepNext w:val="0"/>
        <w:keepLines w:val="0"/>
        <w:pageBreakBefore w:val="0"/>
        <w:widowControl w:val="0"/>
        <w:kinsoku/>
        <w:wordWrap w:val="0"/>
        <w:overflowPunct/>
        <w:topLinePunct/>
        <w:autoSpaceDE/>
        <w:autoSpaceDN/>
        <w:bidi w:val="0"/>
        <w:adjustRightInd w:val="0"/>
        <w:snapToGrid/>
        <w:spacing w:line="520" w:lineRule="exact"/>
        <w:ind w:firstLine="592" w:firstLineChars="200"/>
        <w:jc w:val="left"/>
        <w:textAlignment w:val="auto"/>
        <w:rPr>
          <w:rFonts w:hint="eastAsia" w:ascii="仿宋" w:hAnsi="仿宋" w:eastAsia="仿宋" w:cs="仿宋"/>
          <w:i w:val="0"/>
          <w:iCs w:val="0"/>
          <w:color w:val="auto"/>
          <w:spacing w:val="8"/>
          <w:kern w:val="0"/>
          <w:sz w:val="28"/>
          <w:szCs w:val="28"/>
          <w:highlight w:val="none"/>
          <w:lang w:val="en-US" w:eastAsia="zh-CN"/>
        </w:rPr>
      </w:pPr>
      <w:r>
        <w:rPr>
          <w:rFonts w:hint="eastAsia" w:ascii="仿宋" w:hAnsi="仿宋" w:eastAsia="仿宋" w:cs="仿宋"/>
          <w:i w:val="0"/>
          <w:iCs w:val="0"/>
          <w:color w:val="auto"/>
          <w:spacing w:val="8"/>
          <w:kern w:val="0"/>
          <w:sz w:val="28"/>
          <w:szCs w:val="28"/>
          <w:highlight w:val="none"/>
          <w:lang w:val="en-US" w:eastAsia="zh-CN"/>
        </w:rPr>
        <w:t>8、法律、行政法规及招标文件规定的其他要求；</w:t>
      </w:r>
    </w:p>
    <w:p w14:paraId="27EC6BB7">
      <w:pPr>
        <w:keepNext w:val="0"/>
        <w:keepLines w:val="0"/>
        <w:pageBreakBefore w:val="0"/>
        <w:widowControl w:val="0"/>
        <w:kinsoku/>
        <w:wordWrap w:val="0"/>
        <w:overflowPunct/>
        <w:topLinePunct/>
        <w:autoSpaceDE/>
        <w:autoSpaceDN/>
        <w:bidi w:val="0"/>
        <w:adjustRightInd w:val="0"/>
        <w:snapToGrid/>
        <w:spacing w:line="520" w:lineRule="exact"/>
        <w:ind w:firstLine="592" w:firstLineChars="200"/>
        <w:jc w:val="left"/>
        <w:textAlignment w:val="auto"/>
        <w:rPr>
          <w:rFonts w:hint="eastAsia" w:ascii="仿宋" w:hAnsi="仿宋" w:eastAsia="仿宋" w:cs="仿宋"/>
          <w:i w:val="0"/>
          <w:iCs w:val="0"/>
          <w:color w:val="auto"/>
          <w:spacing w:val="8"/>
          <w:kern w:val="0"/>
          <w:sz w:val="28"/>
          <w:szCs w:val="28"/>
          <w:highlight w:val="none"/>
          <w:lang w:val="en-US" w:eastAsia="zh-CN"/>
        </w:rPr>
      </w:pPr>
      <w:r>
        <w:rPr>
          <w:rFonts w:hint="eastAsia" w:ascii="仿宋" w:hAnsi="仿宋" w:eastAsia="仿宋" w:cs="仿宋"/>
          <w:i w:val="0"/>
          <w:iCs w:val="0"/>
          <w:color w:val="auto"/>
          <w:spacing w:val="8"/>
          <w:kern w:val="0"/>
          <w:sz w:val="28"/>
          <w:szCs w:val="28"/>
          <w:highlight w:val="none"/>
          <w:lang w:val="en-US" w:eastAsia="zh-CN"/>
        </w:rPr>
        <w:t>9、本次招标不接受联合体投标。</w:t>
      </w:r>
    </w:p>
    <w:p w14:paraId="564CD7F7">
      <w:pPr>
        <w:keepNext w:val="0"/>
        <w:keepLines w:val="0"/>
        <w:pageBreakBefore w:val="0"/>
        <w:widowControl w:val="0"/>
        <w:kinsoku/>
        <w:wordWrap w:val="0"/>
        <w:overflowPunct/>
        <w:topLinePunct/>
        <w:autoSpaceDE/>
        <w:autoSpaceDN/>
        <w:bidi w:val="0"/>
        <w:snapToGrid/>
        <w:spacing w:line="520" w:lineRule="exact"/>
        <w:ind w:firstLine="562" w:firstLineChars="200"/>
        <w:jc w:val="left"/>
        <w:textAlignment w:val="auto"/>
        <w:outlineLvl w:val="1"/>
        <w:rPr>
          <w:rFonts w:hint="eastAsia" w:ascii="仿宋" w:hAnsi="仿宋" w:eastAsia="仿宋" w:cs="仿宋"/>
          <w:b/>
          <w:bCs/>
          <w:color w:val="auto"/>
          <w:sz w:val="28"/>
          <w:szCs w:val="28"/>
          <w:highlight w:val="none"/>
          <w:lang w:val="en-US" w:eastAsia="zh-CN"/>
        </w:rPr>
      </w:pPr>
      <w:bookmarkStart w:id="3" w:name="_Toc17309"/>
      <w:r>
        <w:rPr>
          <w:rFonts w:hint="eastAsia" w:ascii="仿宋" w:hAnsi="仿宋" w:eastAsia="仿宋" w:cs="仿宋"/>
          <w:b/>
          <w:bCs/>
          <w:color w:val="auto"/>
          <w:sz w:val="28"/>
          <w:szCs w:val="28"/>
          <w:highlight w:val="none"/>
          <w:lang w:val="en-US" w:eastAsia="zh-CN"/>
        </w:rPr>
        <w:t>四、招标文件的获取</w:t>
      </w:r>
    </w:p>
    <w:p w14:paraId="4EDF0F4D">
      <w:pPr>
        <w:keepNext w:val="0"/>
        <w:keepLines w:val="0"/>
        <w:pageBreakBefore w:val="0"/>
        <w:widowControl w:val="0"/>
        <w:kinsoku/>
        <w:wordWrap w:val="0"/>
        <w:overflowPunct/>
        <w:topLinePunct/>
        <w:autoSpaceDE/>
        <w:autoSpaceDN/>
        <w:bidi w:val="0"/>
        <w:snapToGrid/>
        <w:spacing w:line="520" w:lineRule="exact"/>
        <w:ind w:firstLine="560" w:firstLineChars="200"/>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获取时间：从202</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lang w:val="en-US" w:eastAsia="zh-CN"/>
        </w:rPr>
        <w:t>07</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lang w:val="en-US" w:eastAsia="zh-CN"/>
        </w:rPr>
        <w:t>10</w:t>
      </w:r>
      <w:r>
        <w:rPr>
          <w:rFonts w:hint="eastAsia" w:ascii="仿宋" w:hAnsi="仿宋" w:eastAsia="仿宋" w:cs="仿宋"/>
          <w:color w:val="auto"/>
          <w:sz w:val="28"/>
          <w:szCs w:val="28"/>
          <w:highlight w:val="none"/>
        </w:rPr>
        <w:t>日17时30分到202</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lang w:val="en-US" w:eastAsia="zh-CN"/>
        </w:rPr>
        <w:t>07</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lang w:val="en-US" w:eastAsia="zh-CN"/>
        </w:rPr>
        <w:t>17</w:t>
      </w:r>
      <w:r>
        <w:rPr>
          <w:rFonts w:hint="eastAsia" w:ascii="仿宋" w:hAnsi="仿宋" w:eastAsia="仿宋" w:cs="仿宋"/>
          <w:color w:val="auto"/>
          <w:sz w:val="28"/>
          <w:szCs w:val="28"/>
          <w:highlight w:val="none"/>
        </w:rPr>
        <w:t>日17时30分</w:t>
      </w:r>
      <w:r>
        <w:rPr>
          <w:rFonts w:hint="eastAsia" w:ascii="仿宋" w:hAnsi="仿宋" w:eastAsia="仿宋" w:cs="仿宋"/>
          <w:spacing w:val="8"/>
          <w:kern w:val="0"/>
          <w:sz w:val="28"/>
          <w:szCs w:val="28"/>
        </w:rPr>
        <w:t>（北京时间）</w:t>
      </w:r>
      <w:r>
        <w:rPr>
          <w:rFonts w:hint="eastAsia" w:ascii="仿宋" w:hAnsi="仿宋" w:eastAsia="仿宋" w:cs="仿宋"/>
          <w:spacing w:val="8"/>
          <w:kern w:val="0"/>
          <w:sz w:val="28"/>
          <w:szCs w:val="28"/>
          <w:lang w:eastAsia="zh-CN"/>
        </w:rPr>
        <w:t>。</w:t>
      </w:r>
    </w:p>
    <w:p w14:paraId="41801446">
      <w:pPr>
        <w:keepNext w:val="0"/>
        <w:keepLines w:val="0"/>
        <w:pageBreakBefore w:val="0"/>
        <w:widowControl w:val="0"/>
        <w:kinsoku/>
        <w:wordWrap w:val="0"/>
        <w:overflowPunct/>
        <w:topLinePunct/>
        <w:autoSpaceDE/>
        <w:autoSpaceDN/>
        <w:bidi w:val="0"/>
        <w:snapToGrid/>
        <w:spacing w:line="52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获取方式：登录“威海市公共资源交易网”首页右侧“交易服务一网通办系统</w:t>
      </w:r>
      <w:r>
        <w:rPr>
          <w:rFonts w:hint="eastAsia" w:ascii="仿宋" w:hAnsi="仿宋" w:eastAsia="仿宋" w:cs="仿宋"/>
          <w:spacing w:val="8"/>
          <w:kern w:val="0"/>
          <w:sz w:val="28"/>
          <w:szCs w:val="28"/>
        </w:rPr>
        <w:t>-（新版）一网通办系统</w:t>
      </w:r>
      <w:r>
        <w:rPr>
          <w:rFonts w:hint="eastAsia" w:ascii="仿宋" w:hAnsi="仿宋" w:eastAsia="仿宋" w:cs="仿宋"/>
          <w:color w:val="auto"/>
          <w:sz w:val="28"/>
          <w:szCs w:val="28"/>
          <w:highlight w:val="none"/>
        </w:rPr>
        <w:t>”进行“平台切换”点击“国企采购”进入国企阳光采购平台获取文件(网址：http://ggzyjy</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weihai</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cn/)。逾期无法从威海市国有企业阳光采购服务平台中获取文件，未在规定时间内从系统中获取招标文件的报价单位将无法提交电子投标（响应）文件。交易服务一网通办系统技术支持电话：4009980000（受理问题：系统登录、CA锁绑定、平台切换），一网通办技术支持QQ群：1143439694；CA锁办理咨询电话：0631-5172975；国企采购技术支持电话：17863029936，国企采购技术支持QQ群（报价单位）：1046971257。</w:t>
      </w:r>
    </w:p>
    <w:p w14:paraId="681599E0">
      <w:pPr>
        <w:keepNext w:val="0"/>
        <w:keepLines w:val="0"/>
        <w:pageBreakBefore w:val="0"/>
        <w:widowControl w:val="0"/>
        <w:kinsoku/>
        <w:wordWrap w:val="0"/>
        <w:overflowPunct/>
        <w:topLinePunct/>
        <w:autoSpaceDE/>
        <w:autoSpaceDN/>
        <w:bidi w:val="0"/>
        <w:snapToGrid/>
        <w:spacing w:line="52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注：未注册用户请先免费注册。在“威海市国有企业阳光采购电子化服务平台”（威海市公共资源交易网右侧“交易服务一网通办系统”按钮）登录端口注册登记，并办理“安全证书（CA）”和“电子签章”进行获取文件。“安全证书（CA）”和“电子签章”办理请按照“威海市公共资源交易网”右侧“CA办理”中“CA证书办理介绍”进行办理。</w:t>
      </w:r>
    </w:p>
    <w:bookmarkEnd w:id="3"/>
    <w:p w14:paraId="7A1C2F88">
      <w:pPr>
        <w:keepNext w:val="0"/>
        <w:keepLines w:val="0"/>
        <w:pageBreakBefore w:val="0"/>
        <w:widowControl w:val="0"/>
        <w:kinsoku/>
        <w:wordWrap w:val="0"/>
        <w:overflowPunct/>
        <w:topLinePunct/>
        <w:autoSpaceDE/>
        <w:autoSpaceDN/>
        <w:bidi w:val="0"/>
        <w:snapToGrid/>
        <w:spacing w:line="520" w:lineRule="exact"/>
        <w:ind w:firstLine="562" w:firstLineChars="200"/>
        <w:jc w:val="left"/>
        <w:textAlignment w:val="auto"/>
        <w:outlineLvl w:val="1"/>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五、投标文件的提交</w:t>
      </w:r>
    </w:p>
    <w:p w14:paraId="577BFC27">
      <w:pPr>
        <w:keepNext w:val="0"/>
        <w:keepLines w:val="0"/>
        <w:pageBreakBefore w:val="0"/>
        <w:widowControl w:val="0"/>
        <w:kinsoku/>
        <w:wordWrap w:val="0"/>
        <w:overflowPunct/>
        <w:topLinePunct/>
        <w:autoSpaceDE/>
        <w:autoSpaceDN/>
        <w:bidi w:val="0"/>
        <w:snapToGrid/>
        <w:spacing w:line="52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递交截止时间:202</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lang w:val="en-US" w:eastAsia="zh-CN"/>
        </w:rPr>
        <w:t>07</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lang w:val="en-US" w:eastAsia="zh-CN"/>
        </w:rPr>
        <w:t>21</w:t>
      </w:r>
      <w:r>
        <w:rPr>
          <w:rFonts w:hint="eastAsia" w:ascii="仿宋" w:hAnsi="仿宋" w:eastAsia="仿宋" w:cs="仿宋"/>
          <w:color w:val="auto"/>
          <w:sz w:val="28"/>
          <w:szCs w:val="28"/>
          <w:highlight w:val="none"/>
        </w:rPr>
        <w:t>日</w:t>
      </w:r>
      <w:r>
        <w:rPr>
          <w:rFonts w:hint="eastAsia" w:ascii="仿宋" w:hAnsi="仿宋" w:eastAsia="仿宋" w:cs="仿宋"/>
          <w:color w:val="auto"/>
          <w:sz w:val="28"/>
          <w:szCs w:val="28"/>
          <w:highlight w:val="none"/>
          <w:lang w:val="en-US" w:eastAsia="zh-CN"/>
        </w:rPr>
        <w:t>09</w:t>
      </w:r>
      <w:r>
        <w:rPr>
          <w:rFonts w:hint="eastAsia" w:ascii="仿宋" w:hAnsi="仿宋" w:eastAsia="仿宋" w:cs="仿宋"/>
          <w:color w:val="auto"/>
          <w:sz w:val="28"/>
          <w:szCs w:val="28"/>
          <w:highlight w:val="none"/>
        </w:rPr>
        <w:t>时00分</w:t>
      </w:r>
    </w:p>
    <w:p w14:paraId="5EB68590">
      <w:pPr>
        <w:keepNext w:val="0"/>
        <w:keepLines w:val="0"/>
        <w:pageBreakBefore w:val="0"/>
        <w:widowControl w:val="0"/>
        <w:kinsoku/>
        <w:wordWrap w:val="0"/>
        <w:overflowPunct/>
        <w:topLinePunct/>
        <w:autoSpaceDE/>
        <w:autoSpaceDN/>
        <w:bidi w:val="0"/>
        <w:snapToGrid/>
        <w:spacing w:line="52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提交方式：登录“威海市公共资源交易网”首页右侧“交易服务一网通办系统-（新版）一网通办系统”进行“平台切换”点击“国企采购”进入国企阳光采购平台进行提交。报价单位对网上提交的响应文件应加密，在开标会上使用数字证书（CA）进行解密（可远程在线参与开标解密），才能读取或导入响应文件。</w:t>
      </w:r>
    </w:p>
    <w:p w14:paraId="6CC41773">
      <w:pPr>
        <w:keepNext w:val="0"/>
        <w:keepLines w:val="0"/>
        <w:pageBreakBefore w:val="0"/>
        <w:widowControl w:val="0"/>
        <w:kinsoku/>
        <w:wordWrap w:val="0"/>
        <w:overflowPunct/>
        <w:topLinePunct/>
        <w:autoSpaceDE/>
        <w:autoSpaceDN/>
        <w:bidi w:val="0"/>
        <w:snapToGrid/>
        <w:spacing w:line="520" w:lineRule="exact"/>
        <w:ind w:firstLine="562" w:firstLineChars="200"/>
        <w:jc w:val="left"/>
        <w:textAlignment w:val="auto"/>
        <w:outlineLvl w:val="1"/>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六、开标时间及地点</w:t>
      </w:r>
    </w:p>
    <w:p w14:paraId="018557AF">
      <w:pPr>
        <w:keepNext w:val="0"/>
        <w:keepLines w:val="0"/>
        <w:pageBreakBefore w:val="0"/>
        <w:widowControl w:val="0"/>
        <w:kinsoku/>
        <w:wordWrap w:val="0"/>
        <w:overflowPunct/>
        <w:topLinePunct/>
        <w:autoSpaceDE/>
        <w:autoSpaceDN/>
        <w:bidi w:val="0"/>
        <w:snapToGrid/>
        <w:spacing w:line="52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开标时间：202</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lang w:val="en-US" w:eastAsia="zh-CN"/>
        </w:rPr>
        <w:t>07</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lang w:val="en-US" w:eastAsia="zh-CN"/>
        </w:rPr>
        <w:t>21</w:t>
      </w:r>
      <w:r>
        <w:rPr>
          <w:rFonts w:hint="eastAsia" w:ascii="仿宋" w:hAnsi="仿宋" w:eastAsia="仿宋" w:cs="仿宋"/>
          <w:color w:val="auto"/>
          <w:sz w:val="28"/>
          <w:szCs w:val="28"/>
          <w:highlight w:val="none"/>
        </w:rPr>
        <w:t>日</w:t>
      </w:r>
      <w:r>
        <w:rPr>
          <w:rFonts w:hint="eastAsia" w:ascii="仿宋" w:hAnsi="仿宋" w:eastAsia="仿宋" w:cs="仿宋"/>
          <w:color w:val="auto"/>
          <w:sz w:val="28"/>
          <w:szCs w:val="28"/>
          <w:highlight w:val="none"/>
          <w:lang w:val="en-US" w:eastAsia="zh-CN"/>
        </w:rPr>
        <w:t>09</w:t>
      </w:r>
      <w:r>
        <w:rPr>
          <w:rFonts w:hint="eastAsia" w:ascii="仿宋" w:hAnsi="仿宋" w:eastAsia="仿宋" w:cs="仿宋"/>
          <w:color w:val="auto"/>
          <w:sz w:val="28"/>
          <w:szCs w:val="28"/>
          <w:highlight w:val="none"/>
        </w:rPr>
        <w:t>时00分</w:t>
      </w:r>
    </w:p>
    <w:p w14:paraId="10F791A9">
      <w:pPr>
        <w:keepNext w:val="0"/>
        <w:keepLines w:val="0"/>
        <w:pageBreakBefore w:val="0"/>
        <w:widowControl w:val="0"/>
        <w:kinsoku/>
        <w:wordWrap w:val="0"/>
        <w:overflowPunct/>
        <w:topLinePunct/>
        <w:autoSpaceDE/>
        <w:autoSpaceDN/>
        <w:bidi w:val="0"/>
        <w:snapToGrid/>
        <w:spacing w:line="52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开标地点：威海市公共资源交易中心交易</w:t>
      </w:r>
      <w:r>
        <w:rPr>
          <w:rFonts w:hint="eastAsia" w:ascii="仿宋" w:hAnsi="仿宋" w:eastAsia="仿宋" w:cs="仿宋"/>
          <w:color w:val="auto"/>
          <w:sz w:val="28"/>
          <w:szCs w:val="28"/>
          <w:highlight w:val="none"/>
          <w:lang w:val="en-US" w:eastAsia="zh-CN"/>
        </w:rPr>
        <w:t>六</w:t>
      </w:r>
      <w:r>
        <w:rPr>
          <w:rFonts w:hint="eastAsia" w:ascii="仿宋" w:hAnsi="仿宋" w:eastAsia="仿宋" w:cs="仿宋"/>
          <w:color w:val="auto"/>
          <w:sz w:val="28"/>
          <w:szCs w:val="28"/>
          <w:highlight w:val="none"/>
        </w:rPr>
        <w:t>厅（威海市环翠区塔山中路317号）。</w:t>
      </w:r>
    </w:p>
    <w:p w14:paraId="635BF8E6">
      <w:pPr>
        <w:keepNext w:val="0"/>
        <w:keepLines w:val="0"/>
        <w:pageBreakBefore w:val="0"/>
        <w:widowControl w:val="0"/>
        <w:kinsoku/>
        <w:wordWrap w:val="0"/>
        <w:overflowPunct/>
        <w:topLinePunct/>
        <w:autoSpaceDE/>
        <w:autoSpaceDN/>
        <w:bidi w:val="0"/>
        <w:snapToGrid/>
        <w:spacing w:line="520" w:lineRule="exact"/>
        <w:ind w:firstLine="562" w:firstLineChars="200"/>
        <w:jc w:val="left"/>
        <w:textAlignment w:val="auto"/>
        <w:outlineLvl w:val="1"/>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七、发布公告的媒介</w:t>
      </w:r>
    </w:p>
    <w:p w14:paraId="45F0257D">
      <w:pPr>
        <w:keepNext w:val="0"/>
        <w:keepLines w:val="0"/>
        <w:pageBreakBefore w:val="0"/>
        <w:widowControl w:val="0"/>
        <w:kinsoku/>
        <w:wordWrap w:val="0"/>
        <w:overflowPunct/>
        <w:topLinePunct/>
        <w:autoSpaceDE/>
        <w:autoSpaceDN/>
        <w:bidi w:val="0"/>
        <w:adjustRightInd/>
        <w:snapToGrid/>
        <w:spacing w:line="52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本次公告在威海市公共资源交易网（http://ggzyjy.weihai.cn/）</w:t>
      </w:r>
      <w:r>
        <w:rPr>
          <w:rFonts w:hint="eastAsia" w:ascii="仿宋_GB2312" w:hAnsi="微软雅黑" w:eastAsia="仿宋_GB2312" w:cs="宋体"/>
          <w:spacing w:val="8"/>
          <w:kern w:val="0"/>
          <w:sz w:val="28"/>
          <w:szCs w:val="28"/>
          <w:lang w:eastAsia="zh-CN"/>
        </w:rPr>
        <w:t>、</w:t>
      </w:r>
      <w:r>
        <w:rPr>
          <w:rFonts w:hint="eastAsia" w:ascii="仿宋" w:hAnsi="仿宋" w:eastAsia="仿宋" w:cs="仿宋"/>
          <w:color w:val="auto"/>
          <w:sz w:val="28"/>
          <w:szCs w:val="28"/>
          <w:highlight w:val="none"/>
          <w:lang w:val="en-US" w:eastAsia="zh-CN"/>
        </w:rPr>
        <w:t>中国招标投标公共服务平台（www.cebpubservice.com）发布。</w:t>
      </w:r>
    </w:p>
    <w:p w14:paraId="0AFFEB39">
      <w:pPr>
        <w:keepNext w:val="0"/>
        <w:keepLines w:val="0"/>
        <w:pageBreakBefore w:val="0"/>
        <w:widowControl w:val="0"/>
        <w:kinsoku/>
        <w:wordWrap w:val="0"/>
        <w:overflowPunct/>
        <w:topLinePunct/>
        <w:autoSpaceDE/>
        <w:autoSpaceDN/>
        <w:bidi w:val="0"/>
        <w:snapToGrid/>
        <w:spacing w:line="520" w:lineRule="exact"/>
        <w:ind w:firstLine="562" w:firstLineChars="200"/>
        <w:jc w:val="left"/>
        <w:textAlignment w:val="auto"/>
        <w:outlineLvl w:val="1"/>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八、其它补充事宜</w:t>
      </w:r>
    </w:p>
    <w:p w14:paraId="2F5FE943">
      <w:pPr>
        <w:keepNext w:val="0"/>
        <w:keepLines w:val="0"/>
        <w:pageBreakBefore w:val="0"/>
        <w:widowControl w:val="0"/>
        <w:kinsoku/>
        <w:wordWrap w:val="0"/>
        <w:overflowPunct/>
        <w:topLinePunct/>
        <w:autoSpaceDE/>
        <w:autoSpaceDN/>
        <w:bidi w:val="0"/>
        <w:snapToGrid/>
        <w:spacing w:line="52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本项目实行全流程电子化，提交投标文件截止时间前，随时关注威海市公共资源交易网（变更公告栏）内变更提醒。</w:t>
      </w:r>
    </w:p>
    <w:p w14:paraId="63000FE5">
      <w:pPr>
        <w:keepNext w:val="0"/>
        <w:keepLines w:val="0"/>
        <w:pageBreakBefore w:val="0"/>
        <w:widowControl w:val="0"/>
        <w:kinsoku/>
        <w:wordWrap w:val="0"/>
        <w:overflowPunct/>
        <w:topLinePunct/>
        <w:autoSpaceDE/>
        <w:autoSpaceDN/>
        <w:bidi w:val="0"/>
        <w:snapToGrid/>
        <w:spacing w:line="52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投标人自行准备电脑，提前在个人电脑上进行测试确保音频、视频功能、CA签章功能可正常使用。投标人不到现场参与开评标，但应保持通讯畅通，因通讯不畅造成的一切后果由投标人自行承担；投标人提前熟悉交易系统（国企采购报价单位操作手册网址：https://ggzyjy.weihai.cn/bszn/005005/20260109/eb4ba418-4b35-4f05-aa69-44fd7d8a7ffb.html），通过交易系统线上参加开标活动，不熟悉系统操作产生的风险由投标人承担。</w:t>
      </w:r>
    </w:p>
    <w:p w14:paraId="578CE359">
      <w:pPr>
        <w:keepNext w:val="0"/>
        <w:keepLines w:val="0"/>
        <w:pageBreakBefore w:val="0"/>
        <w:widowControl w:val="0"/>
        <w:kinsoku/>
        <w:wordWrap w:val="0"/>
        <w:overflowPunct/>
        <w:topLinePunct/>
        <w:autoSpaceDE/>
        <w:autoSpaceDN/>
        <w:bidi w:val="0"/>
        <w:snapToGrid/>
        <w:spacing w:line="520" w:lineRule="exact"/>
        <w:ind w:firstLine="562" w:firstLineChars="200"/>
        <w:jc w:val="left"/>
        <w:textAlignment w:val="auto"/>
        <w:outlineLvl w:val="1"/>
        <w:rPr>
          <w:rFonts w:hint="eastAsia" w:ascii="仿宋" w:hAnsi="仿宋" w:eastAsia="仿宋" w:cs="仿宋"/>
          <w:b/>
          <w:bCs/>
          <w:color w:val="auto"/>
          <w:sz w:val="28"/>
          <w:szCs w:val="28"/>
          <w:highlight w:val="none"/>
        </w:rPr>
      </w:pPr>
      <w:bookmarkStart w:id="4" w:name="_Toc23324"/>
      <w:r>
        <w:rPr>
          <w:rFonts w:hint="eastAsia" w:ascii="仿宋" w:hAnsi="仿宋" w:eastAsia="仿宋" w:cs="仿宋"/>
          <w:b/>
          <w:bCs/>
          <w:color w:val="auto"/>
          <w:sz w:val="28"/>
          <w:szCs w:val="28"/>
          <w:highlight w:val="none"/>
          <w:lang w:val="en-US" w:eastAsia="zh-CN"/>
        </w:rPr>
        <w:t>九</w:t>
      </w:r>
      <w:r>
        <w:rPr>
          <w:rFonts w:hint="eastAsia" w:ascii="仿宋" w:hAnsi="仿宋" w:eastAsia="仿宋" w:cs="仿宋"/>
          <w:b/>
          <w:bCs/>
          <w:color w:val="auto"/>
          <w:sz w:val="28"/>
          <w:szCs w:val="28"/>
          <w:highlight w:val="none"/>
        </w:rPr>
        <w:t>、</w:t>
      </w:r>
      <w:bookmarkEnd w:id="4"/>
      <w:r>
        <w:rPr>
          <w:rFonts w:hint="eastAsia" w:ascii="仿宋" w:hAnsi="仿宋" w:eastAsia="仿宋" w:cs="仿宋"/>
          <w:b/>
          <w:bCs/>
          <w:color w:val="auto"/>
          <w:sz w:val="28"/>
          <w:szCs w:val="28"/>
          <w:highlight w:val="none"/>
        </w:rPr>
        <w:t>联系方式</w:t>
      </w:r>
    </w:p>
    <w:p w14:paraId="63500075">
      <w:pPr>
        <w:keepNext w:val="0"/>
        <w:keepLines w:val="0"/>
        <w:pageBreakBefore w:val="0"/>
        <w:widowControl w:val="0"/>
        <w:kinsoku/>
        <w:wordWrap w:val="0"/>
        <w:overflowPunct/>
        <w:topLinePunct/>
        <w:autoSpaceDE/>
        <w:autoSpaceDN/>
        <w:bidi w:val="0"/>
        <w:snapToGrid/>
        <w:spacing w:line="520" w:lineRule="exact"/>
        <w:ind w:firstLine="560" w:firstLineChars="200"/>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招标人</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eastAsia="zh-CN"/>
        </w:rPr>
        <w:t>威海环晟文旅发展有限公司</w:t>
      </w:r>
    </w:p>
    <w:p w14:paraId="1F1FF6A7">
      <w:pPr>
        <w:keepNext w:val="0"/>
        <w:keepLines w:val="0"/>
        <w:pageBreakBefore w:val="0"/>
        <w:widowControl w:val="0"/>
        <w:kinsoku/>
        <w:wordWrap w:val="0"/>
        <w:overflowPunct/>
        <w:topLinePunct/>
        <w:autoSpaceDE/>
        <w:autoSpaceDN/>
        <w:bidi w:val="0"/>
        <w:snapToGrid/>
        <w:spacing w:line="520" w:lineRule="exact"/>
        <w:ind w:firstLine="560" w:firstLineChars="200"/>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地  址：</w:t>
      </w:r>
      <w:r>
        <w:rPr>
          <w:rFonts w:hint="eastAsia" w:ascii="仿宋" w:hAnsi="仿宋" w:eastAsia="仿宋" w:cs="仿宋"/>
          <w:color w:val="auto"/>
          <w:sz w:val="28"/>
          <w:szCs w:val="28"/>
          <w:highlight w:val="none"/>
          <w:lang w:eastAsia="zh-CN"/>
        </w:rPr>
        <w:t>威海市环翠区嵩山路106-2号2层3单元</w:t>
      </w:r>
    </w:p>
    <w:p w14:paraId="1F792B7A">
      <w:pPr>
        <w:keepNext w:val="0"/>
        <w:keepLines w:val="0"/>
        <w:pageBreakBefore w:val="0"/>
        <w:widowControl w:val="0"/>
        <w:kinsoku/>
        <w:wordWrap w:val="0"/>
        <w:overflowPunct/>
        <w:topLinePunct/>
        <w:autoSpaceDE/>
        <w:autoSpaceDN/>
        <w:bidi w:val="0"/>
        <w:snapToGrid/>
        <w:spacing w:line="520" w:lineRule="exact"/>
        <w:ind w:firstLine="560" w:firstLineChars="200"/>
        <w:jc w:val="left"/>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联系人：</w:t>
      </w:r>
      <w:r>
        <w:rPr>
          <w:rFonts w:hint="eastAsia" w:ascii="仿宋" w:hAnsi="仿宋" w:eastAsia="仿宋" w:cs="仿宋"/>
          <w:color w:val="auto"/>
          <w:sz w:val="28"/>
          <w:szCs w:val="28"/>
          <w:highlight w:val="none"/>
          <w:lang w:val="en-US" w:eastAsia="zh-CN"/>
        </w:rPr>
        <w:t>毕亚男</w:t>
      </w:r>
    </w:p>
    <w:p w14:paraId="7F076037">
      <w:pPr>
        <w:keepNext w:val="0"/>
        <w:keepLines w:val="0"/>
        <w:pageBreakBefore w:val="0"/>
        <w:widowControl w:val="0"/>
        <w:kinsoku/>
        <w:wordWrap w:val="0"/>
        <w:overflowPunct/>
        <w:topLinePunct/>
        <w:autoSpaceDE/>
        <w:autoSpaceDN/>
        <w:bidi w:val="0"/>
        <w:snapToGrid/>
        <w:spacing w:line="520" w:lineRule="exact"/>
        <w:ind w:firstLine="560" w:firstLineChars="200"/>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联系方式：0631-5813181</w:t>
      </w:r>
    </w:p>
    <w:p w14:paraId="11F19592">
      <w:pPr>
        <w:keepNext w:val="0"/>
        <w:keepLines w:val="0"/>
        <w:pageBreakBefore w:val="0"/>
        <w:widowControl w:val="0"/>
        <w:kinsoku/>
        <w:wordWrap w:val="0"/>
        <w:overflowPunct/>
        <w:topLinePunct/>
        <w:autoSpaceDE/>
        <w:autoSpaceDN/>
        <w:bidi w:val="0"/>
        <w:snapToGrid/>
        <w:spacing w:line="520" w:lineRule="exact"/>
        <w:ind w:firstLine="560" w:firstLineChars="200"/>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招标代理机构</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eastAsia="zh-CN"/>
        </w:rPr>
        <w:t>山东瀚泰建设管理有限公司</w:t>
      </w:r>
    </w:p>
    <w:p w14:paraId="52CC28BC">
      <w:pPr>
        <w:keepNext w:val="0"/>
        <w:keepLines w:val="0"/>
        <w:pageBreakBefore w:val="0"/>
        <w:widowControl w:val="0"/>
        <w:kinsoku/>
        <w:wordWrap w:val="0"/>
        <w:overflowPunct/>
        <w:topLinePunct/>
        <w:autoSpaceDE/>
        <w:autoSpaceDN/>
        <w:bidi w:val="0"/>
        <w:snapToGrid/>
        <w:spacing w:line="52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地  址：威海市华田世昌名都-B区11号楼211室</w:t>
      </w:r>
    </w:p>
    <w:p w14:paraId="468DB4B7">
      <w:pPr>
        <w:keepNext w:val="0"/>
        <w:keepLines w:val="0"/>
        <w:pageBreakBefore w:val="0"/>
        <w:widowControl w:val="0"/>
        <w:kinsoku/>
        <w:wordWrap w:val="0"/>
        <w:overflowPunct/>
        <w:topLinePunct/>
        <w:autoSpaceDE/>
        <w:autoSpaceDN/>
        <w:bidi w:val="0"/>
        <w:snapToGrid/>
        <w:spacing w:line="520" w:lineRule="exact"/>
        <w:ind w:firstLine="560" w:firstLineChars="200"/>
        <w:jc w:val="left"/>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联系人：</w:t>
      </w:r>
      <w:r>
        <w:rPr>
          <w:rFonts w:hint="eastAsia" w:ascii="仿宋" w:hAnsi="仿宋" w:eastAsia="仿宋" w:cs="仿宋"/>
          <w:sz w:val="28"/>
          <w:szCs w:val="28"/>
        </w:rPr>
        <w:t>唐园园  崔祉毓</w:t>
      </w:r>
    </w:p>
    <w:p w14:paraId="45B3F3BA">
      <w:pPr>
        <w:keepNext w:val="0"/>
        <w:keepLines w:val="0"/>
        <w:pageBreakBefore w:val="0"/>
        <w:widowControl w:val="0"/>
        <w:kinsoku/>
        <w:wordWrap w:val="0"/>
        <w:overflowPunct/>
        <w:topLinePunct/>
        <w:autoSpaceDE/>
        <w:autoSpaceDN/>
        <w:bidi w:val="0"/>
        <w:snapToGrid/>
        <w:spacing w:line="520" w:lineRule="exact"/>
        <w:ind w:firstLine="560" w:firstLineChars="20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联系方式：0631-5866369</w:t>
      </w:r>
    </w:p>
    <w:p w14:paraId="72B1B391">
      <w:pPr>
        <w:keepNext w:val="0"/>
        <w:keepLines w:val="0"/>
        <w:pageBreakBefore w:val="0"/>
        <w:widowControl w:val="0"/>
        <w:kinsoku/>
        <w:wordWrap w:val="0"/>
        <w:overflowPunct/>
        <w:topLinePunct/>
        <w:autoSpaceDE/>
        <w:autoSpaceDN/>
        <w:bidi w:val="0"/>
        <w:snapToGrid/>
        <w:spacing w:line="52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电子邮箱：</w:t>
      </w:r>
      <w:r>
        <w:rPr>
          <w:rFonts w:hint="eastAsia" w:ascii="仿宋" w:hAnsi="仿宋" w:eastAsia="仿宋" w:cs="仿宋"/>
          <w:color w:val="auto"/>
          <w:sz w:val="28"/>
          <w:szCs w:val="28"/>
          <w:highlight w:val="none"/>
          <w:lang w:val="en-US" w:eastAsia="zh-CN"/>
        </w:rPr>
        <w:t>whhtgc@163.com</w:t>
      </w:r>
    </w:p>
    <w:p w14:paraId="29CC87F9">
      <w:pPr>
        <w:keepNext w:val="0"/>
        <w:keepLines w:val="0"/>
        <w:pageBreakBefore w:val="0"/>
        <w:kinsoku/>
        <w:wordWrap/>
        <w:overflowPunct/>
        <w:topLinePunct/>
        <w:autoSpaceDE/>
        <w:autoSpaceDN/>
        <w:bidi w:val="0"/>
        <w:snapToGrid/>
        <w:spacing w:line="520" w:lineRule="exact"/>
        <w:jc w:val="righ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发布人：</w:t>
      </w:r>
      <w:r>
        <w:rPr>
          <w:rFonts w:hint="eastAsia" w:ascii="仿宋" w:hAnsi="仿宋" w:eastAsia="仿宋" w:cs="仿宋"/>
          <w:color w:val="auto"/>
          <w:sz w:val="28"/>
          <w:szCs w:val="28"/>
          <w:highlight w:val="none"/>
          <w:lang w:eastAsia="zh-CN"/>
        </w:rPr>
        <w:t>山东瀚泰建设管理有限公司</w:t>
      </w:r>
      <w:r>
        <w:rPr>
          <w:rFonts w:hint="eastAsia" w:ascii="仿宋" w:hAnsi="仿宋" w:eastAsia="仿宋" w:cs="仿宋"/>
          <w:color w:val="auto"/>
          <w:sz w:val="28"/>
          <w:szCs w:val="28"/>
          <w:highlight w:val="none"/>
        </w:rPr>
        <w:t xml:space="preserve"> </w:t>
      </w:r>
    </w:p>
    <w:p w14:paraId="017876FC">
      <w:pPr>
        <w:keepNext w:val="0"/>
        <w:keepLines w:val="0"/>
        <w:pageBreakBefore w:val="0"/>
        <w:widowControl/>
        <w:kinsoku/>
        <w:wordWrap/>
        <w:overflowPunct/>
        <w:topLinePunct/>
        <w:autoSpaceDE/>
        <w:autoSpaceDN/>
        <w:bidi w:val="0"/>
        <w:adjustRightInd w:val="0"/>
        <w:snapToGrid/>
        <w:spacing w:line="520" w:lineRule="exact"/>
        <w:ind w:left="-240"/>
        <w:jc w:val="righ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发布时间：202</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lang w:val="en-US" w:eastAsia="zh-CN"/>
        </w:rPr>
        <w:t>07</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lang w:val="en-US" w:eastAsia="zh-CN"/>
        </w:rPr>
        <w:t>10</w:t>
      </w:r>
      <w:r>
        <w:rPr>
          <w:rFonts w:hint="eastAsia" w:ascii="仿宋" w:hAnsi="仿宋" w:eastAsia="仿宋" w:cs="仿宋"/>
          <w:color w:val="auto"/>
          <w:sz w:val="28"/>
          <w:szCs w:val="28"/>
          <w:highlight w:val="none"/>
        </w:rPr>
        <w:t>日</w:t>
      </w:r>
    </w:p>
    <w:p w14:paraId="7C14F584">
      <w:pPr>
        <w:pStyle w:val="23"/>
        <w:keepNext w:val="0"/>
        <w:keepLines w:val="0"/>
        <w:pageBreakBefore w:val="0"/>
        <w:kinsoku/>
        <w:overflowPunct/>
        <w:topLinePunct/>
        <w:autoSpaceDE/>
        <w:autoSpaceDN/>
        <w:bidi w:val="0"/>
        <w:spacing w:line="530" w:lineRule="exact"/>
        <w:textAlignment w:val="auto"/>
        <w:rPr>
          <w:rFonts w:hint="eastAsia" w:ascii="仿宋" w:hAnsi="仿宋" w:eastAsia="仿宋" w:cs="仿宋"/>
          <w:color w:val="auto"/>
          <w:sz w:val="24"/>
          <w:szCs w:val="24"/>
          <w:highlight w:val="none"/>
        </w:rPr>
      </w:pPr>
    </w:p>
    <w:p w14:paraId="3926F362">
      <w:pPr>
        <w:pStyle w:val="23"/>
        <w:keepNext w:val="0"/>
        <w:keepLines w:val="0"/>
        <w:pageBreakBefore w:val="0"/>
        <w:kinsoku/>
        <w:overflowPunct/>
        <w:topLinePunct/>
        <w:autoSpaceDE/>
        <w:autoSpaceDN/>
        <w:bidi w:val="0"/>
        <w:spacing w:line="530" w:lineRule="exact"/>
        <w:textAlignment w:val="auto"/>
        <w:rPr>
          <w:rFonts w:hint="eastAsia" w:ascii="仿宋" w:hAnsi="仿宋" w:eastAsia="仿宋" w:cs="仿宋"/>
          <w:color w:val="auto"/>
          <w:sz w:val="24"/>
          <w:szCs w:val="24"/>
          <w:highlight w:val="none"/>
        </w:rPr>
        <w:sectPr>
          <w:footerReference r:id="rId8" w:type="default"/>
          <w:pgSz w:w="11906" w:h="16838"/>
          <w:pgMar w:top="1260" w:right="1142" w:bottom="1118" w:left="1324" w:header="454" w:footer="680" w:gutter="0"/>
          <w:pgNumType w:fmt="decimal" w:start="1"/>
          <w:cols w:space="0" w:num="1"/>
          <w:docGrid w:linePitch="312" w:charSpace="0"/>
        </w:sectPr>
      </w:pPr>
    </w:p>
    <w:p w14:paraId="5404760B">
      <w:pPr>
        <w:pStyle w:val="24"/>
        <w:keepNext w:val="0"/>
        <w:keepLines w:val="0"/>
        <w:pageBreakBefore w:val="0"/>
        <w:numPr>
          <w:ilvl w:val="0"/>
          <w:numId w:val="0"/>
        </w:numPr>
        <w:kinsoku/>
        <w:overflowPunct/>
        <w:topLinePunct/>
        <w:autoSpaceDE/>
        <w:autoSpaceDN/>
        <w:bidi w:val="0"/>
        <w:spacing w:before="100" w:beforeAutospacing="1" w:after="100" w:afterAutospacing="1" w:line="240" w:lineRule="auto"/>
        <w:ind w:left="1440" w:leftChars="0" w:hanging="1440" w:firstLineChars="0"/>
        <w:jc w:val="center"/>
        <w:textAlignment w:val="auto"/>
        <w:rPr>
          <w:rFonts w:hint="eastAsia" w:ascii="仿宋" w:hAnsi="仿宋" w:eastAsia="仿宋" w:cs="仿宋"/>
          <w:b/>
          <w:bCs/>
          <w:color w:val="auto"/>
          <w:kern w:val="0"/>
          <w:sz w:val="48"/>
          <w:szCs w:val="48"/>
          <w:highlight w:val="none"/>
          <w:lang w:val="en-US" w:eastAsia="zh-CN" w:bidi="ar-SA"/>
        </w:rPr>
      </w:pPr>
      <w:bookmarkStart w:id="5" w:name="_Toc13991"/>
      <w:bookmarkStart w:id="6" w:name="_Toc3210"/>
      <w:r>
        <w:rPr>
          <w:rFonts w:hint="eastAsia" w:ascii="仿宋" w:hAnsi="仿宋" w:eastAsia="仿宋" w:cs="仿宋"/>
          <w:b/>
          <w:bCs/>
          <w:color w:val="auto"/>
          <w:kern w:val="0"/>
          <w:sz w:val="48"/>
          <w:szCs w:val="48"/>
          <w:highlight w:val="none"/>
          <w:lang w:val="en-US" w:eastAsia="zh-CN" w:bidi="ar-SA"/>
        </w:rPr>
        <w:t xml:space="preserve">第二章 </w:t>
      </w:r>
      <w:bookmarkEnd w:id="5"/>
      <w:r>
        <w:rPr>
          <w:rFonts w:hint="eastAsia" w:ascii="仿宋" w:hAnsi="仿宋" w:eastAsia="仿宋" w:cs="仿宋"/>
          <w:b/>
          <w:bCs/>
          <w:color w:val="auto"/>
          <w:kern w:val="0"/>
          <w:sz w:val="48"/>
          <w:szCs w:val="48"/>
          <w:highlight w:val="none"/>
          <w:lang w:val="en-US" w:eastAsia="zh-CN" w:bidi="ar-SA"/>
        </w:rPr>
        <w:t>投标须知</w:t>
      </w:r>
      <w:bookmarkEnd w:id="6"/>
    </w:p>
    <w:p w14:paraId="247BBEAE">
      <w:pPr>
        <w:pStyle w:val="24"/>
        <w:keepNext w:val="0"/>
        <w:keepLines w:val="0"/>
        <w:pageBreakBefore w:val="0"/>
        <w:kinsoku/>
        <w:overflowPunct/>
        <w:topLinePunct/>
        <w:autoSpaceDE/>
        <w:autoSpaceDN/>
        <w:bidi w:val="0"/>
        <w:jc w:val="center"/>
        <w:textAlignment w:val="auto"/>
        <w:outlineLvl w:val="1"/>
        <w:rPr>
          <w:rFonts w:hint="eastAsia" w:ascii="仿宋" w:hAnsi="仿宋" w:eastAsia="仿宋" w:cs="仿宋"/>
          <w:color w:val="auto"/>
          <w:sz w:val="36"/>
          <w:szCs w:val="36"/>
          <w:highlight w:val="none"/>
          <w:lang w:val="en-US" w:eastAsia="zh-CN"/>
        </w:rPr>
      </w:pPr>
      <w:bookmarkStart w:id="7" w:name="_Toc8001"/>
      <w:r>
        <w:rPr>
          <w:rFonts w:hint="eastAsia" w:ascii="仿宋" w:hAnsi="仿宋" w:eastAsia="仿宋" w:cs="仿宋"/>
          <w:color w:val="auto"/>
          <w:sz w:val="36"/>
          <w:szCs w:val="36"/>
          <w:highlight w:val="none"/>
          <w:lang w:val="en-US" w:eastAsia="zh-CN"/>
        </w:rPr>
        <w:t>投标须知前附表</w:t>
      </w:r>
      <w:bookmarkEnd w:id="7"/>
    </w:p>
    <w:p w14:paraId="3E1BB679">
      <w:pPr>
        <w:keepNext w:val="0"/>
        <w:keepLines w:val="0"/>
        <w:pageBreakBefore w:val="0"/>
        <w:widowControl w:val="0"/>
        <w:kinsoku/>
        <w:overflowPunct/>
        <w:topLinePunct/>
        <w:autoSpaceDE/>
        <w:autoSpaceDN/>
        <w:bidi w:val="0"/>
        <w:adjustRightInd/>
        <w:snapToGrid/>
        <w:spacing w:line="48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本表是本采购项目的具体资料，是对</w:t>
      </w:r>
      <w:r>
        <w:rPr>
          <w:rFonts w:hint="eastAsia" w:ascii="仿宋" w:hAnsi="仿宋" w:eastAsia="仿宋" w:cs="仿宋"/>
          <w:color w:val="auto"/>
          <w:sz w:val="28"/>
          <w:szCs w:val="28"/>
          <w:highlight w:val="none"/>
          <w:lang w:val="en-US" w:eastAsia="zh-CN"/>
        </w:rPr>
        <w:t>投标</w:t>
      </w:r>
      <w:r>
        <w:rPr>
          <w:rFonts w:hint="eastAsia" w:ascii="仿宋" w:hAnsi="仿宋" w:eastAsia="仿宋" w:cs="仿宋"/>
          <w:color w:val="auto"/>
          <w:sz w:val="28"/>
          <w:szCs w:val="28"/>
          <w:highlight w:val="none"/>
        </w:rPr>
        <w:t>须知的汇总和补充，如本次</w:t>
      </w:r>
      <w:r>
        <w:rPr>
          <w:rFonts w:hint="eastAsia" w:ascii="仿宋" w:hAnsi="仿宋" w:eastAsia="仿宋" w:cs="仿宋"/>
          <w:color w:val="auto"/>
          <w:sz w:val="28"/>
          <w:szCs w:val="28"/>
          <w:highlight w:val="none"/>
          <w:lang w:eastAsia="zh-CN"/>
        </w:rPr>
        <w:t>招标文件</w:t>
      </w:r>
      <w:r>
        <w:rPr>
          <w:rFonts w:hint="eastAsia" w:ascii="仿宋" w:hAnsi="仿宋" w:eastAsia="仿宋" w:cs="仿宋"/>
          <w:color w:val="auto"/>
          <w:sz w:val="28"/>
          <w:szCs w:val="28"/>
          <w:highlight w:val="none"/>
        </w:rPr>
        <w:t>中其他内容与本表载明的内容不一致，应以本表为准。</w:t>
      </w:r>
    </w:p>
    <w:tbl>
      <w:tblPr>
        <w:tblStyle w:val="26"/>
        <w:tblW w:w="996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00"/>
        <w:gridCol w:w="2254"/>
        <w:gridCol w:w="6910"/>
      </w:tblGrid>
      <w:tr w14:paraId="5A03A7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0" w:hRule="atLeast"/>
          <w:jc w:val="center"/>
        </w:trPr>
        <w:tc>
          <w:tcPr>
            <w:tcW w:w="800" w:type="dxa"/>
            <w:tcBorders>
              <w:top w:val="single" w:color="auto" w:sz="4" w:space="0"/>
              <w:bottom w:val="single" w:color="auto" w:sz="4" w:space="0"/>
              <w:right w:val="single" w:color="auto" w:sz="4" w:space="0"/>
            </w:tcBorders>
            <w:vAlign w:val="center"/>
          </w:tcPr>
          <w:p w14:paraId="5B357675">
            <w:pPr>
              <w:keepNext w:val="0"/>
              <w:keepLines w:val="0"/>
              <w:pageBreakBefore w:val="0"/>
              <w:suppressLineNumbers w:val="0"/>
              <w:kinsoku/>
              <w:overflowPunct/>
              <w:topLinePunct/>
              <w:autoSpaceDE/>
              <w:autoSpaceDN/>
              <w:bidi w:val="0"/>
              <w:spacing w:before="0" w:beforeAutospacing="0" w:after="0" w:afterAutospacing="0" w:line="520" w:lineRule="exact"/>
              <w:ind w:left="0" w:right="0"/>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序号</w:t>
            </w:r>
          </w:p>
        </w:tc>
        <w:tc>
          <w:tcPr>
            <w:tcW w:w="2254" w:type="dxa"/>
            <w:tcBorders>
              <w:top w:val="single" w:color="auto" w:sz="4" w:space="0"/>
              <w:left w:val="single" w:color="auto" w:sz="4" w:space="0"/>
              <w:bottom w:val="single" w:color="auto" w:sz="4" w:space="0"/>
              <w:right w:val="single" w:color="auto" w:sz="4" w:space="0"/>
            </w:tcBorders>
            <w:vAlign w:val="center"/>
          </w:tcPr>
          <w:p w14:paraId="07741E8F">
            <w:pPr>
              <w:keepNext w:val="0"/>
              <w:keepLines w:val="0"/>
              <w:pageBreakBefore w:val="0"/>
              <w:suppressLineNumbers w:val="0"/>
              <w:kinsoku/>
              <w:overflowPunct/>
              <w:topLinePunct/>
              <w:autoSpaceDE/>
              <w:autoSpaceDN/>
              <w:bidi w:val="0"/>
              <w:spacing w:before="0" w:beforeAutospacing="0" w:after="0" w:afterAutospacing="0" w:line="520" w:lineRule="exact"/>
              <w:ind w:left="0" w:right="0"/>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项    目</w:t>
            </w:r>
          </w:p>
        </w:tc>
        <w:tc>
          <w:tcPr>
            <w:tcW w:w="6910" w:type="dxa"/>
            <w:tcBorders>
              <w:top w:val="single" w:color="auto" w:sz="4" w:space="0"/>
              <w:left w:val="single" w:color="auto" w:sz="4" w:space="0"/>
              <w:bottom w:val="single" w:color="auto" w:sz="4" w:space="0"/>
            </w:tcBorders>
            <w:vAlign w:val="center"/>
          </w:tcPr>
          <w:p w14:paraId="2AD486F4">
            <w:pPr>
              <w:keepNext w:val="0"/>
              <w:keepLines w:val="0"/>
              <w:pageBreakBefore w:val="0"/>
              <w:suppressLineNumbers w:val="0"/>
              <w:kinsoku/>
              <w:overflowPunct/>
              <w:topLinePunct/>
              <w:autoSpaceDE/>
              <w:autoSpaceDN/>
              <w:bidi w:val="0"/>
              <w:spacing w:before="0" w:beforeAutospacing="0" w:after="0" w:afterAutospacing="0" w:line="520" w:lineRule="exact"/>
              <w:ind w:left="0" w:right="0"/>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内           容</w:t>
            </w:r>
          </w:p>
        </w:tc>
      </w:tr>
      <w:tr w14:paraId="6B7E42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0" w:hRule="atLeast"/>
          <w:jc w:val="center"/>
        </w:trPr>
        <w:tc>
          <w:tcPr>
            <w:tcW w:w="800" w:type="dxa"/>
            <w:tcBorders>
              <w:top w:val="single" w:color="auto" w:sz="4" w:space="0"/>
              <w:bottom w:val="single" w:color="auto" w:sz="4" w:space="0"/>
              <w:right w:val="single" w:color="auto" w:sz="4" w:space="0"/>
            </w:tcBorders>
            <w:vAlign w:val="center"/>
          </w:tcPr>
          <w:p w14:paraId="77D0E722">
            <w:pPr>
              <w:keepNext w:val="0"/>
              <w:keepLines w:val="0"/>
              <w:pageBreakBefore w:val="0"/>
              <w:widowControl/>
              <w:suppressLineNumbers w:val="0"/>
              <w:kinsoku/>
              <w:overflowPunct/>
              <w:topLinePunct/>
              <w:autoSpaceDE/>
              <w:autoSpaceDN/>
              <w:bidi w:val="0"/>
              <w:adjustRightInd w:val="0"/>
              <w:spacing w:before="0" w:beforeAutospacing="0" w:after="0" w:afterAutospacing="0" w:line="520" w:lineRule="exact"/>
              <w:ind w:left="0" w:right="0"/>
              <w:jc w:val="center"/>
              <w:textAlignment w:val="auto"/>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1</w:t>
            </w:r>
          </w:p>
        </w:tc>
        <w:tc>
          <w:tcPr>
            <w:tcW w:w="2254" w:type="dxa"/>
            <w:tcBorders>
              <w:top w:val="single" w:color="auto" w:sz="4" w:space="0"/>
              <w:left w:val="single" w:color="auto" w:sz="4" w:space="0"/>
              <w:bottom w:val="single" w:color="auto" w:sz="4" w:space="0"/>
              <w:right w:val="single" w:color="auto" w:sz="4" w:space="0"/>
            </w:tcBorders>
            <w:vAlign w:val="center"/>
          </w:tcPr>
          <w:p w14:paraId="1426C337">
            <w:pPr>
              <w:keepNext w:val="0"/>
              <w:keepLines w:val="0"/>
              <w:pageBreakBefore w:val="0"/>
              <w:suppressLineNumbers w:val="0"/>
              <w:kinsoku/>
              <w:overflowPunct/>
              <w:topLinePunct/>
              <w:autoSpaceDE/>
              <w:autoSpaceDN/>
              <w:bidi w:val="0"/>
              <w:spacing w:before="0" w:beforeAutospacing="0" w:after="0" w:afterAutospacing="0" w:line="520" w:lineRule="exact"/>
              <w:ind w:left="0" w:right="0"/>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项目名称</w:t>
            </w:r>
          </w:p>
        </w:tc>
        <w:tc>
          <w:tcPr>
            <w:tcW w:w="6910" w:type="dxa"/>
            <w:tcBorders>
              <w:top w:val="single" w:color="auto" w:sz="4" w:space="0"/>
              <w:left w:val="single" w:color="auto" w:sz="4" w:space="0"/>
              <w:bottom w:val="single" w:color="auto" w:sz="4" w:space="0"/>
            </w:tcBorders>
            <w:vAlign w:val="center"/>
          </w:tcPr>
          <w:p w14:paraId="06FFC032">
            <w:pPr>
              <w:keepNext w:val="0"/>
              <w:keepLines w:val="0"/>
              <w:pageBreakBefore w:val="0"/>
              <w:suppressLineNumbers w:val="0"/>
              <w:kinsoku/>
              <w:overflowPunct/>
              <w:topLinePunct/>
              <w:autoSpaceDE/>
              <w:autoSpaceDN/>
              <w:bidi w:val="0"/>
              <w:spacing w:before="0" w:beforeAutospacing="0" w:after="0" w:afterAutospacing="0" w:line="520" w:lineRule="exact"/>
              <w:ind w:left="0" w:right="0"/>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选定景区物料供应入围单位</w:t>
            </w:r>
          </w:p>
        </w:tc>
      </w:tr>
      <w:tr w14:paraId="602759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5" w:hRule="atLeast"/>
          <w:jc w:val="center"/>
        </w:trPr>
        <w:tc>
          <w:tcPr>
            <w:tcW w:w="800" w:type="dxa"/>
            <w:tcBorders>
              <w:top w:val="single" w:color="auto" w:sz="4" w:space="0"/>
              <w:bottom w:val="single" w:color="auto" w:sz="4" w:space="0"/>
              <w:right w:val="single" w:color="auto" w:sz="4" w:space="0"/>
            </w:tcBorders>
            <w:vAlign w:val="center"/>
          </w:tcPr>
          <w:p w14:paraId="3AEA9FF9">
            <w:pPr>
              <w:keepNext w:val="0"/>
              <w:keepLines w:val="0"/>
              <w:pageBreakBefore w:val="0"/>
              <w:widowControl/>
              <w:suppressLineNumbers w:val="0"/>
              <w:kinsoku/>
              <w:overflowPunct/>
              <w:topLinePunct/>
              <w:autoSpaceDE/>
              <w:autoSpaceDN/>
              <w:bidi w:val="0"/>
              <w:adjustRightInd w:val="0"/>
              <w:spacing w:before="0" w:beforeAutospacing="0" w:after="0" w:afterAutospacing="0" w:line="520" w:lineRule="exact"/>
              <w:ind w:left="0" w:right="0"/>
              <w:jc w:val="center"/>
              <w:textAlignment w:val="auto"/>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2</w:t>
            </w:r>
          </w:p>
        </w:tc>
        <w:tc>
          <w:tcPr>
            <w:tcW w:w="2254" w:type="dxa"/>
            <w:tcBorders>
              <w:top w:val="single" w:color="auto" w:sz="4" w:space="0"/>
              <w:left w:val="single" w:color="auto" w:sz="4" w:space="0"/>
              <w:bottom w:val="single" w:color="auto" w:sz="4" w:space="0"/>
              <w:right w:val="single" w:color="auto" w:sz="4" w:space="0"/>
            </w:tcBorders>
            <w:vAlign w:val="center"/>
          </w:tcPr>
          <w:p w14:paraId="56D5BC39">
            <w:pPr>
              <w:keepNext w:val="0"/>
              <w:keepLines w:val="0"/>
              <w:pageBreakBefore w:val="0"/>
              <w:suppressLineNumbers w:val="0"/>
              <w:kinsoku/>
              <w:overflowPunct/>
              <w:topLinePunct/>
              <w:autoSpaceDE/>
              <w:autoSpaceDN/>
              <w:bidi w:val="0"/>
              <w:spacing w:before="0" w:beforeAutospacing="0" w:after="0" w:afterAutospacing="0" w:line="520" w:lineRule="exact"/>
              <w:ind w:left="0" w:right="0"/>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项目</w:t>
            </w:r>
            <w:r>
              <w:rPr>
                <w:rFonts w:hint="eastAsia" w:ascii="仿宋" w:hAnsi="仿宋" w:eastAsia="仿宋" w:cs="仿宋"/>
                <w:color w:val="auto"/>
                <w:sz w:val="28"/>
                <w:szCs w:val="28"/>
                <w:highlight w:val="none"/>
              </w:rPr>
              <w:t>编号</w:t>
            </w:r>
          </w:p>
        </w:tc>
        <w:tc>
          <w:tcPr>
            <w:tcW w:w="6910" w:type="dxa"/>
            <w:tcBorders>
              <w:top w:val="single" w:color="auto" w:sz="4" w:space="0"/>
              <w:left w:val="single" w:color="auto" w:sz="4" w:space="0"/>
              <w:bottom w:val="single" w:color="auto" w:sz="4" w:space="0"/>
            </w:tcBorders>
            <w:vAlign w:val="center"/>
          </w:tcPr>
          <w:p w14:paraId="553E6198">
            <w:pPr>
              <w:keepNext w:val="0"/>
              <w:keepLines w:val="0"/>
              <w:pageBreakBefore w:val="0"/>
              <w:suppressLineNumbers w:val="0"/>
              <w:kinsoku/>
              <w:overflowPunct/>
              <w:topLinePunct/>
              <w:autoSpaceDE/>
              <w:autoSpaceDN/>
              <w:bidi w:val="0"/>
              <w:spacing w:before="0" w:beforeAutospacing="0" w:after="0" w:afterAutospacing="0" w:line="520" w:lineRule="exact"/>
              <w:ind w:left="0" w:right="0"/>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HSZBFW20260001</w:t>
            </w:r>
          </w:p>
        </w:tc>
      </w:tr>
      <w:tr w14:paraId="79C29B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89" w:hRule="atLeast"/>
          <w:jc w:val="center"/>
        </w:trPr>
        <w:tc>
          <w:tcPr>
            <w:tcW w:w="800" w:type="dxa"/>
            <w:tcBorders>
              <w:top w:val="single" w:color="auto" w:sz="4" w:space="0"/>
              <w:bottom w:val="single" w:color="auto" w:sz="4" w:space="0"/>
              <w:right w:val="single" w:color="auto" w:sz="4" w:space="0"/>
            </w:tcBorders>
            <w:vAlign w:val="center"/>
          </w:tcPr>
          <w:p w14:paraId="28DF12F2">
            <w:pPr>
              <w:keepNext w:val="0"/>
              <w:keepLines w:val="0"/>
              <w:pageBreakBefore w:val="0"/>
              <w:widowControl/>
              <w:suppressLineNumbers w:val="0"/>
              <w:kinsoku/>
              <w:overflowPunct/>
              <w:topLinePunct/>
              <w:autoSpaceDE/>
              <w:autoSpaceDN/>
              <w:bidi w:val="0"/>
              <w:adjustRightInd w:val="0"/>
              <w:spacing w:before="0" w:beforeAutospacing="0" w:after="0" w:afterAutospacing="0" w:line="520" w:lineRule="exact"/>
              <w:ind w:left="0" w:right="0"/>
              <w:jc w:val="center"/>
              <w:textAlignment w:val="auto"/>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3</w:t>
            </w:r>
          </w:p>
        </w:tc>
        <w:tc>
          <w:tcPr>
            <w:tcW w:w="2254" w:type="dxa"/>
            <w:tcBorders>
              <w:top w:val="single" w:color="auto" w:sz="4" w:space="0"/>
              <w:left w:val="single" w:color="auto" w:sz="4" w:space="0"/>
              <w:bottom w:val="single" w:color="auto" w:sz="4" w:space="0"/>
              <w:right w:val="single" w:color="auto" w:sz="4" w:space="0"/>
            </w:tcBorders>
            <w:vAlign w:val="center"/>
          </w:tcPr>
          <w:p w14:paraId="58AE532D">
            <w:pPr>
              <w:keepNext w:val="0"/>
              <w:keepLines w:val="0"/>
              <w:pageBreakBefore w:val="0"/>
              <w:suppressLineNumbers w:val="0"/>
              <w:kinsoku/>
              <w:overflowPunct/>
              <w:topLinePunct/>
              <w:autoSpaceDE/>
              <w:autoSpaceDN/>
              <w:bidi w:val="0"/>
              <w:spacing w:before="0" w:beforeAutospacing="0" w:after="0" w:afterAutospacing="0" w:line="520" w:lineRule="exact"/>
              <w:ind w:left="0" w:right="0"/>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招标人</w:t>
            </w:r>
          </w:p>
        </w:tc>
        <w:tc>
          <w:tcPr>
            <w:tcW w:w="6910" w:type="dxa"/>
            <w:tcBorders>
              <w:top w:val="single" w:color="auto" w:sz="4" w:space="0"/>
              <w:left w:val="single" w:color="auto" w:sz="4" w:space="0"/>
              <w:bottom w:val="single" w:color="auto" w:sz="4" w:space="0"/>
            </w:tcBorders>
            <w:vAlign w:val="center"/>
          </w:tcPr>
          <w:p w14:paraId="256E789B">
            <w:pPr>
              <w:keepNext w:val="0"/>
              <w:keepLines w:val="0"/>
              <w:pageBreakBefore w:val="0"/>
              <w:tabs>
                <w:tab w:val="left" w:pos="4860"/>
              </w:tabs>
              <w:kinsoku/>
              <w:wordWrap/>
              <w:overflowPunct/>
              <w:topLinePunct/>
              <w:autoSpaceDE/>
              <w:autoSpaceDN/>
              <w:bidi w:val="0"/>
              <w:adjustRightInd/>
              <w:snapToGrid/>
              <w:spacing w:line="520" w:lineRule="exact"/>
              <w:jc w:val="left"/>
              <w:textAlignment w:val="auto"/>
              <w:rPr>
                <w:rFonts w:hint="eastAsia" w:ascii="仿宋" w:hAnsi="仿宋" w:eastAsia="仿宋" w:cs="仿宋"/>
                <w:color w:val="auto"/>
                <w:spacing w:val="-4"/>
                <w:sz w:val="28"/>
                <w:szCs w:val="28"/>
                <w:highlight w:val="none"/>
              </w:rPr>
            </w:pPr>
            <w:r>
              <w:rPr>
                <w:rFonts w:hint="eastAsia" w:ascii="仿宋" w:hAnsi="仿宋" w:eastAsia="仿宋" w:cs="仿宋"/>
                <w:color w:val="auto"/>
                <w:spacing w:val="-4"/>
                <w:sz w:val="28"/>
                <w:szCs w:val="28"/>
                <w:highlight w:val="none"/>
                <w:lang w:val="en-US" w:eastAsia="zh-CN"/>
              </w:rPr>
              <w:t>名  称</w:t>
            </w:r>
            <w:r>
              <w:rPr>
                <w:rFonts w:hint="eastAsia" w:ascii="仿宋" w:hAnsi="仿宋" w:eastAsia="仿宋" w:cs="仿宋"/>
                <w:color w:val="auto"/>
                <w:spacing w:val="-4"/>
                <w:sz w:val="28"/>
                <w:szCs w:val="28"/>
                <w:highlight w:val="none"/>
              </w:rPr>
              <w:t>：</w:t>
            </w:r>
            <w:r>
              <w:rPr>
                <w:rFonts w:hint="eastAsia" w:ascii="仿宋" w:hAnsi="仿宋" w:eastAsia="仿宋" w:cs="仿宋"/>
                <w:color w:val="auto"/>
                <w:spacing w:val="-4"/>
                <w:sz w:val="28"/>
                <w:szCs w:val="28"/>
                <w:highlight w:val="none"/>
                <w:lang w:val="en-US" w:eastAsia="zh-CN"/>
              </w:rPr>
              <w:t>威海环晟文旅发展有限公司</w:t>
            </w:r>
          </w:p>
          <w:p w14:paraId="55A5A020">
            <w:pPr>
              <w:keepNext w:val="0"/>
              <w:keepLines w:val="0"/>
              <w:pageBreakBefore w:val="0"/>
              <w:tabs>
                <w:tab w:val="left" w:pos="4860"/>
              </w:tabs>
              <w:kinsoku/>
              <w:wordWrap/>
              <w:overflowPunct/>
              <w:topLinePunct/>
              <w:autoSpaceDE/>
              <w:autoSpaceDN/>
              <w:bidi w:val="0"/>
              <w:adjustRightInd/>
              <w:snapToGrid/>
              <w:spacing w:line="520" w:lineRule="exact"/>
              <w:jc w:val="left"/>
              <w:textAlignment w:val="auto"/>
              <w:rPr>
                <w:rFonts w:hint="eastAsia" w:ascii="仿宋" w:hAnsi="仿宋" w:eastAsia="仿宋" w:cs="仿宋"/>
                <w:color w:val="auto"/>
                <w:spacing w:val="-4"/>
                <w:sz w:val="28"/>
                <w:szCs w:val="28"/>
                <w:highlight w:val="none"/>
              </w:rPr>
            </w:pPr>
            <w:r>
              <w:rPr>
                <w:rFonts w:hint="eastAsia" w:ascii="仿宋" w:hAnsi="仿宋" w:eastAsia="仿宋" w:cs="仿宋"/>
                <w:color w:val="auto"/>
                <w:spacing w:val="-4"/>
                <w:sz w:val="28"/>
                <w:szCs w:val="28"/>
                <w:highlight w:val="none"/>
              </w:rPr>
              <w:t>地</w:t>
            </w:r>
            <w:r>
              <w:rPr>
                <w:rFonts w:hint="eastAsia" w:ascii="仿宋" w:hAnsi="仿宋" w:eastAsia="仿宋" w:cs="仿宋"/>
                <w:color w:val="auto"/>
                <w:spacing w:val="-4"/>
                <w:sz w:val="28"/>
                <w:szCs w:val="28"/>
                <w:highlight w:val="none"/>
                <w:lang w:val="en-US" w:eastAsia="zh-CN"/>
              </w:rPr>
              <w:t xml:space="preserve"> </w:t>
            </w:r>
            <w:r>
              <w:rPr>
                <w:rFonts w:hint="eastAsia" w:ascii="仿宋" w:hAnsi="仿宋" w:eastAsia="仿宋" w:cs="仿宋"/>
                <w:color w:val="auto"/>
                <w:spacing w:val="-4"/>
                <w:sz w:val="28"/>
                <w:szCs w:val="28"/>
                <w:highlight w:val="none"/>
              </w:rPr>
              <w:t xml:space="preserve"> 址：</w:t>
            </w:r>
            <w:r>
              <w:rPr>
                <w:rFonts w:hint="eastAsia" w:ascii="仿宋" w:hAnsi="仿宋" w:eastAsia="仿宋" w:cs="仿宋"/>
                <w:color w:val="auto"/>
                <w:sz w:val="28"/>
                <w:szCs w:val="28"/>
                <w:highlight w:val="none"/>
                <w:lang w:eastAsia="zh-CN"/>
              </w:rPr>
              <w:t>威海市环翠区嵩山路106-2号2层3单元</w:t>
            </w:r>
          </w:p>
          <w:p w14:paraId="2B60975D">
            <w:pPr>
              <w:keepNext w:val="0"/>
              <w:keepLines w:val="0"/>
              <w:pageBreakBefore w:val="0"/>
              <w:widowControl/>
              <w:suppressLineNumbers w:val="0"/>
              <w:kinsoku/>
              <w:overflowPunct/>
              <w:topLinePunct/>
              <w:autoSpaceDE/>
              <w:autoSpaceDN/>
              <w:bidi w:val="0"/>
              <w:adjustRightInd w:val="0"/>
              <w:snapToGrid w:val="0"/>
              <w:spacing w:before="0" w:beforeAutospacing="0" w:after="0" w:afterAutospacing="0" w:line="520" w:lineRule="exact"/>
              <w:ind w:left="0" w:right="0"/>
              <w:jc w:val="left"/>
              <w:textAlignment w:val="auto"/>
              <w:rPr>
                <w:rFonts w:hint="eastAsia" w:ascii="仿宋" w:hAnsi="仿宋" w:eastAsia="仿宋" w:cs="仿宋"/>
                <w:bCs/>
                <w:color w:val="auto"/>
                <w:kern w:val="0"/>
                <w:sz w:val="28"/>
                <w:szCs w:val="28"/>
                <w:highlight w:val="none"/>
                <w:lang w:eastAsia="zh-CN"/>
              </w:rPr>
            </w:pPr>
            <w:r>
              <w:rPr>
                <w:rFonts w:hint="eastAsia" w:ascii="仿宋" w:hAnsi="仿宋" w:eastAsia="仿宋" w:cs="仿宋"/>
                <w:bCs/>
                <w:color w:val="auto"/>
                <w:kern w:val="0"/>
                <w:sz w:val="28"/>
                <w:szCs w:val="28"/>
                <w:highlight w:val="none"/>
                <w:lang w:eastAsia="zh-CN"/>
              </w:rPr>
              <w:t>联系人：</w:t>
            </w:r>
            <w:r>
              <w:rPr>
                <w:rFonts w:hint="eastAsia" w:ascii="仿宋" w:hAnsi="仿宋" w:eastAsia="仿宋" w:cs="仿宋"/>
                <w:color w:val="auto"/>
                <w:sz w:val="28"/>
                <w:szCs w:val="28"/>
                <w:highlight w:val="none"/>
                <w:lang w:val="en-US" w:eastAsia="zh-CN"/>
              </w:rPr>
              <w:t>毕亚男</w:t>
            </w:r>
          </w:p>
          <w:p w14:paraId="0F0C9A41">
            <w:pPr>
              <w:keepNext w:val="0"/>
              <w:keepLines w:val="0"/>
              <w:pageBreakBefore w:val="0"/>
              <w:widowControl/>
              <w:suppressLineNumbers w:val="0"/>
              <w:kinsoku/>
              <w:overflowPunct/>
              <w:topLinePunct/>
              <w:autoSpaceDE/>
              <w:autoSpaceDN/>
              <w:bidi w:val="0"/>
              <w:adjustRightInd w:val="0"/>
              <w:snapToGrid w:val="0"/>
              <w:spacing w:before="0" w:beforeAutospacing="0" w:after="0" w:afterAutospacing="0" w:line="520" w:lineRule="exact"/>
              <w:ind w:left="0" w:right="0"/>
              <w:jc w:val="left"/>
              <w:textAlignment w:val="auto"/>
              <w:rPr>
                <w:rFonts w:hint="eastAsia" w:ascii="仿宋" w:hAnsi="仿宋" w:eastAsia="仿宋" w:cs="仿宋"/>
                <w:bCs/>
                <w:color w:val="auto"/>
                <w:kern w:val="0"/>
                <w:sz w:val="28"/>
                <w:szCs w:val="28"/>
                <w:highlight w:val="none"/>
                <w:lang w:eastAsia="zh-CN"/>
              </w:rPr>
            </w:pPr>
            <w:r>
              <w:rPr>
                <w:rFonts w:hint="eastAsia" w:ascii="仿宋" w:hAnsi="仿宋" w:eastAsia="仿宋" w:cs="仿宋"/>
                <w:bCs/>
                <w:color w:val="auto"/>
                <w:kern w:val="0"/>
                <w:sz w:val="28"/>
                <w:szCs w:val="28"/>
                <w:highlight w:val="none"/>
                <w:lang w:eastAsia="zh-CN"/>
              </w:rPr>
              <w:t>联系方式：</w:t>
            </w:r>
            <w:r>
              <w:rPr>
                <w:rFonts w:hint="eastAsia" w:ascii="仿宋" w:hAnsi="仿宋" w:eastAsia="仿宋" w:cs="仿宋"/>
                <w:color w:val="auto"/>
                <w:sz w:val="28"/>
                <w:szCs w:val="28"/>
                <w:highlight w:val="none"/>
              </w:rPr>
              <w:t>0631-5813181</w:t>
            </w:r>
          </w:p>
        </w:tc>
      </w:tr>
      <w:tr w14:paraId="40D297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89" w:hRule="atLeast"/>
          <w:jc w:val="center"/>
        </w:trPr>
        <w:tc>
          <w:tcPr>
            <w:tcW w:w="800" w:type="dxa"/>
            <w:tcBorders>
              <w:top w:val="single" w:color="auto" w:sz="4" w:space="0"/>
              <w:bottom w:val="single" w:color="auto" w:sz="4" w:space="0"/>
              <w:right w:val="single" w:color="auto" w:sz="4" w:space="0"/>
            </w:tcBorders>
            <w:vAlign w:val="center"/>
          </w:tcPr>
          <w:p w14:paraId="15093689">
            <w:pPr>
              <w:keepNext w:val="0"/>
              <w:keepLines w:val="0"/>
              <w:pageBreakBefore w:val="0"/>
              <w:widowControl/>
              <w:suppressLineNumbers w:val="0"/>
              <w:kinsoku/>
              <w:overflowPunct/>
              <w:topLinePunct/>
              <w:autoSpaceDE/>
              <w:autoSpaceDN/>
              <w:bidi w:val="0"/>
              <w:adjustRightInd w:val="0"/>
              <w:spacing w:before="0" w:beforeAutospacing="0" w:after="0" w:afterAutospacing="0" w:line="520" w:lineRule="exact"/>
              <w:ind w:left="0" w:right="0"/>
              <w:jc w:val="center"/>
              <w:textAlignment w:val="auto"/>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4</w:t>
            </w:r>
          </w:p>
        </w:tc>
        <w:tc>
          <w:tcPr>
            <w:tcW w:w="2254" w:type="dxa"/>
            <w:tcBorders>
              <w:top w:val="single" w:color="auto" w:sz="4" w:space="0"/>
              <w:left w:val="single" w:color="auto" w:sz="4" w:space="0"/>
              <w:bottom w:val="single" w:color="auto" w:sz="4" w:space="0"/>
              <w:right w:val="single" w:color="auto" w:sz="4" w:space="0"/>
            </w:tcBorders>
            <w:vAlign w:val="center"/>
          </w:tcPr>
          <w:p w14:paraId="15A27E2A">
            <w:pPr>
              <w:keepNext w:val="0"/>
              <w:keepLines w:val="0"/>
              <w:pageBreakBefore w:val="0"/>
              <w:suppressLineNumbers w:val="0"/>
              <w:kinsoku/>
              <w:overflowPunct/>
              <w:topLinePunct/>
              <w:autoSpaceDE/>
              <w:autoSpaceDN/>
              <w:bidi w:val="0"/>
              <w:spacing w:before="0" w:beforeAutospacing="0" w:after="0" w:afterAutospacing="0" w:line="520" w:lineRule="exact"/>
              <w:ind w:left="0" w:right="0"/>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招标代理机构</w:t>
            </w:r>
          </w:p>
        </w:tc>
        <w:tc>
          <w:tcPr>
            <w:tcW w:w="6910" w:type="dxa"/>
            <w:tcBorders>
              <w:top w:val="single" w:color="auto" w:sz="4" w:space="0"/>
              <w:left w:val="single" w:color="auto" w:sz="4" w:space="0"/>
              <w:bottom w:val="single" w:color="auto" w:sz="4" w:space="0"/>
            </w:tcBorders>
            <w:vAlign w:val="center"/>
          </w:tcPr>
          <w:p w14:paraId="71012816">
            <w:pPr>
              <w:keepNext w:val="0"/>
              <w:keepLines w:val="0"/>
              <w:pageBreakBefore w:val="0"/>
              <w:suppressLineNumbers w:val="0"/>
              <w:kinsoku/>
              <w:overflowPunct/>
              <w:topLinePunct/>
              <w:autoSpaceDE/>
              <w:autoSpaceDN/>
              <w:bidi w:val="0"/>
              <w:spacing w:before="0" w:beforeAutospacing="0" w:after="0" w:afterAutospacing="0" w:line="520" w:lineRule="exact"/>
              <w:ind w:left="0" w:right="0"/>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名  称：</w:t>
            </w:r>
            <w:r>
              <w:rPr>
                <w:rFonts w:hint="eastAsia" w:ascii="仿宋" w:hAnsi="仿宋" w:eastAsia="仿宋" w:cs="仿宋"/>
                <w:color w:val="auto"/>
                <w:sz w:val="28"/>
                <w:szCs w:val="28"/>
                <w:highlight w:val="none"/>
                <w:lang w:eastAsia="zh-CN"/>
              </w:rPr>
              <w:t>山东瀚泰建设管理有限公司</w:t>
            </w:r>
          </w:p>
          <w:p w14:paraId="1FB4C2F2">
            <w:pPr>
              <w:keepNext w:val="0"/>
              <w:keepLines w:val="0"/>
              <w:pageBreakBefore w:val="0"/>
              <w:suppressLineNumbers w:val="0"/>
              <w:kinsoku/>
              <w:overflowPunct/>
              <w:topLinePunct/>
              <w:autoSpaceDE/>
              <w:autoSpaceDN/>
              <w:bidi w:val="0"/>
              <w:spacing w:before="0" w:beforeAutospacing="0" w:after="0" w:afterAutospacing="0" w:line="520" w:lineRule="exact"/>
              <w:ind w:left="0" w:right="0"/>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地  址：威海市华田世昌名都-B区11号楼211室</w:t>
            </w:r>
          </w:p>
          <w:p w14:paraId="1E75C748">
            <w:pPr>
              <w:keepNext w:val="0"/>
              <w:keepLines w:val="0"/>
              <w:pageBreakBefore w:val="0"/>
              <w:suppressLineNumbers w:val="0"/>
              <w:kinsoku/>
              <w:overflowPunct/>
              <w:topLinePunct/>
              <w:autoSpaceDE/>
              <w:autoSpaceDN/>
              <w:bidi w:val="0"/>
              <w:spacing w:before="0" w:beforeAutospacing="0" w:after="0" w:afterAutospacing="0" w:line="520" w:lineRule="exact"/>
              <w:ind w:left="0" w:right="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联系人：唐园园  崔祉毓</w:t>
            </w:r>
          </w:p>
          <w:p w14:paraId="2ADA7600">
            <w:pPr>
              <w:keepNext w:val="0"/>
              <w:keepLines w:val="0"/>
              <w:pageBreakBefore w:val="0"/>
              <w:suppressLineNumbers w:val="0"/>
              <w:kinsoku/>
              <w:overflowPunct/>
              <w:topLinePunct/>
              <w:autoSpaceDE/>
              <w:autoSpaceDN/>
              <w:bidi w:val="0"/>
              <w:spacing w:before="0" w:beforeAutospacing="0" w:after="0" w:afterAutospacing="0" w:line="520" w:lineRule="exact"/>
              <w:ind w:left="0" w:right="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联系方式：0631-5866369</w:t>
            </w:r>
          </w:p>
          <w:p w14:paraId="423542D7">
            <w:pPr>
              <w:keepNext w:val="0"/>
              <w:keepLines w:val="0"/>
              <w:pageBreakBefore w:val="0"/>
              <w:suppressLineNumbers w:val="0"/>
              <w:kinsoku/>
              <w:overflowPunct/>
              <w:topLinePunct/>
              <w:autoSpaceDE/>
              <w:autoSpaceDN/>
              <w:bidi w:val="0"/>
              <w:spacing w:before="0" w:beforeAutospacing="0" w:after="0" w:afterAutospacing="0" w:line="520" w:lineRule="exact"/>
              <w:ind w:left="0" w:right="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电子邮箱：whhtgc@163.com</w:t>
            </w:r>
          </w:p>
        </w:tc>
      </w:tr>
      <w:tr w14:paraId="391A274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5" w:hRule="atLeast"/>
          <w:jc w:val="center"/>
        </w:trPr>
        <w:tc>
          <w:tcPr>
            <w:tcW w:w="800" w:type="dxa"/>
            <w:tcBorders>
              <w:top w:val="single" w:color="auto" w:sz="4" w:space="0"/>
              <w:bottom w:val="single" w:color="auto" w:sz="4" w:space="0"/>
              <w:right w:val="single" w:color="auto" w:sz="4" w:space="0"/>
            </w:tcBorders>
            <w:vAlign w:val="center"/>
          </w:tcPr>
          <w:p w14:paraId="38767958">
            <w:pPr>
              <w:keepNext w:val="0"/>
              <w:keepLines w:val="0"/>
              <w:pageBreakBefore w:val="0"/>
              <w:suppressLineNumbers w:val="0"/>
              <w:kinsoku/>
              <w:overflowPunct/>
              <w:topLinePunct/>
              <w:autoSpaceDE/>
              <w:autoSpaceDN/>
              <w:bidi w:val="0"/>
              <w:spacing w:before="0" w:beforeAutospacing="0" w:after="0" w:afterAutospacing="0" w:line="520" w:lineRule="exact"/>
              <w:ind w:left="0" w:right="0"/>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w:t>
            </w:r>
          </w:p>
        </w:tc>
        <w:tc>
          <w:tcPr>
            <w:tcW w:w="2254" w:type="dxa"/>
            <w:tcBorders>
              <w:top w:val="single" w:color="auto" w:sz="4" w:space="0"/>
              <w:left w:val="single" w:color="auto" w:sz="4" w:space="0"/>
              <w:bottom w:val="single" w:color="auto" w:sz="4" w:space="0"/>
              <w:right w:val="single" w:color="auto" w:sz="4" w:space="0"/>
            </w:tcBorders>
            <w:vAlign w:val="center"/>
          </w:tcPr>
          <w:p w14:paraId="5B95DD9C">
            <w:pPr>
              <w:keepNext w:val="0"/>
              <w:keepLines w:val="0"/>
              <w:pageBreakBefore w:val="0"/>
              <w:suppressLineNumbers w:val="0"/>
              <w:kinsoku/>
              <w:overflowPunct/>
              <w:topLinePunct/>
              <w:autoSpaceDE/>
              <w:autoSpaceDN/>
              <w:bidi w:val="0"/>
              <w:spacing w:before="0" w:beforeAutospacing="0" w:after="0" w:afterAutospacing="0" w:line="520" w:lineRule="exact"/>
              <w:ind w:left="0" w:right="0"/>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资金来源及比例</w:t>
            </w:r>
          </w:p>
        </w:tc>
        <w:tc>
          <w:tcPr>
            <w:tcW w:w="6910" w:type="dxa"/>
            <w:tcBorders>
              <w:top w:val="single" w:color="auto" w:sz="4" w:space="0"/>
              <w:left w:val="single" w:color="auto" w:sz="4" w:space="0"/>
              <w:bottom w:val="single" w:color="auto" w:sz="4" w:space="0"/>
            </w:tcBorders>
            <w:vAlign w:val="center"/>
          </w:tcPr>
          <w:p w14:paraId="08BEE0B9">
            <w:pPr>
              <w:keepNext w:val="0"/>
              <w:keepLines w:val="0"/>
              <w:pageBreakBefore w:val="0"/>
              <w:suppressLineNumbers w:val="0"/>
              <w:kinsoku/>
              <w:overflowPunct/>
              <w:topLinePunct/>
              <w:autoSpaceDE/>
              <w:autoSpaceDN/>
              <w:bidi w:val="0"/>
              <w:spacing w:before="0" w:beforeAutospacing="0" w:after="0" w:afterAutospacing="0" w:line="520" w:lineRule="exact"/>
              <w:ind w:left="0" w:right="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自筹资金100%</w:t>
            </w:r>
          </w:p>
        </w:tc>
      </w:tr>
      <w:tr w14:paraId="01193F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800" w:type="dxa"/>
            <w:tcBorders>
              <w:top w:val="single" w:color="auto" w:sz="4" w:space="0"/>
              <w:bottom w:val="single" w:color="auto" w:sz="4" w:space="0"/>
              <w:right w:val="single" w:color="auto" w:sz="4" w:space="0"/>
            </w:tcBorders>
            <w:vAlign w:val="center"/>
          </w:tcPr>
          <w:p w14:paraId="16A8898B">
            <w:pPr>
              <w:keepNext w:val="0"/>
              <w:keepLines w:val="0"/>
              <w:pageBreakBefore w:val="0"/>
              <w:suppressLineNumbers w:val="0"/>
              <w:kinsoku/>
              <w:overflowPunct/>
              <w:topLinePunct/>
              <w:autoSpaceDE/>
              <w:autoSpaceDN/>
              <w:bidi w:val="0"/>
              <w:spacing w:before="0" w:beforeAutospacing="0" w:after="0" w:afterAutospacing="0" w:line="520" w:lineRule="exact"/>
              <w:ind w:left="0" w:right="0"/>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w:t>
            </w:r>
          </w:p>
        </w:tc>
        <w:tc>
          <w:tcPr>
            <w:tcW w:w="2254" w:type="dxa"/>
            <w:tcBorders>
              <w:top w:val="single" w:color="auto" w:sz="4" w:space="0"/>
              <w:left w:val="single" w:color="auto" w:sz="4" w:space="0"/>
              <w:bottom w:val="single" w:color="auto" w:sz="4" w:space="0"/>
              <w:right w:val="single" w:color="auto" w:sz="4" w:space="0"/>
            </w:tcBorders>
            <w:vAlign w:val="center"/>
          </w:tcPr>
          <w:p w14:paraId="600CBCB7">
            <w:pPr>
              <w:keepNext w:val="0"/>
              <w:keepLines w:val="0"/>
              <w:pageBreakBefore w:val="0"/>
              <w:suppressLineNumbers w:val="0"/>
              <w:kinsoku/>
              <w:overflowPunct/>
              <w:topLinePunct/>
              <w:autoSpaceDE/>
              <w:autoSpaceDN/>
              <w:bidi w:val="0"/>
              <w:spacing w:before="0" w:beforeAutospacing="0" w:after="0" w:afterAutospacing="0" w:line="520" w:lineRule="exact"/>
              <w:ind w:left="0" w:right="0"/>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资金落实情况</w:t>
            </w:r>
          </w:p>
        </w:tc>
        <w:tc>
          <w:tcPr>
            <w:tcW w:w="6910" w:type="dxa"/>
            <w:tcBorders>
              <w:top w:val="single" w:color="auto" w:sz="4" w:space="0"/>
              <w:left w:val="single" w:color="auto" w:sz="4" w:space="0"/>
              <w:bottom w:val="single" w:color="auto" w:sz="4" w:space="0"/>
            </w:tcBorders>
            <w:vAlign w:val="center"/>
          </w:tcPr>
          <w:p w14:paraId="7CCA1839">
            <w:pPr>
              <w:keepNext w:val="0"/>
              <w:keepLines w:val="0"/>
              <w:pageBreakBefore w:val="0"/>
              <w:suppressLineNumbers w:val="0"/>
              <w:kinsoku/>
              <w:overflowPunct/>
              <w:topLinePunct/>
              <w:autoSpaceDE/>
              <w:autoSpaceDN/>
              <w:bidi w:val="0"/>
              <w:spacing w:before="0" w:beforeAutospacing="0" w:after="0" w:afterAutospacing="0" w:line="520" w:lineRule="exact"/>
              <w:ind w:left="0" w:right="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已落实</w:t>
            </w:r>
          </w:p>
        </w:tc>
      </w:tr>
      <w:tr w14:paraId="7FCC78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3" w:hRule="atLeast"/>
          <w:jc w:val="center"/>
        </w:trPr>
        <w:tc>
          <w:tcPr>
            <w:tcW w:w="800" w:type="dxa"/>
            <w:tcBorders>
              <w:top w:val="single" w:color="auto" w:sz="4" w:space="0"/>
              <w:bottom w:val="single" w:color="auto" w:sz="4" w:space="0"/>
              <w:right w:val="single" w:color="auto" w:sz="4" w:space="0"/>
            </w:tcBorders>
            <w:vAlign w:val="center"/>
          </w:tcPr>
          <w:p w14:paraId="528DF1AA">
            <w:pPr>
              <w:keepNext w:val="0"/>
              <w:keepLines w:val="0"/>
              <w:pageBreakBefore w:val="0"/>
              <w:suppressLineNumbers w:val="0"/>
              <w:kinsoku/>
              <w:overflowPunct/>
              <w:topLinePunct/>
              <w:autoSpaceDE/>
              <w:autoSpaceDN/>
              <w:bidi w:val="0"/>
              <w:spacing w:before="0" w:beforeAutospacing="0" w:after="0" w:afterAutospacing="0" w:line="520" w:lineRule="exact"/>
              <w:ind w:left="0" w:right="0"/>
              <w:jc w:val="center"/>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7</w:t>
            </w:r>
          </w:p>
        </w:tc>
        <w:tc>
          <w:tcPr>
            <w:tcW w:w="2254" w:type="dxa"/>
            <w:tcBorders>
              <w:top w:val="single" w:color="auto" w:sz="4" w:space="0"/>
              <w:left w:val="single" w:color="auto" w:sz="4" w:space="0"/>
              <w:bottom w:val="single" w:color="auto" w:sz="4" w:space="0"/>
              <w:right w:val="single" w:color="auto" w:sz="4" w:space="0"/>
            </w:tcBorders>
            <w:vAlign w:val="center"/>
          </w:tcPr>
          <w:p w14:paraId="19711602">
            <w:pPr>
              <w:keepNext w:val="0"/>
              <w:keepLines w:val="0"/>
              <w:pageBreakBefore w:val="0"/>
              <w:suppressLineNumbers w:val="0"/>
              <w:kinsoku/>
              <w:overflowPunct/>
              <w:topLinePunct/>
              <w:autoSpaceDE/>
              <w:autoSpaceDN/>
              <w:bidi w:val="0"/>
              <w:spacing w:before="0" w:beforeAutospacing="0" w:after="0" w:afterAutospacing="0" w:line="520" w:lineRule="exact"/>
              <w:ind w:left="0" w:right="0"/>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电子投标</w:t>
            </w:r>
          </w:p>
          <w:p w14:paraId="42F4C9FD">
            <w:pPr>
              <w:keepNext w:val="0"/>
              <w:keepLines w:val="0"/>
              <w:pageBreakBefore w:val="0"/>
              <w:suppressLineNumbers w:val="0"/>
              <w:kinsoku/>
              <w:overflowPunct/>
              <w:topLinePunct/>
              <w:autoSpaceDE/>
              <w:autoSpaceDN/>
              <w:bidi w:val="0"/>
              <w:spacing w:before="0" w:beforeAutospacing="0" w:after="0" w:afterAutospacing="0" w:line="520" w:lineRule="exact"/>
              <w:ind w:left="0" w:right="0"/>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特别提示</w:t>
            </w:r>
          </w:p>
        </w:tc>
        <w:tc>
          <w:tcPr>
            <w:tcW w:w="6910" w:type="dxa"/>
            <w:tcBorders>
              <w:top w:val="single" w:color="auto" w:sz="4" w:space="0"/>
              <w:left w:val="single" w:color="auto" w:sz="4" w:space="0"/>
              <w:bottom w:val="single" w:color="auto" w:sz="4" w:space="0"/>
            </w:tcBorders>
            <w:vAlign w:val="center"/>
          </w:tcPr>
          <w:p w14:paraId="2DADBC9C">
            <w:pPr>
              <w:keepNext w:val="0"/>
              <w:keepLines w:val="0"/>
              <w:pageBreakBefore w:val="0"/>
              <w:suppressLineNumbers w:val="0"/>
              <w:kinsoku/>
              <w:overflowPunct/>
              <w:topLinePunct/>
              <w:autoSpaceDE/>
              <w:autoSpaceDN/>
              <w:bidi w:val="0"/>
              <w:snapToGrid w:val="0"/>
              <w:spacing w:before="0" w:beforeAutospacing="0" w:after="0" w:afterAutospacing="0" w:line="520" w:lineRule="exact"/>
              <w:ind w:left="0" w:right="-105" w:rightChars="-50"/>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eastAsia="zh-CN"/>
              </w:rPr>
              <w:t>.登录“威海市公共资源交易网”首页右侧“交易服务一网通办系统”进行注册，取得用户名和密码（已经完成注册的投标人无须重复注册）；首次注册的投标人应及时办理安全证书（CA锁）及电子签章。</w:t>
            </w:r>
          </w:p>
          <w:p w14:paraId="3B771A74">
            <w:pPr>
              <w:keepNext w:val="0"/>
              <w:keepLines w:val="0"/>
              <w:pageBreakBefore w:val="0"/>
              <w:suppressLineNumbers w:val="0"/>
              <w:kinsoku/>
              <w:overflowPunct/>
              <w:topLinePunct/>
              <w:autoSpaceDE/>
              <w:autoSpaceDN/>
              <w:bidi w:val="0"/>
              <w:snapToGrid w:val="0"/>
              <w:spacing w:before="0" w:beforeAutospacing="0" w:after="0" w:afterAutospacing="0" w:line="520" w:lineRule="exact"/>
              <w:ind w:left="0" w:right="-105" w:rightChars="-5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登录威海市公共资源交易网（http://ggzyjy.weihai.cn/）首页右侧“交易服务一网通办系统-（新版）一网通办系统”进行“平台切换”点击“国企采购”进入“威海市国有企业阳光采购服务平台”获取招标文件，如跳转国企阳光采购平台时，提示用户不存在，可拨打技术支持电话（17863029936）咨询。</w:t>
            </w:r>
          </w:p>
          <w:p w14:paraId="67512C1B">
            <w:pPr>
              <w:keepNext w:val="0"/>
              <w:keepLines w:val="0"/>
              <w:pageBreakBefore w:val="0"/>
              <w:suppressLineNumbers w:val="0"/>
              <w:kinsoku/>
              <w:overflowPunct/>
              <w:topLinePunct/>
              <w:autoSpaceDE/>
              <w:autoSpaceDN/>
              <w:bidi w:val="0"/>
              <w:snapToGrid w:val="0"/>
              <w:spacing w:before="0" w:beforeAutospacing="0" w:after="0" w:afterAutospacing="0" w:line="520" w:lineRule="exact"/>
              <w:ind w:left="0" w:right="-105" w:rightChars="-50"/>
              <w:jc w:val="left"/>
              <w:textAlignment w:val="auto"/>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2</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本项目必须网上提交投标文件，</w:t>
            </w:r>
            <w:r>
              <w:rPr>
                <w:rFonts w:hint="eastAsia" w:ascii="仿宋" w:hAnsi="仿宋" w:eastAsia="仿宋" w:cs="仿宋"/>
                <w:color w:val="auto"/>
                <w:sz w:val="28"/>
                <w:szCs w:val="28"/>
                <w:highlight w:val="none"/>
              </w:rPr>
              <w:t>参与本项目投标人应利用办理好的CA锁登录威海市国有企业阳光采购电子化服务平台进行招标文件的获取、文件下载和网上提交投标文件，且安全证书（CA锁）在有效期内。</w:t>
            </w:r>
          </w:p>
          <w:p w14:paraId="3F48AB22">
            <w:pPr>
              <w:keepNext w:val="0"/>
              <w:keepLines w:val="0"/>
              <w:pageBreakBefore w:val="0"/>
              <w:suppressLineNumbers w:val="0"/>
              <w:kinsoku/>
              <w:overflowPunct/>
              <w:topLinePunct/>
              <w:autoSpaceDE/>
              <w:autoSpaceDN/>
              <w:bidi w:val="0"/>
              <w:snapToGrid w:val="0"/>
              <w:spacing w:before="0" w:beforeAutospacing="0" w:after="0" w:afterAutospacing="0" w:line="520" w:lineRule="exact"/>
              <w:ind w:left="0" w:right="-105" w:rightChars="-50"/>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eastAsia="zh-CN"/>
              </w:rPr>
              <w:t>.电子投标文件的制作及提交等有关操作见本文件及威海市公共资源交易网）办事指南栏目-国企采购专区-《新版威海市国有企业阳光采购服务平台操作演示视频（供应商）》，网址: https://ggzyjy.weihai.cn/bszn/005005/20260109/315a049e-0d75-4f85-8634-00d90a843936.html</w:t>
            </w:r>
          </w:p>
          <w:p w14:paraId="3FDE29DF">
            <w:pPr>
              <w:keepNext w:val="0"/>
              <w:keepLines w:val="0"/>
              <w:pageBreakBefore w:val="0"/>
              <w:suppressLineNumbers w:val="0"/>
              <w:kinsoku/>
              <w:overflowPunct/>
              <w:topLinePunct/>
              <w:autoSpaceDE/>
              <w:autoSpaceDN/>
              <w:bidi w:val="0"/>
              <w:snapToGrid w:val="0"/>
              <w:spacing w:before="0" w:beforeAutospacing="0" w:after="0" w:afterAutospacing="0" w:line="520" w:lineRule="exact"/>
              <w:ind w:left="0" w:right="-105" w:rightChars="-5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投标文件制作及系统使用咨询电话：17863029936；平台QQ服务群：1046971257。</w:t>
            </w:r>
          </w:p>
          <w:p w14:paraId="319F8CCE">
            <w:pPr>
              <w:keepNext w:val="0"/>
              <w:keepLines w:val="0"/>
              <w:pageBreakBefore w:val="0"/>
              <w:suppressLineNumbers w:val="0"/>
              <w:kinsoku/>
              <w:overflowPunct/>
              <w:topLinePunct/>
              <w:autoSpaceDE/>
              <w:autoSpaceDN/>
              <w:bidi w:val="0"/>
              <w:snapToGrid w:val="0"/>
              <w:spacing w:before="0" w:beforeAutospacing="0" w:after="0" w:afterAutospacing="0" w:line="520" w:lineRule="exact"/>
              <w:ind w:left="0" w:right="-105" w:rightChars="-5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w:t>
            </w:r>
            <w:r>
              <w:rPr>
                <w:rFonts w:hint="eastAsia" w:ascii="仿宋" w:hAnsi="仿宋" w:eastAsia="仿宋" w:cs="仿宋"/>
                <w:color w:val="auto"/>
                <w:sz w:val="28"/>
                <w:szCs w:val="28"/>
                <w:highlight w:val="none"/>
                <w:lang w:eastAsia="zh-CN"/>
              </w:rPr>
              <w:t>.网上提交投标文件时，登录交易平台的电脑须满足环境要求（详见新版威海市国有企业阳光采购服务平台供应商用户手册https://ggzyjy.weihai.cn/bszn/005005/20260109/eb4ba418-4b35-4f05-aa69-44fd7d8a7ffb.html）</w:t>
            </w:r>
            <w:r>
              <w:rPr>
                <w:rFonts w:hint="eastAsia" w:ascii="仿宋" w:hAnsi="仿宋" w:eastAsia="仿宋" w:cs="仿宋"/>
                <w:color w:val="auto"/>
                <w:sz w:val="28"/>
                <w:szCs w:val="28"/>
                <w:highlight w:val="none"/>
              </w:rPr>
              <w:t>。</w:t>
            </w:r>
          </w:p>
          <w:p w14:paraId="7E3CE57F">
            <w:pPr>
              <w:keepNext w:val="0"/>
              <w:keepLines w:val="0"/>
              <w:pageBreakBefore w:val="0"/>
              <w:suppressLineNumbers w:val="0"/>
              <w:kinsoku/>
              <w:overflowPunct/>
              <w:topLinePunct/>
              <w:autoSpaceDE/>
              <w:autoSpaceDN/>
              <w:bidi w:val="0"/>
              <w:snapToGrid w:val="0"/>
              <w:spacing w:before="0" w:beforeAutospacing="0" w:after="0" w:afterAutospacing="0" w:line="520" w:lineRule="exact"/>
              <w:ind w:left="0" w:right="-105" w:rightChars="-5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w:t>
            </w:r>
            <w:r>
              <w:rPr>
                <w:rFonts w:hint="eastAsia" w:ascii="仿宋" w:hAnsi="仿宋" w:eastAsia="仿宋" w:cs="仿宋"/>
                <w:color w:val="auto"/>
                <w:sz w:val="28"/>
                <w:szCs w:val="28"/>
                <w:highlight w:val="none"/>
                <w:lang w:eastAsia="zh-CN"/>
              </w:rPr>
              <w:t>.投标人提交的电子投标文件应按照本招标文件《第五章 投标文件格式》进行编制，数据文件（excel格式）必须从本项目的招标文件压缩包内的对应包段目录下获取，且必须在原文件上严格按照其中要求填写。因投标人自身原因导致电子投标文件编制不规范使投标文件内容无法导入系统的，该投标文件将被视为无效投标文件</w:t>
            </w:r>
            <w:r>
              <w:rPr>
                <w:rFonts w:hint="eastAsia" w:ascii="仿宋" w:hAnsi="仿宋" w:eastAsia="仿宋" w:cs="仿宋"/>
                <w:color w:val="auto"/>
                <w:sz w:val="28"/>
                <w:szCs w:val="28"/>
                <w:highlight w:val="none"/>
              </w:rPr>
              <w:t>。</w:t>
            </w:r>
          </w:p>
          <w:p w14:paraId="055F6E15">
            <w:pPr>
              <w:keepNext w:val="0"/>
              <w:keepLines w:val="0"/>
              <w:pageBreakBefore w:val="0"/>
              <w:suppressLineNumbers w:val="0"/>
              <w:kinsoku/>
              <w:overflowPunct/>
              <w:topLinePunct/>
              <w:autoSpaceDE/>
              <w:autoSpaceDN/>
              <w:bidi w:val="0"/>
              <w:snapToGrid w:val="0"/>
              <w:spacing w:before="0" w:beforeAutospacing="0" w:after="0" w:afterAutospacing="0" w:line="520" w:lineRule="exact"/>
              <w:ind w:left="0" w:right="-105" w:rightChars="-5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电子投标文件必需有电子签章方为合法的投标文件，未对电子投标文件进行电子签章的，将作为无效投标处理。电子投标文件的电子签章要求：在生成电子投标文件pdf格式时，都必须对电子投标文件进行电子签章；签章时需要将电子签章签署到相应的位置中。</w:t>
            </w:r>
          </w:p>
          <w:p w14:paraId="2EE1C98E">
            <w:pPr>
              <w:keepNext w:val="0"/>
              <w:keepLines w:val="0"/>
              <w:pageBreakBefore w:val="0"/>
              <w:suppressLineNumbers w:val="0"/>
              <w:kinsoku/>
              <w:overflowPunct/>
              <w:topLinePunct/>
              <w:autoSpaceDE/>
              <w:autoSpaceDN/>
              <w:bidi w:val="0"/>
              <w:snapToGrid w:val="0"/>
              <w:spacing w:before="0" w:beforeAutospacing="0" w:after="0" w:afterAutospacing="0" w:line="520" w:lineRule="exact"/>
              <w:ind w:left="0" w:right="-105" w:rightChars="-5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投标人投标文件中的相关扫描件应保证清晰度，无法辨认的评审时受到影响的，由投标人承担相应责任。</w:t>
            </w:r>
          </w:p>
          <w:p w14:paraId="5551888C">
            <w:pPr>
              <w:keepNext w:val="0"/>
              <w:keepLines w:val="0"/>
              <w:pageBreakBefore w:val="0"/>
              <w:suppressLineNumbers w:val="0"/>
              <w:kinsoku/>
              <w:overflowPunct/>
              <w:topLinePunct/>
              <w:autoSpaceDE/>
              <w:autoSpaceDN/>
              <w:bidi w:val="0"/>
              <w:snapToGrid w:val="0"/>
              <w:spacing w:before="0" w:beforeAutospacing="0" w:after="0" w:afterAutospacing="0" w:line="520" w:lineRule="exact"/>
              <w:ind w:left="0" w:right="-105" w:rightChars="-50"/>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8</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除网上提交电子投标文件外，如有要求递交相关资质证明文件原件的，还须按其要求独立密封递交（被授权人身份证原件除外）</w:t>
            </w:r>
            <w:r>
              <w:rPr>
                <w:rFonts w:hint="eastAsia" w:ascii="仿宋" w:hAnsi="仿宋" w:eastAsia="仿宋" w:cs="仿宋"/>
                <w:color w:val="auto"/>
                <w:sz w:val="28"/>
                <w:szCs w:val="28"/>
                <w:highlight w:val="none"/>
                <w:lang w:eastAsia="zh-CN"/>
              </w:rPr>
              <w:t>。</w:t>
            </w:r>
          </w:p>
          <w:p w14:paraId="2109B167">
            <w:pPr>
              <w:keepNext w:val="0"/>
              <w:keepLines w:val="0"/>
              <w:pageBreakBefore w:val="0"/>
              <w:suppressLineNumbers w:val="0"/>
              <w:kinsoku/>
              <w:overflowPunct/>
              <w:topLinePunct/>
              <w:autoSpaceDE/>
              <w:autoSpaceDN/>
              <w:bidi w:val="0"/>
              <w:snapToGrid w:val="0"/>
              <w:spacing w:before="0" w:beforeAutospacing="0" w:after="0" w:afterAutospacing="0" w:line="520" w:lineRule="exact"/>
              <w:ind w:left="0" w:right="-105" w:rightChars="-5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投标人应充分考虑到网上提交投标文件会发生的故障和风险。对发生的任何故障和风险造成投标人报价内容不一致或利益受损或投标失败的，招标人及招标代理机构不承担任何责任。</w:t>
            </w:r>
          </w:p>
        </w:tc>
      </w:tr>
      <w:tr w14:paraId="4263C7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800" w:type="dxa"/>
            <w:tcBorders>
              <w:top w:val="single" w:color="auto" w:sz="4" w:space="0"/>
              <w:bottom w:val="single" w:color="auto" w:sz="4" w:space="0"/>
              <w:right w:val="single" w:color="auto" w:sz="4" w:space="0"/>
            </w:tcBorders>
            <w:vAlign w:val="center"/>
          </w:tcPr>
          <w:p w14:paraId="1F5351B8">
            <w:pPr>
              <w:keepNext w:val="0"/>
              <w:keepLines w:val="0"/>
              <w:pageBreakBefore w:val="0"/>
              <w:widowControl/>
              <w:suppressLineNumbers w:val="0"/>
              <w:kinsoku/>
              <w:overflowPunct/>
              <w:topLinePunct/>
              <w:autoSpaceDE/>
              <w:autoSpaceDN/>
              <w:bidi w:val="0"/>
              <w:adjustRightInd w:val="0"/>
              <w:spacing w:before="0" w:beforeAutospacing="0" w:after="0" w:afterAutospacing="0" w:line="520" w:lineRule="exact"/>
              <w:ind w:left="0" w:right="0"/>
              <w:jc w:val="center"/>
              <w:textAlignment w:val="auto"/>
              <w:rPr>
                <w:rFonts w:hint="eastAsia" w:ascii="仿宋" w:hAnsi="仿宋" w:eastAsia="仿宋" w:cs="仿宋"/>
                <w:bCs/>
                <w:color w:val="auto"/>
                <w:kern w:val="0"/>
                <w:sz w:val="28"/>
                <w:szCs w:val="28"/>
                <w:highlight w:val="none"/>
                <w:lang w:eastAsia="zh-CN"/>
              </w:rPr>
            </w:pPr>
            <w:r>
              <w:rPr>
                <w:rFonts w:hint="eastAsia" w:ascii="仿宋" w:hAnsi="仿宋" w:eastAsia="仿宋" w:cs="仿宋"/>
                <w:bCs/>
                <w:color w:val="auto"/>
                <w:kern w:val="0"/>
                <w:sz w:val="28"/>
                <w:szCs w:val="28"/>
                <w:highlight w:val="none"/>
                <w:lang w:val="en-US" w:eastAsia="zh-CN"/>
              </w:rPr>
              <w:t>8</w:t>
            </w:r>
          </w:p>
        </w:tc>
        <w:tc>
          <w:tcPr>
            <w:tcW w:w="2254" w:type="dxa"/>
            <w:tcBorders>
              <w:top w:val="single" w:color="auto" w:sz="4" w:space="0"/>
              <w:left w:val="single" w:color="auto" w:sz="4" w:space="0"/>
              <w:bottom w:val="single" w:color="auto" w:sz="4" w:space="0"/>
              <w:right w:val="single" w:color="auto" w:sz="4" w:space="0"/>
            </w:tcBorders>
            <w:vAlign w:val="center"/>
          </w:tcPr>
          <w:p w14:paraId="15682B41">
            <w:pPr>
              <w:keepNext w:val="0"/>
              <w:keepLines w:val="0"/>
              <w:pageBreakBefore w:val="0"/>
              <w:suppressLineNumbers w:val="0"/>
              <w:kinsoku/>
              <w:overflowPunct/>
              <w:topLinePunct/>
              <w:autoSpaceDE/>
              <w:autoSpaceDN/>
              <w:bidi w:val="0"/>
              <w:spacing w:before="0" w:beforeAutospacing="0" w:after="0" w:afterAutospacing="0" w:line="520" w:lineRule="exact"/>
              <w:ind w:left="0" w:right="0"/>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资质证明文件原件</w:t>
            </w:r>
          </w:p>
        </w:tc>
        <w:tc>
          <w:tcPr>
            <w:tcW w:w="6910" w:type="dxa"/>
            <w:tcBorders>
              <w:top w:val="single" w:color="auto" w:sz="4" w:space="0"/>
              <w:left w:val="single" w:color="auto" w:sz="4" w:space="0"/>
              <w:bottom w:val="single" w:color="auto" w:sz="4" w:space="0"/>
            </w:tcBorders>
            <w:vAlign w:val="center"/>
          </w:tcPr>
          <w:p w14:paraId="5DA988D0">
            <w:pPr>
              <w:keepNext w:val="0"/>
              <w:keepLines w:val="0"/>
              <w:pageBreakBefore w:val="0"/>
              <w:suppressLineNumbers w:val="0"/>
              <w:kinsoku/>
              <w:overflowPunct/>
              <w:topLinePunct/>
              <w:autoSpaceDE/>
              <w:autoSpaceDN/>
              <w:bidi w:val="0"/>
              <w:spacing w:before="0" w:beforeAutospacing="0" w:after="0" w:afterAutospacing="0" w:line="520" w:lineRule="exact"/>
              <w:ind w:left="0" w:right="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无需提供资质证明文件原件</w:t>
            </w:r>
          </w:p>
        </w:tc>
      </w:tr>
      <w:tr w14:paraId="564E5A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800" w:type="dxa"/>
            <w:tcBorders>
              <w:top w:val="single" w:color="auto" w:sz="4" w:space="0"/>
              <w:bottom w:val="single" w:color="auto" w:sz="4" w:space="0"/>
              <w:right w:val="single" w:color="auto" w:sz="4" w:space="0"/>
            </w:tcBorders>
            <w:vAlign w:val="center"/>
          </w:tcPr>
          <w:p w14:paraId="04DFEA4F">
            <w:pPr>
              <w:keepNext w:val="0"/>
              <w:keepLines w:val="0"/>
              <w:pageBreakBefore w:val="0"/>
              <w:widowControl/>
              <w:suppressLineNumbers w:val="0"/>
              <w:kinsoku/>
              <w:overflowPunct/>
              <w:topLinePunct/>
              <w:autoSpaceDE/>
              <w:autoSpaceDN/>
              <w:bidi w:val="0"/>
              <w:adjustRightInd w:val="0"/>
              <w:spacing w:before="0" w:beforeAutospacing="0" w:after="0" w:afterAutospacing="0" w:line="520" w:lineRule="exact"/>
              <w:ind w:left="0" w:right="0"/>
              <w:jc w:val="center"/>
              <w:textAlignment w:val="auto"/>
              <w:rPr>
                <w:rFonts w:hint="eastAsia" w:ascii="仿宋" w:hAnsi="仿宋" w:eastAsia="仿宋" w:cs="仿宋"/>
                <w:bCs/>
                <w:color w:val="auto"/>
                <w:kern w:val="0"/>
                <w:sz w:val="28"/>
                <w:szCs w:val="28"/>
                <w:highlight w:val="none"/>
                <w:lang w:val="en-US" w:eastAsia="zh-CN"/>
              </w:rPr>
            </w:pPr>
            <w:r>
              <w:rPr>
                <w:rFonts w:hint="eastAsia" w:ascii="仿宋" w:hAnsi="仿宋" w:eastAsia="仿宋" w:cs="仿宋"/>
                <w:bCs/>
                <w:color w:val="auto"/>
                <w:kern w:val="0"/>
                <w:sz w:val="28"/>
                <w:szCs w:val="28"/>
                <w:highlight w:val="none"/>
                <w:lang w:val="en-US" w:eastAsia="zh-CN"/>
              </w:rPr>
              <w:t>9</w:t>
            </w:r>
          </w:p>
        </w:tc>
        <w:tc>
          <w:tcPr>
            <w:tcW w:w="2254" w:type="dxa"/>
            <w:tcBorders>
              <w:top w:val="single" w:color="auto" w:sz="4" w:space="0"/>
              <w:left w:val="single" w:color="auto" w:sz="4" w:space="0"/>
              <w:bottom w:val="single" w:color="auto" w:sz="4" w:space="0"/>
              <w:right w:val="single" w:color="auto" w:sz="4" w:space="0"/>
            </w:tcBorders>
            <w:vAlign w:val="center"/>
          </w:tcPr>
          <w:p w14:paraId="36E4741A">
            <w:pPr>
              <w:keepNext w:val="0"/>
              <w:keepLines w:val="0"/>
              <w:pageBreakBefore w:val="0"/>
              <w:suppressLineNumbers w:val="0"/>
              <w:kinsoku/>
              <w:overflowPunct/>
              <w:topLinePunct/>
              <w:autoSpaceDE/>
              <w:autoSpaceDN/>
              <w:bidi w:val="0"/>
              <w:spacing w:before="0" w:beforeAutospacing="0" w:after="0" w:afterAutospacing="0" w:line="520" w:lineRule="exact"/>
              <w:ind w:left="0" w:right="0"/>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投标文件份数</w:t>
            </w:r>
          </w:p>
        </w:tc>
        <w:tc>
          <w:tcPr>
            <w:tcW w:w="6910" w:type="dxa"/>
            <w:tcBorders>
              <w:top w:val="single" w:color="auto" w:sz="4" w:space="0"/>
              <w:left w:val="single" w:color="auto" w:sz="4" w:space="0"/>
              <w:bottom w:val="single" w:color="auto" w:sz="4" w:space="0"/>
            </w:tcBorders>
            <w:vAlign w:val="center"/>
          </w:tcPr>
          <w:p w14:paraId="4C38201B">
            <w:pPr>
              <w:keepNext w:val="0"/>
              <w:keepLines w:val="0"/>
              <w:pageBreakBefore w:val="0"/>
              <w:suppressLineNumbers w:val="0"/>
              <w:kinsoku/>
              <w:overflowPunct/>
              <w:topLinePunct/>
              <w:autoSpaceDE/>
              <w:autoSpaceDN/>
              <w:bidi w:val="0"/>
              <w:spacing w:before="0" w:beforeAutospacing="0" w:after="0" w:afterAutospacing="0" w:line="520" w:lineRule="exact"/>
              <w:ind w:left="0" w:right="0"/>
              <w:jc w:val="left"/>
              <w:textAlignment w:val="auto"/>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rPr>
              <w:t>网上按时</w:t>
            </w:r>
            <w:r>
              <w:rPr>
                <w:rFonts w:hint="eastAsia" w:ascii="仿宋" w:hAnsi="仿宋" w:eastAsia="仿宋" w:cs="仿宋"/>
                <w:bCs/>
                <w:color w:val="auto"/>
                <w:sz w:val="28"/>
                <w:szCs w:val="28"/>
                <w:highlight w:val="none"/>
                <w:lang w:val="en-US" w:eastAsia="zh-CN"/>
              </w:rPr>
              <w:t>提</w:t>
            </w:r>
            <w:r>
              <w:rPr>
                <w:rFonts w:hint="eastAsia" w:ascii="仿宋" w:hAnsi="仿宋" w:eastAsia="仿宋" w:cs="仿宋"/>
                <w:bCs/>
                <w:color w:val="auto"/>
                <w:sz w:val="28"/>
                <w:szCs w:val="28"/>
                <w:highlight w:val="none"/>
              </w:rPr>
              <w:t>交电子投标文件1份</w:t>
            </w:r>
            <w:r>
              <w:rPr>
                <w:rFonts w:hint="eastAsia" w:ascii="仿宋" w:hAnsi="仿宋" w:eastAsia="仿宋" w:cs="仿宋"/>
                <w:bCs/>
                <w:color w:val="auto"/>
                <w:sz w:val="28"/>
                <w:szCs w:val="28"/>
                <w:highlight w:val="none"/>
                <w:lang w:eastAsia="zh-CN"/>
              </w:rPr>
              <w:t>。</w:t>
            </w:r>
          </w:p>
          <w:p w14:paraId="710B7731">
            <w:pPr>
              <w:keepNext w:val="0"/>
              <w:keepLines w:val="0"/>
              <w:pageBreakBefore w:val="0"/>
              <w:suppressLineNumbers w:val="0"/>
              <w:kinsoku/>
              <w:overflowPunct/>
              <w:topLinePunct/>
              <w:autoSpaceDE/>
              <w:autoSpaceDN/>
              <w:bidi w:val="0"/>
              <w:spacing w:before="0" w:beforeAutospacing="0" w:after="0" w:afterAutospacing="0" w:line="520" w:lineRule="exact"/>
              <w:ind w:left="0" w:right="0"/>
              <w:jc w:val="left"/>
              <w:textAlignment w:val="auto"/>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纸质投标文件：</w:t>
            </w:r>
            <w:r>
              <w:rPr>
                <w:rFonts w:hint="eastAsia" w:ascii="仿宋" w:hAnsi="仿宋" w:eastAsia="仿宋" w:cs="仿宋"/>
                <w:color w:val="auto"/>
                <w:sz w:val="28"/>
                <w:szCs w:val="28"/>
                <w:highlight w:val="none"/>
                <w:lang w:val="en-US" w:eastAsia="zh-CN"/>
              </w:rPr>
              <w:t>2份</w:t>
            </w:r>
            <w:r>
              <w:rPr>
                <w:rFonts w:hint="eastAsia" w:ascii="仿宋" w:hAnsi="仿宋" w:eastAsia="仿宋" w:cs="仿宋"/>
                <w:color w:val="auto"/>
                <w:sz w:val="28"/>
                <w:szCs w:val="28"/>
                <w:highlight w:val="none"/>
              </w:rPr>
              <w:t>，请各投标单位将纸质投标文件</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包含投标文件和数据文件两部分</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胶装成</w:t>
            </w:r>
            <w:r>
              <w:rPr>
                <w:rFonts w:hint="eastAsia" w:ascii="仿宋" w:hAnsi="仿宋" w:eastAsia="仿宋" w:cs="仿宋"/>
                <w:color w:val="auto"/>
                <w:sz w:val="28"/>
                <w:szCs w:val="28"/>
                <w:highlight w:val="none"/>
                <w:lang w:val="en-US" w:eastAsia="zh-CN"/>
              </w:rPr>
              <w:t>一</w:t>
            </w:r>
            <w:r>
              <w:rPr>
                <w:rFonts w:hint="eastAsia" w:ascii="仿宋" w:hAnsi="仿宋" w:eastAsia="仿宋" w:cs="仿宋"/>
                <w:color w:val="auto"/>
                <w:sz w:val="28"/>
                <w:szCs w:val="28"/>
                <w:highlight w:val="none"/>
              </w:rPr>
              <w:t>册于开标</w:t>
            </w:r>
            <w:r>
              <w:rPr>
                <w:rFonts w:hint="eastAsia" w:ascii="仿宋" w:hAnsi="仿宋" w:eastAsia="仿宋" w:cs="仿宋"/>
                <w:color w:val="auto"/>
                <w:sz w:val="28"/>
                <w:szCs w:val="28"/>
                <w:highlight w:val="none"/>
                <w:lang w:val="en-US" w:eastAsia="zh-CN"/>
              </w:rPr>
              <w:t>结束</w:t>
            </w:r>
            <w:r>
              <w:rPr>
                <w:rFonts w:hint="eastAsia" w:ascii="仿宋" w:hAnsi="仿宋" w:eastAsia="仿宋" w:cs="仿宋"/>
                <w:color w:val="auto"/>
                <w:sz w:val="28"/>
                <w:szCs w:val="28"/>
                <w:highlight w:val="none"/>
              </w:rPr>
              <w:t>后三个工作日内递交或邮寄至招标代理公司，接收人：</w:t>
            </w:r>
            <w:r>
              <w:rPr>
                <w:rFonts w:hint="eastAsia" w:ascii="仿宋" w:hAnsi="仿宋" w:eastAsia="仿宋" w:cs="仿宋"/>
                <w:color w:val="auto"/>
                <w:sz w:val="28"/>
                <w:szCs w:val="28"/>
                <w:highlight w:val="none"/>
                <w:lang w:val="en-US" w:eastAsia="zh-CN"/>
              </w:rPr>
              <w:t>崔祉毓</w:t>
            </w:r>
            <w:r>
              <w:rPr>
                <w:rFonts w:hint="eastAsia" w:ascii="仿宋" w:hAnsi="仿宋" w:eastAsia="仿宋" w:cs="仿宋"/>
                <w:color w:val="auto"/>
                <w:sz w:val="28"/>
                <w:szCs w:val="28"/>
                <w:highlight w:val="none"/>
              </w:rPr>
              <w:t>，联系电话：</w:t>
            </w:r>
            <w:r>
              <w:rPr>
                <w:rFonts w:hint="eastAsia" w:ascii="仿宋" w:hAnsi="仿宋" w:eastAsia="仿宋" w:cs="仿宋"/>
                <w:color w:val="auto"/>
                <w:sz w:val="28"/>
                <w:szCs w:val="28"/>
                <w:highlight w:val="none"/>
                <w:lang w:eastAsia="zh-CN"/>
              </w:rPr>
              <w:t>0631-5866369</w:t>
            </w:r>
            <w:r>
              <w:rPr>
                <w:rFonts w:hint="eastAsia" w:ascii="仿宋" w:hAnsi="仿宋" w:eastAsia="仿宋" w:cs="仿宋"/>
                <w:color w:val="auto"/>
                <w:sz w:val="28"/>
                <w:szCs w:val="28"/>
                <w:highlight w:val="none"/>
              </w:rPr>
              <w:t>，地址：</w:t>
            </w:r>
            <w:r>
              <w:rPr>
                <w:rFonts w:hint="eastAsia" w:ascii="仿宋" w:hAnsi="仿宋" w:eastAsia="仿宋" w:cs="仿宋"/>
                <w:color w:val="auto"/>
                <w:sz w:val="28"/>
                <w:szCs w:val="28"/>
                <w:highlight w:val="none"/>
                <w:lang w:eastAsia="zh-CN"/>
              </w:rPr>
              <w:t>山东瀚泰建设管理有限公司</w:t>
            </w:r>
            <w:r>
              <w:rPr>
                <w:rFonts w:hint="eastAsia" w:ascii="仿宋" w:hAnsi="仿宋" w:eastAsia="仿宋" w:cs="仿宋"/>
                <w:color w:val="auto"/>
                <w:sz w:val="28"/>
                <w:szCs w:val="28"/>
                <w:highlight w:val="none"/>
                <w:lang w:val="en-US" w:eastAsia="zh-CN"/>
              </w:rPr>
              <w:t>招标部</w:t>
            </w:r>
            <w:r>
              <w:rPr>
                <w:rFonts w:hint="eastAsia" w:ascii="仿宋" w:hAnsi="仿宋" w:eastAsia="仿宋" w:cs="仿宋"/>
                <w:color w:val="auto"/>
                <w:sz w:val="28"/>
                <w:szCs w:val="28"/>
                <w:highlight w:val="none"/>
              </w:rPr>
              <w:t>（威海市华田世昌名</w:t>
            </w:r>
            <w:r>
              <w:rPr>
                <w:rFonts w:hint="eastAsia" w:ascii="仿宋" w:hAnsi="仿宋" w:eastAsia="仿宋" w:cs="仿宋"/>
                <w:bCs/>
                <w:color w:val="auto"/>
                <w:sz w:val="28"/>
                <w:szCs w:val="28"/>
                <w:highlight w:val="none"/>
              </w:rPr>
              <w:t>都-B区11号楼211</w:t>
            </w:r>
            <w:r>
              <w:rPr>
                <w:rFonts w:hint="eastAsia" w:ascii="仿宋" w:hAnsi="仿宋" w:eastAsia="仿宋" w:cs="仿宋"/>
                <w:bCs/>
                <w:color w:val="auto"/>
                <w:sz w:val="28"/>
                <w:szCs w:val="28"/>
                <w:highlight w:val="none"/>
                <w:lang w:eastAsia="zh-CN"/>
              </w:rPr>
              <w:t>室</w:t>
            </w:r>
            <w:r>
              <w:rPr>
                <w:rFonts w:hint="eastAsia" w:ascii="仿宋" w:hAnsi="仿宋" w:eastAsia="仿宋" w:cs="仿宋"/>
                <w:bCs/>
                <w:color w:val="auto"/>
                <w:sz w:val="28"/>
                <w:szCs w:val="28"/>
                <w:highlight w:val="none"/>
              </w:rPr>
              <w:t>）。</w:t>
            </w:r>
          </w:p>
          <w:p w14:paraId="59CFE62C">
            <w:pPr>
              <w:keepNext w:val="0"/>
              <w:keepLines w:val="0"/>
              <w:pageBreakBefore w:val="0"/>
              <w:suppressLineNumbers w:val="0"/>
              <w:kinsoku/>
              <w:overflowPunct/>
              <w:topLinePunct/>
              <w:autoSpaceDE/>
              <w:autoSpaceDN/>
              <w:bidi w:val="0"/>
              <w:spacing w:before="0" w:beforeAutospacing="0" w:after="0" w:afterAutospacing="0" w:line="520" w:lineRule="exact"/>
              <w:ind w:left="0" w:right="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将纸质投标文件密封在密封袋中，并在封口处粘贴封条</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封套内容：</w:t>
            </w:r>
          </w:p>
          <w:p w14:paraId="72C2451D">
            <w:pPr>
              <w:keepNext w:val="0"/>
              <w:keepLines w:val="0"/>
              <w:pageBreakBefore w:val="0"/>
              <w:suppressLineNumbers w:val="0"/>
              <w:kinsoku/>
              <w:overflowPunct/>
              <w:topLinePunct/>
              <w:autoSpaceDE/>
              <w:autoSpaceDN/>
              <w:bidi w:val="0"/>
              <w:spacing w:before="0" w:beforeAutospacing="0" w:after="0" w:afterAutospacing="0" w:line="520" w:lineRule="exact"/>
              <w:ind w:left="0" w:right="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（1）代理机构：</w:t>
            </w:r>
          </w:p>
          <w:p w14:paraId="3B0E7023">
            <w:pPr>
              <w:keepNext w:val="0"/>
              <w:keepLines w:val="0"/>
              <w:pageBreakBefore w:val="0"/>
              <w:suppressLineNumbers w:val="0"/>
              <w:kinsoku/>
              <w:overflowPunct/>
              <w:topLinePunct/>
              <w:autoSpaceDE/>
              <w:autoSpaceDN/>
              <w:bidi w:val="0"/>
              <w:spacing w:before="0" w:beforeAutospacing="0" w:after="0" w:afterAutospacing="0" w:line="520" w:lineRule="exact"/>
              <w:ind w:left="0" w:right="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（2）项目名称：</w:t>
            </w:r>
          </w:p>
          <w:p w14:paraId="55A96130">
            <w:pPr>
              <w:keepNext w:val="0"/>
              <w:keepLines w:val="0"/>
              <w:pageBreakBefore w:val="0"/>
              <w:suppressLineNumbers w:val="0"/>
              <w:kinsoku/>
              <w:overflowPunct/>
              <w:topLinePunct/>
              <w:autoSpaceDE/>
              <w:autoSpaceDN/>
              <w:bidi w:val="0"/>
              <w:spacing w:before="0" w:beforeAutospacing="0" w:after="0" w:afterAutospacing="0" w:line="520" w:lineRule="exact"/>
              <w:ind w:left="0" w:right="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（3）招标编号：</w:t>
            </w:r>
          </w:p>
          <w:p w14:paraId="46DCF4E3">
            <w:pPr>
              <w:keepNext w:val="0"/>
              <w:keepLines w:val="0"/>
              <w:pageBreakBefore w:val="0"/>
              <w:suppressLineNumbers w:val="0"/>
              <w:kinsoku/>
              <w:overflowPunct/>
              <w:topLinePunct/>
              <w:autoSpaceDE/>
              <w:autoSpaceDN/>
              <w:bidi w:val="0"/>
              <w:spacing w:before="0" w:beforeAutospacing="0" w:after="0" w:afterAutospacing="0" w:line="520" w:lineRule="exact"/>
              <w:ind w:left="0" w:right="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（4）投标人：</w:t>
            </w:r>
          </w:p>
          <w:p w14:paraId="2FC9D0DF">
            <w:pPr>
              <w:keepNext w:val="0"/>
              <w:keepLines w:val="0"/>
              <w:pageBreakBefore w:val="0"/>
              <w:suppressLineNumbers w:val="0"/>
              <w:kinsoku/>
              <w:overflowPunct/>
              <w:topLinePunct/>
              <w:autoSpaceDE/>
              <w:autoSpaceDN/>
              <w:bidi w:val="0"/>
              <w:spacing w:before="0" w:beforeAutospacing="0" w:after="0" w:afterAutospacing="0" w:line="520" w:lineRule="exact"/>
              <w:ind w:left="0" w:right="0"/>
              <w:jc w:val="left"/>
              <w:textAlignment w:val="auto"/>
              <w:rPr>
                <w:rFonts w:hint="eastAsia"/>
              </w:rPr>
            </w:pPr>
            <w:r>
              <w:rPr>
                <w:rFonts w:hint="eastAsia" w:ascii="仿宋" w:hAnsi="仿宋" w:eastAsia="仿宋" w:cs="仿宋"/>
                <w:color w:val="auto"/>
                <w:sz w:val="28"/>
                <w:szCs w:val="28"/>
                <w:highlight w:val="none"/>
              </w:rPr>
              <w:t>（5）注明“公开开标前不得启封”字样。</w:t>
            </w:r>
          </w:p>
        </w:tc>
      </w:tr>
      <w:tr w14:paraId="1DFEFE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5" w:hRule="atLeast"/>
          <w:jc w:val="center"/>
        </w:trPr>
        <w:tc>
          <w:tcPr>
            <w:tcW w:w="800" w:type="dxa"/>
            <w:tcBorders>
              <w:top w:val="single" w:color="auto" w:sz="4" w:space="0"/>
              <w:bottom w:val="single" w:color="auto" w:sz="4" w:space="0"/>
              <w:right w:val="single" w:color="auto" w:sz="4" w:space="0"/>
            </w:tcBorders>
            <w:shd w:val="clear" w:color="auto" w:fill="auto"/>
            <w:vAlign w:val="center"/>
          </w:tcPr>
          <w:p w14:paraId="2456A7F6">
            <w:pPr>
              <w:keepNext w:val="0"/>
              <w:keepLines w:val="0"/>
              <w:pageBreakBefore w:val="0"/>
              <w:widowControl/>
              <w:suppressLineNumbers w:val="0"/>
              <w:kinsoku/>
              <w:overflowPunct/>
              <w:topLinePunct/>
              <w:autoSpaceDE/>
              <w:autoSpaceDN/>
              <w:bidi w:val="0"/>
              <w:adjustRightInd w:val="0"/>
              <w:spacing w:before="0" w:beforeAutospacing="0" w:after="0" w:afterAutospacing="0" w:line="520" w:lineRule="exact"/>
              <w:ind w:left="0" w:right="0"/>
              <w:jc w:val="center"/>
              <w:textAlignment w:val="auto"/>
              <w:rPr>
                <w:rFonts w:hint="default" w:ascii="仿宋" w:hAnsi="仿宋" w:eastAsia="仿宋" w:cs="仿宋"/>
                <w:bCs/>
                <w:color w:val="auto"/>
                <w:kern w:val="0"/>
                <w:sz w:val="28"/>
                <w:szCs w:val="28"/>
                <w:highlight w:val="none"/>
                <w:lang w:val="en-US" w:eastAsia="zh-CN"/>
              </w:rPr>
            </w:pPr>
            <w:r>
              <w:rPr>
                <w:rFonts w:hint="eastAsia" w:ascii="仿宋" w:hAnsi="仿宋" w:eastAsia="仿宋" w:cs="仿宋"/>
                <w:bCs/>
                <w:color w:val="auto"/>
                <w:kern w:val="0"/>
                <w:sz w:val="28"/>
                <w:szCs w:val="28"/>
                <w:highlight w:val="none"/>
                <w:lang w:val="en-US" w:eastAsia="zh-CN"/>
              </w:rPr>
              <w:t>10</w:t>
            </w:r>
          </w:p>
        </w:tc>
        <w:tc>
          <w:tcPr>
            <w:tcW w:w="2254" w:type="dxa"/>
            <w:tcBorders>
              <w:top w:val="single" w:color="auto" w:sz="4" w:space="0"/>
              <w:left w:val="single" w:color="auto" w:sz="4" w:space="0"/>
              <w:bottom w:val="single" w:color="auto" w:sz="4" w:space="0"/>
              <w:right w:val="single" w:color="auto" w:sz="4" w:space="0"/>
            </w:tcBorders>
            <w:shd w:val="clear" w:color="auto" w:fill="auto"/>
            <w:vAlign w:val="center"/>
          </w:tcPr>
          <w:p w14:paraId="3DA3B163">
            <w:pPr>
              <w:keepNext w:val="0"/>
              <w:keepLines w:val="0"/>
              <w:pageBreakBefore w:val="0"/>
              <w:widowControl/>
              <w:suppressLineNumbers w:val="0"/>
              <w:kinsoku/>
              <w:overflowPunct/>
              <w:topLinePunct/>
              <w:autoSpaceDE/>
              <w:autoSpaceDN/>
              <w:bidi w:val="0"/>
              <w:adjustRightInd w:val="0"/>
              <w:spacing w:before="0" w:beforeAutospacing="0" w:after="0" w:afterAutospacing="0" w:line="520" w:lineRule="exact"/>
              <w:ind w:left="0" w:right="0"/>
              <w:jc w:val="center"/>
              <w:textAlignment w:val="auto"/>
              <w:rPr>
                <w:rFonts w:hint="eastAsia" w:ascii="仿宋" w:hAnsi="仿宋" w:eastAsia="仿宋" w:cs="仿宋"/>
                <w:bCs/>
                <w:color w:val="auto"/>
                <w:kern w:val="0"/>
                <w:sz w:val="28"/>
                <w:szCs w:val="28"/>
                <w:highlight w:val="none"/>
                <w:lang w:val="en-US" w:eastAsia="zh-CN"/>
              </w:rPr>
            </w:pPr>
            <w:r>
              <w:rPr>
                <w:rFonts w:hint="eastAsia" w:ascii="仿宋" w:hAnsi="仿宋" w:eastAsia="仿宋" w:cs="仿宋"/>
                <w:bCs/>
                <w:color w:val="auto"/>
                <w:kern w:val="0"/>
                <w:sz w:val="28"/>
                <w:szCs w:val="28"/>
                <w:highlight w:val="none"/>
                <w:lang w:val="en-US" w:eastAsia="zh-CN"/>
              </w:rPr>
              <w:t>实物样品</w:t>
            </w:r>
          </w:p>
        </w:tc>
        <w:tc>
          <w:tcPr>
            <w:tcW w:w="6910" w:type="dxa"/>
            <w:tcBorders>
              <w:top w:val="single" w:color="auto" w:sz="4" w:space="0"/>
              <w:left w:val="single" w:color="auto" w:sz="4" w:space="0"/>
              <w:bottom w:val="single" w:color="auto" w:sz="4" w:space="0"/>
            </w:tcBorders>
            <w:shd w:val="clear" w:color="auto" w:fill="auto"/>
            <w:vAlign w:val="center"/>
          </w:tcPr>
          <w:p w14:paraId="1944F874">
            <w:pPr>
              <w:keepNext w:val="0"/>
              <w:keepLines w:val="0"/>
              <w:pageBreakBefore w:val="0"/>
              <w:widowControl/>
              <w:suppressLineNumbers w:val="0"/>
              <w:kinsoku/>
              <w:overflowPunct/>
              <w:topLinePunct/>
              <w:autoSpaceDE/>
              <w:autoSpaceDN/>
              <w:bidi w:val="0"/>
              <w:adjustRightInd w:val="0"/>
              <w:spacing w:before="0" w:beforeAutospacing="0" w:after="0" w:afterAutospacing="0" w:line="520" w:lineRule="exact"/>
              <w:ind w:left="0" w:right="0"/>
              <w:jc w:val="left"/>
              <w:textAlignment w:val="auto"/>
              <w:rPr>
                <w:rFonts w:hint="eastAsia" w:ascii="仿宋" w:hAnsi="仿宋" w:eastAsia="仿宋" w:cs="仿宋"/>
                <w:bCs/>
                <w:color w:val="auto"/>
                <w:kern w:val="0"/>
                <w:sz w:val="28"/>
                <w:szCs w:val="28"/>
                <w:highlight w:val="none"/>
                <w:lang w:val="en-US" w:eastAsia="zh-CN"/>
              </w:rPr>
            </w:pPr>
            <w:r>
              <w:rPr>
                <w:rFonts w:hint="eastAsia" w:ascii="仿宋" w:hAnsi="仿宋" w:eastAsia="仿宋" w:cs="仿宋"/>
                <w:bCs/>
                <w:color w:val="auto"/>
                <w:kern w:val="0"/>
                <w:sz w:val="28"/>
                <w:szCs w:val="28"/>
                <w:highlight w:val="none"/>
                <w:lang w:val="en-US" w:eastAsia="zh-CN"/>
              </w:rPr>
              <w:t>无</w:t>
            </w:r>
          </w:p>
        </w:tc>
      </w:tr>
      <w:tr w14:paraId="1468DD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5" w:hRule="atLeast"/>
          <w:jc w:val="center"/>
        </w:trPr>
        <w:tc>
          <w:tcPr>
            <w:tcW w:w="800" w:type="dxa"/>
            <w:tcBorders>
              <w:top w:val="single" w:color="auto" w:sz="4" w:space="0"/>
              <w:bottom w:val="single" w:color="auto" w:sz="4" w:space="0"/>
              <w:right w:val="single" w:color="auto" w:sz="4" w:space="0"/>
            </w:tcBorders>
            <w:vAlign w:val="center"/>
          </w:tcPr>
          <w:p w14:paraId="08D566EE">
            <w:pPr>
              <w:keepNext w:val="0"/>
              <w:keepLines w:val="0"/>
              <w:pageBreakBefore w:val="0"/>
              <w:widowControl/>
              <w:suppressLineNumbers w:val="0"/>
              <w:kinsoku/>
              <w:overflowPunct/>
              <w:topLinePunct/>
              <w:autoSpaceDE/>
              <w:autoSpaceDN/>
              <w:bidi w:val="0"/>
              <w:adjustRightInd w:val="0"/>
              <w:spacing w:before="0" w:beforeAutospacing="0" w:after="0" w:afterAutospacing="0" w:line="520" w:lineRule="exact"/>
              <w:ind w:left="0" w:right="0"/>
              <w:jc w:val="center"/>
              <w:textAlignment w:val="auto"/>
              <w:rPr>
                <w:rFonts w:hint="eastAsia" w:ascii="仿宋" w:hAnsi="仿宋" w:eastAsia="仿宋" w:cs="仿宋"/>
                <w:bCs/>
                <w:color w:val="auto"/>
                <w:kern w:val="0"/>
                <w:sz w:val="28"/>
                <w:szCs w:val="28"/>
                <w:highlight w:val="none"/>
                <w:lang w:val="en-US" w:eastAsia="zh-CN"/>
              </w:rPr>
            </w:pPr>
            <w:r>
              <w:rPr>
                <w:rFonts w:hint="eastAsia" w:ascii="仿宋" w:hAnsi="仿宋" w:eastAsia="仿宋" w:cs="仿宋"/>
                <w:bCs/>
                <w:color w:val="auto"/>
                <w:kern w:val="0"/>
                <w:sz w:val="28"/>
                <w:szCs w:val="28"/>
                <w:highlight w:val="none"/>
                <w:lang w:val="en-US" w:eastAsia="zh-CN"/>
              </w:rPr>
              <w:t>11</w:t>
            </w:r>
          </w:p>
        </w:tc>
        <w:tc>
          <w:tcPr>
            <w:tcW w:w="2254" w:type="dxa"/>
            <w:tcBorders>
              <w:top w:val="single" w:color="auto" w:sz="4" w:space="0"/>
              <w:left w:val="single" w:color="auto" w:sz="4" w:space="0"/>
              <w:bottom w:val="single" w:color="auto" w:sz="4" w:space="0"/>
              <w:right w:val="single" w:color="auto" w:sz="4" w:space="0"/>
            </w:tcBorders>
            <w:vAlign w:val="center"/>
          </w:tcPr>
          <w:p w14:paraId="1E7C543D">
            <w:pPr>
              <w:keepNext w:val="0"/>
              <w:keepLines w:val="0"/>
              <w:pageBreakBefore w:val="0"/>
              <w:widowControl/>
              <w:suppressLineNumbers w:val="0"/>
              <w:kinsoku/>
              <w:overflowPunct/>
              <w:topLinePunct/>
              <w:autoSpaceDE/>
              <w:autoSpaceDN/>
              <w:bidi w:val="0"/>
              <w:adjustRightInd w:val="0"/>
              <w:spacing w:before="0" w:beforeAutospacing="0" w:after="0" w:afterAutospacing="0" w:line="520" w:lineRule="exact"/>
              <w:ind w:left="0" w:right="0"/>
              <w:jc w:val="center"/>
              <w:textAlignment w:val="auto"/>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现场踏勘</w:t>
            </w:r>
          </w:p>
        </w:tc>
        <w:tc>
          <w:tcPr>
            <w:tcW w:w="6910" w:type="dxa"/>
            <w:tcBorders>
              <w:top w:val="single" w:color="auto" w:sz="4" w:space="0"/>
              <w:left w:val="single" w:color="auto" w:sz="4" w:space="0"/>
              <w:bottom w:val="single" w:color="auto" w:sz="4" w:space="0"/>
            </w:tcBorders>
            <w:vAlign w:val="center"/>
          </w:tcPr>
          <w:p w14:paraId="070003BE">
            <w:pPr>
              <w:keepNext w:val="0"/>
              <w:keepLines w:val="0"/>
              <w:pageBreakBefore w:val="0"/>
              <w:widowControl/>
              <w:suppressLineNumbers w:val="0"/>
              <w:kinsoku/>
              <w:overflowPunct/>
              <w:topLinePunct/>
              <w:autoSpaceDE/>
              <w:autoSpaceDN/>
              <w:bidi w:val="0"/>
              <w:adjustRightInd w:val="0"/>
              <w:spacing w:before="0" w:beforeAutospacing="0" w:after="0" w:afterAutospacing="0" w:line="520" w:lineRule="exact"/>
              <w:ind w:left="0" w:right="0"/>
              <w:jc w:val="left"/>
              <w:textAlignment w:val="auto"/>
              <w:rPr>
                <w:rFonts w:hint="eastAsia" w:ascii="仿宋" w:hAnsi="仿宋" w:eastAsia="仿宋" w:cs="仿宋"/>
                <w:bCs/>
                <w:color w:val="auto"/>
                <w:kern w:val="0"/>
                <w:sz w:val="28"/>
                <w:szCs w:val="28"/>
                <w:highlight w:val="none"/>
                <w:lang w:eastAsia="zh-CN"/>
              </w:rPr>
            </w:pPr>
            <w:r>
              <w:rPr>
                <w:rFonts w:hint="eastAsia" w:ascii="仿宋" w:hAnsi="仿宋" w:eastAsia="仿宋" w:cs="仿宋"/>
                <w:bCs/>
                <w:color w:val="auto"/>
                <w:kern w:val="0"/>
                <w:sz w:val="28"/>
                <w:szCs w:val="28"/>
                <w:highlight w:val="none"/>
                <w:lang w:val="en-US" w:eastAsia="zh-CN"/>
              </w:rPr>
              <w:t>不组织</w:t>
            </w:r>
          </w:p>
        </w:tc>
      </w:tr>
      <w:tr w14:paraId="7310B24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800" w:type="dxa"/>
            <w:tcBorders>
              <w:top w:val="single" w:color="auto" w:sz="4" w:space="0"/>
              <w:bottom w:val="single" w:color="auto" w:sz="4" w:space="0"/>
              <w:right w:val="single" w:color="auto" w:sz="4" w:space="0"/>
            </w:tcBorders>
            <w:shd w:val="clear" w:color="auto" w:fill="auto"/>
            <w:vAlign w:val="center"/>
          </w:tcPr>
          <w:p w14:paraId="780D0A48">
            <w:pPr>
              <w:keepNext w:val="0"/>
              <w:keepLines w:val="0"/>
              <w:pageBreakBefore w:val="0"/>
              <w:widowControl/>
              <w:suppressLineNumbers w:val="0"/>
              <w:kinsoku/>
              <w:overflowPunct/>
              <w:topLinePunct/>
              <w:autoSpaceDE/>
              <w:autoSpaceDN/>
              <w:bidi w:val="0"/>
              <w:adjustRightInd w:val="0"/>
              <w:spacing w:before="0" w:beforeAutospacing="0" w:after="0" w:afterAutospacing="0" w:line="520" w:lineRule="exact"/>
              <w:ind w:left="0" w:right="0"/>
              <w:jc w:val="center"/>
              <w:textAlignment w:val="auto"/>
              <w:rPr>
                <w:rFonts w:hint="eastAsia" w:ascii="仿宋" w:hAnsi="仿宋" w:eastAsia="仿宋" w:cs="仿宋"/>
                <w:bCs/>
                <w:color w:val="auto"/>
                <w:kern w:val="0"/>
                <w:sz w:val="28"/>
                <w:szCs w:val="28"/>
                <w:highlight w:val="none"/>
                <w:lang w:val="en-US" w:eastAsia="zh-CN"/>
              </w:rPr>
            </w:pPr>
            <w:r>
              <w:rPr>
                <w:rFonts w:hint="eastAsia" w:ascii="仿宋" w:hAnsi="仿宋" w:eastAsia="仿宋" w:cs="仿宋"/>
                <w:bCs/>
                <w:color w:val="auto"/>
                <w:kern w:val="0"/>
                <w:sz w:val="28"/>
                <w:szCs w:val="28"/>
                <w:highlight w:val="none"/>
              </w:rPr>
              <w:t>1</w:t>
            </w:r>
            <w:r>
              <w:rPr>
                <w:rFonts w:hint="eastAsia" w:ascii="仿宋" w:hAnsi="仿宋" w:eastAsia="仿宋" w:cs="仿宋"/>
                <w:bCs/>
                <w:color w:val="auto"/>
                <w:kern w:val="0"/>
                <w:sz w:val="28"/>
                <w:szCs w:val="28"/>
                <w:highlight w:val="none"/>
                <w:lang w:val="en-US" w:eastAsia="zh-CN"/>
              </w:rPr>
              <w:t>2</w:t>
            </w:r>
          </w:p>
        </w:tc>
        <w:tc>
          <w:tcPr>
            <w:tcW w:w="2254" w:type="dxa"/>
            <w:tcBorders>
              <w:top w:val="single" w:color="auto" w:sz="4" w:space="0"/>
              <w:left w:val="single" w:color="auto" w:sz="4" w:space="0"/>
              <w:bottom w:val="single" w:color="auto" w:sz="4" w:space="0"/>
              <w:right w:val="single" w:color="auto" w:sz="4" w:space="0"/>
            </w:tcBorders>
            <w:shd w:val="clear" w:color="auto" w:fill="auto"/>
            <w:vAlign w:val="center"/>
          </w:tcPr>
          <w:p w14:paraId="57783FC5">
            <w:pPr>
              <w:keepNext w:val="0"/>
              <w:keepLines w:val="0"/>
              <w:pageBreakBefore w:val="0"/>
              <w:widowControl/>
              <w:suppressLineNumbers w:val="0"/>
              <w:kinsoku/>
              <w:overflowPunct/>
              <w:topLinePunct/>
              <w:autoSpaceDE/>
              <w:autoSpaceDN/>
              <w:bidi w:val="0"/>
              <w:adjustRightInd w:val="0"/>
              <w:spacing w:before="0" w:beforeAutospacing="0" w:after="0" w:afterAutospacing="0" w:line="520" w:lineRule="exact"/>
              <w:ind w:left="0" w:right="0"/>
              <w:jc w:val="center"/>
              <w:textAlignment w:val="auto"/>
              <w:rPr>
                <w:rFonts w:hint="eastAsia" w:ascii="仿宋" w:hAnsi="仿宋" w:eastAsia="仿宋" w:cs="仿宋"/>
                <w:bCs/>
                <w:color w:val="auto"/>
                <w:kern w:val="0"/>
                <w:sz w:val="28"/>
                <w:szCs w:val="28"/>
                <w:highlight w:val="none"/>
                <w:lang w:val="en-US" w:eastAsia="zh-CN"/>
              </w:rPr>
            </w:pPr>
            <w:r>
              <w:rPr>
                <w:rFonts w:hint="eastAsia" w:ascii="仿宋" w:hAnsi="仿宋" w:eastAsia="仿宋" w:cs="仿宋"/>
                <w:bCs/>
                <w:color w:val="auto"/>
                <w:kern w:val="0"/>
                <w:sz w:val="28"/>
                <w:szCs w:val="28"/>
                <w:highlight w:val="none"/>
              </w:rPr>
              <w:t>投标预备会</w:t>
            </w:r>
          </w:p>
        </w:tc>
        <w:tc>
          <w:tcPr>
            <w:tcW w:w="6910" w:type="dxa"/>
            <w:tcBorders>
              <w:top w:val="single" w:color="auto" w:sz="4" w:space="0"/>
              <w:left w:val="single" w:color="auto" w:sz="4" w:space="0"/>
              <w:bottom w:val="single" w:color="auto" w:sz="4" w:space="0"/>
            </w:tcBorders>
            <w:shd w:val="clear" w:color="auto" w:fill="auto"/>
            <w:vAlign w:val="center"/>
          </w:tcPr>
          <w:p w14:paraId="3E5B3F1C">
            <w:pPr>
              <w:keepNext w:val="0"/>
              <w:keepLines w:val="0"/>
              <w:pageBreakBefore w:val="0"/>
              <w:widowControl/>
              <w:suppressLineNumbers w:val="0"/>
              <w:kinsoku/>
              <w:overflowPunct/>
              <w:topLinePunct/>
              <w:autoSpaceDE/>
              <w:autoSpaceDN/>
              <w:bidi w:val="0"/>
              <w:adjustRightInd w:val="0"/>
              <w:spacing w:before="0" w:beforeAutospacing="0" w:after="0" w:afterAutospacing="0" w:line="520" w:lineRule="exact"/>
              <w:ind w:left="0" w:right="0"/>
              <w:jc w:val="left"/>
              <w:textAlignment w:val="auto"/>
              <w:rPr>
                <w:rFonts w:hint="eastAsia" w:ascii="仿宋" w:hAnsi="仿宋" w:eastAsia="仿宋" w:cs="仿宋"/>
                <w:bCs/>
                <w:color w:val="auto"/>
                <w:kern w:val="0"/>
                <w:sz w:val="28"/>
                <w:szCs w:val="28"/>
                <w:highlight w:val="none"/>
                <w:lang w:val="en-US" w:eastAsia="zh-CN"/>
              </w:rPr>
            </w:pPr>
            <w:r>
              <w:rPr>
                <w:rFonts w:hint="eastAsia" w:ascii="仿宋" w:hAnsi="仿宋" w:eastAsia="仿宋" w:cs="仿宋"/>
                <w:bCs/>
                <w:color w:val="auto"/>
                <w:kern w:val="0"/>
                <w:sz w:val="28"/>
                <w:szCs w:val="28"/>
                <w:highlight w:val="none"/>
              </w:rPr>
              <w:t>不召开</w:t>
            </w:r>
          </w:p>
        </w:tc>
      </w:tr>
      <w:tr w14:paraId="227F4F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5" w:hRule="atLeast"/>
          <w:jc w:val="center"/>
        </w:trPr>
        <w:tc>
          <w:tcPr>
            <w:tcW w:w="800" w:type="dxa"/>
            <w:tcBorders>
              <w:top w:val="single" w:color="auto" w:sz="4" w:space="0"/>
              <w:bottom w:val="single" w:color="auto" w:sz="4" w:space="0"/>
              <w:right w:val="single" w:color="auto" w:sz="4" w:space="0"/>
            </w:tcBorders>
            <w:vAlign w:val="center"/>
          </w:tcPr>
          <w:p w14:paraId="2B40BCCD">
            <w:pPr>
              <w:keepNext w:val="0"/>
              <w:keepLines w:val="0"/>
              <w:pageBreakBefore w:val="0"/>
              <w:widowControl/>
              <w:suppressLineNumbers w:val="0"/>
              <w:kinsoku/>
              <w:overflowPunct/>
              <w:topLinePunct/>
              <w:autoSpaceDE/>
              <w:autoSpaceDN/>
              <w:bidi w:val="0"/>
              <w:adjustRightInd w:val="0"/>
              <w:spacing w:before="0" w:beforeAutospacing="0" w:after="0" w:afterAutospacing="0" w:line="520" w:lineRule="exact"/>
              <w:ind w:left="0" w:right="0"/>
              <w:jc w:val="center"/>
              <w:textAlignment w:val="auto"/>
              <w:rPr>
                <w:rFonts w:hint="eastAsia" w:ascii="仿宋" w:hAnsi="仿宋" w:eastAsia="仿宋" w:cs="仿宋"/>
                <w:bCs/>
                <w:color w:val="auto"/>
                <w:kern w:val="0"/>
                <w:sz w:val="28"/>
                <w:szCs w:val="28"/>
                <w:highlight w:val="none"/>
                <w:lang w:val="en-US" w:eastAsia="zh-CN"/>
              </w:rPr>
            </w:pPr>
            <w:r>
              <w:rPr>
                <w:rFonts w:hint="eastAsia" w:ascii="仿宋" w:hAnsi="仿宋" w:eastAsia="仿宋" w:cs="仿宋"/>
                <w:bCs/>
                <w:color w:val="auto"/>
                <w:kern w:val="0"/>
                <w:sz w:val="28"/>
                <w:szCs w:val="28"/>
                <w:highlight w:val="none"/>
                <w:lang w:val="en-US" w:eastAsia="zh-CN"/>
              </w:rPr>
              <w:t>13</w:t>
            </w:r>
          </w:p>
        </w:tc>
        <w:tc>
          <w:tcPr>
            <w:tcW w:w="2254" w:type="dxa"/>
            <w:tcBorders>
              <w:top w:val="single" w:color="auto" w:sz="4" w:space="0"/>
              <w:left w:val="single" w:color="auto" w:sz="4" w:space="0"/>
              <w:bottom w:val="single" w:color="auto" w:sz="4" w:space="0"/>
              <w:right w:val="single" w:color="auto" w:sz="4" w:space="0"/>
            </w:tcBorders>
            <w:vAlign w:val="center"/>
          </w:tcPr>
          <w:p w14:paraId="6D6625BA">
            <w:pPr>
              <w:keepNext w:val="0"/>
              <w:keepLines w:val="0"/>
              <w:pageBreakBefore w:val="0"/>
              <w:widowControl/>
              <w:suppressLineNumbers w:val="0"/>
              <w:kinsoku/>
              <w:overflowPunct/>
              <w:topLinePunct/>
              <w:autoSpaceDE/>
              <w:autoSpaceDN/>
              <w:bidi w:val="0"/>
              <w:adjustRightInd w:val="0"/>
              <w:spacing w:before="0" w:beforeAutospacing="0" w:after="0" w:afterAutospacing="0" w:line="520" w:lineRule="exact"/>
              <w:ind w:left="0" w:right="0"/>
              <w:jc w:val="center"/>
              <w:textAlignment w:val="auto"/>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投标有效期</w:t>
            </w:r>
          </w:p>
        </w:tc>
        <w:tc>
          <w:tcPr>
            <w:tcW w:w="6910" w:type="dxa"/>
            <w:tcBorders>
              <w:top w:val="single" w:color="auto" w:sz="4" w:space="0"/>
              <w:left w:val="single" w:color="auto" w:sz="4" w:space="0"/>
              <w:bottom w:val="single" w:color="auto" w:sz="4" w:space="0"/>
            </w:tcBorders>
            <w:vAlign w:val="center"/>
          </w:tcPr>
          <w:p w14:paraId="2A2568D7">
            <w:pPr>
              <w:keepNext w:val="0"/>
              <w:keepLines w:val="0"/>
              <w:pageBreakBefore w:val="0"/>
              <w:widowControl/>
              <w:suppressLineNumbers w:val="0"/>
              <w:kinsoku/>
              <w:overflowPunct/>
              <w:topLinePunct/>
              <w:autoSpaceDE/>
              <w:autoSpaceDN/>
              <w:bidi w:val="0"/>
              <w:adjustRightInd w:val="0"/>
              <w:spacing w:before="0" w:beforeAutospacing="0" w:after="0" w:afterAutospacing="0" w:line="520" w:lineRule="exact"/>
              <w:ind w:left="0" w:right="0"/>
              <w:jc w:val="left"/>
              <w:textAlignment w:val="auto"/>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开标之日起90</w:t>
            </w:r>
            <w:r>
              <w:rPr>
                <w:rFonts w:hint="eastAsia" w:ascii="仿宋" w:hAnsi="仿宋" w:eastAsia="仿宋" w:cs="仿宋"/>
                <w:bCs/>
                <w:color w:val="auto"/>
                <w:kern w:val="0"/>
                <w:sz w:val="28"/>
                <w:szCs w:val="28"/>
                <w:highlight w:val="none"/>
                <w:lang w:val="en-US" w:eastAsia="zh-CN"/>
              </w:rPr>
              <w:t>日历</w:t>
            </w:r>
            <w:r>
              <w:rPr>
                <w:rFonts w:hint="eastAsia" w:ascii="仿宋" w:hAnsi="仿宋" w:eastAsia="仿宋" w:cs="仿宋"/>
                <w:bCs/>
                <w:color w:val="auto"/>
                <w:kern w:val="0"/>
                <w:sz w:val="28"/>
                <w:szCs w:val="28"/>
                <w:highlight w:val="none"/>
              </w:rPr>
              <w:t>天</w:t>
            </w:r>
          </w:p>
        </w:tc>
      </w:tr>
      <w:tr w14:paraId="2FA814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2" w:hRule="atLeast"/>
          <w:jc w:val="center"/>
        </w:trPr>
        <w:tc>
          <w:tcPr>
            <w:tcW w:w="800" w:type="dxa"/>
            <w:tcBorders>
              <w:top w:val="single" w:color="auto" w:sz="4" w:space="0"/>
              <w:bottom w:val="single" w:color="auto" w:sz="4" w:space="0"/>
              <w:right w:val="single" w:color="auto" w:sz="4" w:space="0"/>
            </w:tcBorders>
            <w:vAlign w:val="center"/>
          </w:tcPr>
          <w:p w14:paraId="2FF5F116">
            <w:pPr>
              <w:keepNext w:val="0"/>
              <w:keepLines w:val="0"/>
              <w:pageBreakBefore w:val="0"/>
              <w:widowControl/>
              <w:suppressLineNumbers w:val="0"/>
              <w:kinsoku/>
              <w:overflowPunct/>
              <w:topLinePunct/>
              <w:autoSpaceDE/>
              <w:autoSpaceDN/>
              <w:bidi w:val="0"/>
              <w:adjustRightInd w:val="0"/>
              <w:spacing w:before="0" w:beforeAutospacing="0" w:after="0" w:afterAutospacing="0" w:line="520" w:lineRule="exact"/>
              <w:ind w:left="0" w:right="0"/>
              <w:jc w:val="center"/>
              <w:textAlignment w:val="auto"/>
              <w:rPr>
                <w:rFonts w:hint="eastAsia" w:ascii="仿宋" w:hAnsi="仿宋" w:eastAsia="仿宋" w:cs="仿宋"/>
                <w:bCs/>
                <w:color w:val="auto"/>
                <w:kern w:val="0"/>
                <w:sz w:val="28"/>
                <w:szCs w:val="28"/>
                <w:highlight w:val="none"/>
                <w:lang w:eastAsia="zh-CN"/>
              </w:rPr>
            </w:pPr>
            <w:r>
              <w:rPr>
                <w:rFonts w:hint="eastAsia" w:ascii="仿宋" w:hAnsi="仿宋" w:eastAsia="仿宋" w:cs="仿宋"/>
                <w:bCs/>
                <w:color w:val="auto"/>
                <w:kern w:val="0"/>
                <w:sz w:val="28"/>
                <w:szCs w:val="28"/>
                <w:highlight w:val="none"/>
              </w:rPr>
              <w:t>1</w:t>
            </w:r>
            <w:r>
              <w:rPr>
                <w:rFonts w:hint="eastAsia" w:ascii="仿宋" w:hAnsi="仿宋" w:eastAsia="仿宋" w:cs="仿宋"/>
                <w:bCs/>
                <w:color w:val="auto"/>
                <w:kern w:val="0"/>
                <w:sz w:val="28"/>
                <w:szCs w:val="28"/>
                <w:highlight w:val="none"/>
                <w:lang w:val="en-US" w:eastAsia="zh-CN"/>
              </w:rPr>
              <w:t>4</w:t>
            </w:r>
          </w:p>
        </w:tc>
        <w:tc>
          <w:tcPr>
            <w:tcW w:w="2254" w:type="dxa"/>
            <w:tcBorders>
              <w:top w:val="single" w:color="auto" w:sz="4" w:space="0"/>
              <w:left w:val="single" w:color="auto" w:sz="4" w:space="0"/>
              <w:bottom w:val="single" w:color="auto" w:sz="4" w:space="0"/>
              <w:right w:val="single" w:color="auto" w:sz="4" w:space="0"/>
            </w:tcBorders>
            <w:vAlign w:val="center"/>
          </w:tcPr>
          <w:p w14:paraId="400B9D52">
            <w:pPr>
              <w:keepNext w:val="0"/>
              <w:keepLines w:val="0"/>
              <w:pageBreakBefore w:val="0"/>
              <w:suppressLineNumbers w:val="0"/>
              <w:kinsoku/>
              <w:overflowPunct/>
              <w:topLinePunct/>
              <w:autoSpaceDE/>
              <w:autoSpaceDN/>
              <w:bidi w:val="0"/>
              <w:spacing w:before="0" w:beforeAutospacing="0" w:after="0" w:afterAutospacing="0" w:line="520" w:lineRule="exact"/>
              <w:ind w:left="0" w:right="0"/>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投标文件</w:t>
            </w:r>
            <w:r>
              <w:rPr>
                <w:rFonts w:hint="eastAsia" w:ascii="仿宋" w:hAnsi="仿宋" w:eastAsia="仿宋" w:cs="仿宋"/>
                <w:color w:val="auto"/>
                <w:sz w:val="28"/>
                <w:szCs w:val="28"/>
                <w:highlight w:val="none"/>
                <w:lang w:val="en-US" w:eastAsia="zh-CN"/>
              </w:rPr>
              <w:t>提交</w:t>
            </w:r>
            <w:r>
              <w:rPr>
                <w:rFonts w:hint="eastAsia" w:ascii="仿宋" w:hAnsi="仿宋" w:eastAsia="仿宋" w:cs="仿宋"/>
                <w:color w:val="auto"/>
                <w:sz w:val="28"/>
                <w:szCs w:val="28"/>
                <w:highlight w:val="none"/>
              </w:rPr>
              <w:t>时间及地点</w:t>
            </w:r>
          </w:p>
        </w:tc>
        <w:tc>
          <w:tcPr>
            <w:tcW w:w="6910" w:type="dxa"/>
            <w:tcBorders>
              <w:top w:val="single" w:color="auto" w:sz="4" w:space="0"/>
              <w:left w:val="single" w:color="auto" w:sz="4" w:space="0"/>
              <w:bottom w:val="single" w:color="auto" w:sz="4" w:space="0"/>
            </w:tcBorders>
            <w:vAlign w:val="center"/>
          </w:tcPr>
          <w:p w14:paraId="254E047A">
            <w:pPr>
              <w:keepNext w:val="0"/>
              <w:keepLines w:val="0"/>
              <w:pageBreakBefore w:val="0"/>
              <w:numPr>
                <w:ilvl w:val="0"/>
                <w:numId w:val="0"/>
              </w:numPr>
              <w:suppressLineNumbers w:val="0"/>
              <w:kinsoku/>
              <w:wordWrap w:val="0"/>
              <w:overflowPunct/>
              <w:topLinePunct/>
              <w:autoSpaceDE/>
              <w:autoSpaceDN/>
              <w:bidi w:val="0"/>
              <w:spacing w:before="0" w:beforeAutospacing="0" w:after="0" w:afterAutospacing="0" w:line="520" w:lineRule="exact"/>
              <w:ind w:left="0" w:leftChars="0" w:right="0" w:rightChars="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电子投标文件递交时间：详见招标公告（以威海市国企采购电子交易平台具体显示时间为准）</w:t>
            </w:r>
          </w:p>
          <w:p w14:paraId="09B53677">
            <w:pPr>
              <w:keepNext w:val="0"/>
              <w:keepLines w:val="0"/>
              <w:pageBreakBefore w:val="0"/>
              <w:numPr>
                <w:ilvl w:val="0"/>
                <w:numId w:val="0"/>
              </w:numPr>
              <w:suppressLineNumbers w:val="0"/>
              <w:kinsoku/>
              <w:wordWrap w:val="0"/>
              <w:overflowPunct/>
              <w:topLinePunct/>
              <w:autoSpaceDE/>
              <w:autoSpaceDN/>
              <w:bidi w:val="0"/>
              <w:spacing w:before="0" w:beforeAutospacing="0" w:after="0" w:afterAutospacing="0" w:line="520" w:lineRule="exact"/>
              <w:ind w:left="0" w:leftChars="0" w:right="0" w:rightChars="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递交网址：http://60.212.191.167:28088/login?cloudid=12</w:t>
            </w:r>
          </w:p>
        </w:tc>
      </w:tr>
      <w:tr w14:paraId="296B618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8" w:hRule="atLeast"/>
          <w:jc w:val="center"/>
        </w:trPr>
        <w:tc>
          <w:tcPr>
            <w:tcW w:w="800" w:type="dxa"/>
            <w:tcBorders>
              <w:top w:val="single" w:color="auto" w:sz="4" w:space="0"/>
              <w:bottom w:val="single" w:color="auto" w:sz="4" w:space="0"/>
              <w:right w:val="single" w:color="auto" w:sz="4" w:space="0"/>
            </w:tcBorders>
            <w:vAlign w:val="center"/>
          </w:tcPr>
          <w:p w14:paraId="5C877E3A">
            <w:pPr>
              <w:keepNext w:val="0"/>
              <w:keepLines w:val="0"/>
              <w:pageBreakBefore w:val="0"/>
              <w:widowControl/>
              <w:suppressLineNumbers w:val="0"/>
              <w:kinsoku/>
              <w:overflowPunct/>
              <w:topLinePunct/>
              <w:autoSpaceDE/>
              <w:autoSpaceDN/>
              <w:bidi w:val="0"/>
              <w:adjustRightInd w:val="0"/>
              <w:spacing w:before="0" w:beforeAutospacing="0" w:after="0" w:afterAutospacing="0" w:line="520" w:lineRule="exact"/>
              <w:ind w:left="0" w:right="0"/>
              <w:jc w:val="center"/>
              <w:textAlignment w:val="auto"/>
              <w:rPr>
                <w:rFonts w:hint="eastAsia" w:ascii="仿宋" w:hAnsi="仿宋" w:eastAsia="仿宋" w:cs="仿宋"/>
                <w:bCs/>
                <w:color w:val="auto"/>
                <w:kern w:val="0"/>
                <w:sz w:val="28"/>
                <w:szCs w:val="28"/>
                <w:highlight w:val="none"/>
                <w:lang w:eastAsia="zh-CN"/>
              </w:rPr>
            </w:pPr>
            <w:r>
              <w:rPr>
                <w:rFonts w:hint="eastAsia" w:ascii="仿宋" w:hAnsi="仿宋" w:eastAsia="仿宋" w:cs="仿宋"/>
                <w:bCs/>
                <w:color w:val="auto"/>
                <w:kern w:val="0"/>
                <w:sz w:val="28"/>
                <w:szCs w:val="28"/>
                <w:highlight w:val="none"/>
              </w:rPr>
              <w:t>1</w:t>
            </w:r>
            <w:r>
              <w:rPr>
                <w:rFonts w:hint="eastAsia" w:ascii="仿宋" w:hAnsi="仿宋" w:eastAsia="仿宋" w:cs="仿宋"/>
                <w:bCs/>
                <w:color w:val="auto"/>
                <w:kern w:val="0"/>
                <w:sz w:val="28"/>
                <w:szCs w:val="28"/>
                <w:highlight w:val="none"/>
                <w:lang w:val="en-US" w:eastAsia="zh-CN"/>
              </w:rPr>
              <w:t>5</w:t>
            </w:r>
          </w:p>
        </w:tc>
        <w:tc>
          <w:tcPr>
            <w:tcW w:w="2254" w:type="dxa"/>
            <w:tcBorders>
              <w:top w:val="single" w:color="auto" w:sz="4" w:space="0"/>
              <w:left w:val="single" w:color="auto" w:sz="4" w:space="0"/>
              <w:bottom w:val="single" w:color="auto" w:sz="4" w:space="0"/>
              <w:right w:val="single" w:color="auto" w:sz="4" w:space="0"/>
            </w:tcBorders>
            <w:vAlign w:val="center"/>
          </w:tcPr>
          <w:p w14:paraId="224A33AD">
            <w:pPr>
              <w:keepNext w:val="0"/>
              <w:keepLines w:val="0"/>
              <w:pageBreakBefore w:val="0"/>
              <w:suppressLineNumbers w:val="0"/>
              <w:kinsoku/>
              <w:overflowPunct/>
              <w:topLinePunct/>
              <w:autoSpaceDE/>
              <w:autoSpaceDN/>
              <w:bidi w:val="0"/>
              <w:spacing w:before="0" w:beforeAutospacing="0" w:after="0" w:afterAutospacing="0" w:line="520" w:lineRule="exact"/>
              <w:ind w:left="0" w:right="0"/>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开标时间</w:t>
            </w:r>
          </w:p>
        </w:tc>
        <w:tc>
          <w:tcPr>
            <w:tcW w:w="6910" w:type="dxa"/>
            <w:tcBorders>
              <w:top w:val="single" w:color="auto" w:sz="4" w:space="0"/>
              <w:left w:val="single" w:color="auto" w:sz="4" w:space="0"/>
              <w:bottom w:val="single" w:color="auto" w:sz="4" w:space="0"/>
            </w:tcBorders>
            <w:vAlign w:val="center"/>
          </w:tcPr>
          <w:p w14:paraId="7496A03D">
            <w:pPr>
              <w:keepNext w:val="0"/>
              <w:keepLines w:val="0"/>
              <w:pageBreakBefore w:val="0"/>
              <w:suppressLineNumbers w:val="0"/>
              <w:kinsoku/>
              <w:overflowPunct/>
              <w:topLinePunct/>
              <w:autoSpaceDE/>
              <w:autoSpaceDN/>
              <w:bidi w:val="0"/>
              <w:spacing w:before="0" w:beforeAutospacing="0" w:after="0" w:afterAutospacing="0" w:line="520" w:lineRule="exact"/>
              <w:ind w:left="0" w:right="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详见招标公告</w:t>
            </w:r>
          </w:p>
        </w:tc>
      </w:tr>
      <w:tr w14:paraId="63AC2E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1" w:hRule="atLeast"/>
          <w:jc w:val="center"/>
        </w:trPr>
        <w:tc>
          <w:tcPr>
            <w:tcW w:w="800" w:type="dxa"/>
            <w:tcBorders>
              <w:top w:val="single" w:color="auto" w:sz="4" w:space="0"/>
              <w:bottom w:val="single" w:color="auto" w:sz="4" w:space="0"/>
              <w:right w:val="single" w:color="auto" w:sz="4" w:space="0"/>
            </w:tcBorders>
            <w:vAlign w:val="center"/>
          </w:tcPr>
          <w:p w14:paraId="3BA07B5A">
            <w:pPr>
              <w:keepNext w:val="0"/>
              <w:keepLines w:val="0"/>
              <w:pageBreakBefore w:val="0"/>
              <w:widowControl/>
              <w:suppressLineNumbers w:val="0"/>
              <w:kinsoku/>
              <w:overflowPunct/>
              <w:topLinePunct/>
              <w:autoSpaceDE/>
              <w:autoSpaceDN/>
              <w:bidi w:val="0"/>
              <w:adjustRightInd w:val="0"/>
              <w:spacing w:before="0" w:beforeAutospacing="0" w:after="0" w:afterAutospacing="0" w:line="520" w:lineRule="exact"/>
              <w:ind w:left="0" w:right="0"/>
              <w:jc w:val="center"/>
              <w:textAlignment w:val="auto"/>
              <w:rPr>
                <w:rFonts w:hint="eastAsia" w:ascii="仿宋" w:hAnsi="仿宋" w:eastAsia="仿宋" w:cs="仿宋"/>
                <w:bCs/>
                <w:color w:val="auto"/>
                <w:kern w:val="0"/>
                <w:sz w:val="28"/>
                <w:szCs w:val="28"/>
                <w:highlight w:val="none"/>
                <w:lang w:eastAsia="zh-CN"/>
              </w:rPr>
            </w:pPr>
            <w:r>
              <w:rPr>
                <w:rFonts w:hint="eastAsia" w:ascii="仿宋" w:hAnsi="仿宋" w:eastAsia="仿宋" w:cs="仿宋"/>
                <w:bCs/>
                <w:color w:val="auto"/>
                <w:kern w:val="0"/>
                <w:sz w:val="28"/>
                <w:szCs w:val="28"/>
                <w:highlight w:val="none"/>
              </w:rPr>
              <w:t>1</w:t>
            </w:r>
            <w:r>
              <w:rPr>
                <w:rFonts w:hint="eastAsia" w:ascii="仿宋" w:hAnsi="仿宋" w:eastAsia="仿宋" w:cs="仿宋"/>
                <w:bCs/>
                <w:color w:val="auto"/>
                <w:kern w:val="0"/>
                <w:sz w:val="28"/>
                <w:szCs w:val="28"/>
                <w:highlight w:val="none"/>
                <w:lang w:val="en-US" w:eastAsia="zh-CN"/>
              </w:rPr>
              <w:t>6</w:t>
            </w:r>
          </w:p>
        </w:tc>
        <w:tc>
          <w:tcPr>
            <w:tcW w:w="2254" w:type="dxa"/>
            <w:tcBorders>
              <w:top w:val="single" w:color="auto" w:sz="4" w:space="0"/>
              <w:left w:val="single" w:color="auto" w:sz="4" w:space="0"/>
              <w:bottom w:val="single" w:color="auto" w:sz="4" w:space="0"/>
              <w:right w:val="single" w:color="auto" w:sz="4" w:space="0"/>
            </w:tcBorders>
            <w:vAlign w:val="center"/>
          </w:tcPr>
          <w:p w14:paraId="18CDB0E4">
            <w:pPr>
              <w:keepNext w:val="0"/>
              <w:keepLines w:val="0"/>
              <w:pageBreakBefore w:val="0"/>
              <w:suppressLineNumbers w:val="0"/>
              <w:kinsoku/>
              <w:overflowPunct/>
              <w:topLinePunct/>
              <w:autoSpaceDE/>
              <w:autoSpaceDN/>
              <w:bidi w:val="0"/>
              <w:spacing w:before="0" w:beforeAutospacing="0" w:after="0" w:afterAutospacing="0" w:line="520" w:lineRule="exact"/>
              <w:ind w:left="0" w:right="0"/>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开标地点</w:t>
            </w:r>
          </w:p>
        </w:tc>
        <w:tc>
          <w:tcPr>
            <w:tcW w:w="6910" w:type="dxa"/>
            <w:tcBorders>
              <w:top w:val="single" w:color="auto" w:sz="4" w:space="0"/>
              <w:left w:val="single" w:color="auto" w:sz="4" w:space="0"/>
              <w:bottom w:val="single" w:color="auto" w:sz="4" w:space="0"/>
            </w:tcBorders>
            <w:vAlign w:val="center"/>
          </w:tcPr>
          <w:p w14:paraId="4E2E0FCF">
            <w:pPr>
              <w:keepNext w:val="0"/>
              <w:keepLines w:val="0"/>
              <w:pageBreakBefore w:val="0"/>
              <w:suppressLineNumbers w:val="0"/>
              <w:kinsoku/>
              <w:overflowPunct/>
              <w:topLinePunct/>
              <w:autoSpaceDE/>
              <w:autoSpaceDN/>
              <w:bidi w:val="0"/>
              <w:spacing w:before="0" w:beforeAutospacing="0" w:after="0" w:afterAutospacing="0" w:line="520" w:lineRule="exact"/>
              <w:ind w:left="0" w:right="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详见招标公告</w:t>
            </w:r>
          </w:p>
        </w:tc>
      </w:tr>
      <w:tr w14:paraId="0A4C6E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33" w:hRule="atLeast"/>
          <w:jc w:val="center"/>
        </w:trPr>
        <w:tc>
          <w:tcPr>
            <w:tcW w:w="800" w:type="dxa"/>
            <w:tcBorders>
              <w:top w:val="single" w:color="auto" w:sz="4" w:space="0"/>
              <w:bottom w:val="single" w:color="auto" w:sz="4" w:space="0"/>
              <w:right w:val="single" w:color="auto" w:sz="4" w:space="0"/>
            </w:tcBorders>
            <w:vAlign w:val="center"/>
          </w:tcPr>
          <w:p w14:paraId="731C5454">
            <w:pPr>
              <w:keepNext w:val="0"/>
              <w:keepLines w:val="0"/>
              <w:pageBreakBefore w:val="0"/>
              <w:widowControl/>
              <w:suppressLineNumbers w:val="0"/>
              <w:kinsoku/>
              <w:overflowPunct/>
              <w:topLinePunct/>
              <w:autoSpaceDE/>
              <w:autoSpaceDN/>
              <w:bidi w:val="0"/>
              <w:adjustRightInd w:val="0"/>
              <w:spacing w:before="0" w:beforeAutospacing="0" w:after="0" w:afterAutospacing="0" w:line="520" w:lineRule="exact"/>
              <w:ind w:left="0" w:right="0"/>
              <w:jc w:val="center"/>
              <w:textAlignment w:val="auto"/>
              <w:rPr>
                <w:rFonts w:hint="eastAsia" w:ascii="仿宋" w:hAnsi="仿宋" w:eastAsia="仿宋" w:cs="仿宋"/>
                <w:bCs/>
                <w:color w:val="auto"/>
                <w:kern w:val="0"/>
                <w:sz w:val="28"/>
                <w:szCs w:val="28"/>
                <w:highlight w:val="none"/>
                <w:lang w:val="en-US" w:eastAsia="zh-CN"/>
              </w:rPr>
            </w:pPr>
            <w:r>
              <w:rPr>
                <w:rFonts w:hint="eastAsia" w:ascii="仿宋" w:hAnsi="仿宋" w:eastAsia="仿宋" w:cs="仿宋"/>
                <w:bCs/>
                <w:color w:val="auto"/>
                <w:kern w:val="0"/>
                <w:sz w:val="28"/>
                <w:szCs w:val="28"/>
                <w:highlight w:val="none"/>
                <w:lang w:val="en-US" w:eastAsia="zh-CN"/>
              </w:rPr>
              <w:t>17</w:t>
            </w:r>
          </w:p>
        </w:tc>
        <w:tc>
          <w:tcPr>
            <w:tcW w:w="2254" w:type="dxa"/>
            <w:tcBorders>
              <w:top w:val="single" w:color="auto" w:sz="4" w:space="0"/>
              <w:left w:val="single" w:color="auto" w:sz="4" w:space="0"/>
              <w:bottom w:val="single" w:color="auto" w:sz="4" w:space="0"/>
              <w:right w:val="single" w:color="auto" w:sz="4" w:space="0"/>
            </w:tcBorders>
            <w:vAlign w:val="center"/>
          </w:tcPr>
          <w:p w14:paraId="3353BD74">
            <w:pPr>
              <w:keepNext w:val="0"/>
              <w:keepLines w:val="0"/>
              <w:pageBreakBefore w:val="0"/>
              <w:suppressLineNumbers w:val="0"/>
              <w:kinsoku/>
              <w:overflowPunct/>
              <w:topLinePunct/>
              <w:autoSpaceDE/>
              <w:autoSpaceDN/>
              <w:bidi w:val="0"/>
              <w:spacing w:before="0" w:beforeAutospacing="0" w:after="0" w:afterAutospacing="0" w:line="520" w:lineRule="exact"/>
              <w:ind w:left="0" w:right="0"/>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开标方式</w:t>
            </w:r>
          </w:p>
        </w:tc>
        <w:tc>
          <w:tcPr>
            <w:tcW w:w="6910" w:type="dxa"/>
            <w:tcBorders>
              <w:top w:val="single" w:color="auto" w:sz="4" w:space="0"/>
              <w:left w:val="single" w:color="auto" w:sz="4" w:space="0"/>
              <w:bottom w:val="single" w:color="auto" w:sz="4" w:space="0"/>
            </w:tcBorders>
            <w:vAlign w:val="center"/>
          </w:tcPr>
          <w:p w14:paraId="5318BFFC">
            <w:pPr>
              <w:keepNext w:val="0"/>
              <w:keepLines w:val="0"/>
              <w:pageBreakBefore w:val="0"/>
              <w:suppressLineNumbers w:val="0"/>
              <w:kinsoku/>
              <w:overflowPunct/>
              <w:topLinePunct/>
              <w:autoSpaceDE/>
              <w:autoSpaceDN/>
              <w:bidi w:val="0"/>
              <w:spacing w:before="0" w:beforeAutospacing="0" w:after="0" w:afterAutospacing="0" w:line="520" w:lineRule="exact"/>
              <w:ind w:left="0" w:right="0"/>
              <w:jc w:val="left"/>
              <w:textAlignment w:val="auto"/>
              <w:rPr>
                <w:rFonts w:hint="eastAsia" w:ascii="仿宋" w:hAnsi="仿宋" w:eastAsia="仿宋" w:cs="仿宋"/>
                <w:color w:val="auto"/>
                <w:sz w:val="28"/>
                <w:szCs w:val="28"/>
                <w:highlight w:val="none"/>
              </w:rPr>
            </w:pPr>
            <w:r>
              <w:rPr>
                <w:rFonts w:hint="eastAsia" w:ascii="仿宋" w:hAnsi="仿宋" w:eastAsia="仿宋" w:cs="仿宋"/>
                <w:b w:val="0"/>
                <w:bCs w:val="0"/>
                <w:color w:val="auto"/>
                <w:spacing w:val="8"/>
                <w:kern w:val="0"/>
                <w:sz w:val="28"/>
                <w:szCs w:val="28"/>
                <w:highlight w:val="none"/>
              </w:rPr>
              <w:t>本项目实行全流程电子化，实行远程解密，投标人无需到现场，并保持通讯畅通，提前在个人电脑上进行测试确保音频、视频功能可正常使用，</w:t>
            </w:r>
            <w:r>
              <w:rPr>
                <w:rFonts w:hint="eastAsia" w:ascii="仿宋" w:hAnsi="仿宋" w:eastAsia="仿宋" w:cs="仿宋"/>
                <w:b w:val="0"/>
                <w:bCs w:val="0"/>
                <w:color w:val="auto"/>
                <w:sz w:val="28"/>
                <w:szCs w:val="28"/>
                <w:highlight w:val="none"/>
              </w:rPr>
              <w:t>开评标期间需实时关注交易系统相关通知，且被授权人的联络方式应保持畅通。</w:t>
            </w:r>
          </w:p>
        </w:tc>
      </w:tr>
      <w:tr w14:paraId="167B7E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7" w:hRule="atLeast"/>
          <w:jc w:val="center"/>
        </w:trPr>
        <w:tc>
          <w:tcPr>
            <w:tcW w:w="800" w:type="dxa"/>
            <w:tcBorders>
              <w:top w:val="single" w:color="auto" w:sz="4" w:space="0"/>
              <w:bottom w:val="single" w:color="auto" w:sz="4" w:space="0"/>
              <w:right w:val="single" w:color="auto" w:sz="4" w:space="0"/>
            </w:tcBorders>
            <w:vAlign w:val="center"/>
          </w:tcPr>
          <w:p w14:paraId="7D9F7E44">
            <w:pPr>
              <w:keepNext w:val="0"/>
              <w:keepLines w:val="0"/>
              <w:pageBreakBefore w:val="0"/>
              <w:widowControl/>
              <w:suppressLineNumbers w:val="0"/>
              <w:kinsoku/>
              <w:overflowPunct/>
              <w:topLinePunct/>
              <w:autoSpaceDE/>
              <w:autoSpaceDN/>
              <w:bidi w:val="0"/>
              <w:adjustRightInd w:val="0"/>
              <w:spacing w:before="0" w:beforeAutospacing="0" w:after="0" w:afterAutospacing="0" w:line="520" w:lineRule="exact"/>
              <w:ind w:left="0" w:right="0"/>
              <w:jc w:val="center"/>
              <w:textAlignment w:val="auto"/>
              <w:rPr>
                <w:rFonts w:hint="eastAsia" w:ascii="仿宋" w:hAnsi="仿宋" w:eastAsia="仿宋" w:cs="仿宋"/>
                <w:bCs/>
                <w:color w:val="auto"/>
                <w:kern w:val="0"/>
                <w:sz w:val="28"/>
                <w:szCs w:val="28"/>
                <w:highlight w:val="none"/>
                <w:lang w:val="en-US" w:eastAsia="zh-CN"/>
              </w:rPr>
            </w:pPr>
            <w:r>
              <w:rPr>
                <w:rFonts w:hint="eastAsia" w:ascii="仿宋" w:hAnsi="仿宋" w:eastAsia="仿宋" w:cs="仿宋"/>
                <w:bCs/>
                <w:color w:val="auto"/>
                <w:kern w:val="0"/>
                <w:sz w:val="28"/>
                <w:szCs w:val="28"/>
                <w:highlight w:val="none"/>
                <w:lang w:val="en-US" w:eastAsia="zh-CN"/>
              </w:rPr>
              <w:t>18</w:t>
            </w:r>
          </w:p>
        </w:tc>
        <w:tc>
          <w:tcPr>
            <w:tcW w:w="2254" w:type="dxa"/>
            <w:tcBorders>
              <w:top w:val="single" w:color="auto" w:sz="4" w:space="0"/>
              <w:left w:val="single" w:color="auto" w:sz="4" w:space="0"/>
              <w:bottom w:val="single" w:color="auto" w:sz="4" w:space="0"/>
              <w:right w:val="single" w:color="auto" w:sz="4" w:space="0"/>
            </w:tcBorders>
            <w:vAlign w:val="center"/>
          </w:tcPr>
          <w:p w14:paraId="4344394A">
            <w:pPr>
              <w:keepNext w:val="0"/>
              <w:keepLines w:val="0"/>
              <w:pageBreakBefore w:val="0"/>
              <w:suppressLineNumbers w:val="0"/>
              <w:kinsoku/>
              <w:overflowPunct/>
              <w:topLinePunct/>
              <w:autoSpaceDE/>
              <w:autoSpaceDN/>
              <w:bidi w:val="0"/>
              <w:spacing w:before="0" w:beforeAutospacing="0" w:after="0" w:afterAutospacing="0" w:line="520" w:lineRule="exact"/>
              <w:ind w:left="0" w:right="0"/>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开标程序</w:t>
            </w:r>
          </w:p>
        </w:tc>
        <w:tc>
          <w:tcPr>
            <w:tcW w:w="6910" w:type="dxa"/>
            <w:tcBorders>
              <w:top w:val="single" w:color="auto" w:sz="4" w:space="0"/>
              <w:left w:val="single" w:color="auto" w:sz="4" w:space="0"/>
              <w:bottom w:val="single" w:color="auto" w:sz="4" w:space="0"/>
            </w:tcBorders>
            <w:vAlign w:val="center"/>
          </w:tcPr>
          <w:p w14:paraId="5741635E">
            <w:pPr>
              <w:keepNext w:val="0"/>
              <w:keepLines w:val="0"/>
              <w:pageBreakBefore w:val="0"/>
              <w:suppressLineNumbers w:val="0"/>
              <w:kinsoku/>
              <w:overflowPunct/>
              <w:topLinePunct/>
              <w:autoSpaceDE/>
              <w:autoSpaceDN/>
              <w:bidi w:val="0"/>
              <w:spacing w:before="0" w:beforeAutospacing="0" w:after="0" w:afterAutospacing="0" w:line="520" w:lineRule="exact"/>
              <w:ind w:left="0" w:right="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签到时间：开标时间前30分钟内完成</w:t>
            </w:r>
          </w:p>
          <w:p w14:paraId="7698EAD9">
            <w:pPr>
              <w:keepNext w:val="0"/>
              <w:keepLines w:val="0"/>
              <w:pageBreakBefore w:val="0"/>
              <w:suppressLineNumbers w:val="0"/>
              <w:kinsoku/>
              <w:overflowPunct/>
              <w:topLinePunct/>
              <w:autoSpaceDE/>
              <w:autoSpaceDN/>
              <w:bidi w:val="0"/>
              <w:spacing w:before="0" w:beforeAutospacing="0" w:after="0" w:afterAutospacing="0" w:line="520" w:lineRule="exact"/>
              <w:ind w:left="0" w:right="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解密时间：开始解密后</w:t>
            </w:r>
            <w:r>
              <w:rPr>
                <w:rFonts w:hint="eastAsia" w:ascii="仿宋" w:hAnsi="仿宋" w:eastAsia="仿宋" w:cs="仿宋"/>
                <w:color w:val="auto"/>
                <w:sz w:val="28"/>
                <w:szCs w:val="28"/>
                <w:highlight w:val="none"/>
                <w:lang w:val="en-US" w:eastAsia="zh-CN"/>
              </w:rPr>
              <w:t>20</w:t>
            </w:r>
            <w:r>
              <w:rPr>
                <w:rFonts w:hint="eastAsia" w:ascii="仿宋" w:hAnsi="仿宋" w:eastAsia="仿宋" w:cs="仿宋"/>
                <w:color w:val="auto"/>
                <w:sz w:val="28"/>
                <w:szCs w:val="28"/>
                <w:highlight w:val="none"/>
              </w:rPr>
              <w:t>分钟内完成</w:t>
            </w:r>
          </w:p>
          <w:p w14:paraId="43DEA08E">
            <w:pPr>
              <w:keepNext w:val="0"/>
              <w:keepLines w:val="0"/>
              <w:pageBreakBefore w:val="0"/>
              <w:suppressLineNumbers w:val="0"/>
              <w:kinsoku/>
              <w:overflowPunct/>
              <w:topLinePunct/>
              <w:autoSpaceDE/>
              <w:autoSpaceDN/>
              <w:bidi w:val="0"/>
              <w:spacing w:before="0" w:beforeAutospacing="0" w:after="0" w:afterAutospacing="0" w:line="520" w:lineRule="exact"/>
              <w:ind w:left="0" w:right="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投标人随时关注交易系统，及时刷新页面，在规定时间内完成解密。未能按时完成解密的，将会被视为无效投标（响应）</w:t>
            </w:r>
          </w:p>
        </w:tc>
      </w:tr>
      <w:tr w14:paraId="793C12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5" w:hRule="atLeast"/>
          <w:jc w:val="center"/>
        </w:trPr>
        <w:tc>
          <w:tcPr>
            <w:tcW w:w="800" w:type="dxa"/>
            <w:tcBorders>
              <w:top w:val="single" w:color="auto" w:sz="4" w:space="0"/>
              <w:bottom w:val="single" w:color="auto" w:sz="4" w:space="0"/>
              <w:right w:val="single" w:color="auto" w:sz="4" w:space="0"/>
            </w:tcBorders>
            <w:shd w:val="clear" w:color="auto" w:fill="auto"/>
            <w:vAlign w:val="center"/>
          </w:tcPr>
          <w:p w14:paraId="2E2C7BB4">
            <w:pPr>
              <w:keepNext w:val="0"/>
              <w:keepLines w:val="0"/>
              <w:pageBreakBefore w:val="0"/>
              <w:widowControl w:val="0"/>
              <w:kinsoku/>
              <w:wordWrap w:val="0"/>
              <w:overflowPunct/>
              <w:topLinePunct w:val="0"/>
              <w:autoSpaceDE/>
              <w:autoSpaceDN/>
              <w:bidi w:val="0"/>
              <w:adjustRightInd/>
              <w:snapToGrid/>
              <w:spacing w:line="240" w:lineRule="auto"/>
              <w:jc w:val="center"/>
              <w:textAlignment w:val="top"/>
              <w:rPr>
                <w:rFonts w:hint="default" w:ascii="仿宋" w:hAnsi="仿宋" w:eastAsia="仿宋" w:cs="仿宋"/>
                <w:color w:val="000000" w:themeColor="text1"/>
                <w:kern w:val="2"/>
                <w:sz w:val="28"/>
                <w:szCs w:val="28"/>
                <w:highlight w:val="none"/>
                <w:lang w:val="en-US" w:eastAsia="zh-CN" w:bidi="ar-SA"/>
              </w:rPr>
            </w:pPr>
            <w:r>
              <w:rPr>
                <w:rFonts w:hint="eastAsia" w:ascii="仿宋" w:hAnsi="仿宋" w:eastAsia="仿宋" w:cs="仿宋"/>
                <w:color w:val="000000" w:themeColor="text1"/>
                <w:sz w:val="28"/>
                <w:szCs w:val="28"/>
                <w:highlight w:val="none"/>
                <w:lang w:val="en-US" w:eastAsia="zh-CN"/>
              </w:rPr>
              <w:t>19</w:t>
            </w:r>
          </w:p>
        </w:tc>
        <w:tc>
          <w:tcPr>
            <w:tcW w:w="2254" w:type="dxa"/>
            <w:tcBorders>
              <w:top w:val="single" w:color="auto" w:sz="4" w:space="0"/>
              <w:left w:val="single" w:color="auto" w:sz="4" w:space="0"/>
              <w:bottom w:val="single" w:color="auto" w:sz="4" w:space="0"/>
              <w:right w:val="single" w:color="auto" w:sz="4" w:space="0"/>
            </w:tcBorders>
            <w:shd w:val="clear" w:color="auto" w:fill="auto"/>
            <w:vAlign w:val="center"/>
          </w:tcPr>
          <w:p w14:paraId="5105D727">
            <w:pPr>
              <w:keepNext w:val="0"/>
              <w:keepLines w:val="0"/>
              <w:pageBreakBefore w:val="0"/>
              <w:widowControl w:val="0"/>
              <w:kinsoku/>
              <w:wordWrap w:val="0"/>
              <w:overflowPunct/>
              <w:topLinePunct w:val="0"/>
              <w:autoSpaceDE/>
              <w:autoSpaceDN/>
              <w:bidi w:val="0"/>
              <w:adjustRightInd/>
              <w:snapToGrid/>
              <w:spacing w:line="240" w:lineRule="auto"/>
              <w:jc w:val="center"/>
              <w:textAlignment w:val="top"/>
              <w:rPr>
                <w:rFonts w:hint="eastAsia" w:ascii="仿宋" w:hAnsi="仿宋" w:eastAsia="仿宋" w:cs="仿宋"/>
                <w:color w:val="000000" w:themeColor="text1"/>
                <w:kern w:val="2"/>
                <w:sz w:val="28"/>
                <w:szCs w:val="28"/>
                <w:highlight w:val="none"/>
                <w:lang w:val="en-US" w:eastAsia="zh-CN" w:bidi="ar-SA"/>
              </w:rPr>
            </w:pPr>
            <w:r>
              <w:rPr>
                <w:rFonts w:hint="eastAsia" w:ascii="仿宋" w:hAnsi="仿宋" w:eastAsia="仿宋" w:cs="仿宋"/>
                <w:color w:val="000000" w:themeColor="text1"/>
                <w:sz w:val="28"/>
                <w:szCs w:val="28"/>
                <w:highlight w:val="none"/>
              </w:rPr>
              <w:t>资格审查方式</w:t>
            </w:r>
          </w:p>
        </w:tc>
        <w:tc>
          <w:tcPr>
            <w:tcW w:w="6910" w:type="dxa"/>
            <w:tcBorders>
              <w:top w:val="single" w:color="auto" w:sz="4" w:space="0"/>
              <w:left w:val="single" w:color="auto" w:sz="4" w:space="0"/>
              <w:bottom w:val="single" w:color="auto" w:sz="4" w:space="0"/>
            </w:tcBorders>
            <w:shd w:val="clear" w:color="auto" w:fill="auto"/>
            <w:vAlign w:val="center"/>
          </w:tcPr>
          <w:p w14:paraId="6F8B05F2">
            <w:pPr>
              <w:keepNext w:val="0"/>
              <w:keepLines w:val="0"/>
              <w:pageBreakBefore w:val="0"/>
              <w:widowControl w:val="0"/>
              <w:kinsoku/>
              <w:wordWrap w:val="0"/>
              <w:overflowPunct/>
              <w:topLinePunct w:val="0"/>
              <w:autoSpaceDE/>
              <w:autoSpaceDN/>
              <w:bidi w:val="0"/>
              <w:adjustRightInd/>
              <w:snapToGrid/>
              <w:spacing w:line="240" w:lineRule="auto"/>
              <w:textAlignment w:val="top"/>
              <w:rPr>
                <w:rFonts w:hint="eastAsia" w:ascii="仿宋" w:hAnsi="仿宋" w:eastAsia="仿宋" w:cs="仿宋"/>
                <w:color w:val="000000" w:themeColor="text1"/>
                <w:kern w:val="2"/>
                <w:sz w:val="28"/>
                <w:szCs w:val="28"/>
                <w:highlight w:val="none"/>
                <w:lang w:val="en-US" w:eastAsia="zh-CN" w:bidi="ar-SA"/>
              </w:rPr>
            </w:pPr>
            <w:r>
              <w:rPr>
                <w:rFonts w:hint="eastAsia" w:ascii="仿宋" w:hAnsi="仿宋" w:eastAsia="仿宋" w:cs="仿宋"/>
                <w:color w:val="000000" w:themeColor="text1"/>
                <w:sz w:val="28"/>
                <w:szCs w:val="28"/>
                <w:highlight w:val="none"/>
              </w:rPr>
              <w:t>资格后审</w:t>
            </w:r>
          </w:p>
        </w:tc>
      </w:tr>
      <w:tr w14:paraId="452289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5" w:hRule="atLeast"/>
          <w:jc w:val="center"/>
        </w:trPr>
        <w:tc>
          <w:tcPr>
            <w:tcW w:w="800" w:type="dxa"/>
            <w:tcBorders>
              <w:top w:val="single" w:color="auto" w:sz="4" w:space="0"/>
              <w:bottom w:val="single" w:color="auto" w:sz="4" w:space="0"/>
              <w:right w:val="single" w:color="auto" w:sz="4" w:space="0"/>
            </w:tcBorders>
            <w:vAlign w:val="center"/>
          </w:tcPr>
          <w:p w14:paraId="2C4C41A5">
            <w:pPr>
              <w:keepNext w:val="0"/>
              <w:keepLines w:val="0"/>
              <w:pageBreakBefore w:val="0"/>
              <w:suppressLineNumbers w:val="0"/>
              <w:kinsoku/>
              <w:overflowPunct/>
              <w:topLinePunct/>
              <w:autoSpaceDE/>
              <w:autoSpaceDN/>
              <w:bidi w:val="0"/>
              <w:snapToGrid w:val="0"/>
              <w:spacing w:before="0" w:beforeAutospacing="0" w:after="0" w:afterAutospacing="0" w:line="520" w:lineRule="exact"/>
              <w:ind w:left="0" w:right="0"/>
              <w:jc w:val="center"/>
              <w:textAlignment w:val="auto"/>
              <w:rPr>
                <w:rFonts w:hint="default" w:ascii="仿宋" w:hAnsi="仿宋" w:eastAsia="仿宋" w:cs="仿宋"/>
                <w:bCs/>
                <w:color w:val="auto"/>
                <w:kern w:val="0"/>
                <w:sz w:val="28"/>
                <w:szCs w:val="28"/>
                <w:highlight w:val="none"/>
                <w:lang w:val="en-US" w:eastAsia="zh-CN"/>
              </w:rPr>
            </w:pPr>
            <w:r>
              <w:rPr>
                <w:rFonts w:hint="eastAsia" w:ascii="仿宋" w:hAnsi="仿宋" w:eastAsia="仿宋" w:cs="仿宋"/>
                <w:bCs/>
                <w:color w:val="auto"/>
                <w:kern w:val="0"/>
                <w:sz w:val="28"/>
                <w:szCs w:val="28"/>
                <w:highlight w:val="none"/>
                <w:lang w:val="en-US" w:eastAsia="zh-CN"/>
              </w:rPr>
              <w:t>20</w:t>
            </w:r>
          </w:p>
        </w:tc>
        <w:tc>
          <w:tcPr>
            <w:tcW w:w="2254" w:type="dxa"/>
            <w:tcBorders>
              <w:top w:val="single" w:color="auto" w:sz="4" w:space="0"/>
              <w:left w:val="single" w:color="auto" w:sz="4" w:space="0"/>
              <w:bottom w:val="single" w:color="auto" w:sz="4" w:space="0"/>
              <w:right w:val="single" w:color="auto" w:sz="4" w:space="0"/>
            </w:tcBorders>
            <w:vAlign w:val="center"/>
          </w:tcPr>
          <w:p w14:paraId="7B36F50E">
            <w:pPr>
              <w:keepNext w:val="0"/>
              <w:keepLines w:val="0"/>
              <w:pageBreakBefore w:val="0"/>
              <w:suppressLineNumbers w:val="0"/>
              <w:kinsoku/>
              <w:overflowPunct/>
              <w:topLinePunct/>
              <w:autoSpaceDE/>
              <w:autoSpaceDN/>
              <w:bidi w:val="0"/>
              <w:spacing w:before="0" w:beforeAutospacing="0" w:after="0" w:afterAutospacing="0" w:line="520" w:lineRule="exact"/>
              <w:ind w:left="0" w:right="0"/>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评标办法</w:t>
            </w:r>
          </w:p>
        </w:tc>
        <w:tc>
          <w:tcPr>
            <w:tcW w:w="6910" w:type="dxa"/>
            <w:tcBorders>
              <w:top w:val="single" w:color="auto" w:sz="4" w:space="0"/>
              <w:left w:val="single" w:color="auto" w:sz="4" w:space="0"/>
              <w:bottom w:val="single" w:color="auto" w:sz="4" w:space="0"/>
            </w:tcBorders>
            <w:vAlign w:val="center"/>
          </w:tcPr>
          <w:p w14:paraId="291C3D8E">
            <w:pPr>
              <w:keepNext w:val="0"/>
              <w:keepLines w:val="0"/>
              <w:pageBreakBefore w:val="0"/>
              <w:suppressLineNumbers w:val="0"/>
              <w:kinsoku/>
              <w:overflowPunct/>
              <w:topLinePunct/>
              <w:autoSpaceDE/>
              <w:autoSpaceDN/>
              <w:bidi w:val="0"/>
              <w:snapToGrid w:val="0"/>
              <w:spacing w:before="0" w:beforeAutospacing="0" w:after="0" w:afterAutospacing="0" w:line="520" w:lineRule="exact"/>
              <w:ind w:left="0" w:right="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综合评分法</w:t>
            </w:r>
          </w:p>
        </w:tc>
      </w:tr>
      <w:tr w14:paraId="468F987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0" w:hRule="atLeast"/>
          <w:jc w:val="center"/>
        </w:trPr>
        <w:tc>
          <w:tcPr>
            <w:tcW w:w="800" w:type="dxa"/>
            <w:tcBorders>
              <w:top w:val="single" w:color="auto" w:sz="4" w:space="0"/>
              <w:bottom w:val="single" w:color="auto" w:sz="4" w:space="0"/>
              <w:right w:val="single" w:color="auto" w:sz="4" w:space="0"/>
            </w:tcBorders>
            <w:vAlign w:val="center"/>
          </w:tcPr>
          <w:p w14:paraId="0F0C3F61">
            <w:pPr>
              <w:keepNext w:val="0"/>
              <w:keepLines w:val="0"/>
              <w:pageBreakBefore w:val="0"/>
              <w:widowControl/>
              <w:suppressLineNumbers w:val="0"/>
              <w:kinsoku/>
              <w:overflowPunct/>
              <w:topLinePunct/>
              <w:autoSpaceDE/>
              <w:autoSpaceDN/>
              <w:bidi w:val="0"/>
              <w:adjustRightInd w:val="0"/>
              <w:spacing w:before="0" w:beforeAutospacing="0" w:after="0" w:afterAutospacing="0" w:line="520" w:lineRule="exact"/>
              <w:ind w:left="0" w:right="0"/>
              <w:jc w:val="center"/>
              <w:textAlignment w:val="auto"/>
              <w:rPr>
                <w:rFonts w:hint="eastAsia" w:ascii="仿宋" w:hAnsi="仿宋" w:eastAsia="仿宋" w:cs="仿宋"/>
                <w:bCs/>
                <w:color w:val="auto"/>
                <w:kern w:val="0"/>
                <w:sz w:val="28"/>
                <w:szCs w:val="28"/>
                <w:highlight w:val="none"/>
                <w:lang w:val="en-US" w:eastAsia="zh-CN"/>
              </w:rPr>
            </w:pPr>
            <w:r>
              <w:rPr>
                <w:rFonts w:hint="eastAsia" w:ascii="仿宋" w:hAnsi="仿宋" w:eastAsia="仿宋" w:cs="仿宋"/>
                <w:bCs/>
                <w:color w:val="auto"/>
                <w:kern w:val="0"/>
                <w:sz w:val="28"/>
                <w:szCs w:val="28"/>
                <w:highlight w:val="none"/>
                <w:lang w:val="en-US" w:eastAsia="zh-CN"/>
              </w:rPr>
              <w:t>21</w:t>
            </w:r>
          </w:p>
        </w:tc>
        <w:tc>
          <w:tcPr>
            <w:tcW w:w="2254" w:type="dxa"/>
            <w:tcBorders>
              <w:top w:val="single" w:color="auto" w:sz="4" w:space="0"/>
              <w:left w:val="single" w:color="auto" w:sz="4" w:space="0"/>
              <w:bottom w:val="single" w:color="auto" w:sz="4" w:space="0"/>
              <w:right w:val="single" w:color="auto" w:sz="4" w:space="0"/>
            </w:tcBorders>
            <w:vAlign w:val="center"/>
          </w:tcPr>
          <w:p w14:paraId="55557FEE">
            <w:pPr>
              <w:keepNext w:val="0"/>
              <w:keepLines w:val="0"/>
              <w:pageBreakBefore w:val="0"/>
              <w:suppressLineNumbers w:val="0"/>
              <w:kinsoku/>
              <w:overflowPunct/>
              <w:topLinePunct/>
              <w:autoSpaceDE/>
              <w:autoSpaceDN/>
              <w:bidi w:val="0"/>
              <w:spacing w:before="0" w:beforeAutospacing="0" w:after="0" w:afterAutospacing="0" w:line="520" w:lineRule="exact"/>
              <w:ind w:left="0" w:right="0"/>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联合体投标</w:t>
            </w:r>
          </w:p>
        </w:tc>
        <w:tc>
          <w:tcPr>
            <w:tcW w:w="6910" w:type="dxa"/>
            <w:tcBorders>
              <w:top w:val="single" w:color="auto" w:sz="4" w:space="0"/>
              <w:left w:val="single" w:color="auto" w:sz="4" w:space="0"/>
              <w:bottom w:val="single" w:color="auto" w:sz="4" w:space="0"/>
            </w:tcBorders>
            <w:vAlign w:val="center"/>
          </w:tcPr>
          <w:p w14:paraId="2F30E925">
            <w:pPr>
              <w:keepNext w:val="0"/>
              <w:keepLines w:val="0"/>
              <w:pageBreakBefore w:val="0"/>
              <w:suppressLineNumbers w:val="0"/>
              <w:kinsoku/>
              <w:overflowPunct/>
              <w:topLinePunct/>
              <w:autoSpaceDE/>
              <w:autoSpaceDN/>
              <w:bidi w:val="0"/>
              <w:spacing w:before="0" w:beforeAutospacing="0" w:after="0" w:afterAutospacing="0" w:line="520" w:lineRule="exact"/>
              <w:ind w:left="0" w:right="0"/>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不</w:t>
            </w:r>
            <w:r>
              <w:rPr>
                <w:rFonts w:hint="eastAsia" w:ascii="仿宋" w:hAnsi="仿宋" w:eastAsia="仿宋" w:cs="仿宋"/>
                <w:color w:val="auto"/>
                <w:sz w:val="28"/>
                <w:szCs w:val="28"/>
                <w:highlight w:val="none"/>
                <w:lang w:val="en-US" w:eastAsia="zh-CN"/>
              </w:rPr>
              <w:t>允许</w:t>
            </w:r>
          </w:p>
        </w:tc>
      </w:tr>
      <w:tr w14:paraId="4DA276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5" w:hRule="atLeast"/>
          <w:jc w:val="center"/>
        </w:trPr>
        <w:tc>
          <w:tcPr>
            <w:tcW w:w="800" w:type="dxa"/>
            <w:tcBorders>
              <w:top w:val="single" w:color="auto" w:sz="4" w:space="0"/>
              <w:bottom w:val="single" w:color="auto" w:sz="4" w:space="0"/>
              <w:right w:val="single" w:color="auto" w:sz="4" w:space="0"/>
            </w:tcBorders>
            <w:shd w:val="clear" w:color="auto" w:fill="auto"/>
            <w:vAlign w:val="center"/>
          </w:tcPr>
          <w:p w14:paraId="72480E93">
            <w:pPr>
              <w:keepNext w:val="0"/>
              <w:keepLines w:val="0"/>
              <w:pageBreakBefore w:val="0"/>
              <w:widowControl w:val="0"/>
              <w:kinsoku/>
              <w:wordWrap w:val="0"/>
              <w:overflowPunct/>
              <w:topLinePunct w:val="0"/>
              <w:autoSpaceDE/>
              <w:autoSpaceDN/>
              <w:bidi w:val="0"/>
              <w:adjustRightInd/>
              <w:snapToGrid/>
              <w:spacing w:line="240" w:lineRule="auto"/>
              <w:jc w:val="center"/>
              <w:textAlignment w:val="top"/>
              <w:rPr>
                <w:rFonts w:hint="eastAsia" w:ascii="仿宋" w:hAnsi="仿宋" w:eastAsia="仿宋" w:cs="仿宋"/>
                <w:color w:val="000000" w:themeColor="text1"/>
                <w:kern w:val="2"/>
                <w:sz w:val="28"/>
                <w:szCs w:val="28"/>
                <w:highlight w:val="none"/>
                <w:lang w:val="en-US" w:eastAsia="zh-CN" w:bidi="ar-SA"/>
              </w:rPr>
            </w:pPr>
            <w:r>
              <w:rPr>
                <w:rFonts w:hint="eastAsia" w:ascii="仿宋" w:hAnsi="仿宋" w:eastAsia="仿宋" w:cs="仿宋"/>
                <w:color w:val="000000" w:themeColor="text1"/>
                <w:sz w:val="28"/>
                <w:szCs w:val="28"/>
                <w:highlight w:val="none"/>
              </w:rPr>
              <w:t>2</w:t>
            </w:r>
            <w:r>
              <w:rPr>
                <w:rFonts w:hint="eastAsia" w:ascii="仿宋" w:hAnsi="仿宋" w:eastAsia="仿宋" w:cs="仿宋"/>
                <w:color w:val="000000" w:themeColor="text1"/>
                <w:sz w:val="28"/>
                <w:szCs w:val="28"/>
                <w:highlight w:val="none"/>
                <w:lang w:val="en-US" w:eastAsia="zh-CN"/>
              </w:rPr>
              <w:t>2</w:t>
            </w:r>
          </w:p>
        </w:tc>
        <w:tc>
          <w:tcPr>
            <w:tcW w:w="2254" w:type="dxa"/>
            <w:tcBorders>
              <w:top w:val="single" w:color="auto" w:sz="4" w:space="0"/>
              <w:left w:val="single" w:color="auto" w:sz="4" w:space="0"/>
              <w:bottom w:val="single" w:color="auto" w:sz="4" w:space="0"/>
              <w:right w:val="single" w:color="auto" w:sz="4" w:space="0"/>
            </w:tcBorders>
            <w:shd w:val="clear" w:color="auto" w:fill="auto"/>
            <w:vAlign w:val="center"/>
          </w:tcPr>
          <w:p w14:paraId="009D5DAA">
            <w:pPr>
              <w:keepNext w:val="0"/>
              <w:keepLines w:val="0"/>
              <w:pageBreakBefore w:val="0"/>
              <w:widowControl w:val="0"/>
              <w:kinsoku/>
              <w:wordWrap w:val="0"/>
              <w:overflowPunct/>
              <w:topLinePunct w:val="0"/>
              <w:autoSpaceDE/>
              <w:autoSpaceDN/>
              <w:bidi w:val="0"/>
              <w:adjustRightInd/>
              <w:snapToGrid/>
              <w:spacing w:line="240" w:lineRule="auto"/>
              <w:jc w:val="center"/>
              <w:textAlignment w:val="top"/>
              <w:rPr>
                <w:rFonts w:hint="eastAsia" w:ascii="仿宋" w:hAnsi="仿宋" w:eastAsia="仿宋" w:cs="仿宋"/>
                <w:color w:val="000000" w:themeColor="text1"/>
                <w:kern w:val="2"/>
                <w:sz w:val="28"/>
                <w:szCs w:val="28"/>
                <w:highlight w:val="none"/>
                <w:lang w:val="en-US" w:eastAsia="zh-CN" w:bidi="ar-SA"/>
              </w:rPr>
            </w:pPr>
            <w:r>
              <w:rPr>
                <w:rFonts w:hint="eastAsia" w:ascii="仿宋" w:hAnsi="仿宋" w:eastAsia="仿宋" w:cs="仿宋"/>
                <w:color w:val="000000" w:themeColor="text1"/>
                <w:sz w:val="28"/>
                <w:szCs w:val="28"/>
                <w:highlight w:val="none"/>
              </w:rPr>
              <w:t>分（转）包</w:t>
            </w:r>
          </w:p>
        </w:tc>
        <w:tc>
          <w:tcPr>
            <w:tcW w:w="6910" w:type="dxa"/>
            <w:tcBorders>
              <w:top w:val="single" w:color="auto" w:sz="4" w:space="0"/>
              <w:left w:val="single" w:color="auto" w:sz="4" w:space="0"/>
              <w:bottom w:val="single" w:color="auto" w:sz="4" w:space="0"/>
            </w:tcBorders>
            <w:shd w:val="clear" w:color="auto" w:fill="auto"/>
            <w:vAlign w:val="center"/>
          </w:tcPr>
          <w:p w14:paraId="02A636D6">
            <w:pPr>
              <w:keepNext w:val="0"/>
              <w:keepLines w:val="0"/>
              <w:pageBreakBefore w:val="0"/>
              <w:widowControl w:val="0"/>
              <w:kinsoku/>
              <w:wordWrap w:val="0"/>
              <w:overflowPunct/>
              <w:topLinePunct w:val="0"/>
              <w:autoSpaceDE/>
              <w:autoSpaceDN/>
              <w:bidi w:val="0"/>
              <w:adjustRightInd/>
              <w:snapToGrid/>
              <w:spacing w:line="240" w:lineRule="auto"/>
              <w:textAlignment w:val="top"/>
              <w:rPr>
                <w:rFonts w:hint="eastAsia" w:ascii="仿宋" w:hAnsi="仿宋" w:eastAsia="仿宋" w:cs="仿宋"/>
                <w:color w:val="000000" w:themeColor="text1"/>
                <w:kern w:val="2"/>
                <w:sz w:val="28"/>
                <w:szCs w:val="28"/>
                <w:highlight w:val="none"/>
                <w:lang w:val="en-US" w:eastAsia="zh-CN" w:bidi="ar-SA"/>
              </w:rPr>
            </w:pPr>
            <w:r>
              <w:rPr>
                <w:rFonts w:hint="eastAsia" w:ascii="仿宋" w:hAnsi="仿宋" w:eastAsia="仿宋" w:cs="仿宋"/>
                <w:color w:val="000000" w:themeColor="text1"/>
                <w:sz w:val="28"/>
                <w:szCs w:val="28"/>
                <w:highlight w:val="none"/>
              </w:rPr>
              <w:t>不允许</w:t>
            </w:r>
          </w:p>
        </w:tc>
      </w:tr>
      <w:tr w14:paraId="55110A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0" w:hRule="atLeast"/>
          <w:jc w:val="center"/>
        </w:trPr>
        <w:tc>
          <w:tcPr>
            <w:tcW w:w="800" w:type="dxa"/>
            <w:tcBorders>
              <w:top w:val="single" w:color="auto" w:sz="4" w:space="0"/>
              <w:bottom w:val="single" w:color="auto" w:sz="4" w:space="0"/>
              <w:right w:val="single" w:color="auto" w:sz="4" w:space="0"/>
            </w:tcBorders>
            <w:shd w:val="clear" w:color="auto" w:fill="auto"/>
            <w:vAlign w:val="center"/>
          </w:tcPr>
          <w:p w14:paraId="309F646D">
            <w:pPr>
              <w:keepNext w:val="0"/>
              <w:keepLines w:val="0"/>
              <w:pageBreakBefore w:val="0"/>
              <w:widowControl/>
              <w:suppressLineNumbers w:val="0"/>
              <w:kinsoku/>
              <w:overflowPunct/>
              <w:topLinePunct/>
              <w:autoSpaceDE/>
              <w:autoSpaceDN/>
              <w:bidi w:val="0"/>
              <w:adjustRightInd w:val="0"/>
              <w:spacing w:before="0" w:beforeAutospacing="0" w:after="0" w:afterAutospacing="0" w:line="520" w:lineRule="exact"/>
              <w:ind w:left="0" w:leftChars="0" w:right="0" w:rightChars="0"/>
              <w:jc w:val="center"/>
              <w:textAlignment w:val="auto"/>
              <w:rPr>
                <w:rFonts w:hint="eastAsia" w:ascii="仿宋" w:hAnsi="仿宋" w:eastAsia="仿宋" w:cs="仿宋"/>
                <w:bCs/>
                <w:color w:val="auto"/>
                <w:kern w:val="0"/>
                <w:sz w:val="28"/>
                <w:szCs w:val="28"/>
                <w:highlight w:val="none"/>
                <w:lang w:val="en-US" w:eastAsia="zh-CN" w:bidi="ar-SA"/>
              </w:rPr>
            </w:pPr>
            <w:r>
              <w:rPr>
                <w:rFonts w:hint="eastAsia" w:ascii="仿宋" w:hAnsi="仿宋" w:eastAsia="仿宋" w:cs="仿宋"/>
                <w:bCs/>
                <w:color w:val="auto"/>
                <w:kern w:val="0"/>
                <w:sz w:val="28"/>
                <w:szCs w:val="28"/>
                <w:highlight w:val="none"/>
              </w:rPr>
              <w:t>2</w:t>
            </w:r>
            <w:r>
              <w:rPr>
                <w:rFonts w:hint="eastAsia" w:ascii="仿宋" w:hAnsi="仿宋" w:eastAsia="仿宋" w:cs="仿宋"/>
                <w:bCs/>
                <w:color w:val="auto"/>
                <w:kern w:val="0"/>
                <w:sz w:val="28"/>
                <w:szCs w:val="28"/>
                <w:highlight w:val="none"/>
                <w:lang w:val="en-US" w:eastAsia="zh-CN"/>
              </w:rPr>
              <w:t>3</w:t>
            </w:r>
          </w:p>
        </w:tc>
        <w:tc>
          <w:tcPr>
            <w:tcW w:w="2254" w:type="dxa"/>
            <w:tcBorders>
              <w:top w:val="single" w:color="auto" w:sz="4" w:space="0"/>
              <w:left w:val="single" w:color="auto" w:sz="4" w:space="0"/>
              <w:bottom w:val="single" w:color="auto" w:sz="4" w:space="0"/>
              <w:right w:val="single" w:color="auto" w:sz="4" w:space="0"/>
            </w:tcBorders>
            <w:vAlign w:val="center"/>
          </w:tcPr>
          <w:p w14:paraId="0A95542E">
            <w:pPr>
              <w:keepNext w:val="0"/>
              <w:keepLines w:val="0"/>
              <w:pageBreakBefore w:val="0"/>
              <w:suppressLineNumbers w:val="0"/>
              <w:kinsoku/>
              <w:overflowPunct/>
              <w:topLinePunct/>
              <w:autoSpaceDE/>
              <w:autoSpaceDN/>
              <w:bidi w:val="0"/>
              <w:spacing w:before="0" w:beforeAutospacing="0" w:after="0" w:afterAutospacing="0" w:line="520" w:lineRule="exact"/>
              <w:ind w:left="0" w:right="0"/>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投标保证金</w:t>
            </w:r>
          </w:p>
        </w:tc>
        <w:tc>
          <w:tcPr>
            <w:tcW w:w="6910" w:type="dxa"/>
            <w:tcBorders>
              <w:top w:val="single" w:color="auto" w:sz="4" w:space="0"/>
              <w:left w:val="single" w:color="auto" w:sz="4" w:space="0"/>
              <w:bottom w:val="single" w:color="auto" w:sz="4" w:space="0"/>
            </w:tcBorders>
            <w:vAlign w:val="center"/>
          </w:tcPr>
          <w:p w14:paraId="72C21622">
            <w:pPr>
              <w:keepNext w:val="0"/>
              <w:keepLines w:val="0"/>
              <w:pageBreakBefore w:val="0"/>
              <w:suppressLineNumbers w:val="0"/>
              <w:kinsoku/>
              <w:overflowPunct/>
              <w:topLinePunct/>
              <w:autoSpaceDE/>
              <w:autoSpaceDN/>
              <w:bidi w:val="0"/>
              <w:spacing w:before="0" w:beforeAutospacing="0" w:after="0" w:afterAutospacing="0" w:line="520" w:lineRule="exact"/>
              <w:ind w:left="0" w:right="0"/>
              <w:jc w:val="left"/>
              <w:textAlignment w:val="auto"/>
              <w:rPr>
                <w:rFonts w:hint="eastAsia" w:ascii="仿宋" w:hAnsi="仿宋" w:eastAsia="仿宋" w:cs="仿宋"/>
                <w:color w:val="auto"/>
                <w:sz w:val="28"/>
                <w:szCs w:val="28"/>
                <w:highlight w:val="yellow"/>
                <w:lang w:val="en-US" w:eastAsia="zh-CN"/>
              </w:rPr>
            </w:pPr>
            <w:r>
              <w:rPr>
                <w:rFonts w:hint="eastAsia" w:ascii="仿宋" w:hAnsi="仿宋" w:eastAsia="仿宋" w:cs="仿宋"/>
                <w:color w:val="auto"/>
                <w:sz w:val="28"/>
                <w:szCs w:val="28"/>
                <w:highlight w:val="none"/>
                <w:lang w:val="en-US" w:eastAsia="zh-CN"/>
              </w:rPr>
              <w:t>1.投标保证金的金额：人民币5000元整。</w:t>
            </w:r>
          </w:p>
          <w:p w14:paraId="25CD8048">
            <w:pPr>
              <w:keepNext w:val="0"/>
              <w:keepLines w:val="0"/>
              <w:pageBreakBefore w:val="0"/>
              <w:suppressLineNumbers w:val="0"/>
              <w:kinsoku/>
              <w:overflowPunct/>
              <w:topLinePunct/>
              <w:autoSpaceDE/>
              <w:autoSpaceDN/>
              <w:bidi w:val="0"/>
              <w:spacing w:before="0" w:beforeAutospacing="0" w:after="0" w:afterAutospacing="0" w:line="520" w:lineRule="exact"/>
              <w:ind w:left="0" w:right="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1.1本项目的投标保证金必须通过威海市国有企业阳光采购服务平台交纳，使用说明参见威海市公共资源交易网（http://ggzyjy.weihai.cn）的“办事指南—国企采购专区”中《新版威海市国有企业阳光采购服务平台供应商线上投标保证金操作手册》。</w:t>
            </w:r>
          </w:p>
          <w:p w14:paraId="75A2FCDA">
            <w:pPr>
              <w:keepNext w:val="0"/>
              <w:keepLines w:val="0"/>
              <w:pageBreakBefore w:val="0"/>
              <w:suppressLineNumbers w:val="0"/>
              <w:kinsoku/>
              <w:overflowPunct/>
              <w:topLinePunct/>
              <w:autoSpaceDE/>
              <w:autoSpaceDN/>
              <w:bidi w:val="0"/>
              <w:spacing w:before="0" w:beforeAutospacing="0" w:after="0" w:afterAutospacing="0" w:line="520" w:lineRule="exact"/>
              <w:ind w:left="0" w:right="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1.2为确保投标工作有序进行，保证金应当在开标（提交投标文件截止）时间前（以到账时间为准）到达威海公共资源交易服务有限公司账户，以网银、电汇等方式一次性足额交纳保证金，不接受支付宝等第三方平台转账。禁止第三方代交。保证金交纳单位应与提交投标文件的投标人名称一致。</w:t>
            </w:r>
          </w:p>
          <w:p w14:paraId="6F88D30B">
            <w:pPr>
              <w:keepNext w:val="0"/>
              <w:keepLines w:val="0"/>
              <w:pageBreakBefore w:val="0"/>
              <w:suppressLineNumbers w:val="0"/>
              <w:kinsoku/>
              <w:overflowPunct/>
              <w:topLinePunct/>
              <w:autoSpaceDE/>
              <w:autoSpaceDN/>
              <w:bidi w:val="0"/>
              <w:spacing w:before="0" w:beforeAutospacing="0" w:after="0" w:afterAutospacing="0" w:line="520" w:lineRule="exact"/>
              <w:ind w:left="0" w:right="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1.3为确保投标人保证金及时足额到账，请尽量提前交纳保证金，由于银行系统原因，请至少在提交投标文件截止时间前12小时将保证金汇出。如不按招标文件和系统使用指南操作，导致开标过程中威海市国有企业阳光采购服务平台未出现投标人名称或者显示保证金未按时到账，视为其未按照招标文件的规定提交投标保证金，投标人对此应有明确的认识，自行承担后果。投标人可以使用威海市国有企业阳光采购服务平台查询并及时更新交纳情况。</w:t>
            </w:r>
          </w:p>
          <w:p w14:paraId="3843CB6B">
            <w:pPr>
              <w:keepNext w:val="0"/>
              <w:keepLines w:val="0"/>
              <w:pageBreakBefore w:val="0"/>
              <w:suppressLineNumbers w:val="0"/>
              <w:kinsoku/>
              <w:overflowPunct/>
              <w:topLinePunct/>
              <w:autoSpaceDE/>
              <w:autoSpaceDN/>
              <w:bidi w:val="0"/>
              <w:spacing w:before="0" w:beforeAutospacing="0" w:after="0" w:afterAutospacing="0" w:line="520" w:lineRule="exact"/>
              <w:ind w:left="0" w:right="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注意：每个标段（若分多个标段）都应申请收款人虚拟账号，一个收款人虚拟账号仅限定一个投标人在本项目上使用。各投标人应严格按照招标文件的要求进行保证金的缴纳工作，在汇款时认真核对国企阳光采购平台的收款人名称和开户银行等信息是否与招标文件提供的信息一致，如有出入请及时联系招标人或采购代理机构，未按招标文件要求操作的，可能导致保证金无法确认，进而影响投标资格，由此引发的后果由投标人自行承担。</w:t>
            </w:r>
          </w:p>
          <w:p w14:paraId="736E65D6">
            <w:pPr>
              <w:keepNext w:val="0"/>
              <w:keepLines w:val="0"/>
              <w:pageBreakBefore w:val="0"/>
              <w:suppressLineNumbers w:val="0"/>
              <w:kinsoku/>
              <w:overflowPunct/>
              <w:topLinePunct/>
              <w:autoSpaceDE/>
              <w:autoSpaceDN/>
              <w:bidi w:val="0"/>
              <w:spacing w:before="0" w:beforeAutospacing="0" w:after="0" w:afterAutospacing="0" w:line="520" w:lineRule="exact"/>
              <w:ind w:left="0" w:right="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1.4.退还保证金：目前系统采用自动退还保证金操作，分为未中标人退还和中标人退还。代理机构向中标人发送中标通知书后，系统自动退还未中标人保证金；招标人和中标人签署完合同后，系统自动退还中标人保证金。</w:t>
            </w:r>
          </w:p>
          <w:p w14:paraId="4C1B3765">
            <w:pPr>
              <w:keepNext w:val="0"/>
              <w:keepLines w:val="0"/>
              <w:pageBreakBefore w:val="0"/>
              <w:suppressLineNumbers w:val="0"/>
              <w:kinsoku/>
              <w:overflowPunct/>
              <w:topLinePunct/>
              <w:autoSpaceDE/>
              <w:autoSpaceDN/>
              <w:bidi w:val="0"/>
              <w:spacing w:before="0" w:beforeAutospacing="0" w:after="0" w:afterAutospacing="0" w:line="520" w:lineRule="exact"/>
              <w:ind w:left="0" w:right="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2.要求：</w:t>
            </w:r>
          </w:p>
          <w:p w14:paraId="3F296AF9">
            <w:pPr>
              <w:keepNext w:val="0"/>
              <w:keepLines w:val="0"/>
              <w:pageBreakBefore w:val="0"/>
              <w:suppressLineNumbers w:val="0"/>
              <w:kinsoku/>
              <w:overflowPunct/>
              <w:topLinePunct/>
              <w:autoSpaceDE/>
              <w:autoSpaceDN/>
              <w:bidi w:val="0"/>
              <w:spacing w:before="0" w:beforeAutospacing="0" w:after="0" w:afterAutospacing="0" w:line="520" w:lineRule="exact"/>
              <w:ind w:left="0" w:right="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2.1保证金必须从投标人基本账户转出。</w:t>
            </w:r>
          </w:p>
          <w:p w14:paraId="451BFBAC">
            <w:pPr>
              <w:keepNext w:val="0"/>
              <w:keepLines w:val="0"/>
              <w:pageBreakBefore w:val="0"/>
              <w:suppressLineNumbers w:val="0"/>
              <w:kinsoku/>
              <w:overflowPunct/>
              <w:topLinePunct/>
              <w:autoSpaceDE/>
              <w:autoSpaceDN/>
              <w:bidi w:val="0"/>
              <w:spacing w:before="0" w:beforeAutospacing="0" w:after="0" w:afterAutospacing="0" w:line="520" w:lineRule="exact"/>
              <w:ind w:left="0" w:right="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2.2提供基本账户汇款证明，且保证金转出账户需与基本账户相同。</w:t>
            </w:r>
          </w:p>
          <w:p w14:paraId="13C18427">
            <w:pPr>
              <w:keepNext w:val="0"/>
              <w:keepLines w:val="0"/>
              <w:pageBreakBefore w:val="0"/>
              <w:suppressLineNumbers w:val="0"/>
              <w:kinsoku/>
              <w:overflowPunct/>
              <w:topLinePunct/>
              <w:autoSpaceDE/>
              <w:autoSpaceDN/>
              <w:bidi w:val="0"/>
              <w:spacing w:before="0" w:beforeAutospacing="0" w:after="0" w:afterAutospacing="0" w:line="520" w:lineRule="exact"/>
              <w:ind w:left="0" w:right="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未按规定交纳保证金否决其投标（报价）。</w:t>
            </w:r>
          </w:p>
        </w:tc>
      </w:tr>
      <w:tr w14:paraId="07F04E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800" w:type="dxa"/>
            <w:tcBorders>
              <w:top w:val="single" w:color="auto" w:sz="4" w:space="0"/>
              <w:bottom w:val="single" w:color="auto" w:sz="4" w:space="0"/>
              <w:right w:val="single" w:color="auto" w:sz="4" w:space="0"/>
            </w:tcBorders>
            <w:shd w:val="clear" w:color="auto" w:fill="auto"/>
            <w:vAlign w:val="center"/>
          </w:tcPr>
          <w:p w14:paraId="72917B40">
            <w:pPr>
              <w:keepNext w:val="0"/>
              <w:keepLines w:val="0"/>
              <w:pageBreakBefore w:val="0"/>
              <w:widowControl/>
              <w:suppressLineNumbers w:val="0"/>
              <w:kinsoku/>
              <w:overflowPunct/>
              <w:topLinePunct/>
              <w:autoSpaceDE/>
              <w:autoSpaceDN/>
              <w:bidi w:val="0"/>
              <w:adjustRightInd w:val="0"/>
              <w:spacing w:before="0" w:beforeAutospacing="0" w:after="0" w:afterAutospacing="0" w:line="520" w:lineRule="exact"/>
              <w:ind w:left="0" w:leftChars="0" w:right="0" w:rightChars="0"/>
              <w:jc w:val="center"/>
              <w:textAlignment w:val="auto"/>
              <w:rPr>
                <w:rFonts w:hint="default" w:ascii="仿宋" w:hAnsi="仿宋" w:eastAsia="仿宋" w:cs="仿宋"/>
                <w:bCs/>
                <w:color w:val="auto"/>
                <w:kern w:val="0"/>
                <w:sz w:val="28"/>
                <w:szCs w:val="28"/>
                <w:highlight w:val="none"/>
                <w:lang w:val="en-US" w:eastAsia="zh-CN" w:bidi="ar-SA"/>
              </w:rPr>
            </w:pPr>
            <w:r>
              <w:rPr>
                <w:rFonts w:hint="eastAsia" w:ascii="仿宋" w:hAnsi="仿宋" w:eastAsia="仿宋" w:cs="仿宋"/>
                <w:bCs/>
                <w:color w:val="auto"/>
                <w:kern w:val="0"/>
                <w:sz w:val="28"/>
                <w:szCs w:val="28"/>
                <w:highlight w:val="none"/>
                <w:lang w:val="en-US" w:eastAsia="zh-CN"/>
              </w:rPr>
              <w:t>24</w:t>
            </w:r>
          </w:p>
        </w:tc>
        <w:tc>
          <w:tcPr>
            <w:tcW w:w="2254" w:type="dxa"/>
            <w:tcBorders>
              <w:top w:val="single" w:color="auto" w:sz="4" w:space="0"/>
              <w:left w:val="single" w:color="auto" w:sz="4" w:space="0"/>
              <w:bottom w:val="single" w:color="auto" w:sz="4" w:space="0"/>
              <w:right w:val="single" w:color="auto" w:sz="4" w:space="0"/>
            </w:tcBorders>
            <w:vAlign w:val="center"/>
          </w:tcPr>
          <w:p w14:paraId="37DEF8B8">
            <w:pPr>
              <w:keepNext w:val="0"/>
              <w:keepLines w:val="0"/>
              <w:pageBreakBefore w:val="0"/>
              <w:suppressLineNumbers w:val="0"/>
              <w:kinsoku/>
              <w:overflowPunct/>
              <w:topLinePunct/>
              <w:autoSpaceDE/>
              <w:autoSpaceDN/>
              <w:bidi w:val="0"/>
              <w:spacing w:before="0" w:beforeAutospacing="0" w:after="0" w:afterAutospacing="0" w:line="520" w:lineRule="exact"/>
              <w:ind w:left="0" w:right="0"/>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履约保证金</w:t>
            </w:r>
          </w:p>
        </w:tc>
        <w:tc>
          <w:tcPr>
            <w:tcW w:w="6910" w:type="dxa"/>
            <w:tcBorders>
              <w:top w:val="single" w:color="auto" w:sz="4" w:space="0"/>
              <w:left w:val="single" w:color="auto" w:sz="4" w:space="0"/>
              <w:bottom w:val="single" w:color="auto" w:sz="4" w:space="0"/>
            </w:tcBorders>
            <w:vAlign w:val="center"/>
          </w:tcPr>
          <w:p w14:paraId="6125ABD9">
            <w:pPr>
              <w:keepNext w:val="0"/>
              <w:keepLines w:val="0"/>
              <w:pageBreakBefore w:val="0"/>
              <w:suppressLineNumbers w:val="0"/>
              <w:kinsoku/>
              <w:overflowPunct/>
              <w:topLinePunct/>
              <w:autoSpaceDE/>
              <w:autoSpaceDN/>
              <w:bidi w:val="0"/>
              <w:spacing w:before="0" w:beforeAutospacing="0" w:after="0" w:afterAutospacing="0" w:line="520" w:lineRule="exact"/>
              <w:ind w:left="0" w:right="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本项目不收取履约保证金</w:t>
            </w:r>
          </w:p>
        </w:tc>
      </w:tr>
      <w:tr w14:paraId="5EDA855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5" w:hRule="atLeast"/>
          <w:jc w:val="center"/>
        </w:trPr>
        <w:tc>
          <w:tcPr>
            <w:tcW w:w="800" w:type="dxa"/>
            <w:tcBorders>
              <w:top w:val="single" w:color="auto" w:sz="4" w:space="0"/>
              <w:bottom w:val="single" w:color="auto" w:sz="4" w:space="0"/>
              <w:right w:val="single" w:color="auto" w:sz="4" w:space="0"/>
            </w:tcBorders>
            <w:shd w:val="clear" w:color="auto" w:fill="auto"/>
            <w:vAlign w:val="center"/>
          </w:tcPr>
          <w:p w14:paraId="2EE6892A">
            <w:pPr>
              <w:keepNext w:val="0"/>
              <w:keepLines w:val="0"/>
              <w:pageBreakBefore w:val="0"/>
              <w:widowControl/>
              <w:suppressLineNumbers w:val="0"/>
              <w:kinsoku/>
              <w:overflowPunct/>
              <w:topLinePunct/>
              <w:autoSpaceDE/>
              <w:autoSpaceDN/>
              <w:bidi w:val="0"/>
              <w:adjustRightInd w:val="0"/>
              <w:spacing w:before="0" w:beforeAutospacing="0" w:after="0" w:afterAutospacing="0" w:line="520" w:lineRule="exact"/>
              <w:ind w:left="0" w:leftChars="0" w:right="0" w:rightChars="0"/>
              <w:jc w:val="center"/>
              <w:textAlignment w:val="auto"/>
              <w:rPr>
                <w:rFonts w:hint="default" w:ascii="仿宋" w:hAnsi="仿宋" w:eastAsia="仿宋" w:cs="仿宋"/>
                <w:bCs/>
                <w:color w:val="auto"/>
                <w:kern w:val="0"/>
                <w:sz w:val="28"/>
                <w:szCs w:val="28"/>
                <w:highlight w:val="none"/>
                <w:lang w:val="en-US" w:eastAsia="zh-CN" w:bidi="ar-SA"/>
              </w:rPr>
            </w:pPr>
            <w:r>
              <w:rPr>
                <w:rFonts w:hint="eastAsia" w:ascii="仿宋" w:hAnsi="仿宋" w:eastAsia="仿宋" w:cs="仿宋"/>
                <w:bCs/>
                <w:color w:val="auto"/>
                <w:kern w:val="0"/>
                <w:sz w:val="28"/>
                <w:szCs w:val="28"/>
                <w:highlight w:val="none"/>
                <w:lang w:val="en-US" w:eastAsia="zh-CN" w:bidi="ar-SA"/>
              </w:rPr>
              <w:t>25</w:t>
            </w:r>
          </w:p>
        </w:tc>
        <w:tc>
          <w:tcPr>
            <w:tcW w:w="2254" w:type="dxa"/>
            <w:tcBorders>
              <w:top w:val="single" w:color="auto" w:sz="4" w:space="0"/>
              <w:left w:val="single" w:color="auto" w:sz="4" w:space="0"/>
              <w:bottom w:val="single" w:color="auto" w:sz="4" w:space="0"/>
              <w:right w:val="single" w:color="auto" w:sz="4" w:space="0"/>
            </w:tcBorders>
            <w:vAlign w:val="center"/>
          </w:tcPr>
          <w:p w14:paraId="22FFD2F5">
            <w:pPr>
              <w:keepNext w:val="0"/>
              <w:keepLines w:val="0"/>
              <w:pageBreakBefore w:val="0"/>
              <w:suppressLineNumbers w:val="0"/>
              <w:kinsoku/>
              <w:overflowPunct/>
              <w:topLinePunct/>
              <w:autoSpaceDE/>
              <w:autoSpaceDN/>
              <w:bidi w:val="0"/>
              <w:spacing w:before="0" w:beforeAutospacing="0" w:after="0" w:afterAutospacing="0" w:line="520" w:lineRule="exact"/>
              <w:ind w:left="0" w:right="0"/>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服务费</w:t>
            </w:r>
          </w:p>
        </w:tc>
        <w:tc>
          <w:tcPr>
            <w:tcW w:w="6910" w:type="dxa"/>
            <w:tcBorders>
              <w:top w:val="single" w:color="auto" w:sz="4" w:space="0"/>
              <w:left w:val="single" w:color="auto" w:sz="4" w:space="0"/>
              <w:bottom w:val="single" w:color="auto" w:sz="4" w:space="0"/>
            </w:tcBorders>
            <w:vAlign w:val="center"/>
          </w:tcPr>
          <w:p w14:paraId="4555C564">
            <w:pPr>
              <w:keepNext w:val="0"/>
              <w:keepLines w:val="0"/>
              <w:pageBreakBefore w:val="0"/>
              <w:suppressLineNumbers w:val="0"/>
              <w:kinsoku/>
              <w:overflowPunct/>
              <w:topLinePunct/>
              <w:autoSpaceDE/>
              <w:autoSpaceDN/>
              <w:bidi w:val="0"/>
              <w:spacing w:before="0" w:beforeAutospacing="0" w:after="0" w:afterAutospacing="0" w:line="520" w:lineRule="exact"/>
              <w:ind w:left="0" w:right="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代理服务费和评审费均由中标人支付，此费用包含在投标报价中，采购人不再另行考虑，评审费均摊。</w:t>
            </w:r>
          </w:p>
          <w:p w14:paraId="12AE92DD">
            <w:pPr>
              <w:keepNext w:val="0"/>
              <w:keepLines w:val="0"/>
              <w:pageBreakBefore w:val="0"/>
              <w:suppressLineNumbers w:val="0"/>
              <w:kinsoku/>
              <w:overflowPunct/>
              <w:topLinePunct/>
              <w:autoSpaceDE/>
              <w:autoSpaceDN/>
              <w:bidi w:val="0"/>
              <w:spacing w:before="0" w:beforeAutospacing="0" w:after="0" w:afterAutospacing="0" w:line="520" w:lineRule="exact"/>
              <w:ind w:left="0" w:right="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代理服务费人民币3000.00元整/家，由各中标人在领取中标通知书的同时向招标公司全额交纳。</w:t>
            </w:r>
          </w:p>
          <w:p w14:paraId="442A6B2F">
            <w:pPr>
              <w:keepNext w:val="0"/>
              <w:keepLines w:val="0"/>
              <w:pageBreakBefore w:val="0"/>
              <w:suppressLineNumbers w:val="0"/>
              <w:kinsoku/>
              <w:overflowPunct/>
              <w:topLinePunct/>
              <w:autoSpaceDE/>
              <w:autoSpaceDN/>
              <w:bidi w:val="0"/>
              <w:spacing w:before="0" w:beforeAutospacing="0" w:after="0" w:afterAutospacing="0" w:line="520" w:lineRule="exact"/>
              <w:ind w:left="0" w:right="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户名：山东瀚泰建设管理有限公司</w:t>
            </w:r>
          </w:p>
          <w:p w14:paraId="30D32BC0">
            <w:pPr>
              <w:keepNext w:val="0"/>
              <w:keepLines w:val="0"/>
              <w:pageBreakBefore w:val="0"/>
              <w:suppressLineNumbers w:val="0"/>
              <w:kinsoku/>
              <w:overflowPunct/>
              <w:topLinePunct/>
              <w:autoSpaceDE/>
              <w:autoSpaceDN/>
              <w:bidi w:val="0"/>
              <w:spacing w:before="0" w:beforeAutospacing="0" w:after="0" w:afterAutospacing="0" w:line="520" w:lineRule="exact"/>
              <w:ind w:left="0" w:right="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开户行：中信银行股份有限公司威海火炬高技术产业开发区支行</w:t>
            </w:r>
          </w:p>
          <w:p w14:paraId="4B48328F">
            <w:pPr>
              <w:keepNext w:val="0"/>
              <w:keepLines w:val="0"/>
              <w:pageBreakBefore w:val="0"/>
              <w:suppressLineNumbers w:val="0"/>
              <w:kinsoku/>
              <w:overflowPunct/>
              <w:topLinePunct/>
              <w:autoSpaceDE/>
              <w:autoSpaceDN/>
              <w:bidi w:val="0"/>
              <w:spacing w:before="0" w:beforeAutospacing="0" w:after="0" w:afterAutospacing="0" w:line="520" w:lineRule="exact"/>
              <w:ind w:left="0" w:right="0"/>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账号：8110601014200864050</w:t>
            </w:r>
          </w:p>
        </w:tc>
      </w:tr>
      <w:tr w14:paraId="2F088FF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25" w:hRule="atLeast"/>
          <w:jc w:val="center"/>
        </w:trPr>
        <w:tc>
          <w:tcPr>
            <w:tcW w:w="800" w:type="dxa"/>
            <w:tcBorders>
              <w:top w:val="single" w:color="auto" w:sz="4" w:space="0"/>
              <w:bottom w:val="single" w:color="auto" w:sz="4" w:space="0"/>
              <w:right w:val="single" w:color="auto" w:sz="4" w:space="0"/>
            </w:tcBorders>
            <w:shd w:val="clear" w:color="auto" w:fill="auto"/>
            <w:vAlign w:val="center"/>
          </w:tcPr>
          <w:p w14:paraId="77D452A9">
            <w:pPr>
              <w:keepNext w:val="0"/>
              <w:keepLines w:val="0"/>
              <w:pageBreakBefore w:val="0"/>
              <w:widowControl/>
              <w:suppressLineNumbers w:val="0"/>
              <w:kinsoku/>
              <w:overflowPunct/>
              <w:topLinePunct/>
              <w:autoSpaceDE/>
              <w:autoSpaceDN/>
              <w:bidi w:val="0"/>
              <w:adjustRightInd w:val="0"/>
              <w:spacing w:before="0" w:beforeAutospacing="0" w:after="0" w:afterAutospacing="0" w:line="520" w:lineRule="exact"/>
              <w:ind w:left="0" w:leftChars="0" w:right="0" w:rightChars="0"/>
              <w:jc w:val="center"/>
              <w:textAlignment w:val="auto"/>
              <w:rPr>
                <w:rFonts w:hint="default" w:ascii="仿宋" w:hAnsi="仿宋" w:eastAsia="仿宋" w:cs="仿宋"/>
                <w:bCs/>
                <w:color w:val="auto"/>
                <w:kern w:val="0"/>
                <w:sz w:val="28"/>
                <w:szCs w:val="28"/>
                <w:highlight w:val="none"/>
                <w:lang w:val="en-US" w:eastAsia="zh-CN" w:bidi="ar-SA"/>
              </w:rPr>
            </w:pPr>
            <w:r>
              <w:rPr>
                <w:rFonts w:hint="eastAsia" w:ascii="仿宋" w:hAnsi="仿宋" w:eastAsia="仿宋" w:cs="仿宋"/>
                <w:bCs/>
                <w:color w:val="auto"/>
                <w:kern w:val="0"/>
                <w:sz w:val="28"/>
                <w:szCs w:val="28"/>
                <w:highlight w:val="none"/>
                <w:lang w:val="en-US" w:eastAsia="zh-CN"/>
              </w:rPr>
              <w:t>26</w:t>
            </w:r>
          </w:p>
        </w:tc>
        <w:tc>
          <w:tcPr>
            <w:tcW w:w="2254" w:type="dxa"/>
            <w:tcBorders>
              <w:top w:val="single" w:color="auto" w:sz="4" w:space="0"/>
              <w:left w:val="single" w:color="auto" w:sz="4" w:space="0"/>
              <w:bottom w:val="single" w:color="auto" w:sz="4" w:space="0"/>
              <w:right w:val="single" w:color="auto" w:sz="4" w:space="0"/>
            </w:tcBorders>
            <w:vAlign w:val="center"/>
          </w:tcPr>
          <w:p w14:paraId="40491678">
            <w:pPr>
              <w:keepNext w:val="0"/>
              <w:keepLines w:val="0"/>
              <w:pageBreakBefore w:val="0"/>
              <w:suppressLineNumbers w:val="0"/>
              <w:kinsoku/>
              <w:overflowPunct/>
              <w:topLinePunct/>
              <w:autoSpaceDE/>
              <w:autoSpaceDN/>
              <w:bidi w:val="0"/>
              <w:spacing w:before="0" w:beforeAutospacing="0" w:after="0" w:afterAutospacing="0" w:line="520" w:lineRule="exact"/>
              <w:ind w:left="0" w:right="0"/>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是否委托定标</w:t>
            </w:r>
          </w:p>
        </w:tc>
        <w:tc>
          <w:tcPr>
            <w:tcW w:w="6910" w:type="dxa"/>
            <w:tcBorders>
              <w:top w:val="single" w:color="auto" w:sz="4" w:space="0"/>
              <w:left w:val="single" w:color="auto" w:sz="4" w:space="0"/>
              <w:bottom w:val="single" w:color="auto" w:sz="4" w:space="0"/>
            </w:tcBorders>
            <w:vAlign w:val="center"/>
          </w:tcPr>
          <w:p w14:paraId="3348EF69">
            <w:pPr>
              <w:keepNext w:val="0"/>
              <w:keepLines w:val="0"/>
              <w:pageBreakBefore w:val="0"/>
              <w:widowControl/>
              <w:suppressLineNumbers w:val="0"/>
              <w:kinsoku/>
              <w:overflowPunct/>
              <w:topLinePunct/>
              <w:autoSpaceDE/>
              <w:autoSpaceDN/>
              <w:bidi w:val="0"/>
              <w:spacing w:before="0" w:beforeAutospacing="0" w:after="0" w:afterAutospacing="0" w:line="520" w:lineRule="exact"/>
              <w:ind w:left="0" w:right="0"/>
              <w:jc w:val="left"/>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kern w:val="0"/>
                <w:sz w:val="28"/>
                <w:szCs w:val="28"/>
                <w:highlight w:val="none"/>
                <w:lang w:val="en-US" w:eastAsia="zh-CN"/>
              </w:rPr>
              <w:t>是</w:t>
            </w:r>
          </w:p>
        </w:tc>
      </w:tr>
      <w:tr w14:paraId="6A1E24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5" w:hRule="atLeast"/>
          <w:jc w:val="center"/>
        </w:trPr>
        <w:tc>
          <w:tcPr>
            <w:tcW w:w="800" w:type="dxa"/>
            <w:tcBorders>
              <w:top w:val="single" w:color="auto" w:sz="4" w:space="0"/>
              <w:bottom w:val="single" w:color="auto" w:sz="4" w:space="0"/>
              <w:right w:val="single" w:color="auto" w:sz="4" w:space="0"/>
            </w:tcBorders>
            <w:shd w:val="clear" w:color="auto" w:fill="auto"/>
            <w:vAlign w:val="center"/>
          </w:tcPr>
          <w:p w14:paraId="37B7F8C9">
            <w:pPr>
              <w:keepNext w:val="0"/>
              <w:keepLines w:val="0"/>
              <w:pageBreakBefore w:val="0"/>
              <w:widowControl/>
              <w:suppressLineNumbers w:val="0"/>
              <w:kinsoku/>
              <w:overflowPunct/>
              <w:topLinePunct/>
              <w:autoSpaceDE/>
              <w:autoSpaceDN/>
              <w:bidi w:val="0"/>
              <w:adjustRightInd w:val="0"/>
              <w:spacing w:before="0" w:beforeAutospacing="0" w:after="0" w:afterAutospacing="0" w:line="520" w:lineRule="exact"/>
              <w:ind w:left="0" w:leftChars="0" w:right="0" w:rightChars="0"/>
              <w:jc w:val="center"/>
              <w:textAlignment w:val="auto"/>
              <w:rPr>
                <w:rFonts w:hint="default" w:ascii="仿宋" w:hAnsi="仿宋" w:eastAsia="仿宋" w:cs="仿宋"/>
                <w:bCs/>
                <w:color w:val="auto"/>
                <w:kern w:val="0"/>
                <w:sz w:val="28"/>
                <w:szCs w:val="28"/>
                <w:highlight w:val="none"/>
                <w:lang w:val="en-US" w:eastAsia="zh-CN" w:bidi="ar-SA"/>
              </w:rPr>
            </w:pPr>
            <w:r>
              <w:rPr>
                <w:rFonts w:hint="eastAsia" w:ascii="仿宋" w:hAnsi="仿宋" w:eastAsia="仿宋" w:cs="仿宋"/>
                <w:bCs/>
                <w:color w:val="auto"/>
                <w:kern w:val="0"/>
                <w:sz w:val="28"/>
                <w:szCs w:val="28"/>
                <w:highlight w:val="none"/>
                <w:lang w:val="en-US" w:eastAsia="zh-CN"/>
              </w:rPr>
              <w:t>27</w:t>
            </w:r>
          </w:p>
        </w:tc>
        <w:tc>
          <w:tcPr>
            <w:tcW w:w="2254" w:type="dxa"/>
            <w:tcBorders>
              <w:top w:val="single" w:color="auto" w:sz="4" w:space="0"/>
              <w:left w:val="single" w:color="auto" w:sz="4" w:space="0"/>
              <w:bottom w:val="single" w:color="auto" w:sz="4" w:space="0"/>
              <w:right w:val="single" w:color="auto" w:sz="4" w:space="0"/>
            </w:tcBorders>
            <w:vAlign w:val="center"/>
          </w:tcPr>
          <w:p w14:paraId="1ABF861C">
            <w:pPr>
              <w:keepNext w:val="0"/>
              <w:keepLines w:val="0"/>
              <w:pageBreakBefore w:val="0"/>
              <w:suppressLineNumbers w:val="0"/>
              <w:kinsoku/>
              <w:overflowPunct/>
              <w:topLinePunct/>
              <w:autoSpaceDE/>
              <w:autoSpaceDN/>
              <w:bidi w:val="0"/>
              <w:spacing w:before="0" w:beforeAutospacing="0" w:after="0" w:afterAutospacing="0" w:line="520" w:lineRule="exact"/>
              <w:ind w:left="0" w:right="0"/>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其他</w:t>
            </w:r>
          </w:p>
        </w:tc>
        <w:tc>
          <w:tcPr>
            <w:tcW w:w="6910" w:type="dxa"/>
            <w:tcBorders>
              <w:top w:val="single" w:color="auto" w:sz="4" w:space="0"/>
              <w:left w:val="single" w:color="auto" w:sz="4" w:space="0"/>
              <w:bottom w:val="single" w:color="auto" w:sz="4" w:space="0"/>
            </w:tcBorders>
            <w:vAlign w:val="center"/>
          </w:tcPr>
          <w:p w14:paraId="5D513EF3">
            <w:pPr>
              <w:keepNext w:val="0"/>
              <w:keepLines w:val="0"/>
              <w:pageBreakBefore w:val="0"/>
              <w:suppressLineNumbers w:val="0"/>
              <w:kinsoku/>
              <w:overflowPunct/>
              <w:topLinePunct/>
              <w:autoSpaceDE/>
              <w:autoSpaceDN/>
              <w:bidi w:val="0"/>
              <w:snapToGrid w:val="0"/>
              <w:spacing w:before="0" w:beforeAutospacing="0" w:after="0" w:afterAutospacing="0" w:line="520" w:lineRule="exact"/>
              <w:ind w:left="0" w:right="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本项目按</w:t>
            </w:r>
            <w:r>
              <w:rPr>
                <w:rFonts w:hint="eastAsia" w:ascii="仿宋" w:hAnsi="仿宋" w:eastAsia="仿宋" w:cs="仿宋"/>
                <w:color w:val="auto"/>
                <w:sz w:val="28"/>
                <w:szCs w:val="28"/>
                <w:highlight w:val="none"/>
                <w:lang w:val="en-US" w:eastAsia="zh-CN"/>
              </w:rPr>
              <w:t>服务</w:t>
            </w:r>
            <w:r>
              <w:rPr>
                <w:rFonts w:hint="eastAsia" w:ascii="仿宋" w:hAnsi="仿宋" w:eastAsia="仿宋" w:cs="仿宋"/>
                <w:color w:val="auto"/>
                <w:sz w:val="28"/>
                <w:szCs w:val="28"/>
                <w:highlight w:val="none"/>
              </w:rPr>
              <w:t>类以公开招标方式实施采购。</w:t>
            </w:r>
          </w:p>
          <w:p w14:paraId="05857954">
            <w:pPr>
              <w:keepNext w:val="0"/>
              <w:keepLines w:val="0"/>
              <w:pageBreakBefore w:val="0"/>
              <w:suppressLineNumbers w:val="0"/>
              <w:kinsoku/>
              <w:overflowPunct/>
              <w:topLinePunct/>
              <w:autoSpaceDE/>
              <w:autoSpaceDN/>
              <w:bidi w:val="0"/>
              <w:snapToGrid w:val="0"/>
              <w:spacing w:before="0" w:beforeAutospacing="0" w:after="0" w:afterAutospacing="0" w:line="520" w:lineRule="exact"/>
              <w:ind w:left="0" w:right="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如投标人在本次项目中弄虚作假成为中标人的，后期一经发现将取消其已中标资格，且今后不再录用，给招标人造成损失的，招标人有权索要赔偿。</w:t>
            </w:r>
          </w:p>
          <w:p w14:paraId="04FC16F5">
            <w:pPr>
              <w:keepNext w:val="0"/>
              <w:keepLines w:val="0"/>
              <w:pageBreakBefore w:val="0"/>
              <w:suppressLineNumbers w:val="0"/>
              <w:kinsoku/>
              <w:overflowPunct/>
              <w:topLinePunct/>
              <w:autoSpaceDE/>
              <w:autoSpaceDN/>
              <w:bidi w:val="0"/>
              <w:snapToGrid w:val="0"/>
              <w:spacing w:before="0" w:beforeAutospacing="0" w:after="0" w:afterAutospacing="0" w:line="520" w:lineRule="exact"/>
              <w:ind w:left="0" w:right="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投标人在本次招标成功中标后，拒绝或不能按照招标人的要求完成任务等，招标人有权撤销其已中标资格，给招标人造成损失的，招标人有权索要赔偿。</w:t>
            </w:r>
          </w:p>
          <w:p w14:paraId="7902CFD7">
            <w:pPr>
              <w:keepNext w:val="0"/>
              <w:keepLines w:val="0"/>
              <w:pageBreakBefore w:val="0"/>
              <w:suppressLineNumbers w:val="0"/>
              <w:kinsoku/>
              <w:overflowPunct/>
              <w:topLinePunct/>
              <w:autoSpaceDE/>
              <w:autoSpaceDN/>
              <w:bidi w:val="0"/>
              <w:snapToGrid w:val="0"/>
              <w:spacing w:before="0" w:beforeAutospacing="0" w:after="0" w:afterAutospacing="0" w:line="520" w:lineRule="exact"/>
              <w:ind w:left="0" w:right="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信用信息报告查询路径：</w:t>
            </w:r>
          </w:p>
          <w:p w14:paraId="72EBAD47">
            <w:pPr>
              <w:keepNext w:val="0"/>
              <w:keepLines w:val="0"/>
              <w:pageBreakBefore w:val="0"/>
              <w:suppressLineNumbers w:val="0"/>
              <w:kinsoku/>
              <w:overflowPunct/>
              <w:topLinePunct/>
              <w:autoSpaceDE/>
              <w:autoSpaceDN/>
              <w:bidi w:val="0"/>
              <w:snapToGrid w:val="0"/>
              <w:spacing w:before="0" w:beforeAutospacing="0" w:after="0" w:afterAutospacing="0" w:line="520" w:lineRule="exact"/>
              <w:ind w:left="0" w:right="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（1）信用中国：进入信用中国首页→右上方“信用信息”查询框内输入企业名称/统一社会信用代码等信息搜索→点击要查询的企业→下载信用信息报告。</w:t>
            </w:r>
          </w:p>
          <w:p w14:paraId="787D1CB8">
            <w:pPr>
              <w:keepNext w:val="0"/>
              <w:keepLines w:val="0"/>
              <w:pageBreakBefore w:val="0"/>
              <w:suppressLineNumbers w:val="0"/>
              <w:kinsoku/>
              <w:overflowPunct/>
              <w:topLinePunct/>
              <w:autoSpaceDE/>
              <w:autoSpaceDN/>
              <w:bidi w:val="0"/>
              <w:snapToGrid w:val="0"/>
              <w:spacing w:before="0" w:beforeAutospacing="0" w:after="0" w:afterAutospacing="0" w:line="520" w:lineRule="exact"/>
              <w:ind w:left="0" w:right="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（2）信用中国（山东）：进入信用中国（山东）首页→上方“信用中国信息查询”查询框内输入企业名称/统一社会信用代码等信息查询→点击要查询的企业→下载信用信息报告。</w:t>
            </w:r>
          </w:p>
          <w:p w14:paraId="0B28B85B">
            <w:pPr>
              <w:keepNext w:val="0"/>
              <w:keepLines w:val="0"/>
              <w:pageBreakBefore w:val="0"/>
              <w:suppressLineNumbers w:val="0"/>
              <w:kinsoku/>
              <w:overflowPunct/>
              <w:topLinePunct/>
              <w:autoSpaceDE/>
              <w:autoSpaceDN/>
              <w:bidi w:val="0"/>
              <w:spacing w:before="0" w:beforeAutospacing="0" w:after="0" w:afterAutospacing="0" w:line="520" w:lineRule="exact"/>
              <w:ind w:left="0" w:right="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注：若投标人所附信用信息报告与以上查询路径内容不一致的，以招标文件中查询路径内容为准。</w:t>
            </w:r>
          </w:p>
        </w:tc>
      </w:tr>
    </w:tbl>
    <w:p w14:paraId="4DDB942B">
      <w:pPr>
        <w:pStyle w:val="24"/>
        <w:keepNext w:val="0"/>
        <w:keepLines w:val="0"/>
        <w:pageBreakBefore w:val="0"/>
        <w:kinsoku/>
        <w:overflowPunct/>
        <w:topLinePunct/>
        <w:autoSpaceDE/>
        <w:autoSpaceDN/>
        <w:bidi w:val="0"/>
        <w:textAlignment w:val="auto"/>
        <w:outlineLvl w:val="9"/>
        <w:rPr>
          <w:rFonts w:hint="eastAsia" w:ascii="仿宋" w:hAnsi="仿宋" w:eastAsia="仿宋" w:cs="仿宋"/>
          <w:color w:val="auto"/>
          <w:sz w:val="32"/>
          <w:szCs w:val="32"/>
          <w:highlight w:val="none"/>
          <w:lang w:val="en-US" w:eastAsia="zh-CN"/>
        </w:rPr>
      </w:pPr>
      <w:bookmarkStart w:id="8" w:name="_Toc7818"/>
    </w:p>
    <w:p w14:paraId="23907A26">
      <w:pPr>
        <w:keepNext w:val="0"/>
        <w:keepLines w:val="0"/>
        <w:pageBreakBefore w:val="0"/>
        <w:kinsoku/>
        <w:overflowPunct/>
        <w:autoSpaceDE/>
        <w:autoSpaceDN/>
        <w:bidi w:val="0"/>
        <w:rPr>
          <w:rFonts w:hint="eastAsia" w:ascii="仿宋" w:hAnsi="仿宋" w:eastAsia="仿宋" w:cs="仿宋"/>
          <w:color w:val="auto"/>
          <w:sz w:val="32"/>
          <w:szCs w:val="32"/>
          <w:highlight w:val="none"/>
          <w:lang w:val="en-US" w:eastAsia="zh-CN"/>
        </w:rPr>
        <w:sectPr>
          <w:pgSz w:w="11906" w:h="16838"/>
          <w:pgMar w:top="1300" w:right="1142" w:bottom="1118" w:left="1324" w:header="454" w:footer="680" w:gutter="0"/>
          <w:pgNumType w:fmt="decimal"/>
          <w:cols w:space="0" w:num="1"/>
          <w:docGrid w:linePitch="312" w:charSpace="0"/>
        </w:sectPr>
      </w:pPr>
    </w:p>
    <w:p w14:paraId="6BB4BCD9">
      <w:pPr>
        <w:pStyle w:val="24"/>
        <w:keepNext w:val="0"/>
        <w:keepLines w:val="0"/>
        <w:pageBreakBefore w:val="0"/>
        <w:kinsoku/>
        <w:overflowPunct/>
        <w:topLinePunct/>
        <w:autoSpaceDE/>
        <w:autoSpaceDN/>
        <w:bidi w:val="0"/>
        <w:textAlignment w:val="auto"/>
        <w:outlineLvl w:val="1"/>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《实质性条款一览表》</w:t>
      </w:r>
      <w:bookmarkEnd w:id="8"/>
    </w:p>
    <w:p w14:paraId="2E53B6C6">
      <w:pPr>
        <w:keepNext w:val="0"/>
        <w:keepLines w:val="0"/>
        <w:pageBreakBefore w:val="0"/>
        <w:widowControl w:val="0"/>
        <w:kinsoku/>
        <w:wordWrap/>
        <w:overflowPunct/>
        <w:topLinePunct/>
        <w:autoSpaceDE/>
        <w:autoSpaceDN/>
        <w:bidi w:val="0"/>
        <w:adjustRightInd/>
        <w:snapToGrid w:val="0"/>
        <w:spacing w:line="480" w:lineRule="exact"/>
        <w:ind w:firstLine="561"/>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说明：本表系招标文件及修改性文件中涉及的所有实质性条款的汇总。不允许有任何负偏离，否则投标将被否决。</w:t>
      </w:r>
    </w:p>
    <w:tbl>
      <w:tblPr>
        <w:tblStyle w:val="26"/>
        <w:tblW w:w="9561"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08"/>
        <w:gridCol w:w="2155"/>
        <w:gridCol w:w="6498"/>
      </w:tblGrid>
      <w:tr w14:paraId="46A10E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4379B24E">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480" w:lineRule="exact"/>
              <w:ind w:left="0" w:right="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序号</w:t>
            </w:r>
          </w:p>
        </w:tc>
        <w:tc>
          <w:tcPr>
            <w:tcW w:w="2155" w:type="dxa"/>
            <w:tcBorders>
              <w:top w:val="single" w:color="auto" w:sz="4" w:space="0"/>
              <w:left w:val="single" w:color="auto" w:sz="4" w:space="0"/>
              <w:bottom w:val="single" w:color="auto" w:sz="4" w:space="0"/>
              <w:right w:val="single" w:color="auto" w:sz="4" w:space="0"/>
            </w:tcBorders>
            <w:vAlign w:val="center"/>
          </w:tcPr>
          <w:p w14:paraId="25B7D64F">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480" w:lineRule="exact"/>
              <w:ind w:left="0" w:right="0" w:firstLine="280" w:firstLineChars="1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项目名称</w:t>
            </w:r>
          </w:p>
        </w:tc>
        <w:tc>
          <w:tcPr>
            <w:tcW w:w="6498" w:type="dxa"/>
            <w:tcBorders>
              <w:top w:val="single" w:color="auto" w:sz="4" w:space="0"/>
              <w:left w:val="single" w:color="auto" w:sz="4" w:space="0"/>
              <w:bottom w:val="single" w:color="auto" w:sz="4" w:space="0"/>
            </w:tcBorders>
            <w:vAlign w:val="center"/>
          </w:tcPr>
          <w:p w14:paraId="477CB7BC">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480" w:lineRule="exact"/>
              <w:ind w:left="0" w:right="0" w:firstLine="280" w:firstLineChars="100"/>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内       容</w:t>
            </w:r>
          </w:p>
        </w:tc>
      </w:tr>
      <w:tr w14:paraId="703C9E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1D78FA2B">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480" w:lineRule="exact"/>
              <w:ind w:left="0" w:right="0" w:firstLine="280" w:firstLineChars="1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p>
        </w:tc>
        <w:tc>
          <w:tcPr>
            <w:tcW w:w="2155" w:type="dxa"/>
            <w:tcBorders>
              <w:top w:val="single" w:color="auto" w:sz="4" w:space="0"/>
              <w:left w:val="single" w:color="auto" w:sz="4" w:space="0"/>
              <w:bottom w:val="single" w:color="auto" w:sz="4" w:space="0"/>
              <w:right w:val="single" w:color="auto" w:sz="4" w:space="0"/>
            </w:tcBorders>
            <w:vAlign w:val="center"/>
          </w:tcPr>
          <w:p w14:paraId="5DCD3FCB">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480" w:lineRule="exact"/>
              <w:ind w:left="0" w:right="0" w:firstLine="280" w:firstLineChars="1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资格性核查</w:t>
            </w:r>
          </w:p>
        </w:tc>
        <w:tc>
          <w:tcPr>
            <w:tcW w:w="6498" w:type="dxa"/>
            <w:tcBorders>
              <w:top w:val="single" w:color="auto" w:sz="4" w:space="0"/>
              <w:left w:val="single" w:color="auto" w:sz="4" w:space="0"/>
              <w:bottom w:val="single" w:color="auto" w:sz="4" w:space="0"/>
            </w:tcBorders>
          </w:tcPr>
          <w:p w14:paraId="7646D3E9">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480" w:lineRule="exact"/>
              <w:ind w:left="0" w:right="0" w:firstLine="280" w:firstLineChars="1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投标人具有有效的营业执照扫描件</w:t>
            </w:r>
            <w:r>
              <w:rPr>
                <w:rFonts w:hint="eastAsia" w:ascii="仿宋" w:hAnsi="仿宋" w:eastAsia="仿宋" w:cs="仿宋"/>
                <w:color w:val="auto"/>
                <w:sz w:val="28"/>
                <w:szCs w:val="28"/>
                <w:highlight w:val="none"/>
                <w:lang w:val="en-US" w:eastAsia="zh-CN"/>
              </w:rPr>
              <w:t>或其他能证明具有独立承担民事责任能力的材料扫描件</w:t>
            </w:r>
            <w:r>
              <w:rPr>
                <w:rFonts w:hint="eastAsia" w:ascii="仿宋" w:hAnsi="仿宋" w:eastAsia="仿宋" w:cs="仿宋"/>
                <w:color w:val="auto"/>
                <w:sz w:val="28"/>
                <w:szCs w:val="28"/>
                <w:highlight w:val="none"/>
              </w:rPr>
              <w:t>；</w:t>
            </w:r>
          </w:p>
          <w:p w14:paraId="378F841C">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480" w:lineRule="exact"/>
              <w:ind w:left="0" w:right="0" w:firstLine="280" w:firstLineChars="1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法定代表人授权委托书；被授权人身份证扫描件；</w:t>
            </w:r>
          </w:p>
          <w:p w14:paraId="2CEA3A20">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480" w:lineRule="exact"/>
              <w:ind w:left="0" w:right="0" w:firstLine="280" w:firstLineChars="1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若投标人代表为企业法定代表人的，则只需提供企业法定代表人身份证明及法定代表人身份证扫描件；</w:t>
            </w:r>
          </w:p>
          <w:p w14:paraId="3066E34E">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480" w:lineRule="exact"/>
              <w:ind w:left="0" w:right="0" w:firstLine="280" w:firstLineChars="1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投标人信用承诺书；</w:t>
            </w:r>
          </w:p>
          <w:p w14:paraId="3CB8F337">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480" w:lineRule="exact"/>
              <w:ind w:left="0" w:right="0" w:firstLine="280" w:firstLineChars="1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投标人参与投标的声明函；</w:t>
            </w:r>
          </w:p>
          <w:p w14:paraId="1B3F7A63">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480" w:lineRule="exact"/>
              <w:ind w:left="0" w:right="0" w:firstLine="280" w:firstLineChars="100"/>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lang w:eastAsia="zh-CN"/>
              </w:rPr>
              <w:t>.</w:t>
            </w:r>
            <w:r>
              <w:rPr>
                <w:rFonts w:hint="eastAsia" w:ascii="仿宋" w:hAnsi="仿宋" w:eastAsia="仿宋" w:cs="仿宋"/>
                <w:i w:val="0"/>
                <w:iCs w:val="0"/>
                <w:color w:val="auto"/>
                <w:spacing w:val="8"/>
                <w:kern w:val="0"/>
                <w:sz w:val="28"/>
                <w:szCs w:val="28"/>
                <w:highlight w:val="none"/>
                <w:lang w:val="en-US" w:eastAsia="zh-CN"/>
              </w:rPr>
              <w:t>投标人、法定代表人、委托代理人</w:t>
            </w:r>
            <w:r>
              <w:rPr>
                <w:rFonts w:hint="eastAsia" w:ascii="仿宋" w:hAnsi="仿宋" w:eastAsia="仿宋" w:cs="仿宋"/>
                <w:color w:val="auto"/>
                <w:sz w:val="28"/>
                <w:szCs w:val="28"/>
                <w:highlight w:val="none"/>
                <w:lang w:val="en-US" w:eastAsia="zh-CN"/>
              </w:rPr>
              <w:t>未被最高法院列入失信被执行人（查询网址:http://zxgk.court.gov.cn/shixin/，须填写完整，查询省份为全部），附网上查询截图</w:t>
            </w:r>
            <w:r>
              <w:rPr>
                <w:rFonts w:hint="eastAsia" w:ascii="仿宋" w:hAnsi="仿宋" w:eastAsia="仿宋" w:cs="仿宋"/>
                <w:color w:val="auto"/>
                <w:sz w:val="28"/>
                <w:szCs w:val="28"/>
                <w:highlight w:val="none"/>
                <w:lang w:eastAsia="zh-CN"/>
              </w:rPr>
              <w:t>；</w:t>
            </w:r>
          </w:p>
          <w:p w14:paraId="6D0E0FF2">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480" w:lineRule="exact"/>
              <w:ind w:left="0" w:right="0" w:firstLine="280" w:firstLineChars="10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6.投标人近一年在“信用中国”或“信用中国（山东）”无严重失信记录。附信用中国（www.creditchina.gov.cn）或信用中国（山东）（credit.shandong.gov.cn）查询的信用报告；</w:t>
            </w:r>
          </w:p>
          <w:p w14:paraId="5BD6846F">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480" w:lineRule="exact"/>
              <w:ind w:left="0" w:right="0" w:firstLine="280" w:firstLineChars="1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本项目不接受联合体投标。</w:t>
            </w:r>
          </w:p>
        </w:tc>
      </w:tr>
      <w:tr w14:paraId="634ED8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9" w:hRule="atLeast"/>
          <w:jc w:val="center"/>
        </w:trPr>
        <w:tc>
          <w:tcPr>
            <w:tcW w:w="908" w:type="dxa"/>
            <w:tcBorders>
              <w:top w:val="single" w:color="auto" w:sz="4" w:space="0"/>
              <w:bottom w:val="single" w:color="auto" w:sz="4" w:space="0"/>
              <w:right w:val="single" w:color="auto" w:sz="4" w:space="0"/>
            </w:tcBorders>
            <w:vAlign w:val="center"/>
          </w:tcPr>
          <w:p w14:paraId="268E0209">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480" w:lineRule="exact"/>
              <w:ind w:left="0" w:right="0" w:firstLine="280" w:firstLineChars="1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p>
        </w:tc>
        <w:tc>
          <w:tcPr>
            <w:tcW w:w="2155" w:type="dxa"/>
            <w:tcBorders>
              <w:top w:val="single" w:color="auto" w:sz="4" w:space="0"/>
              <w:left w:val="single" w:color="auto" w:sz="4" w:space="0"/>
              <w:bottom w:val="single" w:color="auto" w:sz="4" w:space="0"/>
              <w:right w:val="single" w:color="auto" w:sz="4" w:space="0"/>
            </w:tcBorders>
            <w:vAlign w:val="center"/>
          </w:tcPr>
          <w:p w14:paraId="2C7A8C6C">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480" w:lineRule="exact"/>
              <w:ind w:left="0" w:right="0" w:firstLine="280" w:firstLineChars="1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符合性检查</w:t>
            </w:r>
          </w:p>
        </w:tc>
        <w:tc>
          <w:tcPr>
            <w:tcW w:w="6498" w:type="dxa"/>
            <w:tcBorders>
              <w:top w:val="single" w:color="auto" w:sz="4" w:space="0"/>
              <w:left w:val="single" w:color="auto" w:sz="4" w:space="0"/>
              <w:bottom w:val="single" w:color="auto" w:sz="4" w:space="0"/>
            </w:tcBorders>
            <w:vAlign w:val="center"/>
          </w:tcPr>
          <w:p w14:paraId="7AFB0179">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480" w:lineRule="exact"/>
              <w:ind w:left="0" w:right="0" w:firstLine="280" w:firstLineChars="1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投标文件按规定签署及盖章的；</w:t>
            </w:r>
          </w:p>
          <w:p w14:paraId="037F6653">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480" w:lineRule="exact"/>
              <w:ind w:left="0" w:right="0" w:firstLine="280" w:firstLineChars="1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投标总报价</w:t>
            </w:r>
            <w:r>
              <w:rPr>
                <w:rFonts w:hint="eastAsia" w:ascii="仿宋" w:hAnsi="仿宋" w:eastAsia="仿宋" w:cs="仿宋"/>
                <w:color w:val="auto"/>
                <w:sz w:val="28"/>
                <w:szCs w:val="28"/>
                <w:highlight w:val="none"/>
                <w:lang w:val="en-US" w:eastAsia="zh-CN"/>
              </w:rPr>
              <w:t>未</w:t>
            </w:r>
            <w:r>
              <w:rPr>
                <w:rFonts w:hint="eastAsia" w:ascii="仿宋" w:hAnsi="仿宋" w:eastAsia="仿宋" w:cs="仿宋"/>
                <w:color w:val="auto"/>
                <w:sz w:val="28"/>
                <w:szCs w:val="28"/>
                <w:highlight w:val="none"/>
              </w:rPr>
              <w:t>超出最高限价的；</w:t>
            </w:r>
          </w:p>
          <w:p w14:paraId="3FC4C9B4">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480" w:lineRule="exact"/>
              <w:ind w:left="0" w:right="0" w:firstLine="280" w:firstLineChars="1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.投标保证金按招标文件要求交纳；</w:t>
            </w:r>
          </w:p>
          <w:p w14:paraId="303E697A">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480" w:lineRule="exact"/>
              <w:ind w:left="0" w:right="0" w:firstLine="280" w:firstLineChars="1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报价有效期未比招标文件规定短的；</w:t>
            </w:r>
          </w:p>
          <w:p w14:paraId="58BE2D7C">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480" w:lineRule="exact"/>
              <w:ind w:left="0" w:right="0" w:firstLine="280" w:firstLineChars="1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服务期限</w:t>
            </w:r>
            <w:r>
              <w:rPr>
                <w:rFonts w:hint="eastAsia" w:ascii="仿宋" w:hAnsi="仿宋" w:eastAsia="仿宋" w:cs="仿宋"/>
                <w:color w:val="auto"/>
                <w:sz w:val="28"/>
                <w:szCs w:val="28"/>
                <w:highlight w:val="none"/>
              </w:rPr>
              <w:t>、质量标准满足招标文件要求；</w:t>
            </w:r>
          </w:p>
          <w:p w14:paraId="72FE50D0">
            <w:pPr>
              <w:keepNext w:val="0"/>
              <w:keepLines w:val="0"/>
              <w:pageBreakBefore w:val="0"/>
              <w:widowControl w:val="0"/>
              <w:suppressLineNumbers w:val="0"/>
              <w:kinsoku/>
              <w:wordWrap/>
              <w:overflowPunct/>
              <w:topLinePunct/>
              <w:autoSpaceDE/>
              <w:autoSpaceDN/>
              <w:bidi w:val="0"/>
              <w:adjustRightInd/>
              <w:snapToGrid/>
              <w:spacing w:before="0" w:beforeAutospacing="0" w:after="0" w:afterAutospacing="0" w:line="480" w:lineRule="exact"/>
              <w:ind w:left="0" w:right="0" w:firstLine="280" w:firstLineChars="1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lang w:eastAsia="zh-CN"/>
              </w:rPr>
              <w:t>.不存在招标文件规定的关于投标人串通投标的情形及其他投标无效的情形</w:t>
            </w:r>
            <w:r>
              <w:rPr>
                <w:rFonts w:hint="eastAsia" w:ascii="仿宋" w:hAnsi="仿宋" w:eastAsia="仿宋" w:cs="仿宋"/>
                <w:color w:val="auto"/>
                <w:sz w:val="28"/>
                <w:szCs w:val="28"/>
                <w:highlight w:val="none"/>
              </w:rPr>
              <w:t>。</w:t>
            </w:r>
          </w:p>
        </w:tc>
      </w:tr>
    </w:tbl>
    <w:p w14:paraId="6F14418C">
      <w:pPr>
        <w:keepNext w:val="0"/>
        <w:keepLines w:val="0"/>
        <w:pageBreakBefore w:val="0"/>
        <w:kinsoku/>
        <w:wordWrap/>
        <w:overflowPunct/>
        <w:topLinePunct/>
        <w:autoSpaceDE/>
        <w:autoSpaceDN/>
        <w:bidi w:val="0"/>
        <w:snapToGrid/>
        <w:spacing w:line="520" w:lineRule="exact"/>
        <w:textAlignment w:val="auto"/>
        <w:outlineLvl w:val="1"/>
        <w:rPr>
          <w:rFonts w:hint="eastAsia" w:ascii="仿宋" w:hAnsi="仿宋" w:eastAsia="仿宋" w:cs="仿宋"/>
          <w:b/>
          <w:bCs/>
          <w:color w:val="auto"/>
          <w:sz w:val="28"/>
          <w:szCs w:val="28"/>
          <w:highlight w:val="none"/>
        </w:rPr>
        <w:sectPr>
          <w:pgSz w:w="11906" w:h="16838"/>
          <w:pgMar w:top="1280" w:right="1142" w:bottom="1118" w:left="1324" w:header="454" w:footer="680" w:gutter="0"/>
          <w:pgNumType w:fmt="decimal"/>
          <w:cols w:space="0" w:num="1"/>
          <w:docGrid w:linePitch="312" w:charSpace="0"/>
        </w:sectPr>
      </w:pPr>
      <w:bookmarkStart w:id="9" w:name="_Toc13586"/>
    </w:p>
    <w:p w14:paraId="711BA51E">
      <w:pPr>
        <w:keepNext w:val="0"/>
        <w:keepLines w:val="0"/>
        <w:pageBreakBefore w:val="0"/>
        <w:kinsoku/>
        <w:wordWrap/>
        <w:overflowPunct/>
        <w:topLinePunct/>
        <w:autoSpaceDE/>
        <w:autoSpaceDN/>
        <w:bidi w:val="0"/>
        <w:snapToGrid/>
        <w:spacing w:line="520" w:lineRule="exact"/>
        <w:textAlignment w:val="auto"/>
        <w:outlineLvl w:val="1"/>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一、说明</w:t>
      </w:r>
      <w:bookmarkEnd w:id="9"/>
    </w:p>
    <w:p w14:paraId="5A9E265B">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本文件依据《山东省省属企业阳光采购监督</w:t>
      </w:r>
      <w:r>
        <w:rPr>
          <w:rFonts w:hint="eastAsia" w:ascii="仿宋" w:hAnsi="仿宋" w:eastAsia="仿宋" w:cs="仿宋"/>
          <w:color w:val="auto"/>
          <w:sz w:val="28"/>
          <w:szCs w:val="28"/>
          <w:highlight w:val="none"/>
          <w:lang w:val="en-US" w:eastAsia="zh-CN"/>
        </w:rPr>
        <w:t>管理</w:t>
      </w:r>
      <w:r>
        <w:rPr>
          <w:rFonts w:hint="eastAsia" w:ascii="仿宋" w:hAnsi="仿宋" w:eastAsia="仿宋" w:cs="仿宋"/>
          <w:color w:val="auto"/>
          <w:sz w:val="28"/>
          <w:szCs w:val="28"/>
          <w:highlight w:val="none"/>
        </w:rPr>
        <w:t>办法》等法律法规，参照《国有企业采购操作规范》《国有企业采购管理规范》，结合《威海市市属国有企业阳光采购监督管理暂行办法》</w:t>
      </w:r>
      <w:r>
        <w:rPr>
          <w:rFonts w:hint="eastAsia" w:ascii="仿宋_GB2312" w:hAnsi="仿宋" w:eastAsia="仿宋_GB2312" w:cs="宋体"/>
          <w:sz w:val="28"/>
          <w:szCs w:val="28"/>
          <w:highlight w:val="none"/>
        </w:rPr>
        <w:t>《环翠区区属国有企业阳光采购监督管理暂行办法》</w:t>
      </w:r>
      <w:r>
        <w:rPr>
          <w:rFonts w:hint="eastAsia" w:ascii="仿宋" w:hAnsi="仿宋" w:eastAsia="仿宋" w:cs="仿宋"/>
          <w:color w:val="auto"/>
          <w:sz w:val="28"/>
          <w:szCs w:val="28"/>
          <w:highlight w:val="none"/>
        </w:rPr>
        <w:t>及国家和山东省有关法律、法规、规章制度编制。参加本项目投标人应接受本招标文件关于电子招投标各项规定。</w:t>
      </w:r>
    </w:p>
    <w:p w14:paraId="0BCB6022">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1</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适用范围</w:t>
      </w:r>
    </w:p>
    <w:p w14:paraId="4F72BF81">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1本招标文件仅适用于本次招标公告中所涉及的项目和内容。</w:t>
      </w:r>
    </w:p>
    <w:p w14:paraId="1750EB53">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2本招标文件的解释权为招标代理机构</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以书面解释为准。</w:t>
      </w:r>
    </w:p>
    <w:p w14:paraId="68F81928">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3招标文件未做须知明示，而又有相关法律、法规规定的，从其规定。</w:t>
      </w:r>
    </w:p>
    <w:p w14:paraId="3285694D">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2</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相关要求</w:t>
      </w:r>
    </w:p>
    <w:p w14:paraId="254343B0">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1投标人应承担所有与准备和参加投标有关的费用。不论投标结果如何，招标代理机构和招标人均无义务和责任承担这些费用。</w:t>
      </w:r>
    </w:p>
    <w:p w14:paraId="6B5C3D3E">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2本项目若涉及采购货物，则合格的货物及相应服务应满足以下要求：</w:t>
      </w:r>
    </w:p>
    <w:p w14:paraId="1FC53846">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1必须是全新、未使用过的原装合格正品（包括零部件），如安装或配置了软件的，须为正版软件。</w:t>
      </w:r>
    </w:p>
    <w:p w14:paraId="4E8C629B">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2国产的货物及其有关服务必须符合中华人民共和国的设计和制造生产标准或行业标准。招标公告有其他要求的，亦应符合其要求。</w:t>
      </w:r>
    </w:p>
    <w:p w14:paraId="1F000F5D">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3进口货物及其有关服务必须符合原产地和/或中华人民共和国的设计和制造生产标准或行业标准。进口的货物必须具有合法的进口手续和途径，并通过中华人民共和国商检部门检验。招标公告有其他要求的，亦应符合其要求。</w:t>
      </w:r>
    </w:p>
    <w:p w14:paraId="52274F77">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4投标人应保证，其所提供的货物在提供给采购单位前具有完全的所有权，采购单位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441C8214">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2</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3投标人应通过威海市公共资源交易网首页右侧“交易服务一网通办系统”进行平台切换点击“国企采购”进入国有企业阳光采购电子化服务平台”获取招标文件，并通过威海市国有企业阳光采购电子化服务平台网上上传电子投标文件，电子投标文件成功上传后，将会生成投标回执，未通过威海市国有企业阳光采购电子化服务平台上传电子投标文件的，为无效投标（响应）。获取招标文件的投标人不足3家的，本项目直接废标。</w:t>
      </w:r>
    </w:p>
    <w:p w14:paraId="424A8325">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4招标人或招标代理机构均无义务向投标人解释其中标或未中标的原因，且不予退还其投标文件。</w:t>
      </w:r>
    </w:p>
    <w:p w14:paraId="64A6C757">
      <w:pPr>
        <w:keepNext w:val="0"/>
        <w:keepLines w:val="0"/>
        <w:pageBreakBefore w:val="0"/>
        <w:kinsoku/>
        <w:wordWrap/>
        <w:overflowPunct/>
        <w:topLinePunct/>
        <w:autoSpaceDE/>
        <w:autoSpaceDN/>
        <w:bidi w:val="0"/>
        <w:snapToGrid/>
        <w:spacing w:line="520" w:lineRule="exact"/>
        <w:textAlignment w:val="auto"/>
        <w:outlineLvl w:val="1"/>
        <w:rPr>
          <w:rFonts w:hint="eastAsia" w:ascii="仿宋" w:hAnsi="仿宋" w:eastAsia="仿宋" w:cs="仿宋"/>
          <w:b/>
          <w:bCs/>
          <w:color w:val="auto"/>
          <w:sz w:val="28"/>
          <w:szCs w:val="28"/>
          <w:highlight w:val="none"/>
        </w:rPr>
      </w:pPr>
      <w:bookmarkStart w:id="10" w:name="_Toc17471"/>
      <w:r>
        <w:rPr>
          <w:rFonts w:hint="eastAsia" w:ascii="仿宋" w:hAnsi="仿宋" w:eastAsia="仿宋" w:cs="仿宋"/>
          <w:b/>
          <w:bCs/>
          <w:color w:val="auto"/>
          <w:sz w:val="28"/>
          <w:szCs w:val="28"/>
          <w:highlight w:val="none"/>
        </w:rPr>
        <w:t>二、招标文件</w:t>
      </w:r>
      <w:bookmarkEnd w:id="10"/>
    </w:p>
    <w:p w14:paraId="5B685999">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3</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招标文件的构成</w:t>
      </w:r>
    </w:p>
    <w:p w14:paraId="61382721">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由各包段文本文件（word格式）和各包段的数据文件（excel格式）构成，采用压缩包电子版文件格式提供。</w:t>
      </w:r>
    </w:p>
    <w:p w14:paraId="6B8B79CB">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1本文件（word格式）由下列文件组成：</w:t>
      </w:r>
    </w:p>
    <w:p w14:paraId="3CB5A3E7">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（1）招标公告</w:t>
      </w:r>
    </w:p>
    <w:p w14:paraId="538AC93E">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（2）投标须知</w:t>
      </w:r>
    </w:p>
    <w:p w14:paraId="27F3B981">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（3）采购内容与要求</w:t>
      </w:r>
    </w:p>
    <w:p w14:paraId="42EC774B">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（4）评标原则、程序与方法</w:t>
      </w:r>
    </w:p>
    <w:p w14:paraId="561870FB">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（5）投标文件</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格式</w:t>
      </w:r>
      <w:r>
        <w:rPr>
          <w:rFonts w:hint="eastAsia" w:ascii="仿宋" w:hAnsi="仿宋" w:eastAsia="仿宋" w:cs="仿宋"/>
          <w:color w:val="auto"/>
          <w:sz w:val="28"/>
          <w:szCs w:val="28"/>
          <w:highlight w:val="none"/>
          <w:lang w:eastAsia="zh-CN"/>
        </w:rPr>
        <w:t>）</w:t>
      </w:r>
    </w:p>
    <w:p w14:paraId="3C0AE442">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w:t>
      </w:r>
      <w:r>
        <w:rPr>
          <w:rFonts w:hint="eastAsia" w:ascii="仿宋" w:hAnsi="仿宋" w:eastAsia="仿宋" w:cs="仿宋"/>
          <w:color w:val="auto"/>
          <w:sz w:val="28"/>
          <w:szCs w:val="28"/>
          <w:highlight w:val="none"/>
          <w:lang w:val="en-US" w:eastAsia="zh-CN"/>
        </w:rPr>
        <w:t>合同（范本）</w:t>
      </w:r>
    </w:p>
    <w:p w14:paraId="4DF17CDD">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（7）在采购过程中由招标人或招标代理机构发出的修正和补充文件等（如有）</w:t>
      </w:r>
    </w:p>
    <w:p w14:paraId="64514719">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2数据文件（excel格式）由下列文件组成：</w:t>
      </w:r>
    </w:p>
    <w:p w14:paraId="6F1A1FD3">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（1）封面</w:t>
      </w:r>
    </w:p>
    <w:p w14:paraId="01284AEB">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（2）投标报价表（含明细）</w:t>
      </w:r>
    </w:p>
    <w:p w14:paraId="08AA4D6D">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（3）需求响应表（如有）</w:t>
      </w:r>
    </w:p>
    <w:p w14:paraId="1F675103">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（4）评审对照表</w:t>
      </w:r>
    </w:p>
    <w:p w14:paraId="5E8C235C">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（5）评分对照表（如有）</w:t>
      </w:r>
    </w:p>
    <w:p w14:paraId="5F3E8114">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3投标人应认真阅读招标文件中所有的事项、格式、条款和技术规范、参数及要求等，如果投标人没有按照招标文件要求提交全部资料，或者投标人没有对招标文件在各方面都做出实质性响应，其风险应由投标人自行承担并根据有关政策和条款规定，其投标有可能被拒绝，或者被认定为无效投标。</w:t>
      </w:r>
    </w:p>
    <w:p w14:paraId="6B03AE4D">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4</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招标文件的澄清</w:t>
      </w:r>
    </w:p>
    <w:p w14:paraId="22D5803A">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1投标人在收到招标文件后，对招标文件若有任何疑问或要求澄清招标文件的，应在有效期投标截止前2日内按“投标须知前附表”第四项向招标代理机构提出，必要时招标代理机构将协助招标人组织所有获取</w:t>
      </w:r>
      <w:r>
        <w:rPr>
          <w:rFonts w:hint="eastAsia" w:ascii="仿宋" w:hAnsi="仿宋" w:eastAsia="仿宋" w:cs="仿宋"/>
          <w:color w:val="auto"/>
          <w:sz w:val="28"/>
          <w:szCs w:val="28"/>
          <w:highlight w:val="none"/>
          <w:lang w:eastAsia="zh-CN"/>
        </w:rPr>
        <w:t>招标文件</w:t>
      </w:r>
      <w:r>
        <w:rPr>
          <w:rFonts w:hint="eastAsia" w:ascii="仿宋" w:hAnsi="仿宋" w:eastAsia="仿宋" w:cs="仿宋"/>
          <w:color w:val="auto"/>
          <w:sz w:val="28"/>
          <w:szCs w:val="28"/>
          <w:highlight w:val="none"/>
        </w:rPr>
        <w:t>投标人举行答疑会，招标代理机构根据需要主动对招标文件进行必要的澄清或根据投标人的要求对招标文件做出澄清，都将以原网站公开发布形式（包括电子交易系统推送）答复或发送给所有投标人。澄清文件作为招标文件的组成部分，对投标人起约束作用。</w:t>
      </w:r>
    </w:p>
    <w:p w14:paraId="58009695">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2投标人在规定的时间内未对招标文件澄清或提出疑问的，招标代理机构将视其为接受招标文件的所有条款，对招标文件没有异议，此后也不再受理对招标文件的相关质疑。</w:t>
      </w:r>
    </w:p>
    <w:p w14:paraId="4B2637A1">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5</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招标文件的修改</w:t>
      </w:r>
    </w:p>
    <w:p w14:paraId="49B4519B">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l在投标截止时间</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日以前，无论出于何种原因，招标代理机构或招标人可主动或在解答投标人提出的疑问时对招标文件进行修改。</w:t>
      </w:r>
    </w:p>
    <w:p w14:paraId="765DC59A">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修改后的内容是招标文件的组成部分，招标人、招标代理机构将会通过“原发布媒介”，以更正公告形式（电子交易系统发送更正提醒通知）一并告知所有潜在投标人，并对潜在投标人具有约束力。潜在投标人在收到上述通知后，应立即以书面形式向招标代理机构或招标人确认，如在24小时内无书面回函则视为同意修改内容，并有义务履行相应的义务。</w:t>
      </w:r>
    </w:p>
    <w:p w14:paraId="710ECCD8">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3澄清或者修改的内容可能影响投标文件编制的，招标人或招标代理机构将在投标截止时间</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日前，通过原网站发布公告的形式（电子交易系统内发送更正提醒通知）通知所有获取招标文件的潜在投标人（</w:t>
      </w:r>
      <w:r>
        <w:rPr>
          <w:rFonts w:hint="eastAsia" w:ascii="仿宋" w:hAnsi="仿宋" w:eastAsia="仿宋" w:cs="仿宋"/>
          <w:color w:val="auto"/>
          <w:sz w:val="28"/>
          <w:szCs w:val="28"/>
          <w:highlight w:val="none"/>
          <w:lang w:eastAsia="zh-CN"/>
        </w:rPr>
        <w:t>招标文件</w:t>
      </w:r>
      <w:r>
        <w:rPr>
          <w:rFonts w:hint="eastAsia" w:ascii="仿宋" w:hAnsi="仿宋" w:eastAsia="仿宋" w:cs="仿宋"/>
          <w:color w:val="auto"/>
          <w:sz w:val="28"/>
          <w:szCs w:val="28"/>
          <w:highlight w:val="none"/>
        </w:rPr>
        <w:t>变更的，投标人必须从电子交易系统中重新下载</w:t>
      </w:r>
      <w:r>
        <w:rPr>
          <w:rFonts w:hint="eastAsia" w:ascii="仿宋" w:hAnsi="仿宋" w:eastAsia="仿宋" w:cs="仿宋"/>
          <w:color w:val="auto"/>
          <w:sz w:val="28"/>
          <w:szCs w:val="28"/>
          <w:highlight w:val="none"/>
          <w:lang w:eastAsia="zh-CN"/>
        </w:rPr>
        <w:t>招标文件</w:t>
      </w:r>
      <w:r>
        <w:rPr>
          <w:rFonts w:hint="eastAsia" w:ascii="仿宋" w:hAnsi="仿宋" w:eastAsia="仿宋" w:cs="仿宋"/>
          <w:color w:val="auto"/>
          <w:sz w:val="28"/>
          <w:szCs w:val="28"/>
          <w:highlight w:val="none"/>
        </w:rPr>
        <w:t>，并在新下载文件的基础上编制投标文件）；不足</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日的，招标人或者招标代理机构将顺延提交投标文件的截止时间。</w:t>
      </w:r>
    </w:p>
    <w:p w14:paraId="3A147414">
      <w:pPr>
        <w:keepNext w:val="0"/>
        <w:keepLines w:val="0"/>
        <w:pageBreakBefore w:val="0"/>
        <w:kinsoku/>
        <w:wordWrap/>
        <w:overflowPunct/>
        <w:topLinePunct/>
        <w:autoSpaceDE/>
        <w:autoSpaceDN/>
        <w:bidi w:val="0"/>
        <w:snapToGrid/>
        <w:spacing w:line="520" w:lineRule="exact"/>
        <w:textAlignment w:val="auto"/>
        <w:outlineLvl w:val="1"/>
        <w:rPr>
          <w:rFonts w:hint="eastAsia" w:ascii="仿宋" w:hAnsi="仿宋" w:eastAsia="仿宋" w:cs="仿宋"/>
          <w:b/>
          <w:bCs/>
          <w:color w:val="auto"/>
          <w:sz w:val="28"/>
          <w:szCs w:val="28"/>
          <w:highlight w:val="none"/>
        </w:rPr>
      </w:pPr>
      <w:bookmarkStart w:id="11" w:name="_Toc11926"/>
      <w:r>
        <w:rPr>
          <w:rFonts w:hint="eastAsia" w:ascii="仿宋" w:hAnsi="仿宋" w:eastAsia="仿宋" w:cs="仿宋"/>
          <w:b/>
          <w:bCs/>
          <w:color w:val="auto"/>
          <w:sz w:val="28"/>
          <w:szCs w:val="28"/>
          <w:highlight w:val="none"/>
        </w:rPr>
        <w:t>三、投标文件的编制</w:t>
      </w:r>
      <w:bookmarkEnd w:id="11"/>
    </w:p>
    <w:p w14:paraId="4D5CA48A">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6</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投标文件编制要求</w:t>
      </w:r>
    </w:p>
    <w:p w14:paraId="4870493B">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1投标人编写的文件和往来信件应以简体中文书写。如果投标文件或与投标有关的其它文件、信件及来往函电以其它语言书写的，投标人应将其译成中文，如未翻译该文件为无效文件。</w:t>
      </w:r>
    </w:p>
    <w:p w14:paraId="1AE58F7A">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2投标文件中使用的计量单位应使用中华人民共和国法定计量单位。</w:t>
      </w:r>
    </w:p>
    <w:p w14:paraId="2D979560">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3投标人必须保证投标文件所提供的全部资料真实可靠，并接受招标人或招标代理机构对其中任何资料进一步核实的要求。如果因为投标文件填报的内容不详，或没有提供招标文件中所要求的全部资料及数据，或提供虚假文件，由此造成的后果由投标人自负。</w:t>
      </w:r>
    </w:p>
    <w:p w14:paraId="3B12D258">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4投标人应按招标文件中提供的投标文件格式（详见第五部分 投标文件（格式）按包段编写投标文件，并使用A4规格编制。投标文件应编写目录，具有结构清晰的文档结构图（打开word视图中的“文档结构图”后能看到详细章节），页码连续。</w:t>
      </w:r>
    </w:p>
    <w:p w14:paraId="54252974">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5投标人按照</w:t>
      </w:r>
      <w:r>
        <w:rPr>
          <w:rFonts w:hint="eastAsia" w:ascii="仿宋" w:hAnsi="仿宋" w:eastAsia="仿宋" w:cs="仿宋"/>
          <w:color w:val="auto"/>
          <w:sz w:val="28"/>
          <w:szCs w:val="28"/>
          <w:highlight w:val="none"/>
          <w:lang w:eastAsia="zh-CN"/>
        </w:rPr>
        <w:t>招标文件</w:t>
      </w:r>
      <w:r>
        <w:rPr>
          <w:rFonts w:hint="eastAsia" w:ascii="仿宋" w:hAnsi="仿宋" w:eastAsia="仿宋" w:cs="仿宋"/>
          <w:color w:val="auto"/>
          <w:sz w:val="28"/>
          <w:szCs w:val="28"/>
          <w:highlight w:val="none"/>
        </w:rPr>
        <w:t>要求所提供的各种证明文件必须真实且合法有效,经扫描后粘贴到投标文件的相关页上，确保清晰度可辨认，评审时由于无法辨认所产生的后果，由投标人自行承担。</w:t>
      </w:r>
    </w:p>
    <w:p w14:paraId="285361A4">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6</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对于不涉及或无法填写的评审项（评分项）（例如：报价），可在页码索引处填写1。</w:t>
      </w:r>
    </w:p>
    <w:p w14:paraId="68F91CFB">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7为了保证系统整体效率，系统对所投递的电子文件有大小的限制，因此，投标人应尽可能降低本文件的大小，小尺寸投标文件将使递交更快捷、减少差错发生几率，避免投标截止时间前未能完整上传文件。</w:t>
      </w:r>
    </w:p>
    <w:p w14:paraId="424ADEC1">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8投标文件具有法律效力，投标人与招标代理机构或招标人任何人的口头协议不影响投标文件的任何条款和内容。</w:t>
      </w:r>
    </w:p>
    <w:p w14:paraId="7023BC26">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9招标人或招标代理机构均无义务向投标人解释其中标或未中标的原因，且无论投标人是否中标，投标人所递交的投标文件均不予退还，不提供副本拷贝。</w:t>
      </w:r>
    </w:p>
    <w:p w14:paraId="0106BD56">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7</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数据文件编制要求</w:t>
      </w:r>
    </w:p>
    <w:p w14:paraId="2FAFDFF4">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投标人须从所投项目的招标文件压缩包内对应包段目录下获取本文件（变更后的数据文件需要重新下载），必须在原文件上严格按照其中要求填写，其内部已约定好固定格式和相关内容，且带有特定的唯一性数字指纹，对采用非该文件基础上编制或对该文件进行任何工作表、表格行、表格列的增减、对工作表先后顺序的变动，以及对锁定区域内的数据进行更改、</w:t>
      </w:r>
      <w:r>
        <w:rPr>
          <w:rFonts w:hint="eastAsia" w:ascii="仿宋" w:hAnsi="仿宋" w:eastAsia="仿宋" w:cs="仿宋"/>
          <w:b/>
          <w:bCs/>
          <w:color w:val="auto"/>
          <w:sz w:val="28"/>
          <w:szCs w:val="28"/>
          <w:highlight w:val="none"/>
        </w:rPr>
        <w:t>文件另存到其他文件</w:t>
      </w:r>
      <w:r>
        <w:rPr>
          <w:rFonts w:hint="eastAsia" w:ascii="仿宋" w:hAnsi="仿宋" w:eastAsia="仿宋" w:cs="仿宋"/>
          <w:color w:val="auto"/>
          <w:sz w:val="28"/>
          <w:szCs w:val="28"/>
          <w:highlight w:val="none"/>
        </w:rPr>
        <w:t>等违规性操作，都会破坏本文件中的数字指纹，导致系统无法接收该文件使其</w:t>
      </w:r>
      <w:r>
        <w:rPr>
          <w:rFonts w:hint="eastAsia" w:ascii="仿宋" w:hAnsi="仿宋" w:eastAsia="仿宋" w:cs="仿宋"/>
          <w:b/>
          <w:bCs/>
          <w:color w:val="auto"/>
          <w:sz w:val="28"/>
          <w:szCs w:val="28"/>
          <w:highlight w:val="none"/>
        </w:rPr>
        <w:t>投标失败</w:t>
      </w:r>
      <w:r>
        <w:rPr>
          <w:rFonts w:hint="eastAsia" w:ascii="仿宋" w:hAnsi="仿宋" w:eastAsia="仿宋" w:cs="仿宋"/>
          <w:color w:val="auto"/>
          <w:sz w:val="28"/>
          <w:szCs w:val="28"/>
          <w:highlight w:val="none"/>
        </w:rPr>
        <w:t>。</w:t>
      </w:r>
    </w:p>
    <w:p w14:paraId="04F2E34E">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投标人应按数据文件中规定的要求，完整、准确地填写《封面》《投标报价表（含明细）》《需求响应表（如有）》《评审对照表》《评分对照表（如有）》，任何的漏表、漏项及信息不完整、填写数据不规范或不正确，都将导致电子交易平台无法接收该文件使其</w:t>
      </w:r>
      <w:r>
        <w:rPr>
          <w:rFonts w:hint="eastAsia" w:ascii="仿宋" w:hAnsi="仿宋" w:eastAsia="仿宋" w:cs="仿宋"/>
          <w:b/>
          <w:bCs/>
          <w:color w:val="auto"/>
          <w:sz w:val="28"/>
          <w:szCs w:val="28"/>
          <w:highlight w:val="none"/>
        </w:rPr>
        <w:t>投标失败</w:t>
      </w:r>
      <w:r>
        <w:rPr>
          <w:rFonts w:hint="eastAsia" w:ascii="仿宋" w:hAnsi="仿宋" w:eastAsia="仿宋" w:cs="仿宋"/>
          <w:color w:val="auto"/>
          <w:sz w:val="28"/>
          <w:szCs w:val="28"/>
          <w:highlight w:val="none"/>
        </w:rPr>
        <w:t>。</w:t>
      </w:r>
    </w:p>
    <w:p w14:paraId="6625327A">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3投标人在对数据文件电子签章前，应按照上述2项的要求进行认真检查、确认。因投标人自身原因所导致其投标失败的，须自行承担相关责任。</w:t>
      </w:r>
    </w:p>
    <w:p w14:paraId="79363C56">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8</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文件构成</w:t>
      </w:r>
    </w:p>
    <w:p w14:paraId="2EB3C8C4">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投标人应按不同包段分别编制投标文件，每个包段的投标文件分两册必须包括：投标文件（pdf格式）（第一册）、数据文件（PDF格式）（第二册），以上内容缺一不可，否则为</w:t>
      </w:r>
      <w:r>
        <w:rPr>
          <w:rFonts w:hint="eastAsia" w:ascii="仿宋" w:hAnsi="仿宋" w:eastAsia="仿宋" w:cs="仿宋"/>
          <w:b/>
          <w:bCs/>
          <w:color w:val="auto"/>
          <w:sz w:val="28"/>
          <w:szCs w:val="28"/>
          <w:highlight w:val="none"/>
        </w:rPr>
        <w:t>无效投标（响应）</w:t>
      </w:r>
      <w:r>
        <w:rPr>
          <w:rFonts w:hint="eastAsia" w:ascii="仿宋" w:hAnsi="仿宋" w:eastAsia="仿宋" w:cs="仿宋"/>
          <w:color w:val="auto"/>
          <w:sz w:val="28"/>
          <w:szCs w:val="28"/>
          <w:highlight w:val="none"/>
        </w:rPr>
        <w:t>。</w:t>
      </w:r>
    </w:p>
    <w:p w14:paraId="7A72F530">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1投标人编制的投标文件（pdf格式）（第一册）应包括但不少于下列内容：</w:t>
      </w:r>
    </w:p>
    <w:p w14:paraId="4042CD24">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（1）投标文件封面</w:t>
      </w:r>
    </w:p>
    <w:p w14:paraId="3B73DB4A">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（2）投标文件目录</w:t>
      </w:r>
    </w:p>
    <w:p w14:paraId="4D9E1B21">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（3）投标承诺函</w:t>
      </w:r>
    </w:p>
    <w:p w14:paraId="78CD6493">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投标人资格证明文件</w:t>
      </w:r>
      <w:r>
        <w:rPr>
          <w:rFonts w:hint="eastAsia" w:ascii="仿宋" w:hAnsi="仿宋" w:eastAsia="仿宋" w:cs="仿宋"/>
          <w:color w:val="auto"/>
          <w:sz w:val="28"/>
          <w:szCs w:val="28"/>
          <w:highlight w:val="none"/>
          <w:lang w:eastAsia="zh-CN"/>
        </w:rPr>
        <w:t>：</w:t>
      </w:r>
    </w:p>
    <w:p w14:paraId="53915A63">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①</w:t>
      </w:r>
      <w:r>
        <w:rPr>
          <w:rFonts w:hint="eastAsia" w:ascii="仿宋" w:hAnsi="仿宋" w:eastAsia="仿宋" w:cs="仿宋"/>
          <w:color w:val="auto"/>
          <w:sz w:val="28"/>
          <w:szCs w:val="28"/>
          <w:highlight w:val="none"/>
          <w:lang w:val="en-US" w:eastAsia="zh-CN"/>
        </w:rPr>
        <w:t>投标人具有</w:t>
      </w:r>
      <w:r>
        <w:rPr>
          <w:rFonts w:hint="eastAsia" w:ascii="仿宋" w:hAnsi="仿宋" w:eastAsia="仿宋" w:cs="仿宋"/>
          <w:color w:val="auto"/>
          <w:sz w:val="28"/>
          <w:szCs w:val="28"/>
          <w:highlight w:val="none"/>
        </w:rPr>
        <w:t>有效的营业执照扫描件</w:t>
      </w:r>
      <w:r>
        <w:rPr>
          <w:rFonts w:hint="eastAsia" w:ascii="仿宋" w:hAnsi="仿宋" w:eastAsia="仿宋" w:cs="仿宋"/>
          <w:color w:val="auto"/>
          <w:sz w:val="28"/>
          <w:szCs w:val="28"/>
          <w:highlight w:val="none"/>
          <w:lang w:val="en-US" w:eastAsia="zh-CN"/>
        </w:rPr>
        <w:t>或其他能证明具有独立承担民事责任能力的材料扫描件</w:t>
      </w:r>
      <w:r>
        <w:rPr>
          <w:rFonts w:hint="eastAsia" w:ascii="仿宋" w:hAnsi="仿宋" w:eastAsia="仿宋" w:cs="仿宋"/>
          <w:color w:val="auto"/>
          <w:sz w:val="28"/>
          <w:szCs w:val="28"/>
          <w:highlight w:val="none"/>
        </w:rPr>
        <w:t>；</w:t>
      </w:r>
    </w:p>
    <w:p w14:paraId="69F6DC76">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②法定代表人授权委托书；被授权人身份证扫描件；</w:t>
      </w:r>
    </w:p>
    <w:p w14:paraId="6445A15D">
      <w:pPr>
        <w:keepNext w:val="0"/>
        <w:keepLines w:val="0"/>
        <w:pageBreakBefore w:val="0"/>
        <w:widowControl/>
        <w:kinsoku/>
        <w:wordWrap w:val="0"/>
        <w:overflowPunct/>
        <w:topLinePunct/>
        <w:autoSpaceDE/>
        <w:autoSpaceDN/>
        <w:bidi w:val="0"/>
        <w:adjustRightInd w:val="0"/>
        <w:snapToGrid/>
        <w:spacing w:line="520" w:lineRule="exact"/>
        <w:ind w:firstLine="560" w:firstLineChars="200"/>
        <w:jc w:val="left"/>
        <w:textAlignment w:val="auto"/>
        <w:rPr>
          <w:rFonts w:hint="eastAsia" w:ascii="仿宋" w:hAnsi="仿宋" w:eastAsia="仿宋" w:cs="仿宋"/>
          <w:i w:val="0"/>
          <w:iCs w:val="0"/>
          <w:color w:val="auto"/>
          <w:spacing w:val="8"/>
          <w:kern w:val="0"/>
          <w:sz w:val="28"/>
          <w:szCs w:val="28"/>
          <w:highlight w:val="none"/>
          <w:lang w:val="en-US" w:eastAsia="zh-CN"/>
        </w:rPr>
      </w:pPr>
      <w:r>
        <w:rPr>
          <w:rFonts w:hint="eastAsia" w:ascii="仿宋" w:hAnsi="仿宋" w:eastAsia="仿宋" w:cs="仿宋"/>
          <w:color w:val="auto"/>
          <w:sz w:val="28"/>
          <w:szCs w:val="28"/>
          <w:highlight w:val="none"/>
        </w:rPr>
        <w:t>若投标人代表为企业法定代表人，则只需提供企业法定代表人身份证明及法定代表人身份证扫描件</w:t>
      </w:r>
      <w:r>
        <w:rPr>
          <w:rFonts w:hint="eastAsia" w:ascii="仿宋" w:hAnsi="仿宋" w:eastAsia="仿宋" w:cs="仿宋"/>
          <w:i w:val="0"/>
          <w:iCs w:val="0"/>
          <w:color w:val="auto"/>
          <w:spacing w:val="8"/>
          <w:kern w:val="0"/>
          <w:sz w:val="28"/>
          <w:szCs w:val="28"/>
          <w:highlight w:val="none"/>
          <w:lang w:val="en-US" w:eastAsia="zh-CN"/>
        </w:rPr>
        <w:t>；</w:t>
      </w:r>
    </w:p>
    <w:p w14:paraId="3381AF12">
      <w:pPr>
        <w:keepNext w:val="0"/>
        <w:keepLines w:val="0"/>
        <w:pageBreakBefore w:val="0"/>
        <w:widowControl/>
        <w:kinsoku/>
        <w:wordWrap w:val="0"/>
        <w:overflowPunct/>
        <w:topLinePunct/>
        <w:autoSpaceDE/>
        <w:autoSpaceDN/>
        <w:bidi w:val="0"/>
        <w:adjustRightInd w:val="0"/>
        <w:snapToGrid/>
        <w:spacing w:line="520" w:lineRule="exact"/>
        <w:ind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③</w:t>
      </w:r>
      <w:r>
        <w:rPr>
          <w:rFonts w:hint="eastAsia" w:ascii="仿宋" w:hAnsi="仿宋" w:eastAsia="仿宋" w:cs="仿宋"/>
          <w:color w:val="auto"/>
          <w:sz w:val="28"/>
          <w:szCs w:val="28"/>
          <w:highlight w:val="none"/>
          <w:lang w:val="en-US" w:eastAsia="zh-CN"/>
        </w:rPr>
        <w:t>投标人信用承诺书</w:t>
      </w:r>
      <w:r>
        <w:rPr>
          <w:rFonts w:hint="eastAsia" w:ascii="仿宋" w:hAnsi="仿宋" w:eastAsia="仿宋" w:cs="仿宋"/>
          <w:color w:val="auto"/>
          <w:sz w:val="28"/>
          <w:szCs w:val="28"/>
          <w:highlight w:val="none"/>
        </w:rPr>
        <w:t>；</w:t>
      </w:r>
    </w:p>
    <w:p w14:paraId="3A1BA262">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④</w:t>
      </w:r>
      <w:r>
        <w:rPr>
          <w:rFonts w:hint="eastAsia" w:ascii="仿宋" w:hAnsi="仿宋" w:eastAsia="仿宋" w:cs="仿宋"/>
          <w:color w:val="auto"/>
          <w:sz w:val="28"/>
          <w:szCs w:val="28"/>
          <w:highlight w:val="none"/>
          <w:lang w:val="en-US" w:eastAsia="zh-CN"/>
        </w:rPr>
        <w:t>投标人参与投标的声明函；</w:t>
      </w:r>
    </w:p>
    <w:p w14:paraId="52AD0653">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⑤</w:t>
      </w:r>
      <w:r>
        <w:rPr>
          <w:rFonts w:hint="eastAsia" w:ascii="仿宋" w:hAnsi="仿宋" w:eastAsia="仿宋" w:cs="仿宋"/>
          <w:i w:val="0"/>
          <w:iCs w:val="0"/>
          <w:color w:val="auto"/>
          <w:spacing w:val="8"/>
          <w:kern w:val="0"/>
          <w:sz w:val="28"/>
          <w:szCs w:val="28"/>
          <w:highlight w:val="none"/>
          <w:lang w:val="en-US" w:eastAsia="zh-CN"/>
        </w:rPr>
        <w:t>投标单位、法定代表人、委托代理人</w:t>
      </w:r>
      <w:r>
        <w:rPr>
          <w:rFonts w:hint="eastAsia" w:ascii="仿宋" w:hAnsi="仿宋" w:eastAsia="仿宋" w:cs="仿宋"/>
          <w:color w:val="auto"/>
          <w:sz w:val="28"/>
          <w:szCs w:val="28"/>
          <w:highlight w:val="none"/>
          <w:lang w:val="en-US" w:eastAsia="zh-CN"/>
        </w:rPr>
        <w:t>未被最高法院列入失信被执行人（查询网址:http://zxgk.court.gov.cn/shixin/，须填写完整，查询省份为全部），附网上查询截图</w:t>
      </w:r>
      <w:r>
        <w:rPr>
          <w:rFonts w:hint="eastAsia" w:ascii="仿宋" w:hAnsi="仿宋" w:eastAsia="仿宋" w:cs="仿宋"/>
          <w:color w:val="auto"/>
          <w:sz w:val="28"/>
          <w:szCs w:val="28"/>
          <w:highlight w:val="none"/>
          <w:lang w:eastAsia="zh-CN"/>
        </w:rPr>
        <w:t>；</w:t>
      </w:r>
    </w:p>
    <w:p w14:paraId="57C63FF4">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⑥投标人近一年在“信用中国”或“信用中国（山东）”无严重失信记录。附信</w:t>
      </w:r>
      <w:r>
        <w:rPr>
          <w:rFonts w:hint="eastAsia" w:ascii="仿宋" w:hAnsi="仿宋" w:eastAsia="仿宋" w:cs="仿宋"/>
          <w:color w:val="auto"/>
          <w:sz w:val="28"/>
          <w:szCs w:val="28"/>
          <w:highlight w:val="none"/>
        </w:rPr>
        <w:t>用中国（www</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creditchina</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gov</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cn）或信用中国（山东）（credit</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shandong</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gov</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cn）查询的信用报告</w:t>
      </w:r>
      <w:r>
        <w:rPr>
          <w:rFonts w:hint="eastAsia" w:ascii="仿宋" w:hAnsi="仿宋" w:eastAsia="仿宋" w:cs="仿宋"/>
          <w:color w:val="auto"/>
          <w:sz w:val="28"/>
          <w:szCs w:val="28"/>
          <w:highlight w:val="none"/>
          <w:lang w:val="en-US" w:eastAsia="zh-CN"/>
        </w:rPr>
        <w:t>；</w:t>
      </w:r>
    </w:p>
    <w:p w14:paraId="47F51025">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⑦交纳投标保证金的证明材料；</w:t>
      </w:r>
    </w:p>
    <w:p w14:paraId="7AFFCCEB">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fldChar w:fldCharType="begin"/>
      </w:r>
      <w:r>
        <w:rPr>
          <w:rFonts w:hint="eastAsia" w:ascii="仿宋" w:hAnsi="仿宋" w:eastAsia="仿宋" w:cs="仿宋"/>
          <w:color w:val="auto"/>
          <w:sz w:val="28"/>
          <w:szCs w:val="28"/>
          <w:highlight w:val="none"/>
          <w:lang w:val="en-US" w:eastAsia="zh-CN"/>
        </w:rPr>
        <w:instrText xml:space="preserve"> = 8 \* GB3 \* MERGEFORMAT </w:instrText>
      </w:r>
      <w:r>
        <w:rPr>
          <w:rFonts w:hint="eastAsia" w:ascii="仿宋" w:hAnsi="仿宋" w:eastAsia="仿宋" w:cs="仿宋"/>
          <w:color w:val="auto"/>
          <w:sz w:val="28"/>
          <w:szCs w:val="28"/>
          <w:highlight w:val="none"/>
          <w:lang w:val="en-US" w:eastAsia="zh-CN"/>
        </w:rPr>
        <w:fldChar w:fldCharType="separate"/>
      </w:r>
      <w:r>
        <w:rPr>
          <w:rFonts w:hint="eastAsia" w:ascii="仿宋" w:hAnsi="仿宋" w:eastAsia="仿宋" w:cs="仿宋"/>
          <w:color w:val="auto"/>
          <w:sz w:val="28"/>
          <w:szCs w:val="28"/>
          <w:highlight w:val="none"/>
          <w:lang w:val="en-US" w:eastAsia="zh-CN"/>
        </w:rPr>
        <w:t>⑧</w:t>
      </w:r>
      <w:r>
        <w:rPr>
          <w:rFonts w:hint="eastAsia" w:ascii="仿宋" w:hAnsi="仿宋" w:eastAsia="仿宋" w:cs="仿宋"/>
          <w:color w:val="auto"/>
          <w:sz w:val="28"/>
          <w:szCs w:val="28"/>
          <w:highlight w:val="none"/>
          <w:lang w:val="en-US" w:eastAsia="zh-CN"/>
        </w:rPr>
        <w:fldChar w:fldCharType="end"/>
      </w:r>
      <w:r>
        <w:rPr>
          <w:rFonts w:hint="eastAsia" w:ascii="仿宋" w:hAnsi="仿宋" w:eastAsia="仿宋" w:cs="仿宋"/>
          <w:color w:val="auto"/>
          <w:sz w:val="28"/>
          <w:szCs w:val="28"/>
          <w:highlight w:val="none"/>
        </w:rPr>
        <w:t>投标人认为需要提供的资质资格证明文件。</w:t>
      </w:r>
    </w:p>
    <w:p w14:paraId="02A630EE">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以上所有资质资格证明文件均需加盖投标人</w:t>
      </w:r>
      <w:r>
        <w:rPr>
          <w:rFonts w:hint="eastAsia" w:ascii="仿宋" w:hAnsi="仿宋" w:eastAsia="仿宋" w:cs="仿宋"/>
          <w:b/>
          <w:bCs/>
          <w:color w:val="auto"/>
          <w:sz w:val="28"/>
          <w:szCs w:val="28"/>
          <w:highlight w:val="none"/>
          <w:lang w:val="en-US" w:eastAsia="zh-CN"/>
        </w:rPr>
        <w:t>公</w:t>
      </w:r>
      <w:r>
        <w:rPr>
          <w:rFonts w:hint="eastAsia" w:ascii="仿宋" w:hAnsi="仿宋" w:eastAsia="仿宋" w:cs="仿宋"/>
          <w:b/>
          <w:bCs/>
          <w:color w:val="auto"/>
          <w:sz w:val="28"/>
          <w:szCs w:val="28"/>
          <w:highlight w:val="none"/>
        </w:rPr>
        <w:t>章。</w:t>
      </w:r>
    </w:p>
    <w:p w14:paraId="76384727">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商务文件</w:t>
      </w:r>
    </w:p>
    <w:p w14:paraId="0A1EC3E5">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①投标人基本情况</w:t>
      </w:r>
      <w:r>
        <w:rPr>
          <w:rFonts w:hint="eastAsia" w:ascii="仿宋" w:hAnsi="仿宋" w:eastAsia="仿宋" w:cs="仿宋"/>
          <w:color w:val="auto"/>
          <w:sz w:val="28"/>
          <w:szCs w:val="28"/>
          <w:highlight w:val="none"/>
          <w:lang w:eastAsia="zh-CN"/>
        </w:rPr>
        <w:t>；</w:t>
      </w:r>
    </w:p>
    <w:p w14:paraId="1B2DB166">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②</w:t>
      </w:r>
      <w:r>
        <w:rPr>
          <w:rFonts w:hint="eastAsia" w:ascii="仿宋" w:hAnsi="仿宋" w:eastAsia="仿宋" w:cs="仿宋"/>
          <w:color w:val="auto"/>
          <w:sz w:val="28"/>
          <w:szCs w:val="28"/>
          <w:highlight w:val="none"/>
          <w:lang w:val="en-US" w:eastAsia="zh-CN"/>
        </w:rPr>
        <w:t>企业</w:t>
      </w:r>
      <w:r>
        <w:rPr>
          <w:rFonts w:hint="eastAsia" w:ascii="仿宋" w:hAnsi="仿宋" w:eastAsia="仿宋" w:cs="仿宋"/>
          <w:color w:val="auto"/>
          <w:sz w:val="28"/>
          <w:szCs w:val="28"/>
          <w:highlight w:val="none"/>
        </w:rPr>
        <w:t>业绩表</w:t>
      </w:r>
      <w:r>
        <w:rPr>
          <w:rFonts w:hint="eastAsia" w:ascii="仿宋" w:hAnsi="仿宋" w:eastAsia="仿宋" w:cs="仿宋"/>
          <w:color w:val="auto"/>
          <w:sz w:val="28"/>
          <w:szCs w:val="28"/>
          <w:highlight w:val="none"/>
          <w:lang w:val="en-US" w:eastAsia="zh-CN"/>
        </w:rPr>
        <w:t>;</w:t>
      </w:r>
    </w:p>
    <w:p w14:paraId="4CDC07D5">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③</w:t>
      </w:r>
      <w:r>
        <w:rPr>
          <w:rFonts w:hint="eastAsia" w:ascii="仿宋" w:hAnsi="仿宋" w:eastAsia="仿宋" w:cs="仿宋"/>
          <w:color w:val="auto"/>
          <w:sz w:val="28"/>
          <w:szCs w:val="28"/>
          <w:highlight w:val="none"/>
          <w:lang w:val="en-US" w:eastAsia="zh-CN"/>
        </w:rPr>
        <w:t>响应偏离表</w:t>
      </w:r>
      <w:r>
        <w:rPr>
          <w:rFonts w:hint="eastAsia" w:ascii="仿宋" w:hAnsi="仿宋" w:eastAsia="仿宋" w:cs="仿宋"/>
          <w:color w:val="auto"/>
          <w:sz w:val="28"/>
          <w:szCs w:val="28"/>
          <w:highlight w:val="none"/>
          <w:lang w:eastAsia="zh-CN"/>
        </w:rPr>
        <w:t>；</w:t>
      </w:r>
    </w:p>
    <w:p w14:paraId="6A7FC243">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④</w:t>
      </w:r>
      <w:r>
        <w:rPr>
          <w:rFonts w:hint="eastAsia" w:ascii="仿宋" w:hAnsi="仿宋" w:eastAsia="仿宋" w:cs="仿宋"/>
          <w:color w:val="auto"/>
          <w:sz w:val="28"/>
          <w:szCs w:val="28"/>
          <w:highlight w:val="none"/>
          <w:lang w:val="en-US" w:eastAsia="zh-CN"/>
        </w:rPr>
        <w:t>投标人认为需要提交的其他材料。</w:t>
      </w:r>
    </w:p>
    <w:p w14:paraId="4E179479">
      <w:pPr>
        <w:keepNext w:val="0"/>
        <w:keepLines w:val="0"/>
        <w:pageBreakBefore w:val="0"/>
        <w:widowControl w:val="0"/>
        <w:kinsoku/>
        <w:wordWrap/>
        <w:overflowPunct/>
        <w:topLinePunct/>
        <w:autoSpaceDE/>
        <w:autoSpaceDN/>
        <w:bidi w:val="0"/>
        <w:adjustRightInd/>
        <w:snapToGrid w:val="0"/>
        <w:spacing w:line="520" w:lineRule="exact"/>
        <w:ind w:firstLine="565" w:firstLineChars="202"/>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lang w:eastAsia="zh-CN"/>
        </w:rPr>
        <w:t>技术文件。</w:t>
      </w:r>
    </w:p>
    <w:p w14:paraId="6DFE7EF1">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2数据文件（PDF格式）（第二册）</w:t>
      </w:r>
    </w:p>
    <w:p w14:paraId="6176FB18">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投标人须从本项目招标文件压缩包内获取对应包段的数据文件（EXCEL格式），并严格按照要求填写。填写完成后在威海市国有企业阳光采购电子化服务平台中上传该数据文件（EXCEL格式），系统将自动转换为PDF格式，再加盖投标人电子印章，未按要求填写或盖章为</w:t>
      </w:r>
      <w:r>
        <w:rPr>
          <w:rFonts w:hint="eastAsia" w:ascii="仿宋" w:hAnsi="仿宋" w:eastAsia="仿宋" w:cs="仿宋"/>
          <w:b/>
          <w:bCs/>
          <w:color w:val="auto"/>
          <w:sz w:val="28"/>
          <w:szCs w:val="28"/>
          <w:highlight w:val="none"/>
        </w:rPr>
        <w:t>无效投标（响应）</w:t>
      </w:r>
      <w:r>
        <w:rPr>
          <w:rFonts w:hint="eastAsia" w:ascii="仿宋" w:hAnsi="仿宋" w:eastAsia="仿宋" w:cs="仿宋"/>
          <w:color w:val="auto"/>
          <w:sz w:val="28"/>
          <w:szCs w:val="28"/>
          <w:highlight w:val="none"/>
        </w:rPr>
        <w:t>。</w:t>
      </w:r>
    </w:p>
    <w:p w14:paraId="44D01E99">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数据文件（PDF格式）包含下列内容：</w:t>
      </w:r>
    </w:p>
    <w:p w14:paraId="0C16A923">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（1）封面</w:t>
      </w:r>
    </w:p>
    <w:p w14:paraId="15104809">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（2）投标报价表（含明细）</w:t>
      </w:r>
    </w:p>
    <w:p w14:paraId="05A5D708">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（3）需求响应表（如有）</w:t>
      </w:r>
    </w:p>
    <w:p w14:paraId="7113B0ED">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（4）评审对照表</w:t>
      </w:r>
    </w:p>
    <w:p w14:paraId="52C471F4">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（5）评分对照表（如有）</w:t>
      </w:r>
    </w:p>
    <w:p w14:paraId="0FBAC833">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9</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投标报价</w:t>
      </w:r>
    </w:p>
    <w:p w14:paraId="7050E7B7">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1投标人所提供的服务均以人民币报价，精确到小数点后两位。</w:t>
      </w:r>
    </w:p>
    <w:p w14:paraId="54F90780">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2投标人应按照“第三章 采购内容与要求”的服务内容、责任范围以及合同条款进行报价。并按数据文件中“投标报价表（含明细）”规定的格式报出分项价格和总价。</w:t>
      </w:r>
    </w:p>
    <w:p w14:paraId="5CE6388D">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3投标人应按数据文件“投标报价表（含明细）”要求的统一格式填写，并加盖电子公章。</w:t>
      </w:r>
    </w:p>
    <w:p w14:paraId="74C783F4">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4《投标报价表（含明细）》填写时应响应下列要求：</w:t>
      </w:r>
    </w:p>
    <w:p w14:paraId="134B6875">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（1）所有根据合同或其它原因应由投标人支付的税款和其它应交纳的费用都要包括在投标人提交的报价中；</w:t>
      </w:r>
    </w:p>
    <w:p w14:paraId="59875EC8">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（2）投标报价包括完成该项目的一切费用总和，以及招标文件和合同中明确的其他责任和义务,包括合同条款中以及招标文件中规定的及合理推算出履行自身义务需支付的所有费用。</w:t>
      </w:r>
    </w:p>
    <w:p w14:paraId="1E85DA30">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（3）投标人应对本次招标的全部内容进行报价，缺项报价投标无效。如因投标人自身的原因报价失误而造成的损失，由投标人自行承担。</w:t>
      </w:r>
    </w:p>
    <w:p w14:paraId="5878DB1D">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（4）投标人须严格按照报价明细表说明进行填写，报价明细表中“*”是必填项，任何必填项为空时都可能导致本次投标无效。</w:t>
      </w:r>
    </w:p>
    <w:p w14:paraId="3F8CA602">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（5）《投标报价表（含明细）》中合价将由单价*数量自动计算，无需手工录入。</w:t>
      </w:r>
    </w:p>
    <w:p w14:paraId="73EDB5D3">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w:t>
      </w:r>
      <w:r>
        <w:rPr>
          <w:rFonts w:hint="eastAsia" w:ascii="仿宋" w:hAnsi="仿宋" w:eastAsia="仿宋" w:cs="仿宋"/>
          <w:b/>
          <w:bCs/>
          <w:color w:val="auto"/>
          <w:sz w:val="28"/>
          <w:szCs w:val="28"/>
          <w:highlight w:val="none"/>
        </w:rPr>
        <w:t>《投标报价表（含明细）》中的交付期填报“响应招标文件要求”、服务期填报“响应招标文件要求”、服务地点填报“响应招标文件要求”。</w:t>
      </w:r>
    </w:p>
    <w:p w14:paraId="44EDC63F">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5《需求响应表》（如有）填写时应响应下列要求：</w:t>
      </w:r>
    </w:p>
    <w:p w14:paraId="48654876">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（1）有底色标识的单元格须填写，有“*”的列是必输项，任何必输项为空都可能导致您的本次投标（响应）无效；</w:t>
      </w:r>
    </w:p>
    <w:p w14:paraId="2BCB9092">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（2）如想拷贝数据到某个待填写单元格，应采用选择性粘贴(只粘贴文本)，否则单元格填写无效或被锁死；</w:t>
      </w:r>
    </w:p>
    <w:p w14:paraId="6D57CCED">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（3）当招标需求列的内容显示不完整时，请点击编辑栏进行查看；</w:t>
      </w:r>
    </w:p>
    <w:p w14:paraId="38A7C590">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4）响应需求请按照商品(服务)的招标需求的逐一说明，如实填写。“响应需求”中需详细列明所报产品（服务）的明细；若与投标（响应）文件中提供的产品检测报告（如有）、生产厂家出具的产品彩页等证明材料的实质性响应情况不一致，按</w:t>
      </w:r>
      <w:r>
        <w:rPr>
          <w:rFonts w:hint="eastAsia" w:ascii="仿宋" w:hAnsi="仿宋" w:eastAsia="仿宋" w:cs="仿宋"/>
          <w:b/>
          <w:bCs/>
          <w:color w:val="auto"/>
          <w:sz w:val="28"/>
          <w:szCs w:val="28"/>
          <w:highlight w:val="none"/>
        </w:rPr>
        <w:t>无效投标（响应）处理</w:t>
      </w:r>
      <w:r>
        <w:rPr>
          <w:rFonts w:hint="eastAsia" w:ascii="仿宋" w:hAnsi="仿宋" w:eastAsia="仿宋" w:cs="仿宋"/>
          <w:color w:val="auto"/>
          <w:sz w:val="28"/>
          <w:szCs w:val="28"/>
          <w:highlight w:val="none"/>
          <w:lang w:eastAsia="zh-CN"/>
        </w:rPr>
        <w:t>；</w:t>
      </w:r>
    </w:p>
    <w:p w14:paraId="6EA74E81">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（5）按照该表显示位置加盖一个电子印章；</w:t>
      </w:r>
    </w:p>
    <w:p w14:paraId="5BD8C38D">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（6）该表为固定格式且有数字指纹，必须在原表上填写，填写完毕后只可保存不可另存。删除该表、增加该表、增加行列、删除行列、对固定格式的任何改动均会导致</w:t>
      </w:r>
      <w:r>
        <w:rPr>
          <w:rFonts w:hint="eastAsia" w:ascii="仿宋" w:hAnsi="仿宋" w:eastAsia="仿宋" w:cs="仿宋"/>
          <w:b/>
          <w:bCs/>
          <w:color w:val="auto"/>
          <w:sz w:val="28"/>
          <w:szCs w:val="28"/>
          <w:highlight w:val="none"/>
        </w:rPr>
        <w:t>无效投标</w:t>
      </w:r>
      <w:r>
        <w:rPr>
          <w:rFonts w:hint="eastAsia" w:ascii="仿宋" w:hAnsi="仿宋" w:eastAsia="仿宋" w:cs="仿宋"/>
          <w:color w:val="auto"/>
          <w:sz w:val="28"/>
          <w:szCs w:val="28"/>
          <w:highlight w:val="none"/>
          <w:lang w:eastAsia="zh-CN"/>
        </w:rPr>
        <w:t>。</w:t>
      </w:r>
    </w:p>
    <w:p w14:paraId="52827AD2">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6投标人的报价在合同执行过程中是固定不变的</w:t>
      </w:r>
      <w:bookmarkStart w:id="45" w:name="_GoBack"/>
      <w:bookmarkEnd w:id="45"/>
      <w:r>
        <w:rPr>
          <w:rFonts w:hint="eastAsia" w:ascii="仿宋" w:hAnsi="仿宋" w:eastAsia="仿宋" w:cs="仿宋"/>
          <w:color w:val="auto"/>
          <w:sz w:val="28"/>
          <w:szCs w:val="28"/>
          <w:highlight w:val="none"/>
        </w:rPr>
        <w:t>，不得以任何理由改变。所有价格折扣、优惠条件必须在投标（报价）一览表中注明，否则评审时不予认可。</w:t>
      </w:r>
    </w:p>
    <w:p w14:paraId="2A2FF40C">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10</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联合体投标</w:t>
      </w:r>
    </w:p>
    <w:p w14:paraId="149BA0A9">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两个以上的自然人、法人或者其他组织可以组成一个联合体，以一个投标人的身份共同参加投标。</w:t>
      </w:r>
    </w:p>
    <w:p w14:paraId="671418E0">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1以联合体形式进行投标的，应当提交联合协议，载明联合体各方承担的工作和义务。联合体各方应当共同与招标人签订采购合同，就采购合同约定的事项对招标人承担连带责任。</w:t>
      </w:r>
    </w:p>
    <w:p w14:paraId="27BC5CCF">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2联合体中有同类资质的投标人按照联合体分工承担相同工作的，应当按照资质等级较低的投标人确定资质等级。</w:t>
      </w:r>
    </w:p>
    <w:p w14:paraId="5DAB5725">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3联合体的各方应当共同推荐一名联合体投标授权代表方，由联合体各方提交一份授权书，证明其有资格代表联合体各方签署投标文件，该授权书作为投标文件的组成部分一并提交给</w:t>
      </w:r>
      <w:r>
        <w:rPr>
          <w:rFonts w:hint="eastAsia" w:ascii="仿宋" w:hAnsi="仿宋" w:eastAsia="仿宋" w:cs="仿宋"/>
          <w:color w:val="auto"/>
          <w:sz w:val="28"/>
          <w:szCs w:val="28"/>
          <w:highlight w:val="none"/>
          <w:lang w:eastAsia="zh-CN"/>
        </w:rPr>
        <w:t>山东瀚泰建设管理有限公司</w:t>
      </w:r>
      <w:r>
        <w:rPr>
          <w:rFonts w:hint="eastAsia" w:ascii="仿宋" w:hAnsi="仿宋" w:eastAsia="仿宋" w:cs="仿宋"/>
          <w:color w:val="auto"/>
          <w:sz w:val="28"/>
          <w:szCs w:val="28"/>
          <w:highlight w:val="none"/>
        </w:rPr>
        <w:t>。</w:t>
      </w:r>
    </w:p>
    <w:p w14:paraId="4DA0DD0C">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4以联合体形式参加采购活动的，联合体各方不得再单独参加或者与其他投标人另外组成联合体参加同一合同项下的采购活动。</w:t>
      </w:r>
    </w:p>
    <w:p w14:paraId="548E11E1">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本项目是否接受联合体投标详见《投标须知前附表》。</w:t>
      </w:r>
    </w:p>
    <w:p w14:paraId="3D30F8E9">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11</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关于分包</w:t>
      </w:r>
    </w:p>
    <w:p w14:paraId="75942D06">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1投标人拟将成交项目的非主体、非关键性工作分包的，应当在投标文件中载明分包承担主体，分包承担主体应当具备相应资质条件且不得再次分包。</w:t>
      </w:r>
    </w:p>
    <w:p w14:paraId="07BFBE29">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2投标人应当就分包项目向招标人负责，分包承担主体就分包项目承担责任。</w:t>
      </w:r>
    </w:p>
    <w:p w14:paraId="4B18636D">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rPr>
        <w:t>本项目是否接受分包投标详见《投标须知前附表》</w:t>
      </w:r>
      <w:r>
        <w:rPr>
          <w:rFonts w:hint="eastAsia" w:ascii="仿宋" w:hAnsi="仿宋" w:eastAsia="仿宋" w:cs="仿宋"/>
          <w:b/>
          <w:bCs/>
          <w:color w:val="auto"/>
          <w:sz w:val="28"/>
          <w:szCs w:val="28"/>
          <w:highlight w:val="none"/>
          <w:lang w:eastAsia="zh-CN"/>
        </w:rPr>
        <w:t>。</w:t>
      </w:r>
    </w:p>
    <w:p w14:paraId="024C895A">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12</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现场踏勘</w:t>
      </w:r>
    </w:p>
    <w:p w14:paraId="54DFFE6A">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如有需要，招标代理机构或招标人将组织投标人对项目现场及周围环境进行踏勘，以便投标人获取有关编制投标文件和签署合同所需的所有资料。踏勘现场所发生的费用由投标人自己承担，投标人应按招标公告所约定的时间、地点踏勘现场。</w:t>
      </w:r>
    </w:p>
    <w:p w14:paraId="6481A4CE">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2投标人及其人员经过招标人的允许，可以踏勘目的进入招标单位的项目现场。若本项目招标文件要求投标人于统一时间地点踏勘现场的，投标人应当按时前往。</w:t>
      </w:r>
    </w:p>
    <w:p w14:paraId="41F0DEB3">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3除招标人的原因外，投标人自行负责在踏勘现场中所发生的人员伤亡和财产损失。</w:t>
      </w:r>
    </w:p>
    <w:p w14:paraId="6A0B9C1F">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4未参与现场踏勘不作为否定投标人资格的理由。</w:t>
      </w:r>
    </w:p>
    <w:p w14:paraId="4DB3BACF">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本项目是否组织现场踏勘详见《投标须知前附表》</w:t>
      </w:r>
    </w:p>
    <w:p w14:paraId="24B3BFA2">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13</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投标的有效期</w:t>
      </w:r>
    </w:p>
    <w:p w14:paraId="544D029F">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13</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1从开标之日起，投标有效期为90天。投标有效期短于90天的，其投标为无效投标（响应）。</w:t>
      </w:r>
    </w:p>
    <w:p w14:paraId="5C0C7D12">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13</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2特殊情况下，在投标有效期满之前，招标代理机构可以要求投标人延长投标有效期，投标人可以书面形式拒绝或接受上述要求。同意延长投标有效期的投标人不得修改投标文件的实质性内容。</w:t>
      </w:r>
    </w:p>
    <w:p w14:paraId="63CDB38C">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14</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投标保证金</w:t>
      </w:r>
    </w:p>
    <w:p w14:paraId="7A89094C">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14</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本项目投标保证金要求：详见投标须知前附表。</w:t>
      </w:r>
    </w:p>
    <w:p w14:paraId="47D3B4B1">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14</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缴纳截止时间：投标文件递交截止时间前。</w:t>
      </w:r>
    </w:p>
    <w:p w14:paraId="6ECC4F12">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14</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投标保证金的交纳单位必须与投标人名称一致，投标保证金须从其基本账户转出，否则其投标无效；</w:t>
      </w:r>
    </w:p>
    <w:p w14:paraId="1CA0C397">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14</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4本项目的投标保证金必须通过威海市国有企业阳光采购电子化服务平台交纳，使用说明参见威海市公共资源交易网（http://ggzyjy</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weihai</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cn）的“办事指南—国企采购专区”中《威海市国有企业阳光采购电子化服务平台线上投标保证金操作手册》。</w:t>
      </w:r>
    </w:p>
    <w:p w14:paraId="4ABDBBAC">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14</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5为确保投标工作有序进行，投标保证金应当在递交投标文件截止时间前（以到账时间为准）到达威海公共资源交易服务有限公司账户，以网银、电汇等方式一次性足额交纳保证金，不接受支付宝等第三方平台转账。禁止第三方代交。投标保证金交纳单位应与递交投标文件的投标人名称一致。</w:t>
      </w:r>
    </w:p>
    <w:p w14:paraId="3227F928">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14</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6为确保投标人投标保证金及时足额到账，请尽量提前交纳保证金，由于银行系统原因，请至少在递交投标文件截止时间前12小时将保证金汇出。如不按招标文件和系统使用指南操作，导致开标过程中威海市国有企业阳光采购电子化服务平台未出现投标人名称或者显示投标保证金未按时到账，视为其未按照招标文件的规定提交投标保证金，投标人对此应有明确的认识，自行承担后果。投标人可以使用威海市国有企业阳光采购电子化服务平台查询并及时更新交纳情况。</w:t>
      </w:r>
    </w:p>
    <w:p w14:paraId="556B3E07">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14</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7退还保证金：目前系统采用自动退还保证金操作，分为未中标人退还和中标人退还。代理公司向中标人发送中标通知书后，系统自动退还未中标人保证金；</w:t>
      </w:r>
      <w:r>
        <w:rPr>
          <w:rFonts w:hint="eastAsia" w:ascii="仿宋" w:hAnsi="仿宋" w:eastAsia="仿宋" w:cs="仿宋"/>
          <w:color w:val="auto"/>
          <w:sz w:val="28"/>
          <w:szCs w:val="28"/>
          <w:highlight w:val="none"/>
          <w:lang w:eastAsia="zh-CN"/>
        </w:rPr>
        <w:t>招标人</w:t>
      </w:r>
      <w:r>
        <w:rPr>
          <w:rFonts w:hint="eastAsia" w:ascii="仿宋" w:hAnsi="仿宋" w:eastAsia="仿宋" w:cs="仿宋"/>
          <w:color w:val="auto"/>
          <w:sz w:val="28"/>
          <w:szCs w:val="28"/>
          <w:highlight w:val="none"/>
        </w:rPr>
        <w:t>和中标人签署完合同后，系统自动退还中标人保证金。非由中标人原因未能签订合同的，应在</w:t>
      </w:r>
      <w:r>
        <w:rPr>
          <w:rFonts w:hint="eastAsia" w:ascii="仿宋" w:hAnsi="仿宋" w:eastAsia="仿宋" w:cs="仿宋"/>
          <w:color w:val="auto"/>
          <w:sz w:val="28"/>
          <w:szCs w:val="28"/>
          <w:highlight w:val="none"/>
          <w:lang w:eastAsia="zh-CN"/>
        </w:rPr>
        <w:t>招标人</w:t>
      </w:r>
      <w:r>
        <w:rPr>
          <w:rFonts w:hint="eastAsia" w:ascii="仿宋" w:hAnsi="仿宋" w:eastAsia="仿宋" w:cs="仿宋"/>
          <w:color w:val="auto"/>
          <w:sz w:val="28"/>
          <w:szCs w:val="28"/>
          <w:highlight w:val="none"/>
        </w:rPr>
        <w:t>作出处理结果之日起五个工作日内退还中标人的保证金。采购项目流标的，应在确定流标之日起五个工作日内退还所有投标人的保证金。</w:t>
      </w:r>
    </w:p>
    <w:p w14:paraId="26122B5A">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14</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8有下列情况之一的，投标保证金不予返还。</w:t>
      </w:r>
    </w:p>
    <w:p w14:paraId="1B75DBF0">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(1)投标人提供不真实资格、资质证明文件的；</w:t>
      </w:r>
    </w:p>
    <w:p w14:paraId="486ABEB9">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(2)在投标有效期内撤回报价的；</w:t>
      </w:r>
    </w:p>
    <w:p w14:paraId="0AC866C8">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(3)除因不可抗力或招标文件认可的情形以外，中标人不与</w:t>
      </w:r>
      <w:r>
        <w:rPr>
          <w:rFonts w:hint="eastAsia" w:ascii="仿宋" w:hAnsi="仿宋" w:eastAsia="仿宋" w:cs="仿宋"/>
          <w:color w:val="auto"/>
          <w:sz w:val="28"/>
          <w:szCs w:val="28"/>
          <w:highlight w:val="none"/>
          <w:lang w:eastAsia="zh-CN"/>
        </w:rPr>
        <w:t>招标人</w:t>
      </w:r>
      <w:r>
        <w:rPr>
          <w:rFonts w:hint="eastAsia" w:ascii="仿宋" w:hAnsi="仿宋" w:eastAsia="仿宋" w:cs="仿宋"/>
          <w:color w:val="auto"/>
          <w:sz w:val="28"/>
          <w:szCs w:val="28"/>
          <w:highlight w:val="none"/>
        </w:rPr>
        <w:t>签订合同的；</w:t>
      </w:r>
    </w:p>
    <w:p w14:paraId="1EFCAC29">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(4)投标人与</w:t>
      </w:r>
      <w:r>
        <w:rPr>
          <w:rFonts w:hint="eastAsia" w:ascii="仿宋" w:hAnsi="仿宋" w:eastAsia="仿宋" w:cs="仿宋"/>
          <w:color w:val="auto"/>
          <w:sz w:val="28"/>
          <w:szCs w:val="28"/>
          <w:highlight w:val="none"/>
          <w:lang w:eastAsia="zh-CN"/>
        </w:rPr>
        <w:t>招标人</w:t>
      </w:r>
      <w:r>
        <w:rPr>
          <w:rFonts w:hint="eastAsia" w:ascii="仿宋" w:hAnsi="仿宋" w:eastAsia="仿宋" w:cs="仿宋"/>
          <w:color w:val="auto"/>
          <w:sz w:val="28"/>
          <w:szCs w:val="28"/>
          <w:highlight w:val="none"/>
        </w:rPr>
        <w:t>、其他投标人或者采购代理机构恶意串通的；</w:t>
      </w:r>
    </w:p>
    <w:p w14:paraId="1CFD1C90">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(5)评审委员会认定的其他事项。</w:t>
      </w:r>
    </w:p>
    <w:p w14:paraId="0B79A0AB">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对以提供虚假材料或恶意串通或采取不正当竞争手段谋取中标的投标人，一经发现将依法取消其投标人资格，投标保证金不予返还，列入平台黑名单。</w:t>
      </w:r>
    </w:p>
    <w:p w14:paraId="4B84286F">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本项目投标保证金收取情况见《投标须知前附表》。</w:t>
      </w:r>
    </w:p>
    <w:p w14:paraId="049D4C22">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15</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履约保证金的交纳与返还</w:t>
      </w:r>
    </w:p>
    <w:p w14:paraId="72D1149D">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本项目不收取履约保证金。</w:t>
      </w:r>
    </w:p>
    <w:p w14:paraId="49E43A05">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16</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投标文件的数量和签署</w:t>
      </w:r>
    </w:p>
    <w:p w14:paraId="7F1B8C03">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16</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1投标文件（pdf格式）（第一册）1份</w:t>
      </w:r>
    </w:p>
    <w:p w14:paraId="17C477F3">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16</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1投标人应使用带电子签章功能的CA锁对投标文件须盖章或签名的部位加盖电子印章（单位电子公章、法定代表人电子人名章），电子印章与实物印章具有同等法律效力。</w:t>
      </w:r>
    </w:p>
    <w:p w14:paraId="4E736FBB">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16</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投标人应首先编制word格式投标文件，最后通过威海市国有企业阳光采购电子化服务平台的文件签章菜单的标书签章功能转换为pdf格式（或者其他pdf转换工具），之后通过签章功能在pdf文件上逐页加盖电子印章并保存到本地计算机，加盖了电子印章的pdf文件即为最终的投标文件，否则为无效投标。</w:t>
      </w:r>
    </w:p>
    <w:p w14:paraId="313E2E3B">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16</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3文件中要求法定代表人签字或签章的须加盖法定代表人电子人名章。</w:t>
      </w:r>
    </w:p>
    <w:p w14:paraId="000F1088">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16</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4须被授权人签字的，被授权人又无电子章，在word编制时可将被授权人手写签字扫描后的图片粘贴到投标文件中对应位置，并加盖单位电子公章。</w:t>
      </w:r>
    </w:p>
    <w:p w14:paraId="51D84DDE">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16</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5可使用系统的批量盖章功能快速签章。但须逐页浏览检查并注意印章重叠及完整性。</w:t>
      </w:r>
    </w:p>
    <w:p w14:paraId="1D52A063">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16</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6采用扫描粘贴投标人公章或扫描法定代表人人名章而不加盖单位电子公章的为</w:t>
      </w:r>
      <w:r>
        <w:rPr>
          <w:rFonts w:hint="eastAsia" w:ascii="仿宋" w:hAnsi="仿宋" w:eastAsia="仿宋" w:cs="仿宋"/>
          <w:b/>
          <w:bCs/>
          <w:color w:val="auto"/>
          <w:sz w:val="28"/>
          <w:szCs w:val="28"/>
          <w:highlight w:val="none"/>
        </w:rPr>
        <w:t>无效投标（响应）</w:t>
      </w:r>
      <w:r>
        <w:rPr>
          <w:rFonts w:hint="eastAsia" w:ascii="仿宋" w:hAnsi="仿宋" w:eastAsia="仿宋" w:cs="仿宋"/>
          <w:color w:val="auto"/>
          <w:sz w:val="28"/>
          <w:szCs w:val="28"/>
          <w:highlight w:val="none"/>
        </w:rPr>
        <w:t>。</w:t>
      </w:r>
    </w:p>
    <w:p w14:paraId="42559B06">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16</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2数据文件（PDF格式）（第二册）1份</w:t>
      </w:r>
    </w:p>
    <w:p w14:paraId="3165354F">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16</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投标人将填写完毕的数据文件（EXCEL格式），通过威海市国有企业阳光采购电子化服务平台中“文件签章”菜单的“数据签章”功能上传数据文件（EXCEL格式），系统自动转换为PDF格式，加盖电子印章后保存到本地计算机。加盖了电子印章的文件即为最终的数据文件（PDF格式）用于投标。</w:t>
      </w:r>
    </w:p>
    <w:p w14:paraId="0C673DFD">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16</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2文件中要求法定代表人签字或签章的须加盖法定代表人电子人名章。</w:t>
      </w:r>
    </w:p>
    <w:p w14:paraId="3F90F193">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16</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3采用扫描粘贴投标人公章或法定代表人人名章的为</w:t>
      </w:r>
      <w:r>
        <w:rPr>
          <w:rFonts w:hint="eastAsia" w:ascii="仿宋" w:hAnsi="仿宋" w:eastAsia="仿宋" w:cs="仿宋"/>
          <w:b/>
          <w:bCs/>
          <w:color w:val="auto"/>
          <w:sz w:val="28"/>
          <w:szCs w:val="28"/>
          <w:highlight w:val="none"/>
        </w:rPr>
        <w:t>无效投标（响应）</w:t>
      </w:r>
      <w:r>
        <w:rPr>
          <w:rFonts w:hint="eastAsia" w:ascii="仿宋" w:hAnsi="仿宋" w:eastAsia="仿宋" w:cs="仿宋"/>
          <w:color w:val="auto"/>
          <w:sz w:val="28"/>
          <w:szCs w:val="28"/>
          <w:highlight w:val="none"/>
        </w:rPr>
        <w:t>。</w:t>
      </w:r>
    </w:p>
    <w:p w14:paraId="7433D5E5">
      <w:pPr>
        <w:keepNext w:val="0"/>
        <w:keepLines w:val="0"/>
        <w:pageBreakBefore w:val="0"/>
        <w:kinsoku/>
        <w:wordWrap/>
        <w:overflowPunct/>
        <w:topLinePunct/>
        <w:autoSpaceDE/>
        <w:autoSpaceDN/>
        <w:bidi w:val="0"/>
        <w:snapToGrid/>
        <w:spacing w:line="520" w:lineRule="exact"/>
        <w:textAlignment w:val="auto"/>
        <w:outlineLvl w:val="1"/>
        <w:rPr>
          <w:rFonts w:hint="eastAsia" w:ascii="仿宋" w:hAnsi="仿宋" w:eastAsia="仿宋" w:cs="仿宋"/>
          <w:b/>
          <w:bCs/>
          <w:color w:val="auto"/>
          <w:sz w:val="28"/>
          <w:szCs w:val="28"/>
          <w:highlight w:val="none"/>
        </w:rPr>
      </w:pPr>
      <w:bookmarkStart w:id="12" w:name="_Toc14186"/>
      <w:r>
        <w:rPr>
          <w:rFonts w:hint="eastAsia" w:ascii="仿宋" w:hAnsi="仿宋" w:eastAsia="仿宋" w:cs="仿宋"/>
          <w:b/>
          <w:bCs/>
          <w:color w:val="auto"/>
          <w:sz w:val="28"/>
          <w:szCs w:val="28"/>
          <w:highlight w:val="none"/>
        </w:rPr>
        <w:t>四、投标文件的递交</w:t>
      </w:r>
      <w:bookmarkEnd w:id="12"/>
    </w:p>
    <w:p w14:paraId="028AE4BC">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17</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投标文件的密封和标记</w:t>
      </w:r>
    </w:p>
    <w:p w14:paraId="07C6B855">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17</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1电子投标文件的密封和标记</w:t>
      </w:r>
    </w:p>
    <w:p w14:paraId="66031850">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加盖了电子印章的电子投标文件（PDF格式）和数据文件（PDF格式）须在威海市国有企业阳光采购电子化服务平台的“我的投标”界面进行提交，提交前系统会自动在本地进行加密和数字签名，加密和电子签章后的文件除了会上传到系统中之外还会同步保存到本地计算机。</w:t>
      </w:r>
    </w:p>
    <w:p w14:paraId="74DEC56E">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17</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2资质证明文件原件的密封和标记</w:t>
      </w:r>
    </w:p>
    <w:p w14:paraId="7D8D7BA6">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17</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投标须知前附表要求提供资质证明文件原件的，投标人应使用密封袋将资质证明文件原件密封（身份证原件除外），加盖公章并标明投标人（单位）名称、项目名称、项目编号、所投包号以及“资质证明文件原件”字样，粘贴密封条，注明“于*年*月*日</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*:*之前不准启封”（开标时间）的字样。加盖公章或由法定代表人或经其正式授权的代表在旁边签字。</w:t>
      </w:r>
    </w:p>
    <w:p w14:paraId="1109748F">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17</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2投标人按上述规定进行密封和标记后，按照招标文件的要求送达指定地点。</w:t>
      </w:r>
    </w:p>
    <w:p w14:paraId="7C39F4AE">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17</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3如果未按上述规定进行密封和标记，招标代理机构对误投或提前启封概不负责。</w:t>
      </w:r>
    </w:p>
    <w:p w14:paraId="4FA3D4CE">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17</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3文件递交</w:t>
      </w:r>
    </w:p>
    <w:p w14:paraId="10B3D2B9">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17</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投标人应在投标须知前附表规定的时间前在威海市国有企业阳光采购电子化服务平台网上递交电子投标文件和数据文件。投标人应充分评估集中投标带来的网络影响，尽量避开投标高峰时间，错峰进行电子投标，系统以收到投标人发出的递交指令的时间作为其投标时间，如该时间超过投标截止时间，</w:t>
      </w:r>
      <w:r>
        <w:rPr>
          <w:rFonts w:hint="eastAsia" w:ascii="仿宋" w:hAnsi="仿宋" w:eastAsia="仿宋" w:cs="仿宋"/>
          <w:b/>
          <w:bCs/>
          <w:color w:val="auto"/>
          <w:sz w:val="28"/>
          <w:szCs w:val="28"/>
          <w:highlight w:val="none"/>
        </w:rPr>
        <w:t>其投标将会被判定为无效。</w:t>
      </w:r>
    </w:p>
    <w:p w14:paraId="714B4ED4">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17</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3</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2投标人须牢记投标加密密码，该密码将用于开标时解密其电子投标文件，如忘记密码或输入错误密码超过5次，其递交的电子投标文件将无法解密，导致无法提取数据和供他人阅读文件，致使其投标失败。</w:t>
      </w:r>
    </w:p>
    <w:p w14:paraId="3B55CE80">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17</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3除投标须知前附表另有规定外，招标代理机构拒绝接收纸质投标文件。</w:t>
      </w:r>
    </w:p>
    <w:p w14:paraId="3BD2FE47">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17</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4投标人应将网上递交的已盖章未加密的数据文件和投标文件谨慎保存备份，以便启动应急开标程序时备案使用。</w:t>
      </w:r>
    </w:p>
    <w:p w14:paraId="37123173">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18</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投标截止期</w:t>
      </w:r>
    </w:p>
    <w:p w14:paraId="2A35626F">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本次招标的投标截止期见《投标须知前附表》。</w:t>
      </w:r>
    </w:p>
    <w:p w14:paraId="578D775E">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19</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迟交的投标文件</w:t>
      </w:r>
    </w:p>
    <w:p w14:paraId="7FB2B118">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威海市国有企业阳光采购电子化服务平台无法接收投标截止期后递交的电子投标文件。</w:t>
      </w:r>
    </w:p>
    <w:p w14:paraId="6C184492">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20</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现场演示/样品递交</w:t>
      </w:r>
    </w:p>
    <w:p w14:paraId="77B78A09">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20</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1招标人可以要求投标人对其提供的信息化、自动化等相关类别服务进行演示。</w:t>
      </w:r>
    </w:p>
    <w:p w14:paraId="47EB7EE4">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20</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2若服务项目涉及货物时，招标人可以要求投标人提供样品，样品作为投标文件的一部分。未中标投标人提供的样品将于评审结束后退还。中标人的样品由招标人保留，作为验收的依据。</w:t>
      </w:r>
    </w:p>
    <w:p w14:paraId="079FD31A">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是否要求投标人提供演示/提交样品，详见招标文件《投标须知前附表》的有关规定。</w:t>
      </w:r>
    </w:p>
    <w:p w14:paraId="3790481D">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21</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投标文件的修改和撤回</w:t>
      </w:r>
    </w:p>
    <w:p w14:paraId="4B405220">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21</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1投标人必须在规定的投标截止期之前将修改的投标文件和数据文件上传到威海市国有企业阳光采购电子化服务平台,在投标截止期之后，投标人不得对其投标文件做任何修改。</w:t>
      </w:r>
    </w:p>
    <w:p w14:paraId="58030116">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21</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2投标人在递交投标文件后，可以在投标截止期之前撤回其投标。</w:t>
      </w:r>
    </w:p>
    <w:p w14:paraId="30F83AC0">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21</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3开标后不允许对投标文件做实质性修改和补充，不得撤回投标文件。</w:t>
      </w:r>
    </w:p>
    <w:p w14:paraId="127D05B5">
      <w:pPr>
        <w:keepNext w:val="0"/>
        <w:keepLines w:val="0"/>
        <w:pageBreakBefore w:val="0"/>
        <w:kinsoku/>
        <w:wordWrap/>
        <w:overflowPunct/>
        <w:topLinePunct/>
        <w:autoSpaceDE/>
        <w:autoSpaceDN/>
        <w:bidi w:val="0"/>
        <w:snapToGrid/>
        <w:spacing w:line="520" w:lineRule="exact"/>
        <w:textAlignment w:val="auto"/>
        <w:outlineLvl w:val="1"/>
        <w:rPr>
          <w:rFonts w:hint="eastAsia" w:ascii="仿宋" w:hAnsi="仿宋" w:eastAsia="仿宋" w:cs="仿宋"/>
          <w:b/>
          <w:bCs/>
          <w:color w:val="auto"/>
          <w:sz w:val="28"/>
          <w:szCs w:val="28"/>
          <w:highlight w:val="none"/>
        </w:rPr>
      </w:pPr>
      <w:bookmarkStart w:id="13" w:name="_Toc22292"/>
      <w:r>
        <w:rPr>
          <w:rFonts w:hint="eastAsia" w:ascii="仿宋" w:hAnsi="仿宋" w:eastAsia="仿宋" w:cs="仿宋"/>
          <w:b/>
          <w:bCs/>
          <w:color w:val="auto"/>
          <w:sz w:val="28"/>
          <w:szCs w:val="28"/>
          <w:highlight w:val="none"/>
        </w:rPr>
        <w:t>五、开标与评审</w:t>
      </w:r>
      <w:bookmarkEnd w:id="13"/>
    </w:p>
    <w:p w14:paraId="5E88D669">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22</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开标</w:t>
      </w:r>
    </w:p>
    <w:p w14:paraId="6B443F89">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1投标截止时间结束后，投标人不足3家的不得开标。</w:t>
      </w:r>
    </w:p>
    <w:p w14:paraId="1DFFE88F">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2招标代理机构在招标公告规定的时间和地点组织开标。投标人需提前准备已配置好环境的电脑，在规定的时间进行远程开标的各项操作。</w:t>
      </w:r>
    </w:p>
    <w:p w14:paraId="45434D56">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3远程开标的投标人代表应在签到表格相应位置上加盖CA锁中的</w:t>
      </w:r>
      <w:r>
        <w:rPr>
          <w:rFonts w:hint="eastAsia" w:ascii="仿宋" w:hAnsi="仿宋" w:eastAsia="仿宋" w:cs="仿宋"/>
          <w:b/>
          <w:bCs/>
          <w:color w:val="auto"/>
          <w:sz w:val="28"/>
          <w:szCs w:val="28"/>
          <w:highlight w:val="none"/>
        </w:rPr>
        <w:t>法定代表人电子人名章</w:t>
      </w:r>
      <w:r>
        <w:rPr>
          <w:rFonts w:hint="eastAsia" w:ascii="仿宋" w:hAnsi="仿宋" w:eastAsia="仿宋" w:cs="仿宋"/>
          <w:color w:val="auto"/>
          <w:sz w:val="28"/>
          <w:szCs w:val="28"/>
          <w:highlight w:val="none"/>
        </w:rPr>
        <w:t>以证明其出席，在开标时间前未完成签到的将会被视作认同开标结果。</w:t>
      </w:r>
    </w:p>
    <w:p w14:paraId="1BD92689">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4投标须知前附表规定了文件解密时间，投标人输入密码错误（5次输入机会）、未能按时完成解密、其《数据文件》填写、盖章不规范等导致系统无法解析的，将会被视为</w:t>
      </w:r>
      <w:r>
        <w:rPr>
          <w:rFonts w:hint="eastAsia" w:ascii="仿宋" w:hAnsi="仿宋" w:eastAsia="仿宋" w:cs="仿宋"/>
          <w:b/>
          <w:bCs/>
          <w:color w:val="auto"/>
          <w:sz w:val="28"/>
          <w:szCs w:val="28"/>
          <w:highlight w:val="none"/>
        </w:rPr>
        <w:t>无效投标（响应）</w:t>
      </w:r>
      <w:r>
        <w:rPr>
          <w:rFonts w:hint="eastAsia" w:ascii="仿宋" w:hAnsi="仿宋" w:eastAsia="仿宋" w:cs="仿宋"/>
          <w:color w:val="auto"/>
          <w:sz w:val="28"/>
          <w:szCs w:val="28"/>
          <w:highlight w:val="none"/>
        </w:rPr>
        <w:t>。</w:t>
      </w:r>
    </w:p>
    <w:p w14:paraId="1204E16E">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5开标过程应当由招标人或招标代理机构负责记录，最终形成开标一览表并由各投标人代表和相关工作人员签字或盖章确认。</w:t>
      </w:r>
    </w:p>
    <w:p w14:paraId="033E0B1E">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6投标人代表对开标过程和开标记录有疑义，以及认为招标人、招标代理机构相关工作人员有需要回避的情形的，应当场提出询问或者回避申请。招标人、招标代理机构对投标人代表提出的询问或者回避申请应当及时处理。</w:t>
      </w:r>
    </w:p>
    <w:p w14:paraId="21E209F7">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7录音、录像：威海市公共资源交易中心负责从递交投标文件开始到定标结束全过程的录音、录像工作，确保声音清楚、图像清晰、内容无遗漏。</w:t>
      </w:r>
    </w:p>
    <w:p w14:paraId="2AFE6DA0">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8评审过程中，如遇特殊情况，服从公共资源交易中心场地调配，并遵守相关规章制度。</w:t>
      </w:r>
    </w:p>
    <w:p w14:paraId="54342948">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9对投标文件报价出现前后不一致的，按以下规定修正：</w:t>
      </w:r>
    </w:p>
    <w:p w14:paraId="7B247CE0">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（1）“投标（报价）一览表”的报价与“报价明细表”的报价不一致的，以“投标（报价）一览表”的报价为准；</w:t>
      </w:r>
    </w:p>
    <w:p w14:paraId="2D323062">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（2）大写金额和小写金额不一致的，以大写金额为准；</w:t>
      </w:r>
    </w:p>
    <w:p w14:paraId="74F826CC">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（3）单价金额小数点或者百分比有明显错位的，以投标（报价）一览表的总价为准，并修改单价。</w:t>
      </w:r>
    </w:p>
    <w:p w14:paraId="3E63798A">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（4）总价金额与按单价汇总金额不一致的，以单价金额计算结果为准。</w:t>
      </w:r>
    </w:p>
    <w:p w14:paraId="0421EABB">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（5）同时出现两种以上不一致的，按照前款规定的顺序修正。修正后的报价经投标人确认后产生约束力，投标人不确认的，其投标无效。</w:t>
      </w:r>
    </w:p>
    <w:p w14:paraId="559A2652">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10开标程序</w:t>
      </w:r>
    </w:p>
    <w:p w14:paraId="264F3E47">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签到：在投标须知前附表规定的时间完成签到。</w:t>
      </w:r>
    </w:p>
    <w:p w14:paraId="6103AA3B">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开标：工作人员在投标须知前附表规定的开标时间启动开标。</w:t>
      </w:r>
    </w:p>
    <w:p w14:paraId="1B9761D0">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解密：开标后工作人员启动开始解密指令，投标人开始输入解密密码，解密时间到后工作人员启动停止解密指令。</w:t>
      </w:r>
    </w:p>
    <w:p w14:paraId="110D5C98">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唱标：停止解密后现场工作人员将根据电子交易系统自动提取各投标人数据文件中的相关数据进行公开唱标，唱标结束系统将自动生成开标一览表。投标人应及时关注开标过程，查看开标结果并在开标一览表上进行电子签署。若投标人不进行相关签署，将被视为其对开标一览表中所载内容无疑议。</w:t>
      </w:r>
    </w:p>
    <w:p w14:paraId="03B67E31">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投标人可使用电子交易系统“网上开标”中的“看直播”功能参与开标程序。</w:t>
      </w:r>
    </w:p>
    <w:p w14:paraId="39794D1A">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11应急开标程序</w:t>
      </w:r>
    </w:p>
    <w:p w14:paraId="42C347CC">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电子开标过程中如出现下列情况，导致系统无法正常运行，或者无法保证开标过程的公平、公正和信息安全时，经与行政监督部门沟通后可启动应急开标程序。</w:t>
      </w:r>
    </w:p>
    <w:p w14:paraId="4BA6DBD7">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（1）系统服务器发生故障，无法访问或无法使用系统；</w:t>
      </w:r>
    </w:p>
    <w:p w14:paraId="7D279A45">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（2）系统的软件或数据库出现错误，不能进行正常操作；</w:t>
      </w:r>
    </w:p>
    <w:p w14:paraId="0F69D26A">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（3）系统发现有安全漏洞，有潜在的泄密危险；</w:t>
      </w:r>
    </w:p>
    <w:p w14:paraId="716C29E7">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（4）病毒发作或受到外来病毒的攻击；</w:t>
      </w:r>
    </w:p>
    <w:p w14:paraId="0559ECBB">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（5）其他无法保证开标过程公平、公正和信息安全的情形。</w:t>
      </w:r>
    </w:p>
    <w:p w14:paraId="1F5D73C6">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应急开标程序包括：</w:t>
      </w:r>
    </w:p>
    <w:p w14:paraId="39E7BC9E">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（1）对未在系统中开标的可暂停开标；</w:t>
      </w:r>
    </w:p>
    <w:p w14:paraId="29A7A067">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（2）对已在系统中开标的应停止，等待系统恢复正常后再组织进行开标。</w:t>
      </w:r>
    </w:p>
    <w:p w14:paraId="51435ECD">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对解密环节出错（因系统故障原因导致）的投标人，通过系统的备案功能进行文件上传备案，对备案文件与网上递交的文件不一致（系统通过数字签名进行验证）或备案文件未按照本文件的要求进行编制、签署导致系统无法备案的投标人作</w:t>
      </w:r>
      <w:r>
        <w:rPr>
          <w:rFonts w:hint="eastAsia" w:ascii="仿宋" w:hAnsi="仿宋" w:eastAsia="仿宋" w:cs="仿宋"/>
          <w:b/>
          <w:bCs/>
          <w:color w:val="auto"/>
          <w:sz w:val="28"/>
          <w:szCs w:val="28"/>
          <w:highlight w:val="none"/>
        </w:rPr>
        <w:t>无效投标（响应）处理</w:t>
      </w:r>
      <w:r>
        <w:rPr>
          <w:rFonts w:hint="eastAsia" w:ascii="仿宋" w:hAnsi="仿宋" w:eastAsia="仿宋" w:cs="仿宋"/>
          <w:color w:val="auto"/>
          <w:sz w:val="28"/>
          <w:szCs w:val="28"/>
          <w:highlight w:val="none"/>
        </w:rPr>
        <w:t>。</w:t>
      </w:r>
    </w:p>
    <w:p w14:paraId="1EB2DF5C">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备案功能故障且系统长时间无法恢复正常的，在招标人或代理机构的监督下可针对所有在平台中已投标的投标人，启用其电子邮件递交的投标文件进行开标，同时开标由线上转为线下，开标、评标均以电子邮件递交的投标文件为准，投标人必须在获取</w:t>
      </w:r>
      <w:r>
        <w:rPr>
          <w:rFonts w:hint="eastAsia" w:ascii="仿宋" w:hAnsi="仿宋" w:eastAsia="仿宋" w:cs="仿宋"/>
          <w:color w:val="auto"/>
          <w:sz w:val="28"/>
          <w:szCs w:val="28"/>
          <w:highlight w:val="none"/>
          <w:lang w:eastAsia="zh-CN"/>
        </w:rPr>
        <w:t>招标文件</w:t>
      </w:r>
      <w:r>
        <w:rPr>
          <w:rFonts w:hint="eastAsia" w:ascii="仿宋" w:hAnsi="仿宋" w:eastAsia="仿宋" w:cs="仿宋"/>
          <w:color w:val="auto"/>
          <w:sz w:val="28"/>
          <w:szCs w:val="28"/>
          <w:highlight w:val="none"/>
        </w:rPr>
        <w:t>时留有本单位详细的邮箱和电话，否则由此产生的不利后果由投标人自己承担。对未按规定递交或递交的文件未按要求进行编制、签署的投标人作</w:t>
      </w:r>
      <w:r>
        <w:rPr>
          <w:rFonts w:hint="eastAsia" w:ascii="仿宋" w:hAnsi="仿宋" w:eastAsia="仿宋" w:cs="仿宋"/>
          <w:b/>
          <w:bCs/>
          <w:color w:val="auto"/>
          <w:sz w:val="28"/>
          <w:szCs w:val="28"/>
          <w:highlight w:val="none"/>
        </w:rPr>
        <w:t>无效投标（响应）处理</w:t>
      </w:r>
      <w:r>
        <w:rPr>
          <w:rFonts w:hint="eastAsia" w:ascii="仿宋" w:hAnsi="仿宋" w:eastAsia="仿宋" w:cs="仿宋"/>
          <w:color w:val="auto"/>
          <w:sz w:val="28"/>
          <w:szCs w:val="28"/>
          <w:highlight w:val="none"/>
        </w:rPr>
        <w:t>。</w:t>
      </w:r>
    </w:p>
    <w:p w14:paraId="0CE7E3DD">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12应急开标电子邮件递交规定</w:t>
      </w:r>
    </w:p>
    <w:p w14:paraId="7AAA5D08">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接收电子邮箱：</w:t>
      </w:r>
      <w:r>
        <w:rPr>
          <w:rFonts w:hint="eastAsia" w:ascii="仿宋" w:hAnsi="仿宋" w:eastAsia="仿宋" w:cs="仿宋"/>
          <w:color w:val="auto"/>
          <w:sz w:val="28"/>
          <w:szCs w:val="28"/>
          <w:highlight w:val="none"/>
          <w:lang w:eastAsia="zh-CN"/>
        </w:rPr>
        <w:t>whhtgc@163.com</w:t>
      </w:r>
    </w:p>
    <w:p w14:paraId="09D4638F">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递交时间：以电子邮件或电话通知的时间为准；</w:t>
      </w:r>
    </w:p>
    <w:p w14:paraId="22EA915D">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邮件数量：一封；</w:t>
      </w:r>
    </w:p>
    <w:p w14:paraId="1AF82460">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邮件主题：项目编号、投标人名称；</w:t>
      </w:r>
    </w:p>
    <w:p w14:paraId="0094B9BD">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邮件内容：附件含项目所有的已投包段，每个包段含已盖章且未加密的数据文件、投标文件各一份。数据文件、投标文件与网上最终递交的必须为同一文件（可将所投包段的所有文件打包压缩），如果不一致，系统后台会判定为无效投标（响应）文件，导致投标无效。</w:t>
      </w:r>
    </w:p>
    <w:p w14:paraId="4210ADDB">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13启动电子邮件开标流程</w:t>
      </w:r>
    </w:p>
    <w:p w14:paraId="5B7B28E8">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工作人员电话通知所有投标人启动应急开标程序；</w:t>
      </w:r>
    </w:p>
    <w:p w14:paraId="018BFEF6">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投标人收到通知后在规定时间内通过电子邮件递交投标文件（在非应急开标期间招标代理机构不接受、不处理任何通过电子邮件提交的投标文件）；</w:t>
      </w:r>
    </w:p>
    <w:p w14:paraId="3832557D">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递交截止时间到，工作人员开始下载投标文件，将投标报价形成开标报告并邮件回复各投标人；</w:t>
      </w:r>
    </w:p>
    <w:p w14:paraId="46A4A7BA">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投标人确认报价并邮件回复，不及时回复的视为对开标报告的内容无异议。</w:t>
      </w:r>
    </w:p>
    <w:p w14:paraId="756845D4">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23</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评标委员会的组成和评标方法</w:t>
      </w:r>
    </w:p>
    <w:p w14:paraId="4C8CB498">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23</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招标代理机构负责组织评标工作，具体评审事务由依法组建的评标委员会负责，评标委员会成员由招标人代表和评审专家5人以上的单数组成，其中专家人数不得少于评标委员会成员总数的2/3，评标委员会的专家依法从阳光国企采购主管部门组建的专家库中随机抽取产生。情况特殊的，通过随机方式难以确定合适的评审专家的项目，经主管部门同意，招标人可以自行选定评审专家。</w:t>
      </w:r>
    </w:p>
    <w:p w14:paraId="233750FA">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23</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招标人员及相关人员与投标人有利害关系的应当回避。曾参与招标文件征询意见或论证的专家，不得再作为评标专家参加评标。招标人不得以专家身份参与本项目的评标。招标人和招标代理机构工作人员离职或退休不满三年的，不能作为专家参加评标工作。</w:t>
      </w:r>
    </w:p>
    <w:p w14:paraId="084E915B">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23</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3评标委员会成员职责：</w:t>
      </w:r>
    </w:p>
    <w:p w14:paraId="7823DDD0">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（1）评标前，评标委员会成员应当主动确认与投标人及其制造商是否有利害关系。如有利害关系应当主动回避，如无利害关系，应当在含有相关内容的《无利害关系声明》上签字；</w:t>
      </w:r>
    </w:p>
    <w:p w14:paraId="6E26AC5E">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（2）按照招标文件中确定的评标办法，对投标文件的内容进行评审，并对评审结果承担责任；</w:t>
      </w:r>
    </w:p>
    <w:p w14:paraId="77291B26">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（3）对评标过程和结果，以及投标人的商业秘密进行保密；</w:t>
      </w:r>
    </w:p>
    <w:p w14:paraId="35076BB4">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（4）在评标委员会集体起草的评标报告上签字；</w:t>
      </w:r>
    </w:p>
    <w:p w14:paraId="63AB2C5C">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（5）配合招标代理机构答复投标人质疑；</w:t>
      </w:r>
    </w:p>
    <w:p w14:paraId="61DA367B">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（6）配合主管部门处理投标人投诉；</w:t>
      </w:r>
    </w:p>
    <w:p w14:paraId="4AA464ED">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（7）向主管部门反映评标工作中的问题，提出意见和建议。</w:t>
      </w:r>
    </w:p>
    <w:p w14:paraId="631E9B53">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23</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4评标委员会集体职责：</w:t>
      </w:r>
    </w:p>
    <w:p w14:paraId="568D0CF6">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按照各成员评审意见推荐中标候选人，协助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369A16C8">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（2）配合招标人和招标代理机构答复投标人的质疑；</w:t>
      </w:r>
    </w:p>
    <w:p w14:paraId="3E11657A">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（3）配合主管部门做好投诉处理工作；</w:t>
      </w:r>
    </w:p>
    <w:p w14:paraId="24CAD402">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（4）必要时，向投标人解释评标结果；</w:t>
      </w:r>
    </w:p>
    <w:p w14:paraId="770BC470">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（5）向主管部门或者有关部门报告非法干预评标工作的行为。</w:t>
      </w:r>
    </w:p>
    <w:p w14:paraId="6F3A5B5C">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23</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5招标代理机构或招标人的职责：</w:t>
      </w:r>
    </w:p>
    <w:p w14:paraId="6D58133B">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（1）核对评审专家身份和招标人委托授权，对评审专家在采购活动中的职责履行情况予以记录，并及时将有关违法违规行为向主管部门报告；</w:t>
      </w:r>
    </w:p>
    <w:p w14:paraId="7F5063D7">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（2）宣布评标纪律；</w:t>
      </w:r>
    </w:p>
    <w:p w14:paraId="503D46F3">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（3）公布投标人名单，告知评审专家应当回避的情形；</w:t>
      </w:r>
    </w:p>
    <w:p w14:paraId="6C192BB6">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（4）组织评标委员会推选评标组长，招标人代表不得担任组长；</w:t>
      </w:r>
    </w:p>
    <w:p w14:paraId="5C87E123">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（5）在评标期间采取必要的通讯管理措施，保证评标活动不受外界干扰；</w:t>
      </w:r>
    </w:p>
    <w:p w14:paraId="219C1686">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（6）根据评标委员会的要求介绍阳光国企采购相关政策法规、招标文件；</w:t>
      </w:r>
    </w:p>
    <w:p w14:paraId="3EF60408">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（7）维护评标秩序，监督评标委员会依照招标文件规定的评标程序、方法和标准进行独立评审，及时制止和纠正招标人代表、评审专家的倾向性言论或者违法违规行为；</w:t>
      </w:r>
    </w:p>
    <w:p w14:paraId="6DDAF8C4">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核对评标结果，存在分值汇总计算错误的、分项评分超出评分标准范围的、评标委员会成员对客观评审因素评分不一致的，经评标委员会认定评分畸高畸低的情形，要求评标小组复核或者书面说明理由，评标小组拒绝的，应予记录并向主管部门报告；</w:t>
      </w:r>
    </w:p>
    <w:p w14:paraId="51A6A395">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9）评审工作完成后，按照规定向评审专家支付劳务报酬和异地评审差旅费，不得向评审专家以外的其他人员支付评审劳务报酬；专家劳务报酬标准参照山东省财政厅《关于印发&lt;山东省政府采购评审劳务报酬标准&gt;的通知》（鲁财采〔2017〕28号）规定执行</w:t>
      </w:r>
      <w:r>
        <w:rPr>
          <w:rFonts w:hint="eastAsia" w:ascii="仿宋" w:hAnsi="仿宋" w:eastAsia="仿宋" w:cs="仿宋"/>
          <w:color w:val="auto"/>
          <w:sz w:val="28"/>
          <w:szCs w:val="28"/>
          <w:highlight w:val="none"/>
          <w:lang w:eastAsia="zh-CN"/>
        </w:rPr>
        <w:t>；</w:t>
      </w:r>
    </w:p>
    <w:p w14:paraId="20C8B41D">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（10）处理与评标有关的其他事项。</w:t>
      </w:r>
    </w:p>
    <w:p w14:paraId="20EAE53A">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招标人可以在评标前说明项目背景和采购需求，说明内容不得含有歧视性、倾向性意见，不得超出招标文件所述范围。说明应当提交书面材料，并随</w:t>
      </w:r>
      <w:r>
        <w:rPr>
          <w:rFonts w:hint="eastAsia" w:ascii="仿宋" w:hAnsi="仿宋" w:eastAsia="仿宋" w:cs="仿宋"/>
          <w:color w:val="auto"/>
          <w:sz w:val="28"/>
          <w:szCs w:val="28"/>
          <w:highlight w:val="none"/>
          <w:lang w:eastAsia="zh-CN"/>
        </w:rPr>
        <w:t>招标文件</w:t>
      </w:r>
      <w:r>
        <w:rPr>
          <w:rFonts w:hint="eastAsia" w:ascii="仿宋" w:hAnsi="仿宋" w:eastAsia="仿宋" w:cs="仿宋"/>
          <w:color w:val="auto"/>
          <w:sz w:val="28"/>
          <w:szCs w:val="28"/>
          <w:highlight w:val="none"/>
        </w:rPr>
        <w:t>一并存档。</w:t>
      </w:r>
    </w:p>
    <w:p w14:paraId="64EB96C6">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23</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6评标委员会采用集中办公、封闭方式进行评审。评标前，招标代理机构工作人员向评标委员会成员宣布评标纪律和工作规则。评标委员会成员签署《无利害关系声明表》，并遵照执行。</w:t>
      </w:r>
    </w:p>
    <w:p w14:paraId="2F9E2F36">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23</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7评标委员会成员对与自己有利害关系的评标项目应当主动提出回避。</w:t>
      </w:r>
    </w:p>
    <w:p w14:paraId="5E28DD48">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23</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8评标委员会将按照招标文件确定的评标原则和方法进行评标。招标人对投标人进行资格性审查，评标委员会对投标文件的评审内容分为符合性审查、商务评议、技术评议和价格评议。</w:t>
      </w:r>
    </w:p>
    <w:p w14:paraId="25898C3D">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23</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9评标委员会独立履行下列职责：</w:t>
      </w:r>
    </w:p>
    <w:p w14:paraId="5080609D">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（1）审查、评价投标文件是否符合招标文件的商务、技术等实质性要求；</w:t>
      </w:r>
    </w:p>
    <w:p w14:paraId="022965F4">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（2）要求投标人对投标文件有关事项作出澄清或者说明；</w:t>
      </w:r>
    </w:p>
    <w:p w14:paraId="10531C91">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（3）对投标文件进行比较和评价；</w:t>
      </w:r>
    </w:p>
    <w:p w14:paraId="452CA6ED">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（4）确定中标候选人名单，以及根据招标人委托直接确定中标人；</w:t>
      </w:r>
    </w:p>
    <w:p w14:paraId="12AD481E">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（5）向招标人、招标代理机构或者有关部门报告评标中发现的违法行为。</w:t>
      </w:r>
    </w:p>
    <w:p w14:paraId="44EC6FED">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23</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10评标中因评标委员会成员缺席、回避或者健康等特殊原因导致评标委员会组成不符合本办法规定的，招标代理机构应当依法补足后继续评标。被更换的评标委员会成员所作出的评标意见无效。</w:t>
      </w:r>
    </w:p>
    <w:p w14:paraId="5461F9EA">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无法及时补足评标委员会成员的，招标代理机构应当停止评标活动，封存所有投标文件和开标、评标资料，依法重新组建评标委员会进行评标。原评标委员会作出的评标意见无效。</w:t>
      </w:r>
    </w:p>
    <w:p w14:paraId="2E7DC16C">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招标代理机构应当将变更、重新组建评标委员会的情况予以记录，并随</w:t>
      </w:r>
      <w:r>
        <w:rPr>
          <w:rFonts w:hint="eastAsia" w:ascii="仿宋" w:hAnsi="仿宋" w:eastAsia="仿宋" w:cs="仿宋"/>
          <w:color w:val="auto"/>
          <w:sz w:val="28"/>
          <w:szCs w:val="28"/>
          <w:highlight w:val="none"/>
          <w:lang w:eastAsia="zh-CN"/>
        </w:rPr>
        <w:t>招标文件</w:t>
      </w:r>
      <w:r>
        <w:rPr>
          <w:rFonts w:hint="eastAsia" w:ascii="仿宋" w:hAnsi="仿宋" w:eastAsia="仿宋" w:cs="仿宋"/>
          <w:color w:val="auto"/>
          <w:sz w:val="28"/>
          <w:szCs w:val="28"/>
          <w:highlight w:val="none"/>
        </w:rPr>
        <w:t>一并存档。</w:t>
      </w:r>
    </w:p>
    <w:p w14:paraId="3E8A5D2C">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24</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投标文件的初审</w:t>
      </w:r>
    </w:p>
    <w:p w14:paraId="2369A922">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24</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资格性审查。在采购项目开标结束后,招标人或者招标代理机构工作人员应当依照有关法律和招标文件的规定对投标人的资格进行审查。合格投标人不足3家的，不得评标。在资格性检查时,如有下列情况之一的，经招标人认定，视为非实质性响应，为</w:t>
      </w:r>
      <w:r>
        <w:rPr>
          <w:rFonts w:hint="eastAsia" w:ascii="仿宋" w:hAnsi="仿宋" w:eastAsia="仿宋" w:cs="仿宋"/>
          <w:b/>
          <w:bCs/>
          <w:color w:val="auto"/>
          <w:sz w:val="28"/>
          <w:szCs w:val="28"/>
          <w:highlight w:val="none"/>
        </w:rPr>
        <w:t>无效投标（响应）</w:t>
      </w:r>
      <w:r>
        <w:rPr>
          <w:rFonts w:hint="eastAsia" w:ascii="仿宋" w:hAnsi="仿宋" w:eastAsia="仿宋" w:cs="仿宋"/>
          <w:color w:val="auto"/>
          <w:sz w:val="28"/>
          <w:szCs w:val="28"/>
          <w:highlight w:val="none"/>
        </w:rPr>
        <w:t>：</w:t>
      </w:r>
    </w:p>
    <w:p w14:paraId="58ADB546">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（1）投标文件不完整的；</w:t>
      </w:r>
    </w:p>
    <w:p w14:paraId="3081F627">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（2）资质、资格证明文件不完整或不符合招标文件要求或过期失效的；</w:t>
      </w:r>
    </w:p>
    <w:p w14:paraId="2A573528">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（3）投标文件未按规定签署及盖章的；</w:t>
      </w:r>
    </w:p>
    <w:p w14:paraId="43AD7138">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（4）投标人的法定代表人或授权代表不在规定时间内答疑或澄清的；</w:t>
      </w:r>
    </w:p>
    <w:p w14:paraId="234D9A52">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（5）与招标人存在利害关系且可能影响招标活动的公正性；</w:t>
      </w:r>
    </w:p>
    <w:p w14:paraId="13E4E9A4">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（6）与本招标项目的其他投标人为同一个单位负责人；</w:t>
      </w:r>
    </w:p>
    <w:p w14:paraId="00CF8D92">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（7）与本招标项目的其他投标人存在控股、管理关系；</w:t>
      </w:r>
    </w:p>
    <w:p w14:paraId="6306A472">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（8）为本招标项目提供过设计、编制技术规范和其他文件的咨询服务；</w:t>
      </w:r>
    </w:p>
    <w:p w14:paraId="05DD8DD2">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（9）为本招标项目的代建人；</w:t>
      </w:r>
    </w:p>
    <w:p w14:paraId="5510DF37">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（10）为本招标项目的招标代理机构；</w:t>
      </w:r>
    </w:p>
    <w:p w14:paraId="0B19513F">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（11）被依法暂停或者取消投标资格；</w:t>
      </w:r>
    </w:p>
    <w:p w14:paraId="2DD6F484">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（12）被责令停产停业、暂扣或者吊销许可证、暂扣或者吊销执照；</w:t>
      </w:r>
    </w:p>
    <w:p w14:paraId="3057B0A2">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（13）进入清算程序，或被宣告破产，或其他丧失履约能力的情形；</w:t>
      </w:r>
    </w:p>
    <w:p w14:paraId="0C08F24C">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（14）除招标文件规定提交备选投标方案外，同一投标人递交两个以上不同的投标文件或者投标报价的；</w:t>
      </w:r>
    </w:p>
    <w:p w14:paraId="51308715">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（15）评标委员会认为不符合招标文件其他实质性要求或法律规定的；</w:t>
      </w:r>
    </w:p>
    <w:p w14:paraId="22BF2E83">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（16）法律法规规定的其他情形。</w:t>
      </w:r>
    </w:p>
    <w:p w14:paraId="1693205C">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24</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符合性审查。评标委员会应当对符合资格的投标人的投标文件进行符合性审查，以确定其是否满足招标文件的实质性要求。评标委员会决定投标的响应性只根据投标文件本身的内容，而不依据外部的证据。在符合性检查时,如有不满足下列情况之一的，经评标委员会认定，视为非实质性响应，为</w:t>
      </w:r>
      <w:r>
        <w:rPr>
          <w:rFonts w:hint="eastAsia" w:ascii="仿宋" w:hAnsi="仿宋" w:eastAsia="仿宋" w:cs="仿宋"/>
          <w:b/>
          <w:bCs/>
          <w:color w:val="auto"/>
          <w:sz w:val="28"/>
          <w:szCs w:val="28"/>
          <w:highlight w:val="none"/>
        </w:rPr>
        <w:t>无效投标（响应）</w:t>
      </w:r>
      <w:r>
        <w:rPr>
          <w:rFonts w:hint="eastAsia" w:ascii="仿宋" w:hAnsi="仿宋" w:eastAsia="仿宋" w:cs="仿宋"/>
          <w:color w:val="auto"/>
          <w:sz w:val="28"/>
          <w:szCs w:val="28"/>
          <w:highlight w:val="none"/>
        </w:rPr>
        <w:t>：</w:t>
      </w:r>
    </w:p>
    <w:p w14:paraId="040086D4">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具体内容详见《投标须知》-《实质性条款一览表》中符合性审查条件。</w:t>
      </w:r>
    </w:p>
    <w:p w14:paraId="77469A98">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24.3</w:t>
      </w:r>
      <w:r>
        <w:rPr>
          <w:rFonts w:hint="eastAsia" w:ascii="仿宋" w:hAnsi="仿宋" w:eastAsia="仿宋" w:cs="仿宋"/>
          <w:color w:val="auto"/>
          <w:sz w:val="28"/>
          <w:szCs w:val="28"/>
          <w:highlight w:val="none"/>
        </w:rPr>
        <w:t>投标人有下列情形之一的，视为投标人串通投标，其投标无效：</w:t>
      </w:r>
    </w:p>
    <w:p w14:paraId="37924DF6">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（1）不同投标人的投标文件由同一单位或者个人编制的；</w:t>
      </w:r>
    </w:p>
    <w:p w14:paraId="4743F31E">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（2）不同投标人使用同一个投标单位或者同一个自然人的IP地址、设备下载招标文件或者制作、上传投标文件的；</w:t>
      </w:r>
    </w:p>
    <w:p w14:paraId="22725DDE">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（3）不同投标人委托同一单位或者个人办理投标事宜；</w:t>
      </w:r>
    </w:p>
    <w:p w14:paraId="095BFEA9">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（4）不同投标人的投标文件载明的项目管理成员或者联系人员为同一人；</w:t>
      </w:r>
    </w:p>
    <w:p w14:paraId="4D72E74D">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（5）不同投标人的投标文件重要内容异常一致、或者投标报价呈现规律性差异；</w:t>
      </w:r>
    </w:p>
    <w:p w14:paraId="74A1E7B8">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（6）不同投标人编制的投标文件存在两处以上错误一致的；</w:t>
      </w:r>
    </w:p>
    <w:p w14:paraId="68F6032B">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（7）不同投标人的投标文件相互混装；</w:t>
      </w:r>
    </w:p>
    <w:p w14:paraId="14E547E8">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（8）不同投标人的投标保证金从同一单位或者个人的账户转出；</w:t>
      </w:r>
    </w:p>
    <w:p w14:paraId="0905FDE0">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24</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投标截止后投标人不足3家或者通过资格审查或符合性审查的投标人不足3家的，除采购任务取消情形外，按照以下方式处理：</w:t>
      </w:r>
    </w:p>
    <w:p w14:paraId="63C6A344">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（1）招标文件存在不合理条款或者招标程序不符合规定的，招标人、招标代理机构改正后依法重新招标；</w:t>
      </w:r>
    </w:p>
    <w:p w14:paraId="00405F07">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（2）招标文件没有不合理条款、招标程序符合规定，需要采用其他招标方式招标的，招标人应当依法报主管部门批准。</w:t>
      </w:r>
    </w:p>
    <w:p w14:paraId="7B059333">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25</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投标文件的澄清</w:t>
      </w:r>
    </w:p>
    <w:p w14:paraId="49FEE209">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25</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评标委员会有权向投标人询标，对于投标文件中含义不明确、同类问题表述不一致或者有明显文字和计算错误的内容，评标委员会应当以书面形式要求投标人作出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14:paraId="29629A80">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25</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投标人的澄清、说明或者补正应当采用书面形式，并加盖公章，或者由法定代表人或其授权的代表签字。投标人的澄清、说明或者补正不得超出投标文件的范围或者改变对投标文件的实质性内容。此书面文件是投标文件的组成部分。</w:t>
      </w:r>
    </w:p>
    <w:p w14:paraId="40320B7B">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26</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投标文件的评价</w:t>
      </w:r>
    </w:p>
    <w:p w14:paraId="25B4C585">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1评审采用百分制。评标委员会各成员分别独立对实质上响应投标文件的投标人进行逐项评价打分，对评标委员会各成员每一因素的打分汇总后的得分为投标人的得分，汇总得分保留两位小数。</w:t>
      </w:r>
    </w:p>
    <w:p w14:paraId="503C3D8E">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2评标委员会只对确定为实质响应招标文件要求的投标文件进行评价和比较。必要时需标明评审理由。</w:t>
      </w:r>
    </w:p>
    <w:p w14:paraId="544B8CE0">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3评标采用综合评分法的，价格分值由评审系统根据投标人上传的《投标（报价）一览表》中的投标报价，依据规定公式自动计算，其结果由评标委员会所有成员签字确认。</w:t>
      </w:r>
    </w:p>
    <w:p w14:paraId="6BCD3FD4">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招标代理机构工作人员负责复核、统计评标委员会成员的评审情况，发现评审意见有失公正时，提请该评标委员会成员修改评审意见，并形成书面意见备查。</w:t>
      </w:r>
    </w:p>
    <w:p w14:paraId="7EA7C778">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4评审时除考虑投标人的报价之外，还将考虑以下因素：</w:t>
      </w:r>
    </w:p>
    <w:p w14:paraId="6C7C526A">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（1）投标文件的响应状况（包括是否按照招标文件要求制作）；</w:t>
      </w:r>
    </w:p>
    <w:p w14:paraId="4AAFACE4">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（2）招标文件规定的其它评审因素。</w:t>
      </w:r>
    </w:p>
    <w:p w14:paraId="780DADA2">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5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响应）处理。</w:t>
      </w:r>
    </w:p>
    <w:p w14:paraId="6D17BFCC">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6评标委员会发现招标文件存在歧义、重大缺陷导致评标工作无法进行，或者招标文件内容违反国家有关强制性规定的，应当停止评标工作，与招标人或者招标代理机构沟通并作书面记录。招标人确认后，应当修改招标文件，重新组织采购活动。</w:t>
      </w:r>
    </w:p>
    <w:p w14:paraId="364B058B">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7投标人应当遵循公平竞争的原则，不得恶意串通，不得妨碍其他投标人的竞争行为，不得损坏招标人或者其他投标人的合法权益。在评标过程中发现投标人有上述情形的，评标委员会应当认定其投标无效，并书面报告本级主管部门。</w:t>
      </w:r>
    </w:p>
    <w:p w14:paraId="70BA1F80">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27</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废标条款</w:t>
      </w:r>
    </w:p>
    <w:p w14:paraId="627A9BD9">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在招标采购中，出现下列情形之一的，应予废标：</w:t>
      </w:r>
    </w:p>
    <w:p w14:paraId="25B377CA">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（1）合格的投标人或参加投标的企业不足三家的；</w:t>
      </w:r>
    </w:p>
    <w:p w14:paraId="6BBF644C">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（2）出现影响招标公正的违法、违规行为的；</w:t>
      </w:r>
    </w:p>
    <w:p w14:paraId="02C5967A">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（3）投标报价超过招标文件中规定的最高限价，招标人不能支付的；</w:t>
      </w:r>
    </w:p>
    <w:p w14:paraId="43D226AE">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（4）因重大变故，招标任务取消的。</w:t>
      </w:r>
    </w:p>
    <w:p w14:paraId="0CB3F21B">
      <w:pPr>
        <w:keepNext w:val="0"/>
        <w:keepLines w:val="0"/>
        <w:pageBreakBefore w:val="0"/>
        <w:kinsoku/>
        <w:wordWrap/>
        <w:overflowPunct/>
        <w:topLinePunct/>
        <w:autoSpaceDE/>
        <w:autoSpaceDN/>
        <w:bidi w:val="0"/>
        <w:snapToGrid/>
        <w:spacing w:line="520" w:lineRule="exact"/>
        <w:textAlignment w:val="auto"/>
        <w:outlineLvl w:val="1"/>
        <w:rPr>
          <w:rFonts w:hint="eastAsia" w:ascii="仿宋" w:hAnsi="仿宋" w:eastAsia="仿宋" w:cs="仿宋"/>
          <w:b/>
          <w:bCs/>
          <w:color w:val="auto"/>
          <w:sz w:val="28"/>
          <w:szCs w:val="28"/>
          <w:highlight w:val="none"/>
        </w:rPr>
      </w:pPr>
      <w:bookmarkStart w:id="14" w:name="_Toc21652"/>
      <w:r>
        <w:rPr>
          <w:rFonts w:hint="eastAsia" w:ascii="仿宋" w:hAnsi="仿宋" w:eastAsia="仿宋" w:cs="仿宋"/>
          <w:b/>
          <w:bCs/>
          <w:color w:val="auto"/>
          <w:sz w:val="28"/>
          <w:szCs w:val="28"/>
          <w:highlight w:val="none"/>
        </w:rPr>
        <w:t>六、定标</w:t>
      </w:r>
      <w:bookmarkEnd w:id="14"/>
    </w:p>
    <w:p w14:paraId="6F252AA0">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28</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定标</w:t>
      </w:r>
    </w:p>
    <w:p w14:paraId="538B1FE7">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评标委员会按照招标文件确定的评标方法、步骤、标准，对投标文件进行评审。评标结束后，对投标人的评审名次进行排序，确定中标候选人排序，根据全体评标成员签字的原始评标记录和评标结果编写评标报告。</w:t>
      </w:r>
    </w:p>
    <w:p w14:paraId="1E696B13">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2评委会所有成员应当在评标报告上签字确认，评标报告的主要内容包括：</w:t>
      </w:r>
    </w:p>
    <w:p w14:paraId="4C198550">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（1）招标公告刊登的媒体名称、开标日期和地点；</w:t>
      </w:r>
    </w:p>
    <w:p w14:paraId="14093F50">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（2）投标人名单和评标委员会成员名单；</w:t>
      </w:r>
    </w:p>
    <w:p w14:paraId="31E98E3B">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（3）评标方法和评标标准；</w:t>
      </w:r>
    </w:p>
    <w:p w14:paraId="1C00652F">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（4）开标记录和评标情况及说明，包括投标无效投标人名单及原因；</w:t>
      </w:r>
    </w:p>
    <w:p w14:paraId="6005B6BC">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（5）评标结果，确定的中标候选人名单或者经招标人委托直接确定的中标人；</w:t>
      </w:r>
    </w:p>
    <w:p w14:paraId="57922D16">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（6）其他需要说明的情况，包括评标过程中投标人根据评标委员会要求进行澄清、说明或者补正，评标委员会成员的更换等。</w:t>
      </w:r>
    </w:p>
    <w:p w14:paraId="4DE5E3D1">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3由评标委员会直接确定预中标候选人的，招标代理机构自评标结束之日起2个工作日内在指定媒体上公布评标结果；需要招标人确认的，招标代理机构自评标结束之日起2个工作日内，将评标报告送交招标人。招标人应当自收到评标报告之日起5个工作日内在评标报告确定的中标候选人名单中按顺序确定预中标人。</w:t>
      </w:r>
    </w:p>
    <w:p w14:paraId="6CB94DC7">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4评标结果汇总完成后，除下列情形外，任何人不得修改评标结果：</w:t>
      </w:r>
    </w:p>
    <w:p w14:paraId="216EAE48">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（1）分值汇总计算错误的；</w:t>
      </w:r>
    </w:p>
    <w:p w14:paraId="1166809A">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（2）分项评分超出评分标准范围的；</w:t>
      </w:r>
    </w:p>
    <w:p w14:paraId="2A988AC0">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（3）评标委员会成员对客观评审因素评分不一致的；</w:t>
      </w:r>
    </w:p>
    <w:p w14:paraId="59E0946A">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（4）经评标委员会认定评分畸高、畸低的。</w:t>
      </w:r>
    </w:p>
    <w:p w14:paraId="004D9C42">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5评标报告签署前，经复核发现存在以上情形之一的，评标委员会应当当场修改评标结果，并在评标报告中记载；评标报告签署后，招标人或招标代理机构发现存在以上情形之一的，应当组织原评标委员会进行重新评审，重新评审改变结果的，书面报告本级主管部门。投标人对本条上述情形提出质疑的，招标人或者招标代理机构可以组织原评标委员会进行重新评审，重新评审改变评标结果的，应当书面报告主管部门。</w:t>
      </w:r>
    </w:p>
    <w:p w14:paraId="60DB60FE">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6中标人在规定的期限内无正当理由拒绝签订合同，招标人可以按照评审报告推荐的中标候选人名单排序，确定下一候选人为中标人，也可以重新开展招标活动。</w:t>
      </w:r>
    </w:p>
    <w:p w14:paraId="7F0F2A2E">
      <w:pPr>
        <w:keepNext w:val="0"/>
        <w:keepLines w:val="0"/>
        <w:pageBreakBefore w:val="0"/>
        <w:kinsoku/>
        <w:wordWrap/>
        <w:overflowPunct/>
        <w:topLinePunct/>
        <w:autoSpaceDE/>
        <w:autoSpaceDN/>
        <w:bidi w:val="0"/>
        <w:snapToGrid/>
        <w:spacing w:line="520" w:lineRule="exact"/>
        <w:textAlignment w:val="auto"/>
        <w:outlineLvl w:val="1"/>
        <w:rPr>
          <w:rFonts w:hint="eastAsia" w:ascii="仿宋" w:hAnsi="仿宋" w:eastAsia="仿宋" w:cs="仿宋"/>
          <w:b/>
          <w:bCs/>
          <w:color w:val="auto"/>
          <w:sz w:val="28"/>
          <w:szCs w:val="28"/>
          <w:highlight w:val="none"/>
        </w:rPr>
      </w:pPr>
      <w:bookmarkStart w:id="15" w:name="_Toc26058"/>
      <w:r>
        <w:rPr>
          <w:rFonts w:hint="eastAsia" w:ascii="仿宋" w:hAnsi="仿宋" w:eastAsia="仿宋" w:cs="仿宋"/>
          <w:b/>
          <w:bCs/>
          <w:color w:val="auto"/>
          <w:sz w:val="28"/>
          <w:szCs w:val="28"/>
          <w:highlight w:val="none"/>
        </w:rPr>
        <w:t>七、公告</w:t>
      </w:r>
      <w:bookmarkEnd w:id="15"/>
    </w:p>
    <w:p w14:paraId="5F2EF440">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29</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公告</w:t>
      </w:r>
    </w:p>
    <w:p w14:paraId="4DE0CF84">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29</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1招标代理机构自中标人确定之日起2个工作日内，在原招标公告发布媒介上发布中标结果。中标公告期限为1个工作日。中标公告应当包括下列内容：</w:t>
      </w:r>
    </w:p>
    <w:p w14:paraId="4B8C00F0">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（1）招标人、招标代理机构的名称、地址和联系方式；</w:t>
      </w:r>
    </w:p>
    <w:p w14:paraId="7B275D9E">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（2）项目名称和项目编号；</w:t>
      </w:r>
    </w:p>
    <w:p w14:paraId="1600753F">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（3）中标人名称和中标金额。</w:t>
      </w:r>
    </w:p>
    <w:p w14:paraId="413F7356">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29</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中标公告结束且无尚未处理的异议后，招标人和招标代理机构联合向中标人发出中标通知书。对未通过资格审查的投标人，应当告知其未通过的原因；《中标通知书》是合同的组成部分,对中标人和招标人具有同等法律效力。《中标通知书》发出后，招标人不得违法改变中标结果，中标人无正当理由不得放弃中标。</w:t>
      </w:r>
    </w:p>
    <w:p w14:paraId="6E9B579E">
      <w:pPr>
        <w:keepNext w:val="0"/>
        <w:keepLines w:val="0"/>
        <w:pageBreakBefore w:val="0"/>
        <w:kinsoku/>
        <w:wordWrap/>
        <w:overflowPunct/>
        <w:topLinePunct/>
        <w:autoSpaceDE/>
        <w:autoSpaceDN/>
        <w:bidi w:val="0"/>
        <w:snapToGrid/>
        <w:spacing w:line="520" w:lineRule="exact"/>
        <w:textAlignment w:val="auto"/>
        <w:outlineLvl w:val="1"/>
        <w:rPr>
          <w:rFonts w:hint="eastAsia" w:ascii="仿宋" w:hAnsi="仿宋" w:eastAsia="仿宋" w:cs="仿宋"/>
          <w:b/>
          <w:bCs/>
          <w:color w:val="auto"/>
          <w:sz w:val="28"/>
          <w:szCs w:val="28"/>
          <w:highlight w:val="none"/>
        </w:rPr>
      </w:pPr>
      <w:bookmarkStart w:id="16" w:name="_Toc30582"/>
      <w:r>
        <w:rPr>
          <w:rFonts w:hint="eastAsia" w:ascii="仿宋" w:hAnsi="仿宋" w:eastAsia="仿宋" w:cs="仿宋"/>
          <w:b/>
          <w:bCs/>
          <w:color w:val="auto"/>
          <w:sz w:val="28"/>
          <w:szCs w:val="28"/>
          <w:highlight w:val="none"/>
        </w:rPr>
        <w:t>八、质疑</w:t>
      </w:r>
      <w:bookmarkEnd w:id="16"/>
    </w:p>
    <w:p w14:paraId="2E395BBE">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30</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质疑</w:t>
      </w:r>
    </w:p>
    <w:p w14:paraId="6AFE4282">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bookmarkStart w:id="17" w:name="_Toc2872"/>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0</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依据《威海市市属国有企业阳光采购监督管理办法》规定，投标人认为招标文件、采购过程、中标结果使自己的权益受到损害，应于法律法规的规定期限内以书面形式向招标人或招标代理机构提出质疑。招标人或招标代理机构应当在收到投标人的书面质疑后3个工作日内做出书面答复，但答复内容不得涉及商业秘密。投标人提出的质疑超出招标人对招标代理机构委托授权范围的，招标代理机构应当告知投标人向招标人提出。投标人应按照下列规定进行质疑：</w:t>
      </w:r>
    </w:p>
    <w:p w14:paraId="79BD744E">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0</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2提出质疑的投标人应当是参与本项目采购活动的投标人。</w:t>
      </w:r>
    </w:p>
    <w:p w14:paraId="1FAFD870">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0</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3投标人应在法定质疑期内一次性提出针对同一采购程序环节的质疑。</w:t>
      </w:r>
    </w:p>
    <w:p w14:paraId="7D2D30B4">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0</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4质疑采用实名制，为了使提出的质疑事项在规定时间内得到有效答复、处理，提交的质疑函务必提供以下内容。</w:t>
      </w:r>
    </w:p>
    <w:p w14:paraId="5DCFEC2F">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（1）投标人的姓名或名称、地址（邮箱）、邮编、联系人及联系电话；</w:t>
      </w:r>
    </w:p>
    <w:p w14:paraId="400E77A2">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（2）质疑项目的名称、编号；</w:t>
      </w:r>
    </w:p>
    <w:p w14:paraId="039B018A">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（3）具体、明确的质疑事项和与质疑事项相关的请求；</w:t>
      </w:r>
    </w:p>
    <w:p w14:paraId="37291411">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（4）事实依据；</w:t>
      </w:r>
    </w:p>
    <w:p w14:paraId="3182B253">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（5）必要的法律依据；</w:t>
      </w:r>
    </w:p>
    <w:p w14:paraId="34838136">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（6）提出质疑的日期。</w:t>
      </w:r>
    </w:p>
    <w:p w14:paraId="2A0CB7A7">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投标人为自然人的，应当由本人签字；投标人为法人或者其他组织的，应当由法定代表人、单位负责人，或者其被授权人签字或者盖章，并加盖公章。</w:t>
      </w:r>
    </w:p>
    <w:p w14:paraId="5D8BDBB3">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0</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5招标人或招标代理机构正式受理后方可生效。否则，为无效质疑。</w:t>
      </w:r>
    </w:p>
    <w:p w14:paraId="38DCABDC">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0</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6有下列情况之一的质疑不予受理：</w:t>
      </w:r>
    </w:p>
    <w:p w14:paraId="28AE466D">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（1）无质疑函件或质疑函件缺少投标人法人印章、投标人法定代表人签字、有效授权书和联系方式之一的质疑；</w:t>
      </w:r>
    </w:p>
    <w:p w14:paraId="662B7333">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（2）质疑函件无实质性内容或佐证文件资料，主观臆断及推理得出结论的质疑；</w:t>
      </w:r>
    </w:p>
    <w:p w14:paraId="2EF2672D">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（3）相应证明材料不真实或来源不合法的质疑；</w:t>
      </w:r>
    </w:p>
    <w:p w14:paraId="21F3088C">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（4）未按规定时间或超过公示期限提出的质疑；</w:t>
      </w:r>
    </w:p>
    <w:p w14:paraId="56B1AF31">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0</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7对捏造事实，提供虚假材料或者以非法手段取得证明材料进行恶意质疑的，一经查实，将列入平台黑名单。</w:t>
      </w:r>
    </w:p>
    <w:p w14:paraId="65112703">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3</w:t>
      </w:r>
      <w:r>
        <w:rPr>
          <w:rFonts w:hint="eastAsia" w:ascii="仿宋" w:hAnsi="仿宋" w:eastAsia="仿宋" w:cs="仿宋"/>
          <w:b/>
          <w:bCs/>
          <w:color w:val="auto"/>
          <w:sz w:val="28"/>
          <w:szCs w:val="28"/>
          <w:highlight w:val="none"/>
          <w:lang w:val="en-US" w:eastAsia="zh-CN"/>
        </w:rPr>
        <w:t>1</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仲裁或起诉</w:t>
      </w:r>
    </w:p>
    <w:p w14:paraId="3ECC0BC5">
      <w:pPr>
        <w:keepNext w:val="0"/>
        <w:keepLines w:val="0"/>
        <w:pageBreakBefore w:val="0"/>
        <w:kinsoku/>
        <w:overflowPunct/>
        <w:topLinePunct/>
        <w:autoSpaceDE/>
        <w:autoSpaceDN/>
        <w:bidi w:val="0"/>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投标人对答复不满意，或者</w:t>
      </w:r>
      <w:r>
        <w:rPr>
          <w:rFonts w:hint="eastAsia" w:ascii="仿宋" w:hAnsi="仿宋" w:eastAsia="仿宋" w:cs="仿宋"/>
          <w:color w:val="auto"/>
          <w:sz w:val="28"/>
          <w:szCs w:val="28"/>
          <w:highlight w:val="none"/>
          <w:lang w:eastAsia="zh-CN"/>
        </w:rPr>
        <w:t>招标人</w:t>
      </w:r>
      <w:r>
        <w:rPr>
          <w:rFonts w:hint="eastAsia" w:ascii="仿宋" w:hAnsi="仿宋" w:eastAsia="仿宋" w:cs="仿宋"/>
          <w:color w:val="auto"/>
          <w:sz w:val="28"/>
          <w:szCs w:val="28"/>
          <w:highlight w:val="none"/>
        </w:rPr>
        <w:t>、代理机构未在规定的时间内做出书面答复的，投标人可以在答复期满后向</w:t>
      </w:r>
      <w:r>
        <w:rPr>
          <w:rFonts w:hint="eastAsia" w:ascii="仿宋" w:hAnsi="仿宋" w:eastAsia="仿宋" w:cs="仿宋"/>
          <w:color w:val="auto"/>
          <w:sz w:val="28"/>
          <w:szCs w:val="28"/>
          <w:highlight w:val="none"/>
          <w:lang w:eastAsia="zh-CN"/>
        </w:rPr>
        <w:t>招标人</w:t>
      </w:r>
      <w:r>
        <w:rPr>
          <w:rFonts w:hint="eastAsia" w:ascii="仿宋" w:hAnsi="仿宋" w:eastAsia="仿宋" w:cs="仿宋"/>
          <w:color w:val="auto"/>
          <w:sz w:val="28"/>
          <w:szCs w:val="28"/>
          <w:highlight w:val="none"/>
        </w:rPr>
        <w:t>所在地仲裁机构、人民法院申请仲裁或起诉。</w:t>
      </w:r>
    </w:p>
    <w:p w14:paraId="5568C2B4">
      <w:pPr>
        <w:keepNext w:val="0"/>
        <w:keepLines w:val="0"/>
        <w:pageBreakBefore w:val="0"/>
        <w:kinsoku/>
        <w:wordWrap/>
        <w:overflowPunct/>
        <w:topLinePunct/>
        <w:autoSpaceDE/>
        <w:autoSpaceDN/>
        <w:bidi w:val="0"/>
        <w:snapToGrid/>
        <w:spacing w:line="520" w:lineRule="exact"/>
        <w:textAlignment w:val="auto"/>
        <w:outlineLvl w:val="1"/>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九、签订合同</w:t>
      </w:r>
      <w:bookmarkEnd w:id="17"/>
    </w:p>
    <w:p w14:paraId="79985C1A">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3</w:t>
      </w:r>
      <w:r>
        <w:rPr>
          <w:rFonts w:hint="eastAsia" w:ascii="仿宋" w:hAnsi="仿宋" w:eastAsia="仿宋" w:cs="仿宋"/>
          <w:b/>
          <w:bCs/>
          <w:color w:val="auto"/>
          <w:sz w:val="28"/>
          <w:szCs w:val="28"/>
          <w:highlight w:val="none"/>
          <w:lang w:val="en-US" w:eastAsia="zh-CN"/>
        </w:rPr>
        <w:t>2</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合同的签订</w:t>
      </w:r>
    </w:p>
    <w:p w14:paraId="51A24B0C">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1中标通知书发出之日起30日内，按招标文件、中标人的投标文件签订采购合同。招标人应当自采购合同签订之日起5个工作日内，将采购合同上传至威海市国有企业阳光采购电子化服务平台同时在指定的媒介上公告，但采购合同中涉及国家秘密、商业秘密的内容除外。</w:t>
      </w:r>
    </w:p>
    <w:p w14:paraId="37709F58">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2招标人应当按照招标文件和中标人投标文件的规定，与中标人签订书面合同。招标人与中标人所签订的合同不得对招标文件和中标人的投标文件作实质性修改。招标人不得向中标人提出任何不合理的要求，作为签订合同的条件，不得与中标人私下订立背离合同实质性内容的协议。合同原则以第六章</w:t>
      </w:r>
      <w:r>
        <w:rPr>
          <w:rFonts w:hint="eastAsia" w:ascii="仿宋" w:hAnsi="仿宋" w:eastAsia="仿宋" w:cs="仿宋"/>
          <w:color w:val="auto"/>
          <w:sz w:val="28"/>
          <w:szCs w:val="28"/>
          <w:highlight w:val="none"/>
          <w:lang w:val="en-US" w:eastAsia="zh-CN"/>
        </w:rPr>
        <w:t>合同（范本）</w:t>
      </w:r>
      <w:r>
        <w:rPr>
          <w:rFonts w:hint="eastAsia" w:ascii="仿宋" w:hAnsi="仿宋" w:eastAsia="仿宋" w:cs="仿宋"/>
          <w:color w:val="auto"/>
          <w:sz w:val="28"/>
          <w:szCs w:val="28"/>
          <w:highlight w:val="none"/>
        </w:rPr>
        <w:t>为基础，并根据响应、答疑情况进行修改补充，自签订之日起生效。</w:t>
      </w:r>
    </w:p>
    <w:p w14:paraId="777A7C08">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3中标人在规定时间内无正当理由拒绝与招标人签订合同的，有效投标人符合法定数量的，招标人可以按照评审报告推荐的中标候选人名单排序，确定下一候选人为中标人，也可以重新开展招标活动。</w:t>
      </w:r>
    </w:p>
    <w:p w14:paraId="2B306CA7">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4采购合同的履行、违约责任和解决争议的方法适用《中华人民共和国民法典》。</w:t>
      </w:r>
    </w:p>
    <w:p w14:paraId="3BD49EA7">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sectPr>
          <w:pgSz w:w="11906" w:h="16838"/>
          <w:pgMar w:top="1280" w:right="1142" w:bottom="1118" w:left="1324" w:header="454" w:footer="680" w:gutter="0"/>
          <w:pgNumType w:fmt="decimal"/>
          <w:cols w:space="0" w:num="1"/>
          <w:docGrid w:linePitch="312" w:charSpace="0"/>
        </w:sectPr>
      </w:pPr>
    </w:p>
    <w:p w14:paraId="02A708E6">
      <w:pPr>
        <w:pStyle w:val="24"/>
        <w:keepNext w:val="0"/>
        <w:keepLines w:val="0"/>
        <w:pageBreakBefore w:val="0"/>
        <w:numPr>
          <w:ilvl w:val="0"/>
          <w:numId w:val="0"/>
        </w:numPr>
        <w:kinsoku/>
        <w:overflowPunct/>
        <w:topLinePunct/>
        <w:autoSpaceDE/>
        <w:autoSpaceDN/>
        <w:bidi w:val="0"/>
        <w:spacing w:before="100" w:beforeAutospacing="1" w:after="100" w:afterAutospacing="1" w:line="240" w:lineRule="auto"/>
        <w:ind w:left="1440" w:leftChars="0" w:hanging="1440" w:firstLineChars="0"/>
        <w:jc w:val="center"/>
        <w:textAlignment w:val="auto"/>
        <w:rPr>
          <w:rFonts w:hint="eastAsia" w:ascii="仿宋" w:hAnsi="仿宋" w:eastAsia="仿宋" w:cs="仿宋"/>
          <w:b/>
          <w:bCs/>
          <w:color w:val="auto"/>
          <w:kern w:val="0"/>
          <w:sz w:val="48"/>
          <w:szCs w:val="48"/>
          <w:highlight w:val="none"/>
          <w:lang w:val="en-US" w:eastAsia="zh-CN" w:bidi="ar-SA"/>
        </w:rPr>
      </w:pPr>
      <w:bookmarkStart w:id="18" w:name="_Toc27540"/>
      <w:r>
        <w:rPr>
          <w:rFonts w:hint="eastAsia" w:ascii="仿宋" w:hAnsi="仿宋" w:eastAsia="仿宋" w:cs="仿宋"/>
          <w:b/>
          <w:bCs/>
          <w:color w:val="auto"/>
          <w:kern w:val="0"/>
          <w:sz w:val="48"/>
          <w:szCs w:val="48"/>
          <w:highlight w:val="none"/>
          <w:lang w:val="en-US" w:eastAsia="zh-CN" w:bidi="ar-SA"/>
        </w:rPr>
        <w:t>第三章 采购内容与要求</w:t>
      </w:r>
      <w:bookmarkEnd w:id="18"/>
    </w:p>
    <w:p w14:paraId="7AB55EBF">
      <w:pPr>
        <w:keepNext w:val="0"/>
        <w:keepLines w:val="0"/>
        <w:pageBreakBefore w:val="0"/>
        <w:widowControl/>
        <w:shd w:val="clear" w:color="auto" w:fill="auto"/>
        <w:kinsoku/>
        <w:wordWrap w:val="0"/>
        <w:overflowPunct/>
        <w:topLinePunct/>
        <w:autoSpaceDE/>
        <w:autoSpaceDN/>
        <w:bidi w:val="0"/>
        <w:adjustRightInd w:val="0"/>
        <w:snapToGrid/>
        <w:spacing w:line="520" w:lineRule="exact"/>
        <w:jc w:val="left"/>
        <w:textAlignment w:val="auto"/>
        <w:outlineLvl w:val="1"/>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lang w:val="en-US" w:eastAsia="zh-CN"/>
        </w:rPr>
        <w:t>一、项目名称：</w:t>
      </w:r>
      <w:r>
        <w:rPr>
          <w:rFonts w:hint="eastAsia" w:ascii="仿宋" w:hAnsi="仿宋" w:eastAsia="仿宋" w:cs="仿宋"/>
          <w:color w:val="auto"/>
          <w:sz w:val="28"/>
          <w:szCs w:val="28"/>
          <w:highlight w:val="none"/>
          <w:lang w:eastAsia="zh-CN"/>
        </w:rPr>
        <w:t>选定景区物料供应入围单位</w:t>
      </w:r>
    </w:p>
    <w:p w14:paraId="37598FA9">
      <w:pPr>
        <w:keepNext w:val="0"/>
        <w:keepLines w:val="0"/>
        <w:pageBreakBefore w:val="0"/>
        <w:kinsoku/>
        <w:wordWrap/>
        <w:overflowPunct/>
        <w:topLinePunct/>
        <w:autoSpaceDE/>
        <w:autoSpaceDN/>
        <w:bidi w:val="0"/>
        <w:snapToGrid/>
        <w:spacing w:line="520" w:lineRule="exact"/>
        <w:textAlignment w:val="auto"/>
        <w:outlineLvl w:val="1"/>
        <w:rPr>
          <w:rFonts w:hint="default" w:ascii="仿宋" w:hAnsi="仿宋" w:eastAsia="仿宋" w:cs="仿宋"/>
          <w:b/>
          <w:bCs/>
          <w:color w:val="auto"/>
          <w:sz w:val="28"/>
          <w:szCs w:val="28"/>
          <w:highlight w:val="none"/>
          <w:lang w:val="en-US" w:eastAsia="zh-CN"/>
        </w:rPr>
      </w:pPr>
      <w:bookmarkStart w:id="19" w:name="_Toc21963"/>
      <w:r>
        <w:rPr>
          <w:rFonts w:hint="eastAsia" w:ascii="仿宋" w:hAnsi="仿宋" w:eastAsia="仿宋" w:cs="仿宋"/>
          <w:b/>
          <w:bCs/>
          <w:color w:val="auto"/>
          <w:sz w:val="28"/>
          <w:szCs w:val="28"/>
          <w:highlight w:val="none"/>
          <w:lang w:val="en-US" w:eastAsia="zh-CN"/>
        </w:rPr>
        <w:t>二、</w:t>
      </w:r>
      <w:bookmarkEnd w:id="19"/>
      <w:r>
        <w:rPr>
          <w:rFonts w:hint="eastAsia" w:ascii="仿宋" w:hAnsi="仿宋" w:eastAsia="仿宋" w:cs="仿宋"/>
          <w:b/>
          <w:bCs/>
          <w:color w:val="auto"/>
          <w:sz w:val="28"/>
          <w:szCs w:val="28"/>
          <w:highlight w:val="none"/>
          <w:lang w:val="en-US" w:eastAsia="zh-CN"/>
        </w:rPr>
        <w:t>服务内容</w:t>
      </w:r>
    </w:p>
    <w:p w14:paraId="65BF54CE">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eastAsia" w:ascii="仿宋" w:hAnsi="仿宋" w:eastAsia="仿宋" w:cs="仿宋"/>
          <w:i w:val="0"/>
          <w:iCs w:val="0"/>
          <w:color w:val="auto"/>
          <w:spacing w:val="8"/>
          <w:kern w:val="0"/>
          <w:sz w:val="28"/>
          <w:szCs w:val="28"/>
          <w:highlight w:val="none"/>
          <w:lang w:val="en-US" w:eastAsia="zh-CN"/>
        </w:rPr>
      </w:pPr>
      <w:r>
        <w:rPr>
          <w:rFonts w:hint="eastAsia" w:ascii="仿宋" w:hAnsi="仿宋" w:eastAsia="仿宋" w:cs="仿宋"/>
          <w:i w:val="0"/>
          <w:iCs w:val="0"/>
          <w:color w:val="auto"/>
          <w:spacing w:val="8"/>
          <w:kern w:val="0"/>
          <w:sz w:val="28"/>
          <w:szCs w:val="28"/>
          <w:highlight w:val="none"/>
          <w:lang w:val="en-US" w:eastAsia="zh-CN"/>
        </w:rPr>
        <w:t>选定2家入围单位，能够根据半月湾景区(包含但不限于环海路、中国油画交易中心等运营项目)日常运营及活动需求，提供各类通用物资、基础物品的供应或租赁服务，并配套仓储管理和紧急补货物流服务。</w:t>
      </w:r>
    </w:p>
    <w:p w14:paraId="362A453E">
      <w:pPr>
        <w:keepNext w:val="0"/>
        <w:keepLines w:val="0"/>
        <w:pageBreakBefore w:val="0"/>
        <w:kinsoku/>
        <w:wordWrap/>
        <w:overflowPunct/>
        <w:topLinePunct/>
        <w:autoSpaceDE/>
        <w:autoSpaceDN/>
        <w:bidi w:val="0"/>
        <w:snapToGrid/>
        <w:spacing w:line="520" w:lineRule="exact"/>
        <w:textAlignment w:val="auto"/>
        <w:outlineLvl w:val="1"/>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三、主要服务范围（包括但不限于）</w:t>
      </w:r>
    </w:p>
    <w:p w14:paraId="588B2D7B">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default" w:ascii="仿宋" w:hAnsi="仿宋" w:eastAsia="仿宋" w:cs="仿宋"/>
          <w:i w:val="0"/>
          <w:iCs w:val="0"/>
          <w:color w:val="auto"/>
          <w:spacing w:val="8"/>
          <w:kern w:val="0"/>
          <w:sz w:val="28"/>
          <w:szCs w:val="28"/>
          <w:highlight w:val="none"/>
          <w:lang w:val="en-US" w:eastAsia="zh-CN"/>
        </w:rPr>
      </w:pPr>
      <w:r>
        <w:rPr>
          <w:rFonts w:hint="eastAsia" w:ascii="仿宋" w:hAnsi="仿宋" w:eastAsia="仿宋" w:cs="仿宋"/>
          <w:i w:val="0"/>
          <w:iCs w:val="0"/>
          <w:color w:val="auto"/>
          <w:spacing w:val="8"/>
          <w:kern w:val="0"/>
          <w:sz w:val="28"/>
          <w:szCs w:val="28"/>
          <w:highlight w:val="none"/>
          <w:lang w:val="en-US" w:eastAsia="zh-CN"/>
        </w:rPr>
        <w:t>（一）通用物资类</w:t>
      </w:r>
    </w:p>
    <w:p w14:paraId="5E7AF57E">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eastAsia" w:ascii="仿宋" w:hAnsi="仿宋" w:eastAsia="仿宋" w:cs="仿宋"/>
          <w:i w:val="0"/>
          <w:iCs w:val="0"/>
          <w:color w:val="auto"/>
          <w:spacing w:val="8"/>
          <w:kern w:val="0"/>
          <w:sz w:val="28"/>
          <w:szCs w:val="28"/>
          <w:highlight w:val="none"/>
          <w:lang w:val="en-US" w:eastAsia="zh-CN"/>
        </w:rPr>
      </w:pPr>
      <w:r>
        <w:rPr>
          <w:rFonts w:hint="eastAsia" w:ascii="仿宋" w:hAnsi="仿宋" w:eastAsia="仿宋" w:cs="仿宋"/>
          <w:i w:val="0"/>
          <w:iCs w:val="0"/>
          <w:color w:val="auto"/>
          <w:spacing w:val="8"/>
          <w:kern w:val="0"/>
          <w:sz w:val="28"/>
          <w:szCs w:val="28"/>
          <w:highlight w:val="none"/>
          <w:lang w:val="en-US" w:eastAsia="zh-CN"/>
        </w:rPr>
        <w:t>1.桌椅类：折叠椅、塑料凳、沙滩椅、长条桌、洽谈桌等。</w:t>
      </w:r>
    </w:p>
    <w:p w14:paraId="10CA16C9">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eastAsia" w:ascii="仿宋" w:hAnsi="仿宋" w:eastAsia="仿宋" w:cs="仿宋"/>
          <w:i w:val="0"/>
          <w:iCs w:val="0"/>
          <w:color w:val="auto"/>
          <w:spacing w:val="8"/>
          <w:kern w:val="0"/>
          <w:sz w:val="28"/>
          <w:szCs w:val="28"/>
          <w:highlight w:val="none"/>
          <w:lang w:val="en-US" w:eastAsia="zh-CN"/>
        </w:rPr>
      </w:pPr>
      <w:r>
        <w:rPr>
          <w:rFonts w:hint="eastAsia" w:ascii="仿宋" w:hAnsi="仿宋" w:eastAsia="仿宋" w:cs="仿宋"/>
          <w:i w:val="0"/>
          <w:iCs w:val="0"/>
          <w:color w:val="auto"/>
          <w:spacing w:val="8"/>
          <w:kern w:val="0"/>
          <w:sz w:val="28"/>
          <w:szCs w:val="28"/>
          <w:highlight w:val="none"/>
          <w:lang w:val="en-US" w:eastAsia="zh-CN"/>
        </w:rPr>
        <w:t>2.遮阳避雨类：太阳伞、户外遮阳伞、普通帐篷、天幕等。</w:t>
      </w:r>
    </w:p>
    <w:p w14:paraId="1BDAA128">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eastAsia" w:ascii="仿宋" w:hAnsi="仿宋" w:eastAsia="仿宋" w:cs="仿宋"/>
          <w:i w:val="0"/>
          <w:iCs w:val="0"/>
          <w:color w:val="auto"/>
          <w:spacing w:val="8"/>
          <w:kern w:val="0"/>
          <w:sz w:val="28"/>
          <w:szCs w:val="28"/>
          <w:highlight w:val="none"/>
          <w:lang w:val="en-US" w:eastAsia="zh-CN"/>
        </w:rPr>
      </w:pPr>
      <w:r>
        <w:rPr>
          <w:rFonts w:hint="eastAsia" w:ascii="仿宋" w:hAnsi="仿宋" w:eastAsia="仿宋" w:cs="仿宋"/>
          <w:i w:val="0"/>
          <w:iCs w:val="0"/>
          <w:color w:val="auto"/>
          <w:spacing w:val="8"/>
          <w:kern w:val="0"/>
          <w:sz w:val="28"/>
          <w:szCs w:val="28"/>
          <w:highlight w:val="none"/>
          <w:lang w:val="en-US" w:eastAsia="zh-CN"/>
        </w:rPr>
        <w:t>3.隔离引导类：铁马护栏、隔离栏、移动护栏等。</w:t>
      </w:r>
    </w:p>
    <w:p w14:paraId="7B75330C">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eastAsia" w:ascii="仿宋" w:hAnsi="仿宋" w:eastAsia="仿宋" w:cs="仿宋"/>
          <w:i w:val="0"/>
          <w:iCs w:val="0"/>
          <w:color w:val="auto"/>
          <w:spacing w:val="8"/>
          <w:kern w:val="0"/>
          <w:sz w:val="28"/>
          <w:szCs w:val="28"/>
          <w:highlight w:val="none"/>
          <w:lang w:val="en-US" w:eastAsia="zh-CN"/>
        </w:rPr>
      </w:pPr>
      <w:r>
        <w:rPr>
          <w:rFonts w:hint="eastAsia" w:ascii="仿宋" w:hAnsi="仿宋" w:eastAsia="仿宋" w:cs="仿宋"/>
          <w:i w:val="0"/>
          <w:iCs w:val="0"/>
          <w:color w:val="auto"/>
          <w:spacing w:val="8"/>
          <w:kern w:val="0"/>
          <w:sz w:val="28"/>
          <w:szCs w:val="28"/>
          <w:highlight w:val="none"/>
          <w:lang w:val="en-US" w:eastAsia="zh-CN"/>
        </w:rPr>
        <w:t>4.其他设备：对讲机、扩音器、移动厕所、风扇、电暖气等。</w:t>
      </w:r>
    </w:p>
    <w:p w14:paraId="19C3CBFC">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default" w:ascii="仿宋" w:hAnsi="仿宋" w:eastAsia="仿宋" w:cs="仿宋"/>
          <w:i w:val="0"/>
          <w:iCs w:val="0"/>
          <w:color w:val="auto"/>
          <w:spacing w:val="8"/>
          <w:kern w:val="0"/>
          <w:sz w:val="28"/>
          <w:szCs w:val="28"/>
          <w:highlight w:val="none"/>
          <w:lang w:val="en-US" w:eastAsia="zh-CN"/>
        </w:rPr>
      </w:pPr>
      <w:r>
        <w:rPr>
          <w:rFonts w:hint="eastAsia" w:ascii="仿宋" w:hAnsi="仿宋" w:eastAsia="仿宋" w:cs="仿宋"/>
          <w:i w:val="0"/>
          <w:iCs w:val="0"/>
          <w:color w:val="auto"/>
          <w:spacing w:val="8"/>
          <w:kern w:val="0"/>
          <w:sz w:val="28"/>
          <w:szCs w:val="28"/>
          <w:highlight w:val="none"/>
          <w:lang w:val="en-US" w:eastAsia="zh-CN"/>
        </w:rPr>
        <w:t>（二）基础物品类</w:t>
      </w:r>
    </w:p>
    <w:p w14:paraId="77D593CD">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eastAsia" w:ascii="仿宋" w:hAnsi="仿宋" w:eastAsia="仿宋" w:cs="仿宋"/>
          <w:i w:val="0"/>
          <w:iCs w:val="0"/>
          <w:color w:val="auto"/>
          <w:spacing w:val="8"/>
          <w:kern w:val="0"/>
          <w:sz w:val="28"/>
          <w:szCs w:val="28"/>
          <w:highlight w:val="none"/>
          <w:lang w:val="en-US" w:eastAsia="zh-CN"/>
        </w:rPr>
      </w:pPr>
      <w:r>
        <w:rPr>
          <w:rFonts w:hint="eastAsia" w:ascii="仿宋" w:hAnsi="仿宋" w:eastAsia="仿宋" w:cs="仿宋"/>
          <w:i w:val="0"/>
          <w:iCs w:val="0"/>
          <w:color w:val="auto"/>
          <w:spacing w:val="8"/>
          <w:kern w:val="0"/>
          <w:sz w:val="28"/>
          <w:szCs w:val="28"/>
          <w:highlight w:val="none"/>
          <w:lang w:val="en-US" w:eastAsia="zh-CN"/>
        </w:rPr>
        <w:t>1.活动消耗品：气球、仿真花、成品灯笼、普通装饰道具等。</w:t>
      </w:r>
    </w:p>
    <w:p w14:paraId="544B98A8">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eastAsia" w:ascii="仿宋" w:hAnsi="仿宋" w:eastAsia="仿宋" w:cs="仿宋"/>
          <w:i w:val="0"/>
          <w:iCs w:val="0"/>
          <w:color w:val="auto"/>
          <w:spacing w:val="8"/>
          <w:kern w:val="0"/>
          <w:sz w:val="28"/>
          <w:szCs w:val="28"/>
          <w:highlight w:val="none"/>
          <w:lang w:val="en-US" w:eastAsia="zh-CN"/>
        </w:rPr>
      </w:pPr>
      <w:r>
        <w:rPr>
          <w:rFonts w:hint="eastAsia" w:ascii="仿宋" w:hAnsi="仿宋" w:eastAsia="仿宋" w:cs="仿宋"/>
          <w:i w:val="0"/>
          <w:iCs w:val="0"/>
          <w:color w:val="auto"/>
          <w:spacing w:val="8"/>
          <w:kern w:val="0"/>
          <w:sz w:val="28"/>
          <w:szCs w:val="28"/>
          <w:highlight w:val="none"/>
          <w:lang w:val="en-US" w:eastAsia="zh-CN"/>
        </w:rPr>
        <w:t>2.游客服务物资：轮椅、拐杖、婴儿车、雨具、便民药箱等。</w:t>
      </w:r>
    </w:p>
    <w:p w14:paraId="008C9383">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eastAsia" w:ascii="仿宋" w:hAnsi="仿宋" w:eastAsia="仿宋" w:cs="仿宋"/>
          <w:i w:val="0"/>
          <w:iCs w:val="0"/>
          <w:color w:val="auto"/>
          <w:spacing w:val="8"/>
          <w:kern w:val="0"/>
          <w:sz w:val="28"/>
          <w:szCs w:val="28"/>
          <w:highlight w:val="none"/>
          <w:lang w:val="en-US" w:eastAsia="zh-CN"/>
        </w:rPr>
      </w:pPr>
      <w:r>
        <w:rPr>
          <w:rFonts w:hint="eastAsia" w:ascii="仿宋" w:hAnsi="仿宋" w:eastAsia="仿宋" w:cs="仿宋"/>
          <w:i w:val="0"/>
          <w:iCs w:val="0"/>
          <w:color w:val="auto"/>
          <w:spacing w:val="8"/>
          <w:kern w:val="0"/>
          <w:sz w:val="28"/>
          <w:szCs w:val="28"/>
          <w:highlight w:val="none"/>
          <w:lang w:val="en-US" w:eastAsia="zh-CN"/>
        </w:rPr>
        <w:t>3.运营保障物资（户外用品、体育用品及器材、劳保用品等）、低价引流品（可供售卖的小商品、玩具、纪念品等）、通用互动道具（荧光棒、手拍掌、泡泡机等）。</w:t>
      </w:r>
    </w:p>
    <w:p w14:paraId="0F0B5ADF">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default" w:ascii="仿宋" w:hAnsi="仿宋" w:eastAsia="仿宋" w:cs="仿宋"/>
          <w:i w:val="0"/>
          <w:iCs w:val="0"/>
          <w:color w:val="auto"/>
          <w:spacing w:val="8"/>
          <w:kern w:val="0"/>
          <w:sz w:val="28"/>
          <w:szCs w:val="28"/>
          <w:highlight w:val="none"/>
          <w:lang w:val="en-US" w:eastAsia="zh-CN"/>
        </w:rPr>
      </w:pPr>
      <w:r>
        <w:rPr>
          <w:rFonts w:hint="eastAsia" w:ascii="仿宋" w:hAnsi="仿宋" w:eastAsia="仿宋" w:cs="仿宋"/>
          <w:i w:val="0"/>
          <w:iCs w:val="0"/>
          <w:color w:val="auto"/>
          <w:spacing w:val="8"/>
          <w:kern w:val="0"/>
          <w:sz w:val="28"/>
          <w:szCs w:val="28"/>
          <w:highlight w:val="none"/>
          <w:lang w:val="en-US" w:eastAsia="zh-CN"/>
        </w:rPr>
        <w:t>（三）仓储与物流服务</w:t>
      </w:r>
    </w:p>
    <w:p w14:paraId="540D7F58">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eastAsia" w:ascii="仿宋" w:hAnsi="仿宋" w:eastAsia="仿宋" w:cs="仿宋"/>
          <w:i w:val="0"/>
          <w:iCs w:val="0"/>
          <w:color w:val="auto"/>
          <w:spacing w:val="8"/>
          <w:kern w:val="0"/>
          <w:sz w:val="28"/>
          <w:szCs w:val="28"/>
          <w:highlight w:val="none"/>
          <w:lang w:val="en-US" w:eastAsia="zh-CN"/>
        </w:rPr>
      </w:pPr>
      <w:r>
        <w:rPr>
          <w:rFonts w:hint="eastAsia" w:ascii="仿宋" w:hAnsi="仿宋" w:eastAsia="仿宋" w:cs="仿宋"/>
          <w:i w:val="0"/>
          <w:iCs w:val="0"/>
          <w:color w:val="auto"/>
          <w:spacing w:val="8"/>
          <w:kern w:val="0"/>
          <w:sz w:val="28"/>
          <w:szCs w:val="28"/>
          <w:highlight w:val="none"/>
          <w:lang w:val="en-US" w:eastAsia="zh-CN"/>
        </w:rPr>
        <w:t>1.活动仓储管理：提供符合安全标准的仓库，物资分类存储，防火、防盗、防潮，可适配各类物资存储需求。</w:t>
      </w:r>
    </w:p>
    <w:p w14:paraId="6795D73C">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eastAsia" w:ascii="仿宋" w:hAnsi="仿宋" w:eastAsia="仿宋" w:cs="仿宋"/>
          <w:i w:val="0"/>
          <w:iCs w:val="0"/>
          <w:color w:val="auto"/>
          <w:spacing w:val="8"/>
          <w:kern w:val="0"/>
          <w:sz w:val="28"/>
          <w:szCs w:val="28"/>
          <w:highlight w:val="none"/>
          <w:lang w:val="en-US" w:eastAsia="zh-CN"/>
        </w:rPr>
      </w:pPr>
      <w:r>
        <w:rPr>
          <w:rFonts w:hint="eastAsia" w:ascii="仿宋" w:hAnsi="仿宋" w:eastAsia="仿宋" w:cs="仿宋"/>
          <w:i w:val="0"/>
          <w:iCs w:val="0"/>
          <w:color w:val="auto"/>
          <w:spacing w:val="8"/>
          <w:kern w:val="0"/>
          <w:sz w:val="28"/>
          <w:szCs w:val="28"/>
          <w:highlight w:val="none"/>
          <w:lang w:val="en-US" w:eastAsia="zh-CN"/>
        </w:rPr>
        <w:t>2.紧急补货：活动期间接到需求后，在规定时间内（如2-4小时）完成物资配送至景区指定地点；</w:t>
      </w:r>
    </w:p>
    <w:p w14:paraId="7CC31B87">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eastAsia" w:ascii="仿宋" w:hAnsi="仿宋" w:eastAsia="仿宋" w:cs="仿宋"/>
          <w:i w:val="0"/>
          <w:iCs w:val="0"/>
          <w:color w:val="auto"/>
          <w:spacing w:val="8"/>
          <w:kern w:val="0"/>
          <w:sz w:val="28"/>
          <w:szCs w:val="28"/>
          <w:highlight w:val="none"/>
          <w:lang w:val="en-US" w:eastAsia="zh-CN"/>
        </w:rPr>
      </w:pPr>
      <w:r>
        <w:rPr>
          <w:rFonts w:hint="eastAsia" w:ascii="仿宋" w:hAnsi="仿宋" w:eastAsia="仿宋" w:cs="仿宋"/>
          <w:i w:val="0"/>
          <w:iCs w:val="0"/>
          <w:color w:val="auto"/>
          <w:spacing w:val="8"/>
          <w:kern w:val="0"/>
          <w:sz w:val="28"/>
          <w:szCs w:val="28"/>
          <w:highlight w:val="none"/>
          <w:lang w:val="en-US" w:eastAsia="zh-CN"/>
        </w:rPr>
        <w:t>3.物流配送：负责物资的提货运输、现场摆放、回收撤场清运。</w:t>
      </w:r>
    </w:p>
    <w:p w14:paraId="29E584E7">
      <w:pPr>
        <w:keepNext w:val="0"/>
        <w:keepLines w:val="0"/>
        <w:pageBreakBefore w:val="0"/>
        <w:kinsoku/>
        <w:wordWrap/>
        <w:overflowPunct/>
        <w:topLinePunct/>
        <w:autoSpaceDE/>
        <w:autoSpaceDN/>
        <w:bidi w:val="0"/>
        <w:snapToGrid/>
        <w:spacing w:line="520" w:lineRule="exact"/>
        <w:textAlignment w:val="auto"/>
        <w:outlineLvl w:val="1"/>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四、服务要求</w:t>
      </w:r>
    </w:p>
    <w:p w14:paraId="3258DD14">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eastAsia" w:ascii="仿宋" w:hAnsi="仿宋" w:eastAsia="仿宋" w:cs="仿宋"/>
          <w:i w:val="0"/>
          <w:iCs w:val="0"/>
          <w:color w:val="auto"/>
          <w:spacing w:val="8"/>
          <w:kern w:val="0"/>
          <w:sz w:val="28"/>
          <w:szCs w:val="28"/>
          <w:highlight w:val="none"/>
          <w:lang w:val="en-US" w:eastAsia="zh-CN"/>
        </w:rPr>
      </w:pPr>
      <w:r>
        <w:rPr>
          <w:rFonts w:hint="eastAsia" w:ascii="仿宋" w:hAnsi="仿宋" w:eastAsia="仿宋" w:cs="仿宋"/>
          <w:i w:val="0"/>
          <w:iCs w:val="0"/>
          <w:color w:val="auto"/>
          <w:spacing w:val="8"/>
          <w:kern w:val="0"/>
          <w:sz w:val="28"/>
          <w:szCs w:val="28"/>
          <w:highlight w:val="none"/>
          <w:lang w:val="en-US" w:eastAsia="zh-CN"/>
        </w:rPr>
        <w:t>1.服务单位需按采购单位要求提供样品、按需调整规格、无条件退换不合格产品，并具备7×24小时应急响应能力。</w:t>
      </w:r>
    </w:p>
    <w:p w14:paraId="55B61BDE">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eastAsia" w:ascii="仿宋" w:hAnsi="仿宋" w:eastAsia="仿宋" w:cs="仿宋"/>
          <w:i w:val="0"/>
          <w:iCs w:val="0"/>
          <w:color w:val="auto"/>
          <w:spacing w:val="8"/>
          <w:kern w:val="0"/>
          <w:sz w:val="28"/>
          <w:szCs w:val="28"/>
          <w:highlight w:val="none"/>
          <w:lang w:val="en-US" w:eastAsia="zh-CN"/>
        </w:rPr>
      </w:pPr>
      <w:r>
        <w:rPr>
          <w:rFonts w:hint="eastAsia" w:ascii="仿宋" w:hAnsi="仿宋" w:eastAsia="仿宋" w:cs="仿宋"/>
          <w:i w:val="0"/>
          <w:iCs w:val="0"/>
          <w:color w:val="auto"/>
          <w:spacing w:val="8"/>
          <w:kern w:val="0"/>
          <w:sz w:val="28"/>
          <w:szCs w:val="28"/>
          <w:highlight w:val="none"/>
          <w:lang w:val="en-US" w:eastAsia="zh-CN"/>
        </w:rPr>
        <w:t>2.服务单位自有或长期租赁仓库，具备分类存储和防雨防潮条件。自有或长期合作运输车辆不少于1辆，能保证紧急配送。</w:t>
      </w:r>
    </w:p>
    <w:p w14:paraId="6E7EA234">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eastAsia" w:ascii="仿宋" w:hAnsi="仿宋" w:eastAsia="仿宋" w:cs="仿宋"/>
          <w:i w:val="0"/>
          <w:iCs w:val="0"/>
          <w:color w:val="auto"/>
          <w:spacing w:val="8"/>
          <w:kern w:val="0"/>
          <w:sz w:val="28"/>
          <w:szCs w:val="28"/>
          <w:highlight w:val="none"/>
          <w:lang w:val="en-US" w:eastAsia="zh-CN"/>
        </w:rPr>
      </w:pPr>
      <w:r>
        <w:rPr>
          <w:rFonts w:hint="eastAsia" w:ascii="仿宋" w:hAnsi="仿宋" w:eastAsia="仿宋" w:cs="仿宋"/>
          <w:i w:val="0"/>
          <w:iCs w:val="0"/>
          <w:color w:val="auto"/>
          <w:spacing w:val="8"/>
          <w:kern w:val="0"/>
          <w:sz w:val="28"/>
          <w:szCs w:val="28"/>
          <w:highlight w:val="none"/>
          <w:lang w:val="en-US" w:eastAsia="zh-CN"/>
        </w:rPr>
        <w:t>3.服务单位应确保服务质量，如果服务单位因自身原因，影响到提供服务时，应当提前通知采购单位，并提交采购单位认同的解决方案，否则由此而造成的损失由服务单位承担。</w:t>
      </w:r>
    </w:p>
    <w:p w14:paraId="4579F1B0">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eastAsia" w:ascii="仿宋" w:hAnsi="仿宋" w:eastAsia="仿宋" w:cs="仿宋"/>
          <w:i w:val="0"/>
          <w:iCs w:val="0"/>
          <w:color w:val="auto"/>
          <w:spacing w:val="8"/>
          <w:kern w:val="0"/>
          <w:sz w:val="28"/>
          <w:szCs w:val="28"/>
          <w:highlight w:val="none"/>
          <w:lang w:val="en-US" w:eastAsia="zh-CN"/>
        </w:rPr>
      </w:pPr>
      <w:r>
        <w:rPr>
          <w:rFonts w:hint="eastAsia" w:ascii="仿宋" w:hAnsi="仿宋" w:eastAsia="仿宋" w:cs="仿宋"/>
          <w:i w:val="0"/>
          <w:iCs w:val="0"/>
          <w:color w:val="auto"/>
          <w:spacing w:val="8"/>
          <w:kern w:val="0"/>
          <w:sz w:val="28"/>
          <w:szCs w:val="28"/>
          <w:highlight w:val="none"/>
          <w:lang w:val="en-US" w:eastAsia="zh-CN"/>
        </w:rPr>
        <w:t>4.对不符合采购单位要求的货物，服务单位须无条件进行退换，全部费用均由服务单位承担。</w:t>
      </w:r>
    </w:p>
    <w:p w14:paraId="55C612CE">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eastAsia" w:ascii="仿宋" w:hAnsi="仿宋" w:eastAsia="仿宋" w:cs="仿宋"/>
          <w:i w:val="0"/>
          <w:iCs w:val="0"/>
          <w:color w:val="auto"/>
          <w:spacing w:val="8"/>
          <w:kern w:val="0"/>
          <w:sz w:val="28"/>
          <w:szCs w:val="28"/>
          <w:highlight w:val="none"/>
          <w:lang w:val="en-US" w:eastAsia="zh-CN"/>
        </w:rPr>
      </w:pPr>
      <w:r>
        <w:rPr>
          <w:rFonts w:hint="eastAsia" w:ascii="仿宋" w:hAnsi="仿宋" w:eastAsia="仿宋" w:cs="仿宋"/>
          <w:i w:val="0"/>
          <w:iCs w:val="0"/>
          <w:color w:val="auto"/>
          <w:spacing w:val="8"/>
          <w:kern w:val="0"/>
          <w:sz w:val="28"/>
          <w:szCs w:val="28"/>
          <w:highlight w:val="none"/>
          <w:lang w:val="en-US" w:eastAsia="zh-CN"/>
        </w:rPr>
        <w:t>5.服务单位提供的货物若存在质量问题造成采购单位、采购单位使用人及相关联第三方人身伤亡或财产损失的，服务单位承担由此产生的全部责任和经济损失。</w:t>
      </w:r>
    </w:p>
    <w:p w14:paraId="54A3AD81">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eastAsia" w:ascii="仿宋" w:hAnsi="仿宋" w:eastAsia="仿宋" w:cs="仿宋"/>
          <w:i w:val="0"/>
          <w:iCs w:val="0"/>
          <w:color w:val="auto"/>
          <w:spacing w:val="8"/>
          <w:kern w:val="0"/>
          <w:sz w:val="28"/>
          <w:szCs w:val="28"/>
          <w:highlight w:val="none"/>
          <w:lang w:val="en-US" w:eastAsia="zh-CN"/>
        </w:rPr>
      </w:pPr>
      <w:r>
        <w:rPr>
          <w:rFonts w:hint="eastAsia" w:ascii="仿宋" w:hAnsi="仿宋" w:eastAsia="仿宋" w:cs="仿宋"/>
          <w:i w:val="0"/>
          <w:iCs w:val="0"/>
          <w:color w:val="auto"/>
          <w:spacing w:val="8"/>
          <w:kern w:val="0"/>
          <w:sz w:val="28"/>
          <w:szCs w:val="28"/>
          <w:highlight w:val="none"/>
          <w:lang w:val="en-US" w:eastAsia="zh-CN"/>
        </w:rPr>
        <w:t>6.服务单位须保障采购单位及最终用户在使用其货物、服务及其它任何部分不受到第三方关于侵犯专利、商标和设计权等一切可能的知识产权侵权的指控。</w:t>
      </w:r>
    </w:p>
    <w:p w14:paraId="4B3843AC">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eastAsia" w:ascii="仿宋" w:hAnsi="仿宋" w:eastAsia="仿宋" w:cs="仿宋"/>
          <w:i w:val="0"/>
          <w:iCs w:val="0"/>
          <w:color w:val="auto"/>
          <w:spacing w:val="8"/>
          <w:kern w:val="0"/>
          <w:sz w:val="28"/>
          <w:szCs w:val="28"/>
          <w:highlight w:val="none"/>
          <w:lang w:val="en-US" w:eastAsia="zh-CN"/>
        </w:rPr>
      </w:pPr>
      <w:r>
        <w:rPr>
          <w:rFonts w:hint="eastAsia" w:ascii="仿宋" w:hAnsi="仿宋" w:eastAsia="仿宋" w:cs="仿宋"/>
          <w:i w:val="0"/>
          <w:iCs w:val="0"/>
          <w:color w:val="auto"/>
          <w:spacing w:val="8"/>
          <w:kern w:val="0"/>
          <w:sz w:val="28"/>
          <w:szCs w:val="28"/>
          <w:highlight w:val="none"/>
          <w:lang w:val="en-US" w:eastAsia="zh-CN"/>
        </w:rPr>
        <w:t>7.服务单位必须按照采购单位的要求提供货品，不得随意更换品牌、规格、数量，没有订单的货品，验收人员有权拒绝收货。</w:t>
      </w:r>
    </w:p>
    <w:p w14:paraId="1D2E8FC8">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eastAsia" w:ascii="仿宋" w:hAnsi="仿宋" w:eastAsia="仿宋" w:cs="仿宋"/>
          <w:i w:val="0"/>
          <w:iCs w:val="0"/>
          <w:color w:val="auto"/>
          <w:spacing w:val="8"/>
          <w:kern w:val="0"/>
          <w:sz w:val="28"/>
          <w:szCs w:val="28"/>
          <w:highlight w:val="none"/>
          <w:lang w:val="en-US" w:eastAsia="zh-CN"/>
        </w:rPr>
      </w:pPr>
      <w:r>
        <w:rPr>
          <w:rFonts w:hint="eastAsia" w:ascii="仿宋" w:hAnsi="仿宋" w:eastAsia="仿宋" w:cs="仿宋"/>
          <w:i w:val="0"/>
          <w:iCs w:val="0"/>
          <w:color w:val="auto"/>
          <w:spacing w:val="8"/>
          <w:kern w:val="0"/>
          <w:sz w:val="28"/>
          <w:szCs w:val="28"/>
          <w:highlight w:val="none"/>
          <w:lang w:val="en-US" w:eastAsia="zh-CN"/>
        </w:rPr>
        <w:t>8.服务单位不得以没有库存不进行报价，应对采购单位需求的货品进行市场询价并报价，若服务单位多次出现货品不全的情况，采购单位有权解除合同。</w:t>
      </w:r>
    </w:p>
    <w:p w14:paraId="04B7E772">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eastAsia" w:ascii="仿宋" w:hAnsi="仿宋" w:eastAsia="仿宋" w:cs="仿宋"/>
          <w:i w:val="0"/>
          <w:iCs w:val="0"/>
          <w:color w:val="auto"/>
          <w:spacing w:val="8"/>
          <w:kern w:val="0"/>
          <w:sz w:val="28"/>
          <w:szCs w:val="28"/>
          <w:highlight w:val="none"/>
          <w:lang w:val="en-US" w:eastAsia="zh-CN"/>
        </w:rPr>
      </w:pPr>
      <w:r>
        <w:rPr>
          <w:rFonts w:hint="eastAsia" w:ascii="仿宋" w:hAnsi="仿宋" w:eastAsia="仿宋" w:cs="仿宋"/>
          <w:i w:val="0"/>
          <w:iCs w:val="0"/>
          <w:color w:val="auto"/>
          <w:spacing w:val="8"/>
          <w:kern w:val="0"/>
          <w:sz w:val="28"/>
          <w:szCs w:val="28"/>
          <w:highlight w:val="none"/>
          <w:lang w:val="en-US" w:eastAsia="zh-CN"/>
        </w:rPr>
        <w:t>9.服务单位应与采购单位进行账单核对，服务单位应定期对账，对有误差的部分应及时查明并及时处理，若因服务单位原因导致的订单丢失，采购单位未记账等情况，由服务单位承担损失，采购单位不承担责任不对此部分订单进行更改，此部分订单不予付款。</w:t>
      </w:r>
    </w:p>
    <w:p w14:paraId="6C24B71C">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eastAsia" w:ascii="仿宋" w:hAnsi="仿宋" w:eastAsia="仿宋" w:cs="仿宋"/>
          <w:i w:val="0"/>
          <w:iCs w:val="0"/>
          <w:color w:val="auto"/>
          <w:spacing w:val="8"/>
          <w:kern w:val="0"/>
          <w:sz w:val="28"/>
          <w:szCs w:val="28"/>
          <w:highlight w:val="none"/>
          <w:lang w:val="en-US" w:eastAsia="zh-CN"/>
        </w:rPr>
      </w:pPr>
      <w:r>
        <w:rPr>
          <w:rFonts w:hint="eastAsia" w:ascii="仿宋" w:hAnsi="仿宋" w:eastAsia="仿宋" w:cs="仿宋"/>
          <w:i w:val="0"/>
          <w:iCs w:val="0"/>
          <w:color w:val="auto"/>
          <w:spacing w:val="8"/>
          <w:kern w:val="0"/>
          <w:sz w:val="28"/>
          <w:szCs w:val="28"/>
          <w:highlight w:val="none"/>
          <w:lang w:val="en-US" w:eastAsia="zh-CN"/>
        </w:rPr>
        <w:t>10.采购单位对服务单位采取定期考核制，</w:t>
      </w:r>
      <w:r>
        <w:rPr>
          <w:rFonts w:hint="default" w:ascii="仿宋" w:hAnsi="仿宋" w:eastAsia="仿宋" w:cs="仿宋"/>
          <w:i w:val="0"/>
          <w:iCs w:val="0"/>
          <w:color w:val="auto"/>
          <w:spacing w:val="8"/>
          <w:kern w:val="0"/>
          <w:sz w:val="28"/>
          <w:szCs w:val="28"/>
          <w:highlight w:val="none"/>
          <w:lang w:val="en-US" w:eastAsia="zh-CN"/>
        </w:rPr>
        <w:t>根据服务质量、供货速度等方面对</w:t>
      </w:r>
      <w:r>
        <w:rPr>
          <w:rFonts w:hint="eastAsia" w:ascii="仿宋" w:hAnsi="仿宋" w:eastAsia="仿宋" w:cs="仿宋"/>
          <w:i w:val="0"/>
          <w:iCs w:val="0"/>
          <w:color w:val="auto"/>
          <w:spacing w:val="8"/>
          <w:kern w:val="0"/>
          <w:sz w:val="28"/>
          <w:szCs w:val="28"/>
          <w:highlight w:val="none"/>
          <w:lang w:val="en-US" w:eastAsia="zh-CN"/>
        </w:rPr>
        <w:t>服务</w:t>
      </w:r>
      <w:r>
        <w:rPr>
          <w:rFonts w:hint="default" w:ascii="仿宋" w:hAnsi="仿宋" w:eastAsia="仿宋" w:cs="仿宋"/>
          <w:i w:val="0"/>
          <w:iCs w:val="0"/>
          <w:color w:val="auto"/>
          <w:spacing w:val="8"/>
          <w:kern w:val="0"/>
          <w:sz w:val="28"/>
          <w:szCs w:val="28"/>
          <w:highlight w:val="none"/>
          <w:lang w:val="en-US" w:eastAsia="zh-CN"/>
        </w:rPr>
        <w:t>单位进行考核</w:t>
      </w:r>
      <w:r>
        <w:rPr>
          <w:rFonts w:hint="eastAsia" w:ascii="仿宋" w:hAnsi="仿宋" w:eastAsia="仿宋" w:cs="仿宋"/>
          <w:i w:val="0"/>
          <w:iCs w:val="0"/>
          <w:color w:val="auto"/>
          <w:spacing w:val="8"/>
          <w:kern w:val="0"/>
          <w:sz w:val="28"/>
          <w:szCs w:val="28"/>
          <w:highlight w:val="none"/>
          <w:lang w:val="en-US" w:eastAsia="zh-CN"/>
        </w:rPr>
        <w:t>打分，以季度为周期，考核得分80分以上为合格，对于评分不合格或出现货品质量等问题的服务单位采购单位有权暂停其供货资格及解除合同。给采购单位造成损失或不良影响的，服务单位需予以赔偿或消除影响。</w:t>
      </w:r>
    </w:p>
    <w:p w14:paraId="342001BA">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default" w:ascii="仿宋" w:hAnsi="仿宋" w:eastAsia="仿宋" w:cs="仿宋"/>
          <w:i w:val="0"/>
          <w:iCs w:val="0"/>
          <w:color w:val="auto"/>
          <w:spacing w:val="8"/>
          <w:kern w:val="0"/>
          <w:sz w:val="28"/>
          <w:szCs w:val="28"/>
          <w:highlight w:val="none"/>
          <w:lang w:val="en-US" w:eastAsia="zh-CN"/>
        </w:rPr>
      </w:pPr>
      <w:r>
        <w:rPr>
          <w:rFonts w:hint="eastAsia" w:ascii="仿宋" w:hAnsi="仿宋" w:eastAsia="仿宋" w:cs="仿宋"/>
          <w:i w:val="0"/>
          <w:iCs w:val="0"/>
          <w:color w:val="auto"/>
          <w:spacing w:val="8"/>
          <w:kern w:val="0"/>
          <w:sz w:val="28"/>
          <w:szCs w:val="28"/>
          <w:highlight w:val="none"/>
          <w:lang w:val="en-US" w:eastAsia="zh-CN"/>
        </w:rPr>
        <w:t>以上条款服务单位有违约项，采购单位有权对服务单位暂停其供货资格及解除合同，采购单位无需承担任何费用及其他法律责任。</w:t>
      </w:r>
    </w:p>
    <w:p w14:paraId="21A246AA">
      <w:pPr>
        <w:keepNext w:val="0"/>
        <w:keepLines w:val="0"/>
        <w:pageBreakBefore w:val="0"/>
        <w:kinsoku/>
        <w:wordWrap/>
        <w:overflowPunct/>
        <w:topLinePunct/>
        <w:autoSpaceDE/>
        <w:autoSpaceDN/>
        <w:bidi w:val="0"/>
        <w:snapToGrid/>
        <w:spacing w:line="520" w:lineRule="exact"/>
        <w:textAlignment w:val="auto"/>
        <w:outlineLvl w:val="1"/>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五、合作方式与计费说明</w:t>
      </w:r>
    </w:p>
    <w:p w14:paraId="10639E5E">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eastAsia" w:ascii="仿宋" w:hAnsi="仿宋" w:eastAsia="仿宋" w:cs="仿宋"/>
          <w:i w:val="0"/>
          <w:iCs w:val="0"/>
          <w:color w:val="auto"/>
          <w:spacing w:val="8"/>
          <w:kern w:val="0"/>
          <w:sz w:val="28"/>
          <w:szCs w:val="28"/>
          <w:highlight w:val="none"/>
          <w:lang w:val="en-US" w:eastAsia="zh-CN"/>
        </w:rPr>
      </w:pPr>
      <w:r>
        <w:rPr>
          <w:rFonts w:hint="eastAsia" w:ascii="仿宋" w:hAnsi="仿宋" w:eastAsia="仿宋" w:cs="仿宋"/>
          <w:i w:val="0"/>
          <w:iCs w:val="0"/>
          <w:color w:val="auto"/>
          <w:spacing w:val="8"/>
          <w:kern w:val="0"/>
          <w:sz w:val="28"/>
          <w:szCs w:val="28"/>
          <w:highlight w:val="none"/>
          <w:lang w:val="en-US" w:eastAsia="zh-CN"/>
        </w:rPr>
        <w:t>1.合作方式</w:t>
      </w:r>
      <w:r>
        <w:rPr>
          <w:rFonts w:hint="default" w:ascii="仿宋" w:hAnsi="仿宋" w:eastAsia="仿宋" w:cs="仿宋"/>
          <w:i w:val="0"/>
          <w:iCs w:val="0"/>
          <w:color w:val="auto"/>
          <w:spacing w:val="8"/>
          <w:kern w:val="0"/>
          <w:sz w:val="28"/>
          <w:szCs w:val="28"/>
          <w:highlight w:val="none"/>
          <w:lang w:val="en-US" w:eastAsia="zh-CN"/>
        </w:rPr>
        <w:t>：本次入库仅代表具备合作资格，不承诺具体业务量。</w:t>
      </w:r>
      <w:r>
        <w:rPr>
          <w:rFonts w:hint="eastAsia" w:ascii="仿宋" w:hAnsi="仿宋" w:eastAsia="仿宋" w:cs="仿宋"/>
          <w:i w:val="0"/>
          <w:iCs w:val="0"/>
          <w:color w:val="auto"/>
          <w:spacing w:val="8"/>
          <w:kern w:val="0"/>
          <w:sz w:val="28"/>
          <w:szCs w:val="28"/>
          <w:highlight w:val="none"/>
          <w:lang w:val="en-US" w:eastAsia="zh-CN"/>
        </w:rPr>
        <w:t>费用按实际发生据实结算。配送价格应包含所有费用。</w:t>
      </w:r>
    </w:p>
    <w:p w14:paraId="76F32771">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default" w:ascii="仿宋" w:hAnsi="仿宋" w:eastAsia="仿宋" w:cs="仿宋"/>
          <w:i w:val="0"/>
          <w:iCs w:val="0"/>
          <w:color w:val="auto"/>
          <w:spacing w:val="8"/>
          <w:kern w:val="0"/>
          <w:sz w:val="28"/>
          <w:szCs w:val="28"/>
          <w:highlight w:val="none"/>
          <w:lang w:val="en-US" w:eastAsia="zh-CN"/>
        </w:rPr>
      </w:pPr>
      <w:r>
        <w:rPr>
          <w:rFonts w:hint="eastAsia" w:ascii="仿宋" w:hAnsi="仿宋" w:eastAsia="仿宋" w:cs="仿宋"/>
          <w:i w:val="0"/>
          <w:iCs w:val="0"/>
          <w:color w:val="auto"/>
          <w:spacing w:val="8"/>
          <w:kern w:val="0"/>
          <w:sz w:val="28"/>
          <w:szCs w:val="28"/>
          <w:highlight w:val="none"/>
          <w:lang w:val="en-US" w:eastAsia="zh-CN"/>
        </w:rPr>
        <w:t>采购单位将采购需求以采购单的形式发至服务单位，服务单位应2小时内对采购需求进行报价，报价最低的服务单位即为本项需求的供货服务单位。未能对采购需求做到及时响应的行为将列入服务单位考核中，月内超三次次未对需求响应的服务单位，采购单位有权解除合同。</w:t>
      </w:r>
    </w:p>
    <w:p w14:paraId="108E45F1">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default" w:ascii="仿宋" w:hAnsi="仿宋" w:eastAsia="仿宋" w:cs="仿宋"/>
          <w:i w:val="0"/>
          <w:iCs w:val="0"/>
          <w:color w:val="auto"/>
          <w:spacing w:val="8"/>
          <w:kern w:val="0"/>
          <w:sz w:val="28"/>
          <w:szCs w:val="28"/>
          <w:highlight w:val="none"/>
          <w:lang w:val="en-US" w:eastAsia="zh-CN"/>
        </w:rPr>
      </w:pPr>
      <w:r>
        <w:rPr>
          <w:rFonts w:hint="eastAsia" w:ascii="仿宋" w:hAnsi="仿宋" w:eastAsia="仿宋" w:cs="仿宋"/>
          <w:i w:val="0"/>
          <w:iCs w:val="0"/>
          <w:color w:val="auto"/>
          <w:spacing w:val="8"/>
          <w:kern w:val="0"/>
          <w:sz w:val="28"/>
          <w:szCs w:val="28"/>
          <w:highlight w:val="none"/>
          <w:lang w:val="en-US" w:eastAsia="zh-CN"/>
        </w:rPr>
        <w:t>2.</w:t>
      </w:r>
      <w:r>
        <w:rPr>
          <w:rFonts w:hint="default" w:ascii="仿宋" w:hAnsi="仿宋" w:eastAsia="仿宋" w:cs="仿宋"/>
          <w:i w:val="0"/>
          <w:iCs w:val="0"/>
          <w:color w:val="auto"/>
          <w:spacing w:val="8"/>
          <w:kern w:val="0"/>
          <w:sz w:val="28"/>
          <w:szCs w:val="28"/>
          <w:highlight w:val="none"/>
          <w:lang w:val="en-US" w:eastAsia="zh-CN"/>
        </w:rPr>
        <w:t>服务期限：</w:t>
      </w:r>
      <w:r>
        <w:rPr>
          <w:rFonts w:hint="eastAsia" w:ascii="仿宋" w:hAnsi="仿宋" w:eastAsia="仿宋" w:cs="仿宋"/>
          <w:i w:val="0"/>
          <w:iCs w:val="0"/>
          <w:color w:val="auto"/>
          <w:spacing w:val="8"/>
          <w:kern w:val="0"/>
          <w:sz w:val="28"/>
          <w:szCs w:val="28"/>
          <w:highlight w:val="none"/>
          <w:lang w:val="en-US" w:eastAsia="zh-CN"/>
        </w:rPr>
        <w:t>自合同签订之日起1年。服务期满后由采购单位根据对服务单位的考核情况决定是否续签服务合同。</w:t>
      </w:r>
    </w:p>
    <w:p w14:paraId="130CCFA7">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eastAsia" w:ascii="仿宋" w:hAnsi="仿宋" w:eastAsia="仿宋" w:cs="仿宋"/>
          <w:i w:val="0"/>
          <w:iCs w:val="0"/>
          <w:color w:val="auto"/>
          <w:spacing w:val="8"/>
          <w:kern w:val="0"/>
          <w:sz w:val="28"/>
          <w:szCs w:val="28"/>
          <w:highlight w:val="none"/>
          <w:lang w:val="en-US" w:eastAsia="zh-CN"/>
        </w:rPr>
      </w:pPr>
      <w:r>
        <w:rPr>
          <w:rFonts w:hint="eastAsia" w:ascii="仿宋" w:hAnsi="仿宋" w:eastAsia="仿宋" w:cs="仿宋"/>
          <w:i w:val="0"/>
          <w:iCs w:val="0"/>
          <w:color w:val="auto"/>
          <w:spacing w:val="8"/>
          <w:kern w:val="0"/>
          <w:sz w:val="28"/>
          <w:szCs w:val="28"/>
          <w:highlight w:val="none"/>
          <w:lang w:val="en-US" w:eastAsia="zh-CN"/>
        </w:rPr>
        <w:t>3.付款方式：根据具体项目合同约定，通常为验收合格后一次性结算或按批次据实结算。</w:t>
      </w:r>
    </w:p>
    <w:p w14:paraId="42D606AB">
      <w:pPr>
        <w:keepNext w:val="0"/>
        <w:keepLines w:val="0"/>
        <w:pageBreakBefore w:val="0"/>
        <w:kinsoku/>
        <w:wordWrap/>
        <w:overflowPunct/>
        <w:topLinePunct/>
        <w:autoSpaceDE/>
        <w:autoSpaceDN/>
        <w:bidi w:val="0"/>
        <w:snapToGrid/>
        <w:spacing w:line="520" w:lineRule="exact"/>
        <w:textAlignment w:val="auto"/>
        <w:outlineLvl w:val="1"/>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六、选定数量</w:t>
      </w:r>
    </w:p>
    <w:p w14:paraId="64BAFE09">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eastAsia" w:ascii="仿宋" w:hAnsi="仿宋" w:eastAsia="仿宋" w:cs="仿宋"/>
          <w:i w:val="0"/>
          <w:iCs w:val="0"/>
          <w:color w:val="auto"/>
          <w:spacing w:val="8"/>
          <w:kern w:val="0"/>
          <w:sz w:val="28"/>
          <w:szCs w:val="28"/>
          <w:highlight w:val="none"/>
          <w:lang w:val="en-US" w:eastAsia="zh-CN"/>
        </w:rPr>
      </w:pPr>
      <w:r>
        <w:rPr>
          <w:rFonts w:hint="eastAsia" w:ascii="仿宋" w:hAnsi="仿宋" w:eastAsia="仿宋" w:cs="仿宋"/>
          <w:i w:val="0"/>
          <w:iCs w:val="0"/>
          <w:color w:val="auto"/>
          <w:spacing w:val="8"/>
          <w:kern w:val="0"/>
          <w:sz w:val="28"/>
          <w:szCs w:val="28"/>
          <w:highlight w:val="none"/>
          <w:lang w:val="en-US" w:eastAsia="zh-CN"/>
        </w:rPr>
        <w:t>综合得分由高到低的顺序确定2家为中标服务单位。</w:t>
      </w:r>
    </w:p>
    <w:p w14:paraId="14E7A539">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default" w:ascii="仿宋" w:hAnsi="仿宋" w:eastAsia="仿宋" w:cs="仿宋"/>
          <w:i w:val="0"/>
          <w:iCs w:val="0"/>
          <w:color w:val="auto"/>
          <w:spacing w:val="8"/>
          <w:kern w:val="0"/>
          <w:sz w:val="28"/>
          <w:szCs w:val="28"/>
          <w:highlight w:val="none"/>
          <w:lang w:val="en-US" w:eastAsia="zh-CN"/>
        </w:rPr>
      </w:pPr>
      <w:r>
        <w:rPr>
          <w:rFonts w:hint="eastAsia" w:ascii="仿宋" w:hAnsi="仿宋" w:eastAsia="仿宋" w:cs="仿宋"/>
          <w:i w:val="0"/>
          <w:iCs w:val="0"/>
          <w:color w:val="auto"/>
          <w:spacing w:val="8"/>
          <w:kern w:val="0"/>
          <w:sz w:val="28"/>
          <w:szCs w:val="28"/>
          <w:highlight w:val="none"/>
          <w:lang w:val="en-US" w:eastAsia="zh-CN"/>
        </w:rPr>
        <w:t>对于综合得分排序在前的服务单位，采购单位有权在任何时间和情况下对其提供的人员、设备、业绩、证书及办公场所等进行核实检查，核实检查方式包括函证、现场查询等方式，如服务单位提供虚假资料，将取消其中标资格。</w:t>
      </w:r>
    </w:p>
    <w:p w14:paraId="155F35D9">
      <w:pPr>
        <w:pStyle w:val="23"/>
        <w:keepNext w:val="0"/>
        <w:keepLines w:val="0"/>
        <w:pageBreakBefore w:val="0"/>
        <w:kinsoku/>
        <w:overflowPunct/>
        <w:autoSpaceDE/>
        <w:autoSpaceDN/>
        <w:bidi w:val="0"/>
        <w:rPr>
          <w:rFonts w:hint="eastAsia"/>
          <w:lang w:val="en-US" w:eastAsia="zh-CN"/>
        </w:rPr>
      </w:pPr>
    </w:p>
    <w:p w14:paraId="1B6A277C">
      <w:pPr>
        <w:keepNext w:val="0"/>
        <w:keepLines w:val="0"/>
        <w:pageBreakBefore w:val="0"/>
        <w:widowControl/>
        <w:kinsoku/>
        <w:wordWrap w:val="0"/>
        <w:overflowPunct/>
        <w:topLinePunct/>
        <w:autoSpaceDE/>
        <w:autoSpaceDN/>
        <w:bidi w:val="0"/>
        <w:adjustRightInd w:val="0"/>
        <w:snapToGrid/>
        <w:spacing w:line="520" w:lineRule="exact"/>
        <w:ind w:firstLine="592" w:firstLineChars="200"/>
        <w:jc w:val="left"/>
        <w:textAlignment w:val="auto"/>
        <w:rPr>
          <w:rFonts w:hint="eastAsia" w:ascii="仿宋" w:hAnsi="仿宋" w:eastAsia="仿宋" w:cs="仿宋"/>
          <w:i w:val="0"/>
          <w:iCs w:val="0"/>
          <w:color w:val="auto"/>
          <w:spacing w:val="8"/>
          <w:kern w:val="0"/>
          <w:sz w:val="28"/>
          <w:szCs w:val="28"/>
          <w:highlight w:val="none"/>
          <w:lang w:val="en-US" w:eastAsia="zh-CN"/>
        </w:rPr>
        <w:sectPr>
          <w:pgSz w:w="11906" w:h="16838"/>
          <w:pgMar w:top="1280" w:right="1142" w:bottom="1118" w:left="1324" w:header="454" w:footer="680" w:gutter="0"/>
          <w:pgNumType w:fmt="decimal"/>
          <w:cols w:space="0" w:num="1"/>
          <w:docGrid w:linePitch="312" w:charSpace="0"/>
        </w:sectPr>
      </w:pPr>
    </w:p>
    <w:p w14:paraId="41FEAD97">
      <w:pPr>
        <w:pStyle w:val="24"/>
        <w:keepNext w:val="0"/>
        <w:keepLines w:val="0"/>
        <w:pageBreakBefore w:val="0"/>
        <w:numPr>
          <w:ilvl w:val="0"/>
          <w:numId w:val="0"/>
        </w:numPr>
        <w:kinsoku/>
        <w:overflowPunct/>
        <w:topLinePunct/>
        <w:autoSpaceDE/>
        <w:autoSpaceDN/>
        <w:bidi w:val="0"/>
        <w:spacing w:before="100" w:beforeAutospacing="1" w:after="100" w:afterAutospacing="1" w:line="240" w:lineRule="auto"/>
        <w:ind w:left="1440" w:leftChars="0" w:hanging="1440" w:firstLineChars="0"/>
        <w:jc w:val="center"/>
        <w:textAlignment w:val="auto"/>
        <w:rPr>
          <w:rFonts w:hint="eastAsia" w:ascii="仿宋" w:hAnsi="仿宋" w:eastAsia="仿宋" w:cs="仿宋"/>
          <w:b/>
          <w:bCs/>
          <w:color w:val="auto"/>
          <w:kern w:val="0"/>
          <w:sz w:val="48"/>
          <w:szCs w:val="48"/>
          <w:highlight w:val="none"/>
          <w:lang w:val="en-US" w:eastAsia="zh-CN" w:bidi="ar-SA"/>
        </w:rPr>
      </w:pPr>
      <w:bookmarkStart w:id="20" w:name="_Toc6837"/>
      <w:r>
        <w:rPr>
          <w:rFonts w:hint="eastAsia" w:ascii="仿宋" w:hAnsi="仿宋" w:eastAsia="仿宋" w:cs="仿宋"/>
          <w:b/>
          <w:bCs/>
          <w:color w:val="auto"/>
          <w:kern w:val="0"/>
          <w:sz w:val="48"/>
          <w:szCs w:val="48"/>
          <w:highlight w:val="none"/>
          <w:lang w:val="en-US" w:eastAsia="zh-CN" w:bidi="ar-SA"/>
        </w:rPr>
        <w:t xml:space="preserve">第四章 </w:t>
      </w:r>
      <w:bookmarkEnd w:id="20"/>
      <w:r>
        <w:rPr>
          <w:rFonts w:hint="eastAsia" w:ascii="仿宋" w:hAnsi="仿宋" w:eastAsia="仿宋" w:cs="仿宋"/>
          <w:b/>
          <w:bCs/>
          <w:color w:val="auto"/>
          <w:kern w:val="0"/>
          <w:sz w:val="48"/>
          <w:szCs w:val="48"/>
          <w:highlight w:val="none"/>
          <w:lang w:val="en-US" w:eastAsia="zh-CN" w:bidi="ar-SA"/>
        </w:rPr>
        <w:t>评标原则、程序与方法</w:t>
      </w:r>
    </w:p>
    <w:p w14:paraId="20C53682">
      <w:pPr>
        <w:keepNext w:val="0"/>
        <w:keepLines w:val="0"/>
        <w:pageBreakBefore w:val="0"/>
        <w:widowControl w:val="0"/>
        <w:kinsoku/>
        <w:wordWrap/>
        <w:overflowPunct/>
        <w:topLinePunct/>
        <w:autoSpaceDE/>
        <w:autoSpaceDN/>
        <w:bidi w:val="0"/>
        <w:adjustRightInd/>
        <w:snapToGrid/>
        <w:spacing w:line="520" w:lineRule="exact"/>
        <w:textAlignment w:val="auto"/>
        <w:outlineLvl w:val="1"/>
        <w:rPr>
          <w:rFonts w:hint="eastAsia" w:ascii="仿宋" w:hAnsi="仿宋" w:eastAsia="仿宋" w:cs="仿宋"/>
          <w:b/>
          <w:bCs/>
          <w:color w:val="auto"/>
          <w:sz w:val="28"/>
          <w:szCs w:val="28"/>
          <w:highlight w:val="none"/>
          <w:lang w:val="en-US" w:eastAsia="zh-CN"/>
        </w:rPr>
      </w:pPr>
      <w:bookmarkStart w:id="21" w:name="_Toc4343"/>
      <w:r>
        <w:rPr>
          <w:rFonts w:hint="eastAsia" w:ascii="仿宋" w:hAnsi="仿宋" w:eastAsia="仿宋" w:cs="仿宋"/>
          <w:b/>
          <w:bCs/>
          <w:color w:val="auto"/>
          <w:sz w:val="28"/>
          <w:szCs w:val="28"/>
          <w:highlight w:val="none"/>
          <w:lang w:val="en-US" w:eastAsia="zh-CN"/>
        </w:rPr>
        <w:t>一、评审原则</w:t>
      </w:r>
      <w:bookmarkEnd w:id="21"/>
    </w:p>
    <w:p w14:paraId="3802AA31">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“公平、公正、科学、择优”为本次评标的基本原则，评标委员会将按照这一原则的要求，公正、平等地对待各投标人，同时，在评标时恪守以下原则：</w:t>
      </w:r>
    </w:p>
    <w:p w14:paraId="4536CA03">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客观性原则：评标委员会将严格按照招标文件的要求，对投标人的投标文件进行认真评审，评标委员会对投标文件的评审仅依据投标文件本身，而不依靠投标文件以外的任何因素。</w:t>
      </w:r>
    </w:p>
    <w:p w14:paraId="021F84E8">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统一性原则：评标委员会将按照统一的评标原则和评标方法，采用统一标准进行评标。</w:t>
      </w:r>
    </w:p>
    <w:p w14:paraId="45DD178E">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独立性原则：评标工作在评标委员会内部独立进行，不受外界任何因素的干扰和影响。</w:t>
      </w:r>
    </w:p>
    <w:p w14:paraId="45A7BA44">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保密性原则：评标委员会及熟知情况的有关工作人员必须对每位评委的评标意见和投标人的商业秘密严格保密，不得外泄。</w:t>
      </w:r>
    </w:p>
    <w:p w14:paraId="7078E2F7">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综合性原则：评标委员会将综合分析、评审投标人的各项指标，而不以单项指标的优劣评定出中标人。</w:t>
      </w:r>
    </w:p>
    <w:p w14:paraId="674E9D6E">
      <w:pPr>
        <w:keepNext w:val="0"/>
        <w:keepLines w:val="0"/>
        <w:pageBreakBefore w:val="0"/>
        <w:widowControl w:val="0"/>
        <w:kinsoku/>
        <w:wordWrap/>
        <w:overflowPunct/>
        <w:topLinePunct/>
        <w:autoSpaceDE/>
        <w:autoSpaceDN/>
        <w:bidi w:val="0"/>
        <w:adjustRightInd/>
        <w:snapToGrid/>
        <w:spacing w:line="520" w:lineRule="exact"/>
        <w:textAlignment w:val="auto"/>
        <w:outlineLvl w:val="1"/>
        <w:rPr>
          <w:rFonts w:hint="eastAsia" w:ascii="仿宋" w:hAnsi="仿宋" w:eastAsia="仿宋" w:cs="仿宋"/>
          <w:b/>
          <w:bCs/>
          <w:color w:val="auto"/>
          <w:sz w:val="28"/>
          <w:szCs w:val="28"/>
          <w:highlight w:val="none"/>
          <w:lang w:val="en-US" w:eastAsia="zh-CN"/>
        </w:rPr>
      </w:pPr>
      <w:bookmarkStart w:id="22" w:name="_Toc12323"/>
      <w:r>
        <w:rPr>
          <w:rFonts w:hint="eastAsia" w:ascii="仿宋" w:hAnsi="仿宋" w:eastAsia="仿宋" w:cs="仿宋"/>
          <w:b/>
          <w:bCs/>
          <w:color w:val="auto"/>
          <w:sz w:val="28"/>
          <w:szCs w:val="28"/>
          <w:highlight w:val="none"/>
          <w:lang w:val="en-US" w:eastAsia="zh-CN"/>
        </w:rPr>
        <w:t>二、评标程序</w:t>
      </w:r>
      <w:bookmarkEnd w:id="22"/>
    </w:p>
    <w:p w14:paraId="4D1E7957">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评标委员会将按照招标文件的规定对投标文件进行资格性和符合性审查，以确定投标文件的有效性。</w:t>
      </w:r>
    </w:p>
    <w:p w14:paraId="6C87824E">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出现下列情形之一的，视为对招标文件未做出实质性响应，按照无效投标处理。</w:t>
      </w:r>
    </w:p>
    <w:p w14:paraId="29639DFA">
      <w:pPr>
        <w:keepNext w:val="0"/>
        <w:keepLines w:val="0"/>
        <w:pageBreakBefore w:val="0"/>
        <w:widowControl w:val="0"/>
        <w:kinsoku/>
        <w:wordWrap/>
        <w:overflowPunct/>
        <w:topLinePunct/>
        <w:autoSpaceDE/>
        <w:autoSpaceDN/>
        <w:bidi w:val="0"/>
        <w:adjustRightInd/>
        <w:snapToGrid w:val="0"/>
        <w:spacing w:line="520" w:lineRule="exact"/>
        <w:ind w:firstLine="565" w:firstLineChars="201"/>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详见《投标须知前附表》-《实质性条款一览表》中检查条款。</w:t>
      </w:r>
    </w:p>
    <w:p w14:paraId="43098C9D">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属于无效投标的，投标人不能通过修正或撤消投标文件中不符合之处而成为实质性响应的投标，招标代理机构将通知投标人，并说明无效投标理由；属于有效投标文件的，将进行下一轮次的询标和澄清。</w:t>
      </w:r>
    </w:p>
    <w:p w14:paraId="78186BEC">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澄清、说明或者补正</w:t>
      </w:r>
    </w:p>
    <w:p w14:paraId="5C5128D3">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对有效投标文件中含义不明确、同类问题前后表述不一致或者有明显文字和计算错误的内容，评标委员会可以书面形式要求投标人在规定的时间内作出必要的澄清、说明或者纠正，投标人应在要求的时间内以书面形式澄清、说明或者补正,并由其法定代表人或被授权人签字，且不得超出投标文件的范围或者改变投标文件的实质性内容。</w:t>
      </w:r>
    </w:p>
    <w:p w14:paraId="5DDFA2C4">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(2)投标人依据评审要求进行澄清、说明或者补正的内容构成投标文件的组成部分。</w:t>
      </w:r>
    </w:p>
    <w:p w14:paraId="6B8EB42D">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比较与评价</w:t>
      </w:r>
    </w:p>
    <w:p w14:paraId="2BA00C04">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评标委员会按招标文件中规定的评标方法和评标标准对有效投标文件的商务和技术进行评估，综合比较和评价，按综合得分高低列出中标候选人排序表，若总分相同，以报价得分高的排前；若总分、价格得分都相同，则以技术方面得分高的排前。</w:t>
      </w:r>
    </w:p>
    <w:p w14:paraId="0A7B32F7">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出现下列情况之一的，均予以废标</w:t>
      </w:r>
    </w:p>
    <w:p w14:paraId="662E5E83">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(1)合格的投标人或参加投标的企业不足三家的； </w:t>
      </w:r>
    </w:p>
    <w:p w14:paraId="7D877E7A">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(2)出现影响采购公正的违法、违规行为的； </w:t>
      </w:r>
    </w:p>
    <w:p w14:paraId="5EF74C18">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(3)投标人的报价均超过了预算上限价格，</w:t>
      </w:r>
      <w:r>
        <w:rPr>
          <w:rFonts w:hint="eastAsia" w:ascii="仿宋" w:hAnsi="仿宋" w:eastAsia="仿宋" w:cs="仿宋"/>
          <w:color w:val="auto"/>
          <w:sz w:val="28"/>
          <w:szCs w:val="28"/>
          <w:highlight w:val="none"/>
          <w:lang w:eastAsia="zh-CN"/>
        </w:rPr>
        <w:t>招标人</w:t>
      </w:r>
      <w:r>
        <w:rPr>
          <w:rFonts w:hint="eastAsia" w:ascii="仿宋" w:hAnsi="仿宋" w:eastAsia="仿宋" w:cs="仿宋"/>
          <w:color w:val="auto"/>
          <w:sz w:val="28"/>
          <w:szCs w:val="28"/>
          <w:highlight w:val="none"/>
        </w:rPr>
        <w:t xml:space="preserve">不能支付的； </w:t>
      </w:r>
    </w:p>
    <w:p w14:paraId="30123152">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(4)因重大变故，采购任务取消的。 </w:t>
      </w:r>
    </w:p>
    <w:p w14:paraId="3087EC15">
      <w:pPr>
        <w:keepNext w:val="0"/>
        <w:keepLines w:val="0"/>
        <w:pageBreakBefore w:val="0"/>
        <w:widowControl w:val="0"/>
        <w:kinsoku/>
        <w:wordWrap/>
        <w:overflowPunct/>
        <w:topLinePunct/>
        <w:autoSpaceDE/>
        <w:autoSpaceDN/>
        <w:bidi w:val="0"/>
        <w:adjustRightInd/>
        <w:snapToGrid/>
        <w:spacing w:line="520" w:lineRule="exact"/>
        <w:textAlignment w:val="auto"/>
        <w:outlineLvl w:val="1"/>
        <w:rPr>
          <w:rFonts w:hint="eastAsia" w:ascii="仿宋" w:hAnsi="仿宋" w:eastAsia="仿宋" w:cs="仿宋"/>
          <w:b/>
          <w:bCs/>
          <w:color w:val="auto"/>
          <w:sz w:val="28"/>
          <w:szCs w:val="28"/>
          <w:highlight w:val="none"/>
          <w:lang w:val="en-US" w:eastAsia="zh-CN"/>
        </w:rPr>
      </w:pPr>
      <w:bookmarkStart w:id="23" w:name="_Toc6650"/>
      <w:r>
        <w:rPr>
          <w:rFonts w:hint="eastAsia" w:ascii="仿宋" w:hAnsi="仿宋" w:eastAsia="仿宋" w:cs="仿宋"/>
          <w:b/>
          <w:bCs/>
          <w:color w:val="auto"/>
          <w:sz w:val="28"/>
          <w:szCs w:val="28"/>
          <w:highlight w:val="none"/>
          <w:lang w:val="en-US" w:eastAsia="zh-CN"/>
        </w:rPr>
        <w:t>三、评标方法</w:t>
      </w:r>
      <w:bookmarkEnd w:id="23"/>
    </w:p>
    <w:p w14:paraId="79AA9690">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(1)评标方法：综合评分法，即投标人的投标文件满足招标文件全部实质性要求，且按评审因素的量化指标评审得分最高的投标人为中标候选人的评审方法。</w:t>
      </w:r>
    </w:p>
    <w:p w14:paraId="501CDC37">
      <w:pPr>
        <w:keepNext w:val="0"/>
        <w:keepLines w:val="0"/>
        <w:pageBreakBefore w:val="0"/>
        <w:widowControl w:val="0"/>
        <w:kinsoku/>
        <w:wordWrap/>
        <w:overflowPunct/>
        <w:topLinePunct/>
        <w:autoSpaceDE/>
        <w:autoSpaceDN/>
        <w:bidi w:val="0"/>
        <w:adjustRightInd/>
        <w:snapToGrid w:val="0"/>
        <w:spacing w:line="520" w:lineRule="exact"/>
        <w:ind w:firstLine="562" w:firstLineChars="201"/>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(2)评标细则：</w:t>
      </w:r>
    </w:p>
    <w:tbl>
      <w:tblPr>
        <w:tblStyle w:val="26"/>
        <w:tblW w:w="99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57" w:type="dxa"/>
          <w:bottom w:w="0" w:type="dxa"/>
          <w:right w:w="57" w:type="dxa"/>
        </w:tblCellMar>
      </w:tblPr>
      <w:tblGrid>
        <w:gridCol w:w="826"/>
        <w:gridCol w:w="773"/>
        <w:gridCol w:w="1305"/>
        <w:gridCol w:w="5160"/>
        <w:gridCol w:w="1054"/>
        <w:gridCol w:w="791"/>
      </w:tblGrid>
      <w:tr w14:paraId="1FC301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644" w:hRule="atLeast"/>
          <w:jc w:val="center"/>
        </w:trPr>
        <w:tc>
          <w:tcPr>
            <w:tcW w:w="826" w:type="dxa"/>
            <w:shd w:val="clear" w:color="auto" w:fill="D9D9D9"/>
            <w:vAlign w:val="center"/>
          </w:tcPr>
          <w:p w14:paraId="23B8E03D">
            <w:pPr>
              <w:pStyle w:val="7"/>
              <w:keepNext w:val="0"/>
              <w:keepLines w:val="0"/>
              <w:pageBreakBefore w:val="0"/>
              <w:kinsoku/>
              <w:wordWrap/>
              <w:overflowPunct/>
              <w:topLinePunct/>
              <w:autoSpaceDE/>
              <w:autoSpaceDN/>
              <w:bidi w:val="0"/>
              <w:adjustRightInd/>
              <w:snapToGrid/>
              <w:spacing w:line="500" w:lineRule="exact"/>
              <w:ind w:firstLine="0"/>
              <w:jc w:val="center"/>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编号</w:t>
            </w:r>
          </w:p>
        </w:tc>
        <w:tc>
          <w:tcPr>
            <w:tcW w:w="773" w:type="dxa"/>
            <w:shd w:val="clear" w:color="auto" w:fill="D9D9D9"/>
            <w:vAlign w:val="center"/>
          </w:tcPr>
          <w:p w14:paraId="5ABE94B2">
            <w:pPr>
              <w:pStyle w:val="7"/>
              <w:keepNext w:val="0"/>
              <w:keepLines w:val="0"/>
              <w:pageBreakBefore w:val="0"/>
              <w:kinsoku/>
              <w:wordWrap/>
              <w:overflowPunct/>
              <w:topLinePunct/>
              <w:autoSpaceDE/>
              <w:autoSpaceDN/>
              <w:bidi w:val="0"/>
              <w:adjustRightInd/>
              <w:snapToGrid/>
              <w:spacing w:line="500" w:lineRule="exact"/>
              <w:ind w:firstLine="0"/>
              <w:jc w:val="center"/>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类型</w:t>
            </w:r>
          </w:p>
        </w:tc>
        <w:tc>
          <w:tcPr>
            <w:tcW w:w="1305" w:type="dxa"/>
            <w:shd w:val="clear" w:color="auto" w:fill="D9D9D9"/>
            <w:vAlign w:val="center"/>
          </w:tcPr>
          <w:p w14:paraId="58278073">
            <w:pPr>
              <w:pStyle w:val="7"/>
              <w:keepNext w:val="0"/>
              <w:keepLines w:val="0"/>
              <w:pageBreakBefore w:val="0"/>
              <w:kinsoku/>
              <w:wordWrap/>
              <w:overflowPunct/>
              <w:topLinePunct/>
              <w:autoSpaceDE/>
              <w:autoSpaceDN/>
              <w:bidi w:val="0"/>
              <w:adjustRightInd/>
              <w:snapToGrid/>
              <w:spacing w:line="500" w:lineRule="exact"/>
              <w:ind w:firstLine="0"/>
              <w:jc w:val="center"/>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评分标题</w:t>
            </w:r>
          </w:p>
        </w:tc>
        <w:tc>
          <w:tcPr>
            <w:tcW w:w="5160" w:type="dxa"/>
            <w:shd w:val="clear" w:color="auto" w:fill="D9D9D9"/>
            <w:vAlign w:val="center"/>
          </w:tcPr>
          <w:p w14:paraId="72B71150">
            <w:pPr>
              <w:pStyle w:val="7"/>
              <w:keepNext w:val="0"/>
              <w:keepLines w:val="0"/>
              <w:pageBreakBefore w:val="0"/>
              <w:kinsoku/>
              <w:wordWrap/>
              <w:overflowPunct/>
              <w:topLinePunct/>
              <w:autoSpaceDE/>
              <w:autoSpaceDN/>
              <w:bidi w:val="0"/>
              <w:adjustRightInd/>
              <w:snapToGrid/>
              <w:spacing w:line="500" w:lineRule="exact"/>
              <w:ind w:firstLine="0"/>
              <w:jc w:val="center"/>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评分标准</w:t>
            </w:r>
          </w:p>
        </w:tc>
        <w:tc>
          <w:tcPr>
            <w:tcW w:w="1054" w:type="dxa"/>
            <w:shd w:val="clear" w:color="auto" w:fill="D9D9D9"/>
            <w:vAlign w:val="center"/>
          </w:tcPr>
          <w:p w14:paraId="6058040A">
            <w:pPr>
              <w:pStyle w:val="7"/>
              <w:keepNext w:val="0"/>
              <w:keepLines w:val="0"/>
              <w:pageBreakBefore w:val="0"/>
              <w:kinsoku/>
              <w:wordWrap/>
              <w:overflowPunct/>
              <w:topLinePunct/>
              <w:autoSpaceDE/>
              <w:autoSpaceDN/>
              <w:bidi w:val="0"/>
              <w:adjustRightInd/>
              <w:snapToGrid/>
              <w:spacing w:line="500" w:lineRule="exact"/>
              <w:ind w:firstLine="0"/>
              <w:jc w:val="center"/>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性质</w:t>
            </w:r>
          </w:p>
        </w:tc>
        <w:tc>
          <w:tcPr>
            <w:tcW w:w="791" w:type="dxa"/>
            <w:shd w:val="clear" w:color="auto" w:fill="D9D9D9"/>
            <w:vAlign w:val="center"/>
          </w:tcPr>
          <w:p w14:paraId="32C10458">
            <w:pPr>
              <w:pStyle w:val="7"/>
              <w:keepNext w:val="0"/>
              <w:keepLines w:val="0"/>
              <w:pageBreakBefore w:val="0"/>
              <w:kinsoku/>
              <w:wordWrap/>
              <w:overflowPunct/>
              <w:topLinePunct/>
              <w:autoSpaceDE/>
              <w:autoSpaceDN/>
              <w:bidi w:val="0"/>
              <w:adjustRightInd/>
              <w:snapToGrid/>
              <w:spacing w:line="500" w:lineRule="exact"/>
              <w:ind w:firstLine="0"/>
              <w:jc w:val="center"/>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分数</w:t>
            </w:r>
          </w:p>
        </w:tc>
      </w:tr>
      <w:tr w14:paraId="06A2D1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shd w:val="clear" w:color="auto" w:fill="auto"/>
            <w:vAlign w:val="center"/>
          </w:tcPr>
          <w:p w14:paraId="57234289">
            <w:pPr>
              <w:keepNext w:val="0"/>
              <w:keepLines w:val="0"/>
              <w:pageBreakBefore w:val="0"/>
              <w:widowControl w:val="0"/>
              <w:kinsoku/>
              <w:wordWrap/>
              <w:overflowPunct/>
              <w:topLinePunct/>
              <w:autoSpaceDE/>
              <w:autoSpaceDN/>
              <w:bidi w:val="0"/>
              <w:adjustRightInd/>
              <w:snapToGrid/>
              <w:spacing w:line="500" w:lineRule="exact"/>
              <w:ind w:left="0" w:leftChars="0" w:right="0" w:rightChars="0"/>
              <w:jc w:val="center"/>
              <w:textAlignment w:val="auto"/>
              <w:rPr>
                <w:rFonts w:hint="default" w:ascii="仿宋" w:hAnsi="仿宋" w:eastAsia="仿宋" w:cs="仿宋"/>
                <w:color w:val="auto"/>
                <w:spacing w:val="-10"/>
                <w:kern w:val="2"/>
                <w:position w:val="-4"/>
                <w:sz w:val="28"/>
                <w:szCs w:val="28"/>
                <w:highlight w:val="none"/>
                <w:lang w:val="en-US" w:eastAsia="zh-CN" w:bidi="ar-SA"/>
              </w:rPr>
            </w:pPr>
            <w:r>
              <w:rPr>
                <w:rFonts w:hint="eastAsia" w:ascii="仿宋" w:hAnsi="仿宋" w:eastAsia="仿宋" w:cs="仿宋"/>
                <w:color w:val="auto"/>
                <w:spacing w:val="-10"/>
                <w:position w:val="-4"/>
                <w:sz w:val="28"/>
                <w:szCs w:val="28"/>
                <w:highlight w:val="none"/>
                <w:lang w:val="en-US" w:eastAsia="zh-CN"/>
              </w:rPr>
              <w:t>1.01</w:t>
            </w:r>
          </w:p>
        </w:tc>
        <w:tc>
          <w:tcPr>
            <w:tcW w:w="773" w:type="dxa"/>
            <w:shd w:val="clear" w:color="auto" w:fill="auto"/>
            <w:vAlign w:val="center"/>
          </w:tcPr>
          <w:p w14:paraId="1047D0F9">
            <w:pPr>
              <w:keepNext w:val="0"/>
              <w:keepLines w:val="0"/>
              <w:pageBreakBefore w:val="0"/>
              <w:widowControl w:val="0"/>
              <w:kinsoku/>
              <w:wordWrap/>
              <w:overflowPunct/>
              <w:topLinePunct/>
              <w:autoSpaceDE/>
              <w:autoSpaceDN/>
              <w:bidi w:val="0"/>
              <w:adjustRightInd/>
              <w:snapToGrid/>
              <w:spacing w:line="500" w:lineRule="exact"/>
              <w:ind w:left="0" w:leftChars="0" w:right="0" w:rightChars="0"/>
              <w:jc w:val="center"/>
              <w:textAlignment w:val="auto"/>
              <w:rPr>
                <w:rFonts w:hint="eastAsia" w:ascii="仿宋" w:hAnsi="仿宋" w:eastAsia="仿宋" w:cs="仿宋"/>
                <w:color w:val="auto"/>
                <w:spacing w:val="-10"/>
                <w:kern w:val="2"/>
                <w:position w:val="-4"/>
                <w:sz w:val="28"/>
                <w:szCs w:val="28"/>
                <w:highlight w:val="none"/>
                <w:lang w:val="en-US" w:eastAsia="zh-CN" w:bidi="ar-SA"/>
              </w:rPr>
            </w:pPr>
            <w:r>
              <w:rPr>
                <w:rFonts w:hint="eastAsia" w:ascii="仿宋" w:hAnsi="仿宋" w:eastAsia="仿宋" w:cs="仿宋"/>
                <w:color w:val="auto"/>
                <w:sz w:val="28"/>
                <w:szCs w:val="28"/>
                <w:highlight w:val="none"/>
              </w:rPr>
              <w:t>商务</w:t>
            </w:r>
          </w:p>
        </w:tc>
        <w:tc>
          <w:tcPr>
            <w:tcW w:w="1305" w:type="dxa"/>
            <w:shd w:val="clear" w:color="auto" w:fill="auto"/>
            <w:vAlign w:val="center"/>
          </w:tcPr>
          <w:p w14:paraId="4BA63C6C">
            <w:pPr>
              <w:pStyle w:val="7"/>
              <w:keepNext w:val="0"/>
              <w:keepLines w:val="0"/>
              <w:pageBreakBefore w:val="0"/>
              <w:kinsoku/>
              <w:wordWrap/>
              <w:overflowPunct/>
              <w:topLinePunct/>
              <w:autoSpaceDE/>
              <w:autoSpaceDN/>
              <w:bidi w:val="0"/>
              <w:adjustRightInd/>
              <w:snapToGrid/>
              <w:spacing w:line="500" w:lineRule="exact"/>
              <w:ind w:left="0" w:leftChars="0" w:firstLine="0" w:firstLineChars="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企业</w:t>
            </w:r>
            <w:r>
              <w:rPr>
                <w:rFonts w:hint="eastAsia" w:ascii="仿宋" w:hAnsi="仿宋" w:eastAsia="仿宋" w:cs="仿宋"/>
                <w:color w:val="auto"/>
                <w:sz w:val="28"/>
                <w:szCs w:val="28"/>
                <w:highlight w:val="none"/>
              </w:rPr>
              <w:t>业绩</w:t>
            </w:r>
          </w:p>
        </w:tc>
        <w:tc>
          <w:tcPr>
            <w:tcW w:w="5160" w:type="dxa"/>
            <w:shd w:val="clear" w:color="auto" w:fill="auto"/>
            <w:vAlign w:val="center"/>
          </w:tcPr>
          <w:p w14:paraId="42D26269">
            <w:pPr>
              <w:pStyle w:val="7"/>
              <w:keepNext w:val="0"/>
              <w:keepLines w:val="0"/>
              <w:pageBreakBefore w:val="0"/>
              <w:kinsoku/>
              <w:wordWrap/>
              <w:overflowPunct/>
              <w:topLinePunct/>
              <w:autoSpaceDE/>
              <w:autoSpaceDN/>
              <w:bidi w:val="0"/>
              <w:adjustRightInd/>
              <w:snapToGrid/>
              <w:spacing w:line="500" w:lineRule="exact"/>
              <w:ind w:firstLine="280" w:firstLineChars="1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投标人自202</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年1月1日(以合同签订日期为准)至今</w:t>
            </w:r>
            <w:r>
              <w:rPr>
                <w:rFonts w:hint="eastAsia" w:ascii="仿宋" w:hAnsi="仿宋" w:eastAsia="仿宋" w:cs="仿宋"/>
                <w:color w:val="auto"/>
                <w:sz w:val="28"/>
                <w:szCs w:val="28"/>
                <w:highlight w:val="none"/>
                <w:lang w:val="en-US" w:eastAsia="zh-CN"/>
              </w:rPr>
              <w:t>承揽的</w:t>
            </w:r>
            <w:r>
              <w:rPr>
                <w:rFonts w:hint="eastAsia" w:ascii="仿宋" w:hAnsi="仿宋" w:eastAsia="仿宋" w:cs="仿宋"/>
                <w:color w:val="auto"/>
                <w:sz w:val="28"/>
                <w:szCs w:val="28"/>
                <w:highlight w:val="none"/>
              </w:rPr>
              <w:t>同类</w:t>
            </w:r>
            <w:r>
              <w:rPr>
                <w:rFonts w:hint="eastAsia" w:ascii="仿宋" w:hAnsi="仿宋" w:eastAsia="仿宋" w:cs="仿宋"/>
                <w:color w:val="auto"/>
                <w:sz w:val="28"/>
                <w:szCs w:val="28"/>
                <w:highlight w:val="none"/>
                <w:lang w:val="en-US" w:eastAsia="zh-CN"/>
              </w:rPr>
              <w:t>供货服务</w:t>
            </w:r>
            <w:r>
              <w:rPr>
                <w:rFonts w:hint="eastAsia" w:ascii="仿宋" w:hAnsi="仿宋" w:eastAsia="仿宋" w:cs="仿宋"/>
                <w:color w:val="auto"/>
                <w:sz w:val="28"/>
                <w:szCs w:val="28"/>
                <w:highlight w:val="none"/>
              </w:rPr>
              <w:t>项目</w:t>
            </w:r>
            <w:r>
              <w:rPr>
                <w:rFonts w:hint="eastAsia" w:ascii="仿宋" w:hAnsi="仿宋" w:eastAsia="仿宋" w:cs="仿宋"/>
                <w:color w:val="auto"/>
                <w:sz w:val="28"/>
                <w:szCs w:val="28"/>
                <w:highlight w:val="none"/>
                <w:lang w:val="en-US" w:eastAsia="zh-CN"/>
              </w:rPr>
              <w:t>业绩</w:t>
            </w:r>
            <w:r>
              <w:rPr>
                <w:rFonts w:hint="eastAsia" w:ascii="仿宋" w:hAnsi="仿宋" w:eastAsia="仿宋" w:cs="仿宋"/>
                <w:color w:val="auto"/>
                <w:sz w:val="28"/>
                <w:szCs w:val="28"/>
                <w:highlight w:val="none"/>
              </w:rPr>
              <w:t>，每有一个得</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分，最高得</w:t>
            </w:r>
            <w:r>
              <w:rPr>
                <w:rFonts w:hint="eastAsia" w:ascii="仿宋" w:hAnsi="仿宋" w:eastAsia="仿宋" w:cs="仿宋"/>
                <w:color w:val="auto"/>
                <w:sz w:val="28"/>
                <w:szCs w:val="28"/>
                <w:highlight w:val="none"/>
                <w:lang w:val="en-US" w:eastAsia="zh-CN"/>
              </w:rPr>
              <w:t>10</w:t>
            </w:r>
            <w:r>
              <w:rPr>
                <w:rFonts w:hint="eastAsia" w:ascii="仿宋" w:hAnsi="仿宋" w:eastAsia="仿宋" w:cs="仿宋"/>
                <w:color w:val="auto"/>
                <w:sz w:val="28"/>
                <w:szCs w:val="28"/>
                <w:highlight w:val="none"/>
              </w:rPr>
              <w:t>分。</w:t>
            </w:r>
          </w:p>
          <w:p w14:paraId="0D6C0FCB">
            <w:pPr>
              <w:pStyle w:val="7"/>
              <w:keepNext w:val="0"/>
              <w:keepLines w:val="0"/>
              <w:pageBreakBefore w:val="0"/>
              <w:kinsoku/>
              <w:wordWrap/>
              <w:overflowPunct/>
              <w:topLinePunct/>
              <w:autoSpaceDE/>
              <w:autoSpaceDN/>
              <w:bidi w:val="0"/>
              <w:adjustRightInd/>
              <w:snapToGrid/>
              <w:spacing w:line="500" w:lineRule="exact"/>
              <w:ind w:firstLine="280" w:firstLineChars="1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注：投标文件中附</w:t>
            </w:r>
            <w:r>
              <w:rPr>
                <w:rFonts w:hint="eastAsia" w:ascii="仿宋" w:hAnsi="仿宋" w:eastAsia="仿宋" w:cs="仿宋"/>
                <w:color w:val="auto"/>
                <w:sz w:val="28"/>
                <w:szCs w:val="28"/>
                <w:highlight w:val="none"/>
                <w:lang w:val="en-US" w:eastAsia="zh-CN"/>
              </w:rPr>
              <w:t>有效</w:t>
            </w:r>
            <w:r>
              <w:rPr>
                <w:rFonts w:hint="eastAsia" w:ascii="仿宋" w:hAnsi="仿宋" w:eastAsia="仿宋" w:cs="仿宋"/>
                <w:color w:val="auto"/>
                <w:sz w:val="28"/>
                <w:szCs w:val="28"/>
                <w:highlight w:val="none"/>
              </w:rPr>
              <w:t>合同</w:t>
            </w:r>
            <w:r>
              <w:rPr>
                <w:rFonts w:hint="eastAsia" w:ascii="仿宋" w:hAnsi="仿宋" w:eastAsia="仿宋" w:cs="仿宋"/>
                <w:color w:val="auto"/>
                <w:sz w:val="28"/>
                <w:szCs w:val="28"/>
                <w:highlight w:val="none"/>
                <w:lang w:val="en-US" w:eastAsia="zh-CN"/>
              </w:rPr>
              <w:t>扫描件</w:t>
            </w:r>
            <w:r>
              <w:rPr>
                <w:rFonts w:hint="eastAsia" w:ascii="仿宋" w:hAnsi="仿宋" w:eastAsia="仿宋" w:cs="仿宋"/>
                <w:color w:val="auto"/>
                <w:sz w:val="28"/>
                <w:szCs w:val="28"/>
                <w:highlight w:val="none"/>
              </w:rPr>
              <w:t>，合同需清晰体现仓储、物流配送服务内容，仅框架协议、无金额无服务内容的合同不予计分</w:t>
            </w:r>
            <w:r>
              <w:rPr>
                <w:rFonts w:hint="eastAsia" w:ascii="仿宋" w:hAnsi="仿宋" w:eastAsia="仿宋" w:cs="仿宋"/>
                <w:color w:val="auto"/>
                <w:sz w:val="28"/>
                <w:szCs w:val="28"/>
                <w:highlight w:val="none"/>
                <w:lang w:eastAsia="zh-CN"/>
              </w:rPr>
              <w:t>，提供对应项目验收单、履约发票、现场实施照片任一佐证材料，仅提供合同无任何履约佐证的，业绩不予计分。</w:t>
            </w:r>
          </w:p>
        </w:tc>
        <w:tc>
          <w:tcPr>
            <w:tcW w:w="1054" w:type="dxa"/>
            <w:shd w:val="clear" w:color="auto" w:fill="auto"/>
            <w:vAlign w:val="center"/>
          </w:tcPr>
          <w:p w14:paraId="6379F29D">
            <w:pPr>
              <w:pStyle w:val="7"/>
              <w:keepNext w:val="0"/>
              <w:keepLines w:val="0"/>
              <w:pageBreakBefore w:val="0"/>
              <w:kinsoku/>
              <w:wordWrap/>
              <w:overflowPunct/>
              <w:topLinePunct/>
              <w:autoSpaceDE/>
              <w:autoSpaceDN/>
              <w:bidi w:val="0"/>
              <w:adjustRightInd/>
              <w:snapToGrid/>
              <w:spacing w:line="500" w:lineRule="exact"/>
              <w:ind w:left="0" w:leftChars="0" w:firstLine="0" w:firstLineChars="0"/>
              <w:jc w:val="center"/>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rPr>
              <w:t>客观分</w:t>
            </w:r>
          </w:p>
        </w:tc>
        <w:tc>
          <w:tcPr>
            <w:tcW w:w="791" w:type="dxa"/>
            <w:shd w:val="clear" w:color="auto" w:fill="auto"/>
            <w:vAlign w:val="center"/>
          </w:tcPr>
          <w:p w14:paraId="63C3CDE0">
            <w:pPr>
              <w:pStyle w:val="7"/>
              <w:keepNext w:val="0"/>
              <w:keepLines w:val="0"/>
              <w:pageBreakBefore w:val="0"/>
              <w:kinsoku/>
              <w:wordWrap/>
              <w:overflowPunct/>
              <w:topLinePunct/>
              <w:autoSpaceDE/>
              <w:autoSpaceDN/>
              <w:bidi w:val="0"/>
              <w:adjustRightInd/>
              <w:snapToGrid/>
              <w:spacing w:line="500" w:lineRule="exact"/>
              <w:ind w:left="0" w:leftChars="0" w:firstLine="0" w:firstLineChars="0"/>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lang w:val="en-US" w:eastAsia="zh-CN"/>
              </w:rPr>
              <w:t>10</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0</w:t>
            </w:r>
          </w:p>
        </w:tc>
      </w:tr>
      <w:tr w14:paraId="540224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shd w:val="clear" w:color="auto" w:fill="auto"/>
            <w:vAlign w:val="center"/>
          </w:tcPr>
          <w:p w14:paraId="3477F62F">
            <w:pPr>
              <w:keepNext w:val="0"/>
              <w:keepLines w:val="0"/>
              <w:pageBreakBefore w:val="0"/>
              <w:widowControl w:val="0"/>
              <w:kinsoku/>
              <w:wordWrap/>
              <w:overflowPunct/>
              <w:topLinePunct/>
              <w:autoSpaceDE/>
              <w:autoSpaceDN/>
              <w:bidi w:val="0"/>
              <w:adjustRightInd/>
              <w:snapToGrid/>
              <w:spacing w:line="500" w:lineRule="exact"/>
              <w:ind w:left="0" w:leftChars="0" w:right="0" w:rightChars="0"/>
              <w:jc w:val="center"/>
              <w:textAlignment w:val="auto"/>
              <w:rPr>
                <w:rFonts w:hint="default" w:ascii="仿宋" w:hAnsi="仿宋" w:eastAsia="仿宋" w:cs="仿宋"/>
                <w:color w:val="auto"/>
                <w:spacing w:val="-10"/>
                <w:position w:val="-4"/>
                <w:sz w:val="28"/>
                <w:szCs w:val="28"/>
                <w:highlight w:val="none"/>
                <w:lang w:val="en-US" w:eastAsia="zh-CN"/>
              </w:rPr>
            </w:pPr>
            <w:r>
              <w:rPr>
                <w:rFonts w:hint="eastAsia" w:ascii="仿宋" w:hAnsi="仿宋" w:eastAsia="仿宋" w:cs="仿宋"/>
                <w:color w:val="auto"/>
                <w:spacing w:val="-10"/>
                <w:position w:val="-4"/>
                <w:sz w:val="28"/>
                <w:szCs w:val="28"/>
                <w:highlight w:val="none"/>
                <w:lang w:val="en-US" w:eastAsia="zh-CN"/>
              </w:rPr>
              <w:t>1.02</w:t>
            </w:r>
          </w:p>
        </w:tc>
        <w:tc>
          <w:tcPr>
            <w:tcW w:w="773" w:type="dxa"/>
            <w:shd w:val="clear" w:color="auto" w:fill="auto"/>
            <w:vAlign w:val="center"/>
          </w:tcPr>
          <w:p w14:paraId="59E83AEF">
            <w:pPr>
              <w:keepNext w:val="0"/>
              <w:keepLines w:val="0"/>
              <w:pageBreakBefore w:val="0"/>
              <w:widowControl w:val="0"/>
              <w:kinsoku/>
              <w:wordWrap/>
              <w:overflowPunct/>
              <w:topLinePunct/>
              <w:autoSpaceDE/>
              <w:autoSpaceDN/>
              <w:bidi w:val="0"/>
              <w:adjustRightInd/>
              <w:snapToGrid/>
              <w:spacing w:line="500" w:lineRule="exact"/>
              <w:ind w:left="0" w:leftChars="0" w:right="0" w:rightChars="0"/>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商务</w:t>
            </w:r>
          </w:p>
        </w:tc>
        <w:tc>
          <w:tcPr>
            <w:tcW w:w="1305" w:type="dxa"/>
            <w:shd w:val="clear" w:color="auto" w:fill="auto"/>
            <w:vAlign w:val="center"/>
          </w:tcPr>
          <w:p w14:paraId="5F5ADC89">
            <w:pPr>
              <w:pStyle w:val="7"/>
              <w:keepNext w:val="0"/>
              <w:keepLines w:val="0"/>
              <w:pageBreakBefore w:val="0"/>
              <w:kinsoku/>
              <w:wordWrap/>
              <w:overflowPunct/>
              <w:topLinePunct/>
              <w:autoSpaceDE/>
              <w:autoSpaceDN/>
              <w:bidi w:val="0"/>
              <w:adjustRightInd/>
              <w:snapToGrid/>
              <w:spacing w:line="500" w:lineRule="exact"/>
              <w:ind w:left="0" w:leftChars="0" w:firstLine="0" w:firstLineChars="0"/>
              <w:jc w:val="center"/>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用户满意度评价</w:t>
            </w:r>
          </w:p>
        </w:tc>
        <w:tc>
          <w:tcPr>
            <w:tcW w:w="5160" w:type="dxa"/>
            <w:shd w:val="clear" w:color="auto" w:fill="auto"/>
            <w:vAlign w:val="center"/>
          </w:tcPr>
          <w:p w14:paraId="7F0161ED">
            <w:pPr>
              <w:pStyle w:val="7"/>
              <w:keepNext w:val="0"/>
              <w:keepLines w:val="0"/>
              <w:pageBreakBefore w:val="0"/>
              <w:kinsoku/>
              <w:wordWrap/>
              <w:overflowPunct/>
              <w:topLinePunct/>
              <w:autoSpaceDE/>
              <w:autoSpaceDN/>
              <w:bidi w:val="0"/>
              <w:adjustRightInd/>
              <w:snapToGrid/>
              <w:spacing w:line="500" w:lineRule="exact"/>
              <w:ind w:firstLine="280" w:firstLineChars="1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投标人提供符合上述要求的202</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年1月1日至今的同类项目经验的用户单位出具的满意度评价，评价情况至少须为“满意或类似好评”的方可计分：每提供一项得</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分，最高</w:t>
            </w:r>
            <w:r>
              <w:rPr>
                <w:rFonts w:hint="eastAsia" w:ascii="仿宋" w:hAnsi="仿宋" w:eastAsia="仿宋" w:cs="仿宋"/>
                <w:color w:val="auto"/>
                <w:sz w:val="28"/>
                <w:szCs w:val="28"/>
                <w:highlight w:val="none"/>
                <w:lang w:val="en-US" w:eastAsia="zh-CN"/>
              </w:rPr>
              <w:t>10</w:t>
            </w:r>
            <w:r>
              <w:rPr>
                <w:rFonts w:hint="eastAsia" w:ascii="仿宋" w:hAnsi="仿宋" w:eastAsia="仿宋" w:cs="仿宋"/>
                <w:color w:val="auto"/>
                <w:sz w:val="28"/>
                <w:szCs w:val="28"/>
                <w:highlight w:val="none"/>
              </w:rPr>
              <w:t>分。</w:t>
            </w:r>
          </w:p>
          <w:p w14:paraId="51E37340">
            <w:pPr>
              <w:pStyle w:val="7"/>
              <w:keepNext w:val="0"/>
              <w:keepLines w:val="0"/>
              <w:pageBreakBefore w:val="0"/>
              <w:kinsoku/>
              <w:wordWrap/>
              <w:overflowPunct/>
              <w:topLinePunct/>
              <w:autoSpaceDE/>
              <w:autoSpaceDN/>
              <w:bidi w:val="0"/>
              <w:adjustRightInd/>
              <w:snapToGrid/>
              <w:spacing w:line="500" w:lineRule="exact"/>
              <w:ind w:firstLine="280" w:firstLineChars="100"/>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注：①同一客户或同一项目提供多项用户满意度评价的，按一项计算；②须与投标人上述提供的202</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年1月1日至今的同类项目经验的用户单位一致；③用户满意度评价须经用户单位或用户管理部门盖章，评价情况至少须为满意或类似好评的方可计分</w:t>
            </w:r>
            <w:r>
              <w:rPr>
                <w:rFonts w:hint="eastAsia" w:ascii="仿宋" w:hAnsi="仿宋" w:eastAsia="仿宋" w:cs="仿宋"/>
                <w:color w:val="auto"/>
                <w:sz w:val="28"/>
                <w:szCs w:val="28"/>
                <w:highlight w:val="none"/>
                <w:lang w:eastAsia="zh-CN"/>
              </w:rPr>
              <w:t>。</w:t>
            </w:r>
          </w:p>
        </w:tc>
        <w:tc>
          <w:tcPr>
            <w:tcW w:w="1054" w:type="dxa"/>
            <w:shd w:val="clear" w:color="auto" w:fill="auto"/>
            <w:vAlign w:val="center"/>
          </w:tcPr>
          <w:p w14:paraId="39594BA8">
            <w:pPr>
              <w:pStyle w:val="7"/>
              <w:keepNext w:val="0"/>
              <w:keepLines w:val="0"/>
              <w:pageBreakBefore w:val="0"/>
              <w:kinsoku/>
              <w:wordWrap/>
              <w:overflowPunct/>
              <w:topLinePunct/>
              <w:autoSpaceDE/>
              <w:autoSpaceDN/>
              <w:bidi w:val="0"/>
              <w:adjustRightInd/>
              <w:snapToGrid/>
              <w:spacing w:line="500" w:lineRule="exact"/>
              <w:ind w:left="0" w:leftChars="0" w:firstLine="0" w:firstLineChars="0"/>
              <w:jc w:val="center"/>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rPr>
              <w:t>客观分</w:t>
            </w:r>
          </w:p>
        </w:tc>
        <w:tc>
          <w:tcPr>
            <w:tcW w:w="791" w:type="dxa"/>
            <w:shd w:val="clear" w:color="auto" w:fill="auto"/>
            <w:vAlign w:val="center"/>
          </w:tcPr>
          <w:p w14:paraId="5F3FD835">
            <w:pPr>
              <w:pStyle w:val="7"/>
              <w:keepNext w:val="0"/>
              <w:keepLines w:val="0"/>
              <w:pageBreakBefore w:val="0"/>
              <w:kinsoku/>
              <w:wordWrap/>
              <w:overflowPunct/>
              <w:topLinePunct/>
              <w:autoSpaceDE/>
              <w:autoSpaceDN/>
              <w:bidi w:val="0"/>
              <w:adjustRightInd/>
              <w:snapToGrid/>
              <w:spacing w:line="500" w:lineRule="exact"/>
              <w:ind w:left="0" w:leftChars="0" w:firstLine="0" w:firstLineChars="0"/>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lang w:val="en-US" w:eastAsia="zh-CN"/>
              </w:rPr>
              <w:t>10</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0</w:t>
            </w:r>
          </w:p>
        </w:tc>
      </w:tr>
      <w:tr w14:paraId="5D2C12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shd w:val="clear" w:color="auto" w:fill="auto"/>
            <w:vAlign w:val="center"/>
          </w:tcPr>
          <w:p w14:paraId="2BCF48C2">
            <w:pPr>
              <w:pStyle w:val="7"/>
              <w:keepNext w:val="0"/>
              <w:keepLines w:val="0"/>
              <w:pageBreakBefore w:val="0"/>
              <w:kinsoku/>
              <w:wordWrap/>
              <w:overflowPunct/>
              <w:topLinePunct/>
              <w:autoSpaceDE/>
              <w:autoSpaceDN/>
              <w:bidi w:val="0"/>
              <w:adjustRightInd/>
              <w:snapToGrid/>
              <w:spacing w:line="500" w:lineRule="exact"/>
              <w:ind w:firstLine="0" w:firstLineChars="0"/>
              <w:jc w:val="center"/>
              <w:textAlignment w:val="auto"/>
              <w:rPr>
                <w:rFonts w:hint="default"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03</w:t>
            </w:r>
          </w:p>
        </w:tc>
        <w:tc>
          <w:tcPr>
            <w:tcW w:w="773" w:type="dxa"/>
            <w:shd w:val="clear" w:color="auto" w:fill="auto"/>
            <w:vAlign w:val="center"/>
          </w:tcPr>
          <w:p w14:paraId="0B87BA30">
            <w:pPr>
              <w:pStyle w:val="7"/>
              <w:keepNext w:val="0"/>
              <w:keepLines w:val="0"/>
              <w:pageBreakBefore w:val="0"/>
              <w:kinsoku/>
              <w:wordWrap/>
              <w:overflowPunct/>
              <w:topLinePunct/>
              <w:autoSpaceDE/>
              <w:autoSpaceDN/>
              <w:bidi w:val="0"/>
              <w:adjustRightInd/>
              <w:snapToGrid/>
              <w:spacing w:line="500" w:lineRule="exact"/>
              <w:ind w:left="0" w:leftChars="0" w:firstLine="0" w:firstLineChars="0"/>
              <w:jc w:val="center"/>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rPr>
              <w:t>技术</w:t>
            </w:r>
          </w:p>
        </w:tc>
        <w:tc>
          <w:tcPr>
            <w:tcW w:w="1305" w:type="dxa"/>
            <w:shd w:val="clear" w:color="auto" w:fill="auto"/>
            <w:vAlign w:val="center"/>
          </w:tcPr>
          <w:p w14:paraId="02915499">
            <w:pPr>
              <w:pStyle w:val="7"/>
              <w:keepNext w:val="0"/>
              <w:keepLines w:val="0"/>
              <w:pageBreakBefore w:val="0"/>
              <w:kinsoku/>
              <w:wordWrap/>
              <w:overflowPunct/>
              <w:topLinePunct/>
              <w:autoSpaceDE/>
              <w:autoSpaceDN/>
              <w:bidi w:val="0"/>
              <w:adjustRightInd/>
              <w:snapToGrid/>
              <w:spacing w:line="500" w:lineRule="exact"/>
              <w:ind w:left="0" w:leftChars="0" w:firstLine="0" w:firstLineChars="0"/>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对本项目的认识、服务定位及重点难点分析</w:t>
            </w:r>
          </w:p>
        </w:tc>
        <w:tc>
          <w:tcPr>
            <w:tcW w:w="5160" w:type="dxa"/>
            <w:shd w:val="clear" w:color="auto" w:fill="auto"/>
            <w:vAlign w:val="center"/>
          </w:tcPr>
          <w:p w14:paraId="557F5845">
            <w:pPr>
              <w:pStyle w:val="7"/>
              <w:keepNext w:val="0"/>
              <w:keepLines w:val="0"/>
              <w:pageBreakBefore w:val="0"/>
              <w:kinsoku/>
              <w:wordWrap/>
              <w:overflowPunct/>
              <w:topLinePunct/>
              <w:autoSpaceDE/>
              <w:autoSpaceDN/>
              <w:bidi w:val="0"/>
              <w:adjustRightInd/>
              <w:snapToGrid/>
              <w:spacing w:line="500" w:lineRule="exact"/>
              <w:ind w:left="0" w:leftChars="0" w:firstLine="280" w:firstLineChars="1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对投标人从服务好采购人角度出发对本项目的整体统筹规划、认识、定位情况、重点难点分析进行综合评价：</w:t>
            </w:r>
          </w:p>
          <w:p w14:paraId="4503AC42">
            <w:pPr>
              <w:pStyle w:val="7"/>
              <w:keepNext w:val="0"/>
              <w:keepLines w:val="0"/>
              <w:pageBreakBefore w:val="0"/>
              <w:kinsoku/>
              <w:wordWrap/>
              <w:overflowPunct/>
              <w:topLinePunct/>
              <w:autoSpaceDE/>
              <w:autoSpaceDN/>
              <w:bidi w:val="0"/>
              <w:adjustRightInd/>
              <w:snapToGrid/>
              <w:spacing w:line="500" w:lineRule="exact"/>
              <w:ind w:left="0" w:leftChars="0" w:firstLine="280" w:firstLineChars="1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对项目的整体统筹规划详实、完善，认识深刻，服务定位恰当，针对性强，重点难点分析准确、充分、切中要害，并提出了切实可行的措施，完全满足服务需求，得10分，每有一处内容表述不完善或有瑕疵的扣2分，表述缺项的不得分。</w:t>
            </w:r>
          </w:p>
          <w:p w14:paraId="080DC5A2">
            <w:pPr>
              <w:pStyle w:val="7"/>
              <w:keepNext w:val="0"/>
              <w:keepLines w:val="0"/>
              <w:pageBreakBefore w:val="0"/>
              <w:kinsoku/>
              <w:wordWrap/>
              <w:overflowPunct/>
              <w:topLinePunct/>
              <w:autoSpaceDE/>
              <w:autoSpaceDN/>
              <w:bidi w:val="0"/>
              <w:adjustRightInd/>
              <w:snapToGrid/>
              <w:spacing w:line="500" w:lineRule="exact"/>
              <w:ind w:left="0" w:leftChars="0" w:firstLine="280" w:firstLineChars="1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注：本项所称“不完善或有瑕疵”是指：内容不完整或缺少关键点；非专门针对本项目或不适用本项目特性、套用其他项目内容；对同一问题前后表述矛盾、存在逻辑漏洞、科学原理或常识错误；不利于本项目目标的实现、现有条件下不可行等任意一种情形。</w:t>
            </w:r>
          </w:p>
        </w:tc>
        <w:tc>
          <w:tcPr>
            <w:tcW w:w="1054" w:type="dxa"/>
            <w:shd w:val="clear" w:color="auto" w:fill="auto"/>
            <w:vAlign w:val="center"/>
          </w:tcPr>
          <w:p w14:paraId="559F70CB">
            <w:pPr>
              <w:pStyle w:val="7"/>
              <w:keepNext w:val="0"/>
              <w:keepLines w:val="0"/>
              <w:pageBreakBefore w:val="0"/>
              <w:kinsoku/>
              <w:wordWrap/>
              <w:overflowPunct/>
              <w:topLinePunct/>
              <w:autoSpaceDE/>
              <w:autoSpaceDN/>
              <w:bidi w:val="0"/>
              <w:adjustRightInd/>
              <w:snapToGrid/>
              <w:spacing w:line="500" w:lineRule="exact"/>
              <w:ind w:left="0" w:leftChars="0" w:firstLine="0" w:firstLineChars="0"/>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主观分</w:t>
            </w:r>
          </w:p>
        </w:tc>
        <w:tc>
          <w:tcPr>
            <w:tcW w:w="791" w:type="dxa"/>
            <w:shd w:val="clear" w:color="auto" w:fill="auto"/>
            <w:vAlign w:val="center"/>
          </w:tcPr>
          <w:p w14:paraId="7E40E980">
            <w:pPr>
              <w:pStyle w:val="7"/>
              <w:keepNext w:val="0"/>
              <w:keepLines w:val="0"/>
              <w:pageBreakBefore w:val="0"/>
              <w:kinsoku/>
              <w:wordWrap/>
              <w:overflowPunct/>
              <w:topLinePunct/>
              <w:autoSpaceDE/>
              <w:autoSpaceDN/>
              <w:bidi w:val="0"/>
              <w:adjustRightInd/>
              <w:snapToGrid/>
              <w:spacing w:line="500" w:lineRule="exact"/>
              <w:ind w:left="0" w:leftChars="0" w:firstLine="0" w:firstLineChars="0"/>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10.0</w:t>
            </w:r>
          </w:p>
        </w:tc>
      </w:tr>
      <w:tr w14:paraId="685820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shd w:val="clear" w:color="auto" w:fill="auto"/>
            <w:vAlign w:val="center"/>
          </w:tcPr>
          <w:p w14:paraId="57754878">
            <w:pPr>
              <w:pStyle w:val="7"/>
              <w:keepNext w:val="0"/>
              <w:keepLines w:val="0"/>
              <w:pageBreakBefore w:val="0"/>
              <w:kinsoku/>
              <w:wordWrap/>
              <w:overflowPunct/>
              <w:topLinePunct/>
              <w:autoSpaceDE/>
              <w:autoSpaceDN/>
              <w:bidi w:val="0"/>
              <w:adjustRightInd/>
              <w:snapToGrid/>
              <w:spacing w:line="500" w:lineRule="exact"/>
              <w:ind w:left="0" w:leftChars="0" w:firstLine="0" w:firstLineChars="0"/>
              <w:jc w:val="center"/>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0</w:t>
            </w:r>
            <w:r>
              <w:rPr>
                <w:rFonts w:hint="eastAsia" w:ascii="仿宋" w:hAnsi="仿宋" w:eastAsia="仿宋" w:cs="仿宋"/>
                <w:color w:val="auto"/>
                <w:sz w:val="28"/>
                <w:szCs w:val="28"/>
                <w:highlight w:val="none"/>
                <w:lang w:val="en-US" w:eastAsia="zh-CN"/>
              </w:rPr>
              <w:t>4</w:t>
            </w:r>
          </w:p>
        </w:tc>
        <w:tc>
          <w:tcPr>
            <w:tcW w:w="773" w:type="dxa"/>
            <w:shd w:val="clear" w:color="auto" w:fill="auto"/>
            <w:vAlign w:val="center"/>
          </w:tcPr>
          <w:p w14:paraId="7D1966C8">
            <w:pPr>
              <w:keepNext w:val="0"/>
              <w:keepLines w:val="0"/>
              <w:pageBreakBefore w:val="0"/>
              <w:widowControl w:val="0"/>
              <w:kinsoku/>
              <w:wordWrap/>
              <w:overflowPunct/>
              <w:topLinePunct/>
              <w:autoSpaceDE/>
              <w:autoSpaceDN/>
              <w:bidi w:val="0"/>
              <w:adjustRightInd/>
              <w:snapToGrid/>
              <w:spacing w:line="500" w:lineRule="exact"/>
              <w:ind w:left="0" w:leftChars="0" w:right="0" w:rightChars="0"/>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技术</w:t>
            </w:r>
          </w:p>
        </w:tc>
        <w:tc>
          <w:tcPr>
            <w:tcW w:w="1305" w:type="dxa"/>
            <w:shd w:val="clear" w:color="auto" w:fill="auto"/>
            <w:vAlign w:val="center"/>
          </w:tcPr>
          <w:p w14:paraId="63FDC6DA">
            <w:pPr>
              <w:pStyle w:val="7"/>
              <w:keepNext w:val="0"/>
              <w:keepLines w:val="0"/>
              <w:pageBreakBefore w:val="0"/>
              <w:kinsoku/>
              <w:wordWrap/>
              <w:overflowPunct/>
              <w:topLinePunct/>
              <w:autoSpaceDE/>
              <w:autoSpaceDN/>
              <w:bidi w:val="0"/>
              <w:adjustRightInd/>
              <w:snapToGrid/>
              <w:spacing w:line="500" w:lineRule="exact"/>
              <w:ind w:left="0" w:leftChars="0" w:firstLine="0" w:firstLineChars="0"/>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供货服务实施方案</w:t>
            </w:r>
          </w:p>
        </w:tc>
        <w:tc>
          <w:tcPr>
            <w:tcW w:w="5160" w:type="dxa"/>
            <w:shd w:val="clear" w:color="auto" w:fill="auto"/>
            <w:vAlign w:val="center"/>
          </w:tcPr>
          <w:p w14:paraId="7A603004">
            <w:pPr>
              <w:pStyle w:val="7"/>
              <w:keepNext w:val="0"/>
              <w:keepLines w:val="0"/>
              <w:pageBreakBefore w:val="0"/>
              <w:kinsoku/>
              <w:wordWrap/>
              <w:overflowPunct/>
              <w:topLinePunct/>
              <w:autoSpaceDE/>
              <w:autoSpaceDN/>
              <w:bidi w:val="0"/>
              <w:adjustRightInd/>
              <w:snapToGrid/>
              <w:spacing w:line="500" w:lineRule="exact"/>
              <w:ind w:left="0" w:leftChars="0" w:firstLine="280" w:firstLineChars="1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对投标人提供的供货服务实施方案进行综合评价：</w:t>
            </w:r>
          </w:p>
          <w:p w14:paraId="4E5D7E73">
            <w:pPr>
              <w:pStyle w:val="7"/>
              <w:keepNext w:val="0"/>
              <w:keepLines w:val="0"/>
              <w:pageBreakBefore w:val="0"/>
              <w:kinsoku/>
              <w:wordWrap/>
              <w:overflowPunct/>
              <w:topLinePunct/>
              <w:autoSpaceDE/>
              <w:autoSpaceDN/>
              <w:bidi w:val="0"/>
              <w:adjustRightInd/>
              <w:snapToGrid/>
              <w:spacing w:line="500" w:lineRule="exact"/>
              <w:ind w:left="0" w:leftChars="0" w:firstLine="280" w:firstLineChars="1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项目供货服务实施方案详实，流程安排合理，操作规程详尽，配送服务方案详尽，针对性强，完全满足服务需求，得10分，每有一处内容表述不完善或有瑕疵的扣2分，表述缺项的不得分。</w:t>
            </w:r>
          </w:p>
          <w:p w14:paraId="785E919C">
            <w:pPr>
              <w:pStyle w:val="7"/>
              <w:keepNext w:val="0"/>
              <w:keepLines w:val="0"/>
              <w:pageBreakBefore w:val="0"/>
              <w:kinsoku/>
              <w:wordWrap/>
              <w:overflowPunct/>
              <w:topLinePunct/>
              <w:autoSpaceDE/>
              <w:autoSpaceDN/>
              <w:bidi w:val="0"/>
              <w:adjustRightInd/>
              <w:snapToGrid/>
              <w:spacing w:line="500" w:lineRule="exact"/>
              <w:ind w:left="0" w:leftChars="0" w:firstLine="280" w:firstLineChars="1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注：本项所称“不完善或有瑕疵”是指：内容不完整或缺少关键点；非专门针对本项目或不适用本项目特性、套用其他项目内容；对同一问题前后表述矛盾、存在逻辑漏洞、科学原理或常识错误；不利于本项目目标的实现、现有条件下不可行等任意一种情形。</w:t>
            </w:r>
          </w:p>
        </w:tc>
        <w:tc>
          <w:tcPr>
            <w:tcW w:w="1054" w:type="dxa"/>
            <w:shd w:val="clear" w:color="auto" w:fill="auto"/>
            <w:vAlign w:val="center"/>
          </w:tcPr>
          <w:p w14:paraId="5041BA83">
            <w:pPr>
              <w:pStyle w:val="7"/>
              <w:keepNext w:val="0"/>
              <w:keepLines w:val="0"/>
              <w:pageBreakBefore w:val="0"/>
              <w:kinsoku/>
              <w:wordWrap/>
              <w:overflowPunct/>
              <w:topLinePunct/>
              <w:autoSpaceDE/>
              <w:autoSpaceDN/>
              <w:bidi w:val="0"/>
              <w:adjustRightInd/>
              <w:snapToGrid/>
              <w:spacing w:line="500" w:lineRule="exact"/>
              <w:ind w:left="0" w:leftChars="0" w:firstLine="0" w:firstLineChars="0"/>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主观分</w:t>
            </w:r>
          </w:p>
        </w:tc>
        <w:tc>
          <w:tcPr>
            <w:tcW w:w="791" w:type="dxa"/>
            <w:shd w:val="clear" w:color="auto" w:fill="auto"/>
            <w:vAlign w:val="center"/>
          </w:tcPr>
          <w:p w14:paraId="2D6C61FC">
            <w:pPr>
              <w:pStyle w:val="7"/>
              <w:keepNext w:val="0"/>
              <w:keepLines w:val="0"/>
              <w:pageBreakBefore w:val="0"/>
              <w:kinsoku/>
              <w:wordWrap/>
              <w:overflowPunct/>
              <w:topLinePunct/>
              <w:autoSpaceDE/>
              <w:autoSpaceDN/>
              <w:bidi w:val="0"/>
              <w:adjustRightInd/>
              <w:snapToGrid/>
              <w:spacing w:line="500" w:lineRule="exact"/>
              <w:ind w:left="0" w:leftChars="0" w:firstLine="0" w:firstLineChars="0"/>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10.0</w:t>
            </w:r>
          </w:p>
        </w:tc>
      </w:tr>
      <w:tr w14:paraId="6AF11D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90" w:hRule="atLeast"/>
          <w:jc w:val="center"/>
        </w:trPr>
        <w:tc>
          <w:tcPr>
            <w:tcW w:w="826" w:type="dxa"/>
            <w:shd w:val="clear" w:color="auto" w:fill="auto"/>
            <w:vAlign w:val="center"/>
          </w:tcPr>
          <w:p w14:paraId="7A5F8310">
            <w:pPr>
              <w:pStyle w:val="7"/>
              <w:keepNext w:val="0"/>
              <w:keepLines w:val="0"/>
              <w:pageBreakBefore w:val="0"/>
              <w:kinsoku/>
              <w:wordWrap/>
              <w:overflowPunct/>
              <w:topLinePunct/>
              <w:autoSpaceDE/>
              <w:autoSpaceDN/>
              <w:bidi w:val="0"/>
              <w:adjustRightInd/>
              <w:snapToGrid/>
              <w:spacing w:line="500" w:lineRule="exact"/>
              <w:ind w:firstLine="0" w:firstLineChars="0"/>
              <w:jc w:val="center"/>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0</w:t>
            </w:r>
            <w:r>
              <w:rPr>
                <w:rFonts w:hint="eastAsia" w:ascii="仿宋" w:hAnsi="仿宋" w:eastAsia="仿宋" w:cs="仿宋"/>
                <w:color w:val="auto"/>
                <w:sz w:val="28"/>
                <w:szCs w:val="28"/>
                <w:highlight w:val="none"/>
                <w:lang w:val="en-US" w:eastAsia="zh-CN"/>
              </w:rPr>
              <w:t>5</w:t>
            </w:r>
          </w:p>
        </w:tc>
        <w:tc>
          <w:tcPr>
            <w:tcW w:w="773" w:type="dxa"/>
            <w:shd w:val="clear" w:color="auto" w:fill="auto"/>
            <w:vAlign w:val="center"/>
          </w:tcPr>
          <w:p w14:paraId="1636E9E1">
            <w:pPr>
              <w:pStyle w:val="7"/>
              <w:keepNext w:val="0"/>
              <w:keepLines w:val="0"/>
              <w:pageBreakBefore w:val="0"/>
              <w:kinsoku/>
              <w:wordWrap/>
              <w:overflowPunct/>
              <w:topLinePunct/>
              <w:autoSpaceDE/>
              <w:autoSpaceDN/>
              <w:bidi w:val="0"/>
              <w:adjustRightInd/>
              <w:snapToGrid/>
              <w:spacing w:line="500" w:lineRule="exact"/>
              <w:ind w:left="0" w:leftChars="0" w:firstLine="0" w:firstLineChars="0"/>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技术</w:t>
            </w:r>
          </w:p>
        </w:tc>
        <w:tc>
          <w:tcPr>
            <w:tcW w:w="1305" w:type="dxa"/>
            <w:shd w:val="clear" w:color="auto" w:fill="auto"/>
            <w:vAlign w:val="center"/>
          </w:tcPr>
          <w:p w14:paraId="2910BF56">
            <w:pPr>
              <w:pStyle w:val="7"/>
              <w:keepNext w:val="0"/>
              <w:keepLines w:val="0"/>
              <w:pageBreakBefore w:val="0"/>
              <w:kinsoku/>
              <w:wordWrap/>
              <w:overflowPunct/>
              <w:topLinePunct/>
              <w:autoSpaceDE/>
              <w:autoSpaceDN/>
              <w:bidi w:val="0"/>
              <w:adjustRightInd/>
              <w:snapToGrid/>
              <w:spacing w:line="500" w:lineRule="exact"/>
              <w:ind w:left="0" w:leftChars="0" w:firstLine="0" w:firstLineChars="0"/>
              <w:jc w:val="center"/>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质量控制措施</w:t>
            </w:r>
          </w:p>
        </w:tc>
        <w:tc>
          <w:tcPr>
            <w:tcW w:w="5160" w:type="dxa"/>
            <w:shd w:val="clear" w:color="auto" w:fill="auto"/>
            <w:vAlign w:val="center"/>
          </w:tcPr>
          <w:p w14:paraId="16739971">
            <w:pPr>
              <w:pStyle w:val="7"/>
              <w:keepNext w:val="0"/>
              <w:keepLines w:val="0"/>
              <w:pageBreakBefore w:val="0"/>
              <w:kinsoku/>
              <w:wordWrap/>
              <w:overflowPunct/>
              <w:topLinePunct/>
              <w:autoSpaceDE/>
              <w:autoSpaceDN/>
              <w:bidi w:val="0"/>
              <w:adjustRightInd/>
              <w:snapToGrid/>
              <w:spacing w:line="500" w:lineRule="exact"/>
              <w:ind w:left="0" w:leftChars="0" w:firstLine="280" w:firstLineChars="1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对投标人提供的物品质量、实施流程、操作规程等质量控制措施进行综合评价：</w:t>
            </w:r>
          </w:p>
          <w:p w14:paraId="1D07DB6B">
            <w:pPr>
              <w:pStyle w:val="7"/>
              <w:keepNext w:val="0"/>
              <w:keepLines w:val="0"/>
              <w:pageBreakBefore w:val="0"/>
              <w:kinsoku/>
              <w:wordWrap/>
              <w:overflowPunct/>
              <w:topLinePunct/>
              <w:autoSpaceDE/>
              <w:autoSpaceDN/>
              <w:bidi w:val="0"/>
              <w:adjustRightInd/>
              <w:snapToGrid/>
              <w:spacing w:line="500" w:lineRule="exact"/>
              <w:ind w:left="0" w:leftChars="0" w:firstLine="280" w:firstLineChars="1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质量控制措施详实，流程安排合理，操作规程详尽，针对性强，完全满足服务需求，得10分，每有一处内容表述不完善或有瑕疵的扣2分，表述缺项的不得分。</w:t>
            </w:r>
          </w:p>
          <w:p w14:paraId="74038BD1">
            <w:pPr>
              <w:pStyle w:val="7"/>
              <w:keepNext w:val="0"/>
              <w:keepLines w:val="0"/>
              <w:pageBreakBefore w:val="0"/>
              <w:kinsoku/>
              <w:wordWrap/>
              <w:overflowPunct/>
              <w:topLinePunct/>
              <w:autoSpaceDE/>
              <w:autoSpaceDN/>
              <w:bidi w:val="0"/>
              <w:adjustRightInd/>
              <w:snapToGrid/>
              <w:spacing w:line="500" w:lineRule="exact"/>
              <w:ind w:left="0" w:leftChars="0" w:firstLine="280" w:firstLineChars="100"/>
              <w:textAlignment w:val="auto"/>
              <w:rPr>
                <w:rFonts w:hint="eastAsia"/>
                <w:lang w:val="en-US" w:eastAsia="zh-CN"/>
              </w:rPr>
            </w:pPr>
            <w:r>
              <w:rPr>
                <w:rFonts w:hint="eastAsia" w:ascii="仿宋" w:hAnsi="仿宋" w:eastAsia="仿宋" w:cs="仿宋"/>
                <w:color w:val="auto"/>
                <w:sz w:val="28"/>
                <w:szCs w:val="28"/>
                <w:highlight w:val="none"/>
                <w:lang w:val="en-US" w:eastAsia="zh-CN"/>
              </w:rPr>
              <w:t>注：本项所称“不完善或有瑕疵”是指：内容不完整或缺少关键点；非专门针对本项目或不适用本项目特性、套用其他项目内容；对同一问题前后表述矛盾、存在逻辑漏洞、科学原理或常识错误；不利于本项目目标的实现、现有条件下不可行等任意一种情形。</w:t>
            </w:r>
          </w:p>
        </w:tc>
        <w:tc>
          <w:tcPr>
            <w:tcW w:w="1054" w:type="dxa"/>
            <w:shd w:val="clear" w:color="auto" w:fill="auto"/>
            <w:vAlign w:val="center"/>
          </w:tcPr>
          <w:p w14:paraId="7A415780">
            <w:pPr>
              <w:pStyle w:val="7"/>
              <w:keepNext w:val="0"/>
              <w:keepLines w:val="0"/>
              <w:pageBreakBefore w:val="0"/>
              <w:kinsoku/>
              <w:wordWrap/>
              <w:overflowPunct/>
              <w:topLinePunct/>
              <w:autoSpaceDE/>
              <w:autoSpaceDN/>
              <w:bidi w:val="0"/>
              <w:adjustRightInd/>
              <w:snapToGrid/>
              <w:spacing w:line="500" w:lineRule="exact"/>
              <w:ind w:firstLine="0" w:firstLineChars="0"/>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主观分</w:t>
            </w:r>
          </w:p>
        </w:tc>
        <w:tc>
          <w:tcPr>
            <w:tcW w:w="791" w:type="dxa"/>
            <w:shd w:val="clear" w:color="auto" w:fill="auto"/>
            <w:vAlign w:val="center"/>
          </w:tcPr>
          <w:p w14:paraId="1419DE6B">
            <w:pPr>
              <w:pStyle w:val="7"/>
              <w:keepNext w:val="0"/>
              <w:keepLines w:val="0"/>
              <w:pageBreakBefore w:val="0"/>
              <w:kinsoku/>
              <w:wordWrap/>
              <w:overflowPunct/>
              <w:topLinePunct/>
              <w:autoSpaceDE/>
              <w:autoSpaceDN/>
              <w:bidi w:val="0"/>
              <w:adjustRightInd/>
              <w:snapToGrid/>
              <w:spacing w:line="500" w:lineRule="exact"/>
              <w:ind w:left="0" w:leftChars="0" w:firstLine="0" w:firstLineChars="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10</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0</w:t>
            </w:r>
          </w:p>
        </w:tc>
      </w:tr>
      <w:tr w14:paraId="5AD878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shd w:val="clear" w:color="auto" w:fill="auto"/>
            <w:vAlign w:val="center"/>
          </w:tcPr>
          <w:p w14:paraId="09FEDDAD">
            <w:pPr>
              <w:pStyle w:val="7"/>
              <w:keepNext w:val="0"/>
              <w:keepLines w:val="0"/>
              <w:pageBreakBefore w:val="0"/>
              <w:kinsoku/>
              <w:wordWrap/>
              <w:overflowPunct/>
              <w:topLinePunct/>
              <w:autoSpaceDE/>
              <w:autoSpaceDN/>
              <w:bidi w:val="0"/>
              <w:adjustRightInd/>
              <w:snapToGrid/>
              <w:spacing w:line="500" w:lineRule="exact"/>
              <w:ind w:firstLine="0" w:firstLineChars="0"/>
              <w:jc w:val="center"/>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0</w:t>
            </w:r>
            <w:r>
              <w:rPr>
                <w:rFonts w:hint="eastAsia" w:ascii="仿宋" w:hAnsi="仿宋" w:eastAsia="仿宋" w:cs="仿宋"/>
                <w:color w:val="auto"/>
                <w:sz w:val="28"/>
                <w:szCs w:val="28"/>
                <w:highlight w:val="none"/>
                <w:lang w:val="en-US" w:eastAsia="zh-CN"/>
              </w:rPr>
              <w:t>6</w:t>
            </w:r>
          </w:p>
        </w:tc>
        <w:tc>
          <w:tcPr>
            <w:tcW w:w="773" w:type="dxa"/>
            <w:shd w:val="clear" w:color="auto" w:fill="auto"/>
            <w:vAlign w:val="center"/>
          </w:tcPr>
          <w:p w14:paraId="64287BAE">
            <w:pPr>
              <w:pStyle w:val="7"/>
              <w:keepNext w:val="0"/>
              <w:keepLines w:val="0"/>
              <w:pageBreakBefore w:val="0"/>
              <w:kinsoku/>
              <w:wordWrap/>
              <w:overflowPunct/>
              <w:topLinePunct/>
              <w:autoSpaceDE/>
              <w:autoSpaceDN/>
              <w:bidi w:val="0"/>
              <w:adjustRightInd/>
              <w:snapToGrid/>
              <w:spacing w:line="500" w:lineRule="exact"/>
              <w:ind w:firstLine="0" w:firstLineChars="0"/>
              <w:jc w:val="center"/>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rPr>
              <w:t>技术</w:t>
            </w:r>
          </w:p>
        </w:tc>
        <w:tc>
          <w:tcPr>
            <w:tcW w:w="1305" w:type="dxa"/>
            <w:shd w:val="clear" w:color="auto" w:fill="auto"/>
            <w:vAlign w:val="center"/>
          </w:tcPr>
          <w:p w14:paraId="1AE4F2FF">
            <w:pPr>
              <w:pStyle w:val="7"/>
              <w:keepNext w:val="0"/>
              <w:keepLines w:val="0"/>
              <w:pageBreakBefore w:val="0"/>
              <w:kinsoku/>
              <w:wordWrap/>
              <w:overflowPunct/>
              <w:topLinePunct/>
              <w:autoSpaceDE/>
              <w:autoSpaceDN/>
              <w:bidi w:val="0"/>
              <w:adjustRightInd/>
              <w:snapToGrid/>
              <w:spacing w:line="500" w:lineRule="exact"/>
              <w:ind w:firstLine="0" w:firstLineChars="0"/>
              <w:jc w:val="center"/>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备货服务方案</w:t>
            </w:r>
          </w:p>
        </w:tc>
        <w:tc>
          <w:tcPr>
            <w:tcW w:w="5160" w:type="dxa"/>
            <w:shd w:val="clear" w:color="auto" w:fill="auto"/>
            <w:vAlign w:val="center"/>
          </w:tcPr>
          <w:p w14:paraId="37CDF99C">
            <w:pPr>
              <w:pStyle w:val="7"/>
              <w:keepNext w:val="0"/>
              <w:keepLines w:val="0"/>
              <w:pageBreakBefore w:val="0"/>
              <w:widowControl/>
              <w:kinsoku/>
              <w:wordWrap/>
              <w:overflowPunct/>
              <w:topLinePunct/>
              <w:autoSpaceDE/>
              <w:autoSpaceDN/>
              <w:bidi w:val="0"/>
              <w:adjustRightInd/>
              <w:snapToGrid/>
              <w:spacing w:line="500" w:lineRule="exact"/>
              <w:ind w:firstLine="280" w:firstLineChars="1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对投标人提供的备货服务方案（包括但不限于备货仓储面积、物资分类存储规划，仓库物料台账、车辆运输保障能力、备货保障措施）进行综合评价：</w:t>
            </w:r>
          </w:p>
          <w:p w14:paraId="140FCEC6">
            <w:pPr>
              <w:pStyle w:val="7"/>
              <w:keepNext w:val="0"/>
              <w:keepLines w:val="0"/>
              <w:pageBreakBefore w:val="0"/>
              <w:widowControl/>
              <w:kinsoku/>
              <w:wordWrap/>
              <w:overflowPunct/>
              <w:topLinePunct/>
              <w:autoSpaceDE/>
              <w:autoSpaceDN/>
              <w:bidi w:val="0"/>
              <w:adjustRightInd/>
              <w:snapToGrid/>
              <w:spacing w:line="500" w:lineRule="exact"/>
              <w:ind w:firstLine="280" w:firstLineChars="1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仓储规模及面积能够完全满足仓储备货要求，严格按物资属性分区，具备防雨防潮、通风等设施，仓库物料台账清晰，车辆完全覆盖项目配送运力，备货保障措施完备，完全满足服务需求，得15分，每有一处内容表述不完善或有瑕疵的扣3分，表述缺项的不得分。</w:t>
            </w:r>
          </w:p>
          <w:p w14:paraId="2ECBBC1F">
            <w:pPr>
              <w:pStyle w:val="7"/>
              <w:keepNext w:val="0"/>
              <w:keepLines w:val="0"/>
              <w:pageBreakBefore w:val="0"/>
              <w:widowControl/>
              <w:kinsoku/>
              <w:wordWrap/>
              <w:overflowPunct/>
              <w:topLinePunct/>
              <w:autoSpaceDE/>
              <w:autoSpaceDN/>
              <w:bidi w:val="0"/>
              <w:adjustRightInd/>
              <w:snapToGrid/>
              <w:spacing w:line="500" w:lineRule="exact"/>
              <w:ind w:firstLine="280" w:firstLineChars="1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注：本项所称“不完善或有瑕疵”是指：内容不完整或缺少关键点；非专门针对本项目或不适用本项目特性、套用其他项目内容；对同一问题前后表述矛盾、存在逻辑漏洞、科学原理或常识错误；不利于本项目目标的实现、现有条件下不可行等任意一种情形。</w:t>
            </w:r>
          </w:p>
          <w:p w14:paraId="457806A2">
            <w:pPr>
              <w:pStyle w:val="7"/>
              <w:keepNext w:val="0"/>
              <w:keepLines w:val="0"/>
              <w:pageBreakBefore w:val="0"/>
              <w:widowControl/>
              <w:kinsoku/>
              <w:wordWrap/>
              <w:overflowPunct/>
              <w:topLinePunct/>
              <w:autoSpaceDE/>
              <w:autoSpaceDN/>
              <w:bidi w:val="0"/>
              <w:adjustRightInd/>
              <w:snapToGrid/>
              <w:spacing w:line="500" w:lineRule="exact"/>
              <w:ind w:firstLine="280" w:firstLineChars="100"/>
              <w:textAlignment w:val="auto"/>
              <w:rPr>
                <w:rFonts w:hint="default"/>
                <w:lang w:val="en-US" w:eastAsia="zh-CN"/>
              </w:rPr>
            </w:pPr>
            <w:r>
              <w:rPr>
                <w:rFonts w:hint="eastAsia" w:ascii="仿宋" w:hAnsi="仿宋" w:eastAsia="仿宋" w:cs="仿宋"/>
                <w:color w:val="auto"/>
                <w:sz w:val="28"/>
                <w:szCs w:val="28"/>
                <w:highlight w:val="none"/>
                <w:lang w:val="en-US" w:eastAsia="zh-CN"/>
              </w:rPr>
              <w:t>投标文件中要提供自有或长期租赁仓库（具备分类存储和防雨防潮条件）和自有或长期合作运输车辆（不少于1辆）相关证明材料加盖投标人公章。</w:t>
            </w:r>
            <w:r>
              <w:rPr>
                <w:rFonts w:hint="eastAsia" w:ascii="仿宋" w:hAnsi="仿宋" w:eastAsia="仿宋" w:cs="仿宋"/>
                <w:color w:val="auto"/>
                <w:sz w:val="28"/>
                <w:szCs w:val="28"/>
                <w:highlight w:val="none"/>
              </w:rPr>
              <w:t>①</w:t>
            </w:r>
            <w:r>
              <w:rPr>
                <w:rFonts w:hint="eastAsia" w:ascii="仿宋" w:hAnsi="仿宋" w:eastAsia="仿宋" w:cs="仿宋"/>
                <w:color w:val="auto"/>
                <w:sz w:val="28"/>
                <w:szCs w:val="28"/>
                <w:highlight w:val="none"/>
                <w:lang w:val="en-US" w:eastAsia="zh-CN"/>
              </w:rPr>
              <w:t>仓库全套佐证材料：产权证书或有效期1年以上租赁合同、仓库精确地址、绘制仓库平面分区图，</w:t>
            </w:r>
            <w:r>
              <w:rPr>
                <w:rFonts w:hint="eastAsia" w:ascii="仿宋" w:hAnsi="仿宋" w:eastAsia="仿宋" w:cs="仿宋"/>
                <w:i w:val="0"/>
                <w:iCs w:val="0"/>
                <w:color w:val="auto"/>
                <w:spacing w:val="8"/>
                <w:kern w:val="0"/>
                <w:sz w:val="28"/>
                <w:szCs w:val="28"/>
                <w:highlight w:val="none"/>
                <w:lang w:val="en-US" w:eastAsia="zh-CN"/>
              </w:rPr>
              <w:t>物资</w:t>
            </w:r>
            <w:r>
              <w:rPr>
                <w:rFonts w:hint="eastAsia" w:ascii="仿宋" w:hAnsi="仿宋" w:eastAsia="仿宋" w:cs="仿宋"/>
                <w:color w:val="auto"/>
                <w:sz w:val="28"/>
                <w:szCs w:val="28"/>
                <w:highlight w:val="none"/>
                <w:lang w:val="en-US" w:eastAsia="zh-CN"/>
              </w:rPr>
              <w:t>分区现场多角度实拍图、消防验收/备案凭证。所有资料必须真实，租赁协议有效期须完整覆盖本项目全部服务周期，不得为临时短期转租、共享合用仓库。</w:t>
            </w:r>
            <w:r>
              <w:rPr>
                <w:rFonts w:hint="eastAsia" w:ascii="仿宋" w:hAnsi="仿宋" w:eastAsia="仿宋" w:cs="仿宋"/>
                <w:color w:val="auto"/>
                <w:sz w:val="28"/>
                <w:szCs w:val="28"/>
                <w:highlight w:val="none"/>
              </w:rPr>
              <w:t>②</w:t>
            </w:r>
            <w:r>
              <w:rPr>
                <w:rFonts w:hint="eastAsia" w:ascii="仿宋" w:hAnsi="仿宋" w:eastAsia="仿宋" w:cs="仿宋"/>
                <w:color w:val="auto"/>
                <w:sz w:val="28"/>
                <w:szCs w:val="28"/>
                <w:highlight w:val="none"/>
                <w:lang w:val="en-US" w:eastAsia="zh-CN"/>
              </w:rPr>
              <w:t>车辆全套佐证材料：自有/长期固定合作配送车辆≥1台，提供⻋辆合同（或发票）或长期合作协议、车辆行驶证、车辆实拍图。只有方案无佐证材料，本项不得分。</w:t>
            </w:r>
          </w:p>
        </w:tc>
        <w:tc>
          <w:tcPr>
            <w:tcW w:w="1054" w:type="dxa"/>
            <w:shd w:val="clear" w:color="auto" w:fill="auto"/>
            <w:vAlign w:val="center"/>
          </w:tcPr>
          <w:p w14:paraId="36C2AC1A">
            <w:pPr>
              <w:pStyle w:val="7"/>
              <w:keepNext w:val="0"/>
              <w:keepLines w:val="0"/>
              <w:pageBreakBefore w:val="0"/>
              <w:kinsoku/>
              <w:wordWrap/>
              <w:overflowPunct/>
              <w:topLinePunct/>
              <w:autoSpaceDE/>
              <w:autoSpaceDN/>
              <w:bidi w:val="0"/>
              <w:adjustRightInd/>
              <w:snapToGrid/>
              <w:spacing w:line="500" w:lineRule="exact"/>
              <w:ind w:firstLine="0" w:firstLineChars="0"/>
              <w:jc w:val="center"/>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rPr>
              <w:t>主观分</w:t>
            </w:r>
          </w:p>
        </w:tc>
        <w:tc>
          <w:tcPr>
            <w:tcW w:w="791" w:type="dxa"/>
            <w:shd w:val="clear" w:color="auto" w:fill="auto"/>
            <w:vAlign w:val="center"/>
          </w:tcPr>
          <w:p w14:paraId="4659D146">
            <w:pPr>
              <w:pStyle w:val="7"/>
              <w:keepNext w:val="0"/>
              <w:keepLines w:val="0"/>
              <w:pageBreakBefore w:val="0"/>
              <w:kinsoku/>
              <w:wordWrap/>
              <w:overflowPunct/>
              <w:topLinePunct/>
              <w:autoSpaceDE/>
              <w:autoSpaceDN/>
              <w:bidi w:val="0"/>
              <w:adjustRightInd/>
              <w:snapToGrid/>
              <w:spacing w:line="500" w:lineRule="exact"/>
              <w:ind w:firstLine="0" w:firstLineChars="0"/>
              <w:jc w:val="center"/>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lang w:val="en-US" w:eastAsia="zh-CN"/>
              </w:rPr>
              <w:t>15</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0</w:t>
            </w:r>
          </w:p>
        </w:tc>
      </w:tr>
      <w:tr w14:paraId="0C7EB2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shd w:val="clear" w:color="auto" w:fill="auto"/>
            <w:vAlign w:val="center"/>
          </w:tcPr>
          <w:p w14:paraId="474EF6FF">
            <w:pPr>
              <w:pStyle w:val="7"/>
              <w:keepNext w:val="0"/>
              <w:keepLines w:val="0"/>
              <w:pageBreakBefore w:val="0"/>
              <w:kinsoku/>
              <w:wordWrap/>
              <w:overflowPunct/>
              <w:topLinePunct/>
              <w:autoSpaceDE/>
              <w:autoSpaceDN/>
              <w:bidi w:val="0"/>
              <w:adjustRightInd/>
              <w:snapToGrid/>
              <w:spacing w:line="500" w:lineRule="exact"/>
              <w:ind w:firstLine="0" w:firstLineChars="0"/>
              <w:jc w:val="center"/>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0</w:t>
            </w:r>
            <w:r>
              <w:rPr>
                <w:rFonts w:hint="eastAsia" w:ascii="仿宋" w:hAnsi="仿宋" w:eastAsia="仿宋" w:cs="仿宋"/>
                <w:color w:val="auto"/>
                <w:sz w:val="28"/>
                <w:szCs w:val="28"/>
                <w:highlight w:val="none"/>
                <w:lang w:val="en-US" w:eastAsia="zh-CN"/>
              </w:rPr>
              <w:t>7</w:t>
            </w:r>
          </w:p>
        </w:tc>
        <w:tc>
          <w:tcPr>
            <w:tcW w:w="773" w:type="dxa"/>
            <w:vAlign w:val="center"/>
          </w:tcPr>
          <w:p w14:paraId="78F36780">
            <w:pPr>
              <w:pStyle w:val="7"/>
              <w:keepNext w:val="0"/>
              <w:keepLines w:val="0"/>
              <w:pageBreakBefore w:val="0"/>
              <w:kinsoku/>
              <w:wordWrap/>
              <w:overflowPunct/>
              <w:topLinePunct/>
              <w:autoSpaceDE/>
              <w:autoSpaceDN/>
              <w:bidi w:val="0"/>
              <w:adjustRightInd/>
              <w:snapToGrid/>
              <w:spacing w:line="500" w:lineRule="exact"/>
              <w:ind w:firstLine="0" w:firstLineChars="0"/>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技术</w:t>
            </w:r>
          </w:p>
        </w:tc>
        <w:tc>
          <w:tcPr>
            <w:tcW w:w="1305" w:type="dxa"/>
            <w:shd w:val="clear" w:color="auto" w:fill="auto"/>
            <w:vAlign w:val="center"/>
          </w:tcPr>
          <w:p w14:paraId="3608A72F">
            <w:pPr>
              <w:pStyle w:val="7"/>
              <w:keepNext w:val="0"/>
              <w:keepLines w:val="0"/>
              <w:pageBreakBefore w:val="0"/>
              <w:kinsoku/>
              <w:wordWrap/>
              <w:overflowPunct/>
              <w:topLinePunct/>
              <w:autoSpaceDE/>
              <w:autoSpaceDN/>
              <w:bidi w:val="0"/>
              <w:adjustRightInd/>
              <w:snapToGrid/>
              <w:spacing w:line="500" w:lineRule="exact"/>
              <w:ind w:firstLine="0" w:firstLineChars="0"/>
              <w:jc w:val="center"/>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团队人员配备</w:t>
            </w:r>
          </w:p>
        </w:tc>
        <w:tc>
          <w:tcPr>
            <w:tcW w:w="5160" w:type="dxa"/>
            <w:shd w:val="clear" w:color="auto" w:fill="auto"/>
            <w:vAlign w:val="center"/>
          </w:tcPr>
          <w:p w14:paraId="33763B37">
            <w:pPr>
              <w:pStyle w:val="7"/>
              <w:keepNext w:val="0"/>
              <w:keepLines w:val="0"/>
              <w:pageBreakBefore w:val="0"/>
              <w:widowControl/>
              <w:kinsoku/>
              <w:wordWrap/>
              <w:overflowPunct/>
              <w:topLinePunct/>
              <w:autoSpaceDE/>
              <w:autoSpaceDN/>
              <w:bidi w:val="0"/>
              <w:adjustRightInd/>
              <w:snapToGrid/>
              <w:spacing w:line="500" w:lineRule="exact"/>
              <w:ind w:firstLine="280" w:firstLineChars="1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对投标人提供的团队人员配备进行综合评价：</w:t>
            </w:r>
          </w:p>
          <w:p w14:paraId="07BD323F">
            <w:pPr>
              <w:pStyle w:val="7"/>
              <w:keepNext w:val="0"/>
              <w:keepLines w:val="0"/>
              <w:pageBreakBefore w:val="0"/>
              <w:widowControl/>
              <w:kinsoku/>
              <w:wordWrap/>
              <w:overflowPunct/>
              <w:topLinePunct/>
              <w:autoSpaceDE/>
              <w:autoSpaceDN/>
              <w:bidi w:val="0"/>
              <w:adjustRightInd/>
              <w:snapToGrid/>
              <w:spacing w:line="500" w:lineRule="exact"/>
              <w:ind w:firstLine="280" w:firstLineChars="1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为本项目配置的人员数量充足，岗位设置合理，职责明确，团队整体资质水平高，以往服务经验丰富，服务能力强，完全满足服务需求，得5分，每有一处内容表述不完善或有瑕疵的扣1分，表述缺项的不得分。</w:t>
            </w:r>
          </w:p>
          <w:p w14:paraId="59EEAA25">
            <w:pPr>
              <w:pStyle w:val="7"/>
              <w:keepNext w:val="0"/>
              <w:keepLines w:val="0"/>
              <w:pageBreakBefore w:val="0"/>
              <w:widowControl/>
              <w:kinsoku/>
              <w:wordWrap/>
              <w:overflowPunct/>
              <w:topLinePunct/>
              <w:autoSpaceDE/>
              <w:autoSpaceDN/>
              <w:bidi w:val="0"/>
              <w:adjustRightInd/>
              <w:snapToGrid/>
              <w:spacing w:line="500" w:lineRule="exact"/>
              <w:ind w:firstLine="280" w:firstLineChars="100"/>
              <w:textAlignment w:val="auto"/>
              <w:rPr>
                <w:rFonts w:hint="eastAsia"/>
                <w:lang w:val="en-US" w:eastAsia="zh-CN"/>
              </w:rPr>
            </w:pPr>
            <w:r>
              <w:rPr>
                <w:rFonts w:hint="eastAsia" w:ascii="仿宋" w:hAnsi="仿宋" w:eastAsia="仿宋" w:cs="仿宋"/>
                <w:color w:val="auto"/>
                <w:sz w:val="28"/>
                <w:szCs w:val="28"/>
                <w:highlight w:val="none"/>
                <w:lang w:val="en-US" w:eastAsia="zh-CN"/>
              </w:rPr>
              <w:t>注：本项所称“不完善或有瑕疵”是指：内容不完整或缺少关键点；非专门针对本项目或不适用本项目特性、套用其他项目内容；对同一问题前后表述矛盾、存在逻辑漏洞、科学原理或常识错误；不利于本项目目标的实现、现有条件下不可行等任意一种情形。</w:t>
            </w:r>
          </w:p>
        </w:tc>
        <w:tc>
          <w:tcPr>
            <w:tcW w:w="1054" w:type="dxa"/>
            <w:shd w:val="clear" w:color="auto" w:fill="auto"/>
            <w:vAlign w:val="center"/>
          </w:tcPr>
          <w:p w14:paraId="232CDA6A">
            <w:pPr>
              <w:pStyle w:val="7"/>
              <w:keepNext w:val="0"/>
              <w:keepLines w:val="0"/>
              <w:pageBreakBefore w:val="0"/>
              <w:kinsoku/>
              <w:wordWrap/>
              <w:overflowPunct/>
              <w:topLinePunct/>
              <w:autoSpaceDE/>
              <w:autoSpaceDN/>
              <w:bidi w:val="0"/>
              <w:adjustRightInd/>
              <w:snapToGrid/>
              <w:spacing w:line="500" w:lineRule="exact"/>
              <w:ind w:firstLine="0" w:firstLineChars="0"/>
              <w:jc w:val="center"/>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rPr>
              <w:t>主观分</w:t>
            </w:r>
          </w:p>
        </w:tc>
        <w:tc>
          <w:tcPr>
            <w:tcW w:w="791" w:type="dxa"/>
            <w:shd w:val="clear" w:color="auto" w:fill="auto"/>
            <w:vAlign w:val="center"/>
          </w:tcPr>
          <w:p w14:paraId="7982341B">
            <w:pPr>
              <w:pStyle w:val="7"/>
              <w:keepNext w:val="0"/>
              <w:keepLines w:val="0"/>
              <w:pageBreakBefore w:val="0"/>
              <w:kinsoku/>
              <w:wordWrap/>
              <w:overflowPunct/>
              <w:topLinePunct/>
              <w:autoSpaceDE/>
              <w:autoSpaceDN/>
              <w:bidi w:val="0"/>
              <w:adjustRightInd/>
              <w:snapToGrid/>
              <w:spacing w:line="500" w:lineRule="exact"/>
              <w:ind w:firstLine="0" w:firstLineChars="0"/>
              <w:jc w:val="center"/>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0</w:t>
            </w:r>
          </w:p>
        </w:tc>
      </w:tr>
      <w:tr w14:paraId="7742DF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shd w:val="clear" w:color="auto" w:fill="auto"/>
            <w:vAlign w:val="center"/>
          </w:tcPr>
          <w:p w14:paraId="7924C8A0">
            <w:pPr>
              <w:pStyle w:val="7"/>
              <w:keepNext w:val="0"/>
              <w:keepLines w:val="0"/>
              <w:pageBreakBefore w:val="0"/>
              <w:kinsoku/>
              <w:wordWrap/>
              <w:overflowPunct/>
              <w:topLinePunct/>
              <w:autoSpaceDE/>
              <w:autoSpaceDN/>
              <w:bidi w:val="0"/>
              <w:adjustRightInd/>
              <w:snapToGrid/>
              <w:spacing w:line="500" w:lineRule="exact"/>
              <w:ind w:firstLine="0" w:firstLineChars="0"/>
              <w:jc w:val="center"/>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0</w:t>
            </w:r>
            <w:r>
              <w:rPr>
                <w:rFonts w:hint="eastAsia" w:ascii="仿宋" w:hAnsi="仿宋" w:eastAsia="仿宋" w:cs="仿宋"/>
                <w:color w:val="auto"/>
                <w:sz w:val="28"/>
                <w:szCs w:val="28"/>
                <w:highlight w:val="none"/>
                <w:lang w:val="en-US" w:eastAsia="zh-CN"/>
              </w:rPr>
              <w:t>8</w:t>
            </w:r>
          </w:p>
        </w:tc>
        <w:tc>
          <w:tcPr>
            <w:tcW w:w="773" w:type="dxa"/>
            <w:vAlign w:val="center"/>
          </w:tcPr>
          <w:p w14:paraId="1F4374E4">
            <w:pPr>
              <w:pStyle w:val="7"/>
              <w:keepNext w:val="0"/>
              <w:keepLines w:val="0"/>
              <w:pageBreakBefore w:val="0"/>
              <w:kinsoku/>
              <w:wordWrap/>
              <w:overflowPunct/>
              <w:topLinePunct/>
              <w:autoSpaceDE/>
              <w:autoSpaceDN/>
              <w:bidi w:val="0"/>
              <w:adjustRightInd/>
              <w:snapToGrid/>
              <w:spacing w:line="500" w:lineRule="exact"/>
              <w:ind w:firstLine="0" w:firstLineChars="0"/>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技术</w:t>
            </w:r>
          </w:p>
        </w:tc>
        <w:tc>
          <w:tcPr>
            <w:tcW w:w="1305" w:type="dxa"/>
            <w:vAlign w:val="center"/>
          </w:tcPr>
          <w:p w14:paraId="62373AFB">
            <w:pPr>
              <w:pStyle w:val="7"/>
              <w:keepNext w:val="0"/>
              <w:keepLines w:val="0"/>
              <w:pageBreakBefore w:val="0"/>
              <w:kinsoku/>
              <w:wordWrap/>
              <w:overflowPunct/>
              <w:topLinePunct/>
              <w:autoSpaceDE/>
              <w:autoSpaceDN/>
              <w:bidi w:val="0"/>
              <w:adjustRightInd/>
              <w:snapToGrid/>
              <w:spacing w:line="500" w:lineRule="exact"/>
              <w:ind w:firstLine="0"/>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考核方案</w:t>
            </w:r>
          </w:p>
        </w:tc>
        <w:tc>
          <w:tcPr>
            <w:tcW w:w="5160" w:type="dxa"/>
            <w:vAlign w:val="center"/>
          </w:tcPr>
          <w:p w14:paraId="35CEFACE">
            <w:pPr>
              <w:pStyle w:val="7"/>
              <w:keepNext w:val="0"/>
              <w:keepLines w:val="0"/>
              <w:pageBreakBefore w:val="0"/>
              <w:widowControl/>
              <w:kinsoku/>
              <w:wordWrap/>
              <w:overflowPunct/>
              <w:topLinePunct/>
              <w:autoSpaceDE/>
              <w:autoSpaceDN/>
              <w:bidi w:val="0"/>
              <w:adjustRightInd/>
              <w:snapToGrid/>
              <w:spacing w:line="500" w:lineRule="exact"/>
              <w:ind w:firstLine="280" w:firstLineChars="1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对投标人提供的考核方案进行评价：</w:t>
            </w:r>
          </w:p>
          <w:p w14:paraId="6D6EE055">
            <w:pPr>
              <w:pStyle w:val="7"/>
              <w:keepNext w:val="0"/>
              <w:keepLines w:val="0"/>
              <w:pageBreakBefore w:val="0"/>
              <w:widowControl/>
              <w:kinsoku/>
              <w:wordWrap/>
              <w:overflowPunct/>
              <w:topLinePunct/>
              <w:autoSpaceDE/>
              <w:autoSpaceDN/>
              <w:bidi w:val="0"/>
              <w:adjustRightInd/>
              <w:snapToGrid/>
              <w:spacing w:line="500" w:lineRule="exact"/>
              <w:ind w:firstLine="280" w:firstLineChars="1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有对日常管理进行考核，如达不到采购人要求，采购人有权对其进行相应的处罚，承诺并制定了相应措施，科学完整性，方案合理可落地，得10分，每有一处内容表述不完善或有瑕疵的扣2分，表述缺项的不得分。</w:t>
            </w:r>
          </w:p>
          <w:p w14:paraId="79B1FB83">
            <w:pPr>
              <w:pStyle w:val="7"/>
              <w:keepNext w:val="0"/>
              <w:keepLines w:val="0"/>
              <w:pageBreakBefore w:val="0"/>
              <w:widowControl/>
              <w:kinsoku/>
              <w:wordWrap/>
              <w:overflowPunct/>
              <w:topLinePunct/>
              <w:autoSpaceDE/>
              <w:autoSpaceDN/>
              <w:bidi w:val="0"/>
              <w:adjustRightInd/>
              <w:snapToGrid/>
              <w:spacing w:line="500" w:lineRule="exact"/>
              <w:ind w:firstLine="280" w:firstLineChars="1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注：本项所称“不完善或有瑕疵”是指：内容不完整或缺少关键点；非专门针对本项目或不适用本项目特性、套用其他项目内容；对同一问题前后表述矛盾、存在逻辑漏洞、科学原理或常识错误；不利于本项目目标的实现、现有条件下不可行等任意一种情形。</w:t>
            </w:r>
          </w:p>
        </w:tc>
        <w:tc>
          <w:tcPr>
            <w:tcW w:w="1054" w:type="dxa"/>
            <w:vAlign w:val="center"/>
          </w:tcPr>
          <w:p w14:paraId="3B1ED4A4">
            <w:pPr>
              <w:pStyle w:val="7"/>
              <w:keepNext w:val="0"/>
              <w:keepLines w:val="0"/>
              <w:pageBreakBefore w:val="0"/>
              <w:kinsoku/>
              <w:wordWrap/>
              <w:overflowPunct/>
              <w:topLinePunct/>
              <w:autoSpaceDE/>
              <w:autoSpaceDN/>
              <w:bidi w:val="0"/>
              <w:adjustRightInd/>
              <w:snapToGrid/>
              <w:spacing w:line="500" w:lineRule="exact"/>
              <w:ind w:firstLine="0" w:firstLineChars="0"/>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主观分</w:t>
            </w:r>
          </w:p>
        </w:tc>
        <w:tc>
          <w:tcPr>
            <w:tcW w:w="791" w:type="dxa"/>
            <w:vAlign w:val="center"/>
          </w:tcPr>
          <w:p w14:paraId="5FF1E177">
            <w:pPr>
              <w:pStyle w:val="7"/>
              <w:keepNext w:val="0"/>
              <w:keepLines w:val="0"/>
              <w:pageBreakBefore w:val="0"/>
              <w:kinsoku/>
              <w:wordWrap/>
              <w:overflowPunct/>
              <w:topLinePunct/>
              <w:autoSpaceDE/>
              <w:autoSpaceDN/>
              <w:bidi w:val="0"/>
              <w:adjustRightInd/>
              <w:snapToGrid/>
              <w:spacing w:line="500" w:lineRule="exact"/>
              <w:ind w:firstLine="0" w:firstLineChars="0"/>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10</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0</w:t>
            </w:r>
          </w:p>
        </w:tc>
      </w:tr>
      <w:tr w14:paraId="0236E4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shd w:val="clear" w:color="auto" w:fill="auto"/>
            <w:vAlign w:val="center"/>
          </w:tcPr>
          <w:p w14:paraId="3BE291DA">
            <w:pPr>
              <w:pStyle w:val="7"/>
              <w:keepNext w:val="0"/>
              <w:keepLines w:val="0"/>
              <w:pageBreakBefore w:val="0"/>
              <w:kinsoku/>
              <w:wordWrap/>
              <w:overflowPunct/>
              <w:topLinePunct/>
              <w:autoSpaceDE/>
              <w:autoSpaceDN/>
              <w:bidi w:val="0"/>
              <w:adjustRightInd/>
              <w:snapToGrid/>
              <w:spacing w:line="500" w:lineRule="exact"/>
              <w:ind w:left="0" w:leftChars="0" w:firstLine="0" w:firstLineChars="0"/>
              <w:jc w:val="center"/>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09</w:t>
            </w:r>
          </w:p>
        </w:tc>
        <w:tc>
          <w:tcPr>
            <w:tcW w:w="773" w:type="dxa"/>
            <w:vAlign w:val="center"/>
          </w:tcPr>
          <w:p w14:paraId="48AA5B98">
            <w:pPr>
              <w:keepNext w:val="0"/>
              <w:keepLines w:val="0"/>
              <w:pageBreakBefore w:val="0"/>
              <w:widowControl w:val="0"/>
              <w:kinsoku/>
              <w:wordWrap/>
              <w:overflowPunct/>
              <w:topLinePunct/>
              <w:autoSpaceDE/>
              <w:autoSpaceDN/>
              <w:bidi w:val="0"/>
              <w:adjustRightInd/>
              <w:snapToGrid/>
              <w:spacing w:line="500" w:lineRule="exact"/>
              <w:ind w:left="0" w:leftChars="0" w:right="0" w:rightChars="0"/>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技术</w:t>
            </w:r>
          </w:p>
        </w:tc>
        <w:tc>
          <w:tcPr>
            <w:tcW w:w="1305" w:type="dxa"/>
            <w:vAlign w:val="center"/>
          </w:tcPr>
          <w:p w14:paraId="29E8EA72">
            <w:pPr>
              <w:pStyle w:val="7"/>
              <w:keepNext w:val="0"/>
              <w:keepLines w:val="0"/>
              <w:pageBreakBefore w:val="0"/>
              <w:kinsoku/>
              <w:wordWrap/>
              <w:overflowPunct/>
              <w:topLinePunct/>
              <w:autoSpaceDE/>
              <w:autoSpaceDN/>
              <w:bidi w:val="0"/>
              <w:adjustRightInd/>
              <w:snapToGrid/>
              <w:spacing w:line="500" w:lineRule="exact"/>
              <w:ind w:firstLine="0"/>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应急响应能力方案</w:t>
            </w:r>
          </w:p>
        </w:tc>
        <w:tc>
          <w:tcPr>
            <w:tcW w:w="5160" w:type="dxa"/>
            <w:vAlign w:val="center"/>
          </w:tcPr>
          <w:p w14:paraId="7112529F">
            <w:pPr>
              <w:pStyle w:val="7"/>
              <w:keepNext w:val="0"/>
              <w:keepLines w:val="0"/>
              <w:pageBreakBefore w:val="0"/>
              <w:widowControl/>
              <w:kinsoku/>
              <w:wordWrap/>
              <w:overflowPunct/>
              <w:topLinePunct/>
              <w:autoSpaceDE/>
              <w:autoSpaceDN/>
              <w:bidi w:val="0"/>
              <w:adjustRightInd/>
              <w:snapToGrid/>
              <w:spacing w:line="500" w:lineRule="exact"/>
              <w:ind w:firstLine="280" w:firstLineChars="1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对投标人提供的应急响应能力方案进行综合评价：</w:t>
            </w:r>
          </w:p>
          <w:p w14:paraId="12843ADF">
            <w:pPr>
              <w:pStyle w:val="7"/>
              <w:keepNext w:val="0"/>
              <w:keepLines w:val="0"/>
              <w:pageBreakBefore w:val="0"/>
              <w:widowControl/>
              <w:kinsoku/>
              <w:wordWrap/>
              <w:overflowPunct/>
              <w:topLinePunct/>
              <w:autoSpaceDE/>
              <w:autoSpaceDN/>
              <w:bidi w:val="0"/>
              <w:adjustRightInd/>
              <w:snapToGrid/>
              <w:spacing w:line="500" w:lineRule="exact"/>
              <w:ind w:firstLine="280" w:firstLineChars="1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方案详实明确，预见情形充分，断货、物资损坏、工期加急、极端天气、仓库检修等应急方案处理措施合法有力、灵活妥当，人员调配得当，有针对性，得10分，每有一处内容表述不完善或有瑕疵的扣2分，表述缺项的不得分。</w:t>
            </w:r>
          </w:p>
          <w:p w14:paraId="623796C9">
            <w:pPr>
              <w:pStyle w:val="7"/>
              <w:keepNext w:val="0"/>
              <w:keepLines w:val="0"/>
              <w:pageBreakBefore w:val="0"/>
              <w:widowControl/>
              <w:kinsoku/>
              <w:wordWrap/>
              <w:overflowPunct/>
              <w:topLinePunct/>
              <w:autoSpaceDE/>
              <w:autoSpaceDN/>
              <w:bidi w:val="0"/>
              <w:adjustRightInd/>
              <w:snapToGrid/>
              <w:spacing w:line="500" w:lineRule="exact"/>
              <w:ind w:firstLine="280" w:firstLineChars="1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注：本项所称“不完善或有瑕疵”是指：内容不完整或缺少关键点；非专门针对本项目或不适用本项目特性、套用其他项目内容；对同一问题前后表述矛盾、存在逻辑漏洞、科学原理或常识错误；不利于本项目目标的实现、现有条件下不可行等任意一种情形。</w:t>
            </w:r>
          </w:p>
        </w:tc>
        <w:tc>
          <w:tcPr>
            <w:tcW w:w="1054" w:type="dxa"/>
            <w:vAlign w:val="center"/>
          </w:tcPr>
          <w:p w14:paraId="408A2BFD">
            <w:pPr>
              <w:pStyle w:val="7"/>
              <w:keepNext w:val="0"/>
              <w:keepLines w:val="0"/>
              <w:pageBreakBefore w:val="0"/>
              <w:kinsoku/>
              <w:wordWrap/>
              <w:overflowPunct/>
              <w:topLinePunct/>
              <w:autoSpaceDE/>
              <w:autoSpaceDN/>
              <w:bidi w:val="0"/>
              <w:adjustRightInd/>
              <w:snapToGrid/>
              <w:spacing w:line="500" w:lineRule="exact"/>
              <w:ind w:firstLine="0" w:firstLineChars="0"/>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主观分</w:t>
            </w:r>
          </w:p>
        </w:tc>
        <w:tc>
          <w:tcPr>
            <w:tcW w:w="791" w:type="dxa"/>
            <w:vAlign w:val="center"/>
          </w:tcPr>
          <w:p w14:paraId="657DB999">
            <w:pPr>
              <w:pStyle w:val="7"/>
              <w:keepNext w:val="0"/>
              <w:keepLines w:val="0"/>
              <w:pageBreakBefore w:val="0"/>
              <w:kinsoku/>
              <w:wordWrap/>
              <w:overflowPunct/>
              <w:topLinePunct/>
              <w:autoSpaceDE/>
              <w:autoSpaceDN/>
              <w:bidi w:val="0"/>
              <w:adjustRightInd/>
              <w:snapToGrid/>
              <w:spacing w:line="500" w:lineRule="exact"/>
              <w:ind w:firstLine="0" w:firstLineChars="0"/>
              <w:jc w:val="center"/>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10</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0</w:t>
            </w:r>
          </w:p>
        </w:tc>
      </w:tr>
      <w:tr w14:paraId="2BB8BA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shd w:val="clear" w:color="auto" w:fill="auto"/>
            <w:vAlign w:val="center"/>
          </w:tcPr>
          <w:p w14:paraId="77CB7414">
            <w:pPr>
              <w:pStyle w:val="7"/>
              <w:keepNext w:val="0"/>
              <w:keepLines w:val="0"/>
              <w:pageBreakBefore w:val="0"/>
              <w:kinsoku/>
              <w:wordWrap/>
              <w:overflowPunct/>
              <w:topLinePunct/>
              <w:autoSpaceDE/>
              <w:autoSpaceDN/>
              <w:bidi w:val="0"/>
              <w:adjustRightInd/>
              <w:snapToGrid/>
              <w:spacing w:line="500" w:lineRule="exact"/>
              <w:ind w:left="0" w:leftChars="0" w:firstLine="0" w:firstLineChars="0"/>
              <w:jc w:val="center"/>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10</w:t>
            </w:r>
          </w:p>
        </w:tc>
        <w:tc>
          <w:tcPr>
            <w:tcW w:w="773" w:type="dxa"/>
            <w:vAlign w:val="center"/>
          </w:tcPr>
          <w:p w14:paraId="2C75D441">
            <w:pPr>
              <w:keepNext w:val="0"/>
              <w:keepLines w:val="0"/>
              <w:pageBreakBefore w:val="0"/>
              <w:widowControl w:val="0"/>
              <w:kinsoku/>
              <w:wordWrap/>
              <w:overflowPunct/>
              <w:topLinePunct/>
              <w:autoSpaceDE/>
              <w:autoSpaceDN/>
              <w:bidi w:val="0"/>
              <w:adjustRightInd/>
              <w:snapToGrid/>
              <w:spacing w:line="500" w:lineRule="exact"/>
              <w:ind w:left="0" w:leftChars="0" w:right="0" w:rightChars="0"/>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技术</w:t>
            </w:r>
          </w:p>
        </w:tc>
        <w:tc>
          <w:tcPr>
            <w:tcW w:w="1305" w:type="dxa"/>
            <w:vAlign w:val="center"/>
          </w:tcPr>
          <w:p w14:paraId="5F755F8B">
            <w:pPr>
              <w:pStyle w:val="7"/>
              <w:keepNext w:val="0"/>
              <w:keepLines w:val="0"/>
              <w:pageBreakBefore w:val="0"/>
              <w:kinsoku/>
              <w:wordWrap/>
              <w:overflowPunct/>
              <w:topLinePunct/>
              <w:autoSpaceDE/>
              <w:autoSpaceDN/>
              <w:bidi w:val="0"/>
              <w:adjustRightInd/>
              <w:snapToGrid/>
              <w:spacing w:line="500" w:lineRule="exact"/>
              <w:ind w:firstLine="0"/>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售后服务保障与支持</w:t>
            </w:r>
          </w:p>
        </w:tc>
        <w:tc>
          <w:tcPr>
            <w:tcW w:w="5160" w:type="dxa"/>
            <w:vAlign w:val="center"/>
          </w:tcPr>
          <w:p w14:paraId="061A2091">
            <w:pPr>
              <w:pStyle w:val="7"/>
              <w:keepNext w:val="0"/>
              <w:keepLines w:val="0"/>
              <w:pageBreakBefore w:val="0"/>
              <w:widowControl/>
              <w:kinsoku/>
              <w:wordWrap/>
              <w:overflowPunct/>
              <w:topLinePunct/>
              <w:autoSpaceDE/>
              <w:autoSpaceDN/>
              <w:bidi w:val="0"/>
              <w:adjustRightInd/>
              <w:snapToGrid/>
              <w:spacing w:line="500" w:lineRule="exact"/>
              <w:ind w:firstLine="280" w:firstLineChars="1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对投标人的售后服务方案（包含质保期内的售后服务方案、响应时间承诺、服务标准承诺、因产品质量问题造成事故的责任承担及赔偿方案、退换货措施），进行综合评价：</w:t>
            </w:r>
          </w:p>
          <w:p w14:paraId="74F1EFE5">
            <w:pPr>
              <w:pStyle w:val="7"/>
              <w:keepNext w:val="0"/>
              <w:keepLines w:val="0"/>
              <w:pageBreakBefore w:val="0"/>
              <w:widowControl/>
              <w:kinsoku/>
              <w:wordWrap/>
              <w:overflowPunct/>
              <w:topLinePunct/>
              <w:autoSpaceDE/>
              <w:autoSpaceDN/>
              <w:bidi w:val="0"/>
              <w:adjustRightInd/>
              <w:snapToGrid/>
              <w:spacing w:line="500" w:lineRule="exact"/>
              <w:ind w:firstLine="280" w:firstLineChars="1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售后服务方案详实明确、流程及保证措施清晰合理的，得10分，在此基础上每发现一处表述不清晰、不合理或不满足本次采购要求的扣2分，扣完为止。</w:t>
            </w:r>
          </w:p>
        </w:tc>
        <w:tc>
          <w:tcPr>
            <w:tcW w:w="1054" w:type="dxa"/>
            <w:vAlign w:val="center"/>
          </w:tcPr>
          <w:p w14:paraId="69E4C98B">
            <w:pPr>
              <w:pStyle w:val="7"/>
              <w:keepNext w:val="0"/>
              <w:keepLines w:val="0"/>
              <w:pageBreakBefore w:val="0"/>
              <w:kinsoku/>
              <w:wordWrap/>
              <w:overflowPunct/>
              <w:topLinePunct/>
              <w:autoSpaceDE/>
              <w:autoSpaceDN/>
              <w:bidi w:val="0"/>
              <w:adjustRightInd/>
              <w:snapToGrid/>
              <w:spacing w:line="500" w:lineRule="exact"/>
              <w:ind w:firstLine="0" w:firstLineChars="0"/>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主观分</w:t>
            </w:r>
          </w:p>
        </w:tc>
        <w:tc>
          <w:tcPr>
            <w:tcW w:w="791" w:type="dxa"/>
            <w:vAlign w:val="center"/>
          </w:tcPr>
          <w:p w14:paraId="4E5B51FA">
            <w:pPr>
              <w:pStyle w:val="7"/>
              <w:keepNext w:val="0"/>
              <w:keepLines w:val="0"/>
              <w:pageBreakBefore w:val="0"/>
              <w:kinsoku/>
              <w:wordWrap/>
              <w:overflowPunct/>
              <w:topLinePunct/>
              <w:autoSpaceDE/>
              <w:autoSpaceDN/>
              <w:bidi w:val="0"/>
              <w:adjustRightInd/>
              <w:snapToGrid/>
              <w:spacing w:line="500" w:lineRule="exact"/>
              <w:ind w:firstLine="0" w:firstLineChars="0"/>
              <w:jc w:val="center"/>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10</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0</w:t>
            </w:r>
          </w:p>
        </w:tc>
      </w:tr>
    </w:tbl>
    <w:p w14:paraId="0EB96027">
      <w:pPr>
        <w:keepNext w:val="0"/>
        <w:keepLines w:val="0"/>
        <w:pageBreakBefore w:val="0"/>
        <w:kinsoku/>
        <w:overflowPunct/>
        <w:topLinePunct/>
        <w:autoSpaceDE/>
        <w:autoSpaceDN/>
        <w:bidi w:val="0"/>
        <w:spacing w:line="56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注：①本细则只针对有效投标文件予以评分。</w:t>
      </w:r>
    </w:p>
    <w:p w14:paraId="2ABEE57E">
      <w:pPr>
        <w:keepNext w:val="0"/>
        <w:keepLines w:val="0"/>
        <w:pageBreakBefore w:val="0"/>
        <w:kinsoku/>
        <w:overflowPunct/>
        <w:topLinePunct/>
        <w:autoSpaceDE/>
        <w:autoSpaceDN/>
        <w:bidi w:val="0"/>
        <w:spacing w:line="56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②计算得分时，四舍五入保留至小数点后二位。</w:t>
      </w:r>
    </w:p>
    <w:p w14:paraId="6D385FDD">
      <w:pPr>
        <w:keepNext w:val="0"/>
        <w:keepLines w:val="0"/>
        <w:pageBreakBefore w:val="0"/>
        <w:kinsoku/>
        <w:overflowPunct/>
        <w:topLinePunct/>
        <w:autoSpaceDE/>
        <w:autoSpaceDN/>
        <w:bidi w:val="0"/>
        <w:spacing w:line="56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③汇总各评委打分进行算术平均，计算出各投标人的综合</w:t>
      </w:r>
      <w:r>
        <w:rPr>
          <w:rFonts w:hint="eastAsia" w:ascii="仿宋" w:hAnsi="仿宋" w:eastAsia="仿宋" w:cs="仿宋"/>
          <w:color w:val="auto"/>
          <w:sz w:val="28"/>
          <w:szCs w:val="28"/>
          <w:highlight w:val="none"/>
          <w:lang w:val="en-US" w:eastAsia="zh-CN"/>
        </w:rPr>
        <w:t>得分。</w:t>
      </w:r>
    </w:p>
    <w:p w14:paraId="663BD3D9">
      <w:pPr>
        <w:keepNext w:val="0"/>
        <w:keepLines w:val="0"/>
        <w:pageBreakBefore w:val="0"/>
        <w:widowControl w:val="0"/>
        <w:kinsoku/>
        <w:wordWrap/>
        <w:overflowPunct/>
        <w:topLinePunct/>
        <w:autoSpaceDE/>
        <w:autoSpaceDN/>
        <w:bidi w:val="0"/>
        <w:adjustRightInd/>
        <w:snapToGrid/>
        <w:spacing w:line="540" w:lineRule="exact"/>
        <w:textAlignment w:val="auto"/>
        <w:outlineLvl w:val="1"/>
        <w:rPr>
          <w:rFonts w:hint="eastAsia" w:ascii="仿宋" w:hAnsi="仿宋" w:eastAsia="仿宋" w:cs="仿宋"/>
          <w:b/>
          <w:bCs/>
          <w:color w:val="auto"/>
          <w:sz w:val="28"/>
          <w:szCs w:val="28"/>
          <w:highlight w:val="none"/>
          <w:lang w:val="en-US" w:eastAsia="zh-CN"/>
        </w:rPr>
      </w:pPr>
      <w:bookmarkStart w:id="24" w:name="_Toc24274"/>
      <w:bookmarkStart w:id="25" w:name="_Toc130891916"/>
      <w:r>
        <w:rPr>
          <w:rFonts w:hint="eastAsia" w:ascii="仿宋" w:hAnsi="仿宋" w:eastAsia="仿宋" w:cs="仿宋"/>
          <w:b/>
          <w:bCs/>
          <w:color w:val="auto"/>
          <w:sz w:val="28"/>
          <w:szCs w:val="28"/>
          <w:highlight w:val="none"/>
          <w:lang w:val="en-US" w:eastAsia="zh-CN"/>
        </w:rPr>
        <w:t>四、编写评标报告</w:t>
      </w:r>
      <w:bookmarkEnd w:id="24"/>
      <w:bookmarkEnd w:id="25"/>
    </w:p>
    <w:p w14:paraId="27BBC57D">
      <w:pPr>
        <w:keepNext w:val="0"/>
        <w:keepLines w:val="0"/>
        <w:pageBreakBefore w:val="0"/>
        <w:kinsoku/>
        <w:overflowPunct/>
        <w:topLinePunct/>
        <w:autoSpaceDE/>
        <w:autoSpaceDN/>
        <w:bidi w:val="0"/>
        <w:spacing w:line="56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依据评标委员会签字的原始记录和评标结果，按照规定的内容要求编写评标报告，并由全体评委签名。</w:t>
      </w:r>
    </w:p>
    <w:p w14:paraId="03C3B83A">
      <w:pPr>
        <w:keepNext w:val="0"/>
        <w:keepLines w:val="0"/>
        <w:pageBreakBefore w:val="0"/>
        <w:widowControl w:val="0"/>
        <w:kinsoku/>
        <w:wordWrap/>
        <w:overflowPunct/>
        <w:topLinePunct/>
        <w:autoSpaceDE/>
        <w:autoSpaceDN/>
        <w:bidi w:val="0"/>
        <w:adjustRightInd/>
        <w:snapToGrid/>
        <w:spacing w:line="540" w:lineRule="exact"/>
        <w:textAlignment w:val="auto"/>
        <w:outlineLvl w:val="1"/>
        <w:rPr>
          <w:rFonts w:hint="eastAsia" w:ascii="仿宋" w:hAnsi="仿宋" w:eastAsia="仿宋" w:cs="仿宋"/>
          <w:b/>
          <w:bCs/>
          <w:color w:val="auto"/>
          <w:sz w:val="28"/>
          <w:szCs w:val="28"/>
          <w:highlight w:val="none"/>
          <w:lang w:val="en-US" w:eastAsia="zh-CN"/>
        </w:rPr>
      </w:pPr>
      <w:bookmarkStart w:id="26" w:name="_Toc16352"/>
      <w:r>
        <w:rPr>
          <w:rFonts w:hint="eastAsia" w:ascii="仿宋" w:hAnsi="仿宋" w:eastAsia="仿宋" w:cs="仿宋"/>
          <w:b/>
          <w:bCs/>
          <w:color w:val="auto"/>
          <w:sz w:val="28"/>
          <w:szCs w:val="28"/>
          <w:highlight w:val="none"/>
          <w:lang w:val="en-US" w:eastAsia="zh-CN"/>
        </w:rPr>
        <w:t>五、定标</w:t>
      </w:r>
      <w:bookmarkEnd w:id="26"/>
    </w:p>
    <w:p w14:paraId="1A72B8B7">
      <w:pPr>
        <w:keepNext w:val="0"/>
        <w:keepLines w:val="0"/>
        <w:pageBreakBefore w:val="0"/>
        <w:kinsoku/>
        <w:overflowPunct/>
        <w:topLinePunct/>
        <w:autoSpaceDE/>
        <w:autoSpaceDN/>
        <w:bidi w:val="0"/>
        <w:spacing w:line="520" w:lineRule="exact"/>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w:t>
      </w:r>
      <w:r>
        <w:rPr>
          <w:rFonts w:hint="eastAsia" w:ascii="仿宋" w:hAnsi="仿宋" w:eastAsia="仿宋" w:cs="仿宋"/>
          <w:color w:val="auto"/>
          <w:sz w:val="28"/>
          <w:szCs w:val="21"/>
          <w:highlight w:val="none"/>
          <w:lang w:eastAsia="zh-CN"/>
        </w:rPr>
        <w:t>.</w:t>
      </w:r>
      <w:r>
        <w:rPr>
          <w:rFonts w:hint="eastAsia" w:ascii="仿宋" w:hAnsi="仿宋" w:eastAsia="仿宋" w:cs="仿宋"/>
          <w:color w:val="auto"/>
          <w:sz w:val="28"/>
          <w:szCs w:val="21"/>
          <w:highlight w:val="none"/>
        </w:rPr>
        <w:t>评标委员会根据招标文件载明的评标细则进行综合评审，并按评审后综合得分由高到低顺序排列，</w:t>
      </w:r>
      <w:r>
        <w:rPr>
          <w:rFonts w:hint="eastAsia" w:ascii="仿宋" w:hAnsi="仿宋" w:eastAsia="仿宋" w:cs="仿宋"/>
          <w:color w:val="auto"/>
          <w:sz w:val="28"/>
          <w:szCs w:val="21"/>
          <w:highlight w:val="none"/>
          <w:lang w:val="en-US" w:eastAsia="zh-CN"/>
        </w:rPr>
        <w:t>确定排名第一的投标人为中标</w:t>
      </w:r>
      <w:r>
        <w:rPr>
          <w:rFonts w:hint="eastAsia" w:ascii="仿宋" w:hAnsi="仿宋" w:eastAsia="仿宋" w:cs="仿宋"/>
          <w:color w:val="auto"/>
          <w:sz w:val="28"/>
          <w:szCs w:val="21"/>
          <w:highlight w:val="none"/>
        </w:rPr>
        <w:t>人。</w:t>
      </w:r>
    </w:p>
    <w:p w14:paraId="42B68E33">
      <w:pPr>
        <w:keepNext w:val="0"/>
        <w:keepLines w:val="0"/>
        <w:pageBreakBefore w:val="0"/>
        <w:kinsoku/>
        <w:overflowPunct/>
        <w:topLinePunct/>
        <w:autoSpaceDE/>
        <w:autoSpaceDN/>
        <w:bidi w:val="0"/>
        <w:spacing w:line="520" w:lineRule="exact"/>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2</w:t>
      </w:r>
      <w:r>
        <w:rPr>
          <w:rFonts w:hint="eastAsia" w:ascii="仿宋" w:hAnsi="仿宋" w:eastAsia="仿宋" w:cs="仿宋"/>
          <w:color w:val="auto"/>
          <w:sz w:val="28"/>
          <w:szCs w:val="21"/>
          <w:highlight w:val="none"/>
          <w:lang w:eastAsia="zh-CN"/>
        </w:rPr>
        <w:t>.</w:t>
      </w:r>
      <w:r>
        <w:rPr>
          <w:rFonts w:hint="eastAsia" w:ascii="仿宋" w:hAnsi="仿宋" w:eastAsia="仿宋" w:cs="仿宋"/>
          <w:color w:val="auto"/>
          <w:sz w:val="28"/>
          <w:szCs w:val="21"/>
          <w:highlight w:val="none"/>
        </w:rPr>
        <w:t>评标结束后，公示无异议确定排名第一的为中标人。如发现中标人存在与招标文件、投标文件不符或弄虚作假等其它违法行为，经招标人同意，取消中标人资格，由排名次之的中标，依次类推或重新招标。</w:t>
      </w:r>
    </w:p>
    <w:p w14:paraId="62F69998">
      <w:pPr>
        <w:keepNext w:val="0"/>
        <w:keepLines w:val="0"/>
        <w:pageBreakBefore w:val="0"/>
        <w:kinsoku/>
        <w:overflowPunct/>
        <w:topLinePunct/>
        <w:autoSpaceDE/>
        <w:autoSpaceDN/>
        <w:bidi w:val="0"/>
        <w:spacing w:line="56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1"/>
          <w:highlight w:val="none"/>
        </w:rPr>
        <w:t>3</w:t>
      </w:r>
      <w:r>
        <w:rPr>
          <w:rFonts w:hint="eastAsia" w:ascii="仿宋" w:hAnsi="仿宋" w:eastAsia="仿宋" w:cs="仿宋"/>
          <w:color w:val="auto"/>
          <w:sz w:val="28"/>
          <w:szCs w:val="21"/>
          <w:highlight w:val="none"/>
          <w:lang w:eastAsia="zh-CN"/>
        </w:rPr>
        <w:t>.</w:t>
      </w:r>
      <w:r>
        <w:rPr>
          <w:rFonts w:hint="eastAsia" w:ascii="仿宋" w:hAnsi="仿宋" w:eastAsia="仿宋" w:cs="仿宋"/>
          <w:color w:val="auto"/>
          <w:sz w:val="28"/>
          <w:szCs w:val="21"/>
          <w:highlight w:val="none"/>
        </w:rPr>
        <w:t>评标结果将在原招标公告发布媒介予以公告。</w:t>
      </w:r>
      <w:r>
        <w:rPr>
          <w:rFonts w:hint="eastAsia" w:ascii="仿宋" w:hAnsi="仿宋" w:eastAsia="仿宋" w:cs="仿宋"/>
          <w:color w:val="auto"/>
          <w:sz w:val="28"/>
          <w:szCs w:val="28"/>
          <w:highlight w:val="none"/>
        </w:rPr>
        <w:t>中标公告期限为1个工作日。</w:t>
      </w:r>
    </w:p>
    <w:p w14:paraId="290E3A6E">
      <w:pPr>
        <w:keepNext w:val="0"/>
        <w:keepLines w:val="0"/>
        <w:pageBreakBefore w:val="0"/>
        <w:widowControl w:val="0"/>
        <w:kinsoku/>
        <w:wordWrap/>
        <w:overflowPunct/>
        <w:topLinePunct/>
        <w:autoSpaceDE/>
        <w:autoSpaceDN/>
        <w:bidi w:val="0"/>
        <w:adjustRightInd/>
        <w:snapToGrid/>
        <w:spacing w:line="540" w:lineRule="exact"/>
        <w:textAlignment w:val="auto"/>
        <w:outlineLvl w:val="1"/>
        <w:rPr>
          <w:rFonts w:hint="eastAsia" w:ascii="仿宋" w:hAnsi="仿宋" w:eastAsia="仿宋" w:cs="仿宋"/>
          <w:b/>
          <w:bCs/>
          <w:color w:val="auto"/>
          <w:sz w:val="28"/>
          <w:szCs w:val="28"/>
          <w:highlight w:val="none"/>
          <w:lang w:val="en-US" w:eastAsia="zh-CN"/>
        </w:rPr>
      </w:pPr>
      <w:bookmarkStart w:id="27" w:name="_Toc130891919"/>
      <w:bookmarkStart w:id="28" w:name="_Toc10724"/>
      <w:r>
        <w:rPr>
          <w:rFonts w:hint="eastAsia" w:ascii="仿宋" w:hAnsi="仿宋" w:eastAsia="仿宋" w:cs="仿宋"/>
          <w:b/>
          <w:bCs/>
          <w:color w:val="auto"/>
          <w:sz w:val="28"/>
          <w:szCs w:val="28"/>
          <w:highlight w:val="none"/>
          <w:lang w:val="en-US" w:eastAsia="zh-CN"/>
        </w:rPr>
        <w:t>六、签发中标通知书</w:t>
      </w:r>
      <w:bookmarkEnd w:id="27"/>
      <w:bookmarkEnd w:id="28"/>
    </w:p>
    <w:p w14:paraId="2A9E98F3">
      <w:pPr>
        <w:keepNext w:val="0"/>
        <w:keepLines w:val="0"/>
        <w:pageBreakBefore w:val="0"/>
        <w:kinsoku/>
        <w:overflowPunct/>
        <w:topLinePunct/>
        <w:autoSpaceDE/>
        <w:autoSpaceDN/>
        <w:bidi w:val="0"/>
        <w:spacing w:line="520" w:lineRule="exact"/>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中标公告结束且无尚未处理的异议后，招标人和代理机构联合向中标人发出中标通知书，《中标通知书》是合同的组成部分,对中标人和招标人具有同等法律效力。《中标通知书》发出后，招标人不得违法改变中标结果，中标人无正当理由不得放弃中标。</w:t>
      </w:r>
    </w:p>
    <w:p w14:paraId="4333656C">
      <w:pPr>
        <w:keepNext w:val="0"/>
        <w:keepLines w:val="0"/>
        <w:pageBreakBefore w:val="0"/>
        <w:widowControl w:val="0"/>
        <w:kinsoku/>
        <w:wordWrap/>
        <w:overflowPunct/>
        <w:topLinePunct/>
        <w:autoSpaceDE/>
        <w:autoSpaceDN/>
        <w:bidi w:val="0"/>
        <w:adjustRightInd/>
        <w:snapToGrid/>
        <w:spacing w:line="540" w:lineRule="exact"/>
        <w:textAlignment w:val="auto"/>
        <w:outlineLvl w:val="1"/>
        <w:rPr>
          <w:rFonts w:hint="eastAsia" w:ascii="仿宋" w:hAnsi="仿宋" w:eastAsia="仿宋" w:cs="仿宋"/>
          <w:b/>
          <w:bCs/>
          <w:color w:val="auto"/>
          <w:sz w:val="28"/>
          <w:szCs w:val="28"/>
          <w:highlight w:val="none"/>
          <w:lang w:val="en-US" w:eastAsia="zh-CN"/>
        </w:rPr>
      </w:pPr>
      <w:bookmarkStart w:id="29" w:name="_Toc12417"/>
      <w:bookmarkStart w:id="30" w:name="_Toc130891920"/>
      <w:r>
        <w:rPr>
          <w:rFonts w:hint="eastAsia" w:ascii="仿宋" w:hAnsi="仿宋" w:eastAsia="仿宋" w:cs="仿宋"/>
          <w:b/>
          <w:bCs/>
          <w:color w:val="auto"/>
          <w:sz w:val="28"/>
          <w:szCs w:val="28"/>
          <w:highlight w:val="none"/>
          <w:lang w:val="en-US" w:eastAsia="zh-CN"/>
        </w:rPr>
        <w:t>七、签订合同</w:t>
      </w:r>
      <w:bookmarkEnd w:id="29"/>
      <w:bookmarkEnd w:id="30"/>
    </w:p>
    <w:p w14:paraId="34EF8DE4">
      <w:pPr>
        <w:keepNext w:val="0"/>
        <w:keepLines w:val="0"/>
        <w:pageBreakBefore w:val="0"/>
        <w:kinsoku/>
        <w:overflowPunct/>
        <w:topLinePunct/>
        <w:autoSpaceDE/>
        <w:autoSpaceDN/>
        <w:bidi w:val="0"/>
        <w:spacing w:line="520" w:lineRule="exact"/>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w:t>
      </w:r>
      <w:r>
        <w:rPr>
          <w:rFonts w:hint="eastAsia" w:ascii="仿宋" w:hAnsi="仿宋" w:eastAsia="仿宋" w:cs="仿宋"/>
          <w:color w:val="auto"/>
          <w:sz w:val="28"/>
          <w:szCs w:val="21"/>
          <w:highlight w:val="none"/>
          <w:lang w:eastAsia="zh-CN"/>
        </w:rPr>
        <w:t>.</w:t>
      </w:r>
      <w:r>
        <w:rPr>
          <w:rFonts w:hint="eastAsia" w:ascii="仿宋" w:hAnsi="仿宋" w:eastAsia="仿宋" w:cs="仿宋"/>
          <w:color w:val="auto"/>
          <w:sz w:val="28"/>
          <w:szCs w:val="21"/>
          <w:highlight w:val="none"/>
        </w:rPr>
        <w:t>中标合同原则以第六章</w:t>
      </w:r>
      <w:r>
        <w:rPr>
          <w:rFonts w:hint="eastAsia" w:ascii="仿宋" w:hAnsi="仿宋" w:eastAsia="仿宋" w:cs="仿宋"/>
          <w:color w:val="auto"/>
          <w:sz w:val="28"/>
          <w:szCs w:val="21"/>
          <w:highlight w:val="none"/>
          <w:lang w:val="en-US" w:eastAsia="zh-CN"/>
        </w:rPr>
        <w:t>合同（范本）</w:t>
      </w:r>
      <w:r>
        <w:rPr>
          <w:rFonts w:hint="eastAsia" w:ascii="仿宋" w:hAnsi="仿宋" w:eastAsia="仿宋" w:cs="仿宋"/>
          <w:color w:val="auto"/>
          <w:sz w:val="28"/>
          <w:szCs w:val="21"/>
          <w:highlight w:val="none"/>
        </w:rPr>
        <w:t>为基础，并根据投标、答疑情况进行修改补充，自签订之日起生效。</w:t>
      </w:r>
    </w:p>
    <w:p w14:paraId="02B82065">
      <w:pPr>
        <w:keepNext w:val="0"/>
        <w:keepLines w:val="0"/>
        <w:pageBreakBefore w:val="0"/>
        <w:kinsoku/>
        <w:overflowPunct/>
        <w:topLinePunct/>
        <w:autoSpaceDE/>
        <w:autoSpaceDN/>
        <w:bidi w:val="0"/>
        <w:spacing w:line="520" w:lineRule="exact"/>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2</w:t>
      </w:r>
      <w:r>
        <w:rPr>
          <w:rFonts w:hint="eastAsia" w:ascii="仿宋" w:hAnsi="仿宋" w:eastAsia="仿宋" w:cs="仿宋"/>
          <w:color w:val="auto"/>
          <w:sz w:val="28"/>
          <w:szCs w:val="21"/>
          <w:highlight w:val="none"/>
          <w:lang w:eastAsia="zh-CN"/>
        </w:rPr>
        <w:t>.</w:t>
      </w:r>
      <w:r>
        <w:rPr>
          <w:rFonts w:hint="eastAsia" w:ascii="仿宋" w:hAnsi="仿宋" w:eastAsia="仿宋" w:cs="仿宋"/>
          <w:color w:val="auto"/>
          <w:sz w:val="28"/>
          <w:szCs w:val="21"/>
          <w:highlight w:val="none"/>
        </w:rPr>
        <w:t>中标人在规定的期限内无正当理由拒绝签订合同,取消原中标决定，招标人可以按照评标报告推荐的中标候选人名单排序，与排名次之的中标候选人签订合同或重新组织招标。</w:t>
      </w:r>
    </w:p>
    <w:p w14:paraId="05A51977">
      <w:pPr>
        <w:keepNext w:val="0"/>
        <w:keepLines w:val="0"/>
        <w:pageBreakBefore w:val="0"/>
        <w:kinsoku/>
        <w:overflowPunct/>
        <w:topLinePunct/>
        <w:autoSpaceDE/>
        <w:autoSpaceDN/>
        <w:bidi w:val="0"/>
        <w:spacing w:line="520" w:lineRule="exact"/>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3</w:t>
      </w:r>
      <w:r>
        <w:rPr>
          <w:rFonts w:hint="eastAsia" w:ascii="仿宋" w:hAnsi="仿宋" w:eastAsia="仿宋" w:cs="仿宋"/>
          <w:color w:val="auto"/>
          <w:sz w:val="28"/>
          <w:szCs w:val="21"/>
          <w:highlight w:val="none"/>
          <w:lang w:eastAsia="zh-CN"/>
        </w:rPr>
        <w:t>.</w:t>
      </w:r>
      <w:r>
        <w:rPr>
          <w:rFonts w:hint="eastAsia" w:ascii="仿宋" w:hAnsi="仿宋" w:eastAsia="仿宋" w:cs="仿宋"/>
          <w:color w:val="auto"/>
          <w:sz w:val="28"/>
          <w:szCs w:val="21"/>
          <w:highlight w:val="none"/>
        </w:rPr>
        <w:t>中标合同，按照监督部门的要求，通过威海市国有企业阳光采购电子化服务平台进行签订。</w:t>
      </w:r>
    </w:p>
    <w:p w14:paraId="75CEEC8C">
      <w:pPr>
        <w:keepNext w:val="0"/>
        <w:keepLines w:val="0"/>
        <w:pageBreakBefore w:val="0"/>
        <w:kinsoku/>
        <w:overflowPunct/>
        <w:topLinePunct/>
        <w:autoSpaceDE/>
        <w:autoSpaceDN/>
        <w:bidi w:val="0"/>
        <w:spacing w:line="520" w:lineRule="exact"/>
        <w:ind w:firstLine="560" w:firstLineChars="200"/>
        <w:textAlignment w:val="auto"/>
        <w:rPr>
          <w:rFonts w:hint="eastAsia" w:ascii="仿宋" w:hAnsi="仿宋" w:eastAsia="仿宋" w:cs="仿宋"/>
          <w:color w:val="auto"/>
          <w:sz w:val="28"/>
          <w:szCs w:val="21"/>
          <w:highlight w:val="none"/>
        </w:rPr>
        <w:sectPr>
          <w:pgSz w:w="11906" w:h="16838"/>
          <w:pgMar w:top="1280" w:right="1142" w:bottom="1118" w:left="1324" w:header="454" w:footer="680" w:gutter="0"/>
          <w:pgNumType w:fmt="decimal"/>
          <w:cols w:space="0" w:num="1"/>
          <w:docGrid w:linePitch="312" w:charSpace="0"/>
        </w:sectPr>
      </w:pPr>
    </w:p>
    <w:p w14:paraId="0BC74B6C">
      <w:pPr>
        <w:pStyle w:val="24"/>
        <w:keepNext w:val="0"/>
        <w:keepLines w:val="0"/>
        <w:pageBreakBefore w:val="0"/>
        <w:numPr>
          <w:ilvl w:val="0"/>
          <w:numId w:val="0"/>
        </w:numPr>
        <w:kinsoku/>
        <w:overflowPunct/>
        <w:topLinePunct/>
        <w:autoSpaceDE/>
        <w:autoSpaceDN/>
        <w:bidi w:val="0"/>
        <w:spacing w:before="100" w:beforeAutospacing="1" w:after="100" w:afterAutospacing="1" w:line="240" w:lineRule="auto"/>
        <w:ind w:left="1440" w:leftChars="0" w:hanging="1440" w:firstLineChars="0"/>
        <w:jc w:val="center"/>
        <w:textAlignment w:val="auto"/>
        <w:rPr>
          <w:rFonts w:hint="eastAsia" w:ascii="仿宋" w:hAnsi="仿宋" w:eastAsia="仿宋" w:cs="仿宋"/>
          <w:b/>
          <w:bCs/>
          <w:color w:val="auto"/>
          <w:kern w:val="0"/>
          <w:sz w:val="48"/>
          <w:szCs w:val="48"/>
          <w:highlight w:val="none"/>
          <w:lang w:val="en-US" w:eastAsia="zh-CN" w:bidi="ar-SA"/>
        </w:rPr>
      </w:pPr>
      <w:bookmarkStart w:id="31" w:name="_Toc3232"/>
      <w:bookmarkStart w:id="32" w:name="_Toc156836841"/>
      <w:bookmarkStart w:id="33" w:name="_Toc18976"/>
      <w:r>
        <w:rPr>
          <w:rFonts w:hint="eastAsia" w:ascii="仿宋" w:hAnsi="仿宋" w:eastAsia="仿宋" w:cs="仿宋"/>
          <w:b/>
          <w:bCs/>
          <w:color w:val="auto"/>
          <w:kern w:val="0"/>
          <w:sz w:val="48"/>
          <w:szCs w:val="48"/>
          <w:highlight w:val="none"/>
          <w:lang w:val="en-US" w:eastAsia="zh-CN" w:bidi="ar-SA"/>
        </w:rPr>
        <w:t xml:space="preserve">第五章 </w:t>
      </w:r>
      <w:bookmarkEnd w:id="31"/>
      <w:bookmarkEnd w:id="32"/>
      <w:r>
        <w:rPr>
          <w:rFonts w:hint="eastAsia" w:ascii="仿宋" w:hAnsi="仿宋" w:eastAsia="仿宋" w:cs="仿宋"/>
          <w:b/>
          <w:bCs/>
          <w:color w:val="auto"/>
          <w:kern w:val="0"/>
          <w:sz w:val="48"/>
          <w:szCs w:val="48"/>
          <w:highlight w:val="none"/>
          <w:lang w:val="en-US" w:eastAsia="zh-CN" w:bidi="ar-SA"/>
        </w:rPr>
        <w:t>投标文件（格式）</w:t>
      </w:r>
      <w:bookmarkEnd w:id="33"/>
    </w:p>
    <w:p w14:paraId="7D38F938">
      <w:pPr>
        <w:pStyle w:val="33"/>
        <w:keepNext w:val="0"/>
        <w:keepLines w:val="0"/>
        <w:pageBreakBefore w:val="0"/>
        <w:kinsoku/>
        <w:overflowPunct/>
        <w:topLinePunct/>
        <w:autoSpaceDE/>
        <w:autoSpaceDN/>
        <w:bidi w:val="0"/>
        <w:textAlignment w:val="auto"/>
        <w:rPr>
          <w:rFonts w:hint="eastAsia" w:ascii="仿宋" w:hAnsi="仿宋" w:eastAsia="仿宋" w:cs="仿宋"/>
          <w:color w:val="auto"/>
          <w:highlight w:val="none"/>
        </w:rPr>
      </w:pPr>
    </w:p>
    <w:p w14:paraId="47E16117">
      <w:pPr>
        <w:keepNext w:val="0"/>
        <w:keepLines w:val="0"/>
        <w:pageBreakBefore w:val="0"/>
        <w:kinsoku/>
        <w:overflowPunct/>
        <w:topLinePunct/>
        <w:autoSpaceDE/>
        <w:autoSpaceDN/>
        <w:bidi w:val="0"/>
        <w:textAlignment w:val="auto"/>
        <w:rPr>
          <w:rFonts w:hint="eastAsia" w:ascii="仿宋" w:hAnsi="仿宋" w:eastAsia="仿宋" w:cs="仿宋"/>
          <w:color w:val="auto"/>
          <w:sz w:val="84"/>
          <w:highlight w:val="none"/>
        </w:rPr>
        <w:sectPr>
          <w:pgSz w:w="11906" w:h="16838"/>
          <w:pgMar w:top="1280" w:right="1142" w:bottom="1118" w:left="1324" w:header="454" w:footer="680" w:gutter="0"/>
          <w:pgNumType w:fmt="decimal"/>
          <w:cols w:space="0" w:num="1"/>
          <w:docGrid w:linePitch="312" w:charSpace="0"/>
        </w:sectPr>
      </w:pPr>
    </w:p>
    <w:p w14:paraId="10F90A80">
      <w:pPr>
        <w:keepNext w:val="0"/>
        <w:keepLines w:val="0"/>
        <w:pageBreakBefore w:val="0"/>
        <w:kinsoku/>
        <w:overflowPunct/>
        <w:topLinePunct/>
        <w:autoSpaceDE/>
        <w:autoSpaceDN/>
        <w:bidi w:val="0"/>
        <w:textAlignment w:val="auto"/>
        <w:outlineLvl w:val="9"/>
        <w:rPr>
          <w:rFonts w:hint="eastAsia" w:ascii="仿宋" w:hAnsi="仿宋" w:eastAsia="仿宋" w:cs="仿宋"/>
          <w:color w:val="auto"/>
          <w:sz w:val="84"/>
          <w:highlight w:val="none"/>
        </w:rPr>
      </w:pPr>
    </w:p>
    <w:p w14:paraId="72ECB120">
      <w:pPr>
        <w:keepNext w:val="0"/>
        <w:keepLines w:val="0"/>
        <w:pageBreakBefore w:val="0"/>
        <w:kinsoku/>
        <w:overflowPunct/>
        <w:topLinePunct/>
        <w:autoSpaceDE/>
        <w:autoSpaceDN/>
        <w:bidi w:val="0"/>
        <w:textAlignment w:val="auto"/>
        <w:outlineLvl w:val="9"/>
        <w:rPr>
          <w:rFonts w:hint="eastAsia" w:ascii="仿宋" w:hAnsi="仿宋" w:eastAsia="仿宋" w:cs="仿宋"/>
          <w:color w:val="auto"/>
          <w:sz w:val="84"/>
          <w:highlight w:val="none"/>
        </w:rPr>
      </w:pPr>
    </w:p>
    <w:p w14:paraId="7F54AFD4">
      <w:pPr>
        <w:keepNext w:val="0"/>
        <w:keepLines w:val="0"/>
        <w:pageBreakBefore w:val="0"/>
        <w:kinsoku/>
        <w:overflowPunct/>
        <w:topLinePunct/>
        <w:autoSpaceDE/>
        <w:autoSpaceDN/>
        <w:bidi w:val="0"/>
        <w:textAlignment w:val="auto"/>
        <w:outlineLvl w:val="9"/>
        <w:rPr>
          <w:rFonts w:hint="eastAsia" w:ascii="仿宋" w:hAnsi="仿宋" w:eastAsia="仿宋" w:cs="仿宋"/>
          <w:color w:val="auto"/>
          <w:sz w:val="84"/>
          <w:highlight w:val="none"/>
        </w:rPr>
      </w:pPr>
    </w:p>
    <w:p w14:paraId="13CE676B">
      <w:pPr>
        <w:keepNext w:val="0"/>
        <w:keepLines w:val="0"/>
        <w:pageBreakBefore w:val="0"/>
        <w:kinsoku/>
        <w:overflowPunct/>
        <w:topLinePunct/>
        <w:autoSpaceDE/>
        <w:autoSpaceDN/>
        <w:bidi w:val="0"/>
        <w:textAlignment w:val="auto"/>
        <w:rPr>
          <w:rFonts w:hint="eastAsia" w:ascii="仿宋" w:hAnsi="仿宋" w:eastAsia="仿宋" w:cs="仿宋"/>
          <w:color w:val="auto"/>
          <w:highlight w:val="none"/>
        </w:rPr>
      </w:pPr>
    </w:p>
    <w:p w14:paraId="6F6E6A7F">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84"/>
          <w:highlight w:val="none"/>
        </w:rPr>
      </w:pPr>
      <w:r>
        <w:rPr>
          <w:rFonts w:hint="eastAsia" w:ascii="仿宋" w:hAnsi="仿宋" w:eastAsia="仿宋" w:cs="仿宋"/>
          <w:color w:val="auto"/>
          <w:sz w:val="84"/>
          <w:highlight w:val="none"/>
          <w:lang w:val="en-US" w:eastAsia="zh-CN"/>
        </w:rPr>
        <w:t>投</w:t>
      </w:r>
      <w:r>
        <w:rPr>
          <w:rFonts w:hint="eastAsia" w:ascii="仿宋" w:hAnsi="仿宋" w:eastAsia="仿宋" w:cs="仿宋"/>
          <w:color w:val="auto"/>
          <w:sz w:val="84"/>
          <w:highlight w:val="none"/>
        </w:rPr>
        <w:t xml:space="preserve"> </w:t>
      </w:r>
      <w:r>
        <w:rPr>
          <w:rFonts w:hint="eastAsia" w:ascii="仿宋" w:hAnsi="仿宋" w:eastAsia="仿宋" w:cs="仿宋"/>
          <w:color w:val="auto"/>
          <w:sz w:val="84"/>
          <w:highlight w:val="none"/>
          <w:lang w:val="en-US" w:eastAsia="zh-CN"/>
        </w:rPr>
        <w:t>标</w:t>
      </w:r>
      <w:r>
        <w:rPr>
          <w:rFonts w:hint="eastAsia" w:ascii="仿宋" w:hAnsi="仿宋" w:eastAsia="仿宋" w:cs="仿宋"/>
          <w:color w:val="auto"/>
          <w:sz w:val="84"/>
          <w:highlight w:val="none"/>
        </w:rPr>
        <w:t xml:space="preserve"> 文 件</w:t>
      </w:r>
    </w:p>
    <w:p w14:paraId="1C52D802">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72"/>
          <w:highlight w:val="none"/>
        </w:rPr>
      </w:pPr>
      <w:r>
        <w:rPr>
          <w:rFonts w:hint="eastAsia" w:ascii="仿宋" w:hAnsi="仿宋" w:eastAsia="仿宋" w:cs="仿宋"/>
          <w:color w:val="auto"/>
          <w:sz w:val="72"/>
          <w:szCs w:val="20"/>
          <w:highlight w:val="none"/>
        </w:rPr>
        <w:t>（第一册）</w:t>
      </w:r>
    </w:p>
    <w:p w14:paraId="7673C8C0">
      <w:pPr>
        <w:keepNext w:val="0"/>
        <w:keepLines w:val="0"/>
        <w:pageBreakBefore w:val="0"/>
        <w:kinsoku/>
        <w:overflowPunct/>
        <w:topLinePunct/>
        <w:autoSpaceDE/>
        <w:autoSpaceDN/>
        <w:bidi w:val="0"/>
        <w:jc w:val="both"/>
        <w:textAlignment w:val="auto"/>
        <w:rPr>
          <w:rFonts w:hint="eastAsia" w:ascii="仿宋" w:hAnsi="仿宋" w:eastAsia="仿宋" w:cs="仿宋"/>
          <w:color w:val="auto"/>
          <w:sz w:val="72"/>
          <w:highlight w:val="none"/>
        </w:rPr>
      </w:pPr>
    </w:p>
    <w:p w14:paraId="0CE0F16B">
      <w:pPr>
        <w:keepNext w:val="0"/>
        <w:keepLines w:val="0"/>
        <w:pageBreakBefore w:val="0"/>
        <w:kinsoku/>
        <w:overflowPunct/>
        <w:topLinePunct/>
        <w:autoSpaceDE/>
        <w:autoSpaceDN/>
        <w:bidi w:val="0"/>
        <w:jc w:val="both"/>
        <w:textAlignment w:val="auto"/>
        <w:rPr>
          <w:rFonts w:hint="eastAsia" w:ascii="仿宋" w:hAnsi="仿宋" w:eastAsia="仿宋" w:cs="仿宋"/>
          <w:color w:val="auto"/>
          <w:sz w:val="72"/>
          <w:highlight w:val="none"/>
        </w:rPr>
      </w:pPr>
    </w:p>
    <w:p w14:paraId="5376F40D">
      <w:pPr>
        <w:pStyle w:val="9"/>
        <w:keepNext w:val="0"/>
        <w:keepLines w:val="0"/>
        <w:pageBreakBefore w:val="0"/>
        <w:kinsoku/>
        <w:overflowPunct/>
        <w:topLinePunct/>
        <w:autoSpaceDE/>
        <w:autoSpaceDN/>
        <w:bidi w:val="0"/>
        <w:textAlignment w:val="auto"/>
        <w:rPr>
          <w:rFonts w:hint="eastAsia" w:ascii="仿宋" w:hAnsi="仿宋" w:eastAsia="仿宋" w:cs="仿宋"/>
          <w:color w:val="auto"/>
          <w:highlight w:val="none"/>
        </w:rPr>
      </w:pPr>
    </w:p>
    <w:p w14:paraId="5E193F1A">
      <w:pPr>
        <w:keepNext w:val="0"/>
        <w:keepLines w:val="0"/>
        <w:pageBreakBefore w:val="0"/>
        <w:kinsoku/>
        <w:overflowPunct/>
        <w:topLinePunct/>
        <w:autoSpaceDE/>
        <w:autoSpaceDN/>
        <w:bidi w:val="0"/>
        <w:spacing w:after="165" w:afterLines="50" w:line="360" w:lineRule="auto"/>
        <w:ind w:firstLine="643" w:firstLineChars="200"/>
        <w:jc w:val="left"/>
        <w:textAlignment w:val="auto"/>
        <w:outlineLvl w:val="9"/>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t>项目名称：选定景区物料供应入围单位</w:t>
      </w:r>
    </w:p>
    <w:p w14:paraId="1B30628C">
      <w:pPr>
        <w:keepNext w:val="0"/>
        <w:keepLines w:val="0"/>
        <w:pageBreakBefore w:val="0"/>
        <w:kinsoku/>
        <w:overflowPunct/>
        <w:topLinePunct/>
        <w:autoSpaceDE/>
        <w:autoSpaceDN/>
        <w:bidi w:val="0"/>
        <w:spacing w:after="165" w:afterLines="50" w:line="360" w:lineRule="auto"/>
        <w:ind w:firstLine="643" w:firstLineChars="200"/>
        <w:jc w:val="left"/>
        <w:textAlignment w:val="auto"/>
        <w:outlineLvl w:val="9"/>
        <w:rPr>
          <w:rFonts w:hint="eastAsia"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t>采购编号：</w:t>
      </w:r>
    </w:p>
    <w:p w14:paraId="6EB0F609">
      <w:pPr>
        <w:keepNext w:val="0"/>
        <w:keepLines w:val="0"/>
        <w:pageBreakBefore w:val="0"/>
        <w:kinsoku/>
        <w:overflowPunct/>
        <w:topLinePunct/>
        <w:autoSpaceDE/>
        <w:autoSpaceDN/>
        <w:bidi w:val="0"/>
        <w:jc w:val="left"/>
        <w:textAlignment w:val="auto"/>
        <w:rPr>
          <w:rFonts w:hint="eastAsia" w:ascii="仿宋" w:hAnsi="仿宋" w:eastAsia="仿宋" w:cs="仿宋"/>
          <w:color w:val="auto"/>
          <w:sz w:val="36"/>
          <w:highlight w:val="none"/>
        </w:rPr>
      </w:pPr>
    </w:p>
    <w:p w14:paraId="3DFDBD07">
      <w:pPr>
        <w:keepNext w:val="0"/>
        <w:keepLines w:val="0"/>
        <w:pageBreakBefore w:val="0"/>
        <w:tabs>
          <w:tab w:val="left" w:pos="580"/>
        </w:tabs>
        <w:kinsoku/>
        <w:overflowPunct/>
        <w:topLinePunct/>
        <w:autoSpaceDE/>
        <w:autoSpaceDN/>
        <w:bidi w:val="0"/>
        <w:ind w:left="185" w:leftChars="88" w:firstLine="1800" w:firstLineChars="500"/>
        <w:textAlignment w:val="auto"/>
        <w:rPr>
          <w:rFonts w:hint="eastAsia" w:ascii="仿宋" w:hAnsi="仿宋" w:eastAsia="仿宋" w:cs="仿宋"/>
          <w:color w:val="auto"/>
          <w:kern w:val="0"/>
          <w:sz w:val="36"/>
          <w:szCs w:val="21"/>
          <w:highlight w:val="none"/>
        </w:rPr>
      </w:pPr>
    </w:p>
    <w:p w14:paraId="756B94DC">
      <w:pPr>
        <w:keepNext w:val="0"/>
        <w:keepLines w:val="0"/>
        <w:pageBreakBefore w:val="0"/>
        <w:tabs>
          <w:tab w:val="left" w:pos="580"/>
        </w:tabs>
        <w:kinsoku/>
        <w:overflowPunct/>
        <w:topLinePunct/>
        <w:autoSpaceDE/>
        <w:autoSpaceDN/>
        <w:bidi w:val="0"/>
        <w:ind w:left="185" w:leftChars="88" w:firstLine="1800" w:firstLineChars="500"/>
        <w:textAlignment w:val="auto"/>
        <w:rPr>
          <w:rFonts w:hint="eastAsia" w:ascii="仿宋" w:hAnsi="仿宋" w:eastAsia="仿宋" w:cs="仿宋"/>
          <w:color w:val="auto"/>
          <w:kern w:val="0"/>
          <w:sz w:val="36"/>
          <w:szCs w:val="36"/>
          <w:highlight w:val="none"/>
        </w:rPr>
      </w:pPr>
    </w:p>
    <w:p w14:paraId="5E53FF7F">
      <w:pPr>
        <w:keepNext w:val="0"/>
        <w:keepLines w:val="0"/>
        <w:pageBreakBefore w:val="0"/>
        <w:tabs>
          <w:tab w:val="left" w:pos="580"/>
        </w:tabs>
        <w:kinsoku/>
        <w:overflowPunct/>
        <w:topLinePunct/>
        <w:autoSpaceDE/>
        <w:autoSpaceDN/>
        <w:bidi w:val="0"/>
        <w:ind w:left="185" w:leftChars="88" w:firstLine="1800" w:firstLineChars="500"/>
        <w:textAlignment w:val="auto"/>
        <w:rPr>
          <w:rFonts w:hint="eastAsia" w:ascii="仿宋" w:hAnsi="仿宋" w:eastAsia="仿宋" w:cs="仿宋"/>
          <w:color w:val="auto"/>
          <w:kern w:val="0"/>
          <w:sz w:val="36"/>
          <w:szCs w:val="36"/>
          <w:highlight w:val="none"/>
        </w:rPr>
      </w:pPr>
    </w:p>
    <w:p w14:paraId="6B5C060E">
      <w:pPr>
        <w:keepNext w:val="0"/>
        <w:keepLines w:val="0"/>
        <w:pageBreakBefore w:val="0"/>
        <w:tabs>
          <w:tab w:val="left" w:pos="580"/>
        </w:tabs>
        <w:kinsoku/>
        <w:overflowPunct/>
        <w:topLinePunct/>
        <w:autoSpaceDE/>
        <w:autoSpaceDN/>
        <w:bidi w:val="0"/>
        <w:ind w:left="185" w:leftChars="88" w:firstLine="1800" w:firstLineChars="500"/>
        <w:textAlignment w:val="auto"/>
        <w:rPr>
          <w:rFonts w:hint="eastAsia" w:ascii="仿宋" w:hAnsi="仿宋" w:eastAsia="仿宋" w:cs="仿宋"/>
          <w:color w:val="auto"/>
          <w:kern w:val="0"/>
          <w:sz w:val="36"/>
          <w:szCs w:val="36"/>
          <w:highlight w:val="none"/>
        </w:rPr>
      </w:pPr>
    </w:p>
    <w:p w14:paraId="7E16333F">
      <w:pPr>
        <w:keepNext w:val="0"/>
        <w:keepLines w:val="0"/>
        <w:pageBreakBefore w:val="0"/>
        <w:tabs>
          <w:tab w:val="left" w:pos="580"/>
        </w:tabs>
        <w:kinsoku/>
        <w:overflowPunct/>
        <w:topLinePunct/>
        <w:autoSpaceDE/>
        <w:autoSpaceDN/>
        <w:bidi w:val="0"/>
        <w:spacing w:line="600" w:lineRule="auto"/>
        <w:jc w:val="center"/>
        <w:textAlignment w:val="auto"/>
        <w:rPr>
          <w:rFonts w:hint="eastAsia"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lang w:eastAsia="zh-CN"/>
        </w:rPr>
        <w:t>投标人</w:t>
      </w:r>
      <w:r>
        <w:rPr>
          <w:rFonts w:hint="eastAsia" w:ascii="仿宋" w:hAnsi="仿宋" w:eastAsia="仿宋" w:cs="仿宋"/>
          <w:color w:val="auto"/>
          <w:kern w:val="0"/>
          <w:sz w:val="32"/>
          <w:szCs w:val="32"/>
          <w:highlight w:val="none"/>
        </w:rPr>
        <w:t>名称：***有限公司</w:t>
      </w:r>
    </w:p>
    <w:p w14:paraId="2F84CF6A">
      <w:pPr>
        <w:keepNext w:val="0"/>
        <w:keepLines w:val="0"/>
        <w:pageBreakBefore w:val="0"/>
        <w:tabs>
          <w:tab w:val="left" w:pos="580"/>
        </w:tabs>
        <w:kinsoku/>
        <w:overflowPunct/>
        <w:topLinePunct/>
        <w:autoSpaceDE/>
        <w:autoSpaceDN/>
        <w:bidi w:val="0"/>
        <w:spacing w:line="600" w:lineRule="auto"/>
        <w:jc w:val="center"/>
        <w:textAlignment w:val="auto"/>
        <w:rPr>
          <w:rFonts w:hint="eastAsia" w:ascii="仿宋" w:hAnsi="仿宋" w:eastAsia="仿宋" w:cs="仿宋"/>
          <w:color w:val="auto"/>
          <w:kern w:val="0"/>
          <w:sz w:val="32"/>
          <w:szCs w:val="32"/>
          <w:highlight w:val="none"/>
        </w:rPr>
        <w:sectPr>
          <w:pgSz w:w="11906" w:h="16838"/>
          <w:pgMar w:top="1280" w:right="1142" w:bottom="1118" w:left="1324" w:header="454" w:footer="680" w:gutter="0"/>
          <w:pgNumType w:fmt="decimal"/>
          <w:cols w:space="0" w:num="1"/>
          <w:docGrid w:linePitch="312" w:charSpace="0"/>
        </w:sectPr>
      </w:pPr>
      <w:r>
        <w:rPr>
          <w:rFonts w:hint="eastAsia" w:ascii="仿宋" w:hAnsi="仿宋" w:eastAsia="仿宋" w:cs="仿宋"/>
          <w:color w:val="auto"/>
          <w:kern w:val="0"/>
          <w:sz w:val="32"/>
          <w:szCs w:val="32"/>
          <w:highlight w:val="none"/>
        </w:rPr>
        <w:t xml:space="preserve">日      期：   </w:t>
      </w:r>
      <w:r>
        <w:rPr>
          <w:rFonts w:hint="eastAsia" w:ascii="仿宋" w:hAnsi="仿宋" w:eastAsia="仿宋" w:cs="仿宋"/>
          <w:color w:val="auto"/>
          <w:kern w:val="0"/>
          <w:sz w:val="32"/>
          <w:szCs w:val="32"/>
          <w:highlight w:val="none"/>
          <w:lang w:val="en-US" w:eastAsia="zh-CN"/>
        </w:rPr>
        <w:t xml:space="preserve"> </w:t>
      </w:r>
      <w:r>
        <w:rPr>
          <w:rFonts w:hint="eastAsia" w:ascii="仿宋" w:hAnsi="仿宋" w:eastAsia="仿宋" w:cs="仿宋"/>
          <w:color w:val="auto"/>
          <w:kern w:val="0"/>
          <w:sz w:val="32"/>
          <w:szCs w:val="32"/>
          <w:highlight w:val="none"/>
        </w:rPr>
        <w:t>年  月  日</w:t>
      </w:r>
    </w:p>
    <w:p w14:paraId="68E2B172">
      <w:pPr>
        <w:keepNext w:val="0"/>
        <w:keepLines w:val="0"/>
        <w:pageBreakBefore w:val="0"/>
        <w:widowControl/>
        <w:kinsoku/>
        <w:overflowPunct/>
        <w:topLinePunct/>
        <w:autoSpaceDE/>
        <w:autoSpaceDN/>
        <w:bidi w:val="0"/>
        <w:jc w:val="center"/>
        <w:textAlignment w:val="auto"/>
        <w:rPr>
          <w:rFonts w:hint="eastAsia" w:ascii="仿宋" w:hAnsi="仿宋" w:eastAsia="仿宋" w:cs="仿宋"/>
          <w:color w:val="auto"/>
          <w:sz w:val="44"/>
          <w:szCs w:val="44"/>
          <w:highlight w:val="none"/>
        </w:rPr>
      </w:pPr>
      <w:r>
        <w:rPr>
          <w:rFonts w:hint="eastAsia" w:ascii="仿宋" w:hAnsi="仿宋" w:eastAsia="仿宋" w:cs="仿宋"/>
          <w:b/>
          <w:bCs/>
          <w:color w:val="auto"/>
          <w:sz w:val="44"/>
          <w:szCs w:val="44"/>
          <w:highlight w:val="none"/>
        </w:rPr>
        <w:t>目</w:t>
      </w:r>
      <w:r>
        <w:rPr>
          <w:rFonts w:hint="eastAsia" w:ascii="仿宋" w:hAnsi="仿宋" w:eastAsia="仿宋" w:cs="仿宋"/>
          <w:b/>
          <w:bCs/>
          <w:color w:val="auto"/>
          <w:sz w:val="44"/>
          <w:szCs w:val="44"/>
          <w:highlight w:val="none"/>
          <w:lang w:val="en-US" w:eastAsia="zh-CN"/>
        </w:rPr>
        <w:t xml:space="preserve"> </w:t>
      </w:r>
      <w:r>
        <w:rPr>
          <w:rFonts w:hint="eastAsia" w:ascii="仿宋" w:hAnsi="仿宋" w:eastAsia="仿宋" w:cs="仿宋"/>
          <w:b/>
          <w:bCs/>
          <w:color w:val="auto"/>
          <w:sz w:val="44"/>
          <w:szCs w:val="44"/>
          <w:highlight w:val="none"/>
        </w:rPr>
        <w:t>录</w:t>
      </w:r>
    </w:p>
    <w:p w14:paraId="370EDFE7">
      <w:pPr>
        <w:keepNext w:val="0"/>
        <w:keepLines w:val="0"/>
        <w:pageBreakBefore w:val="0"/>
        <w:widowControl/>
        <w:kinsoku/>
        <w:overflowPunct/>
        <w:topLinePunct/>
        <w:autoSpaceDE/>
        <w:autoSpaceDN/>
        <w:bidi w:val="0"/>
        <w:jc w:val="center"/>
        <w:textAlignment w:val="auto"/>
        <w:rPr>
          <w:rFonts w:hint="eastAsia" w:ascii="仿宋" w:hAnsi="仿宋" w:eastAsia="仿宋" w:cs="仿宋"/>
          <w:color w:val="auto"/>
          <w:sz w:val="32"/>
          <w:szCs w:val="36"/>
          <w:highlight w:val="none"/>
        </w:rPr>
      </w:pPr>
      <w:r>
        <w:rPr>
          <w:rFonts w:hint="eastAsia" w:ascii="仿宋" w:hAnsi="仿宋" w:eastAsia="仿宋" w:cs="仿宋"/>
          <w:color w:val="auto"/>
          <w:sz w:val="32"/>
          <w:szCs w:val="36"/>
          <w:highlight w:val="none"/>
        </w:rPr>
        <w:t>（由</w:t>
      </w:r>
      <w:r>
        <w:rPr>
          <w:rFonts w:hint="eastAsia" w:ascii="仿宋" w:hAnsi="仿宋" w:eastAsia="仿宋" w:cs="仿宋"/>
          <w:color w:val="auto"/>
          <w:sz w:val="32"/>
          <w:szCs w:val="36"/>
          <w:highlight w:val="none"/>
          <w:lang w:eastAsia="zh-CN"/>
        </w:rPr>
        <w:t>投标人</w:t>
      </w:r>
      <w:r>
        <w:rPr>
          <w:rFonts w:hint="eastAsia" w:ascii="仿宋" w:hAnsi="仿宋" w:eastAsia="仿宋" w:cs="仿宋"/>
          <w:color w:val="auto"/>
          <w:sz w:val="32"/>
          <w:szCs w:val="36"/>
          <w:highlight w:val="none"/>
        </w:rPr>
        <w:t>自行编制</w:t>
      </w:r>
      <w:r>
        <w:rPr>
          <w:rFonts w:hint="eastAsia" w:ascii="仿宋" w:hAnsi="仿宋" w:eastAsia="仿宋" w:cs="仿宋"/>
          <w:color w:val="auto"/>
          <w:sz w:val="32"/>
          <w:szCs w:val="36"/>
          <w:highlight w:val="none"/>
          <w:lang w:eastAsia="zh-CN"/>
        </w:rPr>
        <w:t>，</w:t>
      </w:r>
      <w:r>
        <w:rPr>
          <w:rFonts w:hint="eastAsia" w:ascii="仿宋" w:hAnsi="仿宋" w:eastAsia="仿宋" w:cs="仿宋"/>
          <w:color w:val="auto"/>
          <w:sz w:val="32"/>
          <w:szCs w:val="36"/>
          <w:highlight w:val="none"/>
          <w:lang w:val="en-US" w:eastAsia="zh-CN"/>
        </w:rPr>
        <w:t>页码连续</w:t>
      </w:r>
      <w:r>
        <w:rPr>
          <w:rFonts w:hint="eastAsia" w:ascii="仿宋" w:hAnsi="仿宋" w:eastAsia="仿宋" w:cs="仿宋"/>
          <w:color w:val="auto"/>
          <w:sz w:val="32"/>
          <w:szCs w:val="36"/>
          <w:highlight w:val="none"/>
        </w:rPr>
        <w:t>）</w:t>
      </w:r>
    </w:p>
    <w:p w14:paraId="34B1F333">
      <w:pPr>
        <w:keepNext w:val="0"/>
        <w:keepLines w:val="0"/>
        <w:pageBreakBefore w:val="0"/>
        <w:widowControl/>
        <w:kinsoku/>
        <w:overflowPunct/>
        <w:topLinePunct/>
        <w:autoSpaceDE/>
        <w:autoSpaceDN/>
        <w:bidi w:val="0"/>
        <w:jc w:val="center"/>
        <w:textAlignment w:val="auto"/>
        <w:rPr>
          <w:rFonts w:hint="eastAsia" w:ascii="仿宋" w:hAnsi="仿宋" w:eastAsia="仿宋" w:cs="仿宋"/>
          <w:color w:val="auto"/>
          <w:sz w:val="32"/>
          <w:szCs w:val="36"/>
          <w:highlight w:val="none"/>
        </w:rPr>
        <w:sectPr>
          <w:pgSz w:w="11906" w:h="16838"/>
          <w:pgMar w:top="1280" w:right="1142" w:bottom="1118" w:left="1324" w:header="454" w:footer="680" w:gutter="0"/>
          <w:pgNumType w:fmt="decimal"/>
          <w:cols w:space="0" w:num="1"/>
          <w:docGrid w:linePitch="312" w:charSpace="0"/>
        </w:sectPr>
      </w:pPr>
    </w:p>
    <w:p w14:paraId="2CB17FA1">
      <w:pPr>
        <w:pStyle w:val="15"/>
        <w:keepNext w:val="0"/>
        <w:keepLines w:val="0"/>
        <w:pageBreakBefore w:val="0"/>
        <w:kinsoku/>
        <w:overflowPunct/>
        <w:topLinePunct/>
        <w:autoSpaceDE/>
        <w:autoSpaceDN/>
        <w:bidi w:val="0"/>
        <w:jc w:val="center"/>
        <w:textAlignment w:val="auto"/>
        <w:outlineLvl w:val="1"/>
        <w:rPr>
          <w:rFonts w:hint="eastAsia" w:ascii="仿宋" w:hAnsi="仿宋" w:eastAsia="仿宋" w:cs="仿宋"/>
          <w:b/>
          <w:color w:val="auto"/>
          <w:sz w:val="44"/>
          <w:szCs w:val="44"/>
          <w:highlight w:val="none"/>
        </w:rPr>
      </w:pPr>
      <w:bookmarkStart w:id="34" w:name="_Toc20409"/>
      <w:bookmarkStart w:id="35" w:name="_Toc17037"/>
      <w:r>
        <w:rPr>
          <w:rFonts w:hint="eastAsia" w:ascii="仿宋" w:hAnsi="仿宋" w:eastAsia="仿宋" w:cs="仿宋"/>
          <w:b/>
          <w:color w:val="auto"/>
          <w:sz w:val="44"/>
          <w:szCs w:val="44"/>
          <w:highlight w:val="none"/>
          <w:lang w:val="en-US" w:eastAsia="zh-CN"/>
        </w:rPr>
        <w:t>投标承诺</w:t>
      </w:r>
      <w:r>
        <w:rPr>
          <w:rFonts w:hint="eastAsia" w:ascii="仿宋" w:hAnsi="仿宋" w:eastAsia="仿宋" w:cs="仿宋"/>
          <w:b/>
          <w:color w:val="auto"/>
          <w:sz w:val="44"/>
          <w:szCs w:val="44"/>
          <w:highlight w:val="none"/>
        </w:rPr>
        <w:t>函</w:t>
      </w:r>
      <w:bookmarkEnd w:id="34"/>
      <w:bookmarkEnd w:id="35"/>
    </w:p>
    <w:p w14:paraId="37682268">
      <w:pPr>
        <w:keepNext w:val="0"/>
        <w:keepLines w:val="0"/>
        <w:pageBreakBefore w:val="0"/>
        <w:widowControl/>
        <w:kinsoku/>
        <w:wordWrap/>
        <w:overflowPunct/>
        <w:topLinePunct/>
        <w:autoSpaceDE/>
        <w:autoSpaceDN/>
        <w:bidi w:val="0"/>
        <w:adjustRightInd w:val="0"/>
        <w:snapToGrid w:val="0"/>
        <w:spacing w:line="540" w:lineRule="exact"/>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山东瀚泰建设管理有限公司</w:t>
      </w:r>
      <w:r>
        <w:rPr>
          <w:rFonts w:hint="eastAsia" w:ascii="仿宋" w:hAnsi="仿宋" w:eastAsia="仿宋" w:cs="仿宋"/>
          <w:color w:val="auto"/>
          <w:sz w:val="28"/>
          <w:szCs w:val="28"/>
          <w:highlight w:val="none"/>
        </w:rPr>
        <w:t>：</w:t>
      </w:r>
    </w:p>
    <w:p w14:paraId="655E6336">
      <w:pPr>
        <w:keepNext w:val="0"/>
        <w:keepLines w:val="0"/>
        <w:pageBreakBefore w:val="0"/>
        <w:widowControl w:val="0"/>
        <w:kinsoku/>
        <w:wordWrap/>
        <w:overflowPunct/>
        <w:topLinePunct/>
        <w:autoSpaceDE/>
        <w:autoSpaceDN/>
        <w:bidi w:val="0"/>
        <w:adjustRightInd/>
        <w:snapToGrid w:val="0"/>
        <w:spacing w:line="540" w:lineRule="exact"/>
        <w:ind w:firstLine="562" w:firstLineChars="201"/>
        <w:textAlignment w:val="auto"/>
        <w:rPr>
          <w:rFonts w:hint="eastAsia" w:ascii="仿宋" w:hAnsi="仿宋" w:eastAsia="仿宋" w:cs="仿宋"/>
          <w:color w:val="auto"/>
          <w:kern w:val="0"/>
          <w:sz w:val="28"/>
          <w:szCs w:val="28"/>
          <w:highlight w:val="none"/>
        </w:rPr>
      </w:pPr>
      <w:bookmarkStart w:id="36" w:name="_Toc13714"/>
      <w:r>
        <w:rPr>
          <w:rFonts w:hint="eastAsia" w:ascii="仿宋" w:hAnsi="仿宋" w:eastAsia="仿宋" w:cs="仿宋"/>
          <w:color w:val="auto"/>
          <w:sz w:val="28"/>
          <w:szCs w:val="28"/>
          <w:highlight w:val="none"/>
        </w:rPr>
        <w:t>我方根据项目名称为</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（编号为：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lang w:val="en-US" w:eastAsia="zh-CN"/>
        </w:rPr>
        <w:t>的</w:t>
      </w:r>
      <w:r>
        <w:rPr>
          <w:rFonts w:hint="eastAsia" w:ascii="仿宋" w:hAnsi="仿宋" w:eastAsia="仿宋" w:cs="仿宋"/>
          <w:color w:val="auto"/>
          <w:kern w:val="0"/>
          <w:sz w:val="28"/>
          <w:szCs w:val="28"/>
          <w:highlight w:val="none"/>
          <w:lang w:eastAsia="zh-CN"/>
        </w:rPr>
        <w:t>招标</w:t>
      </w:r>
      <w:r>
        <w:rPr>
          <w:rFonts w:hint="eastAsia" w:ascii="仿宋" w:hAnsi="仿宋" w:eastAsia="仿宋" w:cs="仿宋"/>
          <w:color w:val="auto"/>
          <w:sz w:val="28"/>
          <w:szCs w:val="28"/>
          <w:highlight w:val="none"/>
        </w:rPr>
        <w:t>文件要求，</w:t>
      </w:r>
      <w:bookmarkEnd w:id="36"/>
      <w:r>
        <w:rPr>
          <w:rFonts w:hint="eastAsia" w:ascii="仿宋" w:hAnsi="仿宋" w:eastAsia="仿宋" w:cs="仿宋"/>
          <w:color w:val="auto"/>
          <w:kern w:val="0"/>
          <w:sz w:val="28"/>
          <w:szCs w:val="28"/>
          <w:highlight w:val="none"/>
        </w:rPr>
        <w:t>经详细研究决定参加投标。</w:t>
      </w:r>
    </w:p>
    <w:p w14:paraId="3B020BDA">
      <w:pPr>
        <w:keepNext w:val="0"/>
        <w:keepLines w:val="0"/>
        <w:pageBreakBefore w:val="0"/>
        <w:kinsoku/>
        <w:wordWrap/>
        <w:overflowPunct/>
        <w:topLinePunct/>
        <w:autoSpaceDE/>
        <w:autoSpaceDN/>
        <w:bidi w:val="0"/>
        <w:spacing w:line="540" w:lineRule="exact"/>
        <w:ind w:firstLine="641"/>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rPr>
        <w:t>我方接受本</w:t>
      </w:r>
      <w:r>
        <w:rPr>
          <w:rFonts w:hint="eastAsia" w:ascii="仿宋" w:hAnsi="仿宋" w:eastAsia="仿宋" w:cs="仿宋"/>
          <w:color w:val="auto"/>
          <w:kern w:val="0"/>
          <w:sz w:val="28"/>
          <w:szCs w:val="28"/>
          <w:highlight w:val="none"/>
          <w:lang w:eastAsia="zh-CN"/>
        </w:rPr>
        <w:t>招标文件</w:t>
      </w:r>
      <w:r>
        <w:rPr>
          <w:rFonts w:hint="eastAsia" w:ascii="仿宋" w:hAnsi="仿宋" w:eastAsia="仿宋" w:cs="仿宋"/>
          <w:color w:val="auto"/>
          <w:kern w:val="0"/>
          <w:sz w:val="28"/>
          <w:szCs w:val="28"/>
          <w:highlight w:val="none"/>
        </w:rPr>
        <w:t>中关于电子招投标的各项规定，遵守《中华人民共和国电子签名法》关于电子签名的各项规定。我方愿意按照招标文件的规定和要求提供服务，报价详见《开标（报价）一览表》。</w:t>
      </w:r>
    </w:p>
    <w:p w14:paraId="1DA25B19">
      <w:pPr>
        <w:keepNext w:val="0"/>
        <w:keepLines w:val="0"/>
        <w:pageBreakBefore w:val="0"/>
        <w:kinsoku/>
        <w:wordWrap/>
        <w:overflowPunct/>
        <w:topLinePunct/>
        <w:autoSpaceDE/>
        <w:autoSpaceDN/>
        <w:bidi w:val="0"/>
        <w:spacing w:line="540" w:lineRule="exact"/>
        <w:ind w:firstLine="641"/>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rPr>
        <w:t>我方同意</w:t>
      </w:r>
      <w:r>
        <w:rPr>
          <w:rFonts w:hint="eastAsia" w:ascii="仿宋" w:hAnsi="仿宋" w:eastAsia="仿宋" w:cs="仿宋"/>
          <w:color w:val="auto"/>
          <w:kern w:val="0"/>
          <w:sz w:val="28"/>
          <w:szCs w:val="28"/>
          <w:highlight w:val="none"/>
          <w:u w:val="none"/>
        </w:rPr>
        <w:t>90</w:t>
      </w:r>
      <w:r>
        <w:rPr>
          <w:rFonts w:hint="eastAsia" w:ascii="仿宋" w:hAnsi="仿宋" w:eastAsia="仿宋" w:cs="仿宋"/>
          <w:color w:val="auto"/>
          <w:kern w:val="0"/>
          <w:sz w:val="28"/>
          <w:szCs w:val="28"/>
          <w:highlight w:val="none"/>
        </w:rPr>
        <w:t>天的投标有效期，严格遵守投标文件的各项承诺。在此期限届满之前，本投标文件始终对我方具有约束力，并随时接受中标。我方承诺在投标有效期内不修改、撤销投标文件。</w:t>
      </w:r>
    </w:p>
    <w:p w14:paraId="5D81CF92">
      <w:pPr>
        <w:keepNext w:val="0"/>
        <w:keepLines w:val="0"/>
        <w:pageBreakBefore w:val="0"/>
        <w:kinsoku/>
        <w:wordWrap/>
        <w:overflowPunct/>
        <w:topLinePunct/>
        <w:autoSpaceDE/>
        <w:autoSpaceDN/>
        <w:bidi w:val="0"/>
        <w:spacing w:line="540" w:lineRule="exact"/>
        <w:ind w:firstLine="641"/>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3</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rPr>
        <w:t>我方愿意遵守本招标文件的规定和要求并提供招标文件中要求的所有资料，若投标文件中存在虚假资料的，则视为我方隐瞒真实情况、提供虚假资料，我方愿意接受主管部门做出的行政处罚。</w:t>
      </w:r>
    </w:p>
    <w:p w14:paraId="655E58A9">
      <w:pPr>
        <w:keepNext w:val="0"/>
        <w:keepLines w:val="0"/>
        <w:pageBreakBefore w:val="0"/>
        <w:kinsoku/>
        <w:wordWrap/>
        <w:overflowPunct/>
        <w:topLinePunct/>
        <w:autoSpaceDE/>
        <w:autoSpaceDN/>
        <w:bidi w:val="0"/>
        <w:spacing w:line="540" w:lineRule="exact"/>
        <w:ind w:firstLine="641"/>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lang w:val="en-US" w:eastAsia="zh-CN"/>
        </w:rPr>
        <w:t>4</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rPr>
        <w:t>如果我方中标：</w:t>
      </w:r>
    </w:p>
    <w:p w14:paraId="23627485">
      <w:pPr>
        <w:keepNext w:val="0"/>
        <w:keepLines w:val="0"/>
        <w:pageBreakBefore w:val="0"/>
        <w:kinsoku/>
        <w:wordWrap/>
        <w:overflowPunct/>
        <w:topLinePunct/>
        <w:autoSpaceDE/>
        <w:autoSpaceDN/>
        <w:bidi w:val="0"/>
        <w:spacing w:line="540" w:lineRule="exact"/>
        <w:ind w:firstLine="641"/>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 xml:space="preserve">（1）我方承诺在中标通知书发出后，在规定期限内与招标人签订合同； </w:t>
      </w:r>
    </w:p>
    <w:p w14:paraId="7A0DFBC4">
      <w:pPr>
        <w:keepNext w:val="0"/>
        <w:keepLines w:val="0"/>
        <w:pageBreakBefore w:val="0"/>
        <w:kinsoku/>
        <w:wordWrap/>
        <w:overflowPunct/>
        <w:topLinePunct/>
        <w:autoSpaceDE/>
        <w:autoSpaceDN/>
        <w:bidi w:val="0"/>
        <w:spacing w:line="540" w:lineRule="exact"/>
        <w:ind w:firstLine="641"/>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（2）我方承诺在合同约定的期限内，按期、保质、保量完成</w:t>
      </w:r>
      <w:r>
        <w:rPr>
          <w:rFonts w:hint="eastAsia" w:ascii="仿宋" w:hAnsi="仿宋" w:eastAsia="仿宋" w:cs="仿宋"/>
          <w:color w:val="auto"/>
          <w:kern w:val="0"/>
          <w:sz w:val="28"/>
          <w:szCs w:val="28"/>
          <w:highlight w:val="none"/>
          <w:lang w:val="en-US" w:eastAsia="zh-CN"/>
        </w:rPr>
        <w:t>合同</w:t>
      </w:r>
      <w:r>
        <w:rPr>
          <w:rFonts w:hint="eastAsia" w:ascii="仿宋" w:hAnsi="仿宋" w:eastAsia="仿宋" w:cs="仿宋"/>
          <w:color w:val="auto"/>
          <w:kern w:val="0"/>
          <w:sz w:val="28"/>
          <w:szCs w:val="28"/>
          <w:highlight w:val="none"/>
        </w:rPr>
        <w:t xml:space="preserve">任务； </w:t>
      </w:r>
    </w:p>
    <w:p w14:paraId="60CF9938">
      <w:pPr>
        <w:keepNext w:val="0"/>
        <w:keepLines w:val="0"/>
        <w:pageBreakBefore w:val="0"/>
        <w:kinsoku/>
        <w:wordWrap/>
        <w:overflowPunct/>
        <w:topLinePunct/>
        <w:autoSpaceDE/>
        <w:autoSpaceDN/>
        <w:bidi w:val="0"/>
        <w:spacing w:line="540" w:lineRule="exact"/>
        <w:ind w:firstLine="641"/>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 xml:space="preserve">（3）我方承诺将按照招标文件的规定全额交纳代理服务费。 </w:t>
      </w:r>
    </w:p>
    <w:p w14:paraId="5861F0E7">
      <w:pPr>
        <w:keepNext w:val="0"/>
        <w:keepLines w:val="0"/>
        <w:pageBreakBefore w:val="0"/>
        <w:kinsoku/>
        <w:wordWrap/>
        <w:overflowPunct/>
        <w:topLinePunct/>
        <w:autoSpaceDE/>
        <w:autoSpaceDN/>
        <w:bidi w:val="0"/>
        <w:spacing w:line="540" w:lineRule="exact"/>
        <w:ind w:firstLine="641"/>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lang w:val="en-US" w:eastAsia="zh-CN"/>
        </w:rPr>
        <w:t>5</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rPr>
        <w:t>我方在此声明，所递交的投标文件及有关资料内容完整、真实和准确，如有弄虚作假，一旦中标将取消中标资格。</w:t>
      </w:r>
    </w:p>
    <w:p w14:paraId="2D535468">
      <w:pPr>
        <w:keepNext w:val="0"/>
        <w:keepLines w:val="0"/>
        <w:pageBreakBefore w:val="0"/>
        <w:kinsoku/>
        <w:wordWrap/>
        <w:overflowPunct/>
        <w:topLinePunct/>
        <w:autoSpaceDE/>
        <w:autoSpaceDN/>
        <w:bidi w:val="0"/>
        <w:spacing w:line="540" w:lineRule="exact"/>
        <w:ind w:firstLine="641"/>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lang w:val="en-US" w:eastAsia="zh-CN"/>
        </w:rPr>
        <w:t>6</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rPr>
        <w:t>所有有关本报价的函电，请按下列地址联系：</w:t>
      </w:r>
    </w:p>
    <w:p w14:paraId="20B80F5F">
      <w:pPr>
        <w:keepNext w:val="0"/>
        <w:keepLines w:val="0"/>
        <w:pageBreakBefore w:val="0"/>
        <w:kinsoku/>
        <w:wordWrap/>
        <w:overflowPunct/>
        <w:topLinePunct/>
        <w:autoSpaceDE/>
        <w:autoSpaceDN/>
        <w:bidi w:val="0"/>
        <w:spacing w:line="540" w:lineRule="exact"/>
        <w:ind w:firstLine="641"/>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单    位：                     邮政编码：</w:t>
      </w:r>
    </w:p>
    <w:p w14:paraId="64EB2F30">
      <w:pPr>
        <w:keepNext w:val="0"/>
        <w:keepLines w:val="0"/>
        <w:pageBreakBefore w:val="0"/>
        <w:kinsoku/>
        <w:wordWrap/>
        <w:overflowPunct/>
        <w:topLinePunct/>
        <w:autoSpaceDE/>
        <w:autoSpaceDN/>
        <w:bidi w:val="0"/>
        <w:spacing w:line="540" w:lineRule="exact"/>
        <w:ind w:firstLine="641"/>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地    址：                     联 系 人：</w:t>
      </w:r>
    </w:p>
    <w:p w14:paraId="54BD37DF">
      <w:pPr>
        <w:keepNext w:val="0"/>
        <w:keepLines w:val="0"/>
        <w:pageBreakBefore w:val="0"/>
        <w:kinsoku/>
        <w:wordWrap/>
        <w:overflowPunct/>
        <w:topLinePunct/>
        <w:autoSpaceDE/>
        <w:autoSpaceDN/>
        <w:bidi w:val="0"/>
        <w:spacing w:line="540" w:lineRule="exact"/>
        <w:ind w:firstLine="641"/>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电    话：                     传    真：</w:t>
      </w:r>
    </w:p>
    <w:p w14:paraId="041017B7">
      <w:pPr>
        <w:keepNext w:val="0"/>
        <w:keepLines w:val="0"/>
        <w:pageBreakBefore w:val="0"/>
        <w:kinsoku/>
        <w:wordWrap/>
        <w:overflowPunct/>
        <w:topLinePunct/>
        <w:autoSpaceDE/>
        <w:autoSpaceDN/>
        <w:bidi w:val="0"/>
        <w:spacing w:line="540" w:lineRule="exact"/>
        <w:ind w:firstLine="641"/>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开户名称：</w:t>
      </w:r>
    </w:p>
    <w:p w14:paraId="51C15EC2">
      <w:pPr>
        <w:keepNext w:val="0"/>
        <w:keepLines w:val="0"/>
        <w:pageBreakBefore w:val="0"/>
        <w:kinsoku/>
        <w:wordWrap/>
        <w:overflowPunct/>
        <w:topLinePunct/>
        <w:autoSpaceDE/>
        <w:autoSpaceDN/>
        <w:bidi w:val="0"/>
        <w:spacing w:line="540" w:lineRule="exact"/>
        <w:ind w:firstLine="641"/>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开户银行：</w:t>
      </w:r>
    </w:p>
    <w:p w14:paraId="558FDC2D">
      <w:pPr>
        <w:keepNext w:val="0"/>
        <w:keepLines w:val="0"/>
        <w:pageBreakBefore w:val="0"/>
        <w:kinsoku/>
        <w:wordWrap/>
        <w:overflowPunct/>
        <w:topLinePunct/>
        <w:autoSpaceDE/>
        <w:autoSpaceDN/>
        <w:bidi w:val="0"/>
        <w:spacing w:line="540" w:lineRule="exact"/>
        <w:ind w:firstLine="641"/>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开户帐号：</w:t>
      </w:r>
    </w:p>
    <w:p w14:paraId="3CA1FF44">
      <w:pPr>
        <w:keepNext w:val="0"/>
        <w:keepLines w:val="0"/>
        <w:pageBreakBefore w:val="0"/>
        <w:kinsoku/>
        <w:wordWrap/>
        <w:overflowPunct/>
        <w:topLinePunct/>
        <w:autoSpaceDE/>
        <w:autoSpaceDN/>
        <w:bidi w:val="0"/>
        <w:spacing w:line="540" w:lineRule="exact"/>
        <w:ind w:firstLine="641"/>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lang w:eastAsia="zh-CN"/>
        </w:rPr>
        <w:t>投标人</w:t>
      </w:r>
      <w:r>
        <w:rPr>
          <w:rFonts w:hint="eastAsia" w:ascii="仿宋" w:hAnsi="仿宋" w:eastAsia="仿宋" w:cs="仿宋"/>
          <w:color w:val="auto"/>
          <w:kern w:val="0"/>
          <w:sz w:val="28"/>
          <w:szCs w:val="28"/>
          <w:highlight w:val="none"/>
        </w:rPr>
        <w:t xml:space="preserve">（公章）： </w:t>
      </w:r>
    </w:p>
    <w:p w14:paraId="22C76137">
      <w:pPr>
        <w:keepNext w:val="0"/>
        <w:keepLines w:val="0"/>
        <w:pageBreakBefore w:val="0"/>
        <w:kinsoku/>
        <w:wordWrap/>
        <w:overflowPunct/>
        <w:topLinePunct/>
        <w:autoSpaceDE/>
        <w:autoSpaceDN/>
        <w:bidi w:val="0"/>
        <w:spacing w:line="540" w:lineRule="exact"/>
        <w:ind w:firstLine="641"/>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法定代表人或</w:t>
      </w:r>
      <w:r>
        <w:rPr>
          <w:rFonts w:hint="eastAsia" w:ascii="仿宋" w:hAnsi="仿宋" w:eastAsia="仿宋" w:cs="仿宋"/>
          <w:color w:val="auto"/>
          <w:kern w:val="0"/>
          <w:sz w:val="28"/>
          <w:szCs w:val="28"/>
          <w:highlight w:val="none"/>
          <w:lang w:val="en-US" w:eastAsia="zh-CN"/>
        </w:rPr>
        <w:t>委托代理人</w:t>
      </w:r>
      <w:r>
        <w:rPr>
          <w:rFonts w:hint="eastAsia" w:ascii="仿宋" w:hAnsi="仿宋" w:eastAsia="仿宋" w:cs="仿宋"/>
          <w:color w:val="auto"/>
          <w:kern w:val="0"/>
          <w:sz w:val="28"/>
          <w:szCs w:val="28"/>
          <w:highlight w:val="none"/>
        </w:rPr>
        <w:t>（签字或签章）：</w:t>
      </w:r>
    </w:p>
    <w:p w14:paraId="49A4A33C">
      <w:pPr>
        <w:keepNext w:val="0"/>
        <w:keepLines w:val="0"/>
        <w:pageBreakBefore w:val="0"/>
        <w:kinsoku/>
        <w:wordWrap/>
        <w:overflowPunct/>
        <w:topLinePunct/>
        <w:autoSpaceDE/>
        <w:autoSpaceDN/>
        <w:bidi w:val="0"/>
        <w:spacing w:line="540" w:lineRule="exact"/>
        <w:ind w:firstLine="641"/>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lang w:val="en-US" w:eastAsia="zh-CN"/>
        </w:rPr>
        <w:t>报价</w:t>
      </w:r>
      <w:r>
        <w:rPr>
          <w:rFonts w:hint="eastAsia" w:ascii="仿宋" w:hAnsi="仿宋" w:eastAsia="仿宋" w:cs="仿宋"/>
          <w:color w:val="auto"/>
          <w:kern w:val="0"/>
          <w:sz w:val="28"/>
          <w:szCs w:val="28"/>
          <w:highlight w:val="none"/>
        </w:rPr>
        <w:t>日期：</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年</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月</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日</w:t>
      </w:r>
    </w:p>
    <w:p w14:paraId="2686F566">
      <w:pPr>
        <w:keepNext w:val="0"/>
        <w:keepLines w:val="0"/>
        <w:pageBreakBefore w:val="0"/>
        <w:kinsoku/>
        <w:wordWrap/>
        <w:overflowPunct/>
        <w:topLinePunct/>
        <w:autoSpaceDE/>
        <w:autoSpaceDN/>
        <w:bidi w:val="0"/>
        <w:spacing w:line="520" w:lineRule="exact"/>
        <w:ind w:firstLine="641"/>
        <w:textAlignment w:val="auto"/>
        <w:rPr>
          <w:rFonts w:hint="eastAsia" w:ascii="仿宋" w:hAnsi="仿宋" w:eastAsia="仿宋" w:cs="仿宋"/>
          <w:color w:val="auto"/>
          <w:kern w:val="0"/>
          <w:sz w:val="28"/>
          <w:szCs w:val="28"/>
          <w:highlight w:val="none"/>
        </w:rPr>
        <w:sectPr>
          <w:pgSz w:w="11906" w:h="16838"/>
          <w:pgMar w:top="1280" w:right="1142" w:bottom="1118" w:left="1324" w:header="454" w:footer="680" w:gutter="0"/>
          <w:pgNumType w:fmt="decimal"/>
          <w:cols w:space="0" w:num="1"/>
          <w:docGrid w:linePitch="312" w:charSpace="0"/>
        </w:sectPr>
      </w:pPr>
    </w:p>
    <w:p w14:paraId="27BFFE26">
      <w:pPr>
        <w:pStyle w:val="15"/>
        <w:keepNext w:val="0"/>
        <w:keepLines w:val="0"/>
        <w:pageBreakBefore w:val="0"/>
        <w:kinsoku/>
        <w:overflowPunct/>
        <w:topLinePunct/>
        <w:autoSpaceDE/>
        <w:autoSpaceDN/>
        <w:bidi w:val="0"/>
        <w:jc w:val="center"/>
        <w:textAlignment w:val="auto"/>
        <w:outlineLvl w:val="1"/>
        <w:rPr>
          <w:rFonts w:hint="eastAsia" w:ascii="仿宋" w:hAnsi="仿宋" w:eastAsia="仿宋" w:cs="仿宋"/>
          <w:b/>
          <w:color w:val="auto"/>
          <w:sz w:val="44"/>
          <w:szCs w:val="44"/>
          <w:highlight w:val="none"/>
        </w:rPr>
      </w:pPr>
      <w:bookmarkStart w:id="37" w:name="_Toc11495"/>
      <w:r>
        <w:rPr>
          <w:rFonts w:hint="eastAsia" w:ascii="仿宋" w:hAnsi="仿宋" w:eastAsia="仿宋" w:cs="仿宋"/>
          <w:b/>
          <w:color w:val="auto"/>
          <w:sz w:val="44"/>
          <w:szCs w:val="44"/>
          <w:highlight w:val="none"/>
          <w:lang w:eastAsia="zh-CN"/>
        </w:rPr>
        <w:t>投标人</w:t>
      </w:r>
      <w:r>
        <w:rPr>
          <w:rFonts w:hint="eastAsia" w:ascii="仿宋" w:hAnsi="仿宋" w:eastAsia="仿宋" w:cs="仿宋"/>
          <w:b/>
          <w:color w:val="auto"/>
          <w:sz w:val="44"/>
          <w:szCs w:val="44"/>
          <w:highlight w:val="none"/>
        </w:rPr>
        <w:t>资格证明文件</w:t>
      </w:r>
      <w:bookmarkEnd w:id="37"/>
    </w:p>
    <w:p w14:paraId="2A6AFACA">
      <w:pPr>
        <w:pStyle w:val="15"/>
        <w:keepNext w:val="0"/>
        <w:keepLines w:val="0"/>
        <w:pageBreakBefore w:val="0"/>
        <w:kinsoku/>
        <w:overflowPunct/>
        <w:topLinePunct/>
        <w:autoSpaceDE/>
        <w:autoSpaceDN/>
        <w:bidi w:val="0"/>
        <w:jc w:val="center"/>
        <w:textAlignment w:val="auto"/>
        <w:outlineLvl w:val="9"/>
        <w:rPr>
          <w:rFonts w:hint="eastAsia" w:ascii="仿宋" w:hAnsi="仿宋" w:eastAsia="仿宋" w:cs="仿宋"/>
          <w:b/>
          <w:color w:val="auto"/>
          <w:sz w:val="44"/>
          <w:szCs w:val="44"/>
          <w:highlight w:val="none"/>
        </w:rPr>
      </w:pPr>
    </w:p>
    <w:p w14:paraId="09D85371">
      <w:pPr>
        <w:pStyle w:val="15"/>
        <w:keepNext w:val="0"/>
        <w:keepLines w:val="0"/>
        <w:pageBreakBefore w:val="0"/>
        <w:kinsoku/>
        <w:overflowPunct/>
        <w:topLinePunct/>
        <w:autoSpaceDE/>
        <w:autoSpaceDN/>
        <w:bidi w:val="0"/>
        <w:jc w:val="center"/>
        <w:textAlignment w:val="auto"/>
        <w:outlineLvl w:val="2"/>
        <w:rPr>
          <w:rFonts w:hint="eastAsia" w:ascii="仿宋" w:hAnsi="仿宋" w:eastAsia="仿宋" w:cs="仿宋"/>
          <w:b/>
          <w:color w:val="auto"/>
          <w:sz w:val="36"/>
          <w:szCs w:val="36"/>
          <w:highlight w:val="none"/>
          <w:lang w:val="en-US" w:eastAsia="zh-CN"/>
        </w:rPr>
      </w:pPr>
      <w:bookmarkStart w:id="38" w:name="_Toc152578597"/>
      <w:r>
        <w:rPr>
          <w:rFonts w:hint="eastAsia" w:ascii="仿宋" w:hAnsi="仿宋" w:eastAsia="仿宋" w:cs="仿宋"/>
          <w:b/>
          <w:color w:val="auto"/>
          <w:sz w:val="36"/>
          <w:szCs w:val="36"/>
          <w:highlight w:val="none"/>
          <w:lang w:val="en-US" w:eastAsia="zh-CN"/>
        </w:rPr>
        <w:t>有效的营业执照扫描件或其他能证明具有独立承担民事责任能力的材料扫描件</w:t>
      </w:r>
      <w:bookmarkEnd w:id="38"/>
    </w:p>
    <w:p w14:paraId="4DC8740C">
      <w:pPr>
        <w:pStyle w:val="15"/>
        <w:keepNext w:val="0"/>
        <w:keepLines w:val="0"/>
        <w:pageBreakBefore w:val="0"/>
        <w:kinsoku/>
        <w:overflowPunct/>
        <w:topLinePunct/>
        <w:autoSpaceDE/>
        <w:autoSpaceDN/>
        <w:bidi w:val="0"/>
        <w:jc w:val="center"/>
        <w:textAlignment w:val="auto"/>
        <w:outlineLvl w:val="9"/>
        <w:rPr>
          <w:rFonts w:hint="eastAsia" w:ascii="仿宋" w:hAnsi="仿宋" w:eastAsia="仿宋" w:cs="仿宋"/>
          <w:b/>
          <w:color w:val="auto"/>
          <w:sz w:val="36"/>
          <w:szCs w:val="36"/>
          <w:highlight w:val="none"/>
          <w:lang w:val="en-US" w:eastAsia="zh-CN"/>
        </w:rPr>
        <w:sectPr>
          <w:pgSz w:w="11906" w:h="16838"/>
          <w:pgMar w:top="1280" w:right="1142" w:bottom="1118" w:left="1324" w:header="454" w:footer="680" w:gutter="0"/>
          <w:pgNumType w:fmt="decimal"/>
          <w:cols w:space="0" w:num="1"/>
          <w:docGrid w:linePitch="312" w:charSpace="0"/>
        </w:sectPr>
      </w:pPr>
      <w:r>
        <w:rPr>
          <w:rFonts w:hint="eastAsia" w:ascii="仿宋" w:hAnsi="仿宋" w:eastAsia="仿宋" w:cs="仿宋"/>
          <w:b/>
          <w:color w:val="auto"/>
          <w:sz w:val="36"/>
          <w:szCs w:val="36"/>
          <w:highlight w:val="none"/>
          <w:lang w:val="en-US" w:eastAsia="zh-CN"/>
        </w:rPr>
        <w:t>（盖公章）</w:t>
      </w:r>
    </w:p>
    <w:p w14:paraId="5CB3A3E8">
      <w:pPr>
        <w:pStyle w:val="15"/>
        <w:keepNext w:val="0"/>
        <w:keepLines w:val="0"/>
        <w:pageBreakBefore w:val="0"/>
        <w:kinsoku/>
        <w:overflowPunct/>
        <w:topLinePunct/>
        <w:autoSpaceDE/>
        <w:autoSpaceDN/>
        <w:bidi w:val="0"/>
        <w:jc w:val="center"/>
        <w:textAlignment w:val="auto"/>
        <w:outlineLvl w:val="2"/>
        <w:rPr>
          <w:rFonts w:hint="eastAsia" w:ascii="仿宋" w:hAnsi="仿宋" w:eastAsia="仿宋" w:cs="仿宋"/>
          <w:b/>
          <w:color w:val="auto"/>
          <w:sz w:val="36"/>
          <w:szCs w:val="36"/>
          <w:highlight w:val="none"/>
          <w:lang w:val="en-US" w:eastAsia="zh-CN"/>
        </w:rPr>
      </w:pPr>
      <w:r>
        <w:rPr>
          <w:rFonts w:hint="eastAsia" w:ascii="仿宋" w:hAnsi="仿宋" w:eastAsia="仿宋" w:cs="仿宋"/>
          <w:b/>
          <w:color w:val="auto"/>
          <w:sz w:val="36"/>
          <w:szCs w:val="36"/>
          <w:highlight w:val="none"/>
          <w:lang w:val="en-US" w:eastAsia="zh-CN"/>
        </w:rPr>
        <w:t>法定代表人身份证明书</w:t>
      </w:r>
    </w:p>
    <w:p w14:paraId="3FB4EE60">
      <w:pPr>
        <w:pStyle w:val="15"/>
        <w:keepNext w:val="0"/>
        <w:keepLines w:val="0"/>
        <w:pageBreakBefore w:val="0"/>
        <w:kinsoku/>
        <w:overflowPunct/>
        <w:topLinePunct/>
        <w:autoSpaceDE/>
        <w:autoSpaceDN/>
        <w:bidi w:val="0"/>
        <w:jc w:val="center"/>
        <w:textAlignment w:val="auto"/>
        <w:outlineLvl w:val="9"/>
        <w:rPr>
          <w:rFonts w:hint="eastAsia" w:ascii="仿宋" w:hAnsi="仿宋" w:eastAsia="仿宋" w:cs="仿宋"/>
          <w:b/>
          <w:color w:val="auto"/>
          <w:sz w:val="36"/>
          <w:szCs w:val="36"/>
          <w:highlight w:val="none"/>
        </w:rPr>
      </w:pPr>
    </w:p>
    <w:p w14:paraId="4F4A19D9">
      <w:pPr>
        <w:keepNext w:val="0"/>
        <w:keepLines w:val="0"/>
        <w:pageBreakBefore w:val="0"/>
        <w:kinsoku/>
        <w:overflowPunct/>
        <w:topLinePunct/>
        <w:autoSpaceDE/>
        <w:autoSpaceDN/>
        <w:bidi w:val="0"/>
        <w:spacing w:line="480" w:lineRule="auto"/>
        <w:ind w:firstLine="560" w:firstLineChars="200"/>
        <w:textAlignment w:val="auto"/>
        <w:rPr>
          <w:rFonts w:hint="eastAsia" w:ascii="仿宋" w:hAnsi="仿宋" w:eastAsia="仿宋" w:cs="仿宋"/>
          <w:color w:val="auto"/>
          <w:sz w:val="28"/>
          <w:szCs w:val="21"/>
          <w:highlight w:val="none"/>
          <w:u w:val="single"/>
        </w:rPr>
      </w:pPr>
      <w:r>
        <w:rPr>
          <w:rFonts w:hint="eastAsia" w:ascii="仿宋" w:hAnsi="仿宋" w:eastAsia="仿宋" w:cs="仿宋"/>
          <w:color w:val="auto"/>
          <w:sz w:val="28"/>
          <w:szCs w:val="21"/>
          <w:highlight w:val="none"/>
        </w:rPr>
        <w:t>投标人名称：</w:t>
      </w:r>
      <w:r>
        <w:rPr>
          <w:rFonts w:hint="eastAsia" w:ascii="仿宋" w:hAnsi="仿宋" w:eastAsia="仿宋" w:cs="仿宋"/>
          <w:color w:val="auto"/>
          <w:sz w:val="28"/>
          <w:szCs w:val="21"/>
          <w:highlight w:val="none"/>
          <w:u w:val="single"/>
        </w:rPr>
        <w:t xml:space="preserve">                </w:t>
      </w:r>
    </w:p>
    <w:p w14:paraId="6E47DB74">
      <w:pPr>
        <w:keepNext w:val="0"/>
        <w:keepLines w:val="0"/>
        <w:pageBreakBefore w:val="0"/>
        <w:kinsoku/>
        <w:overflowPunct/>
        <w:topLinePunct/>
        <w:autoSpaceDE/>
        <w:autoSpaceDN/>
        <w:bidi w:val="0"/>
        <w:spacing w:line="480" w:lineRule="auto"/>
        <w:ind w:firstLine="560" w:firstLineChars="200"/>
        <w:textAlignment w:val="auto"/>
        <w:rPr>
          <w:rFonts w:hint="eastAsia" w:ascii="仿宋" w:hAnsi="仿宋" w:eastAsia="仿宋" w:cs="仿宋"/>
          <w:color w:val="auto"/>
          <w:sz w:val="28"/>
          <w:szCs w:val="21"/>
          <w:highlight w:val="none"/>
          <w:u w:val="single"/>
        </w:rPr>
      </w:pPr>
      <w:r>
        <w:rPr>
          <w:rFonts w:hint="eastAsia" w:ascii="仿宋" w:hAnsi="仿宋" w:eastAsia="仿宋" w:cs="仿宋"/>
          <w:color w:val="auto"/>
          <w:sz w:val="28"/>
          <w:szCs w:val="21"/>
          <w:highlight w:val="none"/>
        </w:rPr>
        <w:t>单位性质：</w:t>
      </w:r>
      <w:r>
        <w:rPr>
          <w:rFonts w:hint="eastAsia" w:ascii="仿宋" w:hAnsi="仿宋" w:eastAsia="仿宋" w:cs="仿宋"/>
          <w:color w:val="auto"/>
          <w:sz w:val="28"/>
          <w:szCs w:val="21"/>
          <w:highlight w:val="none"/>
          <w:u w:val="single"/>
        </w:rPr>
        <w:t xml:space="preserve">             </w:t>
      </w:r>
    </w:p>
    <w:p w14:paraId="63293907">
      <w:pPr>
        <w:keepNext w:val="0"/>
        <w:keepLines w:val="0"/>
        <w:pageBreakBefore w:val="0"/>
        <w:kinsoku/>
        <w:overflowPunct/>
        <w:topLinePunct/>
        <w:autoSpaceDE/>
        <w:autoSpaceDN/>
        <w:bidi w:val="0"/>
        <w:spacing w:line="480" w:lineRule="auto"/>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地址：</w:t>
      </w:r>
      <w:r>
        <w:rPr>
          <w:rFonts w:hint="eastAsia" w:ascii="仿宋" w:hAnsi="仿宋" w:eastAsia="仿宋" w:cs="仿宋"/>
          <w:color w:val="auto"/>
          <w:sz w:val="28"/>
          <w:szCs w:val="21"/>
          <w:highlight w:val="none"/>
          <w:u w:val="single"/>
        </w:rPr>
        <w:t xml:space="preserve">                  </w:t>
      </w:r>
    </w:p>
    <w:p w14:paraId="4B594086">
      <w:pPr>
        <w:keepNext w:val="0"/>
        <w:keepLines w:val="0"/>
        <w:pageBreakBefore w:val="0"/>
        <w:kinsoku/>
        <w:overflowPunct/>
        <w:topLinePunct/>
        <w:autoSpaceDE/>
        <w:autoSpaceDN/>
        <w:bidi w:val="0"/>
        <w:spacing w:line="480" w:lineRule="auto"/>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成立时间：</w:t>
      </w:r>
      <w:r>
        <w:rPr>
          <w:rFonts w:hint="eastAsia" w:ascii="仿宋" w:hAnsi="仿宋" w:eastAsia="仿宋" w:cs="仿宋"/>
          <w:color w:val="auto"/>
          <w:sz w:val="28"/>
          <w:szCs w:val="21"/>
          <w:highlight w:val="none"/>
          <w:u w:val="single"/>
        </w:rPr>
        <w:t xml:space="preserve">                  </w:t>
      </w:r>
    </w:p>
    <w:p w14:paraId="27556517">
      <w:pPr>
        <w:keepNext w:val="0"/>
        <w:keepLines w:val="0"/>
        <w:pageBreakBefore w:val="0"/>
        <w:kinsoku/>
        <w:overflowPunct/>
        <w:topLinePunct/>
        <w:autoSpaceDE/>
        <w:autoSpaceDN/>
        <w:bidi w:val="0"/>
        <w:spacing w:line="480" w:lineRule="auto"/>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经营期限：</w:t>
      </w:r>
      <w:r>
        <w:rPr>
          <w:rFonts w:hint="eastAsia" w:ascii="仿宋" w:hAnsi="仿宋" w:eastAsia="仿宋" w:cs="仿宋"/>
          <w:color w:val="auto"/>
          <w:sz w:val="28"/>
          <w:szCs w:val="21"/>
          <w:highlight w:val="none"/>
          <w:u w:val="single"/>
        </w:rPr>
        <w:t xml:space="preserve">                  </w:t>
      </w:r>
    </w:p>
    <w:p w14:paraId="69346E42">
      <w:pPr>
        <w:keepNext w:val="0"/>
        <w:keepLines w:val="0"/>
        <w:pageBreakBefore w:val="0"/>
        <w:kinsoku/>
        <w:overflowPunct/>
        <w:topLinePunct/>
        <w:autoSpaceDE/>
        <w:autoSpaceDN/>
        <w:bidi w:val="0"/>
        <w:spacing w:line="480" w:lineRule="auto"/>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姓名：</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 xml:space="preserve">  性别：</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 xml:space="preserve">  年龄：</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 xml:space="preserve">  职务：</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 xml:space="preserve">  </w:t>
      </w:r>
    </w:p>
    <w:p w14:paraId="0679D1C5">
      <w:pPr>
        <w:keepNext w:val="0"/>
        <w:keepLines w:val="0"/>
        <w:pageBreakBefore w:val="0"/>
        <w:kinsoku/>
        <w:overflowPunct/>
        <w:topLinePunct/>
        <w:autoSpaceDE/>
        <w:autoSpaceDN/>
        <w:bidi w:val="0"/>
        <w:spacing w:line="480" w:lineRule="auto"/>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系</w:t>
      </w:r>
      <w:r>
        <w:rPr>
          <w:rFonts w:hint="eastAsia" w:ascii="仿宋" w:hAnsi="仿宋" w:eastAsia="仿宋" w:cs="仿宋"/>
          <w:color w:val="auto"/>
          <w:sz w:val="28"/>
          <w:szCs w:val="21"/>
          <w:highlight w:val="none"/>
          <w:u w:val="single"/>
        </w:rPr>
        <w:t xml:space="preserve">  （投标人名称）</w:t>
      </w:r>
      <w:r>
        <w:rPr>
          <w:rFonts w:hint="eastAsia" w:ascii="仿宋" w:hAnsi="仿宋" w:eastAsia="仿宋" w:cs="仿宋"/>
          <w:color w:val="auto"/>
          <w:sz w:val="28"/>
          <w:szCs w:val="21"/>
          <w:highlight w:val="none"/>
          <w:u w:val="single"/>
          <w:lang w:val="en-US" w:eastAsia="zh-CN"/>
        </w:rPr>
        <w:t xml:space="preserve">  </w:t>
      </w:r>
      <w:r>
        <w:rPr>
          <w:rFonts w:hint="eastAsia" w:ascii="仿宋" w:hAnsi="仿宋" w:eastAsia="仿宋" w:cs="仿宋"/>
          <w:color w:val="auto"/>
          <w:sz w:val="28"/>
          <w:szCs w:val="21"/>
          <w:highlight w:val="none"/>
        </w:rPr>
        <w:t>的法定代表人。</w:t>
      </w:r>
    </w:p>
    <w:p w14:paraId="33CFCEDD">
      <w:pPr>
        <w:keepNext w:val="0"/>
        <w:keepLines w:val="0"/>
        <w:pageBreakBefore w:val="0"/>
        <w:kinsoku/>
        <w:overflowPunct/>
        <w:topLinePunct/>
        <w:autoSpaceDE/>
        <w:autoSpaceDN/>
        <w:bidi w:val="0"/>
        <w:spacing w:line="480" w:lineRule="auto"/>
        <w:ind w:firstLine="560" w:firstLineChars="200"/>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1"/>
          <w:highlight w:val="none"/>
        </w:rPr>
        <w:t>特此证明。</w:t>
      </w:r>
    </w:p>
    <w:tbl>
      <w:tblPr>
        <w:tblStyle w:val="26"/>
        <w:tblpPr w:leftFromText="180" w:rightFromText="180" w:vertAnchor="text" w:horzAnchor="margin" w:tblpY="13"/>
        <w:tblOverlap w:val="never"/>
        <w:tblW w:w="93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9380"/>
      </w:tblGrid>
      <w:tr w14:paraId="07ACF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877" w:hRule="atLeast"/>
        </w:trPr>
        <w:tc>
          <w:tcPr>
            <w:tcW w:w="9380" w:type="dxa"/>
            <w:tcBorders>
              <w:top w:val="single" w:color="auto" w:sz="4" w:space="0"/>
              <w:left w:val="single" w:color="auto" w:sz="4" w:space="0"/>
              <w:bottom w:val="single" w:color="auto" w:sz="4" w:space="0"/>
              <w:right w:val="single" w:color="auto" w:sz="4" w:space="0"/>
            </w:tcBorders>
            <w:shd w:val="clear" w:color="auto" w:fill="auto"/>
            <w:vAlign w:val="center"/>
          </w:tcPr>
          <w:p w14:paraId="47F9A471">
            <w:pPr>
              <w:keepNext w:val="0"/>
              <w:keepLines w:val="0"/>
              <w:pageBreakBefore w:val="0"/>
              <w:widowControl/>
              <w:kinsoku/>
              <w:overflowPunct/>
              <w:topLinePunct/>
              <w:autoSpaceDE/>
              <w:autoSpaceDN/>
              <w:bidi w:val="0"/>
              <w:spacing w:beforeAutospacing="1" w:afterAutospacing="1" w:line="360" w:lineRule="auto"/>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w:t>
            </w:r>
            <w:r>
              <w:rPr>
                <w:rFonts w:hint="eastAsia" w:ascii="仿宋" w:hAnsi="仿宋" w:eastAsia="仿宋" w:cs="仿宋"/>
                <w:color w:val="auto"/>
                <w:kern w:val="0"/>
                <w:sz w:val="28"/>
                <w:szCs w:val="28"/>
                <w:highlight w:val="none"/>
              </w:rPr>
              <w:t>身份证正</w:t>
            </w:r>
            <w:r>
              <w:rPr>
                <w:rFonts w:hint="eastAsia" w:ascii="仿宋" w:hAnsi="仿宋" w:eastAsia="仿宋" w:cs="仿宋"/>
                <w:color w:val="auto"/>
                <w:kern w:val="0"/>
                <w:sz w:val="28"/>
                <w:szCs w:val="28"/>
                <w:highlight w:val="none"/>
                <w:lang w:val="en-US" w:eastAsia="zh-CN"/>
              </w:rPr>
              <w:t>反</w:t>
            </w:r>
            <w:r>
              <w:rPr>
                <w:rFonts w:hint="eastAsia" w:ascii="仿宋" w:hAnsi="仿宋" w:eastAsia="仿宋" w:cs="仿宋"/>
                <w:color w:val="auto"/>
                <w:kern w:val="0"/>
                <w:sz w:val="28"/>
                <w:szCs w:val="28"/>
                <w:highlight w:val="none"/>
              </w:rPr>
              <w:t>面扫描件</w:t>
            </w:r>
          </w:p>
        </w:tc>
      </w:tr>
    </w:tbl>
    <w:p w14:paraId="53DA6984">
      <w:pPr>
        <w:keepNext w:val="0"/>
        <w:keepLines w:val="0"/>
        <w:pageBreakBefore w:val="0"/>
        <w:widowControl w:val="0"/>
        <w:kinsoku/>
        <w:wordWrap/>
        <w:overflowPunct/>
        <w:topLinePunct/>
        <w:autoSpaceDE/>
        <w:autoSpaceDN/>
        <w:bidi w:val="0"/>
        <w:adjustRightInd/>
        <w:snapToGrid/>
        <w:spacing w:line="460" w:lineRule="exact"/>
        <w:textAlignment w:val="auto"/>
        <w:rPr>
          <w:rFonts w:hint="eastAsia" w:ascii="仿宋" w:hAnsi="仿宋" w:eastAsia="仿宋" w:cs="仿宋"/>
          <w:color w:val="auto"/>
          <w:sz w:val="28"/>
          <w:szCs w:val="28"/>
          <w:highlight w:val="none"/>
          <w:lang w:eastAsia="zh-CN"/>
        </w:rPr>
      </w:pPr>
    </w:p>
    <w:p w14:paraId="5FC3946D">
      <w:pPr>
        <w:keepNext w:val="0"/>
        <w:keepLines w:val="0"/>
        <w:pageBreakBefore w:val="0"/>
        <w:widowControl w:val="0"/>
        <w:kinsoku/>
        <w:wordWrap/>
        <w:overflowPunct/>
        <w:topLinePunct/>
        <w:autoSpaceDE/>
        <w:autoSpaceDN/>
        <w:bidi w:val="0"/>
        <w:adjustRightInd/>
        <w:snapToGrid/>
        <w:spacing w:line="460" w:lineRule="exact"/>
        <w:textAlignment w:val="auto"/>
        <w:rPr>
          <w:rFonts w:hint="eastAsia" w:ascii="仿宋" w:hAnsi="仿宋" w:eastAsia="仿宋" w:cs="仿宋"/>
          <w:color w:val="auto"/>
          <w:sz w:val="28"/>
          <w:szCs w:val="28"/>
          <w:highlight w:val="none"/>
          <w:lang w:eastAsia="zh-CN"/>
        </w:rPr>
      </w:pPr>
    </w:p>
    <w:p w14:paraId="28019B47">
      <w:pPr>
        <w:keepNext w:val="0"/>
        <w:keepLines w:val="0"/>
        <w:pageBreakBefore w:val="0"/>
        <w:kinsoku/>
        <w:wordWrap/>
        <w:overflowPunct/>
        <w:topLinePunct/>
        <w:autoSpaceDE/>
        <w:autoSpaceDN/>
        <w:bidi w:val="0"/>
        <w:spacing w:line="480" w:lineRule="auto"/>
        <w:ind w:firstLine="6440" w:firstLineChars="230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lang w:eastAsia="zh-CN"/>
        </w:rPr>
        <w:t>投标人</w:t>
      </w:r>
      <w:r>
        <w:rPr>
          <w:rFonts w:hint="eastAsia" w:ascii="仿宋" w:hAnsi="仿宋" w:eastAsia="仿宋" w:cs="仿宋"/>
          <w:color w:val="auto"/>
          <w:kern w:val="0"/>
          <w:sz w:val="28"/>
          <w:szCs w:val="28"/>
          <w:highlight w:val="none"/>
        </w:rPr>
        <w:t xml:space="preserve">（公章）： </w:t>
      </w:r>
    </w:p>
    <w:p w14:paraId="483421F1">
      <w:pPr>
        <w:keepNext w:val="0"/>
        <w:keepLines w:val="0"/>
        <w:pageBreakBefore w:val="0"/>
        <w:kinsoku/>
        <w:overflowPunct/>
        <w:topLinePunct/>
        <w:autoSpaceDE/>
        <w:autoSpaceDN/>
        <w:bidi w:val="0"/>
        <w:snapToGrid w:val="0"/>
        <w:spacing w:line="480" w:lineRule="auto"/>
        <w:ind w:firstLine="6440" w:firstLineChars="230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sz w:val="28"/>
          <w:szCs w:val="28"/>
          <w:highlight w:val="none"/>
        </w:rPr>
        <w:t>日期：</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年</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月</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日</w:t>
      </w:r>
    </w:p>
    <w:p w14:paraId="1D5B28D0">
      <w:pPr>
        <w:keepNext w:val="0"/>
        <w:keepLines w:val="0"/>
        <w:pageBreakBefore w:val="0"/>
        <w:kinsoku/>
        <w:overflowPunct/>
        <w:topLinePunct/>
        <w:autoSpaceDE/>
        <w:autoSpaceDN/>
        <w:bidi w:val="0"/>
        <w:snapToGrid w:val="0"/>
        <w:spacing w:line="480" w:lineRule="auto"/>
        <w:ind w:firstLine="6440" w:firstLineChars="2300"/>
        <w:textAlignment w:val="auto"/>
        <w:rPr>
          <w:rFonts w:hint="eastAsia" w:ascii="仿宋" w:hAnsi="仿宋" w:eastAsia="仿宋" w:cs="仿宋"/>
          <w:color w:val="auto"/>
          <w:kern w:val="0"/>
          <w:sz w:val="28"/>
          <w:szCs w:val="28"/>
          <w:highlight w:val="none"/>
        </w:rPr>
      </w:pPr>
    </w:p>
    <w:p w14:paraId="0C9EC983">
      <w:pPr>
        <w:keepNext w:val="0"/>
        <w:keepLines w:val="0"/>
        <w:pageBreakBefore w:val="0"/>
        <w:widowControl w:val="0"/>
        <w:kinsoku/>
        <w:wordWrap/>
        <w:overflowPunct/>
        <w:topLinePunct/>
        <w:autoSpaceDE/>
        <w:autoSpaceDN/>
        <w:bidi w:val="0"/>
        <w:adjustRightInd/>
        <w:snapToGrid/>
        <w:spacing w:line="460" w:lineRule="exact"/>
        <w:ind w:firstLine="5880" w:firstLineChars="2100"/>
        <w:textAlignment w:val="auto"/>
        <w:rPr>
          <w:rFonts w:hint="eastAsia" w:ascii="仿宋" w:hAnsi="仿宋" w:eastAsia="仿宋" w:cs="仿宋"/>
          <w:color w:val="auto"/>
          <w:sz w:val="28"/>
          <w:szCs w:val="28"/>
          <w:highlight w:val="none"/>
          <w:lang w:eastAsia="zh-CN"/>
        </w:rPr>
        <w:sectPr>
          <w:pgSz w:w="11906" w:h="16838"/>
          <w:pgMar w:top="1280" w:right="1142" w:bottom="1118" w:left="1324" w:header="454" w:footer="680" w:gutter="0"/>
          <w:pgNumType w:fmt="decimal"/>
          <w:cols w:space="0" w:num="1"/>
          <w:docGrid w:linePitch="312" w:charSpace="0"/>
        </w:sectPr>
      </w:pPr>
    </w:p>
    <w:p w14:paraId="5BE31C9A">
      <w:pPr>
        <w:pStyle w:val="15"/>
        <w:keepNext w:val="0"/>
        <w:keepLines w:val="0"/>
        <w:pageBreakBefore w:val="0"/>
        <w:kinsoku/>
        <w:overflowPunct/>
        <w:topLinePunct/>
        <w:autoSpaceDE/>
        <w:autoSpaceDN/>
        <w:bidi w:val="0"/>
        <w:jc w:val="center"/>
        <w:textAlignment w:val="auto"/>
        <w:outlineLvl w:val="2"/>
        <w:rPr>
          <w:rFonts w:hint="eastAsia" w:ascii="仿宋" w:hAnsi="仿宋" w:eastAsia="仿宋" w:cs="仿宋"/>
          <w:b/>
          <w:color w:val="auto"/>
          <w:sz w:val="36"/>
          <w:szCs w:val="36"/>
          <w:highlight w:val="none"/>
        </w:rPr>
      </w:pPr>
      <w:bookmarkStart w:id="39" w:name="_Toc10177"/>
      <w:bookmarkStart w:id="40" w:name="_Toc104618875"/>
      <w:r>
        <w:rPr>
          <w:rFonts w:hint="eastAsia" w:ascii="仿宋" w:hAnsi="仿宋" w:eastAsia="仿宋" w:cs="仿宋"/>
          <w:b/>
          <w:color w:val="auto"/>
          <w:sz w:val="36"/>
          <w:szCs w:val="36"/>
          <w:highlight w:val="none"/>
        </w:rPr>
        <w:t>授权委托书</w:t>
      </w:r>
      <w:bookmarkEnd w:id="39"/>
      <w:bookmarkEnd w:id="40"/>
    </w:p>
    <w:p w14:paraId="22C46909">
      <w:pPr>
        <w:pStyle w:val="15"/>
        <w:keepNext w:val="0"/>
        <w:keepLines w:val="0"/>
        <w:pageBreakBefore w:val="0"/>
        <w:kinsoku/>
        <w:overflowPunct/>
        <w:topLinePunct/>
        <w:autoSpaceDE/>
        <w:autoSpaceDN/>
        <w:bidi w:val="0"/>
        <w:spacing w:line="520" w:lineRule="exact"/>
        <w:jc w:val="both"/>
        <w:textAlignment w:val="auto"/>
        <w:rPr>
          <w:rFonts w:hint="eastAsia" w:ascii="仿宋" w:hAnsi="仿宋" w:eastAsia="仿宋" w:cs="仿宋"/>
          <w:b/>
          <w:bCs/>
          <w:color w:val="auto"/>
          <w:sz w:val="28"/>
          <w:highlight w:val="none"/>
        </w:rPr>
      </w:pPr>
    </w:p>
    <w:p w14:paraId="667E38F9">
      <w:pPr>
        <w:keepNext w:val="0"/>
        <w:keepLines w:val="0"/>
        <w:pageBreakBefore w:val="0"/>
        <w:widowControl w:val="0"/>
        <w:kinsoku/>
        <w:wordWrap/>
        <w:overflowPunct/>
        <w:topLinePunct/>
        <w:autoSpaceDE/>
        <w:autoSpaceDN/>
        <w:bidi w:val="0"/>
        <w:adjustRightInd/>
        <w:snapToGrid/>
        <w:spacing w:line="48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本授权书声明：注册于</w:t>
      </w:r>
      <w:r>
        <w:rPr>
          <w:rFonts w:hint="eastAsia" w:ascii="仿宋" w:hAnsi="仿宋" w:eastAsia="仿宋" w:cs="仿宋"/>
          <w:color w:val="auto"/>
          <w:sz w:val="28"/>
          <w:szCs w:val="28"/>
          <w:highlight w:val="none"/>
          <w:u w:val="single"/>
        </w:rPr>
        <w:t xml:space="preserve">  (国家或地区的名称)  </w:t>
      </w:r>
      <w:r>
        <w:rPr>
          <w:rFonts w:hint="eastAsia" w:ascii="仿宋" w:hAnsi="仿宋" w:eastAsia="仿宋" w:cs="仿宋"/>
          <w:color w:val="auto"/>
          <w:sz w:val="28"/>
          <w:szCs w:val="28"/>
          <w:highlight w:val="none"/>
        </w:rPr>
        <w:t>的</w:t>
      </w:r>
      <w:r>
        <w:rPr>
          <w:rFonts w:hint="eastAsia" w:ascii="仿宋" w:hAnsi="仿宋" w:eastAsia="仿宋" w:cs="仿宋"/>
          <w:color w:val="auto"/>
          <w:sz w:val="28"/>
          <w:szCs w:val="28"/>
          <w:highlight w:val="none"/>
          <w:u w:val="single"/>
        </w:rPr>
        <w:t xml:space="preserve">  (公司名称)  </w:t>
      </w:r>
      <w:r>
        <w:rPr>
          <w:rFonts w:hint="eastAsia" w:ascii="仿宋" w:hAnsi="仿宋" w:eastAsia="仿宋" w:cs="仿宋"/>
          <w:color w:val="auto"/>
          <w:sz w:val="28"/>
          <w:szCs w:val="28"/>
          <w:highlight w:val="none"/>
        </w:rPr>
        <w:t>的</w:t>
      </w:r>
      <w:r>
        <w:rPr>
          <w:rFonts w:hint="eastAsia" w:ascii="仿宋" w:hAnsi="仿宋" w:eastAsia="仿宋" w:cs="仿宋"/>
          <w:color w:val="auto"/>
          <w:sz w:val="28"/>
          <w:szCs w:val="28"/>
          <w:highlight w:val="none"/>
          <w:u w:val="single"/>
        </w:rPr>
        <w:t xml:space="preserve"> (法人代表姓名、职务) </w:t>
      </w:r>
      <w:r>
        <w:rPr>
          <w:rFonts w:hint="eastAsia" w:ascii="仿宋" w:hAnsi="仿宋" w:eastAsia="仿宋" w:cs="仿宋"/>
          <w:color w:val="auto"/>
          <w:sz w:val="28"/>
          <w:szCs w:val="28"/>
          <w:highlight w:val="none"/>
        </w:rPr>
        <w:t>，代表本公司授权</w:t>
      </w:r>
      <w:r>
        <w:rPr>
          <w:rFonts w:hint="eastAsia" w:ascii="仿宋" w:hAnsi="仿宋" w:eastAsia="仿宋" w:cs="仿宋"/>
          <w:color w:val="auto"/>
          <w:sz w:val="28"/>
          <w:szCs w:val="28"/>
          <w:highlight w:val="none"/>
          <w:u w:val="single"/>
        </w:rPr>
        <w:t xml:space="preserve">  (被授权单位名称)  </w:t>
      </w:r>
      <w:r>
        <w:rPr>
          <w:rFonts w:hint="eastAsia" w:ascii="仿宋" w:hAnsi="仿宋" w:eastAsia="仿宋" w:cs="仿宋"/>
          <w:color w:val="auto"/>
          <w:sz w:val="28"/>
          <w:szCs w:val="28"/>
          <w:highlight w:val="none"/>
        </w:rPr>
        <w:t>的</w:t>
      </w:r>
      <w:r>
        <w:rPr>
          <w:rFonts w:hint="eastAsia" w:ascii="仿宋" w:hAnsi="仿宋" w:eastAsia="仿宋" w:cs="仿宋"/>
          <w:color w:val="auto"/>
          <w:sz w:val="28"/>
          <w:szCs w:val="28"/>
          <w:highlight w:val="none"/>
          <w:u w:val="single"/>
        </w:rPr>
        <w:t xml:space="preserve">  被授权人的姓名、职务)</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为本公司的合法代理人，参加项目名称为</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（编号为：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rPr>
        <w:t>的公开招标采购活动，以本公司名义处理一切与之有关的事宜。</w:t>
      </w:r>
    </w:p>
    <w:p w14:paraId="404A00B0">
      <w:pPr>
        <w:keepNext w:val="0"/>
        <w:keepLines w:val="0"/>
        <w:pageBreakBefore w:val="0"/>
        <w:widowControl w:val="0"/>
        <w:kinsoku/>
        <w:wordWrap/>
        <w:overflowPunct/>
        <w:topLinePunct/>
        <w:autoSpaceDE/>
        <w:autoSpaceDN/>
        <w:bidi w:val="0"/>
        <w:adjustRightInd/>
        <w:snapToGrid/>
        <w:spacing w:line="48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如果本公司在此次采购活动中中标，被授权人有权代表本公司签署合同。</w:t>
      </w:r>
    </w:p>
    <w:p w14:paraId="68B4E149">
      <w:pPr>
        <w:keepNext w:val="0"/>
        <w:keepLines w:val="0"/>
        <w:pageBreakBefore w:val="0"/>
        <w:widowControl w:val="0"/>
        <w:kinsoku/>
        <w:wordWrap/>
        <w:overflowPunct/>
        <w:topLinePunct/>
        <w:autoSpaceDE/>
        <w:autoSpaceDN/>
        <w:bidi w:val="0"/>
        <w:adjustRightInd/>
        <w:snapToGrid/>
        <w:spacing w:line="48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本授权书于</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日法定代表人签字或盖章并由被授权人签字、单位盖章生效，特此声明。</w:t>
      </w:r>
    </w:p>
    <w:p w14:paraId="02C74019">
      <w:pPr>
        <w:keepNext w:val="0"/>
        <w:keepLines w:val="0"/>
        <w:pageBreakBefore w:val="0"/>
        <w:widowControl w:val="0"/>
        <w:kinsoku/>
        <w:wordWrap/>
        <w:overflowPunct/>
        <w:topLinePunct/>
        <w:autoSpaceDE/>
        <w:autoSpaceDN/>
        <w:bidi w:val="0"/>
        <w:adjustRightInd/>
        <w:snapToGrid/>
        <w:spacing w:line="48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授权代表无转委托权。</w:t>
      </w:r>
    </w:p>
    <w:p w14:paraId="1FBEC604">
      <w:pPr>
        <w:keepNext w:val="0"/>
        <w:keepLines w:val="0"/>
        <w:pageBreakBefore w:val="0"/>
        <w:widowControl w:val="0"/>
        <w:kinsoku/>
        <w:wordWrap/>
        <w:overflowPunct/>
        <w:topLinePunct/>
        <w:autoSpaceDE/>
        <w:autoSpaceDN/>
        <w:bidi w:val="0"/>
        <w:adjustRightInd/>
        <w:snapToGrid/>
        <w:spacing w:line="520" w:lineRule="exact"/>
        <w:ind w:firstLine="560" w:firstLineChars="200"/>
        <w:textAlignment w:val="auto"/>
        <w:rPr>
          <w:rFonts w:hint="eastAsia" w:ascii="仿宋" w:hAnsi="仿宋" w:eastAsia="仿宋" w:cs="仿宋"/>
          <w:color w:val="auto"/>
          <w:sz w:val="28"/>
          <w:szCs w:val="28"/>
          <w:highlight w:val="none"/>
        </w:rPr>
      </w:pPr>
    </w:p>
    <w:p w14:paraId="3C1495C6">
      <w:pPr>
        <w:keepNext w:val="0"/>
        <w:keepLines w:val="0"/>
        <w:pageBreakBefore w:val="0"/>
        <w:widowControl w:val="0"/>
        <w:kinsoku/>
        <w:wordWrap/>
        <w:overflowPunct/>
        <w:topLinePunct/>
        <w:autoSpaceDE/>
        <w:autoSpaceDN/>
        <w:bidi w:val="0"/>
        <w:adjustRightInd/>
        <w:snapToGrid/>
        <w:spacing w:line="48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法定代表人签字或盖章：</w:t>
      </w:r>
    </w:p>
    <w:p w14:paraId="1F992C63">
      <w:pPr>
        <w:keepNext w:val="0"/>
        <w:keepLines w:val="0"/>
        <w:pageBreakBefore w:val="0"/>
        <w:widowControl w:val="0"/>
        <w:kinsoku/>
        <w:wordWrap/>
        <w:overflowPunct/>
        <w:topLinePunct/>
        <w:autoSpaceDE/>
        <w:autoSpaceDN/>
        <w:bidi w:val="0"/>
        <w:adjustRightInd/>
        <w:snapToGrid/>
        <w:spacing w:line="48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被授权人签字：</w:t>
      </w:r>
    </w:p>
    <w:p w14:paraId="4A71AE66">
      <w:pPr>
        <w:keepNext w:val="0"/>
        <w:keepLines w:val="0"/>
        <w:pageBreakBefore w:val="0"/>
        <w:widowControl w:val="0"/>
        <w:kinsoku/>
        <w:wordWrap/>
        <w:overflowPunct/>
        <w:topLinePunct/>
        <w:autoSpaceDE/>
        <w:autoSpaceDN/>
        <w:bidi w:val="0"/>
        <w:adjustRightInd/>
        <w:snapToGrid/>
        <w:spacing w:line="48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投标人</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公</w:t>
      </w:r>
      <w:r>
        <w:rPr>
          <w:rFonts w:hint="eastAsia" w:ascii="仿宋" w:hAnsi="仿宋" w:eastAsia="仿宋" w:cs="仿宋"/>
          <w:color w:val="auto"/>
          <w:sz w:val="28"/>
          <w:szCs w:val="28"/>
          <w:highlight w:val="none"/>
        </w:rPr>
        <w:t>章）:</w:t>
      </w:r>
    </w:p>
    <w:p w14:paraId="787DC147">
      <w:pPr>
        <w:keepNext w:val="0"/>
        <w:keepLines w:val="0"/>
        <w:pageBreakBefore w:val="0"/>
        <w:kinsoku/>
        <w:overflowPunct/>
        <w:topLinePunct/>
        <w:autoSpaceDE/>
        <w:autoSpaceDN/>
        <w:bidi w:val="0"/>
        <w:textAlignment w:val="auto"/>
        <w:rPr>
          <w:rFonts w:hint="eastAsia" w:ascii="仿宋" w:hAnsi="仿宋" w:eastAsia="仿宋" w:cs="仿宋"/>
          <w:vanish/>
          <w:color w:val="auto"/>
          <w:highlight w:val="none"/>
        </w:rPr>
      </w:pPr>
    </w:p>
    <w:tbl>
      <w:tblPr>
        <w:tblStyle w:val="26"/>
        <w:tblpPr w:leftFromText="180" w:rightFromText="180" w:vertAnchor="text" w:horzAnchor="margin" w:tblpY="361"/>
        <w:tblOverlap w:val="never"/>
        <w:tblW w:w="94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9460"/>
      </w:tblGrid>
      <w:tr w14:paraId="35464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342" w:hRule="atLeast"/>
        </w:trPr>
        <w:tc>
          <w:tcPr>
            <w:tcW w:w="9460" w:type="dxa"/>
            <w:shd w:val="clear" w:color="auto" w:fill="auto"/>
            <w:vAlign w:val="center"/>
          </w:tcPr>
          <w:p w14:paraId="1C2BFFE8">
            <w:pPr>
              <w:keepNext w:val="0"/>
              <w:keepLines w:val="0"/>
              <w:pageBreakBefore w:val="0"/>
              <w:widowControl/>
              <w:kinsoku/>
              <w:overflowPunct/>
              <w:topLinePunct/>
              <w:autoSpaceDE/>
              <w:autoSpaceDN/>
              <w:bidi w:val="0"/>
              <w:spacing w:beforeAutospacing="1" w:afterAutospacing="1" w:line="360" w:lineRule="auto"/>
              <w:jc w:val="center"/>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sz w:val="28"/>
                <w:szCs w:val="28"/>
                <w:highlight w:val="none"/>
              </w:rPr>
              <w:t>授权代表身份证</w:t>
            </w:r>
            <w:r>
              <w:rPr>
                <w:rFonts w:hint="eastAsia" w:ascii="仿宋" w:hAnsi="仿宋" w:eastAsia="仿宋" w:cs="仿宋"/>
                <w:color w:val="auto"/>
                <w:kern w:val="0"/>
                <w:sz w:val="28"/>
                <w:szCs w:val="28"/>
                <w:highlight w:val="none"/>
              </w:rPr>
              <w:t>正</w:t>
            </w:r>
            <w:r>
              <w:rPr>
                <w:rFonts w:hint="eastAsia" w:ascii="仿宋" w:hAnsi="仿宋" w:eastAsia="仿宋" w:cs="仿宋"/>
                <w:color w:val="auto"/>
                <w:kern w:val="0"/>
                <w:sz w:val="28"/>
                <w:szCs w:val="28"/>
                <w:highlight w:val="none"/>
                <w:lang w:val="en-US" w:eastAsia="zh-CN"/>
              </w:rPr>
              <w:t>反</w:t>
            </w:r>
            <w:r>
              <w:rPr>
                <w:rFonts w:hint="eastAsia" w:ascii="仿宋" w:hAnsi="仿宋" w:eastAsia="仿宋" w:cs="仿宋"/>
                <w:color w:val="auto"/>
                <w:kern w:val="0"/>
                <w:sz w:val="28"/>
                <w:szCs w:val="28"/>
                <w:highlight w:val="none"/>
              </w:rPr>
              <w:t>面扫描件</w:t>
            </w:r>
          </w:p>
        </w:tc>
      </w:tr>
    </w:tbl>
    <w:p w14:paraId="37590B2F">
      <w:pPr>
        <w:pStyle w:val="15"/>
        <w:keepNext w:val="0"/>
        <w:keepLines w:val="0"/>
        <w:pageBreakBefore w:val="0"/>
        <w:widowControl w:val="0"/>
        <w:kinsoku/>
        <w:wordWrap/>
        <w:overflowPunct/>
        <w:topLinePunct/>
        <w:autoSpaceDE/>
        <w:autoSpaceDN/>
        <w:bidi w:val="0"/>
        <w:adjustRightInd/>
        <w:snapToGrid/>
        <w:spacing w:line="560" w:lineRule="exact"/>
        <w:ind w:firstLine="560" w:firstLineChars="200"/>
        <w:textAlignment w:val="auto"/>
        <w:rPr>
          <w:rFonts w:hint="eastAsia" w:ascii="仿宋" w:hAnsi="仿宋" w:eastAsia="仿宋" w:cs="仿宋"/>
          <w:color w:val="auto"/>
          <w:sz w:val="28"/>
          <w:szCs w:val="28"/>
          <w:highlight w:val="none"/>
          <w:lang w:eastAsia="zh-CN"/>
        </w:rPr>
      </w:pPr>
    </w:p>
    <w:p w14:paraId="1042A037">
      <w:pPr>
        <w:keepNext w:val="0"/>
        <w:keepLines w:val="0"/>
        <w:pageBreakBefore w:val="0"/>
        <w:kinsoku/>
        <w:overflowPunct/>
        <w:topLinePunct/>
        <w:autoSpaceDE/>
        <w:autoSpaceDN/>
        <w:bidi w:val="0"/>
        <w:textAlignment w:val="auto"/>
        <w:rPr>
          <w:rFonts w:hint="eastAsia" w:ascii="仿宋" w:hAnsi="仿宋" w:eastAsia="仿宋" w:cs="仿宋"/>
          <w:color w:val="auto"/>
          <w:highlight w:val="none"/>
        </w:rPr>
        <w:sectPr>
          <w:pgSz w:w="11906" w:h="16838"/>
          <w:pgMar w:top="1280" w:right="1142" w:bottom="1118" w:left="1324" w:header="454" w:footer="680" w:gutter="0"/>
          <w:pgNumType w:fmt="decimal"/>
          <w:cols w:space="0" w:num="1"/>
          <w:docGrid w:linePitch="312" w:charSpace="0"/>
        </w:sectPr>
      </w:pPr>
    </w:p>
    <w:p w14:paraId="7CCE95E1">
      <w:pPr>
        <w:pStyle w:val="15"/>
        <w:keepNext w:val="0"/>
        <w:keepLines w:val="0"/>
        <w:pageBreakBefore w:val="0"/>
        <w:kinsoku/>
        <w:overflowPunct/>
        <w:topLinePunct/>
        <w:autoSpaceDE/>
        <w:autoSpaceDN/>
        <w:bidi w:val="0"/>
        <w:jc w:val="center"/>
        <w:textAlignment w:val="auto"/>
        <w:outlineLvl w:val="2"/>
        <w:rPr>
          <w:rFonts w:hint="eastAsia" w:ascii="仿宋" w:hAnsi="仿宋" w:eastAsia="仿宋" w:cs="仿宋"/>
          <w:b/>
          <w:color w:val="auto"/>
          <w:sz w:val="36"/>
          <w:szCs w:val="36"/>
          <w:highlight w:val="none"/>
          <w:lang w:val="en-US" w:eastAsia="zh-CN"/>
        </w:rPr>
      </w:pPr>
      <w:r>
        <w:rPr>
          <w:rFonts w:hint="eastAsia" w:ascii="仿宋" w:hAnsi="仿宋" w:eastAsia="仿宋" w:cs="仿宋"/>
          <w:b/>
          <w:color w:val="auto"/>
          <w:sz w:val="36"/>
          <w:szCs w:val="36"/>
          <w:highlight w:val="none"/>
          <w:lang w:val="en-US" w:eastAsia="zh-CN"/>
        </w:rPr>
        <w:t>投标人信用承诺书</w:t>
      </w:r>
    </w:p>
    <w:p w14:paraId="40D54338">
      <w:pPr>
        <w:keepNext w:val="0"/>
        <w:keepLines w:val="0"/>
        <w:pageBreakBefore w:val="0"/>
        <w:kinsoku/>
        <w:overflowPunct/>
        <w:autoSpaceDE/>
        <w:autoSpaceDN/>
        <w:bidi w:val="0"/>
        <w:rPr>
          <w:rFonts w:hint="eastAsia"/>
          <w:lang w:val="en-US" w:eastAsia="zh-CN"/>
        </w:rPr>
      </w:pPr>
    </w:p>
    <w:p w14:paraId="32BD29EC">
      <w:pPr>
        <w:keepNext w:val="0"/>
        <w:keepLines w:val="0"/>
        <w:pageBreakBefore w:val="0"/>
        <w:widowControl w:val="0"/>
        <w:kinsoku/>
        <w:wordWrap/>
        <w:overflowPunct/>
        <w:topLinePunct/>
        <w:autoSpaceDE/>
        <w:autoSpaceDN/>
        <w:bidi w:val="0"/>
        <w:adjustRightInd/>
        <w:snapToGrid/>
        <w:spacing w:line="540" w:lineRule="exact"/>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为营造公平竞争、规范有序的市场环境，树立诚信守法经营形象。本单位郑重承诺：</w:t>
      </w:r>
    </w:p>
    <w:p w14:paraId="5E040D9F">
      <w:pPr>
        <w:keepNext w:val="0"/>
        <w:keepLines w:val="0"/>
        <w:pageBreakBefore w:val="0"/>
        <w:widowControl w:val="0"/>
        <w:kinsoku/>
        <w:wordWrap/>
        <w:overflowPunct/>
        <w:topLinePunct/>
        <w:autoSpaceDE/>
        <w:autoSpaceDN/>
        <w:bidi w:val="0"/>
        <w:adjustRightInd/>
        <w:snapToGrid/>
        <w:spacing w:line="540" w:lineRule="exact"/>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一、我方在此声明，本次招标投标活动中申报的所有资料都是真实、准确完整的，如发现提供虚假资料，或与事实不符而导致报价无效，甚至造成任何法律和经济责任，完全由我方负责。</w:t>
      </w:r>
    </w:p>
    <w:p w14:paraId="143E1C50">
      <w:pPr>
        <w:keepNext w:val="0"/>
        <w:keepLines w:val="0"/>
        <w:pageBreakBefore w:val="0"/>
        <w:widowControl w:val="0"/>
        <w:kinsoku/>
        <w:wordWrap/>
        <w:overflowPunct/>
        <w:topLinePunct/>
        <w:autoSpaceDE/>
        <w:autoSpaceDN/>
        <w:bidi w:val="0"/>
        <w:adjustRightInd/>
        <w:snapToGrid/>
        <w:spacing w:line="540" w:lineRule="exact"/>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二、我方在本次投标活动中绝无资质挂靠、串标、围标情形，若经贵方查出，立即取消我方报价资格并承担相应的法律责任。</w:t>
      </w:r>
    </w:p>
    <w:p w14:paraId="510E3502">
      <w:pPr>
        <w:keepNext w:val="0"/>
        <w:keepLines w:val="0"/>
        <w:pageBreakBefore w:val="0"/>
        <w:widowControl w:val="0"/>
        <w:kinsoku/>
        <w:wordWrap/>
        <w:overflowPunct/>
        <w:topLinePunct/>
        <w:autoSpaceDE/>
        <w:autoSpaceDN/>
        <w:bidi w:val="0"/>
        <w:adjustRightInd/>
        <w:snapToGrid/>
        <w:spacing w:line="540" w:lineRule="exact"/>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三、我方在以往的招标投标活动中，无重大违法、违规的不良记录；或虽有不良记录，但已超过处理期限。</w:t>
      </w:r>
    </w:p>
    <w:p w14:paraId="369EB75A">
      <w:pPr>
        <w:keepNext w:val="0"/>
        <w:keepLines w:val="0"/>
        <w:pageBreakBefore w:val="0"/>
        <w:widowControl w:val="0"/>
        <w:kinsoku/>
        <w:wordWrap/>
        <w:overflowPunct/>
        <w:topLinePunct/>
        <w:autoSpaceDE/>
        <w:autoSpaceDN/>
        <w:bidi w:val="0"/>
        <w:adjustRightInd/>
        <w:snapToGrid/>
        <w:spacing w:line="540" w:lineRule="exact"/>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四、我方（含投标单位、法定代表人及委托代理人）承诺近三年无行贿犯罪记录。如有不实，愿意承担一切后果。</w:t>
      </w:r>
    </w:p>
    <w:p w14:paraId="03A417A1">
      <w:pPr>
        <w:keepNext w:val="0"/>
        <w:keepLines w:val="0"/>
        <w:pageBreakBefore w:val="0"/>
        <w:widowControl w:val="0"/>
        <w:kinsoku/>
        <w:wordWrap/>
        <w:overflowPunct/>
        <w:topLinePunct/>
        <w:autoSpaceDE/>
        <w:autoSpaceDN/>
        <w:bidi w:val="0"/>
        <w:adjustRightInd/>
        <w:snapToGrid/>
        <w:spacing w:line="540" w:lineRule="exact"/>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五、我方一旦中标，将按规定及时与采购人签订合同，严格按照投标文件中所承诺的报价、质量、服务期等内容组织实施。</w:t>
      </w:r>
    </w:p>
    <w:p w14:paraId="6155D535">
      <w:pPr>
        <w:keepNext w:val="0"/>
        <w:keepLines w:val="0"/>
        <w:pageBreakBefore w:val="0"/>
        <w:widowControl w:val="0"/>
        <w:kinsoku/>
        <w:wordWrap/>
        <w:overflowPunct/>
        <w:topLinePunct/>
        <w:autoSpaceDE/>
        <w:autoSpaceDN/>
        <w:bidi w:val="0"/>
        <w:adjustRightInd/>
        <w:snapToGrid/>
        <w:spacing w:line="540" w:lineRule="exact"/>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六、自觉接受社会各界的监督，依法接受有关行政机关的事中事后监管和执法检查，并如实提供有关情况和材料。</w:t>
      </w:r>
    </w:p>
    <w:p w14:paraId="0FC2F529">
      <w:pPr>
        <w:keepNext w:val="0"/>
        <w:keepLines w:val="0"/>
        <w:pageBreakBefore w:val="0"/>
        <w:widowControl w:val="0"/>
        <w:kinsoku/>
        <w:wordWrap/>
        <w:overflowPunct/>
        <w:topLinePunct/>
        <w:autoSpaceDE/>
        <w:autoSpaceDN/>
        <w:bidi w:val="0"/>
        <w:adjustRightInd/>
        <w:snapToGrid/>
        <w:spacing w:line="540" w:lineRule="exact"/>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七、严格遵守国家法律、法规、规章和相关政策规定，积极参与社会信用体系建设，倡树以信笃行，以诚兴业的传统美德，争当信用市民，争创信用企业。</w:t>
      </w:r>
    </w:p>
    <w:p w14:paraId="1BA8CE70">
      <w:pPr>
        <w:keepNext w:val="0"/>
        <w:keepLines w:val="0"/>
        <w:pageBreakBefore w:val="0"/>
        <w:widowControl w:val="0"/>
        <w:kinsoku/>
        <w:wordWrap/>
        <w:overflowPunct/>
        <w:topLinePunct/>
        <w:autoSpaceDE/>
        <w:autoSpaceDN/>
        <w:bidi w:val="0"/>
        <w:adjustRightInd/>
        <w:snapToGrid/>
        <w:spacing w:line="540" w:lineRule="exact"/>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八、本《信用承诺书》同意向社会公开。</w:t>
      </w:r>
    </w:p>
    <w:p w14:paraId="7EE96CFE">
      <w:pPr>
        <w:keepNext w:val="0"/>
        <w:keepLines w:val="0"/>
        <w:pageBreakBefore w:val="0"/>
        <w:kinsoku/>
        <w:overflowPunct/>
        <w:topLinePunct/>
        <w:autoSpaceDE/>
        <w:autoSpaceDN/>
        <w:bidi w:val="0"/>
        <w:spacing w:line="520" w:lineRule="exact"/>
        <w:ind w:firstLine="560" w:firstLineChars="200"/>
        <w:textAlignment w:val="auto"/>
        <w:rPr>
          <w:rFonts w:hint="eastAsia" w:ascii="仿宋" w:hAnsi="仿宋" w:eastAsia="仿宋" w:cs="仿宋"/>
          <w:color w:val="auto"/>
          <w:sz w:val="28"/>
          <w:szCs w:val="21"/>
          <w:highlight w:val="none"/>
        </w:rPr>
      </w:pPr>
    </w:p>
    <w:p w14:paraId="258B08E1">
      <w:pPr>
        <w:keepNext w:val="0"/>
        <w:keepLines w:val="0"/>
        <w:pageBreakBefore w:val="0"/>
        <w:kinsoku/>
        <w:overflowPunct/>
        <w:topLinePunct/>
        <w:autoSpaceDE/>
        <w:autoSpaceDN/>
        <w:bidi w:val="0"/>
        <w:spacing w:line="520" w:lineRule="exact"/>
        <w:ind w:firstLine="560" w:firstLineChars="200"/>
        <w:textAlignment w:val="auto"/>
        <w:rPr>
          <w:rFonts w:hint="eastAsia" w:ascii="仿宋" w:hAnsi="仿宋" w:eastAsia="仿宋" w:cs="仿宋"/>
          <w:color w:val="auto"/>
          <w:sz w:val="28"/>
          <w:szCs w:val="21"/>
          <w:highlight w:val="none"/>
        </w:rPr>
      </w:pPr>
    </w:p>
    <w:p w14:paraId="2E4A3C2F">
      <w:pPr>
        <w:keepNext w:val="0"/>
        <w:keepLines w:val="0"/>
        <w:pageBreakBefore w:val="0"/>
        <w:widowControl w:val="0"/>
        <w:kinsoku/>
        <w:wordWrap/>
        <w:overflowPunct/>
        <w:topLinePunct/>
        <w:autoSpaceDE/>
        <w:autoSpaceDN/>
        <w:bidi w:val="0"/>
        <w:adjustRightInd/>
        <w:snapToGrid/>
        <w:spacing w:line="600" w:lineRule="auto"/>
        <w:ind w:firstLine="5600" w:firstLineChars="20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1"/>
          <w:highlight w:val="none"/>
        </w:rPr>
        <w:t>承诺单位</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公</w:t>
      </w:r>
      <w:r>
        <w:rPr>
          <w:rFonts w:hint="eastAsia" w:ascii="仿宋" w:hAnsi="仿宋" w:eastAsia="仿宋" w:cs="仿宋"/>
          <w:color w:val="auto"/>
          <w:sz w:val="28"/>
          <w:szCs w:val="28"/>
          <w:highlight w:val="none"/>
        </w:rPr>
        <w:t>章）</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 xml:space="preserve">        </w:t>
      </w:r>
    </w:p>
    <w:p w14:paraId="53E665DB">
      <w:pPr>
        <w:keepNext w:val="0"/>
        <w:keepLines w:val="0"/>
        <w:pageBreakBefore w:val="0"/>
        <w:kinsoku/>
        <w:overflowPunct/>
        <w:topLinePunct/>
        <w:autoSpaceDE/>
        <w:autoSpaceDN/>
        <w:bidi w:val="0"/>
        <w:snapToGrid w:val="0"/>
        <w:spacing w:line="480" w:lineRule="auto"/>
        <w:ind w:firstLine="5600" w:firstLineChars="200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sz w:val="28"/>
          <w:szCs w:val="28"/>
          <w:highlight w:val="none"/>
        </w:rPr>
        <w:t>日期：</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年</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月</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日</w:t>
      </w:r>
    </w:p>
    <w:p w14:paraId="21025525">
      <w:pPr>
        <w:keepNext w:val="0"/>
        <w:keepLines w:val="0"/>
        <w:pageBreakBefore w:val="0"/>
        <w:kinsoku/>
        <w:overflowPunct/>
        <w:topLinePunct/>
        <w:autoSpaceDE/>
        <w:autoSpaceDN/>
        <w:bidi w:val="0"/>
        <w:snapToGrid w:val="0"/>
        <w:spacing w:line="480" w:lineRule="auto"/>
        <w:ind w:firstLine="5600" w:firstLineChars="2000"/>
        <w:textAlignment w:val="auto"/>
        <w:rPr>
          <w:rFonts w:hint="eastAsia" w:ascii="仿宋" w:hAnsi="仿宋" w:eastAsia="仿宋" w:cs="仿宋"/>
          <w:color w:val="auto"/>
          <w:kern w:val="0"/>
          <w:sz w:val="28"/>
          <w:szCs w:val="28"/>
          <w:highlight w:val="none"/>
        </w:rPr>
      </w:pPr>
    </w:p>
    <w:p w14:paraId="4394F338">
      <w:pPr>
        <w:keepNext w:val="0"/>
        <w:keepLines w:val="0"/>
        <w:pageBreakBefore w:val="0"/>
        <w:kinsoku/>
        <w:overflowPunct/>
        <w:topLinePunct/>
        <w:autoSpaceDE/>
        <w:autoSpaceDN/>
        <w:bidi w:val="0"/>
        <w:snapToGrid w:val="0"/>
        <w:spacing w:line="480" w:lineRule="auto"/>
        <w:ind w:firstLine="5600" w:firstLineChars="2000"/>
        <w:textAlignment w:val="auto"/>
        <w:rPr>
          <w:rFonts w:hint="eastAsia" w:ascii="仿宋" w:hAnsi="仿宋" w:eastAsia="仿宋" w:cs="仿宋"/>
          <w:color w:val="auto"/>
          <w:kern w:val="0"/>
          <w:sz w:val="28"/>
          <w:szCs w:val="28"/>
          <w:highlight w:val="none"/>
        </w:rPr>
        <w:sectPr>
          <w:pgSz w:w="11906" w:h="16838"/>
          <w:pgMar w:top="1280" w:right="1142" w:bottom="1118" w:left="1324" w:header="454" w:footer="680" w:gutter="0"/>
          <w:pgNumType w:fmt="decimal"/>
          <w:cols w:space="0" w:num="1"/>
          <w:docGrid w:linePitch="312" w:charSpace="0"/>
        </w:sectPr>
      </w:pPr>
    </w:p>
    <w:p w14:paraId="4FB3061C">
      <w:pPr>
        <w:pStyle w:val="15"/>
        <w:keepNext w:val="0"/>
        <w:keepLines w:val="0"/>
        <w:pageBreakBefore w:val="0"/>
        <w:kinsoku/>
        <w:overflowPunct/>
        <w:topLinePunct/>
        <w:autoSpaceDE/>
        <w:autoSpaceDN/>
        <w:bidi w:val="0"/>
        <w:jc w:val="center"/>
        <w:textAlignment w:val="auto"/>
        <w:outlineLvl w:val="2"/>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投标人参与投标的声明函</w:t>
      </w:r>
    </w:p>
    <w:p w14:paraId="60264C71">
      <w:pPr>
        <w:keepNext w:val="0"/>
        <w:keepLines w:val="0"/>
        <w:pageBreakBefore w:val="0"/>
        <w:kinsoku/>
        <w:overflowPunct/>
        <w:topLinePunct/>
        <w:autoSpaceDE/>
        <w:autoSpaceDN/>
        <w:bidi w:val="0"/>
        <w:textAlignment w:val="auto"/>
        <w:rPr>
          <w:rFonts w:hint="eastAsia" w:ascii="仿宋" w:hAnsi="仿宋" w:eastAsia="仿宋" w:cs="仿宋"/>
          <w:b/>
          <w:color w:val="auto"/>
          <w:sz w:val="36"/>
          <w:szCs w:val="36"/>
          <w:highlight w:val="none"/>
        </w:rPr>
      </w:pPr>
    </w:p>
    <w:p w14:paraId="33CC241B">
      <w:pPr>
        <w:keepNext w:val="0"/>
        <w:keepLines w:val="0"/>
        <w:pageBreakBefore w:val="0"/>
        <w:widowControl w:val="0"/>
        <w:kinsoku/>
        <w:wordWrap/>
        <w:overflowPunct/>
        <w:topLinePunct/>
        <w:autoSpaceDE/>
        <w:autoSpaceDN/>
        <w:bidi w:val="0"/>
        <w:adjustRightInd/>
        <w:snapToGrid/>
        <w:spacing w:line="560" w:lineRule="exact"/>
        <w:ind w:firstLine="560" w:firstLineChars="200"/>
        <w:jc w:val="left"/>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我单位郑重承诺如下：</w:t>
      </w:r>
    </w:p>
    <w:p w14:paraId="08E892C3">
      <w:pPr>
        <w:keepNext w:val="0"/>
        <w:keepLines w:val="0"/>
        <w:pageBreakBefore w:val="0"/>
        <w:widowControl w:val="0"/>
        <w:kinsoku/>
        <w:wordWrap/>
        <w:overflowPunct/>
        <w:topLinePunct/>
        <w:autoSpaceDE/>
        <w:autoSpaceDN/>
        <w:bidi w:val="0"/>
        <w:adjustRightInd/>
        <w:snapToGrid/>
        <w:spacing w:line="560" w:lineRule="exact"/>
        <w:ind w:firstLine="560" w:firstLineChars="200"/>
        <w:jc w:val="left"/>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w:t>
      </w:r>
      <w:r>
        <w:rPr>
          <w:rFonts w:hint="eastAsia" w:ascii="仿宋" w:hAnsi="仿宋" w:eastAsia="仿宋" w:cs="仿宋"/>
          <w:bCs/>
          <w:color w:val="auto"/>
          <w:sz w:val="28"/>
          <w:szCs w:val="28"/>
          <w:highlight w:val="none"/>
          <w:lang w:eastAsia="zh-CN"/>
        </w:rPr>
        <w:t>.</w:t>
      </w:r>
      <w:r>
        <w:rPr>
          <w:rFonts w:hint="eastAsia" w:ascii="仿宋" w:hAnsi="仿宋" w:eastAsia="仿宋" w:cs="仿宋"/>
          <w:i w:val="0"/>
          <w:iCs w:val="0"/>
          <w:color w:val="auto"/>
          <w:sz w:val="28"/>
          <w:szCs w:val="28"/>
          <w:highlight w:val="none"/>
        </w:rPr>
        <w:t>具有独立承担民事责任的能力</w:t>
      </w:r>
      <w:r>
        <w:rPr>
          <w:rFonts w:hint="eastAsia" w:ascii="仿宋" w:hAnsi="仿宋" w:eastAsia="仿宋" w:cs="仿宋"/>
          <w:bCs/>
          <w:color w:val="auto"/>
          <w:sz w:val="28"/>
          <w:szCs w:val="28"/>
          <w:highlight w:val="none"/>
        </w:rPr>
        <w:t>；</w:t>
      </w:r>
    </w:p>
    <w:p w14:paraId="4C36ADA1">
      <w:pPr>
        <w:keepNext w:val="0"/>
        <w:keepLines w:val="0"/>
        <w:pageBreakBefore w:val="0"/>
        <w:widowControl w:val="0"/>
        <w:kinsoku/>
        <w:wordWrap/>
        <w:overflowPunct/>
        <w:topLinePunct/>
        <w:autoSpaceDE/>
        <w:autoSpaceDN/>
        <w:bidi w:val="0"/>
        <w:adjustRightInd/>
        <w:snapToGrid/>
        <w:spacing w:line="560" w:lineRule="exact"/>
        <w:ind w:firstLine="560" w:firstLineChars="200"/>
        <w:jc w:val="left"/>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eastAsia="zh-CN"/>
        </w:rPr>
        <w:t>2.</w:t>
      </w:r>
      <w:r>
        <w:rPr>
          <w:rFonts w:hint="eastAsia" w:ascii="仿宋" w:hAnsi="仿宋" w:eastAsia="仿宋" w:cs="仿宋"/>
          <w:bCs/>
          <w:color w:val="auto"/>
          <w:sz w:val="28"/>
          <w:szCs w:val="28"/>
          <w:highlight w:val="none"/>
        </w:rPr>
        <w:t>具有良好的商业信誉和健全的财务会计制度；</w:t>
      </w:r>
    </w:p>
    <w:p w14:paraId="456708CF">
      <w:pPr>
        <w:keepNext w:val="0"/>
        <w:keepLines w:val="0"/>
        <w:pageBreakBefore w:val="0"/>
        <w:widowControl w:val="0"/>
        <w:kinsoku/>
        <w:wordWrap/>
        <w:overflowPunct/>
        <w:topLinePunct/>
        <w:autoSpaceDE/>
        <w:autoSpaceDN/>
        <w:bidi w:val="0"/>
        <w:adjustRightInd/>
        <w:snapToGrid/>
        <w:spacing w:line="560" w:lineRule="exact"/>
        <w:ind w:firstLine="560" w:firstLineChars="200"/>
        <w:jc w:val="left"/>
        <w:textAlignment w:val="auto"/>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val="en-US" w:eastAsia="zh-CN"/>
        </w:rPr>
        <w:t>3</w:t>
      </w:r>
      <w:r>
        <w:rPr>
          <w:rFonts w:hint="eastAsia" w:ascii="仿宋" w:hAnsi="仿宋" w:eastAsia="仿宋" w:cs="仿宋"/>
          <w:bCs/>
          <w:color w:val="auto"/>
          <w:sz w:val="28"/>
          <w:szCs w:val="28"/>
          <w:highlight w:val="none"/>
          <w:lang w:eastAsia="zh-CN"/>
        </w:rPr>
        <w:t>.</w:t>
      </w:r>
      <w:r>
        <w:rPr>
          <w:rFonts w:hint="eastAsia" w:ascii="仿宋" w:hAnsi="仿宋" w:eastAsia="仿宋" w:cs="仿宋"/>
          <w:bCs/>
          <w:color w:val="auto"/>
          <w:sz w:val="28"/>
          <w:szCs w:val="28"/>
          <w:highlight w:val="none"/>
        </w:rPr>
        <w:t>具有依法缴纳税收和社会保障资金的良好记录；</w:t>
      </w:r>
    </w:p>
    <w:p w14:paraId="53F546C3">
      <w:pPr>
        <w:keepNext w:val="0"/>
        <w:keepLines w:val="0"/>
        <w:pageBreakBefore w:val="0"/>
        <w:widowControl w:val="0"/>
        <w:kinsoku/>
        <w:wordWrap/>
        <w:overflowPunct/>
        <w:topLinePunct/>
        <w:autoSpaceDE/>
        <w:autoSpaceDN/>
        <w:bidi w:val="0"/>
        <w:adjustRightInd/>
        <w:snapToGrid/>
        <w:spacing w:line="560" w:lineRule="exact"/>
        <w:ind w:firstLine="560" w:firstLineChars="200"/>
        <w:jc w:val="left"/>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4</w:t>
      </w:r>
      <w:r>
        <w:rPr>
          <w:rFonts w:hint="eastAsia" w:ascii="仿宋" w:hAnsi="仿宋" w:eastAsia="仿宋" w:cs="仿宋"/>
          <w:bCs/>
          <w:color w:val="auto"/>
          <w:sz w:val="28"/>
          <w:szCs w:val="28"/>
          <w:highlight w:val="none"/>
          <w:lang w:eastAsia="zh-CN"/>
        </w:rPr>
        <w:t>.</w:t>
      </w:r>
      <w:r>
        <w:rPr>
          <w:rFonts w:hint="eastAsia" w:ascii="仿宋" w:hAnsi="仿宋" w:eastAsia="仿宋" w:cs="仿宋"/>
          <w:i w:val="0"/>
          <w:iCs w:val="0"/>
          <w:color w:val="auto"/>
          <w:spacing w:val="8"/>
          <w:kern w:val="0"/>
          <w:sz w:val="28"/>
          <w:szCs w:val="28"/>
          <w:highlight w:val="none"/>
          <w:lang w:val="en-US" w:eastAsia="zh-CN"/>
        </w:rPr>
        <w:t>具有履行合同所必须设备和专业技术能力，并能提供优质的服务</w:t>
      </w:r>
      <w:r>
        <w:rPr>
          <w:rFonts w:hint="eastAsia" w:ascii="仿宋" w:hAnsi="仿宋" w:eastAsia="仿宋" w:cs="仿宋"/>
          <w:bCs/>
          <w:color w:val="auto"/>
          <w:sz w:val="28"/>
          <w:szCs w:val="28"/>
          <w:highlight w:val="none"/>
        </w:rPr>
        <w:t>；</w:t>
      </w:r>
    </w:p>
    <w:p w14:paraId="4215E017">
      <w:pPr>
        <w:keepNext w:val="0"/>
        <w:keepLines w:val="0"/>
        <w:pageBreakBefore w:val="0"/>
        <w:widowControl w:val="0"/>
        <w:kinsoku/>
        <w:wordWrap/>
        <w:overflowPunct/>
        <w:topLinePunct/>
        <w:autoSpaceDE/>
        <w:autoSpaceDN/>
        <w:bidi w:val="0"/>
        <w:adjustRightInd/>
        <w:snapToGrid/>
        <w:spacing w:line="560" w:lineRule="exact"/>
        <w:ind w:firstLine="560" w:firstLineChars="200"/>
        <w:jc w:val="left"/>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eastAsia="zh-CN"/>
        </w:rPr>
        <w:t>5.</w:t>
      </w:r>
      <w:r>
        <w:rPr>
          <w:rFonts w:hint="eastAsia" w:ascii="仿宋" w:hAnsi="仿宋" w:eastAsia="仿宋" w:cs="仿宋"/>
          <w:bCs/>
          <w:color w:val="auto"/>
          <w:sz w:val="28"/>
          <w:szCs w:val="28"/>
          <w:highlight w:val="none"/>
        </w:rPr>
        <w:t>参加本次采购活动前三年内，在经营活动中没有重大违法记录；</w:t>
      </w:r>
    </w:p>
    <w:p w14:paraId="4E8DFCB2">
      <w:pPr>
        <w:keepNext w:val="0"/>
        <w:keepLines w:val="0"/>
        <w:pageBreakBefore w:val="0"/>
        <w:widowControl w:val="0"/>
        <w:kinsoku/>
        <w:wordWrap/>
        <w:overflowPunct/>
        <w:topLinePunct/>
        <w:autoSpaceDE/>
        <w:autoSpaceDN/>
        <w:bidi w:val="0"/>
        <w:adjustRightInd/>
        <w:snapToGrid/>
        <w:spacing w:line="560" w:lineRule="exact"/>
        <w:ind w:firstLine="560" w:firstLineChars="200"/>
        <w:jc w:val="left"/>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eastAsia="zh-CN"/>
        </w:rPr>
        <w:t>6.</w:t>
      </w:r>
      <w:r>
        <w:rPr>
          <w:rFonts w:hint="eastAsia" w:ascii="仿宋" w:hAnsi="仿宋" w:eastAsia="仿宋" w:cs="仿宋"/>
          <w:bCs/>
          <w:color w:val="auto"/>
          <w:sz w:val="28"/>
          <w:szCs w:val="28"/>
          <w:highlight w:val="none"/>
          <w:lang w:val="en-US" w:eastAsia="zh-CN"/>
        </w:rPr>
        <w:t>我单位</w:t>
      </w:r>
      <w:r>
        <w:rPr>
          <w:rFonts w:hint="eastAsia" w:ascii="仿宋" w:hAnsi="仿宋" w:eastAsia="仿宋" w:cs="仿宋"/>
          <w:bCs/>
          <w:color w:val="auto"/>
          <w:sz w:val="28"/>
          <w:szCs w:val="28"/>
          <w:highlight w:val="none"/>
        </w:rPr>
        <w:t>、法定代表人</w:t>
      </w:r>
      <w:r>
        <w:rPr>
          <w:rFonts w:hint="eastAsia" w:ascii="仿宋" w:hAnsi="仿宋" w:eastAsia="仿宋" w:cs="仿宋"/>
          <w:bCs/>
          <w:color w:val="auto"/>
          <w:sz w:val="28"/>
          <w:szCs w:val="28"/>
          <w:highlight w:val="none"/>
          <w:lang w:eastAsia="zh-CN"/>
        </w:rPr>
        <w:t>、</w:t>
      </w:r>
      <w:r>
        <w:rPr>
          <w:rFonts w:hint="eastAsia" w:ascii="仿宋" w:hAnsi="仿宋" w:eastAsia="仿宋" w:cs="仿宋"/>
          <w:bCs/>
          <w:color w:val="auto"/>
          <w:sz w:val="28"/>
          <w:szCs w:val="28"/>
          <w:highlight w:val="none"/>
          <w:lang w:val="en-US" w:eastAsia="zh-CN"/>
        </w:rPr>
        <w:t>委托代理人</w:t>
      </w:r>
      <w:r>
        <w:rPr>
          <w:rFonts w:hint="eastAsia" w:ascii="仿宋" w:hAnsi="仿宋" w:eastAsia="仿宋" w:cs="仿宋"/>
          <w:bCs/>
          <w:color w:val="auto"/>
          <w:sz w:val="28"/>
          <w:szCs w:val="28"/>
          <w:highlight w:val="none"/>
        </w:rPr>
        <w:t>未被最高人民法院列入失信被执行人；</w:t>
      </w:r>
    </w:p>
    <w:p w14:paraId="76CE5915">
      <w:pPr>
        <w:keepNext w:val="0"/>
        <w:keepLines w:val="0"/>
        <w:pageBreakBefore w:val="0"/>
        <w:widowControl w:val="0"/>
        <w:kinsoku/>
        <w:wordWrap/>
        <w:overflowPunct/>
        <w:topLinePunct/>
        <w:autoSpaceDE/>
        <w:autoSpaceDN/>
        <w:bidi w:val="0"/>
        <w:adjustRightInd/>
        <w:snapToGrid/>
        <w:spacing w:line="560" w:lineRule="exact"/>
        <w:ind w:firstLine="560" w:firstLineChars="200"/>
        <w:jc w:val="left"/>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eastAsia="zh-CN"/>
        </w:rPr>
        <w:t>7.</w:t>
      </w:r>
      <w:r>
        <w:rPr>
          <w:rFonts w:hint="eastAsia" w:ascii="仿宋" w:hAnsi="仿宋" w:eastAsia="仿宋" w:cs="仿宋"/>
          <w:bCs/>
          <w:color w:val="auto"/>
          <w:sz w:val="28"/>
          <w:szCs w:val="28"/>
          <w:highlight w:val="none"/>
        </w:rPr>
        <w:t>近一年在“信用中国”或“信用中国（山东）”无严重失信记录；</w:t>
      </w:r>
    </w:p>
    <w:p w14:paraId="564708C5">
      <w:pPr>
        <w:keepNext w:val="0"/>
        <w:keepLines w:val="0"/>
        <w:pageBreakBefore w:val="0"/>
        <w:widowControl w:val="0"/>
        <w:kinsoku/>
        <w:wordWrap/>
        <w:overflowPunct/>
        <w:topLinePunct/>
        <w:autoSpaceDE/>
        <w:autoSpaceDN/>
        <w:bidi w:val="0"/>
        <w:adjustRightInd/>
        <w:snapToGrid/>
        <w:spacing w:line="560" w:lineRule="exact"/>
        <w:ind w:firstLine="560" w:firstLineChars="200"/>
        <w:jc w:val="left"/>
        <w:textAlignment w:val="auto"/>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lang w:val="en-US" w:eastAsia="zh-CN"/>
        </w:rPr>
        <w:t>8</w:t>
      </w:r>
      <w:r>
        <w:rPr>
          <w:rFonts w:hint="eastAsia" w:ascii="仿宋" w:hAnsi="仿宋" w:eastAsia="仿宋" w:cs="仿宋"/>
          <w:bCs/>
          <w:color w:val="auto"/>
          <w:sz w:val="28"/>
          <w:szCs w:val="28"/>
          <w:highlight w:val="none"/>
          <w:lang w:eastAsia="zh-CN"/>
        </w:rPr>
        <w:t>.</w:t>
      </w:r>
      <w:r>
        <w:rPr>
          <w:rFonts w:hint="eastAsia" w:ascii="仿宋" w:hAnsi="仿宋" w:eastAsia="仿宋" w:cs="仿宋"/>
          <w:bCs/>
          <w:color w:val="auto"/>
          <w:sz w:val="28"/>
          <w:szCs w:val="28"/>
          <w:highlight w:val="none"/>
        </w:rPr>
        <w:t>我单位本次非联合体投标</w:t>
      </w:r>
      <w:r>
        <w:rPr>
          <w:rFonts w:hint="eastAsia" w:ascii="仿宋" w:hAnsi="仿宋" w:eastAsia="仿宋" w:cs="仿宋"/>
          <w:bCs/>
          <w:color w:val="auto"/>
          <w:sz w:val="28"/>
          <w:szCs w:val="28"/>
          <w:highlight w:val="none"/>
          <w:lang w:eastAsia="zh-CN"/>
        </w:rPr>
        <w:t>。</w:t>
      </w:r>
    </w:p>
    <w:p w14:paraId="2A71D4B9">
      <w:pPr>
        <w:keepNext w:val="0"/>
        <w:keepLines w:val="0"/>
        <w:pageBreakBefore w:val="0"/>
        <w:widowControl w:val="0"/>
        <w:kinsoku/>
        <w:wordWrap/>
        <w:overflowPunct/>
        <w:topLinePunct/>
        <w:autoSpaceDE/>
        <w:autoSpaceDN/>
        <w:bidi w:val="0"/>
        <w:adjustRightInd/>
        <w:snapToGrid/>
        <w:spacing w:line="560" w:lineRule="exact"/>
        <w:ind w:firstLine="560" w:firstLineChars="200"/>
        <w:jc w:val="left"/>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9.本单位不存在</w:t>
      </w:r>
      <w:r>
        <w:rPr>
          <w:rFonts w:hint="eastAsia" w:ascii="仿宋" w:hAnsi="仿宋" w:eastAsia="仿宋" w:cs="仿宋"/>
          <w:bCs/>
          <w:color w:val="auto"/>
          <w:sz w:val="28"/>
          <w:szCs w:val="28"/>
          <w:highlight w:val="none"/>
        </w:rPr>
        <w:t>法律、行政法规及</w:t>
      </w:r>
      <w:r>
        <w:rPr>
          <w:rFonts w:hint="eastAsia" w:ascii="仿宋" w:hAnsi="仿宋" w:eastAsia="仿宋" w:cs="仿宋"/>
          <w:bCs/>
          <w:color w:val="auto"/>
          <w:sz w:val="28"/>
          <w:szCs w:val="28"/>
          <w:highlight w:val="none"/>
          <w:lang w:val="en-US" w:eastAsia="zh-CN"/>
        </w:rPr>
        <w:t>招标</w:t>
      </w:r>
      <w:r>
        <w:rPr>
          <w:rFonts w:hint="eastAsia" w:ascii="仿宋" w:hAnsi="仿宋" w:eastAsia="仿宋" w:cs="仿宋"/>
          <w:bCs/>
          <w:color w:val="auto"/>
          <w:sz w:val="28"/>
          <w:szCs w:val="28"/>
          <w:highlight w:val="none"/>
        </w:rPr>
        <w:t>文件规定的其他</w:t>
      </w:r>
      <w:r>
        <w:rPr>
          <w:rFonts w:hint="eastAsia" w:ascii="仿宋" w:hAnsi="仿宋" w:eastAsia="仿宋" w:cs="仿宋"/>
          <w:bCs/>
          <w:color w:val="auto"/>
          <w:sz w:val="28"/>
          <w:szCs w:val="28"/>
          <w:highlight w:val="none"/>
          <w:lang w:val="en-US" w:eastAsia="zh-CN"/>
        </w:rPr>
        <w:t>禁止报价的情形</w:t>
      </w:r>
      <w:r>
        <w:rPr>
          <w:rFonts w:hint="eastAsia" w:ascii="仿宋" w:hAnsi="仿宋" w:eastAsia="仿宋" w:cs="仿宋"/>
          <w:bCs/>
          <w:color w:val="auto"/>
          <w:sz w:val="28"/>
          <w:szCs w:val="28"/>
          <w:highlight w:val="none"/>
        </w:rPr>
        <w:t>。</w:t>
      </w:r>
    </w:p>
    <w:p w14:paraId="34306543">
      <w:pPr>
        <w:keepNext w:val="0"/>
        <w:keepLines w:val="0"/>
        <w:pageBreakBefore w:val="0"/>
        <w:widowControl w:val="0"/>
        <w:kinsoku/>
        <w:wordWrap/>
        <w:overflowPunct/>
        <w:topLinePunct/>
        <w:autoSpaceDE/>
        <w:autoSpaceDN/>
        <w:bidi w:val="0"/>
        <w:adjustRightInd/>
        <w:snapToGrid/>
        <w:spacing w:line="560" w:lineRule="exact"/>
        <w:ind w:firstLine="560" w:firstLineChars="200"/>
        <w:jc w:val="left"/>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如我单位中标，我单位承诺不分包或转包本项目。若我单位提供虚假承诺，我单位同意所递交的投标文件做无效投标处理，并愿意接受通报，按照有关法律法规规定接受处罚，由此造成的一切经济责任和法律责任由我单位自行承担。</w:t>
      </w:r>
    </w:p>
    <w:p w14:paraId="446D5540">
      <w:pPr>
        <w:keepNext w:val="0"/>
        <w:keepLines w:val="0"/>
        <w:pageBreakBefore w:val="0"/>
        <w:kinsoku/>
        <w:overflowPunct/>
        <w:topLinePunct/>
        <w:autoSpaceDE/>
        <w:autoSpaceDN/>
        <w:bidi w:val="0"/>
        <w:textAlignment w:val="auto"/>
        <w:rPr>
          <w:rFonts w:hint="eastAsia" w:ascii="仿宋" w:hAnsi="仿宋" w:eastAsia="仿宋" w:cs="仿宋"/>
          <w:color w:val="auto"/>
          <w:highlight w:val="none"/>
        </w:rPr>
      </w:pPr>
    </w:p>
    <w:p w14:paraId="1BAEC5BE">
      <w:pPr>
        <w:keepNext w:val="0"/>
        <w:keepLines w:val="0"/>
        <w:pageBreakBefore w:val="0"/>
        <w:kinsoku/>
        <w:overflowPunct/>
        <w:topLinePunct/>
        <w:autoSpaceDE/>
        <w:autoSpaceDN/>
        <w:bidi w:val="0"/>
        <w:textAlignment w:val="auto"/>
        <w:rPr>
          <w:rFonts w:hint="eastAsia" w:ascii="仿宋" w:hAnsi="仿宋" w:eastAsia="仿宋" w:cs="仿宋"/>
          <w:color w:val="auto"/>
          <w:highlight w:val="none"/>
        </w:rPr>
      </w:pPr>
    </w:p>
    <w:p w14:paraId="05565070">
      <w:pPr>
        <w:keepNext w:val="0"/>
        <w:keepLines w:val="0"/>
        <w:pageBreakBefore w:val="0"/>
        <w:kinsoku/>
        <w:overflowPunct/>
        <w:topLinePunct/>
        <w:autoSpaceDE/>
        <w:autoSpaceDN/>
        <w:bidi w:val="0"/>
        <w:snapToGrid w:val="0"/>
        <w:spacing w:line="360" w:lineRule="auto"/>
        <w:textAlignment w:val="auto"/>
        <w:rPr>
          <w:rFonts w:hint="eastAsia" w:ascii="仿宋" w:hAnsi="仿宋" w:eastAsia="仿宋" w:cs="仿宋"/>
          <w:i w:val="0"/>
          <w:iCs w:val="0"/>
          <w:color w:val="auto"/>
          <w:sz w:val="28"/>
          <w:szCs w:val="28"/>
          <w:highlight w:val="none"/>
        </w:rPr>
      </w:pPr>
    </w:p>
    <w:p w14:paraId="5BE92B2C">
      <w:pPr>
        <w:keepNext w:val="0"/>
        <w:keepLines w:val="0"/>
        <w:pageBreakBefore w:val="0"/>
        <w:kinsoku/>
        <w:wordWrap/>
        <w:overflowPunct/>
        <w:topLinePunct/>
        <w:autoSpaceDE/>
        <w:autoSpaceDN/>
        <w:bidi w:val="0"/>
        <w:spacing w:line="480" w:lineRule="auto"/>
        <w:ind w:firstLine="3920" w:firstLineChars="140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lang w:eastAsia="zh-CN"/>
        </w:rPr>
        <w:t>投标人</w:t>
      </w:r>
      <w:r>
        <w:rPr>
          <w:rFonts w:hint="eastAsia" w:ascii="仿宋" w:hAnsi="仿宋" w:eastAsia="仿宋" w:cs="仿宋"/>
          <w:color w:val="auto"/>
          <w:kern w:val="0"/>
          <w:sz w:val="28"/>
          <w:szCs w:val="28"/>
          <w:highlight w:val="none"/>
        </w:rPr>
        <w:t xml:space="preserve">（公章）： </w:t>
      </w:r>
    </w:p>
    <w:p w14:paraId="09CE8066">
      <w:pPr>
        <w:keepNext w:val="0"/>
        <w:keepLines w:val="0"/>
        <w:pageBreakBefore w:val="0"/>
        <w:kinsoku/>
        <w:wordWrap/>
        <w:overflowPunct/>
        <w:topLinePunct/>
        <w:autoSpaceDE/>
        <w:autoSpaceDN/>
        <w:bidi w:val="0"/>
        <w:spacing w:line="480" w:lineRule="auto"/>
        <w:ind w:firstLine="3920" w:firstLineChars="140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法定代表人或</w:t>
      </w:r>
      <w:r>
        <w:rPr>
          <w:rFonts w:hint="eastAsia" w:ascii="仿宋" w:hAnsi="仿宋" w:eastAsia="仿宋" w:cs="仿宋"/>
          <w:color w:val="auto"/>
          <w:kern w:val="0"/>
          <w:sz w:val="28"/>
          <w:szCs w:val="28"/>
          <w:highlight w:val="none"/>
          <w:lang w:val="en-US" w:eastAsia="zh-CN"/>
        </w:rPr>
        <w:t>委托代理人</w:t>
      </w:r>
      <w:r>
        <w:rPr>
          <w:rFonts w:hint="eastAsia" w:ascii="仿宋" w:hAnsi="仿宋" w:eastAsia="仿宋" w:cs="仿宋"/>
          <w:color w:val="auto"/>
          <w:kern w:val="0"/>
          <w:sz w:val="28"/>
          <w:szCs w:val="28"/>
          <w:highlight w:val="none"/>
        </w:rPr>
        <w:t>（签字或签章）：</w:t>
      </w:r>
    </w:p>
    <w:p w14:paraId="2E85BDED">
      <w:pPr>
        <w:keepNext w:val="0"/>
        <w:keepLines w:val="0"/>
        <w:pageBreakBefore w:val="0"/>
        <w:kinsoku/>
        <w:overflowPunct/>
        <w:topLinePunct/>
        <w:autoSpaceDE/>
        <w:autoSpaceDN/>
        <w:bidi w:val="0"/>
        <w:snapToGrid w:val="0"/>
        <w:spacing w:line="480" w:lineRule="auto"/>
        <w:ind w:firstLine="3920" w:firstLineChars="140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sz w:val="28"/>
          <w:szCs w:val="28"/>
          <w:highlight w:val="none"/>
        </w:rPr>
        <w:t>日期：</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年</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月</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日</w:t>
      </w:r>
    </w:p>
    <w:p w14:paraId="6CD17D6B">
      <w:pPr>
        <w:keepNext w:val="0"/>
        <w:keepLines w:val="0"/>
        <w:pageBreakBefore w:val="0"/>
        <w:kinsoku/>
        <w:overflowPunct/>
        <w:topLinePunct/>
        <w:autoSpaceDE/>
        <w:autoSpaceDN/>
        <w:bidi w:val="0"/>
        <w:textAlignment w:val="auto"/>
        <w:rPr>
          <w:rFonts w:hint="eastAsia" w:ascii="仿宋" w:hAnsi="仿宋" w:eastAsia="仿宋" w:cs="仿宋"/>
          <w:color w:val="auto"/>
          <w:highlight w:val="none"/>
        </w:rPr>
        <w:sectPr>
          <w:pgSz w:w="11906" w:h="16838"/>
          <w:pgMar w:top="1280" w:right="1142" w:bottom="1118" w:left="1324" w:header="454" w:footer="680" w:gutter="0"/>
          <w:pgNumType w:fmt="decimal"/>
          <w:cols w:space="0" w:num="1"/>
          <w:docGrid w:linePitch="312" w:charSpace="0"/>
        </w:sectPr>
      </w:pPr>
    </w:p>
    <w:p w14:paraId="0FFD3286">
      <w:pPr>
        <w:pStyle w:val="15"/>
        <w:keepNext w:val="0"/>
        <w:keepLines w:val="0"/>
        <w:pageBreakBefore w:val="0"/>
        <w:kinsoku/>
        <w:overflowPunct/>
        <w:topLinePunct/>
        <w:autoSpaceDE/>
        <w:autoSpaceDN/>
        <w:bidi w:val="0"/>
        <w:jc w:val="center"/>
        <w:textAlignment w:val="auto"/>
        <w:outlineLvl w:val="2"/>
        <w:rPr>
          <w:rFonts w:hint="eastAsia" w:ascii="仿宋" w:hAnsi="仿宋" w:eastAsia="仿宋" w:cs="仿宋"/>
          <w:b/>
          <w:color w:val="auto"/>
          <w:sz w:val="36"/>
          <w:szCs w:val="36"/>
          <w:highlight w:val="none"/>
          <w:lang w:eastAsia="zh-CN"/>
        </w:rPr>
      </w:pPr>
      <w:r>
        <w:rPr>
          <w:rFonts w:hint="eastAsia" w:ascii="仿宋" w:hAnsi="仿宋" w:eastAsia="仿宋" w:cs="仿宋"/>
          <w:b/>
          <w:color w:val="auto"/>
          <w:sz w:val="36"/>
          <w:szCs w:val="36"/>
          <w:highlight w:val="none"/>
          <w:lang w:val="en-US" w:eastAsia="zh-CN"/>
        </w:rPr>
        <w:t>投标单位、法定代表人、委托代理人</w:t>
      </w:r>
      <w:r>
        <w:rPr>
          <w:rFonts w:hint="eastAsia" w:ascii="仿宋" w:hAnsi="仿宋" w:eastAsia="仿宋" w:cs="仿宋"/>
          <w:b/>
          <w:color w:val="auto"/>
          <w:sz w:val="36"/>
          <w:szCs w:val="36"/>
          <w:highlight w:val="none"/>
          <w:lang w:eastAsia="zh-CN"/>
        </w:rPr>
        <w:t>未被最高法院（查询网址为：</w:t>
      </w:r>
      <w:r>
        <w:rPr>
          <w:rFonts w:hint="eastAsia" w:ascii="仿宋" w:hAnsi="仿宋" w:eastAsia="仿宋" w:cs="仿宋"/>
          <w:b/>
          <w:color w:val="auto"/>
          <w:sz w:val="36"/>
          <w:szCs w:val="36"/>
          <w:highlight w:val="none"/>
          <w:lang w:eastAsia="zh-CN"/>
        </w:rPr>
        <w:fldChar w:fldCharType="begin"/>
      </w:r>
      <w:r>
        <w:rPr>
          <w:rFonts w:hint="eastAsia" w:ascii="仿宋" w:hAnsi="仿宋" w:eastAsia="仿宋" w:cs="仿宋"/>
          <w:b/>
          <w:color w:val="auto"/>
          <w:sz w:val="36"/>
          <w:szCs w:val="36"/>
          <w:highlight w:val="none"/>
          <w:lang w:eastAsia="zh-CN"/>
        </w:rPr>
        <w:instrText xml:space="preserve"> HYPERLINK "http://zxgk.court.gov.cn/shixin/）列入失信被执行人。" </w:instrText>
      </w:r>
      <w:r>
        <w:rPr>
          <w:rFonts w:hint="eastAsia" w:ascii="仿宋" w:hAnsi="仿宋" w:eastAsia="仿宋" w:cs="仿宋"/>
          <w:b/>
          <w:color w:val="auto"/>
          <w:sz w:val="36"/>
          <w:szCs w:val="36"/>
          <w:highlight w:val="none"/>
          <w:lang w:eastAsia="zh-CN"/>
        </w:rPr>
        <w:fldChar w:fldCharType="separate"/>
      </w:r>
      <w:r>
        <w:rPr>
          <w:rFonts w:hint="eastAsia" w:ascii="仿宋" w:hAnsi="仿宋" w:eastAsia="仿宋" w:cs="仿宋"/>
          <w:b/>
          <w:color w:val="auto"/>
          <w:sz w:val="36"/>
          <w:szCs w:val="36"/>
          <w:highlight w:val="none"/>
          <w:lang w:eastAsia="zh-CN"/>
        </w:rPr>
        <w:t>http://zxgk.court.gov.cn/shixin/）列入失信被执行人查询截图</w:t>
      </w:r>
      <w:r>
        <w:rPr>
          <w:rFonts w:hint="eastAsia" w:ascii="仿宋" w:hAnsi="仿宋" w:eastAsia="仿宋" w:cs="仿宋"/>
          <w:b/>
          <w:color w:val="auto"/>
          <w:sz w:val="36"/>
          <w:szCs w:val="36"/>
          <w:highlight w:val="none"/>
          <w:lang w:eastAsia="zh-CN"/>
        </w:rPr>
        <w:fldChar w:fldCharType="end"/>
      </w:r>
      <w:r>
        <w:rPr>
          <w:rFonts w:hint="eastAsia" w:ascii="仿宋" w:hAnsi="仿宋" w:eastAsia="仿宋" w:cs="仿宋"/>
          <w:b/>
          <w:color w:val="auto"/>
          <w:sz w:val="36"/>
          <w:szCs w:val="36"/>
          <w:highlight w:val="none"/>
          <w:lang w:eastAsia="zh-CN"/>
        </w:rPr>
        <w:t>（须填写完整，查询省份为全部）</w:t>
      </w:r>
    </w:p>
    <w:p w14:paraId="7F95E9DF">
      <w:pPr>
        <w:pStyle w:val="33"/>
        <w:keepNext w:val="0"/>
        <w:keepLines w:val="0"/>
        <w:pageBreakBefore w:val="0"/>
        <w:kinsoku/>
        <w:overflowPunct/>
        <w:topLinePunct/>
        <w:autoSpaceDE/>
        <w:autoSpaceDN/>
        <w:bidi w:val="0"/>
        <w:ind w:left="0" w:leftChars="0" w:firstLine="0" w:firstLineChars="0"/>
        <w:jc w:val="center"/>
        <w:textAlignment w:val="auto"/>
        <w:rPr>
          <w:rFonts w:hint="eastAsia" w:ascii="仿宋" w:hAnsi="仿宋" w:eastAsia="仿宋" w:cs="仿宋"/>
          <w:b/>
          <w:bCs w:val="0"/>
          <w:color w:val="auto"/>
          <w:highlight w:val="none"/>
        </w:rPr>
      </w:pPr>
      <w:r>
        <w:rPr>
          <w:rFonts w:hint="eastAsia" w:ascii="仿宋" w:hAnsi="仿宋" w:eastAsia="仿宋" w:cs="仿宋"/>
          <w:b/>
          <w:bCs w:val="0"/>
          <w:color w:val="auto"/>
          <w:kern w:val="2"/>
          <w:sz w:val="36"/>
          <w:szCs w:val="36"/>
          <w:highlight w:val="none"/>
          <w:lang w:val="en-US" w:eastAsia="zh-CN" w:bidi="ar-SA"/>
        </w:rPr>
        <w:t>（盖公章）</w:t>
      </w:r>
    </w:p>
    <w:p w14:paraId="373AAC13">
      <w:pPr>
        <w:pStyle w:val="33"/>
        <w:keepNext w:val="0"/>
        <w:keepLines w:val="0"/>
        <w:pageBreakBefore w:val="0"/>
        <w:kinsoku/>
        <w:overflowPunct/>
        <w:topLinePunct/>
        <w:autoSpaceDE/>
        <w:autoSpaceDN/>
        <w:bidi w:val="0"/>
        <w:ind w:left="0" w:leftChars="0" w:firstLine="0" w:firstLineChars="0"/>
        <w:textAlignment w:val="auto"/>
        <w:rPr>
          <w:rFonts w:hint="eastAsia" w:ascii="仿宋" w:hAnsi="仿宋" w:eastAsia="仿宋" w:cs="仿宋"/>
          <w:color w:val="auto"/>
          <w:highlight w:val="none"/>
        </w:rPr>
        <w:sectPr>
          <w:pgSz w:w="11906" w:h="16838"/>
          <w:pgMar w:top="1280" w:right="1142" w:bottom="1118" w:left="1324" w:header="454" w:footer="680" w:gutter="0"/>
          <w:pgNumType w:fmt="decimal"/>
          <w:cols w:space="0" w:num="1"/>
          <w:docGrid w:linePitch="312" w:charSpace="0"/>
        </w:sectPr>
      </w:pPr>
    </w:p>
    <w:p w14:paraId="0E52FE5E">
      <w:pPr>
        <w:pStyle w:val="15"/>
        <w:keepNext w:val="0"/>
        <w:keepLines w:val="0"/>
        <w:pageBreakBefore w:val="0"/>
        <w:kinsoku/>
        <w:overflowPunct/>
        <w:topLinePunct/>
        <w:autoSpaceDE/>
        <w:autoSpaceDN/>
        <w:bidi w:val="0"/>
        <w:jc w:val="center"/>
        <w:textAlignment w:val="auto"/>
        <w:outlineLvl w:val="2"/>
        <w:rPr>
          <w:rFonts w:hint="eastAsia" w:ascii="仿宋" w:hAnsi="仿宋" w:eastAsia="仿宋" w:cs="仿宋"/>
          <w:b/>
          <w:color w:val="auto"/>
          <w:sz w:val="36"/>
          <w:szCs w:val="36"/>
          <w:highlight w:val="none"/>
          <w:lang w:val="en-US" w:eastAsia="zh-CN"/>
        </w:rPr>
      </w:pPr>
      <w:r>
        <w:rPr>
          <w:rFonts w:hint="eastAsia" w:ascii="仿宋" w:hAnsi="仿宋" w:eastAsia="仿宋" w:cs="仿宋"/>
          <w:b/>
          <w:color w:val="auto"/>
          <w:sz w:val="36"/>
          <w:szCs w:val="36"/>
          <w:highlight w:val="none"/>
          <w:lang w:val="en-US" w:eastAsia="zh-CN"/>
        </w:rPr>
        <w:t>投标人近一年在“信用中国”或“信用山东”无严重失信记录</w:t>
      </w:r>
    </w:p>
    <w:p w14:paraId="689A0A51">
      <w:pPr>
        <w:pStyle w:val="33"/>
        <w:keepNext w:val="0"/>
        <w:keepLines w:val="0"/>
        <w:pageBreakBefore w:val="0"/>
        <w:kinsoku/>
        <w:overflowPunct/>
        <w:topLinePunct/>
        <w:autoSpaceDE/>
        <w:autoSpaceDN/>
        <w:bidi w:val="0"/>
        <w:ind w:left="0" w:leftChars="0" w:firstLine="0" w:firstLineChars="0"/>
        <w:jc w:val="center"/>
        <w:textAlignment w:val="auto"/>
        <w:rPr>
          <w:rFonts w:hint="eastAsia" w:ascii="仿宋" w:hAnsi="仿宋" w:eastAsia="仿宋" w:cs="仿宋"/>
          <w:b/>
          <w:bCs w:val="0"/>
          <w:color w:val="auto"/>
          <w:highlight w:val="none"/>
        </w:rPr>
      </w:pPr>
      <w:r>
        <w:rPr>
          <w:rFonts w:hint="eastAsia" w:ascii="仿宋" w:hAnsi="仿宋" w:eastAsia="仿宋" w:cs="仿宋"/>
          <w:b/>
          <w:bCs w:val="0"/>
          <w:color w:val="auto"/>
          <w:kern w:val="2"/>
          <w:sz w:val="36"/>
          <w:szCs w:val="36"/>
          <w:highlight w:val="none"/>
          <w:lang w:val="en-US" w:eastAsia="zh-CN" w:bidi="ar-SA"/>
        </w:rPr>
        <w:t>（盖公章）</w:t>
      </w:r>
    </w:p>
    <w:p w14:paraId="1FA37076">
      <w:pPr>
        <w:pStyle w:val="15"/>
        <w:keepNext w:val="0"/>
        <w:keepLines w:val="0"/>
        <w:pageBreakBefore w:val="0"/>
        <w:kinsoku/>
        <w:overflowPunct/>
        <w:topLinePunct/>
        <w:autoSpaceDE/>
        <w:autoSpaceDN/>
        <w:bidi w:val="0"/>
        <w:jc w:val="center"/>
        <w:textAlignment w:val="auto"/>
        <w:outlineLvl w:val="9"/>
        <w:rPr>
          <w:rFonts w:hint="eastAsia" w:ascii="仿宋" w:hAnsi="仿宋" w:eastAsia="仿宋" w:cs="仿宋"/>
          <w:b/>
          <w:color w:val="auto"/>
          <w:sz w:val="44"/>
          <w:szCs w:val="44"/>
          <w:highlight w:val="none"/>
          <w:lang w:val="en-US" w:eastAsia="zh-CN"/>
        </w:rPr>
      </w:pPr>
    </w:p>
    <w:p w14:paraId="5B3A205B">
      <w:pPr>
        <w:keepNext w:val="0"/>
        <w:keepLines w:val="0"/>
        <w:pageBreakBefore w:val="0"/>
        <w:widowControl w:val="0"/>
        <w:kinsoku/>
        <w:wordWrap/>
        <w:overflowPunct/>
        <w:topLinePunct/>
        <w:autoSpaceDE/>
        <w:autoSpaceDN/>
        <w:bidi w:val="0"/>
        <w:adjustRightInd/>
        <w:snapToGrid/>
        <w:spacing w:line="560" w:lineRule="exact"/>
        <w:ind w:firstLine="560" w:firstLineChars="200"/>
        <w:jc w:val="left"/>
        <w:textAlignment w:val="auto"/>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附信用中国（www.creditchina.gov.cn）或信用中国（山东）（credit.shandong.gov.cn）查询的信用报告；</w:t>
      </w:r>
    </w:p>
    <w:p w14:paraId="722F0337">
      <w:pPr>
        <w:pStyle w:val="33"/>
        <w:keepNext w:val="0"/>
        <w:keepLines w:val="0"/>
        <w:pageBreakBefore w:val="0"/>
        <w:kinsoku/>
        <w:overflowPunct/>
        <w:topLinePunct/>
        <w:autoSpaceDE/>
        <w:autoSpaceDN/>
        <w:bidi w:val="0"/>
        <w:ind w:left="0" w:leftChars="0" w:firstLine="0" w:firstLineChars="0"/>
        <w:textAlignment w:val="auto"/>
        <w:rPr>
          <w:rFonts w:hint="eastAsia" w:ascii="仿宋" w:hAnsi="仿宋" w:eastAsia="仿宋" w:cs="仿宋"/>
          <w:color w:val="auto"/>
          <w:highlight w:val="none"/>
        </w:rPr>
        <w:sectPr>
          <w:pgSz w:w="11906" w:h="16838"/>
          <w:pgMar w:top="1280" w:right="1142" w:bottom="1118" w:left="1324" w:header="454" w:footer="680" w:gutter="0"/>
          <w:pgNumType w:fmt="decimal"/>
          <w:cols w:space="0" w:num="1"/>
          <w:docGrid w:linePitch="312" w:charSpace="0"/>
        </w:sectPr>
      </w:pPr>
    </w:p>
    <w:p w14:paraId="3EFBD3DF">
      <w:pPr>
        <w:pStyle w:val="15"/>
        <w:keepNext w:val="0"/>
        <w:keepLines w:val="0"/>
        <w:pageBreakBefore w:val="0"/>
        <w:kinsoku/>
        <w:overflowPunct/>
        <w:topLinePunct/>
        <w:autoSpaceDE/>
        <w:autoSpaceDN/>
        <w:bidi w:val="0"/>
        <w:jc w:val="center"/>
        <w:textAlignment w:val="auto"/>
        <w:outlineLvl w:val="2"/>
        <w:rPr>
          <w:rFonts w:hint="eastAsia" w:ascii="仿宋" w:hAnsi="仿宋" w:eastAsia="仿宋" w:cs="仿宋"/>
          <w:b/>
          <w:color w:val="auto"/>
          <w:sz w:val="36"/>
          <w:szCs w:val="36"/>
          <w:highlight w:val="none"/>
          <w:lang w:val="en-US" w:eastAsia="zh-CN"/>
        </w:rPr>
      </w:pPr>
      <w:r>
        <w:rPr>
          <w:rFonts w:hint="eastAsia" w:ascii="仿宋" w:hAnsi="仿宋" w:eastAsia="仿宋" w:cs="仿宋"/>
          <w:b/>
          <w:color w:val="auto"/>
          <w:sz w:val="36"/>
          <w:szCs w:val="36"/>
          <w:highlight w:val="none"/>
          <w:lang w:val="en-US" w:eastAsia="zh-CN"/>
        </w:rPr>
        <w:t>交纳投标保证金的证明材料</w:t>
      </w:r>
    </w:p>
    <w:p w14:paraId="1BA705BB">
      <w:pPr>
        <w:pStyle w:val="15"/>
        <w:keepNext w:val="0"/>
        <w:keepLines w:val="0"/>
        <w:pageBreakBefore w:val="0"/>
        <w:kinsoku/>
        <w:overflowPunct/>
        <w:topLinePunct/>
        <w:autoSpaceDE/>
        <w:autoSpaceDN/>
        <w:bidi w:val="0"/>
        <w:jc w:val="center"/>
        <w:textAlignment w:val="auto"/>
        <w:outlineLvl w:val="9"/>
        <w:rPr>
          <w:rFonts w:hint="eastAsia" w:ascii="仿宋" w:hAnsi="仿宋" w:eastAsia="仿宋" w:cs="仿宋"/>
          <w:b/>
          <w:bCs w:val="0"/>
          <w:color w:val="auto"/>
          <w:highlight w:val="none"/>
        </w:rPr>
      </w:pPr>
      <w:r>
        <w:rPr>
          <w:rFonts w:hint="eastAsia" w:ascii="仿宋" w:hAnsi="仿宋" w:eastAsia="仿宋" w:cs="仿宋"/>
          <w:b/>
          <w:color w:val="auto"/>
          <w:sz w:val="36"/>
          <w:szCs w:val="36"/>
          <w:highlight w:val="none"/>
          <w:lang w:val="en-US" w:eastAsia="zh-CN"/>
        </w:rPr>
        <w:t>（两者缺一不可）</w:t>
      </w:r>
      <w:r>
        <w:rPr>
          <w:rFonts w:hint="eastAsia" w:ascii="仿宋" w:hAnsi="仿宋" w:eastAsia="仿宋" w:cs="仿宋"/>
          <w:b/>
          <w:bCs w:val="0"/>
          <w:color w:val="auto"/>
          <w:kern w:val="2"/>
          <w:sz w:val="36"/>
          <w:szCs w:val="36"/>
          <w:highlight w:val="none"/>
          <w:lang w:val="en-US" w:eastAsia="zh-CN" w:bidi="ar-SA"/>
        </w:rPr>
        <w:t>（盖公章）</w:t>
      </w:r>
    </w:p>
    <w:p w14:paraId="06A19331">
      <w:pPr>
        <w:pStyle w:val="23"/>
        <w:keepNext w:val="0"/>
        <w:keepLines w:val="0"/>
        <w:pageBreakBefore w:val="0"/>
        <w:kinsoku/>
        <w:overflowPunct/>
        <w:autoSpaceDE/>
        <w:autoSpaceDN/>
        <w:bidi w:val="0"/>
        <w:rPr>
          <w:rFonts w:hint="eastAsia"/>
        </w:rPr>
      </w:pPr>
    </w:p>
    <w:p w14:paraId="6510C0E0">
      <w:pPr>
        <w:keepNext w:val="0"/>
        <w:keepLines w:val="0"/>
        <w:pageBreakBefore w:val="0"/>
        <w:widowControl w:val="0"/>
        <w:kinsoku/>
        <w:wordWrap/>
        <w:overflowPunct/>
        <w:topLinePunct/>
        <w:autoSpaceDE/>
        <w:autoSpaceDN/>
        <w:bidi w:val="0"/>
        <w:adjustRightInd/>
        <w:snapToGrid/>
        <w:spacing w:line="560" w:lineRule="exact"/>
        <w:ind w:firstLine="560" w:firstLineChars="200"/>
        <w:jc w:val="left"/>
        <w:textAlignment w:val="auto"/>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附（1）企业银行基本账户开户证明（如开户许可证或银行开户证明等）；</w:t>
      </w:r>
    </w:p>
    <w:p w14:paraId="65DF70FB">
      <w:pPr>
        <w:keepNext w:val="0"/>
        <w:keepLines w:val="0"/>
        <w:pageBreakBefore w:val="0"/>
        <w:widowControl w:val="0"/>
        <w:kinsoku/>
        <w:wordWrap/>
        <w:overflowPunct/>
        <w:topLinePunct/>
        <w:autoSpaceDE/>
        <w:autoSpaceDN/>
        <w:bidi w:val="0"/>
        <w:adjustRightInd/>
        <w:snapToGrid/>
        <w:spacing w:line="560" w:lineRule="exact"/>
        <w:ind w:firstLine="560" w:firstLineChars="200"/>
        <w:jc w:val="left"/>
        <w:textAlignment w:val="auto"/>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（2）电汇凭证或电子汇款截图扫描件。</w:t>
      </w:r>
    </w:p>
    <w:p w14:paraId="713DECAD">
      <w:pPr>
        <w:pStyle w:val="15"/>
        <w:keepNext w:val="0"/>
        <w:keepLines w:val="0"/>
        <w:pageBreakBefore w:val="0"/>
        <w:kinsoku/>
        <w:overflowPunct/>
        <w:topLinePunct/>
        <w:autoSpaceDE/>
        <w:autoSpaceDN/>
        <w:bidi w:val="0"/>
        <w:jc w:val="center"/>
        <w:textAlignment w:val="auto"/>
        <w:outlineLvl w:val="2"/>
        <w:rPr>
          <w:rFonts w:hint="eastAsia" w:ascii="仿宋" w:hAnsi="仿宋" w:eastAsia="仿宋" w:cs="仿宋"/>
          <w:b/>
          <w:color w:val="auto"/>
          <w:sz w:val="36"/>
          <w:szCs w:val="36"/>
          <w:highlight w:val="none"/>
          <w:lang w:val="en-US" w:eastAsia="zh-CN"/>
        </w:rPr>
        <w:sectPr>
          <w:pgSz w:w="11906" w:h="16838"/>
          <w:pgMar w:top="1280" w:right="1142" w:bottom="1118" w:left="1324" w:header="454" w:footer="680" w:gutter="0"/>
          <w:pgNumType w:fmt="decimal"/>
          <w:cols w:space="0" w:num="1"/>
          <w:docGrid w:linePitch="312" w:charSpace="0"/>
        </w:sectPr>
      </w:pPr>
    </w:p>
    <w:p w14:paraId="78747B20">
      <w:pPr>
        <w:pStyle w:val="15"/>
        <w:keepNext w:val="0"/>
        <w:keepLines w:val="0"/>
        <w:pageBreakBefore w:val="0"/>
        <w:kinsoku/>
        <w:overflowPunct/>
        <w:topLinePunct/>
        <w:autoSpaceDE/>
        <w:autoSpaceDN/>
        <w:bidi w:val="0"/>
        <w:jc w:val="center"/>
        <w:textAlignment w:val="auto"/>
        <w:outlineLvl w:val="2"/>
        <w:rPr>
          <w:rFonts w:hint="eastAsia" w:ascii="仿宋" w:hAnsi="仿宋" w:eastAsia="仿宋" w:cs="仿宋"/>
          <w:b/>
          <w:color w:val="auto"/>
          <w:sz w:val="36"/>
          <w:szCs w:val="36"/>
          <w:highlight w:val="none"/>
          <w:lang w:val="en-US" w:eastAsia="zh-CN"/>
        </w:rPr>
      </w:pPr>
      <w:r>
        <w:rPr>
          <w:rFonts w:hint="eastAsia" w:ascii="仿宋" w:hAnsi="仿宋" w:eastAsia="仿宋" w:cs="仿宋"/>
          <w:b/>
          <w:color w:val="auto"/>
          <w:sz w:val="36"/>
          <w:szCs w:val="36"/>
          <w:highlight w:val="none"/>
          <w:lang w:val="en-US" w:eastAsia="zh-CN"/>
        </w:rPr>
        <w:t>投标人认为需要提供的资质资格证明文件</w:t>
      </w:r>
    </w:p>
    <w:p w14:paraId="44248107">
      <w:pPr>
        <w:pStyle w:val="33"/>
        <w:keepNext w:val="0"/>
        <w:keepLines w:val="0"/>
        <w:pageBreakBefore w:val="0"/>
        <w:kinsoku/>
        <w:overflowPunct/>
        <w:topLinePunct/>
        <w:autoSpaceDE/>
        <w:autoSpaceDN/>
        <w:bidi w:val="0"/>
        <w:jc w:val="center"/>
        <w:textAlignment w:val="auto"/>
        <w:rPr>
          <w:rFonts w:hint="eastAsia" w:ascii="仿宋" w:hAnsi="仿宋" w:eastAsia="仿宋" w:cs="仿宋"/>
          <w:b/>
          <w:bCs w:val="0"/>
          <w:color w:val="auto"/>
          <w:highlight w:val="none"/>
        </w:rPr>
      </w:pPr>
      <w:r>
        <w:rPr>
          <w:rFonts w:hint="eastAsia" w:ascii="仿宋" w:hAnsi="仿宋" w:eastAsia="仿宋" w:cs="仿宋"/>
          <w:b/>
          <w:bCs w:val="0"/>
          <w:color w:val="auto"/>
          <w:kern w:val="2"/>
          <w:sz w:val="36"/>
          <w:szCs w:val="36"/>
          <w:highlight w:val="none"/>
          <w:lang w:val="en-US" w:eastAsia="zh-CN" w:bidi="ar-SA"/>
        </w:rPr>
        <w:t>（盖公章）</w:t>
      </w:r>
    </w:p>
    <w:p w14:paraId="4FA1C4F2">
      <w:pPr>
        <w:pStyle w:val="33"/>
        <w:keepNext w:val="0"/>
        <w:keepLines w:val="0"/>
        <w:pageBreakBefore w:val="0"/>
        <w:kinsoku/>
        <w:overflowPunct/>
        <w:topLinePunct/>
        <w:autoSpaceDE/>
        <w:autoSpaceDN/>
        <w:bidi w:val="0"/>
        <w:textAlignment w:val="auto"/>
        <w:rPr>
          <w:rFonts w:hint="eastAsia" w:ascii="仿宋" w:hAnsi="仿宋" w:eastAsia="仿宋" w:cs="仿宋"/>
          <w:color w:val="auto"/>
          <w:highlight w:val="none"/>
        </w:rPr>
      </w:pPr>
    </w:p>
    <w:p w14:paraId="789D3AC1">
      <w:pPr>
        <w:pStyle w:val="33"/>
        <w:keepNext w:val="0"/>
        <w:keepLines w:val="0"/>
        <w:pageBreakBefore w:val="0"/>
        <w:kinsoku/>
        <w:overflowPunct/>
        <w:topLinePunct/>
        <w:autoSpaceDE/>
        <w:autoSpaceDN/>
        <w:bidi w:val="0"/>
        <w:textAlignment w:val="auto"/>
        <w:rPr>
          <w:rFonts w:hint="eastAsia" w:ascii="仿宋" w:hAnsi="仿宋" w:eastAsia="仿宋" w:cs="仿宋"/>
          <w:color w:val="auto"/>
          <w:highlight w:val="none"/>
        </w:rPr>
        <w:sectPr>
          <w:pgSz w:w="11906" w:h="16838"/>
          <w:pgMar w:top="1280" w:right="1142" w:bottom="1118" w:left="1324" w:header="454" w:footer="680" w:gutter="0"/>
          <w:pgNumType w:fmt="decimal"/>
          <w:cols w:space="0" w:num="1"/>
          <w:docGrid w:linePitch="312" w:charSpace="0"/>
        </w:sectPr>
      </w:pPr>
    </w:p>
    <w:p w14:paraId="06435961">
      <w:pPr>
        <w:pStyle w:val="15"/>
        <w:keepNext w:val="0"/>
        <w:keepLines w:val="0"/>
        <w:pageBreakBefore w:val="0"/>
        <w:kinsoku/>
        <w:overflowPunct/>
        <w:topLinePunct/>
        <w:autoSpaceDE/>
        <w:autoSpaceDN/>
        <w:bidi w:val="0"/>
        <w:jc w:val="center"/>
        <w:textAlignment w:val="auto"/>
        <w:outlineLvl w:val="1"/>
        <w:rPr>
          <w:rFonts w:hint="eastAsia" w:ascii="仿宋" w:hAnsi="仿宋" w:eastAsia="仿宋" w:cs="仿宋"/>
          <w:b/>
          <w:color w:val="auto"/>
          <w:sz w:val="44"/>
          <w:szCs w:val="44"/>
          <w:highlight w:val="none"/>
        </w:rPr>
      </w:pPr>
      <w:bookmarkStart w:id="41" w:name="_Toc25563"/>
      <w:r>
        <w:rPr>
          <w:rFonts w:hint="eastAsia" w:ascii="仿宋" w:hAnsi="仿宋" w:eastAsia="仿宋" w:cs="仿宋"/>
          <w:b/>
          <w:color w:val="auto"/>
          <w:sz w:val="44"/>
          <w:szCs w:val="44"/>
          <w:highlight w:val="none"/>
        </w:rPr>
        <w:t>商务文件</w:t>
      </w:r>
      <w:bookmarkEnd w:id="41"/>
    </w:p>
    <w:p w14:paraId="2A866B32">
      <w:pPr>
        <w:keepNext w:val="0"/>
        <w:keepLines w:val="0"/>
        <w:pageBreakBefore w:val="0"/>
        <w:kinsoku/>
        <w:overflowPunct/>
        <w:autoSpaceDE/>
        <w:autoSpaceDN/>
        <w:bidi w:val="0"/>
        <w:rPr>
          <w:rFonts w:hint="eastAsia"/>
        </w:rPr>
      </w:pPr>
    </w:p>
    <w:p w14:paraId="3A68A166">
      <w:pPr>
        <w:pStyle w:val="15"/>
        <w:keepNext w:val="0"/>
        <w:keepLines w:val="0"/>
        <w:pageBreakBefore w:val="0"/>
        <w:kinsoku/>
        <w:overflowPunct/>
        <w:topLinePunct/>
        <w:autoSpaceDE/>
        <w:autoSpaceDN/>
        <w:bidi w:val="0"/>
        <w:jc w:val="center"/>
        <w:textAlignment w:val="auto"/>
        <w:outlineLvl w:val="2"/>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lang w:eastAsia="zh-CN"/>
        </w:rPr>
        <w:t>投标人</w:t>
      </w:r>
      <w:r>
        <w:rPr>
          <w:rFonts w:hint="eastAsia" w:ascii="仿宋" w:hAnsi="仿宋" w:eastAsia="仿宋" w:cs="仿宋"/>
          <w:b/>
          <w:color w:val="auto"/>
          <w:sz w:val="36"/>
          <w:szCs w:val="36"/>
          <w:highlight w:val="none"/>
        </w:rPr>
        <w:t>基本情况表</w:t>
      </w:r>
    </w:p>
    <w:p w14:paraId="5BB79D90">
      <w:pPr>
        <w:keepNext w:val="0"/>
        <w:keepLines w:val="0"/>
        <w:pageBreakBefore w:val="0"/>
        <w:kinsoku/>
        <w:overflowPunct/>
        <w:autoSpaceDE/>
        <w:autoSpaceDN/>
        <w:bidi w:val="0"/>
        <w:rPr>
          <w:rFonts w:hint="eastAsia"/>
        </w:rPr>
      </w:pPr>
    </w:p>
    <w:tbl>
      <w:tblPr>
        <w:tblStyle w:val="2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7"/>
        <w:gridCol w:w="1726"/>
        <w:gridCol w:w="935"/>
        <w:gridCol w:w="2078"/>
        <w:gridCol w:w="2192"/>
        <w:gridCol w:w="2148"/>
      </w:tblGrid>
      <w:tr w14:paraId="60872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1" w:hRule="atLeast"/>
          <w:jc w:val="center"/>
        </w:trPr>
        <w:tc>
          <w:tcPr>
            <w:tcW w:w="1193" w:type="pct"/>
            <w:gridSpan w:val="2"/>
            <w:noWrap w:val="0"/>
            <w:vAlign w:val="center"/>
          </w:tcPr>
          <w:p w14:paraId="06273097">
            <w:pPr>
              <w:keepNext w:val="0"/>
              <w:keepLines w:val="0"/>
              <w:pageBreakBefore w:val="0"/>
              <w:kinsoku/>
              <w:overflowPunct/>
              <w:autoSpaceDE/>
              <w:autoSpaceDN/>
              <w:bidi w:val="0"/>
              <w:spacing w:line="440" w:lineRule="exact"/>
              <w:jc w:val="center"/>
              <w:rPr>
                <w:rFonts w:hint="eastAsia" w:ascii="仿宋" w:hAnsi="仿宋" w:eastAsia="仿宋" w:cs="仿宋"/>
                <w:sz w:val="28"/>
                <w:szCs w:val="28"/>
              </w:rPr>
            </w:pPr>
            <w:r>
              <w:rPr>
                <w:rFonts w:hint="eastAsia" w:ascii="仿宋" w:hAnsi="仿宋" w:eastAsia="仿宋" w:cs="仿宋"/>
                <w:sz w:val="28"/>
                <w:szCs w:val="28"/>
              </w:rPr>
              <w:t>单位名称</w:t>
            </w:r>
          </w:p>
        </w:tc>
        <w:tc>
          <w:tcPr>
            <w:tcW w:w="1560" w:type="pct"/>
            <w:gridSpan w:val="2"/>
            <w:noWrap w:val="0"/>
            <w:vAlign w:val="center"/>
          </w:tcPr>
          <w:p w14:paraId="3DDEF5B8">
            <w:pPr>
              <w:keepNext w:val="0"/>
              <w:keepLines w:val="0"/>
              <w:pageBreakBefore w:val="0"/>
              <w:kinsoku/>
              <w:overflowPunct/>
              <w:autoSpaceDE/>
              <w:autoSpaceDN/>
              <w:bidi w:val="0"/>
              <w:spacing w:line="440" w:lineRule="exact"/>
              <w:jc w:val="center"/>
              <w:rPr>
                <w:rFonts w:hint="eastAsia" w:ascii="仿宋" w:hAnsi="仿宋" w:eastAsia="仿宋" w:cs="仿宋"/>
                <w:sz w:val="28"/>
                <w:szCs w:val="28"/>
              </w:rPr>
            </w:pPr>
          </w:p>
        </w:tc>
        <w:tc>
          <w:tcPr>
            <w:tcW w:w="1135" w:type="pct"/>
            <w:noWrap w:val="0"/>
            <w:vAlign w:val="center"/>
          </w:tcPr>
          <w:p w14:paraId="2E6AFB8F">
            <w:pPr>
              <w:keepNext w:val="0"/>
              <w:keepLines w:val="0"/>
              <w:pageBreakBefore w:val="0"/>
              <w:kinsoku/>
              <w:overflowPunct/>
              <w:autoSpaceDE/>
              <w:autoSpaceDN/>
              <w:bidi w:val="0"/>
              <w:spacing w:line="440" w:lineRule="exact"/>
              <w:jc w:val="center"/>
              <w:rPr>
                <w:rFonts w:hint="eastAsia" w:ascii="仿宋" w:hAnsi="仿宋" w:eastAsia="仿宋" w:cs="仿宋"/>
                <w:sz w:val="28"/>
                <w:szCs w:val="28"/>
              </w:rPr>
            </w:pPr>
            <w:r>
              <w:rPr>
                <w:rFonts w:hint="eastAsia" w:ascii="仿宋" w:hAnsi="仿宋" w:eastAsia="仿宋" w:cs="仿宋"/>
                <w:sz w:val="28"/>
                <w:szCs w:val="28"/>
              </w:rPr>
              <w:t>地址</w:t>
            </w:r>
          </w:p>
        </w:tc>
        <w:tc>
          <w:tcPr>
            <w:tcW w:w="1111" w:type="pct"/>
            <w:noWrap w:val="0"/>
            <w:vAlign w:val="center"/>
          </w:tcPr>
          <w:p w14:paraId="235C7FC4">
            <w:pPr>
              <w:keepNext w:val="0"/>
              <w:keepLines w:val="0"/>
              <w:pageBreakBefore w:val="0"/>
              <w:kinsoku/>
              <w:overflowPunct/>
              <w:autoSpaceDE/>
              <w:autoSpaceDN/>
              <w:bidi w:val="0"/>
              <w:spacing w:line="440" w:lineRule="exact"/>
              <w:jc w:val="center"/>
              <w:rPr>
                <w:rFonts w:hint="eastAsia" w:ascii="仿宋" w:hAnsi="仿宋" w:eastAsia="仿宋" w:cs="仿宋"/>
                <w:sz w:val="28"/>
                <w:szCs w:val="28"/>
              </w:rPr>
            </w:pPr>
          </w:p>
        </w:tc>
      </w:tr>
      <w:tr w14:paraId="3F912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3" w:hRule="atLeast"/>
          <w:jc w:val="center"/>
        </w:trPr>
        <w:tc>
          <w:tcPr>
            <w:tcW w:w="1193" w:type="pct"/>
            <w:gridSpan w:val="2"/>
            <w:noWrap w:val="0"/>
            <w:vAlign w:val="center"/>
          </w:tcPr>
          <w:p w14:paraId="6D8B2A70">
            <w:pPr>
              <w:keepNext w:val="0"/>
              <w:keepLines w:val="0"/>
              <w:pageBreakBefore w:val="0"/>
              <w:kinsoku/>
              <w:overflowPunct/>
              <w:autoSpaceDE/>
              <w:autoSpaceDN/>
              <w:bidi w:val="0"/>
              <w:spacing w:line="440" w:lineRule="exact"/>
              <w:jc w:val="center"/>
              <w:rPr>
                <w:rFonts w:hint="eastAsia" w:ascii="仿宋" w:hAnsi="仿宋" w:eastAsia="仿宋" w:cs="仿宋"/>
                <w:sz w:val="28"/>
                <w:szCs w:val="28"/>
              </w:rPr>
            </w:pPr>
            <w:r>
              <w:rPr>
                <w:rFonts w:hint="eastAsia" w:ascii="仿宋" w:hAnsi="仿宋" w:eastAsia="仿宋" w:cs="仿宋"/>
                <w:sz w:val="28"/>
                <w:szCs w:val="28"/>
              </w:rPr>
              <w:t>办公电话/传真</w:t>
            </w:r>
          </w:p>
        </w:tc>
        <w:tc>
          <w:tcPr>
            <w:tcW w:w="1560" w:type="pct"/>
            <w:gridSpan w:val="2"/>
            <w:noWrap w:val="0"/>
            <w:vAlign w:val="center"/>
          </w:tcPr>
          <w:p w14:paraId="277F08D4">
            <w:pPr>
              <w:keepNext w:val="0"/>
              <w:keepLines w:val="0"/>
              <w:pageBreakBefore w:val="0"/>
              <w:kinsoku/>
              <w:overflowPunct/>
              <w:autoSpaceDE/>
              <w:autoSpaceDN/>
              <w:bidi w:val="0"/>
              <w:spacing w:line="440" w:lineRule="exact"/>
              <w:jc w:val="center"/>
              <w:rPr>
                <w:rFonts w:hint="eastAsia" w:ascii="仿宋" w:hAnsi="仿宋" w:eastAsia="仿宋" w:cs="仿宋"/>
                <w:sz w:val="28"/>
                <w:szCs w:val="28"/>
              </w:rPr>
            </w:pPr>
          </w:p>
        </w:tc>
        <w:tc>
          <w:tcPr>
            <w:tcW w:w="1135" w:type="pct"/>
            <w:noWrap w:val="0"/>
            <w:vAlign w:val="center"/>
          </w:tcPr>
          <w:p w14:paraId="43D008F9">
            <w:pPr>
              <w:keepNext w:val="0"/>
              <w:keepLines w:val="0"/>
              <w:pageBreakBefore w:val="0"/>
              <w:kinsoku/>
              <w:overflowPunct/>
              <w:autoSpaceDE/>
              <w:autoSpaceDN/>
              <w:bidi w:val="0"/>
              <w:spacing w:line="440" w:lineRule="exact"/>
              <w:jc w:val="center"/>
              <w:rPr>
                <w:rFonts w:hint="eastAsia" w:ascii="仿宋" w:hAnsi="仿宋" w:eastAsia="仿宋" w:cs="仿宋"/>
                <w:sz w:val="28"/>
                <w:szCs w:val="28"/>
              </w:rPr>
            </w:pPr>
            <w:r>
              <w:rPr>
                <w:rFonts w:hint="eastAsia" w:ascii="仿宋" w:hAnsi="仿宋" w:eastAsia="仿宋" w:cs="仿宋"/>
                <w:sz w:val="28"/>
                <w:szCs w:val="28"/>
              </w:rPr>
              <w:t>联系人</w:t>
            </w:r>
          </w:p>
        </w:tc>
        <w:tc>
          <w:tcPr>
            <w:tcW w:w="1111" w:type="pct"/>
            <w:noWrap w:val="0"/>
            <w:vAlign w:val="center"/>
          </w:tcPr>
          <w:p w14:paraId="47FDA8E4">
            <w:pPr>
              <w:keepNext w:val="0"/>
              <w:keepLines w:val="0"/>
              <w:pageBreakBefore w:val="0"/>
              <w:kinsoku/>
              <w:overflowPunct/>
              <w:autoSpaceDE/>
              <w:autoSpaceDN/>
              <w:bidi w:val="0"/>
              <w:spacing w:line="440" w:lineRule="exact"/>
              <w:jc w:val="center"/>
              <w:rPr>
                <w:rFonts w:hint="eastAsia" w:ascii="仿宋" w:hAnsi="仿宋" w:eastAsia="仿宋" w:cs="仿宋"/>
                <w:sz w:val="28"/>
                <w:szCs w:val="28"/>
              </w:rPr>
            </w:pPr>
          </w:p>
        </w:tc>
      </w:tr>
      <w:tr w14:paraId="16756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7" w:hRule="atLeast"/>
          <w:jc w:val="center"/>
        </w:trPr>
        <w:tc>
          <w:tcPr>
            <w:tcW w:w="1193" w:type="pct"/>
            <w:gridSpan w:val="2"/>
            <w:noWrap w:val="0"/>
            <w:vAlign w:val="center"/>
          </w:tcPr>
          <w:p w14:paraId="19306856">
            <w:pPr>
              <w:keepNext w:val="0"/>
              <w:keepLines w:val="0"/>
              <w:pageBreakBefore w:val="0"/>
              <w:kinsoku/>
              <w:overflowPunct/>
              <w:autoSpaceDE/>
              <w:autoSpaceDN/>
              <w:bidi w:val="0"/>
              <w:spacing w:line="440" w:lineRule="exact"/>
              <w:jc w:val="center"/>
              <w:rPr>
                <w:rFonts w:hint="eastAsia" w:ascii="仿宋" w:hAnsi="仿宋" w:eastAsia="仿宋" w:cs="仿宋"/>
                <w:sz w:val="28"/>
                <w:szCs w:val="28"/>
              </w:rPr>
            </w:pPr>
            <w:r>
              <w:rPr>
                <w:rFonts w:hint="eastAsia" w:ascii="仿宋" w:hAnsi="仿宋" w:eastAsia="仿宋" w:cs="仿宋"/>
                <w:sz w:val="28"/>
                <w:szCs w:val="28"/>
              </w:rPr>
              <w:t>总经理</w:t>
            </w:r>
          </w:p>
        </w:tc>
        <w:tc>
          <w:tcPr>
            <w:tcW w:w="1560" w:type="pct"/>
            <w:gridSpan w:val="2"/>
            <w:noWrap w:val="0"/>
            <w:vAlign w:val="center"/>
          </w:tcPr>
          <w:p w14:paraId="72A16B18">
            <w:pPr>
              <w:keepNext w:val="0"/>
              <w:keepLines w:val="0"/>
              <w:pageBreakBefore w:val="0"/>
              <w:kinsoku/>
              <w:overflowPunct/>
              <w:autoSpaceDE/>
              <w:autoSpaceDN/>
              <w:bidi w:val="0"/>
              <w:spacing w:line="440" w:lineRule="exact"/>
              <w:jc w:val="center"/>
              <w:rPr>
                <w:rFonts w:hint="eastAsia" w:ascii="仿宋" w:hAnsi="仿宋" w:eastAsia="仿宋" w:cs="仿宋"/>
                <w:sz w:val="28"/>
                <w:szCs w:val="28"/>
              </w:rPr>
            </w:pPr>
          </w:p>
        </w:tc>
        <w:tc>
          <w:tcPr>
            <w:tcW w:w="1135" w:type="pct"/>
            <w:noWrap w:val="0"/>
            <w:vAlign w:val="center"/>
          </w:tcPr>
          <w:p w14:paraId="1B11624C">
            <w:pPr>
              <w:keepNext w:val="0"/>
              <w:keepLines w:val="0"/>
              <w:pageBreakBefore w:val="0"/>
              <w:kinsoku/>
              <w:overflowPunct/>
              <w:autoSpaceDE/>
              <w:autoSpaceDN/>
              <w:bidi w:val="0"/>
              <w:spacing w:line="440" w:lineRule="exact"/>
              <w:jc w:val="center"/>
              <w:rPr>
                <w:rFonts w:hint="eastAsia" w:ascii="仿宋" w:hAnsi="仿宋" w:eastAsia="仿宋" w:cs="仿宋"/>
                <w:sz w:val="28"/>
                <w:szCs w:val="28"/>
              </w:rPr>
            </w:pPr>
            <w:r>
              <w:rPr>
                <w:rFonts w:hint="eastAsia" w:ascii="仿宋" w:hAnsi="仿宋" w:eastAsia="仿宋" w:cs="仿宋"/>
                <w:sz w:val="28"/>
                <w:szCs w:val="28"/>
              </w:rPr>
              <w:t>固定办公面积</w:t>
            </w:r>
          </w:p>
          <w:p w14:paraId="0C0BE686">
            <w:pPr>
              <w:keepNext w:val="0"/>
              <w:keepLines w:val="0"/>
              <w:pageBreakBefore w:val="0"/>
              <w:kinsoku/>
              <w:overflowPunct/>
              <w:autoSpaceDE/>
              <w:autoSpaceDN/>
              <w:bidi w:val="0"/>
              <w:spacing w:line="440" w:lineRule="exact"/>
              <w:jc w:val="center"/>
              <w:rPr>
                <w:rFonts w:hint="eastAsia" w:ascii="仿宋" w:hAnsi="仿宋" w:eastAsia="仿宋" w:cs="仿宋"/>
                <w:sz w:val="28"/>
                <w:szCs w:val="28"/>
              </w:rPr>
            </w:pPr>
            <w:r>
              <w:rPr>
                <w:rFonts w:hint="eastAsia" w:ascii="仿宋" w:hAnsi="仿宋" w:eastAsia="仿宋" w:cs="仿宋"/>
                <w:sz w:val="28"/>
                <w:szCs w:val="28"/>
              </w:rPr>
              <w:t>（平米）</w:t>
            </w:r>
          </w:p>
        </w:tc>
        <w:tc>
          <w:tcPr>
            <w:tcW w:w="1111" w:type="pct"/>
            <w:noWrap w:val="0"/>
            <w:vAlign w:val="center"/>
          </w:tcPr>
          <w:p w14:paraId="1861E615">
            <w:pPr>
              <w:keepNext w:val="0"/>
              <w:keepLines w:val="0"/>
              <w:pageBreakBefore w:val="0"/>
              <w:kinsoku/>
              <w:overflowPunct/>
              <w:autoSpaceDE/>
              <w:autoSpaceDN/>
              <w:bidi w:val="0"/>
              <w:spacing w:line="440" w:lineRule="exact"/>
              <w:jc w:val="center"/>
              <w:rPr>
                <w:rFonts w:hint="eastAsia" w:ascii="仿宋" w:hAnsi="仿宋" w:eastAsia="仿宋" w:cs="仿宋"/>
                <w:sz w:val="28"/>
                <w:szCs w:val="28"/>
              </w:rPr>
            </w:pPr>
          </w:p>
        </w:tc>
      </w:tr>
      <w:tr w14:paraId="06D35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jc w:val="center"/>
        </w:trPr>
        <w:tc>
          <w:tcPr>
            <w:tcW w:w="299" w:type="pct"/>
            <w:vMerge w:val="restart"/>
            <w:noWrap w:val="0"/>
            <w:vAlign w:val="center"/>
          </w:tcPr>
          <w:p w14:paraId="10E3B112">
            <w:pPr>
              <w:keepNext w:val="0"/>
              <w:keepLines w:val="0"/>
              <w:pageBreakBefore w:val="0"/>
              <w:kinsoku/>
              <w:overflowPunct/>
              <w:autoSpaceDE/>
              <w:autoSpaceDN/>
              <w:bidi w:val="0"/>
              <w:spacing w:line="440" w:lineRule="exact"/>
              <w:jc w:val="center"/>
              <w:rPr>
                <w:rFonts w:hint="eastAsia" w:ascii="仿宋" w:hAnsi="仿宋" w:eastAsia="仿宋" w:cs="仿宋"/>
                <w:sz w:val="28"/>
                <w:szCs w:val="28"/>
              </w:rPr>
            </w:pPr>
            <w:r>
              <w:rPr>
                <w:rFonts w:hint="eastAsia" w:ascii="仿宋" w:hAnsi="仿宋" w:eastAsia="仿宋" w:cs="仿宋"/>
                <w:sz w:val="28"/>
                <w:szCs w:val="28"/>
              </w:rPr>
              <w:t>注册情况</w:t>
            </w:r>
          </w:p>
        </w:tc>
        <w:tc>
          <w:tcPr>
            <w:tcW w:w="1377" w:type="pct"/>
            <w:gridSpan w:val="2"/>
            <w:noWrap w:val="0"/>
            <w:vAlign w:val="center"/>
          </w:tcPr>
          <w:p w14:paraId="19704D5B">
            <w:pPr>
              <w:keepNext w:val="0"/>
              <w:keepLines w:val="0"/>
              <w:pageBreakBefore w:val="0"/>
              <w:kinsoku/>
              <w:overflowPunct/>
              <w:autoSpaceDE/>
              <w:autoSpaceDN/>
              <w:bidi w:val="0"/>
              <w:spacing w:line="440" w:lineRule="exact"/>
              <w:jc w:val="center"/>
              <w:rPr>
                <w:rFonts w:hint="eastAsia" w:ascii="仿宋" w:hAnsi="仿宋" w:eastAsia="仿宋" w:cs="仿宋"/>
                <w:sz w:val="28"/>
                <w:szCs w:val="28"/>
              </w:rPr>
            </w:pPr>
            <w:r>
              <w:rPr>
                <w:rFonts w:hint="eastAsia" w:ascii="仿宋" w:hAnsi="仿宋" w:eastAsia="仿宋" w:cs="仿宋"/>
                <w:sz w:val="28"/>
                <w:szCs w:val="28"/>
              </w:rPr>
              <w:t>工商注册号</w:t>
            </w:r>
          </w:p>
        </w:tc>
        <w:tc>
          <w:tcPr>
            <w:tcW w:w="3322" w:type="pct"/>
            <w:gridSpan w:val="3"/>
            <w:noWrap w:val="0"/>
            <w:vAlign w:val="center"/>
          </w:tcPr>
          <w:p w14:paraId="02044569">
            <w:pPr>
              <w:keepNext w:val="0"/>
              <w:keepLines w:val="0"/>
              <w:pageBreakBefore w:val="0"/>
              <w:kinsoku/>
              <w:overflowPunct/>
              <w:autoSpaceDE/>
              <w:autoSpaceDN/>
              <w:bidi w:val="0"/>
              <w:spacing w:line="440" w:lineRule="exact"/>
              <w:jc w:val="center"/>
              <w:rPr>
                <w:rFonts w:hint="eastAsia" w:ascii="仿宋" w:hAnsi="仿宋" w:eastAsia="仿宋" w:cs="仿宋"/>
                <w:sz w:val="28"/>
                <w:szCs w:val="28"/>
              </w:rPr>
            </w:pPr>
          </w:p>
        </w:tc>
      </w:tr>
      <w:tr w14:paraId="23234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5" w:hRule="atLeast"/>
          <w:jc w:val="center"/>
        </w:trPr>
        <w:tc>
          <w:tcPr>
            <w:tcW w:w="299" w:type="pct"/>
            <w:vMerge w:val="continue"/>
            <w:noWrap w:val="0"/>
            <w:textDirection w:val="tbRlV"/>
            <w:vAlign w:val="center"/>
          </w:tcPr>
          <w:p w14:paraId="09278346">
            <w:pPr>
              <w:keepNext w:val="0"/>
              <w:keepLines w:val="0"/>
              <w:pageBreakBefore w:val="0"/>
              <w:kinsoku/>
              <w:overflowPunct/>
              <w:autoSpaceDE/>
              <w:autoSpaceDN/>
              <w:bidi w:val="0"/>
              <w:spacing w:line="440" w:lineRule="exact"/>
              <w:jc w:val="center"/>
              <w:rPr>
                <w:rFonts w:hint="eastAsia" w:ascii="仿宋" w:hAnsi="仿宋" w:eastAsia="仿宋" w:cs="仿宋"/>
                <w:sz w:val="28"/>
                <w:szCs w:val="28"/>
              </w:rPr>
            </w:pPr>
          </w:p>
        </w:tc>
        <w:tc>
          <w:tcPr>
            <w:tcW w:w="1377" w:type="pct"/>
            <w:gridSpan w:val="2"/>
            <w:noWrap w:val="0"/>
            <w:vAlign w:val="center"/>
          </w:tcPr>
          <w:p w14:paraId="427B8647">
            <w:pPr>
              <w:keepNext w:val="0"/>
              <w:keepLines w:val="0"/>
              <w:pageBreakBefore w:val="0"/>
              <w:kinsoku/>
              <w:overflowPunct/>
              <w:autoSpaceDE/>
              <w:autoSpaceDN/>
              <w:bidi w:val="0"/>
              <w:spacing w:line="440" w:lineRule="exact"/>
              <w:jc w:val="center"/>
              <w:rPr>
                <w:rFonts w:hint="eastAsia" w:ascii="仿宋" w:hAnsi="仿宋" w:eastAsia="仿宋" w:cs="仿宋"/>
                <w:sz w:val="28"/>
                <w:szCs w:val="28"/>
              </w:rPr>
            </w:pPr>
            <w:r>
              <w:rPr>
                <w:rFonts w:hint="eastAsia" w:ascii="仿宋" w:hAnsi="仿宋" w:eastAsia="仿宋" w:cs="仿宋"/>
                <w:sz w:val="28"/>
                <w:szCs w:val="28"/>
              </w:rPr>
              <w:t>注册资本（万元）</w:t>
            </w:r>
          </w:p>
        </w:tc>
        <w:tc>
          <w:tcPr>
            <w:tcW w:w="3322" w:type="pct"/>
            <w:gridSpan w:val="3"/>
            <w:noWrap w:val="0"/>
            <w:vAlign w:val="center"/>
          </w:tcPr>
          <w:p w14:paraId="0F78B569">
            <w:pPr>
              <w:keepNext w:val="0"/>
              <w:keepLines w:val="0"/>
              <w:pageBreakBefore w:val="0"/>
              <w:kinsoku/>
              <w:overflowPunct/>
              <w:autoSpaceDE/>
              <w:autoSpaceDN/>
              <w:bidi w:val="0"/>
              <w:spacing w:line="440" w:lineRule="exact"/>
              <w:jc w:val="center"/>
              <w:rPr>
                <w:rFonts w:hint="eastAsia" w:ascii="仿宋" w:hAnsi="仿宋" w:eastAsia="仿宋" w:cs="仿宋"/>
                <w:sz w:val="28"/>
                <w:szCs w:val="28"/>
              </w:rPr>
            </w:pPr>
          </w:p>
        </w:tc>
      </w:tr>
      <w:tr w14:paraId="73E45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3" w:hRule="atLeast"/>
          <w:jc w:val="center"/>
        </w:trPr>
        <w:tc>
          <w:tcPr>
            <w:tcW w:w="299" w:type="pct"/>
            <w:vMerge w:val="continue"/>
            <w:noWrap w:val="0"/>
            <w:textDirection w:val="tbRlV"/>
            <w:vAlign w:val="center"/>
          </w:tcPr>
          <w:p w14:paraId="4EFB8AC8">
            <w:pPr>
              <w:keepNext w:val="0"/>
              <w:keepLines w:val="0"/>
              <w:pageBreakBefore w:val="0"/>
              <w:kinsoku/>
              <w:overflowPunct/>
              <w:autoSpaceDE/>
              <w:autoSpaceDN/>
              <w:bidi w:val="0"/>
              <w:spacing w:line="440" w:lineRule="exact"/>
              <w:jc w:val="center"/>
              <w:rPr>
                <w:rFonts w:hint="eastAsia" w:ascii="仿宋" w:hAnsi="仿宋" w:eastAsia="仿宋" w:cs="仿宋"/>
                <w:sz w:val="28"/>
                <w:szCs w:val="28"/>
              </w:rPr>
            </w:pPr>
          </w:p>
        </w:tc>
        <w:tc>
          <w:tcPr>
            <w:tcW w:w="1377" w:type="pct"/>
            <w:gridSpan w:val="2"/>
            <w:noWrap w:val="0"/>
            <w:vAlign w:val="center"/>
          </w:tcPr>
          <w:p w14:paraId="18C20FDC">
            <w:pPr>
              <w:keepNext w:val="0"/>
              <w:keepLines w:val="0"/>
              <w:pageBreakBefore w:val="0"/>
              <w:kinsoku/>
              <w:overflowPunct/>
              <w:autoSpaceDE/>
              <w:autoSpaceDN/>
              <w:bidi w:val="0"/>
              <w:spacing w:line="440" w:lineRule="exact"/>
              <w:jc w:val="center"/>
              <w:rPr>
                <w:rFonts w:hint="eastAsia" w:ascii="仿宋" w:hAnsi="仿宋" w:eastAsia="仿宋" w:cs="仿宋"/>
                <w:sz w:val="28"/>
                <w:szCs w:val="28"/>
              </w:rPr>
            </w:pPr>
            <w:r>
              <w:rPr>
                <w:rFonts w:hint="eastAsia" w:ascii="仿宋" w:hAnsi="仿宋" w:eastAsia="仿宋" w:cs="仿宋"/>
                <w:sz w:val="28"/>
                <w:szCs w:val="28"/>
              </w:rPr>
              <w:t>法定代表人</w:t>
            </w:r>
          </w:p>
        </w:tc>
        <w:tc>
          <w:tcPr>
            <w:tcW w:w="1076" w:type="pct"/>
            <w:noWrap w:val="0"/>
            <w:vAlign w:val="center"/>
          </w:tcPr>
          <w:p w14:paraId="3CC4CF78">
            <w:pPr>
              <w:keepNext w:val="0"/>
              <w:keepLines w:val="0"/>
              <w:pageBreakBefore w:val="0"/>
              <w:kinsoku/>
              <w:overflowPunct/>
              <w:autoSpaceDE/>
              <w:autoSpaceDN/>
              <w:bidi w:val="0"/>
              <w:spacing w:line="440" w:lineRule="exact"/>
              <w:jc w:val="center"/>
              <w:rPr>
                <w:rFonts w:hint="eastAsia" w:ascii="仿宋" w:hAnsi="仿宋" w:eastAsia="仿宋" w:cs="仿宋"/>
                <w:sz w:val="28"/>
                <w:szCs w:val="28"/>
              </w:rPr>
            </w:pPr>
          </w:p>
        </w:tc>
        <w:tc>
          <w:tcPr>
            <w:tcW w:w="1135" w:type="pct"/>
            <w:noWrap w:val="0"/>
            <w:vAlign w:val="center"/>
          </w:tcPr>
          <w:p w14:paraId="35B8C3A4">
            <w:pPr>
              <w:keepNext w:val="0"/>
              <w:keepLines w:val="0"/>
              <w:pageBreakBefore w:val="0"/>
              <w:kinsoku/>
              <w:overflowPunct/>
              <w:autoSpaceDE/>
              <w:autoSpaceDN/>
              <w:bidi w:val="0"/>
              <w:spacing w:line="440" w:lineRule="exact"/>
              <w:jc w:val="center"/>
              <w:rPr>
                <w:rFonts w:hint="eastAsia" w:ascii="仿宋" w:hAnsi="仿宋" w:eastAsia="仿宋" w:cs="仿宋"/>
                <w:sz w:val="28"/>
                <w:szCs w:val="28"/>
              </w:rPr>
            </w:pPr>
            <w:r>
              <w:rPr>
                <w:rFonts w:hint="eastAsia" w:ascii="仿宋" w:hAnsi="仿宋" w:eastAsia="仿宋" w:cs="仿宋"/>
                <w:sz w:val="28"/>
                <w:szCs w:val="28"/>
              </w:rPr>
              <w:t>单位类型</w:t>
            </w:r>
          </w:p>
        </w:tc>
        <w:tc>
          <w:tcPr>
            <w:tcW w:w="1111" w:type="pct"/>
            <w:noWrap w:val="0"/>
            <w:vAlign w:val="center"/>
          </w:tcPr>
          <w:p w14:paraId="0F42ABE5">
            <w:pPr>
              <w:keepNext w:val="0"/>
              <w:keepLines w:val="0"/>
              <w:pageBreakBefore w:val="0"/>
              <w:kinsoku/>
              <w:overflowPunct/>
              <w:autoSpaceDE/>
              <w:autoSpaceDN/>
              <w:bidi w:val="0"/>
              <w:spacing w:line="440" w:lineRule="exact"/>
              <w:jc w:val="center"/>
              <w:rPr>
                <w:rFonts w:hint="eastAsia" w:ascii="仿宋" w:hAnsi="仿宋" w:eastAsia="仿宋" w:cs="仿宋"/>
                <w:sz w:val="28"/>
                <w:szCs w:val="28"/>
              </w:rPr>
            </w:pPr>
          </w:p>
        </w:tc>
      </w:tr>
      <w:tr w14:paraId="7CF33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0" w:hRule="atLeast"/>
          <w:jc w:val="center"/>
        </w:trPr>
        <w:tc>
          <w:tcPr>
            <w:tcW w:w="299" w:type="pct"/>
            <w:vMerge w:val="continue"/>
            <w:noWrap w:val="0"/>
            <w:textDirection w:val="tbRlV"/>
            <w:vAlign w:val="center"/>
          </w:tcPr>
          <w:p w14:paraId="3FBB0271">
            <w:pPr>
              <w:keepNext w:val="0"/>
              <w:keepLines w:val="0"/>
              <w:pageBreakBefore w:val="0"/>
              <w:kinsoku/>
              <w:overflowPunct/>
              <w:autoSpaceDE/>
              <w:autoSpaceDN/>
              <w:bidi w:val="0"/>
              <w:spacing w:line="440" w:lineRule="exact"/>
              <w:jc w:val="center"/>
              <w:rPr>
                <w:rFonts w:hint="eastAsia" w:ascii="仿宋" w:hAnsi="仿宋" w:eastAsia="仿宋" w:cs="仿宋"/>
                <w:sz w:val="28"/>
                <w:szCs w:val="28"/>
              </w:rPr>
            </w:pPr>
          </w:p>
        </w:tc>
        <w:tc>
          <w:tcPr>
            <w:tcW w:w="1377" w:type="pct"/>
            <w:gridSpan w:val="2"/>
            <w:noWrap w:val="0"/>
            <w:vAlign w:val="center"/>
          </w:tcPr>
          <w:p w14:paraId="74FAFF39">
            <w:pPr>
              <w:keepNext w:val="0"/>
              <w:keepLines w:val="0"/>
              <w:pageBreakBefore w:val="0"/>
              <w:kinsoku/>
              <w:overflowPunct/>
              <w:autoSpaceDE/>
              <w:autoSpaceDN/>
              <w:bidi w:val="0"/>
              <w:spacing w:line="440" w:lineRule="exact"/>
              <w:jc w:val="center"/>
              <w:rPr>
                <w:rFonts w:hint="eastAsia" w:ascii="仿宋" w:hAnsi="仿宋" w:eastAsia="仿宋" w:cs="仿宋"/>
                <w:sz w:val="28"/>
                <w:szCs w:val="28"/>
              </w:rPr>
            </w:pPr>
            <w:r>
              <w:rPr>
                <w:rFonts w:hint="eastAsia" w:ascii="仿宋" w:hAnsi="仿宋" w:eastAsia="仿宋" w:cs="仿宋"/>
                <w:sz w:val="28"/>
                <w:szCs w:val="28"/>
              </w:rPr>
              <w:t>成立时间</w:t>
            </w:r>
          </w:p>
        </w:tc>
        <w:tc>
          <w:tcPr>
            <w:tcW w:w="1076" w:type="pct"/>
            <w:noWrap w:val="0"/>
            <w:vAlign w:val="center"/>
          </w:tcPr>
          <w:p w14:paraId="03556A3B">
            <w:pPr>
              <w:keepNext w:val="0"/>
              <w:keepLines w:val="0"/>
              <w:pageBreakBefore w:val="0"/>
              <w:kinsoku/>
              <w:overflowPunct/>
              <w:autoSpaceDE/>
              <w:autoSpaceDN/>
              <w:bidi w:val="0"/>
              <w:spacing w:line="440" w:lineRule="exact"/>
              <w:jc w:val="center"/>
              <w:rPr>
                <w:rFonts w:hint="eastAsia" w:ascii="仿宋" w:hAnsi="仿宋" w:eastAsia="仿宋" w:cs="仿宋"/>
                <w:sz w:val="28"/>
                <w:szCs w:val="28"/>
              </w:rPr>
            </w:pPr>
          </w:p>
        </w:tc>
        <w:tc>
          <w:tcPr>
            <w:tcW w:w="1135" w:type="pct"/>
            <w:noWrap w:val="0"/>
            <w:vAlign w:val="center"/>
          </w:tcPr>
          <w:p w14:paraId="1AA963CF">
            <w:pPr>
              <w:keepNext w:val="0"/>
              <w:keepLines w:val="0"/>
              <w:pageBreakBefore w:val="0"/>
              <w:kinsoku/>
              <w:overflowPunct/>
              <w:autoSpaceDE/>
              <w:autoSpaceDN/>
              <w:bidi w:val="0"/>
              <w:spacing w:line="440" w:lineRule="exact"/>
              <w:jc w:val="center"/>
              <w:rPr>
                <w:rFonts w:hint="eastAsia" w:ascii="仿宋" w:hAnsi="仿宋" w:eastAsia="仿宋" w:cs="仿宋"/>
                <w:sz w:val="28"/>
                <w:szCs w:val="28"/>
              </w:rPr>
            </w:pPr>
            <w:r>
              <w:rPr>
                <w:rFonts w:hint="eastAsia" w:ascii="仿宋" w:hAnsi="仿宋" w:eastAsia="仿宋" w:cs="仿宋"/>
                <w:sz w:val="28"/>
                <w:szCs w:val="28"/>
              </w:rPr>
              <w:t>营业期限</w:t>
            </w:r>
          </w:p>
        </w:tc>
        <w:tc>
          <w:tcPr>
            <w:tcW w:w="1111" w:type="pct"/>
            <w:noWrap w:val="0"/>
            <w:vAlign w:val="center"/>
          </w:tcPr>
          <w:p w14:paraId="05F3FCDB">
            <w:pPr>
              <w:keepNext w:val="0"/>
              <w:keepLines w:val="0"/>
              <w:pageBreakBefore w:val="0"/>
              <w:kinsoku/>
              <w:overflowPunct/>
              <w:autoSpaceDE/>
              <w:autoSpaceDN/>
              <w:bidi w:val="0"/>
              <w:spacing w:line="440" w:lineRule="exact"/>
              <w:jc w:val="center"/>
              <w:rPr>
                <w:rFonts w:hint="eastAsia" w:ascii="仿宋" w:hAnsi="仿宋" w:eastAsia="仿宋" w:cs="仿宋"/>
                <w:sz w:val="28"/>
                <w:szCs w:val="28"/>
              </w:rPr>
            </w:pPr>
          </w:p>
        </w:tc>
      </w:tr>
      <w:tr w14:paraId="76231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2" w:hRule="atLeast"/>
          <w:jc w:val="center"/>
        </w:trPr>
        <w:tc>
          <w:tcPr>
            <w:tcW w:w="299" w:type="pct"/>
            <w:vMerge w:val="continue"/>
            <w:noWrap w:val="0"/>
            <w:textDirection w:val="tbRlV"/>
            <w:vAlign w:val="center"/>
          </w:tcPr>
          <w:p w14:paraId="68F087C6">
            <w:pPr>
              <w:keepNext w:val="0"/>
              <w:keepLines w:val="0"/>
              <w:pageBreakBefore w:val="0"/>
              <w:kinsoku/>
              <w:overflowPunct/>
              <w:autoSpaceDE/>
              <w:autoSpaceDN/>
              <w:bidi w:val="0"/>
              <w:spacing w:line="440" w:lineRule="exact"/>
              <w:jc w:val="center"/>
              <w:rPr>
                <w:rFonts w:hint="eastAsia" w:ascii="仿宋" w:hAnsi="仿宋" w:eastAsia="仿宋" w:cs="仿宋"/>
                <w:sz w:val="28"/>
                <w:szCs w:val="28"/>
              </w:rPr>
            </w:pPr>
          </w:p>
        </w:tc>
        <w:tc>
          <w:tcPr>
            <w:tcW w:w="1377" w:type="pct"/>
            <w:gridSpan w:val="2"/>
            <w:noWrap w:val="0"/>
            <w:vAlign w:val="center"/>
          </w:tcPr>
          <w:p w14:paraId="4CA7A027">
            <w:pPr>
              <w:keepNext w:val="0"/>
              <w:keepLines w:val="0"/>
              <w:pageBreakBefore w:val="0"/>
              <w:kinsoku/>
              <w:overflowPunct/>
              <w:autoSpaceDE/>
              <w:autoSpaceDN/>
              <w:bidi w:val="0"/>
              <w:spacing w:line="440" w:lineRule="exact"/>
              <w:jc w:val="center"/>
              <w:rPr>
                <w:rFonts w:hint="eastAsia" w:ascii="仿宋" w:hAnsi="仿宋" w:eastAsia="仿宋" w:cs="仿宋"/>
                <w:sz w:val="28"/>
                <w:szCs w:val="28"/>
              </w:rPr>
            </w:pPr>
            <w:r>
              <w:rPr>
                <w:rFonts w:hint="eastAsia" w:ascii="仿宋" w:hAnsi="仿宋" w:eastAsia="仿宋" w:cs="仿宋"/>
                <w:sz w:val="28"/>
                <w:szCs w:val="28"/>
              </w:rPr>
              <w:t>经营范围</w:t>
            </w:r>
          </w:p>
        </w:tc>
        <w:tc>
          <w:tcPr>
            <w:tcW w:w="3322" w:type="pct"/>
            <w:gridSpan w:val="3"/>
            <w:noWrap w:val="0"/>
            <w:vAlign w:val="center"/>
          </w:tcPr>
          <w:p w14:paraId="5798114C">
            <w:pPr>
              <w:keepNext w:val="0"/>
              <w:keepLines w:val="0"/>
              <w:pageBreakBefore w:val="0"/>
              <w:kinsoku/>
              <w:overflowPunct/>
              <w:autoSpaceDE/>
              <w:autoSpaceDN/>
              <w:bidi w:val="0"/>
              <w:spacing w:line="440" w:lineRule="exact"/>
              <w:jc w:val="center"/>
              <w:rPr>
                <w:rFonts w:hint="eastAsia" w:ascii="仿宋" w:hAnsi="仿宋" w:eastAsia="仿宋" w:cs="仿宋"/>
                <w:sz w:val="28"/>
                <w:szCs w:val="28"/>
              </w:rPr>
            </w:pPr>
            <w:r>
              <w:rPr>
                <w:rFonts w:hint="eastAsia" w:ascii="仿宋" w:hAnsi="仿宋" w:eastAsia="仿宋" w:cs="仿宋"/>
                <w:sz w:val="28"/>
                <w:szCs w:val="28"/>
              </w:rPr>
              <w:t xml:space="preserve">  </w:t>
            </w:r>
          </w:p>
        </w:tc>
      </w:tr>
      <w:tr w14:paraId="082C9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70" w:hRule="atLeast"/>
          <w:jc w:val="center"/>
        </w:trPr>
        <w:tc>
          <w:tcPr>
            <w:tcW w:w="1677" w:type="pct"/>
            <w:gridSpan w:val="3"/>
            <w:noWrap w:val="0"/>
            <w:vAlign w:val="center"/>
          </w:tcPr>
          <w:p w14:paraId="4AA8E761">
            <w:pPr>
              <w:keepNext w:val="0"/>
              <w:keepLines w:val="0"/>
              <w:pageBreakBefore w:val="0"/>
              <w:kinsoku/>
              <w:overflowPunct/>
              <w:autoSpaceDE/>
              <w:autoSpaceDN/>
              <w:bidi w:val="0"/>
              <w:spacing w:line="440" w:lineRule="exact"/>
              <w:jc w:val="center"/>
              <w:rPr>
                <w:rFonts w:hint="eastAsia" w:ascii="仿宋" w:hAnsi="仿宋" w:eastAsia="仿宋" w:cs="仿宋"/>
                <w:sz w:val="28"/>
                <w:szCs w:val="28"/>
              </w:rPr>
            </w:pPr>
            <w:r>
              <w:rPr>
                <w:rFonts w:hint="eastAsia" w:ascii="仿宋" w:hAnsi="仿宋" w:eastAsia="仿宋" w:cs="仿宋"/>
                <w:color w:val="000000" w:themeColor="text1"/>
                <w:sz w:val="28"/>
                <w:szCs w:val="28"/>
                <w:highlight w:val="none"/>
              </w:rPr>
              <w:t>与投标人关联单位情况</w:t>
            </w:r>
          </w:p>
        </w:tc>
        <w:tc>
          <w:tcPr>
            <w:tcW w:w="3322" w:type="pct"/>
            <w:gridSpan w:val="3"/>
            <w:noWrap w:val="0"/>
            <w:vAlign w:val="center"/>
          </w:tcPr>
          <w:p w14:paraId="231CC57D">
            <w:pPr>
              <w:keepNext w:val="0"/>
              <w:keepLines w:val="0"/>
              <w:pageBreakBefore w:val="0"/>
              <w:kinsoku/>
              <w:overflowPunct/>
              <w:topLinePunct w:val="0"/>
              <w:autoSpaceDE/>
              <w:autoSpaceDN/>
              <w:bidi w:val="0"/>
              <w:adjustRightInd/>
              <w:snapToGrid/>
              <w:spacing w:line="360" w:lineRule="auto"/>
              <w:jc w:val="left"/>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1.与我单位法定代表人（负责人）为同一人的其他单位为：</w:t>
            </w:r>
          </w:p>
          <w:p w14:paraId="78848117">
            <w:pPr>
              <w:keepNext w:val="0"/>
              <w:keepLines w:val="0"/>
              <w:pageBreakBefore w:val="0"/>
              <w:kinsoku/>
              <w:overflowPunct/>
              <w:autoSpaceDE/>
              <w:autoSpaceDN/>
              <w:bidi w:val="0"/>
              <w:spacing w:line="360" w:lineRule="auto"/>
              <w:jc w:val="center"/>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2.与我单位存在直接控股、管理关系的其他单位为：</w:t>
            </w:r>
          </w:p>
          <w:p w14:paraId="26AF45D2">
            <w:pPr>
              <w:pStyle w:val="23"/>
              <w:keepNext w:val="0"/>
              <w:keepLines w:val="0"/>
              <w:pageBreakBefore w:val="0"/>
              <w:kinsoku/>
              <w:overflowPunct/>
              <w:autoSpaceDE/>
              <w:autoSpaceDN/>
              <w:bidi w:val="0"/>
              <w:rPr>
                <w:rFonts w:hint="eastAsia"/>
              </w:rPr>
            </w:pPr>
          </w:p>
        </w:tc>
      </w:tr>
      <w:tr w14:paraId="0A249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6" w:hRule="atLeast"/>
          <w:jc w:val="center"/>
        </w:trPr>
        <w:tc>
          <w:tcPr>
            <w:tcW w:w="5000" w:type="pct"/>
            <w:gridSpan w:val="6"/>
            <w:noWrap w:val="0"/>
            <w:vAlign w:val="center"/>
          </w:tcPr>
          <w:p w14:paraId="212A6996">
            <w:pPr>
              <w:keepNext w:val="0"/>
              <w:keepLines w:val="0"/>
              <w:pageBreakBefore w:val="0"/>
              <w:kinsoku/>
              <w:overflowPunct/>
              <w:autoSpaceDE/>
              <w:autoSpaceDN/>
              <w:bidi w:val="0"/>
              <w:spacing w:line="440" w:lineRule="exact"/>
              <w:jc w:val="center"/>
              <w:rPr>
                <w:rFonts w:hint="eastAsia" w:ascii="仿宋" w:hAnsi="仿宋" w:eastAsia="仿宋" w:cs="仿宋"/>
                <w:sz w:val="28"/>
                <w:szCs w:val="28"/>
              </w:rPr>
            </w:pPr>
            <w:r>
              <w:rPr>
                <w:rFonts w:hint="eastAsia" w:ascii="仿宋" w:hAnsi="仿宋" w:eastAsia="仿宋" w:cs="仿宋"/>
                <w:sz w:val="28"/>
                <w:szCs w:val="28"/>
              </w:rPr>
              <w:t>投标单位情况简介</w:t>
            </w:r>
          </w:p>
        </w:tc>
      </w:tr>
      <w:tr w14:paraId="3FAD0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35" w:hRule="atLeast"/>
          <w:jc w:val="center"/>
        </w:trPr>
        <w:tc>
          <w:tcPr>
            <w:tcW w:w="5000" w:type="pct"/>
            <w:gridSpan w:val="6"/>
            <w:noWrap w:val="0"/>
            <w:vAlign w:val="top"/>
          </w:tcPr>
          <w:p w14:paraId="4FF2E5FB">
            <w:pPr>
              <w:keepNext w:val="0"/>
              <w:keepLines w:val="0"/>
              <w:pageBreakBefore w:val="0"/>
              <w:kinsoku/>
              <w:overflowPunct/>
              <w:autoSpaceDE/>
              <w:autoSpaceDN/>
              <w:bidi w:val="0"/>
              <w:spacing w:line="440" w:lineRule="exact"/>
              <w:rPr>
                <w:rFonts w:hint="eastAsia" w:ascii="仿宋" w:hAnsi="仿宋" w:eastAsia="仿宋" w:cs="仿宋"/>
                <w:sz w:val="28"/>
                <w:szCs w:val="28"/>
              </w:rPr>
            </w:pPr>
          </w:p>
        </w:tc>
      </w:tr>
    </w:tbl>
    <w:p w14:paraId="5E85A1BB">
      <w:pPr>
        <w:keepNext w:val="0"/>
        <w:keepLines w:val="0"/>
        <w:pageBreakBefore w:val="0"/>
        <w:widowControl/>
        <w:suppressLineNumbers w:val="0"/>
        <w:kinsoku/>
        <w:wordWrap/>
        <w:overflowPunct/>
        <w:topLinePunct/>
        <w:autoSpaceDE/>
        <w:autoSpaceDN/>
        <w:bidi w:val="0"/>
        <w:adjustRightInd/>
        <w:snapToGrid/>
        <w:spacing w:line="240" w:lineRule="auto"/>
        <w:jc w:val="left"/>
        <w:textAlignment w:val="auto"/>
        <w:rPr>
          <w:rFonts w:hint="eastAsia" w:ascii="仿宋" w:hAnsi="仿宋" w:eastAsia="仿宋" w:cs="仿宋"/>
          <w:color w:val="auto"/>
          <w:kern w:val="0"/>
          <w:sz w:val="28"/>
          <w:szCs w:val="28"/>
          <w:highlight w:val="none"/>
          <w:lang w:val="en-US" w:eastAsia="zh-CN" w:bidi="ar"/>
        </w:rPr>
      </w:pPr>
    </w:p>
    <w:p w14:paraId="52C08B08">
      <w:pPr>
        <w:keepNext w:val="0"/>
        <w:keepLines w:val="0"/>
        <w:pageBreakBefore w:val="0"/>
        <w:kinsoku/>
        <w:wordWrap/>
        <w:overflowPunct/>
        <w:topLinePunct/>
        <w:autoSpaceDE/>
        <w:autoSpaceDN/>
        <w:bidi w:val="0"/>
        <w:spacing w:line="480" w:lineRule="auto"/>
        <w:ind w:firstLine="5320" w:firstLineChars="190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lang w:eastAsia="zh-CN"/>
        </w:rPr>
        <w:t>投标人</w:t>
      </w:r>
      <w:r>
        <w:rPr>
          <w:rFonts w:hint="eastAsia" w:ascii="仿宋" w:hAnsi="仿宋" w:eastAsia="仿宋" w:cs="仿宋"/>
          <w:color w:val="auto"/>
          <w:kern w:val="0"/>
          <w:sz w:val="28"/>
          <w:szCs w:val="28"/>
          <w:highlight w:val="none"/>
        </w:rPr>
        <w:t xml:space="preserve">（公章）： </w:t>
      </w:r>
    </w:p>
    <w:p w14:paraId="6EEA1137">
      <w:pPr>
        <w:keepNext w:val="0"/>
        <w:keepLines w:val="0"/>
        <w:pageBreakBefore w:val="0"/>
        <w:kinsoku/>
        <w:wordWrap/>
        <w:overflowPunct/>
        <w:topLinePunct/>
        <w:autoSpaceDE/>
        <w:autoSpaceDN/>
        <w:bidi w:val="0"/>
        <w:spacing w:line="480" w:lineRule="auto"/>
        <w:ind w:firstLine="5320" w:firstLineChars="190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sz w:val="28"/>
          <w:szCs w:val="28"/>
          <w:highlight w:val="none"/>
        </w:rPr>
        <w:t>日期：</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年</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月</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日</w:t>
      </w:r>
    </w:p>
    <w:p w14:paraId="32217516">
      <w:pPr>
        <w:keepNext w:val="0"/>
        <w:keepLines w:val="0"/>
        <w:pageBreakBefore w:val="0"/>
        <w:kinsoku/>
        <w:wordWrap/>
        <w:overflowPunct/>
        <w:topLinePunct/>
        <w:autoSpaceDE/>
        <w:autoSpaceDN/>
        <w:bidi w:val="0"/>
        <w:spacing w:line="480" w:lineRule="auto"/>
        <w:ind w:firstLine="5320" w:firstLineChars="1900"/>
        <w:textAlignment w:val="auto"/>
        <w:rPr>
          <w:rFonts w:hint="eastAsia" w:ascii="仿宋" w:hAnsi="仿宋" w:eastAsia="仿宋" w:cs="仿宋"/>
          <w:color w:val="auto"/>
          <w:kern w:val="0"/>
          <w:sz w:val="28"/>
          <w:szCs w:val="28"/>
          <w:highlight w:val="none"/>
        </w:rPr>
        <w:sectPr>
          <w:pgSz w:w="11906" w:h="16838"/>
          <w:pgMar w:top="1280" w:right="1142" w:bottom="1118" w:left="1324" w:header="454" w:footer="680" w:gutter="0"/>
          <w:pgNumType w:fmt="decimal"/>
          <w:cols w:space="0" w:num="1"/>
          <w:docGrid w:linePitch="312" w:charSpace="0"/>
        </w:sectPr>
      </w:pPr>
    </w:p>
    <w:p w14:paraId="4C8E2A36">
      <w:pPr>
        <w:pStyle w:val="15"/>
        <w:keepNext w:val="0"/>
        <w:keepLines w:val="0"/>
        <w:pageBreakBefore w:val="0"/>
        <w:kinsoku/>
        <w:overflowPunct/>
        <w:topLinePunct/>
        <w:autoSpaceDE/>
        <w:autoSpaceDN/>
        <w:bidi w:val="0"/>
        <w:jc w:val="center"/>
        <w:textAlignment w:val="auto"/>
        <w:outlineLvl w:val="2"/>
        <w:rPr>
          <w:rFonts w:hint="eastAsia" w:ascii="仿宋" w:hAnsi="仿宋" w:eastAsia="仿宋" w:cs="仿宋"/>
          <w:b/>
          <w:color w:val="auto"/>
          <w:sz w:val="36"/>
          <w:szCs w:val="36"/>
          <w:highlight w:val="none"/>
          <w:lang w:eastAsia="zh-CN"/>
        </w:rPr>
      </w:pPr>
      <w:r>
        <w:rPr>
          <w:rFonts w:hint="eastAsia" w:ascii="仿宋" w:hAnsi="仿宋" w:eastAsia="仿宋" w:cs="仿宋"/>
          <w:b/>
          <w:color w:val="auto"/>
          <w:sz w:val="36"/>
          <w:szCs w:val="36"/>
          <w:highlight w:val="none"/>
          <w:lang w:val="en-US" w:eastAsia="zh-CN"/>
        </w:rPr>
        <w:t>企业</w:t>
      </w:r>
      <w:r>
        <w:rPr>
          <w:rFonts w:hint="eastAsia" w:ascii="仿宋" w:hAnsi="仿宋" w:eastAsia="仿宋" w:cs="仿宋"/>
          <w:b/>
          <w:color w:val="auto"/>
          <w:sz w:val="36"/>
          <w:szCs w:val="36"/>
          <w:highlight w:val="none"/>
          <w:lang w:eastAsia="zh-CN"/>
        </w:rPr>
        <w:t>业绩表</w:t>
      </w:r>
    </w:p>
    <w:tbl>
      <w:tblPr>
        <w:tblStyle w:val="26"/>
        <w:tblpPr w:leftFromText="180" w:rightFromText="180" w:vertAnchor="text" w:tblpXSpec="center" w:tblpY="267"/>
        <w:tblW w:w="95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033"/>
        <w:gridCol w:w="1245"/>
        <w:gridCol w:w="2222"/>
        <w:gridCol w:w="1134"/>
        <w:gridCol w:w="1416"/>
        <w:gridCol w:w="1275"/>
        <w:gridCol w:w="1209"/>
      </w:tblGrid>
      <w:tr w14:paraId="012E6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5" w:hRule="atLeast"/>
        </w:trPr>
        <w:tc>
          <w:tcPr>
            <w:tcW w:w="1033" w:type="dxa"/>
            <w:tcBorders>
              <w:top w:val="single" w:color="auto" w:sz="4" w:space="0"/>
              <w:left w:val="single" w:color="auto" w:sz="4" w:space="0"/>
              <w:bottom w:val="single" w:color="auto" w:sz="4" w:space="0"/>
              <w:right w:val="single" w:color="auto" w:sz="4" w:space="0"/>
            </w:tcBorders>
            <w:shd w:val="clear" w:color="auto" w:fill="auto"/>
            <w:vAlign w:val="center"/>
          </w:tcPr>
          <w:p w14:paraId="7FE2A028">
            <w:pPr>
              <w:keepNext w:val="0"/>
              <w:keepLines w:val="0"/>
              <w:pageBreakBefore w:val="0"/>
              <w:kinsoku/>
              <w:overflowPunct/>
              <w:topLinePunct/>
              <w:autoSpaceDE/>
              <w:autoSpaceDN/>
              <w:bidi w:val="0"/>
              <w:adjustRightInd w:val="0"/>
              <w:snapToGrid w:val="0"/>
              <w:spacing w:line="20" w:lineRule="atLeast"/>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rPr>
              <w:t>序号</w:t>
            </w:r>
          </w:p>
        </w:tc>
        <w:tc>
          <w:tcPr>
            <w:tcW w:w="1245" w:type="dxa"/>
            <w:tcBorders>
              <w:top w:val="single" w:color="auto" w:sz="4" w:space="0"/>
              <w:left w:val="single" w:color="auto" w:sz="4" w:space="0"/>
              <w:bottom w:val="single" w:color="auto" w:sz="4" w:space="0"/>
              <w:right w:val="single" w:color="auto" w:sz="4" w:space="0"/>
            </w:tcBorders>
            <w:shd w:val="clear" w:color="auto" w:fill="auto"/>
            <w:vAlign w:val="center"/>
          </w:tcPr>
          <w:p w14:paraId="1D7FF9D7">
            <w:pPr>
              <w:keepNext w:val="0"/>
              <w:keepLines w:val="0"/>
              <w:pageBreakBefore w:val="0"/>
              <w:kinsoku/>
              <w:overflowPunct/>
              <w:topLinePunct/>
              <w:autoSpaceDE/>
              <w:autoSpaceDN/>
              <w:bidi w:val="0"/>
              <w:adjustRightInd w:val="0"/>
              <w:snapToGrid w:val="0"/>
              <w:spacing w:line="20" w:lineRule="atLeast"/>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rPr>
              <w:t>用户名称</w:t>
            </w:r>
          </w:p>
        </w:tc>
        <w:tc>
          <w:tcPr>
            <w:tcW w:w="2222" w:type="dxa"/>
            <w:tcBorders>
              <w:top w:val="single" w:color="auto" w:sz="4" w:space="0"/>
              <w:left w:val="single" w:color="auto" w:sz="4" w:space="0"/>
              <w:bottom w:val="single" w:color="auto" w:sz="4" w:space="0"/>
              <w:right w:val="single" w:color="auto" w:sz="4" w:space="0"/>
            </w:tcBorders>
            <w:shd w:val="clear" w:color="auto" w:fill="auto"/>
            <w:vAlign w:val="center"/>
          </w:tcPr>
          <w:p w14:paraId="53D09E7A">
            <w:pPr>
              <w:keepNext w:val="0"/>
              <w:keepLines w:val="0"/>
              <w:pageBreakBefore w:val="0"/>
              <w:kinsoku/>
              <w:overflowPunct/>
              <w:topLinePunct/>
              <w:autoSpaceDE/>
              <w:autoSpaceDN/>
              <w:bidi w:val="0"/>
              <w:adjustRightInd w:val="0"/>
              <w:snapToGrid w:val="0"/>
              <w:spacing w:line="20" w:lineRule="atLeast"/>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rPr>
              <w:t>项目名称</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77DF0F4E">
            <w:pPr>
              <w:keepNext w:val="0"/>
              <w:keepLines w:val="0"/>
              <w:pageBreakBefore w:val="0"/>
              <w:kinsoku/>
              <w:overflowPunct/>
              <w:topLinePunct/>
              <w:autoSpaceDE/>
              <w:autoSpaceDN/>
              <w:bidi w:val="0"/>
              <w:adjustRightInd w:val="0"/>
              <w:snapToGrid w:val="0"/>
              <w:spacing w:line="20" w:lineRule="atLeast"/>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rPr>
              <w:t>合同额</w:t>
            </w:r>
          </w:p>
        </w:tc>
        <w:tc>
          <w:tcPr>
            <w:tcW w:w="1416" w:type="dxa"/>
            <w:tcBorders>
              <w:top w:val="single" w:color="auto" w:sz="4" w:space="0"/>
              <w:left w:val="single" w:color="auto" w:sz="4" w:space="0"/>
              <w:bottom w:val="single" w:color="auto" w:sz="4" w:space="0"/>
              <w:right w:val="single" w:color="auto" w:sz="4" w:space="0"/>
            </w:tcBorders>
            <w:shd w:val="clear" w:color="auto" w:fill="auto"/>
            <w:vAlign w:val="center"/>
          </w:tcPr>
          <w:p w14:paraId="54C5B9EC">
            <w:pPr>
              <w:keepNext w:val="0"/>
              <w:keepLines w:val="0"/>
              <w:pageBreakBefore w:val="0"/>
              <w:kinsoku/>
              <w:overflowPunct/>
              <w:topLinePunct/>
              <w:autoSpaceDE/>
              <w:autoSpaceDN/>
              <w:bidi w:val="0"/>
              <w:adjustRightInd w:val="0"/>
              <w:snapToGrid w:val="0"/>
              <w:spacing w:line="20" w:lineRule="atLeast"/>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rPr>
              <w:t>签订时间</w:t>
            </w: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14:paraId="240FCBCA">
            <w:pPr>
              <w:keepNext w:val="0"/>
              <w:keepLines w:val="0"/>
              <w:pageBreakBefore w:val="0"/>
              <w:kinsoku/>
              <w:overflowPunct/>
              <w:topLinePunct/>
              <w:autoSpaceDE/>
              <w:autoSpaceDN/>
              <w:bidi w:val="0"/>
              <w:adjustRightInd w:val="0"/>
              <w:snapToGrid w:val="0"/>
              <w:spacing w:line="20" w:lineRule="atLeast"/>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rPr>
              <w:t>电话/联系人</w:t>
            </w:r>
          </w:p>
        </w:tc>
        <w:tc>
          <w:tcPr>
            <w:tcW w:w="1209" w:type="dxa"/>
            <w:tcBorders>
              <w:top w:val="single" w:color="auto" w:sz="4" w:space="0"/>
              <w:left w:val="single" w:color="auto" w:sz="4" w:space="0"/>
              <w:bottom w:val="single" w:color="auto" w:sz="4" w:space="0"/>
              <w:right w:val="single" w:color="auto" w:sz="4" w:space="0"/>
            </w:tcBorders>
            <w:shd w:val="clear" w:color="auto" w:fill="auto"/>
            <w:vAlign w:val="center"/>
          </w:tcPr>
          <w:p w14:paraId="6898980A">
            <w:pPr>
              <w:keepNext w:val="0"/>
              <w:keepLines w:val="0"/>
              <w:pageBreakBefore w:val="0"/>
              <w:kinsoku/>
              <w:overflowPunct/>
              <w:topLinePunct/>
              <w:autoSpaceDE/>
              <w:autoSpaceDN/>
              <w:bidi w:val="0"/>
              <w:adjustRightInd w:val="0"/>
              <w:snapToGrid w:val="0"/>
              <w:spacing w:line="20" w:lineRule="atLeast"/>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rPr>
              <w:t>备注</w:t>
            </w:r>
          </w:p>
        </w:tc>
      </w:tr>
      <w:tr w14:paraId="36218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3" w:type="dxa"/>
            <w:tcBorders>
              <w:top w:val="single" w:color="auto" w:sz="4" w:space="0"/>
              <w:left w:val="single" w:color="auto" w:sz="4" w:space="0"/>
              <w:bottom w:val="single" w:color="auto" w:sz="4" w:space="0"/>
              <w:right w:val="single" w:color="auto" w:sz="4" w:space="0"/>
            </w:tcBorders>
            <w:shd w:val="clear" w:color="auto" w:fill="auto"/>
            <w:vAlign w:val="center"/>
          </w:tcPr>
          <w:p w14:paraId="093BDCED">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245" w:type="dxa"/>
            <w:tcBorders>
              <w:top w:val="single" w:color="auto" w:sz="4" w:space="0"/>
              <w:left w:val="single" w:color="auto" w:sz="4" w:space="0"/>
              <w:bottom w:val="single" w:color="auto" w:sz="4" w:space="0"/>
              <w:right w:val="single" w:color="auto" w:sz="4" w:space="0"/>
            </w:tcBorders>
            <w:shd w:val="clear" w:color="auto" w:fill="auto"/>
            <w:vAlign w:val="center"/>
          </w:tcPr>
          <w:p w14:paraId="7B6BB785">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2222" w:type="dxa"/>
            <w:tcBorders>
              <w:top w:val="single" w:color="auto" w:sz="4" w:space="0"/>
              <w:left w:val="single" w:color="auto" w:sz="4" w:space="0"/>
              <w:bottom w:val="single" w:color="auto" w:sz="4" w:space="0"/>
              <w:right w:val="single" w:color="auto" w:sz="4" w:space="0"/>
            </w:tcBorders>
            <w:shd w:val="clear" w:color="auto" w:fill="auto"/>
            <w:vAlign w:val="center"/>
          </w:tcPr>
          <w:p w14:paraId="563A9360">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77F31C2A">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416" w:type="dxa"/>
            <w:tcBorders>
              <w:top w:val="single" w:color="auto" w:sz="4" w:space="0"/>
              <w:left w:val="single" w:color="auto" w:sz="4" w:space="0"/>
              <w:bottom w:val="single" w:color="auto" w:sz="4" w:space="0"/>
              <w:right w:val="single" w:color="auto" w:sz="4" w:space="0"/>
            </w:tcBorders>
            <w:shd w:val="clear" w:color="auto" w:fill="auto"/>
            <w:vAlign w:val="center"/>
          </w:tcPr>
          <w:p w14:paraId="49FF3D84">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14:paraId="2581A66A">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209" w:type="dxa"/>
            <w:tcBorders>
              <w:top w:val="single" w:color="auto" w:sz="4" w:space="0"/>
              <w:left w:val="single" w:color="auto" w:sz="4" w:space="0"/>
              <w:bottom w:val="single" w:color="auto" w:sz="4" w:space="0"/>
              <w:right w:val="single" w:color="auto" w:sz="4" w:space="0"/>
            </w:tcBorders>
            <w:shd w:val="clear" w:color="auto" w:fill="auto"/>
            <w:vAlign w:val="center"/>
          </w:tcPr>
          <w:p w14:paraId="42CDC465">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r>
      <w:tr w14:paraId="16982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3" w:type="dxa"/>
            <w:tcBorders>
              <w:top w:val="single" w:color="auto" w:sz="4" w:space="0"/>
              <w:left w:val="single" w:color="auto" w:sz="4" w:space="0"/>
              <w:bottom w:val="single" w:color="auto" w:sz="4" w:space="0"/>
              <w:right w:val="single" w:color="auto" w:sz="4" w:space="0"/>
            </w:tcBorders>
            <w:shd w:val="clear" w:color="auto" w:fill="auto"/>
            <w:vAlign w:val="center"/>
          </w:tcPr>
          <w:p w14:paraId="144790B8">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245" w:type="dxa"/>
            <w:tcBorders>
              <w:top w:val="single" w:color="auto" w:sz="4" w:space="0"/>
              <w:left w:val="single" w:color="auto" w:sz="4" w:space="0"/>
              <w:bottom w:val="single" w:color="auto" w:sz="4" w:space="0"/>
              <w:right w:val="single" w:color="auto" w:sz="4" w:space="0"/>
            </w:tcBorders>
            <w:shd w:val="clear" w:color="auto" w:fill="auto"/>
            <w:vAlign w:val="center"/>
          </w:tcPr>
          <w:p w14:paraId="328147BE">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2222" w:type="dxa"/>
            <w:tcBorders>
              <w:top w:val="single" w:color="auto" w:sz="4" w:space="0"/>
              <w:left w:val="single" w:color="auto" w:sz="4" w:space="0"/>
              <w:bottom w:val="single" w:color="auto" w:sz="4" w:space="0"/>
              <w:right w:val="single" w:color="auto" w:sz="4" w:space="0"/>
            </w:tcBorders>
            <w:shd w:val="clear" w:color="auto" w:fill="auto"/>
            <w:vAlign w:val="center"/>
          </w:tcPr>
          <w:p w14:paraId="50521CF6">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7E61F73D">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416" w:type="dxa"/>
            <w:tcBorders>
              <w:top w:val="single" w:color="auto" w:sz="4" w:space="0"/>
              <w:left w:val="single" w:color="auto" w:sz="4" w:space="0"/>
              <w:bottom w:val="single" w:color="auto" w:sz="4" w:space="0"/>
              <w:right w:val="single" w:color="auto" w:sz="4" w:space="0"/>
            </w:tcBorders>
            <w:shd w:val="clear" w:color="auto" w:fill="auto"/>
            <w:vAlign w:val="center"/>
          </w:tcPr>
          <w:p w14:paraId="0CC85548">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14:paraId="401FB974">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209" w:type="dxa"/>
            <w:tcBorders>
              <w:top w:val="single" w:color="auto" w:sz="4" w:space="0"/>
              <w:left w:val="single" w:color="auto" w:sz="4" w:space="0"/>
              <w:bottom w:val="single" w:color="auto" w:sz="4" w:space="0"/>
              <w:right w:val="single" w:color="auto" w:sz="4" w:space="0"/>
            </w:tcBorders>
            <w:shd w:val="clear" w:color="auto" w:fill="auto"/>
            <w:vAlign w:val="center"/>
          </w:tcPr>
          <w:p w14:paraId="029D4E29">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r>
      <w:tr w14:paraId="02C69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3" w:type="dxa"/>
            <w:tcBorders>
              <w:top w:val="single" w:color="auto" w:sz="4" w:space="0"/>
              <w:left w:val="single" w:color="auto" w:sz="4" w:space="0"/>
              <w:bottom w:val="single" w:color="auto" w:sz="4" w:space="0"/>
              <w:right w:val="single" w:color="auto" w:sz="4" w:space="0"/>
            </w:tcBorders>
            <w:shd w:val="clear" w:color="auto" w:fill="auto"/>
            <w:vAlign w:val="center"/>
          </w:tcPr>
          <w:p w14:paraId="395FDF9F">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245" w:type="dxa"/>
            <w:tcBorders>
              <w:top w:val="single" w:color="auto" w:sz="4" w:space="0"/>
              <w:left w:val="single" w:color="auto" w:sz="4" w:space="0"/>
              <w:bottom w:val="single" w:color="auto" w:sz="4" w:space="0"/>
              <w:right w:val="single" w:color="auto" w:sz="4" w:space="0"/>
            </w:tcBorders>
            <w:shd w:val="clear" w:color="auto" w:fill="auto"/>
            <w:vAlign w:val="center"/>
          </w:tcPr>
          <w:p w14:paraId="10555CC8">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2222" w:type="dxa"/>
            <w:tcBorders>
              <w:top w:val="single" w:color="auto" w:sz="4" w:space="0"/>
              <w:left w:val="single" w:color="auto" w:sz="4" w:space="0"/>
              <w:bottom w:val="single" w:color="auto" w:sz="4" w:space="0"/>
              <w:right w:val="single" w:color="auto" w:sz="4" w:space="0"/>
            </w:tcBorders>
            <w:shd w:val="clear" w:color="auto" w:fill="auto"/>
            <w:vAlign w:val="center"/>
          </w:tcPr>
          <w:p w14:paraId="4DBA3DE8">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7714FC58">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416" w:type="dxa"/>
            <w:tcBorders>
              <w:top w:val="single" w:color="auto" w:sz="4" w:space="0"/>
              <w:left w:val="single" w:color="auto" w:sz="4" w:space="0"/>
              <w:bottom w:val="single" w:color="auto" w:sz="4" w:space="0"/>
              <w:right w:val="single" w:color="auto" w:sz="4" w:space="0"/>
            </w:tcBorders>
            <w:shd w:val="clear" w:color="auto" w:fill="auto"/>
            <w:vAlign w:val="center"/>
          </w:tcPr>
          <w:p w14:paraId="01373379">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14:paraId="50E5410A">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209" w:type="dxa"/>
            <w:tcBorders>
              <w:top w:val="single" w:color="auto" w:sz="4" w:space="0"/>
              <w:left w:val="single" w:color="auto" w:sz="4" w:space="0"/>
              <w:bottom w:val="single" w:color="auto" w:sz="4" w:space="0"/>
              <w:right w:val="single" w:color="auto" w:sz="4" w:space="0"/>
            </w:tcBorders>
            <w:shd w:val="clear" w:color="auto" w:fill="auto"/>
            <w:vAlign w:val="center"/>
          </w:tcPr>
          <w:p w14:paraId="625AE339">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r>
      <w:tr w14:paraId="22045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3" w:type="dxa"/>
            <w:tcBorders>
              <w:top w:val="single" w:color="auto" w:sz="4" w:space="0"/>
              <w:left w:val="single" w:color="auto" w:sz="4" w:space="0"/>
              <w:bottom w:val="single" w:color="auto" w:sz="4" w:space="0"/>
              <w:right w:val="single" w:color="auto" w:sz="4" w:space="0"/>
            </w:tcBorders>
            <w:shd w:val="clear" w:color="auto" w:fill="auto"/>
            <w:vAlign w:val="center"/>
          </w:tcPr>
          <w:p w14:paraId="2FA878AC">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245" w:type="dxa"/>
            <w:tcBorders>
              <w:top w:val="single" w:color="auto" w:sz="4" w:space="0"/>
              <w:left w:val="single" w:color="auto" w:sz="4" w:space="0"/>
              <w:bottom w:val="single" w:color="auto" w:sz="4" w:space="0"/>
              <w:right w:val="single" w:color="auto" w:sz="4" w:space="0"/>
            </w:tcBorders>
            <w:shd w:val="clear" w:color="auto" w:fill="auto"/>
            <w:vAlign w:val="center"/>
          </w:tcPr>
          <w:p w14:paraId="22DE4924">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2222" w:type="dxa"/>
            <w:tcBorders>
              <w:top w:val="single" w:color="auto" w:sz="4" w:space="0"/>
              <w:left w:val="single" w:color="auto" w:sz="4" w:space="0"/>
              <w:bottom w:val="single" w:color="auto" w:sz="4" w:space="0"/>
              <w:right w:val="single" w:color="auto" w:sz="4" w:space="0"/>
            </w:tcBorders>
            <w:shd w:val="clear" w:color="auto" w:fill="auto"/>
            <w:vAlign w:val="center"/>
          </w:tcPr>
          <w:p w14:paraId="092C01BB">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4BDF8418">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416" w:type="dxa"/>
            <w:tcBorders>
              <w:top w:val="single" w:color="auto" w:sz="4" w:space="0"/>
              <w:left w:val="single" w:color="auto" w:sz="4" w:space="0"/>
              <w:bottom w:val="single" w:color="auto" w:sz="4" w:space="0"/>
              <w:right w:val="single" w:color="auto" w:sz="4" w:space="0"/>
            </w:tcBorders>
            <w:shd w:val="clear" w:color="auto" w:fill="auto"/>
            <w:vAlign w:val="center"/>
          </w:tcPr>
          <w:p w14:paraId="3244F869">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14:paraId="655D3C0B">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209" w:type="dxa"/>
            <w:tcBorders>
              <w:top w:val="single" w:color="auto" w:sz="4" w:space="0"/>
              <w:left w:val="single" w:color="auto" w:sz="4" w:space="0"/>
              <w:bottom w:val="single" w:color="auto" w:sz="4" w:space="0"/>
              <w:right w:val="single" w:color="auto" w:sz="4" w:space="0"/>
            </w:tcBorders>
            <w:shd w:val="clear" w:color="auto" w:fill="auto"/>
            <w:vAlign w:val="center"/>
          </w:tcPr>
          <w:p w14:paraId="4E81207D">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r>
      <w:tr w14:paraId="0CB68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3" w:type="dxa"/>
            <w:tcBorders>
              <w:top w:val="single" w:color="auto" w:sz="4" w:space="0"/>
              <w:left w:val="single" w:color="auto" w:sz="4" w:space="0"/>
              <w:bottom w:val="single" w:color="auto" w:sz="4" w:space="0"/>
              <w:right w:val="single" w:color="auto" w:sz="4" w:space="0"/>
            </w:tcBorders>
            <w:shd w:val="clear" w:color="auto" w:fill="auto"/>
            <w:vAlign w:val="center"/>
          </w:tcPr>
          <w:p w14:paraId="72563F2F">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245" w:type="dxa"/>
            <w:tcBorders>
              <w:top w:val="single" w:color="auto" w:sz="4" w:space="0"/>
              <w:left w:val="single" w:color="auto" w:sz="4" w:space="0"/>
              <w:bottom w:val="single" w:color="auto" w:sz="4" w:space="0"/>
              <w:right w:val="single" w:color="auto" w:sz="4" w:space="0"/>
            </w:tcBorders>
            <w:shd w:val="clear" w:color="auto" w:fill="auto"/>
            <w:vAlign w:val="center"/>
          </w:tcPr>
          <w:p w14:paraId="15AA987A">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2222" w:type="dxa"/>
            <w:tcBorders>
              <w:top w:val="single" w:color="auto" w:sz="4" w:space="0"/>
              <w:left w:val="single" w:color="auto" w:sz="4" w:space="0"/>
              <w:bottom w:val="single" w:color="auto" w:sz="4" w:space="0"/>
              <w:right w:val="single" w:color="auto" w:sz="4" w:space="0"/>
            </w:tcBorders>
            <w:shd w:val="clear" w:color="auto" w:fill="auto"/>
            <w:vAlign w:val="center"/>
          </w:tcPr>
          <w:p w14:paraId="79EEF0E2">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519C08B3">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416" w:type="dxa"/>
            <w:tcBorders>
              <w:top w:val="single" w:color="auto" w:sz="4" w:space="0"/>
              <w:left w:val="single" w:color="auto" w:sz="4" w:space="0"/>
              <w:bottom w:val="single" w:color="auto" w:sz="4" w:space="0"/>
              <w:right w:val="single" w:color="auto" w:sz="4" w:space="0"/>
            </w:tcBorders>
            <w:shd w:val="clear" w:color="auto" w:fill="auto"/>
            <w:vAlign w:val="center"/>
          </w:tcPr>
          <w:p w14:paraId="4D7008F8">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14:paraId="0C68BC02">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209" w:type="dxa"/>
            <w:tcBorders>
              <w:top w:val="single" w:color="auto" w:sz="4" w:space="0"/>
              <w:left w:val="single" w:color="auto" w:sz="4" w:space="0"/>
              <w:bottom w:val="single" w:color="auto" w:sz="4" w:space="0"/>
              <w:right w:val="single" w:color="auto" w:sz="4" w:space="0"/>
            </w:tcBorders>
            <w:shd w:val="clear" w:color="auto" w:fill="auto"/>
            <w:vAlign w:val="center"/>
          </w:tcPr>
          <w:p w14:paraId="0CB83463">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r>
      <w:tr w14:paraId="6ED18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3" w:type="dxa"/>
            <w:tcBorders>
              <w:top w:val="single" w:color="auto" w:sz="4" w:space="0"/>
              <w:left w:val="single" w:color="auto" w:sz="4" w:space="0"/>
              <w:bottom w:val="single" w:color="auto" w:sz="4" w:space="0"/>
              <w:right w:val="single" w:color="auto" w:sz="4" w:space="0"/>
            </w:tcBorders>
            <w:shd w:val="clear" w:color="auto" w:fill="auto"/>
            <w:vAlign w:val="center"/>
          </w:tcPr>
          <w:p w14:paraId="198537FC">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245" w:type="dxa"/>
            <w:tcBorders>
              <w:top w:val="single" w:color="auto" w:sz="4" w:space="0"/>
              <w:left w:val="single" w:color="auto" w:sz="4" w:space="0"/>
              <w:bottom w:val="single" w:color="auto" w:sz="4" w:space="0"/>
              <w:right w:val="single" w:color="auto" w:sz="4" w:space="0"/>
            </w:tcBorders>
            <w:shd w:val="clear" w:color="auto" w:fill="auto"/>
            <w:vAlign w:val="center"/>
          </w:tcPr>
          <w:p w14:paraId="473F0CE0">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2222" w:type="dxa"/>
            <w:tcBorders>
              <w:top w:val="single" w:color="auto" w:sz="4" w:space="0"/>
              <w:left w:val="single" w:color="auto" w:sz="4" w:space="0"/>
              <w:bottom w:val="single" w:color="auto" w:sz="4" w:space="0"/>
              <w:right w:val="single" w:color="auto" w:sz="4" w:space="0"/>
            </w:tcBorders>
            <w:shd w:val="clear" w:color="auto" w:fill="auto"/>
            <w:vAlign w:val="center"/>
          </w:tcPr>
          <w:p w14:paraId="42BFCD39">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3D4588D0">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416" w:type="dxa"/>
            <w:tcBorders>
              <w:top w:val="single" w:color="auto" w:sz="4" w:space="0"/>
              <w:left w:val="single" w:color="auto" w:sz="4" w:space="0"/>
              <w:bottom w:val="single" w:color="auto" w:sz="4" w:space="0"/>
              <w:right w:val="single" w:color="auto" w:sz="4" w:space="0"/>
            </w:tcBorders>
            <w:shd w:val="clear" w:color="auto" w:fill="auto"/>
            <w:vAlign w:val="center"/>
          </w:tcPr>
          <w:p w14:paraId="242A5B46">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14:paraId="7992BF88">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209" w:type="dxa"/>
            <w:tcBorders>
              <w:top w:val="single" w:color="auto" w:sz="4" w:space="0"/>
              <w:left w:val="single" w:color="auto" w:sz="4" w:space="0"/>
              <w:bottom w:val="single" w:color="auto" w:sz="4" w:space="0"/>
              <w:right w:val="single" w:color="auto" w:sz="4" w:space="0"/>
            </w:tcBorders>
            <w:shd w:val="clear" w:color="auto" w:fill="auto"/>
            <w:vAlign w:val="center"/>
          </w:tcPr>
          <w:p w14:paraId="5D0D9CE6">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r>
      <w:tr w14:paraId="283C9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3" w:type="dxa"/>
            <w:tcBorders>
              <w:top w:val="single" w:color="auto" w:sz="4" w:space="0"/>
              <w:left w:val="single" w:color="auto" w:sz="4" w:space="0"/>
              <w:bottom w:val="single" w:color="auto" w:sz="4" w:space="0"/>
              <w:right w:val="single" w:color="auto" w:sz="4" w:space="0"/>
            </w:tcBorders>
            <w:shd w:val="clear" w:color="auto" w:fill="auto"/>
            <w:vAlign w:val="center"/>
          </w:tcPr>
          <w:p w14:paraId="7C3559D9">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245" w:type="dxa"/>
            <w:tcBorders>
              <w:top w:val="single" w:color="auto" w:sz="4" w:space="0"/>
              <w:left w:val="single" w:color="auto" w:sz="4" w:space="0"/>
              <w:bottom w:val="single" w:color="auto" w:sz="4" w:space="0"/>
              <w:right w:val="single" w:color="auto" w:sz="4" w:space="0"/>
            </w:tcBorders>
            <w:shd w:val="clear" w:color="auto" w:fill="auto"/>
            <w:vAlign w:val="center"/>
          </w:tcPr>
          <w:p w14:paraId="0207510B">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2222" w:type="dxa"/>
            <w:tcBorders>
              <w:top w:val="single" w:color="auto" w:sz="4" w:space="0"/>
              <w:left w:val="single" w:color="auto" w:sz="4" w:space="0"/>
              <w:bottom w:val="single" w:color="auto" w:sz="4" w:space="0"/>
              <w:right w:val="single" w:color="auto" w:sz="4" w:space="0"/>
            </w:tcBorders>
            <w:shd w:val="clear" w:color="auto" w:fill="auto"/>
            <w:vAlign w:val="center"/>
          </w:tcPr>
          <w:p w14:paraId="25AF3B73">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4ED1CEEE">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416" w:type="dxa"/>
            <w:tcBorders>
              <w:top w:val="single" w:color="auto" w:sz="4" w:space="0"/>
              <w:left w:val="single" w:color="auto" w:sz="4" w:space="0"/>
              <w:bottom w:val="single" w:color="auto" w:sz="4" w:space="0"/>
              <w:right w:val="single" w:color="auto" w:sz="4" w:space="0"/>
            </w:tcBorders>
            <w:shd w:val="clear" w:color="auto" w:fill="auto"/>
            <w:vAlign w:val="center"/>
          </w:tcPr>
          <w:p w14:paraId="28E4086F">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14:paraId="46EBEFD6">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209" w:type="dxa"/>
            <w:tcBorders>
              <w:top w:val="single" w:color="auto" w:sz="4" w:space="0"/>
              <w:left w:val="single" w:color="auto" w:sz="4" w:space="0"/>
              <w:bottom w:val="single" w:color="auto" w:sz="4" w:space="0"/>
              <w:right w:val="single" w:color="auto" w:sz="4" w:space="0"/>
            </w:tcBorders>
            <w:shd w:val="clear" w:color="auto" w:fill="auto"/>
            <w:vAlign w:val="center"/>
          </w:tcPr>
          <w:p w14:paraId="6E1B2E1A">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r>
      <w:tr w14:paraId="1DA0A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3" w:type="dxa"/>
            <w:tcBorders>
              <w:top w:val="single" w:color="auto" w:sz="4" w:space="0"/>
              <w:left w:val="single" w:color="auto" w:sz="4" w:space="0"/>
              <w:bottom w:val="single" w:color="auto" w:sz="4" w:space="0"/>
              <w:right w:val="single" w:color="auto" w:sz="4" w:space="0"/>
            </w:tcBorders>
            <w:shd w:val="clear" w:color="auto" w:fill="auto"/>
            <w:vAlign w:val="center"/>
          </w:tcPr>
          <w:p w14:paraId="40B8F495">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245" w:type="dxa"/>
            <w:tcBorders>
              <w:top w:val="single" w:color="auto" w:sz="4" w:space="0"/>
              <w:left w:val="single" w:color="auto" w:sz="4" w:space="0"/>
              <w:bottom w:val="single" w:color="auto" w:sz="4" w:space="0"/>
              <w:right w:val="single" w:color="auto" w:sz="4" w:space="0"/>
            </w:tcBorders>
            <w:shd w:val="clear" w:color="auto" w:fill="auto"/>
            <w:vAlign w:val="center"/>
          </w:tcPr>
          <w:p w14:paraId="7FE02A33">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2222" w:type="dxa"/>
            <w:tcBorders>
              <w:top w:val="single" w:color="auto" w:sz="4" w:space="0"/>
              <w:left w:val="single" w:color="auto" w:sz="4" w:space="0"/>
              <w:bottom w:val="single" w:color="auto" w:sz="4" w:space="0"/>
              <w:right w:val="single" w:color="auto" w:sz="4" w:space="0"/>
            </w:tcBorders>
            <w:shd w:val="clear" w:color="auto" w:fill="auto"/>
            <w:vAlign w:val="center"/>
          </w:tcPr>
          <w:p w14:paraId="79B86758">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2BF82555">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416" w:type="dxa"/>
            <w:tcBorders>
              <w:top w:val="single" w:color="auto" w:sz="4" w:space="0"/>
              <w:left w:val="single" w:color="auto" w:sz="4" w:space="0"/>
              <w:bottom w:val="single" w:color="auto" w:sz="4" w:space="0"/>
              <w:right w:val="single" w:color="auto" w:sz="4" w:space="0"/>
            </w:tcBorders>
            <w:shd w:val="clear" w:color="auto" w:fill="auto"/>
            <w:vAlign w:val="center"/>
          </w:tcPr>
          <w:p w14:paraId="09D7C48F">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14:paraId="7F70B987">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209" w:type="dxa"/>
            <w:tcBorders>
              <w:top w:val="single" w:color="auto" w:sz="4" w:space="0"/>
              <w:left w:val="single" w:color="auto" w:sz="4" w:space="0"/>
              <w:bottom w:val="single" w:color="auto" w:sz="4" w:space="0"/>
              <w:right w:val="single" w:color="auto" w:sz="4" w:space="0"/>
            </w:tcBorders>
            <w:shd w:val="clear" w:color="auto" w:fill="auto"/>
            <w:vAlign w:val="center"/>
          </w:tcPr>
          <w:p w14:paraId="17961E52">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r>
      <w:tr w14:paraId="6482A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3" w:type="dxa"/>
            <w:tcBorders>
              <w:top w:val="single" w:color="auto" w:sz="4" w:space="0"/>
              <w:left w:val="single" w:color="auto" w:sz="4" w:space="0"/>
              <w:bottom w:val="single" w:color="auto" w:sz="4" w:space="0"/>
              <w:right w:val="single" w:color="auto" w:sz="4" w:space="0"/>
            </w:tcBorders>
            <w:shd w:val="clear" w:color="auto" w:fill="auto"/>
            <w:vAlign w:val="center"/>
          </w:tcPr>
          <w:p w14:paraId="411EFC16">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245" w:type="dxa"/>
            <w:tcBorders>
              <w:top w:val="single" w:color="auto" w:sz="4" w:space="0"/>
              <w:left w:val="single" w:color="auto" w:sz="4" w:space="0"/>
              <w:bottom w:val="single" w:color="auto" w:sz="4" w:space="0"/>
              <w:right w:val="single" w:color="auto" w:sz="4" w:space="0"/>
            </w:tcBorders>
            <w:shd w:val="clear" w:color="auto" w:fill="auto"/>
            <w:vAlign w:val="center"/>
          </w:tcPr>
          <w:p w14:paraId="59F67F35">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2222" w:type="dxa"/>
            <w:tcBorders>
              <w:top w:val="single" w:color="auto" w:sz="4" w:space="0"/>
              <w:left w:val="single" w:color="auto" w:sz="4" w:space="0"/>
              <w:bottom w:val="single" w:color="auto" w:sz="4" w:space="0"/>
              <w:right w:val="single" w:color="auto" w:sz="4" w:space="0"/>
            </w:tcBorders>
            <w:shd w:val="clear" w:color="auto" w:fill="auto"/>
            <w:vAlign w:val="center"/>
          </w:tcPr>
          <w:p w14:paraId="673A1F01">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1CB78310">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416" w:type="dxa"/>
            <w:tcBorders>
              <w:top w:val="single" w:color="auto" w:sz="4" w:space="0"/>
              <w:left w:val="single" w:color="auto" w:sz="4" w:space="0"/>
              <w:bottom w:val="single" w:color="auto" w:sz="4" w:space="0"/>
              <w:right w:val="single" w:color="auto" w:sz="4" w:space="0"/>
            </w:tcBorders>
            <w:shd w:val="clear" w:color="auto" w:fill="auto"/>
            <w:vAlign w:val="center"/>
          </w:tcPr>
          <w:p w14:paraId="54298733">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14:paraId="5F5EE510">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209" w:type="dxa"/>
            <w:tcBorders>
              <w:top w:val="single" w:color="auto" w:sz="4" w:space="0"/>
              <w:left w:val="single" w:color="auto" w:sz="4" w:space="0"/>
              <w:bottom w:val="single" w:color="auto" w:sz="4" w:space="0"/>
              <w:right w:val="single" w:color="auto" w:sz="4" w:space="0"/>
            </w:tcBorders>
            <w:shd w:val="clear" w:color="auto" w:fill="auto"/>
            <w:vAlign w:val="center"/>
          </w:tcPr>
          <w:p w14:paraId="1197FA1F">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r>
      <w:tr w14:paraId="19F4D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3" w:type="dxa"/>
            <w:tcBorders>
              <w:top w:val="single" w:color="auto" w:sz="4" w:space="0"/>
              <w:left w:val="single" w:color="auto" w:sz="4" w:space="0"/>
              <w:bottom w:val="single" w:color="auto" w:sz="4" w:space="0"/>
              <w:right w:val="single" w:color="auto" w:sz="4" w:space="0"/>
            </w:tcBorders>
            <w:shd w:val="clear" w:color="auto" w:fill="auto"/>
            <w:vAlign w:val="center"/>
          </w:tcPr>
          <w:p w14:paraId="2A0BEC19">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245" w:type="dxa"/>
            <w:tcBorders>
              <w:top w:val="single" w:color="auto" w:sz="4" w:space="0"/>
              <w:left w:val="single" w:color="auto" w:sz="4" w:space="0"/>
              <w:bottom w:val="single" w:color="auto" w:sz="4" w:space="0"/>
              <w:right w:val="single" w:color="auto" w:sz="4" w:space="0"/>
            </w:tcBorders>
            <w:shd w:val="clear" w:color="auto" w:fill="auto"/>
            <w:vAlign w:val="center"/>
          </w:tcPr>
          <w:p w14:paraId="041B8292">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2222" w:type="dxa"/>
            <w:tcBorders>
              <w:top w:val="single" w:color="auto" w:sz="4" w:space="0"/>
              <w:left w:val="single" w:color="auto" w:sz="4" w:space="0"/>
              <w:bottom w:val="single" w:color="auto" w:sz="4" w:space="0"/>
              <w:right w:val="single" w:color="auto" w:sz="4" w:space="0"/>
            </w:tcBorders>
            <w:shd w:val="clear" w:color="auto" w:fill="auto"/>
            <w:vAlign w:val="center"/>
          </w:tcPr>
          <w:p w14:paraId="290DC745">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0E796FF1">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416" w:type="dxa"/>
            <w:tcBorders>
              <w:top w:val="single" w:color="auto" w:sz="4" w:space="0"/>
              <w:left w:val="single" w:color="auto" w:sz="4" w:space="0"/>
              <w:bottom w:val="single" w:color="auto" w:sz="4" w:space="0"/>
              <w:right w:val="single" w:color="auto" w:sz="4" w:space="0"/>
            </w:tcBorders>
            <w:shd w:val="clear" w:color="auto" w:fill="auto"/>
            <w:vAlign w:val="center"/>
          </w:tcPr>
          <w:p w14:paraId="67DBB5FC">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14:paraId="679C56D3">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209" w:type="dxa"/>
            <w:tcBorders>
              <w:top w:val="single" w:color="auto" w:sz="4" w:space="0"/>
              <w:left w:val="single" w:color="auto" w:sz="4" w:space="0"/>
              <w:bottom w:val="single" w:color="auto" w:sz="4" w:space="0"/>
              <w:right w:val="single" w:color="auto" w:sz="4" w:space="0"/>
            </w:tcBorders>
            <w:shd w:val="clear" w:color="auto" w:fill="auto"/>
            <w:vAlign w:val="center"/>
          </w:tcPr>
          <w:p w14:paraId="0A4B614E">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r>
      <w:tr w14:paraId="74ECB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3" w:type="dxa"/>
            <w:tcBorders>
              <w:top w:val="single" w:color="auto" w:sz="4" w:space="0"/>
              <w:left w:val="single" w:color="auto" w:sz="4" w:space="0"/>
              <w:bottom w:val="single" w:color="auto" w:sz="4" w:space="0"/>
              <w:right w:val="single" w:color="auto" w:sz="4" w:space="0"/>
            </w:tcBorders>
            <w:shd w:val="clear" w:color="auto" w:fill="auto"/>
            <w:vAlign w:val="center"/>
          </w:tcPr>
          <w:p w14:paraId="54D08ED4">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245" w:type="dxa"/>
            <w:tcBorders>
              <w:top w:val="single" w:color="auto" w:sz="4" w:space="0"/>
              <w:left w:val="single" w:color="auto" w:sz="4" w:space="0"/>
              <w:bottom w:val="single" w:color="auto" w:sz="4" w:space="0"/>
              <w:right w:val="single" w:color="auto" w:sz="4" w:space="0"/>
            </w:tcBorders>
            <w:shd w:val="clear" w:color="auto" w:fill="auto"/>
            <w:vAlign w:val="center"/>
          </w:tcPr>
          <w:p w14:paraId="3196EBDF">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2222" w:type="dxa"/>
            <w:tcBorders>
              <w:top w:val="single" w:color="auto" w:sz="4" w:space="0"/>
              <w:left w:val="single" w:color="auto" w:sz="4" w:space="0"/>
              <w:bottom w:val="single" w:color="auto" w:sz="4" w:space="0"/>
              <w:right w:val="single" w:color="auto" w:sz="4" w:space="0"/>
            </w:tcBorders>
            <w:shd w:val="clear" w:color="auto" w:fill="auto"/>
            <w:vAlign w:val="center"/>
          </w:tcPr>
          <w:p w14:paraId="68B46CD0">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137FC3A5">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416" w:type="dxa"/>
            <w:tcBorders>
              <w:top w:val="single" w:color="auto" w:sz="4" w:space="0"/>
              <w:left w:val="single" w:color="auto" w:sz="4" w:space="0"/>
              <w:bottom w:val="single" w:color="auto" w:sz="4" w:space="0"/>
              <w:right w:val="single" w:color="auto" w:sz="4" w:space="0"/>
            </w:tcBorders>
            <w:shd w:val="clear" w:color="auto" w:fill="auto"/>
            <w:vAlign w:val="center"/>
          </w:tcPr>
          <w:p w14:paraId="799AD135">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14:paraId="0CAF9600">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209" w:type="dxa"/>
            <w:tcBorders>
              <w:top w:val="single" w:color="auto" w:sz="4" w:space="0"/>
              <w:left w:val="single" w:color="auto" w:sz="4" w:space="0"/>
              <w:bottom w:val="single" w:color="auto" w:sz="4" w:space="0"/>
              <w:right w:val="single" w:color="auto" w:sz="4" w:space="0"/>
            </w:tcBorders>
            <w:shd w:val="clear" w:color="auto" w:fill="auto"/>
            <w:vAlign w:val="center"/>
          </w:tcPr>
          <w:p w14:paraId="4DC5C6A9">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r>
      <w:tr w14:paraId="58008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3" w:type="dxa"/>
            <w:tcBorders>
              <w:top w:val="single" w:color="auto" w:sz="4" w:space="0"/>
              <w:left w:val="single" w:color="auto" w:sz="4" w:space="0"/>
              <w:bottom w:val="single" w:color="auto" w:sz="4" w:space="0"/>
              <w:right w:val="single" w:color="auto" w:sz="4" w:space="0"/>
            </w:tcBorders>
            <w:shd w:val="clear" w:color="auto" w:fill="auto"/>
            <w:vAlign w:val="center"/>
          </w:tcPr>
          <w:p w14:paraId="40D435CD">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245" w:type="dxa"/>
            <w:tcBorders>
              <w:top w:val="single" w:color="auto" w:sz="4" w:space="0"/>
              <w:left w:val="single" w:color="auto" w:sz="4" w:space="0"/>
              <w:bottom w:val="single" w:color="auto" w:sz="4" w:space="0"/>
              <w:right w:val="single" w:color="auto" w:sz="4" w:space="0"/>
            </w:tcBorders>
            <w:shd w:val="clear" w:color="auto" w:fill="auto"/>
            <w:vAlign w:val="center"/>
          </w:tcPr>
          <w:p w14:paraId="2D0B4057">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2222" w:type="dxa"/>
            <w:tcBorders>
              <w:top w:val="single" w:color="auto" w:sz="4" w:space="0"/>
              <w:left w:val="single" w:color="auto" w:sz="4" w:space="0"/>
              <w:bottom w:val="single" w:color="auto" w:sz="4" w:space="0"/>
              <w:right w:val="single" w:color="auto" w:sz="4" w:space="0"/>
            </w:tcBorders>
            <w:shd w:val="clear" w:color="auto" w:fill="auto"/>
            <w:vAlign w:val="center"/>
          </w:tcPr>
          <w:p w14:paraId="641D86CC">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2F626753">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416" w:type="dxa"/>
            <w:tcBorders>
              <w:top w:val="single" w:color="auto" w:sz="4" w:space="0"/>
              <w:left w:val="single" w:color="auto" w:sz="4" w:space="0"/>
              <w:bottom w:val="single" w:color="auto" w:sz="4" w:space="0"/>
              <w:right w:val="single" w:color="auto" w:sz="4" w:space="0"/>
            </w:tcBorders>
            <w:shd w:val="clear" w:color="auto" w:fill="auto"/>
            <w:vAlign w:val="center"/>
          </w:tcPr>
          <w:p w14:paraId="5520CC1E">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275" w:type="dxa"/>
            <w:tcBorders>
              <w:top w:val="single" w:color="auto" w:sz="4" w:space="0"/>
              <w:left w:val="single" w:color="auto" w:sz="4" w:space="0"/>
              <w:bottom w:val="single" w:color="auto" w:sz="4" w:space="0"/>
              <w:right w:val="single" w:color="auto" w:sz="4" w:space="0"/>
            </w:tcBorders>
            <w:shd w:val="clear" w:color="auto" w:fill="auto"/>
            <w:vAlign w:val="center"/>
          </w:tcPr>
          <w:p w14:paraId="3EE6B228">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c>
          <w:tcPr>
            <w:tcW w:w="1209" w:type="dxa"/>
            <w:tcBorders>
              <w:top w:val="single" w:color="auto" w:sz="4" w:space="0"/>
              <w:left w:val="single" w:color="auto" w:sz="4" w:space="0"/>
              <w:bottom w:val="single" w:color="auto" w:sz="4" w:space="0"/>
              <w:right w:val="single" w:color="auto" w:sz="4" w:space="0"/>
            </w:tcBorders>
            <w:shd w:val="clear" w:color="auto" w:fill="auto"/>
            <w:vAlign w:val="center"/>
          </w:tcPr>
          <w:p w14:paraId="4FF8AC6E">
            <w:pPr>
              <w:keepNext w:val="0"/>
              <w:keepLines w:val="0"/>
              <w:pageBreakBefore w:val="0"/>
              <w:kinsoku/>
              <w:overflowPunct/>
              <w:topLinePunct/>
              <w:autoSpaceDE/>
              <w:autoSpaceDN/>
              <w:bidi w:val="0"/>
              <w:jc w:val="center"/>
              <w:textAlignment w:val="auto"/>
              <w:rPr>
                <w:rFonts w:hint="eastAsia" w:ascii="仿宋" w:hAnsi="仿宋" w:eastAsia="仿宋" w:cs="仿宋"/>
                <w:color w:val="auto"/>
                <w:sz w:val="28"/>
                <w:szCs w:val="28"/>
                <w:highlight w:val="none"/>
              </w:rPr>
            </w:pPr>
          </w:p>
        </w:tc>
      </w:tr>
    </w:tbl>
    <w:p w14:paraId="30FECABB">
      <w:pPr>
        <w:keepNext w:val="0"/>
        <w:keepLines w:val="0"/>
        <w:pageBreakBefore w:val="0"/>
        <w:kinsoku/>
        <w:overflowPunct/>
        <w:topLinePunct/>
        <w:autoSpaceDE/>
        <w:autoSpaceDN/>
        <w:bidi w:val="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注：①此表应认真填写，不得提供虚假业绩。</w:t>
      </w:r>
    </w:p>
    <w:p w14:paraId="06034F18">
      <w:pPr>
        <w:keepNext w:val="0"/>
        <w:keepLines w:val="0"/>
        <w:pageBreakBefore w:val="0"/>
        <w:kinsoku/>
        <w:overflowPunct/>
        <w:topLinePunct/>
        <w:autoSpaceDE/>
        <w:autoSpaceDN/>
        <w:bidi w:val="0"/>
        <w:ind w:firstLine="560" w:firstLineChars="200"/>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②按照</w:t>
      </w:r>
      <w:r>
        <w:rPr>
          <w:rFonts w:hint="eastAsia" w:ascii="仿宋" w:hAnsi="仿宋" w:eastAsia="仿宋" w:cs="仿宋"/>
          <w:color w:val="auto"/>
          <w:sz w:val="28"/>
          <w:szCs w:val="28"/>
          <w:highlight w:val="none"/>
          <w:lang w:val="en-US" w:eastAsia="zh-CN"/>
        </w:rPr>
        <w:t>招标文件</w:t>
      </w:r>
      <w:r>
        <w:rPr>
          <w:rFonts w:hint="eastAsia" w:ascii="仿宋" w:hAnsi="仿宋" w:eastAsia="仿宋" w:cs="仿宋"/>
          <w:color w:val="auto"/>
          <w:sz w:val="28"/>
          <w:szCs w:val="28"/>
          <w:highlight w:val="none"/>
        </w:rPr>
        <w:t>要求</w:t>
      </w:r>
      <w:r>
        <w:rPr>
          <w:rFonts w:hint="eastAsia" w:ascii="仿宋" w:hAnsi="仿宋" w:eastAsia="仿宋" w:cs="仿宋"/>
          <w:color w:val="auto"/>
          <w:sz w:val="28"/>
          <w:szCs w:val="28"/>
          <w:highlight w:val="none"/>
          <w:lang w:val="en-US" w:eastAsia="zh-CN"/>
        </w:rPr>
        <w:t>后附</w:t>
      </w:r>
      <w:r>
        <w:rPr>
          <w:rFonts w:hint="eastAsia" w:ascii="仿宋" w:hAnsi="仿宋" w:eastAsia="仿宋" w:cs="仿宋"/>
          <w:color w:val="auto"/>
          <w:sz w:val="28"/>
          <w:szCs w:val="28"/>
          <w:highlight w:val="none"/>
        </w:rPr>
        <w:t>相关资料</w:t>
      </w:r>
      <w:r>
        <w:rPr>
          <w:rFonts w:hint="eastAsia" w:ascii="仿宋" w:hAnsi="仿宋" w:eastAsia="仿宋" w:cs="仿宋"/>
          <w:color w:val="auto"/>
          <w:sz w:val="28"/>
          <w:szCs w:val="28"/>
          <w:highlight w:val="none"/>
          <w:lang w:eastAsia="zh-CN"/>
        </w:rPr>
        <w:t>。</w:t>
      </w:r>
    </w:p>
    <w:p w14:paraId="2C06B136">
      <w:pPr>
        <w:keepNext w:val="0"/>
        <w:keepLines w:val="0"/>
        <w:pageBreakBefore w:val="0"/>
        <w:kinsoku/>
        <w:overflowPunct/>
        <w:topLinePunct/>
        <w:autoSpaceDE/>
        <w:autoSpaceDN/>
        <w:bidi w:val="0"/>
        <w:ind w:firstLine="840" w:firstLineChars="300"/>
        <w:textAlignment w:val="auto"/>
        <w:rPr>
          <w:rFonts w:hint="eastAsia" w:ascii="仿宋" w:hAnsi="仿宋" w:eastAsia="仿宋" w:cs="仿宋"/>
          <w:color w:val="auto"/>
          <w:sz w:val="28"/>
          <w:szCs w:val="28"/>
          <w:highlight w:val="none"/>
        </w:rPr>
      </w:pPr>
    </w:p>
    <w:p w14:paraId="12E77065">
      <w:pPr>
        <w:pStyle w:val="9"/>
        <w:keepNext w:val="0"/>
        <w:keepLines w:val="0"/>
        <w:pageBreakBefore w:val="0"/>
        <w:kinsoku/>
        <w:overflowPunct/>
        <w:topLinePunct/>
        <w:autoSpaceDE/>
        <w:autoSpaceDN/>
        <w:bidi w:val="0"/>
        <w:textAlignment w:val="auto"/>
        <w:rPr>
          <w:rFonts w:hint="eastAsia" w:ascii="仿宋" w:hAnsi="仿宋" w:eastAsia="仿宋" w:cs="仿宋"/>
          <w:color w:val="auto"/>
          <w:highlight w:val="none"/>
        </w:rPr>
      </w:pPr>
    </w:p>
    <w:p w14:paraId="0D0CBC50">
      <w:pPr>
        <w:keepNext w:val="0"/>
        <w:keepLines w:val="0"/>
        <w:pageBreakBefore w:val="0"/>
        <w:kinsoku/>
        <w:wordWrap/>
        <w:overflowPunct/>
        <w:topLinePunct/>
        <w:autoSpaceDE/>
        <w:autoSpaceDN/>
        <w:bidi w:val="0"/>
        <w:spacing w:line="480" w:lineRule="auto"/>
        <w:ind w:firstLine="3920" w:firstLineChars="140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lang w:eastAsia="zh-CN"/>
        </w:rPr>
        <w:t>投标人</w:t>
      </w:r>
      <w:r>
        <w:rPr>
          <w:rFonts w:hint="eastAsia" w:ascii="仿宋" w:hAnsi="仿宋" w:eastAsia="仿宋" w:cs="仿宋"/>
          <w:color w:val="auto"/>
          <w:kern w:val="0"/>
          <w:sz w:val="28"/>
          <w:szCs w:val="28"/>
          <w:highlight w:val="none"/>
        </w:rPr>
        <w:t xml:space="preserve">（公章）： </w:t>
      </w:r>
    </w:p>
    <w:p w14:paraId="5C6FE645">
      <w:pPr>
        <w:keepNext w:val="0"/>
        <w:keepLines w:val="0"/>
        <w:pageBreakBefore w:val="0"/>
        <w:kinsoku/>
        <w:wordWrap/>
        <w:overflowPunct/>
        <w:topLinePunct/>
        <w:autoSpaceDE/>
        <w:autoSpaceDN/>
        <w:bidi w:val="0"/>
        <w:spacing w:line="480" w:lineRule="auto"/>
        <w:ind w:firstLine="3920" w:firstLineChars="140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法定代表人或</w:t>
      </w:r>
      <w:r>
        <w:rPr>
          <w:rFonts w:hint="eastAsia" w:ascii="仿宋" w:hAnsi="仿宋" w:eastAsia="仿宋" w:cs="仿宋"/>
          <w:color w:val="auto"/>
          <w:kern w:val="0"/>
          <w:sz w:val="28"/>
          <w:szCs w:val="28"/>
          <w:highlight w:val="none"/>
          <w:lang w:val="en-US" w:eastAsia="zh-CN"/>
        </w:rPr>
        <w:t>委托代理人</w:t>
      </w:r>
      <w:r>
        <w:rPr>
          <w:rFonts w:hint="eastAsia" w:ascii="仿宋" w:hAnsi="仿宋" w:eastAsia="仿宋" w:cs="仿宋"/>
          <w:color w:val="auto"/>
          <w:kern w:val="0"/>
          <w:sz w:val="28"/>
          <w:szCs w:val="28"/>
          <w:highlight w:val="none"/>
        </w:rPr>
        <w:t>（签字或签章）：</w:t>
      </w:r>
    </w:p>
    <w:p w14:paraId="570E3405">
      <w:pPr>
        <w:keepNext w:val="0"/>
        <w:keepLines w:val="0"/>
        <w:pageBreakBefore w:val="0"/>
        <w:kinsoku/>
        <w:overflowPunct/>
        <w:topLinePunct/>
        <w:autoSpaceDE/>
        <w:autoSpaceDN/>
        <w:bidi w:val="0"/>
        <w:snapToGrid w:val="0"/>
        <w:spacing w:line="480" w:lineRule="auto"/>
        <w:ind w:firstLine="3920" w:firstLineChars="140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sz w:val="28"/>
          <w:szCs w:val="28"/>
          <w:highlight w:val="none"/>
        </w:rPr>
        <w:t>日期：</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年</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月</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日</w:t>
      </w:r>
    </w:p>
    <w:p w14:paraId="1F5FC301">
      <w:pPr>
        <w:keepNext w:val="0"/>
        <w:keepLines w:val="0"/>
        <w:pageBreakBefore w:val="0"/>
        <w:kinsoku/>
        <w:overflowPunct/>
        <w:autoSpaceDE/>
        <w:autoSpaceDN/>
        <w:bidi w:val="0"/>
        <w:spacing w:line="480" w:lineRule="exact"/>
        <w:jc w:val="center"/>
        <w:rPr>
          <w:rFonts w:hint="eastAsia" w:ascii="宋体" w:hAnsi="宋体"/>
          <w:b/>
          <w:sz w:val="32"/>
          <w:szCs w:val="36"/>
        </w:rPr>
        <w:sectPr>
          <w:pgSz w:w="11906" w:h="16838"/>
          <w:pgMar w:top="1280" w:right="1142" w:bottom="1118" w:left="1324" w:header="454" w:footer="680" w:gutter="0"/>
          <w:pgNumType w:fmt="decimal"/>
          <w:cols w:space="0" w:num="1"/>
          <w:docGrid w:linePitch="312" w:charSpace="0"/>
        </w:sectPr>
      </w:pPr>
    </w:p>
    <w:p w14:paraId="44A693E8">
      <w:pPr>
        <w:pStyle w:val="15"/>
        <w:keepNext w:val="0"/>
        <w:keepLines w:val="0"/>
        <w:pageBreakBefore w:val="0"/>
        <w:kinsoku/>
        <w:overflowPunct/>
        <w:topLinePunct/>
        <w:autoSpaceDE/>
        <w:autoSpaceDN/>
        <w:bidi w:val="0"/>
        <w:jc w:val="center"/>
        <w:textAlignment w:val="auto"/>
        <w:outlineLvl w:val="2"/>
        <w:rPr>
          <w:rFonts w:hint="eastAsia" w:ascii="仿宋" w:hAnsi="仿宋" w:eastAsia="仿宋" w:cs="仿宋"/>
          <w:b/>
          <w:color w:val="auto"/>
          <w:sz w:val="36"/>
          <w:szCs w:val="36"/>
          <w:highlight w:val="none"/>
          <w:lang w:val="en-US" w:eastAsia="zh-CN"/>
        </w:rPr>
      </w:pPr>
      <w:r>
        <w:rPr>
          <w:rFonts w:hint="eastAsia" w:ascii="仿宋" w:hAnsi="仿宋" w:eastAsia="仿宋" w:cs="仿宋"/>
          <w:b/>
          <w:color w:val="auto"/>
          <w:sz w:val="36"/>
          <w:szCs w:val="36"/>
          <w:highlight w:val="none"/>
          <w:lang w:val="en-US" w:eastAsia="zh-CN"/>
        </w:rPr>
        <w:t>响应偏离表</w:t>
      </w:r>
    </w:p>
    <w:p w14:paraId="0E31EE3C">
      <w:pPr>
        <w:keepNext w:val="0"/>
        <w:keepLines w:val="0"/>
        <w:pageBreakBefore w:val="0"/>
        <w:kinsoku/>
        <w:overflowPunct/>
        <w:topLinePunct/>
        <w:autoSpaceDE/>
        <w:autoSpaceDN/>
        <w:bidi w:val="0"/>
        <w:spacing w:line="360" w:lineRule="exact"/>
        <w:jc w:val="center"/>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（包括技术规格、参数和商务条款偏离）</w:t>
      </w:r>
    </w:p>
    <w:p w14:paraId="66B18258">
      <w:pPr>
        <w:keepNext w:val="0"/>
        <w:keepLines w:val="0"/>
        <w:pageBreakBefore w:val="0"/>
        <w:kinsoku/>
        <w:overflowPunct/>
        <w:topLinePunct/>
        <w:autoSpaceDE/>
        <w:autoSpaceDN/>
        <w:bidi w:val="0"/>
        <w:spacing w:line="360" w:lineRule="exact"/>
        <w:jc w:val="center"/>
        <w:textAlignment w:val="auto"/>
        <w:rPr>
          <w:rFonts w:hint="eastAsia" w:ascii="仿宋" w:hAnsi="仿宋" w:eastAsia="仿宋" w:cs="仿宋"/>
          <w:b/>
          <w:color w:val="auto"/>
          <w:sz w:val="28"/>
          <w:szCs w:val="28"/>
          <w:highlight w:val="none"/>
        </w:rPr>
      </w:pPr>
    </w:p>
    <w:tbl>
      <w:tblPr>
        <w:tblStyle w:val="26"/>
        <w:tblW w:w="9869" w:type="dxa"/>
        <w:tblInd w:w="-3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712"/>
        <w:gridCol w:w="1013"/>
        <w:gridCol w:w="2564"/>
        <w:gridCol w:w="1162"/>
        <w:gridCol w:w="2684"/>
        <w:gridCol w:w="1734"/>
      </w:tblGrid>
      <w:tr w14:paraId="59B3D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622" w:hRule="atLeast"/>
        </w:trPr>
        <w:tc>
          <w:tcPr>
            <w:tcW w:w="712" w:type="dxa"/>
            <w:vMerge w:val="restart"/>
            <w:noWrap/>
            <w:vAlign w:val="center"/>
          </w:tcPr>
          <w:p w14:paraId="7D4EE967">
            <w:pPr>
              <w:keepNext w:val="0"/>
              <w:keepLines w:val="0"/>
              <w:pageBreakBefore w:val="0"/>
              <w:kinsoku/>
              <w:overflowPunct/>
              <w:topLinePunct/>
              <w:autoSpaceDE/>
              <w:autoSpaceDN/>
              <w:bidi w:val="0"/>
              <w:adjustRightInd w:val="0"/>
              <w:snapToGrid w:val="0"/>
              <w:spacing w:line="20" w:lineRule="atLeast"/>
              <w:jc w:val="center"/>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序号</w:t>
            </w:r>
          </w:p>
        </w:tc>
        <w:tc>
          <w:tcPr>
            <w:tcW w:w="3577" w:type="dxa"/>
            <w:gridSpan w:val="2"/>
            <w:noWrap/>
            <w:vAlign w:val="center"/>
          </w:tcPr>
          <w:p w14:paraId="68EB50EE">
            <w:pPr>
              <w:keepNext w:val="0"/>
              <w:keepLines w:val="0"/>
              <w:pageBreakBefore w:val="0"/>
              <w:kinsoku/>
              <w:overflowPunct/>
              <w:topLinePunct/>
              <w:autoSpaceDE/>
              <w:autoSpaceDN/>
              <w:bidi w:val="0"/>
              <w:adjustRightInd w:val="0"/>
              <w:snapToGrid w:val="0"/>
              <w:spacing w:line="20" w:lineRule="atLeast"/>
              <w:jc w:val="center"/>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lang w:eastAsia="zh-CN"/>
              </w:rPr>
              <w:t>招标文件</w:t>
            </w:r>
            <w:r>
              <w:rPr>
                <w:rFonts w:hint="eastAsia" w:ascii="仿宋" w:hAnsi="仿宋" w:eastAsia="仿宋" w:cs="仿宋"/>
                <w:color w:val="auto"/>
                <w:kern w:val="0"/>
                <w:sz w:val="28"/>
                <w:szCs w:val="28"/>
                <w:highlight w:val="none"/>
              </w:rPr>
              <w:t>条款</w:t>
            </w:r>
          </w:p>
        </w:tc>
        <w:tc>
          <w:tcPr>
            <w:tcW w:w="3846" w:type="dxa"/>
            <w:gridSpan w:val="2"/>
            <w:noWrap/>
            <w:vAlign w:val="center"/>
          </w:tcPr>
          <w:p w14:paraId="65F555D6">
            <w:pPr>
              <w:keepNext w:val="0"/>
              <w:keepLines w:val="0"/>
              <w:pageBreakBefore w:val="0"/>
              <w:kinsoku/>
              <w:overflowPunct/>
              <w:topLinePunct/>
              <w:autoSpaceDE/>
              <w:autoSpaceDN/>
              <w:bidi w:val="0"/>
              <w:adjustRightInd w:val="0"/>
              <w:snapToGrid w:val="0"/>
              <w:spacing w:line="20" w:lineRule="atLeast"/>
              <w:jc w:val="center"/>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lang w:eastAsia="zh-CN"/>
              </w:rPr>
              <w:t>投标文件</w:t>
            </w:r>
            <w:r>
              <w:rPr>
                <w:rFonts w:hint="eastAsia" w:ascii="仿宋" w:hAnsi="仿宋" w:eastAsia="仿宋" w:cs="仿宋"/>
                <w:color w:val="auto"/>
                <w:kern w:val="0"/>
                <w:sz w:val="28"/>
                <w:szCs w:val="28"/>
                <w:highlight w:val="none"/>
              </w:rPr>
              <w:t>条款</w:t>
            </w:r>
          </w:p>
        </w:tc>
        <w:tc>
          <w:tcPr>
            <w:tcW w:w="1734" w:type="dxa"/>
            <w:vMerge w:val="restart"/>
            <w:vAlign w:val="center"/>
          </w:tcPr>
          <w:p w14:paraId="5B628DE4">
            <w:pPr>
              <w:keepNext w:val="0"/>
              <w:keepLines w:val="0"/>
              <w:pageBreakBefore w:val="0"/>
              <w:kinsoku/>
              <w:overflowPunct/>
              <w:topLinePunct/>
              <w:autoSpaceDE/>
              <w:autoSpaceDN/>
              <w:bidi w:val="0"/>
              <w:adjustRightInd w:val="0"/>
              <w:snapToGrid w:val="0"/>
              <w:spacing w:line="20" w:lineRule="atLeast"/>
              <w:jc w:val="center"/>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正/负偏离</w:t>
            </w:r>
          </w:p>
        </w:tc>
      </w:tr>
      <w:tr w14:paraId="4525B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701" w:hRule="atLeast"/>
        </w:trPr>
        <w:tc>
          <w:tcPr>
            <w:tcW w:w="712" w:type="dxa"/>
            <w:vMerge w:val="continue"/>
            <w:noWrap/>
            <w:vAlign w:val="center"/>
          </w:tcPr>
          <w:p w14:paraId="7B7B520A">
            <w:pPr>
              <w:keepNext w:val="0"/>
              <w:keepLines w:val="0"/>
              <w:pageBreakBefore w:val="0"/>
              <w:kinsoku/>
              <w:overflowPunct/>
              <w:topLinePunct/>
              <w:autoSpaceDE/>
              <w:autoSpaceDN/>
              <w:bidi w:val="0"/>
              <w:adjustRightInd w:val="0"/>
              <w:snapToGrid w:val="0"/>
              <w:spacing w:line="20" w:lineRule="atLeast"/>
              <w:jc w:val="center"/>
              <w:textAlignment w:val="auto"/>
              <w:rPr>
                <w:rFonts w:hint="eastAsia" w:ascii="仿宋" w:hAnsi="仿宋" w:eastAsia="仿宋" w:cs="仿宋"/>
                <w:color w:val="auto"/>
                <w:kern w:val="0"/>
                <w:sz w:val="28"/>
                <w:szCs w:val="28"/>
                <w:highlight w:val="none"/>
              </w:rPr>
            </w:pPr>
          </w:p>
        </w:tc>
        <w:tc>
          <w:tcPr>
            <w:tcW w:w="1013" w:type="dxa"/>
            <w:noWrap/>
            <w:vAlign w:val="center"/>
          </w:tcPr>
          <w:p w14:paraId="44858195">
            <w:pPr>
              <w:keepNext w:val="0"/>
              <w:keepLines w:val="0"/>
              <w:pageBreakBefore w:val="0"/>
              <w:kinsoku/>
              <w:overflowPunct/>
              <w:topLinePunct/>
              <w:autoSpaceDE/>
              <w:autoSpaceDN/>
              <w:bidi w:val="0"/>
              <w:adjustRightInd w:val="0"/>
              <w:snapToGrid w:val="0"/>
              <w:spacing w:line="20" w:lineRule="atLeast"/>
              <w:jc w:val="center"/>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条款号</w:t>
            </w:r>
          </w:p>
        </w:tc>
        <w:tc>
          <w:tcPr>
            <w:tcW w:w="2564" w:type="dxa"/>
            <w:noWrap/>
            <w:vAlign w:val="center"/>
          </w:tcPr>
          <w:p w14:paraId="20FAC67D">
            <w:pPr>
              <w:keepNext w:val="0"/>
              <w:keepLines w:val="0"/>
              <w:pageBreakBefore w:val="0"/>
              <w:kinsoku/>
              <w:overflowPunct/>
              <w:topLinePunct/>
              <w:autoSpaceDE/>
              <w:autoSpaceDN/>
              <w:bidi w:val="0"/>
              <w:adjustRightInd w:val="0"/>
              <w:snapToGrid w:val="0"/>
              <w:spacing w:line="20" w:lineRule="atLeast"/>
              <w:jc w:val="center"/>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lang w:eastAsia="zh-CN"/>
              </w:rPr>
              <w:t>招标文件</w:t>
            </w:r>
            <w:r>
              <w:rPr>
                <w:rFonts w:hint="eastAsia" w:ascii="仿宋" w:hAnsi="仿宋" w:eastAsia="仿宋" w:cs="仿宋"/>
                <w:color w:val="auto"/>
                <w:kern w:val="0"/>
                <w:sz w:val="28"/>
                <w:szCs w:val="28"/>
                <w:highlight w:val="none"/>
              </w:rPr>
              <w:t>的内容</w:t>
            </w:r>
          </w:p>
        </w:tc>
        <w:tc>
          <w:tcPr>
            <w:tcW w:w="1162" w:type="dxa"/>
            <w:noWrap/>
            <w:vAlign w:val="center"/>
          </w:tcPr>
          <w:p w14:paraId="391B2F34">
            <w:pPr>
              <w:keepNext w:val="0"/>
              <w:keepLines w:val="0"/>
              <w:pageBreakBefore w:val="0"/>
              <w:kinsoku/>
              <w:overflowPunct/>
              <w:topLinePunct/>
              <w:autoSpaceDE/>
              <w:autoSpaceDN/>
              <w:bidi w:val="0"/>
              <w:adjustRightInd w:val="0"/>
              <w:snapToGrid w:val="0"/>
              <w:spacing w:line="20" w:lineRule="atLeast"/>
              <w:jc w:val="center"/>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条款号</w:t>
            </w:r>
          </w:p>
        </w:tc>
        <w:tc>
          <w:tcPr>
            <w:tcW w:w="2684" w:type="dxa"/>
            <w:noWrap/>
            <w:vAlign w:val="center"/>
          </w:tcPr>
          <w:p w14:paraId="41378DE1">
            <w:pPr>
              <w:keepNext w:val="0"/>
              <w:keepLines w:val="0"/>
              <w:pageBreakBefore w:val="0"/>
              <w:kinsoku/>
              <w:overflowPunct/>
              <w:topLinePunct/>
              <w:autoSpaceDE/>
              <w:autoSpaceDN/>
              <w:bidi w:val="0"/>
              <w:adjustRightInd w:val="0"/>
              <w:snapToGrid w:val="0"/>
              <w:spacing w:line="20" w:lineRule="atLeast"/>
              <w:jc w:val="center"/>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lang w:eastAsia="zh-CN"/>
              </w:rPr>
              <w:t>投标文件</w:t>
            </w:r>
            <w:r>
              <w:rPr>
                <w:rFonts w:hint="eastAsia" w:ascii="仿宋" w:hAnsi="仿宋" w:eastAsia="仿宋" w:cs="仿宋"/>
                <w:color w:val="auto"/>
                <w:kern w:val="0"/>
                <w:sz w:val="28"/>
                <w:szCs w:val="28"/>
                <w:highlight w:val="none"/>
              </w:rPr>
              <w:t>偏离内容</w:t>
            </w:r>
          </w:p>
        </w:tc>
        <w:tc>
          <w:tcPr>
            <w:tcW w:w="1734" w:type="dxa"/>
            <w:vMerge w:val="continue"/>
            <w:vAlign w:val="center"/>
          </w:tcPr>
          <w:p w14:paraId="0A9E9713">
            <w:pPr>
              <w:keepNext w:val="0"/>
              <w:keepLines w:val="0"/>
              <w:pageBreakBefore w:val="0"/>
              <w:kinsoku/>
              <w:overflowPunct/>
              <w:topLinePunct/>
              <w:autoSpaceDE/>
              <w:autoSpaceDN/>
              <w:bidi w:val="0"/>
              <w:adjustRightInd w:val="0"/>
              <w:snapToGrid w:val="0"/>
              <w:spacing w:line="20" w:lineRule="atLeast"/>
              <w:jc w:val="center"/>
              <w:textAlignment w:val="auto"/>
              <w:rPr>
                <w:rFonts w:hint="eastAsia" w:ascii="仿宋" w:hAnsi="仿宋" w:eastAsia="仿宋" w:cs="仿宋"/>
                <w:color w:val="auto"/>
                <w:kern w:val="0"/>
                <w:sz w:val="28"/>
                <w:szCs w:val="28"/>
                <w:highlight w:val="none"/>
              </w:rPr>
            </w:pPr>
          </w:p>
        </w:tc>
      </w:tr>
      <w:tr w14:paraId="64651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816" w:hRule="atLeast"/>
        </w:trPr>
        <w:tc>
          <w:tcPr>
            <w:tcW w:w="712" w:type="dxa"/>
            <w:noWrap/>
            <w:vAlign w:val="center"/>
          </w:tcPr>
          <w:p w14:paraId="2F4123AC">
            <w:pPr>
              <w:keepNext w:val="0"/>
              <w:keepLines w:val="0"/>
              <w:pageBreakBefore w:val="0"/>
              <w:kinsoku/>
              <w:overflowPunct/>
              <w:topLinePunct/>
              <w:autoSpaceDE/>
              <w:autoSpaceDN/>
              <w:bidi w:val="0"/>
              <w:adjustRightInd w:val="0"/>
              <w:snapToGrid w:val="0"/>
              <w:spacing w:line="20" w:lineRule="atLeast"/>
              <w:jc w:val="center"/>
              <w:textAlignment w:val="auto"/>
              <w:rPr>
                <w:rFonts w:hint="eastAsia" w:ascii="仿宋" w:hAnsi="仿宋" w:eastAsia="仿宋" w:cs="仿宋"/>
                <w:color w:val="auto"/>
                <w:kern w:val="0"/>
                <w:sz w:val="28"/>
                <w:szCs w:val="28"/>
                <w:highlight w:val="none"/>
              </w:rPr>
            </w:pPr>
          </w:p>
        </w:tc>
        <w:tc>
          <w:tcPr>
            <w:tcW w:w="1013" w:type="dxa"/>
            <w:noWrap/>
            <w:vAlign w:val="center"/>
          </w:tcPr>
          <w:p w14:paraId="4BDF79C3">
            <w:pPr>
              <w:keepNext w:val="0"/>
              <w:keepLines w:val="0"/>
              <w:pageBreakBefore w:val="0"/>
              <w:kinsoku/>
              <w:overflowPunct/>
              <w:topLinePunct/>
              <w:autoSpaceDE/>
              <w:autoSpaceDN/>
              <w:bidi w:val="0"/>
              <w:adjustRightInd w:val="0"/>
              <w:snapToGrid w:val="0"/>
              <w:spacing w:line="20" w:lineRule="atLeast"/>
              <w:jc w:val="center"/>
              <w:textAlignment w:val="auto"/>
              <w:rPr>
                <w:rFonts w:hint="eastAsia" w:ascii="仿宋" w:hAnsi="仿宋" w:eastAsia="仿宋" w:cs="仿宋"/>
                <w:color w:val="auto"/>
                <w:kern w:val="0"/>
                <w:sz w:val="28"/>
                <w:szCs w:val="28"/>
                <w:highlight w:val="none"/>
              </w:rPr>
            </w:pPr>
          </w:p>
        </w:tc>
        <w:tc>
          <w:tcPr>
            <w:tcW w:w="2564" w:type="dxa"/>
            <w:noWrap/>
            <w:vAlign w:val="center"/>
          </w:tcPr>
          <w:p w14:paraId="739DBC09">
            <w:pPr>
              <w:keepNext w:val="0"/>
              <w:keepLines w:val="0"/>
              <w:pageBreakBefore w:val="0"/>
              <w:kinsoku/>
              <w:overflowPunct/>
              <w:topLinePunct/>
              <w:autoSpaceDE/>
              <w:autoSpaceDN/>
              <w:bidi w:val="0"/>
              <w:adjustRightInd w:val="0"/>
              <w:snapToGrid w:val="0"/>
              <w:spacing w:line="20" w:lineRule="atLeast"/>
              <w:jc w:val="center"/>
              <w:textAlignment w:val="auto"/>
              <w:rPr>
                <w:rFonts w:hint="eastAsia" w:ascii="仿宋" w:hAnsi="仿宋" w:eastAsia="仿宋" w:cs="仿宋"/>
                <w:color w:val="auto"/>
                <w:kern w:val="0"/>
                <w:sz w:val="28"/>
                <w:szCs w:val="28"/>
                <w:highlight w:val="none"/>
              </w:rPr>
            </w:pPr>
          </w:p>
        </w:tc>
        <w:tc>
          <w:tcPr>
            <w:tcW w:w="1162" w:type="dxa"/>
            <w:noWrap/>
            <w:vAlign w:val="center"/>
          </w:tcPr>
          <w:p w14:paraId="019D00DE">
            <w:pPr>
              <w:keepNext w:val="0"/>
              <w:keepLines w:val="0"/>
              <w:pageBreakBefore w:val="0"/>
              <w:kinsoku/>
              <w:overflowPunct/>
              <w:topLinePunct/>
              <w:autoSpaceDE/>
              <w:autoSpaceDN/>
              <w:bidi w:val="0"/>
              <w:adjustRightInd w:val="0"/>
              <w:snapToGrid w:val="0"/>
              <w:spacing w:line="20" w:lineRule="atLeast"/>
              <w:jc w:val="center"/>
              <w:textAlignment w:val="auto"/>
              <w:rPr>
                <w:rFonts w:hint="eastAsia" w:ascii="仿宋" w:hAnsi="仿宋" w:eastAsia="仿宋" w:cs="仿宋"/>
                <w:color w:val="auto"/>
                <w:kern w:val="0"/>
                <w:sz w:val="28"/>
                <w:szCs w:val="28"/>
                <w:highlight w:val="none"/>
              </w:rPr>
            </w:pPr>
          </w:p>
        </w:tc>
        <w:tc>
          <w:tcPr>
            <w:tcW w:w="2684" w:type="dxa"/>
            <w:noWrap/>
            <w:vAlign w:val="center"/>
          </w:tcPr>
          <w:p w14:paraId="4BB712E7">
            <w:pPr>
              <w:keepNext w:val="0"/>
              <w:keepLines w:val="0"/>
              <w:pageBreakBefore w:val="0"/>
              <w:kinsoku/>
              <w:overflowPunct/>
              <w:topLinePunct/>
              <w:autoSpaceDE/>
              <w:autoSpaceDN/>
              <w:bidi w:val="0"/>
              <w:adjustRightInd w:val="0"/>
              <w:snapToGrid w:val="0"/>
              <w:spacing w:line="20" w:lineRule="atLeast"/>
              <w:jc w:val="center"/>
              <w:textAlignment w:val="auto"/>
              <w:rPr>
                <w:rFonts w:hint="eastAsia" w:ascii="仿宋" w:hAnsi="仿宋" w:eastAsia="仿宋" w:cs="仿宋"/>
                <w:color w:val="auto"/>
                <w:kern w:val="0"/>
                <w:sz w:val="28"/>
                <w:szCs w:val="28"/>
                <w:highlight w:val="none"/>
              </w:rPr>
            </w:pPr>
          </w:p>
        </w:tc>
        <w:tc>
          <w:tcPr>
            <w:tcW w:w="1734" w:type="dxa"/>
          </w:tcPr>
          <w:p w14:paraId="2CFD7561">
            <w:pPr>
              <w:keepNext w:val="0"/>
              <w:keepLines w:val="0"/>
              <w:pageBreakBefore w:val="0"/>
              <w:kinsoku/>
              <w:overflowPunct/>
              <w:topLinePunct/>
              <w:autoSpaceDE/>
              <w:autoSpaceDN/>
              <w:bidi w:val="0"/>
              <w:adjustRightInd w:val="0"/>
              <w:snapToGrid w:val="0"/>
              <w:spacing w:line="20" w:lineRule="atLeast"/>
              <w:jc w:val="center"/>
              <w:textAlignment w:val="auto"/>
              <w:rPr>
                <w:rFonts w:hint="eastAsia" w:ascii="仿宋" w:hAnsi="仿宋" w:eastAsia="仿宋" w:cs="仿宋"/>
                <w:color w:val="auto"/>
                <w:kern w:val="0"/>
                <w:sz w:val="28"/>
                <w:szCs w:val="28"/>
                <w:highlight w:val="none"/>
              </w:rPr>
            </w:pPr>
          </w:p>
        </w:tc>
      </w:tr>
      <w:tr w14:paraId="7D4D0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816" w:hRule="atLeast"/>
        </w:trPr>
        <w:tc>
          <w:tcPr>
            <w:tcW w:w="712" w:type="dxa"/>
            <w:noWrap/>
            <w:vAlign w:val="center"/>
          </w:tcPr>
          <w:p w14:paraId="126F358D">
            <w:pPr>
              <w:keepNext w:val="0"/>
              <w:keepLines w:val="0"/>
              <w:pageBreakBefore w:val="0"/>
              <w:kinsoku/>
              <w:overflowPunct/>
              <w:topLinePunct/>
              <w:autoSpaceDE/>
              <w:autoSpaceDN/>
              <w:bidi w:val="0"/>
              <w:adjustRightInd w:val="0"/>
              <w:snapToGrid w:val="0"/>
              <w:spacing w:line="20" w:lineRule="atLeast"/>
              <w:jc w:val="center"/>
              <w:textAlignment w:val="auto"/>
              <w:rPr>
                <w:rFonts w:hint="eastAsia" w:ascii="仿宋" w:hAnsi="仿宋" w:eastAsia="仿宋" w:cs="仿宋"/>
                <w:color w:val="auto"/>
                <w:kern w:val="0"/>
                <w:sz w:val="28"/>
                <w:szCs w:val="28"/>
                <w:highlight w:val="none"/>
              </w:rPr>
            </w:pPr>
          </w:p>
        </w:tc>
        <w:tc>
          <w:tcPr>
            <w:tcW w:w="1013" w:type="dxa"/>
            <w:noWrap/>
            <w:vAlign w:val="center"/>
          </w:tcPr>
          <w:p w14:paraId="319052E4">
            <w:pPr>
              <w:keepNext w:val="0"/>
              <w:keepLines w:val="0"/>
              <w:pageBreakBefore w:val="0"/>
              <w:kinsoku/>
              <w:overflowPunct/>
              <w:topLinePunct/>
              <w:autoSpaceDE/>
              <w:autoSpaceDN/>
              <w:bidi w:val="0"/>
              <w:adjustRightInd w:val="0"/>
              <w:snapToGrid w:val="0"/>
              <w:spacing w:line="20" w:lineRule="atLeast"/>
              <w:jc w:val="center"/>
              <w:textAlignment w:val="auto"/>
              <w:rPr>
                <w:rFonts w:hint="eastAsia" w:ascii="仿宋" w:hAnsi="仿宋" w:eastAsia="仿宋" w:cs="仿宋"/>
                <w:color w:val="auto"/>
                <w:kern w:val="0"/>
                <w:sz w:val="28"/>
                <w:szCs w:val="28"/>
                <w:highlight w:val="none"/>
              </w:rPr>
            </w:pPr>
          </w:p>
        </w:tc>
        <w:tc>
          <w:tcPr>
            <w:tcW w:w="2564" w:type="dxa"/>
            <w:noWrap/>
            <w:vAlign w:val="center"/>
          </w:tcPr>
          <w:p w14:paraId="0611745B">
            <w:pPr>
              <w:keepNext w:val="0"/>
              <w:keepLines w:val="0"/>
              <w:pageBreakBefore w:val="0"/>
              <w:kinsoku/>
              <w:overflowPunct/>
              <w:topLinePunct/>
              <w:autoSpaceDE/>
              <w:autoSpaceDN/>
              <w:bidi w:val="0"/>
              <w:adjustRightInd w:val="0"/>
              <w:snapToGrid w:val="0"/>
              <w:spacing w:line="20" w:lineRule="atLeast"/>
              <w:jc w:val="center"/>
              <w:textAlignment w:val="auto"/>
              <w:rPr>
                <w:rFonts w:hint="eastAsia" w:ascii="仿宋" w:hAnsi="仿宋" w:eastAsia="仿宋" w:cs="仿宋"/>
                <w:color w:val="auto"/>
                <w:kern w:val="0"/>
                <w:sz w:val="28"/>
                <w:szCs w:val="28"/>
                <w:highlight w:val="none"/>
              </w:rPr>
            </w:pPr>
          </w:p>
        </w:tc>
        <w:tc>
          <w:tcPr>
            <w:tcW w:w="1162" w:type="dxa"/>
            <w:noWrap/>
            <w:vAlign w:val="center"/>
          </w:tcPr>
          <w:p w14:paraId="20FF5DCC">
            <w:pPr>
              <w:keepNext w:val="0"/>
              <w:keepLines w:val="0"/>
              <w:pageBreakBefore w:val="0"/>
              <w:kinsoku/>
              <w:overflowPunct/>
              <w:topLinePunct/>
              <w:autoSpaceDE/>
              <w:autoSpaceDN/>
              <w:bidi w:val="0"/>
              <w:adjustRightInd w:val="0"/>
              <w:snapToGrid w:val="0"/>
              <w:spacing w:line="20" w:lineRule="atLeast"/>
              <w:jc w:val="center"/>
              <w:textAlignment w:val="auto"/>
              <w:rPr>
                <w:rFonts w:hint="eastAsia" w:ascii="仿宋" w:hAnsi="仿宋" w:eastAsia="仿宋" w:cs="仿宋"/>
                <w:color w:val="auto"/>
                <w:kern w:val="0"/>
                <w:sz w:val="28"/>
                <w:szCs w:val="28"/>
                <w:highlight w:val="none"/>
              </w:rPr>
            </w:pPr>
          </w:p>
        </w:tc>
        <w:tc>
          <w:tcPr>
            <w:tcW w:w="2684" w:type="dxa"/>
            <w:noWrap/>
            <w:vAlign w:val="center"/>
          </w:tcPr>
          <w:p w14:paraId="5469160D">
            <w:pPr>
              <w:keepNext w:val="0"/>
              <w:keepLines w:val="0"/>
              <w:pageBreakBefore w:val="0"/>
              <w:kinsoku/>
              <w:overflowPunct/>
              <w:topLinePunct/>
              <w:autoSpaceDE/>
              <w:autoSpaceDN/>
              <w:bidi w:val="0"/>
              <w:adjustRightInd w:val="0"/>
              <w:snapToGrid w:val="0"/>
              <w:spacing w:line="20" w:lineRule="atLeast"/>
              <w:jc w:val="center"/>
              <w:textAlignment w:val="auto"/>
              <w:rPr>
                <w:rFonts w:hint="eastAsia" w:ascii="仿宋" w:hAnsi="仿宋" w:eastAsia="仿宋" w:cs="仿宋"/>
                <w:color w:val="auto"/>
                <w:kern w:val="0"/>
                <w:sz w:val="28"/>
                <w:szCs w:val="28"/>
                <w:highlight w:val="none"/>
              </w:rPr>
            </w:pPr>
          </w:p>
        </w:tc>
        <w:tc>
          <w:tcPr>
            <w:tcW w:w="1734" w:type="dxa"/>
          </w:tcPr>
          <w:p w14:paraId="10AD0122">
            <w:pPr>
              <w:keepNext w:val="0"/>
              <w:keepLines w:val="0"/>
              <w:pageBreakBefore w:val="0"/>
              <w:kinsoku/>
              <w:overflowPunct/>
              <w:topLinePunct/>
              <w:autoSpaceDE/>
              <w:autoSpaceDN/>
              <w:bidi w:val="0"/>
              <w:adjustRightInd w:val="0"/>
              <w:snapToGrid w:val="0"/>
              <w:spacing w:line="20" w:lineRule="atLeast"/>
              <w:jc w:val="center"/>
              <w:textAlignment w:val="auto"/>
              <w:rPr>
                <w:rFonts w:hint="eastAsia" w:ascii="仿宋" w:hAnsi="仿宋" w:eastAsia="仿宋" w:cs="仿宋"/>
                <w:color w:val="auto"/>
                <w:kern w:val="0"/>
                <w:sz w:val="28"/>
                <w:szCs w:val="28"/>
                <w:highlight w:val="none"/>
              </w:rPr>
            </w:pPr>
          </w:p>
        </w:tc>
      </w:tr>
      <w:tr w14:paraId="30422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816" w:hRule="atLeast"/>
        </w:trPr>
        <w:tc>
          <w:tcPr>
            <w:tcW w:w="712" w:type="dxa"/>
            <w:noWrap/>
            <w:vAlign w:val="center"/>
          </w:tcPr>
          <w:p w14:paraId="28C452E8">
            <w:pPr>
              <w:keepNext w:val="0"/>
              <w:keepLines w:val="0"/>
              <w:pageBreakBefore w:val="0"/>
              <w:kinsoku/>
              <w:overflowPunct/>
              <w:topLinePunct/>
              <w:autoSpaceDE/>
              <w:autoSpaceDN/>
              <w:bidi w:val="0"/>
              <w:adjustRightInd w:val="0"/>
              <w:snapToGrid w:val="0"/>
              <w:spacing w:line="20" w:lineRule="atLeast"/>
              <w:jc w:val="center"/>
              <w:textAlignment w:val="auto"/>
              <w:rPr>
                <w:rFonts w:hint="eastAsia" w:ascii="仿宋" w:hAnsi="仿宋" w:eastAsia="仿宋" w:cs="仿宋"/>
                <w:color w:val="auto"/>
                <w:kern w:val="0"/>
                <w:sz w:val="28"/>
                <w:szCs w:val="28"/>
                <w:highlight w:val="none"/>
              </w:rPr>
            </w:pPr>
          </w:p>
        </w:tc>
        <w:tc>
          <w:tcPr>
            <w:tcW w:w="1013" w:type="dxa"/>
            <w:noWrap/>
            <w:vAlign w:val="center"/>
          </w:tcPr>
          <w:p w14:paraId="2700BA7F">
            <w:pPr>
              <w:keepNext w:val="0"/>
              <w:keepLines w:val="0"/>
              <w:pageBreakBefore w:val="0"/>
              <w:kinsoku/>
              <w:overflowPunct/>
              <w:topLinePunct/>
              <w:autoSpaceDE/>
              <w:autoSpaceDN/>
              <w:bidi w:val="0"/>
              <w:adjustRightInd w:val="0"/>
              <w:snapToGrid w:val="0"/>
              <w:spacing w:line="20" w:lineRule="atLeast"/>
              <w:jc w:val="center"/>
              <w:textAlignment w:val="auto"/>
              <w:rPr>
                <w:rFonts w:hint="eastAsia" w:ascii="仿宋" w:hAnsi="仿宋" w:eastAsia="仿宋" w:cs="仿宋"/>
                <w:color w:val="auto"/>
                <w:kern w:val="0"/>
                <w:sz w:val="28"/>
                <w:szCs w:val="28"/>
                <w:highlight w:val="none"/>
              </w:rPr>
            </w:pPr>
          </w:p>
        </w:tc>
        <w:tc>
          <w:tcPr>
            <w:tcW w:w="2564" w:type="dxa"/>
            <w:noWrap/>
            <w:vAlign w:val="center"/>
          </w:tcPr>
          <w:p w14:paraId="762C32B1">
            <w:pPr>
              <w:keepNext w:val="0"/>
              <w:keepLines w:val="0"/>
              <w:pageBreakBefore w:val="0"/>
              <w:kinsoku/>
              <w:overflowPunct/>
              <w:topLinePunct/>
              <w:autoSpaceDE/>
              <w:autoSpaceDN/>
              <w:bidi w:val="0"/>
              <w:adjustRightInd w:val="0"/>
              <w:snapToGrid w:val="0"/>
              <w:spacing w:line="20" w:lineRule="atLeast"/>
              <w:jc w:val="center"/>
              <w:textAlignment w:val="auto"/>
              <w:rPr>
                <w:rFonts w:hint="eastAsia" w:ascii="仿宋" w:hAnsi="仿宋" w:eastAsia="仿宋" w:cs="仿宋"/>
                <w:color w:val="auto"/>
                <w:kern w:val="0"/>
                <w:sz w:val="28"/>
                <w:szCs w:val="28"/>
                <w:highlight w:val="none"/>
              </w:rPr>
            </w:pPr>
          </w:p>
        </w:tc>
        <w:tc>
          <w:tcPr>
            <w:tcW w:w="1162" w:type="dxa"/>
            <w:noWrap/>
            <w:vAlign w:val="center"/>
          </w:tcPr>
          <w:p w14:paraId="0EC22387">
            <w:pPr>
              <w:keepNext w:val="0"/>
              <w:keepLines w:val="0"/>
              <w:pageBreakBefore w:val="0"/>
              <w:kinsoku/>
              <w:overflowPunct/>
              <w:topLinePunct/>
              <w:autoSpaceDE/>
              <w:autoSpaceDN/>
              <w:bidi w:val="0"/>
              <w:adjustRightInd w:val="0"/>
              <w:snapToGrid w:val="0"/>
              <w:spacing w:line="20" w:lineRule="atLeast"/>
              <w:jc w:val="center"/>
              <w:textAlignment w:val="auto"/>
              <w:rPr>
                <w:rFonts w:hint="eastAsia" w:ascii="仿宋" w:hAnsi="仿宋" w:eastAsia="仿宋" w:cs="仿宋"/>
                <w:color w:val="auto"/>
                <w:kern w:val="0"/>
                <w:sz w:val="28"/>
                <w:szCs w:val="28"/>
                <w:highlight w:val="none"/>
              </w:rPr>
            </w:pPr>
          </w:p>
        </w:tc>
        <w:tc>
          <w:tcPr>
            <w:tcW w:w="2684" w:type="dxa"/>
            <w:noWrap/>
            <w:vAlign w:val="center"/>
          </w:tcPr>
          <w:p w14:paraId="40D7CAD8">
            <w:pPr>
              <w:keepNext w:val="0"/>
              <w:keepLines w:val="0"/>
              <w:pageBreakBefore w:val="0"/>
              <w:kinsoku/>
              <w:overflowPunct/>
              <w:topLinePunct/>
              <w:autoSpaceDE/>
              <w:autoSpaceDN/>
              <w:bidi w:val="0"/>
              <w:adjustRightInd w:val="0"/>
              <w:snapToGrid w:val="0"/>
              <w:spacing w:line="20" w:lineRule="atLeast"/>
              <w:jc w:val="center"/>
              <w:textAlignment w:val="auto"/>
              <w:rPr>
                <w:rFonts w:hint="eastAsia" w:ascii="仿宋" w:hAnsi="仿宋" w:eastAsia="仿宋" w:cs="仿宋"/>
                <w:color w:val="auto"/>
                <w:kern w:val="0"/>
                <w:sz w:val="28"/>
                <w:szCs w:val="28"/>
                <w:highlight w:val="none"/>
              </w:rPr>
            </w:pPr>
          </w:p>
        </w:tc>
        <w:tc>
          <w:tcPr>
            <w:tcW w:w="1734" w:type="dxa"/>
          </w:tcPr>
          <w:p w14:paraId="0D9C84C1">
            <w:pPr>
              <w:keepNext w:val="0"/>
              <w:keepLines w:val="0"/>
              <w:pageBreakBefore w:val="0"/>
              <w:kinsoku/>
              <w:overflowPunct/>
              <w:topLinePunct/>
              <w:autoSpaceDE/>
              <w:autoSpaceDN/>
              <w:bidi w:val="0"/>
              <w:adjustRightInd w:val="0"/>
              <w:snapToGrid w:val="0"/>
              <w:spacing w:line="20" w:lineRule="atLeast"/>
              <w:jc w:val="center"/>
              <w:textAlignment w:val="auto"/>
              <w:rPr>
                <w:rFonts w:hint="eastAsia" w:ascii="仿宋" w:hAnsi="仿宋" w:eastAsia="仿宋" w:cs="仿宋"/>
                <w:color w:val="auto"/>
                <w:kern w:val="0"/>
                <w:sz w:val="28"/>
                <w:szCs w:val="28"/>
                <w:highlight w:val="none"/>
              </w:rPr>
            </w:pPr>
          </w:p>
        </w:tc>
      </w:tr>
      <w:tr w14:paraId="5E6B7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816" w:hRule="atLeast"/>
        </w:trPr>
        <w:tc>
          <w:tcPr>
            <w:tcW w:w="712" w:type="dxa"/>
            <w:noWrap/>
            <w:vAlign w:val="center"/>
          </w:tcPr>
          <w:p w14:paraId="7766BFAF">
            <w:pPr>
              <w:keepNext w:val="0"/>
              <w:keepLines w:val="0"/>
              <w:pageBreakBefore w:val="0"/>
              <w:kinsoku/>
              <w:overflowPunct/>
              <w:topLinePunct/>
              <w:autoSpaceDE/>
              <w:autoSpaceDN/>
              <w:bidi w:val="0"/>
              <w:adjustRightInd w:val="0"/>
              <w:snapToGrid w:val="0"/>
              <w:spacing w:line="20" w:lineRule="atLeast"/>
              <w:jc w:val="center"/>
              <w:textAlignment w:val="auto"/>
              <w:rPr>
                <w:rFonts w:hint="eastAsia" w:ascii="仿宋" w:hAnsi="仿宋" w:eastAsia="仿宋" w:cs="仿宋"/>
                <w:color w:val="auto"/>
                <w:kern w:val="0"/>
                <w:sz w:val="28"/>
                <w:szCs w:val="28"/>
                <w:highlight w:val="none"/>
              </w:rPr>
            </w:pPr>
          </w:p>
        </w:tc>
        <w:tc>
          <w:tcPr>
            <w:tcW w:w="1013" w:type="dxa"/>
            <w:noWrap/>
            <w:vAlign w:val="center"/>
          </w:tcPr>
          <w:p w14:paraId="7A0555B8">
            <w:pPr>
              <w:keepNext w:val="0"/>
              <w:keepLines w:val="0"/>
              <w:pageBreakBefore w:val="0"/>
              <w:kinsoku/>
              <w:overflowPunct/>
              <w:topLinePunct/>
              <w:autoSpaceDE/>
              <w:autoSpaceDN/>
              <w:bidi w:val="0"/>
              <w:adjustRightInd w:val="0"/>
              <w:snapToGrid w:val="0"/>
              <w:spacing w:line="20" w:lineRule="atLeast"/>
              <w:jc w:val="center"/>
              <w:textAlignment w:val="auto"/>
              <w:rPr>
                <w:rFonts w:hint="eastAsia" w:ascii="仿宋" w:hAnsi="仿宋" w:eastAsia="仿宋" w:cs="仿宋"/>
                <w:color w:val="auto"/>
                <w:kern w:val="0"/>
                <w:sz w:val="28"/>
                <w:szCs w:val="28"/>
                <w:highlight w:val="none"/>
              </w:rPr>
            </w:pPr>
          </w:p>
        </w:tc>
        <w:tc>
          <w:tcPr>
            <w:tcW w:w="2564" w:type="dxa"/>
            <w:noWrap/>
            <w:vAlign w:val="center"/>
          </w:tcPr>
          <w:p w14:paraId="709262C6">
            <w:pPr>
              <w:keepNext w:val="0"/>
              <w:keepLines w:val="0"/>
              <w:pageBreakBefore w:val="0"/>
              <w:kinsoku/>
              <w:overflowPunct/>
              <w:topLinePunct/>
              <w:autoSpaceDE/>
              <w:autoSpaceDN/>
              <w:bidi w:val="0"/>
              <w:adjustRightInd w:val="0"/>
              <w:snapToGrid w:val="0"/>
              <w:spacing w:line="20" w:lineRule="atLeast"/>
              <w:jc w:val="center"/>
              <w:textAlignment w:val="auto"/>
              <w:rPr>
                <w:rFonts w:hint="eastAsia" w:ascii="仿宋" w:hAnsi="仿宋" w:eastAsia="仿宋" w:cs="仿宋"/>
                <w:color w:val="auto"/>
                <w:kern w:val="0"/>
                <w:sz w:val="28"/>
                <w:szCs w:val="28"/>
                <w:highlight w:val="none"/>
              </w:rPr>
            </w:pPr>
          </w:p>
        </w:tc>
        <w:tc>
          <w:tcPr>
            <w:tcW w:w="1162" w:type="dxa"/>
            <w:noWrap/>
            <w:vAlign w:val="center"/>
          </w:tcPr>
          <w:p w14:paraId="39BAC2BA">
            <w:pPr>
              <w:keepNext w:val="0"/>
              <w:keepLines w:val="0"/>
              <w:pageBreakBefore w:val="0"/>
              <w:kinsoku/>
              <w:overflowPunct/>
              <w:topLinePunct/>
              <w:autoSpaceDE/>
              <w:autoSpaceDN/>
              <w:bidi w:val="0"/>
              <w:adjustRightInd w:val="0"/>
              <w:snapToGrid w:val="0"/>
              <w:spacing w:line="20" w:lineRule="atLeast"/>
              <w:jc w:val="center"/>
              <w:textAlignment w:val="auto"/>
              <w:rPr>
                <w:rFonts w:hint="eastAsia" w:ascii="仿宋" w:hAnsi="仿宋" w:eastAsia="仿宋" w:cs="仿宋"/>
                <w:color w:val="auto"/>
                <w:kern w:val="0"/>
                <w:sz w:val="28"/>
                <w:szCs w:val="28"/>
                <w:highlight w:val="none"/>
              </w:rPr>
            </w:pPr>
          </w:p>
        </w:tc>
        <w:tc>
          <w:tcPr>
            <w:tcW w:w="2684" w:type="dxa"/>
            <w:noWrap/>
            <w:vAlign w:val="center"/>
          </w:tcPr>
          <w:p w14:paraId="0BB8B0A0">
            <w:pPr>
              <w:keepNext w:val="0"/>
              <w:keepLines w:val="0"/>
              <w:pageBreakBefore w:val="0"/>
              <w:kinsoku/>
              <w:overflowPunct/>
              <w:topLinePunct/>
              <w:autoSpaceDE/>
              <w:autoSpaceDN/>
              <w:bidi w:val="0"/>
              <w:adjustRightInd w:val="0"/>
              <w:snapToGrid w:val="0"/>
              <w:spacing w:line="20" w:lineRule="atLeast"/>
              <w:jc w:val="center"/>
              <w:textAlignment w:val="auto"/>
              <w:rPr>
                <w:rFonts w:hint="eastAsia" w:ascii="仿宋" w:hAnsi="仿宋" w:eastAsia="仿宋" w:cs="仿宋"/>
                <w:color w:val="auto"/>
                <w:kern w:val="0"/>
                <w:sz w:val="28"/>
                <w:szCs w:val="28"/>
                <w:highlight w:val="none"/>
              </w:rPr>
            </w:pPr>
          </w:p>
        </w:tc>
        <w:tc>
          <w:tcPr>
            <w:tcW w:w="1734" w:type="dxa"/>
          </w:tcPr>
          <w:p w14:paraId="0B310B4D">
            <w:pPr>
              <w:keepNext w:val="0"/>
              <w:keepLines w:val="0"/>
              <w:pageBreakBefore w:val="0"/>
              <w:kinsoku/>
              <w:overflowPunct/>
              <w:topLinePunct/>
              <w:autoSpaceDE/>
              <w:autoSpaceDN/>
              <w:bidi w:val="0"/>
              <w:adjustRightInd w:val="0"/>
              <w:snapToGrid w:val="0"/>
              <w:spacing w:line="20" w:lineRule="atLeast"/>
              <w:jc w:val="center"/>
              <w:textAlignment w:val="auto"/>
              <w:rPr>
                <w:rFonts w:hint="eastAsia" w:ascii="仿宋" w:hAnsi="仿宋" w:eastAsia="仿宋" w:cs="仿宋"/>
                <w:color w:val="auto"/>
                <w:kern w:val="0"/>
                <w:sz w:val="28"/>
                <w:szCs w:val="28"/>
                <w:highlight w:val="none"/>
              </w:rPr>
            </w:pPr>
          </w:p>
        </w:tc>
      </w:tr>
      <w:tr w14:paraId="103A4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816" w:hRule="atLeast"/>
        </w:trPr>
        <w:tc>
          <w:tcPr>
            <w:tcW w:w="712" w:type="dxa"/>
            <w:noWrap/>
            <w:vAlign w:val="center"/>
          </w:tcPr>
          <w:p w14:paraId="13A73C64">
            <w:pPr>
              <w:keepNext w:val="0"/>
              <w:keepLines w:val="0"/>
              <w:pageBreakBefore w:val="0"/>
              <w:kinsoku/>
              <w:overflowPunct/>
              <w:topLinePunct/>
              <w:autoSpaceDE/>
              <w:autoSpaceDN/>
              <w:bidi w:val="0"/>
              <w:adjustRightInd w:val="0"/>
              <w:snapToGrid w:val="0"/>
              <w:spacing w:line="20" w:lineRule="atLeast"/>
              <w:jc w:val="center"/>
              <w:textAlignment w:val="auto"/>
              <w:rPr>
                <w:rFonts w:hint="eastAsia" w:ascii="仿宋" w:hAnsi="仿宋" w:eastAsia="仿宋" w:cs="仿宋"/>
                <w:color w:val="auto"/>
                <w:kern w:val="0"/>
                <w:sz w:val="28"/>
                <w:szCs w:val="28"/>
                <w:highlight w:val="none"/>
              </w:rPr>
            </w:pPr>
          </w:p>
        </w:tc>
        <w:tc>
          <w:tcPr>
            <w:tcW w:w="1013" w:type="dxa"/>
            <w:noWrap/>
            <w:vAlign w:val="center"/>
          </w:tcPr>
          <w:p w14:paraId="07B83823">
            <w:pPr>
              <w:keepNext w:val="0"/>
              <w:keepLines w:val="0"/>
              <w:pageBreakBefore w:val="0"/>
              <w:kinsoku/>
              <w:overflowPunct/>
              <w:topLinePunct/>
              <w:autoSpaceDE/>
              <w:autoSpaceDN/>
              <w:bidi w:val="0"/>
              <w:adjustRightInd w:val="0"/>
              <w:snapToGrid w:val="0"/>
              <w:spacing w:line="20" w:lineRule="atLeast"/>
              <w:jc w:val="center"/>
              <w:textAlignment w:val="auto"/>
              <w:rPr>
                <w:rFonts w:hint="eastAsia" w:ascii="仿宋" w:hAnsi="仿宋" w:eastAsia="仿宋" w:cs="仿宋"/>
                <w:color w:val="auto"/>
                <w:kern w:val="0"/>
                <w:sz w:val="28"/>
                <w:szCs w:val="28"/>
                <w:highlight w:val="none"/>
              </w:rPr>
            </w:pPr>
          </w:p>
        </w:tc>
        <w:tc>
          <w:tcPr>
            <w:tcW w:w="2564" w:type="dxa"/>
            <w:noWrap/>
            <w:vAlign w:val="center"/>
          </w:tcPr>
          <w:p w14:paraId="73662D02">
            <w:pPr>
              <w:keepNext w:val="0"/>
              <w:keepLines w:val="0"/>
              <w:pageBreakBefore w:val="0"/>
              <w:kinsoku/>
              <w:overflowPunct/>
              <w:topLinePunct/>
              <w:autoSpaceDE/>
              <w:autoSpaceDN/>
              <w:bidi w:val="0"/>
              <w:adjustRightInd w:val="0"/>
              <w:snapToGrid w:val="0"/>
              <w:spacing w:line="20" w:lineRule="atLeast"/>
              <w:jc w:val="center"/>
              <w:textAlignment w:val="auto"/>
              <w:rPr>
                <w:rFonts w:hint="eastAsia" w:ascii="仿宋" w:hAnsi="仿宋" w:eastAsia="仿宋" w:cs="仿宋"/>
                <w:color w:val="auto"/>
                <w:kern w:val="0"/>
                <w:sz w:val="28"/>
                <w:szCs w:val="28"/>
                <w:highlight w:val="none"/>
              </w:rPr>
            </w:pPr>
          </w:p>
        </w:tc>
        <w:tc>
          <w:tcPr>
            <w:tcW w:w="1162" w:type="dxa"/>
            <w:noWrap/>
            <w:vAlign w:val="center"/>
          </w:tcPr>
          <w:p w14:paraId="6BECE0CE">
            <w:pPr>
              <w:keepNext w:val="0"/>
              <w:keepLines w:val="0"/>
              <w:pageBreakBefore w:val="0"/>
              <w:kinsoku/>
              <w:overflowPunct/>
              <w:topLinePunct/>
              <w:autoSpaceDE/>
              <w:autoSpaceDN/>
              <w:bidi w:val="0"/>
              <w:adjustRightInd w:val="0"/>
              <w:snapToGrid w:val="0"/>
              <w:spacing w:line="20" w:lineRule="atLeast"/>
              <w:jc w:val="center"/>
              <w:textAlignment w:val="auto"/>
              <w:rPr>
                <w:rFonts w:hint="eastAsia" w:ascii="仿宋" w:hAnsi="仿宋" w:eastAsia="仿宋" w:cs="仿宋"/>
                <w:color w:val="auto"/>
                <w:kern w:val="0"/>
                <w:sz w:val="28"/>
                <w:szCs w:val="28"/>
                <w:highlight w:val="none"/>
              </w:rPr>
            </w:pPr>
          </w:p>
        </w:tc>
        <w:tc>
          <w:tcPr>
            <w:tcW w:w="2684" w:type="dxa"/>
            <w:noWrap/>
            <w:vAlign w:val="center"/>
          </w:tcPr>
          <w:p w14:paraId="34DB872B">
            <w:pPr>
              <w:keepNext w:val="0"/>
              <w:keepLines w:val="0"/>
              <w:pageBreakBefore w:val="0"/>
              <w:kinsoku/>
              <w:overflowPunct/>
              <w:topLinePunct/>
              <w:autoSpaceDE/>
              <w:autoSpaceDN/>
              <w:bidi w:val="0"/>
              <w:adjustRightInd w:val="0"/>
              <w:snapToGrid w:val="0"/>
              <w:spacing w:line="20" w:lineRule="atLeast"/>
              <w:jc w:val="center"/>
              <w:textAlignment w:val="auto"/>
              <w:rPr>
                <w:rFonts w:hint="eastAsia" w:ascii="仿宋" w:hAnsi="仿宋" w:eastAsia="仿宋" w:cs="仿宋"/>
                <w:color w:val="auto"/>
                <w:kern w:val="0"/>
                <w:sz w:val="28"/>
                <w:szCs w:val="28"/>
                <w:highlight w:val="none"/>
              </w:rPr>
            </w:pPr>
          </w:p>
        </w:tc>
        <w:tc>
          <w:tcPr>
            <w:tcW w:w="1734" w:type="dxa"/>
          </w:tcPr>
          <w:p w14:paraId="7756D9FA">
            <w:pPr>
              <w:keepNext w:val="0"/>
              <w:keepLines w:val="0"/>
              <w:pageBreakBefore w:val="0"/>
              <w:kinsoku/>
              <w:overflowPunct/>
              <w:topLinePunct/>
              <w:autoSpaceDE/>
              <w:autoSpaceDN/>
              <w:bidi w:val="0"/>
              <w:adjustRightInd w:val="0"/>
              <w:snapToGrid w:val="0"/>
              <w:spacing w:line="20" w:lineRule="atLeast"/>
              <w:jc w:val="center"/>
              <w:textAlignment w:val="auto"/>
              <w:rPr>
                <w:rFonts w:hint="eastAsia" w:ascii="仿宋" w:hAnsi="仿宋" w:eastAsia="仿宋" w:cs="仿宋"/>
                <w:color w:val="auto"/>
                <w:kern w:val="0"/>
                <w:sz w:val="28"/>
                <w:szCs w:val="28"/>
                <w:highlight w:val="none"/>
              </w:rPr>
            </w:pPr>
          </w:p>
        </w:tc>
      </w:tr>
      <w:tr w14:paraId="5BF2A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819" w:hRule="atLeast"/>
        </w:trPr>
        <w:tc>
          <w:tcPr>
            <w:tcW w:w="712" w:type="dxa"/>
            <w:noWrap/>
            <w:vAlign w:val="center"/>
          </w:tcPr>
          <w:p w14:paraId="568E75E4">
            <w:pPr>
              <w:keepNext w:val="0"/>
              <w:keepLines w:val="0"/>
              <w:pageBreakBefore w:val="0"/>
              <w:kinsoku/>
              <w:overflowPunct/>
              <w:topLinePunct/>
              <w:autoSpaceDE/>
              <w:autoSpaceDN/>
              <w:bidi w:val="0"/>
              <w:adjustRightInd w:val="0"/>
              <w:snapToGrid w:val="0"/>
              <w:spacing w:line="20" w:lineRule="atLeast"/>
              <w:jc w:val="center"/>
              <w:textAlignment w:val="auto"/>
              <w:rPr>
                <w:rFonts w:hint="eastAsia" w:ascii="仿宋" w:hAnsi="仿宋" w:eastAsia="仿宋" w:cs="仿宋"/>
                <w:color w:val="auto"/>
                <w:kern w:val="0"/>
                <w:sz w:val="28"/>
                <w:szCs w:val="28"/>
                <w:highlight w:val="none"/>
              </w:rPr>
            </w:pPr>
          </w:p>
        </w:tc>
        <w:tc>
          <w:tcPr>
            <w:tcW w:w="1013" w:type="dxa"/>
            <w:noWrap/>
            <w:vAlign w:val="center"/>
          </w:tcPr>
          <w:p w14:paraId="678E463B">
            <w:pPr>
              <w:keepNext w:val="0"/>
              <w:keepLines w:val="0"/>
              <w:pageBreakBefore w:val="0"/>
              <w:kinsoku/>
              <w:overflowPunct/>
              <w:topLinePunct/>
              <w:autoSpaceDE/>
              <w:autoSpaceDN/>
              <w:bidi w:val="0"/>
              <w:adjustRightInd w:val="0"/>
              <w:snapToGrid w:val="0"/>
              <w:spacing w:line="20" w:lineRule="atLeast"/>
              <w:jc w:val="center"/>
              <w:textAlignment w:val="auto"/>
              <w:rPr>
                <w:rFonts w:hint="eastAsia" w:ascii="仿宋" w:hAnsi="仿宋" w:eastAsia="仿宋" w:cs="仿宋"/>
                <w:color w:val="auto"/>
                <w:kern w:val="0"/>
                <w:sz w:val="28"/>
                <w:szCs w:val="28"/>
                <w:highlight w:val="none"/>
              </w:rPr>
            </w:pPr>
          </w:p>
        </w:tc>
        <w:tc>
          <w:tcPr>
            <w:tcW w:w="2564" w:type="dxa"/>
            <w:noWrap/>
            <w:vAlign w:val="center"/>
          </w:tcPr>
          <w:p w14:paraId="7543EED7">
            <w:pPr>
              <w:keepNext w:val="0"/>
              <w:keepLines w:val="0"/>
              <w:pageBreakBefore w:val="0"/>
              <w:kinsoku/>
              <w:overflowPunct/>
              <w:topLinePunct/>
              <w:autoSpaceDE/>
              <w:autoSpaceDN/>
              <w:bidi w:val="0"/>
              <w:adjustRightInd w:val="0"/>
              <w:snapToGrid w:val="0"/>
              <w:spacing w:line="20" w:lineRule="atLeast"/>
              <w:jc w:val="center"/>
              <w:textAlignment w:val="auto"/>
              <w:rPr>
                <w:rFonts w:hint="eastAsia" w:ascii="仿宋" w:hAnsi="仿宋" w:eastAsia="仿宋" w:cs="仿宋"/>
                <w:color w:val="auto"/>
                <w:kern w:val="0"/>
                <w:sz w:val="28"/>
                <w:szCs w:val="28"/>
                <w:highlight w:val="none"/>
              </w:rPr>
            </w:pPr>
          </w:p>
        </w:tc>
        <w:tc>
          <w:tcPr>
            <w:tcW w:w="1162" w:type="dxa"/>
            <w:noWrap/>
            <w:vAlign w:val="center"/>
          </w:tcPr>
          <w:p w14:paraId="3D249491">
            <w:pPr>
              <w:keepNext w:val="0"/>
              <w:keepLines w:val="0"/>
              <w:pageBreakBefore w:val="0"/>
              <w:kinsoku/>
              <w:overflowPunct/>
              <w:topLinePunct/>
              <w:autoSpaceDE/>
              <w:autoSpaceDN/>
              <w:bidi w:val="0"/>
              <w:adjustRightInd w:val="0"/>
              <w:snapToGrid w:val="0"/>
              <w:spacing w:line="20" w:lineRule="atLeast"/>
              <w:jc w:val="center"/>
              <w:textAlignment w:val="auto"/>
              <w:rPr>
                <w:rFonts w:hint="eastAsia" w:ascii="仿宋" w:hAnsi="仿宋" w:eastAsia="仿宋" w:cs="仿宋"/>
                <w:color w:val="auto"/>
                <w:kern w:val="0"/>
                <w:sz w:val="28"/>
                <w:szCs w:val="28"/>
                <w:highlight w:val="none"/>
              </w:rPr>
            </w:pPr>
          </w:p>
        </w:tc>
        <w:tc>
          <w:tcPr>
            <w:tcW w:w="2684" w:type="dxa"/>
            <w:noWrap/>
            <w:vAlign w:val="center"/>
          </w:tcPr>
          <w:p w14:paraId="2F8A0218">
            <w:pPr>
              <w:keepNext w:val="0"/>
              <w:keepLines w:val="0"/>
              <w:pageBreakBefore w:val="0"/>
              <w:kinsoku/>
              <w:overflowPunct/>
              <w:topLinePunct/>
              <w:autoSpaceDE/>
              <w:autoSpaceDN/>
              <w:bidi w:val="0"/>
              <w:adjustRightInd w:val="0"/>
              <w:snapToGrid w:val="0"/>
              <w:spacing w:line="20" w:lineRule="atLeast"/>
              <w:jc w:val="center"/>
              <w:textAlignment w:val="auto"/>
              <w:rPr>
                <w:rFonts w:hint="eastAsia" w:ascii="仿宋" w:hAnsi="仿宋" w:eastAsia="仿宋" w:cs="仿宋"/>
                <w:color w:val="auto"/>
                <w:kern w:val="0"/>
                <w:sz w:val="28"/>
                <w:szCs w:val="28"/>
                <w:highlight w:val="none"/>
              </w:rPr>
            </w:pPr>
          </w:p>
        </w:tc>
        <w:tc>
          <w:tcPr>
            <w:tcW w:w="1734" w:type="dxa"/>
          </w:tcPr>
          <w:p w14:paraId="4C894707">
            <w:pPr>
              <w:keepNext w:val="0"/>
              <w:keepLines w:val="0"/>
              <w:pageBreakBefore w:val="0"/>
              <w:kinsoku/>
              <w:overflowPunct/>
              <w:topLinePunct/>
              <w:autoSpaceDE/>
              <w:autoSpaceDN/>
              <w:bidi w:val="0"/>
              <w:adjustRightInd w:val="0"/>
              <w:snapToGrid w:val="0"/>
              <w:spacing w:line="20" w:lineRule="atLeast"/>
              <w:jc w:val="center"/>
              <w:textAlignment w:val="auto"/>
              <w:rPr>
                <w:rFonts w:hint="eastAsia" w:ascii="仿宋" w:hAnsi="仿宋" w:eastAsia="仿宋" w:cs="仿宋"/>
                <w:color w:val="auto"/>
                <w:kern w:val="0"/>
                <w:sz w:val="28"/>
                <w:szCs w:val="28"/>
                <w:highlight w:val="none"/>
              </w:rPr>
            </w:pPr>
          </w:p>
        </w:tc>
      </w:tr>
      <w:tr w14:paraId="66B0E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808" w:hRule="atLeast"/>
        </w:trPr>
        <w:tc>
          <w:tcPr>
            <w:tcW w:w="712" w:type="dxa"/>
            <w:noWrap/>
            <w:vAlign w:val="center"/>
          </w:tcPr>
          <w:p w14:paraId="504B4FC7">
            <w:pPr>
              <w:keepNext w:val="0"/>
              <w:keepLines w:val="0"/>
              <w:pageBreakBefore w:val="0"/>
              <w:kinsoku/>
              <w:overflowPunct/>
              <w:topLinePunct/>
              <w:autoSpaceDE/>
              <w:autoSpaceDN/>
              <w:bidi w:val="0"/>
              <w:adjustRightInd w:val="0"/>
              <w:snapToGrid w:val="0"/>
              <w:spacing w:line="20" w:lineRule="atLeast"/>
              <w:jc w:val="center"/>
              <w:textAlignment w:val="auto"/>
              <w:rPr>
                <w:rFonts w:hint="eastAsia" w:ascii="仿宋" w:hAnsi="仿宋" w:eastAsia="仿宋" w:cs="仿宋"/>
                <w:color w:val="auto"/>
                <w:kern w:val="0"/>
                <w:sz w:val="28"/>
                <w:szCs w:val="28"/>
                <w:highlight w:val="none"/>
              </w:rPr>
            </w:pPr>
          </w:p>
        </w:tc>
        <w:tc>
          <w:tcPr>
            <w:tcW w:w="1013" w:type="dxa"/>
            <w:noWrap/>
            <w:vAlign w:val="center"/>
          </w:tcPr>
          <w:p w14:paraId="50DA9364">
            <w:pPr>
              <w:keepNext w:val="0"/>
              <w:keepLines w:val="0"/>
              <w:pageBreakBefore w:val="0"/>
              <w:kinsoku/>
              <w:overflowPunct/>
              <w:topLinePunct/>
              <w:autoSpaceDE/>
              <w:autoSpaceDN/>
              <w:bidi w:val="0"/>
              <w:adjustRightInd w:val="0"/>
              <w:snapToGrid w:val="0"/>
              <w:spacing w:line="20" w:lineRule="atLeast"/>
              <w:jc w:val="center"/>
              <w:textAlignment w:val="auto"/>
              <w:rPr>
                <w:rFonts w:hint="eastAsia" w:ascii="仿宋" w:hAnsi="仿宋" w:eastAsia="仿宋" w:cs="仿宋"/>
                <w:color w:val="auto"/>
                <w:kern w:val="0"/>
                <w:sz w:val="28"/>
                <w:szCs w:val="28"/>
                <w:highlight w:val="none"/>
              </w:rPr>
            </w:pPr>
          </w:p>
        </w:tc>
        <w:tc>
          <w:tcPr>
            <w:tcW w:w="2564" w:type="dxa"/>
            <w:noWrap/>
            <w:vAlign w:val="center"/>
          </w:tcPr>
          <w:p w14:paraId="16043A86">
            <w:pPr>
              <w:keepNext w:val="0"/>
              <w:keepLines w:val="0"/>
              <w:pageBreakBefore w:val="0"/>
              <w:kinsoku/>
              <w:overflowPunct/>
              <w:topLinePunct/>
              <w:autoSpaceDE/>
              <w:autoSpaceDN/>
              <w:bidi w:val="0"/>
              <w:adjustRightInd w:val="0"/>
              <w:snapToGrid w:val="0"/>
              <w:spacing w:line="20" w:lineRule="atLeast"/>
              <w:jc w:val="center"/>
              <w:textAlignment w:val="auto"/>
              <w:rPr>
                <w:rFonts w:hint="eastAsia" w:ascii="仿宋" w:hAnsi="仿宋" w:eastAsia="仿宋" w:cs="仿宋"/>
                <w:color w:val="auto"/>
                <w:kern w:val="0"/>
                <w:sz w:val="28"/>
                <w:szCs w:val="28"/>
                <w:highlight w:val="none"/>
              </w:rPr>
            </w:pPr>
          </w:p>
        </w:tc>
        <w:tc>
          <w:tcPr>
            <w:tcW w:w="1162" w:type="dxa"/>
            <w:noWrap/>
            <w:vAlign w:val="center"/>
          </w:tcPr>
          <w:p w14:paraId="59AE65E6">
            <w:pPr>
              <w:keepNext w:val="0"/>
              <w:keepLines w:val="0"/>
              <w:pageBreakBefore w:val="0"/>
              <w:kinsoku/>
              <w:overflowPunct/>
              <w:topLinePunct/>
              <w:autoSpaceDE/>
              <w:autoSpaceDN/>
              <w:bidi w:val="0"/>
              <w:adjustRightInd w:val="0"/>
              <w:snapToGrid w:val="0"/>
              <w:spacing w:line="20" w:lineRule="atLeast"/>
              <w:jc w:val="center"/>
              <w:textAlignment w:val="auto"/>
              <w:rPr>
                <w:rFonts w:hint="eastAsia" w:ascii="仿宋" w:hAnsi="仿宋" w:eastAsia="仿宋" w:cs="仿宋"/>
                <w:color w:val="auto"/>
                <w:kern w:val="0"/>
                <w:sz w:val="28"/>
                <w:szCs w:val="28"/>
                <w:highlight w:val="none"/>
              </w:rPr>
            </w:pPr>
          </w:p>
        </w:tc>
        <w:tc>
          <w:tcPr>
            <w:tcW w:w="2684" w:type="dxa"/>
            <w:noWrap/>
            <w:vAlign w:val="center"/>
          </w:tcPr>
          <w:p w14:paraId="1DF5C700">
            <w:pPr>
              <w:keepNext w:val="0"/>
              <w:keepLines w:val="0"/>
              <w:pageBreakBefore w:val="0"/>
              <w:kinsoku/>
              <w:overflowPunct/>
              <w:topLinePunct/>
              <w:autoSpaceDE/>
              <w:autoSpaceDN/>
              <w:bidi w:val="0"/>
              <w:adjustRightInd w:val="0"/>
              <w:snapToGrid w:val="0"/>
              <w:spacing w:line="20" w:lineRule="atLeast"/>
              <w:jc w:val="center"/>
              <w:textAlignment w:val="auto"/>
              <w:rPr>
                <w:rFonts w:hint="eastAsia" w:ascii="仿宋" w:hAnsi="仿宋" w:eastAsia="仿宋" w:cs="仿宋"/>
                <w:color w:val="auto"/>
                <w:kern w:val="0"/>
                <w:sz w:val="28"/>
                <w:szCs w:val="28"/>
                <w:highlight w:val="none"/>
              </w:rPr>
            </w:pPr>
          </w:p>
        </w:tc>
        <w:tc>
          <w:tcPr>
            <w:tcW w:w="1734" w:type="dxa"/>
          </w:tcPr>
          <w:p w14:paraId="44FCE165">
            <w:pPr>
              <w:keepNext w:val="0"/>
              <w:keepLines w:val="0"/>
              <w:pageBreakBefore w:val="0"/>
              <w:kinsoku/>
              <w:overflowPunct/>
              <w:topLinePunct/>
              <w:autoSpaceDE/>
              <w:autoSpaceDN/>
              <w:bidi w:val="0"/>
              <w:adjustRightInd w:val="0"/>
              <w:snapToGrid w:val="0"/>
              <w:spacing w:line="20" w:lineRule="atLeast"/>
              <w:jc w:val="center"/>
              <w:textAlignment w:val="auto"/>
              <w:rPr>
                <w:rFonts w:hint="eastAsia" w:ascii="仿宋" w:hAnsi="仿宋" w:eastAsia="仿宋" w:cs="仿宋"/>
                <w:color w:val="auto"/>
                <w:kern w:val="0"/>
                <w:sz w:val="28"/>
                <w:szCs w:val="28"/>
                <w:highlight w:val="none"/>
              </w:rPr>
            </w:pPr>
          </w:p>
        </w:tc>
      </w:tr>
      <w:tr w14:paraId="59DE1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97" w:hRule="atLeast"/>
        </w:trPr>
        <w:tc>
          <w:tcPr>
            <w:tcW w:w="712" w:type="dxa"/>
            <w:noWrap/>
            <w:vAlign w:val="center"/>
          </w:tcPr>
          <w:p w14:paraId="76D6152D">
            <w:pPr>
              <w:keepNext w:val="0"/>
              <w:keepLines w:val="0"/>
              <w:pageBreakBefore w:val="0"/>
              <w:kinsoku/>
              <w:overflowPunct/>
              <w:topLinePunct/>
              <w:autoSpaceDE/>
              <w:autoSpaceDN/>
              <w:bidi w:val="0"/>
              <w:adjustRightInd w:val="0"/>
              <w:snapToGrid w:val="0"/>
              <w:spacing w:line="20" w:lineRule="atLeast"/>
              <w:jc w:val="center"/>
              <w:textAlignment w:val="auto"/>
              <w:rPr>
                <w:rFonts w:hint="eastAsia" w:ascii="仿宋" w:hAnsi="仿宋" w:eastAsia="仿宋" w:cs="仿宋"/>
                <w:color w:val="auto"/>
                <w:kern w:val="0"/>
                <w:sz w:val="28"/>
                <w:szCs w:val="28"/>
                <w:highlight w:val="none"/>
              </w:rPr>
            </w:pPr>
          </w:p>
        </w:tc>
        <w:tc>
          <w:tcPr>
            <w:tcW w:w="1013" w:type="dxa"/>
            <w:noWrap/>
            <w:vAlign w:val="center"/>
          </w:tcPr>
          <w:p w14:paraId="3D34B354">
            <w:pPr>
              <w:keepNext w:val="0"/>
              <w:keepLines w:val="0"/>
              <w:pageBreakBefore w:val="0"/>
              <w:kinsoku/>
              <w:overflowPunct/>
              <w:topLinePunct/>
              <w:autoSpaceDE/>
              <w:autoSpaceDN/>
              <w:bidi w:val="0"/>
              <w:adjustRightInd w:val="0"/>
              <w:snapToGrid w:val="0"/>
              <w:spacing w:line="20" w:lineRule="atLeast"/>
              <w:jc w:val="center"/>
              <w:textAlignment w:val="auto"/>
              <w:rPr>
                <w:rFonts w:hint="eastAsia" w:ascii="仿宋" w:hAnsi="仿宋" w:eastAsia="仿宋" w:cs="仿宋"/>
                <w:color w:val="auto"/>
                <w:kern w:val="0"/>
                <w:sz w:val="28"/>
                <w:szCs w:val="28"/>
                <w:highlight w:val="none"/>
              </w:rPr>
            </w:pPr>
          </w:p>
        </w:tc>
        <w:tc>
          <w:tcPr>
            <w:tcW w:w="2564" w:type="dxa"/>
            <w:noWrap/>
            <w:vAlign w:val="center"/>
          </w:tcPr>
          <w:p w14:paraId="2DB8CDBA">
            <w:pPr>
              <w:keepNext w:val="0"/>
              <w:keepLines w:val="0"/>
              <w:pageBreakBefore w:val="0"/>
              <w:kinsoku/>
              <w:overflowPunct/>
              <w:topLinePunct/>
              <w:autoSpaceDE/>
              <w:autoSpaceDN/>
              <w:bidi w:val="0"/>
              <w:adjustRightInd w:val="0"/>
              <w:snapToGrid w:val="0"/>
              <w:spacing w:line="20" w:lineRule="atLeast"/>
              <w:jc w:val="center"/>
              <w:textAlignment w:val="auto"/>
              <w:rPr>
                <w:rFonts w:hint="eastAsia" w:ascii="仿宋" w:hAnsi="仿宋" w:eastAsia="仿宋" w:cs="仿宋"/>
                <w:color w:val="auto"/>
                <w:kern w:val="0"/>
                <w:sz w:val="28"/>
                <w:szCs w:val="28"/>
                <w:highlight w:val="none"/>
              </w:rPr>
            </w:pPr>
          </w:p>
        </w:tc>
        <w:tc>
          <w:tcPr>
            <w:tcW w:w="1162" w:type="dxa"/>
            <w:noWrap/>
            <w:vAlign w:val="center"/>
          </w:tcPr>
          <w:p w14:paraId="28039E65">
            <w:pPr>
              <w:keepNext w:val="0"/>
              <w:keepLines w:val="0"/>
              <w:pageBreakBefore w:val="0"/>
              <w:kinsoku/>
              <w:overflowPunct/>
              <w:topLinePunct/>
              <w:autoSpaceDE/>
              <w:autoSpaceDN/>
              <w:bidi w:val="0"/>
              <w:adjustRightInd w:val="0"/>
              <w:snapToGrid w:val="0"/>
              <w:spacing w:line="20" w:lineRule="atLeast"/>
              <w:jc w:val="center"/>
              <w:textAlignment w:val="auto"/>
              <w:rPr>
                <w:rFonts w:hint="eastAsia" w:ascii="仿宋" w:hAnsi="仿宋" w:eastAsia="仿宋" w:cs="仿宋"/>
                <w:color w:val="auto"/>
                <w:kern w:val="0"/>
                <w:sz w:val="28"/>
                <w:szCs w:val="28"/>
                <w:highlight w:val="none"/>
              </w:rPr>
            </w:pPr>
          </w:p>
        </w:tc>
        <w:tc>
          <w:tcPr>
            <w:tcW w:w="2684" w:type="dxa"/>
            <w:noWrap/>
            <w:vAlign w:val="center"/>
          </w:tcPr>
          <w:p w14:paraId="4AEE5397">
            <w:pPr>
              <w:keepNext w:val="0"/>
              <w:keepLines w:val="0"/>
              <w:pageBreakBefore w:val="0"/>
              <w:kinsoku/>
              <w:overflowPunct/>
              <w:topLinePunct/>
              <w:autoSpaceDE/>
              <w:autoSpaceDN/>
              <w:bidi w:val="0"/>
              <w:adjustRightInd w:val="0"/>
              <w:snapToGrid w:val="0"/>
              <w:spacing w:line="20" w:lineRule="atLeast"/>
              <w:jc w:val="center"/>
              <w:textAlignment w:val="auto"/>
              <w:rPr>
                <w:rFonts w:hint="eastAsia" w:ascii="仿宋" w:hAnsi="仿宋" w:eastAsia="仿宋" w:cs="仿宋"/>
                <w:color w:val="auto"/>
                <w:kern w:val="0"/>
                <w:sz w:val="28"/>
                <w:szCs w:val="28"/>
                <w:highlight w:val="none"/>
              </w:rPr>
            </w:pPr>
          </w:p>
        </w:tc>
        <w:tc>
          <w:tcPr>
            <w:tcW w:w="1734" w:type="dxa"/>
          </w:tcPr>
          <w:p w14:paraId="4D18A82C">
            <w:pPr>
              <w:keepNext w:val="0"/>
              <w:keepLines w:val="0"/>
              <w:pageBreakBefore w:val="0"/>
              <w:kinsoku/>
              <w:overflowPunct/>
              <w:topLinePunct/>
              <w:autoSpaceDE/>
              <w:autoSpaceDN/>
              <w:bidi w:val="0"/>
              <w:adjustRightInd w:val="0"/>
              <w:snapToGrid w:val="0"/>
              <w:spacing w:line="20" w:lineRule="atLeast"/>
              <w:jc w:val="center"/>
              <w:textAlignment w:val="auto"/>
              <w:rPr>
                <w:rFonts w:hint="eastAsia" w:ascii="仿宋" w:hAnsi="仿宋" w:eastAsia="仿宋" w:cs="仿宋"/>
                <w:color w:val="auto"/>
                <w:kern w:val="0"/>
                <w:sz w:val="28"/>
                <w:szCs w:val="28"/>
                <w:highlight w:val="none"/>
              </w:rPr>
            </w:pPr>
          </w:p>
        </w:tc>
      </w:tr>
    </w:tbl>
    <w:p w14:paraId="04CDE2A9">
      <w:pPr>
        <w:keepNext w:val="0"/>
        <w:keepLines w:val="0"/>
        <w:pageBreakBefore w:val="0"/>
        <w:kinsoku/>
        <w:overflowPunct/>
        <w:topLinePunct/>
        <w:autoSpaceDE/>
        <w:autoSpaceDN/>
        <w:bidi w:val="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注：无偏离可填写“无”字，有偏离必须在本表列明，实际存在负偏离而在本表内没有列明的</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视为虚假投标。</w:t>
      </w:r>
    </w:p>
    <w:p w14:paraId="0C97703A">
      <w:pPr>
        <w:pStyle w:val="15"/>
        <w:keepNext w:val="0"/>
        <w:keepLines w:val="0"/>
        <w:pageBreakBefore w:val="0"/>
        <w:kinsoku/>
        <w:overflowPunct/>
        <w:topLinePunct/>
        <w:autoSpaceDE/>
        <w:autoSpaceDN/>
        <w:bidi w:val="0"/>
        <w:spacing w:line="400" w:lineRule="exact"/>
        <w:textAlignment w:val="auto"/>
        <w:rPr>
          <w:rFonts w:hint="eastAsia" w:ascii="仿宋" w:hAnsi="仿宋" w:eastAsia="仿宋" w:cs="仿宋"/>
          <w:color w:val="auto"/>
          <w:sz w:val="24"/>
          <w:highlight w:val="none"/>
        </w:rPr>
      </w:pPr>
    </w:p>
    <w:p w14:paraId="5A7EE7B8">
      <w:pPr>
        <w:keepNext w:val="0"/>
        <w:keepLines w:val="0"/>
        <w:pageBreakBefore w:val="0"/>
        <w:kinsoku/>
        <w:overflowPunct/>
        <w:topLinePunct/>
        <w:autoSpaceDE/>
        <w:autoSpaceDN/>
        <w:bidi w:val="0"/>
        <w:spacing w:line="360" w:lineRule="exact"/>
        <w:ind w:firstLine="4900" w:firstLineChars="1750"/>
        <w:textAlignment w:val="auto"/>
        <w:rPr>
          <w:rFonts w:hint="eastAsia" w:ascii="仿宋" w:hAnsi="仿宋" w:eastAsia="仿宋" w:cs="仿宋"/>
          <w:color w:val="auto"/>
          <w:sz w:val="28"/>
          <w:highlight w:val="none"/>
        </w:rPr>
      </w:pPr>
    </w:p>
    <w:p w14:paraId="698C800A">
      <w:pPr>
        <w:keepNext w:val="0"/>
        <w:keepLines w:val="0"/>
        <w:pageBreakBefore w:val="0"/>
        <w:kinsoku/>
        <w:wordWrap/>
        <w:overflowPunct/>
        <w:topLinePunct/>
        <w:autoSpaceDE/>
        <w:autoSpaceDN/>
        <w:bidi w:val="0"/>
        <w:spacing w:line="480" w:lineRule="auto"/>
        <w:ind w:firstLine="3920" w:firstLineChars="140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lang w:eastAsia="zh-CN"/>
        </w:rPr>
        <w:t>投标人</w:t>
      </w:r>
      <w:r>
        <w:rPr>
          <w:rFonts w:hint="eastAsia" w:ascii="仿宋" w:hAnsi="仿宋" w:eastAsia="仿宋" w:cs="仿宋"/>
          <w:color w:val="auto"/>
          <w:kern w:val="0"/>
          <w:sz w:val="28"/>
          <w:szCs w:val="28"/>
          <w:highlight w:val="none"/>
        </w:rPr>
        <w:t xml:space="preserve">（公章）： </w:t>
      </w:r>
    </w:p>
    <w:p w14:paraId="204A07C3">
      <w:pPr>
        <w:keepNext w:val="0"/>
        <w:keepLines w:val="0"/>
        <w:pageBreakBefore w:val="0"/>
        <w:kinsoku/>
        <w:wordWrap/>
        <w:overflowPunct/>
        <w:topLinePunct/>
        <w:autoSpaceDE/>
        <w:autoSpaceDN/>
        <w:bidi w:val="0"/>
        <w:spacing w:line="480" w:lineRule="auto"/>
        <w:ind w:firstLine="3920" w:firstLineChars="140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法定代表人或</w:t>
      </w:r>
      <w:r>
        <w:rPr>
          <w:rFonts w:hint="eastAsia" w:ascii="仿宋" w:hAnsi="仿宋" w:eastAsia="仿宋" w:cs="仿宋"/>
          <w:color w:val="auto"/>
          <w:kern w:val="0"/>
          <w:sz w:val="28"/>
          <w:szCs w:val="28"/>
          <w:highlight w:val="none"/>
          <w:lang w:val="en-US" w:eastAsia="zh-CN"/>
        </w:rPr>
        <w:t>委托代理人</w:t>
      </w:r>
      <w:r>
        <w:rPr>
          <w:rFonts w:hint="eastAsia" w:ascii="仿宋" w:hAnsi="仿宋" w:eastAsia="仿宋" w:cs="仿宋"/>
          <w:color w:val="auto"/>
          <w:kern w:val="0"/>
          <w:sz w:val="28"/>
          <w:szCs w:val="28"/>
          <w:highlight w:val="none"/>
        </w:rPr>
        <w:t>（签字或签章）：</w:t>
      </w:r>
    </w:p>
    <w:p w14:paraId="16E64CC4">
      <w:pPr>
        <w:keepNext w:val="0"/>
        <w:keepLines w:val="0"/>
        <w:pageBreakBefore w:val="0"/>
        <w:kinsoku/>
        <w:overflowPunct/>
        <w:topLinePunct/>
        <w:autoSpaceDE/>
        <w:autoSpaceDN/>
        <w:bidi w:val="0"/>
        <w:snapToGrid w:val="0"/>
        <w:spacing w:line="480" w:lineRule="auto"/>
        <w:ind w:firstLine="3920" w:firstLineChars="140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sz w:val="28"/>
          <w:szCs w:val="28"/>
          <w:highlight w:val="none"/>
        </w:rPr>
        <w:t>日期：</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年</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月</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日</w:t>
      </w:r>
    </w:p>
    <w:p w14:paraId="728FC11B">
      <w:pPr>
        <w:keepNext w:val="0"/>
        <w:keepLines w:val="0"/>
        <w:pageBreakBefore w:val="0"/>
        <w:kinsoku/>
        <w:overflowPunct/>
        <w:topLinePunct/>
        <w:autoSpaceDE/>
        <w:autoSpaceDN/>
        <w:bidi w:val="0"/>
        <w:snapToGrid w:val="0"/>
        <w:spacing w:line="480" w:lineRule="auto"/>
        <w:ind w:firstLine="3920" w:firstLineChars="1400"/>
        <w:textAlignment w:val="auto"/>
        <w:rPr>
          <w:rFonts w:hint="eastAsia" w:ascii="仿宋" w:hAnsi="仿宋" w:eastAsia="仿宋" w:cs="仿宋"/>
          <w:color w:val="auto"/>
          <w:kern w:val="0"/>
          <w:sz w:val="28"/>
          <w:szCs w:val="28"/>
          <w:highlight w:val="none"/>
        </w:rPr>
        <w:sectPr>
          <w:pgSz w:w="11906" w:h="16838"/>
          <w:pgMar w:top="1280" w:right="1142" w:bottom="1118" w:left="1324" w:header="454" w:footer="680" w:gutter="0"/>
          <w:pgNumType w:fmt="decimal"/>
          <w:cols w:space="0" w:num="1"/>
          <w:docGrid w:linePitch="312" w:charSpace="0"/>
        </w:sectPr>
      </w:pPr>
    </w:p>
    <w:p w14:paraId="5B3B4F09">
      <w:pPr>
        <w:pStyle w:val="15"/>
        <w:keepNext w:val="0"/>
        <w:keepLines w:val="0"/>
        <w:pageBreakBefore w:val="0"/>
        <w:kinsoku/>
        <w:overflowPunct/>
        <w:topLinePunct/>
        <w:autoSpaceDE/>
        <w:autoSpaceDN/>
        <w:bidi w:val="0"/>
        <w:jc w:val="center"/>
        <w:textAlignment w:val="auto"/>
        <w:outlineLvl w:val="2"/>
        <w:rPr>
          <w:rFonts w:hint="eastAsia" w:ascii="仿宋" w:hAnsi="仿宋" w:eastAsia="仿宋" w:cs="仿宋"/>
          <w:b/>
          <w:color w:val="auto"/>
          <w:sz w:val="36"/>
          <w:szCs w:val="36"/>
          <w:highlight w:val="none"/>
          <w:lang w:val="en-US" w:eastAsia="zh-CN"/>
        </w:rPr>
      </w:pPr>
      <w:r>
        <w:rPr>
          <w:rFonts w:hint="eastAsia" w:ascii="仿宋" w:hAnsi="仿宋" w:eastAsia="仿宋" w:cs="仿宋"/>
          <w:b/>
          <w:color w:val="auto"/>
          <w:sz w:val="36"/>
          <w:szCs w:val="36"/>
          <w:highlight w:val="none"/>
          <w:lang w:val="en-US" w:eastAsia="zh-CN"/>
        </w:rPr>
        <w:t>投标人认为需要提交的其他材料</w:t>
      </w:r>
    </w:p>
    <w:p w14:paraId="7629365F">
      <w:pPr>
        <w:pStyle w:val="33"/>
        <w:keepNext w:val="0"/>
        <w:keepLines w:val="0"/>
        <w:pageBreakBefore w:val="0"/>
        <w:kinsoku/>
        <w:overflowPunct/>
        <w:topLinePunct/>
        <w:autoSpaceDE/>
        <w:autoSpaceDN/>
        <w:bidi w:val="0"/>
        <w:jc w:val="center"/>
        <w:textAlignment w:val="auto"/>
        <w:rPr>
          <w:rFonts w:hint="eastAsia" w:ascii="仿宋" w:hAnsi="仿宋" w:eastAsia="仿宋" w:cs="仿宋"/>
          <w:b/>
          <w:bCs w:val="0"/>
          <w:color w:val="auto"/>
          <w:highlight w:val="none"/>
        </w:rPr>
      </w:pPr>
      <w:r>
        <w:rPr>
          <w:rFonts w:hint="eastAsia" w:ascii="仿宋" w:hAnsi="仿宋" w:eastAsia="仿宋" w:cs="仿宋"/>
          <w:b/>
          <w:bCs w:val="0"/>
          <w:color w:val="auto"/>
          <w:kern w:val="2"/>
          <w:sz w:val="36"/>
          <w:szCs w:val="36"/>
          <w:highlight w:val="none"/>
          <w:lang w:val="en-US" w:eastAsia="zh-CN" w:bidi="ar-SA"/>
        </w:rPr>
        <w:t>（盖公章）</w:t>
      </w:r>
    </w:p>
    <w:p w14:paraId="0C73BE09">
      <w:pPr>
        <w:pStyle w:val="23"/>
        <w:keepNext w:val="0"/>
        <w:keepLines w:val="0"/>
        <w:pageBreakBefore w:val="0"/>
        <w:kinsoku/>
        <w:overflowPunct/>
        <w:autoSpaceDE/>
        <w:autoSpaceDN/>
        <w:bidi w:val="0"/>
        <w:rPr>
          <w:rFonts w:hint="eastAsia"/>
          <w:lang w:val="en-US" w:eastAsia="zh-CN"/>
        </w:rPr>
        <w:sectPr>
          <w:pgSz w:w="11906" w:h="16838"/>
          <w:pgMar w:top="1280" w:right="1142" w:bottom="1118" w:left="1324" w:header="454" w:footer="680" w:gutter="0"/>
          <w:pgNumType w:fmt="decimal"/>
          <w:cols w:space="0" w:num="1"/>
          <w:docGrid w:linePitch="312" w:charSpace="0"/>
        </w:sectPr>
      </w:pPr>
    </w:p>
    <w:p w14:paraId="18D90DA3">
      <w:pPr>
        <w:pStyle w:val="15"/>
        <w:keepNext w:val="0"/>
        <w:keepLines w:val="0"/>
        <w:pageBreakBefore w:val="0"/>
        <w:kinsoku/>
        <w:overflowPunct/>
        <w:topLinePunct/>
        <w:autoSpaceDE/>
        <w:autoSpaceDN/>
        <w:bidi w:val="0"/>
        <w:jc w:val="center"/>
        <w:textAlignment w:val="auto"/>
        <w:outlineLvl w:val="1"/>
        <w:rPr>
          <w:rFonts w:hint="eastAsia" w:ascii="仿宋" w:hAnsi="仿宋" w:eastAsia="仿宋" w:cs="仿宋"/>
          <w:b/>
          <w:color w:val="auto"/>
          <w:sz w:val="44"/>
          <w:szCs w:val="44"/>
          <w:highlight w:val="none"/>
        </w:rPr>
      </w:pPr>
      <w:bookmarkStart w:id="42" w:name="_Toc32215"/>
      <w:r>
        <w:rPr>
          <w:rFonts w:hint="eastAsia" w:ascii="仿宋" w:hAnsi="仿宋" w:eastAsia="仿宋" w:cs="仿宋"/>
          <w:b/>
          <w:color w:val="auto"/>
          <w:sz w:val="44"/>
          <w:szCs w:val="44"/>
          <w:highlight w:val="none"/>
        </w:rPr>
        <w:t>技术文件</w:t>
      </w:r>
      <w:bookmarkEnd w:id="42"/>
    </w:p>
    <w:p w14:paraId="02EB775B">
      <w:pPr>
        <w:pStyle w:val="15"/>
        <w:keepNext w:val="0"/>
        <w:keepLines w:val="0"/>
        <w:pageBreakBefore w:val="0"/>
        <w:kinsoku/>
        <w:overflowPunct/>
        <w:topLinePunct/>
        <w:autoSpaceDE/>
        <w:autoSpaceDN/>
        <w:bidi w:val="0"/>
        <w:spacing w:line="520" w:lineRule="exact"/>
        <w:jc w:val="both"/>
        <w:textAlignment w:val="auto"/>
        <w:rPr>
          <w:rFonts w:hint="eastAsia" w:ascii="仿宋" w:hAnsi="仿宋" w:eastAsia="仿宋" w:cs="仿宋"/>
          <w:b/>
          <w:color w:val="auto"/>
          <w:sz w:val="44"/>
          <w:szCs w:val="44"/>
          <w:highlight w:val="none"/>
        </w:rPr>
      </w:pPr>
    </w:p>
    <w:p w14:paraId="179B2C02">
      <w:pPr>
        <w:keepNext w:val="0"/>
        <w:keepLines w:val="0"/>
        <w:pageBreakBefore w:val="0"/>
        <w:widowControl w:val="0"/>
        <w:kinsoku/>
        <w:wordWrap/>
        <w:overflowPunct/>
        <w:topLinePunct/>
        <w:autoSpaceDE/>
        <w:autoSpaceDN/>
        <w:bidi w:val="0"/>
        <w:adjustRightInd/>
        <w:snapToGrid w:val="0"/>
        <w:spacing w:line="500" w:lineRule="exact"/>
        <w:ind w:firstLine="565" w:firstLineChars="202"/>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包括但不限于以下内容：</w:t>
      </w:r>
    </w:p>
    <w:p w14:paraId="48F02853">
      <w:pPr>
        <w:keepNext w:val="0"/>
        <w:keepLines w:val="0"/>
        <w:pageBreakBefore w:val="0"/>
        <w:widowControl w:val="0"/>
        <w:kinsoku/>
        <w:wordWrap/>
        <w:overflowPunct/>
        <w:topLinePunct/>
        <w:autoSpaceDE/>
        <w:autoSpaceDN/>
        <w:bidi w:val="0"/>
        <w:adjustRightInd/>
        <w:snapToGrid w:val="0"/>
        <w:spacing w:line="500" w:lineRule="exact"/>
        <w:ind w:firstLine="565" w:firstLineChars="202"/>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（1）对本项目的认识、服务定位及重点难点分析；</w:t>
      </w:r>
    </w:p>
    <w:p w14:paraId="51263AFB">
      <w:pPr>
        <w:keepNext w:val="0"/>
        <w:keepLines w:val="0"/>
        <w:pageBreakBefore w:val="0"/>
        <w:widowControl w:val="0"/>
        <w:kinsoku/>
        <w:wordWrap/>
        <w:overflowPunct/>
        <w:topLinePunct/>
        <w:autoSpaceDE/>
        <w:autoSpaceDN/>
        <w:bidi w:val="0"/>
        <w:adjustRightInd/>
        <w:snapToGrid w:val="0"/>
        <w:spacing w:line="500" w:lineRule="exact"/>
        <w:ind w:firstLine="565" w:firstLineChars="202"/>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（2）项目服务实施方案；</w:t>
      </w:r>
    </w:p>
    <w:p w14:paraId="42D6AE79">
      <w:pPr>
        <w:keepNext w:val="0"/>
        <w:keepLines w:val="0"/>
        <w:pageBreakBefore w:val="0"/>
        <w:widowControl w:val="0"/>
        <w:kinsoku/>
        <w:wordWrap/>
        <w:overflowPunct/>
        <w:topLinePunct/>
        <w:autoSpaceDE/>
        <w:autoSpaceDN/>
        <w:bidi w:val="0"/>
        <w:adjustRightInd/>
        <w:snapToGrid w:val="0"/>
        <w:spacing w:line="500" w:lineRule="exact"/>
        <w:ind w:firstLine="565" w:firstLineChars="202"/>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（3）质量控制措施；</w:t>
      </w:r>
    </w:p>
    <w:p w14:paraId="6CFE9890">
      <w:pPr>
        <w:keepNext w:val="0"/>
        <w:keepLines w:val="0"/>
        <w:pageBreakBefore w:val="0"/>
        <w:widowControl w:val="0"/>
        <w:kinsoku/>
        <w:wordWrap/>
        <w:overflowPunct/>
        <w:topLinePunct/>
        <w:autoSpaceDE/>
        <w:autoSpaceDN/>
        <w:bidi w:val="0"/>
        <w:adjustRightInd/>
        <w:snapToGrid w:val="0"/>
        <w:spacing w:line="500" w:lineRule="exact"/>
        <w:ind w:firstLine="565" w:firstLineChars="202"/>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（4）供货服务方案；</w:t>
      </w:r>
    </w:p>
    <w:p w14:paraId="518F1376">
      <w:pPr>
        <w:keepNext w:val="0"/>
        <w:keepLines w:val="0"/>
        <w:pageBreakBefore w:val="0"/>
        <w:widowControl w:val="0"/>
        <w:kinsoku/>
        <w:wordWrap/>
        <w:overflowPunct/>
        <w:topLinePunct/>
        <w:autoSpaceDE/>
        <w:autoSpaceDN/>
        <w:bidi w:val="0"/>
        <w:adjustRightInd/>
        <w:snapToGrid w:val="0"/>
        <w:spacing w:line="500" w:lineRule="exact"/>
        <w:ind w:firstLine="565" w:firstLineChars="202"/>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（5）备货服务方案；</w:t>
      </w:r>
    </w:p>
    <w:p w14:paraId="49650506">
      <w:pPr>
        <w:keepNext w:val="0"/>
        <w:keepLines w:val="0"/>
        <w:pageBreakBefore w:val="0"/>
        <w:widowControl w:val="0"/>
        <w:kinsoku/>
        <w:wordWrap/>
        <w:overflowPunct/>
        <w:topLinePunct/>
        <w:autoSpaceDE/>
        <w:autoSpaceDN/>
        <w:bidi w:val="0"/>
        <w:adjustRightInd/>
        <w:snapToGrid w:val="0"/>
        <w:spacing w:line="500" w:lineRule="exact"/>
        <w:ind w:firstLine="565" w:firstLineChars="202"/>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（6）团队人员配备；</w:t>
      </w:r>
    </w:p>
    <w:p w14:paraId="62878589">
      <w:pPr>
        <w:keepNext w:val="0"/>
        <w:keepLines w:val="0"/>
        <w:pageBreakBefore w:val="0"/>
        <w:widowControl w:val="0"/>
        <w:kinsoku/>
        <w:wordWrap/>
        <w:overflowPunct/>
        <w:topLinePunct/>
        <w:autoSpaceDE/>
        <w:autoSpaceDN/>
        <w:bidi w:val="0"/>
        <w:adjustRightInd/>
        <w:snapToGrid w:val="0"/>
        <w:spacing w:line="500" w:lineRule="exact"/>
        <w:ind w:firstLine="565" w:firstLineChars="202"/>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（7）考核方案；</w:t>
      </w:r>
    </w:p>
    <w:p w14:paraId="3045A68B">
      <w:pPr>
        <w:keepNext w:val="0"/>
        <w:keepLines w:val="0"/>
        <w:pageBreakBefore w:val="0"/>
        <w:widowControl w:val="0"/>
        <w:kinsoku/>
        <w:wordWrap/>
        <w:overflowPunct/>
        <w:topLinePunct/>
        <w:autoSpaceDE/>
        <w:autoSpaceDN/>
        <w:bidi w:val="0"/>
        <w:adjustRightInd/>
        <w:snapToGrid w:val="0"/>
        <w:spacing w:line="500" w:lineRule="exact"/>
        <w:ind w:firstLine="565" w:firstLineChars="202"/>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（8）应急响应能力方案；</w:t>
      </w:r>
    </w:p>
    <w:p w14:paraId="27C16176">
      <w:pPr>
        <w:keepNext w:val="0"/>
        <w:keepLines w:val="0"/>
        <w:pageBreakBefore w:val="0"/>
        <w:widowControl w:val="0"/>
        <w:kinsoku/>
        <w:wordWrap/>
        <w:overflowPunct/>
        <w:topLinePunct/>
        <w:autoSpaceDE/>
        <w:autoSpaceDN/>
        <w:bidi w:val="0"/>
        <w:adjustRightInd/>
        <w:snapToGrid w:val="0"/>
        <w:spacing w:line="500" w:lineRule="exact"/>
        <w:ind w:firstLine="565" w:firstLineChars="202"/>
        <w:textAlignment w:val="auto"/>
        <w:rPr>
          <w:rFonts w:hint="eastAsia" w:ascii="仿宋" w:hAnsi="仿宋" w:eastAsia="仿宋" w:cs="仿宋"/>
          <w:color w:val="auto"/>
          <w:sz w:val="28"/>
          <w:szCs w:val="28"/>
          <w:highlight w:val="none"/>
          <w:lang w:eastAsia="zh-CN"/>
        </w:rPr>
        <w:sectPr>
          <w:pgSz w:w="11906" w:h="16838"/>
          <w:pgMar w:top="1280" w:right="1142" w:bottom="1118" w:left="1324" w:header="454" w:footer="680" w:gutter="0"/>
          <w:pgNumType w:fmt="decimal"/>
          <w:cols w:space="0" w:num="1"/>
          <w:docGrid w:linePitch="312" w:charSpace="0"/>
        </w:sectPr>
      </w:pPr>
      <w:r>
        <w:rPr>
          <w:rFonts w:hint="eastAsia" w:ascii="仿宋" w:hAnsi="仿宋" w:eastAsia="仿宋" w:cs="仿宋"/>
          <w:color w:val="auto"/>
          <w:sz w:val="28"/>
          <w:szCs w:val="28"/>
          <w:highlight w:val="none"/>
          <w:lang w:eastAsia="zh-CN"/>
        </w:rPr>
        <w:t>（9）售后服务保障与支持。</w:t>
      </w:r>
    </w:p>
    <w:p w14:paraId="11761004">
      <w:pPr>
        <w:pStyle w:val="24"/>
        <w:keepNext w:val="0"/>
        <w:keepLines w:val="0"/>
        <w:pageBreakBefore w:val="0"/>
        <w:numPr>
          <w:ilvl w:val="0"/>
          <w:numId w:val="0"/>
        </w:numPr>
        <w:kinsoku/>
        <w:overflowPunct/>
        <w:topLinePunct/>
        <w:autoSpaceDE/>
        <w:autoSpaceDN/>
        <w:bidi w:val="0"/>
        <w:spacing w:before="100" w:beforeAutospacing="1" w:after="100" w:afterAutospacing="1" w:line="240" w:lineRule="auto"/>
        <w:ind w:left="1440" w:leftChars="0" w:hanging="1440" w:firstLineChars="0"/>
        <w:jc w:val="center"/>
        <w:textAlignment w:val="auto"/>
        <w:rPr>
          <w:rFonts w:hint="eastAsia" w:ascii="仿宋" w:hAnsi="仿宋" w:eastAsia="仿宋" w:cs="仿宋"/>
          <w:b/>
          <w:bCs/>
          <w:color w:val="auto"/>
          <w:kern w:val="0"/>
          <w:sz w:val="48"/>
          <w:szCs w:val="48"/>
          <w:highlight w:val="none"/>
          <w:lang w:val="en-US" w:eastAsia="zh-CN" w:bidi="ar-SA"/>
        </w:rPr>
      </w:pPr>
      <w:bookmarkStart w:id="43" w:name="_Toc30028"/>
      <w:bookmarkStart w:id="44" w:name="_Toc32754"/>
      <w:r>
        <w:rPr>
          <w:rFonts w:hint="eastAsia" w:ascii="仿宋" w:hAnsi="仿宋" w:eastAsia="仿宋" w:cs="仿宋"/>
          <w:b/>
          <w:bCs/>
          <w:color w:val="auto"/>
          <w:kern w:val="0"/>
          <w:sz w:val="48"/>
          <w:szCs w:val="48"/>
          <w:highlight w:val="none"/>
          <w:lang w:val="en-US" w:eastAsia="zh-CN" w:bidi="ar-SA"/>
        </w:rPr>
        <w:t xml:space="preserve">第六章 </w:t>
      </w:r>
      <w:bookmarkEnd w:id="43"/>
      <w:bookmarkEnd w:id="44"/>
      <w:r>
        <w:rPr>
          <w:rFonts w:hint="eastAsia" w:ascii="仿宋" w:hAnsi="仿宋" w:eastAsia="仿宋" w:cs="仿宋"/>
          <w:b/>
          <w:bCs/>
          <w:color w:val="auto"/>
          <w:kern w:val="0"/>
          <w:sz w:val="48"/>
          <w:szCs w:val="48"/>
          <w:highlight w:val="none"/>
          <w:lang w:val="en-US" w:eastAsia="zh-CN" w:bidi="ar-SA"/>
        </w:rPr>
        <w:t>合同（范本）</w:t>
      </w:r>
    </w:p>
    <w:p w14:paraId="68A77C0A">
      <w:pPr>
        <w:keepNext w:val="0"/>
        <w:keepLines w:val="0"/>
        <w:pageBreakBefore w:val="0"/>
        <w:kinsoku/>
        <w:overflowPunct/>
        <w:autoSpaceDE/>
        <w:autoSpaceDN/>
        <w:bidi w:val="0"/>
        <w:rPr>
          <w:rFonts w:hint="eastAsia" w:ascii="仿宋" w:hAnsi="仿宋" w:eastAsia="仿宋" w:cs="仿宋"/>
          <w:b/>
          <w:bCs/>
          <w:color w:val="auto"/>
          <w:kern w:val="0"/>
          <w:sz w:val="40"/>
          <w:szCs w:val="44"/>
          <w:highlight w:val="none"/>
          <w:lang w:val="en-US" w:eastAsia="zh-CN" w:bidi="ar-SA"/>
        </w:rPr>
        <w:sectPr>
          <w:pgSz w:w="11906" w:h="16838"/>
          <w:pgMar w:top="1280" w:right="1142" w:bottom="1118" w:left="1324" w:header="454" w:footer="680" w:gutter="0"/>
          <w:pgNumType w:fmt="decimal"/>
          <w:cols w:space="0" w:num="1"/>
          <w:docGrid w:linePitch="312" w:charSpace="0"/>
        </w:sectPr>
      </w:pPr>
    </w:p>
    <w:p w14:paraId="217E43B6">
      <w:pPr>
        <w:keepNext w:val="0"/>
        <w:keepLines w:val="0"/>
        <w:pageBreakBefore w:val="0"/>
        <w:kinsoku/>
        <w:overflowPunct/>
        <w:autoSpaceDE/>
        <w:autoSpaceDN/>
        <w:bidi w:val="0"/>
        <w:spacing w:before="0" w:after="0" w:line="360" w:lineRule="auto"/>
        <w:jc w:val="center"/>
        <w:outlineLvl w:val="1"/>
        <w:rPr>
          <w:rFonts w:hint="default" w:ascii="仿宋" w:hAnsi="仿宋" w:eastAsia="仿宋" w:cs="仿宋"/>
          <w:b/>
          <w:bCs w:val="0"/>
          <w:kern w:val="2"/>
          <w:sz w:val="44"/>
          <w:szCs w:val="44"/>
        </w:rPr>
      </w:pPr>
      <w:r>
        <w:rPr>
          <w:rFonts w:hint="default" w:ascii="仿宋" w:hAnsi="仿宋" w:eastAsia="仿宋" w:cs="仿宋"/>
          <w:b/>
          <w:bCs w:val="0"/>
          <w:kern w:val="2"/>
          <w:sz w:val="44"/>
          <w:szCs w:val="44"/>
        </w:rPr>
        <w:t>选定景区物料供应入围单位服务合同</w:t>
      </w:r>
    </w:p>
    <w:p w14:paraId="56875830">
      <w:pPr>
        <w:jc w:val="center"/>
        <w:rPr>
          <w:rFonts w:hint="default" w:ascii="Times New Roman" w:hAnsi="Times New Roman" w:eastAsia="方正小标宋简体" w:cs="Times New Roman"/>
          <w:sz w:val="44"/>
          <w:szCs w:val="44"/>
        </w:rPr>
      </w:pPr>
    </w:p>
    <w:p w14:paraId="146D8006">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u w:val="single"/>
          <w:lang w:val="en-US" w:eastAsia="zh-CN"/>
        </w:rPr>
      </w:pPr>
      <w:r>
        <w:rPr>
          <w:rFonts w:hint="eastAsia" w:ascii="仿宋" w:hAnsi="仿宋" w:eastAsia="仿宋" w:cs="仿宋"/>
          <w:sz w:val="28"/>
          <w:szCs w:val="28"/>
        </w:rPr>
        <w:t>甲方（采购单位）：</w:t>
      </w:r>
      <w:r>
        <w:rPr>
          <w:rFonts w:hint="eastAsia" w:ascii="仿宋" w:hAnsi="仿宋" w:eastAsia="仿宋" w:cs="仿宋"/>
          <w:sz w:val="28"/>
          <w:szCs w:val="28"/>
          <w:u w:val="single"/>
          <w:lang w:val="en-US" w:eastAsia="zh-CN"/>
        </w:rPr>
        <w:t xml:space="preserve">                      </w:t>
      </w:r>
    </w:p>
    <w:p w14:paraId="1AB0D2BC">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统一社会信用代码：</w:t>
      </w:r>
      <w:r>
        <w:rPr>
          <w:rFonts w:hint="eastAsia" w:ascii="仿宋" w:hAnsi="仿宋" w:eastAsia="仿宋" w:cs="仿宋"/>
          <w:sz w:val="28"/>
          <w:szCs w:val="28"/>
          <w:u w:val="single"/>
          <w:lang w:val="en-US" w:eastAsia="zh-CN"/>
        </w:rPr>
        <w:t xml:space="preserve">                     </w:t>
      </w:r>
    </w:p>
    <w:p w14:paraId="0324EBC5">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地址：</w:t>
      </w:r>
      <w:r>
        <w:rPr>
          <w:rFonts w:hint="eastAsia" w:ascii="仿宋" w:hAnsi="仿宋" w:eastAsia="仿宋" w:cs="仿宋"/>
          <w:sz w:val="28"/>
          <w:szCs w:val="28"/>
          <w:u w:val="single"/>
          <w:lang w:val="en-US" w:eastAsia="zh-CN"/>
        </w:rPr>
        <w:t xml:space="preserve">                     </w:t>
      </w:r>
    </w:p>
    <w:p w14:paraId="105E00BC">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u w:val="single"/>
          <w:lang w:val="en-US" w:eastAsia="zh-CN"/>
        </w:rPr>
      </w:pPr>
      <w:r>
        <w:rPr>
          <w:rFonts w:hint="eastAsia" w:ascii="仿宋" w:hAnsi="仿宋" w:eastAsia="仿宋" w:cs="仿宋"/>
          <w:sz w:val="28"/>
          <w:szCs w:val="28"/>
        </w:rPr>
        <w:t>联系电话：</w:t>
      </w:r>
      <w:r>
        <w:rPr>
          <w:rFonts w:hint="eastAsia" w:ascii="仿宋" w:hAnsi="仿宋" w:eastAsia="仿宋" w:cs="仿宋"/>
          <w:sz w:val="28"/>
          <w:szCs w:val="28"/>
          <w:u w:val="single"/>
          <w:lang w:val="en-US" w:eastAsia="zh-CN"/>
        </w:rPr>
        <w:t xml:space="preserve">                     </w:t>
      </w:r>
    </w:p>
    <w:p w14:paraId="24940501">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p>
    <w:p w14:paraId="0D36820E">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p>
    <w:p w14:paraId="5A39B260">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乙方（供应服务单位）：</w:t>
      </w:r>
      <w:r>
        <w:rPr>
          <w:rFonts w:hint="eastAsia" w:ascii="仿宋" w:hAnsi="仿宋" w:eastAsia="仿宋" w:cs="仿宋"/>
          <w:sz w:val="28"/>
          <w:szCs w:val="28"/>
          <w:u w:val="single"/>
          <w:lang w:val="en-US" w:eastAsia="zh-CN"/>
        </w:rPr>
        <w:t xml:space="preserve">                     </w:t>
      </w:r>
    </w:p>
    <w:p w14:paraId="30EF8AB7">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统一社会信用代码：</w:t>
      </w:r>
      <w:r>
        <w:rPr>
          <w:rFonts w:hint="eastAsia" w:ascii="仿宋" w:hAnsi="仿宋" w:eastAsia="仿宋" w:cs="仿宋"/>
          <w:sz w:val="28"/>
          <w:szCs w:val="28"/>
          <w:u w:val="single"/>
          <w:lang w:val="en-US" w:eastAsia="zh-CN"/>
        </w:rPr>
        <w:t xml:space="preserve">                     </w:t>
      </w:r>
    </w:p>
    <w:p w14:paraId="4F34D243">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地址：</w:t>
      </w:r>
      <w:r>
        <w:rPr>
          <w:rFonts w:hint="eastAsia" w:ascii="仿宋" w:hAnsi="仿宋" w:eastAsia="仿宋" w:cs="仿宋"/>
          <w:sz w:val="28"/>
          <w:szCs w:val="28"/>
          <w:u w:val="single"/>
          <w:lang w:val="en-US" w:eastAsia="zh-CN"/>
        </w:rPr>
        <w:t xml:space="preserve">                     </w:t>
      </w:r>
    </w:p>
    <w:p w14:paraId="3CCFF63A">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u w:val="single"/>
          <w:lang w:val="en-US" w:eastAsia="zh-CN"/>
        </w:rPr>
      </w:pPr>
      <w:r>
        <w:rPr>
          <w:rFonts w:hint="eastAsia" w:ascii="仿宋" w:hAnsi="仿宋" w:eastAsia="仿宋" w:cs="仿宋"/>
          <w:sz w:val="28"/>
          <w:szCs w:val="28"/>
        </w:rPr>
        <w:t>联系电话：</w:t>
      </w:r>
      <w:r>
        <w:rPr>
          <w:rFonts w:hint="eastAsia" w:ascii="仿宋" w:hAnsi="仿宋" w:eastAsia="仿宋" w:cs="仿宋"/>
          <w:sz w:val="28"/>
          <w:szCs w:val="28"/>
          <w:u w:val="single"/>
          <w:lang w:val="en-US" w:eastAsia="zh-CN"/>
        </w:rPr>
        <w:t xml:space="preserve">                     </w:t>
      </w:r>
    </w:p>
    <w:p w14:paraId="68AA5915">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p>
    <w:p w14:paraId="41E692D0">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依据《中华人民共和国民法典》及相关法律法规，甲方通过公开入围采购方式选定乙方为半月湾景区物料供应入围服务商，甲乙双方本着平等自愿、诚实信用、权责对等原则，就乙方为甲方半月湾景区（含环海路、中国油画交易中心及甲方全部运营项目）提供物料供应、租赁、仓储、物流配套服务事宜，订立本合同，双方共同遵照执行。</w:t>
      </w:r>
    </w:p>
    <w:p w14:paraId="695DB35B">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仿宋" w:hAnsi="仿宋" w:eastAsia="仿宋" w:cs="仿宋"/>
          <w:b/>
          <w:bCs/>
          <w:sz w:val="28"/>
          <w:szCs w:val="28"/>
        </w:rPr>
      </w:pPr>
      <w:r>
        <w:rPr>
          <w:rFonts w:hint="eastAsia" w:ascii="仿宋" w:hAnsi="仿宋" w:eastAsia="仿宋" w:cs="仿宋"/>
          <w:b/>
          <w:bCs/>
          <w:sz w:val="28"/>
          <w:szCs w:val="28"/>
        </w:rPr>
        <w:t>第一条 服务项目与合作说明</w:t>
      </w:r>
    </w:p>
    <w:p w14:paraId="48675D1B">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1.项目名称：选定景区物料供应入围单位</w:t>
      </w:r>
    </w:p>
    <w:p w14:paraId="7C5BFA04">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2.合作模式：本合同仅确认乙方入围服务资格，甲方不承诺固定业务量，所有物料、服务均按照甲方实际需求据实结算。本次入围服务商总数不超过2家，甲方每次发布采购需求采用比价模式，同等需求下报价最低的入围单位承接本次订单。</w:t>
      </w:r>
    </w:p>
    <w:p w14:paraId="78CB11F5">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3.服务期限：自</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年</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月</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日起至</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年</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月</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日止，服务周期1年。合同期满，甲方依据季度综合考核结果决定是否与乙方续签合同；乙方考核不合格的，甲方有权不予续签。</w:t>
      </w:r>
    </w:p>
    <w:p w14:paraId="3F7DF58B">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4.服务覆盖范围：半月湾景区全域日常运营、节庆活动、游客保障等全部场景，包含环海路、中国油画交易中心以及甲方后续新增运营点位。</w:t>
      </w:r>
    </w:p>
    <w:p w14:paraId="6B2E1678">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仿宋" w:hAnsi="仿宋" w:eastAsia="仿宋" w:cs="仿宋"/>
          <w:b/>
          <w:bCs/>
          <w:sz w:val="28"/>
          <w:szCs w:val="28"/>
        </w:rPr>
      </w:pPr>
      <w:r>
        <w:rPr>
          <w:rFonts w:hint="eastAsia" w:ascii="仿宋" w:hAnsi="仿宋" w:eastAsia="仿宋" w:cs="仿宋"/>
          <w:b/>
          <w:bCs/>
          <w:sz w:val="28"/>
          <w:szCs w:val="28"/>
        </w:rPr>
        <w:t>第二条 乙方资质与基础履约条件</w:t>
      </w:r>
    </w:p>
    <w:p w14:paraId="774B44FE">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（一）资质承诺</w:t>
      </w:r>
    </w:p>
    <w:p w14:paraId="7DD4E27C">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1.乙方为具备独立法人资格的企业，持有合法有效的营业执照，具备独立承担物料供应、货物配送、仓储管理、现场布置及撤场等全部服务的民事责任能力。</w:t>
      </w:r>
    </w:p>
    <w:p w14:paraId="1AAF0481">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2.乙方承诺未被列入“信用中国”失信被执行人名单、重大税收违法案件当事人名单；合同履行期间若出现上述失信记录，甲方有权单方解除合同，乙方承担全部违约责任。</w:t>
      </w:r>
    </w:p>
    <w:p w14:paraId="7AEBB3EE">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3.乙方入围阶段提交的全部证件、业绩、仓库、运输车辆等资料均真实有效；甲方可随时通过现场核查、函证等方式核验，若乙方提供虚假资料，甲方立即取消乙方入围资格、解除合同，乙方赔偿甲方全部经济损失。</w:t>
      </w:r>
    </w:p>
    <w:p w14:paraId="4A37BAD2">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（二）硬件配套要求</w:t>
      </w:r>
    </w:p>
    <w:p w14:paraId="4D105F85">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1.乙方自有或长期租赁合规仓库，仓库满足防火、防盗、防潮、分类分区存储标准，可存放本合同约定全部品类物资。</w:t>
      </w:r>
    </w:p>
    <w:p w14:paraId="2D4A3FDA">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2.乙方自有或长期合作运输车辆不少于1台，保障日常配送及2-4小时紧急补货的运力需求。</w:t>
      </w:r>
    </w:p>
    <w:p w14:paraId="35097D68">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3.乙方设立7×24小时全天候应急对接人员及联系电话，保证甲方任何时段均可正常联络。</w:t>
      </w:r>
    </w:p>
    <w:p w14:paraId="6079AA1E">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仿宋" w:hAnsi="仿宋" w:eastAsia="仿宋" w:cs="仿宋"/>
          <w:b/>
          <w:bCs/>
          <w:sz w:val="28"/>
          <w:szCs w:val="28"/>
        </w:rPr>
      </w:pPr>
      <w:r>
        <w:rPr>
          <w:rFonts w:hint="eastAsia" w:ascii="仿宋" w:hAnsi="仿宋" w:eastAsia="仿宋" w:cs="仿宋"/>
          <w:b/>
          <w:bCs/>
          <w:sz w:val="28"/>
          <w:szCs w:val="28"/>
        </w:rPr>
        <w:t>第三条 乙方服务范围</w:t>
      </w:r>
    </w:p>
    <w:p w14:paraId="56F01D40">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（一）通用物资供应/租赁</w:t>
      </w:r>
    </w:p>
    <w:p w14:paraId="6E5DE47C">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1.桌椅类：折叠椅、塑料凳、沙滩椅、长条桌、洽谈桌等；</w:t>
      </w:r>
    </w:p>
    <w:p w14:paraId="7F89C074">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2.遮阳避雨类：太阳伞、户外遮阳伞、普通帐篷、天幕等；</w:t>
      </w:r>
    </w:p>
    <w:p w14:paraId="48090035">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3.隔离引导类：铁马护栏、移动隔离护栏等；</w:t>
      </w:r>
    </w:p>
    <w:p w14:paraId="6E712B67">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4.配套设备：对讲机、扩音器、移动厕所、落地风扇、电暖气等。</w:t>
      </w:r>
    </w:p>
    <w:p w14:paraId="0BF1ECF9">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（二）基础物品供应</w:t>
      </w:r>
    </w:p>
    <w:p w14:paraId="343FB80D">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1.活动消耗品：气球、仿真花、成品灯笼、各类装饰道具；</w:t>
      </w:r>
    </w:p>
    <w:p w14:paraId="668EEC76">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2.游客便民物资：轮椅、拐杖、婴儿车、雨具、便民急救药箱；</w:t>
      </w:r>
    </w:p>
    <w:p w14:paraId="71D9B3EE">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3.运营保障物资：户外用品、体育器材、劳保用品、景区售卖小商品、玩具、纪念引流品、荧光棒、手拍掌、泡泡机等互动道具。</w:t>
      </w:r>
    </w:p>
    <w:p w14:paraId="2FEA17E8">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（三）仓储、物流全流程配套服务</w:t>
      </w:r>
    </w:p>
    <w:p w14:paraId="09ABF6E6">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1.仓储管理：乙方负责自有仓库物资规范化分类存放，落实消防安全、防潮、防盗管理工作；</w:t>
      </w:r>
    </w:p>
    <w:p w14:paraId="192CDE3E">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2.紧急配送：甲方下达应急补货需求后，乙方须在2-4小时内将物资送达甲方指定景区点位；</w:t>
      </w:r>
    </w:p>
    <w:p w14:paraId="5A034A9B">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3.全流程物流：乙方承担物资提货、运输、现场卸货摆放、活动结束后撤场回收、清运全部工作，相关所有费用均包含在物料报价内。</w:t>
      </w:r>
    </w:p>
    <w:p w14:paraId="4CD0281C">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仿宋" w:hAnsi="仿宋" w:eastAsia="仿宋" w:cs="仿宋"/>
          <w:b/>
          <w:bCs/>
          <w:sz w:val="28"/>
          <w:szCs w:val="28"/>
        </w:rPr>
      </w:pPr>
      <w:r>
        <w:rPr>
          <w:rFonts w:hint="eastAsia" w:ascii="仿宋" w:hAnsi="仿宋" w:eastAsia="仿宋" w:cs="仿宋"/>
          <w:b/>
          <w:bCs/>
          <w:sz w:val="28"/>
          <w:szCs w:val="28"/>
        </w:rPr>
        <w:t>第四条 双方权利与义务</w:t>
      </w:r>
    </w:p>
    <w:p w14:paraId="4F33D82E">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（一）甲方权利义务</w:t>
      </w:r>
    </w:p>
    <w:p w14:paraId="65411198">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1.甲方以书面采购单（线上/线下）形式下发物料需求，明确物料品类、规格、数量、交付时间、交付地点；</w:t>
      </w:r>
    </w:p>
    <w:p w14:paraId="57323C6A">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2.甲方下发采购需求后，乙方需在2小时内完成报价，甲方对比全部入围服务商报价，确定本次订单供货单位；</w:t>
      </w:r>
    </w:p>
    <w:p w14:paraId="761A5440">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3.甲方建立季度考核机制，从供货时效、产品质量、服务态度、对账准确性、应急响应等多维度打分，80分（含）以上为考核合格；</w:t>
      </w:r>
    </w:p>
    <w:p w14:paraId="501782D6">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4.甲方有权对不合格货品拒收、要求乙方无条件退换；有权随时现场核查乙方仓库、运输车辆、资质文件；</w:t>
      </w:r>
    </w:p>
    <w:p w14:paraId="3C2FD8BC">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5.甲方按照合同约定完成物料验收及款项结算，无正当理由不得无故拖欠应付费用。</w:t>
      </w:r>
    </w:p>
    <w:p w14:paraId="436193E1">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（二）乙方核心义务</w:t>
      </w:r>
    </w:p>
    <w:p w14:paraId="147F13B3">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1.样品与产品管控：按甲方要求免费提供样品，根据甲方需求调整物料规格；所有不合格产品无条件退换，运输、人工、损耗等全部费用由乙方自行承担。</w:t>
      </w:r>
    </w:p>
    <w:p w14:paraId="0A974895">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2.需求响应义务：收到甲方采购需求后2小时内完成报价；同一自然月内累计3次及以上未及时响应报价，甲方有权单方解除合同。乙方不得以无库存为由拒绝报价，无现货品类必须完成市场询价并向甲方提供正式报价；多次出现货品不全、供货不足情形，甲方可暂停乙方供货资格直至解除合同。</w:t>
      </w:r>
    </w:p>
    <w:p w14:paraId="5EC6EAB5">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3.履约告知义务：因乙方库存、车辆、人员等自身原因无法按期供货的，须提前书面通知甲方并提交甲方认可的补救方案；未提前告知造成甲方活动延误、运营损失的，全部损失由乙方全额赔付。</w:t>
      </w:r>
    </w:p>
    <w:p w14:paraId="595F1A54">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4.知识产权责任：乙方提供所有物料、道具、商品不得侵犯第三方专利、商标、外观设计等知识产权；若引发第三方维权、诉讼、索赔，全部法律责任、赔偿金、诉讼费由乙方承担，同时乙方需赔偿甲方商誉及经济损失。</w:t>
      </w:r>
    </w:p>
    <w:p w14:paraId="3555BDAA">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5.货品管控：未经甲方书面许可，乙方不得擅自更换物料品牌、规格、数量；无甲方正式采购订单的物资，甲方现场验收人员有权拒收，甲方不予结算对应款项。</w:t>
      </w:r>
    </w:p>
    <w:p w14:paraId="42FA11D8">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6.对账义务：乙方定期主动与甲方核对订单、送货单、结算单据；因乙方单据丢失、订单漏报、记账错误造成无法结算的，对应订单甲方不予付款，全部损失由乙方自行承担。</w:t>
      </w:r>
    </w:p>
    <w:p w14:paraId="4AD515F2">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7.安全责任：乙方交付物料存在质量缺陷，造成甲方工作人员、游客、第三方人身伤害或财产损失的，乙方承担全部赔偿、医疗、诉讼等所有相关费用。</w:t>
      </w:r>
    </w:p>
    <w:p w14:paraId="6DD8C918">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8.应急保障：全年7×24小时保持通讯畅通，节假日、夜间景区应急活动须无条件配合加急配送。</w:t>
      </w:r>
    </w:p>
    <w:p w14:paraId="4BC9CFCD">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仿宋" w:hAnsi="仿宋" w:eastAsia="仿宋" w:cs="仿宋"/>
          <w:b/>
          <w:bCs/>
          <w:sz w:val="28"/>
          <w:szCs w:val="28"/>
        </w:rPr>
      </w:pPr>
      <w:r>
        <w:rPr>
          <w:rFonts w:hint="eastAsia" w:ascii="仿宋" w:hAnsi="仿宋" w:eastAsia="仿宋" w:cs="仿宋"/>
          <w:b/>
          <w:bCs/>
          <w:sz w:val="28"/>
          <w:szCs w:val="28"/>
        </w:rPr>
        <w:t>第五条 价格、结算与付款</w:t>
      </w:r>
    </w:p>
    <w:p w14:paraId="071553A8">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1.报价包含费用：乙方所有报价为包干总价，涵盖物料成本、租赁费用、包装、运输、装卸、现场布置、回收、仓储、人工、税费、退换货耗材等全部费用，甲方无需额外支付其他任何费用。</w:t>
      </w:r>
    </w:p>
    <w:p w14:paraId="4E1277E4">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2.比价规则：甲方同一采购需求同步发送全部入围服务商，乙方须在2小时内反馈完整报价单，报价最低服务商承接本次订单；未按时报价视为自动放弃本次供货资格。</w:t>
      </w:r>
    </w:p>
    <w:p w14:paraId="4034CC50">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3.结算依据：以甲方签字确认的送货验收单、正式采购订单为结算唯一依据，无验收单据甲方不予结算。</w:t>
      </w:r>
    </w:p>
    <w:p w14:paraId="0B64F282">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4.付款方式：按项目批次据实结算或单个项目验收合格后一次性结算，乙方提供合法等额增值税发票后，甲方按照内部财务流程支付款项，具体付款周期以对应项目约定为准。</w:t>
      </w:r>
    </w:p>
    <w:p w14:paraId="0D4E826B">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仿宋" w:hAnsi="仿宋" w:eastAsia="仿宋" w:cs="仿宋"/>
          <w:b/>
          <w:bCs/>
          <w:sz w:val="28"/>
          <w:szCs w:val="28"/>
        </w:rPr>
      </w:pPr>
      <w:r>
        <w:rPr>
          <w:rFonts w:hint="eastAsia" w:ascii="仿宋" w:hAnsi="仿宋" w:eastAsia="仿宋" w:cs="仿宋"/>
          <w:b/>
          <w:bCs/>
          <w:sz w:val="28"/>
          <w:szCs w:val="28"/>
        </w:rPr>
        <w:t>第六条 考核、暂停供货与合同解除</w:t>
      </w:r>
    </w:p>
    <w:p w14:paraId="3F392968">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highlight w:val="yellow"/>
        </w:rPr>
      </w:pPr>
      <w:r>
        <w:rPr>
          <w:rFonts w:hint="eastAsia" w:ascii="仿宋" w:hAnsi="仿宋" w:eastAsia="仿宋" w:cs="仿宋"/>
          <w:sz w:val="28"/>
          <w:szCs w:val="28"/>
          <w:highlight w:val="yellow"/>
        </w:rPr>
        <w:t>1.季度考核：甲方每季度开展综合考核，考核分数低于80分为不合格</w:t>
      </w:r>
      <w:r>
        <w:rPr>
          <w:rFonts w:hint="eastAsia" w:ascii="仿宋" w:hAnsi="仿宋" w:eastAsia="仿宋" w:cs="仿宋"/>
          <w:sz w:val="28"/>
          <w:szCs w:val="28"/>
          <w:highlight w:val="yellow"/>
          <w:lang w:eastAsia="zh-CN"/>
        </w:rPr>
        <w:t>，</w:t>
      </w:r>
      <w:r>
        <w:rPr>
          <w:rFonts w:hint="eastAsia" w:ascii="仿宋" w:hAnsi="仿宋" w:eastAsia="仿宋" w:cs="仿宋"/>
          <w:sz w:val="28"/>
          <w:szCs w:val="28"/>
          <w:highlight w:val="yellow"/>
        </w:rPr>
        <w:t>甲方可直接解除本合同。</w:t>
      </w:r>
    </w:p>
    <w:p w14:paraId="7841ADB6">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2.甲方可单方解除合同、无需支付违约金、不承担任何赔偿责任，且乙方需赔偿甲方全部损失的情形：</w:t>
      </w:r>
    </w:p>
    <w:p w14:paraId="68DFE724">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（1）乙方提供资质、业绩、仓库、车辆等资料存在虚假、伪造情形；</w:t>
      </w:r>
    </w:p>
    <w:p w14:paraId="19781114">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（2）单月累计3次及以上未在2小时内响应甲方采购报价需求；</w:t>
      </w:r>
    </w:p>
    <w:p w14:paraId="5C1CB6B7">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（3）多次出现货品缺失、断货、拒绝报价，经甲方书面整改通知后仍未改善；</w:t>
      </w:r>
    </w:p>
    <w:p w14:paraId="7DC5CA2A">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（4）交付物料存在严重质量问题，造成游客人身伤害、景区重大财产损失或产生负面舆情；</w:t>
      </w:r>
    </w:p>
    <w:p w14:paraId="448A436F">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（5）乙方被列入失信被执行人、重大税收违法案件当事人名单；</w:t>
      </w:r>
    </w:p>
    <w:p w14:paraId="7CB1B030">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（6）乙方擅自更换物料规格、品牌，拒不配合退换不合格产品；</w:t>
      </w:r>
    </w:p>
    <w:p w14:paraId="6AF29DBD">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（7）乙方物料引发知识产权侵权纠纷，给甲方造成负面影响；</w:t>
      </w:r>
    </w:p>
    <w:p w14:paraId="044B6209">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（8）乙方未妥善处理对账差异，长期单据混乱、漏报订单造成甲方经济损失。</w:t>
      </w:r>
    </w:p>
    <w:p w14:paraId="5F3F30F3">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3.合同解除后，乙方须在3日内完成现场物资回收、场地清理撤场，逾期产生的场地占用费、清理费全部由乙方承担。</w:t>
      </w:r>
    </w:p>
    <w:p w14:paraId="6A478A7E">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仿宋" w:hAnsi="仿宋" w:eastAsia="仿宋" w:cs="仿宋"/>
          <w:b/>
          <w:bCs/>
          <w:sz w:val="28"/>
          <w:szCs w:val="28"/>
        </w:rPr>
      </w:pPr>
      <w:r>
        <w:rPr>
          <w:rFonts w:hint="eastAsia" w:ascii="仿宋" w:hAnsi="仿宋" w:eastAsia="仿宋" w:cs="仿宋"/>
          <w:b/>
          <w:bCs/>
          <w:sz w:val="28"/>
          <w:szCs w:val="28"/>
        </w:rPr>
        <w:t>第七条 违约责任</w:t>
      </w:r>
    </w:p>
    <w:p w14:paraId="2256C4E9">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1.乙方逾期配送物资，每逾期1小时，按该批次订单总金额5%向甲方支付违约金；逾期超过4小时，甲方有权取消本次订单，乙方赔偿甲方因临时另行采购产生的差价、活动延误全部损失。</w:t>
      </w:r>
    </w:p>
    <w:p w14:paraId="1F3531A4">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2.物料质量不合格、规格与订单不符，乙方须24小时内完成更换；逾期未更换的，甲方可自行另行采购，采购差价及人工成本由乙方承担，同时扣除该批次订单10%作为违约金。</w:t>
      </w:r>
    </w:p>
    <w:p w14:paraId="7B13CAF5">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3.乙方违约导致甲方活动取消、延期、游客大规模投诉、媒体负面报道的，乙方除全额赔偿甲方直接经济损失外，另支付违约金人民币5000元—20000元（具体金额由甲方根据实际影响程度核定）。</w:t>
      </w:r>
    </w:p>
    <w:p w14:paraId="19E01AC6">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4.任何一方单方面无故提前解除合同，需提前30日书面通知对方，违约方赔偿守约方由此产生的全部实际损失。</w:t>
      </w:r>
    </w:p>
    <w:p w14:paraId="0DC0DB48">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仿宋" w:hAnsi="仿宋" w:eastAsia="仿宋" w:cs="仿宋"/>
          <w:b/>
          <w:bCs/>
          <w:sz w:val="28"/>
          <w:szCs w:val="28"/>
        </w:rPr>
      </w:pPr>
      <w:r>
        <w:rPr>
          <w:rFonts w:hint="eastAsia" w:ascii="仿宋" w:hAnsi="仿宋" w:eastAsia="仿宋" w:cs="仿宋"/>
          <w:b/>
          <w:bCs/>
          <w:sz w:val="28"/>
          <w:szCs w:val="28"/>
        </w:rPr>
        <w:t>第八条 不可抗力</w:t>
      </w:r>
    </w:p>
    <w:p w14:paraId="53B43747">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因地震、台风、洪水、极端天气、政府管控、疫情等不能预见、不能避免且无法克服的不可抗力因素导致一方无法履约的，受影响一方应第一时间书面通知对方，并提供有效证明材料，双方协商顺延供货或终止对应订单，互不承担违约责任，但双方均应采取措施尽力降低损失。</w:t>
      </w:r>
    </w:p>
    <w:p w14:paraId="0FBDEBC5">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仿宋" w:hAnsi="仿宋" w:eastAsia="仿宋" w:cs="仿宋"/>
          <w:b/>
          <w:bCs/>
          <w:sz w:val="28"/>
          <w:szCs w:val="28"/>
        </w:rPr>
      </w:pPr>
      <w:r>
        <w:rPr>
          <w:rFonts w:hint="eastAsia" w:ascii="仿宋" w:hAnsi="仿宋" w:eastAsia="仿宋" w:cs="仿宋"/>
          <w:b/>
          <w:bCs/>
          <w:sz w:val="28"/>
          <w:szCs w:val="28"/>
        </w:rPr>
        <w:t>第九条 争议解决</w:t>
      </w:r>
    </w:p>
    <w:p w14:paraId="55DE422F">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本合同履行过程中发生争议，双方优先友好协商解决；协商不成的，任何一方均可向甲方所在地人民法院提起诉讼。</w:t>
      </w:r>
    </w:p>
    <w:p w14:paraId="01EA60F9">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仿宋" w:hAnsi="仿宋" w:eastAsia="仿宋" w:cs="仿宋"/>
          <w:b/>
          <w:bCs/>
          <w:sz w:val="28"/>
          <w:szCs w:val="28"/>
        </w:rPr>
      </w:pPr>
      <w:r>
        <w:rPr>
          <w:rFonts w:hint="eastAsia" w:ascii="仿宋" w:hAnsi="仿宋" w:eastAsia="仿宋" w:cs="仿宋"/>
          <w:b/>
          <w:bCs/>
          <w:sz w:val="28"/>
          <w:szCs w:val="28"/>
        </w:rPr>
        <w:t>第十条 其他约定</w:t>
      </w:r>
    </w:p>
    <w:p w14:paraId="2DD9ED89">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1.本合同所有附件为本合同不可分割组成部分，与本合同具有同等法律效力。</w:t>
      </w:r>
    </w:p>
    <w:p w14:paraId="5AF55CC3">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2.甲方下发的采购单、整改通知、季度考核通知书、双方往来正式函件均作为本合同有效履约文件。</w:t>
      </w:r>
    </w:p>
    <w:p w14:paraId="33930020">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3.本合同一式两份，甲乙双方各执一份，加盖双方公章后生效，两份合同具备同等法律效力。</w:t>
      </w:r>
    </w:p>
    <w:p w14:paraId="6828109A">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4.本合同未尽事宜，双方另行签订书面补充协议；补充协议内容与本合同条款冲突的，以补充协议约定为准。</w:t>
      </w:r>
    </w:p>
    <w:p w14:paraId="21BE5612">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p>
    <w:p w14:paraId="2C0AA3D9">
      <w:pPr>
        <w:keepNext w:val="0"/>
        <w:keepLines w:val="0"/>
        <w:pageBreakBefore w:val="0"/>
        <w:widowControl w:val="0"/>
        <w:kinsoku/>
        <w:wordWrap/>
        <w:overflowPunct/>
        <w:topLinePunct w:val="0"/>
        <w:autoSpaceDE/>
        <w:autoSpaceDN/>
        <w:bidi w:val="0"/>
        <w:adjustRightInd/>
        <w:snapToGrid/>
        <w:spacing w:line="600" w:lineRule="auto"/>
        <w:ind w:firstLine="560" w:firstLineChars="200"/>
        <w:textAlignment w:val="auto"/>
        <w:rPr>
          <w:rFonts w:hint="eastAsia" w:ascii="仿宋" w:hAnsi="仿宋" w:eastAsia="仿宋" w:cs="仿宋"/>
          <w:sz w:val="28"/>
          <w:szCs w:val="28"/>
          <w:u w:val="single"/>
          <w:lang w:val="en-US" w:eastAsia="zh-CN"/>
        </w:rPr>
      </w:pPr>
      <w:r>
        <w:rPr>
          <w:rFonts w:hint="eastAsia" w:ascii="仿宋" w:hAnsi="仿宋" w:eastAsia="仿宋" w:cs="仿宋"/>
          <w:sz w:val="28"/>
          <w:szCs w:val="28"/>
        </w:rPr>
        <w:t>甲方（盖章）：</w:t>
      </w:r>
      <w:r>
        <w:rPr>
          <w:rFonts w:hint="eastAsia" w:ascii="仿宋" w:hAnsi="仿宋" w:eastAsia="仿宋" w:cs="仿宋"/>
          <w:sz w:val="28"/>
          <w:szCs w:val="28"/>
          <w:u w:val="single"/>
          <w:lang w:val="en-US" w:eastAsia="zh-CN"/>
        </w:rPr>
        <w:t xml:space="preserve">          </w:t>
      </w:r>
    </w:p>
    <w:p w14:paraId="55281C99">
      <w:pPr>
        <w:keepNext w:val="0"/>
        <w:keepLines w:val="0"/>
        <w:pageBreakBefore w:val="0"/>
        <w:widowControl w:val="0"/>
        <w:kinsoku/>
        <w:wordWrap/>
        <w:overflowPunct/>
        <w:topLinePunct w:val="0"/>
        <w:autoSpaceDE/>
        <w:autoSpaceDN/>
        <w:bidi w:val="0"/>
        <w:adjustRightInd/>
        <w:snapToGrid/>
        <w:spacing w:line="600" w:lineRule="auto"/>
        <w:ind w:firstLine="560" w:firstLineChars="200"/>
        <w:textAlignment w:val="auto"/>
        <w:rPr>
          <w:rFonts w:hint="eastAsia" w:ascii="仿宋" w:hAnsi="仿宋" w:eastAsia="仿宋" w:cs="仿宋"/>
          <w:sz w:val="28"/>
          <w:szCs w:val="28"/>
          <w:u w:val="single"/>
          <w:lang w:val="en-US" w:eastAsia="zh-CN"/>
        </w:rPr>
      </w:pPr>
      <w:r>
        <w:rPr>
          <w:rFonts w:hint="eastAsia" w:ascii="仿宋" w:hAnsi="仿宋" w:eastAsia="仿宋" w:cs="仿宋"/>
          <w:sz w:val="28"/>
          <w:szCs w:val="28"/>
        </w:rPr>
        <w:t>法定代表人/授权代表</w:t>
      </w:r>
      <w:r>
        <w:rPr>
          <w:rFonts w:hint="eastAsia" w:ascii="仿宋_GB2312" w:eastAsia="仿宋_GB2312" w:cs="仿宋_GB2312"/>
          <w:sz w:val="28"/>
          <w:szCs w:val="28"/>
        </w:rPr>
        <w:t>（签字</w:t>
      </w:r>
      <w:r>
        <w:rPr>
          <w:rFonts w:hint="eastAsia" w:ascii="仿宋_GB2312" w:eastAsia="仿宋_GB2312" w:cs="仿宋_GB2312"/>
          <w:sz w:val="28"/>
          <w:szCs w:val="28"/>
          <w:lang w:val="en-US" w:eastAsia="zh-CN"/>
        </w:rPr>
        <w:t>或盖章</w:t>
      </w:r>
      <w:r>
        <w:rPr>
          <w:rFonts w:hint="eastAsia" w:ascii="仿宋_GB2312" w:eastAsia="仿宋_GB2312" w:cs="仿宋_GB2312"/>
          <w:sz w:val="28"/>
          <w:szCs w:val="28"/>
        </w:rPr>
        <w:t>）</w:t>
      </w:r>
      <w:r>
        <w:rPr>
          <w:rFonts w:hint="eastAsia" w:ascii="仿宋" w:hAnsi="仿宋" w:eastAsia="仿宋" w:cs="仿宋"/>
          <w:sz w:val="28"/>
          <w:szCs w:val="28"/>
        </w:rPr>
        <w:t>：</w:t>
      </w:r>
      <w:r>
        <w:rPr>
          <w:rFonts w:hint="eastAsia" w:ascii="仿宋" w:hAnsi="仿宋" w:eastAsia="仿宋" w:cs="仿宋"/>
          <w:sz w:val="28"/>
          <w:szCs w:val="28"/>
          <w:u w:val="single"/>
          <w:lang w:val="en-US" w:eastAsia="zh-CN"/>
        </w:rPr>
        <w:t xml:space="preserve">          </w:t>
      </w:r>
    </w:p>
    <w:p w14:paraId="4A3DFCF6">
      <w:pPr>
        <w:keepNext w:val="0"/>
        <w:keepLines w:val="0"/>
        <w:pageBreakBefore w:val="0"/>
        <w:widowControl w:val="0"/>
        <w:kinsoku/>
        <w:wordWrap/>
        <w:overflowPunct/>
        <w:topLinePunct w:val="0"/>
        <w:autoSpaceDE/>
        <w:autoSpaceDN/>
        <w:bidi w:val="0"/>
        <w:adjustRightInd/>
        <w:snapToGrid/>
        <w:spacing w:line="60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签订日期：</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年</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月</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日</w:t>
      </w:r>
    </w:p>
    <w:p w14:paraId="49BBDF6B">
      <w:pPr>
        <w:keepNext w:val="0"/>
        <w:keepLines w:val="0"/>
        <w:pageBreakBefore w:val="0"/>
        <w:widowControl w:val="0"/>
        <w:kinsoku/>
        <w:wordWrap/>
        <w:overflowPunct/>
        <w:topLinePunct w:val="0"/>
        <w:autoSpaceDE/>
        <w:autoSpaceDN/>
        <w:bidi w:val="0"/>
        <w:adjustRightInd/>
        <w:snapToGrid/>
        <w:spacing w:line="600" w:lineRule="auto"/>
        <w:ind w:firstLine="560" w:firstLineChars="200"/>
        <w:textAlignment w:val="auto"/>
        <w:rPr>
          <w:rFonts w:hint="eastAsia" w:ascii="仿宋" w:hAnsi="仿宋" w:eastAsia="仿宋" w:cs="仿宋"/>
          <w:sz w:val="28"/>
          <w:szCs w:val="28"/>
        </w:rPr>
      </w:pPr>
    </w:p>
    <w:p w14:paraId="40DA76CF">
      <w:pPr>
        <w:keepNext w:val="0"/>
        <w:keepLines w:val="0"/>
        <w:pageBreakBefore w:val="0"/>
        <w:widowControl w:val="0"/>
        <w:kinsoku/>
        <w:wordWrap/>
        <w:overflowPunct/>
        <w:topLinePunct w:val="0"/>
        <w:autoSpaceDE/>
        <w:autoSpaceDN/>
        <w:bidi w:val="0"/>
        <w:adjustRightInd/>
        <w:snapToGrid/>
        <w:spacing w:line="600" w:lineRule="auto"/>
        <w:ind w:firstLine="560" w:firstLineChars="200"/>
        <w:textAlignment w:val="auto"/>
        <w:rPr>
          <w:rFonts w:hint="eastAsia" w:ascii="仿宋" w:hAnsi="仿宋" w:eastAsia="仿宋" w:cs="仿宋"/>
          <w:sz w:val="28"/>
          <w:szCs w:val="28"/>
          <w:u w:val="single"/>
          <w:lang w:val="en-US" w:eastAsia="zh-CN"/>
        </w:rPr>
      </w:pPr>
      <w:r>
        <w:rPr>
          <w:rFonts w:hint="eastAsia" w:ascii="仿宋" w:hAnsi="仿宋" w:eastAsia="仿宋" w:cs="仿宋"/>
          <w:sz w:val="28"/>
          <w:szCs w:val="28"/>
        </w:rPr>
        <w:t>乙方（盖章）：</w:t>
      </w:r>
      <w:r>
        <w:rPr>
          <w:rFonts w:hint="eastAsia" w:ascii="仿宋" w:hAnsi="仿宋" w:eastAsia="仿宋" w:cs="仿宋"/>
          <w:sz w:val="28"/>
          <w:szCs w:val="28"/>
          <w:u w:val="single"/>
          <w:lang w:val="en-US" w:eastAsia="zh-CN"/>
        </w:rPr>
        <w:t xml:space="preserve">          </w:t>
      </w:r>
    </w:p>
    <w:p w14:paraId="2D02BE0C">
      <w:pPr>
        <w:keepNext w:val="0"/>
        <w:keepLines w:val="0"/>
        <w:pageBreakBefore w:val="0"/>
        <w:widowControl w:val="0"/>
        <w:kinsoku/>
        <w:wordWrap/>
        <w:overflowPunct/>
        <w:topLinePunct w:val="0"/>
        <w:autoSpaceDE/>
        <w:autoSpaceDN/>
        <w:bidi w:val="0"/>
        <w:adjustRightInd/>
        <w:snapToGrid/>
        <w:spacing w:line="600" w:lineRule="auto"/>
        <w:ind w:firstLine="560" w:firstLineChars="200"/>
        <w:textAlignment w:val="auto"/>
        <w:rPr>
          <w:rFonts w:hint="eastAsia" w:ascii="仿宋" w:hAnsi="仿宋" w:eastAsia="仿宋" w:cs="仿宋"/>
          <w:sz w:val="28"/>
          <w:szCs w:val="28"/>
          <w:u w:val="single"/>
          <w:lang w:val="en-US" w:eastAsia="zh-CN"/>
        </w:rPr>
      </w:pPr>
      <w:r>
        <w:rPr>
          <w:rFonts w:hint="eastAsia" w:ascii="仿宋" w:hAnsi="仿宋" w:eastAsia="仿宋" w:cs="仿宋"/>
          <w:sz w:val="28"/>
          <w:szCs w:val="28"/>
        </w:rPr>
        <w:t>法定代表人/授权代表</w:t>
      </w:r>
      <w:r>
        <w:rPr>
          <w:rFonts w:hint="eastAsia" w:ascii="仿宋_GB2312" w:eastAsia="仿宋_GB2312" w:cs="仿宋_GB2312"/>
          <w:sz w:val="28"/>
          <w:szCs w:val="28"/>
        </w:rPr>
        <w:t>（签字</w:t>
      </w:r>
      <w:r>
        <w:rPr>
          <w:rFonts w:hint="eastAsia" w:ascii="仿宋_GB2312" w:eastAsia="仿宋_GB2312" w:cs="仿宋_GB2312"/>
          <w:sz w:val="28"/>
          <w:szCs w:val="28"/>
          <w:lang w:val="en-US" w:eastAsia="zh-CN"/>
        </w:rPr>
        <w:t>或盖章</w:t>
      </w:r>
      <w:r>
        <w:rPr>
          <w:rFonts w:hint="eastAsia" w:ascii="仿宋_GB2312" w:eastAsia="仿宋_GB2312" w:cs="仿宋_GB2312"/>
          <w:sz w:val="28"/>
          <w:szCs w:val="28"/>
        </w:rPr>
        <w:t>）</w:t>
      </w:r>
      <w:r>
        <w:rPr>
          <w:rFonts w:hint="eastAsia" w:ascii="仿宋" w:hAnsi="仿宋" w:eastAsia="仿宋" w:cs="仿宋"/>
          <w:sz w:val="28"/>
          <w:szCs w:val="28"/>
        </w:rPr>
        <w:t>：</w:t>
      </w:r>
      <w:r>
        <w:rPr>
          <w:rFonts w:hint="eastAsia" w:ascii="仿宋" w:hAnsi="仿宋" w:eastAsia="仿宋" w:cs="仿宋"/>
          <w:sz w:val="28"/>
          <w:szCs w:val="28"/>
          <w:u w:val="single"/>
          <w:lang w:val="en-US" w:eastAsia="zh-CN"/>
        </w:rPr>
        <w:t xml:space="preserve">          </w:t>
      </w:r>
    </w:p>
    <w:p w14:paraId="50A3207E">
      <w:pPr>
        <w:keepNext w:val="0"/>
        <w:keepLines w:val="0"/>
        <w:pageBreakBefore w:val="0"/>
        <w:widowControl w:val="0"/>
        <w:kinsoku/>
        <w:wordWrap/>
        <w:overflowPunct/>
        <w:topLinePunct w:val="0"/>
        <w:autoSpaceDE/>
        <w:autoSpaceDN/>
        <w:bidi w:val="0"/>
        <w:adjustRightInd/>
        <w:snapToGrid/>
        <w:spacing w:line="600" w:lineRule="auto"/>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签订日期：</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年</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月</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日</w:t>
      </w:r>
    </w:p>
    <w:p w14:paraId="6DD85991">
      <w:pPr>
        <w:rPr>
          <w:rFonts w:hint="eastAsia" w:ascii="仿宋" w:hAnsi="仿宋" w:eastAsia="仿宋" w:cs="仿宋"/>
          <w:color w:val="auto"/>
          <w:sz w:val="28"/>
          <w:szCs w:val="21"/>
          <w:highlight w:val="none"/>
          <w:lang w:val="en-US" w:eastAsia="zh-CN"/>
        </w:rPr>
      </w:pPr>
      <w:r>
        <w:rPr>
          <w:rFonts w:hint="eastAsia" w:ascii="仿宋" w:hAnsi="仿宋" w:eastAsia="仿宋" w:cs="仿宋"/>
          <w:color w:val="auto"/>
          <w:sz w:val="28"/>
          <w:szCs w:val="21"/>
          <w:highlight w:val="none"/>
          <w:lang w:val="en-US" w:eastAsia="zh-CN"/>
        </w:rPr>
        <w:br w:type="page"/>
      </w:r>
    </w:p>
    <w:p w14:paraId="6657DBD4">
      <w:pPr>
        <w:keepNext w:val="0"/>
        <w:keepLines w:val="0"/>
        <w:pageBreakBefore w:val="0"/>
        <w:kinsoku/>
        <w:overflowPunct/>
        <w:autoSpaceDE/>
        <w:autoSpaceDN/>
        <w:bidi w:val="0"/>
        <w:spacing w:before="0" w:after="0" w:line="360" w:lineRule="auto"/>
        <w:jc w:val="center"/>
        <w:outlineLvl w:val="1"/>
        <w:rPr>
          <w:rFonts w:hint="eastAsia" w:ascii="仿宋" w:hAnsi="仿宋" w:eastAsia="仿宋" w:cs="仿宋"/>
          <w:b/>
          <w:bCs w:val="0"/>
          <w:kern w:val="2"/>
          <w:sz w:val="44"/>
          <w:szCs w:val="44"/>
        </w:rPr>
      </w:pPr>
      <w:r>
        <w:rPr>
          <w:rFonts w:hint="eastAsia" w:ascii="仿宋" w:hAnsi="仿宋" w:eastAsia="仿宋" w:cs="仿宋"/>
          <w:b/>
          <w:bCs w:val="0"/>
          <w:kern w:val="2"/>
          <w:sz w:val="44"/>
          <w:szCs w:val="44"/>
        </w:rPr>
        <w:t>威海环晟文旅发展有限公司廉洁合作协议</w:t>
      </w:r>
    </w:p>
    <w:p w14:paraId="0D20C9D3">
      <w:pPr>
        <w:keepNext w:val="0"/>
        <w:keepLines w:val="0"/>
        <w:pageBreakBefore w:val="0"/>
        <w:widowControl w:val="0"/>
        <w:kinsoku/>
        <w:wordWrap/>
        <w:overflowPunct/>
        <w:topLinePunct/>
        <w:autoSpaceDE/>
        <w:autoSpaceDN/>
        <w:bidi w:val="0"/>
        <w:adjustRightInd/>
        <w:snapToGrid/>
        <w:spacing w:line="560" w:lineRule="exact"/>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签订方名称：</w:t>
      </w:r>
      <w:r>
        <w:rPr>
          <w:rFonts w:hint="eastAsia" w:ascii="仿宋" w:hAnsi="仿宋" w:eastAsia="仿宋" w:cs="仿宋"/>
          <w:color w:val="auto"/>
          <w:sz w:val="28"/>
          <w:szCs w:val="21"/>
          <w:highlight w:val="none"/>
          <w:u w:val="single"/>
        </w:rPr>
        <w:t xml:space="preserve">威海环晟文旅发展有限公司   </w:t>
      </w:r>
      <w:r>
        <w:rPr>
          <w:rFonts w:hint="eastAsia" w:ascii="仿宋" w:hAnsi="仿宋" w:eastAsia="仿宋" w:cs="仿宋"/>
          <w:color w:val="auto"/>
          <w:sz w:val="28"/>
          <w:szCs w:val="21"/>
          <w:highlight w:val="none"/>
        </w:rPr>
        <w:t>（简称环晟文旅公司）</w:t>
      </w:r>
    </w:p>
    <w:p w14:paraId="1AF086D4">
      <w:pPr>
        <w:keepNext w:val="0"/>
        <w:keepLines w:val="0"/>
        <w:pageBreakBefore w:val="0"/>
        <w:widowControl w:val="0"/>
        <w:kinsoku/>
        <w:wordWrap/>
        <w:overflowPunct/>
        <w:topLinePunct/>
        <w:autoSpaceDE/>
        <w:autoSpaceDN/>
        <w:bidi w:val="0"/>
        <w:adjustRightInd/>
        <w:snapToGrid/>
        <w:spacing w:line="560" w:lineRule="exact"/>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签订方名称：</w:t>
      </w:r>
      <w:r>
        <w:rPr>
          <w:rFonts w:hint="eastAsia" w:ascii="仿宋" w:hAnsi="仿宋" w:eastAsia="仿宋" w:cs="仿宋"/>
          <w:color w:val="auto"/>
          <w:sz w:val="28"/>
          <w:szCs w:val="21"/>
          <w:highlight w:val="none"/>
          <w:u w:val="single"/>
          <w:lang w:val="en-US" w:eastAsia="zh-CN"/>
        </w:rPr>
        <w:t xml:space="preserve">                           </w:t>
      </w:r>
      <w:r>
        <w:rPr>
          <w:rFonts w:hint="eastAsia" w:ascii="仿宋" w:hAnsi="仿宋" w:eastAsia="仿宋" w:cs="仿宋"/>
          <w:color w:val="auto"/>
          <w:sz w:val="28"/>
          <w:szCs w:val="21"/>
          <w:highlight w:val="none"/>
        </w:rPr>
        <w:t>（简称合作单位）</w:t>
      </w:r>
    </w:p>
    <w:p w14:paraId="25CD8227">
      <w:pPr>
        <w:keepNext w:val="0"/>
        <w:keepLines w:val="0"/>
        <w:pageBreakBefore w:val="0"/>
        <w:widowControl w:val="0"/>
        <w:kinsoku/>
        <w:wordWrap/>
        <w:overflowPunct/>
        <w:topLinePunct/>
        <w:autoSpaceDE/>
        <w:autoSpaceDN/>
        <w:bidi w:val="0"/>
        <w:adjustRightInd/>
        <w:snapToGrid/>
        <w:spacing w:line="560" w:lineRule="exact"/>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为促进双方廉洁高效合作、双方工作人员廉洁从业，经双方共同协商，就业务往来中的廉洁事宜达成一致意见，签订如下协议：</w:t>
      </w:r>
    </w:p>
    <w:p w14:paraId="02398A52">
      <w:pPr>
        <w:keepNext w:val="0"/>
        <w:keepLines w:val="0"/>
        <w:pageBreakBefore w:val="0"/>
        <w:widowControl w:val="0"/>
        <w:kinsoku/>
        <w:wordWrap/>
        <w:overflowPunct/>
        <w:topLinePunct/>
        <w:autoSpaceDE/>
        <w:autoSpaceDN/>
        <w:bidi w:val="0"/>
        <w:adjustRightInd/>
        <w:snapToGrid/>
        <w:spacing w:line="560" w:lineRule="exact"/>
        <w:ind w:firstLine="562" w:firstLineChars="200"/>
        <w:textAlignment w:val="auto"/>
        <w:outlineLvl w:val="1"/>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第一条 双方的责任</w:t>
      </w:r>
    </w:p>
    <w:p w14:paraId="42E2EA4D">
      <w:pPr>
        <w:keepNext w:val="0"/>
        <w:keepLines w:val="0"/>
        <w:pageBreakBefore w:val="0"/>
        <w:widowControl w:val="0"/>
        <w:kinsoku/>
        <w:wordWrap/>
        <w:overflowPunct/>
        <w:topLinePunct/>
        <w:autoSpaceDE/>
        <w:autoSpaceDN/>
        <w:bidi w:val="0"/>
        <w:adjustRightInd/>
        <w:snapToGrid/>
        <w:spacing w:line="560" w:lineRule="exact"/>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（一）严格遵守党和国家有关法律法规及环晟文旅公司有关廉洁从业的制度规定。</w:t>
      </w:r>
    </w:p>
    <w:p w14:paraId="3EFBE00F">
      <w:pPr>
        <w:keepNext w:val="0"/>
        <w:keepLines w:val="0"/>
        <w:pageBreakBefore w:val="0"/>
        <w:widowControl w:val="0"/>
        <w:kinsoku/>
        <w:wordWrap/>
        <w:overflowPunct/>
        <w:topLinePunct/>
        <w:autoSpaceDE/>
        <w:autoSpaceDN/>
        <w:bidi w:val="0"/>
        <w:adjustRightInd/>
        <w:snapToGrid/>
        <w:spacing w:line="560" w:lineRule="exact"/>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（二）双方本着公开、公平、诚信的原则，自觉遵守协议约定，不得损害国家、集体利益以及个人合法权益。</w:t>
      </w:r>
    </w:p>
    <w:p w14:paraId="002EB8AC">
      <w:pPr>
        <w:keepNext w:val="0"/>
        <w:keepLines w:val="0"/>
        <w:pageBreakBefore w:val="0"/>
        <w:widowControl w:val="0"/>
        <w:kinsoku/>
        <w:wordWrap/>
        <w:overflowPunct/>
        <w:topLinePunct/>
        <w:autoSpaceDE/>
        <w:autoSpaceDN/>
        <w:bidi w:val="0"/>
        <w:adjustRightInd/>
        <w:snapToGrid/>
        <w:spacing w:line="560" w:lineRule="exact"/>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（三）双方要加强互相监督，对违反协议行为及时提醒并予以纠正，发现违法违纪行为及时告知环晟文旅公司纪检监察机构（详见第四条）。</w:t>
      </w:r>
    </w:p>
    <w:p w14:paraId="05568AB2">
      <w:pPr>
        <w:keepNext w:val="0"/>
        <w:keepLines w:val="0"/>
        <w:pageBreakBefore w:val="0"/>
        <w:widowControl w:val="0"/>
        <w:kinsoku/>
        <w:wordWrap/>
        <w:overflowPunct/>
        <w:topLinePunct/>
        <w:autoSpaceDE/>
        <w:autoSpaceDN/>
        <w:bidi w:val="0"/>
        <w:adjustRightInd/>
        <w:snapToGrid/>
        <w:spacing w:line="560" w:lineRule="exact"/>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四）对违反《廉洁合作协议》约定的行为，环晟文旅公司按照有关规定给予本公司相关责任人党纪、政纪处分，涉嫌犯罪的，移交司法机关追究刑事责任；合作单位人员存在违反职业操守行为的，环晟文旅公司有权利要求合作单位对其人员进行查处，并保留终止相关合同、将合作单位列入合作伙伴黑名单的权利。</w:t>
      </w:r>
    </w:p>
    <w:p w14:paraId="1C267779">
      <w:pPr>
        <w:keepNext w:val="0"/>
        <w:keepLines w:val="0"/>
        <w:pageBreakBefore w:val="0"/>
        <w:widowControl w:val="0"/>
        <w:kinsoku/>
        <w:wordWrap/>
        <w:overflowPunct/>
        <w:topLinePunct/>
        <w:autoSpaceDE/>
        <w:autoSpaceDN/>
        <w:bidi w:val="0"/>
        <w:adjustRightInd/>
        <w:snapToGrid/>
        <w:spacing w:line="560" w:lineRule="exact"/>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五）环晟文旅公司的《廉洁合作协议》管理人员或纪检监察人员在对合同执行情况进行检查或抽查时，合作单位应给予配合。双方人员存在弄虚作假、玩忽职守、包庇纵容等行为的，双方单位均应对责任人进行处置。</w:t>
      </w:r>
    </w:p>
    <w:p w14:paraId="4992BEE5">
      <w:pPr>
        <w:keepNext w:val="0"/>
        <w:keepLines w:val="0"/>
        <w:pageBreakBefore w:val="0"/>
        <w:widowControl w:val="0"/>
        <w:kinsoku/>
        <w:wordWrap/>
        <w:overflowPunct/>
        <w:topLinePunct/>
        <w:autoSpaceDE/>
        <w:autoSpaceDN/>
        <w:bidi w:val="0"/>
        <w:adjustRightInd/>
        <w:snapToGrid/>
        <w:spacing w:line="560" w:lineRule="exact"/>
        <w:ind w:firstLine="562" w:firstLineChars="200"/>
        <w:textAlignment w:val="auto"/>
        <w:outlineLvl w:val="1"/>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第二条 环晟文旅公司义务</w:t>
      </w:r>
    </w:p>
    <w:p w14:paraId="0B762149">
      <w:pPr>
        <w:keepNext w:val="0"/>
        <w:keepLines w:val="0"/>
        <w:pageBreakBefore w:val="0"/>
        <w:widowControl w:val="0"/>
        <w:kinsoku/>
        <w:wordWrap/>
        <w:overflowPunct/>
        <w:topLinePunct/>
        <w:autoSpaceDE/>
        <w:autoSpaceDN/>
        <w:bidi w:val="0"/>
        <w:adjustRightInd/>
        <w:snapToGrid/>
        <w:spacing w:line="560" w:lineRule="exact"/>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（一）环晟文旅公司在业务委托过程中，应做到公平、公正、公开，禁止暗箱操作，不得泄露应当保密的项目信息。</w:t>
      </w:r>
    </w:p>
    <w:p w14:paraId="62F33066">
      <w:pPr>
        <w:keepNext w:val="0"/>
        <w:keepLines w:val="0"/>
        <w:pageBreakBefore w:val="0"/>
        <w:widowControl w:val="0"/>
        <w:kinsoku/>
        <w:wordWrap/>
        <w:overflowPunct/>
        <w:topLinePunct/>
        <w:autoSpaceDE/>
        <w:autoSpaceDN/>
        <w:bidi w:val="0"/>
        <w:adjustRightInd/>
        <w:snapToGrid/>
        <w:spacing w:line="560" w:lineRule="exact"/>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二）环晟文旅公司人员及其配偶、子女、特定关系人不得与合作单位人员发生任何非工作的往来，包括但不限于以下内容：不得收受对方馈送的任何现金、贵重物品、有价证券等；不得要求或接受对方为其住房建修、婚丧嫁娶、出国等提供资助；不得介绍亲友从事与双方合作有关的业务活动；不得收受回扣；不得参加合作单位组织的宴请、娱乐、旅游等活动；不得要求对方报销应由本人支付的费用等；不得吃拿卡要或变相吃拿卡要。</w:t>
      </w:r>
    </w:p>
    <w:p w14:paraId="68D80078">
      <w:pPr>
        <w:keepNext w:val="0"/>
        <w:keepLines w:val="0"/>
        <w:pageBreakBefore w:val="0"/>
        <w:widowControl w:val="0"/>
        <w:kinsoku/>
        <w:wordWrap/>
        <w:overflowPunct/>
        <w:topLinePunct/>
        <w:autoSpaceDE/>
        <w:autoSpaceDN/>
        <w:bidi w:val="0"/>
        <w:adjustRightInd/>
        <w:snapToGrid/>
        <w:spacing w:line="560" w:lineRule="exact"/>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（三）环晟文旅公司人员若违反《廉洁合作协议》约定，按照有关规定给予党纪政务处分；涉嫌犯罪的，按照有关程序移送司法机关处理。</w:t>
      </w:r>
    </w:p>
    <w:p w14:paraId="557D3239">
      <w:pPr>
        <w:keepNext w:val="0"/>
        <w:keepLines w:val="0"/>
        <w:pageBreakBefore w:val="0"/>
        <w:widowControl w:val="0"/>
        <w:kinsoku/>
        <w:wordWrap/>
        <w:overflowPunct/>
        <w:topLinePunct/>
        <w:autoSpaceDE/>
        <w:autoSpaceDN/>
        <w:bidi w:val="0"/>
        <w:adjustRightInd/>
        <w:snapToGrid/>
        <w:spacing w:line="560" w:lineRule="exact"/>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（四）环晟文旅公司人员不得为合作单位超合同约定比例结算款项、多计量、多签证或故意降低验收标准，并从中谋取私利。</w:t>
      </w:r>
    </w:p>
    <w:p w14:paraId="16E07B28">
      <w:pPr>
        <w:keepNext w:val="0"/>
        <w:keepLines w:val="0"/>
        <w:pageBreakBefore w:val="0"/>
        <w:widowControl w:val="0"/>
        <w:kinsoku/>
        <w:wordWrap/>
        <w:overflowPunct/>
        <w:topLinePunct/>
        <w:autoSpaceDE/>
        <w:autoSpaceDN/>
        <w:bidi w:val="0"/>
        <w:adjustRightInd/>
        <w:snapToGrid/>
        <w:spacing w:line="560" w:lineRule="exact"/>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（五）环晟文旅公司人员不得利用计量、结算、支付等职务权利，故意刁难合作单位以谋取私利。</w:t>
      </w:r>
    </w:p>
    <w:p w14:paraId="71433EA1">
      <w:pPr>
        <w:keepNext w:val="0"/>
        <w:keepLines w:val="0"/>
        <w:pageBreakBefore w:val="0"/>
        <w:widowControl w:val="0"/>
        <w:kinsoku/>
        <w:wordWrap/>
        <w:overflowPunct/>
        <w:topLinePunct/>
        <w:autoSpaceDE/>
        <w:autoSpaceDN/>
        <w:bidi w:val="0"/>
        <w:adjustRightInd/>
        <w:snapToGrid/>
        <w:spacing w:line="560" w:lineRule="exact"/>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（六）环晟文旅公司人员发现合作单位人员行贿以及其他违反《廉洁合作协议》的行为，有义务向环晟文旅公司纪检监察机构或其他相关部门举报。</w:t>
      </w:r>
    </w:p>
    <w:p w14:paraId="3FAD46D0">
      <w:pPr>
        <w:keepNext w:val="0"/>
        <w:keepLines w:val="0"/>
        <w:pageBreakBefore w:val="0"/>
        <w:widowControl w:val="0"/>
        <w:kinsoku/>
        <w:wordWrap/>
        <w:overflowPunct/>
        <w:topLinePunct/>
        <w:autoSpaceDE/>
        <w:autoSpaceDN/>
        <w:bidi w:val="0"/>
        <w:adjustRightInd/>
        <w:snapToGrid/>
        <w:spacing w:line="560" w:lineRule="exact"/>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（七）对合作单位所属机构和人员存在违反《廉洁合作协议》约定的行为，环晟文旅公司应收集汇总有关违规证据，配合合作单位调查处置。</w:t>
      </w:r>
    </w:p>
    <w:p w14:paraId="3B650A6F">
      <w:pPr>
        <w:keepNext w:val="0"/>
        <w:keepLines w:val="0"/>
        <w:pageBreakBefore w:val="0"/>
        <w:widowControl w:val="0"/>
        <w:kinsoku/>
        <w:wordWrap/>
        <w:overflowPunct/>
        <w:topLinePunct/>
        <w:autoSpaceDE/>
        <w:autoSpaceDN/>
        <w:bidi w:val="0"/>
        <w:adjustRightInd/>
        <w:snapToGrid/>
        <w:spacing w:line="560" w:lineRule="exact"/>
        <w:ind w:firstLine="562" w:firstLineChars="200"/>
        <w:textAlignment w:val="auto"/>
        <w:outlineLvl w:val="1"/>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第三条 合作单位义务</w:t>
      </w:r>
    </w:p>
    <w:p w14:paraId="4B992D98">
      <w:pPr>
        <w:keepNext w:val="0"/>
        <w:keepLines w:val="0"/>
        <w:pageBreakBefore w:val="0"/>
        <w:widowControl w:val="0"/>
        <w:kinsoku/>
        <w:wordWrap/>
        <w:overflowPunct/>
        <w:topLinePunct/>
        <w:autoSpaceDE/>
        <w:autoSpaceDN/>
        <w:bidi w:val="0"/>
        <w:adjustRightInd/>
        <w:snapToGrid/>
        <w:spacing w:line="560" w:lineRule="exact"/>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（一）合作单位不得有围标、串标、泄露双方机密，排挤其他经营者的公平竞争，在预决算、招投标和商务报价中弄虚作假、恶意高估冒算或故意以低价扰乱招投标等违反商业道德、扰乱正常竞争秩序等行为。</w:t>
      </w:r>
    </w:p>
    <w:p w14:paraId="30F52F84">
      <w:pPr>
        <w:keepNext w:val="0"/>
        <w:keepLines w:val="0"/>
        <w:pageBreakBefore w:val="0"/>
        <w:widowControl w:val="0"/>
        <w:kinsoku/>
        <w:wordWrap/>
        <w:overflowPunct/>
        <w:topLinePunct/>
        <w:autoSpaceDE/>
        <w:autoSpaceDN/>
        <w:bidi w:val="0"/>
        <w:adjustRightInd/>
        <w:snapToGrid/>
        <w:spacing w:line="560" w:lineRule="exact"/>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（二）合作单位人员不得为获取合作利益向环晟文旅公司人员送礼、行贿，不得有向环晟文旅公司人员提供宴请和娱乐活动及其他有违反法律法规和廉洁从业规定、影响公平交易的行为。</w:t>
      </w:r>
    </w:p>
    <w:p w14:paraId="213D6DD5">
      <w:pPr>
        <w:keepNext w:val="0"/>
        <w:keepLines w:val="0"/>
        <w:pageBreakBefore w:val="0"/>
        <w:widowControl w:val="0"/>
        <w:kinsoku/>
        <w:wordWrap/>
        <w:overflowPunct/>
        <w:topLinePunct/>
        <w:autoSpaceDE/>
        <w:autoSpaceDN/>
        <w:bidi w:val="0"/>
        <w:adjustRightInd/>
        <w:snapToGrid/>
        <w:spacing w:line="560" w:lineRule="exact"/>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（三）合作单位应对其所属机构和人员严格执行《廉洁合作协议》提出明确的要求，并加强监督和管理。</w:t>
      </w:r>
    </w:p>
    <w:p w14:paraId="5187F6E9">
      <w:pPr>
        <w:keepNext w:val="0"/>
        <w:keepLines w:val="0"/>
        <w:pageBreakBefore w:val="0"/>
        <w:widowControl w:val="0"/>
        <w:kinsoku/>
        <w:wordWrap/>
        <w:overflowPunct/>
        <w:topLinePunct/>
        <w:autoSpaceDE/>
        <w:autoSpaceDN/>
        <w:bidi w:val="0"/>
        <w:adjustRightInd/>
        <w:snapToGrid/>
        <w:spacing w:line="560" w:lineRule="exact"/>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（四）合作单位应积极配合环晟文旅公司纪检监察机构开展各项检查、核实工作。</w:t>
      </w:r>
    </w:p>
    <w:p w14:paraId="3CAEBD05">
      <w:pPr>
        <w:keepNext w:val="0"/>
        <w:keepLines w:val="0"/>
        <w:pageBreakBefore w:val="0"/>
        <w:widowControl w:val="0"/>
        <w:kinsoku/>
        <w:wordWrap/>
        <w:overflowPunct/>
        <w:topLinePunct/>
        <w:autoSpaceDE/>
        <w:autoSpaceDN/>
        <w:bidi w:val="0"/>
        <w:adjustRightInd/>
        <w:snapToGrid/>
        <w:spacing w:line="560" w:lineRule="exact"/>
        <w:ind w:firstLine="560" w:firstLineChars="200"/>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（五）合作单位发现环晟文旅公司人员有索贿行为、受贿行为及其他不廉洁行为时，应向环晟文旅公司纪检监察机构或其他相关部门举报，并有义务提供相关证据。</w:t>
      </w:r>
    </w:p>
    <w:p w14:paraId="5ED2B9FC">
      <w:pPr>
        <w:keepNext w:val="0"/>
        <w:keepLines w:val="0"/>
        <w:pageBreakBefore w:val="0"/>
        <w:widowControl w:val="0"/>
        <w:kinsoku/>
        <w:wordWrap/>
        <w:overflowPunct/>
        <w:topLinePunct/>
        <w:autoSpaceDE/>
        <w:autoSpaceDN/>
        <w:bidi w:val="0"/>
        <w:adjustRightInd/>
        <w:snapToGrid/>
        <w:spacing w:line="560" w:lineRule="exact"/>
        <w:ind w:firstLine="562" w:firstLineChars="200"/>
        <w:textAlignment w:val="auto"/>
        <w:rPr>
          <w:rFonts w:hint="eastAsia" w:ascii="仿宋" w:hAnsi="仿宋" w:eastAsia="仿宋" w:cs="仿宋"/>
          <w:color w:val="auto"/>
          <w:sz w:val="28"/>
          <w:szCs w:val="21"/>
          <w:highlight w:val="none"/>
        </w:rPr>
      </w:pPr>
      <w:r>
        <w:rPr>
          <w:rFonts w:hint="eastAsia" w:ascii="仿宋" w:hAnsi="仿宋" w:eastAsia="仿宋" w:cs="仿宋"/>
          <w:b/>
          <w:bCs/>
          <w:color w:val="auto"/>
          <w:sz w:val="28"/>
          <w:szCs w:val="28"/>
          <w:highlight w:val="none"/>
          <w:lang w:val="en-US" w:eastAsia="zh-CN"/>
        </w:rPr>
        <w:t xml:space="preserve">第四条 </w:t>
      </w:r>
      <w:r>
        <w:rPr>
          <w:rFonts w:hint="eastAsia" w:ascii="仿宋" w:hAnsi="仿宋" w:eastAsia="仿宋" w:cs="仿宋"/>
          <w:color w:val="auto"/>
          <w:sz w:val="28"/>
          <w:szCs w:val="21"/>
          <w:highlight w:val="none"/>
        </w:rPr>
        <w:t>环晟文旅公司纪检监察机构受理举报电话：0631-5239953。</w:t>
      </w:r>
    </w:p>
    <w:p w14:paraId="44A00BFD">
      <w:pPr>
        <w:keepNext w:val="0"/>
        <w:keepLines w:val="0"/>
        <w:pageBreakBefore w:val="0"/>
        <w:widowControl w:val="0"/>
        <w:kinsoku/>
        <w:wordWrap/>
        <w:overflowPunct/>
        <w:topLinePunct/>
        <w:autoSpaceDE/>
        <w:autoSpaceDN/>
        <w:bidi w:val="0"/>
        <w:adjustRightInd/>
        <w:snapToGrid/>
        <w:spacing w:line="560" w:lineRule="exact"/>
        <w:ind w:firstLine="562" w:firstLineChars="200"/>
        <w:textAlignment w:val="auto"/>
        <w:rPr>
          <w:rFonts w:hint="eastAsia" w:ascii="仿宋" w:hAnsi="仿宋" w:eastAsia="仿宋" w:cs="仿宋"/>
          <w:color w:val="auto"/>
          <w:sz w:val="28"/>
          <w:szCs w:val="21"/>
          <w:highlight w:val="none"/>
        </w:rPr>
      </w:pPr>
      <w:r>
        <w:rPr>
          <w:rFonts w:hint="eastAsia" w:ascii="仿宋" w:hAnsi="仿宋" w:eastAsia="仿宋" w:cs="仿宋"/>
          <w:b/>
          <w:bCs/>
          <w:color w:val="auto"/>
          <w:sz w:val="28"/>
          <w:szCs w:val="21"/>
          <w:highlight w:val="none"/>
        </w:rPr>
        <w:t>第五条</w:t>
      </w:r>
      <w:r>
        <w:rPr>
          <w:rFonts w:hint="eastAsia" w:ascii="仿宋" w:hAnsi="仿宋" w:eastAsia="仿宋" w:cs="仿宋"/>
          <w:color w:val="auto"/>
          <w:sz w:val="28"/>
          <w:szCs w:val="21"/>
          <w:highlight w:val="none"/>
        </w:rPr>
        <w:t xml:space="preserve"> 本协议双方签字盖章后生效，有效期与主合同一致。</w:t>
      </w:r>
    </w:p>
    <w:p w14:paraId="0E852A11">
      <w:pPr>
        <w:pStyle w:val="23"/>
        <w:keepNext w:val="0"/>
        <w:keepLines w:val="0"/>
        <w:pageBreakBefore w:val="0"/>
        <w:kinsoku/>
        <w:overflowPunct/>
        <w:autoSpaceDE/>
        <w:autoSpaceDN/>
        <w:bidi w:val="0"/>
        <w:rPr>
          <w:rFonts w:hint="eastAsia" w:ascii="仿宋" w:hAnsi="仿宋" w:eastAsia="仿宋" w:cs="仿宋"/>
          <w:color w:val="auto"/>
          <w:sz w:val="28"/>
          <w:szCs w:val="21"/>
          <w:highlight w:val="none"/>
        </w:rPr>
      </w:pPr>
    </w:p>
    <w:p w14:paraId="5A672F4E">
      <w:pPr>
        <w:pStyle w:val="23"/>
        <w:keepNext w:val="0"/>
        <w:keepLines w:val="0"/>
        <w:pageBreakBefore w:val="0"/>
        <w:kinsoku/>
        <w:overflowPunct/>
        <w:autoSpaceDE/>
        <w:autoSpaceDN/>
        <w:bidi w:val="0"/>
        <w:rPr>
          <w:rFonts w:hint="eastAsia" w:ascii="仿宋" w:hAnsi="仿宋" w:eastAsia="仿宋" w:cs="仿宋"/>
          <w:color w:val="auto"/>
          <w:sz w:val="28"/>
          <w:szCs w:val="21"/>
          <w:highlight w:val="none"/>
        </w:rPr>
      </w:pPr>
    </w:p>
    <w:p w14:paraId="6B84C3F3">
      <w:pPr>
        <w:keepNext w:val="0"/>
        <w:keepLines w:val="0"/>
        <w:pageBreakBefore w:val="0"/>
        <w:kinsoku/>
        <w:overflowPunct/>
        <w:autoSpaceDE/>
        <w:autoSpaceDN/>
        <w:bidi w:val="0"/>
        <w:spacing w:line="720" w:lineRule="auto"/>
        <w:rPr>
          <w:rFonts w:hint="eastAsia" w:ascii="仿宋_GB2312" w:eastAsia="仿宋_GB2312" w:cs="仿宋_GB2312"/>
          <w:sz w:val="28"/>
          <w:szCs w:val="28"/>
        </w:rPr>
      </w:pPr>
      <w:r>
        <w:rPr>
          <w:rFonts w:hint="eastAsia" w:ascii="仿宋_GB2312" w:eastAsia="仿宋_GB2312" w:cs="仿宋_GB2312"/>
          <w:sz w:val="28"/>
          <w:szCs w:val="28"/>
        </w:rPr>
        <w:t xml:space="preserve">威海环晟文旅发展有限公司       </w:t>
      </w:r>
      <w:r>
        <w:rPr>
          <w:rFonts w:hint="eastAsia" w:ascii="仿宋_GB2312" w:eastAsia="仿宋_GB2312" w:cs="仿宋_GB2312"/>
          <w:sz w:val="28"/>
          <w:szCs w:val="28"/>
          <w:lang w:val="en-US" w:eastAsia="zh-CN"/>
        </w:rPr>
        <w:t xml:space="preserve">       </w:t>
      </w:r>
      <w:r>
        <w:rPr>
          <w:rFonts w:hint="eastAsia" w:ascii="仿宋_GB2312" w:eastAsia="仿宋_GB2312" w:cs="仿宋_GB2312"/>
          <w:sz w:val="28"/>
          <w:szCs w:val="28"/>
        </w:rPr>
        <w:t>合作单位：</w:t>
      </w:r>
      <w:r>
        <w:rPr>
          <w:rFonts w:hint="eastAsia" w:ascii="仿宋_GB2312" w:eastAsia="仿宋_GB2312" w:cs="仿宋_GB2312"/>
          <w:sz w:val="28"/>
          <w:szCs w:val="28"/>
        </w:rPr>
        <w:cr/>
      </w:r>
      <w:r>
        <w:rPr>
          <w:rFonts w:hint="eastAsia" w:ascii="仿宋_GB2312" w:eastAsia="仿宋_GB2312" w:cs="仿宋_GB2312"/>
          <w:sz w:val="28"/>
          <w:szCs w:val="28"/>
        </w:rPr>
        <w:t xml:space="preserve">（盖章）        </w:t>
      </w:r>
      <w:r>
        <w:rPr>
          <w:rFonts w:hint="eastAsia" w:ascii="仿宋_GB2312" w:eastAsia="仿宋_GB2312" w:cs="仿宋_GB2312"/>
          <w:sz w:val="28"/>
          <w:szCs w:val="28"/>
          <w:lang w:val="en-US" w:eastAsia="zh-CN"/>
        </w:rPr>
        <w:t xml:space="preserve"> </w:t>
      </w:r>
      <w:r>
        <w:rPr>
          <w:rFonts w:hint="eastAsia" w:ascii="仿宋_GB2312" w:eastAsia="仿宋_GB2312" w:cs="仿宋_GB2312"/>
          <w:sz w:val="28"/>
          <w:szCs w:val="28"/>
        </w:rPr>
        <w:t xml:space="preserve">                     （盖章）</w:t>
      </w:r>
    </w:p>
    <w:p w14:paraId="20E7C773">
      <w:pPr>
        <w:keepNext w:val="0"/>
        <w:keepLines w:val="0"/>
        <w:pageBreakBefore w:val="0"/>
        <w:kinsoku/>
        <w:overflowPunct/>
        <w:autoSpaceDE/>
        <w:autoSpaceDN/>
        <w:bidi w:val="0"/>
        <w:spacing w:line="720" w:lineRule="auto"/>
        <w:rPr>
          <w:rFonts w:hint="eastAsia" w:ascii="仿宋_GB2312" w:eastAsia="仿宋_GB2312" w:cs="仿宋_GB2312"/>
          <w:sz w:val="28"/>
          <w:szCs w:val="28"/>
        </w:rPr>
      </w:pPr>
      <w:r>
        <w:rPr>
          <w:rFonts w:hint="eastAsia" w:ascii="仿宋_GB2312" w:eastAsia="仿宋_GB2312" w:cs="仿宋_GB2312"/>
          <w:sz w:val="28"/>
          <w:szCs w:val="28"/>
        </w:rPr>
        <w:t>负责人或授权人：（签字</w:t>
      </w:r>
      <w:r>
        <w:rPr>
          <w:rFonts w:hint="eastAsia" w:ascii="仿宋_GB2312" w:eastAsia="仿宋_GB2312" w:cs="仿宋_GB2312"/>
          <w:sz w:val="28"/>
          <w:szCs w:val="28"/>
          <w:lang w:val="en-US" w:eastAsia="zh-CN"/>
        </w:rPr>
        <w:t>或盖章</w:t>
      </w:r>
      <w:r>
        <w:rPr>
          <w:rFonts w:hint="eastAsia" w:ascii="仿宋_GB2312" w:eastAsia="仿宋_GB2312" w:cs="仿宋_GB2312"/>
          <w:sz w:val="28"/>
          <w:szCs w:val="28"/>
        </w:rPr>
        <w:t>）</w:t>
      </w:r>
      <w:r>
        <w:rPr>
          <w:rFonts w:hint="eastAsia" w:ascii="仿宋_GB2312" w:eastAsia="仿宋_GB2312" w:cs="仿宋_GB2312"/>
          <w:sz w:val="28"/>
          <w:szCs w:val="28"/>
          <w:lang w:val="en-US" w:eastAsia="zh-CN"/>
        </w:rPr>
        <w:t xml:space="preserve">        </w:t>
      </w:r>
      <w:r>
        <w:rPr>
          <w:rFonts w:hint="eastAsia" w:ascii="仿宋_GB2312" w:eastAsia="仿宋_GB2312" w:cs="仿宋_GB2312"/>
          <w:sz w:val="28"/>
          <w:szCs w:val="28"/>
        </w:rPr>
        <w:t>合作单位负责人：（签字</w:t>
      </w:r>
      <w:r>
        <w:rPr>
          <w:rFonts w:hint="eastAsia" w:ascii="仿宋_GB2312" w:eastAsia="仿宋_GB2312" w:cs="仿宋_GB2312"/>
          <w:sz w:val="28"/>
          <w:szCs w:val="28"/>
          <w:lang w:val="en-US" w:eastAsia="zh-CN"/>
        </w:rPr>
        <w:t>或盖章</w:t>
      </w:r>
      <w:r>
        <w:rPr>
          <w:rFonts w:hint="eastAsia" w:ascii="仿宋_GB2312" w:eastAsia="仿宋_GB2312" w:cs="仿宋_GB2312"/>
          <w:sz w:val="28"/>
          <w:szCs w:val="28"/>
        </w:rPr>
        <w:t>）</w:t>
      </w:r>
    </w:p>
    <w:p w14:paraId="0636D81B">
      <w:pPr>
        <w:keepNext w:val="0"/>
        <w:keepLines w:val="0"/>
        <w:pageBreakBefore w:val="0"/>
        <w:widowControl w:val="0"/>
        <w:kinsoku/>
        <w:wordWrap/>
        <w:overflowPunct/>
        <w:topLinePunct/>
        <w:autoSpaceDE/>
        <w:autoSpaceDN/>
        <w:bidi w:val="0"/>
        <w:adjustRightInd/>
        <w:snapToGrid/>
        <w:spacing w:line="720" w:lineRule="auto"/>
        <w:textAlignment w:val="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日期：</w:t>
      </w:r>
      <w:r>
        <w:rPr>
          <w:rFonts w:hint="eastAsia" w:ascii="仿宋" w:hAnsi="仿宋" w:eastAsia="仿宋" w:cs="仿宋"/>
          <w:color w:val="auto"/>
          <w:sz w:val="28"/>
          <w:szCs w:val="21"/>
          <w:highlight w:val="none"/>
          <w:lang w:val="en-US" w:eastAsia="zh-CN"/>
        </w:rPr>
        <w:t xml:space="preserve">    年   月   日                </w:t>
      </w:r>
      <w:r>
        <w:rPr>
          <w:rFonts w:hint="eastAsia" w:ascii="仿宋" w:hAnsi="仿宋" w:eastAsia="仿宋" w:cs="仿宋"/>
          <w:color w:val="auto"/>
          <w:sz w:val="28"/>
          <w:szCs w:val="21"/>
          <w:highlight w:val="none"/>
        </w:rPr>
        <w:t>日期：</w:t>
      </w:r>
      <w:r>
        <w:rPr>
          <w:rFonts w:hint="eastAsia" w:ascii="仿宋" w:hAnsi="仿宋" w:eastAsia="仿宋" w:cs="仿宋"/>
          <w:color w:val="auto"/>
          <w:sz w:val="28"/>
          <w:szCs w:val="21"/>
          <w:highlight w:val="none"/>
          <w:lang w:val="en-US" w:eastAsia="zh-CN"/>
        </w:rPr>
        <w:t xml:space="preserve">    年   月   日</w:t>
      </w:r>
    </w:p>
    <w:p w14:paraId="3965B6E5">
      <w:pPr>
        <w:pStyle w:val="17"/>
        <w:keepNext w:val="0"/>
        <w:keepLines w:val="0"/>
        <w:pageBreakBefore w:val="0"/>
        <w:kinsoku/>
        <w:overflowPunct/>
        <w:autoSpaceDE/>
        <w:autoSpaceDN/>
        <w:bidi w:val="0"/>
        <w:rPr>
          <w:rFonts w:hint="default"/>
          <w:lang w:val="en-US" w:eastAsia="zh-CN"/>
        </w:rPr>
      </w:pPr>
    </w:p>
    <w:sectPr>
      <w:pgSz w:w="11906" w:h="16838"/>
      <w:pgMar w:top="1280" w:right="1142" w:bottom="1118" w:left="1324" w:header="454" w:footer="680" w:gutter="0"/>
      <w:pgNumType w:fmt="decimal"/>
      <w:cols w:space="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5A4D3513-4825-424B-BC25-6750A0C42F7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embedRegular r:id="rId2" w:fontKey="{8817D406-17A0-4781-93E2-D39C698EA4F5}"/>
  </w:font>
  <w:font w:name="仿宋_GB2312">
    <w:panose1 w:val="02010609030101010101"/>
    <w:charset w:val="86"/>
    <w:family w:val="modern"/>
    <w:pitch w:val="default"/>
    <w:sig w:usb0="00000001" w:usb1="080E0000" w:usb2="00000000" w:usb3="00000000" w:csb0="00040000" w:csb1="00000000"/>
    <w:embedRegular r:id="rId3" w:fontKey="{F5ACBEA0-D518-4763-93A6-4B707D1027E4}"/>
  </w:font>
  <w:font w:name="微软雅黑">
    <w:panose1 w:val="020B0503020204020204"/>
    <w:charset w:val="86"/>
    <w:family w:val="auto"/>
    <w:pitch w:val="default"/>
    <w:sig w:usb0="80000287" w:usb1="2ACF3C50" w:usb2="00000016" w:usb3="00000000" w:csb0="0004001F" w:csb1="00000000"/>
    <w:embedRegular r:id="rId4" w:fontKey="{243E51DE-222E-4FFE-9AAC-220288899F89}"/>
  </w:font>
  <w:font w:name="方正小标宋简体">
    <w:panose1 w:val="03000509000000000000"/>
    <w:charset w:val="86"/>
    <w:family w:val="auto"/>
    <w:pitch w:val="default"/>
    <w:sig w:usb0="00000001" w:usb1="080E0000" w:usb2="00000000" w:usb3="00000000" w:csb0="00040000" w:csb1="00000000"/>
    <w:embedRegular r:id="rId5" w:fontKey="{113FA70B-BCA9-4CC5-A4B9-864E84B08C6F}"/>
  </w:font>
  <w:font w:name="WPSEMBED1">
    <w:panose1 w:val="02010609030101010101"/>
    <w:charset w:val="86"/>
    <w:family w:val="auto"/>
    <w:pitch w:val="default"/>
    <w:sig w:usb0="00000001" w:usb1="080E0000" w:usb2="00000000" w:usb3="00000000" w:csb0="00040000" w:csb1="00000000"/>
  </w:font>
  <w:font w:name="WPSEMBED2">
    <w:panose1 w:val="03000509000000000000"/>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C29A8D">
    <w:pPr>
      <w:pStyle w:val="19"/>
      <w:framePr w:wrap="around" w:vAnchor="text" w:hAnchor="margin" w:xAlign="center" w:y="1"/>
      <w:rPr>
        <w:rStyle w:val="30"/>
      </w:rPr>
    </w:pPr>
    <w:r>
      <w:fldChar w:fldCharType="begin"/>
    </w:r>
    <w:r>
      <w:rPr>
        <w:rStyle w:val="30"/>
      </w:rPr>
      <w:instrText xml:space="preserve">PAGE  </w:instrText>
    </w:r>
    <w:r>
      <w:fldChar w:fldCharType="end"/>
    </w:r>
  </w:p>
  <w:p w14:paraId="4ACCA2CA">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8F38E7">
    <w:pPr>
      <w:pStyle w:val="1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7F72F7">
    <w:pPr>
      <w:pStyle w:val="19"/>
    </w:pPr>
    <w:r>
      <w:rPr>
        <w:sz w:val="18"/>
      </w:rPr>
      <w:pict>
        <v:shape id="_x0000_s4103" o:spid="_x0000_s4103"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1DD5C51E">
                <w:pPr>
                  <w:pStyle w:val="19"/>
                </w:pPr>
                <w:r>
                  <w:fldChar w:fldCharType="begin"/>
                </w:r>
                <w:r>
                  <w:instrText xml:space="preserve"> PAGE  \* MERGEFORMAT </w:instrText>
                </w:r>
                <w:r>
                  <w:fldChar w:fldCharType="separate"/>
                </w:r>
                <w:r>
                  <w:t>1</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AC9A09">
    <w:pPr>
      <w:pStyle w:val="20"/>
      <w:pBdr>
        <w:bottom w:val="none" w:color="auto" w:sz="0" w:space="1"/>
      </w:pBdr>
      <w:ind w:firstLine="540" w:firstLineChars="300"/>
      <w:jc w:val="both"/>
    </w:pPr>
    <w:r>
      <w:drawing>
        <wp:anchor distT="0" distB="0" distL="114300" distR="114300" simplePos="0" relativeHeight="251659264" behindDoc="0" locked="0" layoutInCell="1" allowOverlap="1">
          <wp:simplePos x="0" y="0"/>
          <wp:positionH relativeFrom="column">
            <wp:posOffset>-57150</wp:posOffset>
          </wp:positionH>
          <wp:positionV relativeFrom="paragraph">
            <wp:posOffset>-133350</wp:posOffset>
          </wp:positionV>
          <wp:extent cx="372745" cy="303530"/>
          <wp:effectExtent l="0" t="0" r="0" b="1270"/>
          <wp:wrapNone/>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icPr>
                <pic:blipFill>
                  <a:blip r:embed="rId1"/>
                  <a:stretch>
                    <a:fillRect/>
                  </a:stretch>
                </pic:blipFill>
                <pic:spPr>
                  <a:xfrm>
                    <a:off x="0" y="0"/>
                    <a:ext cx="372745" cy="303530"/>
                  </a:xfrm>
                  <a:prstGeom prst="rect">
                    <a:avLst/>
                  </a:prstGeom>
                  <a:noFill/>
                  <a:ln>
                    <a:noFill/>
                  </a:ln>
                </pic:spPr>
              </pic:pic>
            </a:graphicData>
          </a:graphic>
        </wp:anchor>
      </w:drawing>
    </w:r>
    <w:r>
      <w:rPr>
        <w:szCs w:val="21"/>
        <w:u w:val="single"/>
      </w:rPr>
      <w:t xml:space="preserve">WEIHAI HANTAI </w:t>
    </w:r>
    <w:r>
      <w:rPr>
        <w:rFonts w:hint="eastAsia"/>
        <w:szCs w:val="18"/>
        <w:u w:val="single"/>
      </w:rPr>
      <w:t>ENGINEERING</w:t>
    </w:r>
    <w:r>
      <w:rPr>
        <w:szCs w:val="18"/>
        <w:u w:val="single"/>
      </w:rPr>
      <w:t xml:space="preserve"> PROGECT MANAGEMENT</w:t>
    </w:r>
    <w:r>
      <w:rPr>
        <w:szCs w:val="21"/>
        <w:u w:val="single"/>
      </w:rPr>
      <w:t xml:space="preserve"> </w:t>
    </w:r>
    <w:r>
      <w:rPr>
        <w:rFonts w:hint="eastAsia"/>
        <w:szCs w:val="18"/>
        <w:u w:val="single"/>
      </w:rPr>
      <w:t>CONSULTING Co.,LTD</w:t>
    </w:r>
    <w:r>
      <w:rPr>
        <w:szCs w:val="21"/>
        <w:u w:val="single"/>
      </w:rPr>
      <w:t xml:space="preserve"> </w:t>
    </w:r>
    <w:r>
      <w:rPr>
        <w:szCs w:val="18"/>
        <w:u w:val="single"/>
      </w:rPr>
      <w:t xml:space="preserve">    </w:t>
    </w:r>
    <w:r>
      <w:rPr>
        <w:rFonts w:hint="eastAsia"/>
        <w:szCs w:val="18"/>
        <w:u w:val="single"/>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39FE67">
    <w:pPr>
      <w:pStyle w:val="20"/>
      <w:pBdr>
        <w:bottom w:val="none" w:color="auto" w:sz="0" w:space="1"/>
      </w:pBdr>
      <w:ind w:firstLine="540" w:firstLineChars="300"/>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469F99">
    <w:pPr>
      <w:pStyle w:val="20"/>
      <w:pBdr>
        <w:bottom w:val="single" w:color="auto" w:sz="4" w:space="1"/>
      </w:pBdr>
      <w:jc w:val="left"/>
    </w:pPr>
    <w:r>
      <w:rPr>
        <w:rFonts w:hint="eastAsia" w:eastAsia="宋体"/>
      </w:rPr>
      <w:drawing>
        <wp:inline distT="0" distB="0" distL="114300" distR="114300">
          <wp:extent cx="363855" cy="276225"/>
          <wp:effectExtent l="0" t="0" r="17145" b="8890"/>
          <wp:docPr id="3" name="图片 2" descr="瀚泰lougo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瀚泰lougou"/>
                  <pic:cNvPicPr>
                    <a:picLocks noChangeAspect="1"/>
                  </pic:cNvPicPr>
                </pic:nvPicPr>
                <pic:blipFill>
                  <a:blip r:embed="rId1"/>
                  <a:stretch>
                    <a:fillRect/>
                  </a:stretch>
                </pic:blipFill>
                <pic:spPr>
                  <a:xfrm>
                    <a:off x="0" y="0"/>
                    <a:ext cx="363855" cy="276225"/>
                  </a:xfrm>
                  <a:prstGeom prst="rect">
                    <a:avLst/>
                  </a:prstGeom>
                  <a:noFill/>
                  <a:ln>
                    <a:noFill/>
                  </a:ln>
                </pic:spPr>
              </pic:pic>
            </a:graphicData>
          </a:graphic>
        </wp:inline>
      </w:drawing>
    </w:r>
    <w:r>
      <w:rPr>
        <w:rFonts w:ascii="Arial" w:hAnsi="Arial" w:eastAsia="宋体" w:cs="Arial"/>
        <w:i w:val="0"/>
        <w:iCs w:val="0"/>
        <w:caps w:val="0"/>
        <w:color w:val="000000"/>
        <w:spacing w:val="0"/>
        <w:sz w:val="21"/>
        <w:szCs w:val="21"/>
        <w:shd w:val="clear" w:color="auto" w:fill="FFFFFF"/>
      </w:rPr>
      <w:t>Shandong Hantai Construction Management Co., Ltd</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NWY1ODQ2NDFlMDI4MGRkN2NmMzRmOGJjNzNjMTQ4M2UifQ=="/>
  </w:docVars>
  <w:rsids>
    <w:rsidRoot w:val="0013613E"/>
    <w:rsid w:val="00011781"/>
    <w:rsid w:val="000118A6"/>
    <w:rsid w:val="000161BA"/>
    <w:rsid w:val="00020876"/>
    <w:rsid w:val="00032F7A"/>
    <w:rsid w:val="00043144"/>
    <w:rsid w:val="000462B1"/>
    <w:rsid w:val="000518EC"/>
    <w:rsid w:val="000520F5"/>
    <w:rsid w:val="00065CAF"/>
    <w:rsid w:val="00077DD3"/>
    <w:rsid w:val="00083D9F"/>
    <w:rsid w:val="00091946"/>
    <w:rsid w:val="000B1A22"/>
    <w:rsid w:val="000B375D"/>
    <w:rsid w:val="000B49A6"/>
    <w:rsid w:val="000E6AF8"/>
    <w:rsid w:val="000F1CEA"/>
    <w:rsid w:val="000F3DE8"/>
    <w:rsid w:val="00107795"/>
    <w:rsid w:val="00113271"/>
    <w:rsid w:val="00116D3D"/>
    <w:rsid w:val="001230AD"/>
    <w:rsid w:val="001239E6"/>
    <w:rsid w:val="0013613E"/>
    <w:rsid w:val="001363B8"/>
    <w:rsid w:val="00146A3D"/>
    <w:rsid w:val="001525E0"/>
    <w:rsid w:val="001700EE"/>
    <w:rsid w:val="00186BF0"/>
    <w:rsid w:val="00186DE4"/>
    <w:rsid w:val="001919F2"/>
    <w:rsid w:val="00192A3A"/>
    <w:rsid w:val="00193B8D"/>
    <w:rsid w:val="001B54FB"/>
    <w:rsid w:val="001B5810"/>
    <w:rsid w:val="001C2CBC"/>
    <w:rsid w:val="001D67B6"/>
    <w:rsid w:val="001E13B5"/>
    <w:rsid w:val="001E41DB"/>
    <w:rsid w:val="001E7A43"/>
    <w:rsid w:val="001E7D99"/>
    <w:rsid w:val="001F2C85"/>
    <w:rsid w:val="001F7F7E"/>
    <w:rsid w:val="0020312E"/>
    <w:rsid w:val="00225378"/>
    <w:rsid w:val="002257E4"/>
    <w:rsid w:val="0025159D"/>
    <w:rsid w:val="00252AF5"/>
    <w:rsid w:val="00260B1B"/>
    <w:rsid w:val="00271E37"/>
    <w:rsid w:val="00286A0B"/>
    <w:rsid w:val="00287D1E"/>
    <w:rsid w:val="00293E21"/>
    <w:rsid w:val="00296867"/>
    <w:rsid w:val="002B252C"/>
    <w:rsid w:val="002B69DE"/>
    <w:rsid w:val="002D0064"/>
    <w:rsid w:val="002D1F58"/>
    <w:rsid w:val="002E1F6F"/>
    <w:rsid w:val="0030387E"/>
    <w:rsid w:val="00306735"/>
    <w:rsid w:val="00327FA2"/>
    <w:rsid w:val="00336285"/>
    <w:rsid w:val="003532FE"/>
    <w:rsid w:val="00356705"/>
    <w:rsid w:val="00371807"/>
    <w:rsid w:val="003B0CFA"/>
    <w:rsid w:val="003B4A0C"/>
    <w:rsid w:val="003B643A"/>
    <w:rsid w:val="003D15A3"/>
    <w:rsid w:val="00406725"/>
    <w:rsid w:val="00411AD0"/>
    <w:rsid w:val="0043193D"/>
    <w:rsid w:val="00447425"/>
    <w:rsid w:val="0046550B"/>
    <w:rsid w:val="0046645D"/>
    <w:rsid w:val="0048639B"/>
    <w:rsid w:val="004866CF"/>
    <w:rsid w:val="00495CB5"/>
    <w:rsid w:val="004A1228"/>
    <w:rsid w:val="004C3466"/>
    <w:rsid w:val="004D3C6A"/>
    <w:rsid w:val="004D549C"/>
    <w:rsid w:val="004F7457"/>
    <w:rsid w:val="005015E6"/>
    <w:rsid w:val="00503463"/>
    <w:rsid w:val="00506D9E"/>
    <w:rsid w:val="005133BF"/>
    <w:rsid w:val="005155C4"/>
    <w:rsid w:val="005200DD"/>
    <w:rsid w:val="00541C61"/>
    <w:rsid w:val="00563F5D"/>
    <w:rsid w:val="005661BE"/>
    <w:rsid w:val="00576BDA"/>
    <w:rsid w:val="00577718"/>
    <w:rsid w:val="00580A5A"/>
    <w:rsid w:val="00596245"/>
    <w:rsid w:val="00597B68"/>
    <w:rsid w:val="005A2D64"/>
    <w:rsid w:val="005C2218"/>
    <w:rsid w:val="005C2A9D"/>
    <w:rsid w:val="005C4D2E"/>
    <w:rsid w:val="005C6ECC"/>
    <w:rsid w:val="005C703A"/>
    <w:rsid w:val="005D10B1"/>
    <w:rsid w:val="005D2854"/>
    <w:rsid w:val="005D4D56"/>
    <w:rsid w:val="005D7C9D"/>
    <w:rsid w:val="005E0666"/>
    <w:rsid w:val="005E1254"/>
    <w:rsid w:val="005F4534"/>
    <w:rsid w:val="00600AB0"/>
    <w:rsid w:val="00610D01"/>
    <w:rsid w:val="006140F3"/>
    <w:rsid w:val="006209E1"/>
    <w:rsid w:val="00626EB8"/>
    <w:rsid w:val="00642EC8"/>
    <w:rsid w:val="006437E7"/>
    <w:rsid w:val="00646DCD"/>
    <w:rsid w:val="006535E5"/>
    <w:rsid w:val="0065589D"/>
    <w:rsid w:val="006709B5"/>
    <w:rsid w:val="006C43DC"/>
    <w:rsid w:val="006D2A9B"/>
    <w:rsid w:val="006E0877"/>
    <w:rsid w:val="006E7ED4"/>
    <w:rsid w:val="007119F5"/>
    <w:rsid w:val="00724453"/>
    <w:rsid w:val="00724981"/>
    <w:rsid w:val="007265F1"/>
    <w:rsid w:val="00736CE1"/>
    <w:rsid w:val="00747AB4"/>
    <w:rsid w:val="007535E1"/>
    <w:rsid w:val="00787A5A"/>
    <w:rsid w:val="007A1658"/>
    <w:rsid w:val="007A285C"/>
    <w:rsid w:val="007D2E61"/>
    <w:rsid w:val="007F33AB"/>
    <w:rsid w:val="00806FB0"/>
    <w:rsid w:val="00826C78"/>
    <w:rsid w:val="008429AC"/>
    <w:rsid w:val="00850B10"/>
    <w:rsid w:val="00861B40"/>
    <w:rsid w:val="008815FE"/>
    <w:rsid w:val="00885D8D"/>
    <w:rsid w:val="008861DE"/>
    <w:rsid w:val="00886EFE"/>
    <w:rsid w:val="008A0726"/>
    <w:rsid w:val="008A1593"/>
    <w:rsid w:val="008C44DA"/>
    <w:rsid w:val="0090125F"/>
    <w:rsid w:val="00911784"/>
    <w:rsid w:val="00933BD1"/>
    <w:rsid w:val="00941B08"/>
    <w:rsid w:val="009444C8"/>
    <w:rsid w:val="009603FF"/>
    <w:rsid w:val="00960C8B"/>
    <w:rsid w:val="0097316A"/>
    <w:rsid w:val="00983546"/>
    <w:rsid w:val="009A2599"/>
    <w:rsid w:val="009C337D"/>
    <w:rsid w:val="009C4C3B"/>
    <w:rsid w:val="009D0EA3"/>
    <w:rsid w:val="009E63B7"/>
    <w:rsid w:val="009E6479"/>
    <w:rsid w:val="009F4FAC"/>
    <w:rsid w:val="009F555D"/>
    <w:rsid w:val="00A07FB0"/>
    <w:rsid w:val="00A1186F"/>
    <w:rsid w:val="00A14830"/>
    <w:rsid w:val="00A20885"/>
    <w:rsid w:val="00A32B35"/>
    <w:rsid w:val="00A44D02"/>
    <w:rsid w:val="00A52192"/>
    <w:rsid w:val="00A56220"/>
    <w:rsid w:val="00A6171B"/>
    <w:rsid w:val="00A662A3"/>
    <w:rsid w:val="00A667D5"/>
    <w:rsid w:val="00A81DDA"/>
    <w:rsid w:val="00A92FE8"/>
    <w:rsid w:val="00AA6882"/>
    <w:rsid w:val="00AB1812"/>
    <w:rsid w:val="00AC7375"/>
    <w:rsid w:val="00AD7412"/>
    <w:rsid w:val="00AE53A5"/>
    <w:rsid w:val="00B00BD6"/>
    <w:rsid w:val="00B25F7A"/>
    <w:rsid w:val="00B35724"/>
    <w:rsid w:val="00B37D6C"/>
    <w:rsid w:val="00B46A09"/>
    <w:rsid w:val="00B71F65"/>
    <w:rsid w:val="00B82A59"/>
    <w:rsid w:val="00B83F51"/>
    <w:rsid w:val="00B86B24"/>
    <w:rsid w:val="00B92B4B"/>
    <w:rsid w:val="00BB3DA8"/>
    <w:rsid w:val="00BB72CE"/>
    <w:rsid w:val="00BC732A"/>
    <w:rsid w:val="00BE4084"/>
    <w:rsid w:val="00C00E64"/>
    <w:rsid w:val="00C106E9"/>
    <w:rsid w:val="00C12DE3"/>
    <w:rsid w:val="00C16F32"/>
    <w:rsid w:val="00C30909"/>
    <w:rsid w:val="00C31F54"/>
    <w:rsid w:val="00C37991"/>
    <w:rsid w:val="00C41468"/>
    <w:rsid w:val="00C44385"/>
    <w:rsid w:val="00C458F2"/>
    <w:rsid w:val="00C524EA"/>
    <w:rsid w:val="00C62EE5"/>
    <w:rsid w:val="00CB33EF"/>
    <w:rsid w:val="00CC0D58"/>
    <w:rsid w:val="00CC38FC"/>
    <w:rsid w:val="00CD5FBB"/>
    <w:rsid w:val="00CD6E5A"/>
    <w:rsid w:val="00CE470B"/>
    <w:rsid w:val="00CF5410"/>
    <w:rsid w:val="00CF6B08"/>
    <w:rsid w:val="00D01278"/>
    <w:rsid w:val="00D03026"/>
    <w:rsid w:val="00D11D17"/>
    <w:rsid w:val="00D2599E"/>
    <w:rsid w:val="00D40516"/>
    <w:rsid w:val="00D40D69"/>
    <w:rsid w:val="00D549C1"/>
    <w:rsid w:val="00D70AF7"/>
    <w:rsid w:val="00D726F2"/>
    <w:rsid w:val="00DA3EA5"/>
    <w:rsid w:val="00DC2373"/>
    <w:rsid w:val="00DC2904"/>
    <w:rsid w:val="00E019EA"/>
    <w:rsid w:val="00E14E79"/>
    <w:rsid w:val="00E16447"/>
    <w:rsid w:val="00E17B56"/>
    <w:rsid w:val="00E3331B"/>
    <w:rsid w:val="00E60A9C"/>
    <w:rsid w:val="00E7261D"/>
    <w:rsid w:val="00E865C2"/>
    <w:rsid w:val="00E95303"/>
    <w:rsid w:val="00EA2F15"/>
    <w:rsid w:val="00EA40E8"/>
    <w:rsid w:val="00EA54E7"/>
    <w:rsid w:val="00EB1560"/>
    <w:rsid w:val="00EB18DA"/>
    <w:rsid w:val="00EB2487"/>
    <w:rsid w:val="00EB304F"/>
    <w:rsid w:val="00EB5D2B"/>
    <w:rsid w:val="00EB6C58"/>
    <w:rsid w:val="00EC175B"/>
    <w:rsid w:val="00EC74E3"/>
    <w:rsid w:val="00EE14A7"/>
    <w:rsid w:val="00EE1E28"/>
    <w:rsid w:val="00EE28CE"/>
    <w:rsid w:val="00EF0470"/>
    <w:rsid w:val="00EF056C"/>
    <w:rsid w:val="00F137C0"/>
    <w:rsid w:val="00F20108"/>
    <w:rsid w:val="00F434E8"/>
    <w:rsid w:val="00F44F67"/>
    <w:rsid w:val="00F50CDF"/>
    <w:rsid w:val="00F53031"/>
    <w:rsid w:val="00F648CF"/>
    <w:rsid w:val="00F84F5E"/>
    <w:rsid w:val="00F96845"/>
    <w:rsid w:val="00FA2397"/>
    <w:rsid w:val="00FA4466"/>
    <w:rsid w:val="00FB3654"/>
    <w:rsid w:val="00FB4547"/>
    <w:rsid w:val="00FC55ED"/>
    <w:rsid w:val="00FC7BC2"/>
    <w:rsid w:val="00FE795E"/>
    <w:rsid w:val="01011432"/>
    <w:rsid w:val="01055032"/>
    <w:rsid w:val="010B2944"/>
    <w:rsid w:val="010D4F6F"/>
    <w:rsid w:val="01100E48"/>
    <w:rsid w:val="0115093E"/>
    <w:rsid w:val="0118690F"/>
    <w:rsid w:val="012313A8"/>
    <w:rsid w:val="0127018A"/>
    <w:rsid w:val="012D66CB"/>
    <w:rsid w:val="01320ACB"/>
    <w:rsid w:val="013B4944"/>
    <w:rsid w:val="013B6B5D"/>
    <w:rsid w:val="01422176"/>
    <w:rsid w:val="014A4B87"/>
    <w:rsid w:val="014D51EB"/>
    <w:rsid w:val="014F4893"/>
    <w:rsid w:val="0156177E"/>
    <w:rsid w:val="0156352C"/>
    <w:rsid w:val="015717F3"/>
    <w:rsid w:val="015A111D"/>
    <w:rsid w:val="015B6D94"/>
    <w:rsid w:val="015E1A89"/>
    <w:rsid w:val="015F18B8"/>
    <w:rsid w:val="016022B4"/>
    <w:rsid w:val="01635650"/>
    <w:rsid w:val="017165B7"/>
    <w:rsid w:val="017460A8"/>
    <w:rsid w:val="017552E8"/>
    <w:rsid w:val="018B2121"/>
    <w:rsid w:val="018C33F1"/>
    <w:rsid w:val="019329D2"/>
    <w:rsid w:val="0196601E"/>
    <w:rsid w:val="01970BC3"/>
    <w:rsid w:val="0198159D"/>
    <w:rsid w:val="0199213C"/>
    <w:rsid w:val="019F790E"/>
    <w:rsid w:val="019F7B6C"/>
    <w:rsid w:val="01A3073B"/>
    <w:rsid w:val="01AF0E8E"/>
    <w:rsid w:val="01B5188B"/>
    <w:rsid w:val="01BB7833"/>
    <w:rsid w:val="01BD042C"/>
    <w:rsid w:val="01BD17FD"/>
    <w:rsid w:val="01C0753F"/>
    <w:rsid w:val="01C52716"/>
    <w:rsid w:val="01C5380A"/>
    <w:rsid w:val="01C53836"/>
    <w:rsid w:val="01C7267B"/>
    <w:rsid w:val="01D454A1"/>
    <w:rsid w:val="01D60B10"/>
    <w:rsid w:val="01D630C2"/>
    <w:rsid w:val="01D84888"/>
    <w:rsid w:val="01E005CD"/>
    <w:rsid w:val="01E50D53"/>
    <w:rsid w:val="01E7687A"/>
    <w:rsid w:val="01EC5C3E"/>
    <w:rsid w:val="01F30A06"/>
    <w:rsid w:val="01F66ABD"/>
    <w:rsid w:val="02016E9A"/>
    <w:rsid w:val="02022281"/>
    <w:rsid w:val="02076421"/>
    <w:rsid w:val="02095AB2"/>
    <w:rsid w:val="020C62E0"/>
    <w:rsid w:val="020E3E06"/>
    <w:rsid w:val="020F65B7"/>
    <w:rsid w:val="0213766F"/>
    <w:rsid w:val="02145EAB"/>
    <w:rsid w:val="021C29C7"/>
    <w:rsid w:val="022B3C48"/>
    <w:rsid w:val="022D66A7"/>
    <w:rsid w:val="02334221"/>
    <w:rsid w:val="02337D11"/>
    <w:rsid w:val="0236335D"/>
    <w:rsid w:val="02380E83"/>
    <w:rsid w:val="02385327"/>
    <w:rsid w:val="023D0B8F"/>
    <w:rsid w:val="023D7002"/>
    <w:rsid w:val="024261A6"/>
    <w:rsid w:val="02497CA0"/>
    <w:rsid w:val="024E06A7"/>
    <w:rsid w:val="024E68F9"/>
    <w:rsid w:val="02511F45"/>
    <w:rsid w:val="025F4662"/>
    <w:rsid w:val="0261487E"/>
    <w:rsid w:val="026B3007"/>
    <w:rsid w:val="0273010D"/>
    <w:rsid w:val="02754CC0"/>
    <w:rsid w:val="02780760"/>
    <w:rsid w:val="027B41E5"/>
    <w:rsid w:val="027F3A06"/>
    <w:rsid w:val="0281282A"/>
    <w:rsid w:val="028D7421"/>
    <w:rsid w:val="02924A37"/>
    <w:rsid w:val="029562D6"/>
    <w:rsid w:val="029B0B88"/>
    <w:rsid w:val="02A76009"/>
    <w:rsid w:val="02AA5749"/>
    <w:rsid w:val="02AB78A7"/>
    <w:rsid w:val="02AD7AC3"/>
    <w:rsid w:val="02B07A91"/>
    <w:rsid w:val="02B70CA0"/>
    <w:rsid w:val="02B726F0"/>
    <w:rsid w:val="02C46BBB"/>
    <w:rsid w:val="02CD3389"/>
    <w:rsid w:val="02CF5B57"/>
    <w:rsid w:val="02D3157B"/>
    <w:rsid w:val="02D42E5C"/>
    <w:rsid w:val="02DB3ACA"/>
    <w:rsid w:val="02E1151B"/>
    <w:rsid w:val="02E4100B"/>
    <w:rsid w:val="02E903CF"/>
    <w:rsid w:val="02EB2811"/>
    <w:rsid w:val="02FF17CC"/>
    <w:rsid w:val="0301396B"/>
    <w:rsid w:val="030271C5"/>
    <w:rsid w:val="03157416"/>
    <w:rsid w:val="031A137F"/>
    <w:rsid w:val="032D4760"/>
    <w:rsid w:val="032F7D47"/>
    <w:rsid w:val="03315320"/>
    <w:rsid w:val="0334789D"/>
    <w:rsid w:val="03353615"/>
    <w:rsid w:val="03391357"/>
    <w:rsid w:val="033C49A3"/>
    <w:rsid w:val="03426126"/>
    <w:rsid w:val="03455F4E"/>
    <w:rsid w:val="03465822"/>
    <w:rsid w:val="03477597"/>
    <w:rsid w:val="034920CB"/>
    <w:rsid w:val="035717DD"/>
    <w:rsid w:val="035C5045"/>
    <w:rsid w:val="035E4919"/>
    <w:rsid w:val="03617354"/>
    <w:rsid w:val="036208AE"/>
    <w:rsid w:val="036E1B26"/>
    <w:rsid w:val="036E4623"/>
    <w:rsid w:val="03736A25"/>
    <w:rsid w:val="03760A36"/>
    <w:rsid w:val="0381685A"/>
    <w:rsid w:val="03821040"/>
    <w:rsid w:val="038834A2"/>
    <w:rsid w:val="038D1B08"/>
    <w:rsid w:val="03960557"/>
    <w:rsid w:val="03984491"/>
    <w:rsid w:val="03990047"/>
    <w:rsid w:val="039E740C"/>
    <w:rsid w:val="03AB508A"/>
    <w:rsid w:val="03AC12AA"/>
    <w:rsid w:val="03AF1619"/>
    <w:rsid w:val="03BD5AE4"/>
    <w:rsid w:val="03BE7AAE"/>
    <w:rsid w:val="03C03826"/>
    <w:rsid w:val="03C738D7"/>
    <w:rsid w:val="03C74493"/>
    <w:rsid w:val="03C926DB"/>
    <w:rsid w:val="03E5753D"/>
    <w:rsid w:val="03EE3EEF"/>
    <w:rsid w:val="03F31506"/>
    <w:rsid w:val="03F4527E"/>
    <w:rsid w:val="040218C2"/>
    <w:rsid w:val="0405748B"/>
    <w:rsid w:val="040F3E66"/>
    <w:rsid w:val="04195CEF"/>
    <w:rsid w:val="041A57A7"/>
    <w:rsid w:val="041B6CAE"/>
    <w:rsid w:val="041D483A"/>
    <w:rsid w:val="041E22FB"/>
    <w:rsid w:val="0422003D"/>
    <w:rsid w:val="04221DEB"/>
    <w:rsid w:val="04277401"/>
    <w:rsid w:val="04323463"/>
    <w:rsid w:val="04440EA5"/>
    <w:rsid w:val="04504BAA"/>
    <w:rsid w:val="04506958"/>
    <w:rsid w:val="045126D0"/>
    <w:rsid w:val="04553F6E"/>
    <w:rsid w:val="045B70AB"/>
    <w:rsid w:val="04602913"/>
    <w:rsid w:val="04626F09"/>
    <w:rsid w:val="04637C2E"/>
    <w:rsid w:val="04665625"/>
    <w:rsid w:val="04671EF4"/>
    <w:rsid w:val="046C3066"/>
    <w:rsid w:val="046E5030"/>
    <w:rsid w:val="047363D2"/>
    <w:rsid w:val="04736E13"/>
    <w:rsid w:val="04774EDE"/>
    <w:rsid w:val="047C599F"/>
    <w:rsid w:val="048021E8"/>
    <w:rsid w:val="04820844"/>
    <w:rsid w:val="048605CC"/>
    <w:rsid w:val="04956A61"/>
    <w:rsid w:val="049D5915"/>
    <w:rsid w:val="04AC3B33"/>
    <w:rsid w:val="04AD7905"/>
    <w:rsid w:val="04B30C95"/>
    <w:rsid w:val="04B52267"/>
    <w:rsid w:val="04B86835"/>
    <w:rsid w:val="04B87D74"/>
    <w:rsid w:val="04C176DC"/>
    <w:rsid w:val="04C36291"/>
    <w:rsid w:val="04C54806"/>
    <w:rsid w:val="04C717A9"/>
    <w:rsid w:val="04CC1D57"/>
    <w:rsid w:val="04D356AB"/>
    <w:rsid w:val="04DF43CA"/>
    <w:rsid w:val="04E279FE"/>
    <w:rsid w:val="04E452F2"/>
    <w:rsid w:val="04E533D3"/>
    <w:rsid w:val="04E92909"/>
    <w:rsid w:val="04EB6681"/>
    <w:rsid w:val="04EE7F1F"/>
    <w:rsid w:val="04EF43C3"/>
    <w:rsid w:val="04F217BD"/>
    <w:rsid w:val="04F25C61"/>
    <w:rsid w:val="04F419D9"/>
    <w:rsid w:val="04F512AE"/>
    <w:rsid w:val="04F6718F"/>
    <w:rsid w:val="04F80D9E"/>
    <w:rsid w:val="04F853C7"/>
    <w:rsid w:val="04FC43EA"/>
    <w:rsid w:val="05027B01"/>
    <w:rsid w:val="05055F0D"/>
    <w:rsid w:val="05080FE1"/>
    <w:rsid w:val="050B6D23"/>
    <w:rsid w:val="050D470B"/>
    <w:rsid w:val="05143E2A"/>
    <w:rsid w:val="05195543"/>
    <w:rsid w:val="05201126"/>
    <w:rsid w:val="0525608B"/>
    <w:rsid w:val="05300538"/>
    <w:rsid w:val="053534D2"/>
    <w:rsid w:val="053D466A"/>
    <w:rsid w:val="05465FAD"/>
    <w:rsid w:val="05485881"/>
    <w:rsid w:val="054B5371"/>
    <w:rsid w:val="055931ED"/>
    <w:rsid w:val="055F5FC7"/>
    <w:rsid w:val="05600E1D"/>
    <w:rsid w:val="056A7E67"/>
    <w:rsid w:val="05720B50"/>
    <w:rsid w:val="057513FF"/>
    <w:rsid w:val="057B5C57"/>
    <w:rsid w:val="0580326D"/>
    <w:rsid w:val="0580501B"/>
    <w:rsid w:val="058051DD"/>
    <w:rsid w:val="05863F97"/>
    <w:rsid w:val="05873034"/>
    <w:rsid w:val="059223BC"/>
    <w:rsid w:val="05947C79"/>
    <w:rsid w:val="05962A91"/>
    <w:rsid w:val="0596483F"/>
    <w:rsid w:val="05990FF5"/>
    <w:rsid w:val="05A0746B"/>
    <w:rsid w:val="05A14F91"/>
    <w:rsid w:val="05A625A8"/>
    <w:rsid w:val="05B922DB"/>
    <w:rsid w:val="05D47115"/>
    <w:rsid w:val="05D76C05"/>
    <w:rsid w:val="05DA28F5"/>
    <w:rsid w:val="05DB0F6C"/>
    <w:rsid w:val="05DF00BF"/>
    <w:rsid w:val="05E0481B"/>
    <w:rsid w:val="05E05ABA"/>
    <w:rsid w:val="05EC0669"/>
    <w:rsid w:val="05EF21A1"/>
    <w:rsid w:val="05F477B7"/>
    <w:rsid w:val="05FA420C"/>
    <w:rsid w:val="06113EC5"/>
    <w:rsid w:val="06135E8F"/>
    <w:rsid w:val="0616597F"/>
    <w:rsid w:val="0616772D"/>
    <w:rsid w:val="0619721E"/>
    <w:rsid w:val="06197802"/>
    <w:rsid w:val="061A5470"/>
    <w:rsid w:val="062C0CFF"/>
    <w:rsid w:val="062E4A77"/>
    <w:rsid w:val="063302DF"/>
    <w:rsid w:val="0639166E"/>
    <w:rsid w:val="063C3DD2"/>
    <w:rsid w:val="064047AA"/>
    <w:rsid w:val="064424ED"/>
    <w:rsid w:val="0648365F"/>
    <w:rsid w:val="064C7016"/>
    <w:rsid w:val="06523DD1"/>
    <w:rsid w:val="06565D7C"/>
    <w:rsid w:val="0658468A"/>
    <w:rsid w:val="06593102"/>
    <w:rsid w:val="065B5A88"/>
    <w:rsid w:val="065D6858"/>
    <w:rsid w:val="065F7326"/>
    <w:rsid w:val="06620BC5"/>
    <w:rsid w:val="0667442D"/>
    <w:rsid w:val="06681F2D"/>
    <w:rsid w:val="066C6FCD"/>
    <w:rsid w:val="06856F5D"/>
    <w:rsid w:val="068648B3"/>
    <w:rsid w:val="0689799C"/>
    <w:rsid w:val="068F128E"/>
    <w:rsid w:val="0695635D"/>
    <w:rsid w:val="069710EB"/>
    <w:rsid w:val="069C40D7"/>
    <w:rsid w:val="06A64F55"/>
    <w:rsid w:val="06AB3EFF"/>
    <w:rsid w:val="06AE7966"/>
    <w:rsid w:val="06B238FA"/>
    <w:rsid w:val="06B31420"/>
    <w:rsid w:val="06B807E5"/>
    <w:rsid w:val="06B843C5"/>
    <w:rsid w:val="06B971B1"/>
    <w:rsid w:val="06C4362D"/>
    <w:rsid w:val="06C76C7A"/>
    <w:rsid w:val="06CD24E2"/>
    <w:rsid w:val="06CE625A"/>
    <w:rsid w:val="06D03D80"/>
    <w:rsid w:val="06D934E4"/>
    <w:rsid w:val="06DA6638"/>
    <w:rsid w:val="06E14AFA"/>
    <w:rsid w:val="06E24909"/>
    <w:rsid w:val="06E31D05"/>
    <w:rsid w:val="06E40101"/>
    <w:rsid w:val="06E65352"/>
    <w:rsid w:val="06F2019A"/>
    <w:rsid w:val="06F37A6F"/>
    <w:rsid w:val="06F757B1"/>
    <w:rsid w:val="06F87FF9"/>
    <w:rsid w:val="06F9692F"/>
    <w:rsid w:val="0701218C"/>
    <w:rsid w:val="07195727"/>
    <w:rsid w:val="071C0767"/>
    <w:rsid w:val="071D13D8"/>
    <w:rsid w:val="072530D7"/>
    <w:rsid w:val="072B7BD7"/>
    <w:rsid w:val="0733142A"/>
    <w:rsid w:val="073E3517"/>
    <w:rsid w:val="073E6F3C"/>
    <w:rsid w:val="074134A7"/>
    <w:rsid w:val="07447785"/>
    <w:rsid w:val="07462294"/>
    <w:rsid w:val="075C73C2"/>
    <w:rsid w:val="075D7F93"/>
    <w:rsid w:val="07683FB9"/>
    <w:rsid w:val="07724E37"/>
    <w:rsid w:val="077566D6"/>
    <w:rsid w:val="077B7EA2"/>
    <w:rsid w:val="077C7A64"/>
    <w:rsid w:val="077D1377"/>
    <w:rsid w:val="07805C8A"/>
    <w:rsid w:val="078608E3"/>
    <w:rsid w:val="078D1C71"/>
    <w:rsid w:val="078F7F52"/>
    <w:rsid w:val="07927288"/>
    <w:rsid w:val="07936306"/>
    <w:rsid w:val="07944DAE"/>
    <w:rsid w:val="07986A77"/>
    <w:rsid w:val="079C3C62"/>
    <w:rsid w:val="079E3E7E"/>
    <w:rsid w:val="079F3753"/>
    <w:rsid w:val="07AF3B4C"/>
    <w:rsid w:val="07BA109C"/>
    <w:rsid w:val="07BD2872"/>
    <w:rsid w:val="07D01B5E"/>
    <w:rsid w:val="07D16002"/>
    <w:rsid w:val="07D416AF"/>
    <w:rsid w:val="07D63618"/>
    <w:rsid w:val="07D7113E"/>
    <w:rsid w:val="07DC069D"/>
    <w:rsid w:val="07E3599F"/>
    <w:rsid w:val="07E51AAD"/>
    <w:rsid w:val="07E82273"/>
    <w:rsid w:val="07EC1D91"/>
    <w:rsid w:val="07EE1002"/>
    <w:rsid w:val="07F4584C"/>
    <w:rsid w:val="07F65A68"/>
    <w:rsid w:val="07FC2953"/>
    <w:rsid w:val="07FE491D"/>
    <w:rsid w:val="07FE66CB"/>
    <w:rsid w:val="080812F8"/>
    <w:rsid w:val="08144660"/>
    <w:rsid w:val="081859DF"/>
    <w:rsid w:val="081B78E5"/>
    <w:rsid w:val="08204893"/>
    <w:rsid w:val="082425D6"/>
    <w:rsid w:val="082964D9"/>
    <w:rsid w:val="082A74C0"/>
    <w:rsid w:val="082B7290"/>
    <w:rsid w:val="083572E7"/>
    <w:rsid w:val="083E3FC8"/>
    <w:rsid w:val="083F464A"/>
    <w:rsid w:val="08412454"/>
    <w:rsid w:val="08412974"/>
    <w:rsid w:val="0849203C"/>
    <w:rsid w:val="084E7652"/>
    <w:rsid w:val="08502355"/>
    <w:rsid w:val="0854453D"/>
    <w:rsid w:val="085816BE"/>
    <w:rsid w:val="086552F7"/>
    <w:rsid w:val="08670714"/>
    <w:rsid w:val="086933B2"/>
    <w:rsid w:val="086B6DF8"/>
    <w:rsid w:val="08723BC6"/>
    <w:rsid w:val="087B3B3C"/>
    <w:rsid w:val="087C6C73"/>
    <w:rsid w:val="087E15BA"/>
    <w:rsid w:val="087F75CF"/>
    <w:rsid w:val="088210AA"/>
    <w:rsid w:val="088970C6"/>
    <w:rsid w:val="088B53B7"/>
    <w:rsid w:val="088C1F29"/>
    <w:rsid w:val="088F0AC2"/>
    <w:rsid w:val="088F7561"/>
    <w:rsid w:val="08931509"/>
    <w:rsid w:val="089C289E"/>
    <w:rsid w:val="08A639AA"/>
    <w:rsid w:val="08A94889"/>
    <w:rsid w:val="08AC0788"/>
    <w:rsid w:val="08AC25CB"/>
    <w:rsid w:val="08AE00F1"/>
    <w:rsid w:val="08B06560"/>
    <w:rsid w:val="08B125BC"/>
    <w:rsid w:val="08B66FA6"/>
    <w:rsid w:val="08C43471"/>
    <w:rsid w:val="08C56734"/>
    <w:rsid w:val="08C711B3"/>
    <w:rsid w:val="08CB0CA3"/>
    <w:rsid w:val="08D00067"/>
    <w:rsid w:val="08D2254A"/>
    <w:rsid w:val="08DA0EE6"/>
    <w:rsid w:val="08DD2784"/>
    <w:rsid w:val="08DF5AD4"/>
    <w:rsid w:val="08DF64FD"/>
    <w:rsid w:val="08EE4992"/>
    <w:rsid w:val="08EF3D81"/>
    <w:rsid w:val="08F0261D"/>
    <w:rsid w:val="08F67D80"/>
    <w:rsid w:val="08F71A98"/>
    <w:rsid w:val="08F947C7"/>
    <w:rsid w:val="09095327"/>
    <w:rsid w:val="090A37C1"/>
    <w:rsid w:val="090E0B90"/>
    <w:rsid w:val="090E293E"/>
    <w:rsid w:val="091D0DD3"/>
    <w:rsid w:val="09284F7E"/>
    <w:rsid w:val="09287EA3"/>
    <w:rsid w:val="092C7268"/>
    <w:rsid w:val="092E4D8E"/>
    <w:rsid w:val="094953E2"/>
    <w:rsid w:val="094F44C9"/>
    <w:rsid w:val="095A15DC"/>
    <w:rsid w:val="095B721E"/>
    <w:rsid w:val="09652EA6"/>
    <w:rsid w:val="096B4234"/>
    <w:rsid w:val="096D1D5A"/>
    <w:rsid w:val="09732517"/>
    <w:rsid w:val="097430E9"/>
    <w:rsid w:val="09750C0F"/>
    <w:rsid w:val="097730C5"/>
    <w:rsid w:val="09774987"/>
    <w:rsid w:val="097A7230"/>
    <w:rsid w:val="0983332C"/>
    <w:rsid w:val="098B3F8E"/>
    <w:rsid w:val="098D7D07"/>
    <w:rsid w:val="09903D3F"/>
    <w:rsid w:val="09A514F4"/>
    <w:rsid w:val="09AC35E2"/>
    <w:rsid w:val="09B207F9"/>
    <w:rsid w:val="09B96D4E"/>
    <w:rsid w:val="09BB68FD"/>
    <w:rsid w:val="09BF1E8A"/>
    <w:rsid w:val="09BF72F9"/>
    <w:rsid w:val="09C840CA"/>
    <w:rsid w:val="09C851E3"/>
    <w:rsid w:val="09CB6A81"/>
    <w:rsid w:val="09D16488"/>
    <w:rsid w:val="09D405A0"/>
    <w:rsid w:val="09D76AC8"/>
    <w:rsid w:val="09E813E1"/>
    <w:rsid w:val="09E87633"/>
    <w:rsid w:val="09ED3CE1"/>
    <w:rsid w:val="09EE7B49"/>
    <w:rsid w:val="09FC58D4"/>
    <w:rsid w:val="09FC6C3A"/>
    <w:rsid w:val="0A067AB9"/>
    <w:rsid w:val="0A0855DF"/>
    <w:rsid w:val="0A0A57FB"/>
    <w:rsid w:val="0A195A3E"/>
    <w:rsid w:val="0A1E6855"/>
    <w:rsid w:val="0A200008"/>
    <w:rsid w:val="0A21743C"/>
    <w:rsid w:val="0A2A63E7"/>
    <w:rsid w:val="0A362209"/>
    <w:rsid w:val="0A391C3C"/>
    <w:rsid w:val="0A3B3C06"/>
    <w:rsid w:val="0A3E36F7"/>
    <w:rsid w:val="0A3E7901"/>
    <w:rsid w:val="0A3F6ADD"/>
    <w:rsid w:val="0A530F50"/>
    <w:rsid w:val="0A5440F6"/>
    <w:rsid w:val="0A59056C"/>
    <w:rsid w:val="0A5922DF"/>
    <w:rsid w:val="0A6932D7"/>
    <w:rsid w:val="0A7E1160"/>
    <w:rsid w:val="0A820893"/>
    <w:rsid w:val="0A8729A8"/>
    <w:rsid w:val="0A876E4C"/>
    <w:rsid w:val="0A8A2498"/>
    <w:rsid w:val="0A8B25C6"/>
    <w:rsid w:val="0A913826"/>
    <w:rsid w:val="0A91511F"/>
    <w:rsid w:val="0A9F4195"/>
    <w:rsid w:val="0AA23C86"/>
    <w:rsid w:val="0AA417AC"/>
    <w:rsid w:val="0AAC68B2"/>
    <w:rsid w:val="0AAE43D8"/>
    <w:rsid w:val="0ABF4545"/>
    <w:rsid w:val="0AC43BFC"/>
    <w:rsid w:val="0AC534D0"/>
    <w:rsid w:val="0AC7549A"/>
    <w:rsid w:val="0ACB4F8A"/>
    <w:rsid w:val="0ACD525E"/>
    <w:rsid w:val="0ACE4A7B"/>
    <w:rsid w:val="0AEF1B60"/>
    <w:rsid w:val="0AF0197B"/>
    <w:rsid w:val="0AF049F1"/>
    <w:rsid w:val="0AF3003D"/>
    <w:rsid w:val="0AF30DA4"/>
    <w:rsid w:val="0AF3628F"/>
    <w:rsid w:val="0AF53DB5"/>
    <w:rsid w:val="0AF77D1D"/>
    <w:rsid w:val="0AF81AF7"/>
    <w:rsid w:val="0AFB5331"/>
    <w:rsid w:val="0AFF69E2"/>
    <w:rsid w:val="0B0264D2"/>
    <w:rsid w:val="0B112BB9"/>
    <w:rsid w:val="0B1306DF"/>
    <w:rsid w:val="0B141D0B"/>
    <w:rsid w:val="0B1E3309"/>
    <w:rsid w:val="0B3537E8"/>
    <w:rsid w:val="0B3568A8"/>
    <w:rsid w:val="0B372620"/>
    <w:rsid w:val="0B375954"/>
    <w:rsid w:val="0B3D575C"/>
    <w:rsid w:val="0B3F7726"/>
    <w:rsid w:val="0B427292"/>
    <w:rsid w:val="0B4E1717"/>
    <w:rsid w:val="0B505490"/>
    <w:rsid w:val="0B546770"/>
    <w:rsid w:val="0B5750F1"/>
    <w:rsid w:val="0B584344"/>
    <w:rsid w:val="0B5C5BE2"/>
    <w:rsid w:val="0B6947A3"/>
    <w:rsid w:val="0B770C6E"/>
    <w:rsid w:val="0B783E0B"/>
    <w:rsid w:val="0B785A87"/>
    <w:rsid w:val="0B7942F8"/>
    <w:rsid w:val="0B7A048B"/>
    <w:rsid w:val="0B7A250D"/>
    <w:rsid w:val="0B7C6285"/>
    <w:rsid w:val="0B7F3FC7"/>
    <w:rsid w:val="0B83153D"/>
    <w:rsid w:val="0B835865"/>
    <w:rsid w:val="0B837613"/>
    <w:rsid w:val="0B8674D4"/>
    <w:rsid w:val="0B8F448F"/>
    <w:rsid w:val="0B927856"/>
    <w:rsid w:val="0B9362F3"/>
    <w:rsid w:val="0B9510F4"/>
    <w:rsid w:val="0B970BBE"/>
    <w:rsid w:val="0B9730BE"/>
    <w:rsid w:val="0BA17A99"/>
    <w:rsid w:val="0BA37CB5"/>
    <w:rsid w:val="0BA92DF2"/>
    <w:rsid w:val="0BAC5F1F"/>
    <w:rsid w:val="0BAE7348"/>
    <w:rsid w:val="0BB95C99"/>
    <w:rsid w:val="0BBA55B7"/>
    <w:rsid w:val="0BBA5BBB"/>
    <w:rsid w:val="0BC419DA"/>
    <w:rsid w:val="0BCB68A3"/>
    <w:rsid w:val="0BD04822"/>
    <w:rsid w:val="0BD25EA5"/>
    <w:rsid w:val="0BD45B9A"/>
    <w:rsid w:val="0BDC0CB8"/>
    <w:rsid w:val="0BDD03A0"/>
    <w:rsid w:val="0BDF6813"/>
    <w:rsid w:val="0BE67BA2"/>
    <w:rsid w:val="0BE8391A"/>
    <w:rsid w:val="0BF73038"/>
    <w:rsid w:val="0BFB4241"/>
    <w:rsid w:val="0C006EB6"/>
    <w:rsid w:val="0C022BE0"/>
    <w:rsid w:val="0C043813"/>
    <w:rsid w:val="0C085D6A"/>
    <w:rsid w:val="0C0A4457"/>
    <w:rsid w:val="0C11328B"/>
    <w:rsid w:val="0C116221"/>
    <w:rsid w:val="0C131DE7"/>
    <w:rsid w:val="0C1666D9"/>
    <w:rsid w:val="0C1741FF"/>
    <w:rsid w:val="0C285E2F"/>
    <w:rsid w:val="0C2D71F1"/>
    <w:rsid w:val="0C325422"/>
    <w:rsid w:val="0C3355AF"/>
    <w:rsid w:val="0C346B5F"/>
    <w:rsid w:val="0C395F24"/>
    <w:rsid w:val="0C3B1C9C"/>
    <w:rsid w:val="0C3C4D6A"/>
    <w:rsid w:val="0C3E71D6"/>
    <w:rsid w:val="0C41302A"/>
    <w:rsid w:val="0C434FF4"/>
    <w:rsid w:val="0C452B1A"/>
    <w:rsid w:val="0C4777DD"/>
    <w:rsid w:val="0C4B673B"/>
    <w:rsid w:val="0C4F1BEB"/>
    <w:rsid w:val="0C50449E"/>
    <w:rsid w:val="0C537002"/>
    <w:rsid w:val="0C54524D"/>
    <w:rsid w:val="0C57284E"/>
    <w:rsid w:val="0C580AA0"/>
    <w:rsid w:val="0C596995"/>
    <w:rsid w:val="0C5A37AB"/>
    <w:rsid w:val="0C605BA6"/>
    <w:rsid w:val="0C61547A"/>
    <w:rsid w:val="0C6236CC"/>
    <w:rsid w:val="0C6311F3"/>
    <w:rsid w:val="0C664B78"/>
    <w:rsid w:val="0C673F81"/>
    <w:rsid w:val="0C6F5DE9"/>
    <w:rsid w:val="0C762D5D"/>
    <w:rsid w:val="0C767178"/>
    <w:rsid w:val="0C7D0506"/>
    <w:rsid w:val="0C811679"/>
    <w:rsid w:val="0C822574"/>
    <w:rsid w:val="0C885367"/>
    <w:rsid w:val="0C8E2713"/>
    <w:rsid w:val="0C8F3D96"/>
    <w:rsid w:val="0C9456E7"/>
    <w:rsid w:val="0C9B098C"/>
    <w:rsid w:val="0C9F66CF"/>
    <w:rsid w:val="0CA02447"/>
    <w:rsid w:val="0CA912FB"/>
    <w:rsid w:val="0CAA0BCF"/>
    <w:rsid w:val="0CAA5073"/>
    <w:rsid w:val="0CB70393"/>
    <w:rsid w:val="0CB952B6"/>
    <w:rsid w:val="0CBA3508"/>
    <w:rsid w:val="0CBD4DA7"/>
    <w:rsid w:val="0CBE3ADF"/>
    <w:rsid w:val="0CC07B02"/>
    <w:rsid w:val="0CC212FB"/>
    <w:rsid w:val="0CC872A8"/>
    <w:rsid w:val="0CCD0C4F"/>
    <w:rsid w:val="0CD65E68"/>
    <w:rsid w:val="0CE27C09"/>
    <w:rsid w:val="0CE75980"/>
    <w:rsid w:val="0CE75B16"/>
    <w:rsid w:val="0CE963DF"/>
    <w:rsid w:val="0CEB7EF6"/>
    <w:rsid w:val="0CFC5FAF"/>
    <w:rsid w:val="0D1349C7"/>
    <w:rsid w:val="0D1C7D1F"/>
    <w:rsid w:val="0D1F336B"/>
    <w:rsid w:val="0D1F511A"/>
    <w:rsid w:val="0D244E26"/>
    <w:rsid w:val="0D2C3CDA"/>
    <w:rsid w:val="0D3A63F7"/>
    <w:rsid w:val="0D45332F"/>
    <w:rsid w:val="0D4B4161"/>
    <w:rsid w:val="0D4E21F9"/>
    <w:rsid w:val="0D4E3C51"/>
    <w:rsid w:val="0D4F1601"/>
    <w:rsid w:val="0D531267"/>
    <w:rsid w:val="0D533A2C"/>
    <w:rsid w:val="0D554381"/>
    <w:rsid w:val="0D5648B3"/>
    <w:rsid w:val="0D5D42FF"/>
    <w:rsid w:val="0D6B4A79"/>
    <w:rsid w:val="0D774410"/>
    <w:rsid w:val="0D780CCE"/>
    <w:rsid w:val="0D782A7C"/>
    <w:rsid w:val="0D847672"/>
    <w:rsid w:val="0D8D4779"/>
    <w:rsid w:val="0D8E04F1"/>
    <w:rsid w:val="0D95362E"/>
    <w:rsid w:val="0D957AD2"/>
    <w:rsid w:val="0DA41AC3"/>
    <w:rsid w:val="0DA770AD"/>
    <w:rsid w:val="0DAD0977"/>
    <w:rsid w:val="0DB37F58"/>
    <w:rsid w:val="0DB8556E"/>
    <w:rsid w:val="0DB8731C"/>
    <w:rsid w:val="0DC12675"/>
    <w:rsid w:val="0DCA4B50"/>
    <w:rsid w:val="0DCB34F3"/>
    <w:rsid w:val="0DCE41AD"/>
    <w:rsid w:val="0DD34156"/>
    <w:rsid w:val="0DDA54E4"/>
    <w:rsid w:val="0DDD31AC"/>
    <w:rsid w:val="0DDE11F1"/>
    <w:rsid w:val="0DDF0D4D"/>
    <w:rsid w:val="0DDF2AFB"/>
    <w:rsid w:val="0DDF432E"/>
    <w:rsid w:val="0DE10B00"/>
    <w:rsid w:val="0DE545B5"/>
    <w:rsid w:val="0DE80577"/>
    <w:rsid w:val="0DEA1BCB"/>
    <w:rsid w:val="0DED6FC6"/>
    <w:rsid w:val="0DF843DB"/>
    <w:rsid w:val="0DFA16E3"/>
    <w:rsid w:val="0DFA7935"/>
    <w:rsid w:val="0DFF4F4B"/>
    <w:rsid w:val="0E010CC3"/>
    <w:rsid w:val="0E056A05"/>
    <w:rsid w:val="0E0B1B42"/>
    <w:rsid w:val="0E0B7D94"/>
    <w:rsid w:val="0E0D2764"/>
    <w:rsid w:val="0E1374B2"/>
    <w:rsid w:val="0E262ABF"/>
    <w:rsid w:val="0E2826F4"/>
    <w:rsid w:val="0E2F75DE"/>
    <w:rsid w:val="0E344BF5"/>
    <w:rsid w:val="0E3E2325"/>
    <w:rsid w:val="0E470944"/>
    <w:rsid w:val="0E4D215A"/>
    <w:rsid w:val="0E5232CD"/>
    <w:rsid w:val="0E527771"/>
    <w:rsid w:val="0E546325"/>
    <w:rsid w:val="0E567261"/>
    <w:rsid w:val="0E597FCE"/>
    <w:rsid w:val="0E5B4877"/>
    <w:rsid w:val="0E5C239D"/>
    <w:rsid w:val="0E6010CF"/>
    <w:rsid w:val="0E6179B4"/>
    <w:rsid w:val="0E651252"/>
    <w:rsid w:val="0E6574A4"/>
    <w:rsid w:val="0E6B77BE"/>
    <w:rsid w:val="0E6C0832"/>
    <w:rsid w:val="0E6D6DF7"/>
    <w:rsid w:val="0E6F0323"/>
    <w:rsid w:val="0E6F3E7F"/>
    <w:rsid w:val="0E7262FB"/>
    <w:rsid w:val="0E741495"/>
    <w:rsid w:val="0E7938DE"/>
    <w:rsid w:val="0E79438E"/>
    <w:rsid w:val="0E7B0A75"/>
    <w:rsid w:val="0E83792A"/>
    <w:rsid w:val="0E8518F4"/>
    <w:rsid w:val="0E8B67DF"/>
    <w:rsid w:val="0E903DF5"/>
    <w:rsid w:val="0E92554F"/>
    <w:rsid w:val="0E972710"/>
    <w:rsid w:val="0E9A7672"/>
    <w:rsid w:val="0E9D7E6D"/>
    <w:rsid w:val="0EA24254"/>
    <w:rsid w:val="0EA70AC6"/>
    <w:rsid w:val="0EA93835"/>
    <w:rsid w:val="0EA951FA"/>
    <w:rsid w:val="0EAD0191"/>
    <w:rsid w:val="0EB61AAE"/>
    <w:rsid w:val="0EBA52B3"/>
    <w:rsid w:val="0EBA7F59"/>
    <w:rsid w:val="0EC3241C"/>
    <w:rsid w:val="0EC56195"/>
    <w:rsid w:val="0EC71F0D"/>
    <w:rsid w:val="0ED35A82"/>
    <w:rsid w:val="0EDB7766"/>
    <w:rsid w:val="0EE54141"/>
    <w:rsid w:val="0EE632F1"/>
    <w:rsid w:val="0EEA79A9"/>
    <w:rsid w:val="0EF6579B"/>
    <w:rsid w:val="0EFF16A6"/>
    <w:rsid w:val="0F05321E"/>
    <w:rsid w:val="0F0547E3"/>
    <w:rsid w:val="0F056591"/>
    <w:rsid w:val="0F0942D3"/>
    <w:rsid w:val="0F112DF3"/>
    <w:rsid w:val="0F133102"/>
    <w:rsid w:val="0F135152"/>
    <w:rsid w:val="0F1457B6"/>
    <w:rsid w:val="0F1B4006"/>
    <w:rsid w:val="0F1C3AFD"/>
    <w:rsid w:val="0F1D0E35"/>
    <w:rsid w:val="0F1F4EFA"/>
    <w:rsid w:val="0F274028"/>
    <w:rsid w:val="0F2904D1"/>
    <w:rsid w:val="0F2F1860"/>
    <w:rsid w:val="0F31382A"/>
    <w:rsid w:val="0F3171C0"/>
    <w:rsid w:val="0F3A448D"/>
    <w:rsid w:val="0F4241BA"/>
    <w:rsid w:val="0F492922"/>
    <w:rsid w:val="0F4A0448"/>
    <w:rsid w:val="0F4C41C0"/>
    <w:rsid w:val="0F50638A"/>
    <w:rsid w:val="0F512094"/>
    <w:rsid w:val="0F535A6B"/>
    <w:rsid w:val="0F544B86"/>
    <w:rsid w:val="0F5B4403"/>
    <w:rsid w:val="0F5D017B"/>
    <w:rsid w:val="0F5D63CD"/>
    <w:rsid w:val="0F5F0397"/>
    <w:rsid w:val="0F601A19"/>
    <w:rsid w:val="0F6239E3"/>
    <w:rsid w:val="0F625791"/>
    <w:rsid w:val="0F661996"/>
    <w:rsid w:val="0F67724C"/>
    <w:rsid w:val="0F696B20"/>
    <w:rsid w:val="0F6A48A4"/>
    <w:rsid w:val="0F6B0AEA"/>
    <w:rsid w:val="0F701F63"/>
    <w:rsid w:val="0F721A12"/>
    <w:rsid w:val="0F803E6A"/>
    <w:rsid w:val="0F865C67"/>
    <w:rsid w:val="0F8676D2"/>
    <w:rsid w:val="0F890837"/>
    <w:rsid w:val="0F8B2F3A"/>
    <w:rsid w:val="0F8B5EC3"/>
    <w:rsid w:val="0F8C6CB2"/>
    <w:rsid w:val="0F902CCD"/>
    <w:rsid w:val="0F94164E"/>
    <w:rsid w:val="0F96572F"/>
    <w:rsid w:val="0F9658E5"/>
    <w:rsid w:val="0F9811B3"/>
    <w:rsid w:val="0F987405"/>
    <w:rsid w:val="0F9A317D"/>
    <w:rsid w:val="0F9F2F82"/>
    <w:rsid w:val="0FA802DC"/>
    <w:rsid w:val="0FB75ADD"/>
    <w:rsid w:val="0FBB52E6"/>
    <w:rsid w:val="0FC1070A"/>
    <w:rsid w:val="0FC4644C"/>
    <w:rsid w:val="0FC621C4"/>
    <w:rsid w:val="0FC8241E"/>
    <w:rsid w:val="0FCB3DF0"/>
    <w:rsid w:val="0FCE2E27"/>
    <w:rsid w:val="0FCE5F07"/>
    <w:rsid w:val="0FCF68E2"/>
    <w:rsid w:val="0FD57294"/>
    <w:rsid w:val="0FDF0F1F"/>
    <w:rsid w:val="0FE06D92"/>
    <w:rsid w:val="0FE8038D"/>
    <w:rsid w:val="0FEC4946"/>
    <w:rsid w:val="0FF26B15"/>
    <w:rsid w:val="0FF56606"/>
    <w:rsid w:val="0FF7412C"/>
    <w:rsid w:val="0FFA3C1C"/>
    <w:rsid w:val="0FFC5D23"/>
    <w:rsid w:val="0FFE268B"/>
    <w:rsid w:val="10046849"/>
    <w:rsid w:val="100B6775"/>
    <w:rsid w:val="10101691"/>
    <w:rsid w:val="10120F66"/>
    <w:rsid w:val="10125409"/>
    <w:rsid w:val="101E3DAE"/>
    <w:rsid w:val="101F13D6"/>
    <w:rsid w:val="102139A6"/>
    <w:rsid w:val="102E5FAA"/>
    <w:rsid w:val="10392996"/>
    <w:rsid w:val="103E7FAD"/>
    <w:rsid w:val="1043306C"/>
    <w:rsid w:val="10466E61"/>
    <w:rsid w:val="104B17E4"/>
    <w:rsid w:val="104D01F0"/>
    <w:rsid w:val="104E518D"/>
    <w:rsid w:val="10507CE0"/>
    <w:rsid w:val="10525806"/>
    <w:rsid w:val="10544E03"/>
    <w:rsid w:val="105477D0"/>
    <w:rsid w:val="10571DDB"/>
    <w:rsid w:val="106043C7"/>
    <w:rsid w:val="106070C3"/>
    <w:rsid w:val="10615A49"/>
    <w:rsid w:val="10637DEB"/>
    <w:rsid w:val="10685029"/>
    <w:rsid w:val="106A6FF4"/>
    <w:rsid w:val="106C0642"/>
    <w:rsid w:val="106D2640"/>
    <w:rsid w:val="106E45C2"/>
    <w:rsid w:val="1074513D"/>
    <w:rsid w:val="1074577C"/>
    <w:rsid w:val="107D4FF4"/>
    <w:rsid w:val="10802373"/>
    <w:rsid w:val="1082318D"/>
    <w:rsid w:val="108300B5"/>
    <w:rsid w:val="10863702"/>
    <w:rsid w:val="108A6AFD"/>
    <w:rsid w:val="108D24B2"/>
    <w:rsid w:val="108F6A5A"/>
    <w:rsid w:val="1091366B"/>
    <w:rsid w:val="10926579"/>
    <w:rsid w:val="109C4DC8"/>
    <w:rsid w:val="10A01F43"/>
    <w:rsid w:val="10A02A15"/>
    <w:rsid w:val="10A2678D"/>
    <w:rsid w:val="10A73DA4"/>
    <w:rsid w:val="10AE2435"/>
    <w:rsid w:val="10B244F7"/>
    <w:rsid w:val="10B30C1C"/>
    <w:rsid w:val="10B628CD"/>
    <w:rsid w:val="10BA31FF"/>
    <w:rsid w:val="10BE6ECD"/>
    <w:rsid w:val="10C20559"/>
    <w:rsid w:val="10C5247C"/>
    <w:rsid w:val="10C81F6C"/>
    <w:rsid w:val="10CB1CF0"/>
    <w:rsid w:val="10D462AA"/>
    <w:rsid w:val="10D51608"/>
    <w:rsid w:val="10DB7377"/>
    <w:rsid w:val="10EA3C90"/>
    <w:rsid w:val="10EE1DD4"/>
    <w:rsid w:val="10F24FAF"/>
    <w:rsid w:val="10F70AF5"/>
    <w:rsid w:val="10F845FF"/>
    <w:rsid w:val="10FB396F"/>
    <w:rsid w:val="11017E3D"/>
    <w:rsid w:val="11071547"/>
    <w:rsid w:val="11082369"/>
    <w:rsid w:val="110B12DB"/>
    <w:rsid w:val="1116208F"/>
    <w:rsid w:val="111B02EE"/>
    <w:rsid w:val="111D4066"/>
    <w:rsid w:val="11301FEB"/>
    <w:rsid w:val="11335637"/>
    <w:rsid w:val="11357601"/>
    <w:rsid w:val="1137627A"/>
    <w:rsid w:val="11380C28"/>
    <w:rsid w:val="11382C4E"/>
    <w:rsid w:val="113D0264"/>
    <w:rsid w:val="113D39E9"/>
    <w:rsid w:val="11403824"/>
    <w:rsid w:val="11441A61"/>
    <w:rsid w:val="1146778F"/>
    <w:rsid w:val="114E2471"/>
    <w:rsid w:val="115036D5"/>
    <w:rsid w:val="11542778"/>
    <w:rsid w:val="1157728C"/>
    <w:rsid w:val="115832F0"/>
    <w:rsid w:val="115A6D46"/>
    <w:rsid w:val="115F642C"/>
    <w:rsid w:val="11692E07"/>
    <w:rsid w:val="116F23E8"/>
    <w:rsid w:val="116F4196"/>
    <w:rsid w:val="11733C86"/>
    <w:rsid w:val="11733F8E"/>
    <w:rsid w:val="11800D39"/>
    <w:rsid w:val="118063A3"/>
    <w:rsid w:val="11823EC9"/>
    <w:rsid w:val="11833402"/>
    <w:rsid w:val="11851C0B"/>
    <w:rsid w:val="11867E5D"/>
    <w:rsid w:val="119360D6"/>
    <w:rsid w:val="11974CD7"/>
    <w:rsid w:val="11990110"/>
    <w:rsid w:val="119F468C"/>
    <w:rsid w:val="11A42091"/>
    <w:rsid w:val="11A71B81"/>
    <w:rsid w:val="11AB1672"/>
    <w:rsid w:val="11AE4CBE"/>
    <w:rsid w:val="11B56635"/>
    <w:rsid w:val="11B72083"/>
    <w:rsid w:val="11C368B1"/>
    <w:rsid w:val="11C646FD"/>
    <w:rsid w:val="11C77337"/>
    <w:rsid w:val="11C95F9C"/>
    <w:rsid w:val="11CB1D14"/>
    <w:rsid w:val="11CD7E2D"/>
    <w:rsid w:val="11D0732A"/>
    <w:rsid w:val="11D30BC8"/>
    <w:rsid w:val="11D36E9D"/>
    <w:rsid w:val="11D74D27"/>
    <w:rsid w:val="11D81D3B"/>
    <w:rsid w:val="11DA3FAE"/>
    <w:rsid w:val="11DC7A7D"/>
    <w:rsid w:val="11E4793A"/>
    <w:rsid w:val="11E5113A"/>
    <w:rsid w:val="11E8281D"/>
    <w:rsid w:val="11E86280"/>
    <w:rsid w:val="11EA4DE7"/>
    <w:rsid w:val="11ED5EAE"/>
    <w:rsid w:val="11F1104F"/>
    <w:rsid w:val="11F56D91"/>
    <w:rsid w:val="11F748B7"/>
    <w:rsid w:val="11F823DD"/>
    <w:rsid w:val="11FB1334"/>
    <w:rsid w:val="11FB1D36"/>
    <w:rsid w:val="11FB7B9C"/>
    <w:rsid w:val="11FC4E5E"/>
    <w:rsid w:val="12015A49"/>
    <w:rsid w:val="1202500A"/>
    <w:rsid w:val="120622C2"/>
    <w:rsid w:val="12064AFA"/>
    <w:rsid w:val="12071DA1"/>
    <w:rsid w:val="1207243B"/>
    <w:rsid w:val="120945EA"/>
    <w:rsid w:val="120B3EBE"/>
    <w:rsid w:val="1212349F"/>
    <w:rsid w:val="12132537"/>
    <w:rsid w:val="12135F22"/>
    <w:rsid w:val="1218482D"/>
    <w:rsid w:val="121976AB"/>
    <w:rsid w:val="121E232E"/>
    <w:rsid w:val="12211934"/>
    <w:rsid w:val="123031AC"/>
    <w:rsid w:val="12331667"/>
    <w:rsid w:val="123A47A4"/>
    <w:rsid w:val="123C1304"/>
    <w:rsid w:val="123C331F"/>
    <w:rsid w:val="12413D84"/>
    <w:rsid w:val="12503FC7"/>
    <w:rsid w:val="12521AED"/>
    <w:rsid w:val="12541D09"/>
    <w:rsid w:val="125515DD"/>
    <w:rsid w:val="12597320"/>
    <w:rsid w:val="125D0492"/>
    <w:rsid w:val="126275BD"/>
    <w:rsid w:val="126A4A84"/>
    <w:rsid w:val="126F1852"/>
    <w:rsid w:val="12706417"/>
    <w:rsid w:val="12802AFE"/>
    <w:rsid w:val="128271C8"/>
    <w:rsid w:val="12852524"/>
    <w:rsid w:val="12866DB5"/>
    <w:rsid w:val="128A1139"/>
    <w:rsid w:val="128D521B"/>
    <w:rsid w:val="12955E7E"/>
    <w:rsid w:val="129B16E6"/>
    <w:rsid w:val="12A165D1"/>
    <w:rsid w:val="12A56E0D"/>
    <w:rsid w:val="12A82023"/>
    <w:rsid w:val="12AB744F"/>
    <w:rsid w:val="12AF0CEE"/>
    <w:rsid w:val="12AF6F40"/>
    <w:rsid w:val="12B409FA"/>
    <w:rsid w:val="12BB4D96"/>
    <w:rsid w:val="12C0114D"/>
    <w:rsid w:val="12C02EFB"/>
    <w:rsid w:val="12C66037"/>
    <w:rsid w:val="12CA6F00"/>
    <w:rsid w:val="12D322B2"/>
    <w:rsid w:val="12D645D8"/>
    <w:rsid w:val="12D70244"/>
    <w:rsid w:val="12E13922"/>
    <w:rsid w:val="12E33603"/>
    <w:rsid w:val="12F25439"/>
    <w:rsid w:val="12F46AEA"/>
    <w:rsid w:val="12F901BB"/>
    <w:rsid w:val="12FD2641"/>
    <w:rsid w:val="12FF7D7B"/>
    <w:rsid w:val="130152C1"/>
    <w:rsid w:val="1303728B"/>
    <w:rsid w:val="13070B2A"/>
    <w:rsid w:val="13141499"/>
    <w:rsid w:val="13182D37"/>
    <w:rsid w:val="131B45D5"/>
    <w:rsid w:val="131C419D"/>
    <w:rsid w:val="131E2317"/>
    <w:rsid w:val="132A7D5E"/>
    <w:rsid w:val="132C1427"/>
    <w:rsid w:val="13313DF9"/>
    <w:rsid w:val="133B07D3"/>
    <w:rsid w:val="13416360"/>
    <w:rsid w:val="13445B41"/>
    <w:rsid w:val="13465C7A"/>
    <w:rsid w:val="13514251"/>
    <w:rsid w:val="135915A9"/>
    <w:rsid w:val="135B1AD8"/>
    <w:rsid w:val="13623FB2"/>
    <w:rsid w:val="136715C8"/>
    <w:rsid w:val="136B76CE"/>
    <w:rsid w:val="136E0BA9"/>
    <w:rsid w:val="136F4921"/>
    <w:rsid w:val="137247D6"/>
    <w:rsid w:val="13733702"/>
    <w:rsid w:val="1376608B"/>
    <w:rsid w:val="137B5074"/>
    <w:rsid w:val="137E6D8C"/>
    <w:rsid w:val="137F2DB6"/>
    <w:rsid w:val="1380268A"/>
    <w:rsid w:val="13815B20"/>
    <w:rsid w:val="13855EF2"/>
    <w:rsid w:val="13871C6A"/>
    <w:rsid w:val="138A5A29"/>
    <w:rsid w:val="138D7D05"/>
    <w:rsid w:val="139879D4"/>
    <w:rsid w:val="139D188B"/>
    <w:rsid w:val="13A10F7E"/>
    <w:rsid w:val="13AC5B97"/>
    <w:rsid w:val="13AF2F6F"/>
    <w:rsid w:val="13B3480E"/>
    <w:rsid w:val="13BA2040"/>
    <w:rsid w:val="13BF1404"/>
    <w:rsid w:val="13C133CE"/>
    <w:rsid w:val="13C31E39"/>
    <w:rsid w:val="13C40F69"/>
    <w:rsid w:val="13C655F9"/>
    <w:rsid w:val="13C800FB"/>
    <w:rsid w:val="13CA715B"/>
    <w:rsid w:val="13DA7FEC"/>
    <w:rsid w:val="13DB7D26"/>
    <w:rsid w:val="13DD5D2E"/>
    <w:rsid w:val="13DF3855"/>
    <w:rsid w:val="13EB044B"/>
    <w:rsid w:val="13ED0220"/>
    <w:rsid w:val="13F56BD4"/>
    <w:rsid w:val="13F60B9E"/>
    <w:rsid w:val="13F762F6"/>
    <w:rsid w:val="13F82B68"/>
    <w:rsid w:val="14067033"/>
    <w:rsid w:val="140B63F8"/>
    <w:rsid w:val="14100946"/>
    <w:rsid w:val="14157276"/>
    <w:rsid w:val="141B1709"/>
    <w:rsid w:val="14217D71"/>
    <w:rsid w:val="14237BE5"/>
    <w:rsid w:val="142F2A6F"/>
    <w:rsid w:val="143516C6"/>
    <w:rsid w:val="143E480A"/>
    <w:rsid w:val="143F0797"/>
    <w:rsid w:val="143F367F"/>
    <w:rsid w:val="14425B91"/>
    <w:rsid w:val="144B0EEA"/>
    <w:rsid w:val="145A0633"/>
    <w:rsid w:val="145A737F"/>
    <w:rsid w:val="145F04F1"/>
    <w:rsid w:val="146975C2"/>
    <w:rsid w:val="146E4CDC"/>
    <w:rsid w:val="147246C9"/>
    <w:rsid w:val="14755F67"/>
    <w:rsid w:val="147848D7"/>
    <w:rsid w:val="147E4E1C"/>
    <w:rsid w:val="147E6E66"/>
    <w:rsid w:val="148443FC"/>
    <w:rsid w:val="1485220B"/>
    <w:rsid w:val="14877402"/>
    <w:rsid w:val="14890F64"/>
    <w:rsid w:val="148B12E6"/>
    <w:rsid w:val="1490549F"/>
    <w:rsid w:val="14952165"/>
    <w:rsid w:val="14984A52"/>
    <w:rsid w:val="14A211D9"/>
    <w:rsid w:val="14A44572"/>
    <w:rsid w:val="14A56265"/>
    <w:rsid w:val="14A80541"/>
    <w:rsid w:val="14A95C11"/>
    <w:rsid w:val="14AA20B4"/>
    <w:rsid w:val="14AA270C"/>
    <w:rsid w:val="14AB3737"/>
    <w:rsid w:val="14AD3953"/>
    <w:rsid w:val="14AE45AC"/>
    <w:rsid w:val="14B720DC"/>
    <w:rsid w:val="14BA1BCC"/>
    <w:rsid w:val="14BA78A7"/>
    <w:rsid w:val="14C01DB8"/>
    <w:rsid w:val="14C173FE"/>
    <w:rsid w:val="14C4222A"/>
    <w:rsid w:val="14C52A4A"/>
    <w:rsid w:val="14CF6317"/>
    <w:rsid w:val="14DC7EF7"/>
    <w:rsid w:val="14E475D3"/>
    <w:rsid w:val="14E87AD6"/>
    <w:rsid w:val="14FB74A2"/>
    <w:rsid w:val="14FC21E4"/>
    <w:rsid w:val="14FC3F92"/>
    <w:rsid w:val="14FE32A2"/>
    <w:rsid w:val="15017368"/>
    <w:rsid w:val="15087A46"/>
    <w:rsid w:val="150C16A4"/>
    <w:rsid w:val="151632A6"/>
    <w:rsid w:val="151700EF"/>
    <w:rsid w:val="151B08BC"/>
    <w:rsid w:val="152931E2"/>
    <w:rsid w:val="153320AA"/>
    <w:rsid w:val="153F7762"/>
    <w:rsid w:val="1543751C"/>
    <w:rsid w:val="154849C3"/>
    <w:rsid w:val="155045BC"/>
    <w:rsid w:val="1551146D"/>
    <w:rsid w:val="15512530"/>
    <w:rsid w:val="155142DE"/>
    <w:rsid w:val="15591FA7"/>
    <w:rsid w:val="15597637"/>
    <w:rsid w:val="155B282E"/>
    <w:rsid w:val="155B515D"/>
    <w:rsid w:val="155D7127"/>
    <w:rsid w:val="155E0782"/>
    <w:rsid w:val="155E69FB"/>
    <w:rsid w:val="15670DD1"/>
    <w:rsid w:val="156A35F2"/>
    <w:rsid w:val="1573515B"/>
    <w:rsid w:val="157601E9"/>
    <w:rsid w:val="157D3607"/>
    <w:rsid w:val="158C3568"/>
    <w:rsid w:val="158F225A"/>
    <w:rsid w:val="1594066F"/>
    <w:rsid w:val="15941D70"/>
    <w:rsid w:val="1598015F"/>
    <w:rsid w:val="15AD04C1"/>
    <w:rsid w:val="15B060DD"/>
    <w:rsid w:val="15B50D11"/>
    <w:rsid w:val="15B900D5"/>
    <w:rsid w:val="15BB2A37"/>
    <w:rsid w:val="15BB5BFB"/>
    <w:rsid w:val="15BF393E"/>
    <w:rsid w:val="15C54AC9"/>
    <w:rsid w:val="15D078F9"/>
    <w:rsid w:val="15D1541F"/>
    <w:rsid w:val="15D22960"/>
    <w:rsid w:val="15E211F7"/>
    <w:rsid w:val="15E96C0C"/>
    <w:rsid w:val="15F0776C"/>
    <w:rsid w:val="15F35395"/>
    <w:rsid w:val="15FA463D"/>
    <w:rsid w:val="15FD6214"/>
    <w:rsid w:val="16082E04"/>
    <w:rsid w:val="160D26F5"/>
    <w:rsid w:val="16147D9B"/>
    <w:rsid w:val="16163175"/>
    <w:rsid w:val="16175EE7"/>
    <w:rsid w:val="161A5018"/>
    <w:rsid w:val="161B669A"/>
    <w:rsid w:val="161B7A15"/>
    <w:rsid w:val="161C1F83"/>
    <w:rsid w:val="162419F3"/>
    <w:rsid w:val="162C08A7"/>
    <w:rsid w:val="162C3563"/>
    <w:rsid w:val="16300397"/>
    <w:rsid w:val="16353C00"/>
    <w:rsid w:val="16354792"/>
    <w:rsid w:val="163F4A7E"/>
    <w:rsid w:val="16556050"/>
    <w:rsid w:val="165C118C"/>
    <w:rsid w:val="165F6ECF"/>
    <w:rsid w:val="16604C7B"/>
    <w:rsid w:val="1660788A"/>
    <w:rsid w:val="166149F5"/>
    <w:rsid w:val="166B13D0"/>
    <w:rsid w:val="1673312F"/>
    <w:rsid w:val="168635CD"/>
    <w:rsid w:val="16953304"/>
    <w:rsid w:val="16976811"/>
    <w:rsid w:val="169F551D"/>
    <w:rsid w:val="16A10D7E"/>
    <w:rsid w:val="16A86180"/>
    <w:rsid w:val="16A91EF8"/>
    <w:rsid w:val="16AA639C"/>
    <w:rsid w:val="16AB0B68"/>
    <w:rsid w:val="16AF66B2"/>
    <w:rsid w:val="16B04577"/>
    <w:rsid w:val="16B425B9"/>
    <w:rsid w:val="16B44623"/>
    <w:rsid w:val="16BD3D30"/>
    <w:rsid w:val="16C11378"/>
    <w:rsid w:val="16C32BE5"/>
    <w:rsid w:val="16C90EC2"/>
    <w:rsid w:val="16CC5916"/>
    <w:rsid w:val="16CE51CA"/>
    <w:rsid w:val="16D57191"/>
    <w:rsid w:val="16D74CB7"/>
    <w:rsid w:val="16D9538A"/>
    <w:rsid w:val="16DC051F"/>
    <w:rsid w:val="16E41182"/>
    <w:rsid w:val="16E701B4"/>
    <w:rsid w:val="16EA17B8"/>
    <w:rsid w:val="16ED0036"/>
    <w:rsid w:val="16ED6288"/>
    <w:rsid w:val="16F2564D"/>
    <w:rsid w:val="16F83A74"/>
    <w:rsid w:val="16F92E7F"/>
    <w:rsid w:val="16FF1ACF"/>
    <w:rsid w:val="17035AAC"/>
    <w:rsid w:val="170759C5"/>
    <w:rsid w:val="170A4468"/>
    <w:rsid w:val="17147CB9"/>
    <w:rsid w:val="17161C69"/>
    <w:rsid w:val="17167FED"/>
    <w:rsid w:val="17176842"/>
    <w:rsid w:val="17231CAA"/>
    <w:rsid w:val="17233804"/>
    <w:rsid w:val="172427CA"/>
    <w:rsid w:val="17285513"/>
    <w:rsid w:val="172A560C"/>
    <w:rsid w:val="172B0B5F"/>
    <w:rsid w:val="1732013F"/>
    <w:rsid w:val="17325833"/>
    <w:rsid w:val="17347CCD"/>
    <w:rsid w:val="1739327C"/>
    <w:rsid w:val="173A1679"/>
    <w:rsid w:val="173C2D6C"/>
    <w:rsid w:val="174228BB"/>
    <w:rsid w:val="174C228E"/>
    <w:rsid w:val="174F1DAC"/>
    <w:rsid w:val="17577BA6"/>
    <w:rsid w:val="175E2CE2"/>
    <w:rsid w:val="17635A05"/>
    <w:rsid w:val="1767428D"/>
    <w:rsid w:val="17732C32"/>
    <w:rsid w:val="17753D7C"/>
    <w:rsid w:val="17760616"/>
    <w:rsid w:val="177C13BA"/>
    <w:rsid w:val="177C760C"/>
    <w:rsid w:val="178A1D29"/>
    <w:rsid w:val="178C3CF3"/>
    <w:rsid w:val="178C5AA1"/>
    <w:rsid w:val="179233DD"/>
    <w:rsid w:val="17967879"/>
    <w:rsid w:val="179901BE"/>
    <w:rsid w:val="179E2B81"/>
    <w:rsid w:val="179E3A27"/>
    <w:rsid w:val="179E7583"/>
    <w:rsid w:val="17A7636F"/>
    <w:rsid w:val="17A776A1"/>
    <w:rsid w:val="17A80401"/>
    <w:rsid w:val="17AC1CA0"/>
    <w:rsid w:val="17B1375A"/>
    <w:rsid w:val="17B91CC2"/>
    <w:rsid w:val="17C7349B"/>
    <w:rsid w:val="17CB05F3"/>
    <w:rsid w:val="17D204C8"/>
    <w:rsid w:val="17D46F83"/>
    <w:rsid w:val="17D82A95"/>
    <w:rsid w:val="17E01949"/>
    <w:rsid w:val="17E23913"/>
    <w:rsid w:val="17E56F60"/>
    <w:rsid w:val="17E7646C"/>
    <w:rsid w:val="17EC0950"/>
    <w:rsid w:val="17F65611"/>
    <w:rsid w:val="17F90C5D"/>
    <w:rsid w:val="17FB2C27"/>
    <w:rsid w:val="17FF2717"/>
    <w:rsid w:val="18041ADC"/>
    <w:rsid w:val="18057602"/>
    <w:rsid w:val="180A2E6A"/>
    <w:rsid w:val="181100BF"/>
    <w:rsid w:val="181141F9"/>
    <w:rsid w:val="18144605"/>
    <w:rsid w:val="181817DB"/>
    <w:rsid w:val="181A30AD"/>
    <w:rsid w:val="181B5077"/>
    <w:rsid w:val="181B6E25"/>
    <w:rsid w:val="181C16C5"/>
    <w:rsid w:val="181C7800"/>
    <w:rsid w:val="181E2472"/>
    <w:rsid w:val="1820543E"/>
    <w:rsid w:val="182145DD"/>
    <w:rsid w:val="1822771A"/>
    <w:rsid w:val="182757CA"/>
    <w:rsid w:val="18280A8E"/>
    <w:rsid w:val="183028D1"/>
    <w:rsid w:val="18381785"/>
    <w:rsid w:val="18383533"/>
    <w:rsid w:val="183F5345"/>
    <w:rsid w:val="184A7980"/>
    <w:rsid w:val="184F5194"/>
    <w:rsid w:val="18504D21"/>
    <w:rsid w:val="18516CFD"/>
    <w:rsid w:val="18553913"/>
    <w:rsid w:val="185C1918"/>
    <w:rsid w:val="18615571"/>
    <w:rsid w:val="18665705"/>
    <w:rsid w:val="18721093"/>
    <w:rsid w:val="187B771C"/>
    <w:rsid w:val="187C6677"/>
    <w:rsid w:val="187D72C6"/>
    <w:rsid w:val="187F1162"/>
    <w:rsid w:val="18820C52"/>
    <w:rsid w:val="18836C66"/>
    <w:rsid w:val="18846779"/>
    <w:rsid w:val="18866995"/>
    <w:rsid w:val="18871757"/>
    <w:rsid w:val="18887223"/>
    <w:rsid w:val="188B5D59"/>
    <w:rsid w:val="188D7D23"/>
    <w:rsid w:val="18910E95"/>
    <w:rsid w:val="18967F87"/>
    <w:rsid w:val="189A2440"/>
    <w:rsid w:val="189C1D14"/>
    <w:rsid w:val="189D783A"/>
    <w:rsid w:val="18A4506D"/>
    <w:rsid w:val="18A575F7"/>
    <w:rsid w:val="18A64941"/>
    <w:rsid w:val="18AD6E63"/>
    <w:rsid w:val="18AE37F5"/>
    <w:rsid w:val="18B122FA"/>
    <w:rsid w:val="18B40E51"/>
    <w:rsid w:val="18B74DA0"/>
    <w:rsid w:val="18B8339B"/>
    <w:rsid w:val="18BC23B6"/>
    <w:rsid w:val="18BD4F9A"/>
    <w:rsid w:val="18C42B32"/>
    <w:rsid w:val="18D212F9"/>
    <w:rsid w:val="18D72D4C"/>
    <w:rsid w:val="18E66D77"/>
    <w:rsid w:val="18E722AD"/>
    <w:rsid w:val="18ED6A14"/>
    <w:rsid w:val="18EE0096"/>
    <w:rsid w:val="18EE62E8"/>
    <w:rsid w:val="18EF0616"/>
    <w:rsid w:val="18EF6677"/>
    <w:rsid w:val="18F77CFC"/>
    <w:rsid w:val="18FB5CC4"/>
    <w:rsid w:val="18FF1D76"/>
    <w:rsid w:val="19040E9E"/>
    <w:rsid w:val="19120228"/>
    <w:rsid w:val="191311B8"/>
    <w:rsid w:val="1917300C"/>
    <w:rsid w:val="19202945"/>
    <w:rsid w:val="19213B4A"/>
    <w:rsid w:val="192561AE"/>
    <w:rsid w:val="192E299C"/>
    <w:rsid w:val="193006AE"/>
    <w:rsid w:val="1930193F"/>
    <w:rsid w:val="19377C8F"/>
    <w:rsid w:val="193E726F"/>
    <w:rsid w:val="193F7D58"/>
    <w:rsid w:val="19404D95"/>
    <w:rsid w:val="19405F4F"/>
    <w:rsid w:val="1941206D"/>
    <w:rsid w:val="19434185"/>
    <w:rsid w:val="194A5652"/>
    <w:rsid w:val="194B54E8"/>
    <w:rsid w:val="19540841"/>
    <w:rsid w:val="19556C0B"/>
    <w:rsid w:val="19575C3B"/>
    <w:rsid w:val="196315DB"/>
    <w:rsid w:val="19707CE6"/>
    <w:rsid w:val="19762565"/>
    <w:rsid w:val="1977314F"/>
    <w:rsid w:val="1977452F"/>
    <w:rsid w:val="19856C4C"/>
    <w:rsid w:val="19865256"/>
    <w:rsid w:val="19873C1D"/>
    <w:rsid w:val="19874772"/>
    <w:rsid w:val="19923117"/>
    <w:rsid w:val="199306BA"/>
    <w:rsid w:val="199E69B0"/>
    <w:rsid w:val="19A0192B"/>
    <w:rsid w:val="19A05834"/>
    <w:rsid w:val="19A31463"/>
    <w:rsid w:val="19AF3B81"/>
    <w:rsid w:val="19B04509"/>
    <w:rsid w:val="19B412DF"/>
    <w:rsid w:val="19B968F6"/>
    <w:rsid w:val="19C71013"/>
    <w:rsid w:val="19CD414F"/>
    <w:rsid w:val="19D13844"/>
    <w:rsid w:val="19D41982"/>
    <w:rsid w:val="19D61256"/>
    <w:rsid w:val="19E14816"/>
    <w:rsid w:val="19E716B5"/>
    <w:rsid w:val="19E971DB"/>
    <w:rsid w:val="19EB2693"/>
    <w:rsid w:val="19EC5694"/>
    <w:rsid w:val="19ED50A0"/>
    <w:rsid w:val="19F3005A"/>
    <w:rsid w:val="19F33CB9"/>
    <w:rsid w:val="19FD2C86"/>
    <w:rsid w:val="1A037B71"/>
    <w:rsid w:val="1A0A0EFF"/>
    <w:rsid w:val="1A0E6C42"/>
    <w:rsid w:val="1A1104E0"/>
    <w:rsid w:val="1A136F0E"/>
    <w:rsid w:val="1A182A48"/>
    <w:rsid w:val="1A1B474E"/>
    <w:rsid w:val="1A1D08EB"/>
    <w:rsid w:val="1A1F2BFD"/>
    <w:rsid w:val="1A22449B"/>
    <w:rsid w:val="1A25488B"/>
    <w:rsid w:val="1A2C531A"/>
    <w:rsid w:val="1A2E721A"/>
    <w:rsid w:val="1A2F0966"/>
    <w:rsid w:val="1A313F02"/>
    <w:rsid w:val="1A362AA5"/>
    <w:rsid w:val="1A3F329F"/>
    <w:rsid w:val="1A434330"/>
    <w:rsid w:val="1A440A74"/>
    <w:rsid w:val="1A450189"/>
    <w:rsid w:val="1A473F02"/>
    <w:rsid w:val="1A491A28"/>
    <w:rsid w:val="1A577219"/>
    <w:rsid w:val="1A5B598A"/>
    <w:rsid w:val="1A5D54D3"/>
    <w:rsid w:val="1A5D6A3F"/>
    <w:rsid w:val="1A606D71"/>
    <w:rsid w:val="1A6940BC"/>
    <w:rsid w:val="1A6E3C55"/>
    <w:rsid w:val="1A7016AA"/>
    <w:rsid w:val="1A7B1DFD"/>
    <w:rsid w:val="1A7C5F3D"/>
    <w:rsid w:val="1A7D44BD"/>
    <w:rsid w:val="1A822408"/>
    <w:rsid w:val="1A83719D"/>
    <w:rsid w:val="1A89276C"/>
    <w:rsid w:val="1A8962C8"/>
    <w:rsid w:val="1A8C55EC"/>
    <w:rsid w:val="1A8C60A2"/>
    <w:rsid w:val="1A903AFB"/>
    <w:rsid w:val="1A976C37"/>
    <w:rsid w:val="1A98475D"/>
    <w:rsid w:val="1A98650B"/>
    <w:rsid w:val="1A9C249F"/>
    <w:rsid w:val="1A9C78A1"/>
    <w:rsid w:val="1A9D6217"/>
    <w:rsid w:val="1A9F3D3E"/>
    <w:rsid w:val="1AA17AB6"/>
    <w:rsid w:val="1AA43102"/>
    <w:rsid w:val="1AAD4CB7"/>
    <w:rsid w:val="1AAE3F81"/>
    <w:rsid w:val="1AB33345"/>
    <w:rsid w:val="1AB518B2"/>
    <w:rsid w:val="1AB66952"/>
    <w:rsid w:val="1AB772D9"/>
    <w:rsid w:val="1ABA7CDE"/>
    <w:rsid w:val="1ABD1C31"/>
    <w:rsid w:val="1ABD41C4"/>
    <w:rsid w:val="1AC11F06"/>
    <w:rsid w:val="1AC25486"/>
    <w:rsid w:val="1AC47300"/>
    <w:rsid w:val="1ACE56DF"/>
    <w:rsid w:val="1AD80FFE"/>
    <w:rsid w:val="1ADA6E0F"/>
    <w:rsid w:val="1AE16104"/>
    <w:rsid w:val="1AEE0821"/>
    <w:rsid w:val="1AF01D0B"/>
    <w:rsid w:val="1AF226AD"/>
    <w:rsid w:val="1AF37BE5"/>
    <w:rsid w:val="1AF4654F"/>
    <w:rsid w:val="1AF851FC"/>
    <w:rsid w:val="1AFC6A9A"/>
    <w:rsid w:val="1AFF2662"/>
    <w:rsid w:val="1B024856"/>
    <w:rsid w:val="1B080CFE"/>
    <w:rsid w:val="1B1B7DAF"/>
    <w:rsid w:val="1B1C7C04"/>
    <w:rsid w:val="1B244243"/>
    <w:rsid w:val="1B252495"/>
    <w:rsid w:val="1B253440"/>
    <w:rsid w:val="1B267FBB"/>
    <w:rsid w:val="1B28610D"/>
    <w:rsid w:val="1B28788F"/>
    <w:rsid w:val="1B2A3C6F"/>
    <w:rsid w:val="1B2E6E70"/>
    <w:rsid w:val="1B334486"/>
    <w:rsid w:val="1B3501FE"/>
    <w:rsid w:val="1B39216B"/>
    <w:rsid w:val="1B39686C"/>
    <w:rsid w:val="1B3A75C2"/>
    <w:rsid w:val="1B3B1CB8"/>
    <w:rsid w:val="1B3D1C0A"/>
    <w:rsid w:val="1B475841"/>
    <w:rsid w:val="1B487F31"/>
    <w:rsid w:val="1B4B17D0"/>
    <w:rsid w:val="1B55353E"/>
    <w:rsid w:val="1B593EEC"/>
    <w:rsid w:val="1B6034CD"/>
    <w:rsid w:val="1B662AAD"/>
    <w:rsid w:val="1B6B1E72"/>
    <w:rsid w:val="1B734D5C"/>
    <w:rsid w:val="1B742AD4"/>
    <w:rsid w:val="1B754A9E"/>
    <w:rsid w:val="1B824429"/>
    <w:rsid w:val="1B8B6070"/>
    <w:rsid w:val="1B8C565B"/>
    <w:rsid w:val="1B94128E"/>
    <w:rsid w:val="1B970EB9"/>
    <w:rsid w:val="1B982ED9"/>
    <w:rsid w:val="1B98309D"/>
    <w:rsid w:val="1B9E3FF5"/>
    <w:rsid w:val="1B9F38C9"/>
    <w:rsid w:val="1BA15893"/>
    <w:rsid w:val="1BA15EFF"/>
    <w:rsid w:val="1BA55384"/>
    <w:rsid w:val="1BAC167D"/>
    <w:rsid w:val="1BAF4735"/>
    <w:rsid w:val="1BC04A26"/>
    <w:rsid w:val="1BC62475"/>
    <w:rsid w:val="1BD14E8A"/>
    <w:rsid w:val="1BD9300C"/>
    <w:rsid w:val="1BDB3120"/>
    <w:rsid w:val="1BDB584F"/>
    <w:rsid w:val="1BE340FE"/>
    <w:rsid w:val="1BE35EAC"/>
    <w:rsid w:val="1BE539D2"/>
    <w:rsid w:val="1BE53E44"/>
    <w:rsid w:val="1BE834C2"/>
    <w:rsid w:val="1C026332"/>
    <w:rsid w:val="1C073948"/>
    <w:rsid w:val="1C0960D8"/>
    <w:rsid w:val="1C136791"/>
    <w:rsid w:val="1C171D4E"/>
    <w:rsid w:val="1C183DA8"/>
    <w:rsid w:val="1C200EAE"/>
    <w:rsid w:val="1C201EF0"/>
    <w:rsid w:val="1C274BD2"/>
    <w:rsid w:val="1C2A7637"/>
    <w:rsid w:val="1C2E0A67"/>
    <w:rsid w:val="1C3310EC"/>
    <w:rsid w:val="1C335730"/>
    <w:rsid w:val="1C346708"/>
    <w:rsid w:val="1C384865"/>
    <w:rsid w:val="1C395ACC"/>
    <w:rsid w:val="1C403F9F"/>
    <w:rsid w:val="1C4E7894"/>
    <w:rsid w:val="1C560CED"/>
    <w:rsid w:val="1C576AE9"/>
    <w:rsid w:val="1C5C2227"/>
    <w:rsid w:val="1C5E7FF7"/>
    <w:rsid w:val="1C67332C"/>
    <w:rsid w:val="1C7301C8"/>
    <w:rsid w:val="1C7C1EB6"/>
    <w:rsid w:val="1C8E5E18"/>
    <w:rsid w:val="1C923F69"/>
    <w:rsid w:val="1C93375D"/>
    <w:rsid w:val="1C954CD6"/>
    <w:rsid w:val="1C986C96"/>
    <w:rsid w:val="1CAC31A1"/>
    <w:rsid w:val="1CAF5FA7"/>
    <w:rsid w:val="1CB6582C"/>
    <w:rsid w:val="1CC15A71"/>
    <w:rsid w:val="1CC17F9B"/>
    <w:rsid w:val="1CC7132A"/>
    <w:rsid w:val="1CC96E50"/>
    <w:rsid w:val="1CCB2BC8"/>
    <w:rsid w:val="1CCE2E4F"/>
    <w:rsid w:val="1CCF3AA2"/>
    <w:rsid w:val="1CD04682"/>
    <w:rsid w:val="1CD13F56"/>
    <w:rsid w:val="1CD86382"/>
    <w:rsid w:val="1CE4012E"/>
    <w:rsid w:val="1CE76D4F"/>
    <w:rsid w:val="1CEE07C3"/>
    <w:rsid w:val="1CF6743A"/>
    <w:rsid w:val="1CF77E61"/>
    <w:rsid w:val="1CF87735"/>
    <w:rsid w:val="1D0165EA"/>
    <w:rsid w:val="1D0674BF"/>
    <w:rsid w:val="1D0B1216"/>
    <w:rsid w:val="1D0F4F11"/>
    <w:rsid w:val="1D13456F"/>
    <w:rsid w:val="1D190631"/>
    <w:rsid w:val="1D256673"/>
    <w:rsid w:val="1D2A5666"/>
    <w:rsid w:val="1D2B7B0B"/>
    <w:rsid w:val="1D2E3157"/>
    <w:rsid w:val="1D322C47"/>
    <w:rsid w:val="1D372DB2"/>
    <w:rsid w:val="1D3938CE"/>
    <w:rsid w:val="1D40420F"/>
    <w:rsid w:val="1D48081E"/>
    <w:rsid w:val="1D4B1F5B"/>
    <w:rsid w:val="1D4E55A7"/>
    <w:rsid w:val="1D57445C"/>
    <w:rsid w:val="1D5A1AD5"/>
    <w:rsid w:val="1D5A219E"/>
    <w:rsid w:val="1D5D48F4"/>
    <w:rsid w:val="1D5F5A06"/>
    <w:rsid w:val="1D666D95"/>
    <w:rsid w:val="1D721295"/>
    <w:rsid w:val="1D7738EA"/>
    <w:rsid w:val="1D7B2840"/>
    <w:rsid w:val="1D8B2357"/>
    <w:rsid w:val="1D8E7F6E"/>
    <w:rsid w:val="1D9456B0"/>
    <w:rsid w:val="1D9B4C90"/>
    <w:rsid w:val="1DA33B45"/>
    <w:rsid w:val="1DA55279"/>
    <w:rsid w:val="1DA67191"/>
    <w:rsid w:val="1DAA4ED3"/>
    <w:rsid w:val="1DB624A5"/>
    <w:rsid w:val="1DC51D0D"/>
    <w:rsid w:val="1DCB4E4A"/>
    <w:rsid w:val="1DCC309C"/>
    <w:rsid w:val="1DF0665E"/>
    <w:rsid w:val="1DF71875"/>
    <w:rsid w:val="1DFB128B"/>
    <w:rsid w:val="1E05035C"/>
    <w:rsid w:val="1E062937"/>
    <w:rsid w:val="1E0F4D36"/>
    <w:rsid w:val="1E126935"/>
    <w:rsid w:val="1E152B49"/>
    <w:rsid w:val="1E197963"/>
    <w:rsid w:val="1E1D56A5"/>
    <w:rsid w:val="1E2307E2"/>
    <w:rsid w:val="1E256308"/>
    <w:rsid w:val="1E2E3FC6"/>
    <w:rsid w:val="1E2F67FD"/>
    <w:rsid w:val="1E3576CC"/>
    <w:rsid w:val="1E366767"/>
    <w:rsid w:val="1E370E0A"/>
    <w:rsid w:val="1E380731"/>
    <w:rsid w:val="1E403142"/>
    <w:rsid w:val="1E4075E6"/>
    <w:rsid w:val="1E420718"/>
    <w:rsid w:val="1E4A5D6E"/>
    <w:rsid w:val="1E51534F"/>
    <w:rsid w:val="1E5310C7"/>
    <w:rsid w:val="1E546BED"/>
    <w:rsid w:val="1E5F0FCE"/>
    <w:rsid w:val="1E611101"/>
    <w:rsid w:val="1E676920"/>
    <w:rsid w:val="1E696B3C"/>
    <w:rsid w:val="1E6A4611"/>
    <w:rsid w:val="1E6B1006"/>
    <w:rsid w:val="1E6C03DB"/>
    <w:rsid w:val="1E6E5F01"/>
    <w:rsid w:val="1E733D65"/>
    <w:rsid w:val="1E780B2E"/>
    <w:rsid w:val="1E780F3D"/>
    <w:rsid w:val="1E7A16BA"/>
    <w:rsid w:val="1E7B3054"/>
    <w:rsid w:val="1E7E3C6A"/>
    <w:rsid w:val="1E7F39EB"/>
    <w:rsid w:val="1E82430E"/>
    <w:rsid w:val="1E863E28"/>
    <w:rsid w:val="1E890F8D"/>
    <w:rsid w:val="1E910415"/>
    <w:rsid w:val="1E94348E"/>
    <w:rsid w:val="1E9A6CF6"/>
    <w:rsid w:val="1E9B001D"/>
    <w:rsid w:val="1E9F144C"/>
    <w:rsid w:val="1E9F430C"/>
    <w:rsid w:val="1EA01E32"/>
    <w:rsid w:val="1EA731C1"/>
    <w:rsid w:val="1EAE291C"/>
    <w:rsid w:val="1EAF2075"/>
    <w:rsid w:val="1EB51D82"/>
    <w:rsid w:val="1EB83620"/>
    <w:rsid w:val="1EBA3E4F"/>
    <w:rsid w:val="1EBD4792"/>
    <w:rsid w:val="1EC02DEE"/>
    <w:rsid w:val="1ECC2C27"/>
    <w:rsid w:val="1ECE2873"/>
    <w:rsid w:val="1ED02718"/>
    <w:rsid w:val="1ED12C54"/>
    <w:rsid w:val="1EDA17E8"/>
    <w:rsid w:val="1EDC5E47"/>
    <w:rsid w:val="1EE85FD9"/>
    <w:rsid w:val="1EFA3A95"/>
    <w:rsid w:val="1EFA7794"/>
    <w:rsid w:val="1F0A515A"/>
    <w:rsid w:val="1F0B7BF4"/>
    <w:rsid w:val="1F0E4FEE"/>
    <w:rsid w:val="1F152820"/>
    <w:rsid w:val="1F197261"/>
    <w:rsid w:val="1F23657A"/>
    <w:rsid w:val="1F264A2D"/>
    <w:rsid w:val="1F2B3DF2"/>
    <w:rsid w:val="1F334A54"/>
    <w:rsid w:val="1F374545"/>
    <w:rsid w:val="1F3C3740"/>
    <w:rsid w:val="1F470500"/>
    <w:rsid w:val="1F4D3D68"/>
    <w:rsid w:val="1F4E5E2B"/>
    <w:rsid w:val="1F5D7D23"/>
    <w:rsid w:val="1F617814"/>
    <w:rsid w:val="1F621CE1"/>
    <w:rsid w:val="1F6966C8"/>
    <w:rsid w:val="1F8429BD"/>
    <w:rsid w:val="1F890B18"/>
    <w:rsid w:val="1F8D23B7"/>
    <w:rsid w:val="1F923E71"/>
    <w:rsid w:val="1F9336CE"/>
    <w:rsid w:val="1F95570F"/>
    <w:rsid w:val="1F996889"/>
    <w:rsid w:val="1F9B480F"/>
    <w:rsid w:val="1FA6661C"/>
    <w:rsid w:val="1FAD4807"/>
    <w:rsid w:val="1FAD6B4E"/>
    <w:rsid w:val="1FB02549"/>
    <w:rsid w:val="1FB9474C"/>
    <w:rsid w:val="1FB9730F"/>
    <w:rsid w:val="1FBA6F24"/>
    <w:rsid w:val="1FBB493B"/>
    <w:rsid w:val="1FBE53A3"/>
    <w:rsid w:val="1FC97281"/>
    <w:rsid w:val="1FCC0CA9"/>
    <w:rsid w:val="1FD3446B"/>
    <w:rsid w:val="1FD3789B"/>
    <w:rsid w:val="1FD44489"/>
    <w:rsid w:val="1FD75BF2"/>
    <w:rsid w:val="1FD91AA0"/>
    <w:rsid w:val="1FDA1374"/>
    <w:rsid w:val="1FDE0E64"/>
    <w:rsid w:val="1FE47C93"/>
    <w:rsid w:val="1FE52611"/>
    <w:rsid w:val="1FE7674F"/>
    <w:rsid w:val="1FE81CE3"/>
    <w:rsid w:val="1FF71F26"/>
    <w:rsid w:val="1FFC646D"/>
    <w:rsid w:val="20012DA5"/>
    <w:rsid w:val="20014B53"/>
    <w:rsid w:val="200D1749"/>
    <w:rsid w:val="20120B0E"/>
    <w:rsid w:val="20144886"/>
    <w:rsid w:val="20161930"/>
    <w:rsid w:val="202244C0"/>
    <w:rsid w:val="20234AC9"/>
    <w:rsid w:val="20286583"/>
    <w:rsid w:val="202C7E22"/>
    <w:rsid w:val="20336B1C"/>
    <w:rsid w:val="20337402"/>
    <w:rsid w:val="20365311"/>
    <w:rsid w:val="20367D75"/>
    <w:rsid w:val="203B62B7"/>
    <w:rsid w:val="203E7B55"/>
    <w:rsid w:val="204038CD"/>
    <w:rsid w:val="204131A1"/>
    <w:rsid w:val="20435C16"/>
    <w:rsid w:val="204D1B46"/>
    <w:rsid w:val="20521EA0"/>
    <w:rsid w:val="20586E69"/>
    <w:rsid w:val="205904EB"/>
    <w:rsid w:val="205D447F"/>
    <w:rsid w:val="205E01F7"/>
    <w:rsid w:val="20670E5A"/>
    <w:rsid w:val="206C2914"/>
    <w:rsid w:val="206F45A5"/>
    <w:rsid w:val="207033FB"/>
    <w:rsid w:val="207500F4"/>
    <w:rsid w:val="20774389"/>
    <w:rsid w:val="20781906"/>
    <w:rsid w:val="207B66B3"/>
    <w:rsid w:val="207C615F"/>
    <w:rsid w:val="2080016D"/>
    <w:rsid w:val="20887022"/>
    <w:rsid w:val="20895A1F"/>
    <w:rsid w:val="208A3AF0"/>
    <w:rsid w:val="20933A75"/>
    <w:rsid w:val="20967991"/>
    <w:rsid w:val="209B6D55"/>
    <w:rsid w:val="209F6845"/>
    <w:rsid w:val="20A1302F"/>
    <w:rsid w:val="20A35C0A"/>
    <w:rsid w:val="20A51982"/>
    <w:rsid w:val="20A91472"/>
    <w:rsid w:val="20AA0CE3"/>
    <w:rsid w:val="20AF0D9B"/>
    <w:rsid w:val="20B45378"/>
    <w:rsid w:val="20B7429F"/>
    <w:rsid w:val="20B94C39"/>
    <w:rsid w:val="20B971DB"/>
    <w:rsid w:val="20BE7EF7"/>
    <w:rsid w:val="20BF58DF"/>
    <w:rsid w:val="20C07E7A"/>
    <w:rsid w:val="20C84600"/>
    <w:rsid w:val="20C938C2"/>
    <w:rsid w:val="20CC6F0F"/>
    <w:rsid w:val="20D01EE9"/>
    <w:rsid w:val="20D14525"/>
    <w:rsid w:val="20D44015"/>
    <w:rsid w:val="20DF30E6"/>
    <w:rsid w:val="20E34258"/>
    <w:rsid w:val="20E56222"/>
    <w:rsid w:val="20E83ABC"/>
    <w:rsid w:val="20E97AC1"/>
    <w:rsid w:val="20F93B48"/>
    <w:rsid w:val="20FE449A"/>
    <w:rsid w:val="2100305C"/>
    <w:rsid w:val="21005A13"/>
    <w:rsid w:val="21022930"/>
    <w:rsid w:val="21031D54"/>
    <w:rsid w:val="210448FA"/>
    <w:rsid w:val="21050673"/>
    <w:rsid w:val="2107759F"/>
    <w:rsid w:val="210A48F8"/>
    <w:rsid w:val="2115138E"/>
    <w:rsid w:val="2115671A"/>
    <w:rsid w:val="211605E1"/>
    <w:rsid w:val="211C60D5"/>
    <w:rsid w:val="212705E9"/>
    <w:rsid w:val="212B146E"/>
    <w:rsid w:val="212E5E1B"/>
    <w:rsid w:val="21325624"/>
    <w:rsid w:val="21337B47"/>
    <w:rsid w:val="21355D04"/>
    <w:rsid w:val="213B2764"/>
    <w:rsid w:val="213D22F1"/>
    <w:rsid w:val="213D23B6"/>
    <w:rsid w:val="2145042F"/>
    <w:rsid w:val="214B194C"/>
    <w:rsid w:val="21585B26"/>
    <w:rsid w:val="2158623E"/>
    <w:rsid w:val="215C64E4"/>
    <w:rsid w:val="215E3DEE"/>
    <w:rsid w:val="215E44A7"/>
    <w:rsid w:val="215F3F86"/>
    <w:rsid w:val="216361B0"/>
    <w:rsid w:val="216830DB"/>
    <w:rsid w:val="216B3E44"/>
    <w:rsid w:val="216B56D2"/>
    <w:rsid w:val="21717AB6"/>
    <w:rsid w:val="217A23C3"/>
    <w:rsid w:val="217C6B87"/>
    <w:rsid w:val="21821CC3"/>
    <w:rsid w:val="21867A05"/>
    <w:rsid w:val="21894314"/>
    <w:rsid w:val="21907007"/>
    <w:rsid w:val="21920158"/>
    <w:rsid w:val="21920880"/>
    <w:rsid w:val="21957C48"/>
    <w:rsid w:val="219C2D85"/>
    <w:rsid w:val="21A108CB"/>
    <w:rsid w:val="21AB1B98"/>
    <w:rsid w:val="21B24356"/>
    <w:rsid w:val="21B77BBF"/>
    <w:rsid w:val="21BA145D"/>
    <w:rsid w:val="21BF0821"/>
    <w:rsid w:val="21BF3F6C"/>
    <w:rsid w:val="21BF4CC5"/>
    <w:rsid w:val="21C260D3"/>
    <w:rsid w:val="21C61599"/>
    <w:rsid w:val="21CC3CDF"/>
    <w:rsid w:val="21CF11D0"/>
    <w:rsid w:val="21D06ED2"/>
    <w:rsid w:val="21D818E3"/>
    <w:rsid w:val="21DD6EFA"/>
    <w:rsid w:val="21E035E5"/>
    <w:rsid w:val="21E07116"/>
    <w:rsid w:val="21E27404"/>
    <w:rsid w:val="21EA7F94"/>
    <w:rsid w:val="21EF55AB"/>
    <w:rsid w:val="21F25FEA"/>
    <w:rsid w:val="21FD6D7A"/>
    <w:rsid w:val="220646A2"/>
    <w:rsid w:val="220B1BC2"/>
    <w:rsid w:val="22114641"/>
    <w:rsid w:val="22121299"/>
    <w:rsid w:val="22137F08"/>
    <w:rsid w:val="221A3813"/>
    <w:rsid w:val="222608A0"/>
    <w:rsid w:val="222A0391"/>
    <w:rsid w:val="222A6B96"/>
    <w:rsid w:val="22307955"/>
    <w:rsid w:val="22324A09"/>
    <w:rsid w:val="2235037E"/>
    <w:rsid w:val="223E29CA"/>
    <w:rsid w:val="22401962"/>
    <w:rsid w:val="22411897"/>
    <w:rsid w:val="22433110"/>
    <w:rsid w:val="22435E3E"/>
    <w:rsid w:val="22460F43"/>
    <w:rsid w:val="224A27E1"/>
    <w:rsid w:val="224F429B"/>
    <w:rsid w:val="22563A79"/>
    <w:rsid w:val="22592A24"/>
    <w:rsid w:val="22596EC8"/>
    <w:rsid w:val="22602004"/>
    <w:rsid w:val="2262669D"/>
    <w:rsid w:val="22627DAF"/>
    <w:rsid w:val="22655067"/>
    <w:rsid w:val="22673393"/>
    <w:rsid w:val="22684985"/>
    <w:rsid w:val="226E2973"/>
    <w:rsid w:val="22743D02"/>
    <w:rsid w:val="22806203"/>
    <w:rsid w:val="22813D29"/>
    <w:rsid w:val="228757E3"/>
    <w:rsid w:val="228A0E2F"/>
    <w:rsid w:val="228C2DF9"/>
    <w:rsid w:val="228D26CE"/>
    <w:rsid w:val="22995516"/>
    <w:rsid w:val="229E75EE"/>
    <w:rsid w:val="22AB3233"/>
    <w:rsid w:val="22B660C8"/>
    <w:rsid w:val="22B8599C"/>
    <w:rsid w:val="22BB4743"/>
    <w:rsid w:val="22BD1205"/>
    <w:rsid w:val="22C34341"/>
    <w:rsid w:val="22CB76A0"/>
    <w:rsid w:val="22D02771"/>
    <w:rsid w:val="22D402FC"/>
    <w:rsid w:val="22D4654E"/>
    <w:rsid w:val="22D5515C"/>
    <w:rsid w:val="22E20907"/>
    <w:rsid w:val="22E22A19"/>
    <w:rsid w:val="22E52653"/>
    <w:rsid w:val="22E5535D"/>
    <w:rsid w:val="22E948D4"/>
    <w:rsid w:val="22EF5A2B"/>
    <w:rsid w:val="22F8048F"/>
    <w:rsid w:val="22F83FEB"/>
    <w:rsid w:val="22F97417"/>
    <w:rsid w:val="22F97D63"/>
    <w:rsid w:val="22FF2F22"/>
    <w:rsid w:val="22FF7A6F"/>
    <w:rsid w:val="2303104A"/>
    <w:rsid w:val="23046E34"/>
    <w:rsid w:val="2309444A"/>
    <w:rsid w:val="230E1A60"/>
    <w:rsid w:val="231177A3"/>
    <w:rsid w:val="231774AE"/>
    <w:rsid w:val="23226D27"/>
    <w:rsid w:val="232272BA"/>
    <w:rsid w:val="232D371B"/>
    <w:rsid w:val="232F64FC"/>
    <w:rsid w:val="232F76C9"/>
    <w:rsid w:val="233012E3"/>
    <w:rsid w:val="23362D65"/>
    <w:rsid w:val="233B56AD"/>
    <w:rsid w:val="233D1CF0"/>
    <w:rsid w:val="233D2346"/>
    <w:rsid w:val="23400177"/>
    <w:rsid w:val="23403BE4"/>
    <w:rsid w:val="23447230"/>
    <w:rsid w:val="23461B9F"/>
    <w:rsid w:val="23496F3C"/>
    <w:rsid w:val="234E1A6D"/>
    <w:rsid w:val="23515DF1"/>
    <w:rsid w:val="23626302"/>
    <w:rsid w:val="23694EE9"/>
    <w:rsid w:val="236A0C62"/>
    <w:rsid w:val="236C13D9"/>
    <w:rsid w:val="236D6760"/>
    <w:rsid w:val="236E69A3"/>
    <w:rsid w:val="23700025"/>
    <w:rsid w:val="23711FEF"/>
    <w:rsid w:val="2372299A"/>
    <w:rsid w:val="23760F5B"/>
    <w:rsid w:val="2378337E"/>
    <w:rsid w:val="237C16B0"/>
    <w:rsid w:val="237C661D"/>
    <w:rsid w:val="237D439E"/>
    <w:rsid w:val="2380128E"/>
    <w:rsid w:val="2383244E"/>
    <w:rsid w:val="23835E99"/>
    <w:rsid w:val="23847F75"/>
    <w:rsid w:val="2385066C"/>
    <w:rsid w:val="23871813"/>
    <w:rsid w:val="23874E71"/>
    <w:rsid w:val="23906919"/>
    <w:rsid w:val="23907664"/>
    <w:rsid w:val="23914D1B"/>
    <w:rsid w:val="239C52BE"/>
    <w:rsid w:val="23A0431E"/>
    <w:rsid w:val="23A221A9"/>
    <w:rsid w:val="23A579AE"/>
    <w:rsid w:val="23AE7537"/>
    <w:rsid w:val="23B5012E"/>
    <w:rsid w:val="23B75C54"/>
    <w:rsid w:val="23B853F0"/>
    <w:rsid w:val="23BA2425"/>
    <w:rsid w:val="23BB04AF"/>
    <w:rsid w:val="23BC14BC"/>
    <w:rsid w:val="23C06BC8"/>
    <w:rsid w:val="23C12F77"/>
    <w:rsid w:val="23C164F1"/>
    <w:rsid w:val="23D20CE0"/>
    <w:rsid w:val="23D700A4"/>
    <w:rsid w:val="23DB14C5"/>
    <w:rsid w:val="23DF1942"/>
    <w:rsid w:val="23E422FF"/>
    <w:rsid w:val="23E822B1"/>
    <w:rsid w:val="23EF6A23"/>
    <w:rsid w:val="23F362E5"/>
    <w:rsid w:val="23F5117A"/>
    <w:rsid w:val="23FA64AA"/>
    <w:rsid w:val="240370EB"/>
    <w:rsid w:val="24066BDB"/>
    <w:rsid w:val="24084C18"/>
    <w:rsid w:val="240E783E"/>
    <w:rsid w:val="24172EB7"/>
    <w:rsid w:val="242249C6"/>
    <w:rsid w:val="24247062"/>
    <w:rsid w:val="24262DDA"/>
    <w:rsid w:val="24381A9C"/>
    <w:rsid w:val="24455956"/>
    <w:rsid w:val="2455546D"/>
    <w:rsid w:val="24572F93"/>
    <w:rsid w:val="245B6F27"/>
    <w:rsid w:val="245E07C6"/>
    <w:rsid w:val="245F009A"/>
    <w:rsid w:val="246A716A"/>
    <w:rsid w:val="246F27F5"/>
    <w:rsid w:val="246F652F"/>
    <w:rsid w:val="2472601F"/>
    <w:rsid w:val="24766199"/>
    <w:rsid w:val="247B4ED4"/>
    <w:rsid w:val="248339FB"/>
    <w:rsid w:val="2483647E"/>
    <w:rsid w:val="24892FA4"/>
    <w:rsid w:val="2497134E"/>
    <w:rsid w:val="249965E0"/>
    <w:rsid w:val="249E6AF6"/>
    <w:rsid w:val="24A73F1B"/>
    <w:rsid w:val="24AC3B92"/>
    <w:rsid w:val="24BB5C18"/>
    <w:rsid w:val="24BE19A8"/>
    <w:rsid w:val="24BE3012"/>
    <w:rsid w:val="24BE6297"/>
    <w:rsid w:val="24BE74B6"/>
    <w:rsid w:val="24C04FDC"/>
    <w:rsid w:val="24C06D8A"/>
    <w:rsid w:val="24C31A17"/>
    <w:rsid w:val="24D42836"/>
    <w:rsid w:val="24D6035C"/>
    <w:rsid w:val="24DB0068"/>
    <w:rsid w:val="24DC60AB"/>
    <w:rsid w:val="24DE1906"/>
    <w:rsid w:val="24E054D7"/>
    <w:rsid w:val="24E422B9"/>
    <w:rsid w:val="24E52E55"/>
    <w:rsid w:val="24E567F1"/>
    <w:rsid w:val="24E76A0D"/>
    <w:rsid w:val="24F00B4F"/>
    <w:rsid w:val="24F133E8"/>
    <w:rsid w:val="24F20F0E"/>
    <w:rsid w:val="24F66C50"/>
    <w:rsid w:val="24F67EBF"/>
    <w:rsid w:val="250177AF"/>
    <w:rsid w:val="250550E5"/>
    <w:rsid w:val="25070E5D"/>
    <w:rsid w:val="250C5C83"/>
    <w:rsid w:val="250D0E48"/>
    <w:rsid w:val="250E05A3"/>
    <w:rsid w:val="250F1AC0"/>
    <w:rsid w:val="25115838"/>
    <w:rsid w:val="25135768"/>
    <w:rsid w:val="2517003B"/>
    <w:rsid w:val="25180974"/>
    <w:rsid w:val="251A0B90"/>
    <w:rsid w:val="251B2213"/>
    <w:rsid w:val="251B66B7"/>
    <w:rsid w:val="251C63B0"/>
    <w:rsid w:val="251D6422"/>
    <w:rsid w:val="25257535"/>
    <w:rsid w:val="252D7E52"/>
    <w:rsid w:val="252E1F46"/>
    <w:rsid w:val="252F2E19"/>
    <w:rsid w:val="252F3F10"/>
    <w:rsid w:val="25323DC4"/>
    <w:rsid w:val="253E73EE"/>
    <w:rsid w:val="2540611D"/>
    <w:rsid w:val="25423AAB"/>
    <w:rsid w:val="25434C5E"/>
    <w:rsid w:val="25442DC3"/>
    <w:rsid w:val="255319AC"/>
    <w:rsid w:val="255418A8"/>
    <w:rsid w:val="25553977"/>
    <w:rsid w:val="25592D3B"/>
    <w:rsid w:val="255D282B"/>
    <w:rsid w:val="256040C9"/>
    <w:rsid w:val="256E7CC8"/>
    <w:rsid w:val="25710085"/>
    <w:rsid w:val="258E0BB3"/>
    <w:rsid w:val="258E0C37"/>
    <w:rsid w:val="25943308"/>
    <w:rsid w:val="25981AB5"/>
    <w:rsid w:val="259B711F"/>
    <w:rsid w:val="25A246E2"/>
    <w:rsid w:val="25A5087C"/>
    <w:rsid w:val="25B73564"/>
    <w:rsid w:val="25C7239A"/>
    <w:rsid w:val="25CB59E7"/>
    <w:rsid w:val="25D16D75"/>
    <w:rsid w:val="25D43A4F"/>
    <w:rsid w:val="25D54AB7"/>
    <w:rsid w:val="25D845A8"/>
    <w:rsid w:val="25D87C9C"/>
    <w:rsid w:val="25DB3C35"/>
    <w:rsid w:val="25DF22A8"/>
    <w:rsid w:val="25DF5602"/>
    <w:rsid w:val="25E1520A"/>
    <w:rsid w:val="25E92311"/>
    <w:rsid w:val="25ED4D74"/>
    <w:rsid w:val="25EE6204"/>
    <w:rsid w:val="25F2111F"/>
    <w:rsid w:val="25F81110"/>
    <w:rsid w:val="25F969F8"/>
    <w:rsid w:val="25FF1B34"/>
    <w:rsid w:val="260333D3"/>
    <w:rsid w:val="260337BB"/>
    <w:rsid w:val="26084E8D"/>
    <w:rsid w:val="260C02FD"/>
    <w:rsid w:val="260E7FC9"/>
    <w:rsid w:val="26103D41"/>
    <w:rsid w:val="261750D0"/>
    <w:rsid w:val="261A696E"/>
    <w:rsid w:val="261C26E6"/>
    <w:rsid w:val="26263565"/>
    <w:rsid w:val="262A4E03"/>
    <w:rsid w:val="262E41C8"/>
    <w:rsid w:val="26331035"/>
    <w:rsid w:val="26332E9A"/>
    <w:rsid w:val="2634680F"/>
    <w:rsid w:val="264071ED"/>
    <w:rsid w:val="26487037"/>
    <w:rsid w:val="264B2FCC"/>
    <w:rsid w:val="264F328F"/>
    <w:rsid w:val="264F6618"/>
    <w:rsid w:val="265064E5"/>
    <w:rsid w:val="2652435A"/>
    <w:rsid w:val="265C6F87"/>
    <w:rsid w:val="265D2254"/>
    <w:rsid w:val="266165C3"/>
    <w:rsid w:val="26633E71"/>
    <w:rsid w:val="26661BB3"/>
    <w:rsid w:val="2666570F"/>
    <w:rsid w:val="26667E05"/>
    <w:rsid w:val="2668592C"/>
    <w:rsid w:val="266A4FF8"/>
    <w:rsid w:val="266B47A1"/>
    <w:rsid w:val="266D2F42"/>
    <w:rsid w:val="2674607E"/>
    <w:rsid w:val="26790D02"/>
    <w:rsid w:val="267E4D71"/>
    <w:rsid w:val="26812549"/>
    <w:rsid w:val="268362C1"/>
    <w:rsid w:val="268A7650"/>
    <w:rsid w:val="268D5392"/>
    <w:rsid w:val="26920923"/>
    <w:rsid w:val="2694227D"/>
    <w:rsid w:val="269975E3"/>
    <w:rsid w:val="26A37B9C"/>
    <w:rsid w:val="26A54C67"/>
    <w:rsid w:val="26AF70B6"/>
    <w:rsid w:val="26B7240F"/>
    <w:rsid w:val="26BC7A25"/>
    <w:rsid w:val="26BD472B"/>
    <w:rsid w:val="26BE72FA"/>
    <w:rsid w:val="26C8461C"/>
    <w:rsid w:val="26CD1C32"/>
    <w:rsid w:val="26CE45BA"/>
    <w:rsid w:val="26D27249"/>
    <w:rsid w:val="26E34FB2"/>
    <w:rsid w:val="26E8081A"/>
    <w:rsid w:val="26ED22C2"/>
    <w:rsid w:val="26F471BF"/>
    <w:rsid w:val="26F61189"/>
    <w:rsid w:val="26FB67A0"/>
    <w:rsid w:val="2705317A"/>
    <w:rsid w:val="270A69E3"/>
    <w:rsid w:val="27101A29"/>
    <w:rsid w:val="27174C5C"/>
    <w:rsid w:val="27194B8A"/>
    <w:rsid w:val="271E423C"/>
    <w:rsid w:val="27206206"/>
    <w:rsid w:val="27231852"/>
    <w:rsid w:val="272870CA"/>
    <w:rsid w:val="272E0923"/>
    <w:rsid w:val="27315D1D"/>
    <w:rsid w:val="273830D5"/>
    <w:rsid w:val="27466343"/>
    <w:rsid w:val="27475541"/>
    <w:rsid w:val="27495A23"/>
    <w:rsid w:val="274D0515"/>
    <w:rsid w:val="274F2647"/>
    <w:rsid w:val="275005D7"/>
    <w:rsid w:val="27531FA3"/>
    <w:rsid w:val="27547C5E"/>
    <w:rsid w:val="2758774E"/>
    <w:rsid w:val="275B4584"/>
    <w:rsid w:val="27675BE3"/>
    <w:rsid w:val="276A7481"/>
    <w:rsid w:val="276B3F3A"/>
    <w:rsid w:val="276C31F9"/>
    <w:rsid w:val="27700695"/>
    <w:rsid w:val="27710810"/>
    <w:rsid w:val="27750300"/>
    <w:rsid w:val="27767BD4"/>
    <w:rsid w:val="27787DF0"/>
    <w:rsid w:val="27873B8F"/>
    <w:rsid w:val="27896E59"/>
    <w:rsid w:val="278972A9"/>
    <w:rsid w:val="278A18D2"/>
    <w:rsid w:val="27910EB2"/>
    <w:rsid w:val="27912C60"/>
    <w:rsid w:val="279567AB"/>
    <w:rsid w:val="27AC5CEC"/>
    <w:rsid w:val="27B27BBE"/>
    <w:rsid w:val="27BA7103"/>
    <w:rsid w:val="27BA7E30"/>
    <w:rsid w:val="27BF5A1F"/>
    <w:rsid w:val="27C178CF"/>
    <w:rsid w:val="27C2106B"/>
    <w:rsid w:val="27C3016B"/>
    <w:rsid w:val="27C76682"/>
    <w:rsid w:val="27C84BBE"/>
    <w:rsid w:val="27CA2B44"/>
    <w:rsid w:val="27CB6172"/>
    <w:rsid w:val="27D731F5"/>
    <w:rsid w:val="27D94C4A"/>
    <w:rsid w:val="27DD7C53"/>
    <w:rsid w:val="27E15995"/>
    <w:rsid w:val="27E40050"/>
    <w:rsid w:val="27E50111"/>
    <w:rsid w:val="27F03E2A"/>
    <w:rsid w:val="27F07987"/>
    <w:rsid w:val="27F136FF"/>
    <w:rsid w:val="27F447DE"/>
    <w:rsid w:val="27F66382"/>
    <w:rsid w:val="28082B24"/>
    <w:rsid w:val="28110E64"/>
    <w:rsid w:val="28122CFF"/>
    <w:rsid w:val="28153891"/>
    <w:rsid w:val="28177514"/>
    <w:rsid w:val="28177609"/>
    <w:rsid w:val="28191ACE"/>
    <w:rsid w:val="281D62A2"/>
    <w:rsid w:val="28212236"/>
    <w:rsid w:val="28227B42"/>
    <w:rsid w:val="28267BD1"/>
    <w:rsid w:val="282835C4"/>
    <w:rsid w:val="2829733C"/>
    <w:rsid w:val="282B6C11"/>
    <w:rsid w:val="282D2989"/>
    <w:rsid w:val="282F4641"/>
    <w:rsid w:val="283E523E"/>
    <w:rsid w:val="283F446A"/>
    <w:rsid w:val="284460E4"/>
    <w:rsid w:val="28461C9C"/>
    <w:rsid w:val="28475245"/>
    <w:rsid w:val="28485A15"/>
    <w:rsid w:val="284B72B3"/>
    <w:rsid w:val="285048C9"/>
    <w:rsid w:val="2852419D"/>
    <w:rsid w:val="28551EE0"/>
    <w:rsid w:val="285D08F3"/>
    <w:rsid w:val="285D2B42"/>
    <w:rsid w:val="28620159"/>
    <w:rsid w:val="28643ED1"/>
    <w:rsid w:val="286A598B"/>
    <w:rsid w:val="286B525F"/>
    <w:rsid w:val="287632C7"/>
    <w:rsid w:val="2878077C"/>
    <w:rsid w:val="288307FB"/>
    <w:rsid w:val="288822B5"/>
    <w:rsid w:val="288B3B53"/>
    <w:rsid w:val="288B5901"/>
    <w:rsid w:val="289C25C7"/>
    <w:rsid w:val="289C690F"/>
    <w:rsid w:val="28A349F9"/>
    <w:rsid w:val="28B27CA3"/>
    <w:rsid w:val="28B37BA6"/>
    <w:rsid w:val="28B5297E"/>
    <w:rsid w:val="28B9421C"/>
    <w:rsid w:val="28BA1D43"/>
    <w:rsid w:val="28BA5189"/>
    <w:rsid w:val="28C01A4F"/>
    <w:rsid w:val="28C42612"/>
    <w:rsid w:val="28C60BC2"/>
    <w:rsid w:val="28C6741D"/>
    <w:rsid w:val="28CC03F4"/>
    <w:rsid w:val="28D04EA7"/>
    <w:rsid w:val="28DA6B17"/>
    <w:rsid w:val="28DB23E5"/>
    <w:rsid w:val="28DD687E"/>
    <w:rsid w:val="28DE3C83"/>
    <w:rsid w:val="28EA7C43"/>
    <w:rsid w:val="28EC5824"/>
    <w:rsid w:val="28ED2BF2"/>
    <w:rsid w:val="28F568D6"/>
    <w:rsid w:val="28F83DC7"/>
    <w:rsid w:val="28FE60D3"/>
    <w:rsid w:val="290336EA"/>
    <w:rsid w:val="290556B4"/>
    <w:rsid w:val="29095FDB"/>
    <w:rsid w:val="29114058"/>
    <w:rsid w:val="29154BC6"/>
    <w:rsid w:val="29191116"/>
    <w:rsid w:val="29197BC1"/>
    <w:rsid w:val="291C3D58"/>
    <w:rsid w:val="29210AC9"/>
    <w:rsid w:val="292F0982"/>
    <w:rsid w:val="292F1BEB"/>
    <w:rsid w:val="293164A9"/>
    <w:rsid w:val="29345C93"/>
    <w:rsid w:val="29347D47"/>
    <w:rsid w:val="293C183B"/>
    <w:rsid w:val="293E2974"/>
    <w:rsid w:val="294011B3"/>
    <w:rsid w:val="2940493E"/>
    <w:rsid w:val="294213D2"/>
    <w:rsid w:val="294311F5"/>
    <w:rsid w:val="29453D02"/>
    <w:rsid w:val="294E56DF"/>
    <w:rsid w:val="294F2DD3"/>
    <w:rsid w:val="2953641F"/>
    <w:rsid w:val="29582EF0"/>
    <w:rsid w:val="295B1778"/>
    <w:rsid w:val="295E3560"/>
    <w:rsid w:val="29606D8E"/>
    <w:rsid w:val="29613FA7"/>
    <w:rsid w:val="296419B8"/>
    <w:rsid w:val="2973544C"/>
    <w:rsid w:val="29756479"/>
    <w:rsid w:val="297939AC"/>
    <w:rsid w:val="297E5591"/>
    <w:rsid w:val="29801A08"/>
    <w:rsid w:val="298365D8"/>
    <w:rsid w:val="29851D94"/>
    <w:rsid w:val="2987256D"/>
    <w:rsid w:val="29890093"/>
    <w:rsid w:val="29910CF5"/>
    <w:rsid w:val="29944834"/>
    <w:rsid w:val="2996731B"/>
    <w:rsid w:val="299A404E"/>
    <w:rsid w:val="29A033F0"/>
    <w:rsid w:val="29A7676B"/>
    <w:rsid w:val="29A9038D"/>
    <w:rsid w:val="29AD788C"/>
    <w:rsid w:val="29AF561F"/>
    <w:rsid w:val="29B11398"/>
    <w:rsid w:val="29B669AE"/>
    <w:rsid w:val="29BB3FC4"/>
    <w:rsid w:val="29C015DB"/>
    <w:rsid w:val="29C54E43"/>
    <w:rsid w:val="29CB06AB"/>
    <w:rsid w:val="29CB5C04"/>
    <w:rsid w:val="29CE019B"/>
    <w:rsid w:val="29D86924"/>
    <w:rsid w:val="29DA6B40"/>
    <w:rsid w:val="29DB01C2"/>
    <w:rsid w:val="29E11C7D"/>
    <w:rsid w:val="29E57DBC"/>
    <w:rsid w:val="29E7300B"/>
    <w:rsid w:val="29E80F54"/>
    <w:rsid w:val="29F714A0"/>
    <w:rsid w:val="29F80D74"/>
    <w:rsid w:val="29F86FC6"/>
    <w:rsid w:val="29FF77DC"/>
    <w:rsid w:val="2A145412"/>
    <w:rsid w:val="2A1B4A63"/>
    <w:rsid w:val="2A1B583C"/>
    <w:rsid w:val="2A1D189D"/>
    <w:rsid w:val="2A2D4EC2"/>
    <w:rsid w:val="2A42536F"/>
    <w:rsid w:val="2A4346E5"/>
    <w:rsid w:val="2A44045E"/>
    <w:rsid w:val="2A455ED8"/>
    <w:rsid w:val="2A4734EC"/>
    <w:rsid w:val="2A482C60"/>
    <w:rsid w:val="2A4D466A"/>
    <w:rsid w:val="2A4E6BE6"/>
    <w:rsid w:val="2A53244F"/>
    <w:rsid w:val="2A537700"/>
    <w:rsid w:val="2A5561C7"/>
    <w:rsid w:val="2A557F75"/>
    <w:rsid w:val="2A5F3376"/>
    <w:rsid w:val="2A635D9A"/>
    <w:rsid w:val="2A6C7005"/>
    <w:rsid w:val="2A7F3244"/>
    <w:rsid w:val="2A816FBC"/>
    <w:rsid w:val="2A823751"/>
    <w:rsid w:val="2A9071FF"/>
    <w:rsid w:val="2A9074E1"/>
    <w:rsid w:val="2A924D25"/>
    <w:rsid w:val="2A942B0C"/>
    <w:rsid w:val="2A944F41"/>
    <w:rsid w:val="2A9652C2"/>
    <w:rsid w:val="2A994305"/>
    <w:rsid w:val="2A9D36CA"/>
    <w:rsid w:val="2AA131BA"/>
    <w:rsid w:val="2AA13343"/>
    <w:rsid w:val="2AAF56F4"/>
    <w:rsid w:val="2ABA427C"/>
    <w:rsid w:val="2AC60E73"/>
    <w:rsid w:val="2AC82E3D"/>
    <w:rsid w:val="2AC944BF"/>
    <w:rsid w:val="2ACB0237"/>
    <w:rsid w:val="2ACB72AC"/>
    <w:rsid w:val="2AD510B6"/>
    <w:rsid w:val="2AD76BDC"/>
    <w:rsid w:val="2AD924CA"/>
    <w:rsid w:val="2AE82B97"/>
    <w:rsid w:val="2AED28A3"/>
    <w:rsid w:val="2AF8625E"/>
    <w:rsid w:val="2AF92FF6"/>
    <w:rsid w:val="2B0674C1"/>
    <w:rsid w:val="2B0A6FB1"/>
    <w:rsid w:val="2B0C1970"/>
    <w:rsid w:val="2B0D4CF3"/>
    <w:rsid w:val="2B0F45C8"/>
    <w:rsid w:val="2B1C4F36"/>
    <w:rsid w:val="2B1E0CAF"/>
    <w:rsid w:val="2B235515"/>
    <w:rsid w:val="2B2D4A4E"/>
    <w:rsid w:val="2B2F6A18"/>
    <w:rsid w:val="2B32247C"/>
    <w:rsid w:val="2B373B1E"/>
    <w:rsid w:val="2B392D73"/>
    <w:rsid w:val="2B3B74A1"/>
    <w:rsid w:val="2B3E4EAD"/>
    <w:rsid w:val="2B3E6C5B"/>
    <w:rsid w:val="2B3F207C"/>
    <w:rsid w:val="2B3F2232"/>
    <w:rsid w:val="2B3F2B94"/>
    <w:rsid w:val="2B411E0D"/>
    <w:rsid w:val="2B4D50F0"/>
    <w:rsid w:val="2B4D6E9E"/>
    <w:rsid w:val="2B4F0E68"/>
    <w:rsid w:val="2B507D30"/>
    <w:rsid w:val="2B514BE0"/>
    <w:rsid w:val="2B546A3B"/>
    <w:rsid w:val="2B5534AE"/>
    <w:rsid w:val="2B5621F6"/>
    <w:rsid w:val="2B595843"/>
    <w:rsid w:val="2B5D5D69"/>
    <w:rsid w:val="2B67502E"/>
    <w:rsid w:val="2B6A5CA2"/>
    <w:rsid w:val="2B6C7799"/>
    <w:rsid w:val="2B737EB9"/>
    <w:rsid w:val="2B747632"/>
    <w:rsid w:val="2B7663F5"/>
    <w:rsid w:val="2B776CD1"/>
    <w:rsid w:val="2B7A2B6D"/>
    <w:rsid w:val="2B7D7162"/>
    <w:rsid w:val="2B7E5CB2"/>
    <w:rsid w:val="2B8C3863"/>
    <w:rsid w:val="2B8E7BE2"/>
    <w:rsid w:val="2B8F74B6"/>
    <w:rsid w:val="2B980A61"/>
    <w:rsid w:val="2B991AB0"/>
    <w:rsid w:val="2B9D7E25"/>
    <w:rsid w:val="2BA016C4"/>
    <w:rsid w:val="2BA967CA"/>
    <w:rsid w:val="2BAA2542"/>
    <w:rsid w:val="2BAF7B59"/>
    <w:rsid w:val="2BB331A5"/>
    <w:rsid w:val="2BB459FD"/>
    <w:rsid w:val="2BB77950"/>
    <w:rsid w:val="2BBE24DE"/>
    <w:rsid w:val="2BBF5E5B"/>
    <w:rsid w:val="2BCA042B"/>
    <w:rsid w:val="2BCE4483"/>
    <w:rsid w:val="2BD17256"/>
    <w:rsid w:val="2BD414DD"/>
    <w:rsid w:val="2BE66E1E"/>
    <w:rsid w:val="2BE912BD"/>
    <w:rsid w:val="2BE9306B"/>
    <w:rsid w:val="2BE930E3"/>
    <w:rsid w:val="2BEE60A6"/>
    <w:rsid w:val="2BF24EE6"/>
    <w:rsid w:val="2BF44DCD"/>
    <w:rsid w:val="2BF65788"/>
    <w:rsid w:val="2C0559CB"/>
    <w:rsid w:val="2C0A4D8F"/>
    <w:rsid w:val="2C0B23D8"/>
    <w:rsid w:val="2C131E96"/>
    <w:rsid w:val="2C165FD6"/>
    <w:rsid w:val="2C194D6A"/>
    <w:rsid w:val="2C1A1476"/>
    <w:rsid w:val="2C1B6F9C"/>
    <w:rsid w:val="2C22785F"/>
    <w:rsid w:val="2C277F89"/>
    <w:rsid w:val="2C2959EE"/>
    <w:rsid w:val="2C3E5171"/>
    <w:rsid w:val="2C3F0EDD"/>
    <w:rsid w:val="2C3F2C8B"/>
    <w:rsid w:val="2C416A03"/>
    <w:rsid w:val="2C491D5B"/>
    <w:rsid w:val="2C4E7372"/>
    <w:rsid w:val="2C536973"/>
    <w:rsid w:val="2C5524AE"/>
    <w:rsid w:val="2C55425C"/>
    <w:rsid w:val="2C671380"/>
    <w:rsid w:val="2C723060"/>
    <w:rsid w:val="2C7E7560"/>
    <w:rsid w:val="2C7E7C57"/>
    <w:rsid w:val="2C82701B"/>
    <w:rsid w:val="2C886DDD"/>
    <w:rsid w:val="2C891ED6"/>
    <w:rsid w:val="2C8F3E83"/>
    <w:rsid w:val="2C90798A"/>
    <w:rsid w:val="2C991F13"/>
    <w:rsid w:val="2CA156F3"/>
    <w:rsid w:val="2CAB3B93"/>
    <w:rsid w:val="2CAB6572"/>
    <w:rsid w:val="2CB52F4D"/>
    <w:rsid w:val="2CB847EB"/>
    <w:rsid w:val="2CBE62A5"/>
    <w:rsid w:val="2CC50F38"/>
    <w:rsid w:val="2CC80ED2"/>
    <w:rsid w:val="2CC94C06"/>
    <w:rsid w:val="2CC97DA0"/>
    <w:rsid w:val="2CCA2E9C"/>
    <w:rsid w:val="2CCF0CFF"/>
    <w:rsid w:val="2CD53BBC"/>
    <w:rsid w:val="2CD930DF"/>
    <w:rsid w:val="2CDA6E57"/>
    <w:rsid w:val="2CDC65BC"/>
    <w:rsid w:val="2CDC672B"/>
    <w:rsid w:val="2CE257DF"/>
    <w:rsid w:val="2CEA709A"/>
    <w:rsid w:val="2CED6B8B"/>
    <w:rsid w:val="2CFB12A7"/>
    <w:rsid w:val="2CFE66A2"/>
    <w:rsid w:val="2D0363AE"/>
    <w:rsid w:val="2D036FA6"/>
    <w:rsid w:val="2D095047"/>
    <w:rsid w:val="2D0A6704"/>
    <w:rsid w:val="2D0D36B6"/>
    <w:rsid w:val="2D19172E"/>
    <w:rsid w:val="2D212671"/>
    <w:rsid w:val="2D297497"/>
    <w:rsid w:val="2D30634A"/>
    <w:rsid w:val="2D3B19FD"/>
    <w:rsid w:val="2D3C541C"/>
    <w:rsid w:val="2D3E18A3"/>
    <w:rsid w:val="2D410C84"/>
    <w:rsid w:val="2D4367AA"/>
    <w:rsid w:val="2D4A18E7"/>
    <w:rsid w:val="2D4D7629"/>
    <w:rsid w:val="2D526117"/>
    <w:rsid w:val="2D5664DE"/>
    <w:rsid w:val="2D595FCE"/>
    <w:rsid w:val="2D5E1836"/>
    <w:rsid w:val="2D616C31"/>
    <w:rsid w:val="2D630BFB"/>
    <w:rsid w:val="2D697572"/>
    <w:rsid w:val="2D6C1689"/>
    <w:rsid w:val="2D6F134E"/>
    <w:rsid w:val="2D7068B0"/>
    <w:rsid w:val="2D71156A"/>
    <w:rsid w:val="2D742E08"/>
    <w:rsid w:val="2D7746A6"/>
    <w:rsid w:val="2D7805F1"/>
    <w:rsid w:val="2D806BDB"/>
    <w:rsid w:val="2D8172D3"/>
    <w:rsid w:val="2D840162"/>
    <w:rsid w:val="2D88240F"/>
    <w:rsid w:val="2D897BF3"/>
    <w:rsid w:val="2D8C6BD5"/>
    <w:rsid w:val="2D8D7A26"/>
    <w:rsid w:val="2D8E1F75"/>
    <w:rsid w:val="2D931734"/>
    <w:rsid w:val="2D992479"/>
    <w:rsid w:val="2D9B65E7"/>
    <w:rsid w:val="2DA15B6B"/>
    <w:rsid w:val="2DA36B51"/>
    <w:rsid w:val="2DA57465"/>
    <w:rsid w:val="2DB11966"/>
    <w:rsid w:val="2DB14845"/>
    <w:rsid w:val="2DB56DA0"/>
    <w:rsid w:val="2DB9081B"/>
    <w:rsid w:val="2DC25921"/>
    <w:rsid w:val="2DC6679F"/>
    <w:rsid w:val="2DCC0037"/>
    <w:rsid w:val="2DCC2C44"/>
    <w:rsid w:val="2DD11DF2"/>
    <w:rsid w:val="2DDC24EF"/>
    <w:rsid w:val="2DDF0EFF"/>
    <w:rsid w:val="2DDF2977"/>
    <w:rsid w:val="2DEB77E7"/>
    <w:rsid w:val="2DED299B"/>
    <w:rsid w:val="2DF0305C"/>
    <w:rsid w:val="2DF85E7D"/>
    <w:rsid w:val="2DFD104F"/>
    <w:rsid w:val="2E045F3A"/>
    <w:rsid w:val="2E09248B"/>
    <w:rsid w:val="2E196FF0"/>
    <w:rsid w:val="2E1F0FC6"/>
    <w:rsid w:val="2E1F500D"/>
    <w:rsid w:val="2E2658A8"/>
    <w:rsid w:val="2E2A1718"/>
    <w:rsid w:val="2E351701"/>
    <w:rsid w:val="2E3734F7"/>
    <w:rsid w:val="2E383E35"/>
    <w:rsid w:val="2E3A4F0F"/>
    <w:rsid w:val="2E400F3C"/>
    <w:rsid w:val="2E405D27"/>
    <w:rsid w:val="2E4C76DD"/>
    <w:rsid w:val="2E50117F"/>
    <w:rsid w:val="2E545937"/>
    <w:rsid w:val="2E615640"/>
    <w:rsid w:val="2E627104"/>
    <w:rsid w:val="2E673D9C"/>
    <w:rsid w:val="2E6828E8"/>
    <w:rsid w:val="2E6E5AA9"/>
    <w:rsid w:val="2E783F54"/>
    <w:rsid w:val="2E7C01C6"/>
    <w:rsid w:val="2E7D7A9A"/>
    <w:rsid w:val="2E8157DC"/>
    <w:rsid w:val="2E851C21"/>
    <w:rsid w:val="2E870919"/>
    <w:rsid w:val="2E8B49D1"/>
    <w:rsid w:val="2E8C4181"/>
    <w:rsid w:val="2E8F7BFD"/>
    <w:rsid w:val="2E953036"/>
    <w:rsid w:val="2E9A28EC"/>
    <w:rsid w:val="2E9C6069"/>
    <w:rsid w:val="2E9F3EB4"/>
    <w:rsid w:val="2E9F6AD3"/>
    <w:rsid w:val="2EA27501"/>
    <w:rsid w:val="2EA36628"/>
    <w:rsid w:val="2EA367EC"/>
    <w:rsid w:val="2EA96AE1"/>
    <w:rsid w:val="2EAE2349"/>
    <w:rsid w:val="2EB97CA5"/>
    <w:rsid w:val="2EC2677C"/>
    <w:rsid w:val="2EC35DF5"/>
    <w:rsid w:val="2EC91E34"/>
    <w:rsid w:val="2ED6247B"/>
    <w:rsid w:val="2EE26297"/>
    <w:rsid w:val="2EE66FE0"/>
    <w:rsid w:val="2EED10C4"/>
    <w:rsid w:val="2EF17594"/>
    <w:rsid w:val="2EF53AD4"/>
    <w:rsid w:val="2EF568F9"/>
    <w:rsid w:val="2EFF2EEF"/>
    <w:rsid w:val="2F1274EF"/>
    <w:rsid w:val="2F157F78"/>
    <w:rsid w:val="2F1D70ED"/>
    <w:rsid w:val="2F295782"/>
    <w:rsid w:val="2F2B24C1"/>
    <w:rsid w:val="2F2C1714"/>
    <w:rsid w:val="2F2F348A"/>
    <w:rsid w:val="2F337E9A"/>
    <w:rsid w:val="2F3564EE"/>
    <w:rsid w:val="2F364819"/>
    <w:rsid w:val="2F4131BE"/>
    <w:rsid w:val="2F4F58DB"/>
    <w:rsid w:val="2F570620"/>
    <w:rsid w:val="2F586FE4"/>
    <w:rsid w:val="2F590507"/>
    <w:rsid w:val="2F631386"/>
    <w:rsid w:val="2F652D29"/>
    <w:rsid w:val="2F6A2714"/>
    <w:rsid w:val="2F6B1FE9"/>
    <w:rsid w:val="2F6B3D97"/>
    <w:rsid w:val="2F6C023B"/>
    <w:rsid w:val="2F6C2DC7"/>
    <w:rsid w:val="2F6F3887"/>
    <w:rsid w:val="2F7D7209"/>
    <w:rsid w:val="2F8310E0"/>
    <w:rsid w:val="2F864569"/>
    <w:rsid w:val="2F875074"/>
    <w:rsid w:val="2F917CA1"/>
    <w:rsid w:val="2F923A19"/>
    <w:rsid w:val="2F94153F"/>
    <w:rsid w:val="2F947791"/>
    <w:rsid w:val="2F982E42"/>
    <w:rsid w:val="2F9F7C08"/>
    <w:rsid w:val="2FA21EAE"/>
    <w:rsid w:val="2FA953FC"/>
    <w:rsid w:val="2FB120F1"/>
    <w:rsid w:val="2FB35E69"/>
    <w:rsid w:val="2FB36704"/>
    <w:rsid w:val="2FB642D1"/>
    <w:rsid w:val="2FBE65BC"/>
    <w:rsid w:val="2FC00586"/>
    <w:rsid w:val="2FC736C3"/>
    <w:rsid w:val="2FD720F4"/>
    <w:rsid w:val="2FE31C96"/>
    <w:rsid w:val="2FE36023"/>
    <w:rsid w:val="2FE37DD1"/>
    <w:rsid w:val="2FE97292"/>
    <w:rsid w:val="2FEB51AF"/>
    <w:rsid w:val="2FF53D49"/>
    <w:rsid w:val="2FFB15BE"/>
    <w:rsid w:val="2FFD5337"/>
    <w:rsid w:val="3007380B"/>
    <w:rsid w:val="30087837"/>
    <w:rsid w:val="300A7A53"/>
    <w:rsid w:val="300F01B1"/>
    <w:rsid w:val="30110DE2"/>
    <w:rsid w:val="301306B6"/>
    <w:rsid w:val="30155912"/>
    <w:rsid w:val="301B3A0F"/>
    <w:rsid w:val="301C3484"/>
    <w:rsid w:val="301E2EA9"/>
    <w:rsid w:val="30274161"/>
    <w:rsid w:val="302C1778"/>
    <w:rsid w:val="302F3016"/>
    <w:rsid w:val="30330D58"/>
    <w:rsid w:val="3034687E"/>
    <w:rsid w:val="303625F7"/>
    <w:rsid w:val="3038011D"/>
    <w:rsid w:val="303960D5"/>
    <w:rsid w:val="304B42F4"/>
    <w:rsid w:val="304C3BC8"/>
    <w:rsid w:val="304E59DB"/>
    <w:rsid w:val="304F5466"/>
    <w:rsid w:val="30536D05"/>
    <w:rsid w:val="30542857"/>
    <w:rsid w:val="3058165E"/>
    <w:rsid w:val="306058C5"/>
    <w:rsid w:val="306C58BD"/>
    <w:rsid w:val="306D4FC5"/>
    <w:rsid w:val="306E3B3E"/>
    <w:rsid w:val="3078676B"/>
    <w:rsid w:val="307B6EF4"/>
    <w:rsid w:val="30843362"/>
    <w:rsid w:val="30872F8E"/>
    <w:rsid w:val="30894E1C"/>
    <w:rsid w:val="308E369B"/>
    <w:rsid w:val="308E5F8F"/>
    <w:rsid w:val="308F639E"/>
    <w:rsid w:val="309C68FD"/>
    <w:rsid w:val="309E2DC2"/>
    <w:rsid w:val="30A04851"/>
    <w:rsid w:val="30AA3AD7"/>
    <w:rsid w:val="30AC28B9"/>
    <w:rsid w:val="30AD1777"/>
    <w:rsid w:val="30B5176D"/>
    <w:rsid w:val="30C406C5"/>
    <w:rsid w:val="30CE346C"/>
    <w:rsid w:val="30D06622"/>
    <w:rsid w:val="30D13ACC"/>
    <w:rsid w:val="30D2475E"/>
    <w:rsid w:val="30D836AE"/>
    <w:rsid w:val="30D97821"/>
    <w:rsid w:val="30DB536D"/>
    <w:rsid w:val="30E91417"/>
    <w:rsid w:val="30E958BB"/>
    <w:rsid w:val="30E97669"/>
    <w:rsid w:val="30EA3353"/>
    <w:rsid w:val="30F06C49"/>
    <w:rsid w:val="30F2169A"/>
    <w:rsid w:val="30F542EC"/>
    <w:rsid w:val="30F5782A"/>
    <w:rsid w:val="30F71D86"/>
    <w:rsid w:val="310027E0"/>
    <w:rsid w:val="3100782B"/>
    <w:rsid w:val="31046251"/>
    <w:rsid w:val="310530BD"/>
    <w:rsid w:val="31093867"/>
    <w:rsid w:val="311100D9"/>
    <w:rsid w:val="31172428"/>
    <w:rsid w:val="311A1F18"/>
    <w:rsid w:val="311A560B"/>
    <w:rsid w:val="311D3DF9"/>
    <w:rsid w:val="311F752F"/>
    <w:rsid w:val="31231879"/>
    <w:rsid w:val="31264419"/>
    <w:rsid w:val="31292053"/>
    <w:rsid w:val="312D57A8"/>
    <w:rsid w:val="31336B36"/>
    <w:rsid w:val="31380A01"/>
    <w:rsid w:val="31384830"/>
    <w:rsid w:val="3140197F"/>
    <w:rsid w:val="31464ABB"/>
    <w:rsid w:val="31466E58"/>
    <w:rsid w:val="31475DF9"/>
    <w:rsid w:val="315471D8"/>
    <w:rsid w:val="315A41CC"/>
    <w:rsid w:val="316513A8"/>
    <w:rsid w:val="316E7B6E"/>
    <w:rsid w:val="316F550D"/>
    <w:rsid w:val="31750EFD"/>
    <w:rsid w:val="31774C75"/>
    <w:rsid w:val="317B6CB8"/>
    <w:rsid w:val="31855377"/>
    <w:rsid w:val="318A1295"/>
    <w:rsid w:val="318C2145"/>
    <w:rsid w:val="318D26EA"/>
    <w:rsid w:val="318D6246"/>
    <w:rsid w:val="318E0B28"/>
    <w:rsid w:val="318F0210"/>
    <w:rsid w:val="319770C5"/>
    <w:rsid w:val="319C7154"/>
    <w:rsid w:val="31A44863"/>
    <w:rsid w:val="31A56934"/>
    <w:rsid w:val="31AA504A"/>
    <w:rsid w:val="31B47C77"/>
    <w:rsid w:val="31B732C3"/>
    <w:rsid w:val="31BB7257"/>
    <w:rsid w:val="31BC6B2B"/>
    <w:rsid w:val="31C03E09"/>
    <w:rsid w:val="31C93D2F"/>
    <w:rsid w:val="31CC1C9D"/>
    <w:rsid w:val="31D125D7"/>
    <w:rsid w:val="31D86C08"/>
    <w:rsid w:val="31DA3488"/>
    <w:rsid w:val="31DD71CE"/>
    <w:rsid w:val="31E85B72"/>
    <w:rsid w:val="31EC2995"/>
    <w:rsid w:val="31EF5153"/>
    <w:rsid w:val="31F03E72"/>
    <w:rsid w:val="31F253EB"/>
    <w:rsid w:val="31F34798"/>
    <w:rsid w:val="31F664E1"/>
    <w:rsid w:val="31F76523"/>
    <w:rsid w:val="31F97D80"/>
    <w:rsid w:val="31FB7654"/>
    <w:rsid w:val="31FD7870"/>
    <w:rsid w:val="31FE5396"/>
    <w:rsid w:val="32024E86"/>
    <w:rsid w:val="32076AC9"/>
    <w:rsid w:val="3212499D"/>
    <w:rsid w:val="32285F6F"/>
    <w:rsid w:val="32333292"/>
    <w:rsid w:val="323B2146"/>
    <w:rsid w:val="323E5792"/>
    <w:rsid w:val="32447FA1"/>
    <w:rsid w:val="3246371D"/>
    <w:rsid w:val="3248142F"/>
    <w:rsid w:val="32534421"/>
    <w:rsid w:val="32566140"/>
    <w:rsid w:val="325757F5"/>
    <w:rsid w:val="32590955"/>
    <w:rsid w:val="32676A97"/>
    <w:rsid w:val="32694A7A"/>
    <w:rsid w:val="326B739A"/>
    <w:rsid w:val="326B7E18"/>
    <w:rsid w:val="32705B18"/>
    <w:rsid w:val="32713DBA"/>
    <w:rsid w:val="3277039E"/>
    <w:rsid w:val="3281224F"/>
    <w:rsid w:val="32843AED"/>
    <w:rsid w:val="32851613"/>
    <w:rsid w:val="3289460C"/>
    <w:rsid w:val="32940B22"/>
    <w:rsid w:val="329B4993"/>
    <w:rsid w:val="32B141B6"/>
    <w:rsid w:val="32B57DB4"/>
    <w:rsid w:val="32B85545"/>
    <w:rsid w:val="32BD0DAD"/>
    <w:rsid w:val="32BF2D77"/>
    <w:rsid w:val="32CB6203"/>
    <w:rsid w:val="32D00AE0"/>
    <w:rsid w:val="32D76116"/>
    <w:rsid w:val="32F62910"/>
    <w:rsid w:val="32F742BF"/>
    <w:rsid w:val="32FD73FC"/>
    <w:rsid w:val="33053CF6"/>
    <w:rsid w:val="330723DC"/>
    <w:rsid w:val="331533CF"/>
    <w:rsid w:val="331A1D5C"/>
    <w:rsid w:val="331C3D26"/>
    <w:rsid w:val="33261CA6"/>
    <w:rsid w:val="33263C60"/>
    <w:rsid w:val="333205FB"/>
    <w:rsid w:val="33370B5F"/>
    <w:rsid w:val="333948D8"/>
    <w:rsid w:val="334119DE"/>
    <w:rsid w:val="33423060"/>
    <w:rsid w:val="33435756"/>
    <w:rsid w:val="334B2CA4"/>
    <w:rsid w:val="33510801"/>
    <w:rsid w:val="33520A10"/>
    <w:rsid w:val="33585C2A"/>
    <w:rsid w:val="335F00B6"/>
    <w:rsid w:val="33605869"/>
    <w:rsid w:val="3362265F"/>
    <w:rsid w:val="336A2CE3"/>
    <w:rsid w:val="336B0809"/>
    <w:rsid w:val="336B25B7"/>
    <w:rsid w:val="336D0FA8"/>
    <w:rsid w:val="33722874"/>
    <w:rsid w:val="33791178"/>
    <w:rsid w:val="338D077F"/>
    <w:rsid w:val="338D4C23"/>
    <w:rsid w:val="338E62A6"/>
    <w:rsid w:val="3392223A"/>
    <w:rsid w:val="33947047"/>
    <w:rsid w:val="339E629E"/>
    <w:rsid w:val="33A04957"/>
    <w:rsid w:val="33A741A9"/>
    <w:rsid w:val="33B43F5E"/>
    <w:rsid w:val="33B815D8"/>
    <w:rsid w:val="33B823B2"/>
    <w:rsid w:val="33B977C6"/>
    <w:rsid w:val="33BA52ED"/>
    <w:rsid w:val="33C63C91"/>
    <w:rsid w:val="33C82C70"/>
    <w:rsid w:val="33CA11F3"/>
    <w:rsid w:val="33CA7042"/>
    <w:rsid w:val="33CE6204"/>
    <w:rsid w:val="33CF0D98"/>
    <w:rsid w:val="33CF5525"/>
    <w:rsid w:val="33D80A95"/>
    <w:rsid w:val="33DA09AC"/>
    <w:rsid w:val="33E07D37"/>
    <w:rsid w:val="33E61723"/>
    <w:rsid w:val="33F048E2"/>
    <w:rsid w:val="33F2678E"/>
    <w:rsid w:val="33F26834"/>
    <w:rsid w:val="33F46A50"/>
    <w:rsid w:val="33F47CAE"/>
    <w:rsid w:val="33F56325"/>
    <w:rsid w:val="33FD7BDF"/>
    <w:rsid w:val="33FE78CF"/>
    <w:rsid w:val="340622E0"/>
    <w:rsid w:val="340824FC"/>
    <w:rsid w:val="34164C19"/>
    <w:rsid w:val="341C014B"/>
    <w:rsid w:val="341D5FA7"/>
    <w:rsid w:val="34236EBD"/>
    <w:rsid w:val="34242CB0"/>
    <w:rsid w:val="342804A8"/>
    <w:rsid w:val="34283DE7"/>
    <w:rsid w:val="342C0CA2"/>
    <w:rsid w:val="3431735D"/>
    <w:rsid w:val="343313EF"/>
    <w:rsid w:val="343668E0"/>
    <w:rsid w:val="343D21A6"/>
    <w:rsid w:val="343E1A7A"/>
    <w:rsid w:val="34410298"/>
    <w:rsid w:val="34433534"/>
    <w:rsid w:val="34473024"/>
    <w:rsid w:val="34474DD2"/>
    <w:rsid w:val="344A16FB"/>
    <w:rsid w:val="344E1C6F"/>
    <w:rsid w:val="345567EF"/>
    <w:rsid w:val="345614B9"/>
    <w:rsid w:val="345751A6"/>
    <w:rsid w:val="345B3646"/>
    <w:rsid w:val="345D2848"/>
    <w:rsid w:val="34617200"/>
    <w:rsid w:val="34735BC7"/>
    <w:rsid w:val="347405A6"/>
    <w:rsid w:val="347B4A7C"/>
    <w:rsid w:val="347C3FD8"/>
    <w:rsid w:val="347D6A46"/>
    <w:rsid w:val="347F36F4"/>
    <w:rsid w:val="34806536"/>
    <w:rsid w:val="348576A9"/>
    <w:rsid w:val="3487053D"/>
    <w:rsid w:val="34877704"/>
    <w:rsid w:val="348A2CD0"/>
    <w:rsid w:val="348C6C89"/>
    <w:rsid w:val="34916D5E"/>
    <w:rsid w:val="349A13A6"/>
    <w:rsid w:val="349D49F2"/>
    <w:rsid w:val="34A0222E"/>
    <w:rsid w:val="34A71D15"/>
    <w:rsid w:val="34A83397"/>
    <w:rsid w:val="34A915E9"/>
    <w:rsid w:val="34AA5967"/>
    <w:rsid w:val="34B047E9"/>
    <w:rsid w:val="34B87EDC"/>
    <w:rsid w:val="34C603ED"/>
    <w:rsid w:val="34C7361A"/>
    <w:rsid w:val="34C75F13"/>
    <w:rsid w:val="34CD705B"/>
    <w:rsid w:val="34CE1050"/>
    <w:rsid w:val="34CF1173"/>
    <w:rsid w:val="34D16D92"/>
    <w:rsid w:val="34D83C7C"/>
    <w:rsid w:val="34DA17F1"/>
    <w:rsid w:val="34DB376C"/>
    <w:rsid w:val="34DB551B"/>
    <w:rsid w:val="34E42621"/>
    <w:rsid w:val="34E61527"/>
    <w:rsid w:val="34E906D4"/>
    <w:rsid w:val="34F32864"/>
    <w:rsid w:val="34FB7939"/>
    <w:rsid w:val="34FD7E90"/>
    <w:rsid w:val="34FE09FB"/>
    <w:rsid w:val="35026356"/>
    <w:rsid w:val="350615C5"/>
    <w:rsid w:val="350723C1"/>
    <w:rsid w:val="350E769E"/>
    <w:rsid w:val="35171D73"/>
    <w:rsid w:val="351B1938"/>
    <w:rsid w:val="352275ED"/>
    <w:rsid w:val="35246EC1"/>
    <w:rsid w:val="352E7A77"/>
    <w:rsid w:val="35335357"/>
    <w:rsid w:val="35356E5E"/>
    <w:rsid w:val="353A0493"/>
    <w:rsid w:val="35453173"/>
    <w:rsid w:val="35494B7A"/>
    <w:rsid w:val="354D466A"/>
    <w:rsid w:val="354D7C57"/>
    <w:rsid w:val="35505F08"/>
    <w:rsid w:val="3558300F"/>
    <w:rsid w:val="35584C29"/>
    <w:rsid w:val="3559433A"/>
    <w:rsid w:val="355F7EFA"/>
    <w:rsid w:val="35645510"/>
    <w:rsid w:val="356458FB"/>
    <w:rsid w:val="356B1A9D"/>
    <w:rsid w:val="356C0074"/>
    <w:rsid w:val="35731BF7"/>
    <w:rsid w:val="35775243"/>
    <w:rsid w:val="35833828"/>
    <w:rsid w:val="3587034C"/>
    <w:rsid w:val="358856A2"/>
    <w:rsid w:val="358909F6"/>
    <w:rsid w:val="358B5193"/>
    <w:rsid w:val="359207AA"/>
    <w:rsid w:val="359E01CA"/>
    <w:rsid w:val="35A16764"/>
    <w:rsid w:val="35A5258E"/>
    <w:rsid w:val="35AE2C2F"/>
    <w:rsid w:val="35BE29CB"/>
    <w:rsid w:val="35C30488"/>
    <w:rsid w:val="35C366DA"/>
    <w:rsid w:val="35C8614C"/>
    <w:rsid w:val="35CB37E1"/>
    <w:rsid w:val="35CD57AB"/>
    <w:rsid w:val="35CE44E9"/>
    <w:rsid w:val="35CE6599"/>
    <w:rsid w:val="35D20016"/>
    <w:rsid w:val="35DE019D"/>
    <w:rsid w:val="35E23668"/>
    <w:rsid w:val="35E36D7D"/>
    <w:rsid w:val="35F112BE"/>
    <w:rsid w:val="35F40F8A"/>
    <w:rsid w:val="35F47297"/>
    <w:rsid w:val="35FC399A"/>
    <w:rsid w:val="35FE75F8"/>
    <w:rsid w:val="360E0429"/>
    <w:rsid w:val="36162CAE"/>
    <w:rsid w:val="36213401"/>
    <w:rsid w:val="3624187A"/>
    <w:rsid w:val="36257395"/>
    <w:rsid w:val="363500A6"/>
    <w:rsid w:val="364B1388"/>
    <w:rsid w:val="3659703F"/>
    <w:rsid w:val="36653C36"/>
    <w:rsid w:val="36681D9D"/>
    <w:rsid w:val="366C0B20"/>
    <w:rsid w:val="366D6646"/>
    <w:rsid w:val="366F6862"/>
    <w:rsid w:val="3671381E"/>
    <w:rsid w:val="367D3204"/>
    <w:rsid w:val="368315AB"/>
    <w:rsid w:val="36900240"/>
    <w:rsid w:val="369242A1"/>
    <w:rsid w:val="369938DF"/>
    <w:rsid w:val="3699568D"/>
    <w:rsid w:val="36A013C5"/>
    <w:rsid w:val="36A26A1A"/>
    <w:rsid w:val="36AA789A"/>
    <w:rsid w:val="36AC3746"/>
    <w:rsid w:val="36AC53C0"/>
    <w:rsid w:val="36AC716F"/>
    <w:rsid w:val="36B545AF"/>
    <w:rsid w:val="36B96CD0"/>
    <w:rsid w:val="36C46BAE"/>
    <w:rsid w:val="36C61EE0"/>
    <w:rsid w:val="36CA7772"/>
    <w:rsid w:val="36CC4181"/>
    <w:rsid w:val="36CC5A63"/>
    <w:rsid w:val="36CF7871"/>
    <w:rsid w:val="36D3294D"/>
    <w:rsid w:val="36D6068F"/>
    <w:rsid w:val="36D63C8A"/>
    <w:rsid w:val="36DB5CA6"/>
    <w:rsid w:val="36DD3EED"/>
    <w:rsid w:val="36E25286"/>
    <w:rsid w:val="36E909DC"/>
    <w:rsid w:val="36EB413B"/>
    <w:rsid w:val="36F16E02"/>
    <w:rsid w:val="36F428E8"/>
    <w:rsid w:val="36F87C76"/>
    <w:rsid w:val="36FA02FD"/>
    <w:rsid w:val="36FF28B8"/>
    <w:rsid w:val="3700570C"/>
    <w:rsid w:val="3701395E"/>
    <w:rsid w:val="37031C33"/>
    <w:rsid w:val="37054AD1"/>
    <w:rsid w:val="370551CF"/>
    <w:rsid w:val="37076A9B"/>
    <w:rsid w:val="370945C1"/>
    <w:rsid w:val="370B1D72"/>
    <w:rsid w:val="370C1FBC"/>
    <w:rsid w:val="371234AD"/>
    <w:rsid w:val="37154F79"/>
    <w:rsid w:val="37164F30"/>
    <w:rsid w:val="37172D68"/>
    <w:rsid w:val="371823C5"/>
    <w:rsid w:val="3729371C"/>
    <w:rsid w:val="372C0887"/>
    <w:rsid w:val="372C4753"/>
    <w:rsid w:val="372F1B4E"/>
    <w:rsid w:val="37311A62"/>
    <w:rsid w:val="373C4433"/>
    <w:rsid w:val="373D24BC"/>
    <w:rsid w:val="3744384B"/>
    <w:rsid w:val="37452EE6"/>
    <w:rsid w:val="37460314"/>
    <w:rsid w:val="3748158D"/>
    <w:rsid w:val="374E6478"/>
    <w:rsid w:val="37590D17"/>
    <w:rsid w:val="375B545C"/>
    <w:rsid w:val="375F2433"/>
    <w:rsid w:val="3767081C"/>
    <w:rsid w:val="376C29B8"/>
    <w:rsid w:val="376D0FF4"/>
    <w:rsid w:val="376D2DA2"/>
    <w:rsid w:val="37712166"/>
    <w:rsid w:val="37775226"/>
    <w:rsid w:val="37781747"/>
    <w:rsid w:val="377E6681"/>
    <w:rsid w:val="377F4883"/>
    <w:rsid w:val="37814CAA"/>
    <w:rsid w:val="37880B15"/>
    <w:rsid w:val="37957071"/>
    <w:rsid w:val="379C3687"/>
    <w:rsid w:val="37A35753"/>
    <w:rsid w:val="37B7401D"/>
    <w:rsid w:val="37BD09EA"/>
    <w:rsid w:val="37BF2ED1"/>
    <w:rsid w:val="37C26009"/>
    <w:rsid w:val="37C33988"/>
    <w:rsid w:val="37D270A9"/>
    <w:rsid w:val="37D56B99"/>
    <w:rsid w:val="37D723E4"/>
    <w:rsid w:val="37E62B54"/>
    <w:rsid w:val="37EA43F2"/>
    <w:rsid w:val="37EF1A09"/>
    <w:rsid w:val="37FE1C4C"/>
    <w:rsid w:val="37FE39FA"/>
    <w:rsid w:val="37FF59C4"/>
    <w:rsid w:val="3810372D"/>
    <w:rsid w:val="381178D5"/>
    <w:rsid w:val="38172D0E"/>
    <w:rsid w:val="381864A3"/>
    <w:rsid w:val="381E5E4A"/>
    <w:rsid w:val="382023F7"/>
    <w:rsid w:val="382E48D7"/>
    <w:rsid w:val="38333A05"/>
    <w:rsid w:val="383B4C4E"/>
    <w:rsid w:val="383B5237"/>
    <w:rsid w:val="383D480E"/>
    <w:rsid w:val="383D7513"/>
    <w:rsid w:val="38471845"/>
    <w:rsid w:val="38477E80"/>
    <w:rsid w:val="38496832"/>
    <w:rsid w:val="384A169E"/>
    <w:rsid w:val="384F1CE3"/>
    <w:rsid w:val="385002E8"/>
    <w:rsid w:val="38545D10"/>
    <w:rsid w:val="385840C6"/>
    <w:rsid w:val="38593326"/>
    <w:rsid w:val="3859503E"/>
    <w:rsid w:val="385E3352"/>
    <w:rsid w:val="38677E1A"/>
    <w:rsid w:val="386B4E07"/>
    <w:rsid w:val="386F7ABE"/>
    <w:rsid w:val="38705E92"/>
    <w:rsid w:val="38714F0C"/>
    <w:rsid w:val="387A3DF1"/>
    <w:rsid w:val="387B504A"/>
    <w:rsid w:val="387C7014"/>
    <w:rsid w:val="387E4B3B"/>
    <w:rsid w:val="38883C0B"/>
    <w:rsid w:val="3888518D"/>
    <w:rsid w:val="388B14B0"/>
    <w:rsid w:val="38A10B77"/>
    <w:rsid w:val="38A2101E"/>
    <w:rsid w:val="38A44828"/>
    <w:rsid w:val="38A74BE1"/>
    <w:rsid w:val="38AB2FCD"/>
    <w:rsid w:val="38AE0185"/>
    <w:rsid w:val="38B14F10"/>
    <w:rsid w:val="38B16CBE"/>
    <w:rsid w:val="38B2205E"/>
    <w:rsid w:val="38B36EDA"/>
    <w:rsid w:val="38B85882"/>
    <w:rsid w:val="38C61C36"/>
    <w:rsid w:val="38C65D44"/>
    <w:rsid w:val="38C727A6"/>
    <w:rsid w:val="38CC7F9C"/>
    <w:rsid w:val="38CD0523"/>
    <w:rsid w:val="38CF35E8"/>
    <w:rsid w:val="38CF5396"/>
    <w:rsid w:val="38D330D8"/>
    <w:rsid w:val="38D4425E"/>
    <w:rsid w:val="38D445C9"/>
    <w:rsid w:val="38D534B1"/>
    <w:rsid w:val="38D942CD"/>
    <w:rsid w:val="38D94888"/>
    <w:rsid w:val="38DB01DF"/>
    <w:rsid w:val="38DB20AB"/>
    <w:rsid w:val="38E5105E"/>
    <w:rsid w:val="38F02E41"/>
    <w:rsid w:val="38FD63A7"/>
    <w:rsid w:val="38FE5C7B"/>
    <w:rsid w:val="390414E4"/>
    <w:rsid w:val="390529E2"/>
    <w:rsid w:val="390A3657"/>
    <w:rsid w:val="391334D5"/>
    <w:rsid w:val="391536F1"/>
    <w:rsid w:val="391A0D07"/>
    <w:rsid w:val="391F00CC"/>
    <w:rsid w:val="392E030F"/>
    <w:rsid w:val="393B2A2C"/>
    <w:rsid w:val="3947398A"/>
    <w:rsid w:val="39477622"/>
    <w:rsid w:val="39495149"/>
    <w:rsid w:val="394A4669"/>
    <w:rsid w:val="3950441F"/>
    <w:rsid w:val="3954558D"/>
    <w:rsid w:val="39597B8B"/>
    <w:rsid w:val="39597D4F"/>
    <w:rsid w:val="395F496C"/>
    <w:rsid w:val="3962620A"/>
    <w:rsid w:val="39657AA9"/>
    <w:rsid w:val="396E2E01"/>
    <w:rsid w:val="39736669"/>
    <w:rsid w:val="397A79F8"/>
    <w:rsid w:val="398048E2"/>
    <w:rsid w:val="39836A27"/>
    <w:rsid w:val="398375FF"/>
    <w:rsid w:val="398B5761"/>
    <w:rsid w:val="398C14D9"/>
    <w:rsid w:val="398C3287"/>
    <w:rsid w:val="399A59A4"/>
    <w:rsid w:val="399D4EAB"/>
    <w:rsid w:val="39A1680E"/>
    <w:rsid w:val="39A71E6F"/>
    <w:rsid w:val="39A93E39"/>
    <w:rsid w:val="39B36A66"/>
    <w:rsid w:val="39BD1729"/>
    <w:rsid w:val="39BD78E5"/>
    <w:rsid w:val="39C26CA9"/>
    <w:rsid w:val="39C82C86"/>
    <w:rsid w:val="39D2513E"/>
    <w:rsid w:val="39D55FF8"/>
    <w:rsid w:val="39D871E4"/>
    <w:rsid w:val="39E41315"/>
    <w:rsid w:val="39EF3F42"/>
    <w:rsid w:val="39F2758E"/>
    <w:rsid w:val="39F63852"/>
    <w:rsid w:val="39FA5C2B"/>
    <w:rsid w:val="39FE3F43"/>
    <w:rsid w:val="3A01186D"/>
    <w:rsid w:val="3A086DB2"/>
    <w:rsid w:val="3A0E0140"/>
    <w:rsid w:val="3A1219DE"/>
    <w:rsid w:val="3A175247"/>
    <w:rsid w:val="3A17723B"/>
    <w:rsid w:val="3A2068F9"/>
    <w:rsid w:val="3A27015C"/>
    <w:rsid w:val="3A2B6F44"/>
    <w:rsid w:val="3A340FF7"/>
    <w:rsid w:val="3A371445"/>
    <w:rsid w:val="3A3E06F2"/>
    <w:rsid w:val="3A4122C4"/>
    <w:rsid w:val="3A4B7299"/>
    <w:rsid w:val="3A59585F"/>
    <w:rsid w:val="3A59760D"/>
    <w:rsid w:val="3A5B15D7"/>
    <w:rsid w:val="3A5D2309"/>
    <w:rsid w:val="3A5E1F81"/>
    <w:rsid w:val="3A655FB2"/>
    <w:rsid w:val="3A6F6E31"/>
    <w:rsid w:val="3A712BA9"/>
    <w:rsid w:val="3A773F37"/>
    <w:rsid w:val="3A7B6635"/>
    <w:rsid w:val="3A7B66B0"/>
    <w:rsid w:val="3A8272F9"/>
    <w:rsid w:val="3A836438"/>
    <w:rsid w:val="3A8723CC"/>
    <w:rsid w:val="3A881CA1"/>
    <w:rsid w:val="3A900B55"/>
    <w:rsid w:val="3A9E14C4"/>
    <w:rsid w:val="3AA2284D"/>
    <w:rsid w:val="3AAA4C10"/>
    <w:rsid w:val="3AB26498"/>
    <w:rsid w:val="3AB46F3A"/>
    <w:rsid w:val="3ABD5CA2"/>
    <w:rsid w:val="3ABF721B"/>
    <w:rsid w:val="3ACD1DA9"/>
    <w:rsid w:val="3ACF0929"/>
    <w:rsid w:val="3ACF62F1"/>
    <w:rsid w:val="3AD44EE6"/>
    <w:rsid w:val="3ADE0A16"/>
    <w:rsid w:val="3AE570F3"/>
    <w:rsid w:val="3AE80991"/>
    <w:rsid w:val="3AEA64B7"/>
    <w:rsid w:val="3AEE274E"/>
    <w:rsid w:val="3AEE28B6"/>
    <w:rsid w:val="3AEF1D20"/>
    <w:rsid w:val="3AEF3ACE"/>
    <w:rsid w:val="3AEF5172"/>
    <w:rsid w:val="3AF13CEA"/>
    <w:rsid w:val="3AF235BE"/>
    <w:rsid w:val="3AF30580"/>
    <w:rsid w:val="3AF410E4"/>
    <w:rsid w:val="3AF70BD4"/>
    <w:rsid w:val="3AFB5CD8"/>
    <w:rsid w:val="3AFC50E0"/>
    <w:rsid w:val="3AFE04FE"/>
    <w:rsid w:val="3B0752BB"/>
    <w:rsid w:val="3B135A0E"/>
    <w:rsid w:val="3B1874C8"/>
    <w:rsid w:val="3B190B4B"/>
    <w:rsid w:val="3B20342B"/>
    <w:rsid w:val="3B220A43"/>
    <w:rsid w:val="3B241DF8"/>
    <w:rsid w:val="3B246476"/>
    <w:rsid w:val="3B273268"/>
    <w:rsid w:val="3B274F32"/>
    <w:rsid w:val="3B2A0FAA"/>
    <w:rsid w:val="3B2C4D22"/>
    <w:rsid w:val="3B40264A"/>
    <w:rsid w:val="3B434E00"/>
    <w:rsid w:val="3B451F73"/>
    <w:rsid w:val="3B4D7B05"/>
    <w:rsid w:val="3B4E2EEA"/>
    <w:rsid w:val="3B4F7C53"/>
    <w:rsid w:val="3B5322AF"/>
    <w:rsid w:val="3B565BC2"/>
    <w:rsid w:val="3B5B6C6E"/>
    <w:rsid w:val="3B5E1EF8"/>
    <w:rsid w:val="3B602C1D"/>
    <w:rsid w:val="3B61689A"/>
    <w:rsid w:val="3B691AD2"/>
    <w:rsid w:val="3B6C3370"/>
    <w:rsid w:val="3B6C6B34"/>
    <w:rsid w:val="3B700067"/>
    <w:rsid w:val="3B710987"/>
    <w:rsid w:val="3B750EAE"/>
    <w:rsid w:val="3B765F9D"/>
    <w:rsid w:val="3B7D557D"/>
    <w:rsid w:val="3B7F1FB8"/>
    <w:rsid w:val="3B800BCA"/>
    <w:rsid w:val="3B8102A9"/>
    <w:rsid w:val="3B814871"/>
    <w:rsid w:val="3B86303C"/>
    <w:rsid w:val="3B8701AA"/>
    <w:rsid w:val="3B87274B"/>
    <w:rsid w:val="3B922D1B"/>
    <w:rsid w:val="3B97027E"/>
    <w:rsid w:val="3B9763AB"/>
    <w:rsid w:val="3B99505E"/>
    <w:rsid w:val="3B9A1C8B"/>
    <w:rsid w:val="3B9D6010"/>
    <w:rsid w:val="3B9D6F75"/>
    <w:rsid w:val="3BA50630"/>
    <w:rsid w:val="3BAB24AE"/>
    <w:rsid w:val="3BB014AF"/>
    <w:rsid w:val="3BB0325D"/>
    <w:rsid w:val="3BB224BC"/>
    <w:rsid w:val="3BB93D77"/>
    <w:rsid w:val="3BBA0580"/>
    <w:rsid w:val="3BBD1E1E"/>
    <w:rsid w:val="3BC767F9"/>
    <w:rsid w:val="3BC82C9D"/>
    <w:rsid w:val="3BC8595D"/>
    <w:rsid w:val="3BCC2061"/>
    <w:rsid w:val="3BDD601C"/>
    <w:rsid w:val="3BE473AB"/>
    <w:rsid w:val="3BE63387"/>
    <w:rsid w:val="3BEB698B"/>
    <w:rsid w:val="3BF07952"/>
    <w:rsid w:val="3BF76D7E"/>
    <w:rsid w:val="3BFC46F4"/>
    <w:rsid w:val="3C0278A6"/>
    <w:rsid w:val="3C03644E"/>
    <w:rsid w:val="3C0637C5"/>
    <w:rsid w:val="3C08385B"/>
    <w:rsid w:val="3C0B0DDB"/>
    <w:rsid w:val="3C0D7FAA"/>
    <w:rsid w:val="3C0F349F"/>
    <w:rsid w:val="3C153A08"/>
    <w:rsid w:val="3C1A04BF"/>
    <w:rsid w:val="3C1B04CE"/>
    <w:rsid w:val="3C1C23B4"/>
    <w:rsid w:val="3C22670C"/>
    <w:rsid w:val="3C243C4B"/>
    <w:rsid w:val="3C373913"/>
    <w:rsid w:val="3C3C71E7"/>
    <w:rsid w:val="3C463BC1"/>
    <w:rsid w:val="3C487939"/>
    <w:rsid w:val="3C495460"/>
    <w:rsid w:val="3C4E2A76"/>
    <w:rsid w:val="3C526A0A"/>
    <w:rsid w:val="3C554748"/>
    <w:rsid w:val="3C591B47"/>
    <w:rsid w:val="3C5A39D8"/>
    <w:rsid w:val="3C5D7CBE"/>
    <w:rsid w:val="3C6109FB"/>
    <w:rsid w:val="3C6F3118"/>
    <w:rsid w:val="3C6F54AA"/>
    <w:rsid w:val="3C744E44"/>
    <w:rsid w:val="3C7626F9"/>
    <w:rsid w:val="3C81411E"/>
    <w:rsid w:val="3C873516"/>
    <w:rsid w:val="3C8A1D00"/>
    <w:rsid w:val="3C9160A2"/>
    <w:rsid w:val="3C936DD0"/>
    <w:rsid w:val="3C9549EA"/>
    <w:rsid w:val="3C9E1C4F"/>
    <w:rsid w:val="3C9E57AB"/>
    <w:rsid w:val="3CA56B3A"/>
    <w:rsid w:val="3CAE3557"/>
    <w:rsid w:val="3CB21257"/>
    <w:rsid w:val="3CB23005"/>
    <w:rsid w:val="3CB44FCF"/>
    <w:rsid w:val="3CB52AF5"/>
    <w:rsid w:val="3CBE25E8"/>
    <w:rsid w:val="3CC50F8A"/>
    <w:rsid w:val="3CC86CCC"/>
    <w:rsid w:val="3CCA65A0"/>
    <w:rsid w:val="3CCD42E3"/>
    <w:rsid w:val="3CCF005B"/>
    <w:rsid w:val="3CD47902"/>
    <w:rsid w:val="3CE5162C"/>
    <w:rsid w:val="3CE77152"/>
    <w:rsid w:val="3CEA279F"/>
    <w:rsid w:val="3CEC264B"/>
    <w:rsid w:val="3CF4361D"/>
    <w:rsid w:val="3CF5326E"/>
    <w:rsid w:val="3CF90C34"/>
    <w:rsid w:val="3CF950D8"/>
    <w:rsid w:val="3CFE449C"/>
    <w:rsid w:val="3D0715A3"/>
    <w:rsid w:val="3D072EB4"/>
    <w:rsid w:val="3D080A88"/>
    <w:rsid w:val="3D0A2E41"/>
    <w:rsid w:val="3D0D152A"/>
    <w:rsid w:val="3D0F48FB"/>
    <w:rsid w:val="3D145A6E"/>
    <w:rsid w:val="3D197528"/>
    <w:rsid w:val="3D204412"/>
    <w:rsid w:val="3D211F38"/>
    <w:rsid w:val="3D232155"/>
    <w:rsid w:val="3D233F03"/>
    <w:rsid w:val="3D2C5F0E"/>
    <w:rsid w:val="3D3305EA"/>
    <w:rsid w:val="3D337EB5"/>
    <w:rsid w:val="3D430101"/>
    <w:rsid w:val="3D4445A5"/>
    <w:rsid w:val="3D486B76"/>
    <w:rsid w:val="3D554E22"/>
    <w:rsid w:val="3D556267"/>
    <w:rsid w:val="3D566E05"/>
    <w:rsid w:val="3D580050"/>
    <w:rsid w:val="3D5F13DF"/>
    <w:rsid w:val="3D6469F5"/>
    <w:rsid w:val="3D6A1B31"/>
    <w:rsid w:val="3D791D75"/>
    <w:rsid w:val="3D7F382F"/>
    <w:rsid w:val="3D8929D1"/>
    <w:rsid w:val="3D8A5D30"/>
    <w:rsid w:val="3D8C7CFA"/>
    <w:rsid w:val="3D8F1598"/>
    <w:rsid w:val="3D9077EA"/>
    <w:rsid w:val="3D915310"/>
    <w:rsid w:val="3D954E00"/>
    <w:rsid w:val="3D985E97"/>
    <w:rsid w:val="3D98669F"/>
    <w:rsid w:val="3DA03B15"/>
    <w:rsid w:val="3DA649C1"/>
    <w:rsid w:val="3DA8208E"/>
    <w:rsid w:val="3DAE1A1E"/>
    <w:rsid w:val="3DB1191E"/>
    <w:rsid w:val="3DB40624"/>
    <w:rsid w:val="3DB443FE"/>
    <w:rsid w:val="3DB82D12"/>
    <w:rsid w:val="3DBC4B55"/>
    <w:rsid w:val="3DBD3298"/>
    <w:rsid w:val="3DC258AE"/>
    <w:rsid w:val="3DC620BB"/>
    <w:rsid w:val="3DC76F84"/>
    <w:rsid w:val="3DCA6F9F"/>
    <w:rsid w:val="3DCE23CC"/>
    <w:rsid w:val="3DD00B61"/>
    <w:rsid w:val="3DD376D7"/>
    <w:rsid w:val="3DD764CD"/>
    <w:rsid w:val="3DDB658B"/>
    <w:rsid w:val="3DDD67A7"/>
    <w:rsid w:val="3DE633D7"/>
    <w:rsid w:val="3DE8594A"/>
    <w:rsid w:val="3DEC2546"/>
    <w:rsid w:val="3DF05BE8"/>
    <w:rsid w:val="3DF064DB"/>
    <w:rsid w:val="3DF245B0"/>
    <w:rsid w:val="3DFE0C51"/>
    <w:rsid w:val="3E003607"/>
    <w:rsid w:val="3E012496"/>
    <w:rsid w:val="3E095155"/>
    <w:rsid w:val="3E18158D"/>
    <w:rsid w:val="3E18333B"/>
    <w:rsid w:val="3E1A3557"/>
    <w:rsid w:val="3E1A7CC9"/>
    <w:rsid w:val="3E1C47FE"/>
    <w:rsid w:val="3E2C636E"/>
    <w:rsid w:val="3E3143FD"/>
    <w:rsid w:val="3E353EED"/>
    <w:rsid w:val="3E377C66"/>
    <w:rsid w:val="3E3A02BF"/>
    <w:rsid w:val="3E3A0EB7"/>
    <w:rsid w:val="3E3B7B31"/>
    <w:rsid w:val="3E3F6B1A"/>
    <w:rsid w:val="3E43485C"/>
    <w:rsid w:val="3E471BD9"/>
    <w:rsid w:val="3E481E73"/>
    <w:rsid w:val="3E4B7B72"/>
    <w:rsid w:val="3E5438DC"/>
    <w:rsid w:val="3E580CE6"/>
    <w:rsid w:val="3E594080"/>
    <w:rsid w:val="3E5A1BA6"/>
    <w:rsid w:val="3E5D51F2"/>
    <w:rsid w:val="3E5E1C00"/>
    <w:rsid w:val="3E5F0F6A"/>
    <w:rsid w:val="3E5F71BC"/>
    <w:rsid w:val="3E657DC2"/>
    <w:rsid w:val="3E6671C1"/>
    <w:rsid w:val="3E677F46"/>
    <w:rsid w:val="3E6A2690"/>
    <w:rsid w:val="3E6A66F5"/>
    <w:rsid w:val="3E725142"/>
    <w:rsid w:val="3E751487"/>
    <w:rsid w:val="3E7569E0"/>
    <w:rsid w:val="3E772758"/>
    <w:rsid w:val="3E7E7642"/>
    <w:rsid w:val="3E8D5AD7"/>
    <w:rsid w:val="3E95498C"/>
    <w:rsid w:val="3E962575"/>
    <w:rsid w:val="3E971969"/>
    <w:rsid w:val="3E9F20A1"/>
    <w:rsid w:val="3EA15361"/>
    <w:rsid w:val="3EA6693C"/>
    <w:rsid w:val="3EA846BF"/>
    <w:rsid w:val="3EAD617A"/>
    <w:rsid w:val="3EB05C6A"/>
    <w:rsid w:val="3EBA43F3"/>
    <w:rsid w:val="3EC51715"/>
    <w:rsid w:val="3EC7672F"/>
    <w:rsid w:val="3ECC2AA4"/>
    <w:rsid w:val="3ED10285"/>
    <w:rsid w:val="3ED23E32"/>
    <w:rsid w:val="3EDA2672"/>
    <w:rsid w:val="3EDC080D"/>
    <w:rsid w:val="3EDE27D7"/>
    <w:rsid w:val="3EE3269C"/>
    <w:rsid w:val="3EE43DBA"/>
    <w:rsid w:val="3EE75890"/>
    <w:rsid w:val="3EF47905"/>
    <w:rsid w:val="3EF603D9"/>
    <w:rsid w:val="3EF76BEA"/>
    <w:rsid w:val="3EF94F1B"/>
    <w:rsid w:val="3EFC2C5D"/>
    <w:rsid w:val="3F000411"/>
    <w:rsid w:val="3F034248"/>
    <w:rsid w:val="3F05474B"/>
    <w:rsid w:val="3F055FB6"/>
    <w:rsid w:val="3F0C1354"/>
    <w:rsid w:val="3F0D4E6A"/>
    <w:rsid w:val="3F134431"/>
    <w:rsid w:val="3F147FA7"/>
    <w:rsid w:val="3F154D9E"/>
    <w:rsid w:val="3F1D32FF"/>
    <w:rsid w:val="3F1F7353"/>
    <w:rsid w:val="3F203C49"/>
    <w:rsid w:val="3F29681A"/>
    <w:rsid w:val="3F2D1138"/>
    <w:rsid w:val="3F2F0201"/>
    <w:rsid w:val="3F2F3617"/>
    <w:rsid w:val="3F300D14"/>
    <w:rsid w:val="3F337FF6"/>
    <w:rsid w:val="3F3F2C7B"/>
    <w:rsid w:val="3F42102A"/>
    <w:rsid w:val="3F422D66"/>
    <w:rsid w:val="3F446ADE"/>
    <w:rsid w:val="3F474725"/>
    <w:rsid w:val="3F484CFB"/>
    <w:rsid w:val="3F48643C"/>
    <w:rsid w:val="3F4E170B"/>
    <w:rsid w:val="3F4F4175"/>
    <w:rsid w:val="3F544847"/>
    <w:rsid w:val="3F591E5E"/>
    <w:rsid w:val="3F5A541D"/>
    <w:rsid w:val="3F5B3E28"/>
    <w:rsid w:val="3F5C78B4"/>
    <w:rsid w:val="3F6031EC"/>
    <w:rsid w:val="3F696545"/>
    <w:rsid w:val="3F6A406B"/>
    <w:rsid w:val="3F6F1681"/>
    <w:rsid w:val="3F724CCD"/>
    <w:rsid w:val="3F781EDA"/>
    <w:rsid w:val="3F7A3FE3"/>
    <w:rsid w:val="3F7E3C67"/>
    <w:rsid w:val="3F7E540A"/>
    <w:rsid w:val="3F7F2B3A"/>
    <w:rsid w:val="3F874C1D"/>
    <w:rsid w:val="3F890995"/>
    <w:rsid w:val="3F8C5D8F"/>
    <w:rsid w:val="3F8E5FAB"/>
    <w:rsid w:val="3F977363"/>
    <w:rsid w:val="3F9966FE"/>
    <w:rsid w:val="3F9F485F"/>
    <w:rsid w:val="3FA41967"/>
    <w:rsid w:val="3FA76215"/>
    <w:rsid w:val="3FA94B93"/>
    <w:rsid w:val="3FB660DB"/>
    <w:rsid w:val="3FB725F9"/>
    <w:rsid w:val="3FC4377B"/>
    <w:rsid w:val="3FC90D91"/>
    <w:rsid w:val="3FD00372"/>
    <w:rsid w:val="3FD24498"/>
    <w:rsid w:val="3FD55988"/>
    <w:rsid w:val="3FDB0AC5"/>
    <w:rsid w:val="3FDC3088"/>
    <w:rsid w:val="3FDD38DB"/>
    <w:rsid w:val="3FE06299"/>
    <w:rsid w:val="3FE71217"/>
    <w:rsid w:val="3FE74813"/>
    <w:rsid w:val="3FED72D4"/>
    <w:rsid w:val="3FEF3BDF"/>
    <w:rsid w:val="3FF12096"/>
    <w:rsid w:val="3FF43934"/>
    <w:rsid w:val="3FFD6C8D"/>
    <w:rsid w:val="3FFF2A05"/>
    <w:rsid w:val="4001677D"/>
    <w:rsid w:val="40063D93"/>
    <w:rsid w:val="40070A53"/>
    <w:rsid w:val="4009749B"/>
    <w:rsid w:val="400A3D6D"/>
    <w:rsid w:val="400B3158"/>
    <w:rsid w:val="400C6ED0"/>
    <w:rsid w:val="4013200C"/>
    <w:rsid w:val="40167D4F"/>
    <w:rsid w:val="40183AC7"/>
    <w:rsid w:val="402C1320"/>
    <w:rsid w:val="40300E10"/>
    <w:rsid w:val="403A06BC"/>
    <w:rsid w:val="403C5A07"/>
    <w:rsid w:val="40415103"/>
    <w:rsid w:val="404E74E8"/>
    <w:rsid w:val="405014B2"/>
    <w:rsid w:val="40534AFF"/>
    <w:rsid w:val="40572841"/>
    <w:rsid w:val="405C7E57"/>
    <w:rsid w:val="406571D2"/>
    <w:rsid w:val="406B009A"/>
    <w:rsid w:val="40764075"/>
    <w:rsid w:val="40774C91"/>
    <w:rsid w:val="40850A58"/>
    <w:rsid w:val="40864ED4"/>
    <w:rsid w:val="40953369"/>
    <w:rsid w:val="409A6E6B"/>
    <w:rsid w:val="40AD066C"/>
    <w:rsid w:val="40AD17DF"/>
    <w:rsid w:val="40B13BE2"/>
    <w:rsid w:val="40B25CC9"/>
    <w:rsid w:val="40B52091"/>
    <w:rsid w:val="40B90E06"/>
    <w:rsid w:val="40C003E6"/>
    <w:rsid w:val="40C41559"/>
    <w:rsid w:val="40C63091"/>
    <w:rsid w:val="40C81049"/>
    <w:rsid w:val="40C96B6F"/>
    <w:rsid w:val="40CB0B39"/>
    <w:rsid w:val="40D11C79"/>
    <w:rsid w:val="40D61148"/>
    <w:rsid w:val="40DE086C"/>
    <w:rsid w:val="40EB2F89"/>
    <w:rsid w:val="40F3190F"/>
    <w:rsid w:val="40FC2715"/>
    <w:rsid w:val="41067DC3"/>
    <w:rsid w:val="410F0A26"/>
    <w:rsid w:val="41101765"/>
    <w:rsid w:val="411446D5"/>
    <w:rsid w:val="411627BA"/>
    <w:rsid w:val="411A73CB"/>
    <w:rsid w:val="41200E85"/>
    <w:rsid w:val="412169AB"/>
    <w:rsid w:val="412179FD"/>
    <w:rsid w:val="41285F8B"/>
    <w:rsid w:val="412C31AD"/>
    <w:rsid w:val="41336048"/>
    <w:rsid w:val="41380917"/>
    <w:rsid w:val="413B5BDF"/>
    <w:rsid w:val="414508EB"/>
    <w:rsid w:val="414C1C7A"/>
    <w:rsid w:val="41594397"/>
    <w:rsid w:val="41596145"/>
    <w:rsid w:val="416A65A4"/>
    <w:rsid w:val="416D1BF0"/>
    <w:rsid w:val="417031BB"/>
    <w:rsid w:val="41703F20"/>
    <w:rsid w:val="41723063"/>
    <w:rsid w:val="41735459"/>
    <w:rsid w:val="41775519"/>
    <w:rsid w:val="41790595"/>
    <w:rsid w:val="417D0085"/>
    <w:rsid w:val="41847666"/>
    <w:rsid w:val="41850CE8"/>
    <w:rsid w:val="4185518C"/>
    <w:rsid w:val="41872CB2"/>
    <w:rsid w:val="41886A2A"/>
    <w:rsid w:val="418A27A2"/>
    <w:rsid w:val="41913B31"/>
    <w:rsid w:val="41934C85"/>
    <w:rsid w:val="41982F81"/>
    <w:rsid w:val="41986C6D"/>
    <w:rsid w:val="41A35612"/>
    <w:rsid w:val="41A53138"/>
    <w:rsid w:val="41AC44C7"/>
    <w:rsid w:val="41B016FB"/>
    <w:rsid w:val="41B31CF9"/>
    <w:rsid w:val="41B35246"/>
    <w:rsid w:val="41B8516E"/>
    <w:rsid w:val="41BD4926"/>
    <w:rsid w:val="41BE244C"/>
    <w:rsid w:val="41C23CEA"/>
    <w:rsid w:val="41C31810"/>
    <w:rsid w:val="41C37A62"/>
    <w:rsid w:val="41CA2B9F"/>
    <w:rsid w:val="41D5005A"/>
    <w:rsid w:val="41D91034"/>
    <w:rsid w:val="41DE44D4"/>
    <w:rsid w:val="41DE664A"/>
    <w:rsid w:val="41DF2AEE"/>
    <w:rsid w:val="41DF59E2"/>
    <w:rsid w:val="41E27AF9"/>
    <w:rsid w:val="41E32216"/>
    <w:rsid w:val="41F64CF2"/>
    <w:rsid w:val="41F8458D"/>
    <w:rsid w:val="41FB50BB"/>
    <w:rsid w:val="41FC2C2C"/>
    <w:rsid w:val="41FC634B"/>
    <w:rsid w:val="41FD2F74"/>
    <w:rsid w:val="42007A9E"/>
    <w:rsid w:val="420A5691"/>
    <w:rsid w:val="420F4A55"/>
    <w:rsid w:val="42100EF9"/>
    <w:rsid w:val="421738EF"/>
    <w:rsid w:val="42176292"/>
    <w:rsid w:val="42273BA6"/>
    <w:rsid w:val="42283269"/>
    <w:rsid w:val="423050F8"/>
    <w:rsid w:val="42315676"/>
    <w:rsid w:val="423931A7"/>
    <w:rsid w:val="424C5BA2"/>
    <w:rsid w:val="424C7F73"/>
    <w:rsid w:val="42523E82"/>
    <w:rsid w:val="425828A0"/>
    <w:rsid w:val="425F3C2F"/>
    <w:rsid w:val="426254CD"/>
    <w:rsid w:val="426D00FA"/>
    <w:rsid w:val="42731271"/>
    <w:rsid w:val="427A2817"/>
    <w:rsid w:val="427A45C5"/>
    <w:rsid w:val="42814E9C"/>
    <w:rsid w:val="428B4190"/>
    <w:rsid w:val="42927B60"/>
    <w:rsid w:val="42935686"/>
    <w:rsid w:val="429A4C67"/>
    <w:rsid w:val="429D62D0"/>
    <w:rsid w:val="429F0E23"/>
    <w:rsid w:val="42A163B6"/>
    <w:rsid w:val="42A31F5B"/>
    <w:rsid w:val="42A81FE7"/>
    <w:rsid w:val="42A95947"/>
    <w:rsid w:val="42B21F0C"/>
    <w:rsid w:val="42B37AD7"/>
    <w:rsid w:val="42B51AA1"/>
    <w:rsid w:val="42B535F9"/>
    <w:rsid w:val="42B7058F"/>
    <w:rsid w:val="42B77F6E"/>
    <w:rsid w:val="42BC433C"/>
    <w:rsid w:val="42BC530C"/>
    <w:rsid w:val="42BE0565"/>
    <w:rsid w:val="42BF46CD"/>
    <w:rsid w:val="42C85330"/>
    <w:rsid w:val="42C90EFE"/>
    <w:rsid w:val="42C910A8"/>
    <w:rsid w:val="42CE66BF"/>
    <w:rsid w:val="42D068DB"/>
    <w:rsid w:val="42D2381C"/>
    <w:rsid w:val="42D27D5B"/>
    <w:rsid w:val="42D446B7"/>
    <w:rsid w:val="42D64FF5"/>
    <w:rsid w:val="42D737C5"/>
    <w:rsid w:val="42D83684"/>
    <w:rsid w:val="42DB5A7D"/>
    <w:rsid w:val="42E3702F"/>
    <w:rsid w:val="42E87780"/>
    <w:rsid w:val="42EC7EBE"/>
    <w:rsid w:val="42F36125"/>
    <w:rsid w:val="42F652E3"/>
    <w:rsid w:val="42FB72C1"/>
    <w:rsid w:val="43014CE6"/>
    <w:rsid w:val="430343A0"/>
    <w:rsid w:val="430815C5"/>
    <w:rsid w:val="43082452"/>
    <w:rsid w:val="430B292C"/>
    <w:rsid w:val="43171E14"/>
    <w:rsid w:val="431C1B20"/>
    <w:rsid w:val="4331708F"/>
    <w:rsid w:val="43332FB2"/>
    <w:rsid w:val="433B2089"/>
    <w:rsid w:val="433C187A"/>
    <w:rsid w:val="433E55F2"/>
    <w:rsid w:val="4340580E"/>
    <w:rsid w:val="43420014"/>
    <w:rsid w:val="43435E4D"/>
    <w:rsid w:val="43486471"/>
    <w:rsid w:val="434A21E9"/>
    <w:rsid w:val="434D1CD9"/>
    <w:rsid w:val="434D7F2B"/>
    <w:rsid w:val="435C1F1C"/>
    <w:rsid w:val="436239D7"/>
    <w:rsid w:val="436C6603"/>
    <w:rsid w:val="436D53B2"/>
    <w:rsid w:val="4372513F"/>
    <w:rsid w:val="43762FDE"/>
    <w:rsid w:val="437C71DF"/>
    <w:rsid w:val="437D60FB"/>
    <w:rsid w:val="438201C7"/>
    <w:rsid w:val="4383394D"/>
    <w:rsid w:val="438C2802"/>
    <w:rsid w:val="438C3388"/>
    <w:rsid w:val="438C45B0"/>
    <w:rsid w:val="438D0328"/>
    <w:rsid w:val="438E5948"/>
    <w:rsid w:val="439A528D"/>
    <w:rsid w:val="439C1000"/>
    <w:rsid w:val="43A538C3"/>
    <w:rsid w:val="43AA712C"/>
    <w:rsid w:val="43AC4C52"/>
    <w:rsid w:val="43AC6A00"/>
    <w:rsid w:val="43AD2778"/>
    <w:rsid w:val="43AF029E"/>
    <w:rsid w:val="43B27D8E"/>
    <w:rsid w:val="43B461B6"/>
    <w:rsid w:val="43BC0257"/>
    <w:rsid w:val="43BC4AF1"/>
    <w:rsid w:val="43C04259"/>
    <w:rsid w:val="43C30252"/>
    <w:rsid w:val="43C81360"/>
    <w:rsid w:val="43CB76FE"/>
    <w:rsid w:val="43CE1B59"/>
    <w:rsid w:val="43CF0940"/>
    <w:rsid w:val="43D30430"/>
    <w:rsid w:val="43D9356D"/>
    <w:rsid w:val="43D97563"/>
    <w:rsid w:val="43DB1093"/>
    <w:rsid w:val="43DE0B83"/>
    <w:rsid w:val="43E22422"/>
    <w:rsid w:val="43FF7ADD"/>
    <w:rsid w:val="44000AFA"/>
    <w:rsid w:val="440E3217"/>
    <w:rsid w:val="4412168D"/>
    <w:rsid w:val="44136A7F"/>
    <w:rsid w:val="4416656F"/>
    <w:rsid w:val="441822E7"/>
    <w:rsid w:val="441B1AE4"/>
    <w:rsid w:val="441D5B50"/>
    <w:rsid w:val="44261A23"/>
    <w:rsid w:val="442A5A15"/>
    <w:rsid w:val="442E1B0B"/>
    <w:rsid w:val="44316F05"/>
    <w:rsid w:val="44333F20"/>
    <w:rsid w:val="443864E5"/>
    <w:rsid w:val="443A4914"/>
    <w:rsid w:val="444255B6"/>
    <w:rsid w:val="44466E54"/>
    <w:rsid w:val="44494618"/>
    <w:rsid w:val="444F0682"/>
    <w:rsid w:val="445076C8"/>
    <w:rsid w:val="44511355"/>
    <w:rsid w:val="445350CD"/>
    <w:rsid w:val="44564BBE"/>
    <w:rsid w:val="44567908"/>
    <w:rsid w:val="445873A3"/>
    <w:rsid w:val="44626C63"/>
    <w:rsid w:val="446472DA"/>
    <w:rsid w:val="446612A5"/>
    <w:rsid w:val="44680760"/>
    <w:rsid w:val="4469669F"/>
    <w:rsid w:val="447137A5"/>
    <w:rsid w:val="44825FC8"/>
    <w:rsid w:val="44832A4B"/>
    <w:rsid w:val="44885A8F"/>
    <w:rsid w:val="448C05DF"/>
    <w:rsid w:val="448E25A9"/>
    <w:rsid w:val="44963C42"/>
    <w:rsid w:val="449A57D7"/>
    <w:rsid w:val="449F0313"/>
    <w:rsid w:val="44A1052F"/>
    <w:rsid w:val="44A26F06"/>
    <w:rsid w:val="44A27E03"/>
    <w:rsid w:val="44A703AC"/>
    <w:rsid w:val="44AE49FA"/>
    <w:rsid w:val="44B5312E"/>
    <w:rsid w:val="44C61D43"/>
    <w:rsid w:val="44C67F95"/>
    <w:rsid w:val="44CE0BF8"/>
    <w:rsid w:val="44CF01F3"/>
    <w:rsid w:val="44CF1A45"/>
    <w:rsid w:val="44D02976"/>
    <w:rsid w:val="44D0671E"/>
    <w:rsid w:val="44D07B86"/>
    <w:rsid w:val="44D34C9C"/>
    <w:rsid w:val="44D83825"/>
    <w:rsid w:val="44DE52DF"/>
    <w:rsid w:val="44E4666D"/>
    <w:rsid w:val="44EA2395"/>
    <w:rsid w:val="44EB3558"/>
    <w:rsid w:val="44EE129A"/>
    <w:rsid w:val="44F763A1"/>
    <w:rsid w:val="44FE16D9"/>
    <w:rsid w:val="450A1D60"/>
    <w:rsid w:val="45120AE5"/>
    <w:rsid w:val="451231DA"/>
    <w:rsid w:val="45154A79"/>
    <w:rsid w:val="451B6B9E"/>
    <w:rsid w:val="451F76A5"/>
    <w:rsid w:val="452369CF"/>
    <w:rsid w:val="4526261A"/>
    <w:rsid w:val="452627E2"/>
    <w:rsid w:val="45264590"/>
    <w:rsid w:val="452F5B59"/>
    <w:rsid w:val="45350C77"/>
    <w:rsid w:val="45361337"/>
    <w:rsid w:val="4537679D"/>
    <w:rsid w:val="453A003B"/>
    <w:rsid w:val="453C2C0A"/>
    <w:rsid w:val="453E2322"/>
    <w:rsid w:val="4541761C"/>
    <w:rsid w:val="454C4817"/>
    <w:rsid w:val="455250F0"/>
    <w:rsid w:val="4554273F"/>
    <w:rsid w:val="45542D4C"/>
    <w:rsid w:val="455A0335"/>
    <w:rsid w:val="455A6FF1"/>
    <w:rsid w:val="45601A23"/>
    <w:rsid w:val="4568155D"/>
    <w:rsid w:val="45684BA8"/>
    <w:rsid w:val="456F7686"/>
    <w:rsid w:val="457004A6"/>
    <w:rsid w:val="45717C1A"/>
    <w:rsid w:val="458E4EC9"/>
    <w:rsid w:val="459C0CF6"/>
    <w:rsid w:val="45A5342F"/>
    <w:rsid w:val="45AA1B8E"/>
    <w:rsid w:val="45B71E2A"/>
    <w:rsid w:val="45C1250B"/>
    <w:rsid w:val="45CE2522"/>
    <w:rsid w:val="45D11370"/>
    <w:rsid w:val="45E435E2"/>
    <w:rsid w:val="45E5444B"/>
    <w:rsid w:val="45F27B9E"/>
    <w:rsid w:val="45F76DD6"/>
    <w:rsid w:val="45FD4CB1"/>
    <w:rsid w:val="46004DE1"/>
    <w:rsid w:val="46026DAB"/>
    <w:rsid w:val="46125ABF"/>
    <w:rsid w:val="46141181"/>
    <w:rsid w:val="46144D30"/>
    <w:rsid w:val="461D3BE5"/>
    <w:rsid w:val="461F5BAF"/>
    <w:rsid w:val="462326F9"/>
    <w:rsid w:val="462E5798"/>
    <w:rsid w:val="462E5DF2"/>
    <w:rsid w:val="463B050F"/>
    <w:rsid w:val="463D7C0A"/>
    <w:rsid w:val="4646138E"/>
    <w:rsid w:val="46494E1C"/>
    <w:rsid w:val="464B7748"/>
    <w:rsid w:val="46515DF0"/>
    <w:rsid w:val="46537607"/>
    <w:rsid w:val="46582E6F"/>
    <w:rsid w:val="465C35C1"/>
    <w:rsid w:val="465F5FAB"/>
    <w:rsid w:val="46607F75"/>
    <w:rsid w:val="46647A66"/>
    <w:rsid w:val="466510E8"/>
    <w:rsid w:val="46651743"/>
    <w:rsid w:val="4669507C"/>
    <w:rsid w:val="466B2BA2"/>
    <w:rsid w:val="46745A9B"/>
    <w:rsid w:val="46752AE1"/>
    <w:rsid w:val="46761547"/>
    <w:rsid w:val="4676691E"/>
    <w:rsid w:val="46782E00"/>
    <w:rsid w:val="467841DE"/>
    <w:rsid w:val="467A2DE5"/>
    <w:rsid w:val="467C4729"/>
    <w:rsid w:val="467E5BB9"/>
    <w:rsid w:val="46802041"/>
    <w:rsid w:val="4682613E"/>
    <w:rsid w:val="468679DC"/>
    <w:rsid w:val="468772B0"/>
    <w:rsid w:val="46946618"/>
    <w:rsid w:val="46965745"/>
    <w:rsid w:val="469814BD"/>
    <w:rsid w:val="469A3487"/>
    <w:rsid w:val="469A5235"/>
    <w:rsid w:val="46A71700"/>
    <w:rsid w:val="46AD48B7"/>
    <w:rsid w:val="46AE05A3"/>
    <w:rsid w:val="46B04A59"/>
    <w:rsid w:val="46B45C83"/>
    <w:rsid w:val="46B74041"/>
    <w:rsid w:val="46C96777"/>
    <w:rsid w:val="46CA5BDD"/>
    <w:rsid w:val="46CB4EBE"/>
    <w:rsid w:val="46D104EB"/>
    <w:rsid w:val="46D47CC9"/>
    <w:rsid w:val="46D63D94"/>
    <w:rsid w:val="46DA3F91"/>
    <w:rsid w:val="46DB2F1F"/>
    <w:rsid w:val="46DF0E9A"/>
    <w:rsid w:val="46E04202"/>
    <w:rsid w:val="46E666CD"/>
    <w:rsid w:val="46E95A67"/>
    <w:rsid w:val="46EE10DD"/>
    <w:rsid w:val="46EE732F"/>
    <w:rsid w:val="46F74D8F"/>
    <w:rsid w:val="46F9001F"/>
    <w:rsid w:val="46FA1179"/>
    <w:rsid w:val="46FC1A4C"/>
    <w:rsid w:val="46FF18A4"/>
    <w:rsid w:val="47046B53"/>
    <w:rsid w:val="4705339B"/>
    <w:rsid w:val="47094169"/>
    <w:rsid w:val="470D0F13"/>
    <w:rsid w:val="47136D96"/>
    <w:rsid w:val="471548BC"/>
    <w:rsid w:val="471A1ED2"/>
    <w:rsid w:val="471D6BBF"/>
    <w:rsid w:val="47264D1B"/>
    <w:rsid w:val="47266AC9"/>
    <w:rsid w:val="47272598"/>
    <w:rsid w:val="4729480B"/>
    <w:rsid w:val="472B2331"/>
    <w:rsid w:val="472F1E22"/>
    <w:rsid w:val="4735602C"/>
    <w:rsid w:val="47370CD6"/>
    <w:rsid w:val="473C3637"/>
    <w:rsid w:val="473F5DDD"/>
    <w:rsid w:val="47460F19"/>
    <w:rsid w:val="4746716B"/>
    <w:rsid w:val="474A22AA"/>
    <w:rsid w:val="475058C1"/>
    <w:rsid w:val="47507FEA"/>
    <w:rsid w:val="475950F1"/>
    <w:rsid w:val="475C698F"/>
    <w:rsid w:val="47613FA5"/>
    <w:rsid w:val="47617B01"/>
    <w:rsid w:val="47661A9B"/>
    <w:rsid w:val="4766336A"/>
    <w:rsid w:val="47687B7B"/>
    <w:rsid w:val="4770243A"/>
    <w:rsid w:val="4773181A"/>
    <w:rsid w:val="477535AD"/>
    <w:rsid w:val="47797541"/>
    <w:rsid w:val="477E6905"/>
    <w:rsid w:val="478040C9"/>
    <w:rsid w:val="47833F1C"/>
    <w:rsid w:val="47835CCA"/>
    <w:rsid w:val="47864EC1"/>
    <w:rsid w:val="478869F4"/>
    <w:rsid w:val="478A34FC"/>
    <w:rsid w:val="478A706C"/>
    <w:rsid w:val="478D4D9A"/>
    <w:rsid w:val="478F466E"/>
    <w:rsid w:val="478F5094"/>
    <w:rsid w:val="47906875"/>
    <w:rsid w:val="47941C85"/>
    <w:rsid w:val="47981849"/>
    <w:rsid w:val="479A57AA"/>
    <w:rsid w:val="47A3011A"/>
    <w:rsid w:val="47A3636C"/>
    <w:rsid w:val="47A45C40"/>
    <w:rsid w:val="47A60765"/>
    <w:rsid w:val="47AA14A8"/>
    <w:rsid w:val="47AD71EA"/>
    <w:rsid w:val="47C562E2"/>
    <w:rsid w:val="47C81167"/>
    <w:rsid w:val="47CC6664"/>
    <w:rsid w:val="47CD6BD8"/>
    <w:rsid w:val="47D21405"/>
    <w:rsid w:val="47D227AD"/>
    <w:rsid w:val="47D40B4C"/>
    <w:rsid w:val="47D41223"/>
    <w:rsid w:val="47D85EC8"/>
    <w:rsid w:val="47DC529C"/>
    <w:rsid w:val="47DE1152"/>
    <w:rsid w:val="47E0136E"/>
    <w:rsid w:val="47E03F69"/>
    <w:rsid w:val="47F224EB"/>
    <w:rsid w:val="47F53213"/>
    <w:rsid w:val="47F941DE"/>
    <w:rsid w:val="47F95F8C"/>
    <w:rsid w:val="47FC782A"/>
    <w:rsid w:val="48077DC1"/>
    <w:rsid w:val="480C3F44"/>
    <w:rsid w:val="480F57AF"/>
    <w:rsid w:val="48174664"/>
    <w:rsid w:val="48217291"/>
    <w:rsid w:val="48224FDC"/>
    <w:rsid w:val="4823125B"/>
    <w:rsid w:val="48266FB7"/>
    <w:rsid w:val="482A083B"/>
    <w:rsid w:val="48335AC8"/>
    <w:rsid w:val="48345216"/>
    <w:rsid w:val="4847426C"/>
    <w:rsid w:val="484746CA"/>
    <w:rsid w:val="484C6A03"/>
    <w:rsid w:val="484E277B"/>
    <w:rsid w:val="48594C7C"/>
    <w:rsid w:val="48662CAB"/>
    <w:rsid w:val="486C49B0"/>
    <w:rsid w:val="486E697A"/>
    <w:rsid w:val="487321E2"/>
    <w:rsid w:val="487675DC"/>
    <w:rsid w:val="487F0B87"/>
    <w:rsid w:val="48846D6F"/>
    <w:rsid w:val="48873598"/>
    <w:rsid w:val="48874767"/>
    <w:rsid w:val="488841DB"/>
    <w:rsid w:val="488F0FA9"/>
    <w:rsid w:val="489363E0"/>
    <w:rsid w:val="48941574"/>
    <w:rsid w:val="489B15BC"/>
    <w:rsid w:val="489E7916"/>
    <w:rsid w:val="48A24875"/>
    <w:rsid w:val="48A250BA"/>
    <w:rsid w:val="48A524E3"/>
    <w:rsid w:val="48A56114"/>
    <w:rsid w:val="48AB372A"/>
    <w:rsid w:val="48AB646F"/>
    <w:rsid w:val="48B07DAC"/>
    <w:rsid w:val="48BC5937"/>
    <w:rsid w:val="48C22822"/>
    <w:rsid w:val="48C7608A"/>
    <w:rsid w:val="48CA7928"/>
    <w:rsid w:val="48CE11C6"/>
    <w:rsid w:val="48D013E2"/>
    <w:rsid w:val="48D936A8"/>
    <w:rsid w:val="48DC7D87"/>
    <w:rsid w:val="48E42798"/>
    <w:rsid w:val="48E924A4"/>
    <w:rsid w:val="48E96000"/>
    <w:rsid w:val="48FC1291"/>
    <w:rsid w:val="48FD5F50"/>
    <w:rsid w:val="4901159C"/>
    <w:rsid w:val="4901555D"/>
    <w:rsid w:val="490715C7"/>
    <w:rsid w:val="490C4A65"/>
    <w:rsid w:val="492B6619"/>
    <w:rsid w:val="492E7EB7"/>
    <w:rsid w:val="49301E81"/>
    <w:rsid w:val="49353AF4"/>
    <w:rsid w:val="4938278A"/>
    <w:rsid w:val="493F20C4"/>
    <w:rsid w:val="49460182"/>
    <w:rsid w:val="49496F92"/>
    <w:rsid w:val="4950607F"/>
    <w:rsid w:val="49543DC1"/>
    <w:rsid w:val="49545C39"/>
    <w:rsid w:val="4960537E"/>
    <w:rsid w:val="49627B61"/>
    <w:rsid w:val="49690EEF"/>
    <w:rsid w:val="496D6C31"/>
    <w:rsid w:val="497004D0"/>
    <w:rsid w:val="49777AB0"/>
    <w:rsid w:val="497875CB"/>
    <w:rsid w:val="497D499A"/>
    <w:rsid w:val="497E0E3E"/>
    <w:rsid w:val="497F6965"/>
    <w:rsid w:val="49836455"/>
    <w:rsid w:val="49860758"/>
    <w:rsid w:val="498B5309"/>
    <w:rsid w:val="498F4DFA"/>
    <w:rsid w:val="499248EA"/>
    <w:rsid w:val="49942410"/>
    <w:rsid w:val="49956188"/>
    <w:rsid w:val="49973CAE"/>
    <w:rsid w:val="499A360F"/>
    <w:rsid w:val="499E3928"/>
    <w:rsid w:val="499E503D"/>
    <w:rsid w:val="49A24972"/>
    <w:rsid w:val="49A3420A"/>
    <w:rsid w:val="49A40179"/>
    <w:rsid w:val="49AF359F"/>
    <w:rsid w:val="49B22896"/>
    <w:rsid w:val="49B27143"/>
    <w:rsid w:val="49B7342A"/>
    <w:rsid w:val="49B760FE"/>
    <w:rsid w:val="49B77726"/>
    <w:rsid w:val="49BE123B"/>
    <w:rsid w:val="49BE56DF"/>
    <w:rsid w:val="49BE65F2"/>
    <w:rsid w:val="49BE6F8E"/>
    <w:rsid w:val="49C37385"/>
    <w:rsid w:val="49D15412"/>
    <w:rsid w:val="49D22F38"/>
    <w:rsid w:val="49D57404"/>
    <w:rsid w:val="49EB7B56"/>
    <w:rsid w:val="49ED7D72"/>
    <w:rsid w:val="49EF3AEA"/>
    <w:rsid w:val="49F27137"/>
    <w:rsid w:val="49F44C5D"/>
    <w:rsid w:val="49F96717"/>
    <w:rsid w:val="49FC181A"/>
    <w:rsid w:val="49FE5ADB"/>
    <w:rsid w:val="4A02381D"/>
    <w:rsid w:val="4A062BE2"/>
    <w:rsid w:val="4A0A4A38"/>
    <w:rsid w:val="4A17420A"/>
    <w:rsid w:val="4A1A5F48"/>
    <w:rsid w:val="4A1B48DF"/>
    <w:rsid w:val="4A1E617D"/>
    <w:rsid w:val="4A1F7EB0"/>
    <w:rsid w:val="4A235B57"/>
    <w:rsid w:val="4A2808DB"/>
    <w:rsid w:val="4A2D63C1"/>
    <w:rsid w:val="4A2F70DA"/>
    <w:rsid w:val="4A3414FD"/>
    <w:rsid w:val="4A37282C"/>
    <w:rsid w:val="4A3D0F9E"/>
    <w:rsid w:val="4A4200BE"/>
    <w:rsid w:val="4A45510E"/>
    <w:rsid w:val="4A4554B8"/>
    <w:rsid w:val="4A466EBA"/>
    <w:rsid w:val="4A481C2E"/>
    <w:rsid w:val="4A4A7727"/>
    <w:rsid w:val="4A4E23DD"/>
    <w:rsid w:val="4A4F4589"/>
    <w:rsid w:val="4A510301"/>
    <w:rsid w:val="4A592BCC"/>
    <w:rsid w:val="4A6218ED"/>
    <w:rsid w:val="4A646A83"/>
    <w:rsid w:val="4A6718D3"/>
    <w:rsid w:val="4A6A13C3"/>
    <w:rsid w:val="4A6A1C50"/>
    <w:rsid w:val="4A6E0EB3"/>
    <w:rsid w:val="4A6F4C2B"/>
    <w:rsid w:val="4A8050E2"/>
    <w:rsid w:val="4A851FE2"/>
    <w:rsid w:val="4A865BEA"/>
    <w:rsid w:val="4A8D1509"/>
    <w:rsid w:val="4A8F0E29"/>
    <w:rsid w:val="4A930919"/>
    <w:rsid w:val="4A9A1CA8"/>
    <w:rsid w:val="4A9A1F57"/>
    <w:rsid w:val="4A9D28FF"/>
    <w:rsid w:val="4AA523FB"/>
    <w:rsid w:val="4AA8171D"/>
    <w:rsid w:val="4AB12376"/>
    <w:rsid w:val="4AB32D6A"/>
    <w:rsid w:val="4AB97C24"/>
    <w:rsid w:val="4ABA6E77"/>
    <w:rsid w:val="4AC62A9D"/>
    <w:rsid w:val="4AC72371"/>
    <w:rsid w:val="4AC90F7E"/>
    <w:rsid w:val="4ACC2853"/>
    <w:rsid w:val="4ACE1952"/>
    <w:rsid w:val="4AD337D1"/>
    <w:rsid w:val="4AD74508"/>
    <w:rsid w:val="4ADB4F09"/>
    <w:rsid w:val="4AEF5AB0"/>
    <w:rsid w:val="4AF34F14"/>
    <w:rsid w:val="4AF429FF"/>
    <w:rsid w:val="4AF62C56"/>
    <w:rsid w:val="4AF64A04"/>
    <w:rsid w:val="4B013AD5"/>
    <w:rsid w:val="4B090BDC"/>
    <w:rsid w:val="4B0B6702"/>
    <w:rsid w:val="4B0C61BF"/>
    <w:rsid w:val="4B124AD8"/>
    <w:rsid w:val="4B166E55"/>
    <w:rsid w:val="4B21533E"/>
    <w:rsid w:val="4B26353C"/>
    <w:rsid w:val="4B337A07"/>
    <w:rsid w:val="4B3A6FE7"/>
    <w:rsid w:val="4B3C2D5F"/>
    <w:rsid w:val="4B44463C"/>
    <w:rsid w:val="4B4B1487"/>
    <w:rsid w:val="4B4E2A92"/>
    <w:rsid w:val="4B517E8D"/>
    <w:rsid w:val="4B524331"/>
    <w:rsid w:val="4B5819E1"/>
    <w:rsid w:val="4B62209A"/>
    <w:rsid w:val="4B6E4EE3"/>
    <w:rsid w:val="4B756271"/>
    <w:rsid w:val="4B7572FC"/>
    <w:rsid w:val="4B7C13AE"/>
    <w:rsid w:val="4B80578B"/>
    <w:rsid w:val="4B83018C"/>
    <w:rsid w:val="4B846D55"/>
    <w:rsid w:val="4B9529B9"/>
    <w:rsid w:val="4B9761E7"/>
    <w:rsid w:val="4B9E5058"/>
    <w:rsid w:val="4BA872F9"/>
    <w:rsid w:val="4BAA13AB"/>
    <w:rsid w:val="4BB072A9"/>
    <w:rsid w:val="4BB07716"/>
    <w:rsid w:val="4BB328F5"/>
    <w:rsid w:val="4BBA4D0E"/>
    <w:rsid w:val="4BBB2597"/>
    <w:rsid w:val="4BC13264"/>
    <w:rsid w:val="4BC52D55"/>
    <w:rsid w:val="4BC845F3"/>
    <w:rsid w:val="4BC92119"/>
    <w:rsid w:val="4BCB1699"/>
    <w:rsid w:val="4BD23890"/>
    <w:rsid w:val="4BD32D36"/>
    <w:rsid w:val="4BD5286C"/>
    <w:rsid w:val="4BDB2578"/>
    <w:rsid w:val="4BE9309F"/>
    <w:rsid w:val="4BEB211D"/>
    <w:rsid w:val="4BEC21F1"/>
    <w:rsid w:val="4BEE392E"/>
    <w:rsid w:val="4BFA22D2"/>
    <w:rsid w:val="4C023FB2"/>
    <w:rsid w:val="4C0E61E2"/>
    <w:rsid w:val="4C147838"/>
    <w:rsid w:val="4C176BF2"/>
    <w:rsid w:val="4C182F5B"/>
    <w:rsid w:val="4C1C049B"/>
    <w:rsid w:val="4C1E2848"/>
    <w:rsid w:val="4C2630C7"/>
    <w:rsid w:val="4C2B6930"/>
    <w:rsid w:val="4C2C4B82"/>
    <w:rsid w:val="4C2D2C2B"/>
    <w:rsid w:val="4C31516A"/>
    <w:rsid w:val="4C3752D5"/>
    <w:rsid w:val="4C39104D"/>
    <w:rsid w:val="4C434964"/>
    <w:rsid w:val="4C475409"/>
    <w:rsid w:val="4C4920B9"/>
    <w:rsid w:val="4C4A2D2B"/>
    <w:rsid w:val="4C4B5EA3"/>
    <w:rsid w:val="4C4D6AA3"/>
    <w:rsid w:val="4C4F1FEA"/>
    <w:rsid w:val="4C5365B2"/>
    <w:rsid w:val="4C577725"/>
    <w:rsid w:val="4C597954"/>
    <w:rsid w:val="4C60222C"/>
    <w:rsid w:val="4C6065D9"/>
    <w:rsid w:val="4C633D3F"/>
    <w:rsid w:val="4C6B4F7E"/>
    <w:rsid w:val="4C6C1422"/>
    <w:rsid w:val="4C752357"/>
    <w:rsid w:val="4C757967"/>
    <w:rsid w:val="4C765DFD"/>
    <w:rsid w:val="4C7B4571"/>
    <w:rsid w:val="4C7D362F"/>
    <w:rsid w:val="4C7E1155"/>
    <w:rsid w:val="4C804ECE"/>
    <w:rsid w:val="4C871DB8"/>
    <w:rsid w:val="4C8C2D10"/>
    <w:rsid w:val="4C8D179C"/>
    <w:rsid w:val="4C910E89"/>
    <w:rsid w:val="4C9149E5"/>
    <w:rsid w:val="4C9269AF"/>
    <w:rsid w:val="4C9444D5"/>
    <w:rsid w:val="4C9561C5"/>
    <w:rsid w:val="4C9D528B"/>
    <w:rsid w:val="4CA74208"/>
    <w:rsid w:val="4CA961D2"/>
    <w:rsid w:val="4CB4423F"/>
    <w:rsid w:val="4CB5085F"/>
    <w:rsid w:val="4CB5158B"/>
    <w:rsid w:val="4CBB7CB4"/>
    <w:rsid w:val="4CBD1C7E"/>
    <w:rsid w:val="4CBD7ED0"/>
    <w:rsid w:val="4CBE1552"/>
    <w:rsid w:val="4CC02C8E"/>
    <w:rsid w:val="4CC34BDC"/>
    <w:rsid w:val="4CC622FE"/>
    <w:rsid w:val="4CD314A1"/>
    <w:rsid w:val="4CD34D9C"/>
    <w:rsid w:val="4CD36B70"/>
    <w:rsid w:val="4CDD6BFA"/>
    <w:rsid w:val="4CDF6854"/>
    <w:rsid w:val="4CE74F4D"/>
    <w:rsid w:val="4CE82407"/>
    <w:rsid w:val="4CE90CC5"/>
    <w:rsid w:val="4CE94821"/>
    <w:rsid w:val="4CEF795D"/>
    <w:rsid w:val="4CFF2296"/>
    <w:rsid w:val="4D0B0C3B"/>
    <w:rsid w:val="4D0E4287"/>
    <w:rsid w:val="4D111FCA"/>
    <w:rsid w:val="4D135D42"/>
    <w:rsid w:val="4D151ABA"/>
    <w:rsid w:val="4D155616"/>
    <w:rsid w:val="4D1A0E7E"/>
    <w:rsid w:val="4D1B4BF6"/>
    <w:rsid w:val="4D1D44CA"/>
    <w:rsid w:val="4D1F46E6"/>
    <w:rsid w:val="4D245859"/>
    <w:rsid w:val="4D2E492A"/>
    <w:rsid w:val="4D3116FB"/>
    <w:rsid w:val="4D344A7D"/>
    <w:rsid w:val="4D405120"/>
    <w:rsid w:val="4D40640B"/>
    <w:rsid w:val="4D43424C"/>
    <w:rsid w:val="4D471A63"/>
    <w:rsid w:val="4D480659"/>
    <w:rsid w:val="4D5D6FBD"/>
    <w:rsid w:val="4D64620A"/>
    <w:rsid w:val="4D682880"/>
    <w:rsid w:val="4D6B4997"/>
    <w:rsid w:val="4D6E34CC"/>
    <w:rsid w:val="4D7020FE"/>
    <w:rsid w:val="4D7C5695"/>
    <w:rsid w:val="4D7D4568"/>
    <w:rsid w:val="4D7E1024"/>
    <w:rsid w:val="4D821820"/>
    <w:rsid w:val="4D8C1650"/>
    <w:rsid w:val="4D9549A9"/>
    <w:rsid w:val="4DA2520B"/>
    <w:rsid w:val="4DA60964"/>
    <w:rsid w:val="4DA644C0"/>
    <w:rsid w:val="4DA93FB0"/>
    <w:rsid w:val="4DAD3AA0"/>
    <w:rsid w:val="4DAF7402"/>
    <w:rsid w:val="4DB01DC4"/>
    <w:rsid w:val="4DB210B7"/>
    <w:rsid w:val="4DB24E9F"/>
    <w:rsid w:val="4DB6260C"/>
    <w:rsid w:val="4DBA5BF8"/>
    <w:rsid w:val="4DBC2F09"/>
    <w:rsid w:val="4DC21F09"/>
    <w:rsid w:val="4DC70A17"/>
    <w:rsid w:val="4DC95567"/>
    <w:rsid w:val="4DCD4142"/>
    <w:rsid w:val="4DCD5EF0"/>
    <w:rsid w:val="4DD21759"/>
    <w:rsid w:val="4DD454D1"/>
    <w:rsid w:val="4DD54DA5"/>
    <w:rsid w:val="4DE3533E"/>
    <w:rsid w:val="4DE60D60"/>
    <w:rsid w:val="4DE65204"/>
    <w:rsid w:val="4DE66FB2"/>
    <w:rsid w:val="4DEA5A8F"/>
    <w:rsid w:val="4DEB281B"/>
    <w:rsid w:val="4DED20EF"/>
    <w:rsid w:val="4DF0715D"/>
    <w:rsid w:val="4DF416CF"/>
    <w:rsid w:val="4DF645F1"/>
    <w:rsid w:val="4DF711BF"/>
    <w:rsid w:val="4DF72106"/>
    <w:rsid w:val="4DFE60AA"/>
    <w:rsid w:val="4E013DEC"/>
    <w:rsid w:val="4E07653F"/>
    <w:rsid w:val="4E0B4C6B"/>
    <w:rsid w:val="4E157897"/>
    <w:rsid w:val="4E1A4EAE"/>
    <w:rsid w:val="4E1E674C"/>
    <w:rsid w:val="4E1F6916"/>
    <w:rsid w:val="4E253663"/>
    <w:rsid w:val="4E340D9C"/>
    <w:rsid w:val="4E361CE8"/>
    <w:rsid w:val="4E376A4E"/>
    <w:rsid w:val="4E3C20CD"/>
    <w:rsid w:val="4E3E066C"/>
    <w:rsid w:val="4E4837C9"/>
    <w:rsid w:val="4E4A7541"/>
    <w:rsid w:val="4E4B32B9"/>
    <w:rsid w:val="4E50411F"/>
    <w:rsid w:val="4E5208A3"/>
    <w:rsid w:val="4E52289A"/>
    <w:rsid w:val="4E5D69B5"/>
    <w:rsid w:val="4E606D65"/>
    <w:rsid w:val="4E6A7BE3"/>
    <w:rsid w:val="4E6D25DD"/>
    <w:rsid w:val="4E766588"/>
    <w:rsid w:val="4E793282"/>
    <w:rsid w:val="4E7B014C"/>
    <w:rsid w:val="4E7C3473"/>
    <w:rsid w:val="4E807407"/>
    <w:rsid w:val="4E870795"/>
    <w:rsid w:val="4E887DDB"/>
    <w:rsid w:val="4E8F31A6"/>
    <w:rsid w:val="4E992277"/>
    <w:rsid w:val="4E9C58C3"/>
    <w:rsid w:val="4E9F50B2"/>
    <w:rsid w:val="4EA2112B"/>
    <w:rsid w:val="4EAB722A"/>
    <w:rsid w:val="4EAC258C"/>
    <w:rsid w:val="4EAD5D22"/>
    <w:rsid w:val="4EB06665"/>
    <w:rsid w:val="4EB62E28"/>
    <w:rsid w:val="4EB90223"/>
    <w:rsid w:val="4EC56BC8"/>
    <w:rsid w:val="4EDB288F"/>
    <w:rsid w:val="4EDE412D"/>
    <w:rsid w:val="4EDF237F"/>
    <w:rsid w:val="4EE334F2"/>
    <w:rsid w:val="4EE53F2B"/>
    <w:rsid w:val="4EEA2AD2"/>
    <w:rsid w:val="4EF61477"/>
    <w:rsid w:val="4EFC5CCA"/>
    <w:rsid w:val="4F07768F"/>
    <w:rsid w:val="4F0911AA"/>
    <w:rsid w:val="4F0B62D4"/>
    <w:rsid w:val="4F0C47F7"/>
    <w:rsid w:val="4F0F7522"/>
    <w:rsid w:val="4F1B24A1"/>
    <w:rsid w:val="4F1C4B63"/>
    <w:rsid w:val="4F2852AB"/>
    <w:rsid w:val="4F2953A8"/>
    <w:rsid w:val="4F295F32"/>
    <w:rsid w:val="4F2A522D"/>
    <w:rsid w:val="4F2A7373"/>
    <w:rsid w:val="4F33733F"/>
    <w:rsid w:val="4F3678D3"/>
    <w:rsid w:val="4F416B96"/>
    <w:rsid w:val="4F4420B0"/>
    <w:rsid w:val="4F4451E9"/>
    <w:rsid w:val="4F477F24"/>
    <w:rsid w:val="4F4C6922"/>
    <w:rsid w:val="4F4E12B3"/>
    <w:rsid w:val="4F5159D7"/>
    <w:rsid w:val="4F5440CA"/>
    <w:rsid w:val="4F550B46"/>
    <w:rsid w:val="4F583EE0"/>
    <w:rsid w:val="4F58775A"/>
    <w:rsid w:val="4F59348C"/>
    <w:rsid w:val="4F5C39D0"/>
    <w:rsid w:val="4F5D77FE"/>
    <w:rsid w:val="4F610BB9"/>
    <w:rsid w:val="4F6771D1"/>
    <w:rsid w:val="4F6E3703"/>
    <w:rsid w:val="4F702FD7"/>
    <w:rsid w:val="4F7D3946"/>
    <w:rsid w:val="4F8024CB"/>
    <w:rsid w:val="4F840831"/>
    <w:rsid w:val="4F8847C5"/>
    <w:rsid w:val="4F893F63"/>
    <w:rsid w:val="4F8E345D"/>
    <w:rsid w:val="4F9111A0"/>
    <w:rsid w:val="4F92218D"/>
    <w:rsid w:val="4F927A47"/>
    <w:rsid w:val="4F952A3E"/>
    <w:rsid w:val="4F956755"/>
    <w:rsid w:val="4F961F9E"/>
    <w:rsid w:val="4F9A0054"/>
    <w:rsid w:val="4F9D2544"/>
    <w:rsid w:val="4F9F566B"/>
    <w:rsid w:val="4FA42C81"/>
    <w:rsid w:val="4FA47125"/>
    <w:rsid w:val="4FA9473B"/>
    <w:rsid w:val="4FAE1D52"/>
    <w:rsid w:val="4FB235F0"/>
    <w:rsid w:val="4FBA3D69"/>
    <w:rsid w:val="4FBA4253"/>
    <w:rsid w:val="4FC11A85"/>
    <w:rsid w:val="4FCC4B13"/>
    <w:rsid w:val="4FDB475D"/>
    <w:rsid w:val="4FE319FB"/>
    <w:rsid w:val="4FE35D07"/>
    <w:rsid w:val="4FE61D11"/>
    <w:rsid w:val="4FE62341"/>
    <w:rsid w:val="4FE678A4"/>
    <w:rsid w:val="4FE90FDC"/>
    <w:rsid w:val="4FE92D8A"/>
    <w:rsid w:val="4FEE78C2"/>
    <w:rsid w:val="4FF04118"/>
    <w:rsid w:val="4FF43C08"/>
    <w:rsid w:val="4FF534DD"/>
    <w:rsid w:val="4FF57980"/>
    <w:rsid w:val="4FFA0AF3"/>
    <w:rsid w:val="4FFD1F52"/>
    <w:rsid w:val="4FFE1AB8"/>
    <w:rsid w:val="500D7F27"/>
    <w:rsid w:val="500E459E"/>
    <w:rsid w:val="50102255"/>
    <w:rsid w:val="501E6ED7"/>
    <w:rsid w:val="501F67AB"/>
    <w:rsid w:val="50210776"/>
    <w:rsid w:val="5023629C"/>
    <w:rsid w:val="50242014"/>
    <w:rsid w:val="50273554"/>
    <w:rsid w:val="502B33A2"/>
    <w:rsid w:val="502C0172"/>
    <w:rsid w:val="502E69EF"/>
    <w:rsid w:val="50373AF5"/>
    <w:rsid w:val="503A35E5"/>
    <w:rsid w:val="503C110B"/>
    <w:rsid w:val="50403E60"/>
    <w:rsid w:val="504306EC"/>
    <w:rsid w:val="5043693E"/>
    <w:rsid w:val="504A34D3"/>
    <w:rsid w:val="50555C92"/>
    <w:rsid w:val="5058366F"/>
    <w:rsid w:val="50630D8E"/>
    <w:rsid w:val="50650662"/>
    <w:rsid w:val="506B2389"/>
    <w:rsid w:val="506F7733"/>
    <w:rsid w:val="50706B6E"/>
    <w:rsid w:val="50723E43"/>
    <w:rsid w:val="50746AF7"/>
    <w:rsid w:val="507630D5"/>
    <w:rsid w:val="508A1E77"/>
    <w:rsid w:val="508D5E0B"/>
    <w:rsid w:val="508F3931"/>
    <w:rsid w:val="50903129"/>
    <w:rsid w:val="50947199"/>
    <w:rsid w:val="50964CC0"/>
    <w:rsid w:val="509B4084"/>
    <w:rsid w:val="509C7DFC"/>
    <w:rsid w:val="50AB2E92"/>
    <w:rsid w:val="50B02196"/>
    <w:rsid w:val="50B138A7"/>
    <w:rsid w:val="50BE68C4"/>
    <w:rsid w:val="50BF61EE"/>
    <w:rsid w:val="50C51101"/>
    <w:rsid w:val="50CB0986"/>
    <w:rsid w:val="50D72809"/>
    <w:rsid w:val="50D91050"/>
    <w:rsid w:val="50DB410A"/>
    <w:rsid w:val="50DE180B"/>
    <w:rsid w:val="50DE2E0E"/>
    <w:rsid w:val="50E25461"/>
    <w:rsid w:val="50EA52AF"/>
    <w:rsid w:val="50EB46B7"/>
    <w:rsid w:val="50EF2622"/>
    <w:rsid w:val="50F10148"/>
    <w:rsid w:val="510A1C5F"/>
    <w:rsid w:val="510A5E78"/>
    <w:rsid w:val="51112598"/>
    <w:rsid w:val="51165E00"/>
    <w:rsid w:val="5116753A"/>
    <w:rsid w:val="51183927"/>
    <w:rsid w:val="511B3417"/>
    <w:rsid w:val="511D2CEB"/>
    <w:rsid w:val="512322CB"/>
    <w:rsid w:val="513149E8"/>
    <w:rsid w:val="51315AFB"/>
    <w:rsid w:val="51346287"/>
    <w:rsid w:val="513C64C2"/>
    <w:rsid w:val="513D338D"/>
    <w:rsid w:val="51407A55"/>
    <w:rsid w:val="51426147"/>
    <w:rsid w:val="5148618F"/>
    <w:rsid w:val="515372C2"/>
    <w:rsid w:val="515626A1"/>
    <w:rsid w:val="515A514D"/>
    <w:rsid w:val="515E379B"/>
    <w:rsid w:val="51610292"/>
    <w:rsid w:val="51620E39"/>
    <w:rsid w:val="51663655"/>
    <w:rsid w:val="5176064D"/>
    <w:rsid w:val="517A1818"/>
    <w:rsid w:val="5180327A"/>
    <w:rsid w:val="518B5EFD"/>
    <w:rsid w:val="518C7E71"/>
    <w:rsid w:val="51905BB3"/>
    <w:rsid w:val="51935577"/>
    <w:rsid w:val="51984A67"/>
    <w:rsid w:val="519A07DF"/>
    <w:rsid w:val="519A0C31"/>
    <w:rsid w:val="519A258E"/>
    <w:rsid w:val="519F7BA4"/>
    <w:rsid w:val="51A11B6E"/>
    <w:rsid w:val="51BB60F8"/>
    <w:rsid w:val="51BD44CE"/>
    <w:rsid w:val="51C27D36"/>
    <w:rsid w:val="51C60943"/>
    <w:rsid w:val="51C64B15"/>
    <w:rsid w:val="51CB7DF7"/>
    <w:rsid w:val="51D04201"/>
    <w:rsid w:val="51D57A6A"/>
    <w:rsid w:val="51D610EC"/>
    <w:rsid w:val="51DE5488"/>
    <w:rsid w:val="51E14DAF"/>
    <w:rsid w:val="51E22514"/>
    <w:rsid w:val="51E3380D"/>
    <w:rsid w:val="51E43809"/>
    <w:rsid w:val="51E47CAD"/>
    <w:rsid w:val="51E92EB1"/>
    <w:rsid w:val="51EB2DE9"/>
    <w:rsid w:val="51EC090F"/>
    <w:rsid w:val="51F120D7"/>
    <w:rsid w:val="51F25BDA"/>
    <w:rsid w:val="51F36142"/>
    <w:rsid w:val="51F417B0"/>
    <w:rsid w:val="51FF6894"/>
    <w:rsid w:val="52036385"/>
    <w:rsid w:val="520B1EEC"/>
    <w:rsid w:val="520D3CAC"/>
    <w:rsid w:val="52112EE8"/>
    <w:rsid w:val="52171E30"/>
    <w:rsid w:val="521A6D80"/>
    <w:rsid w:val="521C2FA3"/>
    <w:rsid w:val="522400A9"/>
    <w:rsid w:val="5224647B"/>
    <w:rsid w:val="522E5EFF"/>
    <w:rsid w:val="5233567B"/>
    <w:rsid w:val="523429E2"/>
    <w:rsid w:val="52344790"/>
    <w:rsid w:val="52383B54"/>
    <w:rsid w:val="52384C20"/>
    <w:rsid w:val="523A167B"/>
    <w:rsid w:val="523A5B1F"/>
    <w:rsid w:val="52412A09"/>
    <w:rsid w:val="52481FEA"/>
    <w:rsid w:val="525B57D5"/>
    <w:rsid w:val="52643374"/>
    <w:rsid w:val="526B7A65"/>
    <w:rsid w:val="526E1544"/>
    <w:rsid w:val="527032EE"/>
    <w:rsid w:val="52733F35"/>
    <w:rsid w:val="52741030"/>
    <w:rsid w:val="527F0F58"/>
    <w:rsid w:val="52802336"/>
    <w:rsid w:val="52846D9A"/>
    <w:rsid w:val="528A0854"/>
    <w:rsid w:val="52902C3D"/>
    <w:rsid w:val="52962054"/>
    <w:rsid w:val="52993FA0"/>
    <w:rsid w:val="529A65BD"/>
    <w:rsid w:val="52A770BC"/>
    <w:rsid w:val="52B256B5"/>
    <w:rsid w:val="52B2697B"/>
    <w:rsid w:val="52B83749"/>
    <w:rsid w:val="52B94C95"/>
    <w:rsid w:val="52C14F7B"/>
    <w:rsid w:val="52C54AD3"/>
    <w:rsid w:val="52CA29FF"/>
    <w:rsid w:val="52CB6777"/>
    <w:rsid w:val="52D03D8D"/>
    <w:rsid w:val="52D7336D"/>
    <w:rsid w:val="52DB4C0C"/>
    <w:rsid w:val="52E32DFB"/>
    <w:rsid w:val="52E33AC0"/>
    <w:rsid w:val="52E76D06"/>
    <w:rsid w:val="52E820E0"/>
    <w:rsid w:val="52EB1529"/>
    <w:rsid w:val="52EC506B"/>
    <w:rsid w:val="52F60FC2"/>
    <w:rsid w:val="52FB07CD"/>
    <w:rsid w:val="52FB4C31"/>
    <w:rsid w:val="53000C99"/>
    <w:rsid w:val="530028C4"/>
    <w:rsid w:val="53052D5D"/>
    <w:rsid w:val="53053B16"/>
    <w:rsid w:val="5305612D"/>
    <w:rsid w:val="53060867"/>
    <w:rsid w:val="530E2C43"/>
    <w:rsid w:val="53193986"/>
    <w:rsid w:val="532221EC"/>
    <w:rsid w:val="532C190B"/>
    <w:rsid w:val="532C5467"/>
    <w:rsid w:val="532E7C5C"/>
    <w:rsid w:val="53317D37"/>
    <w:rsid w:val="53331309"/>
    <w:rsid w:val="533662E6"/>
    <w:rsid w:val="53395DD6"/>
    <w:rsid w:val="533F163E"/>
    <w:rsid w:val="534327B1"/>
    <w:rsid w:val="534F5434"/>
    <w:rsid w:val="53511372"/>
    <w:rsid w:val="53520DC7"/>
    <w:rsid w:val="535D1AC5"/>
    <w:rsid w:val="535E583D"/>
    <w:rsid w:val="5362532D"/>
    <w:rsid w:val="53642E53"/>
    <w:rsid w:val="536522FF"/>
    <w:rsid w:val="536E3DA0"/>
    <w:rsid w:val="536F483D"/>
    <w:rsid w:val="537155BE"/>
    <w:rsid w:val="53753C3F"/>
    <w:rsid w:val="537A08C9"/>
    <w:rsid w:val="537B63EF"/>
    <w:rsid w:val="53835884"/>
    <w:rsid w:val="538873A9"/>
    <w:rsid w:val="53887714"/>
    <w:rsid w:val="538B66AA"/>
    <w:rsid w:val="538D64AE"/>
    <w:rsid w:val="538E6122"/>
    <w:rsid w:val="53915C12"/>
    <w:rsid w:val="53933738"/>
    <w:rsid w:val="53966D85"/>
    <w:rsid w:val="539A1CC6"/>
    <w:rsid w:val="539B1FEC"/>
    <w:rsid w:val="53AB0A82"/>
    <w:rsid w:val="53B86CFB"/>
    <w:rsid w:val="53BF359C"/>
    <w:rsid w:val="53BF452D"/>
    <w:rsid w:val="53BF62DB"/>
    <w:rsid w:val="53C51035"/>
    <w:rsid w:val="53CF46F1"/>
    <w:rsid w:val="53D23A17"/>
    <w:rsid w:val="53D33B35"/>
    <w:rsid w:val="53D61AC2"/>
    <w:rsid w:val="53E05237"/>
    <w:rsid w:val="53E61ABA"/>
    <w:rsid w:val="53E977FC"/>
    <w:rsid w:val="53EB70D0"/>
    <w:rsid w:val="53EC109A"/>
    <w:rsid w:val="53EC1340"/>
    <w:rsid w:val="53EE4E13"/>
    <w:rsid w:val="53EF5335"/>
    <w:rsid w:val="53F266B1"/>
    <w:rsid w:val="53FD1061"/>
    <w:rsid w:val="53FE2C5D"/>
    <w:rsid w:val="54036E8C"/>
    <w:rsid w:val="540B1521"/>
    <w:rsid w:val="540B45EB"/>
    <w:rsid w:val="540C7DCC"/>
    <w:rsid w:val="54100745"/>
    <w:rsid w:val="541303D5"/>
    <w:rsid w:val="541859EC"/>
    <w:rsid w:val="541C1980"/>
    <w:rsid w:val="54265D9C"/>
    <w:rsid w:val="542919A7"/>
    <w:rsid w:val="542B05EA"/>
    <w:rsid w:val="542D593B"/>
    <w:rsid w:val="5435659E"/>
    <w:rsid w:val="54363D83"/>
    <w:rsid w:val="543642A3"/>
    <w:rsid w:val="54370568"/>
    <w:rsid w:val="5438608E"/>
    <w:rsid w:val="544266F6"/>
    <w:rsid w:val="54440F8A"/>
    <w:rsid w:val="54462559"/>
    <w:rsid w:val="5447393E"/>
    <w:rsid w:val="544762D1"/>
    <w:rsid w:val="544E58B1"/>
    <w:rsid w:val="544E765F"/>
    <w:rsid w:val="54505185"/>
    <w:rsid w:val="54516F77"/>
    <w:rsid w:val="5452714F"/>
    <w:rsid w:val="545455E7"/>
    <w:rsid w:val="545804DE"/>
    <w:rsid w:val="546155E5"/>
    <w:rsid w:val="54662BFB"/>
    <w:rsid w:val="5468773F"/>
    <w:rsid w:val="546B0211"/>
    <w:rsid w:val="546B77E4"/>
    <w:rsid w:val="54790B80"/>
    <w:rsid w:val="547E7DFE"/>
    <w:rsid w:val="547E7F44"/>
    <w:rsid w:val="547F6E9B"/>
    <w:rsid w:val="548449EA"/>
    <w:rsid w:val="548D1D4F"/>
    <w:rsid w:val="54930E84"/>
    <w:rsid w:val="549A0AF6"/>
    <w:rsid w:val="54A376D8"/>
    <w:rsid w:val="54A656ED"/>
    <w:rsid w:val="54B576DE"/>
    <w:rsid w:val="54BA0063"/>
    <w:rsid w:val="54BA4CF5"/>
    <w:rsid w:val="54BC0A6D"/>
    <w:rsid w:val="54BF0B57"/>
    <w:rsid w:val="54BF3BF4"/>
    <w:rsid w:val="54C0055D"/>
    <w:rsid w:val="54C1058A"/>
    <w:rsid w:val="54C14F0D"/>
    <w:rsid w:val="54C4716B"/>
    <w:rsid w:val="54C618EB"/>
    <w:rsid w:val="54C87412"/>
    <w:rsid w:val="54CA318A"/>
    <w:rsid w:val="54CC4A06"/>
    <w:rsid w:val="54D062C6"/>
    <w:rsid w:val="54D222B5"/>
    <w:rsid w:val="54D651D3"/>
    <w:rsid w:val="54D933CD"/>
    <w:rsid w:val="54DA4AA4"/>
    <w:rsid w:val="54DB5397"/>
    <w:rsid w:val="54DE09E3"/>
    <w:rsid w:val="54E65AEA"/>
    <w:rsid w:val="54E9056E"/>
    <w:rsid w:val="54E91662"/>
    <w:rsid w:val="54ED0C26"/>
    <w:rsid w:val="54F241C6"/>
    <w:rsid w:val="54F41FB5"/>
    <w:rsid w:val="54FF095A"/>
    <w:rsid w:val="55007D25"/>
    <w:rsid w:val="55026D58"/>
    <w:rsid w:val="55032DA2"/>
    <w:rsid w:val="55033852"/>
    <w:rsid w:val="55083CB2"/>
    <w:rsid w:val="551B39E5"/>
    <w:rsid w:val="55202DAA"/>
    <w:rsid w:val="55266AFD"/>
    <w:rsid w:val="552B2900"/>
    <w:rsid w:val="552F7491"/>
    <w:rsid w:val="55342CF9"/>
    <w:rsid w:val="553774BF"/>
    <w:rsid w:val="553E76D4"/>
    <w:rsid w:val="55472A2C"/>
    <w:rsid w:val="554C3B9F"/>
    <w:rsid w:val="554D5A93"/>
    <w:rsid w:val="555344AC"/>
    <w:rsid w:val="555B416B"/>
    <w:rsid w:val="555D3FFE"/>
    <w:rsid w:val="555D5DAC"/>
    <w:rsid w:val="55651104"/>
    <w:rsid w:val="55652449"/>
    <w:rsid w:val="55676C2B"/>
    <w:rsid w:val="556D2820"/>
    <w:rsid w:val="556E620B"/>
    <w:rsid w:val="557A4846"/>
    <w:rsid w:val="557E3078"/>
    <w:rsid w:val="55801A9A"/>
    <w:rsid w:val="55803C7C"/>
    <w:rsid w:val="55817E97"/>
    <w:rsid w:val="558477DD"/>
    <w:rsid w:val="55884D97"/>
    <w:rsid w:val="558D0D0C"/>
    <w:rsid w:val="558E065B"/>
    <w:rsid w:val="55943798"/>
    <w:rsid w:val="55986DE4"/>
    <w:rsid w:val="559B2B61"/>
    <w:rsid w:val="55A27C63"/>
    <w:rsid w:val="55A313F0"/>
    <w:rsid w:val="55A35789"/>
    <w:rsid w:val="55AC0AE1"/>
    <w:rsid w:val="55B0022C"/>
    <w:rsid w:val="55B13C89"/>
    <w:rsid w:val="55B47996"/>
    <w:rsid w:val="55B55BE8"/>
    <w:rsid w:val="55B856D8"/>
    <w:rsid w:val="55BD2CEE"/>
    <w:rsid w:val="55BF0815"/>
    <w:rsid w:val="55C220B3"/>
    <w:rsid w:val="55C446F2"/>
    <w:rsid w:val="55CC6FE2"/>
    <w:rsid w:val="55CF657E"/>
    <w:rsid w:val="55D32512"/>
    <w:rsid w:val="55D53CA2"/>
    <w:rsid w:val="55DA564E"/>
    <w:rsid w:val="55E069DD"/>
    <w:rsid w:val="55E07080"/>
    <w:rsid w:val="55E55DA1"/>
    <w:rsid w:val="55E77187"/>
    <w:rsid w:val="55EA4E82"/>
    <w:rsid w:val="55EA540F"/>
    <w:rsid w:val="55F3226C"/>
    <w:rsid w:val="55F40AF9"/>
    <w:rsid w:val="55F86103"/>
    <w:rsid w:val="55FA184D"/>
    <w:rsid w:val="55FA4843"/>
    <w:rsid w:val="56004989"/>
    <w:rsid w:val="56013A34"/>
    <w:rsid w:val="56075D18"/>
    <w:rsid w:val="56076719"/>
    <w:rsid w:val="56093B80"/>
    <w:rsid w:val="560A5808"/>
    <w:rsid w:val="560F10BE"/>
    <w:rsid w:val="56101070"/>
    <w:rsid w:val="561346BC"/>
    <w:rsid w:val="561A1EEF"/>
    <w:rsid w:val="561D1AA7"/>
    <w:rsid w:val="56262642"/>
    <w:rsid w:val="562B40FC"/>
    <w:rsid w:val="562C4BF8"/>
    <w:rsid w:val="562D5032"/>
    <w:rsid w:val="562E7748"/>
    <w:rsid w:val="56321E8D"/>
    <w:rsid w:val="56334D5F"/>
    <w:rsid w:val="563715A5"/>
    <w:rsid w:val="563B3C13"/>
    <w:rsid w:val="563B55FC"/>
    <w:rsid w:val="5641747C"/>
    <w:rsid w:val="56497633"/>
    <w:rsid w:val="56554CD5"/>
    <w:rsid w:val="565624EC"/>
    <w:rsid w:val="565E0EBF"/>
    <w:rsid w:val="565E46E5"/>
    <w:rsid w:val="566C7AB9"/>
    <w:rsid w:val="566D46EA"/>
    <w:rsid w:val="567333AD"/>
    <w:rsid w:val="56755377"/>
    <w:rsid w:val="567809C3"/>
    <w:rsid w:val="567A298E"/>
    <w:rsid w:val="567F61F6"/>
    <w:rsid w:val="56801DAF"/>
    <w:rsid w:val="56814E3E"/>
    <w:rsid w:val="568630E0"/>
    <w:rsid w:val="568C1C4C"/>
    <w:rsid w:val="568D446F"/>
    <w:rsid w:val="569A3030"/>
    <w:rsid w:val="569F0646"/>
    <w:rsid w:val="56A3515A"/>
    <w:rsid w:val="56A63783"/>
    <w:rsid w:val="56A812A9"/>
    <w:rsid w:val="56A87492"/>
    <w:rsid w:val="56AB0D99"/>
    <w:rsid w:val="56B04864"/>
    <w:rsid w:val="56B155BA"/>
    <w:rsid w:val="56B24336"/>
    <w:rsid w:val="56B26484"/>
    <w:rsid w:val="56B37C4E"/>
    <w:rsid w:val="56B714EC"/>
    <w:rsid w:val="56B91708"/>
    <w:rsid w:val="56C47577"/>
    <w:rsid w:val="56CB31E9"/>
    <w:rsid w:val="56CB4F97"/>
    <w:rsid w:val="56D007FF"/>
    <w:rsid w:val="56D05B1A"/>
    <w:rsid w:val="56D24578"/>
    <w:rsid w:val="56D46542"/>
    <w:rsid w:val="56D73355"/>
    <w:rsid w:val="56DC71A4"/>
    <w:rsid w:val="56DC7584"/>
    <w:rsid w:val="56E147BB"/>
    <w:rsid w:val="56E2065A"/>
    <w:rsid w:val="56E44B68"/>
    <w:rsid w:val="56E86734"/>
    <w:rsid w:val="56F05266"/>
    <w:rsid w:val="56F05B65"/>
    <w:rsid w:val="56F73FDE"/>
    <w:rsid w:val="56F95FA8"/>
    <w:rsid w:val="56FC33A3"/>
    <w:rsid w:val="56FE5CEA"/>
    <w:rsid w:val="56FF2E93"/>
    <w:rsid w:val="57044CE4"/>
    <w:rsid w:val="570D55B0"/>
    <w:rsid w:val="571132F2"/>
    <w:rsid w:val="5711443D"/>
    <w:rsid w:val="571C2419"/>
    <w:rsid w:val="5721105B"/>
    <w:rsid w:val="572556CD"/>
    <w:rsid w:val="57266671"/>
    <w:rsid w:val="572C6AC1"/>
    <w:rsid w:val="572F5526"/>
    <w:rsid w:val="57325016"/>
    <w:rsid w:val="57342B3C"/>
    <w:rsid w:val="574006D8"/>
    <w:rsid w:val="574216FD"/>
    <w:rsid w:val="574436DA"/>
    <w:rsid w:val="574D1E50"/>
    <w:rsid w:val="574D3BFE"/>
    <w:rsid w:val="576511D6"/>
    <w:rsid w:val="576E4F6A"/>
    <w:rsid w:val="577251EF"/>
    <w:rsid w:val="57811AFA"/>
    <w:rsid w:val="57877110"/>
    <w:rsid w:val="57884570"/>
    <w:rsid w:val="578F1B87"/>
    <w:rsid w:val="57923D07"/>
    <w:rsid w:val="57993DB8"/>
    <w:rsid w:val="579D4B86"/>
    <w:rsid w:val="579E26AC"/>
    <w:rsid w:val="579F66F9"/>
    <w:rsid w:val="57A053C8"/>
    <w:rsid w:val="57A06424"/>
    <w:rsid w:val="57A17F6F"/>
    <w:rsid w:val="57A9177C"/>
    <w:rsid w:val="57AC4DC9"/>
    <w:rsid w:val="57B3519B"/>
    <w:rsid w:val="57B91294"/>
    <w:rsid w:val="57C230F2"/>
    <w:rsid w:val="57C522C8"/>
    <w:rsid w:val="57CE11E3"/>
    <w:rsid w:val="57D04F5B"/>
    <w:rsid w:val="57DA1DD8"/>
    <w:rsid w:val="57DF519E"/>
    <w:rsid w:val="57E5652D"/>
    <w:rsid w:val="57E6073C"/>
    <w:rsid w:val="57E667C2"/>
    <w:rsid w:val="57EC78BB"/>
    <w:rsid w:val="57EE10A0"/>
    <w:rsid w:val="57EF2F07"/>
    <w:rsid w:val="57F137DF"/>
    <w:rsid w:val="57F363AE"/>
    <w:rsid w:val="57F549C2"/>
    <w:rsid w:val="57F616F8"/>
    <w:rsid w:val="57FA25B2"/>
    <w:rsid w:val="57FB7AFE"/>
    <w:rsid w:val="57FF592C"/>
    <w:rsid w:val="58030761"/>
    <w:rsid w:val="580A7D41"/>
    <w:rsid w:val="580C5867"/>
    <w:rsid w:val="5813167F"/>
    <w:rsid w:val="5814471C"/>
    <w:rsid w:val="581A5993"/>
    <w:rsid w:val="581B1E8F"/>
    <w:rsid w:val="581D5CC6"/>
    <w:rsid w:val="582146E8"/>
    <w:rsid w:val="58240BB0"/>
    <w:rsid w:val="58276B45"/>
    <w:rsid w:val="582C5F09"/>
    <w:rsid w:val="58367D02"/>
    <w:rsid w:val="5838610A"/>
    <w:rsid w:val="583B7EFB"/>
    <w:rsid w:val="58450D79"/>
    <w:rsid w:val="584741BA"/>
    <w:rsid w:val="584A6390"/>
    <w:rsid w:val="584A7878"/>
    <w:rsid w:val="585119A0"/>
    <w:rsid w:val="58555460"/>
    <w:rsid w:val="5858416E"/>
    <w:rsid w:val="585B22AC"/>
    <w:rsid w:val="585E737D"/>
    <w:rsid w:val="586438F5"/>
    <w:rsid w:val="58655279"/>
    <w:rsid w:val="586A008D"/>
    <w:rsid w:val="586A5482"/>
    <w:rsid w:val="586C58ED"/>
    <w:rsid w:val="58711416"/>
    <w:rsid w:val="58782BD5"/>
    <w:rsid w:val="58782F40"/>
    <w:rsid w:val="587F2E2E"/>
    <w:rsid w:val="587F6039"/>
    <w:rsid w:val="58847AF3"/>
    <w:rsid w:val="588E44CE"/>
    <w:rsid w:val="588E7F0C"/>
    <w:rsid w:val="58937D37"/>
    <w:rsid w:val="58943C72"/>
    <w:rsid w:val="58975328"/>
    <w:rsid w:val="589870FB"/>
    <w:rsid w:val="589A2E73"/>
    <w:rsid w:val="58A91308"/>
    <w:rsid w:val="58A91703"/>
    <w:rsid w:val="58A9755A"/>
    <w:rsid w:val="58AF4966"/>
    <w:rsid w:val="58B008E9"/>
    <w:rsid w:val="58B23F52"/>
    <w:rsid w:val="58B2640F"/>
    <w:rsid w:val="58BD6B62"/>
    <w:rsid w:val="58C22DB6"/>
    <w:rsid w:val="58C93758"/>
    <w:rsid w:val="58CC3AE5"/>
    <w:rsid w:val="58CC445F"/>
    <w:rsid w:val="58CF10C2"/>
    <w:rsid w:val="58CF4B19"/>
    <w:rsid w:val="58D2085F"/>
    <w:rsid w:val="58D66C97"/>
    <w:rsid w:val="58D85297"/>
    <w:rsid w:val="58DF3A45"/>
    <w:rsid w:val="58E060AC"/>
    <w:rsid w:val="58E20B05"/>
    <w:rsid w:val="58E90679"/>
    <w:rsid w:val="58E91760"/>
    <w:rsid w:val="58EA3B78"/>
    <w:rsid w:val="58F3077A"/>
    <w:rsid w:val="58F76517"/>
    <w:rsid w:val="58F846B0"/>
    <w:rsid w:val="58FA791D"/>
    <w:rsid w:val="58FA7DB6"/>
    <w:rsid w:val="58FF53CC"/>
    <w:rsid w:val="590B5B1F"/>
    <w:rsid w:val="59101387"/>
    <w:rsid w:val="59117099"/>
    <w:rsid w:val="59140E77"/>
    <w:rsid w:val="591730EE"/>
    <w:rsid w:val="591C1ADA"/>
    <w:rsid w:val="592117E6"/>
    <w:rsid w:val="592728D0"/>
    <w:rsid w:val="592866D1"/>
    <w:rsid w:val="592F5CB1"/>
    <w:rsid w:val="59307500"/>
    <w:rsid w:val="593376EE"/>
    <w:rsid w:val="593405B4"/>
    <w:rsid w:val="59345076"/>
    <w:rsid w:val="59411541"/>
    <w:rsid w:val="59450924"/>
    <w:rsid w:val="594F0101"/>
    <w:rsid w:val="5952374E"/>
    <w:rsid w:val="5954396A"/>
    <w:rsid w:val="59562AC9"/>
    <w:rsid w:val="59570D64"/>
    <w:rsid w:val="595841BC"/>
    <w:rsid w:val="59591F99"/>
    <w:rsid w:val="595F34BE"/>
    <w:rsid w:val="596800DE"/>
    <w:rsid w:val="596A0A97"/>
    <w:rsid w:val="596C2A61"/>
    <w:rsid w:val="596D4A2C"/>
    <w:rsid w:val="59722042"/>
    <w:rsid w:val="59741916"/>
    <w:rsid w:val="59796F2C"/>
    <w:rsid w:val="598002BB"/>
    <w:rsid w:val="59853183"/>
    <w:rsid w:val="598A2EE8"/>
    <w:rsid w:val="598D0B5D"/>
    <w:rsid w:val="598F04FE"/>
    <w:rsid w:val="5991500E"/>
    <w:rsid w:val="59993B83"/>
    <w:rsid w:val="599A6850"/>
    <w:rsid w:val="599D0CE2"/>
    <w:rsid w:val="599D71ED"/>
    <w:rsid w:val="59A246D5"/>
    <w:rsid w:val="59AA3524"/>
    <w:rsid w:val="59AB01F8"/>
    <w:rsid w:val="59B241EC"/>
    <w:rsid w:val="59B61F2F"/>
    <w:rsid w:val="59BE0DE3"/>
    <w:rsid w:val="59C02DAD"/>
    <w:rsid w:val="59C13501"/>
    <w:rsid w:val="59C81C62"/>
    <w:rsid w:val="59CA59DA"/>
    <w:rsid w:val="59CA7788"/>
    <w:rsid w:val="59CC3500"/>
    <w:rsid w:val="59D46859"/>
    <w:rsid w:val="59DE5F7A"/>
    <w:rsid w:val="59E009DF"/>
    <w:rsid w:val="59E545C2"/>
    <w:rsid w:val="59EA607C"/>
    <w:rsid w:val="59EC5950"/>
    <w:rsid w:val="59EE16C8"/>
    <w:rsid w:val="59FE1569"/>
    <w:rsid w:val="5A010301"/>
    <w:rsid w:val="5A025209"/>
    <w:rsid w:val="5A026F22"/>
    <w:rsid w:val="5A04713E"/>
    <w:rsid w:val="5A0F4038"/>
    <w:rsid w:val="5A0F5801"/>
    <w:rsid w:val="5A107ABE"/>
    <w:rsid w:val="5A13112F"/>
    <w:rsid w:val="5A1874CA"/>
    <w:rsid w:val="5A19731B"/>
    <w:rsid w:val="5A1F3552"/>
    <w:rsid w:val="5A206A87"/>
    <w:rsid w:val="5A307F33"/>
    <w:rsid w:val="5A3D61AC"/>
    <w:rsid w:val="5A40464D"/>
    <w:rsid w:val="5A490FF5"/>
    <w:rsid w:val="5A4D28A3"/>
    <w:rsid w:val="5A5804C2"/>
    <w:rsid w:val="5A5906B0"/>
    <w:rsid w:val="5A5A759F"/>
    <w:rsid w:val="5A5B2AD6"/>
    <w:rsid w:val="5A5D05FC"/>
    <w:rsid w:val="5A6000EC"/>
    <w:rsid w:val="5A626832"/>
    <w:rsid w:val="5A634414"/>
    <w:rsid w:val="5A694668"/>
    <w:rsid w:val="5A6951F3"/>
    <w:rsid w:val="5A6C62B6"/>
    <w:rsid w:val="5A736072"/>
    <w:rsid w:val="5A737E20"/>
    <w:rsid w:val="5A7871E4"/>
    <w:rsid w:val="5A797AC8"/>
    <w:rsid w:val="5A7B52FD"/>
    <w:rsid w:val="5A843DDB"/>
    <w:rsid w:val="5A846733"/>
    <w:rsid w:val="5A851901"/>
    <w:rsid w:val="5A8873FA"/>
    <w:rsid w:val="5A8B5169"/>
    <w:rsid w:val="5A8E0F8A"/>
    <w:rsid w:val="5A8E2EAB"/>
    <w:rsid w:val="5A957D96"/>
    <w:rsid w:val="5A971D60"/>
    <w:rsid w:val="5A9A35FE"/>
    <w:rsid w:val="5A9C7376"/>
    <w:rsid w:val="5AA41CEA"/>
    <w:rsid w:val="5AAB4CAC"/>
    <w:rsid w:val="5AAC50E0"/>
    <w:rsid w:val="5AB521E6"/>
    <w:rsid w:val="5AB84CD0"/>
    <w:rsid w:val="5ABC4C97"/>
    <w:rsid w:val="5AD308BE"/>
    <w:rsid w:val="5AD71A0E"/>
    <w:rsid w:val="5AE96B71"/>
    <w:rsid w:val="5AF4295F"/>
    <w:rsid w:val="5AFE1E47"/>
    <w:rsid w:val="5B0311A3"/>
    <w:rsid w:val="5B0D4C47"/>
    <w:rsid w:val="5B0F5D9A"/>
    <w:rsid w:val="5B1213E7"/>
    <w:rsid w:val="5B185030"/>
    <w:rsid w:val="5B197287"/>
    <w:rsid w:val="5B1A4923"/>
    <w:rsid w:val="5B1C0BF1"/>
    <w:rsid w:val="5B1F1A1A"/>
    <w:rsid w:val="5B215ACE"/>
    <w:rsid w:val="5B297AED"/>
    <w:rsid w:val="5B2A2BD4"/>
    <w:rsid w:val="5B2F01EA"/>
    <w:rsid w:val="5B31562C"/>
    <w:rsid w:val="5B317840"/>
    <w:rsid w:val="5B323837"/>
    <w:rsid w:val="5B353327"/>
    <w:rsid w:val="5B372BFB"/>
    <w:rsid w:val="5B3C46B5"/>
    <w:rsid w:val="5B4377F2"/>
    <w:rsid w:val="5B461090"/>
    <w:rsid w:val="5B490B80"/>
    <w:rsid w:val="5B4D241F"/>
    <w:rsid w:val="5B503CBD"/>
    <w:rsid w:val="5B5E287E"/>
    <w:rsid w:val="5B603121"/>
    <w:rsid w:val="5B653C0C"/>
    <w:rsid w:val="5B661732"/>
    <w:rsid w:val="5B687259"/>
    <w:rsid w:val="5B6D2AC1"/>
    <w:rsid w:val="5B6E5289"/>
    <w:rsid w:val="5B6F6839"/>
    <w:rsid w:val="5B745BFD"/>
    <w:rsid w:val="5B7756EE"/>
    <w:rsid w:val="5B793214"/>
    <w:rsid w:val="5B834000"/>
    <w:rsid w:val="5B834092"/>
    <w:rsid w:val="5B8B17A8"/>
    <w:rsid w:val="5B9242D5"/>
    <w:rsid w:val="5B9718EC"/>
    <w:rsid w:val="5B9A5144"/>
    <w:rsid w:val="5BA24019"/>
    <w:rsid w:val="5BA455C9"/>
    <w:rsid w:val="5BA7102D"/>
    <w:rsid w:val="5BA760CF"/>
    <w:rsid w:val="5BAD110F"/>
    <w:rsid w:val="5BB04C19"/>
    <w:rsid w:val="5BB75007"/>
    <w:rsid w:val="5BB93C0A"/>
    <w:rsid w:val="5BBC1352"/>
    <w:rsid w:val="5BBE331C"/>
    <w:rsid w:val="5BBF0F6C"/>
    <w:rsid w:val="5BC2352E"/>
    <w:rsid w:val="5BC40D19"/>
    <w:rsid w:val="5BD40D92"/>
    <w:rsid w:val="5BD82D8B"/>
    <w:rsid w:val="5BDB5C7C"/>
    <w:rsid w:val="5BDC5041"/>
    <w:rsid w:val="5BDD5BE0"/>
    <w:rsid w:val="5BDF0C1F"/>
    <w:rsid w:val="5BE07737"/>
    <w:rsid w:val="5BE54D4D"/>
    <w:rsid w:val="5BE75664"/>
    <w:rsid w:val="5BEC60DC"/>
    <w:rsid w:val="5BF07808"/>
    <w:rsid w:val="5BFB631F"/>
    <w:rsid w:val="5C006922"/>
    <w:rsid w:val="5C043425"/>
    <w:rsid w:val="5C052CF9"/>
    <w:rsid w:val="5C0827EA"/>
    <w:rsid w:val="5C25291D"/>
    <w:rsid w:val="5C2E04A2"/>
    <w:rsid w:val="5C3242F4"/>
    <w:rsid w:val="5C356411"/>
    <w:rsid w:val="5C3C0A7C"/>
    <w:rsid w:val="5C4750C0"/>
    <w:rsid w:val="5C4F0418"/>
    <w:rsid w:val="5C553C81"/>
    <w:rsid w:val="5C5B07B6"/>
    <w:rsid w:val="5C5D6E1A"/>
    <w:rsid w:val="5C62639E"/>
    <w:rsid w:val="5C6331CF"/>
    <w:rsid w:val="5C6429DB"/>
    <w:rsid w:val="5C65130B"/>
    <w:rsid w:val="5C661155"/>
    <w:rsid w:val="5C6A3CA3"/>
    <w:rsid w:val="5C7051AA"/>
    <w:rsid w:val="5C7252D6"/>
    <w:rsid w:val="5C76637A"/>
    <w:rsid w:val="5C8408F0"/>
    <w:rsid w:val="5C890EC5"/>
    <w:rsid w:val="5C8E0F41"/>
    <w:rsid w:val="5C910A31"/>
    <w:rsid w:val="5C915E6B"/>
    <w:rsid w:val="5C983B6D"/>
    <w:rsid w:val="5C9D6E9D"/>
    <w:rsid w:val="5CA02A22"/>
    <w:rsid w:val="5CA16EC6"/>
    <w:rsid w:val="5CA6628A"/>
    <w:rsid w:val="5CA70254"/>
    <w:rsid w:val="5CAA564F"/>
    <w:rsid w:val="5CAD7A90"/>
    <w:rsid w:val="5CB87D6C"/>
    <w:rsid w:val="5CBD1826"/>
    <w:rsid w:val="5CBD35D4"/>
    <w:rsid w:val="5CC6692D"/>
    <w:rsid w:val="5CC826A5"/>
    <w:rsid w:val="5CC95398"/>
    <w:rsid w:val="5CCA2861"/>
    <w:rsid w:val="5CCB3F43"/>
    <w:rsid w:val="5CCC30BE"/>
    <w:rsid w:val="5CD5091E"/>
    <w:rsid w:val="5CD64696"/>
    <w:rsid w:val="5CD942BD"/>
    <w:rsid w:val="5CDB2B0E"/>
    <w:rsid w:val="5CDD77D2"/>
    <w:rsid w:val="5CE60412"/>
    <w:rsid w:val="5CE71579"/>
    <w:rsid w:val="5CE96177"/>
    <w:rsid w:val="5CF27722"/>
    <w:rsid w:val="5CF3349A"/>
    <w:rsid w:val="5CF36FF6"/>
    <w:rsid w:val="5CF66C45"/>
    <w:rsid w:val="5CF75F03"/>
    <w:rsid w:val="5D017965"/>
    <w:rsid w:val="5D021747"/>
    <w:rsid w:val="5D032978"/>
    <w:rsid w:val="5D072AA1"/>
    <w:rsid w:val="5D096819"/>
    <w:rsid w:val="5D0B07E3"/>
    <w:rsid w:val="5D0B2591"/>
    <w:rsid w:val="5D1268DC"/>
    <w:rsid w:val="5D160D00"/>
    <w:rsid w:val="5D170F36"/>
    <w:rsid w:val="5D186A5C"/>
    <w:rsid w:val="5D211DB5"/>
    <w:rsid w:val="5D271C04"/>
    <w:rsid w:val="5D283143"/>
    <w:rsid w:val="5D296EBB"/>
    <w:rsid w:val="5D2B2C34"/>
    <w:rsid w:val="5D373386"/>
    <w:rsid w:val="5D3A2CBD"/>
    <w:rsid w:val="5D3A4C25"/>
    <w:rsid w:val="5D3B4B36"/>
    <w:rsid w:val="5D3E3525"/>
    <w:rsid w:val="5D4055D5"/>
    <w:rsid w:val="5D437F7D"/>
    <w:rsid w:val="5D47329A"/>
    <w:rsid w:val="5D487342"/>
    <w:rsid w:val="5D4D68D3"/>
    <w:rsid w:val="5D500721"/>
    <w:rsid w:val="5D5932FD"/>
    <w:rsid w:val="5D5C103F"/>
    <w:rsid w:val="5D602572"/>
    <w:rsid w:val="5D641CA2"/>
    <w:rsid w:val="5D643286"/>
    <w:rsid w:val="5D683540"/>
    <w:rsid w:val="5D6952E9"/>
    <w:rsid w:val="5D6A41D1"/>
    <w:rsid w:val="5D6B7618"/>
    <w:rsid w:val="5D752101"/>
    <w:rsid w:val="5D796643"/>
    <w:rsid w:val="5D7C348F"/>
    <w:rsid w:val="5D850596"/>
    <w:rsid w:val="5D8808CC"/>
    <w:rsid w:val="5D88469E"/>
    <w:rsid w:val="5D9253EA"/>
    <w:rsid w:val="5D932533"/>
    <w:rsid w:val="5D944335"/>
    <w:rsid w:val="5D9541F5"/>
    <w:rsid w:val="5D9654FD"/>
    <w:rsid w:val="5D9A45CF"/>
    <w:rsid w:val="5D9A56C3"/>
    <w:rsid w:val="5D9E1E23"/>
    <w:rsid w:val="5DA12EF6"/>
    <w:rsid w:val="5DA15CA9"/>
    <w:rsid w:val="5DAC2B03"/>
    <w:rsid w:val="5DB91FED"/>
    <w:rsid w:val="5DBE6B2B"/>
    <w:rsid w:val="5DC45A64"/>
    <w:rsid w:val="5DC65CED"/>
    <w:rsid w:val="5DC974FF"/>
    <w:rsid w:val="5DCA7D57"/>
    <w:rsid w:val="5DCF5727"/>
    <w:rsid w:val="5DD15589"/>
    <w:rsid w:val="5DD72473"/>
    <w:rsid w:val="5DDE4A00"/>
    <w:rsid w:val="5DEC14F9"/>
    <w:rsid w:val="5DF24A59"/>
    <w:rsid w:val="5DF50B4C"/>
    <w:rsid w:val="5DF71957"/>
    <w:rsid w:val="5DFB44CF"/>
    <w:rsid w:val="5DFC1EDA"/>
    <w:rsid w:val="5E0027C9"/>
    <w:rsid w:val="5E005E6E"/>
    <w:rsid w:val="5E053485"/>
    <w:rsid w:val="5E057F21"/>
    <w:rsid w:val="5E0C419E"/>
    <w:rsid w:val="5E0D40E7"/>
    <w:rsid w:val="5E167440"/>
    <w:rsid w:val="5E18068B"/>
    <w:rsid w:val="5E182D61"/>
    <w:rsid w:val="5E1A091A"/>
    <w:rsid w:val="5E1B6804"/>
    <w:rsid w:val="5E1D07CE"/>
    <w:rsid w:val="5E1E62F4"/>
    <w:rsid w:val="5E1E6518"/>
    <w:rsid w:val="5E227B93"/>
    <w:rsid w:val="5E231B5D"/>
    <w:rsid w:val="5E2733FB"/>
    <w:rsid w:val="5E2F22B0"/>
    <w:rsid w:val="5E31427A"/>
    <w:rsid w:val="5E393B47"/>
    <w:rsid w:val="5E3D2C1E"/>
    <w:rsid w:val="5E421FE3"/>
    <w:rsid w:val="5E437B09"/>
    <w:rsid w:val="5E4B74CC"/>
    <w:rsid w:val="5E512226"/>
    <w:rsid w:val="5E632320"/>
    <w:rsid w:val="5E637B28"/>
    <w:rsid w:val="5E6E102A"/>
    <w:rsid w:val="5E7062EB"/>
    <w:rsid w:val="5E7423B8"/>
    <w:rsid w:val="5E7864D5"/>
    <w:rsid w:val="5E79352B"/>
    <w:rsid w:val="5E7E040C"/>
    <w:rsid w:val="5E82104B"/>
    <w:rsid w:val="5E824AD5"/>
    <w:rsid w:val="5E8425FB"/>
    <w:rsid w:val="5E8545C5"/>
    <w:rsid w:val="5E8B0390"/>
    <w:rsid w:val="5E9268B6"/>
    <w:rsid w:val="5E965D3E"/>
    <w:rsid w:val="5E9A35A4"/>
    <w:rsid w:val="5E9C496B"/>
    <w:rsid w:val="5EA0677E"/>
    <w:rsid w:val="5EAF5C0D"/>
    <w:rsid w:val="5EB15DCF"/>
    <w:rsid w:val="5EBF1885"/>
    <w:rsid w:val="5EC023C8"/>
    <w:rsid w:val="5EC549C2"/>
    <w:rsid w:val="5ED370DF"/>
    <w:rsid w:val="5ED56729"/>
    <w:rsid w:val="5ED846F5"/>
    <w:rsid w:val="5ED97AB4"/>
    <w:rsid w:val="5EDB5F93"/>
    <w:rsid w:val="5EE017FC"/>
    <w:rsid w:val="5EE33737"/>
    <w:rsid w:val="5EE4309A"/>
    <w:rsid w:val="5EE66E12"/>
    <w:rsid w:val="5EE72B8A"/>
    <w:rsid w:val="5EF05EE3"/>
    <w:rsid w:val="5EFF6126"/>
    <w:rsid w:val="5F011E9E"/>
    <w:rsid w:val="5F0320CC"/>
    <w:rsid w:val="5F045E54"/>
    <w:rsid w:val="5F096992"/>
    <w:rsid w:val="5F0F0333"/>
    <w:rsid w:val="5F11699A"/>
    <w:rsid w:val="5F1216B0"/>
    <w:rsid w:val="5F152189"/>
    <w:rsid w:val="5F2E11E0"/>
    <w:rsid w:val="5F2E6A0B"/>
    <w:rsid w:val="5F39195F"/>
    <w:rsid w:val="5F4955F3"/>
    <w:rsid w:val="5F4F4822"/>
    <w:rsid w:val="5F555D46"/>
    <w:rsid w:val="5F56374D"/>
    <w:rsid w:val="5F5875E4"/>
    <w:rsid w:val="5F592AFE"/>
    <w:rsid w:val="5F5F0972"/>
    <w:rsid w:val="5F603116"/>
    <w:rsid w:val="5F61293D"/>
    <w:rsid w:val="5F675F94"/>
    <w:rsid w:val="5F6956F4"/>
    <w:rsid w:val="5F6B7317"/>
    <w:rsid w:val="5F7206A6"/>
    <w:rsid w:val="5F74227E"/>
    <w:rsid w:val="5F7563E8"/>
    <w:rsid w:val="5F781A34"/>
    <w:rsid w:val="5F7A39FE"/>
    <w:rsid w:val="5F7F7267"/>
    <w:rsid w:val="5F83500A"/>
    <w:rsid w:val="5F851089"/>
    <w:rsid w:val="5F8605F5"/>
    <w:rsid w:val="5F887EC9"/>
    <w:rsid w:val="5F8D1984"/>
    <w:rsid w:val="5F8D2302"/>
    <w:rsid w:val="5F8D3732"/>
    <w:rsid w:val="5F8D54E0"/>
    <w:rsid w:val="5F9A19AB"/>
    <w:rsid w:val="5FAB54BD"/>
    <w:rsid w:val="5FAF21C4"/>
    <w:rsid w:val="5FB54A36"/>
    <w:rsid w:val="5FB96E19"/>
    <w:rsid w:val="5FBB34A5"/>
    <w:rsid w:val="5FBF6F73"/>
    <w:rsid w:val="5FC37153"/>
    <w:rsid w:val="5FD40C2B"/>
    <w:rsid w:val="5FD90725"/>
    <w:rsid w:val="5FDA76B5"/>
    <w:rsid w:val="5FDB1B0B"/>
    <w:rsid w:val="5FDE5D3B"/>
    <w:rsid w:val="5FEA46E0"/>
    <w:rsid w:val="5FEB66AA"/>
    <w:rsid w:val="5FEC13E2"/>
    <w:rsid w:val="5FED2422"/>
    <w:rsid w:val="5FF46D9D"/>
    <w:rsid w:val="5FF66356"/>
    <w:rsid w:val="5FF925BA"/>
    <w:rsid w:val="5FFB4B3F"/>
    <w:rsid w:val="5FFE1F39"/>
    <w:rsid w:val="6001133A"/>
    <w:rsid w:val="60011A2A"/>
    <w:rsid w:val="600339F4"/>
    <w:rsid w:val="60065292"/>
    <w:rsid w:val="60082DB8"/>
    <w:rsid w:val="600B4656"/>
    <w:rsid w:val="60123C37"/>
    <w:rsid w:val="60151855"/>
    <w:rsid w:val="6017749F"/>
    <w:rsid w:val="601A3622"/>
    <w:rsid w:val="60200102"/>
    <w:rsid w:val="602045A6"/>
    <w:rsid w:val="602C1457"/>
    <w:rsid w:val="60335F84"/>
    <w:rsid w:val="603C5210"/>
    <w:rsid w:val="603F12DC"/>
    <w:rsid w:val="60427B6A"/>
    <w:rsid w:val="604A797B"/>
    <w:rsid w:val="604F067B"/>
    <w:rsid w:val="604F641A"/>
    <w:rsid w:val="60535CFF"/>
    <w:rsid w:val="60566219"/>
    <w:rsid w:val="60581E83"/>
    <w:rsid w:val="605D3104"/>
    <w:rsid w:val="605E6E7C"/>
    <w:rsid w:val="60602BF4"/>
    <w:rsid w:val="606326E4"/>
    <w:rsid w:val="60780B91"/>
    <w:rsid w:val="60856987"/>
    <w:rsid w:val="608F34D9"/>
    <w:rsid w:val="608F6063"/>
    <w:rsid w:val="608F6263"/>
    <w:rsid w:val="60956D42"/>
    <w:rsid w:val="6098238E"/>
    <w:rsid w:val="609868E2"/>
    <w:rsid w:val="609B59DA"/>
    <w:rsid w:val="60A70F0A"/>
    <w:rsid w:val="60A97045"/>
    <w:rsid w:val="60AA20C1"/>
    <w:rsid w:val="60AF76D8"/>
    <w:rsid w:val="60B71EB3"/>
    <w:rsid w:val="60B761EE"/>
    <w:rsid w:val="60BB36EA"/>
    <w:rsid w:val="60BC4873"/>
    <w:rsid w:val="60BD0047"/>
    <w:rsid w:val="60BF5B6D"/>
    <w:rsid w:val="60C74A21"/>
    <w:rsid w:val="60D30F0E"/>
    <w:rsid w:val="60D3721E"/>
    <w:rsid w:val="60D44B41"/>
    <w:rsid w:val="60D91DC2"/>
    <w:rsid w:val="60DB04CD"/>
    <w:rsid w:val="60DB227B"/>
    <w:rsid w:val="60DF22ED"/>
    <w:rsid w:val="60E05AE3"/>
    <w:rsid w:val="60E225D7"/>
    <w:rsid w:val="60EB5C13"/>
    <w:rsid w:val="60ED547E"/>
    <w:rsid w:val="60FD7940"/>
    <w:rsid w:val="61025A59"/>
    <w:rsid w:val="61041715"/>
    <w:rsid w:val="610572F8"/>
    <w:rsid w:val="610619ED"/>
    <w:rsid w:val="610A2B60"/>
    <w:rsid w:val="610C1A1E"/>
    <w:rsid w:val="610C68D8"/>
    <w:rsid w:val="61144D6A"/>
    <w:rsid w:val="611561A7"/>
    <w:rsid w:val="61190304"/>
    <w:rsid w:val="611A0CDF"/>
    <w:rsid w:val="611C2FBF"/>
    <w:rsid w:val="61251748"/>
    <w:rsid w:val="612702BF"/>
    <w:rsid w:val="613D23D3"/>
    <w:rsid w:val="61474B03"/>
    <w:rsid w:val="61487A75"/>
    <w:rsid w:val="61497B2C"/>
    <w:rsid w:val="614E689C"/>
    <w:rsid w:val="6151253D"/>
    <w:rsid w:val="61534507"/>
    <w:rsid w:val="61557E10"/>
    <w:rsid w:val="61563D8A"/>
    <w:rsid w:val="61613CF6"/>
    <w:rsid w:val="617641C0"/>
    <w:rsid w:val="61766D25"/>
    <w:rsid w:val="617821BF"/>
    <w:rsid w:val="61794F77"/>
    <w:rsid w:val="617F2D1C"/>
    <w:rsid w:val="6180738D"/>
    <w:rsid w:val="6183303E"/>
    <w:rsid w:val="61870689"/>
    <w:rsid w:val="618B5A4F"/>
    <w:rsid w:val="61905EB4"/>
    <w:rsid w:val="61911D64"/>
    <w:rsid w:val="61925A34"/>
    <w:rsid w:val="619A2136"/>
    <w:rsid w:val="619F298C"/>
    <w:rsid w:val="61A47ECC"/>
    <w:rsid w:val="61A66D2D"/>
    <w:rsid w:val="61A70CC0"/>
    <w:rsid w:val="61A92379"/>
    <w:rsid w:val="61AD00BB"/>
    <w:rsid w:val="61AD1CEC"/>
    <w:rsid w:val="61AD5C27"/>
    <w:rsid w:val="61B63755"/>
    <w:rsid w:val="61BA4586"/>
    <w:rsid w:val="61BC4533"/>
    <w:rsid w:val="61BE4076"/>
    <w:rsid w:val="61C40F61"/>
    <w:rsid w:val="61C6707F"/>
    <w:rsid w:val="61C91196"/>
    <w:rsid w:val="61D07906"/>
    <w:rsid w:val="61D27B22"/>
    <w:rsid w:val="61D75138"/>
    <w:rsid w:val="61DA24CA"/>
    <w:rsid w:val="61DC44FC"/>
    <w:rsid w:val="61E17D65"/>
    <w:rsid w:val="61E433B1"/>
    <w:rsid w:val="61E909C7"/>
    <w:rsid w:val="61EA4E6B"/>
    <w:rsid w:val="61EE5FDE"/>
    <w:rsid w:val="61F3430D"/>
    <w:rsid w:val="61F45CEA"/>
    <w:rsid w:val="61F734FF"/>
    <w:rsid w:val="61F93300"/>
    <w:rsid w:val="61FE0917"/>
    <w:rsid w:val="620121B5"/>
    <w:rsid w:val="62013F63"/>
    <w:rsid w:val="62015D11"/>
    <w:rsid w:val="62045801"/>
    <w:rsid w:val="620F6680"/>
    <w:rsid w:val="62137E26"/>
    <w:rsid w:val="62143C96"/>
    <w:rsid w:val="62195750"/>
    <w:rsid w:val="621C6FEF"/>
    <w:rsid w:val="6220263B"/>
    <w:rsid w:val="62206ADF"/>
    <w:rsid w:val="622D70E2"/>
    <w:rsid w:val="623279DB"/>
    <w:rsid w:val="623A1223"/>
    <w:rsid w:val="623F6839"/>
    <w:rsid w:val="62483940"/>
    <w:rsid w:val="624C4158"/>
    <w:rsid w:val="624D53FA"/>
    <w:rsid w:val="624F23FA"/>
    <w:rsid w:val="625247BE"/>
    <w:rsid w:val="62540537"/>
    <w:rsid w:val="62557F59"/>
    <w:rsid w:val="625642AF"/>
    <w:rsid w:val="62593D9F"/>
    <w:rsid w:val="625C563D"/>
    <w:rsid w:val="625F79DD"/>
    <w:rsid w:val="62614A02"/>
    <w:rsid w:val="6267026A"/>
    <w:rsid w:val="626941D1"/>
    <w:rsid w:val="626B3B80"/>
    <w:rsid w:val="627C183B"/>
    <w:rsid w:val="627E55B4"/>
    <w:rsid w:val="6280132C"/>
    <w:rsid w:val="6283706E"/>
    <w:rsid w:val="628C1A7E"/>
    <w:rsid w:val="628C5F22"/>
    <w:rsid w:val="628D11A7"/>
    <w:rsid w:val="628F32BF"/>
    <w:rsid w:val="62976475"/>
    <w:rsid w:val="629848C7"/>
    <w:rsid w:val="6299631A"/>
    <w:rsid w:val="629F6B67"/>
    <w:rsid w:val="62A72D5C"/>
    <w:rsid w:val="62AF39BF"/>
    <w:rsid w:val="62B611F1"/>
    <w:rsid w:val="62B72874"/>
    <w:rsid w:val="62B81178"/>
    <w:rsid w:val="62B9215C"/>
    <w:rsid w:val="62BD2580"/>
    <w:rsid w:val="62C456BC"/>
    <w:rsid w:val="62D17487"/>
    <w:rsid w:val="62D306F0"/>
    <w:rsid w:val="62D653F0"/>
    <w:rsid w:val="62DA4858"/>
    <w:rsid w:val="62DE37BD"/>
    <w:rsid w:val="62E138EE"/>
    <w:rsid w:val="62EA6483"/>
    <w:rsid w:val="62EE0313"/>
    <w:rsid w:val="62EF43CA"/>
    <w:rsid w:val="62FF1182"/>
    <w:rsid w:val="630606D2"/>
    <w:rsid w:val="63077799"/>
    <w:rsid w:val="630C2BBF"/>
    <w:rsid w:val="630F26B0"/>
    <w:rsid w:val="63161C90"/>
    <w:rsid w:val="63181564"/>
    <w:rsid w:val="631B1054"/>
    <w:rsid w:val="631B72A6"/>
    <w:rsid w:val="6320666B"/>
    <w:rsid w:val="632111F7"/>
    <w:rsid w:val="63304B00"/>
    <w:rsid w:val="633D546F"/>
    <w:rsid w:val="633F2F95"/>
    <w:rsid w:val="63424833"/>
    <w:rsid w:val="63426E07"/>
    <w:rsid w:val="63440AF9"/>
    <w:rsid w:val="63462575"/>
    <w:rsid w:val="63520F1A"/>
    <w:rsid w:val="63583DC3"/>
    <w:rsid w:val="635D341B"/>
    <w:rsid w:val="63661917"/>
    <w:rsid w:val="636724EC"/>
    <w:rsid w:val="636D5D54"/>
    <w:rsid w:val="637349EC"/>
    <w:rsid w:val="63755EBC"/>
    <w:rsid w:val="637644DD"/>
    <w:rsid w:val="637C46C5"/>
    <w:rsid w:val="637D5D25"/>
    <w:rsid w:val="637F327F"/>
    <w:rsid w:val="637F3CAB"/>
    <w:rsid w:val="63847915"/>
    <w:rsid w:val="63892462"/>
    <w:rsid w:val="638C75A0"/>
    <w:rsid w:val="638E7A78"/>
    <w:rsid w:val="639A01CB"/>
    <w:rsid w:val="639A7632"/>
    <w:rsid w:val="639C08FA"/>
    <w:rsid w:val="639F57E1"/>
    <w:rsid w:val="63A04400"/>
    <w:rsid w:val="63A74063"/>
    <w:rsid w:val="63B23B01"/>
    <w:rsid w:val="63B35731"/>
    <w:rsid w:val="63B82D47"/>
    <w:rsid w:val="63BA086D"/>
    <w:rsid w:val="63BC45E5"/>
    <w:rsid w:val="63BD728D"/>
    <w:rsid w:val="63C118F1"/>
    <w:rsid w:val="63C4349A"/>
    <w:rsid w:val="63C76D84"/>
    <w:rsid w:val="63CD05A1"/>
    <w:rsid w:val="63CE60C7"/>
    <w:rsid w:val="63D25BB7"/>
    <w:rsid w:val="63DA45E7"/>
    <w:rsid w:val="63EF49BB"/>
    <w:rsid w:val="63F30424"/>
    <w:rsid w:val="63F41FD1"/>
    <w:rsid w:val="64032214"/>
    <w:rsid w:val="64037204"/>
    <w:rsid w:val="64063AB3"/>
    <w:rsid w:val="640A35A3"/>
    <w:rsid w:val="6410335F"/>
    <w:rsid w:val="641036CB"/>
    <w:rsid w:val="6417181C"/>
    <w:rsid w:val="6421269A"/>
    <w:rsid w:val="64254456"/>
    <w:rsid w:val="64260827"/>
    <w:rsid w:val="64263DDA"/>
    <w:rsid w:val="6428379A"/>
    <w:rsid w:val="642A59F3"/>
    <w:rsid w:val="642D103F"/>
    <w:rsid w:val="642D6652"/>
    <w:rsid w:val="643C4695"/>
    <w:rsid w:val="64410F8F"/>
    <w:rsid w:val="645371E5"/>
    <w:rsid w:val="64550596"/>
    <w:rsid w:val="645667E8"/>
    <w:rsid w:val="645C0E1F"/>
    <w:rsid w:val="64601415"/>
    <w:rsid w:val="64652B1D"/>
    <w:rsid w:val="64671F23"/>
    <w:rsid w:val="647469BD"/>
    <w:rsid w:val="64750536"/>
    <w:rsid w:val="647B4B09"/>
    <w:rsid w:val="647C5B23"/>
    <w:rsid w:val="64850E7B"/>
    <w:rsid w:val="648A781E"/>
    <w:rsid w:val="649D4417"/>
    <w:rsid w:val="649E1F3D"/>
    <w:rsid w:val="64A130EA"/>
    <w:rsid w:val="64A21A2D"/>
    <w:rsid w:val="64A44A23"/>
    <w:rsid w:val="64A62BA0"/>
    <w:rsid w:val="64A82DBC"/>
    <w:rsid w:val="64A97036"/>
    <w:rsid w:val="64B006C0"/>
    <w:rsid w:val="64B772AC"/>
    <w:rsid w:val="64C23E7D"/>
    <w:rsid w:val="64C74ED6"/>
    <w:rsid w:val="64CB79C8"/>
    <w:rsid w:val="64D46DD5"/>
    <w:rsid w:val="64D63485"/>
    <w:rsid w:val="64D678D3"/>
    <w:rsid w:val="64D67929"/>
    <w:rsid w:val="64DA58EB"/>
    <w:rsid w:val="64DB6CED"/>
    <w:rsid w:val="64E0359B"/>
    <w:rsid w:val="64E115FC"/>
    <w:rsid w:val="64EA6F30"/>
    <w:rsid w:val="64EF09EB"/>
    <w:rsid w:val="64FC400C"/>
    <w:rsid w:val="64FD4EB5"/>
    <w:rsid w:val="65000502"/>
    <w:rsid w:val="6500451D"/>
    <w:rsid w:val="65023CBF"/>
    <w:rsid w:val="6509385A"/>
    <w:rsid w:val="650959E3"/>
    <w:rsid w:val="651421FF"/>
    <w:rsid w:val="651641C9"/>
    <w:rsid w:val="65164F59"/>
    <w:rsid w:val="651673BB"/>
    <w:rsid w:val="652607CD"/>
    <w:rsid w:val="652E506F"/>
    <w:rsid w:val="653522F2"/>
    <w:rsid w:val="653D3504"/>
    <w:rsid w:val="654A79CF"/>
    <w:rsid w:val="654C05CD"/>
    <w:rsid w:val="654F4FE5"/>
    <w:rsid w:val="65522FC6"/>
    <w:rsid w:val="655F791E"/>
    <w:rsid w:val="656049EB"/>
    <w:rsid w:val="65654809"/>
    <w:rsid w:val="656767D3"/>
    <w:rsid w:val="658031BA"/>
    <w:rsid w:val="658A6517"/>
    <w:rsid w:val="658B7EEA"/>
    <w:rsid w:val="65A92D87"/>
    <w:rsid w:val="65A972F8"/>
    <w:rsid w:val="65B129E8"/>
    <w:rsid w:val="65BC6B1F"/>
    <w:rsid w:val="65CD1605"/>
    <w:rsid w:val="65D273D1"/>
    <w:rsid w:val="65D379C4"/>
    <w:rsid w:val="65D75478"/>
    <w:rsid w:val="65DC4ACB"/>
    <w:rsid w:val="65DD6A95"/>
    <w:rsid w:val="65DE4CE7"/>
    <w:rsid w:val="65E33F65"/>
    <w:rsid w:val="65EA1853"/>
    <w:rsid w:val="65ED4F2A"/>
    <w:rsid w:val="65EE1F0B"/>
    <w:rsid w:val="65F00688"/>
    <w:rsid w:val="65F53DDF"/>
    <w:rsid w:val="65F77B57"/>
    <w:rsid w:val="65F91B21"/>
    <w:rsid w:val="66042274"/>
    <w:rsid w:val="660B0C9F"/>
    <w:rsid w:val="660C5ECE"/>
    <w:rsid w:val="660D1128"/>
    <w:rsid w:val="660D514E"/>
    <w:rsid w:val="660E4375"/>
    <w:rsid w:val="661B7593"/>
    <w:rsid w:val="661C6A78"/>
    <w:rsid w:val="661E1587"/>
    <w:rsid w:val="66216982"/>
    <w:rsid w:val="6623094C"/>
    <w:rsid w:val="662577C3"/>
    <w:rsid w:val="662624B9"/>
    <w:rsid w:val="662D5327"/>
    <w:rsid w:val="664856F2"/>
    <w:rsid w:val="665054B9"/>
    <w:rsid w:val="665217E0"/>
    <w:rsid w:val="66552ACF"/>
    <w:rsid w:val="665D7597"/>
    <w:rsid w:val="66600EB3"/>
    <w:rsid w:val="666625A2"/>
    <w:rsid w:val="66680A54"/>
    <w:rsid w:val="666D1BC7"/>
    <w:rsid w:val="66756CCD"/>
    <w:rsid w:val="667C005C"/>
    <w:rsid w:val="66815672"/>
    <w:rsid w:val="66860EDB"/>
    <w:rsid w:val="66882EA5"/>
    <w:rsid w:val="668A0B91"/>
    <w:rsid w:val="668F4233"/>
    <w:rsid w:val="66910B76"/>
    <w:rsid w:val="669B6F19"/>
    <w:rsid w:val="66A82BFF"/>
    <w:rsid w:val="66A9586C"/>
    <w:rsid w:val="66A9783B"/>
    <w:rsid w:val="66AA3469"/>
    <w:rsid w:val="66AB26EF"/>
    <w:rsid w:val="66C832A1"/>
    <w:rsid w:val="66CF2882"/>
    <w:rsid w:val="66D86595"/>
    <w:rsid w:val="66D957E8"/>
    <w:rsid w:val="66DC6D4D"/>
    <w:rsid w:val="66E0683D"/>
    <w:rsid w:val="66E5373F"/>
    <w:rsid w:val="66E7432C"/>
    <w:rsid w:val="66E87218"/>
    <w:rsid w:val="66E977A5"/>
    <w:rsid w:val="66EB1537"/>
    <w:rsid w:val="66EF082E"/>
    <w:rsid w:val="66F02859"/>
    <w:rsid w:val="66F127F8"/>
    <w:rsid w:val="66F6088F"/>
    <w:rsid w:val="6703077D"/>
    <w:rsid w:val="67037C30"/>
    <w:rsid w:val="67073DC9"/>
    <w:rsid w:val="6707730C"/>
    <w:rsid w:val="6709230A"/>
    <w:rsid w:val="670E1A3D"/>
    <w:rsid w:val="6712723B"/>
    <w:rsid w:val="6719387F"/>
    <w:rsid w:val="671B7875"/>
    <w:rsid w:val="671D183F"/>
    <w:rsid w:val="672422F9"/>
    <w:rsid w:val="67255FA9"/>
    <w:rsid w:val="672B60FE"/>
    <w:rsid w:val="672E19F4"/>
    <w:rsid w:val="672F1572"/>
    <w:rsid w:val="672F3E8A"/>
    <w:rsid w:val="67335249"/>
    <w:rsid w:val="67347B66"/>
    <w:rsid w:val="673530FF"/>
    <w:rsid w:val="673B1CC5"/>
    <w:rsid w:val="673B3A73"/>
    <w:rsid w:val="673E5F91"/>
    <w:rsid w:val="674C7A2E"/>
    <w:rsid w:val="675B5EC3"/>
    <w:rsid w:val="675D7103"/>
    <w:rsid w:val="6760172C"/>
    <w:rsid w:val="676175B2"/>
    <w:rsid w:val="67640637"/>
    <w:rsid w:val="676B07FC"/>
    <w:rsid w:val="676F196F"/>
    <w:rsid w:val="67787E6E"/>
    <w:rsid w:val="677A064E"/>
    <w:rsid w:val="677B1DC1"/>
    <w:rsid w:val="678B49FB"/>
    <w:rsid w:val="678E44EB"/>
    <w:rsid w:val="67920946"/>
    <w:rsid w:val="67946BB9"/>
    <w:rsid w:val="67950A2E"/>
    <w:rsid w:val="67957627"/>
    <w:rsid w:val="679D326A"/>
    <w:rsid w:val="67A930D3"/>
    <w:rsid w:val="67A96C2F"/>
    <w:rsid w:val="67B010BC"/>
    <w:rsid w:val="67B35CFF"/>
    <w:rsid w:val="67B47729"/>
    <w:rsid w:val="67B519A4"/>
    <w:rsid w:val="67B63E1E"/>
    <w:rsid w:val="67B64986"/>
    <w:rsid w:val="67B657F0"/>
    <w:rsid w:val="67BC7A26"/>
    <w:rsid w:val="67BD6B7E"/>
    <w:rsid w:val="67C27CF0"/>
    <w:rsid w:val="67C5088E"/>
    <w:rsid w:val="67C73559"/>
    <w:rsid w:val="67D143D7"/>
    <w:rsid w:val="67DC3E47"/>
    <w:rsid w:val="67DE7902"/>
    <w:rsid w:val="67E7327D"/>
    <w:rsid w:val="67E759A9"/>
    <w:rsid w:val="67F02AB0"/>
    <w:rsid w:val="67F24A7A"/>
    <w:rsid w:val="67F3434E"/>
    <w:rsid w:val="67F65BEC"/>
    <w:rsid w:val="6803671F"/>
    <w:rsid w:val="68077DF9"/>
    <w:rsid w:val="680A6312"/>
    <w:rsid w:val="6811574B"/>
    <w:rsid w:val="68197D1D"/>
    <w:rsid w:val="681A7B2C"/>
    <w:rsid w:val="681B4608"/>
    <w:rsid w:val="681C5653"/>
    <w:rsid w:val="681F15E7"/>
    <w:rsid w:val="6823620F"/>
    <w:rsid w:val="682409AB"/>
    <w:rsid w:val="68297D70"/>
    <w:rsid w:val="682D7860"/>
    <w:rsid w:val="68390640"/>
    <w:rsid w:val="683A3D2B"/>
    <w:rsid w:val="6842381F"/>
    <w:rsid w:val="6844104D"/>
    <w:rsid w:val="68451E71"/>
    <w:rsid w:val="684A297C"/>
    <w:rsid w:val="684B5F38"/>
    <w:rsid w:val="68522A3E"/>
    <w:rsid w:val="685433EE"/>
    <w:rsid w:val="68570D81"/>
    <w:rsid w:val="68582403"/>
    <w:rsid w:val="685A30A3"/>
    <w:rsid w:val="685A68BE"/>
    <w:rsid w:val="6861498F"/>
    <w:rsid w:val="68807719"/>
    <w:rsid w:val="68834BBC"/>
    <w:rsid w:val="68850646"/>
    <w:rsid w:val="688C4126"/>
    <w:rsid w:val="68905759"/>
    <w:rsid w:val="68911028"/>
    <w:rsid w:val="68953657"/>
    <w:rsid w:val="68955405"/>
    <w:rsid w:val="68994EF5"/>
    <w:rsid w:val="689A2A1B"/>
    <w:rsid w:val="689D7F6A"/>
    <w:rsid w:val="68A06763"/>
    <w:rsid w:val="68B03FED"/>
    <w:rsid w:val="68B334E0"/>
    <w:rsid w:val="68B63CF9"/>
    <w:rsid w:val="68C36416"/>
    <w:rsid w:val="68CA0D5A"/>
    <w:rsid w:val="68D63D13"/>
    <w:rsid w:val="68DC3034"/>
    <w:rsid w:val="68DF23A7"/>
    <w:rsid w:val="68E87C2B"/>
    <w:rsid w:val="68EF0FB9"/>
    <w:rsid w:val="68F4217F"/>
    <w:rsid w:val="68F42274"/>
    <w:rsid w:val="68F640F6"/>
    <w:rsid w:val="68FB5BB0"/>
    <w:rsid w:val="69074555"/>
    <w:rsid w:val="6907486C"/>
    <w:rsid w:val="690A194F"/>
    <w:rsid w:val="690C0CC9"/>
    <w:rsid w:val="690E58E3"/>
    <w:rsid w:val="69114EC5"/>
    <w:rsid w:val="691B5BA6"/>
    <w:rsid w:val="69255090"/>
    <w:rsid w:val="69280027"/>
    <w:rsid w:val="69296D2D"/>
    <w:rsid w:val="6931512E"/>
    <w:rsid w:val="6939281C"/>
    <w:rsid w:val="693A32EC"/>
    <w:rsid w:val="693C0671"/>
    <w:rsid w:val="693D596E"/>
    <w:rsid w:val="693E3CEF"/>
    <w:rsid w:val="69412435"/>
    <w:rsid w:val="69424C47"/>
    <w:rsid w:val="69434E61"/>
    <w:rsid w:val="6954706E"/>
    <w:rsid w:val="69557999"/>
    <w:rsid w:val="69584116"/>
    <w:rsid w:val="69593369"/>
    <w:rsid w:val="695D4726"/>
    <w:rsid w:val="695F0E25"/>
    <w:rsid w:val="695F683E"/>
    <w:rsid w:val="69652C31"/>
    <w:rsid w:val="69685626"/>
    <w:rsid w:val="69693ECC"/>
    <w:rsid w:val="696B4107"/>
    <w:rsid w:val="696E17E8"/>
    <w:rsid w:val="696F3EA8"/>
    <w:rsid w:val="69713A6A"/>
    <w:rsid w:val="697274F4"/>
    <w:rsid w:val="69731BEA"/>
    <w:rsid w:val="69735746"/>
    <w:rsid w:val="69765236"/>
    <w:rsid w:val="697678E2"/>
    <w:rsid w:val="69782D5D"/>
    <w:rsid w:val="697A5884"/>
    <w:rsid w:val="69851F0A"/>
    <w:rsid w:val="698A2A90"/>
    <w:rsid w:val="698B6E18"/>
    <w:rsid w:val="698F190A"/>
    <w:rsid w:val="6992608B"/>
    <w:rsid w:val="69931944"/>
    <w:rsid w:val="69955386"/>
    <w:rsid w:val="699E3C6D"/>
    <w:rsid w:val="69A35F61"/>
    <w:rsid w:val="69A41DA4"/>
    <w:rsid w:val="69A43B52"/>
    <w:rsid w:val="69A73642"/>
    <w:rsid w:val="69AF0748"/>
    <w:rsid w:val="69B471CE"/>
    <w:rsid w:val="69B83AA1"/>
    <w:rsid w:val="69BB533F"/>
    <w:rsid w:val="69BC5E0F"/>
    <w:rsid w:val="69BD4C13"/>
    <w:rsid w:val="69BE48BF"/>
    <w:rsid w:val="69BF098B"/>
    <w:rsid w:val="69CA11C6"/>
    <w:rsid w:val="69CB63AC"/>
    <w:rsid w:val="69CC68E5"/>
    <w:rsid w:val="69CD613A"/>
    <w:rsid w:val="69CF4947"/>
    <w:rsid w:val="69D32689"/>
    <w:rsid w:val="69DD7064"/>
    <w:rsid w:val="69DF4B8A"/>
    <w:rsid w:val="69E06B54"/>
    <w:rsid w:val="69E14DA6"/>
    <w:rsid w:val="69E32466"/>
    <w:rsid w:val="69E32631"/>
    <w:rsid w:val="69E5416A"/>
    <w:rsid w:val="69E943C2"/>
    <w:rsid w:val="69F0323B"/>
    <w:rsid w:val="69F36887"/>
    <w:rsid w:val="69FA3D78"/>
    <w:rsid w:val="69FB6AF5"/>
    <w:rsid w:val="6A023294"/>
    <w:rsid w:val="6A06041A"/>
    <w:rsid w:val="6A0E1913"/>
    <w:rsid w:val="6A2121A4"/>
    <w:rsid w:val="6A260884"/>
    <w:rsid w:val="6A274783"/>
    <w:rsid w:val="6A2932A6"/>
    <w:rsid w:val="6A2D5561"/>
    <w:rsid w:val="6A385572"/>
    <w:rsid w:val="6A3A2708"/>
    <w:rsid w:val="6A3B3D8A"/>
    <w:rsid w:val="6A3C6480"/>
    <w:rsid w:val="6A41394F"/>
    <w:rsid w:val="6A470981"/>
    <w:rsid w:val="6A527A52"/>
    <w:rsid w:val="6A615EE7"/>
    <w:rsid w:val="6A6E5F0E"/>
    <w:rsid w:val="6A70612A"/>
    <w:rsid w:val="6A744025"/>
    <w:rsid w:val="6A786D8C"/>
    <w:rsid w:val="6A7A6FA8"/>
    <w:rsid w:val="6A7F011B"/>
    <w:rsid w:val="6A843983"/>
    <w:rsid w:val="6A933262"/>
    <w:rsid w:val="6A941E18"/>
    <w:rsid w:val="6A995680"/>
    <w:rsid w:val="6A9A6D03"/>
    <w:rsid w:val="6AAA5341"/>
    <w:rsid w:val="6AB4471D"/>
    <w:rsid w:val="6ABD58E5"/>
    <w:rsid w:val="6AC63F9C"/>
    <w:rsid w:val="6AC645F4"/>
    <w:rsid w:val="6AC647BD"/>
    <w:rsid w:val="6AD00976"/>
    <w:rsid w:val="6ADC731B"/>
    <w:rsid w:val="6AE461D0"/>
    <w:rsid w:val="6AE52674"/>
    <w:rsid w:val="6AED1528"/>
    <w:rsid w:val="6AED32D6"/>
    <w:rsid w:val="6AF428B7"/>
    <w:rsid w:val="6AF44665"/>
    <w:rsid w:val="6AF47B86"/>
    <w:rsid w:val="6AF705F9"/>
    <w:rsid w:val="6AFB1E97"/>
    <w:rsid w:val="6AFC6742"/>
    <w:rsid w:val="6B005B27"/>
    <w:rsid w:val="6B032AFA"/>
    <w:rsid w:val="6B0A3AD2"/>
    <w:rsid w:val="6B1251A6"/>
    <w:rsid w:val="6B144C15"/>
    <w:rsid w:val="6B19231D"/>
    <w:rsid w:val="6B1B42E7"/>
    <w:rsid w:val="6B1B7E43"/>
    <w:rsid w:val="6B217424"/>
    <w:rsid w:val="6B235DBA"/>
    <w:rsid w:val="6B2B52BE"/>
    <w:rsid w:val="6B2C02A3"/>
    <w:rsid w:val="6B2C3CD4"/>
    <w:rsid w:val="6B2D401B"/>
    <w:rsid w:val="6B2D7B77"/>
    <w:rsid w:val="6B3709F5"/>
    <w:rsid w:val="6B390327"/>
    <w:rsid w:val="6B480E55"/>
    <w:rsid w:val="6B4B024C"/>
    <w:rsid w:val="6B4C7566"/>
    <w:rsid w:val="6B6A4927"/>
    <w:rsid w:val="6B6F018F"/>
    <w:rsid w:val="6B6F63E1"/>
    <w:rsid w:val="6B731B99"/>
    <w:rsid w:val="6B777044"/>
    <w:rsid w:val="6B7A3154"/>
    <w:rsid w:val="6B7B3B2E"/>
    <w:rsid w:val="6B7C465A"/>
    <w:rsid w:val="6B7E03D2"/>
    <w:rsid w:val="6B8E2D0B"/>
    <w:rsid w:val="6B947495"/>
    <w:rsid w:val="6B9C26ED"/>
    <w:rsid w:val="6B9D4CFC"/>
    <w:rsid w:val="6BA73DCD"/>
    <w:rsid w:val="6BA77061"/>
    <w:rsid w:val="6BAA11C7"/>
    <w:rsid w:val="6BAA7044"/>
    <w:rsid w:val="6BAB4210"/>
    <w:rsid w:val="6BB12556"/>
    <w:rsid w:val="6BB362CE"/>
    <w:rsid w:val="6BB64010"/>
    <w:rsid w:val="6BBF7B07"/>
    <w:rsid w:val="6BC24763"/>
    <w:rsid w:val="6BC820D9"/>
    <w:rsid w:val="6BCD02EE"/>
    <w:rsid w:val="6BCD0E53"/>
    <w:rsid w:val="6BD44496"/>
    <w:rsid w:val="6BD61E2E"/>
    <w:rsid w:val="6BD61FBC"/>
    <w:rsid w:val="6BD66460"/>
    <w:rsid w:val="6BD74A8A"/>
    <w:rsid w:val="6BD83F86"/>
    <w:rsid w:val="6BDA7CFF"/>
    <w:rsid w:val="6BEE7306"/>
    <w:rsid w:val="6BEF0C80"/>
    <w:rsid w:val="6BF23772"/>
    <w:rsid w:val="6BFD1C3F"/>
    <w:rsid w:val="6C046B2A"/>
    <w:rsid w:val="6C1A3795"/>
    <w:rsid w:val="6C1A64BD"/>
    <w:rsid w:val="6C1E7194"/>
    <w:rsid w:val="6C212112"/>
    <w:rsid w:val="6C2373DC"/>
    <w:rsid w:val="6C262F44"/>
    <w:rsid w:val="6C3368C9"/>
    <w:rsid w:val="6C3D64DF"/>
    <w:rsid w:val="6C3F1900"/>
    <w:rsid w:val="6C4C5660"/>
    <w:rsid w:val="6C4C59CB"/>
    <w:rsid w:val="6C4D4A68"/>
    <w:rsid w:val="6C5555D7"/>
    <w:rsid w:val="6C5B4564"/>
    <w:rsid w:val="6C5D56EC"/>
    <w:rsid w:val="6C6603BE"/>
    <w:rsid w:val="6C663340"/>
    <w:rsid w:val="6C6846ED"/>
    <w:rsid w:val="6C700663"/>
    <w:rsid w:val="6C711CE5"/>
    <w:rsid w:val="6C735A5D"/>
    <w:rsid w:val="6C7A3290"/>
    <w:rsid w:val="6C7F2654"/>
    <w:rsid w:val="6C86570C"/>
    <w:rsid w:val="6C88141A"/>
    <w:rsid w:val="6C8E6023"/>
    <w:rsid w:val="6C9600A2"/>
    <w:rsid w:val="6C96452E"/>
    <w:rsid w:val="6C9C3206"/>
    <w:rsid w:val="6CA34594"/>
    <w:rsid w:val="6CA60EDB"/>
    <w:rsid w:val="6CA9147F"/>
    <w:rsid w:val="6CAB51F7"/>
    <w:rsid w:val="6CAC32FA"/>
    <w:rsid w:val="6CB67F1D"/>
    <w:rsid w:val="6CB93DB8"/>
    <w:rsid w:val="6CBE6221"/>
    <w:rsid w:val="6CBF673E"/>
    <w:rsid w:val="6CC2747B"/>
    <w:rsid w:val="6CC30793"/>
    <w:rsid w:val="6CD022DA"/>
    <w:rsid w:val="6CD13F54"/>
    <w:rsid w:val="6CD7423E"/>
    <w:rsid w:val="6CD94FB2"/>
    <w:rsid w:val="6CDF124D"/>
    <w:rsid w:val="6CED57E2"/>
    <w:rsid w:val="6CF52916"/>
    <w:rsid w:val="6CF94568"/>
    <w:rsid w:val="6D045B43"/>
    <w:rsid w:val="6D050DAB"/>
    <w:rsid w:val="6D070077"/>
    <w:rsid w:val="6D08089B"/>
    <w:rsid w:val="6D0B183A"/>
    <w:rsid w:val="6D0D3798"/>
    <w:rsid w:val="6D0E00F3"/>
    <w:rsid w:val="6D1E1E6D"/>
    <w:rsid w:val="6D2356D5"/>
    <w:rsid w:val="6D266F73"/>
    <w:rsid w:val="6D284A9A"/>
    <w:rsid w:val="6D297940"/>
    <w:rsid w:val="6D2B2D2D"/>
    <w:rsid w:val="6D3677AE"/>
    <w:rsid w:val="6D3D275F"/>
    <w:rsid w:val="6D4873A6"/>
    <w:rsid w:val="6D4F2026"/>
    <w:rsid w:val="6D4F64CA"/>
    <w:rsid w:val="6D5B1FD9"/>
    <w:rsid w:val="6D5C4743"/>
    <w:rsid w:val="6D5F3712"/>
    <w:rsid w:val="6D600BB2"/>
    <w:rsid w:val="6D675F16"/>
    <w:rsid w:val="6D7E504C"/>
    <w:rsid w:val="6D8B6DD7"/>
    <w:rsid w:val="6D9360F3"/>
    <w:rsid w:val="6D94212F"/>
    <w:rsid w:val="6D981752"/>
    <w:rsid w:val="6D99695E"/>
    <w:rsid w:val="6D9A2BFD"/>
    <w:rsid w:val="6D9A4072"/>
    <w:rsid w:val="6D9B34BE"/>
    <w:rsid w:val="6DA2127C"/>
    <w:rsid w:val="6DA22A9E"/>
    <w:rsid w:val="6DA93E2C"/>
    <w:rsid w:val="6DAF6F69"/>
    <w:rsid w:val="6DB05CD8"/>
    <w:rsid w:val="6DB70237"/>
    <w:rsid w:val="6DB85607"/>
    <w:rsid w:val="6DBA561D"/>
    <w:rsid w:val="6DBE4C07"/>
    <w:rsid w:val="6DC23D06"/>
    <w:rsid w:val="6DC27C5B"/>
    <w:rsid w:val="6DC31E30"/>
    <w:rsid w:val="6DD16D11"/>
    <w:rsid w:val="6DD95D94"/>
    <w:rsid w:val="6DDF784E"/>
    <w:rsid w:val="6DE05374"/>
    <w:rsid w:val="6DE34280"/>
    <w:rsid w:val="6DE44E65"/>
    <w:rsid w:val="6DE76703"/>
    <w:rsid w:val="6DE971E5"/>
    <w:rsid w:val="6DEC1F6B"/>
    <w:rsid w:val="6DEF39DB"/>
    <w:rsid w:val="6DF00B16"/>
    <w:rsid w:val="6DF467E4"/>
    <w:rsid w:val="6DF64B98"/>
    <w:rsid w:val="6DFB0400"/>
    <w:rsid w:val="6DFF1C9E"/>
    <w:rsid w:val="6E0077C5"/>
    <w:rsid w:val="6E01724F"/>
    <w:rsid w:val="6E02132C"/>
    <w:rsid w:val="6E02353D"/>
    <w:rsid w:val="6E027099"/>
    <w:rsid w:val="6E100AD3"/>
    <w:rsid w:val="6E114777"/>
    <w:rsid w:val="6E11552E"/>
    <w:rsid w:val="6E154CC9"/>
    <w:rsid w:val="6E193EB1"/>
    <w:rsid w:val="6E1B16E6"/>
    <w:rsid w:val="6E1B63AC"/>
    <w:rsid w:val="6E2434B3"/>
    <w:rsid w:val="6E251EBD"/>
    <w:rsid w:val="6E2617B0"/>
    <w:rsid w:val="6E292877"/>
    <w:rsid w:val="6E2C05BA"/>
    <w:rsid w:val="6E313E22"/>
    <w:rsid w:val="6E4174F0"/>
    <w:rsid w:val="6E447EB8"/>
    <w:rsid w:val="6E4A5A7E"/>
    <w:rsid w:val="6E4F7FF6"/>
    <w:rsid w:val="6E531FEA"/>
    <w:rsid w:val="6E565963"/>
    <w:rsid w:val="6E585FED"/>
    <w:rsid w:val="6E586939"/>
    <w:rsid w:val="6E5A6DD8"/>
    <w:rsid w:val="6E5C19CE"/>
    <w:rsid w:val="6E5D2F46"/>
    <w:rsid w:val="6E5F273D"/>
    <w:rsid w:val="6E5F4919"/>
    <w:rsid w:val="6E645FA5"/>
    <w:rsid w:val="6E663ACB"/>
    <w:rsid w:val="6E6E75D4"/>
    <w:rsid w:val="6E7B05D2"/>
    <w:rsid w:val="6E7D2BC3"/>
    <w:rsid w:val="6E82642B"/>
    <w:rsid w:val="6E86192D"/>
    <w:rsid w:val="6E867CCA"/>
    <w:rsid w:val="6E8729AA"/>
    <w:rsid w:val="6E8757F0"/>
    <w:rsid w:val="6E881C94"/>
    <w:rsid w:val="6E895A0C"/>
    <w:rsid w:val="6E8B52E0"/>
    <w:rsid w:val="6E91666F"/>
    <w:rsid w:val="6E971ED7"/>
    <w:rsid w:val="6E9879FD"/>
    <w:rsid w:val="6EA157E9"/>
    <w:rsid w:val="6EA7061C"/>
    <w:rsid w:val="6EA86C30"/>
    <w:rsid w:val="6EAB4D9D"/>
    <w:rsid w:val="6EAE0FCF"/>
    <w:rsid w:val="6EAE7221"/>
    <w:rsid w:val="6EAF32B0"/>
    <w:rsid w:val="6EB02521"/>
    <w:rsid w:val="6EB1286D"/>
    <w:rsid w:val="6EB26D11"/>
    <w:rsid w:val="6EB41B3F"/>
    <w:rsid w:val="6EB44A35"/>
    <w:rsid w:val="6EB74222"/>
    <w:rsid w:val="6EB83BFB"/>
    <w:rsid w:val="6EBC193D"/>
    <w:rsid w:val="6EC10BDA"/>
    <w:rsid w:val="6ECD3B4B"/>
    <w:rsid w:val="6ECE1671"/>
    <w:rsid w:val="6ECF7E2D"/>
    <w:rsid w:val="6ED01B7A"/>
    <w:rsid w:val="6ED638ED"/>
    <w:rsid w:val="6ED96FE9"/>
    <w:rsid w:val="6EDA0016"/>
    <w:rsid w:val="6EDC3D8E"/>
    <w:rsid w:val="6EE3336E"/>
    <w:rsid w:val="6EE8021C"/>
    <w:rsid w:val="6EEE75C8"/>
    <w:rsid w:val="6EF55169"/>
    <w:rsid w:val="6EF56BFD"/>
    <w:rsid w:val="6EF7427F"/>
    <w:rsid w:val="6EFA06B8"/>
    <w:rsid w:val="6EFA4214"/>
    <w:rsid w:val="6EFA655B"/>
    <w:rsid w:val="6EFE1F56"/>
    <w:rsid w:val="6F0350B8"/>
    <w:rsid w:val="6F0C77AB"/>
    <w:rsid w:val="6F12155D"/>
    <w:rsid w:val="6F1379EB"/>
    <w:rsid w:val="6F1F53E4"/>
    <w:rsid w:val="6F1F65C5"/>
    <w:rsid w:val="6F2179F2"/>
    <w:rsid w:val="6F2313FB"/>
    <w:rsid w:val="6F231BEF"/>
    <w:rsid w:val="6F24076C"/>
    <w:rsid w:val="6F257D2A"/>
    <w:rsid w:val="6F26325B"/>
    <w:rsid w:val="6F2953DB"/>
    <w:rsid w:val="6F3040D9"/>
    <w:rsid w:val="6F3239AE"/>
    <w:rsid w:val="6F394F51"/>
    <w:rsid w:val="6F4809BF"/>
    <w:rsid w:val="6F487CDD"/>
    <w:rsid w:val="6F4B2CC1"/>
    <w:rsid w:val="6F524050"/>
    <w:rsid w:val="6F564D30"/>
    <w:rsid w:val="6F5E0C47"/>
    <w:rsid w:val="6F5E47A3"/>
    <w:rsid w:val="6F60676D"/>
    <w:rsid w:val="6F631DB9"/>
    <w:rsid w:val="6F6618A9"/>
    <w:rsid w:val="6F6C3EED"/>
    <w:rsid w:val="6F6C543C"/>
    <w:rsid w:val="6F6D49E6"/>
    <w:rsid w:val="6F7B4CFB"/>
    <w:rsid w:val="6F7E4E45"/>
    <w:rsid w:val="6F85477F"/>
    <w:rsid w:val="6F863CF9"/>
    <w:rsid w:val="6F8F0E00"/>
    <w:rsid w:val="6F9208F0"/>
    <w:rsid w:val="6F991C7F"/>
    <w:rsid w:val="6F9B1637"/>
    <w:rsid w:val="6F9B59F7"/>
    <w:rsid w:val="6FA0300D"/>
    <w:rsid w:val="6FA4272F"/>
    <w:rsid w:val="6FAF4FFE"/>
    <w:rsid w:val="6FB31E0D"/>
    <w:rsid w:val="6FB370C3"/>
    <w:rsid w:val="6FBC771B"/>
    <w:rsid w:val="6FBD3BBF"/>
    <w:rsid w:val="6FBE16E5"/>
    <w:rsid w:val="6FC104BF"/>
    <w:rsid w:val="6FC21A38"/>
    <w:rsid w:val="6FC565D0"/>
    <w:rsid w:val="6FC82758"/>
    <w:rsid w:val="6FD06991"/>
    <w:rsid w:val="6FD902CD"/>
    <w:rsid w:val="6FDE2F51"/>
    <w:rsid w:val="6FE4739E"/>
    <w:rsid w:val="6FE81711"/>
    <w:rsid w:val="6FF1516B"/>
    <w:rsid w:val="6FF3138F"/>
    <w:rsid w:val="6FF356A3"/>
    <w:rsid w:val="6FF70753"/>
    <w:rsid w:val="6FFD4A92"/>
    <w:rsid w:val="700428F6"/>
    <w:rsid w:val="7007308C"/>
    <w:rsid w:val="700C06A3"/>
    <w:rsid w:val="70103B31"/>
    <w:rsid w:val="70202F02"/>
    <w:rsid w:val="702521A2"/>
    <w:rsid w:val="702E23C7"/>
    <w:rsid w:val="70357BF9"/>
    <w:rsid w:val="7036127C"/>
    <w:rsid w:val="70460281"/>
    <w:rsid w:val="70480FAF"/>
    <w:rsid w:val="704F058F"/>
    <w:rsid w:val="7056191E"/>
    <w:rsid w:val="705826B9"/>
    <w:rsid w:val="705931BC"/>
    <w:rsid w:val="705B0CE2"/>
    <w:rsid w:val="70657DB3"/>
    <w:rsid w:val="706711F9"/>
    <w:rsid w:val="70780034"/>
    <w:rsid w:val="707830DE"/>
    <w:rsid w:val="70810653"/>
    <w:rsid w:val="70822713"/>
    <w:rsid w:val="70871AD7"/>
    <w:rsid w:val="708B529E"/>
    <w:rsid w:val="708B5A6B"/>
    <w:rsid w:val="708E1B55"/>
    <w:rsid w:val="709661BE"/>
    <w:rsid w:val="70981F36"/>
    <w:rsid w:val="709A3F00"/>
    <w:rsid w:val="70A97C9F"/>
    <w:rsid w:val="70AB7EBB"/>
    <w:rsid w:val="70AC13C1"/>
    <w:rsid w:val="70B462F1"/>
    <w:rsid w:val="70BA1EAD"/>
    <w:rsid w:val="70BA245B"/>
    <w:rsid w:val="70BB0F08"/>
    <w:rsid w:val="70BC119A"/>
    <w:rsid w:val="70C11DCC"/>
    <w:rsid w:val="70C366B0"/>
    <w:rsid w:val="70C62B5F"/>
    <w:rsid w:val="70C745CA"/>
    <w:rsid w:val="70C96594"/>
    <w:rsid w:val="70CD1CC2"/>
    <w:rsid w:val="70CE6331"/>
    <w:rsid w:val="70D07922"/>
    <w:rsid w:val="70D10A62"/>
    <w:rsid w:val="70D171F6"/>
    <w:rsid w:val="70D32F6E"/>
    <w:rsid w:val="70D80B24"/>
    <w:rsid w:val="70D972DC"/>
    <w:rsid w:val="70DC1E23"/>
    <w:rsid w:val="70E31834"/>
    <w:rsid w:val="70EB13F1"/>
    <w:rsid w:val="70ED169D"/>
    <w:rsid w:val="70F133F4"/>
    <w:rsid w:val="70FE448F"/>
    <w:rsid w:val="71007D30"/>
    <w:rsid w:val="71014508"/>
    <w:rsid w:val="7104581E"/>
    <w:rsid w:val="710B2708"/>
    <w:rsid w:val="710B4E43"/>
    <w:rsid w:val="710B6BAC"/>
    <w:rsid w:val="71153587"/>
    <w:rsid w:val="711B0155"/>
    <w:rsid w:val="711C4915"/>
    <w:rsid w:val="711E68DF"/>
    <w:rsid w:val="711E70EC"/>
    <w:rsid w:val="71234978"/>
    <w:rsid w:val="712612F0"/>
    <w:rsid w:val="71346F45"/>
    <w:rsid w:val="71353C29"/>
    <w:rsid w:val="713855A1"/>
    <w:rsid w:val="71397275"/>
    <w:rsid w:val="713F5EAF"/>
    <w:rsid w:val="7141612A"/>
    <w:rsid w:val="71416999"/>
    <w:rsid w:val="71453595"/>
    <w:rsid w:val="714C1284"/>
    <w:rsid w:val="715B62AC"/>
    <w:rsid w:val="71614A1E"/>
    <w:rsid w:val="716E7983"/>
    <w:rsid w:val="716F713B"/>
    <w:rsid w:val="71752972"/>
    <w:rsid w:val="717A163C"/>
    <w:rsid w:val="718304F0"/>
    <w:rsid w:val="71867FE1"/>
    <w:rsid w:val="718C1A9B"/>
    <w:rsid w:val="719170B1"/>
    <w:rsid w:val="71943C73"/>
    <w:rsid w:val="71973F9C"/>
    <w:rsid w:val="719942C8"/>
    <w:rsid w:val="719E17CE"/>
    <w:rsid w:val="71A010A2"/>
    <w:rsid w:val="71A37770"/>
    <w:rsid w:val="71AA1F21"/>
    <w:rsid w:val="71B72890"/>
    <w:rsid w:val="71B903B6"/>
    <w:rsid w:val="71BC6597"/>
    <w:rsid w:val="71C137C8"/>
    <w:rsid w:val="71C51FC9"/>
    <w:rsid w:val="71C64881"/>
    <w:rsid w:val="71CF5FA5"/>
    <w:rsid w:val="71D76A8E"/>
    <w:rsid w:val="71DD0C79"/>
    <w:rsid w:val="71E14691"/>
    <w:rsid w:val="71E35433"/>
    <w:rsid w:val="71EA0570"/>
    <w:rsid w:val="71ED1E0E"/>
    <w:rsid w:val="71F039A4"/>
    <w:rsid w:val="71FC02A3"/>
    <w:rsid w:val="71FF3AD4"/>
    <w:rsid w:val="71FF465A"/>
    <w:rsid w:val="72035AD5"/>
    <w:rsid w:val="72053532"/>
    <w:rsid w:val="72077373"/>
    <w:rsid w:val="720B6055"/>
    <w:rsid w:val="720D24B0"/>
    <w:rsid w:val="721101F2"/>
    <w:rsid w:val="72121874"/>
    <w:rsid w:val="72155215"/>
    <w:rsid w:val="721750DD"/>
    <w:rsid w:val="721970A7"/>
    <w:rsid w:val="721B28D1"/>
    <w:rsid w:val="72225F5B"/>
    <w:rsid w:val="722515A8"/>
    <w:rsid w:val="72281C28"/>
    <w:rsid w:val="72295B7C"/>
    <w:rsid w:val="722A4EEC"/>
    <w:rsid w:val="722E2B52"/>
    <w:rsid w:val="723563E3"/>
    <w:rsid w:val="72356B79"/>
    <w:rsid w:val="723700F2"/>
    <w:rsid w:val="72384979"/>
    <w:rsid w:val="72385B92"/>
    <w:rsid w:val="72431297"/>
    <w:rsid w:val="72477770"/>
    <w:rsid w:val="72521C52"/>
    <w:rsid w:val="72536115"/>
    <w:rsid w:val="7254098D"/>
    <w:rsid w:val="72563E57"/>
    <w:rsid w:val="725812D2"/>
    <w:rsid w:val="725974A3"/>
    <w:rsid w:val="725D3437"/>
    <w:rsid w:val="72606A84"/>
    <w:rsid w:val="72641A80"/>
    <w:rsid w:val="72641B0B"/>
    <w:rsid w:val="726825DA"/>
    <w:rsid w:val="72707240"/>
    <w:rsid w:val="7275647C"/>
    <w:rsid w:val="72790C00"/>
    <w:rsid w:val="727A5D97"/>
    <w:rsid w:val="72806FDD"/>
    <w:rsid w:val="72807126"/>
    <w:rsid w:val="728259F1"/>
    <w:rsid w:val="728C4A86"/>
    <w:rsid w:val="729130E1"/>
    <w:rsid w:val="729333CF"/>
    <w:rsid w:val="729624A5"/>
    <w:rsid w:val="729B1591"/>
    <w:rsid w:val="729C2D68"/>
    <w:rsid w:val="729F57FE"/>
    <w:rsid w:val="72A44BC2"/>
    <w:rsid w:val="72A526E9"/>
    <w:rsid w:val="72A746B3"/>
    <w:rsid w:val="72AD290B"/>
    <w:rsid w:val="72B92879"/>
    <w:rsid w:val="72BB015E"/>
    <w:rsid w:val="72C74D55"/>
    <w:rsid w:val="72D354A8"/>
    <w:rsid w:val="72D5009F"/>
    <w:rsid w:val="72D6671B"/>
    <w:rsid w:val="72DB610A"/>
    <w:rsid w:val="72DD00D4"/>
    <w:rsid w:val="72E43211"/>
    <w:rsid w:val="72EF1CB0"/>
    <w:rsid w:val="72F07E08"/>
    <w:rsid w:val="72FC1840"/>
    <w:rsid w:val="72FD2105"/>
    <w:rsid w:val="73010267"/>
    <w:rsid w:val="73060A7C"/>
    <w:rsid w:val="73075151"/>
    <w:rsid w:val="7315786E"/>
    <w:rsid w:val="73165394"/>
    <w:rsid w:val="73173736"/>
    <w:rsid w:val="73206BD9"/>
    <w:rsid w:val="73230D5D"/>
    <w:rsid w:val="732A3D34"/>
    <w:rsid w:val="732D52DF"/>
    <w:rsid w:val="73305A82"/>
    <w:rsid w:val="733221CE"/>
    <w:rsid w:val="73334198"/>
    <w:rsid w:val="73375A36"/>
    <w:rsid w:val="733F6699"/>
    <w:rsid w:val="73410663"/>
    <w:rsid w:val="73441CC9"/>
    <w:rsid w:val="73463ECB"/>
    <w:rsid w:val="73471D8B"/>
    <w:rsid w:val="73493046"/>
    <w:rsid w:val="7353536B"/>
    <w:rsid w:val="735417BE"/>
    <w:rsid w:val="7355410F"/>
    <w:rsid w:val="73577E87"/>
    <w:rsid w:val="73634DF7"/>
    <w:rsid w:val="73644352"/>
    <w:rsid w:val="736856FA"/>
    <w:rsid w:val="736B1B84"/>
    <w:rsid w:val="73724CC1"/>
    <w:rsid w:val="737603F7"/>
    <w:rsid w:val="737C5B3F"/>
    <w:rsid w:val="73802BD6"/>
    <w:rsid w:val="738A200A"/>
    <w:rsid w:val="738B18DE"/>
    <w:rsid w:val="738B7B30"/>
    <w:rsid w:val="73903399"/>
    <w:rsid w:val="739509AF"/>
    <w:rsid w:val="739F538A"/>
    <w:rsid w:val="73A00E5C"/>
    <w:rsid w:val="73A11102"/>
    <w:rsid w:val="73A34E7A"/>
    <w:rsid w:val="73AA445A"/>
    <w:rsid w:val="73AB1F81"/>
    <w:rsid w:val="73AD7AA7"/>
    <w:rsid w:val="73B61051"/>
    <w:rsid w:val="73B64557"/>
    <w:rsid w:val="73B726D3"/>
    <w:rsid w:val="73B928EF"/>
    <w:rsid w:val="73BC23E0"/>
    <w:rsid w:val="73BC418E"/>
    <w:rsid w:val="73BC62A7"/>
    <w:rsid w:val="73C05A2C"/>
    <w:rsid w:val="73C61ADF"/>
    <w:rsid w:val="73C90737"/>
    <w:rsid w:val="73CB617F"/>
    <w:rsid w:val="73CD5743"/>
    <w:rsid w:val="73D217C3"/>
    <w:rsid w:val="73D72D76"/>
    <w:rsid w:val="73D9089C"/>
    <w:rsid w:val="73D97F55"/>
    <w:rsid w:val="73DA394F"/>
    <w:rsid w:val="73DD69F8"/>
    <w:rsid w:val="73DE5EB2"/>
    <w:rsid w:val="73E3796C"/>
    <w:rsid w:val="73EB05CF"/>
    <w:rsid w:val="73EB6821"/>
    <w:rsid w:val="73F41B79"/>
    <w:rsid w:val="73F76E28"/>
    <w:rsid w:val="74005850"/>
    <w:rsid w:val="740117C0"/>
    <w:rsid w:val="74031DBD"/>
    <w:rsid w:val="740718AD"/>
    <w:rsid w:val="740875C8"/>
    <w:rsid w:val="740D71D6"/>
    <w:rsid w:val="740F42BD"/>
    <w:rsid w:val="74161AF0"/>
    <w:rsid w:val="74177616"/>
    <w:rsid w:val="741B2C62"/>
    <w:rsid w:val="741C4C2C"/>
    <w:rsid w:val="741F1F0A"/>
    <w:rsid w:val="74244DD1"/>
    <w:rsid w:val="742A7C83"/>
    <w:rsid w:val="742C326F"/>
    <w:rsid w:val="743369B7"/>
    <w:rsid w:val="74341F76"/>
    <w:rsid w:val="7434641A"/>
    <w:rsid w:val="74373814"/>
    <w:rsid w:val="743B2D1A"/>
    <w:rsid w:val="743B3304"/>
    <w:rsid w:val="743E1047"/>
    <w:rsid w:val="74406B6D"/>
    <w:rsid w:val="74416441"/>
    <w:rsid w:val="7443665D"/>
    <w:rsid w:val="74483A33"/>
    <w:rsid w:val="744E3DFC"/>
    <w:rsid w:val="74575C64"/>
    <w:rsid w:val="74586BB4"/>
    <w:rsid w:val="745E6FF3"/>
    <w:rsid w:val="74623C98"/>
    <w:rsid w:val="7463285B"/>
    <w:rsid w:val="74654825"/>
    <w:rsid w:val="7467234B"/>
    <w:rsid w:val="746C7962"/>
    <w:rsid w:val="746D7236"/>
    <w:rsid w:val="746D76BA"/>
    <w:rsid w:val="746E5488"/>
    <w:rsid w:val="746F2FAE"/>
    <w:rsid w:val="74836A59"/>
    <w:rsid w:val="749869A9"/>
    <w:rsid w:val="749874CC"/>
    <w:rsid w:val="749B3DA3"/>
    <w:rsid w:val="74A52E74"/>
    <w:rsid w:val="74A62F76"/>
    <w:rsid w:val="74A80670"/>
    <w:rsid w:val="74AB65E8"/>
    <w:rsid w:val="74AC7D5E"/>
    <w:rsid w:val="74AE3502"/>
    <w:rsid w:val="74B336B1"/>
    <w:rsid w:val="74B66E2F"/>
    <w:rsid w:val="74BB1F12"/>
    <w:rsid w:val="74BB61F3"/>
    <w:rsid w:val="74C019EA"/>
    <w:rsid w:val="74C07CAE"/>
    <w:rsid w:val="74C74B98"/>
    <w:rsid w:val="74CB28DA"/>
    <w:rsid w:val="74CC6652"/>
    <w:rsid w:val="74CF113A"/>
    <w:rsid w:val="74D379E1"/>
    <w:rsid w:val="74D472B5"/>
    <w:rsid w:val="74D774D1"/>
    <w:rsid w:val="74DA512E"/>
    <w:rsid w:val="74EC0A46"/>
    <w:rsid w:val="74EC0AA3"/>
    <w:rsid w:val="74F00593"/>
    <w:rsid w:val="74F3504C"/>
    <w:rsid w:val="74FF663C"/>
    <w:rsid w:val="75013215"/>
    <w:rsid w:val="75047B9A"/>
    <w:rsid w:val="750B40A1"/>
    <w:rsid w:val="7516167C"/>
    <w:rsid w:val="751D6EAE"/>
    <w:rsid w:val="75241FEA"/>
    <w:rsid w:val="752477A4"/>
    <w:rsid w:val="75297601"/>
    <w:rsid w:val="752B3379"/>
    <w:rsid w:val="752C40FF"/>
    <w:rsid w:val="752E2E69"/>
    <w:rsid w:val="752E4D9D"/>
    <w:rsid w:val="753541F8"/>
    <w:rsid w:val="75357D54"/>
    <w:rsid w:val="753816C8"/>
    <w:rsid w:val="753C5952"/>
    <w:rsid w:val="753D2178"/>
    <w:rsid w:val="75470E99"/>
    <w:rsid w:val="75472BD8"/>
    <w:rsid w:val="7553467E"/>
    <w:rsid w:val="755F3023"/>
    <w:rsid w:val="75610B49"/>
    <w:rsid w:val="75640639"/>
    <w:rsid w:val="756410A7"/>
    <w:rsid w:val="7564688B"/>
    <w:rsid w:val="756F711B"/>
    <w:rsid w:val="75706CE2"/>
    <w:rsid w:val="75746EB1"/>
    <w:rsid w:val="75792336"/>
    <w:rsid w:val="7581743D"/>
    <w:rsid w:val="75845F37"/>
    <w:rsid w:val="758B02BC"/>
    <w:rsid w:val="758F3128"/>
    <w:rsid w:val="75970A0E"/>
    <w:rsid w:val="759727BC"/>
    <w:rsid w:val="75973F1C"/>
    <w:rsid w:val="759E017F"/>
    <w:rsid w:val="759E3B4B"/>
    <w:rsid w:val="75A60C51"/>
    <w:rsid w:val="75A7498C"/>
    <w:rsid w:val="75AB6FD4"/>
    <w:rsid w:val="75B570E6"/>
    <w:rsid w:val="75B65C63"/>
    <w:rsid w:val="75BA64AB"/>
    <w:rsid w:val="75C73565"/>
    <w:rsid w:val="75C87993"/>
    <w:rsid w:val="75CB3D87"/>
    <w:rsid w:val="75D02172"/>
    <w:rsid w:val="75D17C6B"/>
    <w:rsid w:val="75D21089"/>
    <w:rsid w:val="75D25EEA"/>
    <w:rsid w:val="75D27C98"/>
    <w:rsid w:val="75D34EDE"/>
    <w:rsid w:val="75D43A11"/>
    <w:rsid w:val="75D51537"/>
    <w:rsid w:val="75D532E5"/>
    <w:rsid w:val="75D73501"/>
    <w:rsid w:val="75DA60DA"/>
    <w:rsid w:val="75ED062E"/>
    <w:rsid w:val="75ED0A79"/>
    <w:rsid w:val="75F64D17"/>
    <w:rsid w:val="75FA49E1"/>
    <w:rsid w:val="760029C6"/>
    <w:rsid w:val="76004806"/>
    <w:rsid w:val="760175AE"/>
    <w:rsid w:val="76041503"/>
    <w:rsid w:val="76041EF5"/>
    <w:rsid w:val="76057D5E"/>
    <w:rsid w:val="7608190C"/>
    <w:rsid w:val="76116A13"/>
    <w:rsid w:val="76143E0D"/>
    <w:rsid w:val="76157E40"/>
    <w:rsid w:val="76224B19"/>
    <w:rsid w:val="7625601A"/>
    <w:rsid w:val="762F6E99"/>
    <w:rsid w:val="763D3B4D"/>
    <w:rsid w:val="763D3EB9"/>
    <w:rsid w:val="763D7808"/>
    <w:rsid w:val="763E0E8A"/>
    <w:rsid w:val="76404C02"/>
    <w:rsid w:val="7641097A"/>
    <w:rsid w:val="76443671"/>
    <w:rsid w:val="764543C6"/>
    <w:rsid w:val="76465F91"/>
    <w:rsid w:val="76481D09"/>
    <w:rsid w:val="764D1B7C"/>
    <w:rsid w:val="76561F23"/>
    <w:rsid w:val="7659531C"/>
    <w:rsid w:val="76676633"/>
    <w:rsid w:val="76691158"/>
    <w:rsid w:val="76742AFE"/>
    <w:rsid w:val="76766876"/>
    <w:rsid w:val="7677377C"/>
    <w:rsid w:val="767753EB"/>
    <w:rsid w:val="767E397C"/>
    <w:rsid w:val="768014A2"/>
    <w:rsid w:val="76805946"/>
    <w:rsid w:val="76836466"/>
    <w:rsid w:val="76840FA7"/>
    <w:rsid w:val="76894F65"/>
    <w:rsid w:val="768A6E35"/>
    <w:rsid w:val="769A690E"/>
    <w:rsid w:val="769C5348"/>
    <w:rsid w:val="76A4069C"/>
    <w:rsid w:val="76A5532D"/>
    <w:rsid w:val="76A86BFF"/>
    <w:rsid w:val="76AE24B4"/>
    <w:rsid w:val="76B178AE"/>
    <w:rsid w:val="76B33626"/>
    <w:rsid w:val="76B95977"/>
    <w:rsid w:val="76C006BA"/>
    <w:rsid w:val="76CA6BC2"/>
    <w:rsid w:val="76D01D7F"/>
    <w:rsid w:val="76D23B71"/>
    <w:rsid w:val="76D3160A"/>
    <w:rsid w:val="76D37824"/>
    <w:rsid w:val="76D40BF4"/>
    <w:rsid w:val="76DE4A7D"/>
    <w:rsid w:val="76E041E9"/>
    <w:rsid w:val="76E61C4D"/>
    <w:rsid w:val="76E71522"/>
    <w:rsid w:val="76E9753D"/>
    <w:rsid w:val="76ED64AD"/>
    <w:rsid w:val="76EE28B0"/>
    <w:rsid w:val="76FD6F97"/>
    <w:rsid w:val="77012EC9"/>
    <w:rsid w:val="770242C9"/>
    <w:rsid w:val="77071BC4"/>
    <w:rsid w:val="770C0F88"/>
    <w:rsid w:val="771147F0"/>
    <w:rsid w:val="77162DC0"/>
    <w:rsid w:val="77212C85"/>
    <w:rsid w:val="772207AC"/>
    <w:rsid w:val="772938E8"/>
    <w:rsid w:val="77300FA6"/>
    <w:rsid w:val="7731279D"/>
    <w:rsid w:val="77324E93"/>
    <w:rsid w:val="77343640"/>
    <w:rsid w:val="77366005"/>
    <w:rsid w:val="773C0961"/>
    <w:rsid w:val="77444BC6"/>
    <w:rsid w:val="7746449A"/>
    <w:rsid w:val="77493F8A"/>
    <w:rsid w:val="774A385E"/>
    <w:rsid w:val="775F730A"/>
    <w:rsid w:val="775F7F30"/>
    <w:rsid w:val="7762586D"/>
    <w:rsid w:val="7763329E"/>
    <w:rsid w:val="77640DC4"/>
    <w:rsid w:val="77705FBE"/>
    <w:rsid w:val="77737259"/>
    <w:rsid w:val="77754D7F"/>
    <w:rsid w:val="777A58F4"/>
    <w:rsid w:val="777F175A"/>
    <w:rsid w:val="77857D5E"/>
    <w:rsid w:val="778D20C9"/>
    <w:rsid w:val="778E4093"/>
    <w:rsid w:val="77AA4F8E"/>
    <w:rsid w:val="77AE3DED"/>
    <w:rsid w:val="77BA6C36"/>
    <w:rsid w:val="77BE04D4"/>
    <w:rsid w:val="77C22B7A"/>
    <w:rsid w:val="77C35AEB"/>
    <w:rsid w:val="77C47AB5"/>
    <w:rsid w:val="77C716BC"/>
    <w:rsid w:val="77CD6969"/>
    <w:rsid w:val="77D53DF8"/>
    <w:rsid w:val="77DE0B76"/>
    <w:rsid w:val="77E56067"/>
    <w:rsid w:val="77EC3D8F"/>
    <w:rsid w:val="77F04406"/>
    <w:rsid w:val="77F40FB7"/>
    <w:rsid w:val="77FE0A3B"/>
    <w:rsid w:val="77FE4D75"/>
    <w:rsid w:val="78052C44"/>
    <w:rsid w:val="78077920"/>
    <w:rsid w:val="780835EF"/>
    <w:rsid w:val="78104AA8"/>
    <w:rsid w:val="781A1483"/>
    <w:rsid w:val="781E0815"/>
    <w:rsid w:val="781F6A99"/>
    <w:rsid w:val="78252301"/>
    <w:rsid w:val="78255B83"/>
    <w:rsid w:val="78281DF2"/>
    <w:rsid w:val="78283E4B"/>
    <w:rsid w:val="782E082C"/>
    <w:rsid w:val="783154D6"/>
    <w:rsid w:val="78316439"/>
    <w:rsid w:val="78393FFF"/>
    <w:rsid w:val="783D7431"/>
    <w:rsid w:val="783E3DBF"/>
    <w:rsid w:val="78451FD3"/>
    <w:rsid w:val="78487861"/>
    <w:rsid w:val="784B788E"/>
    <w:rsid w:val="784C1F84"/>
    <w:rsid w:val="78526E6F"/>
    <w:rsid w:val="785506C7"/>
    <w:rsid w:val="78552FD0"/>
    <w:rsid w:val="785717B2"/>
    <w:rsid w:val="78590831"/>
    <w:rsid w:val="785978ED"/>
    <w:rsid w:val="785C1A9B"/>
    <w:rsid w:val="78686CA8"/>
    <w:rsid w:val="786A065C"/>
    <w:rsid w:val="786C0B7B"/>
    <w:rsid w:val="786F1A8C"/>
    <w:rsid w:val="786F7A21"/>
    <w:rsid w:val="787119EB"/>
    <w:rsid w:val="78745037"/>
    <w:rsid w:val="78762B5D"/>
    <w:rsid w:val="78764386"/>
    <w:rsid w:val="78766533"/>
    <w:rsid w:val="7876663F"/>
    <w:rsid w:val="78767001"/>
    <w:rsid w:val="787943FB"/>
    <w:rsid w:val="78886D34"/>
    <w:rsid w:val="78947487"/>
    <w:rsid w:val="78A23B1E"/>
    <w:rsid w:val="78A42BAC"/>
    <w:rsid w:val="78A51694"/>
    <w:rsid w:val="78AE7AE9"/>
    <w:rsid w:val="78AF606F"/>
    <w:rsid w:val="78BB4A14"/>
    <w:rsid w:val="78BC6AA1"/>
    <w:rsid w:val="78C26BC4"/>
    <w:rsid w:val="78C53AE4"/>
    <w:rsid w:val="78D36201"/>
    <w:rsid w:val="78DA683F"/>
    <w:rsid w:val="78DE3C09"/>
    <w:rsid w:val="78E21FA1"/>
    <w:rsid w:val="78E35D19"/>
    <w:rsid w:val="78F33792"/>
    <w:rsid w:val="79002D6F"/>
    <w:rsid w:val="79051A74"/>
    <w:rsid w:val="79074632"/>
    <w:rsid w:val="790E548B"/>
    <w:rsid w:val="790F2D94"/>
    <w:rsid w:val="79166218"/>
    <w:rsid w:val="79180E13"/>
    <w:rsid w:val="7918102B"/>
    <w:rsid w:val="79181977"/>
    <w:rsid w:val="791D122B"/>
    <w:rsid w:val="791F31F5"/>
    <w:rsid w:val="79232704"/>
    <w:rsid w:val="79256331"/>
    <w:rsid w:val="792627D5"/>
    <w:rsid w:val="79267881"/>
    <w:rsid w:val="792A3948"/>
    <w:rsid w:val="79386064"/>
    <w:rsid w:val="79394E38"/>
    <w:rsid w:val="793D7B1F"/>
    <w:rsid w:val="794B3FEA"/>
    <w:rsid w:val="794F0BCE"/>
    <w:rsid w:val="795E1D4A"/>
    <w:rsid w:val="79621333"/>
    <w:rsid w:val="796E5F2A"/>
    <w:rsid w:val="79711576"/>
    <w:rsid w:val="79725A1A"/>
    <w:rsid w:val="79766B8D"/>
    <w:rsid w:val="797B741B"/>
    <w:rsid w:val="79883562"/>
    <w:rsid w:val="79891F4B"/>
    <w:rsid w:val="79932434"/>
    <w:rsid w:val="799C2A97"/>
    <w:rsid w:val="79A17CD4"/>
    <w:rsid w:val="79AB4269"/>
    <w:rsid w:val="79AC0800"/>
    <w:rsid w:val="79B3615D"/>
    <w:rsid w:val="79C21DD2"/>
    <w:rsid w:val="79C36276"/>
    <w:rsid w:val="79C46E13"/>
    <w:rsid w:val="79C601B6"/>
    <w:rsid w:val="79C75C6C"/>
    <w:rsid w:val="79C8388C"/>
    <w:rsid w:val="79CD2C51"/>
    <w:rsid w:val="79D35D8D"/>
    <w:rsid w:val="79D833A4"/>
    <w:rsid w:val="79DC7338"/>
    <w:rsid w:val="79E7016D"/>
    <w:rsid w:val="79ED6E4F"/>
    <w:rsid w:val="79F00D50"/>
    <w:rsid w:val="79F42064"/>
    <w:rsid w:val="79F54A66"/>
    <w:rsid w:val="79F77CCE"/>
    <w:rsid w:val="79F93A46"/>
    <w:rsid w:val="79FA77BE"/>
    <w:rsid w:val="79FF3026"/>
    <w:rsid w:val="7A010B4C"/>
    <w:rsid w:val="7A035B2D"/>
    <w:rsid w:val="7A0423EA"/>
    <w:rsid w:val="7A081EDB"/>
    <w:rsid w:val="7A0A5C53"/>
    <w:rsid w:val="7A0B19CB"/>
    <w:rsid w:val="7A0D5743"/>
    <w:rsid w:val="7A151A54"/>
    <w:rsid w:val="7A1845EE"/>
    <w:rsid w:val="7A1A196B"/>
    <w:rsid w:val="7A1A1C0E"/>
    <w:rsid w:val="7A1C7734"/>
    <w:rsid w:val="7A1C7E11"/>
    <w:rsid w:val="7A1E525A"/>
    <w:rsid w:val="7A226B24"/>
    <w:rsid w:val="7A236943"/>
    <w:rsid w:val="7A262361"/>
    <w:rsid w:val="7A287E87"/>
    <w:rsid w:val="7A293C27"/>
    <w:rsid w:val="7A2D36EF"/>
    <w:rsid w:val="7A2D6EC5"/>
    <w:rsid w:val="7A3251AA"/>
    <w:rsid w:val="7A383BCB"/>
    <w:rsid w:val="7A3A405E"/>
    <w:rsid w:val="7A3F7F97"/>
    <w:rsid w:val="7A423C4F"/>
    <w:rsid w:val="7A431A07"/>
    <w:rsid w:val="7A440A39"/>
    <w:rsid w:val="7A480258"/>
    <w:rsid w:val="7A557481"/>
    <w:rsid w:val="7A5C3FD5"/>
    <w:rsid w:val="7A5E7D4D"/>
    <w:rsid w:val="7A603AC5"/>
    <w:rsid w:val="7A61783D"/>
    <w:rsid w:val="7A634C39"/>
    <w:rsid w:val="7A6365B1"/>
    <w:rsid w:val="7A637111"/>
    <w:rsid w:val="7A6B4218"/>
    <w:rsid w:val="7A721A4A"/>
    <w:rsid w:val="7A737479"/>
    <w:rsid w:val="7A74131E"/>
    <w:rsid w:val="7A7E3F4B"/>
    <w:rsid w:val="7A917ECC"/>
    <w:rsid w:val="7A94376E"/>
    <w:rsid w:val="7A964D43"/>
    <w:rsid w:val="7A9B4AFD"/>
    <w:rsid w:val="7A9E0792"/>
    <w:rsid w:val="7A9E283F"/>
    <w:rsid w:val="7A9F5054"/>
    <w:rsid w:val="7AA11299"/>
    <w:rsid w:val="7AA61133"/>
    <w:rsid w:val="7AA716F4"/>
    <w:rsid w:val="7AAC6D0A"/>
    <w:rsid w:val="7AB23BF5"/>
    <w:rsid w:val="7ABB1198"/>
    <w:rsid w:val="7AC2422A"/>
    <w:rsid w:val="7AC953E2"/>
    <w:rsid w:val="7ACC6C5F"/>
    <w:rsid w:val="7AD63D87"/>
    <w:rsid w:val="7AD92279"/>
    <w:rsid w:val="7AEA15E0"/>
    <w:rsid w:val="7AED7587"/>
    <w:rsid w:val="7AF04140"/>
    <w:rsid w:val="7AF1471D"/>
    <w:rsid w:val="7AFB559C"/>
    <w:rsid w:val="7B060931"/>
    <w:rsid w:val="7B0D02DA"/>
    <w:rsid w:val="7B130B37"/>
    <w:rsid w:val="7B144F16"/>
    <w:rsid w:val="7B175F57"/>
    <w:rsid w:val="7B1B5C3E"/>
    <w:rsid w:val="7B1D28A1"/>
    <w:rsid w:val="7B1E2941"/>
    <w:rsid w:val="7B226FCC"/>
    <w:rsid w:val="7B320C73"/>
    <w:rsid w:val="7B3E43DF"/>
    <w:rsid w:val="7B42046A"/>
    <w:rsid w:val="7B42766E"/>
    <w:rsid w:val="7B4428FF"/>
    <w:rsid w:val="7B445194"/>
    <w:rsid w:val="7B4A57A5"/>
    <w:rsid w:val="7B4C5DF7"/>
    <w:rsid w:val="7B4D22ED"/>
    <w:rsid w:val="7B4D58CD"/>
    <w:rsid w:val="7B51340D"/>
    <w:rsid w:val="7B54152A"/>
    <w:rsid w:val="7B5573A2"/>
    <w:rsid w:val="7B562F78"/>
    <w:rsid w:val="7B5D1F2D"/>
    <w:rsid w:val="7B5E06A9"/>
    <w:rsid w:val="7B6408D0"/>
    <w:rsid w:val="7B641393"/>
    <w:rsid w:val="7B646BE5"/>
    <w:rsid w:val="7B6770D5"/>
    <w:rsid w:val="7B6A5D5B"/>
    <w:rsid w:val="7B707D38"/>
    <w:rsid w:val="7B737828"/>
    <w:rsid w:val="7B7517F2"/>
    <w:rsid w:val="7B8038EE"/>
    <w:rsid w:val="7B821819"/>
    <w:rsid w:val="7B82674A"/>
    <w:rsid w:val="7B871525"/>
    <w:rsid w:val="7B8732D3"/>
    <w:rsid w:val="7B8F52BA"/>
    <w:rsid w:val="7B915F00"/>
    <w:rsid w:val="7B926E8A"/>
    <w:rsid w:val="7BA72653"/>
    <w:rsid w:val="7BAE0860"/>
    <w:rsid w:val="7BB120FE"/>
    <w:rsid w:val="7BB223DA"/>
    <w:rsid w:val="7BB75966"/>
    <w:rsid w:val="7BBC2F7D"/>
    <w:rsid w:val="7BC2430B"/>
    <w:rsid w:val="7BC776F6"/>
    <w:rsid w:val="7BCC0CE6"/>
    <w:rsid w:val="7BCE0F02"/>
    <w:rsid w:val="7BCF7BDC"/>
    <w:rsid w:val="7BD209F2"/>
    <w:rsid w:val="7BD217F3"/>
    <w:rsid w:val="7BE26D3D"/>
    <w:rsid w:val="7BE81FC4"/>
    <w:rsid w:val="7BEB011A"/>
    <w:rsid w:val="7BF1074D"/>
    <w:rsid w:val="7BF2196F"/>
    <w:rsid w:val="7BF32717"/>
    <w:rsid w:val="7BFA5853"/>
    <w:rsid w:val="7BFE17E7"/>
    <w:rsid w:val="7C0906C4"/>
    <w:rsid w:val="7C0A7241"/>
    <w:rsid w:val="7C105077"/>
    <w:rsid w:val="7C136915"/>
    <w:rsid w:val="7C14258F"/>
    <w:rsid w:val="7C250561"/>
    <w:rsid w:val="7C266648"/>
    <w:rsid w:val="7C2700CB"/>
    <w:rsid w:val="7C281F08"/>
    <w:rsid w:val="7C286864"/>
    <w:rsid w:val="7C2A25DC"/>
    <w:rsid w:val="7C3273F1"/>
    <w:rsid w:val="7C382555"/>
    <w:rsid w:val="7C3C40BE"/>
    <w:rsid w:val="7C4579C7"/>
    <w:rsid w:val="7C4E5B9F"/>
    <w:rsid w:val="7C55517F"/>
    <w:rsid w:val="7C56768C"/>
    <w:rsid w:val="7C572CA5"/>
    <w:rsid w:val="7C63164A"/>
    <w:rsid w:val="7C647170"/>
    <w:rsid w:val="7C6D071B"/>
    <w:rsid w:val="7C6D24C9"/>
    <w:rsid w:val="7C6D36CA"/>
    <w:rsid w:val="7C725D31"/>
    <w:rsid w:val="7C776EA4"/>
    <w:rsid w:val="7C7A6994"/>
    <w:rsid w:val="7C7C6667"/>
    <w:rsid w:val="7C7E26E8"/>
    <w:rsid w:val="7C8822C7"/>
    <w:rsid w:val="7C8E41ED"/>
    <w:rsid w:val="7C8E56FB"/>
    <w:rsid w:val="7C916173"/>
    <w:rsid w:val="7C920181"/>
    <w:rsid w:val="7C961A20"/>
    <w:rsid w:val="7C9B5288"/>
    <w:rsid w:val="7C9D6A4C"/>
    <w:rsid w:val="7CA07E3D"/>
    <w:rsid w:val="7CA57EB5"/>
    <w:rsid w:val="7CA659DB"/>
    <w:rsid w:val="7CAD4FBB"/>
    <w:rsid w:val="7CB012F5"/>
    <w:rsid w:val="7CB2612E"/>
    <w:rsid w:val="7CB41EA6"/>
    <w:rsid w:val="7CB579CC"/>
    <w:rsid w:val="7CB71D39"/>
    <w:rsid w:val="7CB9078D"/>
    <w:rsid w:val="7CB93960"/>
    <w:rsid w:val="7CBE56A6"/>
    <w:rsid w:val="7CC540B3"/>
    <w:rsid w:val="7CCC3456"/>
    <w:rsid w:val="7CCD517C"/>
    <w:rsid w:val="7CD3216D"/>
    <w:rsid w:val="7CDC2259"/>
    <w:rsid w:val="7CDF016B"/>
    <w:rsid w:val="7CE704CD"/>
    <w:rsid w:val="7CE7227B"/>
    <w:rsid w:val="7CF15B8F"/>
    <w:rsid w:val="7CF20C20"/>
    <w:rsid w:val="7CFB486B"/>
    <w:rsid w:val="7D016D33"/>
    <w:rsid w:val="7D030395"/>
    <w:rsid w:val="7D066849"/>
    <w:rsid w:val="7D0E2A31"/>
    <w:rsid w:val="7D0F1E45"/>
    <w:rsid w:val="7D11024A"/>
    <w:rsid w:val="7D114111"/>
    <w:rsid w:val="7D127424"/>
    <w:rsid w:val="7D1F3C7C"/>
    <w:rsid w:val="7D2C3B80"/>
    <w:rsid w:val="7D2D5568"/>
    <w:rsid w:val="7D33726F"/>
    <w:rsid w:val="7D344D95"/>
    <w:rsid w:val="7D3E79C1"/>
    <w:rsid w:val="7D45543A"/>
    <w:rsid w:val="7D48291D"/>
    <w:rsid w:val="7D4C3528"/>
    <w:rsid w:val="7D5471E5"/>
    <w:rsid w:val="7D576182"/>
    <w:rsid w:val="7D586CD5"/>
    <w:rsid w:val="7D5A0C9F"/>
    <w:rsid w:val="7D5B0573"/>
    <w:rsid w:val="7D5B4A17"/>
    <w:rsid w:val="7D672ACC"/>
    <w:rsid w:val="7D6774DC"/>
    <w:rsid w:val="7D6C2781"/>
    <w:rsid w:val="7D6C75DF"/>
    <w:rsid w:val="7D715FE9"/>
    <w:rsid w:val="7D723ED9"/>
    <w:rsid w:val="7D7358BD"/>
    <w:rsid w:val="7D7711F3"/>
    <w:rsid w:val="7D82074B"/>
    <w:rsid w:val="7D853842"/>
    <w:rsid w:val="7D8950E1"/>
    <w:rsid w:val="7D933016"/>
    <w:rsid w:val="7D9525D3"/>
    <w:rsid w:val="7D9A2FBF"/>
    <w:rsid w:val="7DA00FED"/>
    <w:rsid w:val="7DA10A0F"/>
    <w:rsid w:val="7DA5421F"/>
    <w:rsid w:val="7DA97531"/>
    <w:rsid w:val="7DB068EF"/>
    <w:rsid w:val="7DB14637"/>
    <w:rsid w:val="7DB20452"/>
    <w:rsid w:val="7DB52379"/>
    <w:rsid w:val="7DBD122E"/>
    <w:rsid w:val="7DBD2FDC"/>
    <w:rsid w:val="7DC10D1E"/>
    <w:rsid w:val="7DC25C60"/>
    <w:rsid w:val="7DD16A88"/>
    <w:rsid w:val="7DE20C95"/>
    <w:rsid w:val="7DF17196"/>
    <w:rsid w:val="7DF22173"/>
    <w:rsid w:val="7DF764EE"/>
    <w:rsid w:val="7E004525"/>
    <w:rsid w:val="7E022500"/>
    <w:rsid w:val="7E06209B"/>
    <w:rsid w:val="7E0B01EB"/>
    <w:rsid w:val="7E0F1BC7"/>
    <w:rsid w:val="7E105802"/>
    <w:rsid w:val="7E175672"/>
    <w:rsid w:val="7E1939E8"/>
    <w:rsid w:val="7E1C5F55"/>
    <w:rsid w:val="7E1F3C97"/>
    <w:rsid w:val="7E266DD3"/>
    <w:rsid w:val="7E286F6A"/>
    <w:rsid w:val="7E2A79ED"/>
    <w:rsid w:val="7E2B3F60"/>
    <w:rsid w:val="7E2C20A9"/>
    <w:rsid w:val="7E2C6E0C"/>
    <w:rsid w:val="7E2D569D"/>
    <w:rsid w:val="7E2E7A36"/>
    <w:rsid w:val="7E335FD0"/>
    <w:rsid w:val="7E355268"/>
    <w:rsid w:val="7E357016"/>
    <w:rsid w:val="7E3747A6"/>
    <w:rsid w:val="7E394D59"/>
    <w:rsid w:val="7E3C0BAB"/>
    <w:rsid w:val="7E3F60E7"/>
    <w:rsid w:val="7E420D47"/>
    <w:rsid w:val="7E4F632A"/>
    <w:rsid w:val="7E516E43"/>
    <w:rsid w:val="7E550EF8"/>
    <w:rsid w:val="7E566C54"/>
    <w:rsid w:val="7E584AB3"/>
    <w:rsid w:val="7E5C65A1"/>
    <w:rsid w:val="7E6D67B0"/>
    <w:rsid w:val="7E6E560C"/>
    <w:rsid w:val="7E717883"/>
    <w:rsid w:val="7E7713DD"/>
    <w:rsid w:val="7E7A4D36"/>
    <w:rsid w:val="7E7C2DC0"/>
    <w:rsid w:val="7E830FEB"/>
    <w:rsid w:val="7E880E0B"/>
    <w:rsid w:val="7E927FC5"/>
    <w:rsid w:val="7EA23D68"/>
    <w:rsid w:val="7EA85A3A"/>
    <w:rsid w:val="7EAB4E7D"/>
    <w:rsid w:val="7EAF0FC2"/>
    <w:rsid w:val="7EB37C8D"/>
    <w:rsid w:val="7EBE7D50"/>
    <w:rsid w:val="7EC00FD6"/>
    <w:rsid w:val="7EC62364"/>
    <w:rsid w:val="7EC65E37"/>
    <w:rsid w:val="7ED16E96"/>
    <w:rsid w:val="7EE527EB"/>
    <w:rsid w:val="7EE77D0C"/>
    <w:rsid w:val="7EED169F"/>
    <w:rsid w:val="7EEE27A3"/>
    <w:rsid w:val="7EF173E1"/>
    <w:rsid w:val="7EF22CFB"/>
    <w:rsid w:val="7EF742CC"/>
    <w:rsid w:val="7EF77FF1"/>
    <w:rsid w:val="7EFD27DB"/>
    <w:rsid w:val="7EFE7EA6"/>
    <w:rsid w:val="7F001796"/>
    <w:rsid w:val="7F080287"/>
    <w:rsid w:val="7F0A2146"/>
    <w:rsid w:val="7F0A2251"/>
    <w:rsid w:val="7F0B3ECA"/>
    <w:rsid w:val="7F0C595B"/>
    <w:rsid w:val="7F0D26DB"/>
    <w:rsid w:val="7F0E0B5B"/>
    <w:rsid w:val="7F111831"/>
    <w:rsid w:val="7F127358"/>
    <w:rsid w:val="7F144E7E"/>
    <w:rsid w:val="7F1564C8"/>
    <w:rsid w:val="7F17671C"/>
    <w:rsid w:val="7F1C285B"/>
    <w:rsid w:val="7F201A75"/>
    <w:rsid w:val="7F203823"/>
    <w:rsid w:val="7F2552DD"/>
    <w:rsid w:val="7F2C666B"/>
    <w:rsid w:val="7F2E0FB4"/>
    <w:rsid w:val="7F3217A8"/>
    <w:rsid w:val="7F385010"/>
    <w:rsid w:val="7F436770"/>
    <w:rsid w:val="7F4734A5"/>
    <w:rsid w:val="7F546D3F"/>
    <w:rsid w:val="7F572354"/>
    <w:rsid w:val="7F587460"/>
    <w:rsid w:val="7F5B6FB7"/>
    <w:rsid w:val="7F5D16A5"/>
    <w:rsid w:val="7F610805"/>
    <w:rsid w:val="7F625BE9"/>
    <w:rsid w:val="7F651B7D"/>
    <w:rsid w:val="7F6578FB"/>
    <w:rsid w:val="7F6776A3"/>
    <w:rsid w:val="7F6851CA"/>
    <w:rsid w:val="7F6E1CA0"/>
    <w:rsid w:val="7F6F6558"/>
    <w:rsid w:val="7F703639"/>
    <w:rsid w:val="7F71407E"/>
    <w:rsid w:val="7F7320D8"/>
    <w:rsid w:val="7F7E49ED"/>
    <w:rsid w:val="7F837419"/>
    <w:rsid w:val="7F875650"/>
    <w:rsid w:val="7F8E2BA0"/>
    <w:rsid w:val="7F983A28"/>
    <w:rsid w:val="7F9935D5"/>
    <w:rsid w:val="7FA73EAD"/>
    <w:rsid w:val="7FA75CF2"/>
    <w:rsid w:val="7FAD7F17"/>
    <w:rsid w:val="7FAF4BA7"/>
    <w:rsid w:val="7FB16B71"/>
    <w:rsid w:val="7FB65F35"/>
    <w:rsid w:val="7FB7323C"/>
    <w:rsid w:val="7FB977D3"/>
    <w:rsid w:val="7FC248DA"/>
    <w:rsid w:val="7FC86B49"/>
    <w:rsid w:val="7FCB5E84"/>
    <w:rsid w:val="7FCC6956"/>
    <w:rsid w:val="7FCF6FF7"/>
    <w:rsid w:val="7FE42AA2"/>
    <w:rsid w:val="7FE44850"/>
    <w:rsid w:val="7FEA64A6"/>
    <w:rsid w:val="7FEC7BA9"/>
    <w:rsid w:val="7FF627D5"/>
    <w:rsid w:val="7FF6458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99"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64"/>
    <w:qFormat/>
    <w:uiPriority w:val="0"/>
    <w:pPr>
      <w:keepNext/>
      <w:keepLines/>
      <w:spacing w:before="340" w:after="330" w:line="576" w:lineRule="auto"/>
      <w:outlineLvl w:val="0"/>
    </w:pPr>
    <w:rPr>
      <w:b/>
      <w:kern w:val="44"/>
      <w:sz w:val="28"/>
    </w:rPr>
  </w:style>
  <w:style w:type="paragraph" w:styleId="3">
    <w:name w:val="heading 2"/>
    <w:basedOn w:val="1"/>
    <w:next w:val="1"/>
    <w:qFormat/>
    <w:uiPriority w:val="0"/>
    <w:pPr>
      <w:keepNext/>
      <w:keepLines/>
      <w:spacing w:before="260" w:after="260" w:line="416" w:lineRule="auto"/>
      <w:outlineLvl w:val="1"/>
    </w:pPr>
    <w:rPr>
      <w:rFonts w:ascii="Cambria" w:hAnsi="Cambria"/>
      <w:b/>
      <w:bCs/>
      <w:kern w:val="0"/>
      <w:sz w:val="28"/>
      <w:szCs w:val="28"/>
    </w:rPr>
  </w:style>
  <w:style w:type="paragraph" w:styleId="4">
    <w:name w:val="heading 3"/>
    <w:basedOn w:val="1"/>
    <w:next w:val="1"/>
    <w:qFormat/>
    <w:uiPriority w:val="0"/>
    <w:pPr>
      <w:keepNext/>
      <w:keepLines/>
      <w:spacing w:before="260" w:after="260" w:line="413" w:lineRule="auto"/>
      <w:outlineLvl w:val="2"/>
    </w:pPr>
    <w:rPr>
      <w:b/>
      <w:bCs/>
      <w:kern w:val="0"/>
      <w:sz w:val="28"/>
      <w:szCs w:val="32"/>
    </w:rPr>
  </w:style>
  <w:style w:type="paragraph" w:styleId="5">
    <w:name w:val="heading 4"/>
    <w:basedOn w:val="1"/>
    <w:next w:val="1"/>
    <w:link w:val="59"/>
    <w:qFormat/>
    <w:uiPriority w:val="0"/>
    <w:pPr>
      <w:autoSpaceDE w:val="0"/>
      <w:autoSpaceDN w:val="0"/>
      <w:spacing w:before="62"/>
      <w:ind w:left="80"/>
      <w:jc w:val="left"/>
      <w:outlineLvl w:val="3"/>
    </w:pPr>
    <w:rPr>
      <w:rFonts w:ascii="宋体" w:hAnsi="宋体" w:cs="宋体"/>
      <w:b/>
      <w:kern w:val="0"/>
      <w:sz w:val="28"/>
      <w:szCs w:val="28"/>
      <w:lang w:val="zh-CN" w:bidi="zh-CN"/>
    </w:rPr>
  </w:style>
  <w:style w:type="paragraph" w:styleId="6">
    <w:name w:val="heading 5"/>
    <w:basedOn w:val="1"/>
    <w:next w:val="1"/>
    <w:qFormat/>
    <w:uiPriority w:val="0"/>
    <w:pPr>
      <w:autoSpaceDE w:val="0"/>
      <w:autoSpaceDN w:val="0"/>
      <w:ind w:left="2051"/>
      <w:jc w:val="left"/>
      <w:outlineLvl w:val="4"/>
    </w:pPr>
    <w:rPr>
      <w:rFonts w:ascii="宋体" w:hAnsi="宋体" w:cs="宋体"/>
      <w:kern w:val="0"/>
      <w:sz w:val="28"/>
      <w:szCs w:val="28"/>
      <w:lang w:val="zh-CN" w:bidi="zh-CN"/>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7">
    <w:name w:val="Normal Indent"/>
    <w:basedOn w:val="1"/>
    <w:next w:val="5"/>
    <w:link w:val="36"/>
    <w:qFormat/>
    <w:uiPriority w:val="0"/>
    <w:pPr>
      <w:ind w:firstLine="420"/>
    </w:pPr>
    <w:rPr>
      <w:rFonts w:ascii="Times New Roman" w:hAnsi="Times New Roman" w:eastAsia="宋体" w:cs="Times New Roman"/>
      <w:szCs w:val="22"/>
    </w:rPr>
  </w:style>
  <w:style w:type="paragraph" w:styleId="8">
    <w:name w:val="Document Map"/>
    <w:basedOn w:val="1"/>
    <w:link w:val="49"/>
    <w:qFormat/>
    <w:uiPriority w:val="0"/>
    <w:rPr>
      <w:rFonts w:ascii="宋体" w:eastAsia="宋体"/>
      <w:sz w:val="18"/>
      <w:szCs w:val="18"/>
    </w:rPr>
  </w:style>
  <w:style w:type="paragraph" w:styleId="9">
    <w:name w:val="toa heading"/>
    <w:basedOn w:val="1"/>
    <w:next w:val="1"/>
    <w:qFormat/>
    <w:uiPriority w:val="0"/>
    <w:pPr>
      <w:spacing w:before="120"/>
    </w:pPr>
    <w:rPr>
      <w:rFonts w:ascii="Cambria" w:hAnsi="Cambria"/>
      <w:sz w:val="24"/>
    </w:rPr>
  </w:style>
  <w:style w:type="paragraph" w:styleId="10">
    <w:name w:val="annotation text"/>
    <w:basedOn w:val="1"/>
    <w:qFormat/>
    <w:uiPriority w:val="0"/>
    <w:pPr>
      <w:jc w:val="left"/>
    </w:pPr>
  </w:style>
  <w:style w:type="paragraph" w:styleId="11">
    <w:name w:val="Body Text"/>
    <w:basedOn w:val="1"/>
    <w:qFormat/>
    <w:uiPriority w:val="0"/>
    <w:pPr>
      <w:spacing w:line="300" w:lineRule="exact"/>
    </w:pPr>
    <w:rPr>
      <w:rFonts w:ascii="宋体" w:hAnsi="宋体"/>
      <w:sz w:val="24"/>
    </w:rPr>
  </w:style>
  <w:style w:type="paragraph" w:styleId="12">
    <w:name w:val="Body Text Indent"/>
    <w:basedOn w:val="1"/>
    <w:next w:val="13"/>
    <w:qFormat/>
    <w:uiPriority w:val="99"/>
    <w:pPr>
      <w:spacing w:line="440" w:lineRule="exact"/>
      <w:ind w:firstLine="630"/>
    </w:pPr>
    <w:rPr>
      <w:rFonts w:ascii="宋体" w:hAnsi="宋体"/>
      <w:sz w:val="28"/>
    </w:rPr>
  </w:style>
  <w:style w:type="paragraph" w:styleId="13">
    <w:name w:val="envelope return"/>
    <w:basedOn w:val="1"/>
    <w:qFormat/>
    <w:uiPriority w:val="0"/>
    <w:pPr>
      <w:snapToGrid w:val="0"/>
      <w:spacing w:line="360" w:lineRule="auto"/>
      <w:ind w:firstLine="200" w:firstLineChars="200"/>
    </w:pPr>
    <w:rPr>
      <w:rFonts w:ascii="Arial" w:hAnsi="Arial" w:cs="Arial"/>
      <w:sz w:val="24"/>
    </w:rPr>
  </w:style>
  <w:style w:type="paragraph" w:styleId="14">
    <w:name w:val="toc 3"/>
    <w:basedOn w:val="1"/>
    <w:next w:val="1"/>
    <w:qFormat/>
    <w:uiPriority w:val="39"/>
    <w:pPr>
      <w:ind w:left="840" w:leftChars="400"/>
    </w:pPr>
  </w:style>
  <w:style w:type="paragraph" w:styleId="15">
    <w:name w:val="Plain Text"/>
    <w:basedOn w:val="1"/>
    <w:link w:val="42"/>
    <w:qFormat/>
    <w:uiPriority w:val="0"/>
    <w:rPr>
      <w:rFonts w:ascii="宋体" w:hAnsi="Courier New" w:eastAsia="宋体" w:cs="Times New Roman"/>
      <w:szCs w:val="20"/>
    </w:rPr>
  </w:style>
  <w:style w:type="paragraph" w:styleId="16">
    <w:name w:val="Date"/>
    <w:basedOn w:val="1"/>
    <w:next w:val="1"/>
    <w:qFormat/>
    <w:uiPriority w:val="99"/>
    <w:pPr>
      <w:widowControl w:val="0"/>
      <w:ind w:left="100" w:leftChars="2500"/>
      <w:jc w:val="both"/>
    </w:pPr>
    <w:rPr>
      <w:rFonts w:ascii="宋体" w:hAnsi="Courier New" w:eastAsia="宋体" w:cs="Times New Roman"/>
      <w:sz w:val="21"/>
      <w:szCs w:val="21"/>
      <w:lang w:val="en-US" w:eastAsia="zh-CN" w:bidi="ar-SA"/>
    </w:rPr>
  </w:style>
  <w:style w:type="paragraph" w:styleId="17">
    <w:name w:val="Body Text Indent 2"/>
    <w:basedOn w:val="1"/>
    <w:qFormat/>
    <w:uiPriority w:val="0"/>
    <w:pPr>
      <w:spacing w:after="120" w:line="480" w:lineRule="auto"/>
      <w:ind w:left="420" w:leftChars="200"/>
    </w:pPr>
    <w:rPr>
      <w:rFonts w:ascii="等线" w:hAnsi="等线" w:eastAsia="等线" w:cs="Times New Roman"/>
      <w:szCs w:val="24"/>
    </w:rPr>
  </w:style>
  <w:style w:type="paragraph" w:styleId="18">
    <w:name w:val="Balloon Text"/>
    <w:basedOn w:val="1"/>
    <w:link w:val="40"/>
    <w:qFormat/>
    <w:uiPriority w:val="0"/>
    <w:rPr>
      <w:sz w:val="18"/>
      <w:szCs w:val="18"/>
    </w:rPr>
  </w:style>
  <w:style w:type="paragraph" w:styleId="19">
    <w:name w:val="footer"/>
    <w:basedOn w:val="1"/>
    <w:link w:val="38"/>
    <w:unhideWhenUsed/>
    <w:qFormat/>
    <w:uiPriority w:val="99"/>
    <w:pPr>
      <w:tabs>
        <w:tab w:val="center" w:pos="4153"/>
        <w:tab w:val="right" w:pos="8306"/>
      </w:tabs>
      <w:snapToGrid w:val="0"/>
    </w:pPr>
    <w:rPr>
      <w:sz w:val="18"/>
      <w:szCs w:val="18"/>
    </w:rPr>
  </w:style>
  <w:style w:type="paragraph" w:styleId="20">
    <w:name w:val="header"/>
    <w:basedOn w:val="1"/>
    <w:link w:val="37"/>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21">
    <w:name w:val="toc 1"/>
    <w:basedOn w:val="1"/>
    <w:next w:val="1"/>
    <w:qFormat/>
    <w:uiPriority w:val="39"/>
  </w:style>
  <w:style w:type="paragraph" w:styleId="22">
    <w:name w:val="toc 2"/>
    <w:basedOn w:val="1"/>
    <w:next w:val="1"/>
    <w:qFormat/>
    <w:uiPriority w:val="39"/>
    <w:pPr>
      <w:ind w:left="420" w:leftChars="200"/>
    </w:pPr>
  </w:style>
  <w:style w:type="paragraph" w:styleId="23">
    <w:name w:val="HTML Preformatted"/>
    <w:basedOn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24">
    <w:name w:val="Title"/>
    <w:basedOn w:val="1"/>
    <w:next w:val="1"/>
    <w:qFormat/>
    <w:uiPriority w:val="0"/>
    <w:pPr>
      <w:spacing w:before="240" w:after="60"/>
      <w:jc w:val="center"/>
      <w:outlineLvl w:val="0"/>
    </w:pPr>
    <w:rPr>
      <w:rFonts w:ascii="Cambria" w:hAnsi="Cambria"/>
      <w:b/>
      <w:bCs/>
      <w:kern w:val="0"/>
      <w:sz w:val="44"/>
      <w:szCs w:val="32"/>
    </w:rPr>
  </w:style>
  <w:style w:type="paragraph" w:styleId="25">
    <w:name w:val="Body Text First Indent 2"/>
    <w:basedOn w:val="12"/>
    <w:next w:val="1"/>
    <w:qFormat/>
    <w:uiPriority w:val="0"/>
    <w:pPr>
      <w:ind w:firstLine="420" w:firstLineChars="200"/>
    </w:pPr>
    <w:rPr>
      <w:kern w:val="2"/>
      <w:sz w:val="21"/>
      <w:lang w:val="en-US" w:eastAsia="zh-CN"/>
    </w:rPr>
  </w:style>
  <w:style w:type="table" w:styleId="27">
    <w:name w:val="Table Grid"/>
    <w:basedOn w:val="26"/>
    <w:qFormat/>
    <w:uiPriority w:val="39"/>
    <w:rPr>
      <w:rFonts w:asciiTheme="minorHAnsi" w:hAnsiTheme="minorHAnsi" w:eastAsiaTheme="minorEastAsia" w:cstheme="minorBid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9">
    <w:name w:val="Strong"/>
    <w:basedOn w:val="28"/>
    <w:qFormat/>
    <w:uiPriority w:val="0"/>
    <w:rPr>
      <w:b/>
    </w:rPr>
  </w:style>
  <w:style w:type="character" w:styleId="30">
    <w:name w:val="page number"/>
    <w:basedOn w:val="28"/>
    <w:qFormat/>
    <w:uiPriority w:val="0"/>
  </w:style>
  <w:style w:type="character" w:styleId="31">
    <w:name w:val="FollowedHyperlink"/>
    <w:basedOn w:val="28"/>
    <w:qFormat/>
    <w:uiPriority w:val="0"/>
    <w:rPr>
      <w:color w:val="800080"/>
      <w:u w:val="none"/>
    </w:rPr>
  </w:style>
  <w:style w:type="character" w:styleId="32">
    <w:name w:val="Hyperlink"/>
    <w:basedOn w:val="28"/>
    <w:autoRedefine/>
    <w:unhideWhenUsed/>
    <w:qFormat/>
    <w:uiPriority w:val="99"/>
    <w:rPr>
      <w:color w:val="0563C1" w:themeColor="hyperlink"/>
      <w:u w:val="single"/>
    </w:rPr>
  </w:style>
  <w:style w:type="paragraph" w:customStyle="1" w:styleId="33">
    <w:name w:val="_Style 3"/>
    <w:basedOn w:val="1"/>
    <w:autoRedefine/>
    <w:qFormat/>
    <w:uiPriority w:val="0"/>
    <w:pPr>
      <w:ind w:firstLine="200" w:firstLineChars="200"/>
    </w:pPr>
  </w:style>
  <w:style w:type="character" w:customStyle="1" w:styleId="34">
    <w:name w:val="NormalCharacter"/>
    <w:autoRedefine/>
    <w:qFormat/>
    <w:uiPriority w:val="0"/>
  </w:style>
  <w:style w:type="paragraph" w:customStyle="1" w:styleId="35">
    <w:name w:val="PlainText"/>
    <w:basedOn w:val="1"/>
    <w:autoRedefine/>
    <w:qFormat/>
    <w:uiPriority w:val="0"/>
    <w:pPr>
      <w:textAlignment w:val="baseline"/>
    </w:pPr>
    <w:rPr>
      <w:rFonts w:ascii="宋体" w:hAnsi="Courier New" w:eastAsia="宋体" w:cs="Times New Roman"/>
    </w:rPr>
  </w:style>
  <w:style w:type="character" w:customStyle="1" w:styleId="36">
    <w:name w:val="正文缩进 Char"/>
    <w:link w:val="7"/>
    <w:autoRedefine/>
    <w:qFormat/>
    <w:uiPriority w:val="0"/>
    <w:rPr>
      <w:kern w:val="2"/>
      <w:sz w:val="21"/>
      <w:szCs w:val="22"/>
    </w:rPr>
  </w:style>
  <w:style w:type="character" w:customStyle="1" w:styleId="37">
    <w:name w:val="页眉 Char"/>
    <w:link w:val="20"/>
    <w:autoRedefine/>
    <w:qFormat/>
    <w:uiPriority w:val="0"/>
    <w:rPr>
      <w:rFonts w:asciiTheme="minorHAnsi" w:hAnsiTheme="minorHAnsi" w:eastAsiaTheme="minorEastAsia" w:cstheme="minorBidi"/>
      <w:kern w:val="2"/>
      <w:sz w:val="18"/>
      <w:szCs w:val="24"/>
    </w:rPr>
  </w:style>
  <w:style w:type="character" w:customStyle="1" w:styleId="38">
    <w:name w:val="页脚 Char"/>
    <w:basedOn w:val="28"/>
    <w:link w:val="19"/>
    <w:autoRedefine/>
    <w:qFormat/>
    <w:uiPriority w:val="99"/>
    <w:rPr>
      <w:rFonts w:asciiTheme="minorHAnsi" w:hAnsiTheme="minorHAnsi" w:eastAsiaTheme="minorEastAsia" w:cstheme="minorBidi"/>
      <w:kern w:val="2"/>
      <w:sz w:val="18"/>
      <w:szCs w:val="18"/>
    </w:rPr>
  </w:style>
  <w:style w:type="paragraph" w:customStyle="1" w:styleId="39">
    <w:name w:val="TOC 标题1"/>
    <w:basedOn w:val="2"/>
    <w:next w:val="1"/>
    <w:autoRedefine/>
    <w:unhideWhenUsed/>
    <w:qFormat/>
    <w:uiPriority w:val="39"/>
    <w:pPr>
      <w:widowControl/>
      <w:spacing w:before="480" w:after="0" w:line="276" w:lineRule="auto"/>
      <w:jc w:val="left"/>
      <w:outlineLvl w:val="9"/>
    </w:pPr>
    <w:rPr>
      <w:rFonts w:asciiTheme="majorHAnsi" w:hAnsiTheme="majorHAnsi" w:eastAsiaTheme="majorEastAsia" w:cstheme="majorBidi"/>
      <w:bCs/>
      <w:color w:val="2E75B5" w:themeColor="accent1" w:themeShade="BF"/>
      <w:kern w:val="0"/>
      <w:szCs w:val="28"/>
    </w:rPr>
  </w:style>
  <w:style w:type="character" w:customStyle="1" w:styleId="40">
    <w:name w:val="批注框文本 Char"/>
    <w:basedOn w:val="28"/>
    <w:link w:val="18"/>
    <w:autoRedefine/>
    <w:qFormat/>
    <w:uiPriority w:val="0"/>
    <w:rPr>
      <w:rFonts w:asciiTheme="minorHAnsi" w:hAnsiTheme="minorHAnsi" w:eastAsiaTheme="minorEastAsia" w:cstheme="minorBidi"/>
      <w:kern w:val="2"/>
      <w:sz w:val="18"/>
      <w:szCs w:val="18"/>
    </w:rPr>
  </w:style>
  <w:style w:type="character" w:customStyle="1" w:styleId="41">
    <w:name w:val="纯文本 Char"/>
    <w:autoRedefine/>
    <w:qFormat/>
    <w:uiPriority w:val="0"/>
    <w:rPr>
      <w:rFonts w:ascii="宋体" w:hAnsi="Courier New"/>
      <w:kern w:val="2"/>
      <w:sz w:val="21"/>
    </w:rPr>
  </w:style>
  <w:style w:type="character" w:customStyle="1" w:styleId="42">
    <w:name w:val="纯文本 Char1"/>
    <w:basedOn w:val="28"/>
    <w:link w:val="15"/>
    <w:autoRedefine/>
    <w:qFormat/>
    <w:uiPriority w:val="0"/>
    <w:rPr>
      <w:rFonts w:ascii="宋体" w:hAnsi="Courier New" w:cs="Courier New"/>
      <w:kern w:val="2"/>
      <w:sz w:val="21"/>
      <w:szCs w:val="21"/>
    </w:rPr>
  </w:style>
  <w:style w:type="paragraph" w:customStyle="1" w:styleId="43">
    <w:name w:val="列出段落5"/>
    <w:basedOn w:val="1"/>
    <w:autoRedefine/>
    <w:qFormat/>
    <w:uiPriority w:val="34"/>
    <w:pPr>
      <w:ind w:firstLine="420" w:firstLineChars="200"/>
    </w:pPr>
    <w:rPr>
      <w:rFonts w:ascii="Calibri" w:hAnsi="Calibri"/>
      <w:sz w:val="24"/>
    </w:rPr>
  </w:style>
  <w:style w:type="paragraph" w:styleId="44">
    <w:name w:val="List Paragraph"/>
    <w:basedOn w:val="1"/>
    <w:link w:val="47"/>
    <w:autoRedefine/>
    <w:qFormat/>
    <w:uiPriority w:val="34"/>
    <w:pPr>
      <w:ind w:firstLine="420" w:firstLineChars="200"/>
    </w:pPr>
    <w:rPr>
      <w:rFonts w:ascii="Calibri" w:hAnsi="Calibri"/>
      <w:sz w:val="24"/>
    </w:rPr>
  </w:style>
  <w:style w:type="paragraph" w:customStyle="1" w:styleId="45">
    <w:name w:val="列出段落51"/>
    <w:basedOn w:val="1"/>
    <w:autoRedefine/>
    <w:qFormat/>
    <w:uiPriority w:val="34"/>
    <w:pPr>
      <w:ind w:firstLine="420" w:firstLineChars="200"/>
    </w:pPr>
    <w:rPr>
      <w:rFonts w:ascii="Calibri" w:hAnsi="Calibri"/>
      <w:sz w:val="24"/>
    </w:rPr>
  </w:style>
  <w:style w:type="paragraph" w:customStyle="1" w:styleId="46">
    <w:name w:val="列出段落1"/>
    <w:basedOn w:val="1"/>
    <w:autoRedefine/>
    <w:qFormat/>
    <w:uiPriority w:val="99"/>
    <w:pPr>
      <w:ind w:firstLine="420" w:firstLineChars="200"/>
    </w:pPr>
    <w:rPr>
      <w:rFonts w:ascii="Calibri" w:hAnsi="Calibri"/>
      <w:sz w:val="24"/>
    </w:rPr>
  </w:style>
  <w:style w:type="character" w:customStyle="1" w:styleId="47">
    <w:name w:val="列出段落 Char"/>
    <w:link w:val="44"/>
    <w:autoRedefine/>
    <w:qFormat/>
    <w:locked/>
    <w:uiPriority w:val="34"/>
    <w:rPr>
      <w:rFonts w:ascii="Calibri" w:hAnsi="Calibri" w:eastAsiaTheme="minorEastAsia" w:cstheme="minorBidi"/>
      <w:kern w:val="2"/>
      <w:sz w:val="24"/>
      <w:szCs w:val="24"/>
    </w:rPr>
  </w:style>
  <w:style w:type="paragraph" w:customStyle="1" w:styleId="48">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49">
    <w:name w:val="文档结构图 Char"/>
    <w:basedOn w:val="28"/>
    <w:link w:val="8"/>
    <w:autoRedefine/>
    <w:qFormat/>
    <w:uiPriority w:val="0"/>
    <w:rPr>
      <w:rFonts w:ascii="宋体" w:hAnsiTheme="minorHAnsi" w:cstheme="minorBidi"/>
      <w:kern w:val="2"/>
      <w:sz w:val="18"/>
      <w:szCs w:val="18"/>
    </w:rPr>
  </w:style>
  <w:style w:type="character" w:customStyle="1" w:styleId="50">
    <w:name w:val="font21"/>
    <w:basedOn w:val="28"/>
    <w:autoRedefine/>
    <w:qFormat/>
    <w:uiPriority w:val="0"/>
    <w:rPr>
      <w:rFonts w:hint="eastAsia" w:ascii="宋体" w:hAnsi="宋体" w:eastAsia="宋体" w:cs="宋体"/>
      <w:color w:val="000000"/>
      <w:sz w:val="24"/>
      <w:szCs w:val="24"/>
      <w:u w:val="none"/>
    </w:rPr>
  </w:style>
  <w:style w:type="character" w:customStyle="1" w:styleId="51">
    <w:name w:val="font01"/>
    <w:basedOn w:val="28"/>
    <w:autoRedefine/>
    <w:qFormat/>
    <w:uiPriority w:val="0"/>
    <w:rPr>
      <w:rFonts w:hint="eastAsia" w:ascii="宋体" w:hAnsi="宋体" w:eastAsia="宋体" w:cs="宋体"/>
      <w:color w:val="000000"/>
      <w:sz w:val="24"/>
      <w:szCs w:val="24"/>
      <w:u w:val="none"/>
    </w:rPr>
  </w:style>
  <w:style w:type="character" w:customStyle="1" w:styleId="52">
    <w:name w:val="font61"/>
    <w:basedOn w:val="28"/>
    <w:autoRedefine/>
    <w:qFormat/>
    <w:uiPriority w:val="0"/>
    <w:rPr>
      <w:rFonts w:hint="eastAsia" w:ascii="宋体" w:hAnsi="宋体" w:eastAsia="宋体" w:cs="宋体"/>
      <w:color w:val="000000"/>
      <w:sz w:val="12"/>
      <w:szCs w:val="12"/>
      <w:u w:val="none"/>
    </w:rPr>
  </w:style>
  <w:style w:type="paragraph" w:customStyle="1" w:styleId="53">
    <w:name w:val="179"/>
    <w:basedOn w:val="1"/>
    <w:autoRedefine/>
    <w:qFormat/>
    <w:uiPriority w:val="0"/>
    <w:pPr>
      <w:spacing w:line="240" w:lineRule="auto"/>
      <w:ind w:left="2196" w:hanging="600"/>
      <w:jc w:val="both"/>
      <w:textAlignment w:val="baseline"/>
    </w:pPr>
    <w:rPr>
      <w:rFonts w:ascii="宋体" w:hAnsi="宋体" w:eastAsia="宋体"/>
      <w:kern w:val="2"/>
      <w:sz w:val="21"/>
      <w:szCs w:val="24"/>
      <w:lang w:val="zh-CN" w:eastAsia="zh-CN" w:bidi="zh-CN"/>
    </w:rPr>
  </w:style>
  <w:style w:type="paragraph" w:customStyle="1" w:styleId="54">
    <w:name w:val="Table Paragraph"/>
    <w:basedOn w:val="1"/>
    <w:autoRedefine/>
    <w:qFormat/>
    <w:uiPriority w:val="1"/>
    <w:pPr>
      <w:autoSpaceDE w:val="0"/>
      <w:autoSpaceDN w:val="0"/>
      <w:jc w:val="left"/>
    </w:pPr>
    <w:rPr>
      <w:rFonts w:ascii="宋体" w:hAnsi="宋体" w:cs="宋体"/>
      <w:kern w:val="0"/>
      <w:sz w:val="22"/>
      <w:szCs w:val="22"/>
      <w:lang w:eastAsia="en-US"/>
    </w:rPr>
  </w:style>
  <w:style w:type="paragraph" w:customStyle="1" w:styleId="55">
    <w:name w:val="WPSOffice手动目录 1"/>
    <w:autoRedefine/>
    <w:qFormat/>
    <w:uiPriority w:val="0"/>
    <w:pPr>
      <w:ind w:leftChars="0"/>
    </w:pPr>
    <w:rPr>
      <w:rFonts w:ascii="Times New Roman" w:hAnsi="Times New Roman" w:eastAsia="宋体" w:cs="Times New Roman"/>
      <w:sz w:val="20"/>
      <w:szCs w:val="20"/>
    </w:rPr>
  </w:style>
  <w:style w:type="paragraph" w:customStyle="1" w:styleId="56">
    <w:name w:val="WPSOffice手动目录 2"/>
    <w:autoRedefine/>
    <w:qFormat/>
    <w:uiPriority w:val="0"/>
    <w:pPr>
      <w:ind w:leftChars="200"/>
    </w:pPr>
    <w:rPr>
      <w:rFonts w:ascii="Times New Roman" w:hAnsi="Times New Roman" w:eastAsia="宋体" w:cs="Times New Roman"/>
      <w:sz w:val="20"/>
      <w:szCs w:val="20"/>
    </w:rPr>
  </w:style>
  <w:style w:type="paragraph" w:customStyle="1" w:styleId="57">
    <w:name w:val="WPSOffice手动目录 3"/>
    <w:autoRedefine/>
    <w:qFormat/>
    <w:uiPriority w:val="0"/>
    <w:pPr>
      <w:ind w:leftChars="400"/>
    </w:pPr>
    <w:rPr>
      <w:rFonts w:ascii="Times New Roman" w:hAnsi="Times New Roman" w:eastAsia="宋体" w:cs="Times New Roman"/>
      <w:sz w:val="20"/>
      <w:szCs w:val="20"/>
    </w:rPr>
  </w:style>
  <w:style w:type="paragraph" w:customStyle="1" w:styleId="58">
    <w:name w:val="Normal (Web)"/>
    <w:basedOn w:val="1"/>
    <w:autoRedefine/>
    <w:qFormat/>
    <w:uiPriority w:val="0"/>
    <w:pPr>
      <w:widowControl/>
      <w:spacing w:before="100" w:beforeAutospacing="1" w:after="100" w:afterAutospacing="1"/>
      <w:jc w:val="left"/>
    </w:pPr>
    <w:rPr>
      <w:rFonts w:ascii="宋体" w:hAnsi="宋体" w:cs="宋体"/>
      <w:color w:val="000000"/>
      <w:kern w:val="0"/>
      <w:sz w:val="24"/>
      <w:szCs w:val="24"/>
    </w:rPr>
  </w:style>
  <w:style w:type="character" w:customStyle="1" w:styleId="59">
    <w:name w:val="标题 4 Char"/>
    <w:basedOn w:val="28"/>
    <w:link w:val="5"/>
    <w:autoRedefine/>
    <w:qFormat/>
    <w:uiPriority w:val="0"/>
    <w:rPr>
      <w:rFonts w:ascii="宋体" w:hAnsi="宋体" w:cs="宋体"/>
      <w:b/>
      <w:kern w:val="0"/>
      <w:sz w:val="28"/>
      <w:szCs w:val="28"/>
      <w:lang w:val="zh-CN" w:bidi="zh-CN"/>
    </w:rPr>
  </w:style>
  <w:style w:type="character" w:customStyle="1" w:styleId="60">
    <w:name w:val="默认段落字体1"/>
    <w:autoRedefine/>
    <w:qFormat/>
    <w:uiPriority w:val="0"/>
  </w:style>
  <w:style w:type="character" w:customStyle="1" w:styleId="61">
    <w:name w:val="flatpickr-weekday2"/>
    <w:basedOn w:val="28"/>
    <w:qFormat/>
    <w:uiPriority w:val="0"/>
    <w:rPr>
      <w:b/>
      <w:bCs/>
      <w:sz w:val="21"/>
      <w:szCs w:val="21"/>
    </w:rPr>
  </w:style>
  <w:style w:type="character" w:customStyle="1" w:styleId="62">
    <w:name w:val="flatpickr-day2"/>
    <w:basedOn w:val="28"/>
    <w:qFormat/>
    <w:uiPriority w:val="0"/>
  </w:style>
  <w:style w:type="character" w:customStyle="1" w:styleId="63">
    <w:name w:val="flatpickr-day"/>
    <w:basedOn w:val="28"/>
    <w:qFormat/>
    <w:uiPriority w:val="0"/>
  </w:style>
  <w:style w:type="character" w:customStyle="1" w:styleId="64">
    <w:name w:val="标题 1 Char"/>
    <w:link w:val="2"/>
    <w:qFormat/>
    <w:uiPriority w:val="0"/>
    <w:rPr>
      <w:b/>
      <w:kern w:val="44"/>
      <w:sz w:val="28"/>
    </w:rPr>
  </w:style>
  <w:style w:type="character" w:customStyle="1" w:styleId="65">
    <w:name w:val="flatpickr-weekday"/>
    <w:basedOn w:val="28"/>
    <w:qFormat/>
    <w:uiPriority w:val="0"/>
    <w:rPr>
      <w:b/>
      <w:bCs/>
      <w:sz w:val="21"/>
      <w:szCs w:val="21"/>
    </w:rPr>
  </w:style>
  <w:style w:type="table" w:customStyle="1" w:styleId="66">
    <w:name w:val="Table Normal"/>
    <w:semiHidden/>
    <w:unhideWhenUsed/>
    <w:qFormat/>
    <w:uiPriority w:val="0"/>
    <w:tblPr>
      <w:tblCellMar>
        <w:top w:w="0" w:type="dxa"/>
        <w:left w:w="0" w:type="dxa"/>
        <w:bottom w:w="0" w:type="dxa"/>
        <w:right w:w="0" w:type="dxa"/>
      </w:tblCellMar>
    </w:tblPr>
  </w:style>
  <w:style w:type="paragraph" w:customStyle="1" w:styleId="67">
    <w:name w:val="!正文"/>
    <w:basedOn w:val="1"/>
    <w:qFormat/>
    <w:uiPriority w:val="0"/>
    <w:pPr>
      <w:adjustRightInd w:val="0"/>
      <w:snapToGrid w:val="0"/>
      <w:spacing w:line="500" w:lineRule="atLeast"/>
      <w:ind w:firstLine="200" w:firstLineChars="200"/>
    </w:pPr>
    <w:rPr>
      <w:rFonts w:ascii="宋体" w:hAnsi="宋体"/>
      <w:sz w:val="28"/>
    </w:rPr>
  </w:style>
  <w:style w:type="paragraph" w:customStyle="1" w:styleId="68">
    <w:name w:val="0正文"/>
    <w:unhideWhenUsed/>
    <w:qFormat/>
    <w:uiPriority w:val="0"/>
    <w:pPr>
      <w:widowControl w:val="0"/>
      <w:spacing w:line="360" w:lineRule="auto"/>
      <w:ind w:firstLine="720" w:firstLineChars="200"/>
    </w:pPr>
    <w:rPr>
      <w:rFonts w:ascii="Times New Roman" w:hAnsi="Times New Roman" w:eastAsia="宋体" w:cs="Times New Roman"/>
      <w:sz w:val="24"/>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image" Target="media/image3.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4103"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EB7A9C4-A765-4D95-8ECA-50E0607F203E}">
  <ds:schemaRefs/>
</ds:datastoreItem>
</file>

<file path=docProps/app.xml><?xml version="1.0" encoding="utf-8"?>
<Properties xmlns="http://schemas.openxmlformats.org/officeDocument/2006/extended-properties" xmlns:vt="http://schemas.openxmlformats.org/officeDocument/2006/docPropsVTypes">
  <Template>Normal.dotm</Template>
  <Company>daohangxitong.com</Company>
  <Pages>82</Pages>
  <Words>6810</Words>
  <Characters>7716</Characters>
  <Lines>123</Lines>
  <Paragraphs>34</Paragraphs>
  <TotalTime>20</TotalTime>
  <ScaleCrop>false</ScaleCrop>
  <LinksUpToDate>false</LinksUpToDate>
  <CharactersWithSpaces>7789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2022-05-26T11:38:00Z</dcterms:created>
  <dc:creator>Administrator</dc:creator>
  <cp:lastModifiedBy>懂你</cp:lastModifiedBy>
  <cp:lastPrinted>2023-03-27T01:32:00Z</cp:lastPrinted>
  <dcterms:modified xsi:type="dcterms:W3CDTF">2026-07-10T01:23:34Z</dcterms:modified>
  <cp:revision>106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46B468534A36462381398BF049D299B4</vt:lpwstr>
  </property>
  <property fmtid="{D5CDD505-2E9C-101B-9397-08002B2CF9AE}" pid="4" name="KSOTemplateDocerSaveRecord">
    <vt:lpwstr>eyJoZGlkIjoiNzU0ZjQyNzE5ZGEzYzZjMjEwNDhmYzhhYzUyYjJiNzkiLCJ1c2VySWQiOiIyOTkzNzAxODQifQ==</vt:lpwstr>
  </property>
</Properties>
</file>