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8C49A7">
      <w:pPr>
        <w:wordWrap w:val="0"/>
        <w:spacing w:line="360" w:lineRule="exact"/>
        <w:jc w:val="right"/>
        <w:rPr>
          <w:rFonts w:hint="eastAsia" w:ascii="宋体" w:hAnsi="宋体" w:eastAsia="宋体" w:cs="仿宋"/>
          <w:b/>
          <w:color w:val="000000" w:themeColor="text1"/>
          <w:sz w:val="32"/>
          <w:szCs w:val="32"/>
          <w:highlight w:val="none"/>
          <w14:textFill>
            <w14:solidFill>
              <w14:schemeClr w14:val="tx1"/>
            </w14:solidFill>
          </w14:textFill>
        </w:rPr>
      </w:pPr>
      <w:r>
        <w:rPr>
          <w:rFonts w:hint="eastAsia" w:ascii="宋体" w:hAnsi="宋体" w:eastAsia="宋体" w:cs="仿宋"/>
          <w:b/>
          <w:color w:val="000000" w:themeColor="text1"/>
          <w:sz w:val="32"/>
          <w:szCs w:val="32"/>
          <w:highlight w:val="none"/>
          <w14:textFill>
            <w14:solidFill>
              <w14:schemeClr w14:val="tx1"/>
            </w14:solidFill>
          </w14:textFill>
        </w:rPr>
        <w:t>招标编号：WCSZ2026-003</w:t>
      </w:r>
    </w:p>
    <w:p w14:paraId="42F2303C">
      <w:pPr>
        <w:rPr>
          <w:rFonts w:hint="eastAsia" w:ascii="宋体" w:hAnsi="宋体" w:eastAsia="宋体"/>
          <w:color w:val="000000" w:themeColor="text1"/>
          <w:highlight w:val="none"/>
          <w14:textFill>
            <w14:solidFill>
              <w14:schemeClr w14:val="tx1"/>
            </w14:solidFill>
          </w14:textFill>
        </w:rPr>
      </w:pPr>
    </w:p>
    <w:p w14:paraId="603139D9">
      <w:pPr>
        <w:pStyle w:val="2"/>
        <w:rPr>
          <w:rFonts w:hint="eastAsia" w:ascii="宋体" w:hAnsi="宋体" w:eastAsia="宋体"/>
          <w:color w:val="000000" w:themeColor="text1"/>
          <w:highlight w:val="none"/>
          <w14:textFill>
            <w14:solidFill>
              <w14:schemeClr w14:val="tx1"/>
            </w14:solidFill>
          </w14:textFill>
        </w:rPr>
      </w:pPr>
    </w:p>
    <w:p w14:paraId="5B8521AE">
      <w:pPr>
        <w:pStyle w:val="3"/>
        <w:ind w:left="5250"/>
        <w:rPr>
          <w:rFonts w:hint="eastAsia" w:hAnsi="宋体" w:eastAsia="宋体"/>
          <w:color w:val="000000" w:themeColor="text1"/>
          <w:highlight w:val="none"/>
          <w14:textFill>
            <w14:solidFill>
              <w14:schemeClr w14:val="tx1"/>
            </w14:solidFill>
          </w14:textFill>
        </w:rPr>
      </w:pPr>
    </w:p>
    <w:p w14:paraId="1D6A06FA">
      <w:pPr>
        <w:rPr>
          <w:rFonts w:hint="eastAsia" w:ascii="宋体" w:hAnsi="宋体" w:eastAsia="宋体"/>
          <w:color w:val="000000" w:themeColor="text1"/>
          <w:highlight w:val="none"/>
          <w14:textFill>
            <w14:solidFill>
              <w14:schemeClr w14:val="tx1"/>
            </w14:solidFill>
          </w14:textFill>
        </w:rPr>
      </w:pPr>
    </w:p>
    <w:p w14:paraId="079A547A">
      <w:pPr>
        <w:rPr>
          <w:rFonts w:hint="eastAsia" w:ascii="宋体" w:hAnsi="宋体" w:eastAsia="宋体"/>
          <w:color w:val="000000" w:themeColor="text1"/>
          <w:highlight w:val="none"/>
          <w14:textFill>
            <w14:solidFill>
              <w14:schemeClr w14:val="tx1"/>
            </w14:solidFill>
          </w14:textFill>
        </w:rPr>
      </w:pPr>
    </w:p>
    <w:p w14:paraId="46A793E0">
      <w:pPr>
        <w:rPr>
          <w:rFonts w:hint="eastAsia" w:ascii="宋体" w:hAnsi="宋体" w:eastAsia="宋体"/>
          <w:color w:val="000000" w:themeColor="text1"/>
          <w:highlight w:val="none"/>
          <w14:textFill>
            <w14:solidFill>
              <w14:schemeClr w14:val="tx1"/>
            </w14:solidFill>
          </w14:textFill>
        </w:rPr>
      </w:pPr>
    </w:p>
    <w:p w14:paraId="25E0E420">
      <w:pPr>
        <w:rPr>
          <w:rFonts w:hint="eastAsia" w:ascii="宋体" w:hAnsi="宋体" w:eastAsia="宋体"/>
          <w:color w:val="000000" w:themeColor="text1"/>
          <w:highlight w:val="none"/>
          <w14:textFill>
            <w14:solidFill>
              <w14:schemeClr w14:val="tx1"/>
            </w14:solidFill>
          </w14:textFill>
        </w:rPr>
      </w:pPr>
    </w:p>
    <w:p w14:paraId="3F9C5ABE">
      <w:pPr>
        <w:pStyle w:val="66"/>
        <w:ind w:left="417" w:leftChars="-135" w:hanging="700" w:hangingChars="134"/>
        <w:jc w:val="center"/>
        <w:rPr>
          <w:rFonts w:hint="eastAsia" w:ascii="宋体" w:hAnsi="宋体" w:eastAsia="宋体" w:cs="仿宋"/>
          <w:b/>
          <w:color w:val="000000" w:themeColor="text1"/>
          <w:sz w:val="52"/>
          <w:szCs w:val="52"/>
          <w:highlight w:val="none"/>
          <w14:textFill>
            <w14:solidFill>
              <w14:schemeClr w14:val="tx1"/>
            </w14:solidFill>
          </w14:textFill>
        </w:rPr>
      </w:pPr>
      <w:r>
        <w:rPr>
          <w:rFonts w:hint="eastAsia" w:ascii="宋体" w:hAnsi="宋体" w:eastAsia="宋体" w:cs="仿宋"/>
          <w:b/>
          <w:color w:val="000000" w:themeColor="text1"/>
          <w:sz w:val="52"/>
          <w:szCs w:val="52"/>
          <w:highlight w:val="none"/>
          <w14:textFill>
            <w14:solidFill>
              <w14:schemeClr w14:val="tx1"/>
            </w14:solidFill>
          </w14:textFill>
        </w:rPr>
        <w:t>百合路土石方工程专业分包</w:t>
      </w:r>
    </w:p>
    <w:p w14:paraId="6C5210EC">
      <w:pPr>
        <w:rPr>
          <w:rFonts w:hint="eastAsia" w:ascii="宋体" w:hAnsi="宋体" w:eastAsia="宋体"/>
          <w:color w:val="000000" w:themeColor="text1"/>
          <w:highlight w:val="none"/>
          <w14:textFill>
            <w14:solidFill>
              <w14:schemeClr w14:val="tx1"/>
            </w14:solidFill>
          </w14:textFill>
        </w:rPr>
      </w:pPr>
    </w:p>
    <w:p w14:paraId="23602F23">
      <w:pPr>
        <w:rPr>
          <w:rFonts w:hint="eastAsia" w:ascii="宋体" w:hAnsi="宋体" w:eastAsia="宋体"/>
          <w:color w:val="000000" w:themeColor="text1"/>
          <w:highlight w:val="none"/>
          <w14:textFill>
            <w14:solidFill>
              <w14:schemeClr w14:val="tx1"/>
            </w14:solidFill>
          </w14:textFill>
        </w:rPr>
      </w:pPr>
      <w:bookmarkStart w:id="741" w:name="_GoBack"/>
      <w:bookmarkEnd w:id="741"/>
    </w:p>
    <w:p w14:paraId="3BFD1FDE">
      <w:pPr>
        <w:spacing w:before="156" w:beforeLines="50" w:line="360" w:lineRule="auto"/>
        <w:jc w:val="center"/>
        <w:rPr>
          <w:rFonts w:hint="eastAsia" w:ascii="宋体" w:hAnsi="宋体" w:eastAsia="宋体" w:cs="仿宋"/>
          <w:b/>
          <w:color w:val="000000" w:themeColor="text1"/>
          <w:sz w:val="52"/>
          <w:szCs w:val="52"/>
          <w:highlight w:val="none"/>
          <w14:textFill>
            <w14:solidFill>
              <w14:schemeClr w14:val="tx1"/>
            </w14:solidFill>
          </w14:textFill>
        </w:rPr>
      </w:pPr>
      <w:r>
        <w:rPr>
          <w:rFonts w:hint="eastAsia" w:ascii="宋体" w:hAnsi="宋体" w:eastAsia="宋体" w:cs="仿宋"/>
          <w:b/>
          <w:color w:val="000000" w:themeColor="text1"/>
          <w:sz w:val="52"/>
          <w:szCs w:val="52"/>
          <w:highlight w:val="none"/>
          <w14:textFill>
            <w14:solidFill>
              <w14:schemeClr w14:val="tx1"/>
            </w14:solidFill>
          </w14:textFill>
        </w:rPr>
        <w:t>招标文件</w:t>
      </w:r>
    </w:p>
    <w:p w14:paraId="78BC4C6E">
      <w:pPr>
        <w:spacing w:line="360" w:lineRule="auto"/>
        <w:jc w:val="left"/>
        <w:rPr>
          <w:rFonts w:hint="eastAsia" w:ascii="宋体" w:hAnsi="宋体" w:eastAsia="宋体" w:cs="仿宋"/>
          <w:color w:val="000000" w:themeColor="text1"/>
          <w:sz w:val="36"/>
          <w:szCs w:val="36"/>
          <w:highlight w:val="none"/>
          <w14:textFill>
            <w14:solidFill>
              <w14:schemeClr w14:val="tx1"/>
            </w14:solidFill>
          </w14:textFill>
        </w:rPr>
      </w:pPr>
      <w:r>
        <w:rPr>
          <w:rFonts w:hint="eastAsia" w:ascii="宋体" w:hAnsi="宋体" w:eastAsia="宋体"/>
          <w:b/>
          <w:color w:val="000000" w:themeColor="text1"/>
          <w:sz w:val="52"/>
          <w:szCs w:val="52"/>
          <w:highlight w:val="none"/>
          <w14:textFill>
            <w14:solidFill>
              <w14:schemeClr w14:val="tx1"/>
            </w14:solidFill>
          </w14:textFill>
        </w:rPr>
        <w:drawing>
          <wp:anchor distT="0" distB="0" distL="114300" distR="114300" simplePos="0" relativeHeight="251659264" behindDoc="0" locked="0" layoutInCell="1" allowOverlap="1">
            <wp:simplePos x="0" y="0"/>
            <wp:positionH relativeFrom="column">
              <wp:posOffset>1746885</wp:posOffset>
            </wp:positionH>
            <wp:positionV relativeFrom="paragraph">
              <wp:posOffset>107950</wp:posOffset>
            </wp:positionV>
            <wp:extent cx="2590800" cy="235267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590800" cy="2352675"/>
                    </a:xfrm>
                    <a:prstGeom prst="rect">
                      <a:avLst/>
                    </a:prstGeom>
                    <a:noFill/>
                    <a:ln>
                      <a:noFill/>
                    </a:ln>
                  </pic:spPr>
                </pic:pic>
              </a:graphicData>
            </a:graphic>
          </wp:anchor>
        </w:drawing>
      </w:r>
    </w:p>
    <w:p w14:paraId="6ACD0E6C">
      <w:pPr>
        <w:spacing w:line="360" w:lineRule="auto"/>
        <w:jc w:val="left"/>
        <w:rPr>
          <w:rFonts w:hint="eastAsia" w:ascii="宋体" w:hAnsi="宋体" w:eastAsia="宋体" w:cs="仿宋"/>
          <w:color w:val="000000" w:themeColor="text1"/>
          <w:sz w:val="36"/>
          <w:szCs w:val="36"/>
          <w:highlight w:val="none"/>
          <w14:textFill>
            <w14:solidFill>
              <w14:schemeClr w14:val="tx1"/>
            </w14:solidFill>
          </w14:textFill>
        </w:rPr>
      </w:pPr>
    </w:p>
    <w:p w14:paraId="57AF25D1">
      <w:pPr>
        <w:spacing w:line="360" w:lineRule="auto"/>
        <w:rPr>
          <w:rFonts w:hint="eastAsia" w:ascii="宋体" w:hAnsi="宋体" w:eastAsia="宋体" w:cs="仿宋"/>
          <w:b/>
          <w:color w:val="000000" w:themeColor="text1"/>
          <w:sz w:val="16"/>
          <w:szCs w:val="36"/>
          <w:highlight w:val="none"/>
          <w14:textFill>
            <w14:solidFill>
              <w14:schemeClr w14:val="tx1"/>
            </w14:solidFill>
          </w14:textFill>
        </w:rPr>
      </w:pPr>
    </w:p>
    <w:p w14:paraId="754AA202">
      <w:pPr>
        <w:pStyle w:val="227"/>
        <w:rPr>
          <w:rFonts w:hint="eastAsia" w:ascii="宋体" w:hAnsi="宋体" w:eastAsia="宋体" w:cs="仿宋"/>
          <w:color w:val="000000" w:themeColor="text1"/>
          <w:highlight w:val="none"/>
          <w14:textFill>
            <w14:solidFill>
              <w14:schemeClr w14:val="tx1"/>
            </w14:solidFill>
          </w14:textFill>
        </w:rPr>
      </w:pPr>
    </w:p>
    <w:p w14:paraId="4B3613D2">
      <w:pPr>
        <w:rPr>
          <w:rFonts w:hint="eastAsia" w:ascii="宋体" w:hAnsi="宋体" w:eastAsia="宋体"/>
          <w:color w:val="000000" w:themeColor="text1"/>
          <w:highlight w:val="none"/>
          <w14:textFill>
            <w14:solidFill>
              <w14:schemeClr w14:val="tx1"/>
            </w14:solidFill>
          </w14:textFill>
        </w:rPr>
      </w:pPr>
    </w:p>
    <w:p w14:paraId="74A34B1C">
      <w:pPr>
        <w:spacing w:line="360" w:lineRule="auto"/>
        <w:rPr>
          <w:rFonts w:hint="eastAsia" w:ascii="宋体" w:hAnsi="宋体" w:eastAsia="宋体" w:cs="仿宋"/>
          <w:b/>
          <w:color w:val="000000" w:themeColor="text1"/>
          <w:sz w:val="16"/>
          <w:szCs w:val="36"/>
          <w:highlight w:val="none"/>
          <w14:textFill>
            <w14:solidFill>
              <w14:schemeClr w14:val="tx1"/>
            </w14:solidFill>
          </w14:textFill>
        </w:rPr>
      </w:pPr>
    </w:p>
    <w:p w14:paraId="3785599F">
      <w:pPr>
        <w:pStyle w:val="2"/>
        <w:rPr>
          <w:rFonts w:hint="eastAsia" w:ascii="宋体" w:hAnsi="宋体" w:eastAsia="宋体" w:cs="仿宋"/>
          <w:color w:val="000000" w:themeColor="text1"/>
          <w:highlight w:val="none"/>
          <w14:textFill>
            <w14:solidFill>
              <w14:schemeClr w14:val="tx1"/>
            </w14:solidFill>
          </w14:textFill>
        </w:rPr>
      </w:pPr>
    </w:p>
    <w:p w14:paraId="11CC0AB2">
      <w:pPr>
        <w:spacing w:line="360" w:lineRule="auto"/>
        <w:rPr>
          <w:rFonts w:hint="eastAsia" w:ascii="宋体" w:hAnsi="宋体" w:eastAsia="宋体" w:cs="仿宋"/>
          <w:b/>
          <w:color w:val="000000" w:themeColor="text1"/>
          <w:sz w:val="16"/>
          <w:szCs w:val="36"/>
          <w:highlight w:val="none"/>
          <w14:textFill>
            <w14:solidFill>
              <w14:schemeClr w14:val="tx1"/>
            </w14:solidFill>
          </w14:textFill>
        </w:rPr>
      </w:pPr>
    </w:p>
    <w:p w14:paraId="5BC311A6">
      <w:pPr>
        <w:pStyle w:val="227"/>
        <w:rPr>
          <w:rFonts w:hint="eastAsia" w:ascii="宋体" w:hAnsi="宋体" w:eastAsia="宋体" w:cs="仿宋"/>
          <w:color w:val="000000" w:themeColor="text1"/>
          <w:highlight w:val="none"/>
          <w14:textFill>
            <w14:solidFill>
              <w14:schemeClr w14:val="tx1"/>
            </w14:solidFill>
          </w14:textFill>
        </w:rPr>
      </w:pPr>
    </w:p>
    <w:p w14:paraId="6588F5FA">
      <w:pPr>
        <w:spacing w:before="156" w:beforeLines="50" w:line="360" w:lineRule="auto"/>
        <w:ind w:firstLine="726" w:firstLineChars="201"/>
        <w:jc w:val="center"/>
        <w:rPr>
          <w:rFonts w:hint="eastAsia" w:ascii="宋体" w:hAnsi="宋体" w:eastAsia="宋体" w:cs="仿宋"/>
          <w:b/>
          <w:color w:val="000000" w:themeColor="text1"/>
          <w:sz w:val="36"/>
          <w:szCs w:val="36"/>
          <w:highlight w:val="none"/>
          <w14:textFill>
            <w14:solidFill>
              <w14:schemeClr w14:val="tx1"/>
            </w14:solidFill>
          </w14:textFill>
        </w:rPr>
      </w:pPr>
      <w:bookmarkStart w:id="0" w:name="_Hlk154665901"/>
    </w:p>
    <w:p w14:paraId="52516E82">
      <w:pPr>
        <w:spacing w:before="156" w:beforeLines="50" w:line="360" w:lineRule="auto"/>
        <w:ind w:firstLine="726" w:firstLineChars="201"/>
        <w:jc w:val="center"/>
        <w:rPr>
          <w:rFonts w:hint="eastAsia" w:ascii="宋体" w:hAnsi="宋体" w:eastAsia="宋体" w:cs="仿宋"/>
          <w:b/>
          <w:color w:val="000000" w:themeColor="text1"/>
          <w:sz w:val="36"/>
          <w:szCs w:val="36"/>
          <w:highlight w:val="none"/>
          <w14:textFill>
            <w14:solidFill>
              <w14:schemeClr w14:val="tx1"/>
            </w14:solidFill>
          </w14:textFill>
        </w:rPr>
      </w:pPr>
    </w:p>
    <w:p w14:paraId="19094047">
      <w:pPr>
        <w:spacing w:before="156" w:beforeLines="50" w:line="360" w:lineRule="auto"/>
        <w:jc w:val="center"/>
        <w:rPr>
          <w:rFonts w:hint="eastAsia" w:ascii="宋体" w:hAnsi="宋体" w:eastAsia="宋体" w:cs="仿宋"/>
          <w:b/>
          <w:bCs/>
          <w:color w:val="000000" w:themeColor="text1"/>
          <w:kern w:val="0"/>
          <w:sz w:val="36"/>
          <w:szCs w:val="36"/>
          <w:highlight w:val="none"/>
          <w14:textFill>
            <w14:solidFill>
              <w14:schemeClr w14:val="tx1"/>
            </w14:solidFill>
          </w14:textFill>
        </w:rPr>
      </w:pPr>
      <w:r>
        <w:rPr>
          <w:rFonts w:hint="eastAsia" w:ascii="宋体" w:hAnsi="宋体" w:eastAsia="宋体" w:cs="仿宋"/>
          <w:b/>
          <w:color w:val="000000" w:themeColor="text1"/>
          <w:sz w:val="36"/>
          <w:szCs w:val="36"/>
          <w:highlight w:val="none"/>
          <w14:textFill>
            <w14:solidFill>
              <w14:schemeClr w14:val="tx1"/>
            </w14:solidFill>
          </w14:textFill>
        </w:rPr>
        <w:t>代理机构：威海市天垣工程咨询管理有限公司</w:t>
      </w:r>
    </w:p>
    <w:p w14:paraId="12F3AF79">
      <w:pPr>
        <w:spacing w:line="360" w:lineRule="auto"/>
        <w:jc w:val="center"/>
        <w:rPr>
          <w:rFonts w:hint="eastAsia" w:ascii="宋体" w:hAnsi="宋体" w:eastAsia="宋体" w:cs="仿宋"/>
          <w:b/>
          <w:color w:val="000000" w:themeColor="text1"/>
          <w:sz w:val="36"/>
          <w:szCs w:val="36"/>
          <w:highlight w:val="none"/>
          <w14:textFill>
            <w14:solidFill>
              <w14:schemeClr w14:val="tx1"/>
            </w14:solidFill>
          </w14:textFill>
        </w:rPr>
      </w:pPr>
      <w:r>
        <w:rPr>
          <w:rFonts w:hint="eastAsia" w:ascii="宋体" w:hAnsi="宋体" w:eastAsia="宋体" w:cs="仿宋"/>
          <w:b/>
          <w:color w:val="000000" w:themeColor="text1"/>
          <w:sz w:val="36"/>
          <w:szCs w:val="36"/>
          <w:highlight w:val="none"/>
          <w14:textFill>
            <w14:solidFill>
              <w14:schemeClr w14:val="tx1"/>
            </w14:solidFill>
          </w14:textFill>
        </w:rPr>
        <w:t>编制时间：2026年5月</w:t>
      </w:r>
    </w:p>
    <w:bookmarkEnd w:id="0"/>
    <w:p w14:paraId="299F79F8">
      <w:pPr>
        <w:rPr>
          <w:rFonts w:hint="eastAsia" w:ascii="宋体" w:hAnsi="宋体" w:eastAsia="宋体" w:cs="仿宋"/>
          <w:color w:val="000000" w:themeColor="text1"/>
          <w:highlight w:val="none"/>
          <w14:textFill>
            <w14:solidFill>
              <w14:schemeClr w14:val="tx1"/>
            </w14:solidFill>
          </w14:textFill>
        </w:rPr>
      </w:pPr>
    </w:p>
    <w:sdt>
      <w:sdtPr>
        <w:rPr>
          <w:rFonts w:ascii="宋体" w:hAnsi="宋体" w:eastAsia="宋体" w:cstheme="minorBidi"/>
          <w:b w:val="0"/>
          <w:bCs w:val="0"/>
          <w:caps/>
          <w:color w:val="000000" w:themeColor="text1"/>
          <w:kern w:val="2"/>
          <w:sz w:val="21"/>
          <w:szCs w:val="24"/>
          <w:highlight w:val="none"/>
          <w:lang w:val="zh-CN"/>
          <w14:textFill>
            <w14:solidFill>
              <w14:schemeClr w14:val="tx1"/>
            </w14:solidFill>
          </w14:textFill>
        </w:rPr>
        <w:id w:val="984660636"/>
        <w:docPartObj>
          <w:docPartGallery w:val="Table of Contents"/>
          <w:docPartUnique/>
        </w:docPartObj>
      </w:sdtPr>
      <w:sdtEndPr>
        <w:rPr>
          <w:rFonts w:ascii="宋体" w:hAnsi="宋体" w:eastAsia="宋体" w:cstheme="minorBidi"/>
          <w:b/>
          <w:bCs/>
          <w:caps/>
          <w:color w:val="000000" w:themeColor="text1"/>
          <w:kern w:val="2"/>
          <w:sz w:val="28"/>
          <w:szCs w:val="28"/>
          <w:highlight w:val="none"/>
          <w:lang w:val="zh-CN"/>
          <w14:textFill>
            <w14:solidFill>
              <w14:schemeClr w14:val="tx1"/>
            </w14:solidFill>
          </w14:textFill>
        </w:rPr>
      </w:sdtEndPr>
      <w:sdtContent>
        <w:p w14:paraId="6616DDBB">
          <w:pPr>
            <w:pStyle w:val="411"/>
            <w:jc w:val="center"/>
            <w:rPr>
              <w:rFonts w:hint="eastAsia" w:ascii="宋体" w:hAnsi="宋体" w:eastAsia="宋体"/>
              <w:color w:val="000000" w:themeColor="text1"/>
              <w:sz w:val="44"/>
              <w:szCs w:val="44"/>
              <w:highlight w:val="none"/>
              <w14:textFill>
                <w14:solidFill>
                  <w14:schemeClr w14:val="tx1"/>
                </w14:solidFill>
              </w14:textFill>
            </w:rPr>
          </w:pPr>
          <w:bookmarkStart w:id="1" w:name="_Hlk130651888"/>
          <w:bookmarkStart w:id="2" w:name="_Toc382129898"/>
          <w:bookmarkStart w:id="3" w:name="_Toc413596380"/>
          <w:r>
            <w:rPr>
              <w:rFonts w:ascii="宋体" w:hAnsi="宋体" w:eastAsia="宋体"/>
              <w:color w:val="000000" w:themeColor="text1"/>
              <w:sz w:val="44"/>
              <w:szCs w:val="44"/>
              <w:highlight w:val="none"/>
              <w:lang w:val="zh-CN"/>
              <w14:textFill>
                <w14:solidFill>
                  <w14:schemeClr w14:val="tx1"/>
                </w14:solidFill>
              </w14:textFill>
            </w:rPr>
            <w:t>目录</w:t>
          </w:r>
        </w:p>
        <w:p w14:paraId="16454972">
          <w:pPr>
            <w:pStyle w:val="45"/>
            <w:rPr>
              <w:rStyle w:val="78"/>
              <w:rFonts w:hint="eastAsia" w:ascii="宋体" w:hAnsi="宋体" w:eastAsia="宋体" w:cs="仿宋"/>
              <w:color w:val="000000" w:themeColor="text1"/>
              <w:highlight w:val="none"/>
              <w14:textFill>
                <w14:solidFill>
                  <w14:schemeClr w14:val="tx1"/>
                </w14:solidFill>
              </w14:textFill>
            </w:rPr>
          </w:pPr>
          <w:r>
            <w:rPr>
              <w:rStyle w:val="78"/>
              <w:rFonts w:ascii="宋体" w:hAnsi="宋体" w:eastAsia="宋体" w:cs="仿宋"/>
              <w:color w:val="000000" w:themeColor="text1"/>
              <w:highlight w:val="none"/>
              <w14:textFill>
                <w14:solidFill>
                  <w14:schemeClr w14:val="tx1"/>
                </w14:solidFill>
              </w14:textFill>
            </w:rPr>
            <w:fldChar w:fldCharType="begin"/>
          </w:r>
          <w:r>
            <w:rPr>
              <w:rStyle w:val="78"/>
              <w:rFonts w:ascii="宋体" w:hAnsi="宋体" w:eastAsia="宋体" w:cs="仿宋"/>
              <w:color w:val="000000" w:themeColor="text1"/>
              <w:highlight w:val="none"/>
              <w14:textFill>
                <w14:solidFill>
                  <w14:schemeClr w14:val="tx1"/>
                </w14:solidFill>
              </w14:textFill>
            </w:rPr>
            <w:instrText xml:space="preserve"> TOC \o "1-3" \h \z \u </w:instrText>
          </w:r>
          <w:r>
            <w:rPr>
              <w:rStyle w:val="78"/>
              <w:rFonts w:ascii="宋体" w:hAnsi="宋体" w:eastAsia="宋体" w:cs="仿宋"/>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"_Toc130891902" </w:instrText>
          </w:r>
          <w:r>
            <w:rPr>
              <w:color w:val="000000" w:themeColor="text1"/>
              <w:highlight w:val="none"/>
              <w14:textFill>
                <w14:solidFill>
                  <w14:schemeClr w14:val="tx1"/>
                </w14:solidFill>
              </w14:textFill>
            </w:rPr>
            <w:fldChar w:fldCharType="separate"/>
          </w:r>
          <w:r>
            <w:rPr>
              <w:rStyle w:val="78"/>
              <w:rFonts w:ascii="宋体" w:hAnsi="宋体" w:eastAsia="宋体" w:cs="仿宋"/>
              <w:color w:val="000000" w:themeColor="text1"/>
              <w:highlight w:val="none"/>
              <w14:textFill>
                <w14:solidFill>
                  <w14:schemeClr w14:val="tx1"/>
                </w14:solidFill>
              </w14:textFill>
            </w:rPr>
            <w:t>第一章</w:t>
          </w:r>
          <w:r>
            <w:rPr>
              <w:rStyle w:val="78"/>
              <w:rFonts w:hint="eastAsia" w:ascii="宋体" w:hAnsi="宋体" w:eastAsia="宋体" w:cs="仿宋"/>
              <w:color w:val="000000" w:themeColor="text1"/>
              <w:highlight w:val="none"/>
              <w14:textFill>
                <w14:solidFill>
                  <w14:schemeClr w14:val="tx1"/>
                </w14:solidFill>
              </w14:textFill>
            </w:rPr>
            <w:t xml:space="preserve">  </w:t>
          </w:r>
          <w:r>
            <w:rPr>
              <w:rStyle w:val="78"/>
              <w:rFonts w:ascii="宋体" w:hAnsi="宋体" w:eastAsia="宋体" w:cs="仿宋"/>
              <w:color w:val="000000" w:themeColor="text1"/>
              <w:highlight w:val="none"/>
              <w14:textFill>
                <w14:solidFill>
                  <w14:schemeClr w14:val="tx1"/>
                </w14:solidFill>
              </w14:textFill>
            </w:rPr>
            <w:t>招标公告</w:t>
          </w:r>
          <w:r>
            <w:rPr>
              <w:rStyle w:val="78"/>
              <w:rFonts w:ascii="宋体" w:hAnsi="宋体" w:eastAsia="宋体" w:cs="仿宋"/>
              <w:color w:val="000000" w:themeColor="text1"/>
              <w:highlight w:val="none"/>
              <w14:textFill>
                <w14:solidFill>
                  <w14:schemeClr w14:val="tx1"/>
                </w14:solidFill>
              </w14:textFill>
            </w:rPr>
            <w:tab/>
          </w:r>
          <w:r>
            <w:rPr>
              <w:rStyle w:val="78"/>
              <w:rFonts w:ascii="宋体" w:hAnsi="宋体" w:eastAsia="宋体" w:cs="仿宋"/>
              <w:color w:val="000000" w:themeColor="text1"/>
              <w:highlight w:val="none"/>
              <w14:textFill>
                <w14:solidFill>
                  <w14:schemeClr w14:val="tx1"/>
                </w14:solidFill>
              </w14:textFill>
            </w:rPr>
            <w:fldChar w:fldCharType="begin"/>
          </w:r>
          <w:r>
            <w:rPr>
              <w:rStyle w:val="78"/>
              <w:rFonts w:ascii="宋体" w:hAnsi="宋体" w:eastAsia="宋体" w:cs="仿宋"/>
              <w:color w:val="000000" w:themeColor="text1"/>
              <w:highlight w:val="none"/>
              <w14:textFill>
                <w14:solidFill>
                  <w14:schemeClr w14:val="tx1"/>
                </w14:solidFill>
              </w14:textFill>
            </w:rPr>
            <w:instrText xml:space="preserve"> PAGEREF _Toc130891902 \h </w:instrText>
          </w:r>
          <w:r>
            <w:rPr>
              <w:rStyle w:val="78"/>
              <w:rFonts w:ascii="宋体" w:hAnsi="宋体" w:eastAsia="宋体" w:cs="仿宋"/>
              <w:color w:val="000000" w:themeColor="text1"/>
              <w:highlight w:val="none"/>
              <w14:textFill>
                <w14:solidFill>
                  <w14:schemeClr w14:val="tx1"/>
                </w14:solidFill>
              </w14:textFill>
            </w:rPr>
            <w:fldChar w:fldCharType="separate"/>
          </w:r>
          <w:r>
            <w:rPr>
              <w:rStyle w:val="78"/>
              <w:rFonts w:ascii="宋体" w:hAnsi="宋体" w:eastAsia="宋体" w:cs="仿宋"/>
              <w:color w:val="000000" w:themeColor="text1"/>
              <w:highlight w:val="none"/>
              <w14:textFill>
                <w14:solidFill>
                  <w14:schemeClr w14:val="tx1"/>
                </w14:solidFill>
              </w14:textFill>
            </w:rPr>
            <w:t>1</w:t>
          </w:r>
          <w:r>
            <w:rPr>
              <w:rStyle w:val="78"/>
              <w:rFonts w:ascii="宋体" w:hAnsi="宋体" w:eastAsia="宋体" w:cs="仿宋"/>
              <w:color w:val="000000" w:themeColor="text1"/>
              <w:highlight w:val="none"/>
              <w14:textFill>
                <w14:solidFill>
                  <w14:schemeClr w14:val="tx1"/>
                </w14:solidFill>
              </w14:textFill>
            </w:rPr>
            <w:fldChar w:fldCharType="end"/>
          </w:r>
          <w:r>
            <w:rPr>
              <w:rStyle w:val="78"/>
              <w:rFonts w:ascii="宋体" w:hAnsi="宋体" w:eastAsia="宋体" w:cs="仿宋"/>
              <w:color w:val="000000" w:themeColor="text1"/>
              <w:highlight w:val="none"/>
              <w14:textFill>
                <w14:solidFill>
                  <w14:schemeClr w14:val="tx1"/>
                </w14:solidFill>
              </w14:textFill>
            </w:rPr>
            <w:fldChar w:fldCharType="end"/>
          </w:r>
        </w:p>
        <w:p w14:paraId="7B1F4D36">
          <w:pPr>
            <w:pStyle w:val="45"/>
            <w:rPr>
              <w:rStyle w:val="78"/>
              <w:rFonts w:hint="eastAsia" w:ascii="宋体" w:hAnsi="宋体" w:eastAsia="宋体" w:cs="仿宋"/>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"_Toc130891903" </w:instrText>
          </w:r>
          <w:r>
            <w:rPr>
              <w:color w:val="000000" w:themeColor="text1"/>
              <w:highlight w:val="none"/>
              <w14:textFill>
                <w14:solidFill>
                  <w14:schemeClr w14:val="tx1"/>
                </w14:solidFill>
              </w14:textFill>
            </w:rPr>
            <w:fldChar w:fldCharType="separate"/>
          </w:r>
          <w:r>
            <w:rPr>
              <w:rStyle w:val="78"/>
              <w:rFonts w:ascii="宋体" w:hAnsi="宋体" w:eastAsia="宋体" w:cs="仿宋"/>
              <w:color w:val="000000" w:themeColor="text1"/>
              <w:highlight w:val="none"/>
              <w14:textFill>
                <w14:solidFill>
                  <w14:schemeClr w14:val="tx1"/>
                </w14:solidFill>
              </w14:textFill>
            </w:rPr>
            <w:t>第二章</w:t>
          </w:r>
          <w:r>
            <w:rPr>
              <w:rStyle w:val="78"/>
              <w:rFonts w:hint="eastAsia" w:ascii="宋体" w:hAnsi="宋体" w:eastAsia="宋体" w:cs="仿宋"/>
              <w:color w:val="000000" w:themeColor="text1"/>
              <w:highlight w:val="none"/>
              <w14:textFill>
                <w14:solidFill>
                  <w14:schemeClr w14:val="tx1"/>
                </w14:solidFill>
              </w14:textFill>
            </w:rPr>
            <w:t xml:space="preserve">  </w:t>
          </w:r>
          <w:r>
            <w:rPr>
              <w:rStyle w:val="78"/>
              <w:rFonts w:ascii="宋体" w:hAnsi="宋体" w:eastAsia="宋体" w:cs="仿宋"/>
              <w:color w:val="000000" w:themeColor="text1"/>
              <w:highlight w:val="none"/>
              <w14:textFill>
                <w14:solidFill>
                  <w14:schemeClr w14:val="tx1"/>
                </w14:solidFill>
              </w14:textFill>
            </w:rPr>
            <w:t>投标须知</w:t>
          </w:r>
          <w:r>
            <w:rPr>
              <w:rStyle w:val="78"/>
              <w:rFonts w:ascii="宋体" w:hAnsi="宋体" w:eastAsia="宋体" w:cs="仿宋"/>
              <w:color w:val="000000" w:themeColor="text1"/>
              <w:highlight w:val="none"/>
              <w14:textFill>
                <w14:solidFill>
                  <w14:schemeClr w14:val="tx1"/>
                </w14:solidFill>
              </w14:textFill>
            </w:rPr>
            <w:tab/>
          </w:r>
          <w:r>
            <w:rPr>
              <w:rStyle w:val="78"/>
              <w:rFonts w:ascii="宋体" w:hAnsi="宋体" w:eastAsia="宋体" w:cs="仿宋"/>
              <w:color w:val="000000" w:themeColor="text1"/>
              <w:highlight w:val="none"/>
              <w14:textFill>
                <w14:solidFill>
                  <w14:schemeClr w14:val="tx1"/>
                </w14:solidFill>
              </w14:textFill>
            </w:rPr>
            <w:fldChar w:fldCharType="begin"/>
          </w:r>
          <w:r>
            <w:rPr>
              <w:rStyle w:val="78"/>
              <w:rFonts w:ascii="宋体" w:hAnsi="宋体" w:eastAsia="宋体" w:cs="仿宋"/>
              <w:color w:val="000000" w:themeColor="text1"/>
              <w:highlight w:val="none"/>
              <w14:textFill>
                <w14:solidFill>
                  <w14:schemeClr w14:val="tx1"/>
                </w14:solidFill>
              </w14:textFill>
            </w:rPr>
            <w:instrText xml:space="preserve"> PAGEREF _Toc130891903 \h </w:instrText>
          </w:r>
          <w:r>
            <w:rPr>
              <w:rStyle w:val="78"/>
              <w:rFonts w:ascii="宋体" w:hAnsi="宋体" w:eastAsia="宋体" w:cs="仿宋"/>
              <w:color w:val="000000" w:themeColor="text1"/>
              <w:highlight w:val="none"/>
              <w14:textFill>
                <w14:solidFill>
                  <w14:schemeClr w14:val="tx1"/>
                </w14:solidFill>
              </w14:textFill>
            </w:rPr>
            <w:fldChar w:fldCharType="separate"/>
          </w:r>
          <w:r>
            <w:rPr>
              <w:rStyle w:val="78"/>
              <w:rFonts w:ascii="宋体" w:hAnsi="宋体" w:eastAsia="宋体" w:cs="仿宋"/>
              <w:color w:val="000000" w:themeColor="text1"/>
              <w:highlight w:val="none"/>
              <w14:textFill>
                <w14:solidFill>
                  <w14:schemeClr w14:val="tx1"/>
                </w14:solidFill>
              </w14:textFill>
            </w:rPr>
            <w:t>5</w:t>
          </w:r>
          <w:r>
            <w:rPr>
              <w:rStyle w:val="78"/>
              <w:rFonts w:ascii="宋体" w:hAnsi="宋体" w:eastAsia="宋体" w:cs="仿宋"/>
              <w:color w:val="000000" w:themeColor="text1"/>
              <w:highlight w:val="none"/>
              <w14:textFill>
                <w14:solidFill>
                  <w14:schemeClr w14:val="tx1"/>
                </w14:solidFill>
              </w14:textFill>
            </w:rPr>
            <w:fldChar w:fldCharType="end"/>
          </w:r>
          <w:r>
            <w:rPr>
              <w:rStyle w:val="78"/>
              <w:rFonts w:ascii="宋体" w:hAnsi="宋体" w:eastAsia="宋体" w:cs="仿宋"/>
              <w:color w:val="000000" w:themeColor="text1"/>
              <w:highlight w:val="none"/>
              <w14:textFill>
                <w14:solidFill>
                  <w14:schemeClr w14:val="tx1"/>
                </w14:solidFill>
              </w14:textFill>
            </w:rPr>
            <w:fldChar w:fldCharType="end"/>
          </w:r>
        </w:p>
        <w:p w14:paraId="7AE216A9">
          <w:pPr>
            <w:pStyle w:val="45"/>
            <w:ind w:firstLine="560" w:firstLineChars="200"/>
            <w:rPr>
              <w:rStyle w:val="78"/>
              <w:rFonts w:hint="eastAsia" w:ascii="宋体" w:hAnsi="宋体" w:eastAsia="宋体"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"_Toc130891904" </w:instrText>
          </w:r>
          <w:r>
            <w:rPr>
              <w:color w:val="000000" w:themeColor="text1"/>
              <w:highlight w:val="none"/>
              <w14:textFill>
                <w14:solidFill>
                  <w14:schemeClr w14:val="tx1"/>
                </w14:solidFill>
              </w14:textFill>
            </w:rPr>
            <w:fldChar w:fldCharType="separate"/>
          </w:r>
          <w:r>
            <w:rPr>
              <w:rStyle w:val="78"/>
              <w:rFonts w:ascii="宋体" w:hAnsi="宋体" w:eastAsia="宋体" w:cs="仿宋"/>
              <w:b w:val="0"/>
              <w:bCs w:val="0"/>
              <w:color w:val="000000" w:themeColor="text1"/>
              <w:sz w:val="24"/>
              <w:szCs w:val="24"/>
              <w:highlight w:val="none"/>
              <w14:textFill>
                <w14:solidFill>
                  <w14:schemeClr w14:val="tx1"/>
                </w14:solidFill>
              </w14:textFill>
            </w:rPr>
            <w:t>一、说明</w:t>
          </w:r>
          <w:r>
            <w:rPr>
              <w:rStyle w:val="78"/>
              <w:rFonts w:ascii="宋体" w:hAnsi="宋体" w:eastAsia="宋体" w:cs="仿宋"/>
              <w:b w:val="0"/>
              <w:bCs w:val="0"/>
              <w:color w:val="000000" w:themeColor="text1"/>
              <w:sz w:val="24"/>
              <w:szCs w:val="24"/>
              <w:highlight w:val="none"/>
              <w14:textFill>
                <w14:solidFill>
                  <w14:schemeClr w14:val="tx1"/>
                </w14:solidFill>
              </w14:textFill>
            </w:rPr>
            <w:tab/>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begin"/>
          </w:r>
          <w:r>
            <w:rPr>
              <w:rStyle w:val="78"/>
              <w:rFonts w:ascii="宋体" w:hAnsi="宋体" w:eastAsia="宋体" w:cs="仿宋"/>
              <w:b w:val="0"/>
              <w:bCs w:val="0"/>
              <w:color w:val="000000" w:themeColor="text1"/>
              <w:sz w:val="24"/>
              <w:szCs w:val="24"/>
              <w:highlight w:val="none"/>
              <w14:textFill>
                <w14:solidFill>
                  <w14:schemeClr w14:val="tx1"/>
                </w14:solidFill>
              </w14:textFill>
            </w:rPr>
            <w:instrText xml:space="preserve"> PAGEREF _Toc130891904 \h </w:instrText>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separate"/>
          </w:r>
          <w:r>
            <w:rPr>
              <w:rStyle w:val="78"/>
              <w:rFonts w:ascii="宋体" w:hAnsi="宋体" w:eastAsia="宋体" w:cs="仿宋"/>
              <w:b w:val="0"/>
              <w:bCs w:val="0"/>
              <w:color w:val="000000" w:themeColor="text1"/>
              <w:sz w:val="24"/>
              <w:szCs w:val="24"/>
              <w:highlight w:val="none"/>
              <w14:textFill>
                <w14:solidFill>
                  <w14:schemeClr w14:val="tx1"/>
                </w14:solidFill>
              </w14:textFill>
            </w:rPr>
            <w:t>11</w:t>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end"/>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end"/>
          </w:r>
        </w:p>
        <w:p w14:paraId="4E8C4FF3">
          <w:pPr>
            <w:pStyle w:val="45"/>
            <w:ind w:firstLine="560" w:firstLineChars="200"/>
            <w:rPr>
              <w:rStyle w:val="78"/>
              <w:rFonts w:hint="eastAsia" w:ascii="宋体" w:hAnsi="宋体" w:eastAsia="宋体"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"_Toc130891905" </w:instrText>
          </w:r>
          <w:r>
            <w:rPr>
              <w:color w:val="000000" w:themeColor="text1"/>
              <w:highlight w:val="none"/>
              <w14:textFill>
                <w14:solidFill>
                  <w14:schemeClr w14:val="tx1"/>
                </w14:solidFill>
              </w14:textFill>
            </w:rPr>
            <w:fldChar w:fldCharType="separate"/>
          </w:r>
          <w:r>
            <w:rPr>
              <w:rStyle w:val="78"/>
              <w:rFonts w:ascii="宋体" w:hAnsi="宋体" w:eastAsia="宋体" w:cs="仿宋"/>
              <w:b w:val="0"/>
              <w:bCs w:val="0"/>
              <w:color w:val="000000" w:themeColor="text1"/>
              <w:sz w:val="24"/>
              <w:szCs w:val="24"/>
              <w:highlight w:val="none"/>
              <w14:textFill>
                <w14:solidFill>
                  <w14:schemeClr w14:val="tx1"/>
                </w14:solidFill>
              </w14:textFill>
            </w:rPr>
            <w:t>二、招标文件</w:t>
          </w:r>
          <w:r>
            <w:rPr>
              <w:rStyle w:val="78"/>
              <w:rFonts w:ascii="宋体" w:hAnsi="宋体" w:eastAsia="宋体" w:cs="仿宋"/>
              <w:b w:val="0"/>
              <w:bCs w:val="0"/>
              <w:color w:val="000000" w:themeColor="text1"/>
              <w:sz w:val="24"/>
              <w:szCs w:val="24"/>
              <w:highlight w:val="none"/>
              <w14:textFill>
                <w14:solidFill>
                  <w14:schemeClr w14:val="tx1"/>
                </w14:solidFill>
              </w14:textFill>
            </w:rPr>
            <w:tab/>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begin"/>
          </w:r>
          <w:r>
            <w:rPr>
              <w:rStyle w:val="78"/>
              <w:rFonts w:ascii="宋体" w:hAnsi="宋体" w:eastAsia="宋体" w:cs="仿宋"/>
              <w:b w:val="0"/>
              <w:bCs w:val="0"/>
              <w:color w:val="000000" w:themeColor="text1"/>
              <w:sz w:val="24"/>
              <w:szCs w:val="24"/>
              <w:highlight w:val="none"/>
              <w14:textFill>
                <w14:solidFill>
                  <w14:schemeClr w14:val="tx1"/>
                </w14:solidFill>
              </w14:textFill>
            </w:rPr>
            <w:instrText xml:space="preserve"> PAGEREF _Toc130891905 \h </w:instrText>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separate"/>
          </w:r>
          <w:r>
            <w:rPr>
              <w:rStyle w:val="78"/>
              <w:rFonts w:ascii="宋体" w:hAnsi="宋体" w:eastAsia="宋体" w:cs="仿宋"/>
              <w:b w:val="0"/>
              <w:bCs w:val="0"/>
              <w:color w:val="000000" w:themeColor="text1"/>
              <w:sz w:val="24"/>
              <w:szCs w:val="24"/>
              <w:highlight w:val="none"/>
              <w14:textFill>
                <w14:solidFill>
                  <w14:schemeClr w14:val="tx1"/>
                </w14:solidFill>
              </w14:textFill>
            </w:rPr>
            <w:t>12</w:t>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end"/>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end"/>
          </w:r>
        </w:p>
        <w:p w14:paraId="77E3EF2C">
          <w:pPr>
            <w:pStyle w:val="45"/>
            <w:ind w:firstLine="560" w:firstLineChars="200"/>
            <w:rPr>
              <w:rStyle w:val="78"/>
              <w:rFonts w:hint="eastAsia" w:ascii="宋体" w:hAnsi="宋体" w:eastAsia="宋体"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"_Toc130891906" </w:instrText>
          </w:r>
          <w:r>
            <w:rPr>
              <w:color w:val="000000" w:themeColor="text1"/>
              <w:highlight w:val="none"/>
              <w14:textFill>
                <w14:solidFill>
                  <w14:schemeClr w14:val="tx1"/>
                </w14:solidFill>
              </w14:textFill>
            </w:rPr>
            <w:fldChar w:fldCharType="separate"/>
          </w:r>
          <w:r>
            <w:rPr>
              <w:rStyle w:val="78"/>
              <w:rFonts w:ascii="宋体" w:hAnsi="宋体" w:eastAsia="宋体" w:cs="仿宋"/>
              <w:b w:val="0"/>
              <w:bCs w:val="0"/>
              <w:color w:val="000000" w:themeColor="text1"/>
              <w:sz w:val="24"/>
              <w:szCs w:val="24"/>
              <w:highlight w:val="none"/>
              <w14:textFill>
                <w14:solidFill>
                  <w14:schemeClr w14:val="tx1"/>
                </w14:solidFill>
              </w14:textFill>
            </w:rPr>
            <w:t>三、投标文件的编制</w:t>
          </w:r>
          <w:r>
            <w:rPr>
              <w:rStyle w:val="78"/>
              <w:rFonts w:ascii="宋体" w:hAnsi="宋体" w:eastAsia="宋体" w:cs="仿宋"/>
              <w:b w:val="0"/>
              <w:bCs w:val="0"/>
              <w:color w:val="000000" w:themeColor="text1"/>
              <w:sz w:val="24"/>
              <w:szCs w:val="24"/>
              <w:highlight w:val="none"/>
              <w14:textFill>
                <w14:solidFill>
                  <w14:schemeClr w14:val="tx1"/>
                </w14:solidFill>
              </w14:textFill>
            </w:rPr>
            <w:tab/>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begin"/>
          </w:r>
          <w:r>
            <w:rPr>
              <w:rStyle w:val="78"/>
              <w:rFonts w:ascii="宋体" w:hAnsi="宋体" w:eastAsia="宋体" w:cs="仿宋"/>
              <w:b w:val="0"/>
              <w:bCs w:val="0"/>
              <w:color w:val="000000" w:themeColor="text1"/>
              <w:sz w:val="24"/>
              <w:szCs w:val="24"/>
              <w:highlight w:val="none"/>
              <w14:textFill>
                <w14:solidFill>
                  <w14:schemeClr w14:val="tx1"/>
                </w14:solidFill>
              </w14:textFill>
            </w:rPr>
            <w:instrText xml:space="preserve"> PAGEREF _Toc130891906 \h </w:instrText>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separate"/>
          </w:r>
          <w:r>
            <w:rPr>
              <w:rStyle w:val="78"/>
              <w:rFonts w:ascii="宋体" w:hAnsi="宋体" w:eastAsia="宋体" w:cs="仿宋"/>
              <w:b w:val="0"/>
              <w:bCs w:val="0"/>
              <w:color w:val="000000" w:themeColor="text1"/>
              <w:sz w:val="24"/>
              <w:szCs w:val="24"/>
              <w:highlight w:val="none"/>
              <w14:textFill>
                <w14:solidFill>
                  <w14:schemeClr w14:val="tx1"/>
                </w14:solidFill>
              </w14:textFill>
            </w:rPr>
            <w:t>14</w:t>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end"/>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end"/>
          </w:r>
        </w:p>
        <w:p w14:paraId="7E5B5946">
          <w:pPr>
            <w:pStyle w:val="45"/>
            <w:ind w:firstLine="560" w:firstLineChars="200"/>
            <w:rPr>
              <w:rStyle w:val="78"/>
              <w:rFonts w:hint="eastAsia" w:ascii="宋体" w:hAnsi="宋体" w:eastAsia="宋体"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"_Toc130891907" </w:instrText>
          </w:r>
          <w:r>
            <w:rPr>
              <w:color w:val="000000" w:themeColor="text1"/>
              <w:highlight w:val="none"/>
              <w14:textFill>
                <w14:solidFill>
                  <w14:schemeClr w14:val="tx1"/>
                </w14:solidFill>
              </w14:textFill>
            </w:rPr>
            <w:fldChar w:fldCharType="separate"/>
          </w:r>
          <w:r>
            <w:rPr>
              <w:rStyle w:val="78"/>
              <w:rFonts w:ascii="宋体" w:hAnsi="宋体" w:eastAsia="宋体" w:cs="仿宋"/>
              <w:b w:val="0"/>
              <w:bCs w:val="0"/>
              <w:color w:val="000000" w:themeColor="text1"/>
              <w:sz w:val="24"/>
              <w:szCs w:val="24"/>
              <w:highlight w:val="none"/>
              <w14:textFill>
                <w14:solidFill>
                  <w14:schemeClr w14:val="tx1"/>
                </w14:solidFill>
              </w14:textFill>
            </w:rPr>
            <w:t>四、投标文件的提交</w:t>
          </w:r>
          <w:r>
            <w:rPr>
              <w:rStyle w:val="78"/>
              <w:rFonts w:ascii="宋体" w:hAnsi="宋体" w:eastAsia="宋体" w:cs="仿宋"/>
              <w:b w:val="0"/>
              <w:bCs w:val="0"/>
              <w:color w:val="000000" w:themeColor="text1"/>
              <w:sz w:val="24"/>
              <w:szCs w:val="24"/>
              <w:highlight w:val="none"/>
              <w14:textFill>
                <w14:solidFill>
                  <w14:schemeClr w14:val="tx1"/>
                </w14:solidFill>
              </w14:textFill>
            </w:rPr>
            <w:tab/>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begin"/>
          </w:r>
          <w:r>
            <w:rPr>
              <w:rStyle w:val="78"/>
              <w:rFonts w:ascii="宋体" w:hAnsi="宋体" w:eastAsia="宋体" w:cs="仿宋"/>
              <w:b w:val="0"/>
              <w:bCs w:val="0"/>
              <w:color w:val="000000" w:themeColor="text1"/>
              <w:sz w:val="24"/>
              <w:szCs w:val="24"/>
              <w:highlight w:val="none"/>
              <w14:textFill>
                <w14:solidFill>
                  <w14:schemeClr w14:val="tx1"/>
                </w14:solidFill>
              </w14:textFill>
            </w:rPr>
            <w:instrText xml:space="preserve"> PAGEREF _Toc130891907 \h </w:instrText>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separate"/>
          </w:r>
          <w:r>
            <w:rPr>
              <w:rStyle w:val="78"/>
              <w:rFonts w:ascii="宋体" w:hAnsi="宋体" w:eastAsia="宋体" w:cs="仿宋"/>
              <w:b w:val="0"/>
              <w:bCs w:val="0"/>
              <w:color w:val="000000" w:themeColor="text1"/>
              <w:sz w:val="24"/>
              <w:szCs w:val="24"/>
              <w:highlight w:val="none"/>
              <w14:textFill>
                <w14:solidFill>
                  <w14:schemeClr w14:val="tx1"/>
                </w14:solidFill>
              </w14:textFill>
            </w:rPr>
            <w:t>24</w:t>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end"/>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end"/>
          </w:r>
        </w:p>
        <w:p w14:paraId="117CE105">
          <w:pPr>
            <w:pStyle w:val="45"/>
            <w:ind w:firstLine="560" w:firstLineChars="200"/>
            <w:rPr>
              <w:rStyle w:val="78"/>
              <w:rFonts w:hint="eastAsia" w:ascii="宋体" w:hAnsi="宋体" w:eastAsia="宋体"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"_Toc130891908" </w:instrText>
          </w:r>
          <w:r>
            <w:rPr>
              <w:color w:val="000000" w:themeColor="text1"/>
              <w:highlight w:val="none"/>
              <w14:textFill>
                <w14:solidFill>
                  <w14:schemeClr w14:val="tx1"/>
                </w14:solidFill>
              </w14:textFill>
            </w:rPr>
            <w:fldChar w:fldCharType="separate"/>
          </w:r>
          <w:r>
            <w:rPr>
              <w:rStyle w:val="78"/>
              <w:rFonts w:ascii="宋体" w:hAnsi="宋体" w:eastAsia="宋体" w:cs="仿宋"/>
              <w:b w:val="0"/>
              <w:bCs w:val="0"/>
              <w:color w:val="000000" w:themeColor="text1"/>
              <w:sz w:val="24"/>
              <w:szCs w:val="24"/>
              <w:highlight w:val="none"/>
              <w14:textFill>
                <w14:solidFill>
                  <w14:schemeClr w14:val="tx1"/>
                </w14:solidFill>
              </w14:textFill>
            </w:rPr>
            <w:t>五、开标与评审</w:t>
          </w:r>
          <w:r>
            <w:rPr>
              <w:rStyle w:val="78"/>
              <w:rFonts w:ascii="宋体" w:hAnsi="宋体" w:eastAsia="宋体" w:cs="仿宋"/>
              <w:b w:val="0"/>
              <w:bCs w:val="0"/>
              <w:color w:val="000000" w:themeColor="text1"/>
              <w:sz w:val="24"/>
              <w:szCs w:val="24"/>
              <w:highlight w:val="none"/>
              <w14:textFill>
                <w14:solidFill>
                  <w14:schemeClr w14:val="tx1"/>
                </w14:solidFill>
              </w14:textFill>
            </w:rPr>
            <w:tab/>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begin"/>
          </w:r>
          <w:r>
            <w:rPr>
              <w:rStyle w:val="78"/>
              <w:rFonts w:ascii="宋体" w:hAnsi="宋体" w:eastAsia="宋体" w:cs="仿宋"/>
              <w:b w:val="0"/>
              <w:bCs w:val="0"/>
              <w:color w:val="000000" w:themeColor="text1"/>
              <w:sz w:val="24"/>
              <w:szCs w:val="24"/>
              <w:highlight w:val="none"/>
              <w14:textFill>
                <w14:solidFill>
                  <w14:schemeClr w14:val="tx1"/>
                </w14:solidFill>
              </w14:textFill>
            </w:rPr>
            <w:instrText xml:space="preserve"> PAGEREF _Toc130891908 \h </w:instrText>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separate"/>
          </w:r>
          <w:r>
            <w:rPr>
              <w:rStyle w:val="78"/>
              <w:rFonts w:ascii="宋体" w:hAnsi="宋体" w:eastAsia="宋体" w:cs="仿宋"/>
              <w:b w:val="0"/>
              <w:bCs w:val="0"/>
              <w:color w:val="000000" w:themeColor="text1"/>
              <w:sz w:val="24"/>
              <w:szCs w:val="24"/>
              <w:highlight w:val="none"/>
              <w14:textFill>
                <w14:solidFill>
                  <w14:schemeClr w14:val="tx1"/>
                </w14:solidFill>
              </w14:textFill>
            </w:rPr>
            <w:t>26</w:t>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end"/>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end"/>
          </w:r>
        </w:p>
        <w:p w14:paraId="7ED149C4">
          <w:pPr>
            <w:pStyle w:val="45"/>
            <w:ind w:firstLine="560" w:firstLineChars="200"/>
            <w:rPr>
              <w:rStyle w:val="78"/>
              <w:rFonts w:hint="eastAsia" w:ascii="宋体" w:hAnsi="宋体" w:eastAsia="宋体"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"_Toc130891909" </w:instrText>
          </w:r>
          <w:r>
            <w:rPr>
              <w:color w:val="000000" w:themeColor="text1"/>
              <w:highlight w:val="none"/>
              <w14:textFill>
                <w14:solidFill>
                  <w14:schemeClr w14:val="tx1"/>
                </w14:solidFill>
              </w14:textFill>
            </w:rPr>
            <w:fldChar w:fldCharType="separate"/>
          </w:r>
          <w:r>
            <w:rPr>
              <w:rStyle w:val="78"/>
              <w:rFonts w:ascii="宋体" w:hAnsi="宋体" w:eastAsia="宋体" w:cs="仿宋"/>
              <w:b w:val="0"/>
              <w:bCs w:val="0"/>
              <w:color w:val="000000" w:themeColor="text1"/>
              <w:sz w:val="24"/>
              <w:szCs w:val="24"/>
              <w:highlight w:val="none"/>
              <w14:textFill>
                <w14:solidFill>
                  <w14:schemeClr w14:val="tx1"/>
                </w14:solidFill>
              </w14:textFill>
            </w:rPr>
            <w:t>六、定标</w:t>
          </w:r>
          <w:r>
            <w:rPr>
              <w:rStyle w:val="78"/>
              <w:rFonts w:ascii="宋体" w:hAnsi="宋体" w:eastAsia="宋体" w:cs="仿宋"/>
              <w:b w:val="0"/>
              <w:bCs w:val="0"/>
              <w:color w:val="000000" w:themeColor="text1"/>
              <w:sz w:val="24"/>
              <w:szCs w:val="24"/>
              <w:highlight w:val="none"/>
              <w14:textFill>
                <w14:solidFill>
                  <w14:schemeClr w14:val="tx1"/>
                </w14:solidFill>
              </w14:textFill>
            </w:rPr>
            <w:tab/>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begin"/>
          </w:r>
          <w:r>
            <w:rPr>
              <w:rStyle w:val="78"/>
              <w:rFonts w:ascii="宋体" w:hAnsi="宋体" w:eastAsia="宋体" w:cs="仿宋"/>
              <w:b w:val="0"/>
              <w:bCs w:val="0"/>
              <w:color w:val="000000" w:themeColor="text1"/>
              <w:sz w:val="24"/>
              <w:szCs w:val="24"/>
              <w:highlight w:val="none"/>
              <w14:textFill>
                <w14:solidFill>
                  <w14:schemeClr w14:val="tx1"/>
                </w14:solidFill>
              </w14:textFill>
            </w:rPr>
            <w:instrText xml:space="preserve"> PAGEREF _Toc130891909 \h </w:instrText>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separate"/>
          </w:r>
          <w:r>
            <w:rPr>
              <w:rStyle w:val="78"/>
              <w:rFonts w:ascii="宋体" w:hAnsi="宋体" w:eastAsia="宋体" w:cs="仿宋"/>
              <w:b w:val="0"/>
              <w:bCs w:val="0"/>
              <w:color w:val="000000" w:themeColor="text1"/>
              <w:sz w:val="24"/>
              <w:szCs w:val="24"/>
              <w:highlight w:val="none"/>
              <w14:textFill>
                <w14:solidFill>
                  <w14:schemeClr w14:val="tx1"/>
                </w14:solidFill>
              </w14:textFill>
            </w:rPr>
            <w:t>36</w:t>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end"/>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end"/>
          </w:r>
        </w:p>
        <w:p w14:paraId="3E07D2F3">
          <w:pPr>
            <w:pStyle w:val="45"/>
            <w:ind w:firstLine="560" w:firstLineChars="200"/>
            <w:rPr>
              <w:rStyle w:val="78"/>
              <w:rFonts w:hint="eastAsia" w:ascii="宋体" w:hAnsi="宋体" w:eastAsia="宋体"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"_Toc130891910" </w:instrText>
          </w:r>
          <w:r>
            <w:rPr>
              <w:color w:val="000000" w:themeColor="text1"/>
              <w:highlight w:val="none"/>
              <w14:textFill>
                <w14:solidFill>
                  <w14:schemeClr w14:val="tx1"/>
                </w14:solidFill>
              </w14:textFill>
            </w:rPr>
            <w:fldChar w:fldCharType="separate"/>
          </w:r>
          <w:r>
            <w:rPr>
              <w:rStyle w:val="78"/>
              <w:rFonts w:ascii="宋体" w:hAnsi="宋体" w:eastAsia="宋体" w:cs="仿宋"/>
              <w:b w:val="0"/>
              <w:bCs w:val="0"/>
              <w:color w:val="000000" w:themeColor="text1"/>
              <w:sz w:val="24"/>
              <w:szCs w:val="24"/>
              <w:highlight w:val="none"/>
              <w14:textFill>
                <w14:solidFill>
                  <w14:schemeClr w14:val="tx1"/>
                </w14:solidFill>
              </w14:textFill>
            </w:rPr>
            <w:t>七、结果公告</w:t>
          </w:r>
          <w:r>
            <w:rPr>
              <w:rStyle w:val="78"/>
              <w:rFonts w:ascii="宋体" w:hAnsi="宋体" w:eastAsia="宋体" w:cs="仿宋"/>
              <w:b w:val="0"/>
              <w:bCs w:val="0"/>
              <w:color w:val="000000" w:themeColor="text1"/>
              <w:sz w:val="24"/>
              <w:szCs w:val="24"/>
              <w:highlight w:val="none"/>
              <w14:textFill>
                <w14:solidFill>
                  <w14:schemeClr w14:val="tx1"/>
                </w14:solidFill>
              </w14:textFill>
            </w:rPr>
            <w:tab/>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begin"/>
          </w:r>
          <w:r>
            <w:rPr>
              <w:rStyle w:val="78"/>
              <w:rFonts w:ascii="宋体" w:hAnsi="宋体" w:eastAsia="宋体" w:cs="仿宋"/>
              <w:b w:val="0"/>
              <w:bCs w:val="0"/>
              <w:color w:val="000000" w:themeColor="text1"/>
              <w:sz w:val="24"/>
              <w:szCs w:val="24"/>
              <w:highlight w:val="none"/>
              <w14:textFill>
                <w14:solidFill>
                  <w14:schemeClr w14:val="tx1"/>
                </w14:solidFill>
              </w14:textFill>
            </w:rPr>
            <w:instrText xml:space="preserve"> PAGEREF _Toc130891910 \h </w:instrText>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separate"/>
          </w:r>
          <w:r>
            <w:rPr>
              <w:rStyle w:val="78"/>
              <w:rFonts w:ascii="宋体" w:hAnsi="宋体" w:eastAsia="宋体" w:cs="仿宋"/>
              <w:b w:val="0"/>
              <w:bCs w:val="0"/>
              <w:color w:val="000000" w:themeColor="text1"/>
              <w:sz w:val="24"/>
              <w:szCs w:val="24"/>
              <w:highlight w:val="none"/>
              <w14:textFill>
                <w14:solidFill>
                  <w14:schemeClr w14:val="tx1"/>
                </w14:solidFill>
              </w14:textFill>
            </w:rPr>
            <w:t>37</w:t>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end"/>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end"/>
          </w:r>
        </w:p>
        <w:p w14:paraId="4D3479BC">
          <w:pPr>
            <w:pStyle w:val="45"/>
            <w:ind w:firstLine="560" w:firstLineChars="200"/>
            <w:rPr>
              <w:rStyle w:val="78"/>
              <w:rFonts w:hint="eastAsia" w:ascii="宋体" w:hAnsi="宋体" w:eastAsia="宋体"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"_Toc130891911" </w:instrText>
          </w:r>
          <w:r>
            <w:rPr>
              <w:color w:val="000000" w:themeColor="text1"/>
              <w:highlight w:val="none"/>
              <w14:textFill>
                <w14:solidFill>
                  <w14:schemeClr w14:val="tx1"/>
                </w14:solidFill>
              </w14:textFill>
            </w:rPr>
            <w:fldChar w:fldCharType="separate"/>
          </w:r>
          <w:r>
            <w:rPr>
              <w:rStyle w:val="78"/>
              <w:rFonts w:ascii="宋体" w:hAnsi="宋体" w:eastAsia="宋体" w:cs="仿宋"/>
              <w:b w:val="0"/>
              <w:bCs w:val="0"/>
              <w:color w:val="000000" w:themeColor="text1"/>
              <w:sz w:val="24"/>
              <w:szCs w:val="24"/>
              <w:highlight w:val="none"/>
              <w14:textFill>
                <w14:solidFill>
                  <w14:schemeClr w14:val="tx1"/>
                </w14:solidFill>
              </w14:textFill>
            </w:rPr>
            <w:t>八、质疑</w:t>
          </w:r>
          <w:r>
            <w:rPr>
              <w:rStyle w:val="78"/>
              <w:rFonts w:ascii="宋体" w:hAnsi="宋体" w:eastAsia="宋体" w:cs="仿宋"/>
              <w:b w:val="0"/>
              <w:bCs w:val="0"/>
              <w:color w:val="000000" w:themeColor="text1"/>
              <w:sz w:val="24"/>
              <w:szCs w:val="24"/>
              <w:highlight w:val="none"/>
              <w14:textFill>
                <w14:solidFill>
                  <w14:schemeClr w14:val="tx1"/>
                </w14:solidFill>
              </w14:textFill>
            </w:rPr>
            <w:tab/>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begin"/>
          </w:r>
          <w:r>
            <w:rPr>
              <w:rStyle w:val="78"/>
              <w:rFonts w:ascii="宋体" w:hAnsi="宋体" w:eastAsia="宋体" w:cs="仿宋"/>
              <w:b w:val="0"/>
              <w:bCs w:val="0"/>
              <w:color w:val="000000" w:themeColor="text1"/>
              <w:sz w:val="24"/>
              <w:szCs w:val="24"/>
              <w:highlight w:val="none"/>
              <w14:textFill>
                <w14:solidFill>
                  <w14:schemeClr w14:val="tx1"/>
                </w14:solidFill>
              </w14:textFill>
            </w:rPr>
            <w:instrText xml:space="preserve"> PAGEREF _Toc130891911 \h </w:instrText>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separate"/>
          </w:r>
          <w:r>
            <w:rPr>
              <w:rStyle w:val="78"/>
              <w:rFonts w:ascii="宋体" w:hAnsi="宋体" w:eastAsia="宋体" w:cs="仿宋"/>
              <w:b w:val="0"/>
              <w:bCs w:val="0"/>
              <w:color w:val="000000" w:themeColor="text1"/>
              <w:sz w:val="24"/>
              <w:szCs w:val="24"/>
              <w:highlight w:val="none"/>
              <w14:textFill>
                <w14:solidFill>
                  <w14:schemeClr w14:val="tx1"/>
                </w14:solidFill>
              </w14:textFill>
            </w:rPr>
            <w:t>38</w:t>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end"/>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end"/>
          </w:r>
        </w:p>
        <w:p w14:paraId="712F09BF">
          <w:pPr>
            <w:pStyle w:val="45"/>
            <w:ind w:firstLine="560" w:firstLineChars="200"/>
            <w:rPr>
              <w:rStyle w:val="78"/>
              <w:rFonts w:hint="eastAsia" w:ascii="宋体" w:hAnsi="宋体" w:eastAsia="宋体"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"_Toc130891912" </w:instrText>
          </w:r>
          <w:r>
            <w:rPr>
              <w:color w:val="000000" w:themeColor="text1"/>
              <w:highlight w:val="none"/>
              <w14:textFill>
                <w14:solidFill>
                  <w14:schemeClr w14:val="tx1"/>
                </w14:solidFill>
              </w14:textFill>
            </w:rPr>
            <w:fldChar w:fldCharType="separate"/>
          </w:r>
          <w:r>
            <w:rPr>
              <w:rStyle w:val="78"/>
              <w:rFonts w:ascii="宋体" w:hAnsi="宋体" w:eastAsia="宋体" w:cs="仿宋"/>
              <w:b w:val="0"/>
              <w:bCs w:val="0"/>
              <w:color w:val="000000" w:themeColor="text1"/>
              <w:sz w:val="24"/>
              <w:szCs w:val="24"/>
              <w:highlight w:val="none"/>
              <w14:textFill>
                <w14:solidFill>
                  <w14:schemeClr w14:val="tx1"/>
                </w14:solidFill>
              </w14:textFill>
            </w:rPr>
            <w:t>九、签订合同</w:t>
          </w:r>
          <w:r>
            <w:rPr>
              <w:rStyle w:val="78"/>
              <w:rFonts w:ascii="宋体" w:hAnsi="宋体" w:eastAsia="宋体" w:cs="仿宋"/>
              <w:b w:val="0"/>
              <w:bCs w:val="0"/>
              <w:color w:val="000000" w:themeColor="text1"/>
              <w:sz w:val="24"/>
              <w:szCs w:val="24"/>
              <w:highlight w:val="none"/>
              <w14:textFill>
                <w14:solidFill>
                  <w14:schemeClr w14:val="tx1"/>
                </w14:solidFill>
              </w14:textFill>
            </w:rPr>
            <w:tab/>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begin"/>
          </w:r>
          <w:r>
            <w:rPr>
              <w:rStyle w:val="78"/>
              <w:rFonts w:ascii="宋体" w:hAnsi="宋体" w:eastAsia="宋体" w:cs="仿宋"/>
              <w:b w:val="0"/>
              <w:bCs w:val="0"/>
              <w:color w:val="000000" w:themeColor="text1"/>
              <w:sz w:val="24"/>
              <w:szCs w:val="24"/>
              <w:highlight w:val="none"/>
              <w14:textFill>
                <w14:solidFill>
                  <w14:schemeClr w14:val="tx1"/>
                </w14:solidFill>
              </w14:textFill>
            </w:rPr>
            <w:instrText xml:space="preserve"> PAGEREF _Toc130891912 \h </w:instrText>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separate"/>
          </w:r>
          <w:r>
            <w:rPr>
              <w:rStyle w:val="78"/>
              <w:rFonts w:ascii="宋体" w:hAnsi="宋体" w:eastAsia="宋体" w:cs="仿宋"/>
              <w:b w:val="0"/>
              <w:bCs w:val="0"/>
              <w:color w:val="000000" w:themeColor="text1"/>
              <w:sz w:val="24"/>
              <w:szCs w:val="24"/>
              <w:highlight w:val="none"/>
              <w14:textFill>
                <w14:solidFill>
                  <w14:schemeClr w14:val="tx1"/>
                </w14:solidFill>
              </w14:textFill>
            </w:rPr>
            <w:t>39</w:t>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end"/>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end"/>
          </w:r>
        </w:p>
        <w:p w14:paraId="3495C62B">
          <w:pPr>
            <w:pStyle w:val="45"/>
            <w:rPr>
              <w:rStyle w:val="78"/>
              <w:rFonts w:hint="eastAsia" w:ascii="宋体" w:hAnsi="宋体" w:eastAsia="宋体" w:cs="仿宋"/>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"_Toc130891913" </w:instrText>
          </w:r>
          <w:r>
            <w:rPr>
              <w:color w:val="000000" w:themeColor="text1"/>
              <w:highlight w:val="none"/>
              <w14:textFill>
                <w14:solidFill>
                  <w14:schemeClr w14:val="tx1"/>
                </w14:solidFill>
              </w14:textFill>
            </w:rPr>
            <w:fldChar w:fldCharType="separate"/>
          </w:r>
          <w:r>
            <w:rPr>
              <w:rStyle w:val="78"/>
              <w:rFonts w:ascii="宋体" w:hAnsi="宋体" w:eastAsia="宋体" w:cs="仿宋"/>
              <w:color w:val="000000" w:themeColor="text1"/>
              <w:highlight w:val="none"/>
              <w14:textFill>
                <w14:solidFill>
                  <w14:schemeClr w14:val="tx1"/>
                </w14:solidFill>
              </w14:textFill>
            </w:rPr>
            <w:t>第三章</w:t>
          </w:r>
          <w:r>
            <w:rPr>
              <w:rStyle w:val="78"/>
              <w:rFonts w:hint="eastAsia" w:ascii="宋体" w:hAnsi="宋体" w:eastAsia="宋体" w:cs="仿宋"/>
              <w:color w:val="000000" w:themeColor="text1"/>
              <w:highlight w:val="none"/>
              <w14:textFill>
                <w14:solidFill>
                  <w14:schemeClr w14:val="tx1"/>
                </w14:solidFill>
              </w14:textFill>
            </w:rPr>
            <w:t xml:space="preserve">  </w:t>
          </w:r>
          <w:r>
            <w:rPr>
              <w:rStyle w:val="78"/>
              <w:rFonts w:ascii="宋体" w:hAnsi="宋体" w:eastAsia="宋体" w:cs="仿宋"/>
              <w:color w:val="000000" w:themeColor="text1"/>
              <w:highlight w:val="none"/>
              <w14:textFill>
                <w14:solidFill>
                  <w14:schemeClr w14:val="tx1"/>
                </w14:solidFill>
              </w14:textFill>
            </w:rPr>
            <w:t>开标、评标、定标</w:t>
          </w:r>
          <w:r>
            <w:rPr>
              <w:rStyle w:val="78"/>
              <w:rFonts w:ascii="宋体" w:hAnsi="宋体" w:eastAsia="宋体" w:cs="仿宋"/>
              <w:color w:val="000000" w:themeColor="text1"/>
              <w:highlight w:val="none"/>
              <w14:textFill>
                <w14:solidFill>
                  <w14:schemeClr w14:val="tx1"/>
                </w14:solidFill>
              </w14:textFill>
            </w:rPr>
            <w:tab/>
          </w:r>
          <w:r>
            <w:rPr>
              <w:rStyle w:val="78"/>
              <w:rFonts w:ascii="宋体" w:hAnsi="宋体" w:eastAsia="宋体" w:cs="仿宋"/>
              <w:color w:val="000000" w:themeColor="text1"/>
              <w:highlight w:val="none"/>
              <w14:textFill>
                <w14:solidFill>
                  <w14:schemeClr w14:val="tx1"/>
                </w14:solidFill>
              </w14:textFill>
            </w:rPr>
            <w:fldChar w:fldCharType="begin"/>
          </w:r>
          <w:r>
            <w:rPr>
              <w:rStyle w:val="78"/>
              <w:rFonts w:ascii="宋体" w:hAnsi="宋体" w:eastAsia="宋体" w:cs="仿宋"/>
              <w:color w:val="000000" w:themeColor="text1"/>
              <w:highlight w:val="none"/>
              <w14:textFill>
                <w14:solidFill>
                  <w14:schemeClr w14:val="tx1"/>
                </w14:solidFill>
              </w14:textFill>
            </w:rPr>
            <w:instrText xml:space="preserve"> PAGEREF _Toc130891913 \h </w:instrText>
          </w:r>
          <w:r>
            <w:rPr>
              <w:rStyle w:val="78"/>
              <w:rFonts w:ascii="宋体" w:hAnsi="宋体" w:eastAsia="宋体" w:cs="仿宋"/>
              <w:color w:val="000000" w:themeColor="text1"/>
              <w:highlight w:val="none"/>
              <w14:textFill>
                <w14:solidFill>
                  <w14:schemeClr w14:val="tx1"/>
                </w14:solidFill>
              </w14:textFill>
            </w:rPr>
            <w:fldChar w:fldCharType="separate"/>
          </w:r>
          <w:r>
            <w:rPr>
              <w:rStyle w:val="78"/>
              <w:rFonts w:ascii="宋体" w:hAnsi="宋体" w:eastAsia="宋体" w:cs="仿宋"/>
              <w:color w:val="000000" w:themeColor="text1"/>
              <w:highlight w:val="none"/>
              <w14:textFill>
                <w14:solidFill>
                  <w14:schemeClr w14:val="tx1"/>
                </w14:solidFill>
              </w14:textFill>
            </w:rPr>
            <w:t>41</w:t>
          </w:r>
          <w:r>
            <w:rPr>
              <w:rStyle w:val="78"/>
              <w:rFonts w:ascii="宋体" w:hAnsi="宋体" w:eastAsia="宋体" w:cs="仿宋"/>
              <w:color w:val="000000" w:themeColor="text1"/>
              <w:highlight w:val="none"/>
              <w14:textFill>
                <w14:solidFill>
                  <w14:schemeClr w14:val="tx1"/>
                </w14:solidFill>
              </w14:textFill>
            </w:rPr>
            <w:fldChar w:fldCharType="end"/>
          </w:r>
          <w:r>
            <w:rPr>
              <w:rStyle w:val="78"/>
              <w:rFonts w:ascii="宋体" w:hAnsi="宋体" w:eastAsia="宋体" w:cs="仿宋"/>
              <w:color w:val="000000" w:themeColor="text1"/>
              <w:highlight w:val="none"/>
              <w14:textFill>
                <w14:solidFill>
                  <w14:schemeClr w14:val="tx1"/>
                </w14:solidFill>
              </w14:textFill>
            </w:rPr>
            <w:fldChar w:fldCharType="end"/>
          </w:r>
        </w:p>
        <w:p w14:paraId="70E03B1B">
          <w:pPr>
            <w:pStyle w:val="45"/>
            <w:ind w:firstLine="560" w:firstLineChars="200"/>
            <w:rPr>
              <w:rStyle w:val="78"/>
              <w:rFonts w:hint="eastAsia" w:ascii="宋体" w:hAnsi="宋体" w:eastAsia="宋体"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"_Toc130891914" </w:instrText>
          </w:r>
          <w:r>
            <w:rPr>
              <w:color w:val="000000" w:themeColor="text1"/>
              <w:highlight w:val="none"/>
              <w14:textFill>
                <w14:solidFill>
                  <w14:schemeClr w14:val="tx1"/>
                </w14:solidFill>
              </w14:textFill>
            </w:rPr>
            <w:fldChar w:fldCharType="separate"/>
          </w:r>
          <w:r>
            <w:rPr>
              <w:rStyle w:val="78"/>
              <w:rFonts w:ascii="宋体" w:hAnsi="宋体" w:eastAsia="宋体" w:cs="仿宋"/>
              <w:b w:val="0"/>
              <w:bCs w:val="0"/>
              <w:color w:val="000000" w:themeColor="text1"/>
              <w:sz w:val="24"/>
              <w:szCs w:val="24"/>
              <w:highlight w:val="none"/>
              <w14:textFill>
                <w14:solidFill>
                  <w14:schemeClr w14:val="tx1"/>
                </w14:solidFill>
              </w14:textFill>
            </w:rPr>
            <w:t>一、开标</w:t>
          </w:r>
          <w:r>
            <w:rPr>
              <w:rStyle w:val="78"/>
              <w:rFonts w:ascii="宋体" w:hAnsi="宋体" w:eastAsia="宋体" w:cs="仿宋"/>
              <w:b w:val="0"/>
              <w:bCs w:val="0"/>
              <w:color w:val="000000" w:themeColor="text1"/>
              <w:sz w:val="24"/>
              <w:szCs w:val="24"/>
              <w:highlight w:val="none"/>
              <w14:textFill>
                <w14:solidFill>
                  <w14:schemeClr w14:val="tx1"/>
                </w14:solidFill>
              </w14:textFill>
            </w:rPr>
            <w:tab/>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begin"/>
          </w:r>
          <w:r>
            <w:rPr>
              <w:rStyle w:val="78"/>
              <w:rFonts w:ascii="宋体" w:hAnsi="宋体" w:eastAsia="宋体" w:cs="仿宋"/>
              <w:b w:val="0"/>
              <w:bCs w:val="0"/>
              <w:color w:val="000000" w:themeColor="text1"/>
              <w:sz w:val="24"/>
              <w:szCs w:val="24"/>
              <w:highlight w:val="none"/>
              <w14:textFill>
                <w14:solidFill>
                  <w14:schemeClr w14:val="tx1"/>
                </w14:solidFill>
              </w14:textFill>
            </w:rPr>
            <w:instrText xml:space="preserve"> PAGEREF _Toc130891914 \h </w:instrText>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separate"/>
          </w:r>
          <w:r>
            <w:rPr>
              <w:rStyle w:val="78"/>
              <w:rFonts w:ascii="宋体" w:hAnsi="宋体" w:eastAsia="宋体" w:cs="仿宋"/>
              <w:b w:val="0"/>
              <w:bCs w:val="0"/>
              <w:color w:val="000000" w:themeColor="text1"/>
              <w:sz w:val="24"/>
              <w:szCs w:val="24"/>
              <w:highlight w:val="none"/>
              <w14:textFill>
                <w14:solidFill>
                  <w14:schemeClr w14:val="tx1"/>
                </w14:solidFill>
              </w14:textFill>
            </w:rPr>
            <w:t>41</w:t>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end"/>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end"/>
          </w:r>
        </w:p>
        <w:p w14:paraId="654872B1">
          <w:pPr>
            <w:pStyle w:val="45"/>
            <w:ind w:firstLine="560" w:firstLineChars="200"/>
            <w:rPr>
              <w:rStyle w:val="78"/>
              <w:rFonts w:hint="eastAsia" w:ascii="宋体" w:hAnsi="宋体" w:eastAsia="宋体"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"_Toc130891915" </w:instrText>
          </w:r>
          <w:r>
            <w:rPr>
              <w:color w:val="000000" w:themeColor="text1"/>
              <w:highlight w:val="none"/>
              <w14:textFill>
                <w14:solidFill>
                  <w14:schemeClr w14:val="tx1"/>
                </w14:solidFill>
              </w14:textFill>
            </w:rPr>
            <w:fldChar w:fldCharType="separate"/>
          </w:r>
          <w:r>
            <w:rPr>
              <w:rStyle w:val="78"/>
              <w:rFonts w:ascii="宋体" w:hAnsi="宋体" w:eastAsia="宋体" w:cs="仿宋"/>
              <w:b w:val="0"/>
              <w:bCs w:val="0"/>
              <w:color w:val="000000" w:themeColor="text1"/>
              <w:sz w:val="24"/>
              <w:szCs w:val="24"/>
              <w:highlight w:val="none"/>
              <w14:textFill>
                <w14:solidFill>
                  <w14:schemeClr w14:val="tx1"/>
                </w14:solidFill>
              </w14:textFill>
            </w:rPr>
            <w:t>二、评标</w:t>
          </w:r>
          <w:r>
            <w:rPr>
              <w:rStyle w:val="78"/>
              <w:rFonts w:ascii="宋体" w:hAnsi="宋体" w:eastAsia="宋体" w:cs="仿宋"/>
              <w:b w:val="0"/>
              <w:bCs w:val="0"/>
              <w:color w:val="000000" w:themeColor="text1"/>
              <w:sz w:val="24"/>
              <w:szCs w:val="24"/>
              <w:highlight w:val="none"/>
              <w14:textFill>
                <w14:solidFill>
                  <w14:schemeClr w14:val="tx1"/>
                </w14:solidFill>
              </w14:textFill>
            </w:rPr>
            <w:tab/>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begin"/>
          </w:r>
          <w:r>
            <w:rPr>
              <w:rStyle w:val="78"/>
              <w:rFonts w:ascii="宋体" w:hAnsi="宋体" w:eastAsia="宋体" w:cs="仿宋"/>
              <w:b w:val="0"/>
              <w:bCs w:val="0"/>
              <w:color w:val="000000" w:themeColor="text1"/>
              <w:sz w:val="24"/>
              <w:szCs w:val="24"/>
              <w:highlight w:val="none"/>
              <w14:textFill>
                <w14:solidFill>
                  <w14:schemeClr w14:val="tx1"/>
                </w14:solidFill>
              </w14:textFill>
            </w:rPr>
            <w:instrText xml:space="preserve"> PAGEREF _Toc130891915 \h </w:instrText>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separate"/>
          </w:r>
          <w:r>
            <w:rPr>
              <w:rStyle w:val="78"/>
              <w:rFonts w:ascii="宋体" w:hAnsi="宋体" w:eastAsia="宋体" w:cs="仿宋"/>
              <w:b w:val="0"/>
              <w:bCs w:val="0"/>
              <w:color w:val="000000" w:themeColor="text1"/>
              <w:sz w:val="24"/>
              <w:szCs w:val="24"/>
              <w:highlight w:val="none"/>
              <w14:textFill>
                <w14:solidFill>
                  <w14:schemeClr w14:val="tx1"/>
                </w14:solidFill>
              </w14:textFill>
            </w:rPr>
            <w:t>42</w:t>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end"/>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end"/>
          </w:r>
        </w:p>
        <w:p w14:paraId="2764E21E">
          <w:pPr>
            <w:pStyle w:val="45"/>
            <w:ind w:firstLine="560" w:firstLineChars="200"/>
            <w:rPr>
              <w:rStyle w:val="78"/>
              <w:rFonts w:hint="eastAsia" w:ascii="宋体" w:hAnsi="宋体" w:eastAsia="宋体"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"_Toc130891916" </w:instrText>
          </w:r>
          <w:r>
            <w:rPr>
              <w:color w:val="000000" w:themeColor="text1"/>
              <w:highlight w:val="none"/>
              <w14:textFill>
                <w14:solidFill>
                  <w14:schemeClr w14:val="tx1"/>
                </w14:solidFill>
              </w14:textFill>
            </w:rPr>
            <w:fldChar w:fldCharType="separate"/>
          </w:r>
          <w:r>
            <w:rPr>
              <w:rStyle w:val="78"/>
              <w:rFonts w:ascii="宋体" w:hAnsi="宋体" w:eastAsia="宋体" w:cs="仿宋"/>
              <w:b w:val="0"/>
              <w:bCs w:val="0"/>
              <w:color w:val="000000" w:themeColor="text1"/>
              <w:sz w:val="24"/>
              <w:szCs w:val="24"/>
              <w:highlight w:val="none"/>
              <w14:textFill>
                <w14:solidFill>
                  <w14:schemeClr w14:val="tx1"/>
                </w14:solidFill>
              </w14:textFill>
            </w:rPr>
            <w:t>三、编写评标报告</w:t>
          </w:r>
          <w:r>
            <w:rPr>
              <w:rStyle w:val="78"/>
              <w:rFonts w:ascii="宋体" w:hAnsi="宋体" w:eastAsia="宋体" w:cs="仿宋"/>
              <w:b w:val="0"/>
              <w:bCs w:val="0"/>
              <w:color w:val="000000" w:themeColor="text1"/>
              <w:sz w:val="24"/>
              <w:szCs w:val="24"/>
              <w:highlight w:val="none"/>
              <w14:textFill>
                <w14:solidFill>
                  <w14:schemeClr w14:val="tx1"/>
                </w14:solidFill>
              </w14:textFill>
            </w:rPr>
            <w:tab/>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begin"/>
          </w:r>
          <w:r>
            <w:rPr>
              <w:rStyle w:val="78"/>
              <w:rFonts w:ascii="宋体" w:hAnsi="宋体" w:eastAsia="宋体" w:cs="仿宋"/>
              <w:b w:val="0"/>
              <w:bCs w:val="0"/>
              <w:color w:val="000000" w:themeColor="text1"/>
              <w:sz w:val="24"/>
              <w:szCs w:val="24"/>
              <w:highlight w:val="none"/>
              <w14:textFill>
                <w14:solidFill>
                  <w14:schemeClr w14:val="tx1"/>
                </w14:solidFill>
              </w14:textFill>
            </w:rPr>
            <w:instrText xml:space="preserve"> PAGEREF _Toc130891916 \h </w:instrText>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separate"/>
          </w:r>
          <w:r>
            <w:rPr>
              <w:rStyle w:val="78"/>
              <w:rFonts w:ascii="宋体" w:hAnsi="宋体" w:eastAsia="宋体" w:cs="仿宋"/>
              <w:b w:val="0"/>
              <w:bCs w:val="0"/>
              <w:color w:val="000000" w:themeColor="text1"/>
              <w:sz w:val="24"/>
              <w:szCs w:val="24"/>
              <w:highlight w:val="none"/>
              <w14:textFill>
                <w14:solidFill>
                  <w14:schemeClr w14:val="tx1"/>
                </w14:solidFill>
              </w14:textFill>
            </w:rPr>
            <w:t>48</w:t>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end"/>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end"/>
          </w:r>
        </w:p>
        <w:p w14:paraId="64436F5D">
          <w:pPr>
            <w:pStyle w:val="45"/>
            <w:ind w:firstLine="560" w:firstLineChars="200"/>
            <w:rPr>
              <w:rStyle w:val="78"/>
              <w:rFonts w:hint="eastAsia" w:ascii="宋体" w:hAnsi="宋体" w:eastAsia="宋体"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"_Toc130891917" </w:instrText>
          </w:r>
          <w:r>
            <w:rPr>
              <w:color w:val="000000" w:themeColor="text1"/>
              <w:highlight w:val="none"/>
              <w14:textFill>
                <w14:solidFill>
                  <w14:schemeClr w14:val="tx1"/>
                </w14:solidFill>
              </w14:textFill>
            </w:rPr>
            <w:fldChar w:fldCharType="separate"/>
          </w:r>
          <w:r>
            <w:rPr>
              <w:rStyle w:val="78"/>
              <w:rFonts w:ascii="宋体" w:hAnsi="宋体" w:eastAsia="宋体" w:cs="仿宋"/>
              <w:b w:val="0"/>
              <w:bCs w:val="0"/>
              <w:color w:val="000000" w:themeColor="text1"/>
              <w:sz w:val="24"/>
              <w:szCs w:val="24"/>
              <w:highlight w:val="none"/>
              <w14:textFill>
                <w14:solidFill>
                  <w14:schemeClr w14:val="tx1"/>
                </w14:solidFill>
              </w14:textFill>
            </w:rPr>
            <w:t>四、定标</w:t>
          </w:r>
          <w:r>
            <w:rPr>
              <w:rStyle w:val="78"/>
              <w:rFonts w:ascii="宋体" w:hAnsi="宋体" w:eastAsia="宋体" w:cs="仿宋"/>
              <w:b w:val="0"/>
              <w:bCs w:val="0"/>
              <w:color w:val="000000" w:themeColor="text1"/>
              <w:sz w:val="24"/>
              <w:szCs w:val="24"/>
              <w:highlight w:val="none"/>
              <w14:textFill>
                <w14:solidFill>
                  <w14:schemeClr w14:val="tx1"/>
                </w14:solidFill>
              </w14:textFill>
            </w:rPr>
            <w:tab/>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begin"/>
          </w:r>
          <w:r>
            <w:rPr>
              <w:rStyle w:val="78"/>
              <w:rFonts w:ascii="宋体" w:hAnsi="宋体" w:eastAsia="宋体" w:cs="仿宋"/>
              <w:b w:val="0"/>
              <w:bCs w:val="0"/>
              <w:color w:val="000000" w:themeColor="text1"/>
              <w:sz w:val="24"/>
              <w:szCs w:val="24"/>
              <w:highlight w:val="none"/>
              <w14:textFill>
                <w14:solidFill>
                  <w14:schemeClr w14:val="tx1"/>
                </w14:solidFill>
              </w14:textFill>
            </w:rPr>
            <w:instrText xml:space="preserve"> PAGEREF _Toc130891917 \h </w:instrText>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separate"/>
          </w:r>
          <w:r>
            <w:rPr>
              <w:rStyle w:val="78"/>
              <w:rFonts w:ascii="宋体" w:hAnsi="宋体" w:eastAsia="宋体" w:cs="仿宋"/>
              <w:b w:val="0"/>
              <w:bCs w:val="0"/>
              <w:color w:val="000000" w:themeColor="text1"/>
              <w:sz w:val="24"/>
              <w:szCs w:val="24"/>
              <w:highlight w:val="none"/>
              <w14:textFill>
                <w14:solidFill>
                  <w14:schemeClr w14:val="tx1"/>
                </w14:solidFill>
              </w14:textFill>
            </w:rPr>
            <w:t>48</w:t>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end"/>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end"/>
          </w:r>
        </w:p>
        <w:p w14:paraId="0A143428">
          <w:pPr>
            <w:pStyle w:val="45"/>
            <w:ind w:firstLine="560" w:firstLineChars="200"/>
            <w:rPr>
              <w:rStyle w:val="78"/>
              <w:rFonts w:hint="eastAsia" w:ascii="宋体" w:hAnsi="宋体" w:eastAsia="宋体"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"_Toc130891918" </w:instrText>
          </w:r>
          <w:r>
            <w:rPr>
              <w:color w:val="000000" w:themeColor="text1"/>
              <w:highlight w:val="none"/>
              <w14:textFill>
                <w14:solidFill>
                  <w14:schemeClr w14:val="tx1"/>
                </w14:solidFill>
              </w14:textFill>
            </w:rPr>
            <w:fldChar w:fldCharType="separate"/>
          </w:r>
          <w:r>
            <w:rPr>
              <w:rStyle w:val="78"/>
              <w:rFonts w:ascii="宋体" w:hAnsi="宋体" w:eastAsia="宋体" w:cs="仿宋"/>
              <w:b w:val="0"/>
              <w:bCs w:val="0"/>
              <w:color w:val="000000" w:themeColor="text1"/>
              <w:sz w:val="24"/>
              <w:szCs w:val="24"/>
              <w:highlight w:val="none"/>
              <w14:textFill>
                <w14:solidFill>
                  <w14:schemeClr w14:val="tx1"/>
                </w14:solidFill>
              </w14:textFill>
            </w:rPr>
            <w:t>五、结果公告</w:t>
          </w:r>
          <w:r>
            <w:rPr>
              <w:rStyle w:val="78"/>
              <w:rFonts w:ascii="宋体" w:hAnsi="宋体" w:eastAsia="宋体" w:cs="仿宋"/>
              <w:b w:val="0"/>
              <w:bCs w:val="0"/>
              <w:color w:val="000000" w:themeColor="text1"/>
              <w:sz w:val="24"/>
              <w:szCs w:val="24"/>
              <w:highlight w:val="none"/>
              <w14:textFill>
                <w14:solidFill>
                  <w14:schemeClr w14:val="tx1"/>
                </w14:solidFill>
              </w14:textFill>
            </w:rPr>
            <w:tab/>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begin"/>
          </w:r>
          <w:r>
            <w:rPr>
              <w:rStyle w:val="78"/>
              <w:rFonts w:ascii="宋体" w:hAnsi="宋体" w:eastAsia="宋体" w:cs="仿宋"/>
              <w:b w:val="0"/>
              <w:bCs w:val="0"/>
              <w:color w:val="000000" w:themeColor="text1"/>
              <w:sz w:val="24"/>
              <w:szCs w:val="24"/>
              <w:highlight w:val="none"/>
              <w14:textFill>
                <w14:solidFill>
                  <w14:schemeClr w14:val="tx1"/>
                </w14:solidFill>
              </w14:textFill>
            </w:rPr>
            <w:instrText xml:space="preserve"> PAGEREF _Toc130891918 \h </w:instrText>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separate"/>
          </w:r>
          <w:r>
            <w:rPr>
              <w:rStyle w:val="78"/>
              <w:rFonts w:ascii="宋体" w:hAnsi="宋体" w:eastAsia="宋体" w:cs="仿宋"/>
              <w:b w:val="0"/>
              <w:bCs w:val="0"/>
              <w:color w:val="000000" w:themeColor="text1"/>
              <w:sz w:val="24"/>
              <w:szCs w:val="24"/>
              <w:highlight w:val="none"/>
              <w14:textFill>
                <w14:solidFill>
                  <w14:schemeClr w14:val="tx1"/>
                </w14:solidFill>
              </w14:textFill>
            </w:rPr>
            <w:t>48</w:t>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end"/>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end"/>
          </w:r>
        </w:p>
        <w:p w14:paraId="44218F30">
          <w:pPr>
            <w:pStyle w:val="45"/>
            <w:ind w:firstLine="560" w:firstLineChars="200"/>
            <w:rPr>
              <w:rStyle w:val="78"/>
              <w:rFonts w:hint="eastAsia" w:ascii="宋体" w:hAnsi="宋体" w:eastAsia="宋体"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"_Toc130891919" </w:instrText>
          </w:r>
          <w:r>
            <w:rPr>
              <w:color w:val="000000" w:themeColor="text1"/>
              <w:highlight w:val="none"/>
              <w14:textFill>
                <w14:solidFill>
                  <w14:schemeClr w14:val="tx1"/>
                </w14:solidFill>
              </w14:textFill>
            </w:rPr>
            <w:fldChar w:fldCharType="separate"/>
          </w:r>
          <w:r>
            <w:rPr>
              <w:rStyle w:val="78"/>
              <w:rFonts w:ascii="宋体" w:hAnsi="宋体" w:eastAsia="宋体" w:cs="仿宋"/>
              <w:b w:val="0"/>
              <w:bCs w:val="0"/>
              <w:color w:val="000000" w:themeColor="text1"/>
              <w:sz w:val="24"/>
              <w:szCs w:val="24"/>
              <w:highlight w:val="none"/>
              <w14:textFill>
                <w14:solidFill>
                  <w14:schemeClr w14:val="tx1"/>
                </w14:solidFill>
              </w14:textFill>
            </w:rPr>
            <w:t>六、签发中标通知书</w:t>
          </w:r>
          <w:r>
            <w:rPr>
              <w:rStyle w:val="78"/>
              <w:rFonts w:ascii="宋体" w:hAnsi="宋体" w:eastAsia="宋体" w:cs="仿宋"/>
              <w:b w:val="0"/>
              <w:bCs w:val="0"/>
              <w:color w:val="000000" w:themeColor="text1"/>
              <w:sz w:val="24"/>
              <w:szCs w:val="24"/>
              <w:highlight w:val="none"/>
              <w14:textFill>
                <w14:solidFill>
                  <w14:schemeClr w14:val="tx1"/>
                </w14:solidFill>
              </w14:textFill>
            </w:rPr>
            <w:tab/>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begin"/>
          </w:r>
          <w:r>
            <w:rPr>
              <w:rStyle w:val="78"/>
              <w:rFonts w:ascii="宋体" w:hAnsi="宋体" w:eastAsia="宋体" w:cs="仿宋"/>
              <w:b w:val="0"/>
              <w:bCs w:val="0"/>
              <w:color w:val="000000" w:themeColor="text1"/>
              <w:sz w:val="24"/>
              <w:szCs w:val="24"/>
              <w:highlight w:val="none"/>
              <w14:textFill>
                <w14:solidFill>
                  <w14:schemeClr w14:val="tx1"/>
                </w14:solidFill>
              </w14:textFill>
            </w:rPr>
            <w:instrText xml:space="preserve"> PAGEREF _Toc130891919 \h </w:instrText>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separate"/>
          </w:r>
          <w:r>
            <w:rPr>
              <w:rStyle w:val="78"/>
              <w:rFonts w:ascii="宋体" w:hAnsi="宋体" w:eastAsia="宋体" w:cs="仿宋"/>
              <w:b w:val="0"/>
              <w:bCs w:val="0"/>
              <w:color w:val="000000" w:themeColor="text1"/>
              <w:sz w:val="24"/>
              <w:szCs w:val="24"/>
              <w:highlight w:val="none"/>
              <w14:textFill>
                <w14:solidFill>
                  <w14:schemeClr w14:val="tx1"/>
                </w14:solidFill>
              </w14:textFill>
            </w:rPr>
            <w:t>48</w:t>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end"/>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end"/>
          </w:r>
        </w:p>
        <w:p w14:paraId="567F082A">
          <w:pPr>
            <w:pStyle w:val="45"/>
            <w:ind w:firstLine="560" w:firstLineChars="200"/>
            <w:rPr>
              <w:rStyle w:val="78"/>
              <w:rFonts w:hint="eastAsia" w:ascii="宋体" w:hAnsi="宋体" w:eastAsia="宋体" w:cs="仿宋"/>
              <w:b w:val="0"/>
              <w:bCs w:val="0"/>
              <w:color w:val="000000" w:themeColor="text1"/>
              <w:sz w:val="24"/>
              <w:szCs w:val="24"/>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"_Toc130891920" </w:instrText>
          </w:r>
          <w:r>
            <w:rPr>
              <w:color w:val="000000" w:themeColor="text1"/>
              <w:highlight w:val="none"/>
              <w14:textFill>
                <w14:solidFill>
                  <w14:schemeClr w14:val="tx1"/>
                </w14:solidFill>
              </w14:textFill>
            </w:rPr>
            <w:fldChar w:fldCharType="separate"/>
          </w:r>
          <w:r>
            <w:rPr>
              <w:rStyle w:val="78"/>
              <w:rFonts w:ascii="宋体" w:hAnsi="宋体" w:eastAsia="宋体" w:cs="仿宋"/>
              <w:b w:val="0"/>
              <w:bCs w:val="0"/>
              <w:color w:val="000000" w:themeColor="text1"/>
              <w:sz w:val="24"/>
              <w:szCs w:val="24"/>
              <w:highlight w:val="none"/>
              <w14:textFill>
                <w14:solidFill>
                  <w14:schemeClr w14:val="tx1"/>
                </w14:solidFill>
              </w14:textFill>
            </w:rPr>
            <w:t>七、签订合同</w:t>
          </w:r>
          <w:r>
            <w:rPr>
              <w:rStyle w:val="78"/>
              <w:rFonts w:ascii="宋体" w:hAnsi="宋体" w:eastAsia="宋体" w:cs="仿宋"/>
              <w:b w:val="0"/>
              <w:bCs w:val="0"/>
              <w:color w:val="000000" w:themeColor="text1"/>
              <w:sz w:val="24"/>
              <w:szCs w:val="24"/>
              <w:highlight w:val="none"/>
              <w14:textFill>
                <w14:solidFill>
                  <w14:schemeClr w14:val="tx1"/>
                </w14:solidFill>
              </w14:textFill>
            </w:rPr>
            <w:tab/>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begin"/>
          </w:r>
          <w:r>
            <w:rPr>
              <w:rStyle w:val="78"/>
              <w:rFonts w:ascii="宋体" w:hAnsi="宋体" w:eastAsia="宋体" w:cs="仿宋"/>
              <w:b w:val="0"/>
              <w:bCs w:val="0"/>
              <w:color w:val="000000" w:themeColor="text1"/>
              <w:sz w:val="24"/>
              <w:szCs w:val="24"/>
              <w:highlight w:val="none"/>
              <w14:textFill>
                <w14:solidFill>
                  <w14:schemeClr w14:val="tx1"/>
                </w14:solidFill>
              </w14:textFill>
            </w:rPr>
            <w:instrText xml:space="preserve"> PAGEREF _Toc130891920 \h </w:instrText>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separate"/>
          </w:r>
          <w:r>
            <w:rPr>
              <w:rStyle w:val="78"/>
              <w:rFonts w:ascii="宋体" w:hAnsi="宋体" w:eastAsia="宋体" w:cs="仿宋"/>
              <w:b w:val="0"/>
              <w:bCs w:val="0"/>
              <w:color w:val="000000" w:themeColor="text1"/>
              <w:sz w:val="24"/>
              <w:szCs w:val="24"/>
              <w:highlight w:val="none"/>
              <w14:textFill>
                <w14:solidFill>
                  <w14:schemeClr w14:val="tx1"/>
                </w14:solidFill>
              </w14:textFill>
            </w:rPr>
            <w:t>49</w:t>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end"/>
          </w:r>
          <w:r>
            <w:rPr>
              <w:rStyle w:val="78"/>
              <w:rFonts w:ascii="宋体" w:hAnsi="宋体" w:eastAsia="宋体" w:cs="仿宋"/>
              <w:b w:val="0"/>
              <w:bCs w:val="0"/>
              <w:color w:val="000000" w:themeColor="text1"/>
              <w:sz w:val="24"/>
              <w:szCs w:val="24"/>
              <w:highlight w:val="none"/>
              <w14:textFill>
                <w14:solidFill>
                  <w14:schemeClr w14:val="tx1"/>
                </w14:solidFill>
              </w14:textFill>
            </w:rPr>
            <w:fldChar w:fldCharType="end"/>
          </w:r>
        </w:p>
        <w:p w14:paraId="62692A64">
          <w:pPr>
            <w:pStyle w:val="45"/>
            <w:rPr>
              <w:rStyle w:val="78"/>
              <w:rFonts w:hint="eastAsia" w:ascii="宋体" w:hAnsi="宋体" w:eastAsia="宋体" w:cs="仿宋"/>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"_Toc130891921" </w:instrText>
          </w:r>
          <w:r>
            <w:rPr>
              <w:color w:val="000000" w:themeColor="text1"/>
              <w:highlight w:val="none"/>
              <w14:textFill>
                <w14:solidFill>
                  <w14:schemeClr w14:val="tx1"/>
                </w14:solidFill>
              </w14:textFill>
            </w:rPr>
            <w:fldChar w:fldCharType="separate"/>
          </w:r>
          <w:r>
            <w:rPr>
              <w:rStyle w:val="78"/>
              <w:rFonts w:ascii="宋体" w:hAnsi="宋体" w:eastAsia="宋体" w:cs="仿宋"/>
              <w:color w:val="000000" w:themeColor="text1"/>
              <w:highlight w:val="none"/>
              <w14:textFill>
                <w14:solidFill>
                  <w14:schemeClr w14:val="tx1"/>
                </w14:solidFill>
              </w14:textFill>
            </w:rPr>
            <w:t>第四章</w:t>
          </w:r>
          <w:r>
            <w:rPr>
              <w:rStyle w:val="78"/>
              <w:rFonts w:hint="eastAsia" w:ascii="宋体" w:hAnsi="宋体" w:eastAsia="宋体" w:cs="仿宋"/>
              <w:color w:val="000000" w:themeColor="text1"/>
              <w:highlight w:val="none"/>
              <w14:textFill>
                <w14:solidFill>
                  <w14:schemeClr w14:val="tx1"/>
                </w14:solidFill>
              </w14:textFill>
            </w:rPr>
            <w:t xml:space="preserve">  招标</w:t>
          </w:r>
          <w:r>
            <w:rPr>
              <w:rStyle w:val="78"/>
              <w:rFonts w:ascii="宋体" w:hAnsi="宋体" w:eastAsia="宋体" w:cs="仿宋"/>
              <w:color w:val="000000" w:themeColor="text1"/>
              <w:highlight w:val="none"/>
              <w14:textFill>
                <w14:solidFill>
                  <w14:schemeClr w14:val="tx1"/>
                </w14:solidFill>
              </w14:textFill>
            </w:rPr>
            <w:t>项目说明</w:t>
          </w:r>
          <w:r>
            <w:rPr>
              <w:rStyle w:val="78"/>
              <w:rFonts w:ascii="宋体" w:hAnsi="宋体" w:eastAsia="宋体" w:cs="仿宋"/>
              <w:color w:val="000000" w:themeColor="text1"/>
              <w:highlight w:val="none"/>
              <w14:textFill>
                <w14:solidFill>
                  <w14:schemeClr w14:val="tx1"/>
                </w14:solidFill>
              </w14:textFill>
            </w:rPr>
            <w:tab/>
          </w:r>
          <w:r>
            <w:rPr>
              <w:rStyle w:val="78"/>
              <w:rFonts w:ascii="宋体" w:hAnsi="宋体" w:eastAsia="宋体" w:cs="仿宋"/>
              <w:color w:val="000000" w:themeColor="text1"/>
              <w:highlight w:val="none"/>
              <w14:textFill>
                <w14:solidFill>
                  <w14:schemeClr w14:val="tx1"/>
                </w14:solidFill>
              </w14:textFill>
            </w:rPr>
            <w:fldChar w:fldCharType="begin"/>
          </w:r>
          <w:r>
            <w:rPr>
              <w:rStyle w:val="78"/>
              <w:rFonts w:ascii="宋体" w:hAnsi="宋体" w:eastAsia="宋体" w:cs="仿宋"/>
              <w:color w:val="000000" w:themeColor="text1"/>
              <w:highlight w:val="none"/>
              <w14:textFill>
                <w14:solidFill>
                  <w14:schemeClr w14:val="tx1"/>
                </w14:solidFill>
              </w14:textFill>
            </w:rPr>
            <w:instrText xml:space="preserve"> PAGEREF _Toc130891921 \h </w:instrText>
          </w:r>
          <w:r>
            <w:rPr>
              <w:rStyle w:val="78"/>
              <w:rFonts w:ascii="宋体" w:hAnsi="宋体" w:eastAsia="宋体" w:cs="仿宋"/>
              <w:color w:val="000000" w:themeColor="text1"/>
              <w:highlight w:val="none"/>
              <w14:textFill>
                <w14:solidFill>
                  <w14:schemeClr w14:val="tx1"/>
                </w14:solidFill>
              </w14:textFill>
            </w:rPr>
            <w:fldChar w:fldCharType="separate"/>
          </w:r>
          <w:r>
            <w:rPr>
              <w:rStyle w:val="78"/>
              <w:rFonts w:ascii="宋体" w:hAnsi="宋体" w:eastAsia="宋体" w:cs="仿宋"/>
              <w:color w:val="000000" w:themeColor="text1"/>
              <w:highlight w:val="none"/>
              <w14:textFill>
                <w14:solidFill>
                  <w14:schemeClr w14:val="tx1"/>
                </w14:solidFill>
              </w14:textFill>
            </w:rPr>
            <w:t>50</w:t>
          </w:r>
          <w:r>
            <w:rPr>
              <w:rStyle w:val="78"/>
              <w:rFonts w:ascii="宋体" w:hAnsi="宋体" w:eastAsia="宋体" w:cs="仿宋"/>
              <w:color w:val="000000" w:themeColor="text1"/>
              <w:highlight w:val="none"/>
              <w14:textFill>
                <w14:solidFill>
                  <w14:schemeClr w14:val="tx1"/>
                </w14:solidFill>
              </w14:textFill>
            </w:rPr>
            <w:fldChar w:fldCharType="end"/>
          </w:r>
          <w:r>
            <w:rPr>
              <w:rStyle w:val="78"/>
              <w:rFonts w:ascii="宋体" w:hAnsi="宋体" w:eastAsia="宋体" w:cs="仿宋"/>
              <w:color w:val="000000" w:themeColor="text1"/>
              <w:highlight w:val="none"/>
              <w14:textFill>
                <w14:solidFill>
                  <w14:schemeClr w14:val="tx1"/>
                </w14:solidFill>
              </w14:textFill>
            </w:rPr>
            <w:fldChar w:fldCharType="end"/>
          </w:r>
        </w:p>
        <w:p w14:paraId="778C372F">
          <w:pPr>
            <w:pStyle w:val="45"/>
            <w:rPr>
              <w:rStyle w:val="78"/>
              <w:rFonts w:hint="eastAsia" w:ascii="宋体" w:hAnsi="宋体" w:eastAsia="宋体" w:cs="仿宋"/>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"_Toc130891923" </w:instrText>
          </w:r>
          <w:r>
            <w:rPr>
              <w:color w:val="000000" w:themeColor="text1"/>
              <w:highlight w:val="none"/>
              <w14:textFill>
                <w14:solidFill>
                  <w14:schemeClr w14:val="tx1"/>
                </w14:solidFill>
              </w14:textFill>
            </w:rPr>
            <w:fldChar w:fldCharType="separate"/>
          </w:r>
          <w:r>
            <w:rPr>
              <w:rStyle w:val="78"/>
              <w:rFonts w:ascii="宋体" w:hAnsi="宋体" w:eastAsia="宋体" w:cs="仿宋"/>
              <w:color w:val="000000" w:themeColor="text1"/>
              <w:highlight w:val="none"/>
              <w14:textFill>
                <w14:solidFill>
                  <w14:schemeClr w14:val="tx1"/>
                </w14:solidFill>
              </w14:textFill>
            </w:rPr>
            <w:t>第五章</w:t>
          </w:r>
          <w:r>
            <w:rPr>
              <w:rStyle w:val="78"/>
              <w:rFonts w:hint="eastAsia" w:ascii="宋体" w:hAnsi="宋体" w:eastAsia="宋体" w:cs="仿宋"/>
              <w:color w:val="000000" w:themeColor="text1"/>
              <w:highlight w:val="none"/>
              <w14:textFill>
                <w14:solidFill>
                  <w14:schemeClr w14:val="tx1"/>
                </w14:solidFill>
              </w14:textFill>
            </w:rPr>
            <w:t xml:space="preserve">  </w:t>
          </w:r>
          <w:r>
            <w:rPr>
              <w:rStyle w:val="78"/>
              <w:rFonts w:ascii="宋体" w:hAnsi="宋体" w:eastAsia="宋体" w:cs="仿宋"/>
              <w:color w:val="000000" w:themeColor="text1"/>
              <w:highlight w:val="none"/>
              <w14:textFill>
                <w14:solidFill>
                  <w14:schemeClr w14:val="tx1"/>
                </w14:solidFill>
              </w14:textFill>
            </w:rPr>
            <w:t>投标文件格式</w:t>
          </w:r>
          <w:r>
            <w:rPr>
              <w:rStyle w:val="78"/>
              <w:rFonts w:ascii="宋体" w:hAnsi="宋体" w:eastAsia="宋体" w:cs="仿宋"/>
              <w:color w:val="000000" w:themeColor="text1"/>
              <w:highlight w:val="none"/>
              <w14:textFill>
                <w14:solidFill>
                  <w14:schemeClr w14:val="tx1"/>
                </w14:solidFill>
              </w14:textFill>
            </w:rPr>
            <w:tab/>
          </w:r>
          <w:r>
            <w:rPr>
              <w:rStyle w:val="78"/>
              <w:rFonts w:ascii="宋体" w:hAnsi="宋体" w:eastAsia="宋体" w:cs="仿宋"/>
              <w:color w:val="000000" w:themeColor="text1"/>
              <w:highlight w:val="none"/>
              <w14:textFill>
                <w14:solidFill>
                  <w14:schemeClr w14:val="tx1"/>
                </w14:solidFill>
              </w14:textFill>
            </w:rPr>
            <w:fldChar w:fldCharType="begin"/>
          </w:r>
          <w:r>
            <w:rPr>
              <w:rStyle w:val="78"/>
              <w:rFonts w:ascii="宋体" w:hAnsi="宋体" w:eastAsia="宋体" w:cs="仿宋"/>
              <w:color w:val="000000" w:themeColor="text1"/>
              <w:highlight w:val="none"/>
              <w14:textFill>
                <w14:solidFill>
                  <w14:schemeClr w14:val="tx1"/>
                </w14:solidFill>
              </w14:textFill>
            </w:rPr>
            <w:instrText xml:space="preserve"> PAGEREF _Toc130891923 \h </w:instrText>
          </w:r>
          <w:r>
            <w:rPr>
              <w:rStyle w:val="78"/>
              <w:rFonts w:ascii="宋体" w:hAnsi="宋体" w:eastAsia="宋体" w:cs="仿宋"/>
              <w:color w:val="000000" w:themeColor="text1"/>
              <w:highlight w:val="none"/>
              <w14:textFill>
                <w14:solidFill>
                  <w14:schemeClr w14:val="tx1"/>
                </w14:solidFill>
              </w14:textFill>
            </w:rPr>
            <w:fldChar w:fldCharType="separate"/>
          </w:r>
          <w:r>
            <w:rPr>
              <w:rStyle w:val="78"/>
              <w:rFonts w:ascii="宋体" w:hAnsi="宋体" w:eastAsia="宋体" w:cs="仿宋"/>
              <w:color w:val="000000" w:themeColor="text1"/>
              <w:highlight w:val="none"/>
              <w14:textFill>
                <w14:solidFill>
                  <w14:schemeClr w14:val="tx1"/>
                </w14:solidFill>
              </w14:textFill>
            </w:rPr>
            <w:t>55</w:t>
          </w:r>
          <w:r>
            <w:rPr>
              <w:rStyle w:val="78"/>
              <w:rFonts w:ascii="宋体" w:hAnsi="宋体" w:eastAsia="宋体" w:cs="仿宋"/>
              <w:color w:val="000000" w:themeColor="text1"/>
              <w:highlight w:val="none"/>
              <w14:textFill>
                <w14:solidFill>
                  <w14:schemeClr w14:val="tx1"/>
                </w14:solidFill>
              </w14:textFill>
            </w:rPr>
            <w:fldChar w:fldCharType="end"/>
          </w:r>
          <w:r>
            <w:rPr>
              <w:rStyle w:val="78"/>
              <w:rFonts w:ascii="宋体" w:hAnsi="宋体" w:eastAsia="宋体" w:cs="仿宋"/>
              <w:color w:val="000000" w:themeColor="text1"/>
              <w:highlight w:val="none"/>
              <w14:textFill>
                <w14:solidFill>
                  <w14:schemeClr w14:val="tx1"/>
                </w14:solidFill>
              </w14:textFill>
            </w:rPr>
            <w:fldChar w:fldCharType="end"/>
          </w:r>
        </w:p>
        <w:p w14:paraId="592E05C0">
          <w:pPr>
            <w:pStyle w:val="45"/>
            <w:rPr>
              <w:rStyle w:val="78"/>
              <w:rFonts w:hint="eastAsia" w:ascii="宋体" w:hAnsi="宋体" w:eastAsia="宋体" w:cs="仿宋"/>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"_Toc130891924" </w:instrText>
          </w:r>
          <w:r>
            <w:rPr>
              <w:color w:val="000000" w:themeColor="text1"/>
              <w:highlight w:val="none"/>
              <w14:textFill>
                <w14:solidFill>
                  <w14:schemeClr w14:val="tx1"/>
                </w14:solidFill>
              </w14:textFill>
            </w:rPr>
            <w:fldChar w:fldCharType="separate"/>
          </w:r>
          <w:r>
            <w:rPr>
              <w:rStyle w:val="78"/>
              <w:rFonts w:ascii="宋体" w:hAnsi="宋体" w:eastAsia="宋体" w:cs="仿宋"/>
              <w:color w:val="000000" w:themeColor="text1"/>
              <w:highlight w:val="none"/>
              <w14:textFill>
                <w14:solidFill>
                  <w14:schemeClr w14:val="tx1"/>
                </w14:solidFill>
              </w14:textFill>
            </w:rPr>
            <w:t>第六章</w:t>
          </w:r>
          <w:r>
            <w:rPr>
              <w:rStyle w:val="78"/>
              <w:rFonts w:hint="eastAsia" w:ascii="宋体" w:hAnsi="宋体" w:eastAsia="宋体" w:cs="仿宋"/>
              <w:color w:val="000000" w:themeColor="text1"/>
              <w:highlight w:val="none"/>
              <w14:textFill>
                <w14:solidFill>
                  <w14:schemeClr w14:val="tx1"/>
                </w14:solidFill>
              </w14:textFill>
            </w:rPr>
            <w:t xml:space="preserve">  </w:t>
          </w:r>
          <w:r>
            <w:rPr>
              <w:rStyle w:val="78"/>
              <w:rFonts w:ascii="宋体" w:hAnsi="宋体" w:eastAsia="宋体" w:cs="仿宋"/>
              <w:color w:val="000000" w:themeColor="text1"/>
              <w:highlight w:val="none"/>
              <w14:textFill>
                <w14:solidFill>
                  <w14:schemeClr w14:val="tx1"/>
                </w14:solidFill>
              </w14:textFill>
            </w:rPr>
            <w:t>合同（范本）</w:t>
          </w:r>
          <w:r>
            <w:rPr>
              <w:rStyle w:val="78"/>
              <w:rFonts w:ascii="宋体" w:hAnsi="宋体" w:eastAsia="宋体" w:cs="仿宋"/>
              <w:color w:val="000000" w:themeColor="text1"/>
              <w:highlight w:val="none"/>
              <w14:textFill>
                <w14:solidFill>
                  <w14:schemeClr w14:val="tx1"/>
                </w14:solidFill>
              </w14:textFill>
            </w:rPr>
            <w:tab/>
          </w:r>
          <w:r>
            <w:rPr>
              <w:rStyle w:val="78"/>
              <w:rFonts w:ascii="宋体" w:hAnsi="宋体" w:eastAsia="宋体" w:cs="仿宋"/>
              <w:color w:val="000000" w:themeColor="text1"/>
              <w:highlight w:val="none"/>
              <w14:textFill>
                <w14:solidFill>
                  <w14:schemeClr w14:val="tx1"/>
                </w14:solidFill>
              </w14:textFill>
            </w:rPr>
            <w:fldChar w:fldCharType="begin"/>
          </w:r>
          <w:r>
            <w:rPr>
              <w:rStyle w:val="78"/>
              <w:rFonts w:ascii="宋体" w:hAnsi="宋体" w:eastAsia="宋体" w:cs="仿宋"/>
              <w:color w:val="000000" w:themeColor="text1"/>
              <w:highlight w:val="none"/>
              <w14:textFill>
                <w14:solidFill>
                  <w14:schemeClr w14:val="tx1"/>
                </w14:solidFill>
              </w14:textFill>
            </w:rPr>
            <w:instrText xml:space="preserve"> PAGEREF _Toc130891924 \h </w:instrText>
          </w:r>
          <w:r>
            <w:rPr>
              <w:rStyle w:val="78"/>
              <w:rFonts w:ascii="宋体" w:hAnsi="宋体" w:eastAsia="宋体" w:cs="仿宋"/>
              <w:color w:val="000000" w:themeColor="text1"/>
              <w:highlight w:val="none"/>
              <w14:textFill>
                <w14:solidFill>
                  <w14:schemeClr w14:val="tx1"/>
                </w14:solidFill>
              </w14:textFill>
            </w:rPr>
            <w:fldChar w:fldCharType="separate"/>
          </w:r>
          <w:r>
            <w:rPr>
              <w:rStyle w:val="78"/>
              <w:rFonts w:ascii="宋体" w:hAnsi="宋体" w:eastAsia="宋体" w:cs="仿宋"/>
              <w:color w:val="000000" w:themeColor="text1"/>
              <w:highlight w:val="none"/>
              <w14:textFill>
                <w14:solidFill>
                  <w14:schemeClr w14:val="tx1"/>
                </w14:solidFill>
              </w14:textFill>
            </w:rPr>
            <w:t>78</w:t>
          </w:r>
          <w:r>
            <w:rPr>
              <w:rStyle w:val="78"/>
              <w:rFonts w:ascii="宋体" w:hAnsi="宋体" w:eastAsia="宋体" w:cs="仿宋"/>
              <w:color w:val="000000" w:themeColor="text1"/>
              <w:highlight w:val="none"/>
              <w14:textFill>
                <w14:solidFill>
                  <w14:schemeClr w14:val="tx1"/>
                </w14:solidFill>
              </w14:textFill>
            </w:rPr>
            <w:fldChar w:fldCharType="end"/>
          </w:r>
          <w:r>
            <w:rPr>
              <w:rStyle w:val="78"/>
              <w:rFonts w:ascii="宋体" w:hAnsi="宋体" w:eastAsia="宋体" w:cs="仿宋"/>
              <w:color w:val="000000" w:themeColor="text1"/>
              <w:highlight w:val="none"/>
              <w14:textFill>
                <w14:solidFill>
                  <w14:schemeClr w14:val="tx1"/>
                </w14:solidFill>
              </w14:textFill>
            </w:rPr>
            <w:fldChar w:fldCharType="end"/>
          </w:r>
        </w:p>
        <w:p w14:paraId="559F845E">
          <w:pPr>
            <w:pStyle w:val="45"/>
            <w:spacing w:line="560" w:lineRule="exact"/>
            <w:rPr>
              <w:rFonts w:hint="eastAsia" w:ascii="宋体" w:hAnsi="宋体" w:eastAsia="宋体"/>
              <w:color w:val="000000" w:themeColor="text1"/>
              <w:highlight w:val="none"/>
              <w14:textFill>
                <w14:solidFill>
                  <w14:schemeClr w14:val="tx1"/>
                </w14:solidFill>
              </w14:textFill>
            </w:rPr>
          </w:pPr>
          <w:r>
            <w:rPr>
              <w:rStyle w:val="78"/>
              <w:rFonts w:ascii="宋体" w:hAnsi="宋体" w:eastAsia="宋体" w:cs="仿宋"/>
              <w:color w:val="000000" w:themeColor="text1"/>
              <w:highlight w:val="none"/>
              <w14:textFill>
                <w14:solidFill>
                  <w14:schemeClr w14:val="tx1"/>
                </w14:solidFill>
              </w14:textFill>
            </w:rPr>
            <w:fldChar w:fldCharType="end"/>
          </w:r>
        </w:p>
      </w:sdtContent>
    </w:sdt>
    <w:bookmarkEnd w:id="1"/>
    <w:p w14:paraId="63A60062">
      <w:pPr>
        <w:rPr>
          <w:rFonts w:hint="eastAsia" w:ascii="宋体" w:hAnsi="宋体" w:eastAsia="宋体" w:cs="仿宋"/>
          <w:color w:val="000000" w:themeColor="text1"/>
          <w:kern w:val="0"/>
          <w:highlight w:val="none"/>
          <w14:textFill>
            <w14:solidFill>
              <w14:schemeClr w14:val="tx1"/>
            </w14:solidFill>
          </w14:textFill>
        </w:rPr>
      </w:pPr>
    </w:p>
    <w:p w14:paraId="7269A191">
      <w:pPr>
        <w:rPr>
          <w:rFonts w:hint="eastAsia" w:ascii="宋体" w:hAnsi="宋体" w:eastAsia="宋体"/>
          <w:color w:val="000000" w:themeColor="text1"/>
          <w:highlight w:val="none"/>
          <w14:textFill>
            <w14:solidFill>
              <w14:schemeClr w14:val="tx1"/>
            </w14:solidFill>
          </w14:textFill>
        </w:rPr>
        <w:sectPr>
          <w:headerReference r:id="rId3" w:type="default"/>
          <w:pgSz w:w="11906" w:h="16838"/>
          <w:pgMar w:top="1440" w:right="1080" w:bottom="1440" w:left="1080" w:header="851" w:footer="992" w:gutter="0"/>
          <w:pgNumType w:start="1"/>
          <w:cols w:space="720" w:num="1"/>
          <w:titlePg/>
          <w:docGrid w:type="lines" w:linePitch="312" w:charSpace="0"/>
        </w:sectPr>
      </w:pPr>
    </w:p>
    <w:bookmarkEnd w:id="2"/>
    <w:bookmarkEnd w:id="3"/>
    <w:p w14:paraId="59681C14">
      <w:pPr>
        <w:pStyle w:val="4"/>
        <w:jc w:val="center"/>
        <w:rPr>
          <w:rFonts w:hint="eastAsia" w:ascii="宋体" w:hAnsi="宋体" w:eastAsia="宋体" w:cs="仿宋"/>
          <w:color w:val="000000" w:themeColor="text1"/>
          <w:highlight w:val="none"/>
          <w14:textFill>
            <w14:solidFill>
              <w14:schemeClr w14:val="tx1"/>
            </w14:solidFill>
          </w14:textFill>
        </w:rPr>
      </w:pPr>
      <w:bookmarkStart w:id="4" w:name="_Toc130891902"/>
      <w:bookmarkStart w:id="5" w:name="_Toc66864040"/>
      <w:bookmarkStart w:id="6" w:name="_Toc253045125"/>
      <w:bookmarkStart w:id="7" w:name="_Toc266431116"/>
      <w:r>
        <w:rPr>
          <w:rFonts w:hint="eastAsia" w:ascii="宋体" w:hAnsi="宋体" w:eastAsia="宋体" w:cs="仿宋"/>
          <w:color w:val="000000" w:themeColor="text1"/>
          <w:highlight w:val="none"/>
          <w14:textFill>
            <w14:solidFill>
              <w14:schemeClr w14:val="tx1"/>
            </w14:solidFill>
          </w14:textFill>
        </w:rPr>
        <w:t>第一章  招标公告</w:t>
      </w:r>
      <w:bookmarkEnd w:id="4"/>
      <w:bookmarkEnd w:id="5"/>
    </w:p>
    <w:p w14:paraId="0A0A1465">
      <w:pPr>
        <w:pStyle w:val="7"/>
        <w:rPr>
          <w:rFonts w:hint="eastAsia" w:ascii="宋体" w:hAnsi="宋体" w:eastAsia="宋体" w:cs="仿宋"/>
          <w:b/>
          <w:color w:val="000000" w:themeColor="text1"/>
          <w:spacing w:val="8"/>
          <w:kern w:val="0"/>
          <w:sz w:val="32"/>
          <w:szCs w:val="32"/>
          <w:highlight w:val="none"/>
          <w14:textFill>
            <w14:solidFill>
              <w14:schemeClr w14:val="tx1"/>
            </w14:solidFill>
          </w14:textFill>
        </w:rPr>
      </w:pPr>
      <w:bookmarkStart w:id="8" w:name="_Hlk192680109"/>
      <w:r>
        <w:rPr>
          <w:rFonts w:hint="eastAsia" w:ascii="宋体" w:hAnsi="宋体" w:eastAsia="宋体" w:cs="仿宋"/>
          <w:b/>
          <w:color w:val="000000" w:themeColor="text1"/>
          <w:spacing w:val="8"/>
          <w:kern w:val="0"/>
          <w:sz w:val="32"/>
          <w:szCs w:val="32"/>
          <w:highlight w:val="none"/>
          <w14:textFill>
            <w14:solidFill>
              <w14:schemeClr w14:val="tx1"/>
            </w14:solidFill>
          </w14:textFill>
        </w:rPr>
        <w:t>百合路土石方工程专业分包</w:t>
      </w:r>
    </w:p>
    <w:p w14:paraId="3FBD1419">
      <w:pPr>
        <w:pStyle w:val="7"/>
        <w:rPr>
          <w:rFonts w:hint="eastAsia" w:ascii="宋体" w:hAnsi="宋体" w:eastAsia="宋体" w:cs="仿宋"/>
          <w:b/>
          <w:color w:val="000000" w:themeColor="text1"/>
          <w:spacing w:val="8"/>
          <w:kern w:val="0"/>
          <w:sz w:val="32"/>
          <w:szCs w:val="32"/>
          <w:highlight w:val="none"/>
          <w14:textFill>
            <w14:solidFill>
              <w14:schemeClr w14:val="tx1"/>
            </w14:solidFill>
          </w14:textFill>
        </w:rPr>
      </w:pPr>
      <w:r>
        <w:rPr>
          <w:rFonts w:hint="eastAsia" w:ascii="宋体" w:hAnsi="宋体" w:eastAsia="宋体" w:cs="仿宋"/>
          <w:b/>
          <w:color w:val="000000" w:themeColor="text1"/>
          <w:spacing w:val="8"/>
          <w:kern w:val="0"/>
          <w:sz w:val="32"/>
          <w:szCs w:val="32"/>
          <w:highlight w:val="none"/>
          <w14:textFill>
            <w14:solidFill>
              <w14:schemeClr w14:val="tx1"/>
            </w14:solidFill>
          </w14:textFill>
        </w:rPr>
        <w:t>招标公告</w:t>
      </w:r>
    </w:p>
    <w:p w14:paraId="53B8DFC4">
      <w:pPr>
        <w:pStyle w:val="7"/>
        <w:rPr>
          <w:rFonts w:hint="eastAsia" w:ascii="宋体" w:hAnsi="宋体" w:eastAsia="宋体" w:cs="仿宋"/>
          <w:b/>
          <w:color w:val="000000" w:themeColor="text1"/>
          <w:sz w:val="32"/>
          <w:szCs w:val="32"/>
          <w:highlight w:val="none"/>
          <w14:textFill>
            <w14:solidFill>
              <w14:schemeClr w14:val="tx1"/>
            </w14:solidFill>
          </w14:textFill>
        </w:rPr>
      </w:pPr>
      <w:r>
        <w:rPr>
          <w:rFonts w:hint="eastAsia" w:ascii="宋体" w:hAnsi="宋体" w:eastAsia="宋体" w:cs="仿宋"/>
          <w:b/>
          <w:color w:val="000000" w:themeColor="text1"/>
          <w:sz w:val="32"/>
          <w:szCs w:val="32"/>
          <w:highlight w:val="none"/>
          <w14:textFill>
            <w14:solidFill>
              <w14:schemeClr w14:val="tx1"/>
            </w14:solidFill>
          </w14:textFill>
        </w:rPr>
        <w:t>（招标编号：WCSZ2026-003）</w:t>
      </w:r>
    </w:p>
    <w:p w14:paraId="766D567D">
      <w:pPr>
        <w:rPr>
          <w:rFonts w:hint="eastAsia" w:ascii="宋体" w:hAnsi="宋体" w:eastAsia="宋体" w:cs="仿宋"/>
          <w:color w:val="000000" w:themeColor="text1"/>
          <w:highlight w:val="none"/>
          <w14:textFill>
            <w14:solidFill>
              <w14:schemeClr w14:val="tx1"/>
            </w14:solidFill>
          </w14:textFill>
        </w:rPr>
      </w:pPr>
    </w:p>
    <w:p w14:paraId="5B9BF604">
      <w:pPr>
        <w:widowControl/>
        <w:adjustRightInd w:val="0"/>
        <w:spacing w:line="520" w:lineRule="exact"/>
        <w:ind w:firstLine="594" w:firstLineChars="200"/>
        <w:jc w:val="left"/>
        <w:rPr>
          <w:rFonts w:hint="eastAsia" w:ascii="宋体" w:hAnsi="宋体" w:eastAsia="宋体" w:cs="仿宋"/>
          <w:b/>
          <w:color w:val="000000" w:themeColor="text1"/>
          <w:spacing w:val="8"/>
          <w:kern w:val="0"/>
          <w:sz w:val="28"/>
          <w:szCs w:val="28"/>
          <w:highlight w:val="none"/>
          <w14:textFill>
            <w14:solidFill>
              <w14:schemeClr w14:val="tx1"/>
            </w14:solidFill>
          </w14:textFill>
        </w:rPr>
      </w:pPr>
      <w:r>
        <w:rPr>
          <w:rFonts w:hint="eastAsia" w:ascii="宋体" w:hAnsi="宋体" w:eastAsia="宋体" w:cs="仿宋"/>
          <w:b/>
          <w:color w:val="000000" w:themeColor="text1"/>
          <w:spacing w:val="8"/>
          <w:kern w:val="0"/>
          <w:sz w:val="28"/>
          <w:szCs w:val="28"/>
          <w:highlight w:val="none"/>
          <w14:textFill>
            <w14:solidFill>
              <w14:schemeClr w14:val="tx1"/>
            </w14:solidFill>
          </w14:textFill>
        </w:rPr>
        <w:t>一、招标条件</w:t>
      </w:r>
    </w:p>
    <w:p w14:paraId="0939D3FE">
      <w:pPr>
        <w:widowControl/>
        <w:adjustRightInd w:val="0"/>
        <w:spacing w:line="560" w:lineRule="exact"/>
        <w:ind w:firstLine="592" w:firstLineChars="200"/>
        <w:jc w:val="left"/>
        <w:rPr>
          <w:rFonts w:hint="eastAsia" w:ascii="宋体" w:hAnsi="宋体" w:eastAsia="宋体" w:cs="仿宋"/>
          <w:bCs/>
          <w:color w:val="000000" w:themeColor="text1"/>
          <w:spacing w:val="8"/>
          <w:kern w:val="0"/>
          <w:sz w:val="28"/>
          <w:szCs w:val="28"/>
          <w:highlight w:val="none"/>
          <w14:textFill>
            <w14:solidFill>
              <w14:schemeClr w14:val="tx1"/>
            </w14:solidFill>
          </w14:textFill>
        </w:rPr>
      </w:pPr>
      <w:r>
        <w:rPr>
          <w:rFonts w:hint="eastAsia" w:ascii="宋体" w:hAnsi="宋体" w:eastAsia="宋体" w:cs="仿宋"/>
          <w:bCs/>
          <w:color w:val="000000" w:themeColor="text1"/>
          <w:spacing w:val="8"/>
          <w:kern w:val="0"/>
          <w:sz w:val="28"/>
          <w:szCs w:val="28"/>
          <w:highlight w:val="none"/>
          <w14:textFill>
            <w14:solidFill>
              <w14:schemeClr w14:val="tx1"/>
            </w14:solidFill>
          </w14:textFill>
        </w:rPr>
        <w:t>本招标项目百合路土石方工程专业分包，招标申请已经相关部门批准，招标人为威海威畅市政工程有限公司，项目资金来源为自筹，出资比例为100%。项目已具备招标条件，现对该项目进行公开招标。</w:t>
      </w:r>
    </w:p>
    <w:p w14:paraId="0A867744">
      <w:pPr>
        <w:widowControl/>
        <w:adjustRightInd w:val="0"/>
        <w:spacing w:line="520" w:lineRule="exact"/>
        <w:ind w:firstLine="594" w:firstLineChars="200"/>
        <w:jc w:val="left"/>
        <w:rPr>
          <w:rFonts w:hint="eastAsia" w:ascii="宋体" w:hAnsi="宋体" w:eastAsia="宋体" w:cs="仿宋"/>
          <w:b/>
          <w:color w:val="000000" w:themeColor="text1"/>
          <w:spacing w:val="8"/>
          <w:kern w:val="0"/>
          <w:sz w:val="28"/>
          <w:szCs w:val="28"/>
          <w:highlight w:val="none"/>
          <w14:textFill>
            <w14:solidFill>
              <w14:schemeClr w14:val="tx1"/>
            </w14:solidFill>
          </w14:textFill>
        </w:rPr>
      </w:pPr>
      <w:r>
        <w:rPr>
          <w:rFonts w:hint="eastAsia" w:ascii="宋体" w:hAnsi="宋体" w:eastAsia="宋体" w:cs="仿宋"/>
          <w:b/>
          <w:color w:val="000000" w:themeColor="text1"/>
          <w:spacing w:val="8"/>
          <w:kern w:val="0"/>
          <w:sz w:val="28"/>
          <w:szCs w:val="28"/>
          <w:highlight w:val="none"/>
          <w14:textFill>
            <w14:solidFill>
              <w14:schemeClr w14:val="tx1"/>
            </w14:solidFill>
          </w14:textFill>
        </w:rPr>
        <w:t>二、招标内容</w:t>
      </w:r>
    </w:p>
    <w:p w14:paraId="639A23D3">
      <w:pPr>
        <w:widowControl/>
        <w:adjustRightInd w:val="0"/>
        <w:spacing w:line="560" w:lineRule="exact"/>
        <w:ind w:firstLine="592" w:firstLineChars="200"/>
        <w:jc w:val="left"/>
        <w:rPr>
          <w:rFonts w:hint="eastAsia" w:ascii="宋体" w:hAnsi="宋体" w:eastAsia="宋体" w:cs="仿宋"/>
          <w:bCs/>
          <w:color w:val="000000" w:themeColor="text1"/>
          <w:spacing w:val="8"/>
          <w:kern w:val="0"/>
          <w:sz w:val="28"/>
          <w:szCs w:val="28"/>
          <w:highlight w:val="none"/>
          <w14:textFill>
            <w14:solidFill>
              <w14:schemeClr w14:val="tx1"/>
            </w14:solidFill>
          </w14:textFill>
        </w:rPr>
      </w:pPr>
      <w:bookmarkStart w:id="9" w:name="OLE_LINK4"/>
      <w:r>
        <w:rPr>
          <w:rFonts w:hint="eastAsia" w:ascii="宋体" w:hAnsi="宋体" w:eastAsia="宋体" w:cs="仿宋"/>
          <w:bCs/>
          <w:color w:val="000000" w:themeColor="text1"/>
          <w:spacing w:val="8"/>
          <w:kern w:val="0"/>
          <w:sz w:val="28"/>
          <w:szCs w:val="28"/>
          <w:highlight w:val="none"/>
          <w14:textFill>
            <w14:solidFill>
              <w14:schemeClr w14:val="tx1"/>
            </w14:solidFill>
          </w14:textFill>
        </w:rPr>
        <w:t>1.项目名称：百合路土石方工程专业分包</w:t>
      </w:r>
    </w:p>
    <w:p w14:paraId="2B5D315E">
      <w:pPr>
        <w:widowControl/>
        <w:adjustRightInd w:val="0"/>
        <w:spacing w:line="560" w:lineRule="exact"/>
        <w:ind w:firstLine="592" w:firstLineChars="200"/>
        <w:jc w:val="left"/>
        <w:rPr>
          <w:rFonts w:hint="eastAsia" w:ascii="宋体" w:hAnsi="宋体" w:eastAsia="宋体" w:cs="仿宋"/>
          <w:bCs/>
          <w:color w:val="000000" w:themeColor="text1"/>
          <w:spacing w:val="8"/>
          <w:kern w:val="0"/>
          <w:sz w:val="28"/>
          <w:szCs w:val="28"/>
          <w:highlight w:val="none"/>
          <w14:textFill>
            <w14:solidFill>
              <w14:schemeClr w14:val="tx1"/>
            </w14:solidFill>
          </w14:textFill>
        </w:rPr>
      </w:pPr>
      <w:r>
        <w:rPr>
          <w:rFonts w:hint="eastAsia" w:ascii="宋体" w:hAnsi="宋体" w:eastAsia="宋体" w:cs="仿宋"/>
          <w:bCs/>
          <w:color w:val="000000" w:themeColor="text1"/>
          <w:spacing w:val="8"/>
          <w:kern w:val="0"/>
          <w:sz w:val="28"/>
          <w:szCs w:val="28"/>
          <w:highlight w:val="none"/>
          <w14:textFill>
            <w14:solidFill>
              <w14:schemeClr w14:val="tx1"/>
            </w14:solidFill>
          </w14:textFill>
        </w:rPr>
        <w:t>2.项目</w:t>
      </w:r>
      <w:bookmarkStart w:id="10" w:name="_Hlk192661141"/>
      <w:r>
        <w:rPr>
          <w:rFonts w:hint="eastAsia" w:ascii="宋体" w:hAnsi="宋体" w:eastAsia="宋体" w:cs="仿宋"/>
          <w:bCs/>
          <w:color w:val="000000" w:themeColor="text1"/>
          <w:spacing w:val="8"/>
          <w:kern w:val="0"/>
          <w:sz w:val="28"/>
          <w:szCs w:val="28"/>
          <w:highlight w:val="none"/>
          <w14:textFill>
            <w14:solidFill>
              <w14:schemeClr w14:val="tx1"/>
            </w14:solidFill>
          </w14:textFill>
        </w:rPr>
        <w:t>内容：土石方挖运、回填等，具体详见招标文件。</w:t>
      </w:r>
    </w:p>
    <w:p w14:paraId="313BA337">
      <w:pPr>
        <w:widowControl/>
        <w:adjustRightInd w:val="0"/>
        <w:spacing w:line="560" w:lineRule="exact"/>
        <w:ind w:firstLine="592" w:firstLineChars="200"/>
        <w:jc w:val="left"/>
        <w:rPr>
          <w:rFonts w:hint="eastAsia" w:ascii="宋体" w:hAnsi="宋体" w:eastAsia="宋体" w:cs="仿宋"/>
          <w:bCs/>
          <w:color w:val="000000" w:themeColor="text1"/>
          <w:spacing w:val="8"/>
          <w:kern w:val="0"/>
          <w:sz w:val="28"/>
          <w:szCs w:val="28"/>
          <w:highlight w:val="none"/>
          <w14:textFill>
            <w14:solidFill>
              <w14:schemeClr w14:val="tx1"/>
            </w14:solidFill>
          </w14:textFill>
        </w:rPr>
      </w:pPr>
      <w:r>
        <w:rPr>
          <w:rFonts w:hint="eastAsia" w:ascii="宋体" w:hAnsi="宋体" w:eastAsia="宋体" w:cs="仿宋"/>
          <w:bCs/>
          <w:color w:val="000000" w:themeColor="text1"/>
          <w:spacing w:val="8"/>
          <w:kern w:val="0"/>
          <w:sz w:val="28"/>
          <w:szCs w:val="28"/>
          <w:highlight w:val="none"/>
          <w14:textFill>
            <w14:solidFill>
              <w14:schemeClr w14:val="tx1"/>
            </w14:solidFill>
          </w14:textFill>
        </w:rPr>
        <w:t>3.招标控制价：1979929.21元</w:t>
      </w:r>
    </w:p>
    <w:p w14:paraId="57F13412">
      <w:pPr>
        <w:widowControl/>
        <w:adjustRightInd w:val="0"/>
        <w:spacing w:line="560" w:lineRule="exact"/>
        <w:ind w:firstLine="592" w:firstLineChars="200"/>
        <w:jc w:val="left"/>
        <w:rPr>
          <w:rFonts w:hint="eastAsia" w:ascii="宋体" w:hAnsi="宋体" w:eastAsia="宋体" w:cs="仿宋"/>
          <w:bCs/>
          <w:color w:val="000000" w:themeColor="text1"/>
          <w:spacing w:val="8"/>
          <w:kern w:val="0"/>
          <w:sz w:val="28"/>
          <w:szCs w:val="28"/>
          <w:highlight w:val="none"/>
          <w14:textFill>
            <w14:solidFill>
              <w14:schemeClr w14:val="tx1"/>
            </w14:solidFill>
          </w14:textFill>
        </w:rPr>
      </w:pPr>
      <w:r>
        <w:rPr>
          <w:rFonts w:hint="eastAsia" w:ascii="宋体" w:hAnsi="宋体" w:eastAsia="宋体" w:cs="仿宋"/>
          <w:bCs/>
          <w:color w:val="000000" w:themeColor="text1"/>
          <w:spacing w:val="8"/>
          <w:kern w:val="0"/>
          <w:sz w:val="28"/>
          <w:szCs w:val="28"/>
          <w:highlight w:val="none"/>
          <w14:textFill>
            <w14:solidFill>
              <w14:schemeClr w14:val="tx1"/>
            </w14:solidFill>
          </w14:textFill>
        </w:rPr>
        <w:t>4.计划工期：60天</w:t>
      </w:r>
    </w:p>
    <w:p w14:paraId="29F8CECB">
      <w:pPr>
        <w:widowControl/>
        <w:adjustRightInd w:val="0"/>
        <w:spacing w:line="560" w:lineRule="exact"/>
        <w:ind w:firstLine="592" w:firstLineChars="200"/>
        <w:jc w:val="left"/>
        <w:rPr>
          <w:rFonts w:hint="eastAsia" w:ascii="宋体" w:hAnsi="宋体" w:eastAsia="宋体" w:cs="仿宋"/>
          <w:bCs/>
          <w:color w:val="000000" w:themeColor="text1"/>
          <w:spacing w:val="8"/>
          <w:kern w:val="0"/>
          <w:sz w:val="28"/>
          <w:szCs w:val="28"/>
          <w:highlight w:val="none"/>
          <w14:textFill>
            <w14:solidFill>
              <w14:schemeClr w14:val="tx1"/>
            </w14:solidFill>
          </w14:textFill>
        </w:rPr>
      </w:pPr>
      <w:r>
        <w:rPr>
          <w:rFonts w:hint="eastAsia" w:ascii="宋体" w:hAnsi="宋体" w:eastAsia="宋体" w:cs="仿宋"/>
          <w:bCs/>
          <w:color w:val="000000" w:themeColor="text1"/>
          <w:spacing w:val="8"/>
          <w:kern w:val="0"/>
          <w:sz w:val="28"/>
          <w:szCs w:val="28"/>
          <w:highlight w:val="none"/>
          <w14:textFill>
            <w14:solidFill>
              <w14:schemeClr w14:val="tx1"/>
            </w14:solidFill>
          </w14:textFill>
        </w:rPr>
        <w:t>5.质量标准：达到国家验收规范合格标准。</w:t>
      </w:r>
    </w:p>
    <w:bookmarkEnd w:id="9"/>
    <w:bookmarkEnd w:id="10"/>
    <w:p w14:paraId="4921FD50">
      <w:pPr>
        <w:widowControl/>
        <w:adjustRightInd w:val="0"/>
        <w:spacing w:line="520" w:lineRule="exact"/>
        <w:ind w:firstLine="594" w:firstLineChars="200"/>
        <w:jc w:val="left"/>
        <w:rPr>
          <w:rFonts w:hint="eastAsia" w:ascii="宋体" w:hAnsi="宋体" w:eastAsia="宋体" w:cs="仿宋"/>
          <w:b/>
          <w:color w:val="000000" w:themeColor="text1"/>
          <w:spacing w:val="8"/>
          <w:kern w:val="0"/>
          <w:sz w:val="28"/>
          <w:szCs w:val="28"/>
          <w:highlight w:val="none"/>
          <w14:textFill>
            <w14:solidFill>
              <w14:schemeClr w14:val="tx1"/>
            </w14:solidFill>
          </w14:textFill>
        </w:rPr>
      </w:pPr>
      <w:r>
        <w:rPr>
          <w:rFonts w:hint="eastAsia" w:ascii="宋体" w:hAnsi="宋体" w:eastAsia="宋体" w:cs="仿宋"/>
          <w:b/>
          <w:color w:val="000000" w:themeColor="text1"/>
          <w:spacing w:val="8"/>
          <w:kern w:val="0"/>
          <w:sz w:val="28"/>
          <w:szCs w:val="28"/>
          <w:highlight w:val="none"/>
          <w14:textFill>
            <w14:solidFill>
              <w14:schemeClr w14:val="tx1"/>
            </w14:solidFill>
          </w14:textFill>
        </w:rPr>
        <w:t>三、投标人资格要求</w:t>
      </w:r>
    </w:p>
    <w:p w14:paraId="37FFCF6A">
      <w:pPr>
        <w:widowControl/>
        <w:wordWrap w:val="0"/>
        <w:adjustRightInd w:val="0"/>
        <w:spacing w:line="520" w:lineRule="exact"/>
        <w:ind w:firstLine="592" w:firstLineChars="200"/>
        <w:jc w:val="left"/>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 xml:space="preserve">1.具有独立承担民事责任的能力； </w:t>
      </w:r>
    </w:p>
    <w:p w14:paraId="5A0CB455">
      <w:pPr>
        <w:widowControl/>
        <w:adjustRightInd w:val="0"/>
        <w:spacing w:line="560" w:lineRule="exact"/>
        <w:ind w:firstLine="592" w:firstLineChars="200"/>
        <w:jc w:val="left"/>
        <w:rPr>
          <w:rFonts w:hint="eastAsia" w:ascii="宋体" w:hAnsi="宋体" w:eastAsia="宋体" w:cs="仿宋"/>
          <w:bCs/>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2.</w:t>
      </w:r>
      <w:r>
        <w:rPr>
          <w:rFonts w:hint="eastAsia" w:ascii="宋体" w:hAnsi="宋体" w:eastAsia="宋体" w:cs="仿宋"/>
          <w:bCs/>
          <w:color w:val="000000" w:themeColor="text1"/>
          <w:spacing w:val="8"/>
          <w:kern w:val="0"/>
          <w:sz w:val="28"/>
          <w:szCs w:val="28"/>
          <w:highlight w:val="none"/>
          <w14:textFill>
            <w14:solidFill>
              <w14:schemeClr w14:val="tx1"/>
            </w14:solidFill>
          </w14:textFill>
        </w:rPr>
        <w:t>具有履行合同所必需的设备和专业技术能力；</w:t>
      </w:r>
    </w:p>
    <w:p w14:paraId="346EF5EC">
      <w:pPr>
        <w:widowControl/>
        <w:adjustRightInd w:val="0"/>
        <w:spacing w:line="560" w:lineRule="exact"/>
        <w:ind w:firstLine="592" w:firstLineChars="200"/>
        <w:jc w:val="left"/>
        <w:rPr>
          <w:rFonts w:hint="eastAsia" w:ascii="宋体" w:hAnsi="宋体" w:eastAsia="宋体" w:cs="仿宋"/>
          <w:bCs/>
          <w:color w:val="000000" w:themeColor="text1"/>
          <w:spacing w:val="8"/>
          <w:kern w:val="0"/>
          <w:sz w:val="28"/>
          <w:szCs w:val="28"/>
          <w:highlight w:val="none"/>
          <w14:textFill>
            <w14:solidFill>
              <w14:schemeClr w14:val="tx1"/>
            </w14:solidFill>
          </w14:textFill>
        </w:rPr>
      </w:pPr>
      <w:r>
        <w:rPr>
          <w:rFonts w:hint="eastAsia" w:ascii="宋体" w:hAnsi="宋体" w:eastAsia="宋体" w:cs="仿宋"/>
          <w:bCs/>
          <w:color w:val="000000" w:themeColor="text1"/>
          <w:spacing w:val="8"/>
          <w:kern w:val="0"/>
          <w:sz w:val="28"/>
          <w:szCs w:val="28"/>
          <w:highlight w:val="none"/>
          <w14:textFill>
            <w14:solidFill>
              <w14:schemeClr w14:val="tx1"/>
            </w14:solidFill>
          </w14:textFill>
        </w:rPr>
        <w:t>3.有依法缴纳税收和社会保障资金的良好记录；</w:t>
      </w:r>
    </w:p>
    <w:p w14:paraId="32C410BF">
      <w:pPr>
        <w:widowControl/>
        <w:wordWrap w:val="0"/>
        <w:adjustRightInd w:val="0"/>
        <w:spacing w:line="520" w:lineRule="exact"/>
        <w:ind w:firstLine="592" w:firstLineChars="200"/>
        <w:jc w:val="left"/>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4.参加本次招标活动前三年内，在经营活动中没有重大违法记录；</w:t>
      </w:r>
    </w:p>
    <w:p w14:paraId="26C33B5E">
      <w:pPr>
        <w:widowControl/>
        <w:wordWrap w:val="0"/>
        <w:adjustRightInd w:val="0"/>
        <w:spacing w:line="520" w:lineRule="exact"/>
        <w:ind w:firstLine="592" w:firstLineChars="200"/>
        <w:jc w:val="left"/>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5.投标人、法定代表人、委托代理人、项目负责人（项目经理）未被最高法院列入失信被执行人；</w:t>
      </w:r>
    </w:p>
    <w:p w14:paraId="2AC93FAB">
      <w:pPr>
        <w:widowControl/>
        <w:wordWrap w:val="0"/>
        <w:adjustRightInd w:val="0"/>
        <w:spacing w:line="520" w:lineRule="exact"/>
        <w:ind w:firstLine="592" w:firstLineChars="200"/>
        <w:jc w:val="left"/>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6.投标人近一年在“信用中国”或“信用中国（山东）”无严重失信记录；</w:t>
      </w:r>
    </w:p>
    <w:p w14:paraId="059C57A5">
      <w:pPr>
        <w:widowControl/>
        <w:wordWrap w:val="0"/>
        <w:adjustRightInd w:val="0"/>
        <w:spacing w:line="520" w:lineRule="exact"/>
        <w:ind w:firstLine="592" w:firstLineChars="200"/>
        <w:jc w:val="left"/>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7.投标人、法定代表人、委托代理人、项目负责人（项目经理）近三年无行贿犯罪记录；</w:t>
      </w:r>
    </w:p>
    <w:p w14:paraId="59DB0438">
      <w:pPr>
        <w:widowControl/>
        <w:wordWrap w:val="0"/>
        <w:adjustRightInd w:val="0"/>
        <w:spacing w:line="520" w:lineRule="exact"/>
        <w:ind w:firstLine="592" w:firstLineChars="200"/>
        <w:jc w:val="left"/>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8.本次招标不接受联合体投标，中标后不得分包或转包。</w:t>
      </w:r>
    </w:p>
    <w:p w14:paraId="423DC9C9">
      <w:pPr>
        <w:widowControl/>
        <w:adjustRightInd w:val="0"/>
        <w:spacing w:line="520" w:lineRule="exact"/>
        <w:ind w:firstLine="594" w:firstLineChars="200"/>
        <w:jc w:val="left"/>
        <w:rPr>
          <w:rFonts w:hint="eastAsia" w:ascii="宋体" w:hAnsi="宋体" w:eastAsia="宋体" w:cs="仿宋"/>
          <w:b/>
          <w:color w:val="000000" w:themeColor="text1"/>
          <w:spacing w:val="8"/>
          <w:kern w:val="0"/>
          <w:sz w:val="28"/>
          <w:szCs w:val="28"/>
          <w:highlight w:val="none"/>
          <w14:textFill>
            <w14:solidFill>
              <w14:schemeClr w14:val="tx1"/>
            </w14:solidFill>
          </w14:textFill>
        </w:rPr>
      </w:pPr>
      <w:r>
        <w:rPr>
          <w:rFonts w:hint="eastAsia" w:ascii="宋体" w:hAnsi="宋体" w:eastAsia="宋体" w:cs="仿宋"/>
          <w:b/>
          <w:color w:val="000000" w:themeColor="text1"/>
          <w:spacing w:val="8"/>
          <w:kern w:val="0"/>
          <w:sz w:val="28"/>
          <w:szCs w:val="28"/>
          <w:highlight w:val="none"/>
          <w14:textFill>
            <w14:solidFill>
              <w14:schemeClr w14:val="tx1"/>
            </w14:solidFill>
          </w14:textFill>
        </w:rPr>
        <w:t>四、</w:t>
      </w:r>
      <w:r>
        <w:rPr>
          <w:rFonts w:ascii="宋体" w:hAnsi="宋体" w:eastAsia="宋体" w:cs="仿宋"/>
          <w:b/>
          <w:color w:val="000000" w:themeColor="text1"/>
          <w:spacing w:val="8"/>
          <w:kern w:val="0"/>
          <w:sz w:val="28"/>
          <w:szCs w:val="28"/>
          <w:highlight w:val="none"/>
          <w14:textFill>
            <w14:solidFill>
              <w14:schemeClr w14:val="tx1"/>
            </w14:solidFill>
          </w14:textFill>
        </w:rPr>
        <w:t>项目负责人（项目经理）资格要求</w:t>
      </w:r>
    </w:p>
    <w:p w14:paraId="5772FE02">
      <w:pPr>
        <w:widowControl/>
        <w:wordWrap w:val="0"/>
        <w:adjustRightInd w:val="0"/>
        <w:spacing w:line="520" w:lineRule="exact"/>
        <w:ind w:firstLine="592" w:firstLineChars="200"/>
        <w:jc w:val="left"/>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1.项目负责人（项目经理）具有市政公用工程二级及以上建造师注册证书且具有安全生产考核合格证（B证）；</w:t>
      </w:r>
    </w:p>
    <w:p w14:paraId="71877255">
      <w:pPr>
        <w:widowControl/>
        <w:wordWrap w:val="0"/>
        <w:adjustRightInd w:val="0"/>
        <w:spacing w:line="520" w:lineRule="exact"/>
        <w:ind w:firstLine="592" w:firstLineChars="200"/>
        <w:jc w:val="left"/>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2.未担任其他在建、排名第一的中标候选人或中标工程项目的项目经理。</w:t>
      </w:r>
    </w:p>
    <w:p w14:paraId="743A1E63">
      <w:pPr>
        <w:widowControl/>
        <w:adjustRightInd w:val="0"/>
        <w:spacing w:line="520" w:lineRule="exact"/>
        <w:ind w:firstLine="594" w:firstLineChars="200"/>
        <w:jc w:val="left"/>
        <w:rPr>
          <w:rFonts w:hint="eastAsia" w:ascii="宋体" w:hAnsi="宋体" w:eastAsia="宋体" w:cs="仿宋"/>
          <w:b/>
          <w:color w:val="000000" w:themeColor="text1"/>
          <w:spacing w:val="8"/>
          <w:kern w:val="0"/>
          <w:sz w:val="28"/>
          <w:szCs w:val="28"/>
          <w:highlight w:val="none"/>
          <w14:textFill>
            <w14:solidFill>
              <w14:schemeClr w14:val="tx1"/>
            </w14:solidFill>
          </w14:textFill>
        </w:rPr>
      </w:pPr>
      <w:r>
        <w:rPr>
          <w:rFonts w:hint="eastAsia" w:ascii="宋体" w:hAnsi="宋体" w:eastAsia="宋体" w:cs="仿宋"/>
          <w:b/>
          <w:color w:val="000000" w:themeColor="text1"/>
          <w:spacing w:val="8"/>
          <w:kern w:val="0"/>
          <w:sz w:val="28"/>
          <w:szCs w:val="28"/>
          <w:highlight w:val="none"/>
          <w14:textFill>
            <w14:solidFill>
              <w14:schemeClr w14:val="tx1"/>
            </w14:solidFill>
          </w14:textFill>
        </w:rPr>
        <w:t>五、获取文件时间及地点</w:t>
      </w:r>
    </w:p>
    <w:p w14:paraId="74ACB160">
      <w:pPr>
        <w:widowControl/>
        <w:wordWrap w:val="0"/>
        <w:adjustRightInd w:val="0"/>
        <w:spacing w:line="520" w:lineRule="exact"/>
        <w:ind w:firstLine="592" w:firstLineChars="200"/>
        <w:jc w:val="left"/>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1.获取时间：2026年</w:t>
      </w:r>
      <w:r>
        <w:rPr>
          <w:rFonts w:hint="eastAsia" w:ascii="宋体" w:hAnsi="宋体" w:eastAsia="宋体" w:cs="仿宋"/>
          <w:color w:val="000000" w:themeColor="text1"/>
          <w:spacing w:val="8"/>
          <w:kern w:val="0"/>
          <w:sz w:val="28"/>
          <w:szCs w:val="28"/>
          <w:highlight w:val="none"/>
          <w:lang w:val="en-US" w:eastAsia="zh-CN"/>
          <w14:textFill>
            <w14:solidFill>
              <w14:schemeClr w14:val="tx1"/>
            </w14:solidFill>
          </w14:textFill>
        </w:rPr>
        <w:t>5</w:t>
      </w:r>
      <w:r>
        <w:rPr>
          <w:rFonts w:hint="eastAsia" w:ascii="宋体" w:hAnsi="宋体" w:eastAsia="宋体" w:cs="仿宋"/>
          <w:color w:val="000000" w:themeColor="text1"/>
          <w:spacing w:val="8"/>
          <w:kern w:val="0"/>
          <w:sz w:val="28"/>
          <w:szCs w:val="28"/>
          <w:highlight w:val="none"/>
          <w14:textFill>
            <w14:solidFill>
              <w14:schemeClr w14:val="tx1"/>
            </w14:solidFill>
          </w14:textFill>
        </w:rPr>
        <w:t>月</w:t>
      </w:r>
      <w:r>
        <w:rPr>
          <w:rFonts w:hint="eastAsia" w:ascii="宋体" w:hAnsi="宋体" w:eastAsia="宋体" w:cs="仿宋"/>
          <w:color w:val="000000" w:themeColor="text1"/>
          <w:spacing w:val="8"/>
          <w:kern w:val="0"/>
          <w:sz w:val="28"/>
          <w:szCs w:val="28"/>
          <w:highlight w:val="none"/>
          <w:lang w:val="en-US" w:eastAsia="zh-CN"/>
          <w14:textFill>
            <w14:solidFill>
              <w14:schemeClr w14:val="tx1"/>
            </w14:solidFill>
          </w14:textFill>
        </w:rPr>
        <w:t>28</w:t>
      </w:r>
      <w:r>
        <w:rPr>
          <w:rFonts w:hint="eastAsia" w:ascii="宋体" w:hAnsi="宋体" w:eastAsia="宋体" w:cs="仿宋"/>
          <w:color w:val="000000" w:themeColor="text1"/>
          <w:spacing w:val="8"/>
          <w:kern w:val="0"/>
          <w:sz w:val="28"/>
          <w:szCs w:val="28"/>
          <w:highlight w:val="none"/>
          <w14:textFill>
            <w14:solidFill>
              <w14:schemeClr w14:val="tx1"/>
            </w14:solidFill>
          </w14:textFill>
        </w:rPr>
        <w:t>日</w:t>
      </w:r>
      <w:r>
        <w:rPr>
          <w:rFonts w:ascii="宋体" w:hAnsi="宋体" w:eastAsia="宋体" w:cs="仿宋"/>
          <w:color w:val="000000" w:themeColor="text1"/>
          <w:spacing w:val="8"/>
          <w:kern w:val="0"/>
          <w:sz w:val="28"/>
          <w:szCs w:val="28"/>
          <w:highlight w:val="none"/>
          <w14:textFill>
            <w14:solidFill>
              <w14:schemeClr w14:val="tx1"/>
            </w14:solidFill>
          </w14:textFill>
        </w:rPr>
        <w:t>17</w:t>
      </w:r>
      <w:r>
        <w:rPr>
          <w:rFonts w:hint="eastAsia" w:ascii="宋体" w:hAnsi="宋体" w:eastAsia="宋体" w:cs="仿宋"/>
          <w:color w:val="000000" w:themeColor="text1"/>
          <w:spacing w:val="8"/>
          <w:kern w:val="0"/>
          <w:sz w:val="28"/>
          <w:szCs w:val="28"/>
          <w:highlight w:val="none"/>
          <w14:textFill>
            <w14:solidFill>
              <w14:schemeClr w14:val="tx1"/>
            </w14:solidFill>
          </w14:textFill>
        </w:rPr>
        <w:t>时30分至2026年</w:t>
      </w:r>
      <w:r>
        <w:rPr>
          <w:rFonts w:hint="eastAsia" w:ascii="宋体" w:hAnsi="宋体" w:eastAsia="宋体" w:cs="仿宋"/>
          <w:color w:val="000000" w:themeColor="text1"/>
          <w:spacing w:val="8"/>
          <w:kern w:val="0"/>
          <w:sz w:val="28"/>
          <w:szCs w:val="28"/>
          <w:highlight w:val="none"/>
          <w:lang w:val="en-US" w:eastAsia="zh-CN"/>
          <w14:textFill>
            <w14:solidFill>
              <w14:schemeClr w14:val="tx1"/>
            </w14:solidFill>
          </w14:textFill>
        </w:rPr>
        <w:t>6</w:t>
      </w:r>
      <w:r>
        <w:rPr>
          <w:rFonts w:hint="eastAsia" w:ascii="宋体" w:hAnsi="宋体" w:eastAsia="宋体" w:cs="仿宋"/>
          <w:color w:val="000000" w:themeColor="text1"/>
          <w:spacing w:val="8"/>
          <w:kern w:val="0"/>
          <w:sz w:val="28"/>
          <w:szCs w:val="28"/>
          <w:highlight w:val="none"/>
          <w14:textFill>
            <w14:solidFill>
              <w14:schemeClr w14:val="tx1"/>
            </w14:solidFill>
          </w14:textFill>
        </w:rPr>
        <w:t>月</w:t>
      </w:r>
      <w:r>
        <w:rPr>
          <w:rFonts w:hint="eastAsia" w:ascii="宋体" w:hAnsi="宋体" w:eastAsia="宋体" w:cs="仿宋"/>
          <w:color w:val="000000" w:themeColor="text1"/>
          <w:spacing w:val="8"/>
          <w:kern w:val="0"/>
          <w:sz w:val="28"/>
          <w:szCs w:val="28"/>
          <w:highlight w:val="none"/>
          <w:lang w:val="en-US" w:eastAsia="zh-CN"/>
          <w14:textFill>
            <w14:solidFill>
              <w14:schemeClr w14:val="tx1"/>
            </w14:solidFill>
          </w14:textFill>
        </w:rPr>
        <w:t>4</w:t>
      </w:r>
      <w:r>
        <w:rPr>
          <w:rFonts w:hint="eastAsia" w:ascii="宋体" w:hAnsi="宋体" w:eastAsia="宋体" w:cs="仿宋"/>
          <w:color w:val="000000" w:themeColor="text1"/>
          <w:spacing w:val="8"/>
          <w:kern w:val="0"/>
          <w:sz w:val="28"/>
          <w:szCs w:val="28"/>
          <w:highlight w:val="none"/>
          <w14:textFill>
            <w14:solidFill>
              <w14:schemeClr w14:val="tx1"/>
            </w14:solidFill>
          </w14:textFill>
        </w:rPr>
        <w:t>日</w:t>
      </w:r>
      <w:r>
        <w:rPr>
          <w:rFonts w:ascii="宋体" w:hAnsi="宋体" w:eastAsia="宋体" w:cs="仿宋"/>
          <w:color w:val="000000" w:themeColor="text1"/>
          <w:spacing w:val="8"/>
          <w:kern w:val="0"/>
          <w:sz w:val="28"/>
          <w:szCs w:val="28"/>
          <w:highlight w:val="none"/>
          <w14:textFill>
            <w14:solidFill>
              <w14:schemeClr w14:val="tx1"/>
            </w14:solidFill>
          </w14:textFill>
        </w:rPr>
        <w:t>17</w:t>
      </w:r>
      <w:r>
        <w:rPr>
          <w:rFonts w:hint="eastAsia" w:ascii="宋体" w:hAnsi="宋体" w:eastAsia="宋体" w:cs="仿宋"/>
          <w:color w:val="000000" w:themeColor="text1"/>
          <w:spacing w:val="8"/>
          <w:kern w:val="0"/>
          <w:sz w:val="28"/>
          <w:szCs w:val="28"/>
          <w:highlight w:val="none"/>
          <w14:textFill>
            <w14:solidFill>
              <w14:schemeClr w14:val="tx1"/>
            </w14:solidFill>
          </w14:textFill>
        </w:rPr>
        <w:t>时30分（北京时间）。</w:t>
      </w:r>
    </w:p>
    <w:p w14:paraId="201DA1FE">
      <w:pPr>
        <w:widowControl/>
        <w:shd w:val="clear" w:color="auto" w:fill="FFFFFF"/>
        <w:spacing w:line="520" w:lineRule="exact"/>
        <w:ind w:firstLine="539"/>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2.获取地点：登录“威海市公共资源交易网”首页右侧“交易服务一网通办系统-（新版）一网通办系统”进行“平台切换”，点击“国企采购”进入国企阳光采购平台获取文件(网址：http://ggzyjy.weihai.cn/)。逾期无法从国企阳光采购平台中获取文件，未在规定时间内从系统中获取招标文件的投标人将无法提交电子投标文件。交易服务一网通办系统技术支持电话：4009980000（受理问题：系统登录、CA锁绑定、平台切换），一网通办技术支持QQ群：1143439694；CA锁办理咨询电话：0631-5172975；国企采购技术支持电话：17863029936，国企技术支持QQ群（投标人）：1046971257。</w:t>
      </w:r>
    </w:p>
    <w:p w14:paraId="2BDC5954">
      <w:pPr>
        <w:widowControl/>
        <w:shd w:val="clear" w:color="auto" w:fill="FFFFFF"/>
        <w:spacing w:line="520" w:lineRule="exact"/>
        <w:ind w:firstLine="539"/>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注：未注册用户请先免费注册。在“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3F5BAD01">
      <w:pPr>
        <w:widowControl/>
        <w:shd w:val="clear" w:color="auto" w:fill="FFFFFF"/>
        <w:spacing w:line="520" w:lineRule="exact"/>
        <w:ind w:firstLine="539"/>
        <w:rPr>
          <w:rFonts w:hint="eastAsia" w:ascii="宋体" w:hAnsi="宋体" w:eastAsia="宋体" w:cs="仿宋"/>
          <w:b/>
          <w:color w:val="000000" w:themeColor="text1"/>
          <w:spacing w:val="8"/>
          <w:kern w:val="0"/>
          <w:sz w:val="28"/>
          <w:szCs w:val="28"/>
          <w:highlight w:val="none"/>
          <w14:textFill>
            <w14:solidFill>
              <w14:schemeClr w14:val="tx1"/>
            </w14:solidFill>
          </w14:textFill>
        </w:rPr>
      </w:pPr>
      <w:r>
        <w:rPr>
          <w:rFonts w:hint="eastAsia" w:ascii="宋体" w:hAnsi="宋体" w:eastAsia="宋体" w:cs="仿宋"/>
          <w:b/>
          <w:color w:val="000000" w:themeColor="text1"/>
          <w:spacing w:val="8"/>
          <w:kern w:val="0"/>
          <w:sz w:val="28"/>
          <w:szCs w:val="28"/>
          <w:highlight w:val="none"/>
          <w14:textFill>
            <w14:solidFill>
              <w14:schemeClr w14:val="tx1"/>
            </w14:solidFill>
          </w14:textFill>
        </w:rPr>
        <w:t>六、投标文件提交</w:t>
      </w:r>
    </w:p>
    <w:p w14:paraId="3B08CFC3">
      <w:pPr>
        <w:widowControl/>
        <w:wordWrap w:val="0"/>
        <w:adjustRightInd w:val="0"/>
        <w:spacing w:line="520" w:lineRule="exact"/>
        <w:ind w:firstLine="592" w:firstLineChars="200"/>
        <w:jc w:val="left"/>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提交投标文件截止时间：2026年</w:t>
      </w:r>
      <w:r>
        <w:rPr>
          <w:rFonts w:hint="eastAsia" w:ascii="宋体" w:hAnsi="宋体" w:eastAsia="宋体" w:cs="仿宋"/>
          <w:color w:val="000000" w:themeColor="text1"/>
          <w:spacing w:val="8"/>
          <w:kern w:val="0"/>
          <w:sz w:val="28"/>
          <w:szCs w:val="28"/>
          <w:highlight w:val="none"/>
          <w:lang w:val="en-US" w:eastAsia="zh-CN"/>
          <w14:textFill>
            <w14:solidFill>
              <w14:schemeClr w14:val="tx1"/>
            </w14:solidFill>
          </w14:textFill>
        </w:rPr>
        <w:t>6</w:t>
      </w:r>
      <w:r>
        <w:rPr>
          <w:rFonts w:hint="eastAsia" w:ascii="宋体" w:hAnsi="宋体" w:eastAsia="宋体" w:cs="仿宋"/>
          <w:color w:val="000000" w:themeColor="text1"/>
          <w:spacing w:val="8"/>
          <w:kern w:val="0"/>
          <w:sz w:val="28"/>
          <w:szCs w:val="28"/>
          <w:highlight w:val="none"/>
          <w14:textFill>
            <w14:solidFill>
              <w14:schemeClr w14:val="tx1"/>
            </w14:solidFill>
          </w14:textFill>
        </w:rPr>
        <w:t>月</w:t>
      </w:r>
      <w:r>
        <w:rPr>
          <w:rFonts w:hint="eastAsia" w:ascii="宋体" w:hAnsi="宋体" w:eastAsia="宋体" w:cs="仿宋"/>
          <w:color w:val="000000" w:themeColor="text1"/>
          <w:spacing w:val="8"/>
          <w:kern w:val="0"/>
          <w:sz w:val="28"/>
          <w:szCs w:val="28"/>
          <w:highlight w:val="none"/>
          <w:lang w:val="en-US" w:eastAsia="zh-CN"/>
          <w14:textFill>
            <w14:solidFill>
              <w14:schemeClr w14:val="tx1"/>
            </w14:solidFill>
          </w14:textFill>
        </w:rPr>
        <w:t>16</w:t>
      </w:r>
      <w:r>
        <w:rPr>
          <w:rFonts w:hint="eastAsia" w:ascii="宋体" w:hAnsi="宋体" w:eastAsia="宋体" w:cs="仿宋"/>
          <w:color w:val="000000" w:themeColor="text1"/>
          <w:spacing w:val="8"/>
          <w:kern w:val="0"/>
          <w:sz w:val="28"/>
          <w:szCs w:val="28"/>
          <w:highlight w:val="none"/>
          <w14:textFill>
            <w14:solidFill>
              <w14:schemeClr w14:val="tx1"/>
            </w14:solidFill>
          </w14:textFill>
        </w:rPr>
        <w:t>日</w:t>
      </w:r>
      <w:r>
        <w:rPr>
          <w:rFonts w:hint="eastAsia" w:ascii="宋体" w:hAnsi="宋体" w:eastAsia="宋体" w:cs="仿宋"/>
          <w:color w:val="000000" w:themeColor="text1"/>
          <w:spacing w:val="8"/>
          <w:kern w:val="0"/>
          <w:sz w:val="28"/>
          <w:szCs w:val="28"/>
          <w:highlight w:val="none"/>
          <w:lang w:val="en-US" w:eastAsia="zh-CN"/>
          <w14:textFill>
            <w14:solidFill>
              <w14:schemeClr w14:val="tx1"/>
            </w14:solidFill>
          </w14:textFill>
        </w:rPr>
        <w:t>9</w:t>
      </w:r>
      <w:r>
        <w:rPr>
          <w:rFonts w:hint="eastAsia" w:ascii="宋体" w:hAnsi="宋体" w:eastAsia="宋体" w:cs="仿宋"/>
          <w:color w:val="000000" w:themeColor="text1"/>
          <w:spacing w:val="8"/>
          <w:kern w:val="0"/>
          <w:sz w:val="28"/>
          <w:szCs w:val="28"/>
          <w:highlight w:val="none"/>
          <w14:textFill>
            <w14:solidFill>
              <w14:schemeClr w14:val="tx1"/>
            </w14:solidFill>
          </w14:textFill>
        </w:rPr>
        <w:t xml:space="preserve">时00分 </w:t>
      </w:r>
    </w:p>
    <w:p w14:paraId="5C1741DB">
      <w:pPr>
        <w:widowControl/>
        <w:wordWrap w:val="0"/>
        <w:adjustRightInd w:val="0"/>
        <w:spacing w:line="520" w:lineRule="exact"/>
        <w:ind w:firstLine="592" w:firstLineChars="200"/>
        <w:jc w:val="left"/>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地点：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03465C7C">
      <w:pPr>
        <w:widowControl/>
        <w:wordWrap w:val="0"/>
        <w:adjustRightInd w:val="0"/>
        <w:spacing w:line="520" w:lineRule="exact"/>
        <w:ind w:firstLine="594" w:firstLineChars="200"/>
        <w:jc w:val="left"/>
        <w:rPr>
          <w:rFonts w:hint="eastAsia" w:ascii="宋体" w:hAnsi="宋体" w:eastAsia="宋体" w:cs="仿宋"/>
          <w:b/>
          <w:color w:val="000000" w:themeColor="text1"/>
          <w:spacing w:val="8"/>
          <w:kern w:val="0"/>
          <w:sz w:val="28"/>
          <w:szCs w:val="28"/>
          <w:highlight w:val="none"/>
          <w14:textFill>
            <w14:solidFill>
              <w14:schemeClr w14:val="tx1"/>
            </w14:solidFill>
          </w14:textFill>
        </w:rPr>
      </w:pPr>
      <w:r>
        <w:rPr>
          <w:rFonts w:hint="eastAsia" w:ascii="宋体" w:hAnsi="宋体" w:eastAsia="宋体" w:cs="仿宋"/>
          <w:b/>
          <w:color w:val="000000" w:themeColor="text1"/>
          <w:spacing w:val="8"/>
          <w:kern w:val="0"/>
          <w:sz w:val="28"/>
          <w:szCs w:val="28"/>
          <w:highlight w:val="none"/>
          <w14:textFill>
            <w14:solidFill>
              <w14:schemeClr w14:val="tx1"/>
            </w14:solidFill>
          </w14:textFill>
        </w:rPr>
        <w:t>七、开启时间及地点</w:t>
      </w:r>
    </w:p>
    <w:p w14:paraId="3D56A011">
      <w:pPr>
        <w:widowControl/>
        <w:wordWrap w:val="0"/>
        <w:adjustRightInd w:val="0"/>
        <w:spacing w:line="520" w:lineRule="exact"/>
        <w:ind w:firstLine="592" w:firstLineChars="200"/>
        <w:jc w:val="left"/>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时间：2026年</w:t>
      </w:r>
      <w:r>
        <w:rPr>
          <w:rFonts w:hint="eastAsia" w:ascii="宋体" w:hAnsi="宋体" w:eastAsia="宋体" w:cs="仿宋"/>
          <w:color w:val="000000" w:themeColor="text1"/>
          <w:spacing w:val="8"/>
          <w:kern w:val="0"/>
          <w:sz w:val="28"/>
          <w:szCs w:val="28"/>
          <w:highlight w:val="none"/>
          <w:lang w:val="en-US" w:eastAsia="zh-CN"/>
          <w14:textFill>
            <w14:solidFill>
              <w14:schemeClr w14:val="tx1"/>
            </w14:solidFill>
          </w14:textFill>
        </w:rPr>
        <w:t>6</w:t>
      </w:r>
      <w:r>
        <w:rPr>
          <w:rFonts w:hint="eastAsia" w:ascii="宋体" w:hAnsi="宋体" w:eastAsia="宋体" w:cs="仿宋"/>
          <w:color w:val="000000" w:themeColor="text1"/>
          <w:spacing w:val="8"/>
          <w:kern w:val="0"/>
          <w:sz w:val="28"/>
          <w:szCs w:val="28"/>
          <w:highlight w:val="none"/>
          <w14:textFill>
            <w14:solidFill>
              <w14:schemeClr w14:val="tx1"/>
            </w14:solidFill>
          </w14:textFill>
        </w:rPr>
        <w:t>月</w:t>
      </w:r>
      <w:r>
        <w:rPr>
          <w:rFonts w:hint="eastAsia" w:ascii="宋体" w:hAnsi="宋体" w:eastAsia="宋体" w:cs="仿宋"/>
          <w:color w:val="000000" w:themeColor="text1"/>
          <w:spacing w:val="8"/>
          <w:kern w:val="0"/>
          <w:sz w:val="28"/>
          <w:szCs w:val="28"/>
          <w:highlight w:val="none"/>
          <w:lang w:val="en-US" w:eastAsia="zh-CN"/>
          <w14:textFill>
            <w14:solidFill>
              <w14:schemeClr w14:val="tx1"/>
            </w14:solidFill>
          </w14:textFill>
        </w:rPr>
        <w:t>16</w:t>
      </w:r>
      <w:r>
        <w:rPr>
          <w:rFonts w:hint="eastAsia" w:ascii="宋体" w:hAnsi="宋体" w:eastAsia="宋体" w:cs="仿宋"/>
          <w:color w:val="000000" w:themeColor="text1"/>
          <w:spacing w:val="8"/>
          <w:kern w:val="0"/>
          <w:sz w:val="28"/>
          <w:szCs w:val="28"/>
          <w:highlight w:val="none"/>
          <w14:textFill>
            <w14:solidFill>
              <w14:schemeClr w14:val="tx1"/>
            </w14:solidFill>
          </w14:textFill>
        </w:rPr>
        <w:t>日</w:t>
      </w:r>
      <w:r>
        <w:rPr>
          <w:rFonts w:hint="eastAsia" w:ascii="宋体" w:hAnsi="宋体" w:eastAsia="宋体" w:cs="仿宋"/>
          <w:color w:val="000000" w:themeColor="text1"/>
          <w:spacing w:val="8"/>
          <w:kern w:val="0"/>
          <w:sz w:val="28"/>
          <w:szCs w:val="28"/>
          <w:highlight w:val="none"/>
          <w:lang w:val="en-US" w:eastAsia="zh-CN"/>
          <w14:textFill>
            <w14:solidFill>
              <w14:schemeClr w14:val="tx1"/>
            </w14:solidFill>
          </w14:textFill>
        </w:rPr>
        <w:t>9</w:t>
      </w:r>
      <w:r>
        <w:rPr>
          <w:rFonts w:hint="eastAsia" w:ascii="宋体" w:hAnsi="宋体" w:eastAsia="宋体" w:cs="仿宋"/>
          <w:color w:val="000000" w:themeColor="text1"/>
          <w:spacing w:val="8"/>
          <w:kern w:val="0"/>
          <w:sz w:val="28"/>
          <w:szCs w:val="28"/>
          <w:highlight w:val="none"/>
          <w14:textFill>
            <w14:solidFill>
              <w14:schemeClr w14:val="tx1"/>
            </w14:solidFill>
          </w14:textFill>
        </w:rPr>
        <w:t>时00分（北京时间）；</w:t>
      </w:r>
    </w:p>
    <w:p w14:paraId="3F478DA9">
      <w:pPr>
        <w:widowControl/>
        <w:wordWrap w:val="0"/>
        <w:adjustRightInd w:val="0"/>
        <w:spacing w:line="520" w:lineRule="exact"/>
        <w:ind w:firstLine="592" w:firstLineChars="200"/>
        <w:jc w:val="left"/>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地点：</w:t>
      </w:r>
      <w:bookmarkStart w:id="11" w:name="OLE_LINK3"/>
      <w:r>
        <w:rPr>
          <w:rFonts w:hint="eastAsia" w:ascii="宋体" w:hAnsi="宋体" w:eastAsia="宋体" w:cs="仿宋"/>
          <w:color w:val="000000" w:themeColor="text1"/>
          <w:spacing w:val="8"/>
          <w:kern w:val="0"/>
          <w:sz w:val="28"/>
          <w:szCs w:val="28"/>
          <w:highlight w:val="none"/>
          <w14:textFill>
            <w14:solidFill>
              <w14:schemeClr w14:val="tx1"/>
            </w14:solidFill>
          </w14:textFill>
        </w:rPr>
        <w:t>威海市公共资源交易中心</w:t>
      </w:r>
      <w:r>
        <w:rPr>
          <w:rFonts w:ascii="宋体" w:hAnsi="宋体" w:eastAsia="宋体" w:cs="仿宋"/>
          <w:color w:val="000000" w:themeColor="text1"/>
          <w:spacing w:val="8"/>
          <w:kern w:val="0"/>
          <w:sz w:val="28"/>
          <w:szCs w:val="28"/>
          <w:highlight w:val="none"/>
          <w14:textFill>
            <w14:solidFill>
              <w14:schemeClr w14:val="tx1"/>
            </w14:solidFill>
          </w14:textFill>
        </w:rPr>
        <w:t>交易</w:t>
      </w:r>
      <w:r>
        <w:rPr>
          <w:rFonts w:hint="eastAsia" w:ascii="宋体" w:hAnsi="宋体" w:eastAsia="宋体" w:cs="仿宋"/>
          <w:color w:val="000000" w:themeColor="text1"/>
          <w:spacing w:val="8"/>
          <w:kern w:val="0"/>
          <w:sz w:val="28"/>
          <w:szCs w:val="28"/>
          <w:highlight w:val="none"/>
          <w:lang w:val="en-US" w:eastAsia="zh-CN"/>
          <w14:textFill>
            <w14:solidFill>
              <w14:schemeClr w14:val="tx1"/>
            </w14:solidFill>
          </w14:textFill>
        </w:rPr>
        <w:t>七</w:t>
      </w:r>
      <w:r>
        <w:rPr>
          <w:rFonts w:ascii="宋体" w:hAnsi="宋体" w:eastAsia="宋体" w:cs="仿宋"/>
          <w:color w:val="000000" w:themeColor="text1"/>
          <w:spacing w:val="8"/>
          <w:kern w:val="0"/>
          <w:sz w:val="28"/>
          <w:szCs w:val="28"/>
          <w:highlight w:val="none"/>
          <w14:textFill>
            <w14:solidFill>
              <w14:schemeClr w14:val="tx1"/>
            </w14:solidFill>
          </w14:textFill>
        </w:rPr>
        <w:t>厅</w:t>
      </w:r>
      <w:r>
        <w:rPr>
          <w:rFonts w:hint="eastAsia" w:ascii="宋体" w:hAnsi="宋体" w:eastAsia="宋体" w:cs="仿宋"/>
          <w:color w:val="000000" w:themeColor="text1"/>
          <w:spacing w:val="8"/>
          <w:kern w:val="0"/>
          <w:sz w:val="28"/>
          <w:szCs w:val="28"/>
          <w:highlight w:val="none"/>
          <w14:textFill>
            <w14:solidFill>
              <w14:schemeClr w14:val="tx1"/>
            </w14:solidFill>
          </w14:textFill>
        </w:rPr>
        <w:t>（威海市环翠区塔山中路</w:t>
      </w:r>
      <w:r>
        <w:rPr>
          <w:rFonts w:ascii="宋体" w:hAnsi="宋体" w:eastAsia="宋体" w:cs="仿宋"/>
          <w:color w:val="000000" w:themeColor="text1"/>
          <w:spacing w:val="8"/>
          <w:kern w:val="0"/>
          <w:sz w:val="28"/>
          <w:szCs w:val="28"/>
          <w:highlight w:val="none"/>
          <w14:textFill>
            <w14:solidFill>
              <w14:schemeClr w14:val="tx1"/>
            </w14:solidFill>
          </w14:textFill>
        </w:rPr>
        <w:t>317号市政务服务中心四楼）</w:t>
      </w:r>
      <w:bookmarkEnd w:id="11"/>
      <w:r>
        <w:rPr>
          <w:rFonts w:hint="eastAsia" w:ascii="宋体" w:hAnsi="宋体" w:eastAsia="宋体" w:cs="仿宋"/>
          <w:color w:val="000000" w:themeColor="text1"/>
          <w:spacing w:val="8"/>
          <w:kern w:val="0"/>
          <w:sz w:val="28"/>
          <w:szCs w:val="28"/>
          <w:highlight w:val="none"/>
          <w14:textFill>
            <w14:solidFill>
              <w14:schemeClr w14:val="tx1"/>
            </w14:solidFill>
          </w14:textFill>
        </w:rPr>
        <w:t>。</w:t>
      </w:r>
    </w:p>
    <w:p w14:paraId="371262F0">
      <w:pPr>
        <w:widowControl/>
        <w:wordWrap w:val="0"/>
        <w:adjustRightInd w:val="0"/>
        <w:spacing w:line="520" w:lineRule="exact"/>
        <w:ind w:firstLine="594" w:firstLineChars="200"/>
        <w:jc w:val="left"/>
        <w:rPr>
          <w:rFonts w:hint="eastAsia" w:ascii="宋体" w:hAnsi="宋体" w:eastAsia="宋体" w:cs="仿宋"/>
          <w:b/>
          <w:color w:val="000000" w:themeColor="text1"/>
          <w:spacing w:val="8"/>
          <w:kern w:val="0"/>
          <w:sz w:val="28"/>
          <w:szCs w:val="28"/>
          <w:highlight w:val="none"/>
          <w14:textFill>
            <w14:solidFill>
              <w14:schemeClr w14:val="tx1"/>
            </w14:solidFill>
          </w14:textFill>
        </w:rPr>
      </w:pPr>
      <w:r>
        <w:rPr>
          <w:rFonts w:hint="eastAsia" w:ascii="宋体" w:hAnsi="宋体" w:eastAsia="宋体" w:cs="仿宋"/>
          <w:b/>
          <w:color w:val="000000" w:themeColor="text1"/>
          <w:spacing w:val="8"/>
          <w:kern w:val="0"/>
          <w:sz w:val="28"/>
          <w:szCs w:val="28"/>
          <w:highlight w:val="none"/>
          <w14:textFill>
            <w14:solidFill>
              <w14:schemeClr w14:val="tx1"/>
            </w14:solidFill>
          </w14:textFill>
        </w:rPr>
        <w:t>八、发布公告的媒介</w:t>
      </w:r>
    </w:p>
    <w:p w14:paraId="576A6328">
      <w:pPr>
        <w:widowControl/>
        <w:wordWrap w:val="0"/>
        <w:adjustRightInd w:val="0"/>
        <w:spacing w:line="520" w:lineRule="exact"/>
        <w:ind w:firstLine="592" w:firstLineChars="200"/>
        <w:jc w:val="left"/>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本次公告在中国招标投标公共服务平台（www.cebpubservice.com）、威海市公共资源交易网（http://ggzyjy.weihai.cn/）上发布。</w:t>
      </w:r>
    </w:p>
    <w:p w14:paraId="276AEACC">
      <w:pPr>
        <w:widowControl/>
        <w:wordWrap w:val="0"/>
        <w:adjustRightInd w:val="0"/>
        <w:spacing w:line="520" w:lineRule="exact"/>
        <w:ind w:firstLine="594" w:firstLineChars="200"/>
        <w:jc w:val="left"/>
        <w:rPr>
          <w:rFonts w:hint="eastAsia" w:ascii="宋体" w:hAnsi="宋体" w:eastAsia="宋体" w:cs="仿宋"/>
          <w:b/>
          <w:color w:val="000000" w:themeColor="text1"/>
          <w:spacing w:val="8"/>
          <w:kern w:val="0"/>
          <w:sz w:val="28"/>
          <w:szCs w:val="28"/>
          <w:highlight w:val="none"/>
          <w14:textFill>
            <w14:solidFill>
              <w14:schemeClr w14:val="tx1"/>
            </w14:solidFill>
          </w14:textFill>
        </w:rPr>
      </w:pPr>
      <w:r>
        <w:rPr>
          <w:rFonts w:hint="eastAsia" w:ascii="宋体" w:hAnsi="宋体" w:eastAsia="宋体" w:cs="仿宋"/>
          <w:b/>
          <w:color w:val="000000" w:themeColor="text1"/>
          <w:spacing w:val="8"/>
          <w:kern w:val="0"/>
          <w:sz w:val="28"/>
          <w:szCs w:val="28"/>
          <w:highlight w:val="none"/>
          <w14:textFill>
            <w14:solidFill>
              <w14:schemeClr w14:val="tx1"/>
            </w14:solidFill>
          </w14:textFill>
        </w:rPr>
        <w:t>九、其它补充事宜</w:t>
      </w:r>
    </w:p>
    <w:p w14:paraId="4BBE51DA">
      <w:pPr>
        <w:widowControl/>
        <w:wordWrap w:val="0"/>
        <w:adjustRightInd w:val="0"/>
        <w:spacing w:line="520" w:lineRule="exact"/>
        <w:ind w:firstLine="592" w:firstLineChars="200"/>
        <w:jc w:val="left"/>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1.本项目实行全流程电子化，提交投标文件截止时间前，随时关注威海市公共资源交易网（变更公告栏）内变更提醒。</w:t>
      </w:r>
    </w:p>
    <w:p w14:paraId="5F56E572">
      <w:pPr>
        <w:widowControl/>
        <w:shd w:val="clear" w:color="auto" w:fill="FFFFFF"/>
        <w:wordWrap w:val="0"/>
        <w:spacing w:line="520" w:lineRule="exact"/>
        <w:ind w:firstLine="592" w:firstLineChars="200"/>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2.投标人自行准备电脑，提前在个人电脑上进行测试确保音频、视频功能、CA 签章功能可正常使用。远程开标，不接受投标人到现场参加开标活动；投标人提前熟悉交易系统（新版威海市国有企业阳光采购服务平台供应商用户手册网址：https://ggzyjy.weihai.cn/bszn/005005/20260109/eb4ba418-4b35-4f05-aa69-44fd7d8a7ffb.html），通过交易系统线上参加开标活动，不熟悉系统操作产生的风险由投标人承担。</w:t>
      </w:r>
    </w:p>
    <w:p w14:paraId="23AD2AAC">
      <w:pPr>
        <w:widowControl/>
        <w:wordWrap w:val="0"/>
        <w:adjustRightInd w:val="0"/>
        <w:spacing w:line="520" w:lineRule="exact"/>
        <w:ind w:firstLine="594" w:firstLineChars="200"/>
        <w:jc w:val="left"/>
        <w:rPr>
          <w:rFonts w:hint="eastAsia" w:ascii="宋体" w:hAnsi="宋体" w:eastAsia="宋体" w:cs="仿宋"/>
          <w:b/>
          <w:color w:val="000000" w:themeColor="text1"/>
          <w:spacing w:val="8"/>
          <w:kern w:val="0"/>
          <w:sz w:val="28"/>
          <w:szCs w:val="28"/>
          <w:highlight w:val="none"/>
          <w14:textFill>
            <w14:solidFill>
              <w14:schemeClr w14:val="tx1"/>
            </w14:solidFill>
          </w14:textFill>
        </w:rPr>
      </w:pPr>
      <w:r>
        <w:rPr>
          <w:rFonts w:hint="eastAsia" w:ascii="宋体" w:hAnsi="宋体" w:eastAsia="宋体" w:cs="仿宋"/>
          <w:b/>
          <w:color w:val="000000" w:themeColor="text1"/>
          <w:spacing w:val="8"/>
          <w:kern w:val="0"/>
          <w:sz w:val="28"/>
          <w:szCs w:val="28"/>
          <w:highlight w:val="none"/>
          <w14:textFill>
            <w14:solidFill>
              <w14:schemeClr w14:val="tx1"/>
            </w14:solidFill>
          </w14:textFill>
        </w:rPr>
        <w:t>十、联系方式</w:t>
      </w:r>
    </w:p>
    <w:p w14:paraId="454ABD4F">
      <w:pPr>
        <w:widowControl/>
        <w:wordWrap w:val="0"/>
        <w:adjustRightInd w:val="0"/>
        <w:spacing w:line="520" w:lineRule="exact"/>
        <w:ind w:firstLine="592" w:firstLineChars="200"/>
        <w:jc w:val="left"/>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1.</w:t>
      </w:r>
      <w:r>
        <w:rPr>
          <w:rFonts w:hint="eastAsia" w:ascii="宋体" w:hAnsi="宋体" w:eastAsia="宋体" w:cs="仿宋"/>
          <w:color w:val="000000" w:themeColor="text1"/>
          <w:spacing w:val="8"/>
          <w:kern w:val="0"/>
          <w:sz w:val="28"/>
          <w:szCs w:val="28"/>
          <w:highlight w:val="none"/>
          <w14:textFill>
            <w14:solidFill>
              <w14:schemeClr w14:val="tx1"/>
            </w14:solidFill>
          </w14:textFill>
        </w:rPr>
        <w:t>招标人：威海威畅市政工程有限公司</w:t>
      </w:r>
    </w:p>
    <w:p w14:paraId="5F4D5BB6">
      <w:pPr>
        <w:widowControl/>
        <w:wordWrap w:val="0"/>
        <w:adjustRightInd w:val="0"/>
        <w:spacing w:line="520" w:lineRule="exact"/>
        <w:ind w:firstLine="592" w:firstLineChars="200"/>
        <w:jc w:val="left"/>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地址：威海市环翠区青岛北路158号</w:t>
      </w:r>
    </w:p>
    <w:p w14:paraId="35C4310E">
      <w:pPr>
        <w:widowControl/>
        <w:wordWrap w:val="0"/>
        <w:adjustRightInd w:val="0"/>
        <w:spacing w:line="520" w:lineRule="exact"/>
        <w:ind w:firstLine="592" w:firstLineChars="200"/>
        <w:jc w:val="left"/>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联系人：于莎莎</w:t>
      </w:r>
    </w:p>
    <w:p w14:paraId="429ABB0E">
      <w:pPr>
        <w:widowControl/>
        <w:wordWrap w:val="0"/>
        <w:adjustRightInd w:val="0"/>
        <w:spacing w:line="520" w:lineRule="exact"/>
        <w:ind w:firstLine="592" w:firstLineChars="200"/>
        <w:jc w:val="left"/>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联系电话：0631-5185009</w:t>
      </w:r>
    </w:p>
    <w:p w14:paraId="4506E12D">
      <w:pPr>
        <w:widowControl/>
        <w:wordWrap w:val="0"/>
        <w:adjustRightInd w:val="0"/>
        <w:spacing w:line="520" w:lineRule="exact"/>
        <w:ind w:firstLine="592" w:firstLineChars="200"/>
        <w:jc w:val="left"/>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2.招标代理机构：威海市天垣工程咨询管理有限公司</w:t>
      </w:r>
    </w:p>
    <w:p w14:paraId="33F95410">
      <w:pPr>
        <w:widowControl/>
        <w:wordWrap w:val="0"/>
        <w:adjustRightInd w:val="0"/>
        <w:spacing w:line="520" w:lineRule="exact"/>
        <w:ind w:firstLine="592" w:firstLineChars="200"/>
        <w:jc w:val="left"/>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地址：山东省威海市火炬高技术产业开发区文化中路-78-3号</w:t>
      </w:r>
    </w:p>
    <w:p w14:paraId="7F1AC60C">
      <w:pPr>
        <w:widowControl/>
        <w:wordWrap w:val="0"/>
        <w:adjustRightInd w:val="0"/>
        <w:spacing w:line="520" w:lineRule="exact"/>
        <w:ind w:firstLine="592" w:firstLineChars="200"/>
        <w:jc w:val="left"/>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联系人：李艳菁、王颖</w:t>
      </w:r>
    </w:p>
    <w:p w14:paraId="412CAB34">
      <w:pPr>
        <w:widowControl/>
        <w:wordWrap w:val="0"/>
        <w:adjustRightInd w:val="0"/>
        <w:spacing w:line="520" w:lineRule="exact"/>
        <w:ind w:firstLine="592" w:firstLineChars="200"/>
        <w:jc w:val="left"/>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联系电话：</w:t>
      </w:r>
      <w:r>
        <w:rPr>
          <w:rFonts w:ascii="宋体" w:hAnsi="宋体" w:eastAsia="宋体" w:cs="仿宋"/>
          <w:color w:val="000000" w:themeColor="text1"/>
          <w:spacing w:val="8"/>
          <w:kern w:val="0"/>
          <w:sz w:val="28"/>
          <w:szCs w:val="28"/>
          <w:highlight w:val="none"/>
          <w14:textFill>
            <w14:solidFill>
              <w14:schemeClr w14:val="tx1"/>
            </w14:solidFill>
          </w14:textFill>
        </w:rPr>
        <w:t>0631-5819542</w:t>
      </w:r>
    </w:p>
    <w:p w14:paraId="69B0B2A5">
      <w:pPr>
        <w:widowControl/>
        <w:wordWrap w:val="0"/>
        <w:adjustRightInd w:val="0"/>
        <w:spacing w:line="520" w:lineRule="exact"/>
        <w:ind w:firstLine="592" w:firstLineChars="200"/>
        <w:jc w:val="left"/>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电子邮箱：</w:t>
      </w:r>
      <w:r>
        <w:rPr>
          <w:rFonts w:ascii="宋体" w:hAnsi="宋体" w:eastAsia="宋体" w:cs="仿宋"/>
          <w:color w:val="000000" w:themeColor="text1"/>
          <w:spacing w:val="8"/>
          <w:kern w:val="0"/>
          <w:sz w:val="28"/>
          <w:szCs w:val="28"/>
          <w:highlight w:val="none"/>
          <w14:textFill>
            <w14:solidFill>
              <w14:schemeClr w14:val="tx1"/>
            </w14:solidFill>
          </w14:textFill>
        </w:rPr>
        <w:t>whtyzb</w:t>
      </w:r>
      <w:r>
        <w:rPr>
          <w:rFonts w:hint="eastAsia" w:ascii="宋体" w:hAnsi="宋体" w:eastAsia="宋体" w:cs="仿宋"/>
          <w:color w:val="000000" w:themeColor="text1"/>
          <w:spacing w:val="8"/>
          <w:kern w:val="0"/>
          <w:sz w:val="28"/>
          <w:szCs w:val="28"/>
          <w:highlight w:val="none"/>
          <w14:textFill>
            <w14:solidFill>
              <w14:schemeClr w14:val="tx1"/>
            </w14:solidFill>
          </w14:textFill>
        </w:rPr>
        <w:t>@126.com</w:t>
      </w:r>
    </w:p>
    <w:p w14:paraId="3AC24C18">
      <w:pPr>
        <w:widowControl/>
        <w:wordWrap w:val="0"/>
        <w:adjustRightInd w:val="0"/>
        <w:spacing w:line="520" w:lineRule="exact"/>
        <w:ind w:firstLine="592" w:firstLineChars="200"/>
        <w:jc w:val="right"/>
        <w:rPr>
          <w:rFonts w:hint="eastAsia" w:ascii="宋体" w:hAnsi="宋体" w:eastAsia="宋体" w:cs="仿宋"/>
          <w:color w:val="000000" w:themeColor="text1"/>
          <w:spacing w:val="8"/>
          <w:kern w:val="0"/>
          <w:sz w:val="28"/>
          <w:szCs w:val="28"/>
          <w:highlight w:val="none"/>
          <w14:textFill>
            <w14:solidFill>
              <w14:schemeClr w14:val="tx1"/>
            </w14:solidFill>
          </w14:textFill>
        </w:rPr>
      </w:pPr>
    </w:p>
    <w:p w14:paraId="4AEDFAA0">
      <w:pPr>
        <w:widowControl/>
        <w:adjustRightInd w:val="0"/>
        <w:spacing w:line="520" w:lineRule="exact"/>
        <w:ind w:firstLine="592" w:firstLineChars="200"/>
        <w:jc w:val="right"/>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发布人：威海市天垣工程咨询管理有限公司</w:t>
      </w:r>
    </w:p>
    <w:p w14:paraId="26B4B806">
      <w:pPr>
        <w:widowControl/>
        <w:wordWrap w:val="0"/>
        <w:adjustRightInd w:val="0"/>
        <w:spacing w:line="520" w:lineRule="exact"/>
        <w:ind w:firstLine="592" w:firstLineChars="200"/>
        <w:jc w:val="right"/>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发布时间：</w:t>
      </w:r>
      <w:r>
        <w:rPr>
          <w:rFonts w:ascii="宋体" w:hAnsi="宋体" w:eastAsia="宋体" w:cs="仿宋"/>
          <w:color w:val="000000" w:themeColor="text1"/>
          <w:spacing w:val="8"/>
          <w:kern w:val="0"/>
          <w:sz w:val="28"/>
          <w:szCs w:val="28"/>
          <w:highlight w:val="none"/>
          <w14:textFill>
            <w14:solidFill>
              <w14:schemeClr w14:val="tx1"/>
            </w14:solidFill>
          </w14:textFill>
        </w:rPr>
        <w:t>202</w:t>
      </w:r>
      <w:r>
        <w:rPr>
          <w:rFonts w:hint="eastAsia" w:ascii="宋体" w:hAnsi="宋体" w:eastAsia="宋体" w:cs="仿宋"/>
          <w:color w:val="000000" w:themeColor="text1"/>
          <w:spacing w:val="8"/>
          <w:kern w:val="0"/>
          <w:sz w:val="28"/>
          <w:szCs w:val="28"/>
          <w:highlight w:val="none"/>
          <w14:textFill>
            <w14:solidFill>
              <w14:schemeClr w14:val="tx1"/>
            </w14:solidFill>
          </w14:textFill>
        </w:rPr>
        <w:t>6</w:t>
      </w:r>
      <w:r>
        <w:rPr>
          <w:rFonts w:ascii="宋体" w:hAnsi="宋体" w:eastAsia="宋体" w:cs="仿宋"/>
          <w:color w:val="000000" w:themeColor="text1"/>
          <w:spacing w:val="8"/>
          <w:kern w:val="0"/>
          <w:sz w:val="28"/>
          <w:szCs w:val="28"/>
          <w:highlight w:val="none"/>
          <w14:textFill>
            <w14:solidFill>
              <w14:schemeClr w14:val="tx1"/>
            </w14:solidFill>
          </w14:textFill>
        </w:rPr>
        <w:t>年</w:t>
      </w:r>
      <w:r>
        <w:rPr>
          <w:rFonts w:hint="eastAsia" w:ascii="宋体" w:hAnsi="宋体" w:eastAsia="宋体" w:cs="仿宋"/>
          <w:color w:val="000000" w:themeColor="text1"/>
          <w:spacing w:val="8"/>
          <w:kern w:val="0"/>
          <w:sz w:val="28"/>
          <w:szCs w:val="28"/>
          <w:highlight w:val="none"/>
          <w:lang w:val="en-US" w:eastAsia="zh-CN"/>
          <w14:textFill>
            <w14:solidFill>
              <w14:schemeClr w14:val="tx1"/>
            </w14:solidFill>
          </w14:textFill>
        </w:rPr>
        <w:t>5</w:t>
      </w:r>
      <w:r>
        <w:rPr>
          <w:rFonts w:ascii="宋体" w:hAnsi="宋体" w:eastAsia="宋体" w:cs="仿宋"/>
          <w:color w:val="000000" w:themeColor="text1"/>
          <w:spacing w:val="8"/>
          <w:kern w:val="0"/>
          <w:sz w:val="28"/>
          <w:szCs w:val="28"/>
          <w:highlight w:val="none"/>
          <w14:textFill>
            <w14:solidFill>
              <w14:schemeClr w14:val="tx1"/>
            </w14:solidFill>
          </w14:textFill>
        </w:rPr>
        <w:t>月</w:t>
      </w:r>
      <w:r>
        <w:rPr>
          <w:rFonts w:hint="eastAsia" w:ascii="宋体" w:hAnsi="宋体" w:eastAsia="宋体" w:cs="仿宋"/>
          <w:color w:val="000000" w:themeColor="text1"/>
          <w:spacing w:val="8"/>
          <w:kern w:val="0"/>
          <w:sz w:val="28"/>
          <w:szCs w:val="28"/>
          <w:highlight w:val="none"/>
          <w:lang w:val="en-US" w:eastAsia="zh-CN"/>
          <w14:textFill>
            <w14:solidFill>
              <w14:schemeClr w14:val="tx1"/>
            </w14:solidFill>
          </w14:textFill>
        </w:rPr>
        <w:t>28</w:t>
      </w:r>
      <w:r>
        <w:rPr>
          <w:rFonts w:ascii="宋体" w:hAnsi="宋体" w:eastAsia="宋体" w:cs="仿宋"/>
          <w:color w:val="000000" w:themeColor="text1"/>
          <w:spacing w:val="8"/>
          <w:kern w:val="0"/>
          <w:sz w:val="28"/>
          <w:szCs w:val="28"/>
          <w:highlight w:val="none"/>
          <w14:textFill>
            <w14:solidFill>
              <w14:schemeClr w14:val="tx1"/>
            </w14:solidFill>
          </w14:textFill>
        </w:rPr>
        <w:t>日</w:t>
      </w:r>
    </w:p>
    <w:bookmarkEnd w:id="8"/>
    <w:p w14:paraId="7E04873B">
      <w:pPr>
        <w:rPr>
          <w:rFonts w:hint="eastAsia" w:ascii="宋体" w:hAnsi="宋体" w:eastAsia="宋体"/>
          <w:color w:val="000000" w:themeColor="text1"/>
          <w:highlight w:val="none"/>
          <w14:textFill>
            <w14:solidFill>
              <w14:schemeClr w14:val="tx1"/>
            </w14:solidFill>
          </w14:textFill>
        </w:rPr>
        <w:sectPr>
          <w:headerReference r:id="rId5" w:type="first"/>
          <w:footerReference r:id="rId6" w:type="default"/>
          <w:headerReference r:id="rId4" w:type="even"/>
          <w:pgSz w:w="11906" w:h="16838"/>
          <w:pgMar w:top="1440" w:right="1077" w:bottom="1440" w:left="1077" w:header="851" w:footer="992" w:gutter="0"/>
          <w:pgNumType w:start="1"/>
          <w:cols w:space="720" w:num="1"/>
          <w:docGrid w:type="lines" w:linePitch="312" w:charSpace="0"/>
        </w:sectPr>
      </w:pPr>
    </w:p>
    <w:bookmarkEnd w:id="6"/>
    <w:bookmarkEnd w:id="7"/>
    <w:p w14:paraId="0EC4E676">
      <w:pPr>
        <w:pStyle w:val="4"/>
        <w:jc w:val="center"/>
        <w:rPr>
          <w:rFonts w:hint="eastAsia" w:ascii="宋体" w:hAnsi="宋体" w:eastAsia="宋体" w:cs="仿宋"/>
          <w:color w:val="000000" w:themeColor="text1"/>
          <w:highlight w:val="none"/>
          <w14:textFill>
            <w14:solidFill>
              <w14:schemeClr w14:val="tx1"/>
            </w14:solidFill>
          </w14:textFill>
        </w:rPr>
      </w:pPr>
      <w:bookmarkStart w:id="12" w:name="_Toc130891903"/>
      <w:bookmarkStart w:id="13" w:name="_Toc66864041"/>
      <w:bookmarkStart w:id="14" w:name="_Toc266431126"/>
      <w:bookmarkStart w:id="15" w:name="_Toc413596395"/>
      <w:bookmarkStart w:id="16" w:name="_Toc382129913"/>
      <w:r>
        <w:rPr>
          <w:rFonts w:hint="eastAsia" w:ascii="宋体" w:hAnsi="宋体" w:eastAsia="宋体" w:cs="仿宋"/>
          <w:color w:val="000000" w:themeColor="text1"/>
          <w:highlight w:val="none"/>
          <w14:textFill>
            <w14:solidFill>
              <w14:schemeClr w14:val="tx1"/>
            </w14:solidFill>
          </w14:textFill>
        </w:rPr>
        <w:t>第二章  投标须知</w:t>
      </w:r>
      <w:bookmarkEnd w:id="12"/>
      <w:bookmarkEnd w:id="13"/>
    </w:p>
    <w:p w14:paraId="32C9F271">
      <w:pPr>
        <w:jc w:val="center"/>
        <w:rPr>
          <w:rFonts w:hint="eastAsia" w:ascii="宋体" w:hAnsi="宋体" w:eastAsia="宋体" w:cs="仿宋"/>
          <w:color w:val="000000" w:themeColor="text1"/>
          <w:sz w:val="32"/>
          <w:szCs w:val="32"/>
          <w:highlight w:val="none"/>
          <w14:textFill>
            <w14:solidFill>
              <w14:schemeClr w14:val="tx1"/>
            </w14:solidFill>
          </w14:textFill>
        </w:rPr>
      </w:pPr>
      <w:r>
        <w:rPr>
          <w:rFonts w:hint="eastAsia" w:ascii="宋体" w:hAnsi="宋体" w:eastAsia="宋体" w:cs="仿宋"/>
          <w:color w:val="000000" w:themeColor="text1"/>
          <w:sz w:val="32"/>
          <w:szCs w:val="32"/>
          <w:highlight w:val="none"/>
          <w14:textFill>
            <w14:solidFill>
              <w14:schemeClr w14:val="tx1"/>
            </w14:solidFill>
          </w14:textFill>
        </w:rPr>
        <w:t>投标须知前附表</w:t>
      </w:r>
    </w:p>
    <w:tbl>
      <w:tblPr>
        <w:tblStyle w:val="67"/>
        <w:tblW w:w="1020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2181"/>
        <w:gridCol w:w="7169"/>
      </w:tblGrid>
      <w:tr w14:paraId="077C7C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0866AE06">
            <w:pPr>
              <w:snapToGrid w:val="0"/>
              <w:spacing w:line="520" w:lineRule="exact"/>
              <w:jc w:val="center"/>
              <w:rPr>
                <w:rFonts w:hint="eastAsia" w:ascii="宋体" w:hAnsi="宋体" w:eastAsia="宋体" w:cs="仿宋"/>
                <w:color w:val="000000" w:themeColor="text1"/>
                <w:sz w:val="24"/>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序号</w:t>
            </w:r>
          </w:p>
        </w:tc>
        <w:tc>
          <w:tcPr>
            <w:tcW w:w="2181" w:type="dxa"/>
            <w:tcBorders>
              <w:top w:val="single" w:color="auto" w:sz="4" w:space="0"/>
              <w:left w:val="single" w:color="auto" w:sz="4" w:space="0"/>
              <w:bottom w:val="single" w:color="auto" w:sz="4" w:space="0"/>
              <w:right w:val="single" w:color="auto" w:sz="4" w:space="0"/>
            </w:tcBorders>
            <w:vAlign w:val="center"/>
          </w:tcPr>
          <w:p w14:paraId="662ECEE7">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项    目</w:t>
            </w:r>
          </w:p>
        </w:tc>
        <w:tc>
          <w:tcPr>
            <w:tcW w:w="7169" w:type="dxa"/>
            <w:tcBorders>
              <w:top w:val="single" w:color="auto" w:sz="4" w:space="0"/>
              <w:left w:val="single" w:color="auto" w:sz="4" w:space="0"/>
              <w:bottom w:val="single" w:color="auto" w:sz="4" w:space="0"/>
            </w:tcBorders>
            <w:vAlign w:val="center"/>
          </w:tcPr>
          <w:p w14:paraId="2CC472FF">
            <w:pPr>
              <w:snapToGrid w:val="0"/>
              <w:spacing w:line="520" w:lineRule="exact"/>
              <w:ind w:left="57" w:firstLine="562" w:firstLineChars="201"/>
              <w:jc w:val="center"/>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内           容</w:t>
            </w:r>
          </w:p>
        </w:tc>
      </w:tr>
      <w:tr w14:paraId="22964E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4DCF67DA">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1</w:t>
            </w:r>
          </w:p>
        </w:tc>
        <w:tc>
          <w:tcPr>
            <w:tcW w:w="2181" w:type="dxa"/>
            <w:tcBorders>
              <w:top w:val="single" w:color="auto" w:sz="4" w:space="0"/>
              <w:left w:val="single" w:color="auto" w:sz="4" w:space="0"/>
              <w:bottom w:val="single" w:color="auto" w:sz="4" w:space="0"/>
              <w:right w:val="single" w:color="auto" w:sz="4" w:space="0"/>
            </w:tcBorders>
            <w:vAlign w:val="center"/>
          </w:tcPr>
          <w:p w14:paraId="28D0052A">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项目名称</w:t>
            </w:r>
          </w:p>
        </w:tc>
        <w:tc>
          <w:tcPr>
            <w:tcW w:w="7169" w:type="dxa"/>
            <w:tcBorders>
              <w:top w:val="single" w:color="auto" w:sz="4" w:space="0"/>
              <w:left w:val="single" w:color="auto" w:sz="4" w:space="0"/>
              <w:bottom w:val="single" w:color="auto" w:sz="4" w:space="0"/>
            </w:tcBorders>
            <w:vAlign w:val="center"/>
          </w:tcPr>
          <w:p w14:paraId="4F62F679">
            <w:pPr>
              <w:snapToGrid w:val="0"/>
              <w:spacing w:line="52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bCs/>
                <w:color w:val="000000" w:themeColor="text1"/>
                <w:spacing w:val="8"/>
                <w:kern w:val="0"/>
                <w:sz w:val="28"/>
                <w:szCs w:val="28"/>
                <w:highlight w:val="none"/>
                <w14:textFill>
                  <w14:solidFill>
                    <w14:schemeClr w14:val="tx1"/>
                  </w14:solidFill>
                </w14:textFill>
              </w:rPr>
              <w:t>百合路土石方工程专业分包</w:t>
            </w:r>
          </w:p>
        </w:tc>
      </w:tr>
      <w:tr w14:paraId="10B454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7B3F4CF4">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2</w:t>
            </w:r>
          </w:p>
        </w:tc>
        <w:tc>
          <w:tcPr>
            <w:tcW w:w="2181" w:type="dxa"/>
            <w:tcBorders>
              <w:top w:val="single" w:color="auto" w:sz="4" w:space="0"/>
              <w:left w:val="single" w:color="auto" w:sz="4" w:space="0"/>
              <w:bottom w:val="single" w:color="auto" w:sz="4" w:space="0"/>
              <w:right w:val="single" w:color="auto" w:sz="4" w:space="0"/>
            </w:tcBorders>
            <w:vAlign w:val="center"/>
          </w:tcPr>
          <w:p w14:paraId="4678231A">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招标编号</w:t>
            </w:r>
          </w:p>
        </w:tc>
        <w:tc>
          <w:tcPr>
            <w:tcW w:w="7169" w:type="dxa"/>
            <w:tcBorders>
              <w:top w:val="single" w:color="auto" w:sz="4" w:space="0"/>
              <w:left w:val="single" w:color="auto" w:sz="4" w:space="0"/>
              <w:bottom w:val="single" w:color="auto" w:sz="4" w:space="0"/>
            </w:tcBorders>
            <w:vAlign w:val="center"/>
          </w:tcPr>
          <w:p w14:paraId="09E77D08">
            <w:pPr>
              <w:snapToGrid w:val="0"/>
              <w:spacing w:line="52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WCSZ2026-003</w:t>
            </w:r>
          </w:p>
        </w:tc>
      </w:tr>
      <w:tr w14:paraId="7A47F3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711C8B59">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3</w:t>
            </w:r>
          </w:p>
        </w:tc>
        <w:tc>
          <w:tcPr>
            <w:tcW w:w="2181" w:type="dxa"/>
            <w:tcBorders>
              <w:top w:val="single" w:color="auto" w:sz="4" w:space="0"/>
              <w:left w:val="single" w:color="auto" w:sz="4" w:space="0"/>
              <w:bottom w:val="single" w:color="auto" w:sz="4" w:space="0"/>
              <w:right w:val="single" w:color="auto" w:sz="4" w:space="0"/>
            </w:tcBorders>
            <w:vAlign w:val="center"/>
          </w:tcPr>
          <w:p w14:paraId="6F1AC546">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招标人</w:t>
            </w:r>
          </w:p>
        </w:tc>
        <w:tc>
          <w:tcPr>
            <w:tcW w:w="7169" w:type="dxa"/>
            <w:tcBorders>
              <w:top w:val="single" w:color="auto" w:sz="4" w:space="0"/>
              <w:left w:val="single" w:color="auto" w:sz="4" w:space="0"/>
              <w:bottom w:val="single" w:color="auto" w:sz="4" w:space="0"/>
            </w:tcBorders>
            <w:vAlign w:val="center"/>
          </w:tcPr>
          <w:p w14:paraId="710EF6A7">
            <w:pPr>
              <w:snapToGrid w:val="0"/>
              <w:spacing w:line="520" w:lineRule="exact"/>
              <w:ind w:right="-105" w:rightChars="-50"/>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招标人：威海威畅市政工程有限公司</w:t>
            </w:r>
          </w:p>
          <w:p w14:paraId="661957FB">
            <w:pPr>
              <w:snapToGrid w:val="0"/>
              <w:spacing w:line="520" w:lineRule="exact"/>
              <w:ind w:right="-105" w:rightChars="-50"/>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地址：威海市环翠区青岛北路158号</w:t>
            </w:r>
          </w:p>
          <w:p w14:paraId="75512700">
            <w:pPr>
              <w:snapToGrid w:val="0"/>
              <w:spacing w:line="520" w:lineRule="exact"/>
              <w:ind w:right="-105" w:rightChars="-50"/>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联系人：于莎莎</w:t>
            </w:r>
          </w:p>
          <w:p w14:paraId="45521DA4">
            <w:pPr>
              <w:snapToGrid w:val="0"/>
              <w:spacing w:line="520" w:lineRule="exact"/>
              <w:ind w:right="-105" w:rightChars="-50"/>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联系电话：0631-5185009</w:t>
            </w:r>
          </w:p>
        </w:tc>
      </w:tr>
      <w:tr w14:paraId="0E5C40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3546BE3C">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4</w:t>
            </w:r>
          </w:p>
        </w:tc>
        <w:tc>
          <w:tcPr>
            <w:tcW w:w="2181" w:type="dxa"/>
            <w:tcBorders>
              <w:top w:val="single" w:color="auto" w:sz="4" w:space="0"/>
              <w:left w:val="single" w:color="auto" w:sz="4" w:space="0"/>
              <w:bottom w:val="single" w:color="auto" w:sz="4" w:space="0"/>
              <w:right w:val="single" w:color="auto" w:sz="4" w:space="0"/>
            </w:tcBorders>
            <w:vAlign w:val="center"/>
          </w:tcPr>
          <w:p w14:paraId="75FCD2D8">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招标代理机构</w:t>
            </w:r>
          </w:p>
        </w:tc>
        <w:tc>
          <w:tcPr>
            <w:tcW w:w="7169" w:type="dxa"/>
            <w:tcBorders>
              <w:top w:val="single" w:color="auto" w:sz="4" w:space="0"/>
              <w:left w:val="single" w:color="auto" w:sz="4" w:space="0"/>
              <w:bottom w:val="single" w:color="auto" w:sz="4" w:space="0"/>
            </w:tcBorders>
            <w:vAlign w:val="center"/>
          </w:tcPr>
          <w:p w14:paraId="7F319A82">
            <w:pPr>
              <w:snapToGrid w:val="0"/>
              <w:spacing w:line="520" w:lineRule="exact"/>
              <w:ind w:right="-105" w:rightChars="-50"/>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代理机构：威海市天垣工程咨询管理有限公司</w:t>
            </w:r>
          </w:p>
          <w:p w14:paraId="2D0158C0">
            <w:pPr>
              <w:snapToGrid w:val="0"/>
              <w:spacing w:line="520" w:lineRule="exact"/>
              <w:ind w:right="-105" w:rightChars="-50"/>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地址：山东省威海市火炬高技术产业开发区文化中路-78-3号</w:t>
            </w:r>
          </w:p>
          <w:p w14:paraId="27B68A67">
            <w:pPr>
              <w:snapToGrid w:val="0"/>
              <w:spacing w:line="520" w:lineRule="exact"/>
              <w:ind w:right="-105" w:rightChars="-50"/>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联系人：李艳菁、王颖</w:t>
            </w:r>
          </w:p>
          <w:p w14:paraId="20E8644A">
            <w:pPr>
              <w:snapToGrid w:val="0"/>
              <w:spacing w:line="520" w:lineRule="exact"/>
              <w:ind w:right="-105" w:rightChars="-50"/>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联系电话：</w:t>
            </w:r>
            <w:r>
              <w:rPr>
                <w:rFonts w:ascii="宋体" w:hAnsi="宋体" w:eastAsia="宋体" w:cs="仿宋"/>
                <w:color w:val="000000" w:themeColor="text1"/>
                <w:sz w:val="28"/>
                <w:szCs w:val="28"/>
                <w:highlight w:val="none"/>
                <w14:textFill>
                  <w14:solidFill>
                    <w14:schemeClr w14:val="tx1"/>
                  </w14:solidFill>
                </w14:textFill>
              </w:rPr>
              <w:t>0631-5819542</w:t>
            </w:r>
          </w:p>
        </w:tc>
      </w:tr>
      <w:tr w14:paraId="5F016A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851" w:type="dxa"/>
            <w:tcBorders>
              <w:top w:val="single" w:color="auto" w:sz="4" w:space="0"/>
              <w:bottom w:val="single" w:color="auto" w:sz="4" w:space="0"/>
              <w:right w:val="single" w:color="auto" w:sz="4" w:space="0"/>
            </w:tcBorders>
            <w:vAlign w:val="center"/>
          </w:tcPr>
          <w:p w14:paraId="042A05DE">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5</w:t>
            </w:r>
          </w:p>
        </w:tc>
        <w:tc>
          <w:tcPr>
            <w:tcW w:w="2181" w:type="dxa"/>
            <w:tcBorders>
              <w:top w:val="single" w:color="auto" w:sz="4" w:space="0"/>
              <w:left w:val="single" w:color="auto" w:sz="4" w:space="0"/>
              <w:bottom w:val="single" w:color="auto" w:sz="4" w:space="0"/>
              <w:right w:val="single" w:color="auto" w:sz="4" w:space="0"/>
            </w:tcBorders>
            <w:vAlign w:val="center"/>
          </w:tcPr>
          <w:p w14:paraId="5B2FC108">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项目情况</w:t>
            </w:r>
          </w:p>
        </w:tc>
        <w:tc>
          <w:tcPr>
            <w:tcW w:w="7169" w:type="dxa"/>
            <w:tcBorders>
              <w:top w:val="single" w:color="auto" w:sz="4" w:space="0"/>
              <w:left w:val="single" w:color="auto" w:sz="4" w:space="0"/>
              <w:bottom w:val="single" w:color="auto" w:sz="4" w:space="0"/>
            </w:tcBorders>
            <w:vAlign w:val="center"/>
          </w:tcPr>
          <w:p w14:paraId="520D3043">
            <w:pPr>
              <w:snapToGrid w:val="0"/>
              <w:spacing w:line="52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详见“第一章 招标公告”</w:t>
            </w:r>
          </w:p>
        </w:tc>
      </w:tr>
      <w:tr w14:paraId="77C69B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851" w:type="dxa"/>
            <w:tcBorders>
              <w:top w:val="single" w:color="auto" w:sz="4" w:space="0"/>
              <w:bottom w:val="single" w:color="auto" w:sz="4" w:space="0"/>
              <w:right w:val="single" w:color="auto" w:sz="4" w:space="0"/>
            </w:tcBorders>
            <w:vAlign w:val="center"/>
          </w:tcPr>
          <w:p w14:paraId="546B5353">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6</w:t>
            </w:r>
          </w:p>
        </w:tc>
        <w:tc>
          <w:tcPr>
            <w:tcW w:w="2181" w:type="dxa"/>
            <w:tcBorders>
              <w:top w:val="single" w:color="auto" w:sz="4" w:space="0"/>
              <w:left w:val="single" w:color="auto" w:sz="4" w:space="0"/>
              <w:bottom w:val="single" w:color="auto" w:sz="4" w:space="0"/>
              <w:right w:val="single" w:color="auto" w:sz="4" w:space="0"/>
            </w:tcBorders>
            <w:vAlign w:val="center"/>
          </w:tcPr>
          <w:p w14:paraId="346885F9">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资金来源及比例</w:t>
            </w:r>
          </w:p>
        </w:tc>
        <w:tc>
          <w:tcPr>
            <w:tcW w:w="7169" w:type="dxa"/>
            <w:tcBorders>
              <w:top w:val="single" w:color="auto" w:sz="4" w:space="0"/>
              <w:left w:val="single" w:color="auto" w:sz="4" w:space="0"/>
              <w:bottom w:val="single" w:color="auto" w:sz="4" w:space="0"/>
            </w:tcBorders>
            <w:vAlign w:val="center"/>
          </w:tcPr>
          <w:p w14:paraId="28E86DBC">
            <w:pPr>
              <w:snapToGrid w:val="0"/>
              <w:spacing w:line="52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bCs/>
                <w:color w:val="000000" w:themeColor="text1"/>
                <w:spacing w:val="8"/>
                <w:kern w:val="0"/>
                <w:sz w:val="28"/>
                <w:szCs w:val="28"/>
                <w:highlight w:val="none"/>
                <w14:textFill>
                  <w14:solidFill>
                    <w14:schemeClr w14:val="tx1"/>
                  </w14:solidFill>
                </w14:textFill>
              </w:rPr>
              <w:t>自筹资金</w:t>
            </w:r>
            <w:r>
              <w:rPr>
                <w:rFonts w:hint="eastAsia" w:ascii="宋体" w:hAnsi="宋体" w:eastAsia="宋体" w:cs="仿宋"/>
                <w:color w:val="000000" w:themeColor="text1"/>
                <w:sz w:val="28"/>
                <w:szCs w:val="28"/>
                <w:highlight w:val="none"/>
                <w14:textFill>
                  <w14:solidFill>
                    <w14:schemeClr w14:val="tx1"/>
                  </w14:solidFill>
                </w14:textFill>
              </w:rPr>
              <w:t>100%</w:t>
            </w:r>
          </w:p>
        </w:tc>
      </w:tr>
      <w:tr w14:paraId="607C9C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851" w:type="dxa"/>
            <w:tcBorders>
              <w:top w:val="single" w:color="auto" w:sz="4" w:space="0"/>
              <w:bottom w:val="single" w:color="auto" w:sz="4" w:space="0"/>
              <w:right w:val="single" w:color="auto" w:sz="4" w:space="0"/>
            </w:tcBorders>
            <w:vAlign w:val="center"/>
          </w:tcPr>
          <w:p w14:paraId="194F9957">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7</w:t>
            </w:r>
          </w:p>
        </w:tc>
        <w:tc>
          <w:tcPr>
            <w:tcW w:w="2181" w:type="dxa"/>
            <w:tcBorders>
              <w:top w:val="single" w:color="auto" w:sz="4" w:space="0"/>
              <w:left w:val="single" w:color="auto" w:sz="4" w:space="0"/>
              <w:bottom w:val="single" w:color="auto" w:sz="4" w:space="0"/>
              <w:right w:val="single" w:color="auto" w:sz="4" w:space="0"/>
            </w:tcBorders>
            <w:vAlign w:val="center"/>
          </w:tcPr>
          <w:p w14:paraId="1DBA4F63">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落实情况</w:t>
            </w:r>
          </w:p>
        </w:tc>
        <w:tc>
          <w:tcPr>
            <w:tcW w:w="7169" w:type="dxa"/>
            <w:tcBorders>
              <w:top w:val="single" w:color="auto" w:sz="4" w:space="0"/>
              <w:left w:val="single" w:color="auto" w:sz="4" w:space="0"/>
              <w:bottom w:val="single" w:color="auto" w:sz="4" w:space="0"/>
            </w:tcBorders>
            <w:vAlign w:val="center"/>
          </w:tcPr>
          <w:p w14:paraId="0F8445F6">
            <w:pPr>
              <w:snapToGrid w:val="0"/>
              <w:spacing w:line="52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已落实</w:t>
            </w:r>
          </w:p>
        </w:tc>
      </w:tr>
      <w:tr w14:paraId="2D98FB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2784F6B6">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8</w:t>
            </w:r>
          </w:p>
        </w:tc>
        <w:tc>
          <w:tcPr>
            <w:tcW w:w="2181" w:type="dxa"/>
            <w:tcBorders>
              <w:top w:val="single" w:color="auto" w:sz="4" w:space="0"/>
              <w:left w:val="single" w:color="auto" w:sz="4" w:space="0"/>
              <w:bottom w:val="single" w:color="auto" w:sz="4" w:space="0"/>
              <w:right w:val="single" w:color="auto" w:sz="4" w:space="0"/>
            </w:tcBorders>
            <w:vAlign w:val="center"/>
          </w:tcPr>
          <w:p w14:paraId="32F97B8F">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电子投标</w:t>
            </w:r>
          </w:p>
          <w:p w14:paraId="2805F5D1">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特别提示</w:t>
            </w:r>
          </w:p>
        </w:tc>
        <w:tc>
          <w:tcPr>
            <w:tcW w:w="7169" w:type="dxa"/>
            <w:tcBorders>
              <w:top w:val="single" w:color="auto" w:sz="4" w:space="0"/>
              <w:left w:val="single" w:color="auto" w:sz="4" w:space="0"/>
              <w:bottom w:val="single" w:color="auto" w:sz="4" w:space="0"/>
            </w:tcBorders>
            <w:vAlign w:val="center"/>
          </w:tcPr>
          <w:p w14:paraId="07B416BD">
            <w:pPr>
              <w:snapToGrid w:val="0"/>
              <w:spacing w:line="520" w:lineRule="exact"/>
              <w:ind w:right="-105" w:rightChars="-50"/>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1.登录“威海市公共资源交易网”首页右侧“交易服务一网通办系统”进行注册，取得用户名和密码（已经完成注册的投标人无须重复注册）；首次注册的投标人应及时办理安全证书（CA锁）及电子签章。</w:t>
            </w:r>
          </w:p>
          <w:p w14:paraId="22D912E6">
            <w:pPr>
              <w:snapToGrid w:val="0"/>
              <w:spacing w:line="520" w:lineRule="exact"/>
              <w:ind w:right="-105" w:rightChars="-50"/>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登录威海市公共资源交易网（http://ggzyjy.weihai.cn/）首页右侧“交易服务一网通办系统-（新版）一网通办系统”进行“平台切换”点击“国企采购”进入“国企阳光采购平台”获取招标文件，如跳转国企阳光采购平台时，提示用户不存在，可拨打技术支持电话（17863029936）咨询。</w:t>
            </w:r>
          </w:p>
          <w:p w14:paraId="7CB6CAE8">
            <w:pPr>
              <w:snapToGrid w:val="0"/>
              <w:spacing w:line="520" w:lineRule="exact"/>
              <w:ind w:right="-105" w:rightChars="-50"/>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b/>
                <w:bCs/>
                <w:color w:val="000000" w:themeColor="text1"/>
                <w:sz w:val="28"/>
                <w:szCs w:val="28"/>
                <w:highlight w:val="none"/>
                <w14:textFill>
                  <w14:solidFill>
                    <w14:schemeClr w14:val="tx1"/>
                  </w14:solidFill>
                </w14:textFill>
              </w:rPr>
              <w:t>2．本项目必须网上提交投标文件，</w:t>
            </w:r>
            <w:r>
              <w:rPr>
                <w:rFonts w:hint="eastAsia" w:ascii="宋体" w:hAnsi="宋体" w:eastAsia="宋体" w:cs="仿宋"/>
                <w:color w:val="000000" w:themeColor="text1"/>
                <w:sz w:val="28"/>
                <w:szCs w:val="28"/>
                <w:highlight w:val="none"/>
                <w14:textFill>
                  <w14:solidFill>
                    <w14:schemeClr w14:val="tx1"/>
                  </w14:solidFill>
                </w14:textFill>
              </w:rPr>
              <w:t>参与本项目投标人应利用办理好的CA锁登录</w:t>
            </w:r>
            <w:r>
              <w:rPr>
                <w:rFonts w:hint="eastAsia" w:ascii="宋体" w:hAnsi="宋体" w:eastAsia="宋体" w:cs="仿宋"/>
                <w:color w:val="000000" w:themeColor="text1"/>
                <w:spacing w:val="8"/>
                <w:kern w:val="0"/>
                <w:sz w:val="28"/>
                <w:szCs w:val="28"/>
                <w:highlight w:val="none"/>
                <w14:textFill>
                  <w14:solidFill>
                    <w14:schemeClr w14:val="tx1"/>
                  </w14:solidFill>
                </w14:textFill>
              </w:rPr>
              <w:t>国企阳光采购平台</w:t>
            </w:r>
            <w:r>
              <w:rPr>
                <w:rFonts w:hint="eastAsia" w:ascii="宋体" w:hAnsi="宋体" w:eastAsia="宋体" w:cs="仿宋"/>
                <w:color w:val="000000" w:themeColor="text1"/>
                <w:sz w:val="28"/>
                <w:szCs w:val="28"/>
                <w:highlight w:val="none"/>
                <w14:textFill>
                  <w14:solidFill>
                    <w14:schemeClr w14:val="tx1"/>
                  </w14:solidFill>
                </w14:textFill>
              </w:rPr>
              <w:t>进行招标文件的获取、文件下载和网上提交投标文件，且安全证书（CA锁）在有效期内。</w:t>
            </w:r>
          </w:p>
          <w:p w14:paraId="0B931FD2">
            <w:pPr>
              <w:snapToGrid w:val="0"/>
              <w:spacing w:line="520" w:lineRule="exact"/>
              <w:ind w:right="-105" w:rightChars="-50"/>
              <w:jc w:val="left"/>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w:t>
            </w:r>
            <w:r>
              <w:rPr>
                <w:rFonts w:hint="eastAsia" w:ascii="宋体" w:hAnsi="宋体" w:eastAsia="宋体" w:cs="仿宋"/>
                <w:color w:val="000000" w:themeColor="text1"/>
                <w:kern w:val="0"/>
                <w:sz w:val="28"/>
                <w:szCs w:val="28"/>
                <w:highlight w:val="none"/>
                <w14:textFill>
                  <w14:solidFill>
                    <w14:schemeClr w14:val="tx1"/>
                  </w14:solidFill>
                </w14:textFill>
              </w:rPr>
              <w:t>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26386061">
            <w:pPr>
              <w:snapToGrid w:val="0"/>
              <w:spacing w:line="520" w:lineRule="exact"/>
              <w:ind w:right="-105" w:rightChars="-50"/>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4．网上提交投标文件时，登录交易平台的电脑须满足环境要求（详见新版威海市国有企业阳光采购服务平台供应商用户手册https://ggzyjy.weihai.cn/bszn/005005/20260109/eb4ba418-4b35-4f05-aa69-44fd7d8a7ffb.html）。</w:t>
            </w:r>
          </w:p>
          <w:p w14:paraId="5BD63FB4">
            <w:pPr>
              <w:snapToGrid w:val="0"/>
              <w:spacing w:line="520" w:lineRule="exact"/>
              <w:ind w:right="-105" w:rightChars="-50"/>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5．投标人提交的电子投标文件应参照本招标文件《第五章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4556CDC2">
            <w:pPr>
              <w:snapToGrid w:val="0"/>
              <w:spacing w:line="520" w:lineRule="exact"/>
              <w:ind w:right="-105" w:rightChars="-50"/>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2E205E80">
            <w:pPr>
              <w:snapToGrid w:val="0"/>
              <w:spacing w:line="520" w:lineRule="exact"/>
              <w:ind w:right="-105" w:rightChars="-50"/>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7．投标人投标文件中的相关扫描件应保证清晰度，无法辨认的评审时受到影响的，由投标人承担相应责任。</w:t>
            </w:r>
          </w:p>
          <w:p w14:paraId="7178426B">
            <w:pPr>
              <w:snapToGrid w:val="0"/>
              <w:spacing w:line="520" w:lineRule="exact"/>
              <w:ind w:right="-105" w:rightChars="-50"/>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8．投标人应充分考虑到网上提交投标文件会发生的故障和风险。对发生的任何故障和风险造成投标人报价内容不一致或利益受损或投标失败的，招标人及招标代理机构不承担任何责任。</w:t>
            </w:r>
          </w:p>
        </w:tc>
      </w:tr>
      <w:tr w14:paraId="2BAAFC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60FE0E52">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9</w:t>
            </w:r>
          </w:p>
        </w:tc>
        <w:tc>
          <w:tcPr>
            <w:tcW w:w="2181" w:type="dxa"/>
            <w:tcBorders>
              <w:top w:val="single" w:color="auto" w:sz="4" w:space="0"/>
              <w:left w:val="single" w:color="auto" w:sz="4" w:space="0"/>
              <w:bottom w:val="single" w:color="auto" w:sz="4" w:space="0"/>
              <w:right w:val="single" w:color="auto" w:sz="4" w:space="0"/>
            </w:tcBorders>
            <w:vAlign w:val="center"/>
          </w:tcPr>
          <w:p w14:paraId="0D785462">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资质证明文件</w:t>
            </w:r>
          </w:p>
          <w:p w14:paraId="5C49D8FD">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原件</w:t>
            </w:r>
          </w:p>
        </w:tc>
        <w:tc>
          <w:tcPr>
            <w:tcW w:w="7169" w:type="dxa"/>
            <w:tcBorders>
              <w:top w:val="single" w:color="auto" w:sz="4" w:space="0"/>
              <w:left w:val="single" w:color="auto" w:sz="4" w:space="0"/>
              <w:bottom w:val="single" w:color="auto" w:sz="4" w:space="0"/>
            </w:tcBorders>
            <w:vAlign w:val="center"/>
          </w:tcPr>
          <w:p w14:paraId="18165441">
            <w:pPr>
              <w:snapToGrid w:val="0"/>
              <w:spacing w:line="520" w:lineRule="exact"/>
              <w:ind w:right="-105" w:rightChars="-50"/>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无需提供资质证明文件原件</w:t>
            </w:r>
          </w:p>
        </w:tc>
      </w:tr>
      <w:tr w14:paraId="54F1BC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599778DF">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10</w:t>
            </w:r>
          </w:p>
        </w:tc>
        <w:tc>
          <w:tcPr>
            <w:tcW w:w="2181" w:type="dxa"/>
            <w:tcBorders>
              <w:top w:val="single" w:color="auto" w:sz="4" w:space="0"/>
              <w:left w:val="single" w:color="auto" w:sz="4" w:space="0"/>
              <w:bottom w:val="single" w:color="auto" w:sz="4" w:space="0"/>
              <w:right w:val="single" w:color="auto" w:sz="4" w:space="0"/>
            </w:tcBorders>
            <w:vAlign w:val="center"/>
          </w:tcPr>
          <w:p w14:paraId="2304D8A8">
            <w:pPr>
              <w:snapToGrid w:val="0"/>
              <w:spacing w:line="520" w:lineRule="exac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投标</w:t>
            </w:r>
            <w:r>
              <w:rPr>
                <w:rFonts w:ascii="宋体" w:hAnsi="宋体" w:eastAsia="宋体" w:cs="仿宋"/>
                <w:color w:val="000000" w:themeColor="text1"/>
                <w:sz w:val="28"/>
                <w:szCs w:val="28"/>
                <w:highlight w:val="none"/>
                <w14:textFill>
                  <w14:solidFill>
                    <w14:schemeClr w14:val="tx1"/>
                  </w14:solidFill>
                </w14:textFill>
              </w:rPr>
              <w:t>文件份数</w:t>
            </w:r>
          </w:p>
        </w:tc>
        <w:tc>
          <w:tcPr>
            <w:tcW w:w="7169" w:type="dxa"/>
            <w:tcBorders>
              <w:top w:val="single" w:color="auto" w:sz="4" w:space="0"/>
              <w:left w:val="single" w:color="auto" w:sz="4" w:space="0"/>
              <w:bottom w:val="single" w:color="auto" w:sz="4" w:space="0"/>
            </w:tcBorders>
            <w:vAlign w:val="center"/>
          </w:tcPr>
          <w:p w14:paraId="0BF8701D">
            <w:pPr>
              <w:snapToGrid w:val="0"/>
              <w:spacing w:line="520" w:lineRule="exact"/>
              <w:ind w:right="-105" w:rightChars="-50"/>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网上按时提交电子投标文件1份</w:t>
            </w:r>
          </w:p>
        </w:tc>
      </w:tr>
      <w:tr w14:paraId="1375B0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58CC5080">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11</w:t>
            </w:r>
          </w:p>
        </w:tc>
        <w:tc>
          <w:tcPr>
            <w:tcW w:w="2181" w:type="dxa"/>
            <w:tcBorders>
              <w:top w:val="single" w:color="auto" w:sz="4" w:space="0"/>
              <w:left w:val="single" w:color="auto" w:sz="4" w:space="0"/>
              <w:bottom w:val="single" w:color="auto" w:sz="4" w:space="0"/>
              <w:right w:val="single" w:color="auto" w:sz="4" w:space="0"/>
            </w:tcBorders>
            <w:vAlign w:val="center"/>
          </w:tcPr>
          <w:p w14:paraId="31393603">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实物样品</w:t>
            </w:r>
          </w:p>
        </w:tc>
        <w:tc>
          <w:tcPr>
            <w:tcW w:w="7169" w:type="dxa"/>
            <w:tcBorders>
              <w:top w:val="single" w:color="auto" w:sz="4" w:space="0"/>
              <w:left w:val="single" w:color="auto" w:sz="4" w:space="0"/>
              <w:bottom w:val="single" w:color="auto" w:sz="4" w:space="0"/>
            </w:tcBorders>
            <w:vAlign w:val="center"/>
          </w:tcPr>
          <w:p w14:paraId="7AD9E010">
            <w:pPr>
              <w:snapToGrid w:val="0"/>
              <w:spacing w:line="520" w:lineRule="exact"/>
              <w:ind w:right="-105" w:rightChars="-50"/>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无</w:t>
            </w:r>
          </w:p>
        </w:tc>
      </w:tr>
      <w:tr w14:paraId="3EC5A6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250FBDAC">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12</w:t>
            </w:r>
          </w:p>
        </w:tc>
        <w:tc>
          <w:tcPr>
            <w:tcW w:w="2181" w:type="dxa"/>
            <w:tcBorders>
              <w:top w:val="single" w:color="auto" w:sz="4" w:space="0"/>
              <w:left w:val="single" w:color="auto" w:sz="4" w:space="0"/>
              <w:bottom w:val="single" w:color="auto" w:sz="4" w:space="0"/>
              <w:right w:val="single" w:color="auto" w:sz="4" w:space="0"/>
            </w:tcBorders>
            <w:vAlign w:val="center"/>
          </w:tcPr>
          <w:p w14:paraId="67EC34B7">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现场踏勘</w:t>
            </w:r>
          </w:p>
        </w:tc>
        <w:tc>
          <w:tcPr>
            <w:tcW w:w="7169" w:type="dxa"/>
            <w:tcBorders>
              <w:top w:val="single" w:color="auto" w:sz="4" w:space="0"/>
              <w:left w:val="single" w:color="auto" w:sz="4" w:space="0"/>
              <w:bottom w:val="single" w:color="auto" w:sz="4" w:space="0"/>
            </w:tcBorders>
            <w:vAlign w:val="center"/>
          </w:tcPr>
          <w:p w14:paraId="6BAF4A63">
            <w:pPr>
              <w:snapToGrid w:val="0"/>
              <w:spacing w:line="520" w:lineRule="exact"/>
              <w:ind w:right="-105" w:rightChars="-5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不组织</w:t>
            </w:r>
          </w:p>
        </w:tc>
      </w:tr>
      <w:tr w14:paraId="58E6D7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3F825A9C">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13</w:t>
            </w:r>
          </w:p>
        </w:tc>
        <w:tc>
          <w:tcPr>
            <w:tcW w:w="2181" w:type="dxa"/>
            <w:tcBorders>
              <w:top w:val="single" w:color="auto" w:sz="4" w:space="0"/>
              <w:left w:val="single" w:color="auto" w:sz="4" w:space="0"/>
              <w:bottom w:val="single" w:color="auto" w:sz="4" w:space="0"/>
              <w:right w:val="single" w:color="auto" w:sz="4" w:space="0"/>
            </w:tcBorders>
            <w:vAlign w:val="center"/>
          </w:tcPr>
          <w:p w14:paraId="06DAF5BB">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投标预备会</w:t>
            </w:r>
          </w:p>
        </w:tc>
        <w:tc>
          <w:tcPr>
            <w:tcW w:w="7169" w:type="dxa"/>
            <w:tcBorders>
              <w:top w:val="single" w:color="auto" w:sz="4" w:space="0"/>
              <w:left w:val="single" w:color="auto" w:sz="4" w:space="0"/>
              <w:bottom w:val="single" w:color="auto" w:sz="4" w:space="0"/>
            </w:tcBorders>
            <w:vAlign w:val="center"/>
          </w:tcPr>
          <w:p w14:paraId="1911BF5B">
            <w:pPr>
              <w:spacing w:line="520" w:lineRule="exact"/>
              <w:textAlignment w:val="top"/>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不召开</w:t>
            </w:r>
          </w:p>
        </w:tc>
      </w:tr>
      <w:tr w14:paraId="1E65E4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51" w:type="dxa"/>
            <w:tcBorders>
              <w:top w:val="single" w:color="auto" w:sz="4" w:space="0"/>
              <w:bottom w:val="single" w:color="auto" w:sz="4" w:space="0"/>
              <w:right w:val="single" w:color="auto" w:sz="4" w:space="0"/>
            </w:tcBorders>
            <w:vAlign w:val="center"/>
          </w:tcPr>
          <w:p w14:paraId="2ADDBB1A">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14</w:t>
            </w:r>
          </w:p>
        </w:tc>
        <w:tc>
          <w:tcPr>
            <w:tcW w:w="2181" w:type="dxa"/>
            <w:tcBorders>
              <w:top w:val="single" w:color="auto" w:sz="4" w:space="0"/>
              <w:left w:val="single" w:color="auto" w:sz="4" w:space="0"/>
              <w:bottom w:val="single" w:color="auto" w:sz="4" w:space="0"/>
              <w:right w:val="single" w:color="auto" w:sz="4" w:space="0"/>
            </w:tcBorders>
            <w:vAlign w:val="center"/>
          </w:tcPr>
          <w:p w14:paraId="175F9509">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投标有效期</w:t>
            </w:r>
          </w:p>
        </w:tc>
        <w:tc>
          <w:tcPr>
            <w:tcW w:w="7169" w:type="dxa"/>
            <w:tcBorders>
              <w:top w:val="single" w:color="auto" w:sz="4" w:space="0"/>
              <w:left w:val="single" w:color="auto" w:sz="4" w:space="0"/>
              <w:bottom w:val="single" w:color="auto" w:sz="4" w:space="0"/>
            </w:tcBorders>
            <w:vAlign w:val="center"/>
          </w:tcPr>
          <w:p w14:paraId="48E543C6">
            <w:pPr>
              <w:snapToGrid w:val="0"/>
              <w:spacing w:line="520" w:lineRule="exact"/>
              <w:ind w:right="-105" w:rightChars="-50"/>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开标之日起90天</w:t>
            </w:r>
          </w:p>
        </w:tc>
      </w:tr>
      <w:tr w14:paraId="0D7009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45EA16B2">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15</w:t>
            </w:r>
          </w:p>
        </w:tc>
        <w:tc>
          <w:tcPr>
            <w:tcW w:w="2181" w:type="dxa"/>
            <w:tcBorders>
              <w:top w:val="single" w:color="auto" w:sz="4" w:space="0"/>
              <w:left w:val="single" w:color="auto" w:sz="4" w:space="0"/>
              <w:bottom w:val="single" w:color="auto" w:sz="4" w:space="0"/>
              <w:right w:val="single" w:color="auto" w:sz="4" w:space="0"/>
            </w:tcBorders>
            <w:vAlign w:val="center"/>
          </w:tcPr>
          <w:p w14:paraId="407573F2">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投标文件</w:t>
            </w:r>
            <w:r>
              <w:rPr>
                <w:rFonts w:ascii="宋体" w:hAnsi="宋体" w:eastAsia="宋体" w:cs="仿宋"/>
                <w:color w:val="000000" w:themeColor="text1"/>
                <w:sz w:val="28"/>
                <w:szCs w:val="28"/>
                <w:highlight w:val="none"/>
                <w14:textFill>
                  <w14:solidFill>
                    <w14:schemeClr w14:val="tx1"/>
                  </w14:solidFill>
                </w14:textFill>
              </w:rPr>
              <w:t>提交时间</w:t>
            </w:r>
            <w:r>
              <w:rPr>
                <w:rFonts w:hint="eastAsia" w:ascii="宋体" w:hAnsi="宋体" w:eastAsia="宋体" w:cs="仿宋"/>
                <w:color w:val="000000" w:themeColor="text1"/>
                <w:sz w:val="28"/>
                <w:szCs w:val="28"/>
                <w:highlight w:val="none"/>
                <w14:textFill>
                  <w14:solidFill>
                    <w14:schemeClr w14:val="tx1"/>
                  </w14:solidFill>
                </w14:textFill>
              </w:rPr>
              <w:t>及地点</w:t>
            </w:r>
          </w:p>
        </w:tc>
        <w:tc>
          <w:tcPr>
            <w:tcW w:w="7169" w:type="dxa"/>
            <w:tcBorders>
              <w:top w:val="single" w:color="auto" w:sz="4" w:space="0"/>
              <w:left w:val="single" w:color="auto" w:sz="4" w:space="0"/>
              <w:bottom w:val="single" w:color="auto" w:sz="4" w:space="0"/>
            </w:tcBorders>
            <w:vAlign w:val="center"/>
          </w:tcPr>
          <w:p w14:paraId="65E14063">
            <w:pPr>
              <w:snapToGrid w:val="0"/>
              <w:spacing w:line="520" w:lineRule="exact"/>
              <w:ind w:right="-105" w:rightChars="-50"/>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电子投标文件提交时间：2026年</w:t>
            </w:r>
            <w:r>
              <w:rPr>
                <w:rFonts w:hint="eastAsia" w:ascii="宋体" w:hAnsi="宋体" w:eastAsia="宋体" w:cs="仿宋"/>
                <w:color w:val="000000" w:themeColor="text1"/>
                <w:sz w:val="28"/>
                <w:szCs w:val="28"/>
                <w:highlight w:val="none"/>
                <w:lang w:val="en-US" w:eastAsia="zh-CN"/>
                <w14:textFill>
                  <w14:solidFill>
                    <w14:schemeClr w14:val="tx1"/>
                  </w14:solidFill>
                </w14:textFill>
              </w:rPr>
              <w:t>5</w:t>
            </w:r>
            <w:r>
              <w:rPr>
                <w:rFonts w:hint="eastAsia" w:ascii="宋体" w:hAnsi="宋体" w:eastAsia="宋体" w:cs="仿宋"/>
                <w:color w:val="000000" w:themeColor="text1"/>
                <w:sz w:val="28"/>
                <w:szCs w:val="28"/>
                <w:highlight w:val="none"/>
                <w14:textFill>
                  <w14:solidFill>
                    <w14:schemeClr w14:val="tx1"/>
                  </w14:solidFill>
                </w14:textFill>
              </w:rPr>
              <w:t>月</w:t>
            </w:r>
            <w:r>
              <w:rPr>
                <w:rFonts w:hint="eastAsia" w:ascii="宋体" w:hAnsi="宋体" w:eastAsia="宋体" w:cs="仿宋"/>
                <w:color w:val="000000" w:themeColor="text1"/>
                <w:sz w:val="28"/>
                <w:szCs w:val="28"/>
                <w:highlight w:val="none"/>
                <w:lang w:val="en-US" w:eastAsia="zh-CN"/>
                <w14:textFill>
                  <w14:solidFill>
                    <w14:schemeClr w14:val="tx1"/>
                  </w14:solidFill>
                </w14:textFill>
              </w:rPr>
              <w:t>28</w:t>
            </w:r>
            <w:r>
              <w:rPr>
                <w:rFonts w:hint="eastAsia" w:ascii="宋体" w:hAnsi="宋体" w:eastAsia="宋体" w:cs="仿宋"/>
                <w:color w:val="000000" w:themeColor="text1"/>
                <w:sz w:val="28"/>
                <w:szCs w:val="28"/>
                <w:highlight w:val="none"/>
                <w14:textFill>
                  <w14:solidFill>
                    <w14:schemeClr w14:val="tx1"/>
                  </w14:solidFill>
                </w14:textFill>
              </w:rPr>
              <w:t>日18时30分至2026年</w:t>
            </w:r>
            <w:r>
              <w:rPr>
                <w:rFonts w:hint="eastAsia" w:ascii="宋体" w:hAnsi="宋体" w:eastAsia="宋体" w:cs="仿宋"/>
                <w:color w:val="000000" w:themeColor="text1"/>
                <w:sz w:val="28"/>
                <w:szCs w:val="28"/>
                <w:highlight w:val="none"/>
                <w:lang w:val="en-US" w:eastAsia="zh-CN"/>
                <w14:textFill>
                  <w14:solidFill>
                    <w14:schemeClr w14:val="tx1"/>
                  </w14:solidFill>
                </w14:textFill>
              </w:rPr>
              <w:t>6</w:t>
            </w:r>
            <w:r>
              <w:rPr>
                <w:rFonts w:hint="eastAsia" w:ascii="宋体" w:hAnsi="宋体" w:eastAsia="宋体" w:cs="仿宋"/>
                <w:color w:val="000000" w:themeColor="text1"/>
                <w:sz w:val="28"/>
                <w:szCs w:val="28"/>
                <w:highlight w:val="none"/>
                <w14:textFill>
                  <w14:solidFill>
                    <w14:schemeClr w14:val="tx1"/>
                  </w14:solidFill>
                </w14:textFill>
              </w:rPr>
              <w:t>月</w:t>
            </w:r>
            <w:r>
              <w:rPr>
                <w:rFonts w:hint="eastAsia" w:ascii="宋体" w:hAnsi="宋体" w:eastAsia="宋体" w:cs="仿宋"/>
                <w:color w:val="000000" w:themeColor="text1"/>
                <w:sz w:val="28"/>
                <w:szCs w:val="28"/>
                <w:highlight w:val="none"/>
                <w:lang w:val="en-US" w:eastAsia="zh-CN"/>
                <w14:textFill>
                  <w14:solidFill>
                    <w14:schemeClr w14:val="tx1"/>
                  </w14:solidFill>
                </w14:textFill>
              </w:rPr>
              <w:t>16</w:t>
            </w:r>
            <w:r>
              <w:rPr>
                <w:rFonts w:hint="eastAsia" w:ascii="宋体" w:hAnsi="宋体" w:eastAsia="宋体" w:cs="仿宋"/>
                <w:color w:val="000000" w:themeColor="text1"/>
                <w:sz w:val="28"/>
                <w:szCs w:val="28"/>
                <w:highlight w:val="none"/>
                <w14:textFill>
                  <w14:solidFill>
                    <w14:schemeClr w14:val="tx1"/>
                  </w14:solidFill>
                </w14:textFill>
              </w:rPr>
              <w:t>日</w:t>
            </w:r>
            <w:r>
              <w:rPr>
                <w:rFonts w:hint="eastAsia" w:ascii="宋体" w:hAnsi="宋体" w:eastAsia="宋体" w:cs="仿宋"/>
                <w:color w:val="000000" w:themeColor="text1"/>
                <w:sz w:val="28"/>
                <w:szCs w:val="28"/>
                <w:highlight w:val="none"/>
                <w:lang w:val="en-US" w:eastAsia="zh-CN"/>
                <w14:textFill>
                  <w14:solidFill>
                    <w14:schemeClr w14:val="tx1"/>
                  </w14:solidFill>
                </w14:textFill>
              </w:rPr>
              <w:t>9</w:t>
            </w:r>
            <w:r>
              <w:rPr>
                <w:rFonts w:hint="eastAsia" w:ascii="宋体" w:hAnsi="宋体" w:eastAsia="宋体" w:cs="仿宋"/>
                <w:color w:val="000000" w:themeColor="text1"/>
                <w:sz w:val="28"/>
                <w:szCs w:val="28"/>
                <w:highlight w:val="none"/>
                <w14:textFill>
                  <w14:solidFill>
                    <w14:schemeClr w14:val="tx1"/>
                  </w14:solidFill>
                </w14:textFill>
              </w:rPr>
              <w:t>时00分（以国企阳光采购平台具体显示时间为准）提交网址：https://www.whgqcg.cn/login?redirect=%2Findex</w:t>
            </w:r>
          </w:p>
        </w:tc>
      </w:tr>
      <w:tr w14:paraId="5597BC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51" w:type="dxa"/>
            <w:tcBorders>
              <w:top w:val="single" w:color="auto" w:sz="4" w:space="0"/>
              <w:bottom w:val="single" w:color="auto" w:sz="4" w:space="0"/>
              <w:right w:val="single" w:color="auto" w:sz="4" w:space="0"/>
            </w:tcBorders>
            <w:vAlign w:val="center"/>
          </w:tcPr>
          <w:p w14:paraId="1E37D681">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16</w:t>
            </w:r>
          </w:p>
        </w:tc>
        <w:tc>
          <w:tcPr>
            <w:tcW w:w="2181" w:type="dxa"/>
            <w:tcBorders>
              <w:top w:val="single" w:color="auto" w:sz="4" w:space="0"/>
              <w:left w:val="single" w:color="auto" w:sz="4" w:space="0"/>
              <w:bottom w:val="single" w:color="auto" w:sz="4" w:space="0"/>
              <w:right w:val="single" w:color="auto" w:sz="4" w:space="0"/>
            </w:tcBorders>
            <w:vAlign w:val="center"/>
          </w:tcPr>
          <w:p w14:paraId="5F2CDD91">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开标</w:t>
            </w:r>
            <w:r>
              <w:rPr>
                <w:rFonts w:ascii="宋体" w:hAnsi="宋体" w:eastAsia="宋体" w:cs="仿宋"/>
                <w:color w:val="000000" w:themeColor="text1"/>
                <w:sz w:val="28"/>
                <w:szCs w:val="28"/>
                <w:highlight w:val="none"/>
                <w14:textFill>
                  <w14:solidFill>
                    <w14:schemeClr w14:val="tx1"/>
                  </w14:solidFill>
                </w14:textFill>
              </w:rPr>
              <w:t>时间</w:t>
            </w:r>
          </w:p>
        </w:tc>
        <w:tc>
          <w:tcPr>
            <w:tcW w:w="7169" w:type="dxa"/>
            <w:tcBorders>
              <w:top w:val="single" w:color="auto" w:sz="4" w:space="0"/>
              <w:left w:val="single" w:color="auto" w:sz="4" w:space="0"/>
              <w:bottom w:val="single" w:color="auto" w:sz="4" w:space="0"/>
            </w:tcBorders>
            <w:vAlign w:val="center"/>
          </w:tcPr>
          <w:p w14:paraId="573CE12F">
            <w:pPr>
              <w:snapToGrid w:val="0"/>
              <w:spacing w:line="520" w:lineRule="exact"/>
              <w:ind w:right="-105" w:rightChars="-50"/>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2026年</w:t>
            </w:r>
            <w:r>
              <w:rPr>
                <w:rFonts w:hint="eastAsia" w:ascii="宋体" w:hAnsi="宋体" w:eastAsia="宋体" w:cs="仿宋"/>
                <w:color w:val="000000" w:themeColor="text1"/>
                <w:sz w:val="28"/>
                <w:szCs w:val="28"/>
                <w:highlight w:val="none"/>
                <w:lang w:val="en-US" w:eastAsia="zh-CN"/>
                <w14:textFill>
                  <w14:solidFill>
                    <w14:schemeClr w14:val="tx1"/>
                  </w14:solidFill>
                </w14:textFill>
              </w:rPr>
              <w:t>6</w:t>
            </w:r>
            <w:r>
              <w:rPr>
                <w:rFonts w:hint="eastAsia" w:ascii="宋体" w:hAnsi="宋体" w:eastAsia="宋体" w:cs="仿宋"/>
                <w:color w:val="000000" w:themeColor="text1"/>
                <w:sz w:val="28"/>
                <w:szCs w:val="28"/>
                <w:highlight w:val="none"/>
                <w14:textFill>
                  <w14:solidFill>
                    <w14:schemeClr w14:val="tx1"/>
                  </w14:solidFill>
                </w14:textFill>
              </w:rPr>
              <w:t>月</w:t>
            </w:r>
            <w:r>
              <w:rPr>
                <w:rFonts w:hint="eastAsia" w:ascii="宋体" w:hAnsi="宋体" w:eastAsia="宋体" w:cs="仿宋"/>
                <w:color w:val="000000" w:themeColor="text1"/>
                <w:sz w:val="28"/>
                <w:szCs w:val="28"/>
                <w:highlight w:val="none"/>
                <w:lang w:val="en-US" w:eastAsia="zh-CN"/>
                <w14:textFill>
                  <w14:solidFill>
                    <w14:schemeClr w14:val="tx1"/>
                  </w14:solidFill>
                </w14:textFill>
              </w:rPr>
              <w:t>16</w:t>
            </w:r>
            <w:r>
              <w:rPr>
                <w:rFonts w:hint="eastAsia" w:ascii="宋体" w:hAnsi="宋体" w:eastAsia="宋体" w:cs="仿宋"/>
                <w:color w:val="000000" w:themeColor="text1"/>
                <w:sz w:val="28"/>
                <w:szCs w:val="28"/>
                <w:highlight w:val="none"/>
                <w14:textFill>
                  <w14:solidFill>
                    <w14:schemeClr w14:val="tx1"/>
                  </w14:solidFill>
                </w14:textFill>
              </w:rPr>
              <w:t>日</w:t>
            </w:r>
            <w:r>
              <w:rPr>
                <w:rFonts w:hint="eastAsia" w:ascii="宋体" w:hAnsi="宋体" w:eastAsia="宋体" w:cs="仿宋"/>
                <w:color w:val="000000" w:themeColor="text1"/>
                <w:sz w:val="28"/>
                <w:szCs w:val="28"/>
                <w:highlight w:val="none"/>
                <w:lang w:val="en-US" w:eastAsia="zh-CN"/>
                <w14:textFill>
                  <w14:solidFill>
                    <w14:schemeClr w14:val="tx1"/>
                  </w14:solidFill>
                </w14:textFill>
              </w:rPr>
              <w:t>9</w:t>
            </w:r>
            <w:r>
              <w:rPr>
                <w:rFonts w:hint="eastAsia" w:ascii="宋体" w:hAnsi="宋体" w:eastAsia="宋体" w:cs="仿宋"/>
                <w:color w:val="000000" w:themeColor="text1"/>
                <w:sz w:val="28"/>
                <w:szCs w:val="28"/>
                <w:highlight w:val="none"/>
                <w14:textFill>
                  <w14:solidFill>
                    <w14:schemeClr w14:val="tx1"/>
                  </w14:solidFill>
                </w14:textFill>
              </w:rPr>
              <w:t>时00分</w:t>
            </w:r>
          </w:p>
        </w:tc>
      </w:tr>
      <w:tr w14:paraId="42ACC6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391F3228">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17</w:t>
            </w:r>
          </w:p>
        </w:tc>
        <w:tc>
          <w:tcPr>
            <w:tcW w:w="2181" w:type="dxa"/>
            <w:tcBorders>
              <w:top w:val="single" w:color="auto" w:sz="4" w:space="0"/>
              <w:left w:val="single" w:color="auto" w:sz="4" w:space="0"/>
              <w:bottom w:val="single" w:color="auto" w:sz="4" w:space="0"/>
              <w:right w:val="single" w:color="auto" w:sz="4" w:space="0"/>
            </w:tcBorders>
            <w:vAlign w:val="center"/>
          </w:tcPr>
          <w:p w14:paraId="7CD4091C">
            <w:pPr>
              <w:snapToGrid w:val="0"/>
              <w:spacing w:line="520" w:lineRule="exact"/>
              <w:ind w:right="-105" w:rightChars="-50"/>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开标</w:t>
            </w:r>
            <w:r>
              <w:rPr>
                <w:rFonts w:ascii="宋体" w:hAnsi="宋体" w:eastAsia="宋体" w:cs="仿宋"/>
                <w:color w:val="000000" w:themeColor="text1"/>
                <w:sz w:val="28"/>
                <w:szCs w:val="28"/>
                <w:highlight w:val="none"/>
                <w14:textFill>
                  <w14:solidFill>
                    <w14:schemeClr w14:val="tx1"/>
                  </w14:solidFill>
                </w14:textFill>
              </w:rPr>
              <w:t>地点</w:t>
            </w:r>
          </w:p>
        </w:tc>
        <w:tc>
          <w:tcPr>
            <w:tcW w:w="7169" w:type="dxa"/>
            <w:tcBorders>
              <w:top w:val="single" w:color="auto" w:sz="4" w:space="0"/>
              <w:left w:val="single" w:color="auto" w:sz="4" w:space="0"/>
              <w:bottom w:val="single" w:color="auto" w:sz="4" w:space="0"/>
            </w:tcBorders>
            <w:vAlign w:val="center"/>
          </w:tcPr>
          <w:p w14:paraId="6D6E7C8B">
            <w:pPr>
              <w:snapToGrid w:val="0"/>
              <w:spacing w:line="520" w:lineRule="exact"/>
              <w:ind w:right="-105" w:rightChars="-50"/>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详见“第一章 招标公告”</w:t>
            </w:r>
          </w:p>
        </w:tc>
      </w:tr>
      <w:tr w14:paraId="566D11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794CB1C7">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18</w:t>
            </w:r>
          </w:p>
        </w:tc>
        <w:tc>
          <w:tcPr>
            <w:tcW w:w="2181" w:type="dxa"/>
            <w:tcBorders>
              <w:top w:val="single" w:color="auto" w:sz="4" w:space="0"/>
              <w:left w:val="single" w:color="auto" w:sz="4" w:space="0"/>
              <w:bottom w:val="single" w:color="auto" w:sz="4" w:space="0"/>
              <w:right w:val="single" w:color="auto" w:sz="4" w:space="0"/>
            </w:tcBorders>
            <w:vAlign w:val="center"/>
          </w:tcPr>
          <w:p w14:paraId="0E4D0E57">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开标方式</w:t>
            </w:r>
          </w:p>
        </w:tc>
        <w:tc>
          <w:tcPr>
            <w:tcW w:w="7169" w:type="dxa"/>
            <w:tcBorders>
              <w:top w:val="single" w:color="auto" w:sz="4" w:space="0"/>
              <w:left w:val="single" w:color="auto" w:sz="4" w:space="0"/>
              <w:bottom w:val="single" w:color="auto" w:sz="4" w:space="0"/>
            </w:tcBorders>
            <w:vAlign w:val="center"/>
          </w:tcPr>
          <w:p w14:paraId="3D2BDA93">
            <w:pPr>
              <w:snapToGrid w:val="0"/>
              <w:spacing w:line="520" w:lineRule="exact"/>
              <w:ind w:right="-105" w:rightChars="-50"/>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投标人无需</w:t>
            </w:r>
            <w:r>
              <w:rPr>
                <w:rFonts w:ascii="宋体" w:hAnsi="宋体" w:eastAsia="宋体" w:cs="仿宋"/>
                <w:color w:val="000000" w:themeColor="text1"/>
                <w:sz w:val="28"/>
                <w:szCs w:val="28"/>
                <w:highlight w:val="none"/>
                <w14:textFill>
                  <w14:solidFill>
                    <w14:schemeClr w14:val="tx1"/>
                  </w14:solidFill>
                </w14:textFill>
              </w:rPr>
              <w:t>到现场参与开标，但</w:t>
            </w:r>
            <w:r>
              <w:rPr>
                <w:rFonts w:hint="eastAsia" w:ascii="宋体" w:hAnsi="宋体" w:eastAsia="宋体" w:cs="仿宋"/>
                <w:color w:val="000000" w:themeColor="text1"/>
                <w:sz w:val="28"/>
                <w:szCs w:val="28"/>
                <w:highlight w:val="none"/>
                <w14:textFill>
                  <w14:solidFill>
                    <w14:schemeClr w14:val="tx1"/>
                  </w14:solidFill>
                </w14:textFill>
              </w:rPr>
              <w:t>开、评标</w:t>
            </w:r>
            <w:r>
              <w:rPr>
                <w:rFonts w:ascii="宋体" w:hAnsi="宋体" w:eastAsia="宋体" w:cs="仿宋"/>
                <w:color w:val="000000" w:themeColor="text1"/>
                <w:sz w:val="28"/>
                <w:szCs w:val="28"/>
                <w:highlight w:val="none"/>
                <w14:textFill>
                  <w14:solidFill>
                    <w14:schemeClr w14:val="tx1"/>
                  </w14:solidFill>
                </w14:textFill>
              </w:rPr>
              <w:t>期间需实时关注交易系统相关通知，且被授权人的联络方式应保持畅通</w:t>
            </w:r>
            <w:r>
              <w:rPr>
                <w:rFonts w:hint="eastAsia" w:ascii="宋体" w:hAnsi="宋体" w:eastAsia="宋体" w:cs="仿宋"/>
                <w:color w:val="000000" w:themeColor="text1"/>
                <w:sz w:val="28"/>
                <w:szCs w:val="28"/>
                <w:highlight w:val="none"/>
                <w14:textFill>
                  <w14:solidFill>
                    <w14:schemeClr w14:val="tx1"/>
                  </w14:solidFill>
                </w14:textFill>
              </w:rPr>
              <w:t>。</w:t>
            </w:r>
          </w:p>
        </w:tc>
      </w:tr>
      <w:tr w14:paraId="3A9FC4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3140266E">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19</w:t>
            </w:r>
          </w:p>
        </w:tc>
        <w:tc>
          <w:tcPr>
            <w:tcW w:w="2181" w:type="dxa"/>
            <w:tcBorders>
              <w:top w:val="single" w:color="auto" w:sz="4" w:space="0"/>
              <w:left w:val="single" w:color="auto" w:sz="4" w:space="0"/>
              <w:bottom w:val="single" w:color="auto" w:sz="4" w:space="0"/>
              <w:right w:val="single" w:color="auto" w:sz="4" w:space="0"/>
            </w:tcBorders>
            <w:vAlign w:val="center"/>
          </w:tcPr>
          <w:p w14:paraId="050F174A">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开标程序</w:t>
            </w:r>
          </w:p>
        </w:tc>
        <w:tc>
          <w:tcPr>
            <w:tcW w:w="7169" w:type="dxa"/>
            <w:tcBorders>
              <w:top w:val="single" w:color="auto" w:sz="4" w:space="0"/>
              <w:left w:val="single" w:color="auto" w:sz="4" w:space="0"/>
              <w:bottom w:val="single" w:color="auto" w:sz="4" w:space="0"/>
            </w:tcBorders>
            <w:vAlign w:val="center"/>
          </w:tcPr>
          <w:p w14:paraId="2EFD36BE">
            <w:pPr>
              <w:snapToGrid w:val="0"/>
              <w:spacing w:line="520" w:lineRule="exact"/>
              <w:ind w:right="-105" w:rightChars="-50"/>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签到时间：递交投标文件截止时间前完成</w:t>
            </w:r>
          </w:p>
          <w:p w14:paraId="4329EE17">
            <w:pPr>
              <w:snapToGrid w:val="0"/>
              <w:spacing w:line="520" w:lineRule="exact"/>
              <w:ind w:right="-105" w:rightChars="-50"/>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解密时间：开始解密后15分钟内完成</w:t>
            </w:r>
          </w:p>
        </w:tc>
      </w:tr>
      <w:tr w14:paraId="34809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51" w:type="dxa"/>
            <w:tcBorders>
              <w:top w:val="single" w:color="auto" w:sz="4" w:space="0"/>
              <w:bottom w:val="single" w:color="auto" w:sz="4" w:space="0"/>
              <w:right w:val="single" w:color="auto" w:sz="4" w:space="0"/>
            </w:tcBorders>
            <w:vAlign w:val="center"/>
          </w:tcPr>
          <w:p w14:paraId="1E4B8571">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20</w:t>
            </w:r>
          </w:p>
        </w:tc>
        <w:tc>
          <w:tcPr>
            <w:tcW w:w="2181" w:type="dxa"/>
            <w:tcBorders>
              <w:top w:val="single" w:color="auto" w:sz="4" w:space="0"/>
              <w:left w:val="single" w:color="auto" w:sz="4" w:space="0"/>
              <w:bottom w:val="single" w:color="auto" w:sz="4" w:space="0"/>
              <w:right w:val="single" w:color="auto" w:sz="4" w:space="0"/>
            </w:tcBorders>
            <w:vAlign w:val="center"/>
          </w:tcPr>
          <w:p w14:paraId="524B006A">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资格审查方式</w:t>
            </w:r>
          </w:p>
        </w:tc>
        <w:tc>
          <w:tcPr>
            <w:tcW w:w="7169" w:type="dxa"/>
            <w:tcBorders>
              <w:top w:val="single" w:color="auto" w:sz="4" w:space="0"/>
              <w:left w:val="single" w:color="auto" w:sz="4" w:space="0"/>
              <w:bottom w:val="single" w:color="auto" w:sz="4" w:space="0"/>
            </w:tcBorders>
            <w:vAlign w:val="center"/>
          </w:tcPr>
          <w:p w14:paraId="225BBD79">
            <w:pPr>
              <w:snapToGrid w:val="0"/>
              <w:spacing w:line="520" w:lineRule="exact"/>
              <w:ind w:right="-105" w:rightChars="-50"/>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资格后审</w:t>
            </w:r>
          </w:p>
        </w:tc>
      </w:tr>
      <w:tr w14:paraId="66169A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851" w:type="dxa"/>
            <w:tcBorders>
              <w:top w:val="single" w:color="auto" w:sz="4" w:space="0"/>
              <w:bottom w:val="single" w:color="auto" w:sz="4" w:space="0"/>
              <w:right w:val="single" w:color="auto" w:sz="4" w:space="0"/>
            </w:tcBorders>
            <w:vAlign w:val="center"/>
          </w:tcPr>
          <w:p w14:paraId="4370581D">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21</w:t>
            </w:r>
          </w:p>
        </w:tc>
        <w:tc>
          <w:tcPr>
            <w:tcW w:w="2181" w:type="dxa"/>
            <w:tcBorders>
              <w:top w:val="single" w:color="auto" w:sz="4" w:space="0"/>
              <w:left w:val="single" w:color="auto" w:sz="4" w:space="0"/>
              <w:bottom w:val="single" w:color="auto" w:sz="4" w:space="0"/>
              <w:right w:val="single" w:color="auto" w:sz="4" w:space="0"/>
            </w:tcBorders>
            <w:vAlign w:val="center"/>
          </w:tcPr>
          <w:p w14:paraId="47F12461">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评审</w:t>
            </w:r>
            <w:r>
              <w:rPr>
                <w:rFonts w:ascii="宋体" w:hAnsi="宋体" w:eastAsia="宋体" w:cs="仿宋"/>
                <w:color w:val="000000" w:themeColor="text1"/>
                <w:sz w:val="28"/>
                <w:szCs w:val="28"/>
                <w:highlight w:val="none"/>
                <w14:textFill>
                  <w14:solidFill>
                    <w14:schemeClr w14:val="tx1"/>
                  </w14:solidFill>
                </w14:textFill>
              </w:rPr>
              <w:t>办法</w:t>
            </w:r>
          </w:p>
        </w:tc>
        <w:tc>
          <w:tcPr>
            <w:tcW w:w="7169" w:type="dxa"/>
            <w:tcBorders>
              <w:top w:val="single" w:color="auto" w:sz="4" w:space="0"/>
              <w:left w:val="single" w:color="auto" w:sz="4" w:space="0"/>
              <w:bottom w:val="single" w:color="auto" w:sz="4" w:space="0"/>
            </w:tcBorders>
            <w:vAlign w:val="center"/>
          </w:tcPr>
          <w:p w14:paraId="090D80E6">
            <w:pPr>
              <w:snapToGrid w:val="0"/>
              <w:spacing w:line="52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综合评分法</w:t>
            </w:r>
          </w:p>
        </w:tc>
      </w:tr>
      <w:tr w14:paraId="32321F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0C44FF42">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22</w:t>
            </w:r>
          </w:p>
        </w:tc>
        <w:tc>
          <w:tcPr>
            <w:tcW w:w="2181" w:type="dxa"/>
            <w:tcBorders>
              <w:top w:val="single" w:color="auto" w:sz="4" w:space="0"/>
              <w:left w:val="single" w:color="auto" w:sz="4" w:space="0"/>
              <w:bottom w:val="single" w:color="auto" w:sz="4" w:space="0"/>
              <w:right w:val="single" w:color="auto" w:sz="4" w:space="0"/>
            </w:tcBorders>
            <w:vAlign w:val="center"/>
          </w:tcPr>
          <w:p w14:paraId="4E01398D">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联合体报价</w:t>
            </w:r>
          </w:p>
        </w:tc>
        <w:tc>
          <w:tcPr>
            <w:tcW w:w="7169" w:type="dxa"/>
            <w:tcBorders>
              <w:top w:val="single" w:color="auto" w:sz="4" w:space="0"/>
              <w:left w:val="single" w:color="auto" w:sz="4" w:space="0"/>
              <w:bottom w:val="single" w:color="auto" w:sz="4" w:space="0"/>
            </w:tcBorders>
            <w:vAlign w:val="center"/>
          </w:tcPr>
          <w:p w14:paraId="2009C75E">
            <w:pPr>
              <w:snapToGrid w:val="0"/>
              <w:spacing w:line="52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不允许</w:t>
            </w:r>
          </w:p>
        </w:tc>
      </w:tr>
      <w:tr w14:paraId="52BAFB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47E63D6F">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23</w:t>
            </w:r>
          </w:p>
        </w:tc>
        <w:tc>
          <w:tcPr>
            <w:tcW w:w="2181" w:type="dxa"/>
            <w:tcBorders>
              <w:top w:val="single" w:color="auto" w:sz="4" w:space="0"/>
              <w:left w:val="single" w:color="auto" w:sz="4" w:space="0"/>
              <w:bottom w:val="single" w:color="auto" w:sz="4" w:space="0"/>
              <w:right w:val="single" w:color="auto" w:sz="4" w:space="0"/>
            </w:tcBorders>
            <w:vAlign w:val="center"/>
          </w:tcPr>
          <w:p w14:paraId="66CF9AF9">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分（转）包</w:t>
            </w:r>
          </w:p>
        </w:tc>
        <w:tc>
          <w:tcPr>
            <w:tcW w:w="7169" w:type="dxa"/>
            <w:tcBorders>
              <w:top w:val="single" w:color="auto" w:sz="4" w:space="0"/>
              <w:left w:val="single" w:color="auto" w:sz="4" w:space="0"/>
              <w:bottom w:val="single" w:color="auto" w:sz="4" w:space="0"/>
            </w:tcBorders>
            <w:vAlign w:val="center"/>
          </w:tcPr>
          <w:p w14:paraId="45791F85">
            <w:pPr>
              <w:snapToGrid w:val="0"/>
              <w:spacing w:line="52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不允许</w:t>
            </w:r>
          </w:p>
        </w:tc>
      </w:tr>
      <w:tr w14:paraId="4BC679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6A57A9D8">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24</w:t>
            </w:r>
          </w:p>
        </w:tc>
        <w:tc>
          <w:tcPr>
            <w:tcW w:w="2181" w:type="dxa"/>
            <w:tcBorders>
              <w:top w:val="single" w:color="auto" w:sz="4" w:space="0"/>
              <w:left w:val="single" w:color="auto" w:sz="4" w:space="0"/>
              <w:bottom w:val="single" w:color="auto" w:sz="4" w:space="0"/>
              <w:right w:val="single" w:color="auto" w:sz="4" w:space="0"/>
            </w:tcBorders>
            <w:vAlign w:val="center"/>
          </w:tcPr>
          <w:p w14:paraId="401BA1CE">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投标</w:t>
            </w:r>
            <w:r>
              <w:rPr>
                <w:rFonts w:ascii="宋体" w:hAnsi="宋体" w:eastAsia="宋体" w:cs="仿宋"/>
                <w:color w:val="000000" w:themeColor="text1"/>
                <w:sz w:val="28"/>
                <w:szCs w:val="28"/>
                <w:highlight w:val="none"/>
                <w14:textFill>
                  <w14:solidFill>
                    <w14:schemeClr w14:val="tx1"/>
                  </w14:solidFill>
                </w14:textFill>
              </w:rPr>
              <w:t>保证金</w:t>
            </w:r>
          </w:p>
        </w:tc>
        <w:tc>
          <w:tcPr>
            <w:tcW w:w="7169" w:type="dxa"/>
            <w:tcBorders>
              <w:top w:val="single" w:color="auto" w:sz="4" w:space="0"/>
              <w:left w:val="single" w:color="auto" w:sz="4" w:space="0"/>
              <w:bottom w:val="single" w:color="auto" w:sz="4" w:space="0"/>
            </w:tcBorders>
            <w:vAlign w:val="center"/>
          </w:tcPr>
          <w:p w14:paraId="7F1B299C">
            <w:pPr>
              <w:snapToGrid w:val="0"/>
              <w:spacing w:line="520" w:lineRule="exact"/>
              <w:jc w:val="left"/>
              <w:rPr>
                <w:rFonts w:hint="eastAsia" w:ascii="宋体" w:hAnsi="宋体" w:eastAsia="宋体" w:cs="仿宋"/>
                <w:color w:val="000000" w:themeColor="text1"/>
                <w:sz w:val="28"/>
                <w:szCs w:val="28"/>
                <w:highlight w:val="none"/>
                <w14:textFill>
                  <w14:solidFill>
                    <w14:schemeClr w14:val="tx1"/>
                  </w14:solidFill>
                </w14:textFill>
              </w:rPr>
            </w:pPr>
            <w:bookmarkStart w:id="17" w:name="_Hlk58068062"/>
            <w:r>
              <w:rPr>
                <w:rFonts w:hint="eastAsia" w:ascii="宋体" w:hAnsi="宋体" w:eastAsia="宋体" w:cs="仿宋"/>
                <w:color w:val="000000" w:themeColor="text1"/>
                <w:sz w:val="28"/>
                <w:szCs w:val="28"/>
                <w:highlight w:val="none"/>
                <w14:textFill>
                  <w14:solidFill>
                    <w14:schemeClr w14:val="tx1"/>
                  </w14:solidFill>
                </w14:textFill>
              </w:rPr>
              <w:t>1.</w:t>
            </w:r>
            <w:bookmarkStart w:id="18" w:name="_Hlk191971653"/>
            <w:r>
              <w:rPr>
                <w:rFonts w:hint="eastAsia" w:ascii="宋体" w:hAnsi="宋体" w:eastAsia="宋体" w:cs="仿宋"/>
                <w:color w:val="000000" w:themeColor="text1"/>
                <w:sz w:val="28"/>
                <w:szCs w:val="28"/>
                <w:highlight w:val="none"/>
                <w14:textFill>
                  <w14:solidFill>
                    <w14:schemeClr w14:val="tx1"/>
                  </w14:solidFill>
                </w14:textFill>
              </w:rPr>
              <w:t>本项目投标</w:t>
            </w:r>
            <w:r>
              <w:rPr>
                <w:rFonts w:ascii="宋体" w:hAnsi="宋体" w:eastAsia="宋体" w:cs="仿宋"/>
                <w:color w:val="000000" w:themeColor="text1"/>
                <w:sz w:val="28"/>
                <w:szCs w:val="28"/>
                <w:highlight w:val="none"/>
                <w14:textFill>
                  <w14:solidFill>
                    <w14:schemeClr w14:val="tx1"/>
                  </w14:solidFill>
                </w14:textFill>
              </w:rPr>
              <w:t>保证金</w:t>
            </w:r>
            <w:r>
              <w:rPr>
                <w:rFonts w:hint="eastAsia" w:ascii="宋体" w:hAnsi="宋体" w:eastAsia="宋体" w:cs="仿宋"/>
                <w:color w:val="000000" w:themeColor="text1"/>
                <w:sz w:val="28"/>
                <w:szCs w:val="28"/>
                <w:highlight w:val="none"/>
                <w14:textFill>
                  <w14:solidFill>
                    <w14:schemeClr w14:val="tx1"/>
                  </w14:solidFill>
                </w14:textFill>
              </w:rPr>
              <w:t>：人民币壹万元整。</w:t>
            </w:r>
          </w:p>
          <w:bookmarkEnd w:id="18"/>
          <w:p w14:paraId="50183457">
            <w:pPr>
              <w:snapToGrid w:val="0"/>
              <w:spacing w:line="52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w:t>
            </w:r>
            <w:bookmarkStart w:id="19" w:name="_Hlk191971666"/>
            <w:r>
              <w:rPr>
                <w:rFonts w:hint="eastAsia" w:ascii="宋体" w:hAnsi="宋体" w:eastAsia="宋体" w:cs="仿宋"/>
                <w:color w:val="000000" w:themeColor="text1"/>
                <w:sz w:val="28"/>
                <w:szCs w:val="28"/>
                <w:highlight w:val="none"/>
                <w14:textFill>
                  <w14:solidFill>
                    <w14:schemeClr w14:val="tx1"/>
                  </w14:solidFill>
                </w14:textFill>
              </w:rPr>
              <w:t>交纳截止时间：同电子投标文件提交截止时间。</w:t>
            </w:r>
            <w:bookmarkEnd w:id="19"/>
          </w:p>
          <w:p w14:paraId="4B9CD262">
            <w:pPr>
              <w:snapToGrid w:val="0"/>
              <w:spacing w:line="520" w:lineRule="exact"/>
              <w:jc w:val="left"/>
              <w:rPr>
                <w:rFonts w:hint="eastAsia" w:ascii="宋体" w:hAnsi="宋体" w:eastAsia="宋体" w:cs="仿宋"/>
                <w:b/>
                <w:bCs/>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3.投标保证金的交纳单位必须与投标人名称一致，投标保证金须从其基本账户转出，否则其投标无效。</w:t>
            </w:r>
          </w:p>
          <w:p w14:paraId="5A3FDF34">
            <w:pPr>
              <w:snapToGrid w:val="0"/>
              <w:spacing w:line="520" w:lineRule="exact"/>
              <w:jc w:val="left"/>
              <w:rPr>
                <w:rFonts w:hint="eastAsia" w:ascii="宋体" w:hAnsi="宋体" w:eastAsia="宋体" w:cs="仿宋"/>
                <w:b/>
                <w:bCs/>
                <w:color w:val="000000" w:themeColor="text1"/>
                <w:sz w:val="28"/>
                <w:szCs w:val="28"/>
                <w:highlight w:val="none"/>
                <w14:textFill>
                  <w14:solidFill>
                    <w14:schemeClr w14:val="tx1"/>
                  </w14:solidFill>
                </w14:textFill>
              </w:rPr>
            </w:pPr>
            <w:r>
              <w:rPr>
                <w:rFonts w:hint="eastAsia" w:ascii="宋体" w:hAnsi="宋体" w:eastAsia="宋体" w:cs="仿宋"/>
                <w:b/>
                <w:bCs/>
                <w:color w:val="000000" w:themeColor="text1"/>
                <w:sz w:val="28"/>
                <w:szCs w:val="28"/>
                <w:highlight w:val="none"/>
                <w14:textFill>
                  <w14:solidFill>
                    <w14:schemeClr w14:val="tx1"/>
                  </w14:solidFill>
                </w14:textFill>
              </w:rPr>
              <w:t>4.本项目的投标保证金必须通过国企阳光采购平台交纳，使用说明参见威海市公共资源交易网（http://ggzyjy.weihai.cn）的“办事指南—国企采购专区”中《威海市国有企业阳光采购电子化服务平台线上投标保证金操作手册》。</w:t>
            </w:r>
          </w:p>
          <w:p w14:paraId="5F62B36B">
            <w:pPr>
              <w:snapToGrid w:val="0"/>
              <w:spacing w:line="52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5</w:t>
            </w:r>
            <w:r>
              <w:rPr>
                <w:rFonts w:ascii="宋体" w:hAnsi="宋体" w:eastAsia="宋体" w:cs="仿宋"/>
                <w:color w:val="000000" w:themeColor="text1"/>
                <w:sz w:val="28"/>
                <w:szCs w:val="28"/>
                <w:highlight w:val="none"/>
                <w14:textFill>
                  <w14:solidFill>
                    <w14:schemeClr w14:val="tx1"/>
                  </w14:solidFill>
                </w14:textFill>
              </w:rPr>
              <w:t>.</w:t>
            </w:r>
            <w:r>
              <w:rPr>
                <w:rFonts w:hint="eastAsia" w:ascii="宋体" w:hAnsi="宋体" w:eastAsia="宋体" w:cs="仿宋"/>
                <w:color w:val="000000" w:themeColor="text1"/>
                <w:sz w:val="28"/>
                <w:szCs w:val="28"/>
                <w:highlight w:val="none"/>
                <w14:textFill>
                  <w14:solidFill>
                    <w14:schemeClr w14:val="tx1"/>
                  </w14:solidFill>
                </w14:textFill>
              </w:rPr>
              <w:t>为确保投标工作有序进行，投标保证金应当在提交投标文件截止时间前（以到账时间为准）到达</w:t>
            </w:r>
            <w:r>
              <w:rPr>
                <w:rFonts w:hint="eastAsia" w:ascii="宋体" w:hAnsi="宋体" w:eastAsia="宋体" w:cs="仿宋"/>
                <w:b/>
                <w:bCs/>
                <w:color w:val="000000" w:themeColor="text1"/>
                <w:sz w:val="28"/>
                <w:szCs w:val="28"/>
                <w:highlight w:val="none"/>
                <w14:textFill>
                  <w14:solidFill>
                    <w14:schemeClr w14:val="tx1"/>
                  </w14:solidFill>
                </w14:textFill>
              </w:rPr>
              <w:t>威海公共资源交易服务有限公司</w:t>
            </w:r>
            <w:r>
              <w:rPr>
                <w:rFonts w:hint="eastAsia" w:ascii="宋体" w:hAnsi="宋体" w:eastAsia="宋体" w:cs="仿宋"/>
                <w:color w:val="000000" w:themeColor="text1"/>
                <w:sz w:val="28"/>
                <w:szCs w:val="28"/>
                <w:highlight w:val="none"/>
                <w14:textFill>
                  <w14:solidFill>
                    <w14:schemeClr w14:val="tx1"/>
                  </w14:solidFill>
                </w14:textFill>
              </w:rPr>
              <w:t>账户，以网银、电汇等方式一次性足额交纳保证金，不接受支付宝等第三方平台转账。禁止第三方代交。投标保证金交纳单位应与提交投标文件的投标人名称一致。</w:t>
            </w:r>
          </w:p>
          <w:p w14:paraId="6889EE6E">
            <w:pPr>
              <w:snapToGrid w:val="0"/>
              <w:spacing w:line="52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6</w:t>
            </w:r>
            <w:r>
              <w:rPr>
                <w:rFonts w:ascii="宋体" w:hAnsi="宋体" w:eastAsia="宋体" w:cs="仿宋"/>
                <w:color w:val="000000" w:themeColor="text1"/>
                <w:sz w:val="28"/>
                <w:szCs w:val="28"/>
                <w:highlight w:val="none"/>
                <w14:textFill>
                  <w14:solidFill>
                    <w14:schemeClr w14:val="tx1"/>
                  </w14:solidFill>
                </w14:textFill>
              </w:rPr>
              <w:t>.</w:t>
            </w:r>
            <w:r>
              <w:rPr>
                <w:rFonts w:hint="eastAsia" w:ascii="宋体" w:hAnsi="宋体" w:eastAsia="宋体" w:cs="仿宋"/>
                <w:color w:val="000000" w:themeColor="text1"/>
                <w:sz w:val="28"/>
                <w:szCs w:val="28"/>
                <w:highlight w:val="none"/>
                <w14:textFill>
                  <w14:solidFill>
                    <w14:schemeClr w14:val="tx1"/>
                  </w14:solidFill>
                </w14:textFill>
              </w:rPr>
              <w:t>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bookmarkEnd w:id="17"/>
          </w:p>
          <w:p w14:paraId="0E8CD4A5">
            <w:pPr>
              <w:snapToGrid w:val="0"/>
              <w:spacing w:line="520" w:lineRule="exact"/>
              <w:jc w:val="left"/>
              <w:rPr>
                <w:rFonts w:hint="eastAsia" w:ascii="宋体" w:hAnsi="宋体" w:eastAsia="宋体"/>
                <w:color w:val="000000" w:themeColor="text1"/>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7.退还保证金：</w:t>
            </w:r>
            <w:r>
              <w:rPr>
                <w:rFonts w:hint="eastAsia" w:ascii="宋体" w:hAnsi="宋体" w:eastAsia="宋体" w:cs="仿宋"/>
                <w:color w:val="000000" w:themeColor="text1"/>
                <w:sz w:val="28"/>
                <w:szCs w:val="28"/>
                <w:highlight w:val="none"/>
                <w14:textFill>
                  <w14:solidFill>
                    <w14:schemeClr w14:val="tx1"/>
                  </w14:solidFill>
                </w14:textFill>
              </w:rPr>
              <w:t>目前系统采用自动退还保证金操作，分为未中标人退还和中标人退还。代理机构向中标人发送中标通知书后，系统自动退还未中标人保证金；招标人和中标人签署完合同后，系统自动退还中标人保证金。</w:t>
            </w:r>
          </w:p>
        </w:tc>
      </w:tr>
      <w:tr w14:paraId="2CD804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183EB8EF">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25</w:t>
            </w:r>
          </w:p>
        </w:tc>
        <w:tc>
          <w:tcPr>
            <w:tcW w:w="2181" w:type="dxa"/>
            <w:tcBorders>
              <w:top w:val="single" w:color="auto" w:sz="4" w:space="0"/>
              <w:left w:val="single" w:color="auto" w:sz="4" w:space="0"/>
              <w:bottom w:val="single" w:color="auto" w:sz="4" w:space="0"/>
              <w:right w:val="single" w:color="auto" w:sz="4" w:space="0"/>
            </w:tcBorders>
            <w:vAlign w:val="center"/>
          </w:tcPr>
          <w:p w14:paraId="39495688">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履约保证金</w:t>
            </w:r>
          </w:p>
        </w:tc>
        <w:tc>
          <w:tcPr>
            <w:tcW w:w="7169" w:type="dxa"/>
            <w:tcBorders>
              <w:top w:val="single" w:color="auto" w:sz="4" w:space="0"/>
              <w:left w:val="single" w:color="auto" w:sz="4" w:space="0"/>
              <w:bottom w:val="single" w:color="auto" w:sz="4" w:space="0"/>
            </w:tcBorders>
            <w:vAlign w:val="center"/>
          </w:tcPr>
          <w:p w14:paraId="4D89719A">
            <w:pPr>
              <w:snapToGrid w:val="0"/>
              <w:spacing w:line="52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本项目不收取履约保证金</w:t>
            </w:r>
          </w:p>
        </w:tc>
      </w:tr>
      <w:tr w14:paraId="29C48F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763B117D">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26</w:t>
            </w:r>
          </w:p>
        </w:tc>
        <w:tc>
          <w:tcPr>
            <w:tcW w:w="2181" w:type="dxa"/>
            <w:tcBorders>
              <w:top w:val="single" w:color="auto" w:sz="4" w:space="0"/>
              <w:left w:val="single" w:color="auto" w:sz="4" w:space="0"/>
              <w:bottom w:val="single" w:color="auto" w:sz="4" w:space="0"/>
              <w:right w:val="single" w:color="auto" w:sz="4" w:space="0"/>
            </w:tcBorders>
            <w:vAlign w:val="center"/>
          </w:tcPr>
          <w:p w14:paraId="531ADD26">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付款方式</w:t>
            </w:r>
          </w:p>
        </w:tc>
        <w:tc>
          <w:tcPr>
            <w:tcW w:w="7169" w:type="dxa"/>
            <w:tcBorders>
              <w:top w:val="single" w:color="auto" w:sz="4" w:space="0"/>
              <w:left w:val="single" w:color="auto" w:sz="4" w:space="0"/>
              <w:bottom w:val="single" w:color="auto" w:sz="4" w:space="0"/>
            </w:tcBorders>
            <w:vAlign w:val="center"/>
          </w:tcPr>
          <w:p w14:paraId="48A2D4A5">
            <w:pPr>
              <w:spacing w:line="520" w:lineRule="exac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详见合同范本</w:t>
            </w:r>
          </w:p>
        </w:tc>
      </w:tr>
      <w:tr w14:paraId="1D69FD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74C6536C">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27</w:t>
            </w:r>
          </w:p>
        </w:tc>
        <w:tc>
          <w:tcPr>
            <w:tcW w:w="2181" w:type="dxa"/>
            <w:tcBorders>
              <w:top w:val="single" w:color="auto" w:sz="4" w:space="0"/>
              <w:left w:val="single" w:color="auto" w:sz="4" w:space="0"/>
              <w:bottom w:val="single" w:color="auto" w:sz="4" w:space="0"/>
              <w:right w:val="single" w:color="auto" w:sz="4" w:space="0"/>
            </w:tcBorders>
            <w:vAlign w:val="center"/>
          </w:tcPr>
          <w:p w14:paraId="777B4AD2">
            <w:pPr>
              <w:spacing w:line="520" w:lineRule="exact"/>
              <w:jc w:val="center"/>
              <w:rPr>
                <w:rFonts w:hint="eastAsia" w:ascii="宋体" w:hAnsi="宋体" w:eastAsia="宋体" w:cs="仿宋"/>
                <w:bCs/>
                <w:color w:val="000000" w:themeColor="text1"/>
                <w:spacing w:val="8"/>
                <w:kern w:val="0"/>
                <w:sz w:val="28"/>
                <w:szCs w:val="28"/>
                <w:highlight w:val="none"/>
                <w14:textFill>
                  <w14:solidFill>
                    <w14:schemeClr w14:val="tx1"/>
                  </w14:solidFill>
                </w14:textFill>
              </w:rPr>
            </w:pPr>
            <w:r>
              <w:rPr>
                <w:rFonts w:ascii="宋体" w:hAnsi="宋体" w:eastAsia="宋体" w:cs="仿宋"/>
                <w:bCs/>
                <w:color w:val="000000" w:themeColor="text1"/>
                <w:spacing w:val="8"/>
                <w:kern w:val="0"/>
                <w:sz w:val="28"/>
                <w:szCs w:val="28"/>
                <w:highlight w:val="none"/>
                <w14:textFill>
                  <w14:solidFill>
                    <w14:schemeClr w14:val="tx1"/>
                  </w14:solidFill>
                </w14:textFill>
              </w:rPr>
              <w:t>招标控制价</w:t>
            </w:r>
          </w:p>
        </w:tc>
        <w:tc>
          <w:tcPr>
            <w:tcW w:w="7169" w:type="dxa"/>
            <w:tcBorders>
              <w:top w:val="single" w:color="auto" w:sz="4" w:space="0"/>
              <w:left w:val="single" w:color="auto" w:sz="4" w:space="0"/>
              <w:bottom w:val="single" w:color="auto" w:sz="4" w:space="0"/>
            </w:tcBorders>
            <w:vAlign w:val="center"/>
          </w:tcPr>
          <w:p w14:paraId="4FF24C67">
            <w:pPr>
              <w:spacing w:line="520" w:lineRule="exact"/>
              <w:rPr>
                <w:rFonts w:hint="eastAsia" w:ascii="宋体" w:hAnsi="宋体" w:eastAsia="宋体" w:cs="仿宋"/>
                <w:bCs/>
                <w:color w:val="000000" w:themeColor="text1"/>
                <w:spacing w:val="8"/>
                <w:kern w:val="0"/>
                <w:sz w:val="28"/>
                <w:szCs w:val="28"/>
                <w:highlight w:val="none"/>
                <w14:textFill>
                  <w14:solidFill>
                    <w14:schemeClr w14:val="tx1"/>
                  </w14:solidFill>
                </w14:textFill>
              </w:rPr>
            </w:pPr>
            <w:r>
              <w:rPr>
                <w:rFonts w:hint="eastAsia" w:ascii="宋体" w:hAnsi="宋体" w:eastAsia="宋体" w:cs="仿宋"/>
                <w:bCs/>
                <w:color w:val="000000" w:themeColor="text1"/>
                <w:spacing w:val="8"/>
                <w:kern w:val="0"/>
                <w:sz w:val="28"/>
                <w:szCs w:val="28"/>
                <w:highlight w:val="none"/>
                <w14:textFill>
                  <w14:solidFill>
                    <w14:schemeClr w14:val="tx1"/>
                  </w14:solidFill>
                </w14:textFill>
              </w:rPr>
              <w:t>1979929.21元，投标报价不得超过招标控制价，否则报价无效。</w:t>
            </w:r>
          </w:p>
        </w:tc>
      </w:tr>
      <w:tr w14:paraId="3659F8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063BBC3C">
            <w:pPr>
              <w:snapToGrid w:val="0"/>
              <w:spacing w:line="56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28</w:t>
            </w:r>
          </w:p>
        </w:tc>
        <w:tc>
          <w:tcPr>
            <w:tcW w:w="2181" w:type="dxa"/>
            <w:tcBorders>
              <w:top w:val="single" w:color="auto" w:sz="4" w:space="0"/>
              <w:left w:val="single" w:color="auto" w:sz="4" w:space="0"/>
              <w:bottom w:val="single" w:color="auto" w:sz="4" w:space="0"/>
              <w:right w:val="single" w:color="auto" w:sz="4" w:space="0"/>
            </w:tcBorders>
            <w:vAlign w:val="center"/>
          </w:tcPr>
          <w:p w14:paraId="3CB0F3D5">
            <w:pPr>
              <w:snapToGrid w:val="0"/>
              <w:spacing w:line="56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其他</w:t>
            </w:r>
          </w:p>
        </w:tc>
        <w:tc>
          <w:tcPr>
            <w:tcW w:w="7169" w:type="dxa"/>
            <w:tcBorders>
              <w:top w:val="single" w:color="auto" w:sz="4" w:space="0"/>
              <w:left w:val="single" w:color="auto" w:sz="4" w:space="0"/>
              <w:bottom w:val="single" w:color="auto" w:sz="4" w:space="0"/>
            </w:tcBorders>
            <w:vAlign w:val="center"/>
          </w:tcPr>
          <w:p w14:paraId="6B870865">
            <w:pPr>
              <w:snapToGrid w:val="0"/>
              <w:spacing w:line="52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本项目按</w:t>
            </w:r>
            <w:r>
              <w:rPr>
                <w:rFonts w:hint="eastAsia" w:ascii="宋体" w:hAnsi="宋体" w:eastAsia="宋体" w:cs="仿宋"/>
                <w:b/>
                <w:bCs/>
                <w:color w:val="000000" w:themeColor="text1"/>
                <w:sz w:val="28"/>
                <w:szCs w:val="28"/>
                <w:highlight w:val="none"/>
                <w14:textFill>
                  <w14:solidFill>
                    <w14:schemeClr w14:val="tx1"/>
                  </w14:solidFill>
                </w14:textFill>
              </w:rPr>
              <w:t>工程类</w:t>
            </w:r>
            <w:r>
              <w:rPr>
                <w:rFonts w:hint="eastAsia" w:ascii="宋体" w:hAnsi="宋体" w:eastAsia="宋体" w:cs="仿宋"/>
                <w:color w:val="000000" w:themeColor="text1"/>
                <w:sz w:val="28"/>
                <w:szCs w:val="28"/>
                <w:highlight w:val="none"/>
                <w14:textFill>
                  <w14:solidFill>
                    <w14:schemeClr w14:val="tx1"/>
                  </w14:solidFill>
                </w14:textFill>
              </w:rPr>
              <w:t>以公开招标方式实施采购。</w:t>
            </w:r>
          </w:p>
        </w:tc>
      </w:tr>
      <w:tr w14:paraId="335860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851" w:type="dxa"/>
            <w:vMerge w:val="restart"/>
            <w:tcBorders>
              <w:top w:val="single" w:color="auto" w:sz="4" w:space="0"/>
              <w:right w:val="single" w:color="auto" w:sz="4" w:space="0"/>
            </w:tcBorders>
            <w:vAlign w:val="center"/>
          </w:tcPr>
          <w:p w14:paraId="34A3647F">
            <w:pPr>
              <w:snapToGrid w:val="0"/>
              <w:spacing w:line="56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29</w:t>
            </w:r>
          </w:p>
        </w:tc>
        <w:tc>
          <w:tcPr>
            <w:tcW w:w="2181" w:type="dxa"/>
            <w:tcBorders>
              <w:top w:val="single" w:color="auto" w:sz="4" w:space="0"/>
              <w:left w:val="single" w:color="auto" w:sz="4" w:space="0"/>
              <w:bottom w:val="single" w:color="auto" w:sz="4" w:space="0"/>
              <w:right w:val="single" w:color="auto" w:sz="4" w:space="0"/>
            </w:tcBorders>
            <w:vAlign w:val="center"/>
          </w:tcPr>
          <w:p w14:paraId="7B531E38">
            <w:pPr>
              <w:snapToGrid w:val="0"/>
              <w:spacing w:line="56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代理服务费</w:t>
            </w:r>
          </w:p>
        </w:tc>
        <w:tc>
          <w:tcPr>
            <w:tcW w:w="7169" w:type="dxa"/>
            <w:tcBorders>
              <w:top w:val="single" w:color="auto" w:sz="4" w:space="0"/>
              <w:left w:val="single" w:color="auto" w:sz="4" w:space="0"/>
              <w:bottom w:val="single" w:color="auto" w:sz="4" w:space="0"/>
            </w:tcBorders>
            <w:vAlign w:val="center"/>
          </w:tcPr>
          <w:p w14:paraId="3EBB527D">
            <w:pPr>
              <w:snapToGrid w:val="0"/>
              <w:spacing w:line="56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本招标项目的代理服务费由中标单位支付，参照原国家计委《关于印发招标代理服务收费管理暂行办法的通知》（计价格【2002】1980号）、发改价格【2011】534号规定的收费标准的50%收取。此费用包含在投标报价中，招标人不再另行计价。</w:t>
            </w:r>
          </w:p>
        </w:tc>
      </w:tr>
      <w:tr w14:paraId="339F54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851" w:type="dxa"/>
            <w:vMerge w:val="continue"/>
            <w:tcBorders>
              <w:right w:val="single" w:color="auto" w:sz="4" w:space="0"/>
            </w:tcBorders>
            <w:vAlign w:val="center"/>
          </w:tcPr>
          <w:p w14:paraId="608A2913">
            <w:pPr>
              <w:snapToGrid w:val="0"/>
              <w:spacing w:line="520" w:lineRule="exact"/>
              <w:jc w:val="center"/>
              <w:rPr>
                <w:rFonts w:hint="eastAsia" w:ascii="宋体" w:hAnsi="宋体" w:eastAsia="宋体" w:cs="仿宋"/>
                <w:color w:val="000000" w:themeColor="text1"/>
                <w:sz w:val="28"/>
                <w:szCs w:val="28"/>
                <w:highlight w:val="none"/>
                <w14:textFill>
                  <w14:solidFill>
                    <w14:schemeClr w14:val="tx1"/>
                  </w14:solidFill>
                </w14:textFill>
              </w:rPr>
            </w:pPr>
          </w:p>
        </w:tc>
        <w:tc>
          <w:tcPr>
            <w:tcW w:w="2181" w:type="dxa"/>
            <w:tcBorders>
              <w:top w:val="single" w:color="auto" w:sz="4" w:space="0"/>
              <w:left w:val="single" w:color="auto" w:sz="4" w:space="0"/>
              <w:bottom w:val="single" w:color="auto" w:sz="4" w:space="0"/>
              <w:right w:val="single" w:color="auto" w:sz="4" w:space="0"/>
            </w:tcBorders>
            <w:vAlign w:val="center"/>
          </w:tcPr>
          <w:p w14:paraId="2F56AFB8">
            <w:pPr>
              <w:snapToGrid w:val="0"/>
              <w:spacing w:line="56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专家评审费</w:t>
            </w:r>
          </w:p>
        </w:tc>
        <w:tc>
          <w:tcPr>
            <w:tcW w:w="7169" w:type="dxa"/>
            <w:tcBorders>
              <w:top w:val="single" w:color="auto" w:sz="4" w:space="0"/>
              <w:left w:val="single" w:color="auto" w:sz="4" w:space="0"/>
              <w:bottom w:val="single" w:color="auto" w:sz="4" w:space="0"/>
            </w:tcBorders>
            <w:vAlign w:val="center"/>
          </w:tcPr>
          <w:p w14:paraId="2B9FFC50">
            <w:pPr>
              <w:snapToGrid w:val="0"/>
              <w:spacing w:line="56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专家评审费由中标单位交纳，按实收取。</w:t>
            </w:r>
          </w:p>
        </w:tc>
      </w:tr>
      <w:tr w14:paraId="3E3882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851" w:type="dxa"/>
            <w:tcBorders>
              <w:top w:val="single" w:color="auto" w:sz="4" w:space="0"/>
              <w:bottom w:val="single" w:color="auto" w:sz="4" w:space="0"/>
              <w:right w:val="single" w:color="auto" w:sz="4" w:space="0"/>
            </w:tcBorders>
            <w:vAlign w:val="center"/>
          </w:tcPr>
          <w:p w14:paraId="0268E333">
            <w:pPr>
              <w:snapToGrid w:val="0"/>
              <w:spacing w:line="56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30</w:t>
            </w:r>
          </w:p>
        </w:tc>
        <w:tc>
          <w:tcPr>
            <w:tcW w:w="2181" w:type="dxa"/>
            <w:tcBorders>
              <w:top w:val="single" w:color="auto" w:sz="4" w:space="0"/>
              <w:left w:val="single" w:color="auto" w:sz="4" w:space="0"/>
              <w:bottom w:val="single" w:color="auto" w:sz="4" w:space="0"/>
              <w:right w:val="single" w:color="auto" w:sz="4" w:space="0"/>
            </w:tcBorders>
            <w:vAlign w:val="center"/>
          </w:tcPr>
          <w:p w14:paraId="0CE0D8E6">
            <w:pPr>
              <w:snapToGrid w:val="0"/>
              <w:spacing w:line="56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是否委托定标</w:t>
            </w:r>
          </w:p>
        </w:tc>
        <w:tc>
          <w:tcPr>
            <w:tcW w:w="7169" w:type="dxa"/>
            <w:tcBorders>
              <w:top w:val="single" w:color="auto" w:sz="4" w:space="0"/>
              <w:left w:val="single" w:color="auto" w:sz="4" w:space="0"/>
              <w:bottom w:val="single" w:color="auto" w:sz="4" w:space="0"/>
            </w:tcBorders>
            <w:vAlign w:val="center"/>
          </w:tcPr>
          <w:p w14:paraId="28ED99F8">
            <w:pPr>
              <w:snapToGrid w:val="0"/>
              <w:spacing w:line="56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是</w:t>
            </w:r>
          </w:p>
        </w:tc>
      </w:tr>
      <w:tr w14:paraId="0F84A4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851" w:type="dxa"/>
            <w:tcBorders>
              <w:top w:val="single" w:color="auto" w:sz="4" w:space="0"/>
              <w:bottom w:val="single" w:color="auto" w:sz="4" w:space="0"/>
              <w:right w:val="single" w:color="auto" w:sz="4" w:space="0"/>
            </w:tcBorders>
            <w:vAlign w:val="center"/>
          </w:tcPr>
          <w:p w14:paraId="18E885B6">
            <w:pPr>
              <w:snapToGrid w:val="0"/>
              <w:spacing w:line="56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31</w:t>
            </w:r>
          </w:p>
        </w:tc>
        <w:tc>
          <w:tcPr>
            <w:tcW w:w="2181" w:type="dxa"/>
            <w:tcBorders>
              <w:top w:val="single" w:color="auto" w:sz="4" w:space="0"/>
              <w:left w:val="single" w:color="auto" w:sz="4" w:space="0"/>
              <w:bottom w:val="single" w:color="auto" w:sz="4" w:space="0"/>
              <w:right w:val="single" w:color="auto" w:sz="4" w:space="0"/>
            </w:tcBorders>
            <w:vAlign w:val="center"/>
          </w:tcPr>
          <w:p w14:paraId="2B5E4D5E">
            <w:pPr>
              <w:snapToGrid w:val="0"/>
              <w:spacing w:line="56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投诉电话</w:t>
            </w:r>
          </w:p>
        </w:tc>
        <w:tc>
          <w:tcPr>
            <w:tcW w:w="7169" w:type="dxa"/>
            <w:tcBorders>
              <w:top w:val="single" w:color="auto" w:sz="4" w:space="0"/>
              <w:left w:val="single" w:color="auto" w:sz="4" w:space="0"/>
              <w:bottom w:val="single" w:color="auto" w:sz="4" w:space="0"/>
            </w:tcBorders>
            <w:vAlign w:val="center"/>
          </w:tcPr>
          <w:p w14:paraId="5BCAD61B">
            <w:pPr>
              <w:snapToGrid w:val="0"/>
              <w:spacing w:line="56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0631-5185009</w:t>
            </w:r>
          </w:p>
        </w:tc>
      </w:tr>
    </w:tbl>
    <w:p w14:paraId="6E9B0812">
      <w:pPr>
        <w:spacing w:line="560" w:lineRule="exact"/>
        <w:ind w:firstLine="643" w:firstLineChars="201"/>
        <w:jc w:val="center"/>
        <w:rPr>
          <w:rFonts w:hint="eastAsia" w:ascii="宋体" w:hAnsi="宋体" w:eastAsia="宋体" w:cs="仿宋"/>
          <w:color w:val="000000" w:themeColor="text1"/>
          <w:sz w:val="32"/>
          <w:szCs w:val="32"/>
          <w:highlight w:val="none"/>
          <w14:textFill>
            <w14:solidFill>
              <w14:schemeClr w14:val="tx1"/>
            </w14:solidFill>
          </w14:textFill>
        </w:rPr>
      </w:pPr>
      <w:bookmarkStart w:id="20" w:name="_Hlk191971690"/>
    </w:p>
    <w:p w14:paraId="4C917D72">
      <w:pPr>
        <w:pStyle w:val="2"/>
        <w:rPr>
          <w:rFonts w:hint="eastAsia" w:ascii="宋体" w:hAnsi="宋体" w:eastAsia="宋体"/>
          <w:color w:val="000000" w:themeColor="text1"/>
          <w:highlight w:val="none"/>
          <w14:textFill>
            <w14:solidFill>
              <w14:schemeClr w14:val="tx1"/>
            </w14:solidFill>
          </w14:textFill>
        </w:rPr>
      </w:pPr>
      <w:r>
        <w:rPr>
          <w:rFonts w:hint="eastAsia" w:ascii="宋体" w:hAnsi="宋体" w:eastAsia="宋体"/>
          <w:color w:val="000000" w:themeColor="text1"/>
          <w:highlight w:val="none"/>
          <w14:textFill>
            <w14:solidFill>
              <w14:schemeClr w14:val="tx1"/>
            </w14:solidFill>
          </w14:textFill>
        </w:rPr>
        <w:br w:type="page"/>
      </w:r>
    </w:p>
    <w:p w14:paraId="04864F44">
      <w:pPr>
        <w:spacing w:line="560" w:lineRule="exact"/>
        <w:ind w:firstLine="643" w:firstLineChars="201"/>
        <w:jc w:val="center"/>
        <w:rPr>
          <w:rFonts w:hint="eastAsia" w:ascii="宋体" w:hAnsi="宋体" w:eastAsia="宋体" w:cs="仿宋"/>
          <w:color w:val="000000" w:themeColor="text1"/>
          <w:sz w:val="32"/>
          <w:szCs w:val="32"/>
          <w:highlight w:val="none"/>
          <w14:textFill>
            <w14:solidFill>
              <w14:schemeClr w14:val="tx1"/>
            </w14:solidFill>
          </w14:textFill>
        </w:rPr>
      </w:pPr>
      <w:r>
        <w:rPr>
          <w:rFonts w:hint="eastAsia" w:ascii="宋体" w:hAnsi="宋体" w:eastAsia="宋体" w:cs="仿宋"/>
          <w:color w:val="000000" w:themeColor="text1"/>
          <w:sz w:val="32"/>
          <w:szCs w:val="32"/>
          <w:highlight w:val="none"/>
          <w14:textFill>
            <w14:solidFill>
              <w14:schemeClr w14:val="tx1"/>
            </w14:solidFill>
          </w14:textFill>
        </w:rPr>
        <w:t>《实质性条款一览表》</w:t>
      </w:r>
    </w:p>
    <w:p w14:paraId="2F9B96CE">
      <w:pPr>
        <w:snapToGrid w:val="0"/>
        <w:ind w:firstLine="560"/>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说明：本表系招标文件及修改性文件中涉及的所有实质性条款的汇总。不允许有任何负偏离，否则投标将被否决。</w:t>
      </w:r>
    </w:p>
    <w:tbl>
      <w:tblPr>
        <w:tblStyle w:val="67"/>
        <w:tblW w:w="973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1692"/>
        <w:gridCol w:w="7130"/>
      </w:tblGrid>
      <w:tr w14:paraId="43CA08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7EF53207">
            <w:pPr>
              <w:snapToGrid w:val="0"/>
              <w:spacing w:line="560" w:lineRule="exact"/>
              <w:jc w:val="center"/>
              <w:rPr>
                <w:rFonts w:hint="eastAsia" w:ascii="宋体" w:hAnsi="宋体" w:eastAsia="宋体" w:cs="仿宋"/>
                <w:color w:val="000000" w:themeColor="text1"/>
                <w:sz w:val="28"/>
                <w:szCs w:val="28"/>
                <w:highlight w:val="none"/>
                <w14:textFill>
                  <w14:solidFill>
                    <w14:schemeClr w14:val="tx1"/>
                  </w14:solidFill>
                </w14:textFill>
              </w:rPr>
            </w:pPr>
            <w:bookmarkStart w:id="21" w:name="_Hlk207628854"/>
            <w:r>
              <w:rPr>
                <w:rFonts w:hint="eastAsia" w:ascii="宋体" w:hAnsi="宋体" w:eastAsia="宋体" w:cs="仿宋"/>
                <w:color w:val="000000" w:themeColor="text1"/>
                <w:sz w:val="28"/>
                <w:szCs w:val="28"/>
                <w:highlight w:val="none"/>
                <w14:textFill>
                  <w14:solidFill>
                    <w14:schemeClr w14:val="tx1"/>
                  </w14:solidFill>
                </w14:textFill>
              </w:rPr>
              <w:t>序号</w:t>
            </w:r>
          </w:p>
        </w:tc>
        <w:tc>
          <w:tcPr>
            <w:tcW w:w="1692" w:type="dxa"/>
            <w:tcBorders>
              <w:top w:val="single" w:color="auto" w:sz="4" w:space="0"/>
              <w:left w:val="single" w:color="auto" w:sz="4" w:space="0"/>
              <w:bottom w:val="single" w:color="auto" w:sz="4" w:space="0"/>
              <w:right w:val="single" w:color="auto" w:sz="4" w:space="0"/>
            </w:tcBorders>
            <w:vAlign w:val="center"/>
          </w:tcPr>
          <w:p w14:paraId="1F8D248A">
            <w:pPr>
              <w:snapToGrid w:val="0"/>
              <w:spacing w:line="56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项目名称</w:t>
            </w:r>
          </w:p>
        </w:tc>
        <w:tc>
          <w:tcPr>
            <w:tcW w:w="7130" w:type="dxa"/>
            <w:tcBorders>
              <w:top w:val="single" w:color="auto" w:sz="4" w:space="0"/>
              <w:left w:val="single" w:color="auto" w:sz="4" w:space="0"/>
              <w:bottom w:val="single" w:color="auto" w:sz="4" w:space="0"/>
            </w:tcBorders>
            <w:vAlign w:val="center"/>
          </w:tcPr>
          <w:p w14:paraId="04BF8E7D">
            <w:pPr>
              <w:snapToGrid w:val="0"/>
              <w:spacing w:line="560" w:lineRule="exact"/>
              <w:ind w:firstLine="562" w:firstLineChars="201"/>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内       容</w:t>
            </w:r>
          </w:p>
        </w:tc>
      </w:tr>
      <w:tr w14:paraId="49FE6C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38B1640F">
            <w:pPr>
              <w:snapToGrid w:val="0"/>
              <w:spacing w:line="56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w:t>
            </w:r>
          </w:p>
        </w:tc>
        <w:tc>
          <w:tcPr>
            <w:tcW w:w="1692" w:type="dxa"/>
            <w:tcBorders>
              <w:top w:val="single" w:color="auto" w:sz="4" w:space="0"/>
              <w:left w:val="single" w:color="auto" w:sz="4" w:space="0"/>
              <w:bottom w:val="single" w:color="auto" w:sz="4" w:space="0"/>
              <w:right w:val="single" w:color="auto" w:sz="4" w:space="0"/>
            </w:tcBorders>
            <w:vAlign w:val="center"/>
          </w:tcPr>
          <w:p w14:paraId="08586AF8">
            <w:pPr>
              <w:spacing w:line="560" w:lineRule="exac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资格性审查</w:t>
            </w:r>
          </w:p>
        </w:tc>
        <w:tc>
          <w:tcPr>
            <w:tcW w:w="7130" w:type="dxa"/>
            <w:tcBorders>
              <w:top w:val="single" w:color="auto" w:sz="4" w:space="0"/>
              <w:left w:val="single" w:color="auto" w:sz="4" w:space="0"/>
              <w:bottom w:val="single" w:color="auto" w:sz="4" w:space="0"/>
            </w:tcBorders>
          </w:tcPr>
          <w:p w14:paraId="430C6590">
            <w:pPr>
              <w:snapToGrid w:val="0"/>
              <w:spacing w:line="520" w:lineRule="exact"/>
              <w:jc w:val="left"/>
              <w:rPr>
                <w:rFonts w:hint="eastAsia" w:ascii="宋体" w:hAnsi="宋体" w:eastAsia="宋体" w:cs="仿宋"/>
                <w:color w:val="000000" w:themeColor="text1"/>
                <w:sz w:val="28"/>
                <w:szCs w:val="28"/>
                <w:highlight w:val="none"/>
                <w14:textFill>
                  <w14:solidFill>
                    <w14:schemeClr w14:val="tx1"/>
                  </w14:solidFill>
                </w14:textFill>
              </w:rPr>
            </w:pPr>
            <w:bookmarkStart w:id="22" w:name="_Hlk58066797"/>
            <w:r>
              <w:rPr>
                <w:rFonts w:hint="eastAsia" w:ascii="宋体" w:hAnsi="宋体" w:eastAsia="宋体" w:cs="仿宋"/>
                <w:color w:val="000000" w:themeColor="text1"/>
                <w:sz w:val="28"/>
                <w:szCs w:val="28"/>
                <w:highlight w:val="none"/>
                <w14:textFill>
                  <w14:solidFill>
                    <w14:schemeClr w14:val="tx1"/>
                  </w14:solidFill>
                </w14:textFill>
              </w:rPr>
              <w:t xml:space="preserve">1.投标人有效的营业执照扫描件； </w:t>
            </w:r>
          </w:p>
          <w:p w14:paraId="4DA12B5D">
            <w:pPr>
              <w:snapToGrid w:val="0"/>
              <w:spacing w:line="52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2.项目负责人（项目经理）有效的市政公用工程二级及以上建造师注册证书，有效的安全生产考核合格证（B证）扫描件。</w:t>
            </w:r>
          </w:p>
          <w:p w14:paraId="3B0977C3">
            <w:pPr>
              <w:snapToGrid w:val="0"/>
              <w:spacing w:line="52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3.法定代表人身份证明、法定代表人身份证扫描件；</w:t>
            </w:r>
          </w:p>
          <w:p w14:paraId="754439AC">
            <w:pPr>
              <w:snapToGrid w:val="0"/>
              <w:spacing w:line="52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4</w:t>
            </w:r>
            <w:r>
              <w:rPr>
                <w:rFonts w:ascii="宋体" w:hAnsi="宋体" w:eastAsia="宋体" w:cs="仿宋"/>
                <w:color w:val="000000" w:themeColor="text1"/>
                <w:sz w:val="28"/>
                <w:szCs w:val="28"/>
                <w:highlight w:val="none"/>
                <w14:textFill>
                  <w14:solidFill>
                    <w14:schemeClr w14:val="tx1"/>
                  </w14:solidFill>
                </w14:textFill>
              </w:rPr>
              <w:t>.</w:t>
            </w:r>
            <w:r>
              <w:rPr>
                <w:rFonts w:hint="eastAsia" w:ascii="宋体" w:hAnsi="宋体" w:eastAsia="宋体" w:cs="仿宋"/>
                <w:color w:val="000000" w:themeColor="text1"/>
                <w:sz w:val="28"/>
                <w:szCs w:val="28"/>
                <w:highlight w:val="none"/>
                <w14:textFill>
                  <w14:solidFill>
                    <w14:schemeClr w14:val="tx1"/>
                  </w14:solidFill>
                </w14:textFill>
              </w:rPr>
              <w:t>法定代表人</w:t>
            </w:r>
            <w:r>
              <w:rPr>
                <w:rFonts w:ascii="宋体" w:hAnsi="宋体" w:eastAsia="宋体" w:cs="仿宋"/>
                <w:color w:val="000000" w:themeColor="text1"/>
                <w:sz w:val="28"/>
                <w:szCs w:val="28"/>
                <w:highlight w:val="none"/>
                <w14:textFill>
                  <w14:solidFill>
                    <w14:schemeClr w14:val="tx1"/>
                  </w14:solidFill>
                </w14:textFill>
              </w:rPr>
              <w:t>授权委托书、被授权人身份证扫描件</w:t>
            </w:r>
            <w:r>
              <w:rPr>
                <w:rFonts w:hint="eastAsia" w:ascii="宋体" w:hAnsi="宋体" w:eastAsia="宋体" w:cs="仿宋"/>
                <w:color w:val="000000" w:themeColor="text1"/>
                <w:sz w:val="28"/>
                <w:szCs w:val="28"/>
                <w:highlight w:val="none"/>
                <w14:textFill>
                  <w14:solidFill>
                    <w14:schemeClr w14:val="tx1"/>
                  </w14:solidFill>
                </w14:textFill>
              </w:rPr>
              <w:t>；</w:t>
            </w:r>
          </w:p>
          <w:p w14:paraId="55656069">
            <w:pPr>
              <w:snapToGrid w:val="0"/>
              <w:spacing w:line="52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5</w:t>
            </w:r>
            <w:r>
              <w:rPr>
                <w:rFonts w:ascii="宋体" w:hAnsi="宋体" w:eastAsia="宋体" w:cs="仿宋"/>
                <w:color w:val="000000" w:themeColor="text1"/>
                <w:sz w:val="28"/>
                <w:szCs w:val="28"/>
                <w:highlight w:val="none"/>
                <w14:textFill>
                  <w14:solidFill>
                    <w14:schemeClr w14:val="tx1"/>
                  </w14:solidFill>
                </w14:textFill>
              </w:rPr>
              <w:t>.</w:t>
            </w:r>
            <w:r>
              <w:rPr>
                <w:rFonts w:hint="eastAsia" w:ascii="宋体" w:hAnsi="宋体" w:eastAsia="宋体" w:cs="仿宋"/>
                <w:color w:val="000000" w:themeColor="text1"/>
                <w:sz w:val="28"/>
                <w:szCs w:val="28"/>
                <w:highlight w:val="none"/>
                <w14:textFill>
                  <w14:solidFill>
                    <w14:schemeClr w14:val="tx1"/>
                  </w14:solidFill>
                </w14:textFill>
              </w:rPr>
              <w:t>投标人信用承诺书；</w:t>
            </w:r>
          </w:p>
          <w:p w14:paraId="2D308FC3">
            <w:pPr>
              <w:snapToGrid w:val="0"/>
              <w:spacing w:line="52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6</w:t>
            </w:r>
            <w:r>
              <w:rPr>
                <w:rFonts w:ascii="宋体" w:hAnsi="宋体" w:eastAsia="宋体" w:cs="仿宋"/>
                <w:color w:val="000000" w:themeColor="text1"/>
                <w:sz w:val="28"/>
                <w:szCs w:val="28"/>
                <w:highlight w:val="none"/>
                <w14:textFill>
                  <w14:solidFill>
                    <w14:schemeClr w14:val="tx1"/>
                  </w14:solidFill>
                </w14:textFill>
              </w:rPr>
              <w:t>.</w:t>
            </w:r>
            <w:r>
              <w:rPr>
                <w:rFonts w:hint="eastAsia" w:ascii="宋体" w:hAnsi="宋体" w:eastAsia="宋体" w:cs="仿宋"/>
                <w:color w:val="000000" w:themeColor="text1"/>
                <w:sz w:val="28"/>
                <w:szCs w:val="28"/>
                <w:highlight w:val="none"/>
                <w14:textFill>
                  <w14:solidFill>
                    <w14:schemeClr w14:val="tx1"/>
                  </w14:solidFill>
                </w14:textFill>
              </w:rPr>
              <w:t>投标人参与投标的声明函；</w:t>
            </w:r>
          </w:p>
          <w:p w14:paraId="3B07E9BB">
            <w:pPr>
              <w:snapToGrid w:val="0"/>
              <w:spacing w:line="52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7</w:t>
            </w:r>
            <w:r>
              <w:rPr>
                <w:rFonts w:ascii="宋体" w:hAnsi="宋体" w:eastAsia="宋体" w:cs="仿宋"/>
                <w:color w:val="000000" w:themeColor="text1"/>
                <w:sz w:val="28"/>
                <w:szCs w:val="28"/>
                <w:highlight w:val="none"/>
                <w14:textFill>
                  <w14:solidFill>
                    <w14:schemeClr w14:val="tx1"/>
                  </w14:solidFill>
                </w14:textFill>
              </w:rPr>
              <w:t>.</w:t>
            </w:r>
            <w:r>
              <w:rPr>
                <w:rFonts w:hint="eastAsia" w:ascii="宋体" w:hAnsi="宋体" w:eastAsia="宋体" w:cs="仿宋"/>
                <w:color w:val="000000" w:themeColor="text1"/>
                <w:sz w:val="28"/>
                <w:szCs w:val="28"/>
                <w:highlight w:val="none"/>
                <w14:textFill>
                  <w14:solidFill>
                    <w14:schemeClr w14:val="tx1"/>
                  </w14:solidFill>
                </w14:textFill>
              </w:rPr>
              <w:t>交纳投标保证金的证明材料（两者缺一不可）：（1）企业银行基本账户开户证明（如开户许可证或银行开户证明等）、（2）电汇凭证或电子汇款截图扫描件；</w:t>
            </w:r>
            <w:r>
              <w:rPr>
                <w:rFonts w:hint="eastAsia" w:ascii="宋体" w:hAnsi="宋体" w:eastAsia="宋体" w:cs="仿宋"/>
                <w:color w:val="000000" w:themeColor="text1"/>
                <w:sz w:val="28"/>
                <w:szCs w:val="28"/>
                <w:highlight w:val="none"/>
                <w14:textFill>
                  <w14:solidFill>
                    <w14:schemeClr w14:val="tx1"/>
                  </w14:solidFill>
                </w14:textFill>
              </w:rPr>
              <w:t xml:space="preserve"> </w:t>
            </w:r>
          </w:p>
          <w:p w14:paraId="399E861F">
            <w:pPr>
              <w:snapToGrid w:val="0"/>
              <w:spacing w:line="56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8.投标人、法定代表人、委托代理人、</w:t>
            </w:r>
            <w:r>
              <w:rPr>
                <w:rFonts w:hint="eastAsia" w:ascii="宋体" w:hAnsi="宋体" w:eastAsia="宋体" w:cs="仿宋"/>
                <w:color w:val="000000" w:themeColor="text1"/>
                <w:spacing w:val="8"/>
                <w:kern w:val="0"/>
                <w:sz w:val="28"/>
                <w:szCs w:val="28"/>
                <w:highlight w:val="none"/>
                <w14:textFill>
                  <w14:solidFill>
                    <w14:schemeClr w14:val="tx1"/>
                  </w14:solidFill>
                </w14:textFill>
              </w:rPr>
              <w:t>项目负责人（项目经理）</w:t>
            </w:r>
            <w:r>
              <w:rPr>
                <w:rFonts w:hint="eastAsia" w:ascii="宋体" w:hAnsi="宋体" w:eastAsia="宋体" w:cs="仿宋"/>
                <w:color w:val="000000" w:themeColor="text1"/>
                <w:sz w:val="28"/>
                <w:szCs w:val="28"/>
                <w:highlight w:val="none"/>
                <w14:textFill>
                  <w14:solidFill>
                    <w14:schemeClr w14:val="tx1"/>
                  </w14:solidFill>
                </w14:textFill>
              </w:rPr>
              <w:t>未被最高法院（查询网址：http://zxgk.court.gov.cn/shixin/）列入失信被执行人。</w:t>
            </w:r>
            <w:r>
              <w:rPr>
                <w:rFonts w:ascii="宋体" w:hAnsi="宋体" w:eastAsia="宋体" w:cs="仿宋"/>
                <w:color w:val="000000" w:themeColor="text1"/>
                <w:sz w:val="28"/>
                <w:szCs w:val="28"/>
                <w:highlight w:val="none"/>
                <w14:textFill>
                  <w14:solidFill>
                    <w14:schemeClr w14:val="tx1"/>
                  </w14:solidFill>
                </w14:textFill>
              </w:rPr>
              <w:t>投标文件附通过网站查询信息记录，包含投标人</w:t>
            </w:r>
            <w:r>
              <w:rPr>
                <w:rFonts w:hint="eastAsia" w:ascii="宋体" w:hAnsi="宋体" w:eastAsia="宋体" w:cs="仿宋"/>
                <w:color w:val="000000" w:themeColor="text1"/>
                <w:sz w:val="28"/>
                <w:szCs w:val="28"/>
                <w:highlight w:val="none"/>
                <w14:textFill>
                  <w14:solidFill>
                    <w14:schemeClr w14:val="tx1"/>
                  </w14:solidFill>
                </w14:textFill>
              </w:rPr>
              <w:t>、</w:t>
            </w:r>
            <w:r>
              <w:rPr>
                <w:rFonts w:ascii="宋体" w:hAnsi="宋体" w:eastAsia="宋体" w:cs="仿宋"/>
                <w:color w:val="000000" w:themeColor="text1"/>
                <w:sz w:val="28"/>
                <w:szCs w:val="28"/>
                <w:highlight w:val="none"/>
                <w14:textFill>
                  <w14:solidFill>
                    <w14:schemeClr w14:val="tx1"/>
                  </w14:solidFill>
                </w14:textFill>
              </w:rPr>
              <w:t>法定代表人、委托代理人</w:t>
            </w:r>
            <w:r>
              <w:rPr>
                <w:rFonts w:hint="eastAsia" w:ascii="宋体" w:hAnsi="宋体" w:eastAsia="宋体" w:cs="仿宋"/>
                <w:color w:val="000000" w:themeColor="text1"/>
                <w:sz w:val="28"/>
                <w:szCs w:val="28"/>
                <w:highlight w:val="none"/>
                <w14:textFill>
                  <w14:solidFill>
                    <w14:schemeClr w14:val="tx1"/>
                  </w14:solidFill>
                </w14:textFill>
              </w:rPr>
              <w:t>、</w:t>
            </w:r>
            <w:r>
              <w:rPr>
                <w:rFonts w:hint="eastAsia" w:ascii="宋体" w:hAnsi="宋体" w:eastAsia="宋体" w:cs="仿宋"/>
                <w:color w:val="000000" w:themeColor="text1"/>
                <w:spacing w:val="8"/>
                <w:kern w:val="0"/>
                <w:sz w:val="28"/>
                <w:szCs w:val="28"/>
                <w:highlight w:val="none"/>
                <w14:textFill>
                  <w14:solidFill>
                    <w14:schemeClr w14:val="tx1"/>
                  </w14:solidFill>
                </w14:textFill>
              </w:rPr>
              <w:t>项目负责人（项目经理）</w:t>
            </w:r>
            <w:r>
              <w:rPr>
                <w:rFonts w:ascii="宋体" w:hAnsi="宋体" w:eastAsia="宋体" w:cs="仿宋"/>
                <w:color w:val="000000" w:themeColor="text1"/>
                <w:sz w:val="28"/>
                <w:szCs w:val="28"/>
                <w:highlight w:val="none"/>
                <w14:textFill>
                  <w14:solidFill>
                    <w14:schemeClr w14:val="tx1"/>
                  </w14:solidFill>
                </w14:textFill>
              </w:rPr>
              <w:t>失信被执行人情况网页截图</w:t>
            </w:r>
            <w:r>
              <w:rPr>
                <w:rFonts w:hint="eastAsia" w:ascii="宋体" w:hAnsi="宋体" w:eastAsia="宋体" w:cs="仿宋"/>
                <w:color w:val="000000" w:themeColor="text1"/>
                <w:sz w:val="28"/>
                <w:szCs w:val="28"/>
                <w:highlight w:val="none"/>
                <w14:textFill>
                  <w14:solidFill>
                    <w14:schemeClr w14:val="tx1"/>
                  </w14:solidFill>
                </w14:textFill>
              </w:rPr>
              <w:t>（省份为全部）；</w:t>
            </w:r>
          </w:p>
          <w:p w14:paraId="118C2F47">
            <w:pPr>
              <w:snapToGrid w:val="0"/>
              <w:spacing w:line="56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9.投标人近一年在“信用中国”或“信用中国（山东）”无严重失信记录，投标文件中需附通过信用中国（查询网址：https://www.creditchina.gov.cn）查询的信用报告或信用中国（山东）（查询网址：https://credit.shandong.gov.cn）查询的信用报告</w:t>
            </w:r>
            <w:r>
              <w:rPr>
                <w:rFonts w:ascii="宋体" w:hAnsi="宋体" w:eastAsia="宋体" w:cs="仿宋"/>
                <w:color w:val="000000" w:themeColor="text1"/>
                <w:sz w:val="28"/>
                <w:szCs w:val="28"/>
                <w:highlight w:val="none"/>
                <w14:textFill>
                  <w14:solidFill>
                    <w14:schemeClr w14:val="tx1"/>
                  </w14:solidFill>
                </w14:textFill>
              </w:rPr>
              <w:t>。</w:t>
            </w:r>
            <w:bookmarkEnd w:id="22"/>
          </w:p>
        </w:tc>
      </w:tr>
      <w:tr w14:paraId="1B4E6C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4090271E">
            <w:pPr>
              <w:snapToGrid w:val="0"/>
              <w:spacing w:line="56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w:t>
            </w:r>
          </w:p>
        </w:tc>
        <w:tc>
          <w:tcPr>
            <w:tcW w:w="1692" w:type="dxa"/>
            <w:tcBorders>
              <w:top w:val="single" w:color="auto" w:sz="4" w:space="0"/>
              <w:left w:val="single" w:color="auto" w:sz="4" w:space="0"/>
              <w:bottom w:val="single" w:color="auto" w:sz="4" w:space="0"/>
              <w:right w:val="single" w:color="auto" w:sz="4" w:space="0"/>
            </w:tcBorders>
            <w:vAlign w:val="center"/>
          </w:tcPr>
          <w:p w14:paraId="753982FC">
            <w:pPr>
              <w:spacing w:line="560" w:lineRule="exac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符合性审查</w:t>
            </w:r>
          </w:p>
        </w:tc>
        <w:tc>
          <w:tcPr>
            <w:tcW w:w="7130" w:type="dxa"/>
            <w:tcBorders>
              <w:top w:val="single" w:color="auto" w:sz="4" w:space="0"/>
              <w:left w:val="single" w:color="auto" w:sz="4" w:space="0"/>
              <w:bottom w:val="single" w:color="auto" w:sz="4" w:space="0"/>
            </w:tcBorders>
            <w:vAlign w:val="center"/>
          </w:tcPr>
          <w:p w14:paraId="3A62FCA0">
            <w:pPr>
              <w:snapToGrid w:val="0"/>
              <w:spacing w:line="52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1.</w:t>
            </w:r>
            <w:r>
              <w:rPr>
                <w:rFonts w:hint="eastAsia" w:ascii="宋体" w:hAnsi="宋体" w:eastAsia="宋体" w:cs="仿宋"/>
                <w:color w:val="000000" w:themeColor="text1"/>
                <w:sz w:val="28"/>
                <w:szCs w:val="28"/>
                <w:highlight w:val="none"/>
                <w14:textFill>
                  <w14:solidFill>
                    <w14:schemeClr w14:val="tx1"/>
                  </w14:solidFill>
                </w14:textFill>
              </w:rPr>
              <w:t>报价低于（或等于）招标控制价；</w:t>
            </w:r>
          </w:p>
          <w:p w14:paraId="0282625E">
            <w:pPr>
              <w:snapToGrid w:val="0"/>
              <w:spacing w:line="52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2.</w:t>
            </w:r>
            <w:r>
              <w:rPr>
                <w:rFonts w:hint="eastAsia" w:ascii="宋体" w:hAnsi="宋体" w:eastAsia="宋体" w:cs="仿宋"/>
                <w:color w:val="000000" w:themeColor="text1"/>
                <w:sz w:val="28"/>
                <w:szCs w:val="28"/>
                <w:highlight w:val="none"/>
                <w14:textFill>
                  <w14:solidFill>
                    <w14:schemeClr w14:val="tx1"/>
                  </w14:solidFill>
                </w14:textFill>
              </w:rPr>
              <w:t>投标保证金：按招标文件要求交纳；</w:t>
            </w:r>
          </w:p>
          <w:p w14:paraId="5F045443">
            <w:pPr>
              <w:snapToGrid w:val="0"/>
              <w:spacing w:line="52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3.</w:t>
            </w:r>
            <w:r>
              <w:rPr>
                <w:rFonts w:hint="eastAsia" w:ascii="宋体" w:hAnsi="宋体" w:eastAsia="宋体" w:cs="仿宋"/>
                <w:color w:val="000000" w:themeColor="text1"/>
                <w:sz w:val="28"/>
                <w:szCs w:val="28"/>
                <w:highlight w:val="none"/>
                <w14:textFill>
                  <w14:solidFill>
                    <w14:schemeClr w14:val="tx1"/>
                  </w14:solidFill>
                </w14:textFill>
              </w:rPr>
              <w:t>投标文件按规定签署及盖章；</w:t>
            </w:r>
          </w:p>
          <w:p w14:paraId="44217D50">
            <w:pPr>
              <w:snapToGrid w:val="0"/>
              <w:spacing w:line="52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4.</w:t>
            </w:r>
            <w:r>
              <w:rPr>
                <w:rFonts w:hint="eastAsia" w:ascii="宋体" w:hAnsi="宋体" w:eastAsia="宋体" w:cs="仿宋"/>
                <w:color w:val="000000" w:themeColor="text1"/>
                <w:sz w:val="28"/>
                <w:szCs w:val="28"/>
                <w:highlight w:val="none"/>
                <w14:textFill>
                  <w14:solidFill>
                    <w14:schemeClr w14:val="tx1"/>
                  </w14:solidFill>
                </w14:textFill>
              </w:rPr>
              <w:t>计划工期、质保期、质量标准满足招标文件要求；</w:t>
            </w:r>
          </w:p>
          <w:p w14:paraId="53D130EA">
            <w:pPr>
              <w:snapToGrid w:val="0"/>
              <w:spacing w:line="52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5.</w:t>
            </w:r>
            <w:r>
              <w:rPr>
                <w:rFonts w:hint="eastAsia" w:ascii="宋体" w:hAnsi="宋体" w:eastAsia="宋体" w:cs="仿宋"/>
                <w:color w:val="000000" w:themeColor="text1"/>
                <w:sz w:val="28"/>
                <w:szCs w:val="28"/>
                <w:highlight w:val="none"/>
                <w14:textFill>
                  <w14:solidFill>
                    <w14:schemeClr w14:val="tx1"/>
                  </w14:solidFill>
                </w14:textFill>
              </w:rPr>
              <w:t>不存在招标文件规定的关于投标人串通投标的情形及其他投标无效的情形。</w:t>
            </w:r>
          </w:p>
        </w:tc>
      </w:tr>
      <w:bookmarkEnd w:id="20"/>
      <w:bookmarkEnd w:id="21"/>
    </w:tbl>
    <w:p w14:paraId="2AA38A1D">
      <w:pPr>
        <w:pStyle w:val="5"/>
        <w:rPr>
          <w:rStyle w:val="454"/>
          <w:rFonts w:hint="eastAsia" w:ascii="宋体" w:hAnsi="宋体"/>
          <w:b/>
          <w:bCs/>
          <w:color w:val="000000" w:themeColor="text1"/>
          <w:kern w:val="2"/>
          <w:sz w:val="28"/>
          <w:szCs w:val="32"/>
          <w:highlight w:val="none"/>
          <w14:textFill>
            <w14:solidFill>
              <w14:schemeClr w14:val="tx1"/>
            </w14:solidFill>
          </w14:textFill>
        </w:rPr>
      </w:pPr>
      <w:bookmarkStart w:id="23" w:name="_Toc130891904"/>
      <w:bookmarkStart w:id="24" w:name="_Toc66864042"/>
      <w:r>
        <w:rPr>
          <w:rStyle w:val="454"/>
          <w:rFonts w:hint="eastAsia" w:ascii="宋体" w:hAnsi="宋体"/>
          <w:b/>
          <w:bCs/>
          <w:color w:val="000000" w:themeColor="text1"/>
          <w:kern w:val="2"/>
          <w:sz w:val="28"/>
          <w:szCs w:val="32"/>
          <w:highlight w:val="none"/>
          <w14:textFill>
            <w14:solidFill>
              <w14:schemeClr w14:val="tx1"/>
            </w14:solidFill>
          </w14:textFill>
        </w:rPr>
        <w:t>一、说明</w:t>
      </w:r>
      <w:bookmarkEnd w:id="23"/>
      <w:bookmarkEnd w:id="24"/>
    </w:p>
    <w:p w14:paraId="5EF64A8F">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2997297D">
      <w:pPr>
        <w:snapToGrid w:val="0"/>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bookmarkStart w:id="25" w:name="_Hlk154667578"/>
      <w:r>
        <w:rPr>
          <w:rFonts w:hint="eastAsia" w:ascii="宋体" w:hAnsi="宋体" w:eastAsia="宋体" w:cs="仿宋"/>
          <w:b/>
          <w:color w:val="000000" w:themeColor="text1"/>
          <w:sz w:val="28"/>
          <w:szCs w:val="28"/>
          <w:highlight w:val="none"/>
          <w14:textFill>
            <w14:solidFill>
              <w14:schemeClr w14:val="tx1"/>
            </w14:solidFill>
          </w14:textFill>
        </w:rPr>
        <w:t>1.适用范围</w:t>
      </w:r>
    </w:p>
    <w:p w14:paraId="271F7C93">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1.1 本招标文件仅适用于本次招标公告中所涉及的项目和内容。</w:t>
      </w:r>
    </w:p>
    <w:p w14:paraId="7DFAD6E9">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1.2 本招标文件的解释权为</w:t>
      </w:r>
      <w:r>
        <w:rPr>
          <w:rFonts w:ascii="宋体" w:hAnsi="宋体" w:eastAsia="宋体" w:cs="仿宋"/>
          <w:color w:val="000000" w:themeColor="text1"/>
          <w:sz w:val="28"/>
          <w:szCs w:val="28"/>
          <w:highlight w:val="none"/>
          <w14:textFill>
            <w14:solidFill>
              <w14:schemeClr w14:val="tx1"/>
            </w14:solidFill>
          </w14:textFill>
        </w:rPr>
        <w:t>招标代理机构</w:t>
      </w:r>
      <w:r>
        <w:rPr>
          <w:rFonts w:hint="eastAsia" w:ascii="宋体" w:hAnsi="宋体" w:eastAsia="宋体" w:cs="仿宋"/>
          <w:color w:val="000000" w:themeColor="text1"/>
          <w:sz w:val="28"/>
          <w:szCs w:val="28"/>
          <w:highlight w:val="none"/>
          <w14:textFill>
            <w14:solidFill>
              <w14:schemeClr w14:val="tx1"/>
            </w14:solidFill>
          </w14:textFill>
        </w:rPr>
        <w:t>，以书面解释为准。</w:t>
      </w:r>
    </w:p>
    <w:p w14:paraId="1B139BBD">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1.3本招标文件未做须知明示，而又有相关法律、法规规定的，从其规定。</w:t>
      </w:r>
    </w:p>
    <w:p w14:paraId="5A4A5522">
      <w:pPr>
        <w:snapToGrid w:val="0"/>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2.相关要求</w:t>
      </w:r>
    </w:p>
    <w:p w14:paraId="70B0F162">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2.1投标人应承担所有与准备和参加报价的全部费用。不论电子投标结果如何，</w:t>
      </w:r>
      <w:r>
        <w:rPr>
          <w:rFonts w:ascii="宋体" w:hAnsi="宋体" w:eastAsia="宋体" w:cs="仿宋"/>
          <w:color w:val="000000" w:themeColor="text1"/>
          <w:sz w:val="28"/>
          <w:szCs w:val="28"/>
          <w:highlight w:val="none"/>
          <w14:textFill>
            <w14:solidFill>
              <w14:schemeClr w14:val="tx1"/>
            </w14:solidFill>
          </w14:textFill>
        </w:rPr>
        <w:t>招标代理机构</w:t>
      </w:r>
      <w:r>
        <w:rPr>
          <w:rFonts w:hint="eastAsia" w:ascii="宋体" w:hAnsi="宋体" w:eastAsia="宋体" w:cs="仿宋"/>
          <w:color w:val="000000" w:themeColor="text1"/>
          <w:sz w:val="28"/>
          <w:szCs w:val="28"/>
          <w:highlight w:val="none"/>
          <w14:textFill>
            <w14:solidFill>
              <w14:schemeClr w14:val="tx1"/>
            </w14:solidFill>
          </w14:textFill>
        </w:rPr>
        <w:t>和招标人均无义务和责任承担这些费用。</w:t>
      </w:r>
    </w:p>
    <w:p w14:paraId="4F293C5B">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2.2本项目若涉及招标货物，则合格的货物及相应服务应满足以下要求：</w:t>
      </w:r>
    </w:p>
    <w:p w14:paraId="7BFD3D5B">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（1）必须是全新、未使用过的原装合格正品（包括零部件），如安装或配置了软件的，须为正版软件。</w:t>
      </w:r>
    </w:p>
    <w:p w14:paraId="3D27C525">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（2）国产的货物及其有关服务必须符合中华人民共和国的设计和制造生产标准或行业标准。招标公告有其他要求的，亦应符合其要求。</w:t>
      </w:r>
    </w:p>
    <w:p w14:paraId="39C2E44C">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04BD18DF">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4）投标人应保证，其所提供的货物在提供给招标人前具有完全的所有权，招标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656FCDA5">
      <w:pPr>
        <w:snapToGrid w:val="0"/>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2.3投标人应通过威海市公共资源交易网登录国企阳光采购平台获取招标文件，并通过</w:t>
      </w:r>
      <w:bookmarkStart w:id="26" w:name="_Hlk219903548"/>
      <w:r>
        <w:rPr>
          <w:rFonts w:hint="eastAsia" w:ascii="宋体" w:hAnsi="宋体" w:eastAsia="宋体" w:cs="仿宋"/>
          <w:b/>
          <w:color w:val="000000" w:themeColor="text1"/>
          <w:sz w:val="28"/>
          <w:szCs w:val="28"/>
          <w:highlight w:val="none"/>
          <w14:textFill>
            <w14:solidFill>
              <w14:schemeClr w14:val="tx1"/>
            </w14:solidFill>
          </w14:textFill>
        </w:rPr>
        <w:t>国企阳光采购平台</w:t>
      </w:r>
      <w:bookmarkEnd w:id="26"/>
      <w:r>
        <w:rPr>
          <w:rFonts w:hint="eastAsia" w:ascii="宋体" w:hAnsi="宋体" w:eastAsia="宋体" w:cs="仿宋"/>
          <w:b/>
          <w:color w:val="000000" w:themeColor="text1"/>
          <w:sz w:val="28"/>
          <w:szCs w:val="28"/>
          <w:highlight w:val="none"/>
          <w14:textFill>
            <w14:solidFill>
              <w14:schemeClr w14:val="tx1"/>
            </w14:solidFill>
          </w14:textFill>
        </w:rPr>
        <w:t>上传电子投标文件，电子投标文件成功上传后，将会生成投标回执，未通过国企阳光采购平台上传电子投标文件的，为无效投标。获取招标文件的投标人不足3家的，本项目直接废标。</w:t>
      </w:r>
    </w:p>
    <w:bookmarkEnd w:id="25"/>
    <w:p w14:paraId="0D311A59">
      <w:pPr>
        <w:pStyle w:val="5"/>
        <w:rPr>
          <w:rStyle w:val="454"/>
          <w:rFonts w:hint="eastAsia" w:ascii="宋体" w:hAnsi="宋体"/>
          <w:b/>
          <w:bCs/>
          <w:color w:val="000000" w:themeColor="text1"/>
          <w:kern w:val="2"/>
          <w:sz w:val="28"/>
          <w:szCs w:val="32"/>
          <w:highlight w:val="none"/>
          <w14:textFill>
            <w14:solidFill>
              <w14:schemeClr w14:val="tx1"/>
            </w14:solidFill>
          </w14:textFill>
        </w:rPr>
      </w:pPr>
      <w:bookmarkStart w:id="27" w:name="_Toc130891905"/>
      <w:bookmarkStart w:id="28" w:name="_Toc66864043"/>
      <w:r>
        <w:rPr>
          <w:rStyle w:val="454"/>
          <w:rFonts w:hint="eastAsia" w:ascii="宋体" w:hAnsi="宋体"/>
          <w:b/>
          <w:bCs/>
          <w:color w:val="000000" w:themeColor="text1"/>
          <w:kern w:val="2"/>
          <w:sz w:val="28"/>
          <w:szCs w:val="32"/>
          <w:highlight w:val="none"/>
          <w14:textFill>
            <w14:solidFill>
              <w14:schemeClr w14:val="tx1"/>
            </w14:solidFill>
          </w14:textFill>
        </w:rPr>
        <w:t>二、招标文件</w:t>
      </w:r>
      <w:bookmarkEnd w:id="27"/>
      <w:bookmarkEnd w:id="28"/>
    </w:p>
    <w:p w14:paraId="2FCC6EEC">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bookmarkStart w:id="29" w:name="_Hlk154667588"/>
      <w:r>
        <w:rPr>
          <w:rFonts w:hint="eastAsia" w:ascii="宋体" w:hAnsi="宋体" w:eastAsia="宋体" w:cs="仿宋"/>
          <w:b/>
          <w:color w:val="000000" w:themeColor="text1"/>
          <w:sz w:val="28"/>
          <w:szCs w:val="28"/>
          <w:highlight w:val="none"/>
          <w14:textFill>
            <w14:solidFill>
              <w14:schemeClr w14:val="tx1"/>
            </w14:solidFill>
          </w14:textFill>
        </w:rPr>
        <w:t>3.招标文件的构成</w:t>
      </w:r>
    </w:p>
    <w:p w14:paraId="50C81C1D">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由各包段本文件（word格式）和各包段的数据文件（excel格式）构成，采用压缩包电子版文件格式提供。</w:t>
      </w:r>
    </w:p>
    <w:p w14:paraId="27EB7035">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3.1 本文件（word格式）由下列文件组成：</w:t>
      </w:r>
    </w:p>
    <w:p w14:paraId="0E3C7BC5">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（1）招标公告</w:t>
      </w:r>
    </w:p>
    <w:p w14:paraId="4164F83A">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（2）投标须知</w:t>
      </w:r>
    </w:p>
    <w:p w14:paraId="5993A3BB">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（3）开标、评标、定标</w:t>
      </w:r>
    </w:p>
    <w:p w14:paraId="0FFD34E6">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（4）招标项目说明</w:t>
      </w:r>
    </w:p>
    <w:p w14:paraId="7FE3079C">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（5）投标文件格式</w:t>
      </w:r>
    </w:p>
    <w:p w14:paraId="43A7E462">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（6）合同（范本）</w:t>
      </w:r>
    </w:p>
    <w:p w14:paraId="1AF14F0F">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（7）在招标过程中由招标人或招标代理机构发出的修正和补充文件等（如有）</w:t>
      </w:r>
    </w:p>
    <w:p w14:paraId="3672A28E">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3.2 数据文件（excel格式）由下列文件组成：</w:t>
      </w:r>
    </w:p>
    <w:p w14:paraId="66D2EC96">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（1）封面</w:t>
      </w:r>
    </w:p>
    <w:p w14:paraId="44CB2FE0">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（2）投标报价表（含明细）</w:t>
      </w:r>
    </w:p>
    <w:p w14:paraId="41F8881B">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（3）需求响应表（如有）</w:t>
      </w:r>
    </w:p>
    <w:p w14:paraId="768A4494">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（4）评审对照表</w:t>
      </w:r>
    </w:p>
    <w:p w14:paraId="3175DAA0">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（5）评分对照表（如有）</w:t>
      </w:r>
    </w:p>
    <w:p w14:paraId="11510585">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29"/>
    <w:p w14:paraId="6C4D672D">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4.招标文件的澄清</w:t>
      </w:r>
    </w:p>
    <w:p w14:paraId="707C1B76">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bookmarkStart w:id="30" w:name="_Hlk154667598"/>
      <w:r>
        <w:rPr>
          <w:rFonts w:hint="eastAsia" w:ascii="宋体" w:hAnsi="宋体" w:eastAsia="宋体" w:cs="仿宋"/>
          <w:color w:val="000000" w:themeColor="text1"/>
          <w:sz w:val="28"/>
          <w:szCs w:val="28"/>
          <w:highlight w:val="none"/>
          <w14:textFill>
            <w14:solidFill>
              <w14:schemeClr w14:val="tx1"/>
            </w14:solidFill>
          </w14:textFill>
        </w:rPr>
        <w:t>4.1投标人在收到招标文件后，对招标文件若有任何疑问或要求澄清招标文件的，应在投标截止2日以前按“投标须知前附表”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64367048">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4.2投标人在规定的时间内未对招标文件澄清或提出疑问的，招标代理机构将视其为接受招标文件的所有条款，对招标文件没有异议，此后也不再受理对招标文件的相关质疑。</w:t>
      </w:r>
    </w:p>
    <w:bookmarkEnd w:id="30"/>
    <w:p w14:paraId="177E6216">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5.招标文件的修改</w:t>
      </w:r>
    </w:p>
    <w:p w14:paraId="668596FE">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5.l在投标截止时间2日以前，无论出于何种原因，招标代理机构或招标人可主动或在解答投标人提出的疑问时对招标文件进行修改。</w:t>
      </w:r>
    </w:p>
    <w:p w14:paraId="2DFE8689">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187BFDB4">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67C0A440">
      <w:pPr>
        <w:pStyle w:val="5"/>
        <w:rPr>
          <w:rStyle w:val="454"/>
          <w:rFonts w:hint="eastAsia" w:ascii="宋体" w:hAnsi="宋体"/>
          <w:b/>
          <w:bCs/>
          <w:color w:val="000000" w:themeColor="text1"/>
          <w:kern w:val="2"/>
          <w:sz w:val="28"/>
          <w:szCs w:val="32"/>
          <w:highlight w:val="none"/>
          <w14:textFill>
            <w14:solidFill>
              <w14:schemeClr w14:val="tx1"/>
            </w14:solidFill>
          </w14:textFill>
        </w:rPr>
      </w:pPr>
      <w:bookmarkStart w:id="31" w:name="_Toc130891906"/>
      <w:bookmarkStart w:id="32" w:name="_Toc66864044"/>
      <w:r>
        <w:rPr>
          <w:rStyle w:val="454"/>
          <w:rFonts w:hint="eastAsia" w:ascii="宋体" w:hAnsi="宋体"/>
          <w:b/>
          <w:bCs/>
          <w:color w:val="000000" w:themeColor="text1"/>
          <w:kern w:val="2"/>
          <w:sz w:val="28"/>
          <w:szCs w:val="32"/>
          <w:highlight w:val="none"/>
          <w14:textFill>
            <w14:solidFill>
              <w14:schemeClr w14:val="tx1"/>
            </w14:solidFill>
          </w14:textFill>
        </w:rPr>
        <w:t>三、投标文件的编制</w:t>
      </w:r>
      <w:bookmarkEnd w:id="31"/>
      <w:bookmarkEnd w:id="32"/>
    </w:p>
    <w:p w14:paraId="646A1E7D">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bookmarkStart w:id="33" w:name="_Hlk154667644"/>
      <w:r>
        <w:rPr>
          <w:rFonts w:hint="eastAsia" w:ascii="宋体" w:hAnsi="宋体" w:eastAsia="宋体" w:cs="仿宋"/>
          <w:b/>
          <w:color w:val="000000" w:themeColor="text1"/>
          <w:sz w:val="28"/>
          <w:szCs w:val="28"/>
          <w:highlight w:val="none"/>
          <w14:textFill>
            <w14:solidFill>
              <w14:schemeClr w14:val="tx1"/>
            </w14:solidFill>
          </w14:textFill>
        </w:rPr>
        <w:t>6.投标文件编制要求</w:t>
      </w:r>
    </w:p>
    <w:p w14:paraId="5620892F">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6.1投标人编写的文件和往来信件应以简体中文书写。如果投标文件或与投标有关的其它文件、信件及来往函电以其它语言书写的，投标人应将其译成中文，如未翻译该文件为无效文件。</w:t>
      </w:r>
    </w:p>
    <w:p w14:paraId="393BBFDE">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6.2投标文件中使用的计量单位应使用中华人民共和国法定计量单位。</w:t>
      </w:r>
    </w:p>
    <w:p w14:paraId="443C81CA">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604BE990">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6.4投标人应参照招标文件中提供的投标文件格式（详见第五章 投标文件格式）按包段编写投标文件。</w:t>
      </w:r>
    </w:p>
    <w:p w14:paraId="5B4C2894">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6.5投标人按照招标文件要求所提供的各种证明文件必须真实且合法有效，确保清晰度可辨认，评审时由于无法辨认所产生的后果，由投标人自行承担。</w:t>
      </w:r>
    </w:p>
    <w:p w14:paraId="13BDABDB">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6E76AE39">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6.7为了保证系统整体效率，系统对所投递的电子文件有大小的限制，因此，投标人应尽可能降低本文件的大小，小尺寸投标文件将使提交更快捷、减少差错发生几率，避免投标截止时间前未能完整上传文件。</w:t>
      </w:r>
    </w:p>
    <w:p w14:paraId="5A06AD5A">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6.8投标文件具有法律效力，投标人与招标代理机构或招标人任何人的口头协议不影响投标文件的任何条款和内容。</w:t>
      </w:r>
    </w:p>
    <w:p w14:paraId="4D353E38">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6.9招标人或招标代理机构均无义务向投标人解释其中标或未中标的原因，且无论投标人是否中标，投标人所提交的投标文件均不予退还，不提供副本拷贝。</w:t>
      </w:r>
    </w:p>
    <w:bookmarkEnd w:id="33"/>
    <w:p w14:paraId="0EA0D319">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bookmarkStart w:id="34" w:name="_Hlk154667652"/>
      <w:r>
        <w:rPr>
          <w:rFonts w:hint="eastAsia" w:ascii="宋体" w:hAnsi="宋体" w:eastAsia="宋体" w:cs="仿宋"/>
          <w:b/>
          <w:color w:val="000000" w:themeColor="text1"/>
          <w:sz w:val="28"/>
          <w:szCs w:val="28"/>
          <w:highlight w:val="none"/>
          <w14:textFill>
            <w14:solidFill>
              <w14:schemeClr w14:val="tx1"/>
            </w14:solidFill>
          </w14:textFill>
        </w:rPr>
        <w:t>7.数据文件编制要求</w:t>
      </w:r>
    </w:p>
    <w:p w14:paraId="4ACF1703">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w:t>
      </w:r>
      <w:r>
        <w:rPr>
          <w:rFonts w:ascii="宋体" w:hAnsi="宋体" w:eastAsia="宋体" w:cs="仿宋"/>
          <w:color w:val="000000" w:themeColor="text1"/>
          <w:sz w:val="28"/>
          <w:szCs w:val="28"/>
          <w:highlight w:val="none"/>
          <w14:textFill>
            <w14:solidFill>
              <w14:schemeClr w14:val="tx1"/>
            </w14:solidFill>
          </w14:textFill>
        </w:rPr>
        <w:t>、对工作表先后顺序的变动，</w:t>
      </w:r>
      <w:r>
        <w:rPr>
          <w:rFonts w:hint="eastAsia" w:ascii="宋体" w:hAnsi="宋体" w:eastAsia="宋体" w:cs="仿宋"/>
          <w:color w:val="000000" w:themeColor="text1"/>
          <w:sz w:val="28"/>
          <w:szCs w:val="28"/>
          <w:highlight w:val="none"/>
          <w14:textFill>
            <w14:solidFill>
              <w14:schemeClr w14:val="tx1"/>
            </w14:solidFill>
          </w14:textFill>
        </w:rPr>
        <w:t>以及对锁定区域内的数据进行更改、</w:t>
      </w:r>
      <w:r>
        <w:rPr>
          <w:rFonts w:hint="eastAsia" w:ascii="宋体" w:hAnsi="宋体" w:eastAsia="宋体" w:cs="仿宋"/>
          <w:b/>
          <w:color w:val="000000" w:themeColor="text1"/>
          <w:sz w:val="28"/>
          <w:szCs w:val="28"/>
          <w:highlight w:val="none"/>
          <w14:textFill>
            <w14:solidFill>
              <w14:schemeClr w14:val="tx1"/>
            </w14:solidFill>
          </w14:textFill>
        </w:rPr>
        <w:t>文件另存到其他文件</w:t>
      </w:r>
      <w:r>
        <w:rPr>
          <w:rFonts w:hint="eastAsia" w:ascii="宋体" w:hAnsi="宋体" w:eastAsia="宋体" w:cs="仿宋"/>
          <w:color w:val="000000" w:themeColor="text1"/>
          <w:sz w:val="28"/>
          <w:szCs w:val="28"/>
          <w:highlight w:val="none"/>
          <w14:textFill>
            <w14:solidFill>
              <w14:schemeClr w14:val="tx1"/>
            </w14:solidFill>
          </w14:textFill>
        </w:rPr>
        <w:t>等违规性操作，都会破坏本文件中的数字指纹，导致系统无法接收该文件使其</w:t>
      </w:r>
      <w:r>
        <w:rPr>
          <w:rFonts w:hint="eastAsia" w:ascii="宋体" w:hAnsi="宋体" w:eastAsia="宋体" w:cs="仿宋"/>
          <w:b/>
          <w:color w:val="000000" w:themeColor="text1"/>
          <w:sz w:val="28"/>
          <w:szCs w:val="28"/>
          <w:highlight w:val="none"/>
          <w14:textFill>
            <w14:solidFill>
              <w14:schemeClr w14:val="tx1"/>
            </w14:solidFill>
          </w14:textFill>
        </w:rPr>
        <w:t>投标失败</w:t>
      </w:r>
      <w:r>
        <w:rPr>
          <w:rFonts w:hint="eastAsia" w:ascii="宋体" w:hAnsi="宋体" w:eastAsia="宋体" w:cs="仿宋"/>
          <w:color w:val="000000" w:themeColor="text1"/>
          <w:sz w:val="28"/>
          <w:szCs w:val="28"/>
          <w:highlight w:val="none"/>
          <w14:textFill>
            <w14:solidFill>
              <w14:schemeClr w14:val="tx1"/>
            </w14:solidFill>
          </w14:textFill>
        </w:rPr>
        <w:t>。</w:t>
      </w:r>
    </w:p>
    <w:p w14:paraId="05B29906">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宋体" w:hAnsi="宋体" w:eastAsia="宋体" w:cs="仿宋"/>
          <w:b/>
          <w:color w:val="000000" w:themeColor="text1"/>
          <w:sz w:val="28"/>
          <w:szCs w:val="28"/>
          <w:highlight w:val="none"/>
          <w14:textFill>
            <w14:solidFill>
              <w14:schemeClr w14:val="tx1"/>
            </w14:solidFill>
          </w14:textFill>
        </w:rPr>
        <w:t>投标失败</w:t>
      </w:r>
      <w:r>
        <w:rPr>
          <w:rFonts w:hint="eastAsia" w:ascii="宋体" w:hAnsi="宋体" w:eastAsia="宋体" w:cs="仿宋"/>
          <w:color w:val="000000" w:themeColor="text1"/>
          <w:sz w:val="28"/>
          <w:szCs w:val="28"/>
          <w:highlight w:val="none"/>
          <w14:textFill>
            <w14:solidFill>
              <w14:schemeClr w14:val="tx1"/>
            </w14:solidFill>
          </w14:textFill>
        </w:rPr>
        <w:t>。</w:t>
      </w:r>
    </w:p>
    <w:p w14:paraId="2FA520DF">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7.3投标人在对数据文件电子签章前，应按照上述2项的要求进行认真检查、确认。因投标人自身原因所导致其投标失败的，须自行承担相关责任。</w:t>
      </w:r>
    </w:p>
    <w:bookmarkEnd w:id="34"/>
    <w:p w14:paraId="6CEACC7F">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bookmarkStart w:id="35" w:name="_Hlk154667662"/>
      <w:r>
        <w:rPr>
          <w:rFonts w:hint="eastAsia" w:ascii="宋体" w:hAnsi="宋体" w:eastAsia="宋体" w:cs="仿宋"/>
          <w:b/>
          <w:color w:val="000000" w:themeColor="text1"/>
          <w:sz w:val="28"/>
          <w:szCs w:val="28"/>
          <w:highlight w:val="none"/>
          <w14:textFill>
            <w14:solidFill>
              <w14:schemeClr w14:val="tx1"/>
            </w14:solidFill>
          </w14:textFill>
        </w:rPr>
        <w:t>8.文件构成</w:t>
      </w:r>
    </w:p>
    <w:p w14:paraId="06B41AE7">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投标人应按不同包段分别编制投标文件，每个包段的投标文件分两册必须包括：投标文件（pdf格式）（第一册）、数据文件（PDF格式）（第二册），以上内容缺一不可，否则为</w:t>
      </w:r>
      <w:r>
        <w:rPr>
          <w:rFonts w:hint="eastAsia" w:ascii="宋体" w:hAnsi="宋体" w:eastAsia="宋体" w:cs="仿宋"/>
          <w:b/>
          <w:color w:val="000000" w:themeColor="text1"/>
          <w:sz w:val="28"/>
          <w:szCs w:val="28"/>
          <w:highlight w:val="none"/>
          <w14:textFill>
            <w14:solidFill>
              <w14:schemeClr w14:val="tx1"/>
            </w14:solidFill>
          </w14:textFill>
        </w:rPr>
        <w:t>无效投标</w:t>
      </w:r>
      <w:r>
        <w:rPr>
          <w:rFonts w:hint="eastAsia" w:ascii="宋体" w:hAnsi="宋体" w:eastAsia="宋体" w:cs="仿宋"/>
          <w:color w:val="000000" w:themeColor="text1"/>
          <w:sz w:val="28"/>
          <w:szCs w:val="28"/>
          <w:highlight w:val="none"/>
          <w14:textFill>
            <w14:solidFill>
              <w14:schemeClr w14:val="tx1"/>
            </w14:solidFill>
          </w14:textFill>
        </w:rPr>
        <w:t>。</w:t>
      </w:r>
    </w:p>
    <w:p w14:paraId="4678BFA6">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8.1投标人编制的投标文件（pdf格式）（第一册）应包括但不少于下列内容：</w:t>
      </w:r>
    </w:p>
    <w:p w14:paraId="215D11D5">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（1）投标文件封面</w:t>
      </w:r>
    </w:p>
    <w:p w14:paraId="0A81D9A5">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（2）投标文件目录</w:t>
      </w:r>
    </w:p>
    <w:p w14:paraId="32874A70">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（3）投标承诺函</w:t>
      </w:r>
    </w:p>
    <w:p w14:paraId="0B3F66B5">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w:t>
      </w:r>
      <w:r>
        <w:rPr>
          <w:rFonts w:ascii="宋体" w:hAnsi="宋体" w:eastAsia="宋体" w:cs="仿宋"/>
          <w:color w:val="000000" w:themeColor="text1"/>
          <w:sz w:val="28"/>
          <w:szCs w:val="28"/>
          <w:highlight w:val="none"/>
          <w14:textFill>
            <w14:solidFill>
              <w14:schemeClr w14:val="tx1"/>
            </w14:solidFill>
          </w14:textFill>
        </w:rPr>
        <w:t>4</w:t>
      </w:r>
      <w:r>
        <w:rPr>
          <w:rFonts w:hint="eastAsia" w:ascii="宋体" w:hAnsi="宋体" w:eastAsia="宋体" w:cs="仿宋"/>
          <w:color w:val="000000" w:themeColor="text1"/>
          <w:sz w:val="28"/>
          <w:szCs w:val="28"/>
          <w:highlight w:val="none"/>
          <w14:textFill>
            <w14:solidFill>
              <w14:schemeClr w14:val="tx1"/>
            </w14:solidFill>
          </w14:textFill>
        </w:rPr>
        <w:t>）投标（报价）一览表</w:t>
      </w:r>
    </w:p>
    <w:p w14:paraId="1A53F430">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（5）工程量清单报价表</w:t>
      </w:r>
    </w:p>
    <w:p w14:paraId="21CBA563">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（6）投标人资格证明文件</w:t>
      </w:r>
    </w:p>
    <w:bookmarkEnd w:id="35"/>
    <w:p w14:paraId="1C94998A">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bookmarkStart w:id="36" w:name="_Hlk210808393"/>
      <w:r>
        <w:rPr>
          <w:rFonts w:hint="eastAsia" w:ascii="宋体" w:hAnsi="宋体" w:eastAsia="宋体" w:cs="仿宋"/>
          <w:color w:val="000000" w:themeColor="text1"/>
          <w:sz w:val="28"/>
          <w:szCs w:val="28"/>
          <w:highlight w:val="none"/>
          <w14:textFill>
            <w14:solidFill>
              <w14:schemeClr w14:val="tx1"/>
            </w14:solidFill>
          </w14:textFill>
        </w:rPr>
        <w:t>1）投标人有效的营业执照扫描件；</w:t>
      </w:r>
    </w:p>
    <w:p w14:paraId="0BD2FD0E">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2）项目负责人（项目经理）有效的市政公用工程二级及以上建造师注册证书，有效的安全生产考核合格证（B证）扫描件；</w:t>
      </w:r>
    </w:p>
    <w:p w14:paraId="3842C539">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3）法定代表人身份证明、法定代表人身份证扫描件；</w:t>
      </w:r>
    </w:p>
    <w:p w14:paraId="7494EBF4">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4）法定代表人授权委托书、被授权人身份证扫描件；</w:t>
      </w:r>
    </w:p>
    <w:p w14:paraId="102CDE17">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5）投标人信用承诺书；</w:t>
      </w:r>
    </w:p>
    <w:p w14:paraId="2450C1F1">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6）投标人参与投标的声明函；</w:t>
      </w:r>
    </w:p>
    <w:p w14:paraId="492D0D1F">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7）交纳投标保证金的证明材料（两者缺一不可）：a.企业银行基本账户开户证明（如开户许可证或银行开户证明等）、b.电汇凭证或电子汇款截图扫描件；</w:t>
      </w:r>
    </w:p>
    <w:p w14:paraId="605D3E8B">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8）投标人、法定代表人、委托代理人、</w:t>
      </w:r>
      <w:r>
        <w:rPr>
          <w:rFonts w:hint="eastAsia" w:ascii="宋体" w:hAnsi="宋体" w:eastAsia="宋体" w:cs="仿宋"/>
          <w:color w:val="000000" w:themeColor="text1"/>
          <w:spacing w:val="8"/>
          <w:kern w:val="0"/>
          <w:sz w:val="28"/>
          <w:szCs w:val="28"/>
          <w:highlight w:val="none"/>
          <w14:textFill>
            <w14:solidFill>
              <w14:schemeClr w14:val="tx1"/>
            </w14:solidFill>
          </w14:textFill>
        </w:rPr>
        <w:t>项目负责人（项目经理）</w:t>
      </w:r>
      <w:r>
        <w:rPr>
          <w:rFonts w:hint="eastAsia" w:ascii="宋体" w:hAnsi="宋体" w:eastAsia="宋体" w:cs="仿宋"/>
          <w:color w:val="000000" w:themeColor="text1"/>
          <w:sz w:val="28"/>
          <w:szCs w:val="28"/>
          <w:highlight w:val="none"/>
          <w14:textFill>
            <w14:solidFill>
              <w14:schemeClr w14:val="tx1"/>
            </w14:solidFill>
          </w14:textFill>
        </w:rPr>
        <w:t>未被最高法院（查询网址为：http://zxgk.court.gov.cn/shixin/）列入失信被执行人查询截图。投标文件附通过网站查询信息记录，包含投标人、法定代表人、委托代理人、</w:t>
      </w:r>
      <w:r>
        <w:rPr>
          <w:rFonts w:hint="eastAsia" w:ascii="宋体" w:hAnsi="宋体" w:eastAsia="宋体" w:cs="仿宋"/>
          <w:color w:val="000000" w:themeColor="text1"/>
          <w:spacing w:val="8"/>
          <w:kern w:val="0"/>
          <w:sz w:val="28"/>
          <w:szCs w:val="28"/>
          <w:highlight w:val="none"/>
          <w14:textFill>
            <w14:solidFill>
              <w14:schemeClr w14:val="tx1"/>
            </w14:solidFill>
          </w14:textFill>
        </w:rPr>
        <w:t>项目负责人（项目经理）</w:t>
      </w:r>
      <w:r>
        <w:rPr>
          <w:rFonts w:hint="eastAsia" w:ascii="宋体" w:hAnsi="宋体" w:eastAsia="宋体" w:cs="仿宋"/>
          <w:color w:val="000000" w:themeColor="text1"/>
          <w:sz w:val="28"/>
          <w:szCs w:val="28"/>
          <w:highlight w:val="none"/>
          <w14:textFill>
            <w14:solidFill>
              <w14:schemeClr w14:val="tx1"/>
            </w14:solidFill>
          </w14:textFill>
        </w:rPr>
        <w:t>失信被执行人情况网页截图（省份为全部）；</w:t>
      </w:r>
    </w:p>
    <w:p w14:paraId="1CE495A0">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9）投标人近一年在“</w:t>
      </w:r>
      <w:r>
        <w:rPr>
          <w:rFonts w:ascii="宋体" w:hAnsi="宋体" w:eastAsia="宋体" w:cs="仿宋"/>
          <w:color w:val="000000" w:themeColor="text1"/>
          <w:sz w:val="28"/>
          <w:szCs w:val="28"/>
          <w:highlight w:val="none"/>
          <w14:textFill>
            <w14:solidFill>
              <w14:schemeClr w14:val="tx1"/>
            </w14:solidFill>
          </w14:textFill>
        </w:rPr>
        <w:t>信用中国</w:t>
      </w:r>
      <w:r>
        <w:rPr>
          <w:rFonts w:hint="eastAsia" w:ascii="宋体" w:hAnsi="宋体" w:eastAsia="宋体" w:cs="仿宋"/>
          <w:color w:val="000000" w:themeColor="text1"/>
          <w:sz w:val="28"/>
          <w:szCs w:val="28"/>
          <w:highlight w:val="none"/>
          <w14:textFill>
            <w14:solidFill>
              <w14:schemeClr w14:val="tx1"/>
            </w14:solidFill>
          </w14:textFill>
        </w:rPr>
        <w:t>”</w:t>
      </w:r>
      <w:r>
        <w:rPr>
          <w:rFonts w:ascii="宋体" w:hAnsi="宋体" w:eastAsia="宋体" w:cs="仿宋"/>
          <w:color w:val="000000" w:themeColor="text1"/>
          <w:sz w:val="28"/>
          <w:szCs w:val="28"/>
          <w:highlight w:val="none"/>
          <w14:textFill>
            <w14:solidFill>
              <w14:schemeClr w14:val="tx1"/>
            </w14:solidFill>
          </w14:textFill>
        </w:rPr>
        <w:t>或</w:t>
      </w:r>
      <w:r>
        <w:rPr>
          <w:rFonts w:hint="eastAsia" w:ascii="宋体" w:hAnsi="宋体" w:eastAsia="宋体" w:cs="仿宋"/>
          <w:color w:val="000000" w:themeColor="text1"/>
          <w:sz w:val="28"/>
          <w:szCs w:val="28"/>
          <w:highlight w:val="none"/>
          <w14:textFill>
            <w14:solidFill>
              <w14:schemeClr w14:val="tx1"/>
            </w14:solidFill>
          </w14:textFill>
        </w:rPr>
        <w:t>“</w:t>
      </w:r>
      <w:r>
        <w:rPr>
          <w:rFonts w:ascii="宋体" w:hAnsi="宋体" w:eastAsia="宋体" w:cs="仿宋"/>
          <w:color w:val="000000" w:themeColor="text1"/>
          <w:sz w:val="28"/>
          <w:szCs w:val="28"/>
          <w:highlight w:val="none"/>
          <w14:textFill>
            <w14:solidFill>
              <w14:schemeClr w14:val="tx1"/>
            </w14:solidFill>
          </w14:textFill>
        </w:rPr>
        <w:t>信用中国（山东）</w:t>
      </w:r>
      <w:r>
        <w:rPr>
          <w:rFonts w:hint="eastAsia" w:ascii="宋体" w:hAnsi="宋体" w:eastAsia="宋体" w:cs="仿宋"/>
          <w:color w:val="000000" w:themeColor="text1"/>
          <w:sz w:val="28"/>
          <w:szCs w:val="28"/>
          <w:highlight w:val="none"/>
          <w14:textFill>
            <w14:solidFill>
              <w14:schemeClr w14:val="tx1"/>
            </w14:solidFill>
          </w14:textFill>
        </w:rPr>
        <w:t>”</w:t>
      </w:r>
      <w:r>
        <w:rPr>
          <w:rFonts w:ascii="宋体" w:hAnsi="宋体" w:eastAsia="宋体" w:cs="仿宋"/>
          <w:color w:val="000000" w:themeColor="text1"/>
          <w:sz w:val="28"/>
          <w:szCs w:val="28"/>
          <w:highlight w:val="none"/>
          <w14:textFill>
            <w14:solidFill>
              <w14:schemeClr w14:val="tx1"/>
            </w14:solidFill>
          </w14:textFill>
        </w:rPr>
        <w:t>无严重失信记录</w:t>
      </w:r>
      <w:r>
        <w:rPr>
          <w:rFonts w:hint="eastAsia" w:ascii="宋体" w:hAnsi="宋体" w:eastAsia="宋体" w:cs="仿宋"/>
          <w:color w:val="000000" w:themeColor="text1"/>
          <w:sz w:val="28"/>
          <w:szCs w:val="28"/>
          <w:highlight w:val="none"/>
          <w14:textFill>
            <w14:solidFill>
              <w14:schemeClr w14:val="tx1"/>
            </w14:solidFill>
          </w14:textFill>
        </w:rPr>
        <w:t>，投标文件中需附通过信用中国（查询网址：</w:t>
      </w:r>
      <w:r>
        <w:rPr>
          <w:rFonts w:ascii="宋体" w:hAnsi="宋体" w:eastAsia="宋体" w:cs="仿宋"/>
          <w:color w:val="000000" w:themeColor="text1"/>
          <w:sz w:val="28"/>
          <w:szCs w:val="28"/>
          <w:highlight w:val="none"/>
          <w14:textFill>
            <w14:solidFill>
              <w14:schemeClr w14:val="tx1"/>
            </w14:solidFill>
          </w14:textFill>
        </w:rPr>
        <w:t>https://www.creditchina.gov.cn）</w:t>
      </w:r>
      <w:r>
        <w:rPr>
          <w:rFonts w:hint="eastAsia" w:ascii="宋体" w:hAnsi="宋体" w:eastAsia="宋体" w:cs="仿宋"/>
          <w:color w:val="000000" w:themeColor="text1"/>
          <w:sz w:val="28"/>
          <w:szCs w:val="28"/>
          <w:highlight w:val="none"/>
          <w14:textFill>
            <w14:solidFill>
              <w14:schemeClr w14:val="tx1"/>
            </w14:solidFill>
          </w14:textFill>
        </w:rPr>
        <w:t>查询的信用报告</w:t>
      </w:r>
      <w:r>
        <w:rPr>
          <w:rFonts w:ascii="宋体" w:hAnsi="宋体" w:eastAsia="宋体" w:cs="仿宋"/>
          <w:color w:val="000000" w:themeColor="text1"/>
          <w:sz w:val="28"/>
          <w:szCs w:val="28"/>
          <w:highlight w:val="none"/>
          <w14:textFill>
            <w14:solidFill>
              <w14:schemeClr w14:val="tx1"/>
            </w14:solidFill>
          </w14:textFill>
        </w:rPr>
        <w:t>或信用中国（山东）（</w:t>
      </w:r>
      <w:r>
        <w:rPr>
          <w:rFonts w:hint="eastAsia" w:ascii="宋体" w:hAnsi="宋体" w:eastAsia="宋体" w:cs="仿宋"/>
          <w:color w:val="000000" w:themeColor="text1"/>
          <w:sz w:val="28"/>
          <w:szCs w:val="28"/>
          <w:highlight w:val="none"/>
          <w14:textFill>
            <w14:solidFill>
              <w14:schemeClr w14:val="tx1"/>
            </w14:solidFill>
          </w14:textFill>
        </w:rPr>
        <w:t>查询网站：</w:t>
      </w:r>
      <w:r>
        <w:rPr>
          <w:rFonts w:ascii="宋体" w:hAnsi="宋体" w:eastAsia="宋体" w:cs="仿宋"/>
          <w:color w:val="000000" w:themeColor="text1"/>
          <w:sz w:val="28"/>
          <w:szCs w:val="28"/>
          <w:highlight w:val="none"/>
          <w14:textFill>
            <w14:solidFill>
              <w14:schemeClr w14:val="tx1"/>
            </w14:solidFill>
          </w14:textFill>
        </w:rPr>
        <w:t>https://credit.shandong.gov.cn）查询的信用报告</w:t>
      </w:r>
      <w:r>
        <w:rPr>
          <w:rFonts w:hint="eastAsia" w:ascii="宋体" w:hAnsi="宋体" w:eastAsia="宋体" w:cs="仿宋"/>
          <w:color w:val="000000" w:themeColor="text1"/>
          <w:sz w:val="28"/>
          <w:szCs w:val="28"/>
          <w:highlight w:val="none"/>
          <w14:textFill>
            <w14:solidFill>
              <w14:schemeClr w14:val="tx1"/>
            </w14:solidFill>
          </w14:textFill>
        </w:rPr>
        <w:t>；</w:t>
      </w:r>
    </w:p>
    <w:p w14:paraId="084CCB88">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10）投标人认为需要提供的资质资格证明文件。</w:t>
      </w:r>
    </w:p>
    <w:p w14:paraId="0528E0EC">
      <w:pPr>
        <w:snapToGrid w:val="0"/>
        <w:spacing w:line="560" w:lineRule="exact"/>
        <w:ind w:firstLine="565" w:firstLineChars="201"/>
        <w:rPr>
          <w:rFonts w:hint="eastAsia" w:ascii="宋体" w:hAnsi="宋体" w:eastAsia="宋体" w:cs="仿宋"/>
          <w:b/>
          <w:bCs/>
          <w:color w:val="000000" w:themeColor="text1"/>
          <w:sz w:val="28"/>
          <w:szCs w:val="28"/>
          <w:highlight w:val="none"/>
          <w14:textFill>
            <w14:solidFill>
              <w14:schemeClr w14:val="tx1"/>
            </w14:solidFill>
          </w14:textFill>
        </w:rPr>
      </w:pPr>
      <w:r>
        <w:rPr>
          <w:rFonts w:hint="eastAsia" w:ascii="宋体" w:hAnsi="宋体" w:eastAsia="宋体" w:cs="仿宋"/>
          <w:b/>
          <w:bCs/>
          <w:color w:val="000000" w:themeColor="text1"/>
          <w:sz w:val="28"/>
          <w:szCs w:val="28"/>
          <w:highlight w:val="none"/>
          <w14:textFill>
            <w14:solidFill>
              <w14:schemeClr w14:val="tx1"/>
            </w14:solidFill>
          </w14:textFill>
        </w:rPr>
        <w:t>以上所有资质资格证明文件均需加盖投标人公章</w:t>
      </w:r>
    </w:p>
    <w:p w14:paraId="0C498046">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（7）投标人基本情况表</w:t>
      </w:r>
    </w:p>
    <w:p w14:paraId="4EA6724C">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（8）投标人自2023年1月1日至今承揽的类似项目业绩表</w:t>
      </w:r>
    </w:p>
    <w:p w14:paraId="4571B63E">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（9）项目管理机构组成表</w:t>
      </w:r>
    </w:p>
    <w:p w14:paraId="627B9A8F">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（10）技术文件</w:t>
      </w:r>
    </w:p>
    <w:bookmarkEnd w:id="36"/>
    <w:p w14:paraId="3AE54EB2">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bookmarkStart w:id="37" w:name="_Hlk154667818"/>
      <w:r>
        <w:rPr>
          <w:rFonts w:hint="eastAsia" w:ascii="宋体" w:hAnsi="宋体" w:eastAsia="宋体" w:cs="仿宋"/>
          <w:color w:val="000000" w:themeColor="text1"/>
          <w:sz w:val="28"/>
          <w:szCs w:val="28"/>
          <w:highlight w:val="none"/>
          <w14:textFill>
            <w14:solidFill>
              <w14:schemeClr w14:val="tx1"/>
            </w14:solidFill>
          </w14:textFill>
        </w:rPr>
        <w:t>8.2数据文件（PDF格式）（第二册）</w:t>
      </w:r>
    </w:p>
    <w:p w14:paraId="0A08C7FA">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投标人须从本项目招标文件压缩包内获取对应包段的数据文件（EXCEL格式），并严格按照要求填写。填写完成后在国企阳光采购平台中上传该数据文件（EXCEL格式），系统将自动转换为PDF格式，再加盖投标人电子印章，未按要求填写或盖章为</w:t>
      </w:r>
      <w:r>
        <w:rPr>
          <w:rFonts w:hint="eastAsia" w:ascii="宋体" w:hAnsi="宋体" w:eastAsia="宋体" w:cs="仿宋"/>
          <w:b/>
          <w:color w:val="000000" w:themeColor="text1"/>
          <w:sz w:val="28"/>
          <w:szCs w:val="28"/>
          <w:highlight w:val="none"/>
          <w14:textFill>
            <w14:solidFill>
              <w14:schemeClr w14:val="tx1"/>
            </w14:solidFill>
          </w14:textFill>
        </w:rPr>
        <w:t>无效投标</w:t>
      </w:r>
      <w:r>
        <w:rPr>
          <w:rFonts w:hint="eastAsia" w:ascii="宋体" w:hAnsi="宋体" w:eastAsia="宋体" w:cs="仿宋"/>
          <w:color w:val="000000" w:themeColor="text1"/>
          <w:sz w:val="28"/>
          <w:szCs w:val="28"/>
          <w:highlight w:val="none"/>
          <w14:textFill>
            <w14:solidFill>
              <w14:schemeClr w14:val="tx1"/>
            </w14:solidFill>
          </w14:textFill>
        </w:rPr>
        <w:t>。数据文件（PDF格式）包含下列内容：</w:t>
      </w:r>
    </w:p>
    <w:p w14:paraId="0DEC75F9">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（1）封面</w:t>
      </w:r>
    </w:p>
    <w:p w14:paraId="4376951E">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（2）投标报价表（含明细）</w:t>
      </w:r>
    </w:p>
    <w:p w14:paraId="37437A90">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（3）需求响应表（如有）</w:t>
      </w:r>
    </w:p>
    <w:bookmarkEnd w:id="37"/>
    <w:p w14:paraId="32C1B7E9">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9.投标报价</w:t>
      </w:r>
    </w:p>
    <w:p w14:paraId="4CB93811">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9.1投标人所提供的服务均以人民币报价，精确到小数点后两位。</w:t>
      </w:r>
    </w:p>
    <w:p w14:paraId="78A8B685">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bookmarkStart w:id="38" w:name="_Hlk154667840"/>
      <w:r>
        <w:rPr>
          <w:rFonts w:hint="eastAsia" w:ascii="宋体" w:hAnsi="宋体" w:eastAsia="宋体" w:cs="仿宋"/>
          <w:color w:val="000000" w:themeColor="text1"/>
          <w:sz w:val="28"/>
          <w:szCs w:val="28"/>
          <w:highlight w:val="none"/>
          <w14:textFill>
            <w14:solidFill>
              <w14:schemeClr w14:val="tx1"/>
            </w14:solidFill>
          </w14:textFill>
        </w:rPr>
        <w:t>9.2投标人应按照“第四章招标项目说明”的内容进行报价。并按数据文件中“投标报价表（含明细）”规定的格式报出分项价格。</w:t>
      </w:r>
    </w:p>
    <w:p w14:paraId="7B6EFE0E">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9.3投标人应按数据文件“投标报价表（含明细）”要求的统一格式填写，并加盖电子公章。</w:t>
      </w:r>
    </w:p>
    <w:p w14:paraId="6C155518">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9.4《投标报价表（含明细）》填写时应响应下列要求：</w:t>
      </w:r>
    </w:p>
    <w:p w14:paraId="096E7D39">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（1）所有根据合同或其它原因应由投标人支付的税款和其它应交纳的费用都要包括在投标人提交的报价中；</w:t>
      </w:r>
    </w:p>
    <w:p w14:paraId="6EC69ECA">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（2）投标人在投标报价时，应根据企业自身实力结合市场信息，充分考虑</w:t>
      </w:r>
      <w:bookmarkEnd w:id="38"/>
      <w:r>
        <w:rPr>
          <w:rFonts w:hint="eastAsia" w:ascii="宋体" w:hAnsi="宋体" w:eastAsia="宋体" w:cs="仿宋"/>
          <w:color w:val="000000" w:themeColor="text1"/>
          <w:sz w:val="28"/>
          <w:szCs w:val="28"/>
          <w:highlight w:val="none"/>
          <w14:textFill>
            <w14:solidFill>
              <w14:schemeClr w14:val="tx1"/>
            </w14:solidFill>
          </w14:textFill>
        </w:rPr>
        <w:t>市场竞争因素和市场风险进行自主报价。本项目为全费用综合报价，工程量清单计价表中的综合单价应包括完成本项目（清单子目）内容所需的人工费、材料费、机械使用费、措施费、管理费、利润、规费等，并考虑风险因素，以及为完成本工程项目（清单子目）的施工所发生于该工程施工前和施工过程中技术、生活、安全等方面的非工程实体项目费用，以及招标文件和合同中明确的其他责任和义务。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54C6963B">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bookmarkStart w:id="39" w:name="_Hlk154667928"/>
      <w:r>
        <w:rPr>
          <w:rFonts w:hint="eastAsia" w:ascii="宋体" w:hAnsi="宋体" w:eastAsia="宋体" w:cs="仿宋"/>
          <w:color w:val="000000" w:themeColor="text1"/>
          <w:sz w:val="28"/>
          <w:szCs w:val="28"/>
          <w:highlight w:val="none"/>
          <w14:textFill>
            <w14:solidFill>
              <w14:schemeClr w14:val="tx1"/>
            </w14:solidFill>
          </w14:textFill>
        </w:rPr>
        <w:t>（3）投标人应对本次招标的全部内容进行报价，缺项报价投标无效。如因投标人自身的原因报价失误而造成的损失，由投标人自行承担。</w:t>
      </w:r>
    </w:p>
    <w:p w14:paraId="617E302C">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4）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410AE08D">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（5）投标人提供的文件中，若存在前后不一致的情形，以“投标承诺函”中填写的内容为准。</w:t>
      </w:r>
    </w:p>
    <w:p w14:paraId="59554F86">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（6）投标人须严格按照报价明细表说明进行填写，报价明细表中“*”是必填项，任何必填项为空时都可能导致本次投标无效。</w:t>
      </w:r>
    </w:p>
    <w:p w14:paraId="38D89A67">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（7</w:t>
      </w:r>
      <w:r>
        <w:rPr>
          <w:rFonts w:ascii="宋体" w:hAnsi="宋体" w:eastAsia="宋体" w:cs="仿宋"/>
          <w:color w:val="000000" w:themeColor="text1"/>
          <w:sz w:val="28"/>
          <w:szCs w:val="28"/>
          <w:highlight w:val="none"/>
          <w14:textFill>
            <w14:solidFill>
              <w14:schemeClr w14:val="tx1"/>
            </w14:solidFill>
          </w14:textFill>
        </w:rPr>
        <w:t>）</w:t>
      </w:r>
      <w:r>
        <w:rPr>
          <w:rFonts w:hint="eastAsia" w:ascii="宋体" w:hAnsi="宋体" w:eastAsia="宋体" w:cs="仿宋"/>
          <w:color w:val="000000" w:themeColor="text1"/>
          <w:sz w:val="28"/>
          <w:szCs w:val="28"/>
          <w:highlight w:val="none"/>
          <w14:textFill>
            <w14:solidFill>
              <w14:schemeClr w14:val="tx1"/>
            </w14:solidFill>
          </w14:textFill>
        </w:rPr>
        <w:t>《投标报价表（含明细）》中合价将由单价乘以数量自动计算，无需手工录入。</w:t>
      </w:r>
    </w:p>
    <w:p w14:paraId="68A82946">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9</w:t>
      </w:r>
      <w:r>
        <w:rPr>
          <w:rFonts w:ascii="宋体" w:hAnsi="宋体" w:eastAsia="宋体" w:cs="仿宋"/>
          <w:color w:val="000000" w:themeColor="text1"/>
          <w:sz w:val="28"/>
          <w:szCs w:val="28"/>
          <w:highlight w:val="none"/>
          <w14:textFill>
            <w14:solidFill>
              <w14:schemeClr w14:val="tx1"/>
            </w14:solidFill>
          </w14:textFill>
        </w:rPr>
        <w:t>.5</w:t>
      </w:r>
      <w:r>
        <w:rPr>
          <w:rFonts w:hint="eastAsia" w:ascii="宋体" w:hAnsi="宋体" w:eastAsia="宋体" w:cs="仿宋"/>
          <w:color w:val="000000" w:themeColor="text1"/>
          <w:sz w:val="28"/>
          <w:szCs w:val="28"/>
          <w:highlight w:val="none"/>
          <w14:textFill>
            <w14:solidFill>
              <w14:schemeClr w14:val="tx1"/>
            </w14:solidFill>
          </w14:textFill>
        </w:rPr>
        <w:t>《</w:t>
      </w:r>
      <w:r>
        <w:rPr>
          <w:rFonts w:ascii="宋体" w:hAnsi="宋体" w:eastAsia="宋体" w:cs="仿宋"/>
          <w:color w:val="000000" w:themeColor="text1"/>
          <w:sz w:val="28"/>
          <w:szCs w:val="28"/>
          <w:highlight w:val="none"/>
          <w14:textFill>
            <w14:solidFill>
              <w14:schemeClr w14:val="tx1"/>
            </w14:solidFill>
          </w14:textFill>
        </w:rPr>
        <w:t>需求响应表</w:t>
      </w:r>
      <w:r>
        <w:rPr>
          <w:rFonts w:hint="eastAsia" w:ascii="宋体" w:hAnsi="宋体" w:eastAsia="宋体" w:cs="仿宋"/>
          <w:color w:val="000000" w:themeColor="text1"/>
          <w:sz w:val="28"/>
          <w:szCs w:val="28"/>
          <w:highlight w:val="none"/>
          <w14:textFill>
            <w14:solidFill>
              <w14:schemeClr w14:val="tx1"/>
            </w14:solidFill>
          </w14:textFill>
        </w:rPr>
        <w:t>（如有）》</w:t>
      </w:r>
      <w:r>
        <w:rPr>
          <w:rFonts w:ascii="宋体" w:hAnsi="宋体" w:eastAsia="宋体" w:cs="仿宋"/>
          <w:color w:val="000000" w:themeColor="text1"/>
          <w:sz w:val="28"/>
          <w:szCs w:val="28"/>
          <w:highlight w:val="none"/>
          <w14:textFill>
            <w14:solidFill>
              <w14:schemeClr w14:val="tx1"/>
            </w14:solidFill>
          </w14:textFill>
        </w:rPr>
        <w:t>填写时应响应下列要求：</w:t>
      </w:r>
    </w:p>
    <w:p w14:paraId="164443B1">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（1）有底色标识的单元格须填写，有“*”的列是必输项，任何必输项为空都可能导致您的本次</w:t>
      </w:r>
      <w:r>
        <w:rPr>
          <w:rFonts w:hint="eastAsia" w:ascii="宋体" w:hAnsi="宋体" w:eastAsia="宋体" w:cs="仿宋"/>
          <w:color w:val="000000" w:themeColor="text1"/>
          <w:sz w:val="28"/>
          <w:szCs w:val="28"/>
          <w:highlight w:val="none"/>
          <w14:textFill>
            <w14:solidFill>
              <w14:schemeClr w14:val="tx1"/>
            </w14:solidFill>
          </w14:textFill>
        </w:rPr>
        <w:t>投标</w:t>
      </w:r>
      <w:r>
        <w:rPr>
          <w:rFonts w:ascii="宋体" w:hAnsi="宋体" w:eastAsia="宋体" w:cs="仿宋"/>
          <w:color w:val="000000" w:themeColor="text1"/>
          <w:sz w:val="28"/>
          <w:szCs w:val="28"/>
          <w:highlight w:val="none"/>
          <w14:textFill>
            <w14:solidFill>
              <w14:schemeClr w14:val="tx1"/>
            </w14:solidFill>
          </w14:textFill>
        </w:rPr>
        <w:t>无效；</w:t>
      </w:r>
    </w:p>
    <w:p w14:paraId="53E587EF">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（2）如想拷贝数据到某个待填写单元格，应采用选择性粘贴(只粘贴文本)，否则单元格填写无效或被锁死；</w:t>
      </w:r>
    </w:p>
    <w:p w14:paraId="279CC33A">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（3）当招标需求列的内容显示不完整时，请点击编辑栏进行查看；</w:t>
      </w:r>
    </w:p>
    <w:p w14:paraId="43FA5506">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（4）响应需求请按照商品(服务)的招标需求的逐一说明，如实填写。“响应需求”中需详细列明所报产品（服务）的明细；若与</w:t>
      </w:r>
      <w:r>
        <w:rPr>
          <w:rFonts w:hint="eastAsia" w:ascii="宋体" w:hAnsi="宋体" w:eastAsia="宋体" w:cs="仿宋"/>
          <w:color w:val="000000" w:themeColor="text1"/>
          <w:sz w:val="28"/>
          <w:szCs w:val="28"/>
          <w:highlight w:val="none"/>
          <w14:textFill>
            <w14:solidFill>
              <w14:schemeClr w14:val="tx1"/>
            </w14:solidFill>
          </w14:textFill>
        </w:rPr>
        <w:t>投标文件</w:t>
      </w:r>
      <w:r>
        <w:rPr>
          <w:rFonts w:ascii="宋体" w:hAnsi="宋体" w:eastAsia="宋体" w:cs="仿宋"/>
          <w:color w:val="000000" w:themeColor="text1"/>
          <w:sz w:val="28"/>
          <w:szCs w:val="28"/>
          <w:highlight w:val="none"/>
          <w14:textFill>
            <w14:solidFill>
              <w14:schemeClr w14:val="tx1"/>
            </w14:solidFill>
          </w14:textFill>
        </w:rPr>
        <w:t>中提供的产品检测报告（如有）、生产厂家出具的产品彩页等证明材料的实质性响应情况不一致，按</w:t>
      </w:r>
      <w:r>
        <w:rPr>
          <w:rFonts w:ascii="宋体" w:hAnsi="宋体" w:eastAsia="宋体" w:cs="仿宋"/>
          <w:b/>
          <w:color w:val="000000" w:themeColor="text1"/>
          <w:sz w:val="28"/>
          <w:szCs w:val="28"/>
          <w:highlight w:val="none"/>
          <w14:textFill>
            <w14:solidFill>
              <w14:schemeClr w14:val="tx1"/>
            </w14:solidFill>
          </w14:textFill>
        </w:rPr>
        <w:t>无效</w:t>
      </w:r>
      <w:r>
        <w:rPr>
          <w:rFonts w:hint="eastAsia" w:ascii="宋体" w:hAnsi="宋体" w:eastAsia="宋体" w:cs="仿宋"/>
          <w:b/>
          <w:color w:val="000000" w:themeColor="text1"/>
          <w:sz w:val="28"/>
          <w:szCs w:val="28"/>
          <w:highlight w:val="none"/>
          <w14:textFill>
            <w14:solidFill>
              <w14:schemeClr w14:val="tx1"/>
            </w14:solidFill>
          </w14:textFill>
        </w:rPr>
        <w:t>投标</w:t>
      </w:r>
      <w:r>
        <w:rPr>
          <w:rFonts w:ascii="宋体" w:hAnsi="宋体" w:eastAsia="宋体" w:cs="仿宋"/>
          <w:b/>
          <w:color w:val="000000" w:themeColor="text1"/>
          <w:sz w:val="28"/>
          <w:szCs w:val="28"/>
          <w:highlight w:val="none"/>
          <w14:textFill>
            <w14:solidFill>
              <w14:schemeClr w14:val="tx1"/>
            </w14:solidFill>
          </w14:textFill>
        </w:rPr>
        <w:t>处理</w:t>
      </w:r>
      <w:r>
        <w:rPr>
          <w:rFonts w:hint="eastAsia" w:ascii="宋体" w:hAnsi="宋体" w:eastAsia="宋体" w:cs="仿宋"/>
          <w:color w:val="000000" w:themeColor="text1"/>
          <w:sz w:val="28"/>
          <w:szCs w:val="28"/>
          <w:highlight w:val="none"/>
          <w14:textFill>
            <w14:solidFill>
              <w14:schemeClr w14:val="tx1"/>
            </w14:solidFill>
          </w14:textFill>
        </w:rPr>
        <w:t>；</w:t>
      </w:r>
    </w:p>
    <w:p w14:paraId="759C8F8F">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（5）按照该表显示位置加盖一个电子印章；</w:t>
      </w:r>
    </w:p>
    <w:p w14:paraId="123C4CA0">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（6）该表为固定格式且有数字指纹，必须在原表上填写，填写完毕后只可保存不可另存。删除该表、增加该表、增加行列、删除行列、对固定格式的任何改动均会导致</w:t>
      </w:r>
      <w:r>
        <w:rPr>
          <w:rFonts w:ascii="宋体" w:hAnsi="宋体" w:eastAsia="宋体" w:cs="仿宋"/>
          <w:b/>
          <w:color w:val="000000" w:themeColor="text1"/>
          <w:sz w:val="28"/>
          <w:szCs w:val="28"/>
          <w:highlight w:val="none"/>
          <w14:textFill>
            <w14:solidFill>
              <w14:schemeClr w14:val="tx1"/>
            </w14:solidFill>
          </w14:textFill>
        </w:rPr>
        <w:t>无效</w:t>
      </w:r>
      <w:r>
        <w:rPr>
          <w:rFonts w:hint="eastAsia" w:ascii="宋体" w:hAnsi="宋体" w:eastAsia="宋体" w:cs="仿宋"/>
          <w:b/>
          <w:color w:val="000000" w:themeColor="text1"/>
          <w:sz w:val="28"/>
          <w:szCs w:val="28"/>
          <w:highlight w:val="none"/>
          <w14:textFill>
            <w14:solidFill>
              <w14:schemeClr w14:val="tx1"/>
            </w14:solidFill>
          </w14:textFill>
        </w:rPr>
        <w:t>投标</w:t>
      </w:r>
      <w:r>
        <w:rPr>
          <w:rFonts w:ascii="宋体" w:hAnsi="宋体" w:eastAsia="宋体" w:cs="仿宋"/>
          <w:color w:val="000000" w:themeColor="text1"/>
          <w:sz w:val="28"/>
          <w:szCs w:val="28"/>
          <w:highlight w:val="none"/>
          <w14:textFill>
            <w14:solidFill>
              <w14:schemeClr w14:val="tx1"/>
            </w14:solidFill>
          </w14:textFill>
        </w:rPr>
        <w:t>；</w:t>
      </w:r>
    </w:p>
    <w:bookmarkEnd w:id="39"/>
    <w:p w14:paraId="2E544A5A">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bookmarkStart w:id="40" w:name="_Hlk154667948"/>
      <w:r>
        <w:rPr>
          <w:rFonts w:hint="eastAsia" w:ascii="宋体" w:hAnsi="宋体" w:eastAsia="宋体" w:cs="仿宋"/>
          <w:color w:val="000000" w:themeColor="text1"/>
          <w:sz w:val="28"/>
          <w:szCs w:val="28"/>
          <w:highlight w:val="none"/>
          <w14:textFill>
            <w14:solidFill>
              <w14:schemeClr w14:val="tx1"/>
            </w14:solidFill>
          </w14:textFill>
        </w:rPr>
        <w:t>9.6投标人的报价在合同执行过程中是固定不变的，不得以任何理由改变。所有价格折扣、优惠条件必须在报价明细表中注明，否则评审时不予认可。</w:t>
      </w:r>
    </w:p>
    <w:p w14:paraId="72B52952">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10.联合体投标</w:t>
      </w:r>
    </w:p>
    <w:p w14:paraId="2AFF2BB2">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两个以上的自然人、法人或者其他组织可以组成一个联合体，以一个投标人的身份共同参加国企采购。</w:t>
      </w:r>
    </w:p>
    <w:p w14:paraId="1A3C1DB7">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0F4CA4FD">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10.2联合体中有同类资质的投标人按照联合体分工承担相同工作的，应当按照资质等级较低的投标人确定资质等级。</w:t>
      </w:r>
    </w:p>
    <w:p w14:paraId="0A623789">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10.3联合体的各方应当共同推荐一名联合体投标授权代表方，由联合体各方提交一份授权书，证明其有资格代表联合体各方签署投标文件，该授权书作为投标文件的组成部分一并提交给招标代理机构。</w:t>
      </w:r>
    </w:p>
    <w:p w14:paraId="74F92A07">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10.4以联合体形式参加国企采购活动的，联合体各方不得再单独参加或者与其他投标人另外组成联合体参加同一合同项下的国企采购活动。</w:t>
      </w:r>
    </w:p>
    <w:p w14:paraId="15CE55A4">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本项目是否接受联合体投标详见《投标须知前附表》。</w:t>
      </w:r>
    </w:p>
    <w:p w14:paraId="27B83B3D">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11.关于分包</w:t>
      </w:r>
    </w:p>
    <w:p w14:paraId="61C551A6">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w:t>
      </w:r>
      <w:r>
        <w:rPr>
          <w:rFonts w:ascii="宋体" w:hAnsi="宋体" w:eastAsia="宋体" w:cs="仿宋"/>
          <w:color w:val="000000" w:themeColor="text1"/>
          <w:sz w:val="28"/>
          <w:szCs w:val="28"/>
          <w:highlight w:val="none"/>
          <w14:textFill>
            <w14:solidFill>
              <w14:schemeClr w14:val="tx1"/>
            </w14:solidFill>
          </w14:textFill>
        </w:rPr>
        <w:t>1.</w:t>
      </w:r>
      <w:r>
        <w:rPr>
          <w:rFonts w:hint="eastAsia" w:ascii="宋体" w:hAnsi="宋体" w:eastAsia="宋体" w:cs="仿宋"/>
          <w:color w:val="000000" w:themeColor="text1"/>
          <w:sz w:val="28"/>
          <w:szCs w:val="28"/>
          <w:highlight w:val="none"/>
          <w14:textFill>
            <w14:solidFill>
              <w14:schemeClr w14:val="tx1"/>
            </w14:solidFill>
          </w14:textFill>
        </w:rPr>
        <w:t>1投标人拟将项目的非主体、非关键性工作分包的，应当在投标文件中载明分包承担主体，分包承担主体应当具备相应资质条件且不得再次分包。</w:t>
      </w:r>
    </w:p>
    <w:p w14:paraId="69DA39E0">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w:t>
      </w:r>
      <w:r>
        <w:rPr>
          <w:rFonts w:ascii="宋体" w:hAnsi="宋体" w:eastAsia="宋体" w:cs="仿宋"/>
          <w:color w:val="000000" w:themeColor="text1"/>
          <w:sz w:val="28"/>
          <w:szCs w:val="28"/>
          <w:highlight w:val="none"/>
          <w14:textFill>
            <w14:solidFill>
              <w14:schemeClr w14:val="tx1"/>
            </w14:solidFill>
          </w14:textFill>
        </w:rPr>
        <w:t>1.</w:t>
      </w:r>
      <w:r>
        <w:rPr>
          <w:rFonts w:hint="eastAsia" w:ascii="宋体" w:hAnsi="宋体" w:eastAsia="宋体" w:cs="仿宋"/>
          <w:color w:val="000000" w:themeColor="text1"/>
          <w:sz w:val="28"/>
          <w:szCs w:val="28"/>
          <w:highlight w:val="none"/>
          <w14:textFill>
            <w14:solidFill>
              <w14:schemeClr w14:val="tx1"/>
            </w14:solidFill>
          </w14:textFill>
        </w:rPr>
        <w:t>2投标人应当就分包项目向招标人负责，分包承担主体就分包项目承担责任。</w:t>
      </w:r>
    </w:p>
    <w:p w14:paraId="73EB27C7">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本项目是否接受分包投标详见《投标须知前附表》。</w:t>
      </w:r>
    </w:p>
    <w:p w14:paraId="1F620298">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12.现场踏勘</w:t>
      </w:r>
    </w:p>
    <w:p w14:paraId="0E0A3A18">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39635906">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12.2投标人及其人员经过招标人的允许，可以踏勘目的进入招标人的项目现场。若本项目招标文件要求投标人于统一时间地点踏勘现场的，投标人应当按时前往。</w:t>
      </w:r>
    </w:p>
    <w:p w14:paraId="335B1EC3">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12.3除招标人的原因外，投标人自行负责在踏勘现场中所发生的人员伤亡和财产损失。</w:t>
      </w:r>
    </w:p>
    <w:p w14:paraId="49B7E1AD">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12.4未参与现场踏勘不作为否定投标人资格的理由。</w:t>
      </w:r>
    </w:p>
    <w:p w14:paraId="2E598496">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本项目是否组织现场踏勘详见《投标须知前附表》。</w:t>
      </w:r>
    </w:p>
    <w:p w14:paraId="3B40470F">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13.投标的有效期</w:t>
      </w:r>
    </w:p>
    <w:p w14:paraId="2BF2D8C0">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13.1从开标之日起，投标有效期为90天。投标有效期短于90天的，其投标为无效投标。</w:t>
      </w:r>
    </w:p>
    <w:p w14:paraId="1E721079">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13.2特殊情况下，在投标有效期满之前，招标代理机构可以要求投标人延长投标有效期，投标人可以书面形式拒绝或接受上述要求。同意延长投标有效期的投标人不得修改投标文件的实质性内容。</w:t>
      </w:r>
    </w:p>
    <w:p w14:paraId="18EEB9D1">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14.投标保证金</w:t>
      </w:r>
    </w:p>
    <w:p w14:paraId="195B41D2">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14.1本项目投标保证金要求：详见投标须知前附表。</w:t>
      </w:r>
    </w:p>
    <w:p w14:paraId="5CF8E649">
      <w:pPr>
        <w:adjustRightInd w:val="0"/>
        <w:snapToGrid w:val="0"/>
        <w:spacing w:line="520" w:lineRule="exact"/>
        <w:ind w:right="-147" w:rightChars="-70"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14.2退还保证金：</w:t>
      </w:r>
      <w:r>
        <w:rPr>
          <w:rFonts w:ascii="宋体" w:hAnsi="宋体" w:eastAsia="宋体" w:cs="仿宋"/>
          <w:color w:val="000000" w:themeColor="text1"/>
          <w:sz w:val="28"/>
          <w:highlight w:val="none"/>
          <w14:textFill>
            <w14:solidFill>
              <w14:schemeClr w14:val="tx1"/>
            </w14:solidFill>
          </w14:textFill>
        </w:rPr>
        <w:t>目前系统采用自动退还保证金操作，分为未中标人退还和中标人退还。代理公司向中标人发送中标通知书后，系统自动退还未中标人保证金；招标人和中标人签署完合同后，系统自动退还中标人保证金。</w:t>
      </w:r>
      <w:r>
        <w:rPr>
          <w:rFonts w:hint="eastAsia" w:ascii="宋体" w:hAnsi="宋体" w:eastAsia="宋体" w:cs="仿宋"/>
          <w:color w:val="000000" w:themeColor="text1"/>
          <w:sz w:val="28"/>
          <w:szCs w:val="28"/>
          <w:highlight w:val="none"/>
          <w14:textFill>
            <w14:solidFill>
              <w14:schemeClr w14:val="tx1"/>
            </w14:solidFill>
          </w14:textFill>
        </w:rPr>
        <w:t>非由中标人原因未能签订合同的，应在招标人作出处理结果之日起五个工作日内退还中标人的保证金。招标项目流标的，应在确定流标之日起五个工作日内退还所有投标人的保证金。</w:t>
      </w:r>
    </w:p>
    <w:p w14:paraId="53A765EB">
      <w:pPr>
        <w:adjustRightInd w:val="0"/>
        <w:snapToGrid w:val="0"/>
        <w:spacing w:line="560" w:lineRule="exact"/>
        <w:ind w:right="-147" w:rightChars="-70" w:firstLine="562" w:firstLineChars="201"/>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14.3有下列情况之一的，投标保证金</w:t>
      </w:r>
      <w:r>
        <w:rPr>
          <w:rFonts w:hint="eastAsia" w:ascii="宋体" w:hAnsi="宋体" w:eastAsia="宋体" w:cs="仿宋"/>
          <w:b/>
          <w:color w:val="000000" w:themeColor="text1"/>
          <w:kern w:val="0"/>
          <w:sz w:val="28"/>
          <w:szCs w:val="28"/>
          <w:highlight w:val="none"/>
          <w14:textFill>
            <w14:solidFill>
              <w14:schemeClr w14:val="tx1"/>
            </w14:solidFill>
          </w14:textFill>
        </w:rPr>
        <w:t>不予返还</w:t>
      </w:r>
      <w:r>
        <w:rPr>
          <w:rFonts w:hint="eastAsia" w:ascii="宋体" w:hAnsi="宋体" w:eastAsia="宋体" w:cs="仿宋"/>
          <w:color w:val="000000" w:themeColor="text1"/>
          <w:kern w:val="0"/>
          <w:sz w:val="28"/>
          <w:szCs w:val="28"/>
          <w:highlight w:val="none"/>
          <w14:textFill>
            <w14:solidFill>
              <w14:schemeClr w14:val="tx1"/>
            </w14:solidFill>
          </w14:textFill>
        </w:rPr>
        <w:t>。</w:t>
      </w:r>
    </w:p>
    <w:p w14:paraId="57FDDBAF">
      <w:pPr>
        <w:adjustRightInd w:val="0"/>
        <w:snapToGrid w:val="0"/>
        <w:spacing w:line="560" w:lineRule="exact"/>
        <w:ind w:right="-147" w:rightChars="-70" w:firstLine="562" w:firstLineChars="201"/>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（1）投标人提供不真实资格、资质证明文件的；</w:t>
      </w:r>
    </w:p>
    <w:p w14:paraId="40E1B752">
      <w:pPr>
        <w:adjustRightInd w:val="0"/>
        <w:snapToGrid w:val="0"/>
        <w:spacing w:line="560" w:lineRule="exact"/>
        <w:ind w:right="-147" w:rightChars="-70" w:firstLine="562" w:firstLineChars="201"/>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（2）在投标有效期内撤回报价的；</w:t>
      </w:r>
    </w:p>
    <w:p w14:paraId="2E428A19">
      <w:pPr>
        <w:adjustRightInd w:val="0"/>
        <w:snapToGrid w:val="0"/>
        <w:spacing w:line="560" w:lineRule="exact"/>
        <w:ind w:right="-147" w:rightChars="-70" w:firstLine="562" w:firstLineChars="201"/>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（3）除因不可抗力或招标文件认可的情形以外，中标人不与招标人签订合同的；</w:t>
      </w:r>
    </w:p>
    <w:p w14:paraId="49B8BB98">
      <w:pPr>
        <w:adjustRightInd w:val="0"/>
        <w:snapToGrid w:val="0"/>
        <w:spacing w:line="560" w:lineRule="exact"/>
        <w:ind w:right="-147" w:rightChars="-70" w:firstLine="562" w:firstLineChars="201"/>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（4）投标人与招标人、其他投标人或者招标代理机构恶意串通的；</w:t>
      </w:r>
    </w:p>
    <w:p w14:paraId="4F01A03E">
      <w:pPr>
        <w:adjustRightInd w:val="0"/>
        <w:snapToGrid w:val="0"/>
        <w:spacing w:line="560" w:lineRule="exact"/>
        <w:ind w:right="-147" w:rightChars="-70" w:firstLine="562" w:firstLineChars="201"/>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（5）评审委员会认定的其他事项。</w:t>
      </w:r>
    </w:p>
    <w:p w14:paraId="0C6D4531">
      <w:pPr>
        <w:adjustRightInd w:val="0"/>
        <w:snapToGrid w:val="0"/>
        <w:spacing w:line="560" w:lineRule="exact"/>
        <w:ind w:right="-147" w:rightChars="-70" w:firstLine="562" w:firstLineChars="201"/>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对以提供虚假材料或恶意串通或采取不正当竞争手段谋取中标的投标人，一经发现将依法取消其投标人资格，投标保证金不予返还，列入平台黑名单。</w:t>
      </w:r>
    </w:p>
    <w:p w14:paraId="57041409">
      <w:pPr>
        <w:pStyle w:val="61"/>
        <w:widowControl w:val="0"/>
        <w:shd w:val="clear" w:color="auto" w:fill="FFFFFF"/>
        <w:spacing w:before="0" w:beforeAutospacing="0" w:after="0" w:afterAutospacing="0" w:line="560" w:lineRule="exact"/>
        <w:ind w:firstLine="640"/>
        <w:jc w:val="both"/>
        <w:rPr>
          <w:rFonts w:hint="eastAsia" w:eastAsia="宋体" w:cs="仿宋"/>
          <w:color w:val="000000" w:themeColor="text1"/>
          <w:sz w:val="28"/>
          <w:szCs w:val="28"/>
          <w:highlight w:val="none"/>
          <w14:textFill>
            <w14:solidFill>
              <w14:schemeClr w14:val="tx1"/>
            </w14:solidFill>
          </w14:textFill>
        </w:rPr>
      </w:pPr>
      <w:r>
        <w:rPr>
          <w:rFonts w:hint="eastAsia" w:eastAsia="宋体" w:cs="仿宋"/>
          <w:b/>
          <w:color w:val="000000" w:themeColor="text1"/>
          <w:sz w:val="28"/>
          <w:szCs w:val="28"/>
          <w:highlight w:val="none"/>
          <w14:textFill>
            <w14:solidFill>
              <w14:schemeClr w14:val="tx1"/>
            </w14:solidFill>
          </w14:textFill>
        </w:rPr>
        <w:t>本项目投标保证金相关要求见《投标须知前附表》。</w:t>
      </w:r>
    </w:p>
    <w:bookmarkEnd w:id="40"/>
    <w:p w14:paraId="52816FB1">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bookmarkStart w:id="41" w:name="_Hlk154667959"/>
      <w:r>
        <w:rPr>
          <w:rFonts w:hint="eastAsia" w:ascii="宋体" w:hAnsi="宋体" w:eastAsia="宋体" w:cs="仿宋"/>
          <w:b/>
          <w:color w:val="000000" w:themeColor="text1"/>
          <w:sz w:val="28"/>
          <w:szCs w:val="28"/>
          <w:highlight w:val="none"/>
          <w14:textFill>
            <w14:solidFill>
              <w14:schemeClr w14:val="tx1"/>
            </w14:solidFill>
          </w14:textFill>
        </w:rPr>
        <w:t>15.履约保证金的交纳与返还</w:t>
      </w:r>
    </w:p>
    <w:p w14:paraId="4AA6ABA6">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该项目无需交纳履约保证金。</w:t>
      </w:r>
    </w:p>
    <w:p w14:paraId="7713CAAE">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16.投标文件的数量和签署</w:t>
      </w:r>
    </w:p>
    <w:p w14:paraId="4D536B13">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16.1投标文件（pdf格式）（第一册）1份</w:t>
      </w:r>
    </w:p>
    <w:p w14:paraId="143F871B">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（1）投标人应使用带电子签章功能的CA锁对投标文件须盖章或签名的部位加盖电子印章（单位电子公章、法定代表人电子人名章），电子印章与实物印章具有同等法律效力。</w:t>
      </w:r>
    </w:p>
    <w:p w14:paraId="642ECA0F">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w:t>
      </w:r>
      <w:bookmarkStart w:id="42" w:name="_Hlk219895739"/>
      <w:r>
        <w:rPr>
          <w:rFonts w:hint="eastAsia" w:ascii="宋体" w:hAnsi="宋体" w:eastAsia="宋体" w:cs="仿宋"/>
          <w:color w:val="000000" w:themeColor="text1"/>
          <w:sz w:val="28"/>
          <w:szCs w:val="28"/>
          <w:highlight w:val="none"/>
          <w14:textFill>
            <w14:solidFill>
              <w14:schemeClr w14:val="tx1"/>
            </w14:solidFill>
          </w14:textFill>
        </w:rPr>
        <w:t>投标人应首先编制投标文件，编制完成后在国企阳光采购平台中上传投标文件（pdf格式），再加盖投标人电子印章，加盖了电子印章的pdf文件即为最终的投标文件。</w:t>
      </w:r>
    </w:p>
    <w:bookmarkEnd w:id="42"/>
    <w:p w14:paraId="720A8494">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（3）文件中要求法定代表人签字或签章的须加盖法定代表人电子人名章。</w:t>
      </w:r>
    </w:p>
    <w:p w14:paraId="188D0785">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（4）须被授权人签字的，被授权人又无电子章，在word编制时可将被授权人手写签字扫描后的图片粘贴到投标文件中对应位置，并加盖单位电子公章。</w:t>
      </w:r>
    </w:p>
    <w:p w14:paraId="75664691">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（5）可使用系统的多页盖章功能快速签章。但须逐页浏览检查并注意印章</w:t>
      </w:r>
      <w:bookmarkEnd w:id="41"/>
      <w:r>
        <w:rPr>
          <w:rFonts w:hint="eastAsia" w:ascii="宋体" w:hAnsi="宋体" w:eastAsia="宋体" w:cs="仿宋"/>
          <w:color w:val="000000" w:themeColor="text1"/>
          <w:sz w:val="28"/>
          <w:szCs w:val="28"/>
          <w:highlight w:val="none"/>
          <w14:textFill>
            <w14:solidFill>
              <w14:schemeClr w14:val="tx1"/>
            </w14:solidFill>
          </w14:textFill>
        </w:rPr>
        <w:t>重叠及完整性。</w:t>
      </w:r>
    </w:p>
    <w:p w14:paraId="6FAE0CED">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bookmarkStart w:id="43" w:name="_Hlk154667982"/>
      <w:r>
        <w:rPr>
          <w:rFonts w:hint="eastAsia" w:ascii="宋体" w:hAnsi="宋体" w:eastAsia="宋体" w:cs="仿宋"/>
          <w:color w:val="000000" w:themeColor="text1"/>
          <w:sz w:val="28"/>
          <w:szCs w:val="28"/>
          <w:highlight w:val="none"/>
          <w14:textFill>
            <w14:solidFill>
              <w14:schemeClr w14:val="tx1"/>
            </w14:solidFill>
          </w14:textFill>
        </w:rPr>
        <w:t>（6）采用扫描粘贴投标人公章或扫描法定代表人人名章而不加盖单位电子公章的为</w:t>
      </w:r>
      <w:r>
        <w:rPr>
          <w:rFonts w:hint="eastAsia" w:ascii="宋体" w:hAnsi="宋体" w:eastAsia="宋体" w:cs="仿宋"/>
          <w:b/>
          <w:color w:val="000000" w:themeColor="text1"/>
          <w:sz w:val="28"/>
          <w:szCs w:val="28"/>
          <w:highlight w:val="none"/>
          <w14:textFill>
            <w14:solidFill>
              <w14:schemeClr w14:val="tx1"/>
            </w14:solidFill>
          </w14:textFill>
        </w:rPr>
        <w:t>无效投标</w:t>
      </w:r>
      <w:r>
        <w:rPr>
          <w:rFonts w:hint="eastAsia" w:ascii="宋体" w:hAnsi="宋体" w:eastAsia="宋体" w:cs="仿宋"/>
          <w:color w:val="000000" w:themeColor="text1"/>
          <w:sz w:val="28"/>
          <w:szCs w:val="28"/>
          <w:highlight w:val="none"/>
          <w14:textFill>
            <w14:solidFill>
              <w14:schemeClr w14:val="tx1"/>
            </w14:solidFill>
          </w14:textFill>
        </w:rPr>
        <w:t>。</w:t>
      </w:r>
    </w:p>
    <w:p w14:paraId="0332E1CD">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16.2数据文件（PDF格式）（第二册）1份</w:t>
      </w:r>
    </w:p>
    <w:p w14:paraId="520D3922">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（1）投标人应先填写数据文件（EXCEL格式），</w:t>
      </w:r>
      <w:bookmarkStart w:id="44" w:name="_Hlk219896050"/>
      <w:r>
        <w:rPr>
          <w:rFonts w:hint="eastAsia" w:ascii="宋体" w:hAnsi="宋体" w:eastAsia="宋体" w:cs="仿宋"/>
          <w:color w:val="000000" w:themeColor="text1"/>
          <w:sz w:val="28"/>
          <w:szCs w:val="28"/>
          <w:highlight w:val="none"/>
          <w14:textFill>
            <w14:solidFill>
              <w14:schemeClr w14:val="tx1"/>
            </w14:solidFill>
          </w14:textFill>
        </w:rPr>
        <w:t>填写完成后在国企阳光采购平台中上传该数据文件（EXCEL格式），系统将自行转换为PDF格式，再加盖投标人电子印章，加盖了电子印章的pdf文件即为最终的数据文件。</w:t>
      </w:r>
      <w:bookmarkEnd w:id="44"/>
    </w:p>
    <w:p w14:paraId="6055A804">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（2）文件中要求法定代表人签字或签章的须加盖法定代表人电子人名章。</w:t>
      </w:r>
    </w:p>
    <w:p w14:paraId="511B8A0D">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（3）采用扫描粘贴投标人公章或法定代表人人名章的为</w:t>
      </w:r>
      <w:r>
        <w:rPr>
          <w:rFonts w:hint="eastAsia" w:ascii="宋体" w:hAnsi="宋体" w:eastAsia="宋体" w:cs="仿宋"/>
          <w:b/>
          <w:color w:val="000000" w:themeColor="text1"/>
          <w:sz w:val="28"/>
          <w:szCs w:val="28"/>
          <w:highlight w:val="none"/>
          <w14:textFill>
            <w14:solidFill>
              <w14:schemeClr w14:val="tx1"/>
            </w14:solidFill>
          </w14:textFill>
        </w:rPr>
        <w:t>无效投标</w:t>
      </w:r>
      <w:r>
        <w:rPr>
          <w:rFonts w:hint="eastAsia" w:ascii="宋体" w:hAnsi="宋体" w:eastAsia="宋体" w:cs="仿宋"/>
          <w:color w:val="000000" w:themeColor="text1"/>
          <w:sz w:val="28"/>
          <w:szCs w:val="28"/>
          <w:highlight w:val="none"/>
          <w14:textFill>
            <w14:solidFill>
              <w14:schemeClr w14:val="tx1"/>
            </w14:solidFill>
          </w14:textFill>
        </w:rPr>
        <w:t>。</w:t>
      </w:r>
    </w:p>
    <w:p w14:paraId="288C0471">
      <w:pPr>
        <w:pStyle w:val="5"/>
        <w:rPr>
          <w:rStyle w:val="454"/>
          <w:rFonts w:hint="eastAsia" w:ascii="宋体" w:hAnsi="宋体"/>
          <w:b/>
          <w:bCs/>
          <w:color w:val="000000" w:themeColor="text1"/>
          <w:kern w:val="2"/>
          <w:sz w:val="28"/>
          <w:szCs w:val="32"/>
          <w:highlight w:val="none"/>
          <w14:textFill>
            <w14:solidFill>
              <w14:schemeClr w14:val="tx1"/>
            </w14:solidFill>
          </w14:textFill>
        </w:rPr>
      </w:pPr>
      <w:bookmarkStart w:id="45" w:name="_Toc66864045"/>
      <w:bookmarkStart w:id="46" w:name="_Toc130891907"/>
      <w:r>
        <w:rPr>
          <w:rStyle w:val="454"/>
          <w:rFonts w:hint="eastAsia" w:ascii="宋体" w:hAnsi="宋体"/>
          <w:b/>
          <w:bCs/>
          <w:color w:val="000000" w:themeColor="text1"/>
          <w:kern w:val="2"/>
          <w:sz w:val="28"/>
          <w:szCs w:val="32"/>
          <w:highlight w:val="none"/>
          <w14:textFill>
            <w14:solidFill>
              <w14:schemeClr w14:val="tx1"/>
            </w14:solidFill>
          </w14:textFill>
        </w:rPr>
        <w:t>四、投标文件的提交</w:t>
      </w:r>
      <w:bookmarkEnd w:id="45"/>
      <w:bookmarkEnd w:id="46"/>
    </w:p>
    <w:p w14:paraId="1E933639">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17.投标文件的密封和标记</w:t>
      </w:r>
    </w:p>
    <w:p w14:paraId="1093F403">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17.1电子投标文件的密封和标记</w:t>
      </w:r>
    </w:p>
    <w:p w14:paraId="1704DFA0">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加盖了电子印章的电子投标文件（PDF格式）和数据文件（PDF格式）须在</w:t>
      </w:r>
      <w:bookmarkStart w:id="47" w:name="_Hlk219896064"/>
      <w:r>
        <w:rPr>
          <w:rFonts w:hint="eastAsia" w:ascii="宋体" w:hAnsi="宋体" w:eastAsia="宋体" w:cs="仿宋"/>
          <w:color w:val="000000" w:themeColor="text1"/>
          <w:sz w:val="28"/>
          <w:szCs w:val="28"/>
          <w:highlight w:val="none"/>
          <w14:textFill>
            <w14:solidFill>
              <w14:schemeClr w14:val="tx1"/>
            </w14:solidFill>
          </w14:textFill>
        </w:rPr>
        <w:t>国企阳光采购平台的“投标”界面</w:t>
      </w:r>
      <w:bookmarkEnd w:id="47"/>
      <w:r>
        <w:rPr>
          <w:rFonts w:hint="eastAsia" w:ascii="宋体" w:hAnsi="宋体" w:eastAsia="宋体" w:cs="仿宋"/>
          <w:color w:val="000000" w:themeColor="text1"/>
          <w:sz w:val="28"/>
          <w:szCs w:val="28"/>
          <w:highlight w:val="none"/>
          <w14:textFill>
            <w14:solidFill>
              <w14:schemeClr w14:val="tx1"/>
            </w14:solidFill>
          </w14:textFill>
        </w:rPr>
        <w:t>进行提交，提交前系统会自动在本地进行加密和数字签名，加密和电子签章后的文件除了会上传到系统中之外还会同步保存到本地计算机。</w:t>
      </w:r>
    </w:p>
    <w:p w14:paraId="3103AA02">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17.2资质证明文件原件的密封和标记</w:t>
      </w:r>
    </w:p>
    <w:p w14:paraId="749DE0FF">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无需提供资质证明文件原件。</w:t>
      </w:r>
    </w:p>
    <w:p w14:paraId="67CD8168">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17.3文件提交</w:t>
      </w:r>
    </w:p>
    <w:p w14:paraId="51EA6CD7">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（1）投标人应在投标须知前附表规定的时间前在</w:t>
      </w:r>
      <w:bookmarkStart w:id="48" w:name="_Hlk219896087"/>
      <w:r>
        <w:rPr>
          <w:rFonts w:hint="eastAsia" w:ascii="宋体" w:hAnsi="宋体" w:eastAsia="宋体" w:cs="仿宋"/>
          <w:color w:val="000000" w:themeColor="text1"/>
          <w:sz w:val="28"/>
          <w:szCs w:val="28"/>
          <w:highlight w:val="none"/>
          <w14:textFill>
            <w14:solidFill>
              <w14:schemeClr w14:val="tx1"/>
            </w14:solidFill>
          </w14:textFill>
        </w:rPr>
        <w:t>国企阳光采购平台</w:t>
      </w:r>
      <w:bookmarkEnd w:id="48"/>
      <w:r>
        <w:rPr>
          <w:rFonts w:hint="eastAsia" w:ascii="宋体" w:hAnsi="宋体" w:eastAsia="宋体" w:cs="仿宋"/>
          <w:color w:val="000000" w:themeColor="text1"/>
          <w:sz w:val="28"/>
          <w:szCs w:val="28"/>
          <w:highlight w:val="none"/>
          <w14:textFill>
            <w14:solidFill>
              <w14:schemeClr w14:val="tx1"/>
            </w14:solidFill>
          </w14:textFill>
        </w:rPr>
        <w:t>上提交电子投标文件和数据文件。投标人应充分评估集中投标带来的网络影响，尽量避开投标高峰时间，错峰进行电子投标，系统以收到投标人发出的提交指令的时间作为其投标时间，如该时间超过投标截止时间，</w:t>
      </w:r>
      <w:r>
        <w:rPr>
          <w:rFonts w:hint="eastAsia" w:ascii="宋体" w:hAnsi="宋体" w:eastAsia="宋体" w:cs="仿宋"/>
          <w:b/>
          <w:color w:val="000000" w:themeColor="text1"/>
          <w:sz w:val="28"/>
          <w:szCs w:val="28"/>
          <w:highlight w:val="none"/>
          <w14:textFill>
            <w14:solidFill>
              <w14:schemeClr w14:val="tx1"/>
            </w14:solidFill>
          </w14:textFill>
        </w:rPr>
        <w:t>其投标将会被判定为无效。</w:t>
      </w:r>
    </w:p>
    <w:p w14:paraId="295E49D3">
      <w:pPr>
        <w:spacing w:line="560" w:lineRule="exact"/>
        <w:ind w:firstLine="565"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（2）投标人须使用数字证书（CA）进行解密，如忘记密码或输入密码错误次数太多导致其数字证书（CA）锁定，其提交的电子投标文件将无法解密，导致无法提取数据和供他人阅读文件，致使其投标失败。</w:t>
      </w:r>
    </w:p>
    <w:p w14:paraId="2142F5B3">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（3）除投标须知前附表另有规定外，招标代理机构拒绝接收纸质投标文件。</w:t>
      </w:r>
    </w:p>
    <w:p w14:paraId="20D8A9E6">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（4）投标人应将网上提交的已盖章未加密的数据文件和投标文件谨慎保存备份，以便启动应急开标程序时备案使用。</w:t>
      </w:r>
    </w:p>
    <w:p w14:paraId="32FA962D">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18.投标截止期</w:t>
      </w:r>
    </w:p>
    <w:p w14:paraId="526009F9">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本次招标的投标截止期见《投标须知前附表》。</w:t>
      </w:r>
    </w:p>
    <w:p w14:paraId="496B7630">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19.迟交的投标文件</w:t>
      </w:r>
    </w:p>
    <w:p w14:paraId="3AA1FC62">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bookmarkStart w:id="49" w:name="_Toc429313655"/>
      <w:r>
        <w:rPr>
          <w:rFonts w:hint="eastAsia" w:ascii="宋体" w:hAnsi="宋体" w:eastAsia="宋体" w:cs="仿宋"/>
          <w:color w:val="000000" w:themeColor="text1"/>
          <w:sz w:val="28"/>
          <w:szCs w:val="28"/>
          <w:highlight w:val="none"/>
          <w14:textFill>
            <w14:solidFill>
              <w14:schemeClr w14:val="tx1"/>
            </w14:solidFill>
          </w14:textFill>
        </w:rPr>
        <w:t>国企阳光采购平台无法接收投标截止时间后提交的电子投标文件。</w:t>
      </w:r>
    </w:p>
    <w:p w14:paraId="735C197C">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20.</w:t>
      </w:r>
      <w:bookmarkEnd w:id="49"/>
      <w:r>
        <w:rPr>
          <w:rFonts w:hint="eastAsia" w:ascii="宋体" w:hAnsi="宋体" w:eastAsia="宋体" w:cs="仿宋"/>
          <w:b/>
          <w:color w:val="000000" w:themeColor="text1"/>
          <w:sz w:val="28"/>
          <w:szCs w:val="28"/>
          <w:highlight w:val="none"/>
          <w14:textFill>
            <w14:solidFill>
              <w14:schemeClr w14:val="tx1"/>
            </w14:solidFill>
          </w14:textFill>
        </w:rPr>
        <w:t>现场演示</w:t>
      </w:r>
      <w:r>
        <w:rPr>
          <w:rFonts w:ascii="宋体" w:hAnsi="宋体" w:eastAsia="宋体" w:cs="仿宋"/>
          <w:b/>
          <w:color w:val="000000" w:themeColor="text1"/>
          <w:sz w:val="28"/>
          <w:szCs w:val="28"/>
          <w:highlight w:val="none"/>
          <w14:textFill>
            <w14:solidFill>
              <w14:schemeClr w14:val="tx1"/>
            </w14:solidFill>
          </w14:textFill>
        </w:rPr>
        <w:t>/</w:t>
      </w:r>
      <w:r>
        <w:rPr>
          <w:rFonts w:hint="eastAsia" w:ascii="宋体" w:hAnsi="宋体" w:eastAsia="宋体" w:cs="仿宋"/>
          <w:b/>
          <w:color w:val="000000" w:themeColor="text1"/>
          <w:sz w:val="28"/>
          <w:szCs w:val="28"/>
          <w:highlight w:val="none"/>
          <w14:textFill>
            <w14:solidFill>
              <w14:schemeClr w14:val="tx1"/>
            </w14:solidFill>
          </w14:textFill>
        </w:rPr>
        <w:t>样品递交</w:t>
      </w:r>
    </w:p>
    <w:p w14:paraId="2F4A9ABE">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20.1招标人可以要求投标人对其提供的信息化、自动化等相关类别服务进行演示。投标人可以到现场演示，也可以使用系统相关功能与评标专家进行远程演示。</w:t>
      </w:r>
    </w:p>
    <w:p w14:paraId="5C1F25B1">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20.2若服务项目涉及货物时，招标人可以要求投标人提供样品，样品作为投标文件的一部分。未中标投标人提供的样品将于评审结束后退还。中标人的样品由招标人保留，作为验收的依据。</w:t>
      </w:r>
    </w:p>
    <w:p w14:paraId="31F5D9C2">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是否要求投标人提供演示/提交样品，详见招标文件《投标须知前附表》的有关规定。</w:t>
      </w:r>
    </w:p>
    <w:p w14:paraId="3FAFB4E1">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21.投标文件的修改和撤回</w:t>
      </w:r>
    </w:p>
    <w:p w14:paraId="52BAE791">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21.1投标人必须在规定的投标截止时间之前将修改的投标文件和数据文件上传到国企阳光采购平台,在投标截止时间之后，投标人不得对其投标文件做任何修改。</w:t>
      </w:r>
    </w:p>
    <w:p w14:paraId="6752789F">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21.2投标人在提交投标文件后，可以在投标截止时间之前撤回其投标文件。</w:t>
      </w:r>
    </w:p>
    <w:p w14:paraId="61EA4885">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21.3开标后不允许对投标文件做实质性修改和补充，不得撤回投标文件。</w:t>
      </w:r>
    </w:p>
    <w:bookmarkEnd w:id="43"/>
    <w:p w14:paraId="73ED1192">
      <w:pPr>
        <w:pStyle w:val="5"/>
        <w:rPr>
          <w:rFonts w:hint="eastAsia" w:ascii="宋体" w:hAnsi="宋体" w:eastAsia="宋体" w:cs="仿宋"/>
          <w:b w:val="0"/>
          <w:color w:val="000000" w:themeColor="text1"/>
          <w:szCs w:val="28"/>
          <w:highlight w:val="none"/>
          <w14:textFill>
            <w14:solidFill>
              <w14:schemeClr w14:val="tx1"/>
            </w14:solidFill>
          </w14:textFill>
        </w:rPr>
      </w:pPr>
      <w:bookmarkStart w:id="50" w:name="_Toc130891908"/>
      <w:r>
        <w:rPr>
          <w:rStyle w:val="454"/>
          <w:rFonts w:hint="eastAsia" w:ascii="宋体" w:hAnsi="宋体"/>
          <w:b/>
          <w:bCs/>
          <w:color w:val="000000" w:themeColor="text1"/>
          <w:kern w:val="2"/>
          <w:sz w:val="28"/>
          <w:szCs w:val="32"/>
          <w:highlight w:val="none"/>
          <w14:textFill>
            <w14:solidFill>
              <w14:schemeClr w14:val="tx1"/>
            </w14:solidFill>
          </w14:textFill>
        </w:rPr>
        <w:t>五、开标与评审</w:t>
      </w:r>
      <w:bookmarkEnd w:id="50"/>
    </w:p>
    <w:p w14:paraId="68C80686">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2</w:t>
      </w:r>
      <w:r>
        <w:rPr>
          <w:rFonts w:ascii="宋体" w:hAnsi="宋体" w:eastAsia="宋体" w:cs="仿宋"/>
          <w:b/>
          <w:color w:val="000000" w:themeColor="text1"/>
          <w:sz w:val="28"/>
          <w:szCs w:val="28"/>
          <w:highlight w:val="none"/>
          <w14:textFill>
            <w14:solidFill>
              <w14:schemeClr w14:val="tx1"/>
            </w14:solidFill>
          </w14:textFill>
        </w:rPr>
        <w:t>2.</w:t>
      </w:r>
      <w:r>
        <w:rPr>
          <w:rFonts w:hint="eastAsia" w:ascii="宋体" w:hAnsi="宋体" w:eastAsia="宋体" w:cs="仿宋"/>
          <w:b/>
          <w:color w:val="000000" w:themeColor="text1"/>
          <w:sz w:val="28"/>
          <w:szCs w:val="28"/>
          <w:highlight w:val="none"/>
          <w14:textFill>
            <w14:solidFill>
              <w14:schemeClr w14:val="tx1"/>
            </w14:solidFill>
          </w14:textFill>
        </w:rPr>
        <w:t>开标</w:t>
      </w:r>
    </w:p>
    <w:p w14:paraId="5CAF1F84">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22.</w:t>
      </w:r>
      <w:r>
        <w:rPr>
          <w:rFonts w:hint="eastAsia" w:ascii="宋体" w:hAnsi="宋体" w:eastAsia="宋体" w:cs="仿宋"/>
          <w:color w:val="000000" w:themeColor="text1"/>
          <w:sz w:val="28"/>
          <w:szCs w:val="28"/>
          <w:highlight w:val="none"/>
          <w14:textFill>
            <w14:solidFill>
              <w14:schemeClr w14:val="tx1"/>
            </w14:solidFill>
          </w14:textFill>
        </w:rPr>
        <w:t>1投标截止时间结束后，投标人不足3家的不得开标。</w:t>
      </w:r>
    </w:p>
    <w:p w14:paraId="4558E6D1">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bookmarkStart w:id="51" w:name="_Hlk154667997"/>
      <w:r>
        <w:rPr>
          <w:rFonts w:ascii="宋体" w:hAnsi="宋体" w:eastAsia="宋体" w:cs="仿宋"/>
          <w:color w:val="000000" w:themeColor="text1"/>
          <w:sz w:val="28"/>
          <w:szCs w:val="28"/>
          <w:highlight w:val="none"/>
          <w14:textFill>
            <w14:solidFill>
              <w14:schemeClr w14:val="tx1"/>
            </w14:solidFill>
          </w14:textFill>
        </w:rPr>
        <w:t>22.</w:t>
      </w:r>
      <w:r>
        <w:rPr>
          <w:rFonts w:hint="eastAsia" w:ascii="宋体" w:hAnsi="宋体" w:eastAsia="宋体" w:cs="仿宋"/>
          <w:color w:val="000000" w:themeColor="text1"/>
          <w:sz w:val="28"/>
          <w:szCs w:val="28"/>
          <w:highlight w:val="none"/>
          <w14:textFill>
            <w14:solidFill>
              <w14:schemeClr w14:val="tx1"/>
            </w14:solidFill>
          </w14:textFill>
        </w:rPr>
        <w:t>2招标代理机构在招标公告规定的时间和地点组织开标。投标人需提前准备已配置好环境的电脑，在规定的时间进行远程开标的各项操作。</w:t>
      </w:r>
    </w:p>
    <w:p w14:paraId="7E9BADEC">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22.3</w:t>
      </w:r>
      <w:r>
        <w:rPr>
          <w:rFonts w:hint="eastAsia" w:ascii="宋体" w:hAnsi="宋体" w:eastAsia="宋体" w:cs="仿宋"/>
          <w:color w:val="000000" w:themeColor="text1"/>
          <w:sz w:val="28"/>
          <w:szCs w:val="28"/>
          <w:highlight w:val="none"/>
          <w14:textFill>
            <w14:solidFill>
              <w14:schemeClr w14:val="tx1"/>
            </w14:solidFill>
          </w14:textFill>
        </w:rPr>
        <w:t>投标人代表应在签到表格相应位置上加盖CA锁中的法定代表人电子人名章以证明其出席，未按时完成签到的将会被</w:t>
      </w:r>
      <w:r>
        <w:rPr>
          <w:rFonts w:hint="eastAsia" w:ascii="宋体" w:hAnsi="宋体" w:eastAsia="宋体" w:cs="仿宋"/>
          <w:b/>
          <w:color w:val="000000" w:themeColor="text1"/>
          <w:sz w:val="28"/>
          <w:szCs w:val="28"/>
          <w:highlight w:val="none"/>
          <w14:textFill>
            <w14:solidFill>
              <w14:schemeClr w14:val="tx1"/>
            </w14:solidFill>
          </w14:textFill>
        </w:rPr>
        <w:t>视作</w:t>
      </w:r>
      <w:r>
        <w:rPr>
          <w:rFonts w:hint="eastAsia" w:ascii="宋体" w:hAnsi="宋体" w:eastAsia="宋体" w:cs="仿宋"/>
          <w:color w:val="000000" w:themeColor="text1"/>
          <w:sz w:val="28"/>
          <w:szCs w:val="28"/>
          <w:highlight w:val="none"/>
          <w14:textFill>
            <w14:solidFill>
              <w14:schemeClr w14:val="tx1"/>
            </w14:solidFill>
          </w14:textFill>
        </w:rPr>
        <w:t>认同开标结果。</w:t>
      </w:r>
    </w:p>
    <w:p w14:paraId="356C3A4F">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22.4</w:t>
      </w:r>
      <w:r>
        <w:rPr>
          <w:rFonts w:hint="eastAsia" w:ascii="宋体" w:hAnsi="宋体" w:eastAsia="宋体" w:cs="仿宋"/>
          <w:color w:val="000000" w:themeColor="text1"/>
          <w:sz w:val="28"/>
          <w:szCs w:val="28"/>
          <w:highlight w:val="none"/>
          <w14:textFill>
            <w14:solidFill>
              <w14:schemeClr w14:val="tx1"/>
            </w14:solidFill>
          </w14:textFill>
        </w:rPr>
        <w:t>投标须知前附表规定了文件解密时间，投标人忘记密码、输入密码错误太多导致CA锁定、未能按时完成解密、其《数据文件》填写、盖章不规范等导致系统无法解析的，将会被视为</w:t>
      </w:r>
      <w:r>
        <w:rPr>
          <w:rFonts w:hint="eastAsia" w:ascii="宋体" w:hAnsi="宋体" w:eastAsia="宋体" w:cs="仿宋"/>
          <w:b/>
          <w:color w:val="000000" w:themeColor="text1"/>
          <w:sz w:val="28"/>
          <w:szCs w:val="28"/>
          <w:highlight w:val="none"/>
          <w14:textFill>
            <w14:solidFill>
              <w14:schemeClr w14:val="tx1"/>
            </w14:solidFill>
          </w14:textFill>
        </w:rPr>
        <w:t>无效投标</w:t>
      </w:r>
      <w:r>
        <w:rPr>
          <w:rFonts w:hint="eastAsia" w:ascii="宋体" w:hAnsi="宋体" w:eastAsia="宋体" w:cs="仿宋"/>
          <w:color w:val="000000" w:themeColor="text1"/>
          <w:sz w:val="28"/>
          <w:szCs w:val="28"/>
          <w:highlight w:val="none"/>
          <w14:textFill>
            <w14:solidFill>
              <w14:schemeClr w14:val="tx1"/>
            </w14:solidFill>
          </w14:textFill>
        </w:rPr>
        <w:t>。</w:t>
      </w:r>
    </w:p>
    <w:p w14:paraId="1405C10B">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22.5</w:t>
      </w:r>
      <w:r>
        <w:rPr>
          <w:rFonts w:hint="eastAsia" w:ascii="宋体" w:hAnsi="宋体" w:eastAsia="宋体" w:cs="仿宋"/>
          <w:color w:val="000000" w:themeColor="text1"/>
          <w:sz w:val="28"/>
          <w:szCs w:val="28"/>
          <w:highlight w:val="none"/>
          <w14:textFill>
            <w14:solidFill>
              <w14:schemeClr w14:val="tx1"/>
            </w14:solidFill>
          </w14:textFill>
        </w:rPr>
        <w:t>开标过程应当由招标人或招标代理机构负责记录，最终形成开标一览表并由各投标人代表签字或盖章确认。</w:t>
      </w:r>
    </w:p>
    <w:p w14:paraId="3BCB7C64">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22.6</w:t>
      </w:r>
      <w:r>
        <w:rPr>
          <w:rFonts w:hint="eastAsia" w:ascii="宋体" w:hAnsi="宋体" w:eastAsia="宋体" w:cs="仿宋"/>
          <w:color w:val="000000" w:themeColor="text1"/>
          <w:sz w:val="28"/>
          <w:szCs w:val="28"/>
          <w:highlight w:val="none"/>
          <w14:textFill>
            <w14:solidFill>
              <w14:schemeClr w14:val="tx1"/>
            </w14:solidFill>
          </w14:textFill>
        </w:rPr>
        <w:t>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086FE76A">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22.7</w:t>
      </w:r>
      <w:r>
        <w:rPr>
          <w:rFonts w:hint="eastAsia" w:ascii="宋体" w:hAnsi="宋体" w:eastAsia="宋体" w:cs="仿宋"/>
          <w:color w:val="000000" w:themeColor="text1"/>
          <w:sz w:val="28"/>
          <w:szCs w:val="28"/>
          <w:highlight w:val="none"/>
          <w14:textFill>
            <w14:solidFill>
              <w14:schemeClr w14:val="tx1"/>
            </w14:solidFill>
          </w14:textFill>
        </w:rPr>
        <w:t>录音、录像：威海市公共资源交易中心负责从提交投标文件开始到确定中标结果全过程的录音、录像工作，确保声音清楚、图像清晰、内容无遗漏。</w:t>
      </w:r>
    </w:p>
    <w:p w14:paraId="480D943D">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22.8</w:t>
      </w:r>
      <w:r>
        <w:rPr>
          <w:rFonts w:hint="eastAsia" w:ascii="宋体" w:hAnsi="宋体" w:eastAsia="宋体" w:cs="仿宋"/>
          <w:color w:val="000000" w:themeColor="text1"/>
          <w:sz w:val="28"/>
          <w:szCs w:val="28"/>
          <w:highlight w:val="none"/>
          <w14:textFill>
            <w14:solidFill>
              <w14:schemeClr w14:val="tx1"/>
            </w14:solidFill>
          </w14:textFill>
        </w:rPr>
        <w:t>评审过程中，如遇特殊情况，服从威海市公共资源交易中心场地调配，并遵守相关规章制度。</w:t>
      </w:r>
    </w:p>
    <w:bookmarkEnd w:id="51"/>
    <w:p w14:paraId="4BFCD3FB">
      <w:pPr>
        <w:spacing w:line="560" w:lineRule="exact"/>
        <w:ind w:firstLine="560" w:firstLineChars="200"/>
        <w:rPr>
          <w:rFonts w:hint="eastAsia" w:ascii="宋体" w:hAnsi="宋体" w:eastAsia="宋体" w:cs="仿宋"/>
          <w:color w:val="000000" w:themeColor="text1"/>
          <w:sz w:val="28"/>
          <w:szCs w:val="28"/>
          <w:highlight w:val="none"/>
          <w14:textFill>
            <w14:solidFill>
              <w14:schemeClr w14:val="tx1"/>
            </w14:solidFill>
          </w14:textFill>
        </w:rPr>
      </w:pPr>
      <w:bookmarkStart w:id="52" w:name="_Hlk154668012"/>
      <w:r>
        <w:rPr>
          <w:rFonts w:ascii="宋体" w:hAnsi="宋体" w:eastAsia="宋体" w:cs="仿宋"/>
          <w:color w:val="000000" w:themeColor="text1"/>
          <w:sz w:val="28"/>
          <w:szCs w:val="28"/>
          <w:highlight w:val="none"/>
          <w14:textFill>
            <w14:solidFill>
              <w14:schemeClr w14:val="tx1"/>
            </w14:solidFill>
          </w14:textFill>
        </w:rPr>
        <w:t>22.9</w:t>
      </w:r>
      <w:r>
        <w:rPr>
          <w:rFonts w:hint="eastAsia" w:ascii="宋体" w:hAnsi="宋体" w:eastAsia="宋体" w:cs="仿宋"/>
          <w:color w:val="000000" w:themeColor="text1"/>
          <w:sz w:val="28"/>
          <w:szCs w:val="28"/>
          <w:highlight w:val="none"/>
          <w14:textFill>
            <w14:solidFill>
              <w14:schemeClr w14:val="tx1"/>
            </w14:solidFill>
          </w14:textFill>
        </w:rPr>
        <w:t>对投标文件报价出现前后不一致的，按以下规定修正：</w:t>
      </w:r>
    </w:p>
    <w:p w14:paraId="3D5D2CA2">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（1）“投标（报价）一览表”的报价与“报价明细表”的总报价不一致的，以“投标（报价）一览表”的报价为准；</w:t>
      </w:r>
    </w:p>
    <w:p w14:paraId="3A8624A2">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（2）大写金额和小写金额不一致的，以大写金额为准；</w:t>
      </w:r>
    </w:p>
    <w:p w14:paraId="47383644">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（3）单价金额小数点或者百分比有明显错位的，以投标（报价）一览表的总价为准，并修改单价。</w:t>
      </w:r>
    </w:p>
    <w:p w14:paraId="52869942">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（4）总价金额与按单价汇总金额不一致的，以单价金额计算结果为准。</w:t>
      </w:r>
    </w:p>
    <w:p w14:paraId="10B2488E">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（5）同时出现两种以上不一致的，按照前款规定的顺序修正。修正后的报价经投标人确认后产生约束力，投标人不确认的，其投标无效。</w:t>
      </w:r>
    </w:p>
    <w:p w14:paraId="22961F51">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22.10</w:t>
      </w:r>
      <w:r>
        <w:rPr>
          <w:rFonts w:hint="eastAsia" w:ascii="宋体" w:hAnsi="宋体" w:eastAsia="宋体" w:cs="仿宋"/>
          <w:color w:val="000000" w:themeColor="text1"/>
          <w:sz w:val="28"/>
          <w:szCs w:val="28"/>
          <w:highlight w:val="none"/>
          <w14:textFill>
            <w14:solidFill>
              <w14:schemeClr w14:val="tx1"/>
            </w14:solidFill>
          </w14:textFill>
        </w:rPr>
        <w:t>开标程序</w:t>
      </w:r>
    </w:p>
    <w:p w14:paraId="743C34F3">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（1）签到：在投标须知前附表规定的时间完成签到。</w:t>
      </w:r>
    </w:p>
    <w:p w14:paraId="44C835E7">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（2）开标：工作人员在投标须知前附表规定的开标时间启动开标。</w:t>
      </w:r>
    </w:p>
    <w:p w14:paraId="4FC8C0D9">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（3）解密：开标后工作人员启动开始解密指令，投标人开始输入解密密码，解密时间到后工作人员启动停止解密指令。</w:t>
      </w:r>
    </w:p>
    <w:p w14:paraId="639B2E2E">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53478363">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22.11</w:t>
      </w:r>
      <w:r>
        <w:rPr>
          <w:rFonts w:hint="eastAsia" w:ascii="宋体" w:hAnsi="宋体" w:eastAsia="宋体" w:cs="仿宋"/>
          <w:color w:val="000000" w:themeColor="text1"/>
          <w:sz w:val="28"/>
          <w:szCs w:val="28"/>
          <w:highlight w:val="none"/>
          <w14:textFill>
            <w14:solidFill>
              <w14:schemeClr w14:val="tx1"/>
            </w14:solidFill>
          </w14:textFill>
        </w:rPr>
        <w:t>应急开标程序</w:t>
      </w:r>
    </w:p>
    <w:p w14:paraId="79883D49">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电子开标过程中如出现下列情况，导致系统无法正常运行，或者无法保证开标过程的公平、公正和信息安全时，经与招标人沟通后可启动应急开标程序。</w:t>
      </w:r>
    </w:p>
    <w:p w14:paraId="7AA40EEE">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（1）系统服务器发生故障，无法访问或无法使用系统；</w:t>
      </w:r>
    </w:p>
    <w:p w14:paraId="02DDB295">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（2）系统的软件或数据库出现错误，不能进行正常操作；</w:t>
      </w:r>
    </w:p>
    <w:p w14:paraId="0E18A3D2">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（3）系统发现有安全漏洞，有潜在的泄密危险；</w:t>
      </w:r>
    </w:p>
    <w:bookmarkEnd w:id="52"/>
    <w:p w14:paraId="625170C7">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bookmarkStart w:id="53" w:name="_Hlk154668029"/>
      <w:r>
        <w:rPr>
          <w:rFonts w:hint="eastAsia" w:ascii="宋体" w:hAnsi="宋体" w:eastAsia="宋体" w:cs="仿宋"/>
          <w:color w:val="000000" w:themeColor="text1"/>
          <w:sz w:val="28"/>
          <w:szCs w:val="28"/>
          <w:highlight w:val="none"/>
          <w14:textFill>
            <w14:solidFill>
              <w14:schemeClr w14:val="tx1"/>
            </w14:solidFill>
          </w14:textFill>
        </w:rPr>
        <w:t>（4）病毒发作或受到外来病毒的攻击；</w:t>
      </w:r>
    </w:p>
    <w:p w14:paraId="696069B1">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（5）其他无法保证开标过程公平、公正和信息安全的情形。</w:t>
      </w:r>
    </w:p>
    <w:p w14:paraId="32C39E9E">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应急开标程序包括：</w:t>
      </w:r>
    </w:p>
    <w:p w14:paraId="15A8DBC8">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（1）对</w:t>
      </w:r>
      <w:r>
        <w:rPr>
          <w:rFonts w:ascii="宋体" w:hAnsi="宋体" w:eastAsia="宋体" w:cs="仿宋"/>
          <w:color w:val="000000" w:themeColor="text1"/>
          <w:sz w:val="28"/>
          <w:szCs w:val="28"/>
          <w:highlight w:val="none"/>
          <w14:textFill>
            <w14:solidFill>
              <w14:schemeClr w14:val="tx1"/>
            </w14:solidFill>
          </w14:textFill>
        </w:rPr>
        <w:t>未在系统中开标的可暂停开标</w:t>
      </w:r>
      <w:r>
        <w:rPr>
          <w:rFonts w:hint="eastAsia" w:ascii="宋体" w:hAnsi="宋体" w:eastAsia="宋体" w:cs="仿宋"/>
          <w:color w:val="000000" w:themeColor="text1"/>
          <w:sz w:val="28"/>
          <w:szCs w:val="28"/>
          <w:highlight w:val="none"/>
          <w14:textFill>
            <w14:solidFill>
              <w14:schemeClr w14:val="tx1"/>
            </w14:solidFill>
          </w14:textFill>
        </w:rPr>
        <w:t>；</w:t>
      </w:r>
    </w:p>
    <w:p w14:paraId="0A044CF8">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w:t>
      </w:r>
      <w:r>
        <w:rPr>
          <w:rFonts w:hint="eastAsia" w:ascii="宋体" w:hAnsi="宋体" w:eastAsia="宋体" w:cs="仿宋"/>
          <w:color w:val="000000" w:themeColor="text1"/>
          <w:sz w:val="28"/>
          <w:szCs w:val="28"/>
          <w:highlight w:val="none"/>
          <w14:textFill>
            <w14:solidFill>
              <w14:schemeClr w14:val="tx1"/>
            </w14:solidFill>
          </w14:textFill>
        </w:rPr>
        <w:t>2）对</w:t>
      </w:r>
      <w:r>
        <w:rPr>
          <w:rFonts w:ascii="宋体" w:hAnsi="宋体" w:eastAsia="宋体" w:cs="仿宋"/>
          <w:color w:val="000000" w:themeColor="text1"/>
          <w:sz w:val="28"/>
          <w:szCs w:val="28"/>
          <w:highlight w:val="none"/>
          <w14:textFill>
            <w14:solidFill>
              <w14:schemeClr w14:val="tx1"/>
            </w14:solidFill>
          </w14:textFill>
        </w:rPr>
        <w:t>已在系统中开标的</w:t>
      </w:r>
      <w:r>
        <w:rPr>
          <w:rFonts w:hint="eastAsia" w:ascii="宋体" w:hAnsi="宋体" w:eastAsia="宋体" w:cs="仿宋"/>
          <w:color w:val="000000" w:themeColor="text1"/>
          <w:sz w:val="28"/>
          <w:szCs w:val="28"/>
          <w:highlight w:val="none"/>
          <w14:textFill>
            <w14:solidFill>
              <w14:schemeClr w14:val="tx1"/>
            </w14:solidFill>
          </w14:textFill>
        </w:rPr>
        <w:t>应停止，等待系统恢复正常后再组织进行开标</w:t>
      </w:r>
      <w:r>
        <w:rPr>
          <w:rFonts w:ascii="宋体" w:hAnsi="宋体" w:eastAsia="宋体" w:cs="仿宋"/>
          <w:color w:val="000000" w:themeColor="text1"/>
          <w:sz w:val="28"/>
          <w:szCs w:val="28"/>
          <w:highlight w:val="none"/>
          <w14:textFill>
            <w14:solidFill>
              <w14:schemeClr w14:val="tx1"/>
            </w14:solidFill>
          </w14:textFill>
        </w:rPr>
        <w:t>。</w:t>
      </w:r>
    </w:p>
    <w:p w14:paraId="62097A3E">
      <w:pPr>
        <w:spacing w:line="560" w:lineRule="exact"/>
        <w:ind w:firstLine="562"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Pr>
          <w:rFonts w:hint="eastAsia" w:ascii="宋体" w:hAnsi="宋体" w:eastAsia="宋体" w:cs="仿宋"/>
          <w:b/>
          <w:color w:val="000000" w:themeColor="text1"/>
          <w:sz w:val="28"/>
          <w:szCs w:val="28"/>
          <w:highlight w:val="none"/>
          <w14:textFill>
            <w14:solidFill>
              <w14:schemeClr w14:val="tx1"/>
            </w14:solidFill>
          </w14:textFill>
        </w:rPr>
        <w:t>无效投标处理。</w:t>
      </w:r>
    </w:p>
    <w:p w14:paraId="20A3868D">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Pr>
          <w:rFonts w:hint="eastAsia" w:ascii="宋体" w:hAnsi="宋体" w:eastAsia="宋体" w:cs="仿宋"/>
          <w:b/>
          <w:color w:val="000000" w:themeColor="text1"/>
          <w:sz w:val="28"/>
          <w:szCs w:val="28"/>
          <w:highlight w:val="none"/>
          <w14:textFill>
            <w14:solidFill>
              <w14:schemeClr w14:val="tx1"/>
            </w14:solidFill>
          </w14:textFill>
        </w:rPr>
        <w:t>无效投标处理</w:t>
      </w:r>
      <w:r>
        <w:rPr>
          <w:rFonts w:hint="eastAsia" w:ascii="宋体" w:hAnsi="宋体" w:eastAsia="宋体" w:cs="仿宋"/>
          <w:color w:val="000000" w:themeColor="text1"/>
          <w:sz w:val="28"/>
          <w:szCs w:val="28"/>
          <w:highlight w:val="none"/>
          <w14:textFill>
            <w14:solidFill>
              <w14:schemeClr w14:val="tx1"/>
            </w14:solidFill>
          </w14:textFill>
        </w:rPr>
        <w:t>。</w:t>
      </w:r>
    </w:p>
    <w:p w14:paraId="3C6D8386">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22.12</w:t>
      </w:r>
      <w:r>
        <w:rPr>
          <w:rFonts w:hint="eastAsia" w:ascii="宋体" w:hAnsi="宋体" w:eastAsia="宋体" w:cs="仿宋"/>
          <w:color w:val="000000" w:themeColor="text1"/>
          <w:sz w:val="28"/>
          <w:szCs w:val="28"/>
          <w:highlight w:val="none"/>
          <w14:textFill>
            <w14:solidFill>
              <w14:schemeClr w14:val="tx1"/>
            </w14:solidFill>
          </w14:textFill>
        </w:rPr>
        <w:t>应急开标电子邮件提交规定</w:t>
      </w:r>
    </w:p>
    <w:p w14:paraId="505B7D47">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接收电子邮箱：whtyzb@</w:t>
      </w:r>
      <w:r>
        <w:rPr>
          <w:rFonts w:ascii="宋体" w:hAnsi="宋体" w:eastAsia="宋体" w:cs="仿宋"/>
          <w:color w:val="000000" w:themeColor="text1"/>
          <w:sz w:val="28"/>
          <w:szCs w:val="28"/>
          <w:highlight w:val="none"/>
          <w14:textFill>
            <w14:solidFill>
              <w14:schemeClr w14:val="tx1"/>
            </w14:solidFill>
          </w14:textFill>
        </w:rPr>
        <w:t>126.</w:t>
      </w:r>
      <w:r>
        <w:rPr>
          <w:rFonts w:hint="eastAsia" w:ascii="宋体" w:hAnsi="宋体" w:eastAsia="宋体" w:cs="仿宋"/>
          <w:color w:val="000000" w:themeColor="text1"/>
          <w:sz w:val="28"/>
          <w:szCs w:val="28"/>
          <w:highlight w:val="none"/>
          <w14:textFill>
            <w14:solidFill>
              <w14:schemeClr w14:val="tx1"/>
            </w14:solidFill>
          </w14:textFill>
        </w:rPr>
        <w:t>com</w:t>
      </w:r>
    </w:p>
    <w:p w14:paraId="60E1DF36">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提交时间：以电子邮件或电话通知的时间为准；</w:t>
      </w:r>
    </w:p>
    <w:p w14:paraId="543D1353">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邮件数量：一封；</w:t>
      </w:r>
    </w:p>
    <w:p w14:paraId="461B48E5">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邮件主题：招标编号、投标人名称；</w:t>
      </w:r>
    </w:p>
    <w:p w14:paraId="1FC848B1">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61997D6C">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22.13</w:t>
      </w:r>
      <w:r>
        <w:rPr>
          <w:rFonts w:hint="eastAsia" w:ascii="宋体" w:hAnsi="宋体" w:eastAsia="宋体" w:cs="仿宋"/>
          <w:color w:val="000000" w:themeColor="text1"/>
          <w:sz w:val="28"/>
          <w:szCs w:val="28"/>
          <w:highlight w:val="none"/>
          <w14:textFill>
            <w14:solidFill>
              <w14:schemeClr w14:val="tx1"/>
            </w14:solidFill>
          </w14:textFill>
        </w:rPr>
        <w:t>启动电子邮件开标流程</w:t>
      </w:r>
    </w:p>
    <w:p w14:paraId="586D913E">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工作人员电话通知所有投标人启动应急开标程序；</w:t>
      </w:r>
    </w:p>
    <w:p w14:paraId="7E69DEC5">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投标人收到通知后在规定时间内通过电子邮件提交投标文件（在非应急开标期间招标代理机构不接受、不处理任何通过电子邮件提交的投标文件）；</w:t>
      </w:r>
    </w:p>
    <w:p w14:paraId="3E94374F">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提交截止时间到，工作人员开始下载投标文件，将投标报价形成开标报告并邮件回复各投标人；</w:t>
      </w:r>
    </w:p>
    <w:p w14:paraId="571AA265">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投标人确认报价并邮件回复，不及时回复的视为对开标报告的内容无异议。</w:t>
      </w:r>
    </w:p>
    <w:bookmarkEnd w:id="53"/>
    <w:p w14:paraId="33D4EE95">
      <w:pPr>
        <w:spacing w:line="560" w:lineRule="exact"/>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2</w:t>
      </w:r>
      <w:r>
        <w:rPr>
          <w:rFonts w:ascii="宋体" w:hAnsi="宋体" w:eastAsia="宋体" w:cs="宋体"/>
          <w:b/>
          <w:color w:val="000000" w:themeColor="text1"/>
          <w:sz w:val="28"/>
          <w:szCs w:val="28"/>
          <w:highlight w:val="none"/>
          <w14:textFill>
            <w14:solidFill>
              <w14:schemeClr w14:val="tx1"/>
            </w14:solidFill>
          </w14:textFill>
        </w:rPr>
        <w:t>3.</w:t>
      </w:r>
      <w:r>
        <w:rPr>
          <w:rFonts w:hint="eastAsia" w:ascii="宋体" w:hAnsi="宋体" w:eastAsia="宋体" w:cs="宋体"/>
          <w:b/>
          <w:color w:val="000000" w:themeColor="text1"/>
          <w:sz w:val="28"/>
          <w:szCs w:val="28"/>
          <w:highlight w:val="none"/>
          <w14:textFill>
            <w14:solidFill>
              <w14:schemeClr w14:val="tx1"/>
            </w14:solidFill>
          </w14:textFill>
        </w:rPr>
        <w:t>评标委员会的组成和评标办法</w:t>
      </w:r>
    </w:p>
    <w:p w14:paraId="0AD1A791">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bookmarkStart w:id="54" w:name="_Hlk154668068"/>
      <w:r>
        <w:rPr>
          <w:rFonts w:ascii="宋体" w:hAnsi="宋体" w:eastAsia="宋体" w:cs="仿宋"/>
          <w:color w:val="000000" w:themeColor="text1"/>
          <w:sz w:val="28"/>
          <w:szCs w:val="28"/>
          <w:highlight w:val="none"/>
          <w14:textFill>
            <w14:solidFill>
              <w14:schemeClr w14:val="tx1"/>
            </w14:solidFill>
          </w14:textFill>
        </w:rPr>
        <w:t>23.</w:t>
      </w:r>
      <w:r>
        <w:rPr>
          <w:rFonts w:hint="eastAsia" w:ascii="宋体" w:hAnsi="宋体" w:eastAsia="宋体" w:cs="仿宋"/>
          <w:color w:val="000000" w:themeColor="text1"/>
          <w:sz w:val="28"/>
          <w:szCs w:val="28"/>
          <w:highlight w:val="none"/>
          <w14:textFill>
            <w14:solidFill>
              <w14:schemeClr w14:val="tx1"/>
            </w14:solidFill>
          </w14:textFill>
        </w:rPr>
        <w:t>1招标代理机构负责组织评标工作，具体评审事务由依法组建的评标委员会负责，评标委员会成员由招标人代表及评审专家5人以上的单数组成，其中经济、技术方面的评审专家不得少于三分之二。评标委员会的专家依法从国企采购主管部门组建的专家库中随机抽取产生。情况特殊的，通过随机方式难以确定合适的评审专家的项目，经主管部门同意，招标人可以自行选定评审专家。</w:t>
      </w:r>
      <w:r>
        <w:rPr>
          <w:rFonts w:ascii="宋体" w:hAnsi="宋体" w:eastAsia="宋体" w:cs="仿宋"/>
          <w:color w:val="000000" w:themeColor="text1"/>
          <w:sz w:val="28"/>
          <w:szCs w:val="28"/>
          <w:highlight w:val="none"/>
          <w14:textFill>
            <w14:solidFill>
              <w14:schemeClr w14:val="tx1"/>
            </w14:solidFill>
          </w14:textFill>
        </w:rPr>
        <w:t>评标委员会成员不得被最高法院列入失信被执行人，若为失信被执行人，将及时清退（开标现场查询）。</w:t>
      </w:r>
    </w:p>
    <w:p w14:paraId="28162C8F">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bookmarkStart w:id="55" w:name="_Hlk154668119"/>
      <w:r>
        <w:rPr>
          <w:rFonts w:ascii="宋体" w:hAnsi="宋体" w:eastAsia="宋体" w:cs="仿宋"/>
          <w:color w:val="000000" w:themeColor="text1"/>
          <w:sz w:val="28"/>
          <w:szCs w:val="28"/>
          <w:highlight w:val="none"/>
          <w14:textFill>
            <w14:solidFill>
              <w14:schemeClr w14:val="tx1"/>
            </w14:solidFill>
          </w14:textFill>
        </w:rPr>
        <w:t>23.</w:t>
      </w:r>
      <w:r>
        <w:rPr>
          <w:rFonts w:hint="eastAsia" w:ascii="宋体" w:hAnsi="宋体" w:eastAsia="宋体" w:cs="仿宋"/>
          <w:color w:val="000000" w:themeColor="text1"/>
          <w:sz w:val="28"/>
          <w:szCs w:val="28"/>
          <w:highlight w:val="none"/>
          <w14:textFill>
            <w14:solidFill>
              <w14:schemeClr w14:val="tx1"/>
            </w14:solidFill>
          </w14:textFill>
        </w:rPr>
        <w:t>2招标人员及相关人员与投标人有利害关系的应当回避。曾参与项目征询意见或论证的专家，不得再作为评审专家参加评审。招标人不得以专家身份参与本项目的评审。招标人和</w:t>
      </w:r>
      <w:r>
        <w:rPr>
          <w:rFonts w:ascii="宋体" w:hAnsi="宋体" w:eastAsia="宋体" w:cs="仿宋"/>
          <w:color w:val="000000" w:themeColor="text1"/>
          <w:sz w:val="28"/>
          <w:szCs w:val="28"/>
          <w:highlight w:val="none"/>
          <w14:textFill>
            <w14:solidFill>
              <w14:schemeClr w14:val="tx1"/>
            </w14:solidFill>
          </w14:textFill>
        </w:rPr>
        <w:t>招标代理机构</w:t>
      </w:r>
      <w:r>
        <w:rPr>
          <w:rFonts w:hint="eastAsia" w:ascii="宋体" w:hAnsi="宋体" w:eastAsia="宋体" w:cs="仿宋"/>
          <w:color w:val="000000" w:themeColor="text1"/>
          <w:sz w:val="28"/>
          <w:szCs w:val="28"/>
          <w:highlight w:val="none"/>
          <w14:textFill>
            <w14:solidFill>
              <w14:schemeClr w14:val="tx1"/>
            </w14:solidFill>
          </w14:textFill>
        </w:rPr>
        <w:t>工作人员离职或退休不满三年的，不能作为专家参加评审工作。</w:t>
      </w:r>
    </w:p>
    <w:p w14:paraId="75B83D57">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23.3</w:t>
      </w:r>
      <w:r>
        <w:rPr>
          <w:rFonts w:hint="eastAsia" w:ascii="宋体" w:hAnsi="宋体" w:eastAsia="宋体" w:cs="仿宋"/>
          <w:color w:val="000000" w:themeColor="text1"/>
          <w:sz w:val="28"/>
          <w:szCs w:val="28"/>
          <w:highlight w:val="none"/>
          <w14:textFill>
            <w14:solidFill>
              <w14:schemeClr w14:val="tx1"/>
            </w14:solidFill>
          </w14:textFill>
        </w:rPr>
        <w:t>评标委员会成员职责：</w:t>
      </w:r>
    </w:p>
    <w:p w14:paraId="3816392D">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（1）评标前，评标委员会成员应当主动确认与投标人及其制造商是否有利害关系。如有利害关系应当主动回避，如无利害关系，应当在含有相关内容的《无利害关系声明》上签字；</w:t>
      </w:r>
    </w:p>
    <w:p w14:paraId="479C55E1">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（2）按照招标文件中确定的评标办法，对投标文件的内容进行评审，并对评审结果承担责任；</w:t>
      </w:r>
    </w:p>
    <w:p w14:paraId="53976D1B">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（3）对评标过程和结果，以及投标人的商业秘密进行保密；</w:t>
      </w:r>
    </w:p>
    <w:p w14:paraId="734192E0">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（4）在评标委员会集体起草的评标报告上签字；</w:t>
      </w:r>
    </w:p>
    <w:p w14:paraId="35AC950F">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（5）配合招标代理机构答复投标人质疑；</w:t>
      </w:r>
    </w:p>
    <w:p w14:paraId="38DF39B1">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w:t>
      </w:r>
      <w:r>
        <w:rPr>
          <w:rFonts w:ascii="宋体" w:hAnsi="宋体" w:eastAsia="宋体" w:cs="仿宋"/>
          <w:color w:val="000000" w:themeColor="text1"/>
          <w:sz w:val="28"/>
          <w:szCs w:val="28"/>
          <w:highlight w:val="none"/>
          <w14:textFill>
            <w14:solidFill>
              <w14:schemeClr w14:val="tx1"/>
            </w14:solidFill>
          </w14:textFill>
        </w:rPr>
        <w:t>6</w:t>
      </w:r>
      <w:r>
        <w:rPr>
          <w:rFonts w:hint="eastAsia" w:ascii="宋体" w:hAnsi="宋体" w:eastAsia="宋体" w:cs="仿宋"/>
          <w:color w:val="000000" w:themeColor="text1"/>
          <w:sz w:val="28"/>
          <w:szCs w:val="28"/>
          <w:highlight w:val="none"/>
          <w14:textFill>
            <w14:solidFill>
              <w14:schemeClr w14:val="tx1"/>
            </w14:solidFill>
          </w14:textFill>
        </w:rPr>
        <w:t>）配合主管部门处理投标人投诉；</w:t>
      </w:r>
    </w:p>
    <w:p w14:paraId="66B4FB96">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w:t>
      </w:r>
      <w:r>
        <w:rPr>
          <w:rFonts w:ascii="宋体" w:hAnsi="宋体" w:eastAsia="宋体" w:cs="仿宋"/>
          <w:color w:val="000000" w:themeColor="text1"/>
          <w:sz w:val="28"/>
          <w:szCs w:val="28"/>
          <w:highlight w:val="none"/>
          <w14:textFill>
            <w14:solidFill>
              <w14:schemeClr w14:val="tx1"/>
            </w14:solidFill>
          </w14:textFill>
        </w:rPr>
        <w:t>7</w:t>
      </w:r>
      <w:r>
        <w:rPr>
          <w:rFonts w:hint="eastAsia" w:ascii="宋体" w:hAnsi="宋体" w:eastAsia="宋体" w:cs="仿宋"/>
          <w:color w:val="000000" w:themeColor="text1"/>
          <w:sz w:val="28"/>
          <w:szCs w:val="28"/>
          <w:highlight w:val="none"/>
          <w14:textFill>
            <w14:solidFill>
              <w14:schemeClr w14:val="tx1"/>
            </w14:solidFill>
          </w14:textFill>
        </w:rPr>
        <w:t>）向招标人反映评审工作中的问题，提出意见和建议。</w:t>
      </w:r>
    </w:p>
    <w:bookmarkEnd w:id="55"/>
    <w:p w14:paraId="4824A3DA">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bookmarkStart w:id="56" w:name="_Hlk154668127"/>
      <w:r>
        <w:rPr>
          <w:rFonts w:ascii="宋体" w:hAnsi="宋体" w:eastAsia="宋体" w:cs="仿宋"/>
          <w:color w:val="000000" w:themeColor="text1"/>
          <w:sz w:val="28"/>
          <w:szCs w:val="28"/>
          <w:highlight w:val="none"/>
          <w14:textFill>
            <w14:solidFill>
              <w14:schemeClr w14:val="tx1"/>
            </w14:solidFill>
          </w14:textFill>
        </w:rPr>
        <w:t>23.4</w:t>
      </w:r>
      <w:r>
        <w:rPr>
          <w:rFonts w:hint="eastAsia" w:ascii="宋体" w:hAnsi="宋体" w:eastAsia="宋体" w:cs="仿宋"/>
          <w:color w:val="000000" w:themeColor="text1"/>
          <w:sz w:val="28"/>
          <w:szCs w:val="28"/>
          <w:highlight w:val="none"/>
          <w14:textFill>
            <w14:solidFill>
              <w14:schemeClr w14:val="tx1"/>
            </w14:solidFill>
          </w14:textFill>
        </w:rPr>
        <w:t>评标委员会集体职责：</w:t>
      </w:r>
    </w:p>
    <w:p w14:paraId="40AEAD6C">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083FF02A">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（2）配合招标人和</w:t>
      </w:r>
      <w:r>
        <w:rPr>
          <w:rFonts w:ascii="宋体" w:hAnsi="宋体" w:eastAsia="宋体" w:cs="仿宋"/>
          <w:color w:val="000000" w:themeColor="text1"/>
          <w:sz w:val="28"/>
          <w:szCs w:val="28"/>
          <w:highlight w:val="none"/>
          <w14:textFill>
            <w14:solidFill>
              <w14:schemeClr w14:val="tx1"/>
            </w14:solidFill>
          </w14:textFill>
        </w:rPr>
        <w:t>招标代理机构</w:t>
      </w:r>
      <w:r>
        <w:rPr>
          <w:rFonts w:hint="eastAsia" w:ascii="宋体" w:hAnsi="宋体" w:eastAsia="宋体" w:cs="仿宋"/>
          <w:color w:val="000000" w:themeColor="text1"/>
          <w:sz w:val="28"/>
          <w:szCs w:val="28"/>
          <w:highlight w:val="none"/>
          <w14:textFill>
            <w14:solidFill>
              <w14:schemeClr w14:val="tx1"/>
            </w14:solidFill>
          </w14:textFill>
        </w:rPr>
        <w:t>答复投标人的质疑；</w:t>
      </w:r>
    </w:p>
    <w:p w14:paraId="17ED2C44">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（3）配合主管部门做好投诉处理工作；</w:t>
      </w:r>
    </w:p>
    <w:p w14:paraId="00C7D83E">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w:t>
      </w:r>
      <w:r>
        <w:rPr>
          <w:rFonts w:ascii="宋体" w:hAnsi="宋体" w:eastAsia="宋体" w:cs="仿宋"/>
          <w:color w:val="000000" w:themeColor="text1"/>
          <w:sz w:val="28"/>
          <w:szCs w:val="28"/>
          <w:highlight w:val="none"/>
          <w14:textFill>
            <w14:solidFill>
              <w14:schemeClr w14:val="tx1"/>
            </w14:solidFill>
          </w14:textFill>
        </w:rPr>
        <w:t>4</w:t>
      </w:r>
      <w:r>
        <w:rPr>
          <w:rFonts w:hint="eastAsia" w:ascii="宋体" w:hAnsi="宋体" w:eastAsia="宋体" w:cs="仿宋"/>
          <w:color w:val="000000" w:themeColor="text1"/>
          <w:sz w:val="28"/>
          <w:szCs w:val="28"/>
          <w:highlight w:val="none"/>
          <w14:textFill>
            <w14:solidFill>
              <w14:schemeClr w14:val="tx1"/>
            </w14:solidFill>
          </w14:textFill>
        </w:rPr>
        <w:t>）必要时，向投标人解释评审结果；</w:t>
      </w:r>
    </w:p>
    <w:p w14:paraId="0DBF6418">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w:t>
      </w:r>
      <w:r>
        <w:rPr>
          <w:rFonts w:ascii="宋体" w:hAnsi="宋体" w:eastAsia="宋体" w:cs="仿宋"/>
          <w:color w:val="000000" w:themeColor="text1"/>
          <w:sz w:val="28"/>
          <w:szCs w:val="28"/>
          <w:highlight w:val="none"/>
          <w14:textFill>
            <w14:solidFill>
              <w14:schemeClr w14:val="tx1"/>
            </w14:solidFill>
          </w14:textFill>
        </w:rPr>
        <w:t>5</w:t>
      </w:r>
      <w:r>
        <w:rPr>
          <w:rFonts w:hint="eastAsia" w:ascii="宋体" w:hAnsi="宋体" w:eastAsia="宋体" w:cs="仿宋"/>
          <w:color w:val="000000" w:themeColor="text1"/>
          <w:sz w:val="28"/>
          <w:szCs w:val="28"/>
          <w:highlight w:val="none"/>
          <w14:textFill>
            <w14:solidFill>
              <w14:schemeClr w14:val="tx1"/>
            </w14:solidFill>
          </w14:textFill>
        </w:rPr>
        <w:t>）向主管部门或者有关部门报告非法干预评审工作的行为。</w:t>
      </w:r>
    </w:p>
    <w:bookmarkEnd w:id="56"/>
    <w:p w14:paraId="026FAE96">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bookmarkStart w:id="57" w:name="_Hlk154668139"/>
      <w:r>
        <w:rPr>
          <w:rFonts w:ascii="宋体" w:hAnsi="宋体" w:eastAsia="宋体" w:cs="仿宋"/>
          <w:color w:val="000000" w:themeColor="text1"/>
          <w:sz w:val="28"/>
          <w:szCs w:val="28"/>
          <w:highlight w:val="none"/>
          <w14:textFill>
            <w14:solidFill>
              <w14:schemeClr w14:val="tx1"/>
            </w14:solidFill>
          </w14:textFill>
        </w:rPr>
        <w:t>23.5</w:t>
      </w:r>
      <w:r>
        <w:rPr>
          <w:rFonts w:hint="eastAsia" w:ascii="宋体" w:hAnsi="宋体" w:eastAsia="宋体" w:cs="仿宋"/>
          <w:color w:val="000000" w:themeColor="text1"/>
          <w:sz w:val="28"/>
          <w:szCs w:val="28"/>
          <w:highlight w:val="none"/>
          <w14:textFill>
            <w14:solidFill>
              <w14:schemeClr w14:val="tx1"/>
            </w14:solidFill>
          </w14:textFill>
        </w:rPr>
        <w:t>招标代理机构或招标人的职责：</w:t>
      </w:r>
    </w:p>
    <w:p w14:paraId="11896283">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（1）核对评标专家身份和招标人代表授权书，对评标专家在招标活动中的职责履行情况予以记录，并及时将有关违法违规行为向主管部门报告；</w:t>
      </w:r>
    </w:p>
    <w:p w14:paraId="5E94E54A">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（2）宣布评审纪律；</w:t>
      </w:r>
    </w:p>
    <w:p w14:paraId="112D28BB">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（3）公布投标人名单，告知评标委员会专家应当回避的情形；</w:t>
      </w:r>
    </w:p>
    <w:p w14:paraId="0C804BD4">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（4）组织评标委员会推选评标组长</w:t>
      </w:r>
      <w:r>
        <w:rPr>
          <w:rFonts w:hint="eastAsia" w:ascii="宋体" w:hAnsi="宋体" w:eastAsia="宋体" w:cs="仿宋"/>
          <w:color w:val="000000" w:themeColor="text1"/>
          <w:sz w:val="28"/>
          <w:szCs w:val="21"/>
          <w:highlight w:val="none"/>
          <w14:textFill>
            <w14:solidFill>
              <w14:schemeClr w14:val="tx1"/>
            </w14:solidFill>
          </w14:textFill>
        </w:rPr>
        <w:t>，招标人代表不得担任评标组长</w:t>
      </w:r>
      <w:r>
        <w:rPr>
          <w:rFonts w:hint="eastAsia" w:ascii="宋体" w:hAnsi="宋体" w:eastAsia="宋体" w:cs="仿宋"/>
          <w:color w:val="000000" w:themeColor="text1"/>
          <w:sz w:val="28"/>
          <w:szCs w:val="28"/>
          <w:highlight w:val="none"/>
          <w14:textFill>
            <w14:solidFill>
              <w14:schemeClr w14:val="tx1"/>
            </w14:solidFill>
          </w14:textFill>
        </w:rPr>
        <w:t>；</w:t>
      </w:r>
    </w:p>
    <w:p w14:paraId="30E9B8D7">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w:t>
      </w:r>
      <w:r>
        <w:rPr>
          <w:rFonts w:ascii="宋体" w:hAnsi="宋体" w:eastAsia="宋体" w:cs="仿宋"/>
          <w:color w:val="000000" w:themeColor="text1"/>
          <w:sz w:val="28"/>
          <w:szCs w:val="28"/>
          <w:highlight w:val="none"/>
          <w14:textFill>
            <w14:solidFill>
              <w14:schemeClr w14:val="tx1"/>
            </w14:solidFill>
          </w14:textFill>
        </w:rPr>
        <w:t>5</w:t>
      </w:r>
      <w:r>
        <w:rPr>
          <w:rFonts w:hint="eastAsia" w:ascii="宋体" w:hAnsi="宋体" w:eastAsia="宋体" w:cs="仿宋"/>
          <w:color w:val="000000" w:themeColor="text1"/>
          <w:sz w:val="28"/>
          <w:szCs w:val="28"/>
          <w:highlight w:val="none"/>
          <w14:textFill>
            <w14:solidFill>
              <w14:schemeClr w14:val="tx1"/>
            </w14:solidFill>
          </w14:textFill>
        </w:rPr>
        <w:t>）在评审期间采取必要的通讯管理措施，保证评审活动不受外界干扰；</w:t>
      </w:r>
    </w:p>
    <w:p w14:paraId="1164EC1F">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w:t>
      </w:r>
      <w:r>
        <w:rPr>
          <w:rFonts w:ascii="宋体" w:hAnsi="宋体" w:eastAsia="宋体" w:cs="仿宋"/>
          <w:color w:val="000000" w:themeColor="text1"/>
          <w:sz w:val="28"/>
          <w:szCs w:val="28"/>
          <w:highlight w:val="none"/>
          <w14:textFill>
            <w14:solidFill>
              <w14:schemeClr w14:val="tx1"/>
            </w14:solidFill>
          </w14:textFill>
        </w:rPr>
        <w:t>6</w:t>
      </w:r>
      <w:r>
        <w:rPr>
          <w:rFonts w:hint="eastAsia" w:ascii="宋体" w:hAnsi="宋体" w:eastAsia="宋体" w:cs="仿宋"/>
          <w:color w:val="000000" w:themeColor="text1"/>
          <w:sz w:val="28"/>
          <w:szCs w:val="28"/>
          <w:highlight w:val="none"/>
          <w14:textFill>
            <w14:solidFill>
              <w14:schemeClr w14:val="tx1"/>
            </w14:solidFill>
          </w14:textFill>
        </w:rPr>
        <w:t>）根据评标委员会的要求介绍阳光国企采购相关政策法规、招标文件；</w:t>
      </w:r>
    </w:p>
    <w:p w14:paraId="67C316D5">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w:t>
      </w:r>
      <w:r>
        <w:rPr>
          <w:rFonts w:ascii="宋体" w:hAnsi="宋体" w:eastAsia="宋体" w:cs="仿宋"/>
          <w:color w:val="000000" w:themeColor="text1"/>
          <w:sz w:val="28"/>
          <w:szCs w:val="28"/>
          <w:highlight w:val="none"/>
          <w14:textFill>
            <w14:solidFill>
              <w14:schemeClr w14:val="tx1"/>
            </w14:solidFill>
          </w14:textFill>
        </w:rPr>
        <w:t>7</w:t>
      </w:r>
      <w:r>
        <w:rPr>
          <w:rFonts w:hint="eastAsia" w:ascii="宋体" w:hAnsi="宋体" w:eastAsia="宋体" w:cs="仿宋"/>
          <w:color w:val="000000" w:themeColor="text1"/>
          <w:sz w:val="28"/>
          <w:szCs w:val="28"/>
          <w:highlight w:val="none"/>
          <w14:textFill>
            <w14:solidFill>
              <w14:schemeClr w14:val="tx1"/>
            </w14:solidFill>
          </w14:textFill>
        </w:rPr>
        <w:t>）维护评审秩序，监督评标委员会依照招标文件规定的评标程序、方法和标准进行独立评审，及时制止和纠正评标专家的倾向性言论或者违法违规行为；</w:t>
      </w:r>
    </w:p>
    <w:p w14:paraId="424FE4B6">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w:t>
      </w:r>
      <w:r>
        <w:rPr>
          <w:rFonts w:ascii="宋体" w:hAnsi="宋体" w:eastAsia="宋体" w:cs="仿宋"/>
          <w:color w:val="000000" w:themeColor="text1"/>
          <w:sz w:val="28"/>
          <w:szCs w:val="28"/>
          <w:highlight w:val="none"/>
          <w14:textFill>
            <w14:solidFill>
              <w14:schemeClr w14:val="tx1"/>
            </w14:solidFill>
          </w14:textFill>
        </w:rPr>
        <w:t>8</w:t>
      </w:r>
      <w:r>
        <w:rPr>
          <w:rFonts w:hint="eastAsia" w:ascii="宋体" w:hAnsi="宋体" w:eastAsia="宋体" w:cs="仿宋"/>
          <w:color w:val="000000" w:themeColor="text1"/>
          <w:sz w:val="28"/>
          <w:szCs w:val="28"/>
          <w:highlight w:val="none"/>
          <w14:textFill>
            <w14:solidFill>
              <w14:schemeClr w14:val="tx1"/>
            </w14:solidFill>
          </w14:textFill>
        </w:rPr>
        <w:t>）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0E05F336">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w:t>
      </w:r>
      <w:r>
        <w:rPr>
          <w:rFonts w:ascii="宋体" w:hAnsi="宋体" w:eastAsia="宋体" w:cs="仿宋"/>
          <w:color w:val="000000" w:themeColor="text1"/>
          <w:sz w:val="28"/>
          <w:szCs w:val="28"/>
          <w:highlight w:val="none"/>
          <w14:textFill>
            <w14:solidFill>
              <w14:schemeClr w14:val="tx1"/>
            </w14:solidFill>
          </w14:textFill>
        </w:rPr>
        <w:t>9</w:t>
      </w:r>
      <w:r>
        <w:rPr>
          <w:rFonts w:hint="eastAsia" w:ascii="宋体" w:hAnsi="宋体" w:eastAsia="宋体" w:cs="仿宋"/>
          <w:color w:val="000000" w:themeColor="text1"/>
          <w:sz w:val="28"/>
          <w:szCs w:val="28"/>
          <w:highlight w:val="none"/>
          <w14:textFill>
            <w14:solidFill>
              <w14:schemeClr w14:val="tx1"/>
            </w14:solidFill>
          </w14:textFill>
        </w:rPr>
        <w:t>）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155010F9">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w:t>
      </w:r>
      <w:r>
        <w:rPr>
          <w:rFonts w:ascii="宋体" w:hAnsi="宋体" w:eastAsia="宋体" w:cs="仿宋"/>
          <w:color w:val="000000" w:themeColor="text1"/>
          <w:sz w:val="28"/>
          <w:szCs w:val="28"/>
          <w:highlight w:val="none"/>
          <w14:textFill>
            <w14:solidFill>
              <w14:schemeClr w14:val="tx1"/>
            </w14:solidFill>
          </w14:textFill>
        </w:rPr>
        <w:t>10</w:t>
      </w:r>
      <w:r>
        <w:rPr>
          <w:rFonts w:hint="eastAsia" w:ascii="宋体" w:hAnsi="宋体" w:eastAsia="宋体" w:cs="仿宋"/>
          <w:color w:val="000000" w:themeColor="text1"/>
          <w:sz w:val="28"/>
          <w:szCs w:val="28"/>
          <w:highlight w:val="none"/>
          <w14:textFill>
            <w14:solidFill>
              <w14:schemeClr w14:val="tx1"/>
            </w14:solidFill>
          </w14:textFill>
        </w:rPr>
        <w:t>）处理与评标有关的其他事项。</w:t>
      </w:r>
    </w:p>
    <w:p w14:paraId="3BA7D655">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招标人可以在评标前说明项目背景和招标需求，说明内容不得含有歧视性、倾向性意见，不得超出招标文件所述范围。</w:t>
      </w:r>
    </w:p>
    <w:bookmarkEnd w:id="57"/>
    <w:p w14:paraId="30D6455C">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bookmarkStart w:id="58" w:name="_Hlk154668158"/>
      <w:r>
        <w:rPr>
          <w:rFonts w:ascii="宋体" w:hAnsi="宋体" w:eastAsia="宋体" w:cs="仿宋"/>
          <w:color w:val="000000" w:themeColor="text1"/>
          <w:sz w:val="28"/>
          <w:szCs w:val="28"/>
          <w:highlight w:val="none"/>
          <w14:textFill>
            <w14:solidFill>
              <w14:schemeClr w14:val="tx1"/>
            </w14:solidFill>
          </w14:textFill>
        </w:rPr>
        <w:t>23.6</w:t>
      </w:r>
      <w:r>
        <w:rPr>
          <w:rFonts w:hint="eastAsia" w:ascii="宋体" w:hAnsi="宋体" w:eastAsia="宋体" w:cs="仿宋"/>
          <w:color w:val="000000" w:themeColor="text1"/>
          <w:sz w:val="28"/>
          <w:szCs w:val="28"/>
          <w:highlight w:val="none"/>
          <w14:textFill>
            <w14:solidFill>
              <w14:schemeClr w14:val="tx1"/>
            </w14:solidFill>
          </w14:textFill>
        </w:rPr>
        <w:t>评标委员会采用集中办公、封闭方式进行评审。评标前，招标代理机构工作人员向评标委员会成员宣布评标纪律和工作规则。评标委员会成员签署《无利害关系声明表》，并遵照执行。</w:t>
      </w:r>
    </w:p>
    <w:p w14:paraId="272FA307">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23.7</w:t>
      </w:r>
      <w:r>
        <w:rPr>
          <w:rFonts w:hint="eastAsia" w:ascii="宋体" w:hAnsi="宋体" w:eastAsia="宋体" w:cs="仿宋"/>
          <w:color w:val="000000" w:themeColor="text1"/>
          <w:sz w:val="28"/>
          <w:szCs w:val="28"/>
          <w:highlight w:val="none"/>
          <w14:textFill>
            <w14:solidFill>
              <w14:schemeClr w14:val="tx1"/>
            </w14:solidFill>
          </w14:textFill>
        </w:rPr>
        <w:t>在招标采购活动中，招标人员及相关人员与投标人有以下利害关系之一的，应当回避：</w:t>
      </w:r>
    </w:p>
    <w:p w14:paraId="698E1DC1">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（1）参加招标采购活动前3年内与投标人存在劳动关系；</w:t>
      </w:r>
    </w:p>
    <w:p w14:paraId="0C1869A1">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（2）参加招标采购活动前3年内担任投标人的董事、监事；</w:t>
      </w:r>
    </w:p>
    <w:p w14:paraId="1F990A46">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（3）参加招标采购活动前3年内是投标人的控股股东或者实际控制人；</w:t>
      </w:r>
    </w:p>
    <w:p w14:paraId="4D2BEF87">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（4）与投标人的法定代表人或者负责人有服务、直系血亲、三代以内旁系血亲或者近姻亲关系；</w:t>
      </w:r>
    </w:p>
    <w:p w14:paraId="2990EE8D">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（5）与投标人有其他可能影响招标采购活动公平、公正进行的关系。</w:t>
      </w:r>
    </w:p>
    <w:p w14:paraId="381C6F44">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35E54797">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23.8</w:t>
      </w:r>
      <w:r>
        <w:rPr>
          <w:rFonts w:hint="eastAsia" w:ascii="宋体" w:hAnsi="宋体" w:eastAsia="宋体" w:cs="仿宋"/>
          <w:color w:val="000000" w:themeColor="text1"/>
          <w:sz w:val="28"/>
          <w:szCs w:val="28"/>
          <w:highlight w:val="none"/>
          <w14:textFill>
            <w14:solidFill>
              <w14:schemeClr w14:val="tx1"/>
            </w14:solidFill>
          </w14:textFill>
        </w:rPr>
        <w:t>评标委员会成员对与自己有利害关系的评标项目应当主动提出回避。</w:t>
      </w:r>
    </w:p>
    <w:p w14:paraId="37F83510">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23.9</w:t>
      </w:r>
      <w:r>
        <w:rPr>
          <w:rFonts w:hint="eastAsia" w:ascii="宋体" w:hAnsi="宋体" w:eastAsia="宋体" w:cs="仿宋"/>
          <w:color w:val="000000" w:themeColor="text1"/>
          <w:sz w:val="28"/>
          <w:szCs w:val="28"/>
          <w:highlight w:val="none"/>
          <w14:textFill>
            <w14:solidFill>
              <w14:schemeClr w14:val="tx1"/>
            </w14:solidFill>
          </w14:textFill>
        </w:rPr>
        <w:t>评标委员会将按照招标文件确定的评标原则和方法进行评标。评标委员会对投标文件的评审内容分为资格性审查、符合性审查、商务评议、技术评议和价格评议。</w:t>
      </w:r>
    </w:p>
    <w:bookmarkEnd w:id="58"/>
    <w:p w14:paraId="48186C0C">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bookmarkStart w:id="59" w:name="_Hlk154668166"/>
      <w:r>
        <w:rPr>
          <w:rFonts w:ascii="宋体" w:hAnsi="宋体" w:eastAsia="宋体" w:cs="仿宋"/>
          <w:color w:val="000000" w:themeColor="text1"/>
          <w:sz w:val="28"/>
          <w:szCs w:val="28"/>
          <w:highlight w:val="none"/>
          <w14:textFill>
            <w14:solidFill>
              <w14:schemeClr w14:val="tx1"/>
            </w14:solidFill>
          </w14:textFill>
        </w:rPr>
        <w:t>23.10</w:t>
      </w:r>
      <w:r>
        <w:rPr>
          <w:rFonts w:hint="eastAsia" w:ascii="宋体" w:hAnsi="宋体" w:eastAsia="宋体" w:cs="仿宋"/>
          <w:color w:val="000000" w:themeColor="text1"/>
          <w:sz w:val="28"/>
          <w:szCs w:val="28"/>
          <w:highlight w:val="none"/>
          <w14:textFill>
            <w14:solidFill>
              <w14:schemeClr w14:val="tx1"/>
            </w14:solidFill>
          </w14:textFill>
        </w:rPr>
        <w:t>评标委员会独立履行下列职责：</w:t>
      </w:r>
    </w:p>
    <w:p w14:paraId="6BF5DBE7">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（1）审查、评价投标文件是否符合招标文件的商务、技术等实质性要求；</w:t>
      </w:r>
    </w:p>
    <w:p w14:paraId="52021B10">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（2）要求投标人对投标文件有关事项作出澄清或者说明；</w:t>
      </w:r>
    </w:p>
    <w:p w14:paraId="35D50F40">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（3）对投标文件进行比较和评价；</w:t>
      </w:r>
    </w:p>
    <w:p w14:paraId="49B6ED4E">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（4）确定中标候选人名单，以及根据招标人委托直接确定中标人；</w:t>
      </w:r>
    </w:p>
    <w:p w14:paraId="09BAA820">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（5）向招标人、招标代理机构或者有关部门报告评标中发现的违法行为。</w:t>
      </w:r>
    </w:p>
    <w:p w14:paraId="58D07E7C">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23.11</w:t>
      </w:r>
      <w:r>
        <w:rPr>
          <w:rFonts w:hint="eastAsia" w:ascii="宋体" w:hAnsi="宋体" w:eastAsia="宋体" w:cs="仿宋"/>
          <w:color w:val="000000" w:themeColor="text1"/>
          <w:sz w:val="28"/>
          <w:szCs w:val="28"/>
          <w:highlight w:val="none"/>
          <w14:textFill>
            <w14:solidFill>
              <w14:schemeClr w14:val="tx1"/>
            </w14:solidFill>
          </w14:textFill>
        </w:rPr>
        <w:t>评标中因评标委员会成员缺席、回避或者健康等特殊原因导致评标委员会组成不符合本办法规定的，招标人应当依法补足后继续评标。被更换的评标委员会成员所作出的评标意见无效。</w:t>
      </w:r>
    </w:p>
    <w:p w14:paraId="519130FD">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无法及时补足评标委员会成员的，招标代理机构应当停止评标活动，封存所有投标文件和开标、评标资料，依法重新组建评标委员会进行评标。原评标委员会作出的评标意见无效。</w:t>
      </w:r>
    </w:p>
    <w:p w14:paraId="4A1140DD">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招标代理机构应当将变更、重新组建评标委员会的情况予以记录，并随招标文件一并存档。</w:t>
      </w:r>
    </w:p>
    <w:bookmarkEnd w:id="54"/>
    <w:bookmarkEnd w:id="59"/>
    <w:p w14:paraId="12F227CB">
      <w:pPr>
        <w:spacing w:line="560" w:lineRule="exact"/>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24.投标文件的初审</w:t>
      </w:r>
    </w:p>
    <w:p w14:paraId="6EED517D">
      <w:pPr>
        <w:spacing w:line="518" w:lineRule="exact"/>
        <w:ind w:firstLine="548" w:firstLineChars="196"/>
        <w:rPr>
          <w:rFonts w:hint="eastAsia" w:ascii="宋体" w:hAnsi="宋体" w:eastAsia="宋体"/>
          <w:color w:val="000000" w:themeColor="text1"/>
          <w:highlight w:val="none"/>
          <w14:textFill>
            <w14:solidFill>
              <w14:schemeClr w14:val="tx1"/>
            </w14:solidFill>
          </w14:textFill>
        </w:rPr>
      </w:pPr>
      <w:bookmarkStart w:id="60" w:name="_Hlk154668175"/>
      <w:r>
        <w:rPr>
          <w:rFonts w:ascii="宋体" w:hAnsi="宋体" w:eastAsia="宋体" w:cs="仿宋_GB2312"/>
          <w:color w:val="000000" w:themeColor="text1"/>
          <w:sz w:val="28"/>
          <w:highlight w:val="none"/>
          <w14:textFill>
            <w14:solidFill>
              <w14:schemeClr w14:val="tx1"/>
            </w14:solidFill>
          </w14:textFill>
        </w:rPr>
        <w:t>评标委员会将按照招标文件的规定对投标文件进行资格性和符合性审查，以确定投标文件的有效性</w:t>
      </w:r>
      <w:bookmarkEnd w:id="60"/>
      <w:r>
        <w:rPr>
          <w:rFonts w:ascii="宋体" w:hAnsi="宋体" w:eastAsia="宋体" w:cs="仿宋_GB2312"/>
          <w:color w:val="000000" w:themeColor="text1"/>
          <w:sz w:val="28"/>
          <w:highlight w:val="none"/>
          <w14:textFill>
            <w14:solidFill>
              <w14:schemeClr w14:val="tx1"/>
            </w14:solidFill>
          </w14:textFill>
        </w:rPr>
        <w:t>。</w:t>
      </w:r>
    </w:p>
    <w:p w14:paraId="215C11D6">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24.1</w:t>
      </w:r>
      <w:r>
        <w:rPr>
          <w:rFonts w:hint="eastAsia" w:ascii="宋体" w:hAnsi="宋体" w:eastAsia="宋体" w:cs="仿宋"/>
          <w:color w:val="000000" w:themeColor="text1"/>
          <w:sz w:val="28"/>
          <w:szCs w:val="28"/>
          <w:highlight w:val="none"/>
          <w14:textFill>
            <w14:solidFill>
              <w14:schemeClr w14:val="tx1"/>
            </w14:solidFill>
          </w14:textFill>
        </w:rPr>
        <w:t>资格性审查。在招标项目开标结束后,评标委员会对投标人的资格进行审查。合格投标人不足3家的，不得评标。在资格性检查时,如有下列情况之一的，经评标委员会认定，视为非实质性响应，为无效投标：</w:t>
      </w:r>
    </w:p>
    <w:p w14:paraId="64250818">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bookmarkStart w:id="61" w:name="_Hlk154668197"/>
      <w:r>
        <w:rPr>
          <w:rFonts w:ascii="宋体" w:hAnsi="宋体" w:eastAsia="宋体" w:cs="仿宋"/>
          <w:color w:val="000000" w:themeColor="text1"/>
          <w:sz w:val="28"/>
          <w:szCs w:val="28"/>
          <w:highlight w:val="none"/>
          <w14:textFill>
            <w14:solidFill>
              <w14:schemeClr w14:val="tx1"/>
            </w14:solidFill>
          </w14:textFill>
        </w:rPr>
        <w:t>（1）投标文件不完整的；</w:t>
      </w:r>
    </w:p>
    <w:p w14:paraId="7BB47A40">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（2）资质、资格证明文件不完整或不符合招标文件要求或过期失效的；</w:t>
      </w:r>
    </w:p>
    <w:p w14:paraId="55C2DAEA">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（3）投标文件未按规定签署及盖章的；</w:t>
      </w:r>
    </w:p>
    <w:p w14:paraId="2F5531FA">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（4）投标人的法定代表人或授权代表不在规定时间内答疑或澄清的；</w:t>
      </w:r>
    </w:p>
    <w:p w14:paraId="726B1E08">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（5）</w:t>
      </w:r>
      <w:r>
        <w:rPr>
          <w:rFonts w:hint="eastAsia" w:ascii="宋体" w:hAnsi="宋体" w:eastAsia="宋体" w:cs="仿宋"/>
          <w:color w:val="000000" w:themeColor="text1"/>
          <w:sz w:val="28"/>
          <w:szCs w:val="28"/>
          <w:highlight w:val="none"/>
          <w14:textFill>
            <w14:solidFill>
              <w14:schemeClr w14:val="tx1"/>
            </w14:solidFill>
          </w14:textFill>
        </w:rPr>
        <w:t>与招标人存在利害关系且可能影响招标活动的公正性；</w:t>
      </w:r>
    </w:p>
    <w:p w14:paraId="126C0D6C">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（6）与本招标项目的其他投标人为同一个单位负责人；</w:t>
      </w:r>
    </w:p>
    <w:p w14:paraId="564BAD18">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（7）与本招标项目的其他投标人存在控股、管理关系；</w:t>
      </w:r>
    </w:p>
    <w:p w14:paraId="303C48C9">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（8）为本招标项目的代建人；</w:t>
      </w:r>
    </w:p>
    <w:p w14:paraId="13C12369">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（9）为本招标项目的招标代理机构；</w:t>
      </w:r>
    </w:p>
    <w:p w14:paraId="73782532">
      <w:pPr>
        <w:snapToGrid w:val="0"/>
        <w:spacing w:line="52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（10）被依法暂停或者取消投标资格；</w:t>
      </w:r>
    </w:p>
    <w:p w14:paraId="6337D5E4">
      <w:pPr>
        <w:snapToGrid w:val="0"/>
        <w:spacing w:line="52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（11）被责令停产停业、暂扣或者吊销许可证、暂扣或者吊销执照；</w:t>
      </w:r>
    </w:p>
    <w:p w14:paraId="701566DD">
      <w:pPr>
        <w:snapToGrid w:val="0"/>
        <w:spacing w:line="52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（12）进入清算程序，或被宣告破产，或其他丧失履约能力的情形；</w:t>
      </w:r>
    </w:p>
    <w:p w14:paraId="001820BA">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（13）除招标文件规定提交备选投标方案外，同一投标人递交两个以上不同的投标文件或者投标报价的；</w:t>
      </w:r>
    </w:p>
    <w:p w14:paraId="38AC3D89">
      <w:pPr>
        <w:snapToGrid w:val="0"/>
        <w:spacing w:line="52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（14）</w:t>
      </w:r>
      <w:r>
        <w:rPr>
          <w:rFonts w:ascii="宋体" w:hAnsi="宋体" w:eastAsia="宋体" w:cs="仿宋"/>
          <w:color w:val="000000" w:themeColor="text1"/>
          <w:sz w:val="28"/>
          <w:szCs w:val="28"/>
          <w:highlight w:val="none"/>
          <w14:textFill>
            <w14:solidFill>
              <w14:schemeClr w14:val="tx1"/>
            </w14:solidFill>
          </w14:textFill>
        </w:rPr>
        <w:t>评标委员会认为不符合招标文件其他实质性要求或法律规定的；</w:t>
      </w:r>
    </w:p>
    <w:p w14:paraId="42C192ED">
      <w:pPr>
        <w:snapToGrid w:val="0"/>
        <w:spacing w:line="52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（15）法律法规规定的其他情形。</w:t>
      </w:r>
    </w:p>
    <w:bookmarkEnd w:id="61"/>
    <w:p w14:paraId="172E73A1">
      <w:pPr>
        <w:snapToGrid w:val="0"/>
        <w:spacing w:line="52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bookmarkStart w:id="62" w:name="_Hlk154668205"/>
      <w:r>
        <w:rPr>
          <w:rFonts w:ascii="宋体" w:hAnsi="宋体" w:eastAsia="宋体" w:cs="仿宋"/>
          <w:color w:val="000000" w:themeColor="text1"/>
          <w:sz w:val="28"/>
          <w:szCs w:val="28"/>
          <w:highlight w:val="none"/>
          <w14:textFill>
            <w14:solidFill>
              <w14:schemeClr w14:val="tx1"/>
            </w14:solidFill>
          </w14:textFill>
        </w:rPr>
        <w:t>24.2</w:t>
      </w:r>
      <w:r>
        <w:rPr>
          <w:rFonts w:hint="eastAsia" w:ascii="宋体" w:hAnsi="宋体" w:eastAsia="宋体" w:cs="仿宋"/>
          <w:color w:val="000000" w:themeColor="text1"/>
          <w:sz w:val="28"/>
          <w:szCs w:val="28"/>
          <w:highlight w:val="none"/>
          <w14:textFill>
            <w14:solidFill>
              <w14:schemeClr w14:val="tx1"/>
            </w14:solidFill>
          </w14:textFill>
        </w:rPr>
        <w:t>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6C169FAF">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具体内容详见《投标须知》-《实质性条款一览表》中符合性审查条件。</w:t>
      </w:r>
    </w:p>
    <w:p w14:paraId="3AF8DF41">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24.3</w:t>
      </w:r>
      <w:r>
        <w:rPr>
          <w:rFonts w:hint="eastAsia" w:ascii="宋体" w:hAnsi="宋体" w:eastAsia="宋体" w:cs="仿宋"/>
          <w:color w:val="000000" w:themeColor="text1"/>
          <w:sz w:val="28"/>
          <w:szCs w:val="28"/>
          <w:highlight w:val="none"/>
          <w14:textFill>
            <w14:solidFill>
              <w14:schemeClr w14:val="tx1"/>
            </w14:solidFill>
          </w14:textFill>
        </w:rPr>
        <w:t>投标人有下列情形之一的，视为投标人串通投标，其投标无效：</w:t>
      </w:r>
    </w:p>
    <w:p w14:paraId="7899A2FE">
      <w:pPr>
        <w:pStyle w:val="179"/>
        <w:widowControl w:val="0"/>
        <w:shd w:val="clear" w:color="auto" w:fill="FFFFFF"/>
        <w:spacing w:before="0" w:beforeAutospacing="0" w:after="0" w:afterAutospacing="0" w:line="560" w:lineRule="exact"/>
        <w:ind w:firstLine="640"/>
        <w:jc w:val="both"/>
        <w:rPr>
          <w:rFonts w:hint="eastAsia" w:eastAsia="宋体" w:cs="仿宋"/>
          <w:color w:val="000000" w:themeColor="text1"/>
          <w:kern w:val="2"/>
          <w:sz w:val="28"/>
          <w:szCs w:val="28"/>
          <w:highlight w:val="none"/>
          <w14:textFill>
            <w14:solidFill>
              <w14:schemeClr w14:val="tx1"/>
            </w14:solidFill>
          </w14:textFill>
        </w:rPr>
      </w:pPr>
      <w:r>
        <w:rPr>
          <w:rFonts w:hint="eastAsia" w:eastAsia="宋体" w:cs="仿宋"/>
          <w:color w:val="000000" w:themeColor="text1"/>
          <w:kern w:val="2"/>
          <w:sz w:val="28"/>
          <w:szCs w:val="28"/>
          <w:highlight w:val="none"/>
          <w14:textFill>
            <w14:solidFill>
              <w14:schemeClr w14:val="tx1"/>
            </w14:solidFill>
          </w14:textFill>
        </w:rPr>
        <w:t>（1）不同投标人的投标文件由同一单位或者个人编制的；</w:t>
      </w:r>
    </w:p>
    <w:p w14:paraId="390ED712">
      <w:pPr>
        <w:pStyle w:val="179"/>
        <w:widowControl w:val="0"/>
        <w:shd w:val="clear" w:color="auto" w:fill="FFFFFF"/>
        <w:spacing w:before="0" w:beforeAutospacing="0" w:after="0" w:afterAutospacing="0" w:line="560" w:lineRule="exact"/>
        <w:ind w:firstLine="640"/>
        <w:jc w:val="both"/>
        <w:rPr>
          <w:rFonts w:hint="eastAsia" w:eastAsia="宋体" w:cs="仿宋"/>
          <w:color w:val="000000" w:themeColor="text1"/>
          <w:kern w:val="2"/>
          <w:sz w:val="28"/>
          <w:szCs w:val="28"/>
          <w:highlight w:val="none"/>
          <w14:textFill>
            <w14:solidFill>
              <w14:schemeClr w14:val="tx1"/>
            </w14:solidFill>
          </w14:textFill>
        </w:rPr>
      </w:pPr>
      <w:r>
        <w:rPr>
          <w:rFonts w:hint="eastAsia" w:eastAsia="宋体" w:cs="仿宋"/>
          <w:color w:val="000000" w:themeColor="text1"/>
          <w:kern w:val="2"/>
          <w:sz w:val="28"/>
          <w:szCs w:val="28"/>
          <w:highlight w:val="none"/>
          <w14:textFill>
            <w14:solidFill>
              <w14:schemeClr w14:val="tx1"/>
            </w14:solidFill>
          </w14:textFill>
        </w:rPr>
        <w:t>（2）不同投标人使用同一个投标人或者同一个自然人的IP地址、设备下</w:t>
      </w:r>
      <w:bookmarkEnd w:id="62"/>
      <w:bookmarkStart w:id="63" w:name="_Hlk154668217"/>
      <w:r>
        <w:rPr>
          <w:rFonts w:hint="eastAsia" w:eastAsia="宋体" w:cs="仿宋"/>
          <w:color w:val="000000" w:themeColor="text1"/>
          <w:kern w:val="2"/>
          <w:sz w:val="28"/>
          <w:szCs w:val="28"/>
          <w:highlight w:val="none"/>
          <w14:textFill>
            <w14:solidFill>
              <w14:schemeClr w14:val="tx1"/>
            </w14:solidFill>
          </w14:textFill>
        </w:rPr>
        <w:t>载招标文件或者制作、上传投标文件的；</w:t>
      </w:r>
    </w:p>
    <w:p w14:paraId="095D9D7E">
      <w:pPr>
        <w:pStyle w:val="179"/>
        <w:widowControl w:val="0"/>
        <w:shd w:val="clear" w:color="auto" w:fill="FFFFFF"/>
        <w:spacing w:before="0" w:beforeAutospacing="0" w:after="0" w:afterAutospacing="0" w:line="560" w:lineRule="exact"/>
        <w:ind w:firstLine="640"/>
        <w:jc w:val="both"/>
        <w:rPr>
          <w:rFonts w:hint="eastAsia" w:eastAsia="宋体" w:cs="仿宋"/>
          <w:color w:val="000000" w:themeColor="text1"/>
          <w:kern w:val="2"/>
          <w:sz w:val="28"/>
          <w:szCs w:val="28"/>
          <w:highlight w:val="none"/>
          <w14:textFill>
            <w14:solidFill>
              <w14:schemeClr w14:val="tx1"/>
            </w14:solidFill>
          </w14:textFill>
        </w:rPr>
      </w:pPr>
      <w:bookmarkStart w:id="64" w:name="_Hlk154668229"/>
      <w:r>
        <w:rPr>
          <w:rFonts w:hint="eastAsia" w:eastAsia="宋体" w:cs="仿宋"/>
          <w:color w:val="000000" w:themeColor="text1"/>
          <w:kern w:val="2"/>
          <w:sz w:val="28"/>
          <w:szCs w:val="28"/>
          <w:highlight w:val="none"/>
          <w14:textFill>
            <w14:solidFill>
              <w14:schemeClr w14:val="tx1"/>
            </w14:solidFill>
          </w14:textFill>
        </w:rPr>
        <w:t>（3）不同投标人委托同一单位或者个人办理投标事宜；</w:t>
      </w:r>
    </w:p>
    <w:p w14:paraId="676F96FB">
      <w:pPr>
        <w:pStyle w:val="179"/>
        <w:widowControl w:val="0"/>
        <w:shd w:val="clear" w:color="auto" w:fill="FFFFFF"/>
        <w:spacing w:before="0" w:beforeAutospacing="0" w:after="0" w:afterAutospacing="0" w:line="560" w:lineRule="exact"/>
        <w:ind w:firstLine="640"/>
        <w:jc w:val="both"/>
        <w:rPr>
          <w:rFonts w:hint="eastAsia" w:eastAsia="宋体" w:cs="仿宋"/>
          <w:color w:val="000000" w:themeColor="text1"/>
          <w:kern w:val="2"/>
          <w:sz w:val="28"/>
          <w:szCs w:val="28"/>
          <w:highlight w:val="none"/>
          <w14:textFill>
            <w14:solidFill>
              <w14:schemeClr w14:val="tx1"/>
            </w14:solidFill>
          </w14:textFill>
        </w:rPr>
      </w:pPr>
      <w:r>
        <w:rPr>
          <w:rFonts w:hint="eastAsia" w:eastAsia="宋体" w:cs="仿宋"/>
          <w:color w:val="000000" w:themeColor="text1"/>
          <w:kern w:val="2"/>
          <w:sz w:val="28"/>
          <w:szCs w:val="28"/>
          <w:highlight w:val="none"/>
          <w14:textFill>
            <w14:solidFill>
              <w14:schemeClr w14:val="tx1"/>
            </w14:solidFill>
          </w14:textFill>
        </w:rPr>
        <w:t>（4）不同投标人的投标文件载明的项目管理成员或者联系人员为同一人；</w:t>
      </w:r>
    </w:p>
    <w:p w14:paraId="3EFFFB78">
      <w:pPr>
        <w:pStyle w:val="179"/>
        <w:widowControl w:val="0"/>
        <w:shd w:val="clear" w:color="auto" w:fill="FFFFFF"/>
        <w:spacing w:before="0" w:beforeAutospacing="0" w:after="0" w:afterAutospacing="0" w:line="560" w:lineRule="exact"/>
        <w:ind w:firstLine="640"/>
        <w:jc w:val="both"/>
        <w:rPr>
          <w:rFonts w:hint="eastAsia" w:eastAsia="宋体" w:cs="仿宋"/>
          <w:color w:val="000000" w:themeColor="text1"/>
          <w:kern w:val="2"/>
          <w:sz w:val="28"/>
          <w:szCs w:val="28"/>
          <w:highlight w:val="none"/>
          <w14:textFill>
            <w14:solidFill>
              <w14:schemeClr w14:val="tx1"/>
            </w14:solidFill>
          </w14:textFill>
        </w:rPr>
      </w:pPr>
      <w:r>
        <w:rPr>
          <w:rFonts w:hint="eastAsia" w:eastAsia="宋体" w:cs="仿宋"/>
          <w:color w:val="000000" w:themeColor="text1"/>
          <w:kern w:val="2"/>
          <w:sz w:val="28"/>
          <w:szCs w:val="28"/>
          <w:highlight w:val="none"/>
          <w14:textFill>
            <w14:solidFill>
              <w14:schemeClr w14:val="tx1"/>
            </w14:solidFill>
          </w14:textFill>
        </w:rPr>
        <w:t>（5）不同投标人的投标文件重要内容异常一致、或者投标报价呈现规律性差异；</w:t>
      </w:r>
    </w:p>
    <w:p w14:paraId="7D5EEDBA">
      <w:pPr>
        <w:pStyle w:val="179"/>
        <w:widowControl w:val="0"/>
        <w:shd w:val="clear" w:color="auto" w:fill="FFFFFF"/>
        <w:spacing w:before="0" w:beforeAutospacing="0" w:after="0" w:afterAutospacing="0" w:line="560" w:lineRule="exact"/>
        <w:ind w:firstLine="640"/>
        <w:jc w:val="both"/>
        <w:rPr>
          <w:rFonts w:hint="eastAsia" w:eastAsia="宋体" w:cs="仿宋"/>
          <w:color w:val="000000" w:themeColor="text1"/>
          <w:kern w:val="2"/>
          <w:sz w:val="28"/>
          <w:szCs w:val="28"/>
          <w:highlight w:val="none"/>
          <w14:textFill>
            <w14:solidFill>
              <w14:schemeClr w14:val="tx1"/>
            </w14:solidFill>
          </w14:textFill>
        </w:rPr>
      </w:pPr>
      <w:r>
        <w:rPr>
          <w:rFonts w:hint="eastAsia" w:eastAsia="宋体" w:cs="仿宋"/>
          <w:color w:val="000000" w:themeColor="text1"/>
          <w:kern w:val="2"/>
          <w:sz w:val="28"/>
          <w:szCs w:val="28"/>
          <w:highlight w:val="none"/>
          <w14:textFill>
            <w14:solidFill>
              <w14:schemeClr w14:val="tx1"/>
            </w14:solidFill>
          </w14:textFill>
        </w:rPr>
        <w:t>（6）不同投标人编制的投标文件存在两处以上错误一致的；</w:t>
      </w:r>
    </w:p>
    <w:p w14:paraId="3DD2EF2F">
      <w:pPr>
        <w:pStyle w:val="179"/>
        <w:widowControl w:val="0"/>
        <w:shd w:val="clear" w:color="auto" w:fill="FFFFFF"/>
        <w:spacing w:before="0" w:beforeAutospacing="0" w:after="0" w:afterAutospacing="0" w:line="560" w:lineRule="exact"/>
        <w:ind w:firstLine="640"/>
        <w:jc w:val="both"/>
        <w:rPr>
          <w:rFonts w:hint="eastAsia" w:eastAsia="宋体" w:cs="仿宋"/>
          <w:color w:val="000000" w:themeColor="text1"/>
          <w:kern w:val="2"/>
          <w:sz w:val="28"/>
          <w:szCs w:val="28"/>
          <w:highlight w:val="none"/>
          <w14:textFill>
            <w14:solidFill>
              <w14:schemeClr w14:val="tx1"/>
            </w14:solidFill>
          </w14:textFill>
        </w:rPr>
      </w:pPr>
      <w:r>
        <w:rPr>
          <w:rFonts w:hint="eastAsia" w:eastAsia="宋体" w:cs="仿宋"/>
          <w:color w:val="000000" w:themeColor="text1"/>
          <w:kern w:val="2"/>
          <w:sz w:val="28"/>
          <w:szCs w:val="28"/>
          <w:highlight w:val="none"/>
          <w14:textFill>
            <w14:solidFill>
              <w14:schemeClr w14:val="tx1"/>
            </w14:solidFill>
          </w14:textFill>
        </w:rPr>
        <w:t>（7）不同投标人的投标文件相互混装；</w:t>
      </w:r>
    </w:p>
    <w:p w14:paraId="602EA63B">
      <w:pPr>
        <w:pStyle w:val="179"/>
        <w:widowControl w:val="0"/>
        <w:shd w:val="clear" w:color="auto" w:fill="FFFFFF"/>
        <w:spacing w:before="0" w:beforeAutospacing="0" w:after="0" w:afterAutospacing="0" w:line="560" w:lineRule="exact"/>
        <w:ind w:firstLine="640"/>
        <w:jc w:val="both"/>
        <w:rPr>
          <w:rFonts w:hint="eastAsia" w:eastAsia="宋体" w:cs="仿宋"/>
          <w:color w:val="000000" w:themeColor="text1"/>
          <w:kern w:val="2"/>
          <w:sz w:val="28"/>
          <w:szCs w:val="28"/>
          <w:highlight w:val="none"/>
          <w14:textFill>
            <w14:solidFill>
              <w14:schemeClr w14:val="tx1"/>
            </w14:solidFill>
          </w14:textFill>
        </w:rPr>
      </w:pPr>
      <w:r>
        <w:rPr>
          <w:rFonts w:hint="eastAsia" w:eastAsia="宋体" w:cs="仿宋"/>
          <w:color w:val="000000" w:themeColor="text1"/>
          <w:kern w:val="2"/>
          <w:sz w:val="28"/>
          <w:szCs w:val="28"/>
          <w:highlight w:val="none"/>
          <w14:textFill>
            <w14:solidFill>
              <w14:schemeClr w14:val="tx1"/>
            </w14:solidFill>
          </w14:textFill>
        </w:rPr>
        <w:t>（8）不同投标人的投标保证金从同一单位或者个人的账户转出；</w:t>
      </w:r>
    </w:p>
    <w:p w14:paraId="78ABFC33">
      <w:pPr>
        <w:pStyle w:val="179"/>
        <w:widowControl w:val="0"/>
        <w:shd w:val="clear" w:color="auto" w:fill="FFFFFF"/>
        <w:spacing w:before="0" w:beforeAutospacing="0" w:after="0" w:afterAutospacing="0" w:line="560" w:lineRule="exact"/>
        <w:ind w:firstLine="640"/>
        <w:jc w:val="both"/>
        <w:rPr>
          <w:rFonts w:hint="eastAsia" w:eastAsia="宋体" w:cs="仿宋"/>
          <w:color w:val="000000" w:themeColor="text1"/>
          <w:kern w:val="2"/>
          <w:sz w:val="28"/>
          <w:szCs w:val="28"/>
          <w:highlight w:val="none"/>
          <w14:textFill>
            <w14:solidFill>
              <w14:schemeClr w14:val="tx1"/>
            </w14:solidFill>
          </w14:textFill>
        </w:rPr>
      </w:pPr>
      <w:r>
        <w:rPr>
          <w:rFonts w:hint="eastAsia" w:eastAsia="宋体" w:cs="仿宋"/>
          <w:color w:val="000000" w:themeColor="text1"/>
          <w:kern w:val="2"/>
          <w:sz w:val="28"/>
          <w:szCs w:val="28"/>
          <w:highlight w:val="none"/>
          <w14:textFill>
            <w14:solidFill>
              <w14:schemeClr w14:val="tx1"/>
            </w14:solidFill>
          </w14:textFill>
        </w:rPr>
        <w:t>（9）不同投标人制作的电子投标文件经系统审查存在cpu编码、硬盘编码及MAC地址三项编码均相同的。</w:t>
      </w:r>
      <w:bookmarkEnd w:id="64"/>
    </w:p>
    <w:p w14:paraId="78F71767">
      <w:pPr>
        <w:spacing w:line="518" w:lineRule="exact"/>
        <w:ind w:firstLine="548" w:firstLineChars="196"/>
        <w:rPr>
          <w:rFonts w:hint="eastAsia" w:ascii="宋体" w:hAnsi="宋体" w:eastAsia="宋体"/>
          <w:color w:val="000000" w:themeColor="text1"/>
          <w:highlight w:val="none"/>
          <w14:textFill>
            <w14:solidFill>
              <w14:schemeClr w14:val="tx1"/>
            </w14:solidFill>
          </w14:textFill>
        </w:rPr>
      </w:pPr>
      <w:bookmarkStart w:id="65" w:name="_Hlk154668255"/>
      <w:bookmarkStart w:id="66" w:name="_Hlk154668244"/>
      <w:r>
        <w:rPr>
          <w:rFonts w:ascii="宋体" w:hAnsi="宋体" w:eastAsia="宋体" w:cs="仿宋"/>
          <w:color w:val="000000" w:themeColor="text1"/>
          <w:sz w:val="28"/>
          <w:szCs w:val="28"/>
          <w:highlight w:val="none"/>
          <w14:textFill>
            <w14:solidFill>
              <w14:schemeClr w14:val="tx1"/>
            </w14:solidFill>
          </w14:textFill>
        </w:rPr>
        <w:t>24.4属于无</w:t>
      </w:r>
      <w:r>
        <w:rPr>
          <w:rFonts w:ascii="宋体" w:hAnsi="宋体" w:eastAsia="宋体" w:cs="仿宋_GB2312"/>
          <w:color w:val="000000" w:themeColor="text1"/>
          <w:sz w:val="28"/>
          <w:highlight w:val="none"/>
          <w14:textFill>
            <w14:solidFill>
              <w14:schemeClr w14:val="tx1"/>
            </w14:solidFill>
          </w14:textFill>
        </w:rPr>
        <w:t>效投标的，投标人不能通过修正或</w:t>
      </w:r>
      <w:r>
        <w:rPr>
          <w:rFonts w:hint="eastAsia" w:ascii="宋体" w:hAnsi="宋体" w:eastAsia="宋体" w:cs="仿宋_GB2312"/>
          <w:color w:val="000000" w:themeColor="text1"/>
          <w:sz w:val="28"/>
          <w:highlight w:val="none"/>
          <w14:textFill>
            <w14:solidFill>
              <w14:schemeClr w14:val="tx1"/>
            </w14:solidFill>
          </w14:textFill>
        </w:rPr>
        <w:t>撤销</w:t>
      </w:r>
      <w:r>
        <w:rPr>
          <w:rFonts w:ascii="宋体" w:hAnsi="宋体" w:eastAsia="宋体" w:cs="仿宋_GB2312"/>
          <w:color w:val="000000" w:themeColor="text1"/>
          <w:sz w:val="28"/>
          <w:highlight w:val="none"/>
          <w14:textFill>
            <w14:solidFill>
              <w14:schemeClr w14:val="tx1"/>
            </w14:solidFill>
          </w14:textFill>
        </w:rPr>
        <w:t>投标文件中不符合之处而成为实质性响应的投标，</w:t>
      </w:r>
      <w:r>
        <w:rPr>
          <w:rFonts w:hint="eastAsia" w:ascii="宋体" w:hAnsi="宋体" w:eastAsia="宋体" w:cs="仿宋_GB2312"/>
          <w:color w:val="000000" w:themeColor="text1"/>
          <w:sz w:val="28"/>
          <w:highlight w:val="none"/>
          <w14:textFill>
            <w14:solidFill>
              <w14:schemeClr w14:val="tx1"/>
            </w14:solidFill>
          </w14:textFill>
        </w:rPr>
        <w:t>招标代理机构</w:t>
      </w:r>
      <w:r>
        <w:rPr>
          <w:rFonts w:ascii="宋体" w:hAnsi="宋体" w:eastAsia="宋体" w:cs="仿宋_GB2312"/>
          <w:color w:val="000000" w:themeColor="text1"/>
          <w:sz w:val="28"/>
          <w:highlight w:val="none"/>
          <w14:textFill>
            <w14:solidFill>
              <w14:schemeClr w14:val="tx1"/>
            </w14:solidFill>
          </w14:textFill>
        </w:rPr>
        <w:t>将通知投标人，并说明无效投标理由；属于有效投标文件的，将进行下一轮次的询标和澄清</w:t>
      </w:r>
      <w:bookmarkEnd w:id="65"/>
      <w:r>
        <w:rPr>
          <w:rFonts w:ascii="宋体" w:hAnsi="宋体" w:eastAsia="宋体" w:cs="仿宋_GB2312"/>
          <w:color w:val="000000" w:themeColor="text1"/>
          <w:sz w:val="28"/>
          <w:highlight w:val="none"/>
          <w14:textFill>
            <w14:solidFill>
              <w14:schemeClr w14:val="tx1"/>
            </w14:solidFill>
          </w14:textFill>
        </w:rPr>
        <w:t>。</w:t>
      </w:r>
    </w:p>
    <w:p w14:paraId="3A49B365">
      <w:pPr>
        <w:spacing w:line="560" w:lineRule="exact"/>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bookmarkStart w:id="67" w:name="_Hlk154668262"/>
      <w:r>
        <w:rPr>
          <w:rFonts w:ascii="宋体" w:hAnsi="宋体" w:eastAsia="宋体" w:cs="宋体"/>
          <w:b/>
          <w:color w:val="000000" w:themeColor="text1"/>
          <w:sz w:val="28"/>
          <w:szCs w:val="28"/>
          <w:highlight w:val="none"/>
          <w14:textFill>
            <w14:solidFill>
              <w14:schemeClr w14:val="tx1"/>
            </w14:solidFill>
          </w14:textFill>
        </w:rPr>
        <w:t>25.</w:t>
      </w:r>
      <w:r>
        <w:rPr>
          <w:rFonts w:hint="eastAsia" w:ascii="宋体" w:hAnsi="宋体" w:eastAsia="宋体" w:cs="宋体"/>
          <w:b/>
          <w:color w:val="000000" w:themeColor="text1"/>
          <w:sz w:val="28"/>
          <w:szCs w:val="28"/>
          <w:highlight w:val="none"/>
          <w14:textFill>
            <w14:solidFill>
              <w14:schemeClr w14:val="tx1"/>
            </w14:solidFill>
          </w14:textFill>
        </w:rPr>
        <w:t>投标文件的澄清</w:t>
      </w:r>
    </w:p>
    <w:bookmarkEnd w:id="63"/>
    <w:p w14:paraId="3873EF9A">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w:t>
      </w:r>
      <w:r>
        <w:rPr>
          <w:rFonts w:ascii="宋体" w:hAnsi="宋体" w:eastAsia="宋体" w:cs="仿宋"/>
          <w:color w:val="000000" w:themeColor="text1"/>
          <w:sz w:val="28"/>
          <w:szCs w:val="28"/>
          <w:highlight w:val="none"/>
          <w14:textFill>
            <w14:solidFill>
              <w14:schemeClr w14:val="tx1"/>
            </w14:solidFill>
          </w14:textFill>
        </w:rPr>
        <w:t>5.1</w:t>
      </w:r>
      <w:r>
        <w:rPr>
          <w:rFonts w:hint="eastAsia" w:ascii="宋体" w:hAnsi="宋体" w:eastAsia="宋体" w:cs="仿宋"/>
          <w:color w:val="000000" w:themeColor="text1"/>
          <w:sz w:val="28"/>
          <w:szCs w:val="28"/>
          <w:highlight w:val="none"/>
          <w14:textFill>
            <w14:solidFill>
              <w14:schemeClr w14:val="tx1"/>
            </w14:solidFill>
          </w14:textFill>
        </w:rPr>
        <w:t>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52BBAC7A">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w:t>
      </w:r>
      <w:r>
        <w:rPr>
          <w:rFonts w:ascii="宋体" w:hAnsi="宋体" w:eastAsia="宋体" w:cs="仿宋"/>
          <w:color w:val="000000" w:themeColor="text1"/>
          <w:sz w:val="28"/>
          <w:szCs w:val="28"/>
          <w:highlight w:val="none"/>
          <w14:textFill>
            <w14:solidFill>
              <w14:schemeClr w14:val="tx1"/>
            </w14:solidFill>
          </w14:textFill>
        </w:rPr>
        <w:t>5.2</w:t>
      </w:r>
      <w:r>
        <w:rPr>
          <w:rFonts w:hint="eastAsia" w:ascii="宋体" w:hAnsi="宋体" w:eastAsia="宋体" w:cs="仿宋"/>
          <w:color w:val="000000" w:themeColor="text1"/>
          <w:sz w:val="28"/>
          <w:szCs w:val="28"/>
          <w:highlight w:val="none"/>
          <w14:textFill>
            <w14:solidFill>
              <w14:schemeClr w14:val="tx1"/>
            </w14:solidFill>
          </w14:textFill>
        </w:rPr>
        <w:t>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67"/>
      <w:r>
        <w:rPr>
          <w:rFonts w:hint="eastAsia" w:ascii="宋体" w:hAnsi="宋体" w:eastAsia="宋体" w:cs="仿宋"/>
          <w:color w:val="000000" w:themeColor="text1"/>
          <w:sz w:val="28"/>
          <w:szCs w:val="28"/>
          <w:highlight w:val="none"/>
          <w14:textFill>
            <w14:solidFill>
              <w14:schemeClr w14:val="tx1"/>
            </w14:solidFill>
          </w14:textFill>
        </w:rPr>
        <w:t>。</w:t>
      </w:r>
    </w:p>
    <w:p w14:paraId="04D4B3BE">
      <w:pPr>
        <w:spacing w:line="560" w:lineRule="exact"/>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bookmarkStart w:id="68" w:name="_Hlk154668269"/>
      <w:r>
        <w:rPr>
          <w:rFonts w:ascii="宋体" w:hAnsi="宋体" w:eastAsia="宋体" w:cs="宋体"/>
          <w:b/>
          <w:color w:val="000000" w:themeColor="text1"/>
          <w:sz w:val="28"/>
          <w:szCs w:val="28"/>
          <w:highlight w:val="none"/>
          <w14:textFill>
            <w14:solidFill>
              <w14:schemeClr w14:val="tx1"/>
            </w14:solidFill>
          </w14:textFill>
        </w:rPr>
        <w:t>26.</w:t>
      </w:r>
      <w:r>
        <w:rPr>
          <w:rFonts w:hint="eastAsia" w:ascii="宋体" w:hAnsi="宋体" w:eastAsia="宋体" w:cs="宋体"/>
          <w:b/>
          <w:color w:val="000000" w:themeColor="text1"/>
          <w:sz w:val="28"/>
          <w:szCs w:val="28"/>
          <w:highlight w:val="none"/>
          <w14:textFill>
            <w14:solidFill>
              <w14:schemeClr w14:val="tx1"/>
            </w14:solidFill>
          </w14:textFill>
        </w:rPr>
        <w:t>投标文件的评价</w:t>
      </w:r>
    </w:p>
    <w:p w14:paraId="6F003751">
      <w:pPr>
        <w:spacing w:line="518" w:lineRule="exact"/>
        <w:ind w:firstLine="548" w:firstLineChars="196"/>
        <w:rPr>
          <w:rFonts w:hint="eastAsia" w:ascii="宋体" w:hAnsi="宋体" w:eastAsia="宋体" w:cs="仿宋_GB2312"/>
          <w:color w:val="000000" w:themeColor="text1"/>
          <w:sz w:val="28"/>
          <w:highlight w:val="none"/>
          <w14:textFill>
            <w14:solidFill>
              <w14:schemeClr w14:val="tx1"/>
            </w14:solidFill>
          </w14:textFill>
        </w:rPr>
      </w:pPr>
      <w:r>
        <w:rPr>
          <w:rFonts w:ascii="宋体" w:hAnsi="宋体" w:eastAsia="宋体" w:cs="仿宋_GB2312"/>
          <w:color w:val="000000" w:themeColor="text1"/>
          <w:sz w:val="28"/>
          <w:highlight w:val="none"/>
          <w14:textFill>
            <w14:solidFill>
              <w14:schemeClr w14:val="tx1"/>
            </w14:solidFill>
          </w14:textFill>
        </w:rPr>
        <w:t>评标委员会按招标文件中规定的评标方法和评标标准对有效投标文件的商务和技术进行评分，综合比较和评价，</w:t>
      </w:r>
      <w:bookmarkEnd w:id="68"/>
      <w:bookmarkStart w:id="69" w:name="_Hlk154668274"/>
      <w:r>
        <w:rPr>
          <w:rFonts w:ascii="宋体" w:hAnsi="宋体" w:eastAsia="宋体" w:cs="仿宋_GB2312"/>
          <w:color w:val="000000" w:themeColor="text1"/>
          <w:sz w:val="28"/>
          <w:highlight w:val="none"/>
          <w14:textFill>
            <w14:solidFill>
              <w14:schemeClr w14:val="tx1"/>
            </w14:solidFill>
          </w14:textFill>
        </w:rPr>
        <w:t>按综合得分高低列出中标候选人排序表。若总分相同，以报价得分高的排前；若总分、报价得分都相同，则以</w:t>
      </w:r>
      <w:r>
        <w:rPr>
          <w:rFonts w:hint="eastAsia" w:ascii="宋体" w:hAnsi="宋体" w:eastAsia="宋体" w:cs="仿宋_GB2312"/>
          <w:color w:val="000000" w:themeColor="text1"/>
          <w:sz w:val="28"/>
          <w:highlight w:val="none"/>
          <w14:textFill>
            <w14:solidFill>
              <w14:schemeClr w14:val="tx1"/>
            </w14:solidFill>
          </w14:textFill>
        </w:rPr>
        <w:t>施工组织设计</w:t>
      </w:r>
      <w:r>
        <w:rPr>
          <w:rFonts w:ascii="宋体" w:hAnsi="宋体" w:eastAsia="宋体" w:cs="仿宋_GB2312"/>
          <w:color w:val="000000" w:themeColor="text1"/>
          <w:sz w:val="28"/>
          <w:highlight w:val="none"/>
          <w14:textFill>
            <w14:solidFill>
              <w14:schemeClr w14:val="tx1"/>
            </w14:solidFill>
          </w14:textFill>
        </w:rPr>
        <w:t>得分高的排前</w:t>
      </w:r>
      <w:bookmarkEnd w:id="66"/>
      <w:r>
        <w:rPr>
          <w:rFonts w:ascii="宋体" w:hAnsi="宋体" w:eastAsia="宋体" w:cs="仿宋_GB2312"/>
          <w:color w:val="000000" w:themeColor="text1"/>
          <w:sz w:val="28"/>
          <w:highlight w:val="none"/>
          <w14:textFill>
            <w14:solidFill>
              <w14:schemeClr w14:val="tx1"/>
            </w14:solidFill>
          </w14:textFill>
        </w:rPr>
        <w:t>。</w:t>
      </w:r>
      <w:bookmarkEnd w:id="69"/>
    </w:p>
    <w:p w14:paraId="76572093">
      <w:pPr>
        <w:spacing w:line="518" w:lineRule="exact"/>
        <w:ind w:firstLine="548" w:firstLineChars="196"/>
        <w:rPr>
          <w:rFonts w:hint="eastAsia" w:ascii="宋体" w:hAnsi="宋体" w:eastAsia="宋体"/>
          <w:color w:val="000000" w:themeColor="text1"/>
          <w:highlight w:val="none"/>
          <w14:textFill>
            <w14:solidFill>
              <w14:schemeClr w14:val="tx1"/>
            </w14:solidFill>
          </w14:textFill>
        </w:rPr>
      </w:pPr>
      <w:bookmarkStart w:id="70" w:name="_Hlk154668281"/>
      <w:r>
        <w:rPr>
          <w:rFonts w:hint="eastAsia" w:ascii="宋体" w:hAnsi="宋体" w:eastAsia="宋体" w:cs="仿宋_GB2312"/>
          <w:color w:val="000000" w:themeColor="text1"/>
          <w:sz w:val="28"/>
          <w:highlight w:val="none"/>
          <w14:textFill>
            <w14:solidFill>
              <w14:schemeClr w14:val="tx1"/>
            </w14:solidFill>
          </w14:textFill>
        </w:rPr>
        <w:t>2</w:t>
      </w:r>
      <w:r>
        <w:rPr>
          <w:rFonts w:ascii="宋体" w:hAnsi="宋体" w:eastAsia="宋体" w:cs="仿宋_GB2312"/>
          <w:color w:val="000000" w:themeColor="text1"/>
          <w:sz w:val="28"/>
          <w:highlight w:val="none"/>
          <w14:textFill>
            <w14:solidFill>
              <w14:schemeClr w14:val="tx1"/>
            </w14:solidFill>
          </w14:textFill>
        </w:rPr>
        <w:t>6.1评审采用百分制。评标委员会各成员分别独立对实质上响应</w:t>
      </w:r>
      <w:r>
        <w:rPr>
          <w:rFonts w:hint="eastAsia" w:ascii="宋体" w:hAnsi="宋体" w:eastAsia="宋体" w:cs="仿宋_GB2312"/>
          <w:color w:val="000000" w:themeColor="text1"/>
          <w:sz w:val="28"/>
          <w:highlight w:val="none"/>
          <w14:textFill>
            <w14:solidFill>
              <w14:schemeClr w14:val="tx1"/>
            </w14:solidFill>
          </w14:textFill>
        </w:rPr>
        <w:t>招标</w:t>
      </w:r>
      <w:r>
        <w:rPr>
          <w:rFonts w:ascii="宋体" w:hAnsi="宋体" w:eastAsia="宋体" w:cs="仿宋_GB2312"/>
          <w:color w:val="000000" w:themeColor="text1"/>
          <w:sz w:val="28"/>
          <w:highlight w:val="none"/>
          <w14:textFill>
            <w14:solidFill>
              <w14:schemeClr w14:val="tx1"/>
            </w14:solidFill>
          </w14:textFill>
        </w:rPr>
        <w:t>文件的投标</w:t>
      </w:r>
      <w:r>
        <w:rPr>
          <w:rFonts w:hint="eastAsia" w:ascii="宋体" w:hAnsi="宋体" w:eastAsia="宋体" w:cs="仿宋_GB2312"/>
          <w:color w:val="000000" w:themeColor="text1"/>
          <w:sz w:val="28"/>
          <w:highlight w:val="none"/>
          <w14:textFill>
            <w14:solidFill>
              <w14:schemeClr w14:val="tx1"/>
            </w14:solidFill>
          </w14:textFill>
        </w:rPr>
        <w:t xml:space="preserve">文件 </w:t>
      </w:r>
      <w:r>
        <w:rPr>
          <w:rFonts w:ascii="宋体" w:hAnsi="宋体" w:eastAsia="宋体" w:cs="仿宋_GB2312"/>
          <w:color w:val="000000" w:themeColor="text1"/>
          <w:sz w:val="28"/>
          <w:highlight w:val="none"/>
          <w14:textFill>
            <w14:solidFill>
              <w14:schemeClr w14:val="tx1"/>
            </w14:solidFill>
          </w14:textFill>
        </w:rPr>
        <w:t>进行逐项评价打分，对评标委员会各成员每一因素的打分汇总后的得分为投标人的得分，汇总得分保留两位小数。</w:t>
      </w:r>
    </w:p>
    <w:p w14:paraId="078994E0">
      <w:pPr>
        <w:spacing w:line="518" w:lineRule="exact"/>
        <w:ind w:firstLine="548" w:firstLineChars="196"/>
        <w:rPr>
          <w:rFonts w:hint="eastAsia" w:ascii="宋体" w:hAnsi="宋体" w:eastAsia="宋体"/>
          <w:color w:val="000000" w:themeColor="text1"/>
          <w:highlight w:val="none"/>
          <w14:textFill>
            <w14:solidFill>
              <w14:schemeClr w14:val="tx1"/>
            </w14:solidFill>
          </w14:textFill>
        </w:rPr>
      </w:pPr>
      <w:r>
        <w:rPr>
          <w:rFonts w:hint="eastAsia" w:ascii="宋体" w:hAnsi="宋体" w:eastAsia="宋体" w:cs="仿宋_GB2312"/>
          <w:color w:val="000000" w:themeColor="text1"/>
          <w:sz w:val="28"/>
          <w:highlight w:val="none"/>
          <w14:textFill>
            <w14:solidFill>
              <w14:schemeClr w14:val="tx1"/>
            </w14:solidFill>
          </w14:textFill>
        </w:rPr>
        <w:t>2</w:t>
      </w:r>
      <w:r>
        <w:rPr>
          <w:rFonts w:ascii="宋体" w:hAnsi="宋体" w:eastAsia="宋体" w:cs="仿宋_GB2312"/>
          <w:color w:val="000000" w:themeColor="text1"/>
          <w:sz w:val="28"/>
          <w:highlight w:val="none"/>
          <w14:textFill>
            <w14:solidFill>
              <w14:schemeClr w14:val="tx1"/>
            </w14:solidFill>
          </w14:textFill>
        </w:rPr>
        <w:t>6.2评标委员会只对确定为实质响应招标文件要求的投标文件进行评价和比较。必要时需标明评审理由。</w:t>
      </w:r>
    </w:p>
    <w:p w14:paraId="44211763">
      <w:pPr>
        <w:spacing w:line="518" w:lineRule="exact"/>
        <w:ind w:firstLine="548" w:firstLineChars="196"/>
        <w:rPr>
          <w:rFonts w:hint="eastAsia" w:ascii="宋体" w:hAnsi="宋体" w:eastAsia="宋体"/>
          <w:color w:val="000000" w:themeColor="text1"/>
          <w:highlight w:val="none"/>
          <w14:textFill>
            <w14:solidFill>
              <w14:schemeClr w14:val="tx1"/>
            </w14:solidFill>
          </w14:textFill>
        </w:rPr>
      </w:pPr>
      <w:r>
        <w:rPr>
          <w:rFonts w:hint="eastAsia" w:ascii="宋体" w:hAnsi="宋体" w:eastAsia="宋体" w:cs="仿宋_GB2312"/>
          <w:color w:val="000000" w:themeColor="text1"/>
          <w:sz w:val="28"/>
          <w:highlight w:val="none"/>
          <w14:textFill>
            <w14:solidFill>
              <w14:schemeClr w14:val="tx1"/>
            </w14:solidFill>
          </w14:textFill>
        </w:rPr>
        <w:t>2</w:t>
      </w:r>
      <w:r>
        <w:rPr>
          <w:rFonts w:ascii="宋体" w:hAnsi="宋体" w:eastAsia="宋体" w:cs="仿宋_GB2312"/>
          <w:color w:val="000000" w:themeColor="text1"/>
          <w:sz w:val="28"/>
          <w:highlight w:val="none"/>
          <w14:textFill>
            <w14:solidFill>
              <w14:schemeClr w14:val="tx1"/>
            </w14:solidFill>
          </w14:textFill>
        </w:rPr>
        <w:t>6.3</w:t>
      </w:r>
      <w:r>
        <w:rPr>
          <w:rFonts w:hint="eastAsia" w:ascii="宋体" w:hAnsi="宋体" w:eastAsia="宋体" w:cs="仿宋_GB2312"/>
          <w:color w:val="000000" w:themeColor="text1"/>
          <w:sz w:val="28"/>
          <w:highlight w:val="none"/>
          <w14:textFill>
            <w14:solidFill>
              <w14:schemeClr w14:val="tx1"/>
            </w14:solidFill>
          </w14:textFill>
        </w:rPr>
        <w:t>招标代理机构</w:t>
      </w:r>
      <w:r>
        <w:rPr>
          <w:rFonts w:ascii="宋体" w:hAnsi="宋体" w:eastAsia="宋体" w:cs="仿宋_GB2312"/>
          <w:color w:val="000000" w:themeColor="text1"/>
          <w:sz w:val="28"/>
          <w:highlight w:val="none"/>
          <w14:textFill>
            <w14:solidFill>
              <w14:schemeClr w14:val="tx1"/>
            </w14:solidFill>
          </w14:textFill>
        </w:rPr>
        <w:t>工作人员负责复核、统计评标委员会成员的评审情况，发现评审意见有失公正时，提请该评标委员会成员修改评审意见</w:t>
      </w:r>
      <w:bookmarkEnd w:id="70"/>
      <w:r>
        <w:rPr>
          <w:rFonts w:ascii="宋体" w:hAnsi="宋体" w:eastAsia="宋体" w:cs="仿宋_GB2312"/>
          <w:color w:val="000000" w:themeColor="text1"/>
          <w:sz w:val="28"/>
          <w:highlight w:val="none"/>
          <w14:textFill>
            <w14:solidFill>
              <w14:schemeClr w14:val="tx1"/>
            </w14:solidFill>
          </w14:textFill>
        </w:rPr>
        <w:t>。</w:t>
      </w:r>
    </w:p>
    <w:p w14:paraId="448B0BC7">
      <w:pPr>
        <w:spacing w:line="518" w:lineRule="exact"/>
        <w:ind w:firstLine="548" w:firstLineChars="196"/>
        <w:rPr>
          <w:rFonts w:hint="eastAsia" w:ascii="宋体" w:hAnsi="宋体" w:eastAsia="宋体"/>
          <w:color w:val="000000" w:themeColor="text1"/>
          <w:highlight w:val="none"/>
          <w14:textFill>
            <w14:solidFill>
              <w14:schemeClr w14:val="tx1"/>
            </w14:solidFill>
          </w14:textFill>
        </w:rPr>
      </w:pPr>
      <w:bookmarkStart w:id="71" w:name="_Hlk154668289"/>
      <w:r>
        <w:rPr>
          <w:rFonts w:hint="eastAsia" w:ascii="宋体" w:hAnsi="宋体" w:eastAsia="宋体" w:cs="仿宋_GB2312"/>
          <w:color w:val="000000" w:themeColor="text1"/>
          <w:sz w:val="28"/>
          <w:highlight w:val="none"/>
          <w14:textFill>
            <w14:solidFill>
              <w14:schemeClr w14:val="tx1"/>
            </w14:solidFill>
          </w14:textFill>
        </w:rPr>
        <w:t>2</w:t>
      </w:r>
      <w:r>
        <w:rPr>
          <w:rFonts w:ascii="宋体" w:hAnsi="宋体" w:eastAsia="宋体" w:cs="仿宋_GB2312"/>
          <w:color w:val="000000" w:themeColor="text1"/>
          <w:sz w:val="28"/>
          <w:highlight w:val="none"/>
          <w14:textFill>
            <w14:solidFill>
              <w14:schemeClr w14:val="tx1"/>
            </w14:solidFill>
          </w14:textFill>
        </w:rPr>
        <w:t>6.4评审时除考虑投标人的报价之外，还将考虑以下因素：</w:t>
      </w:r>
    </w:p>
    <w:p w14:paraId="254FB0D4">
      <w:pPr>
        <w:spacing w:line="518" w:lineRule="exact"/>
        <w:ind w:firstLine="548" w:firstLineChars="196"/>
        <w:rPr>
          <w:rFonts w:hint="eastAsia" w:ascii="宋体" w:hAnsi="宋体" w:eastAsia="宋体"/>
          <w:color w:val="000000" w:themeColor="text1"/>
          <w:highlight w:val="none"/>
          <w14:textFill>
            <w14:solidFill>
              <w14:schemeClr w14:val="tx1"/>
            </w14:solidFill>
          </w14:textFill>
        </w:rPr>
      </w:pPr>
      <w:r>
        <w:rPr>
          <w:rFonts w:ascii="宋体" w:hAnsi="宋体" w:eastAsia="宋体" w:cs="仿宋_GB2312"/>
          <w:color w:val="000000" w:themeColor="text1"/>
          <w:sz w:val="28"/>
          <w:highlight w:val="none"/>
          <w14:textFill>
            <w14:solidFill>
              <w14:schemeClr w14:val="tx1"/>
            </w14:solidFill>
          </w14:textFill>
        </w:rPr>
        <w:t>①投标文件的响应状况；</w:t>
      </w:r>
    </w:p>
    <w:p w14:paraId="7D3F7F31">
      <w:pPr>
        <w:spacing w:line="518" w:lineRule="exact"/>
        <w:ind w:firstLine="548" w:firstLineChars="196"/>
        <w:rPr>
          <w:rFonts w:hint="eastAsia" w:ascii="宋体" w:hAnsi="宋体" w:eastAsia="宋体"/>
          <w:color w:val="000000" w:themeColor="text1"/>
          <w:highlight w:val="none"/>
          <w14:textFill>
            <w14:solidFill>
              <w14:schemeClr w14:val="tx1"/>
            </w14:solidFill>
          </w14:textFill>
        </w:rPr>
      </w:pPr>
      <w:r>
        <w:rPr>
          <w:rFonts w:ascii="宋体" w:hAnsi="宋体" w:eastAsia="宋体" w:cs="仿宋"/>
          <w:color w:val="000000" w:themeColor="text1"/>
          <w:sz w:val="28"/>
          <w:highlight w:val="none"/>
          <w14:textFill>
            <w14:solidFill>
              <w14:schemeClr w14:val="tx1"/>
            </w14:solidFill>
          </w14:textFill>
        </w:rPr>
        <w:t>②</w:t>
      </w:r>
      <w:r>
        <w:rPr>
          <w:rFonts w:ascii="宋体" w:hAnsi="宋体" w:eastAsia="宋体" w:cs="仿宋_GB2312"/>
          <w:color w:val="000000" w:themeColor="text1"/>
          <w:sz w:val="28"/>
          <w:highlight w:val="none"/>
          <w14:textFill>
            <w14:solidFill>
              <w14:schemeClr w14:val="tx1"/>
            </w14:solidFill>
          </w14:textFill>
        </w:rPr>
        <w:t>招标文件规定的其它评审因素。</w:t>
      </w:r>
    </w:p>
    <w:p w14:paraId="07FF7443">
      <w:pPr>
        <w:spacing w:line="518" w:lineRule="exact"/>
        <w:ind w:firstLine="548" w:firstLineChars="196"/>
        <w:rPr>
          <w:rFonts w:hint="eastAsia" w:ascii="宋体" w:hAnsi="宋体" w:eastAsia="宋体"/>
          <w:color w:val="000000" w:themeColor="text1"/>
          <w:highlight w:val="none"/>
          <w14:textFill>
            <w14:solidFill>
              <w14:schemeClr w14:val="tx1"/>
            </w14:solidFill>
          </w14:textFill>
        </w:rPr>
      </w:pPr>
      <w:r>
        <w:rPr>
          <w:rFonts w:hint="eastAsia" w:ascii="宋体" w:hAnsi="宋体" w:eastAsia="宋体" w:cs="仿宋_GB2312"/>
          <w:color w:val="000000" w:themeColor="text1"/>
          <w:sz w:val="28"/>
          <w:highlight w:val="none"/>
          <w14:textFill>
            <w14:solidFill>
              <w14:schemeClr w14:val="tx1"/>
            </w14:solidFill>
          </w14:textFill>
        </w:rPr>
        <w:t>2</w:t>
      </w:r>
      <w:r>
        <w:rPr>
          <w:rFonts w:ascii="宋体" w:hAnsi="宋体" w:eastAsia="宋体" w:cs="仿宋_GB2312"/>
          <w:color w:val="000000" w:themeColor="text1"/>
          <w:sz w:val="28"/>
          <w:highlight w:val="none"/>
          <w14:textFill>
            <w14:solidFill>
              <w14:schemeClr w14:val="tx1"/>
            </w14:solidFill>
          </w14:textFill>
        </w:rPr>
        <w:t>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w:t>
      </w:r>
      <w:r>
        <w:rPr>
          <w:rFonts w:hint="eastAsia" w:ascii="宋体" w:hAnsi="宋体" w:eastAsia="宋体" w:cs="仿宋_GB2312"/>
          <w:color w:val="000000" w:themeColor="text1"/>
          <w:sz w:val="28"/>
          <w:highlight w:val="none"/>
          <w14:textFill>
            <w14:solidFill>
              <w14:schemeClr w14:val="tx1"/>
            </w14:solidFill>
          </w14:textFill>
        </w:rPr>
        <w:t>招标</w:t>
      </w:r>
      <w:r>
        <w:rPr>
          <w:rFonts w:ascii="宋体" w:hAnsi="宋体" w:eastAsia="宋体" w:cs="仿宋_GB2312"/>
          <w:color w:val="000000" w:themeColor="text1"/>
          <w:sz w:val="28"/>
          <w:highlight w:val="none"/>
          <w14:textFill>
            <w14:solidFill>
              <w14:schemeClr w14:val="tx1"/>
            </w14:solidFill>
          </w14:textFill>
        </w:rPr>
        <w:t>活动。</w:t>
      </w:r>
    </w:p>
    <w:p w14:paraId="6E1BF2BF">
      <w:pPr>
        <w:spacing w:line="518" w:lineRule="exact"/>
        <w:ind w:firstLine="548" w:firstLineChars="196"/>
        <w:rPr>
          <w:rFonts w:hint="eastAsia" w:ascii="宋体" w:hAnsi="宋体" w:eastAsia="宋体"/>
          <w:color w:val="000000" w:themeColor="text1"/>
          <w:highlight w:val="none"/>
          <w14:textFill>
            <w14:solidFill>
              <w14:schemeClr w14:val="tx1"/>
            </w14:solidFill>
          </w14:textFill>
        </w:rPr>
      </w:pPr>
      <w:r>
        <w:rPr>
          <w:rFonts w:hint="eastAsia" w:ascii="宋体" w:hAnsi="宋体" w:eastAsia="宋体" w:cs="仿宋_GB2312"/>
          <w:color w:val="000000" w:themeColor="text1"/>
          <w:sz w:val="28"/>
          <w:highlight w:val="none"/>
          <w14:textFill>
            <w14:solidFill>
              <w14:schemeClr w14:val="tx1"/>
            </w14:solidFill>
          </w14:textFill>
        </w:rPr>
        <w:t>2</w:t>
      </w:r>
      <w:r>
        <w:rPr>
          <w:rFonts w:ascii="宋体" w:hAnsi="宋体" w:eastAsia="宋体" w:cs="仿宋_GB2312"/>
          <w:color w:val="000000" w:themeColor="text1"/>
          <w:sz w:val="28"/>
          <w:highlight w:val="none"/>
          <w14:textFill>
            <w14:solidFill>
              <w14:schemeClr w14:val="tx1"/>
            </w14:solidFill>
          </w14:textFill>
        </w:rPr>
        <w:t>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413C835F">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ascii="宋体" w:hAnsi="宋体" w:eastAsia="宋体" w:cs="仿宋"/>
          <w:b/>
          <w:color w:val="000000" w:themeColor="text1"/>
          <w:sz w:val="28"/>
          <w:szCs w:val="28"/>
          <w:highlight w:val="none"/>
          <w14:textFill>
            <w14:solidFill>
              <w14:schemeClr w14:val="tx1"/>
            </w14:solidFill>
          </w14:textFill>
        </w:rPr>
        <w:t>2</w:t>
      </w:r>
      <w:r>
        <w:rPr>
          <w:rFonts w:hint="eastAsia" w:ascii="宋体" w:hAnsi="宋体" w:eastAsia="宋体" w:cs="仿宋"/>
          <w:b/>
          <w:color w:val="000000" w:themeColor="text1"/>
          <w:sz w:val="28"/>
          <w:szCs w:val="28"/>
          <w:highlight w:val="none"/>
          <w14:textFill>
            <w14:solidFill>
              <w14:schemeClr w14:val="tx1"/>
            </w14:solidFill>
          </w14:textFill>
        </w:rPr>
        <w:t>7.出现下列情形之一的，应予废标</w:t>
      </w:r>
      <w:bookmarkEnd w:id="71"/>
      <w:r>
        <w:rPr>
          <w:rFonts w:hint="eastAsia" w:ascii="宋体" w:hAnsi="宋体" w:eastAsia="宋体" w:cs="仿宋"/>
          <w:b/>
          <w:color w:val="000000" w:themeColor="text1"/>
          <w:sz w:val="28"/>
          <w:szCs w:val="28"/>
          <w:highlight w:val="none"/>
          <w14:textFill>
            <w14:solidFill>
              <w14:schemeClr w14:val="tx1"/>
            </w14:solidFill>
          </w14:textFill>
        </w:rPr>
        <w:t>：</w:t>
      </w:r>
    </w:p>
    <w:p w14:paraId="4988A243">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w:t>
      </w:r>
      <w:r>
        <w:rPr>
          <w:rFonts w:hint="eastAsia" w:ascii="宋体" w:hAnsi="宋体" w:eastAsia="宋体" w:cs="仿宋"/>
          <w:color w:val="000000" w:themeColor="text1"/>
          <w:sz w:val="28"/>
          <w:szCs w:val="21"/>
          <w:highlight w:val="none"/>
          <w14:textFill>
            <w14:solidFill>
              <w14:schemeClr w14:val="tx1"/>
            </w14:solidFill>
          </w14:textFill>
        </w:rPr>
        <w:t>合格的投标人或参加投标的企业不足三家的</w:t>
      </w:r>
      <w:r>
        <w:rPr>
          <w:rFonts w:hint="eastAsia" w:ascii="宋体" w:hAnsi="宋体" w:eastAsia="宋体" w:cs="仿宋"/>
          <w:color w:val="000000" w:themeColor="text1"/>
          <w:sz w:val="28"/>
          <w:szCs w:val="28"/>
          <w:highlight w:val="none"/>
          <w14:textFill>
            <w14:solidFill>
              <w14:schemeClr w14:val="tx1"/>
            </w14:solidFill>
          </w14:textFill>
        </w:rPr>
        <w:t>；</w:t>
      </w:r>
    </w:p>
    <w:p w14:paraId="19C5BA83">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bookmarkStart w:id="72" w:name="_Hlk154668298"/>
      <w:r>
        <w:rPr>
          <w:rFonts w:hint="eastAsia" w:ascii="宋体" w:hAnsi="宋体" w:eastAsia="宋体" w:cs="仿宋"/>
          <w:color w:val="000000" w:themeColor="text1"/>
          <w:sz w:val="28"/>
          <w:szCs w:val="28"/>
          <w:highlight w:val="none"/>
          <w14:textFill>
            <w14:solidFill>
              <w14:schemeClr w14:val="tx1"/>
            </w14:solidFill>
          </w14:textFill>
        </w:rPr>
        <w:t>（2）出现影响招标公正的违法、违规行为的；</w:t>
      </w:r>
    </w:p>
    <w:p w14:paraId="5190E2B8">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（3）投标报价超过招标文件中规定的招标控制价，招标人不能支付的；</w:t>
      </w:r>
    </w:p>
    <w:p w14:paraId="3E569059">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（4）因重大变故，招标任务取消的</w:t>
      </w:r>
      <w:bookmarkEnd w:id="72"/>
      <w:r>
        <w:rPr>
          <w:rFonts w:hint="eastAsia" w:ascii="宋体" w:hAnsi="宋体" w:eastAsia="宋体" w:cs="仿宋"/>
          <w:color w:val="000000" w:themeColor="text1"/>
          <w:sz w:val="28"/>
          <w:szCs w:val="28"/>
          <w:highlight w:val="none"/>
          <w14:textFill>
            <w14:solidFill>
              <w14:schemeClr w14:val="tx1"/>
            </w14:solidFill>
          </w14:textFill>
        </w:rPr>
        <w:t>。</w:t>
      </w:r>
    </w:p>
    <w:p w14:paraId="19EC8891">
      <w:pPr>
        <w:pStyle w:val="5"/>
        <w:rPr>
          <w:rStyle w:val="454"/>
          <w:rFonts w:hint="eastAsia" w:ascii="宋体" w:hAnsi="宋体"/>
          <w:b/>
          <w:bCs/>
          <w:color w:val="000000" w:themeColor="text1"/>
          <w:kern w:val="2"/>
          <w:sz w:val="28"/>
          <w:szCs w:val="32"/>
          <w:highlight w:val="none"/>
          <w14:textFill>
            <w14:solidFill>
              <w14:schemeClr w14:val="tx1"/>
            </w14:solidFill>
          </w14:textFill>
        </w:rPr>
      </w:pPr>
      <w:bookmarkStart w:id="73" w:name="_Toc66864047"/>
      <w:bookmarkStart w:id="74" w:name="_Toc130891909"/>
      <w:r>
        <w:rPr>
          <w:rStyle w:val="454"/>
          <w:rFonts w:hint="eastAsia" w:ascii="宋体" w:hAnsi="宋体"/>
          <w:b/>
          <w:bCs/>
          <w:color w:val="000000" w:themeColor="text1"/>
          <w:kern w:val="2"/>
          <w:sz w:val="28"/>
          <w:szCs w:val="32"/>
          <w:highlight w:val="none"/>
          <w14:textFill>
            <w14:solidFill>
              <w14:schemeClr w14:val="tx1"/>
            </w14:solidFill>
          </w14:textFill>
        </w:rPr>
        <w:t>六、定标</w:t>
      </w:r>
      <w:bookmarkEnd w:id="73"/>
      <w:bookmarkEnd w:id="74"/>
    </w:p>
    <w:p w14:paraId="223FDB2D">
      <w:pPr>
        <w:spacing w:line="560" w:lineRule="exact"/>
        <w:ind w:firstLine="565" w:firstLineChars="201"/>
        <w:rPr>
          <w:rFonts w:hint="eastAsia" w:ascii="宋体" w:hAnsi="宋体" w:eastAsia="宋体" w:cs="宋体"/>
          <w:b/>
          <w:color w:val="000000" w:themeColor="text1"/>
          <w:sz w:val="28"/>
          <w:szCs w:val="28"/>
          <w:highlight w:val="none"/>
          <w14:textFill>
            <w14:solidFill>
              <w14:schemeClr w14:val="tx1"/>
            </w14:solidFill>
          </w14:textFill>
        </w:rPr>
      </w:pPr>
      <w:bookmarkStart w:id="75" w:name="_Hlk154668311"/>
      <w:r>
        <w:rPr>
          <w:rFonts w:hint="eastAsia" w:ascii="宋体" w:hAnsi="宋体" w:eastAsia="宋体" w:cs="宋体"/>
          <w:b/>
          <w:color w:val="000000" w:themeColor="text1"/>
          <w:sz w:val="28"/>
          <w:szCs w:val="28"/>
          <w:highlight w:val="none"/>
          <w14:textFill>
            <w14:solidFill>
              <w14:schemeClr w14:val="tx1"/>
            </w14:solidFill>
          </w14:textFill>
        </w:rPr>
        <w:t>28.确定中标候选人</w:t>
      </w:r>
    </w:p>
    <w:p w14:paraId="06C7FF2E">
      <w:pPr>
        <w:spacing w:line="560" w:lineRule="exact"/>
        <w:ind w:firstLine="562" w:firstLineChars="201"/>
        <w:rPr>
          <w:rFonts w:hint="eastAsia" w:ascii="宋体" w:hAnsi="宋体" w:eastAsia="宋体" w:cs="宋体"/>
          <w:bCs/>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14:textFill>
            <w14:solidFill>
              <w14:schemeClr w14:val="tx1"/>
            </w14:solidFill>
          </w14:textFill>
        </w:rPr>
        <w:t>28.1评标委员会按照招标文件确定的评标方法、步骤、标准，对投标文件进行评审。评标结束后，对</w:t>
      </w:r>
      <w:bookmarkEnd w:id="75"/>
      <w:r>
        <w:rPr>
          <w:rFonts w:hint="eastAsia" w:ascii="宋体" w:hAnsi="宋体" w:eastAsia="宋体" w:cs="宋体"/>
          <w:bCs/>
          <w:color w:val="000000" w:themeColor="text1"/>
          <w:sz w:val="28"/>
          <w:szCs w:val="28"/>
          <w:highlight w:val="none"/>
          <w14:textFill>
            <w14:solidFill>
              <w14:schemeClr w14:val="tx1"/>
            </w14:solidFill>
          </w14:textFill>
        </w:rPr>
        <w:t>投标人的评审名次进行排序，确定中标候选人，根据全体评标成员签字的原始评标记录和评标结果编写评标报告。</w:t>
      </w:r>
    </w:p>
    <w:p w14:paraId="4195332B">
      <w:pPr>
        <w:spacing w:line="560" w:lineRule="exact"/>
        <w:ind w:firstLine="562" w:firstLineChars="201"/>
        <w:rPr>
          <w:rFonts w:hint="eastAsia" w:ascii="宋体" w:hAnsi="宋体" w:eastAsia="宋体" w:cs="宋体"/>
          <w:bCs/>
          <w:color w:val="000000" w:themeColor="text1"/>
          <w:sz w:val="28"/>
          <w:szCs w:val="28"/>
          <w:highlight w:val="none"/>
          <w14:textFill>
            <w14:solidFill>
              <w14:schemeClr w14:val="tx1"/>
            </w14:solidFill>
          </w14:textFill>
        </w:rPr>
      </w:pPr>
      <w:bookmarkStart w:id="76" w:name="_Hlk154668326"/>
      <w:r>
        <w:rPr>
          <w:rFonts w:hint="eastAsia" w:ascii="宋体" w:hAnsi="宋体" w:eastAsia="宋体" w:cs="宋体"/>
          <w:bCs/>
          <w:color w:val="000000" w:themeColor="text1"/>
          <w:sz w:val="28"/>
          <w:szCs w:val="28"/>
          <w:highlight w:val="none"/>
          <w14:textFill>
            <w14:solidFill>
              <w14:schemeClr w14:val="tx1"/>
            </w14:solidFill>
          </w14:textFill>
        </w:rPr>
        <w:t>28.</w:t>
      </w:r>
      <w:r>
        <w:rPr>
          <w:rFonts w:ascii="宋体" w:hAnsi="宋体" w:eastAsia="宋体" w:cs="宋体"/>
          <w:bCs/>
          <w:color w:val="000000" w:themeColor="text1"/>
          <w:sz w:val="28"/>
          <w:szCs w:val="28"/>
          <w:highlight w:val="none"/>
          <w14:textFill>
            <w14:solidFill>
              <w14:schemeClr w14:val="tx1"/>
            </w14:solidFill>
          </w14:textFill>
        </w:rPr>
        <w:t>2</w:t>
      </w:r>
      <w:r>
        <w:rPr>
          <w:rFonts w:hint="eastAsia" w:ascii="宋体" w:hAnsi="宋体" w:eastAsia="宋体" w:cs="宋体"/>
          <w:bCs/>
          <w:color w:val="000000" w:themeColor="text1"/>
          <w:sz w:val="28"/>
          <w:szCs w:val="28"/>
          <w:highlight w:val="none"/>
          <w14:textFill>
            <w14:solidFill>
              <w14:schemeClr w14:val="tx1"/>
            </w14:solidFill>
          </w14:textFill>
        </w:rPr>
        <w:t>评委会所有成员应当在评标报告上签字确认，评标报告的主要内容包括：</w:t>
      </w:r>
    </w:p>
    <w:p w14:paraId="13D8DFF3">
      <w:pPr>
        <w:spacing w:line="560" w:lineRule="exact"/>
        <w:ind w:firstLine="562" w:firstLineChars="201"/>
        <w:rPr>
          <w:rFonts w:hint="eastAsia" w:ascii="宋体" w:hAnsi="宋体" w:eastAsia="宋体" w:cs="宋体"/>
          <w:bCs/>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14:textFill>
            <w14:solidFill>
              <w14:schemeClr w14:val="tx1"/>
            </w14:solidFill>
          </w14:textFill>
        </w:rPr>
        <w:t>（1）招标公告刊登的媒介名称、开标日期和地点；</w:t>
      </w:r>
    </w:p>
    <w:p w14:paraId="02143344">
      <w:pPr>
        <w:spacing w:line="560" w:lineRule="exact"/>
        <w:ind w:firstLine="562" w:firstLineChars="201"/>
        <w:rPr>
          <w:rFonts w:hint="eastAsia" w:ascii="宋体" w:hAnsi="宋体" w:eastAsia="宋体" w:cs="宋体"/>
          <w:bCs/>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14:textFill>
            <w14:solidFill>
              <w14:schemeClr w14:val="tx1"/>
            </w14:solidFill>
          </w14:textFill>
        </w:rPr>
        <w:t>（2）投标人名单和评标委员会成员名单；</w:t>
      </w:r>
    </w:p>
    <w:p w14:paraId="5BFF5DD7">
      <w:pPr>
        <w:spacing w:line="560" w:lineRule="exact"/>
        <w:ind w:firstLine="562" w:firstLineChars="201"/>
        <w:rPr>
          <w:rFonts w:hint="eastAsia" w:ascii="宋体" w:hAnsi="宋体" w:eastAsia="宋体" w:cs="宋体"/>
          <w:bCs/>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14:textFill>
            <w14:solidFill>
              <w14:schemeClr w14:val="tx1"/>
            </w14:solidFill>
          </w14:textFill>
        </w:rPr>
        <w:t>（3）评标方法和评标标准；</w:t>
      </w:r>
    </w:p>
    <w:p w14:paraId="6EBFEC67">
      <w:pPr>
        <w:spacing w:line="560" w:lineRule="exact"/>
        <w:ind w:firstLine="562" w:firstLineChars="201"/>
        <w:rPr>
          <w:rFonts w:hint="eastAsia" w:ascii="宋体" w:hAnsi="宋体" w:eastAsia="宋体" w:cs="宋体"/>
          <w:bCs/>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14:textFill>
            <w14:solidFill>
              <w14:schemeClr w14:val="tx1"/>
            </w14:solidFill>
          </w14:textFill>
        </w:rPr>
        <w:t>（4）开标记录和评标情况及说明，包括投标无效投标人名单及原因；</w:t>
      </w:r>
    </w:p>
    <w:p w14:paraId="53DD2075">
      <w:pPr>
        <w:spacing w:line="560" w:lineRule="exact"/>
        <w:ind w:firstLine="562" w:firstLineChars="201"/>
        <w:rPr>
          <w:rFonts w:hint="eastAsia" w:ascii="宋体" w:hAnsi="宋体" w:eastAsia="宋体" w:cs="宋体"/>
          <w:bCs/>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14:textFill>
            <w14:solidFill>
              <w14:schemeClr w14:val="tx1"/>
            </w14:solidFill>
          </w14:textFill>
        </w:rPr>
        <w:t>（5）评标结果，确定的中标候选人名单或者经招标人委托直接确定的中标人；</w:t>
      </w:r>
    </w:p>
    <w:p w14:paraId="6532F7DA">
      <w:pPr>
        <w:spacing w:line="560" w:lineRule="exact"/>
        <w:ind w:firstLine="562" w:firstLineChars="201"/>
        <w:rPr>
          <w:rFonts w:hint="eastAsia" w:ascii="宋体" w:hAnsi="宋体" w:eastAsia="宋体" w:cs="宋体"/>
          <w:bCs/>
          <w:color w:val="000000" w:themeColor="text1"/>
          <w:sz w:val="28"/>
          <w:szCs w:val="28"/>
          <w:highlight w:val="none"/>
          <w14:textFill>
            <w14:solidFill>
              <w14:schemeClr w14:val="tx1"/>
            </w14:solidFill>
          </w14:textFill>
        </w:rPr>
      </w:pPr>
      <w:r>
        <w:rPr>
          <w:rFonts w:hint="eastAsia" w:ascii="宋体" w:hAnsi="宋体" w:eastAsia="宋体" w:cs="宋体"/>
          <w:bCs/>
          <w:color w:val="000000" w:themeColor="text1"/>
          <w:sz w:val="28"/>
          <w:szCs w:val="28"/>
          <w:highlight w:val="none"/>
          <w14:textFill>
            <w14:solidFill>
              <w14:schemeClr w14:val="tx1"/>
            </w14:solidFill>
          </w14:textFill>
        </w:rPr>
        <w:t>（6）其他需要说明的情况，包括评标过程中投标人根据评标委员会要求进行澄清、说明或者补正，评标委员会成员的更换等</w:t>
      </w:r>
      <w:bookmarkEnd w:id="76"/>
      <w:r>
        <w:rPr>
          <w:rFonts w:hint="eastAsia" w:ascii="宋体" w:hAnsi="宋体" w:eastAsia="宋体" w:cs="宋体"/>
          <w:bCs/>
          <w:color w:val="000000" w:themeColor="text1"/>
          <w:sz w:val="28"/>
          <w:szCs w:val="28"/>
          <w:highlight w:val="none"/>
          <w14:textFill>
            <w14:solidFill>
              <w14:schemeClr w14:val="tx1"/>
            </w14:solidFill>
          </w14:textFill>
        </w:rPr>
        <w:t>。</w:t>
      </w:r>
    </w:p>
    <w:p w14:paraId="6F5B4DBE">
      <w:pPr>
        <w:spacing w:line="560" w:lineRule="exact"/>
        <w:ind w:firstLine="565" w:firstLineChars="201"/>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2</w:t>
      </w:r>
      <w:r>
        <w:rPr>
          <w:rFonts w:ascii="宋体" w:hAnsi="宋体" w:eastAsia="宋体" w:cs="宋体"/>
          <w:b/>
          <w:bCs/>
          <w:color w:val="000000" w:themeColor="text1"/>
          <w:sz w:val="28"/>
          <w:szCs w:val="28"/>
          <w:highlight w:val="none"/>
          <w14:textFill>
            <w14:solidFill>
              <w14:schemeClr w14:val="tx1"/>
            </w14:solidFill>
          </w14:textFill>
        </w:rPr>
        <w:t>9.</w:t>
      </w:r>
      <w:r>
        <w:rPr>
          <w:rFonts w:hint="eastAsia" w:ascii="宋体" w:hAnsi="宋体" w:eastAsia="宋体" w:cs="宋体"/>
          <w:b/>
          <w:bCs/>
          <w:color w:val="000000" w:themeColor="text1"/>
          <w:sz w:val="28"/>
          <w:szCs w:val="28"/>
          <w:highlight w:val="none"/>
          <w14:textFill>
            <w14:solidFill>
              <w14:schemeClr w14:val="tx1"/>
            </w14:solidFill>
          </w14:textFill>
        </w:rPr>
        <w:t>确定中标人</w:t>
      </w:r>
    </w:p>
    <w:p w14:paraId="1CC27347">
      <w:pPr>
        <w:snapToGrid w:val="0"/>
        <w:spacing w:line="560" w:lineRule="exact"/>
        <w:ind w:firstLine="562" w:firstLineChars="201"/>
        <w:rPr>
          <w:rFonts w:hint="eastAsia" w:ascii="宋体" w:hAnsi="宋体" w:eastAsia="宋体"/>
          <w:color w:val="000000" w:themeColor="text1"/>
          <w:sz w:val="28"/>
          <w:szCs w:val="28"/>
          <w:highlight w:val="none"/>
          <w14:textFill>
            <w14:solidFill>
              <w14:schemeClr w14:val="tx1"/>
            </w14:solidFill>
          </w14:textFill>
        </w:rPr>
      </w:pPr>
      <w:r>
        <w:rPr>
          <w:rFonts w:hint="eastAsia" w:ascii="宋体" w:hAnsi="宋体" w:eastAsia="宋体"/>
          <w:color w:val="000000" w:themeColor="text1"/>
          <w:sz w:val="28"/>
          <w:szCs w:val="28"/>
          <w:highlight w:val="none"/>
          <w14:textFill>
            <w14:solidFill>
              <w14:schemeClr w14:val="tx1"/>
            </w14:solidFill>
          </w14:textFill>
        </w:rPr>
        <w:t>招标人可委托评标委员会直接定标，确定排名第一的中标候选人为中标人；也可以自主定标。自主定标的，招标人应当在收到评审报告后3个工作日内确定中标人，招标人逾期未确定中标人且不提出异议的，视为确定评审报告提出的排序第一的投标人为中标人。</w:t>
      </w:r>
    </w:p>
    <w:p w14:paraId="6ACD2B01">
      <w:pPr>
        <w:snapToGrid w:val="0"/>
        <w:spacing w:line="560" w:lineRule="exact"/>
        <w:ind w:firstLine="562" w:firstLineChars="201"/>
        <w:rPr>
          <w:rFonts w:hint="eastAsia" w:ascii="宋体" w:hAnsi="宋体" w:eastAsia="宋体"/>
          <w:color w:val="000000" w:themeColor="text1"/>
          <w:sz w:val="28"/>
          <w:szCs w:val="28"/>
          <w:highlight w:val="none"/>
          <w14:textFill>
            <w14:solidFill>
              <w14:schemeClr w14:val="tx1"/>
            </w14:solidFill>
          </w14:textFill>
        </w:rPr>
      </w:pPr>
      <w:r>
        <w:rPr>
          <w:rFonts w:hint="eastAsia" w:ascii="宋体" w:hAnsi="宋体" w:eastAsia="宋体"/>
          <w:color w:val="000000" w:themeColor="text1"/>
          <w:sz w:val="28"/>
          <w:szCs w:val="28"/>
          <w:highlight w:val="none"/>
          <w14:textFill>
            <w14:solidFill>
              <w14:schemeClr w14:val="tx1"/>
            </w14:solidFill>
          </w14:textFill>
        </w:rPr>
        <w:t>中标人在规定的期限内无正当理由拒绝签订合同，招标人可以按照评审报告推荐的中标候选人名单排序，确定下一候选人为中标人，也可以重新开展招标活动。</w:t>
      </w:r>
    </w:p>
    <w:p w14:paraId="5BF7B8C0">
      <w:pPr>
        <w:pStyle w:val="5"/>
        <w:rPr>
          <w:rStyle w:val="454"/>
          <w:rFonts w:hint="eastAsia" w:ascii="宋体" w:hAnsi="宋体"/>
          <w:b/>
          <w:bCs/>
          <w:color w:val="000000" w:themeColor="text1"/>
          <w:kern w:val="2"/>
          <w:sz w:val="28"/>
          <w:szCs w:val="32"/>
          <w:highlight w:val="none"/>
          <w14:textFill>
            <w14:solidFill>
              <w14:schemeClr w14:val="tx1"/>
            </w14:solidFill>
          </w14:textFill>
        </w:rPr>
      </w:pPr>
      <w:bookmarkStart w:id="77" w:name="_Toc130891910"/>
      <w:bookmarkStart w:id="78" w:name="_Toc66864048"/>
      <w:r>
        <w:rPr>
          <w:rStyle w:val="454"/>
          <w:rFonts w:hint="eastAsia" w:ascii="宋体" w:hAnsi="宋体"/>
          <w:b/>
          <w:bCs/>
          <w:color w:val="000000" w:themeColor="text1"/>
          <w:kern w:val="2"/>
          <w:sz w:val="28"/>
          <w:szCs w:val="32"/>
          <w:highlight w:val="none"/>
          <w14:textFill>
            <w14:solidFill>
              <w14:schemeClr w14:val="tx1"/>
            </w14:solidFill>
          </w14:textFill>
        </w:rPr>
        <w:t>七、结果公告</w:t>
      </w:r>
      <w:bookmarkEnd w:id="77"/>
      <w:bookmarkEnd w:id="78"/>
    </w:p>
    <w:p w14:paraId="49779376">
      <w:pPr>
        <w:spacing w:line="560" w:lineRule="exact"/>
        <w:ind w:firstLine="565" w:firstLineChars="201"/>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30.结果公告</w:t>
      </w:r>
    </w:p>
    <w:p w14:paraId="0B60FD6C">
      <w:pPr>
        <w:snapToGrid w:val="0"/>
        <w:spacing w:line="560" w:lineRule="exact"/>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olor w:val="000000" w:themeColor="text1"/>
          <w:sz w:val="28"/>
          <w:szCs w:val="28"/>
          <w:highlight w:val="none"/>
          <w14:textFill>
            <w14:solidFill>
              <w14:schemeClr w14:val="tx1"/>
            </w14:solidFill>
          </w14:textFill>
        </w:rPr>
        <w:t>招标人应当自定标结束后在招标公告发布媒介发布中标公告。</w:t>
      </w:r>
      <w:r>
        <w:rPr>
          <w:rFonts w:hint="eastAsia" w:ascii="宋体" w:hAnsi="宋体" w:eastAsia="宋体" w:cs="宋体"/>
          <w:color w:val="000000" w:themeColor="text1"/>
          <w:sz w:val="28"/>
          <w:szCs w:val="28"/>
          <w:highlight w:val="none"/>
          <w14:textFill>
            <w14:solidFill>
              <w14:schemeClr w14:val="tx1"/>
            </w14:solidFill>
          </w14:textFill>
        </w:rPr>
        <w:t>中标公告期限为1个工作日。中标公告应当包括下列内容：</w:t>
      </w:r>
    </w:p>
    <w:p w14:paraId="22E6CCC3">
      <w:pPr>
        <w:snapToGrid w:val="0"/>
        <w:spacing w:line="560" w:lineRule="exact"/>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（1）招标人、代理机构的名称、地址和联系方式；</w:t>
      </w:r>
    </w:p>
    <w:p w14:paraId="0B4A14FB">
      <w:pPr>
        <w:snapToGrid w:val="0"/>
        <w:spacing w:line="560" w:lineRule="exact"/>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（2）项目名称和招标编号；</w:t>
      </w:r>
    </w:p>
    <w:p w14:paraId="3413A73E">
      <w:pPr>
        <w:snapToGrid w:val="0"/>
        <w:spacing w:line="560" w:lineRule="exact"/>
        <w:ind w:firstLine="562" w:firstLineChars="201"/>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（3）中标人名称和中标金额。</w:t>
      </w:r>
    </w:p>
    <w:p w14:paraId="7103C8FE">
      <w:pPr>
        <w:spacing w:line="560" w:lineRule="exact"/>
        <w:ind w:firstLine="565" w:firstLineChars="201"/>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31.签发中标通知书</w:t>
      </w:r>
    </w:p>
    <w:p w14:paraId="39429F73">
      <w:pPr>
        <w:snapToGrid w:val="0"/>
        <w:spacing w:line="560" w:lineRule="exact"/>
        <w:ind w:firstLine="562" w:firstLineChars="201"/>
        <w:rPr>
          <w:rFonts w:hint="eastAsia" w:ascii="宋体" w:hAnsi="宋体" w:eastAsia="宋体"/>
          <w:color w:val="000000" w:themeColor="text1"/>
          <w:sz w:val="28"/>
          <w:szCs w:val="28"/>
          <w:highlight w:val="none"/>
          <w14:textFill>
            <w14:solidFill>
              <w14:schemeClr w14:val="tx1"/>
            </w14:solidFill>
          </w14:textFill>
        </w:rPr>
      </w:pPr>
      <w:r>
        <w:rPr>
          <w:rFonts w:hint="eastAsia" w:ascii="宋体" w:hAnsi="宋体" w:eastAsia="宋体"/>
          <w:color w:val="000000" w:themeColor="text1"/>
          <w:sz w:val="28"/>
          <w:szCs w:val="28"/>
          <w:highlight w:val="none"/>
          <w14:textFill>
            <w14:solidFill>
              <w14:schemeClr w14:val="tx1"/>
            </w14:solidFill>
          </w14:textFill>
        </w:rPr>
        <w:t>中标公告结束且无尚未处理的异议后，招标人和代理机构联合向中标人发出中标通知书。</w:t>
      </w:r>
    </w:p>
    <w:p w14:paraId="4BEBDD43">
      <w:pPr>
        <w:pStyle w:val="5"/>
        <w:rPr>
          <w:rStyle w:val="454"/>
          <w:rFonts w:hint="eastAsia" w:ascii="宋体" w:hAnsi="宋体"/>
          <w:b/>
          <w:bCs/>
          <w:color w:val="000000" w:themeColor="text1"/>
          <w:kern w:val="2"/>
          <w:sz w:val="28"/>
          <w:szCs w:val="32"/>
          <w:highlight w:val="none"/>
          <w14:textFill>
            <w14:solidFill>
              <w14:schemeClr w14:val="tx1"/>
            </w14:solidFill>
          </w14:textFill>
        </w:rPr>
      </w:pPr>
      <w:bookmarkStart w:id="79" w:name="_Toc66864049"/>
      <w:bookmarkStart w:id="80" w:name="_Toc130891911"/>
      <w:r>
        <w:rPr>
          <w:rStyle w:val="454"/>
          <w:rFonts w:hint="eastAsia" w:ascii="宋体" w:hAnsi="宋体"/>
          <w:b/>
          <w:bCs/>
          <w:color w:val="000000" w:themeColor="text1"/>
          <w:kern w:val="2"/>
          <w:sz w:val="28"/>
          <w:szCs w:val="32"/>
          <w:highlight w:val="none"/>
          <w14:textFill>
            <w14:solidFill>
              <w14:schemeClr w14:val="tx1"/>
            </w14:solidFill>
          </w14:textFill>
        </w:rPr>
        <w:t>八、质疑</w:t>
      </w:r>
      <w:bookmarkEnd w:id="79"/>
      <w:bookmarkEnd w:id="80"/>
    </w:p>
    <w:p w14:paraId="32942F0E">
      <w:pPr>
        <w:snapToGrid w:val="0"/>
        <w:spacing w:line="560" w:lineRule="exact"/>
        <w:ind w:firstLine="565" w:firstLineChars="201"/>
        <w:rPr>
          <w:rFonts w:hint="eastAsia" w:ascii="宋体" w:hAnsi="宋体" w:eastAsia="宋体"/>
          <w:b/>
          <w:color w:val="000000" w:themeColor="text1"/>
          <w:sz w:val="28"/>
          <w:szCs w:val="28"/>
          <w:highlight w:val="none"/>
          <w14:textFill>
            <w14:solidFill>
              <w14:schemeClr w14:val="tx1"/>
            </w14:solidFill>
          </w14:textFill>
        </w:rPr>
      </w:pPr>
      <w:r>
        <w:rPr>
          <w:rFonts w:hint="eastAsia" w:ascii="宋体" w:hAnsi="宋体" w:eastAsia="宋体"/>
          <w:b/>
          <w:color w:val="000000" w:themeColor="text1"/>
          <w:sz w:val="28"/>
          <w:szCs w:val="28"/>
          <w:highlight w:val="none"/>
          <w14:textFill>
            <w14:solidFill>
              <w14:schemeClr w14:val="tx1"/>
            </w14:solidFill>
          </w14:textFill>
        </w:rPr>
        <w:t>32.质疑</w:t>
      </w:r>
    </w:p>
    <w:p w14:paraId="79DDEC25">
      <w:pPr>
        <w:spacing w:line="560" w:lineRule="exact"/>
        <w:ind w:firstLine="482"/>
        <w:rPr>
          <w:rFonts w:hint="eastAsia" w:ascii="宋体" w:hAnsi="宋体" w:eastAsia="宋体"/>
          <w:color w:val="000000" w:themeColor="text1"/>
          <w:highlight w:val="none"/>
          <w14:textFill>
            <w14:solidFill>
              <w14:schemeClr w14:val="tx1"/>
            </w14:solidFill>
          </w14:textFill>
        </w:rPr>
      </w:pPr>
      <w:r>
        <w:rPr>
          <w:rFonts w:ascii="宋体" w:hAnsi="宋体" w:eastAsia="宋体" w:cs="仿宋"/>
          <w:color w:val="000000" w:themeColor="text1"/>
          <w:sz w:val="28"/>
          <w:highlight w:val="none"/>
          <w14:textFill>
            <w14:solidFill>
              <w14:schemeClr w14:val="tx1"/>
            </w14:solidFill>
          </w14:textFill>
        </w:rPr>
        <w:t>32.1投标</w:t>
      </w:r>
      <w:r>
        <w:rPr>
          <w:rFonts w:hint="eastAsia" w:ascii="宋体" w:hAnsi="宋体" w:eastAsia="宋体" w:cs="仿宋"/>
          <w:color w:val="000000" w:themeColor="text1"/>
          <w:sz w:val="28"/>
          <w:highlight w:val="none"/>
          <w14:textFill>
            <w14:solidFill>
              <w14:schemeClr w14:val="tx1"/>
            </w14:solidFill>
          </w14:textFill>
        </w:rPr>
        <w:t>人</w:t>
      </w:r>
      <w:r>
        <w:rPr>
          <w:rFonts w:ascii="宋体" w:hAnsi="宋体" w:eastAsia="宋体" w:cs="仿宋"/>
          <w:color w:val="000000" w:themeColor="text1"/>
          <w:sz w:val="28"/>
          <w:highlight w:val="none"/>
          <w14:textFill>
            <w14:solidFill>
              <w14:schemeClr w14:val="tx1"/>
            </w14:solidFill>
          </w14:textFill>
        </w:rPr>
        <w:t>认为招标文件、招标过程、中标结果使自己的权益受到损害，应于法律法规的规定期限内以书面形式向招标人或招标代理机构提出质疑。招标人或招标代理机构应当在收到投标</w:t>
      </w:r>
      <w:r>
        <w:rPr>
          <w:rFonts w:hint="eastAsia" w:ascii="宋体" w:hAnsi="宋体" w:eastAsia="宋体" w:cs="仿宋"/>
          <w:color w:val="000000" w:themeColor="text1"/>
          <w:sz w:val="28"/>
          <w:highlight w:val="none"/>
          <w14:textFill>
            <w14:solidFill>
              <w14:schemeClr w14:val="tx1"/>
            </w14:solidFill>
          </w14:textFill>
        </w:rPr>
        <w:t>人</w:t>
      </w:r>
      <w:r>
        <w:rPr>
          <w:rFonts w:ascii="宋体" w:hAnsi="宋体" w:eastAsia="宋体" w:cs="仿宋"/>
          <w:color w:val="000000" w:themeColor="text1"/>
          <w:sz w:val="28"/>
          <w:highlight w:val="none"/>
          <w14:textFill>
            <w14:solidFill>
              <w14:schemeClr w14:val="tx1"/>
            </w14:solidFill>
          </w14:textFill>
        </w:rPr>
        <w:t>的书面质疑后3个工作日内做出书面答复，但答复内容不得涉及商业秘密。</w:t>
      </w:r>
    </w:p>
    <w:p w14:paraId="51B95342">
      <w:pPr>
        <w:spacing w:line="560" w:lineRule="exact"/>
        <w:ind w:firstLine="482"/>
        <w:rPr>
          <w:rFonts w:hint="eastAsia" w:ascii="宋体" w:hAnsi="宋体" w:eastAsia="宋体"/>
          <w:color w:val="000000" w:themeColor="text1"/>
          <w:highlight w:val="none"/>
          <w14:textFill>
            <w14:solidFill>
              <w14:schemeClr w14:val="tx1"/>
            </w14:solidFill>
          </w14:textFill>
        </w:rPr>
      </w:pPr>
      <w:r>
        <w:rPr>
          <w:rFonts w:ascii="宋体" w:hAnsi="宋体" w:eastAsia="宋体" w:cs="仿宋"/>
          <w:color w:val="000000" w:themeColor="text1"/>
          <w:sz w:val="28"/>
          <w:highlight w:val="none"/>
          <w14:textFill>
            <w14:solidFill>
              <w14:schemeClr w14:val="tx1"/>
            </w14:solidFill>
          </w14:textFill>
        </w:rPr>
        <w:t>投标</w:t>
      </w:r>
      <w:r>
        <w:rPr>
          <w:rFonts w:hint="eastAsia" w:ascii="宋体" w:hAnsi="宋体" w:eastAsia="宋体" w:cs="仿宋"/>
          <w:color w:val="000000" w:themeColor="text1"/>
          <w:sz w:val="28"/>
          <w:highlight w:val="none"/>
          <w14:textFill>
            <w14:solidFill>
              <w14:schemeClr w14:val="tx1"/>
            </w14:solidFill>
          </w14:textFill>
        </w:rPr>
        <w:t>人</w:t>
      </w:r>
      <w:r>
        <w:rPr>
          <w:rFonts w:ascii="宋体" w:hAnsi="宋体" w:eastAsia="宋体" w:cs="仿宋"/>
          <w:color w:val="000000" w:themeColor="text1"/>
          <w:sz w:val="28"/>
          <w:highlight w:val="none"/>
          <w14:textFill>
            <w14:solidFill>
              <w14:schemeClr w14:val="tx1"/>
            </w14:solidFill>
          </w14:textFill>
        </w:rPr>
        <w:t>应按照下列规定进行质疑：</w:t>
      </w:r>
    </w:p>
    <w:p w14:paraId="4DBBE2B8">
      <w:pPr>
        <w:spacing w:line="560" w:lineRule="exact"/>
        <w:ind w:firstLine="482"/>
        <w:rPr>
          <w:rFonts w:hint="eastAsia" w:ascii="宋体" w:hAnsi="宋体" w:eastAsia="宋体"/>
          <w:color w:val="000000" w:themeColor="text1"/>
          <w:highlight w:val="none"/>
          <w14:textFill>
            <w14:solidFill>
              <w14:schemeClr w14:val="tx1"/>
            </w14:solidFill>
          </w14:textFill>
        </w:rPr>
      </w:pPr>
      <w:r>
        <w:rPr>
          <w:rFonts w:ascii="宋体" w:hAnsi="宋体" w:eastAsia="宋体" w:cs="仿宋"/>
          <w:color w:val="000000" w:themeColor="text1"/>
          <w:sz w:val="28"/>
          <w:highlight w:val="none"/>
          <w14:textFill>
            <w14:solidFill>
              <w14:schemeClr w14:val="tx1"/>
            </w14:solidFill>
          </w14:textFill>
        </w:rPr>
        <w:t>32.2提出质疑的投标</w:t>
      </w:r>
      <w:r>
        <w:rPr>
          <w:rFonts w:hint="eastAsia" w:ascii="宋体" w:hAnsi="宋体" w:eastAsia="宋体" w:cs="仿宋"/>
          <w:color w:val="000000" w:themeColor="text1"/>
          <w:sz w:val="28"/>
          <w:highlight w:val="none"/>
          <w14:textFill>
            <w14:solidFill>
              <w14:schemeClr w14:val="tx1"/>
            </w14:solidFill>
          </w14:textFill>
        </w:rPr>
        <w:t>人</w:t>
      </w:r>
      <w:r>
        <w:rPr>
          <w:rFonts w:ascii="宋体" w:hAnsi="宋体" w:eastAsia="宋体" w:cs="仿宋"/>
          <w:color w:val="000000" w:themeColor="text1"/>
          <w:sz w:val="28"/>
          <w:highlight w:val="none"/>
          <w14:textFill>
            <w14:solidFill>
              <w14:schemeClr w14:val="tx1"/>
            </w14:solidFill>
          </w14:textFill>
        </w:rPr>
        <w:t>应当是参与本项目招标活动的投标</w:t>
      </w:r>
      <w:r>
        <w:rPr>
          <w:rFonts w:hint="eastAsia" w:ascii="宋体" w:hAnsi="宋体" w:eastAsia="宋体" w:cs="仿宋"/>
          <w:color w:val="000000" w:themeColor="text1"/>
          <w:sz w:val="28"/>
          <w:highlight w:val="none"/>
          <w14:textFill>
            <w14:solidFill>
              <w14:schemeClr w14:val="tx1"/>
            </w14:solidFill>
          </w14:textFill>
        </w:rPr>
        <w:t>人</w:t>
      </w:r>
      <w:r>
        <w:rPr>
          <w:rFonts w:ascii="宋体" w:hAnsi="宋体" w:eastAsia="宋体" w:cs="仿宋"/>
          <w:color w:val="000000" w:themeColor="text1"/>
          <w:sz w:val="28"/>
          <w:highlight w:val="none"/>
          <w14:textFill>
            <w14:solidFill>
              <w14:schemeClr w14:val="tx1"/>
            </w14:solidFill>
          </w14:textFill>
        </w:rPr>
        <w:t>。</w:t>
      </w:r>
    </w:p>
    <w:p w14:paraId="3BF57B38">
      <w:pPr>
        <w:spacing w:line="560" w:lineRule="exact"/>
        <w:ind w:firstLine="482"/>
        <w:rPr>
          <w:rFonts w:hint="eastAsia" w:ascii="宋体" w:hAnsi="宋体" w:eastAsia="宋体"/>
          <w:color w:val="000000" w:themeColor="text1"/>
          <w:highlight w:val="none"/>
          <w14:textFill>
            <w14:solidFill>
              <w14:schemeClr w14:val="tx1"/>
            </w14:solidFill>
          </w14:textFill>
        </w:rPr>
      </w:pPr>
      <w:r>
        <w:rPr>
          <w:rFonts w:ascii="宋体" w:hAnsi="宋体" w:eastAsia="宋体" w:cs="仿宋"/>
          <w:color w:val="000000" w:themeColor="text1"/>
          <w:sz w:val="28"/>
          <w:highlight w:val="none"/>
          <w14:textFill>
            <w14:solidFill>
              <w14:schemeClr w14:val="tx1"/>
            </w14:solidFill>
          </w14:textFill>
        </w:rPr>
        <w:t>32.3投标</w:t>
      </w:r>
      <w:r>
        <w:rPr>
          <w:rFonts w:hint="eastAsia" w:ascii="宋体" w:hAnsi="宋体" w:eastAsia="宋体" w:cs="仿宋"/>
          <w:color w:val="000000" w:themeColor="text1"/>
          <w:sz w:val="28"/>
          <w:highlight w:val="none"/>
          <w14:textFill>
            <w14:solidFill>
              <w14:schemeClr w14:val="tx1"/>
            </w14:solidFill>
          </w14:textFill>
        </w:rPr>
        <w:t>人</w:t>
      </w:r>
      <w:r>
        <w:rPr>
          <w:rFonts w:ascii="宋体" w:hAnsi="宋体" w:eastAsia="宋体" w:cs="仿宋"/>
          <w:color w:val="000000" w:themeColor="text1"/>
          <w:sz w:val="28"/>
          <w:highlight w:val="none"/>
          <w14:textFill>
            <w14:solidFill>
              <w14:schemeClr w14:val="tx1"/>
            </w14:solidFill>
          </w14:textFill>
        </w:rPr>
        <w:t>应在法定质疑期内一次性提出针对同一采购程序环节的质疑。</w:t>
      </w:r>
    </w:p>
    <w:p w14:paraId="5384ED08">
      <w:pPr>
        <w:spacing w:line="560" w:lineRule="exact"/>
        <w:ind w:firstLine="482"/>
        <w:rPr>
          <w:rFonts w:hint="eastAsia" w:ascii="宋体" w:hAnsi="宋体" w:eastAsia="宋体"/>
          <w:color w:val="000000" w:themeColor="text1"/>
          <w:highlight w:val="none"/>
          <w14:textFill>
            <w14:solidFill>
              <w14:schemeClr w14:val="tx1"/>
            </w14:solidFill>
          </w14:textFill>
        </w:rPr>
      </w:pPr>
      <w:r>
        <w:rPr>
          <w:rFonts w:ascii="宋体" w:hAnsi="宋体" w:eastAsia="宋体" w:cs="仿宋"/>
          <w:color w:val="000000" w:themeColor="text1"/>
          <w:sz w:val="28"/>
          <w:highlight w:val="none"/>
          <w14:textFill>
            <w14:solidFill>
              <w14:schemeClr w14:val="tx1"/>
            </w14:solidFill>
          </w14:textFill>
        </w:rPr>
        <w:t>32.4质疑采用实名制，为了使提出的质疑事项在规定时间内得到有效答复、处理，提交的质疑函务必提供以下内容。</w:t>
      </w:r>
    </w:p>
    <w:p w14:paraId="2D863602">
      <w:pPr>
        <w:spacing w:line="560" w:lineRule="exact"/>
        <w:ind w:firstLine="482"/>
        <w:rPr>
          <w:rFonts w:hint="eastAsia" w:ascii="宋体" w:hAnsi="宋体" w:eastAsia="宋体"/>
          <w:color w:val="000000" w:themeColor="text1"/>
          <w:highlight w:val="none"/>
          <w14:textFill>
            <w14:solidFill>
              <w14:schemeClr w14:val="tx1"/>
            </w14:solidFill>
          </w14:textFill>
        </w:rPr>
      </w:pPr>
      <w:r>
        <w:rPr>
          <w:rFonts w:ascii="宋体" w:hAnsi="宋体" w:eastAsia="宋体" w:cs="仿宋"/>
          <w:color w:val="000000" w:themeColor="text1"/>
          <w:sz w:val="28"/>
          <w:highlight w:val="none"/>
          <w14:textFill>
            <w14:solidFill>
              <w14:schemeClr w14:val="tx1"/>
            </w14:solidFill>
          </w14:textFill>
        </w:rPr>
        <w:t>（1）投标</w:t>
      </w:r>
      <w:r>
        <w:rPr>
          <w:rFonts w:hint="eastAsia" w:ascii="宋体" w:hAnsi="宋体" w:eastAsia="宋体" w:cs="仿宋"/>
          <w:color w:val="000000" w:themeColor="text1"/>
          <w:sz w:val="28"/>
          <w:highlight w:val="none"/>
          <w14:textFill>
            <w14:solidFill>
              <w14:schemeClr w14:val="tx1"/>
            </w14:solidFill>
          </w14:textFill>
        </w:rPr>
        <w:t>人</w:t>
      </w:r>
      <w:r>
        <w:rPr>
          <w:rFonts w:ascii="宋体" w:hAnsi="宋体" w:eastAsia="宋体" w:cs="仿宋"/>
          <w:color w:val="000000" w:themeColor="text1"/>
          <w:sz w:val="28"/>
          <w:highlight w:val="none"/>
          <w14:textFill>
            <w14:solidFill>
              <w14:schemeClr w14:val="tx1"/>
            </w14:solidFill>
          </w14:textFill>
        </w:rPr>
        <w:t>的姓名或名称、地址（邮箱）、邮编、联系人及联系电话；</w:t>
      </w:r>
    </w:p>
    <w:p w14:paraId="10D2A600">
      <w:pPr>
        <w:spacing w:line="560" w:lineRule="exact"/>
        <w:ind w:firstLine="482"/>
        <w:rPr>
          <w:rFonts w:hint="eastAsia" w:ascii="宋体" w:hAnsi="宋体" w:eastAsia="宋体"/>
          <w:color w:val="000000" w:themeColor="text1"/>
          <w:highlight w:val="none"/>
          <w14:textFill>
            <w14:solidFill>
              <w14:schemeClr w14:val="tx1"/>
            </w14:solidFill>
          </w14:textFill>
        </w:rPr>
      </w:pPr>
      <w:r>
        <w:rPr>
          <w:rFonts w:ascii="宋体" w:hAnsi="宋体" w:eastAsia="宋体" w:cs="仿宋"/>
          <w:color w:val="000000" w:themeColor="text1"/>
          <w:sz w:val="28"/>
          <w:highlight w:val="none"/>
          <w14:textFill>
            <w14:solidFill>
              <w14:schemeClr w14:val="tx1"/>
            </w14:solidFill>
          </w14:textFill>
        </w:rPr>
        <w:t>（2）质疑项目的名称、编号；</w:t>
      </w:r>
    </w:p>
    <w:p w14:paraId="7C36F51C">
      <w:pPr>
        <w:spacing w:line="560" w:lineRule="exact"/>
        <w:ind w:firstLine="482"/>
        <w:rPr>
          <w:rFonts w:hint="eastAsia" w:ascii="宋体" w:hAnsi="宋体" w:eastAsia="宋体"/>
          <w:color w:val="000000" w:themeColor="text1"/>
          <w:highlight w:val="none"/>
          <w14:textFill>
            <w14:solidFill>
              <w14:schemeClr w14:val="tx1"/>
            </w14:solidFill>
          </w14:textFill>
        </w:rPr>
      </w:pPr>
      <w:r>
        <w:rPr>
          <w:rFonts w:ascii="宋体" w:hAnsi="宋体" w:eastAsia="宋体" w:cs="仿宋"/>
          <w:color w:val="000000" w:themeColor="text1"/>
          <w:sz w:val="28"/>
          <w:highlight w:val="none"/>
          <w14:textFill>
            <w14:solidFill>
              <w14:schemeClr w14:val="tx1"/>
            </w14:solidFill>
          </w14:textFill>
        </w:rPr>
        <w:t>（3）具体、明确的质疑事项和与质疑事项相关的请求；</w:t>
      </w:r>
    </w:p>
    <w:p w14:paraId="63662C54">
      <w:pPr>
        <w:spacing w:line="560" w:lineRule="exact"/>
        <w:ind w:firstLine="482"/>
        <w:rPr>
          <w:rFonts w:hint="eastAsia" w:ascii="宋体" w:hAnsi="宋体" w:eastAsia="宋体"/>
          <w:color w:val="000000" w:themeColor="text1"/>
          <w:highlight w:val="none"/>
          <w14:textFill>
            <w14:solidFill>
              <w14:schemeClr w14:val="tx1"/>
            </w14:solidFill>
          </w14:textFill>
        </w:rPr>
      </w:pPr>
      <w:r>
        <w:rPr>
          <w:rFonts w:ascii="宋体" w:hAnsi="宋体" w:eastAsia="宋体" w:cs="仿宋"/>
          <w:color w:val="000000" w:themeColor="text1"/>
          <w:sz w:val="28"/>
          <w:highlight w:val="none"/>
          <w14:textFill>
            <w14:solidFill>
              <w14:schemeClr w14:val="tx1"/>
            </w14:solidFill>
          </w14:textFill>
        </w:rPr>
        <w:t>（4）事实依据；</w:t>
      </w:r>
    </w:p>
    <w:p w14:paraId="61BF87C7">
      <w:pPr>
        <w:spacing w:line="560" w:lineRule="exact"/>
        <w:ind w:firstLine="482"/>
        <w:rPr>
          <w:rFonts w:hint="eastAsia" w:ascii="宋体" w:hAnsi="宋体" w:eastAsia="宋体"/>
          <w:color w:val="000000" w:themeColor="text1"/>
          <w:highlight w:val="none"/>
          <w14:textFill>
            <w14:solidFill>
              <w14:schemeClr w14:val="tx1"/>
            </w14:solidFill>
          </w14:textFill>
        </w:rPr>
      </w:pPr>
      <w:r>
        <w:rPr>
          <w:rFonts w:ascii="宋体" w:hAnsi="宋体" w:eastAsia="宋体" w:cs="仿宋"/>
          <w:color w:val="000000" w:themeColor="text1"/>
          <w:sz w:val="28"/>
          <w:highlight w:val="none"/>
          <w14:textFill>
            <w14:solidFill>
              <w14:schemeClr w14:val="tx1"/>
            </w14:solidFill>
          </w14:textFill>
        </w:rPr>
        <w:t>（5）必要的法律依据；</w:t>
      </w:r>
    </w:p>
    <w:p w14:paraId="0BC8C167">
      <w:pPr>
        <w:spacing w:line="560" w:lineRule="exact"/>
        <w:ind w:firstLine="482"/>
        <w:rPr>
          <w:rFonts w:hint="eastAsia" w:ascii="宋体" w:hAnsi="宋体" w:eastAsia="宋体"/>
          <w:color w:val="000000" w:themeColor="text1"/>
          <w:highlight w:val="none"/>
          <w14:textFill>
            <w14:solidFill>
              <w14:schemeClr w14:val="tx1"/>
            </w14:solidFill>
          </w14:textFill>
        </w:rPr>
      </w:pPr>
      <w:r>
        <w:rPr>
          <w:rFonts w:ascii="宋体" w:hAnsi="宋体" w:eastAsia="宋体" w:cs="仿宋"/>
          <w:color w:val="000000" w:themeColor="text1"/>
          <w:sz w:val="28"/>
          <w:highlight w:val="none"/>
          <w14:textFill>
            <w14:solidFill>
              <w14:schemeClr w14:val="tx1"/>
            </w14:solidFill>
          </w14:textFill>
        </w:rPr>
        <w:t>（6）提出质疑的日期。</w:t>
      </w:r>
    </w:p>
    <w:p w14:paraId="2FB0334F">
      <w:pPr>
        <w:spacing w:line="560" w:lineRule="exact"/>
        <w:ind w:firstLine="482"/>
        <w:rPr>
          <w:rFonts w:hint="eastAsia" w:ascii="宋体" w:hAnsi="宋体" w:eastAsia="宋体"/>
          <w:color w:val="000000" w:themeColor="text1"/>
          <w:highlight w:val="none"/>
          <w14:textFill>
            <w14:solidFill>
              <w14:schemeClr w14:val="tx1"/>
            </w14:solidFill>
          </w14:textFill>
        </w:rPr>
      </w:pPr>
      <w:r>
        <w:rPr>
          <w:rFonts w:ascii="宋体" w:hAnsi="宋体" w:eastAsia="宋体" w:cs="仿宋"/>
          <w:color w:val="000000" w:themeColor="text1"/>
          <w:sz w:val="28"/>
          <w:highlight w:val="none"/>
          <w14:textFill>
            <w14:solidFill>
              <w14:schemeClr w14:val="tx1"/>
            </w14:solidFill>
          </w14:textFill>
        </w:rPr>
        <w:t>投标</w:t>
      </w:r>
      <w:r>
        <w:rPr>
          <w:rFonts w:hint="eastAsia" w:ascii="宋体" w:hAnsi="宋体" w:eastAsia="宋体" w:cs="仿宋"/>
          <w:color w:val="000000" w:themeColor="text1"/>
          <w:sz w:val="28"/>
          <w:highlight w:val="none"/>
          <w14:textFill>
            <w14:solidFill>
              <w14:schemeClr w14:val="tx1"/>
            </w14:solidFill>
          </w14:textFill>
        </w:rPr>
        <w:t>人</w:t>
      </w:r>
      <w:r>
        <w:rPr>
          <w:rFonts w:ascii="宋体" w:hAnsi="宋体" w:eastAsia="宋体" w:cs="仿宋"/>
          <w:color w:val="000000" w:themeColor="text1"/>
          <w:sz w:val="28"/>
          <w:highlight w:val="none"/>
          <w14:textFill>
            <w14:solidFill>
              <w14:schemeClr w14:val="tx1"/>
            </w14:solidFill>
          </w14:textFill>
        </w:rPr>
        <w:t>为自然人的，应当由本人签字；投标</w:t>
      </w:r>
      <w:r>
        <w:rPr>
          <w:rFonts w:hint="eastAsia" w:ascii="宋体" w:hAnsi="宋体" w:eastAsia="宋体" w:cs="仿宋"/>
          <w:color w:val="000000" w:themeColor="text1"/>
          <w:sz w:val="28"/>
          <w:highlight w:val="none"/>
          <w14:textFill>
            <w14:solidFill>
              <w14:schemeClr w14:val="tx1"/>
            </w14:solidFill>
          </w14:textFill>
        </w:rPr>
        <w:t>人</w:t>
      </w:r>
      <w:r>
        <w:rPr>
          <w:rFonts w:ascii="宋体" w:hAnsi="宋体" w:eastAsia="宋体" w:cs="仿宋"/>
          <w:color w:val="000000" w:themeColor="text1"/>
          <w:sz w:val="28"/>
          <w:highlight w:val="none"/>
          <w14:textFill>
            <w14:solidFill>
              <w14:schemeClr w14:val="tx1"/>
            </w14:solidFill>
          </w14:textFill>
        </w:rPr>
        <w:t>为法人或者其他组织的，应当由法定代表人、单位负责人，或者其被授权人签字或者盖章，并加盖公章。</w:t>
      </w:r>
    </w:p>
    <w:p w14:paraId="15AD1B98">
      <w:pPr>
        <w:spacing w:line="560" w:lineRule="exact"/>
        <w:ind w:firstLine="482"/>
        <w:rPr>
          <w:rFonts w:hint="eastAsia" w:ascii="宋体" w:hAnsi="宋体" w:eastAsia="宋体"/>
          <w:color w:val="000000" w:themeColor="text1"/>
          <w:highlight w:val="none"/>
          <w14:textFill>
            <w14:solidFill>
              <w14:schemeClr w14:val="tx1"/>
            </w14:solidFill>
          </w14:textFill>
        </w:rPr>
      </w:pPr>
      <w:r>
        <w:rPr>
          <w:rFonts w:ascii="宋体" w:hAnsi="宋体" w:eastAsia="宋体" w:cs="仿宋"/>
          <w:color w:val="000000" w:themeColor="text1"/>
          <w:sz w:val="28"/>
          <w:highlight w:val="none"/>
          <w14:textFill>
            <w14:solidFill>
              <w14:schemeClr w14:val="tx1"/>
            </w14:solidFill>
          </w14:textFill>
        </w:rPr>
        <w:t>32.5招标人或招标代理机构正式受理后方可生效。否则，为无效质疑。</w:t>
      </w:r>
    </w:p>
    <w:p w14:paraId="2D084B0B">
      <w:pPr>
        <w:spacing w:line="560" w:lineRule="exact"/>
        <w:ind w:firstLine="482"/>
        <w:rPr>
          <w:rFonts w:hint="eastAsia" w:ascii="宋体" w:hAnsi="宋体" w:eastAsia="宋体"/>
          <w:color w:val="000000" w:themeColor="text1"/>
          <w:highlight w:val="none"/>
          <w14:textFill>
            <w14:solidFill>
              <w14:schemeClr w14:val="tx1"/>
            </w14:solidFill>
          </w14:textFill>
        </w:rPr>
      </w:pPr>
      <w:r>
        <w:rPr>
          <w:rFonts w:ascii="宋体" w:hAnsi="宋体" w:eastAsia="宋体" w:cs="仿宋"/>
          <w:color w:val="000000" w:themeColor="text1"/>
          <w:sz w:val="28"/>
          <w:highlight w:val="none"/>
          <w14:textFill>
            <w14:solidFill>
              <w14:schemeClr w14:val="tx1"/>
            </w14:solidFill>
          </w14:textFill>
        </w:rPr>
        <w:t>32.6有下列情况之一的质疑不予受理：</w:t>
      </w:r>
    </w:p>
    <w:p w14:paraId="3233C102">
      <w:pPr>
        <w:spacing w:line="560" w:lineRule="exact"/>
        <w:ind w:firstLine="482"/>
        <w:rPr>
          <w:rFonts w:hint="eastAsia" w:ascii="宋体" w:hAnsi="宋体" w:eastAsia="宋体"/>
          <w:color w:val="000000" w:themeColor="text1"/>
          <w:highlight w:val="none"/>
          <w14:textFill>
            <w14:solidFill>
              <w14:schemeClr w14:val="tx1"/>
            </w14:solidFill>
          </w14:textFill>
        </w:rPr>
      </w:pPr>
      <w:r>
        <w:rPr>
          <w:rFonts w:ascii="宋体" w:hAnsi="宋体" w:eastAsia="宋体" w:cs="仿宋"/>
          <w:color w:val="000000" w:themeColor="text1"/>
          <w:sz w:val="28"/>
          <w:highlight w:val="none"/>
          <w14:textFill>
            <w14:solidFill>
              <w14:schemeClr w14:val="tx1"/>
            </w14:solidFill>
          </w14:textFill>
        </w:rPr>
        <w:t>（1）无质疑函件或质疑函件缺少投标</w:t>
      </w:r>
      <w:r>
        <w:rPr>
          <w:rFonts w:hint="eastAsia" w:ascii="宋体" w:hAnsi="宋体" w:eastAsia="宋体" w:cs="仿宋"/>
          <w:color w:val="000000" w:themeColor="text1"/>
          <w:sz w:val="28"/>
          <w:highlight w:val="none"/>
          <w14:textFill>
            <w14:solidFill>
              <w14:schemeClr w14:val="tx1"/>
            </w14:solidFill>
          </w14:textFill>
        </w:rPr>
        <w:t>人</w:t>
      </w:r>
      <w:r>
        <w:rPr>
          <w:rFonts w:ascii="宋体" w:hAnsi="宋体" w:eastAsia="宋体" w:cs="仿宋"/>
          <w:color w:val="000000" w:themeColor="text1"/>
          <w:sz w:val="28"/>
          <w:highlight w:val="none"/>
          <w14:textFill>
            <w14:solidFill>
              <w14:schemeClr w14:val="tx1"/>
            </w14:solidFill>
          </w14:textFill>
        </w:rPr>
        <w:t>法人印章、投标</w:t>
      </w:r>
      <w:r>
        <w:rPr>
          <w:rFonts w:hint="eastAsia" w:ascii="宋体" w:hAnsi="宋体" w:eastAsia="宋体" w:cs="仿宋"/>
          <w:color w:val="000000" w:themeColor="text1"/>
          <w:sz w:val="28"/>
          <w:highlight w:val="none"/>
          <w14:textFill>
            <w14:solidFill>
              <w14:schemeClr w14:val="tx1"/>
            </w14:solidFill>
          </w14:textFill>
        </w:rPr>
        <w:t>人</w:t>
      </w:r>
      <w:r>
        <w:rPr>
          <w:rFonts w:ascii="宋体" w:hAnsi="宋体" w:eastAsia="宋体" w:cs="仿宋"/>
          <w:color w:val="000000" w:themeColor="text1"/>
          <w:sz w:val="28"/>
          <w:highlight w:val="none"/>
          <w14:textFill>
            <w14:solidFill>
              <w14:schemeClr w14:val="tx1"/>
            </w14:solidFill>
          </w14:textFill>
        </w:rPr>
        <w:t>法定代表人签字、有效授权书和联系方式之一的质疑；</w:t>
      </w:r>
    </w:p>
    <w:p w14:paraId="068045AB">
      <w:pPr>
        <w:spacing w:line="560" w:lineRule="exact"/>
        <w:ind w:firstLine="482"/>
        <w:rPr>
          <w:rFonts w:hint="eastAsia" w:ascii="宋体" w:hAnsi="宋体" w:eastAsia="宋体"/>
          <w:color w:val="000000" w:themeColor="text1"/>
          <w:highlight w:val="none"/>
          <w14:textFill>
            <w14:solidFill>
              <w14:schemeClr w14:val="tx1"/>
            </w14:solidFill>
          </w14:textFill>
        </w:rPr>
      </w:pPr>
      <w:r>
        <w:rPr>
          <w:rFonts w:ascii="宋体" w:hAnsi="宋体" w:eastAsia="宋体" w:cs="仿宋"/>
          <w:color w:val="000000" w:themeColor="text1"/>
          <w:sz w:val="28"/>
          <w:highlight w:val="none"/>
          <w14:textFill>
            <w14:solidFill>
              <w14:schemeClr w14:val="tx1"/>
            </w14:solidFill>
          </w14:textFill>
        </w:rPr>
        <w:t>（2）质疑函件无实质性内容或佐证文件资料，主观臆断及推理得出结论的质疑；</w:t>
      </w:r>
    </w:p>
    <w:p w14:paraId="01FD5FBB">
      <w:pPr>
        <w:spacing w:line="560" w:lineRule="exact"/>
        <w:ind w:firstLine="482"/>
        <w:rPr>
          <w:rFonts w:hint="eastAsia" w:ascii="宋体" w:hAnsi="宋体" w:eastAsia="宋体"/>
          <w:color w:val="000000" w:themeColor="text1"/>
          <w:highlight w:val="none"/>
          <w14:textFill>
            <w14:solidFill>
              <w14:schemeClr w14:val="tx1"/>
            </w14:solidFill>
          </w14:textFill>
        </w:rPr>
      </w:pPr>
      <w:r>
        <w:rPr>
          <w:rFonts w:ascii="宋体" w:hAnsi="宋体" w:eastAsia="宋体" w:cs="仿宋"/>
          <w:color w:val="000000" w:themeColor="text1"/>
          <w:sz w:val="28"/>
          <w:highlight w:val="none"/>
          <w14:textFill>
            <w14:solidFill>
              <w14:schemeClr w14:val="tx1"/>
            </w14:solidFill>
          </w14:textFill>
        </w:rPr>
        <w:t>（3）相应证明材料不真实或来源不合法的质疑；</w:t>
      </w:r>
    </w:p>
    <w:p w14:paraId="704E3BA8">
      <w:pPr>
        <w:spacing w:line="560" w:lineRule="exact"/>
        <w:ind w:firstLine="482"/>
        <w:rPr>
          <w:rFonts w:hint="eastAsia" w:ascii="宋体" w:hAnsi="宋体" w:eastAsia="宋体"/>
          <w:color w:val="000000" w:themeColor="text1"/>
          <w:highlight w:val="none"/>
          <w14:textFill>
            <w14:solidFill>
              <w14:schemeClr w14:val="tx1"/>
            </w14:solidFill>
          </w14:textFill>
        </w:rPr>
      </w:pPr>
      <w:r>
        <w:rPr>
          <w:rFonts w:ascii="宋体" w:hAnsi="宋体" w:eastAsia="宋体" w:cs="仿宋"/>
          <w:color w:val="000000" w:themeColor="text1"/>
          <w:sz w:val="28"/>
          <w:highlight w:val="none"/>
          <w14:textFill>
            <w14:solidFill>
              <w14:schemeClr w14:val="tx1"/>
            </w14:solidFill>
          </w14:textFill>
        </w:rPr>
        <w:t>（4）未按规定时间或超过公示期限提出的质疑；</w:t>
      </w:r>
    </w:p>
    <w:p w14:paraId="04539B1E">
      <w:pPr>
        <w:spacing w:line="560" w:lineRule="exact"/>
        <w:ind w:firstLine="482"/>
        <w:rPr>
          <w:rFonts w:hint="eastAsia" w:ascii="宋体" w:hAnsi="宋体" w:eastAsia="宋体"/>
          <w:color w:val="000000" w:themeColor="text1"/>
          <w:highlight w:val="none"/>
          <w14:textFill>
            <w14:solidFill>
              <w14:schemeClr w14:val="tx1"/>
            </w14:solidFill>
          </w14:textFill>
        </w:rPr>
      </w:pPr>
      <w:r>
        <w:rPr>
          <w:rFonts w:ascii="宋体" w:hAnsi="宋体" w:eastAsia="宋体" w:cs="仿宋"/>
          <w:color w:val="000000" w:themeColor="text1"/>
          <w:sz w:val="28"/>
          <w:highlight w:val="none"/>
          <w14:textFill>
            <w14:solidFill>
              <w14:schemeClr w14:val="tx1"/>
            </w14:solidFill>
          </w14:textFill>
        </w:rPr>
        <w:t>32.7对捏造事实，提供虚假材料或者以非法手段取得证明材料进行恶意质疑的，一经查实，将列入平台黑名单。</w:t>
      </w:r>
    </w:p>
    <w:p w14:paraId="1672747D">
      <w:pPr>
        <w:spacing w:line="560" w:lineRule="exact"/>
        <w:ind w:firstLine="482"/>
        <w:rPr>
          <w:rFonts w:hint="eastAsia" w:ascii="宋体" w:hAnsi="宋体" w:eastAsia="宋体"/>
          <w:color w:val="000000" w:themeColor="text1"/>
          <w:highlight w:val="none"/>
          <w14:textFill>
            <w14:solidFill>
              <w14:schemeClr w14:val="tx1"/>
            </w14:solidFill>
          </w14:textFill>
        </w:rPr>
      </w:pPr>
      <w:r>
        <w:rPr>
          <w:rFonts w:ascii="宋体" w:hAnsi="宋体" w:eastAsia="宋体" w:cs="仿宋"/>
          <w:color w:val="000000" w:themeColor="text1"/>
          <w:sz w:val="28"/>
          <w:highlight w:val="none"/>
          <w14:textFill>
            <w14:solidFill>
              <w14:schemeClr w14:val="tx1"/>
            </w14:solidFill>
          </w14:textFill>
        </w:rPr>
        <w:t>32.8仲裁或起诉</w:t>
      </w:r>
    </w:p>
    <w:p w14:paraId="3FEBA7CB">
      <w:pPr>
        <w:spacing w:line="560" w:lineRule="exact"/>
        <w:ind w:firstLine="482"/>
        <w:rPr>
          <w:rFonts w:hint="eastAsia" w:ascii="宋体" w:hAnsi="宋体" w:eastAsia="宋体"/>
          <w:color w:val="000000" w:themeColor="text1"/>
          <w:highlight w:val="none"/>
          <w14:textFill>
            <w14:solidFill>
              <w14:schemeClr w14:val="tx1"/>
            </w14:solidFill>
          </w14:textFill>
        </w:rPr>
      </w:pPr>
      <w:r>
        <w:rPr>
          <w:rFonts w:ascii="宋体" w:hAnsi="宋体" w:eastAsia="宋体" w:cs="仿宋"/>
          <w:color w:val="000000" w:themeColor="text1"/>
          <w:sz w:val="28"/>
          <w:highlight w:val="none"/>
          <w14:textFill>
            <w14:solidFill>
              <w14:schemeClr w14:val="tx1"/>
            </w14:solidFill>
          </w14:textFill>
        </w:rPr>
        <w:t>投标</w:t>
      </w:r>
      <w:r>
        <w:rPr>
          <w:rFonts w:hint="eastAsia" w:ascii="宋体" w:hAnsi="宋体" w:eastAsia="宋体" w:cs="仿宋"/>
          <w:color w:val="000000" w:themeColor="text1"/>
          <w:sz w:val="28"/>
          <w:highlight w:val="none"/>
          <w14:textFill>
            <w14:solidFill>
              <w14:schemeClr w14:val="tx1"/>
            </w14:solidFill>
          </w14:textFill>
        </w:rPr>
        <w:t>人</w:t>
      </w:r>
      <w:r>
        <w:rPr>
          <w:rFonts w:ascii="宋体" w:hAnsi="宋体" w:eastAsia="宋体" w:cs="仿宋"/>
          <w:color w:val="000000" w:themeColor="text1"/>
          <w:sz w:val="28"/>
          <w:highlight w:val="none"/>
          <w14:textFill>
            <w14:solidFill>
              <w14:schemeClr w14:val="tx1"/>
            </w14:solidFill>
          </w14:textFill>
        </w:rPr>
        <w:t>对答复不满意，或者招标人、招标代理机构未在规定的时间内做出书面答复的，投标</w:t>
      </w:r>
      <w:r>
        <w:rPr>
          <w:rFonts w:hint="eastAsia" w:ascii="宋体" w:hAnsi="宋体" w:eastAsia="宋体" w:cs="仿宋"/>
          <w:color w:val="000000" w:themeColor="text1"/>
          <w:sz w:val="28"/>
          <w:highlight w:val="none"/>
          <w14:textFill>
            <w14:solidFill>
              <w14:schemeClr w14:val="tx1"/>
            </w14:solidFill>
          </w14:textFill>
        </w:rPr>
        <w:t>人</w:t>
      </w:r>
      <w:r>
        <w:rPr>
          <w:rFonts w:ascii="宋体" w:hAnsi="宋体" w:eastAsia="宋体" w:cs="仿宋"/>
          <w:color w:val="000000" w:themeColor="text1"/>
          <w:sz w:val="28"/>
          <w:highlight w:val="none"/>
          <w14:textFill>
            <w14:solidFill>
              <w14:schemeClr w14:val="tx1"/>
            </w14:solidFill>
          </w14:textFill>
        </w:rPr>
        <w:t>可以在答复期满后向招标人所在地仲裁机构、人民法院申请仲裁或起诉。</w:t>
      </w:r>
    </w:p>
    <w:p w14:paraId="4E90DC0E">
      <w:pPr>
        <w:pStyle w:val="5"/>
        <w:rPr>
          <w:rStyle w:val="454"/>
          <w:rFonts w:hint="eastAsia" w:ascii="宋体" w:hAnsi="宋体"/>
          <w:b/>
          <w:bCs/>
          <w:color w:val="000000" w:themeColor="text1"/>
          <w:kern w:val="2"/>
          <w:sz w:val="28"/>
          <w:szCs w:val="32"/>
          <w:highlight w:val="none"/>
          <w14:textFill>
            <w14:solidFill>
              <w14:schemeClr w14:val="tx1"/>
            </w14:solidFill>
          </w14:textFill>
        </w:rPr>
      </w:pPr>
      <w:bookmarkStart w:id="81" w:name="_Toc130891912"/>
      <w:bookmarkStart w:id="82" w:name="_Toc66864050"/>
      <w:r>
        <w:rPr>
          <w:rStyle w:val="454"/>
          <w:rFonts w:hint="eastAsia" w:ascii="宋体" w:hAnsi="宋体"/>
          <w:b/>
          <w:bCs/>
          <w:color w:val="000000" w:themeColor="text1"/>
          <w:kern w:val="2"/>
          <w:sz w:val="28"/>
          <w:szCs w:val="32"/>
          <w:highlight w:val="none"/>
          <w14:textFill>
            <w14:solidFill>
              <w14:schemeClr w14:val="tx1"/>
            </w14:solidFill>
          </w14:textFill>
        </w:rPr>
        <w:t>九、签订合同</w:t>
      </w:r>
      <w:bookmarkEnd w:id="81"/>
      <w:bookmarkEnd w:id="82"/>
    </w:p>
    <w:p w14:paraId="2656DF9A">
      <w:pPr>
        <w:snapToGrid w:val="0"/>
        <w:spacing w:line="560" w:lineRule="exact"/>
        <w:ind w:firstLine="562" w:firstLineChars="201"/>
        <w:rPr>
          <w:rFonts w:hint="eastAsia" w:ascii="宋体" w:hAnsi="宋体" w:eastAsia="宋体"/>
          <w:color w:val="000000" w:themeColor="text1"/>
          <w:sz w:val="28"/>
          <w:szCs w:val="28"/>
          <w:highlight w:val="none"/>
          <w14:textFill>
            <w14:solidFill>
              <w14:schemeClr w14:val="tx1"/>
            </w14:solidFill>
          </w14:textFill>
        </w:rPr>
      </w:pPr>
      <w:r>
        <w:rPr>
          <w:rFonts w:hint="eastAsia" w:ascii="宋体" w:hAnsi="宋体" w:eastAsia="宋体"/>
          <w:color w:val="000000" w:themeColor="text1"/>
          <w:sz w:val="28"/>
          <w:szCs w:val="28"/>
          <w:highlight w:val="none"/>
          <w14:textFill>
            <w14:solidFill>
              <w14:schemeClr w14:val="tx1"/>
            </w14:solidFill>
          </w14:textFill>
        </w:rPr>
        <w:t>中标通知书发出之日起30日内，按招标文件、中标人的投标文件签订采购合同。</w:t>
      </w:r>
    </w:p>
    <w:p w14:paraId="6DCCDA9A">
      <w:pPr>
        <w:snapToGrid w:val="0"/>
        <w:spacing w:line="560" w:lineRule="exact"/>
        <w:ind w:firstLine="562" w:firstLineChars="201"/>
        <w:rPr>
          <w:rFonts w:hint="eastAsia" w:ascii="宋体" w:hAnsi="宋体" w:eastAsia="宋体" w:cs="仿宋"/>
          <w:b/>
          <w:bCs/>
          <w:color w:val="000000" w:themeColor="text1"/>
          <w:kern w:val="44"/>
          <w:sz w:val="44"/>
          <w:szCs w:val="44"/>
          <w:highlight w:val="none"/>
          <w14:textFill>
            <w14:solidFill>
              <w14:schemeClr w14:val="tx1"/>
            </w14:solidFill>
          </w14:textFill>
        </w:rPr>
      </w:pPr>
      <w:r>
        <w:rPr>
          <w:rFonts w:hint="eastAsia" w:ascii="宋体" w:hAnsi="宋体" w:eastAsia="宋体"/>
          <w:color w:val="000000" w:themeColor="text1"/>
          <w:sz w:val="28"/>
          <w:szCs w:val="28"/>
          <w:highlight w:val="none"/>
          <w14:textFill>
            <w14:solidFill>
              <w14:schemeClr w14:val="tx1"/>
            </w14:solidFill>
          </w14:textFill>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Pr>
          <w:rFonts w:ascii="宋体" w:hAnsi="宋体" w:eastAsia="宋体" w:cs="仿宋"/>
          <w:color w:val="000000" w:themeColor="text1"/>
          <w:sz w:val="28"/>
          <w:highlight w:val="none"/>
          <w14:textFill>
            <w14:solidFill>
              <w14:schemeClr w14:val="tx1"/>
            </w14:solidFill>
          </w14:textFill>
        </w:rPr>
        <w:t>第六章 合同（范本）</w:t>
      </w:r>
      <w:r>
        <w:rPr>
          <w:rFonts w:hint="eastAsia" w:ascii="宋体" w:hAnsi="宋体" w:eastAsia="宋体"/>
          <w:color w:val="000000" w:themeColor="text1"/>
          <w:sz w:val="28"/>
          <w:szCs w:val="28"/>
          <w:highlight w:val="none"/>
          <w14:textFill>
            <w14:solidFill>
              <w14:schemeClr w14:val="tx1"/>
            </w14:solidFill>
          </w14:textFill>
        </w:rPr>
        <w:t>为基础，并根据响应、答疑情况进行修改补充，自签订之日起生效。</w:t>
      </w:r>
      <w:bookmarkEnd w:id="14"/>
      <w:bookmarkEnd w:id="15"/>
      <w:bookmarkEnd w:id="16"/>
      <w:bookmarkStart w:id="83" w:name="_Toc66864051"/>
      <w:bookmarkEnd w:id="83"/>
      <w:bookmarkStart w:id="84" w:name="_Toc66864046"/>
      <w:bookmarkEnd w:id="84"/>
      <w:bookmarkStart w:id="85" w:name="_Toc66864053"/>
      <w:bookmarkStart w:id="86" w:name="_Toc130891913"/>
      <w:bookmarkStart w:id="87" w:name="_Toc382129915"/>
      <w:bookmarkStart w:id="88" w:name="_Toc266431156"/>
      <w:bookmarkStart w:id="89" w:name="_Toc413596397"/>
      <w:r>
        <w:rPr>
          <w:rFonts w:ascii="宋体" w:hAnsi="宋体" w:eastAsia="宋体" w:cs="仿宋"/>
          <w:color w:val="000000" w:themeColor="text1"/>
          <w:highlight w:val="none"/>
          <w14:textFill>
            <w14:solidFill>
              <w14:schemeClr w14:val="tx1"/>
            </w14:solidFill>
          </w14:textFill>
        </w:rPr>
        <w:br w:type="page"/>
      </w:r>
    </w:p>
    <w:p w14:paraId="66EB46F8">
      <w:pPr>
        <w:pStyle w:val="4"/>
        <w:jc w:val="center"/>
        <w:rPr>
          <w:rFonts w:hint="eastAsia" w:ascii="宋体" w:hAnsi="宋体" w:eastAsia="宋体" w:cs="仿宋"/>
          <w:color w:val="000000" w:themeColor="text1"/>
          <w:highlight w:val="none"/>
          <w14:textFill>
            <w14:solidFill>
              <w14:schemeClr w14:val="tx1"/>
            </w14:solidFill>
          </w14:textFill>
        </w:rPr>
      </w:pPr>
      <w:r>
        <w:rPr>
          <w:rFonts w:hint="eastAsia" w:ascii="宋体" w:hAnsi="宋体" w:eastAsia="宋体" w:cs="仿宋"/>
          <w:color w:val="000000" w:themeColor="text1"/>
          <w:highlight w:val="none"/>
          <w14:textFill>
            <w14:solidFill>
              <w14:schemeClr w14:val="tx1"/>
            </w14:solidFill>
          </w14:textFill>
        </w:rPr>
        <w:t>第三章</w:t>
      </w:r>
      <w:bookmarkEnd w:id="85"/>
      <w:r>
        <w:rPr>
          <w:rFonts w:hint="eastAsia" w:ascii="宋体" w:hAnsi="宋体" w:eastAsia="宋体" w:cs="仿宋"/>
          <w:color w:val="000000" w:themeColor="text1"/>
          <w:highlight w:val="none"/>
          <w14:textFill>
            <w14:solidFill>
              <w14:schemeClr w14:val="tx1"/>
            </w14:solidFill>
          </w14:textFill>
        </w:rPr>
        <w:t xml:space="preserve">  开标、评标、定标</w:t>
      </w:r>
      <w:bookmarkEnd w:id="86"/>
    </w:p>
    <w:p w14:paraId="6B0E9034">
      <w:pPr>
        <w:pStyle w:val="5"/>
        <w:rPr>
          <w:rStyle w:val="454"/>
          <w:rFonts w:hint="eastAsia" w:ascii="宋体" w:hAnsi="宋体"/>
          <w:b/>
          <w:bCs/>
          <w:color w:val="000000" w:themeColor="text1"/>
          <w:kern w:val="2"/>
          <w:sz w:val="28"/>
          <w:szCs w:val="32"/>
          <w:highlight w:val="none"/>
          <w14:textFill>
            <w14:solidFill>
              <w14:schemeClr w14:val="tx1"/>
            </w14:solidFill>
          </w14:textFill>
        </w:rPr>
      </w:pPr>
      <w:bookmarkStart w:id="90" w:name="_Toc130891914"/>
      <w:r>
        <w:rPr>
          <w:rStyle w:val="454"/>
          <w:rFonts w:hint="eastAsia" w:ascii="宋体" w:hAnsi="宋体"/>
          <w:b/>
          <w:bCs/>
          <w:color w:val="000000" w:themeColor="text1"/>
          <w:kern w:val="2"/>
          <w:sz w:val="28"/>
          <w:szCs w:val="32"/>
          <w:highlight w:val="none"/>
          <w14:textFill>
            <w14:solidFill>
              <w14:schemeClr w14:val="tx1"/>
            </w14:solidFill>
          </w14:textFill>
        </w:rPr>
        <w:t>一、开标</w:t>
      </w:r>
      <w:bookmarkEnd w:id="90"/>
    </w:p>
    <w:p w14:paraId="28BEFB40">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w:t>
      </w:r>
      <w:r>
        <w:rPr>
          <w:rFonts w:ascii="宋体" w:hAnsi="宋体" w:eastAsia="宋体" w:cs="仿宋"/>
          <w:color w:val="000000" w:themeColor="text1"/>
          <w:sz w:val="28"/>
          <w:szCs w:val="28"/>
          <w:highlight w:val="none"/>
          <w14:textFill>
            <w14:solidFill>
              <w14:schemeClr w14:val="tx1"/>
            </w14:solidFill>
          </w14:textFill>
        </w:rPr>
        <w:t>.</w:t>
      </w:r>
      <w:r>
        <w:rPr>
          <w:rFonts w:hint="eastAsia" w:ascii="宋体" w:hAnsi="宋体" w:eastAsia="宋体" w:cs="仿宋"/>
          <w:color w:val="000000" w:themeColor="text1"/>
          <w:sz w:val="28"/>
          <w:szCs w:val="28"/>
          <w:highlight w:val="none"/>
          <w14:textFill>
            <w14:solidFill>
              <w14:schemeClr w14:val="tx1"/>
            </w14:solidFill>
          </w14:textFill>
        </w:rPr>
        <w:t>招标代理机构在招标公告规定的时间和地点组织开标。投标截止时间结束后，投标人不足3家的不得开标。</w:t>
      </w:r>
    </w:p>
    <w:p w14:paraId="41B99081">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w:t>
      </w:r>
      <w:r>
        <w:rPr>
          <w:rFonts w:ascii="宋体" w:hAnsi="宋体" w:eastAsia="宋体" w:cs="仿宋"/>
          <w:color w:val="000000" w:themeColor="text1"/>
          <w:sz w:val="28"/>
          <w:szCs w:val="28"/>
          <w:highlight w:val="none"/>
          <w14:textFill>
            <w14:solidFill>
              <w14:schemeClr w14:val="tx1"/>
            </w14:solidFill>
          </w14:textFill>
        </w:rPr>
        <w:t>.</w:t>
      </w:r>
      <w:r>
        <w:rPr>
          <w:rFonts w:hint="eastAsia" w:ascii="宋体" w:hAnsi="宋体" w:eastAsia="宋体" w:cs="仿宋"/>
          <w:color w:val="000000" w:themeColor="text1"/>
          <w:sz w:val="28"/>
          <w:szCs w:val="28"/>
          <w:highlight w:val="none"/>
          <w14:textFill>
            <w14:solidFill>
              <w14:schemeClr w14:val="tx1"/>
            </w14:solidFill>
          </w14:textFill>
        </w:rPr>
        <w:t>开标前准备：投标人需提前准备已配置好环境的电脑，在规定的时间进行远程开标的各项操作。</w:t>
      </w:r>
    </w:p>
    <w:p w14:paraId="06E97EEE">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w:t>
      </w:r>
      <w:r>
        <w:rPr>
          <w:rFonts w:ascii="宋体" w:hAnsi="宋体" w:eastAsia="宋体" w:cs="仿宋"/>
          <w:color w:val="000000" w:themeColor="text1"/>
          <w:sz w:val="28"/>
          <w:szCs w:val="28"/>
          <w:highlight w:val="none"/>
          <w14:textFill>
            <w14:solidFill>
              <w14:schemeClr w14:val="tx1"/>
            </w14:solidFill>
          </w14:textFill>
        </w:rPr>
        <w:t>.</w:t>
      </w:r>
      <w:r>
        <w:rPr>
          <w:rFonts w:hint="eastAsia" w:ascii="宋体" w:hAnsi="宋体" w:eastAsia="宋体" w:cs="仿宋"/>
          <w:color w:val="000000" w:themeColor="text1"/>
          <w:sz w:val="28"/>
          <w:szCs w:val="28"/>
          <w:highlight w:val="none"/>
          <w14:textFill>
            <w14:solidFill>
              <w14:schemeClr w14:val="tx1"/>
            </w14:solidFill>
          </w14:textFill>
        </w:rPr>
        <w:t>开标程序：签到-开标-解密-唱标，具体详见“第二章 投标须知”。</w:t>
      </w:r>
    </w:p>
    <w:p w14:paraId="46B730AD">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（1）投标人代表应在签到表格相应位置上加盖CA锁中的法定代表人电子人名章或公章以证明其出席，在开标时间前未完成签到的将会被</w:t>
      </w:r>
      <w:r>
        <w:rPr>
          <w:rFonts w:hint="eastAsia" w:ascii="宋体" w:hAnsi="宋体" w:eastAsia="宋体" w:cs="仿宋"/>
          <w:b/>
          <w:color w:val="000000" w:themeColor="text1"/>
          <w:sz w:val="28"/>
          <w:szCs w:val="28"/>
          <w:highlight w:val="none"/>
          <w14:textFill>
            <w14:solidFill>
              <w14:schemeClr w14:val="tx1"/>
            </w14:solidFill>
          </w14:textFill>
        </w:rPr>
        <w:t>视作</w:t>
      </w:r>
      <w:r>
        <w:rPr>
          <w:rFonts w:hint="eastAsia" w:ascii="宋体" w:hAnsi="宋体" w:eastAsia="宋体" w:cs="仿宋"/>
          <w:color w:val="000000" w:themeColor="text1"/>
          <w:sz w:val="28"/>
          <w:szCs w:val="28"/>
          <w:highlight w:val="none"/>
          <w14:textFill>
            <w14:solidFill>
              <w14:schemeClr w14:val="tx1"/>
            </w14:solidFill>
          </w14:textFill>
        </w:rPr>
        <w:t>认同开标结果。</w:t>
      </w:r>
    </w:p>
    <w:p w14:paraId="7CD329DF">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（2）投标须知前附表规定了文件解密时间，投标人忘记密码、输入密码错误太多导致CA锁定、未能按时完成解密、其《数据文件》填写、盖章不规范等导致系统无法解析的，将会被视为</w:t>
      </w:r>
      <w:r>
        <w:rPr>
          <w:rFonts w:hint="eastAsia" w:ascii="宋体" w:hAnsi="宋体" w:eastAsia="宋体" w:cs="仿宋"/>
          <w:b/>
          <w:color w:val="000000" w:themeColor="text1"/>
          <w:sz w:val="28"/>
          <w:szCs w:val="28"/>
          <w:highlight w:val="none"/>
          <w14:textFill>
            <w14:solidFill>
              <w14:schemeClr w14:val="tx1"/>
            </w14:solidFill>
          </w14:textFill>
        </w:rPr>
        <w:t>无效投标</w:t>
      </w:r>
      <w:r>
        <w:rPr>
          <w:rFonts w:hint="eastAsia" w:ascii="宋体" w:hAnsi="宋体" w:eastAsia="宋体" w:cs="仿宋"/>
          <w:color w:val="000000" w:themeColor="text1"/>
          <w:sz w:val="28"/>
          <w:szCs w:val="28"/>
          <w:highlight w:val="none"/>
          <w14:textFill>
            <w14:solidFill>
              <w14:schemeClr w14:val="tx1"/>
            </w14:solidFill>
          </w14:textFill>
        </w:rPr>
        <w:t>。</w:t>
      </w:r>
    </w:p>
    <w:p w14:paraId="4BFA45B9">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（3）开标过程应当由招标人或招标代理机构负责记录，最终形成开标一览表并加盖CA锁中的法定代表人电子人名章或公章。</w:t>
      </w:r>
    </w:p>
    <w:p w14:paraId="5B51B1D5">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68201A3C">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4.</w:t>
      </w:r>
      <w:r>
        <w:rPr>
          <w:rFonts w:hint="eastAsia" w:ascii="宋体" w:hAnsi="宋体" w:eastAsia="宋体" w:cs="仿宋"/>
          <w:color w:val="000000" w:themeColor="text1"/>
          <w:sz w:val="28"/>
          <w:szCs w:val="28"/>
          <w:highlight w:val="none"/>
          <w14:textFill>
            <w14:solidFill>
              <w14:schemeClr w14:val="tx1"/>
            </w14:solidFill>
          </w14:textFill>
        </w:rPr>
        <w:t>应急开标程序：如需启动应急开标程序，应按第二章投标须知第</w:t>
      </w:r>
      <w:r>
        <w:rPr>
          <w:rFonts w:ascii="宋体" w:hAnsi="宋体" w:eastAsia="宋体" w:cs="仿宋"/>
          <w:color w:val="000000" w:themeColor="text1"/>
          <w:sz w:val="28"/>
          <w:szCs w:val="28"/>
          <w:highlight w:val="none"/>
          <w14:textFill>
            <w14:solidFill>
              <w14:schemeClr w14:val="tx1"/>
            </w14:solidFill>
          </w14:textFill>
        </w:rPr>
        <w:t>22.11-22.13内容进行</w:t>
      </w:r>
      <w:r>
        <w:rPr>
          <w:rFonts w:hint="eastAsia" w:ascii="宋体" w:hAnsi="宋体" w:eastAsia="宋体" w:cs="仿宋"/>
          <w:color w:val="000000" w:themeColor="text1"/>
          <w:sz w:val="28"/>
          <w:szCs w:val="28"/>
          <w:highlight w:val="none"/>
          <w14:textFill>
            <w14:solidFill>
              <w14:schemeClr w14:val="tx1"/>
            </w14:solidFill>
          </w14:textFill>
        </w:rPr>
        <w:t>。</w:t>
      </w:r>
    </w:p>
    <w:p w14:paraId="329B522E">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5</w:t>
      </w:r>
      <w:r>
        <w:rPr>
          <w:rFonts w:hint="eastAsia" w:ascii="宋体" w:hAnsi="宋体" w:eastAsia="宋体" w:cs="仿宋"/>
          <w:color w:val="000000" w:themeColor="text1"/>
          <w:sz w:val="28"/>
          <w:szCs w:val="28"/>
          <w:highlight w:val="none"/>
          <w14:textFill>
            <w14:solidFill>
              <w14:schemeClr w14:val="tx1"/>
            </w14:solidFill>
          </w14:textFill>
        </w:rPr>
        <w:t>.录音、录像：威海市公共资源交易中心负责从提交投标文件开始到确定中标结果全过程的录音、录像工作，确保声音清楚、图像清晰、内容无遗漏。</w:t>
      </w:r>
    </w:p>
    <w:p w14:paraId="0BAC7526">
      <w:pPr>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6</w:t>
      </w:r>
      <w:r>
        <w:rPr>
          <w:rFonts w:hint="eastAsia" w:ascii="宋体" w:hAnsi="宋体" w:eastAsia="宋体" w:cs="仿宋"/>
          <w:color w:val="000000" w:themeColor="text1"/>
          <w:sz w:val="28"/>
          <w:szCs w:val="28"/>
          <w:highlight w:val="none"/>
          <w14:textFill>
            <w14:solidFill>
              <w14:schemeClr w14:val="tx1"/>
            </w14:solidFill>
          </w14:textFill>
        </w:rPr>
        <w:t>.评审过程中，如遇特殊情况，服从威海市公共资源交易中心场地调配，并遵守相关规章制度。</w:t>
      </w:r>
    </w:p>
    <w:p w14:paraId="7216DC63">
      <w:pPr>
        <w:pStyle w:val="5"/>
        <w:rPr>
          <w:rStyle w:val="454"/>
          <w:rFonts w:hint="eastAsia" w:ascii="宋体" w:hAnsi="宋体"/>
          <w:b/>
          <w:bCs/>
          <w:color w:val="000000" w:themeColor="text1"/>
          <w:kern w:val="2"/>
          <w:sz w:val="28"/>
          <w:szCs w:val="32"/>
          <w:highlight w:val="none"/>
          <w14:textFill>
            <w14:solidFill>
              <w14:schemeClr w14:val="tx1"/>
            </w14:solidFill>
          </w14:textFill>
        </w:rPr>
      </w:pPr>
      <w:bookmarkStart w:id="91" w:name="_Toc130891915"/>
      <w:r>
        <w:rPr>
          <w:rStyle w:val="454"/>
          <w:rFonts w:hint="eastAsia" w:ascii="宋体" w:hAnsi="宋体"/>
          <w:b/>
          <w:bCs/>
          <w:color w:val="000000" w:themeColor="text1"/>
          <w:kern w:val="2"/>
          <w:sz w:val="28"/>
          <w:szCs w:val="32"/>
          <w:highlight w:val="none"/>
          <w14:textFill>
            <w14:solidFill>
              <w14:schemeClr w14:val="tx1"/>
            </w14:solidFill>
          </w14:textFill>
        </w:rPr>
        <w:t>二、评标</w:t>
      </w:r>
      <w:bookmarkEnd w:id="91"/>
    </w:p>
    <w:p w14:paraId="7211BAE5">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1</w:t>
      </w:r>
      <w:r>
        <w:rPr>
          <w:rFonts w:ascii="宋体" w:hAnsi="宋体" w:eastAsia="宋体" w:cs="仿宋"/>
          <w:b/>
          <w:color w:val="000000" w:themeColor="text1"/>
          <w:sz w:val="28"/>
          <w:szCs w:val="28"/>
          <w:highlight w:val="none"/>
          <w14:textFill>
            <w14:solidFill>
              <w14:schemeClr w14:val="tx1"/>
            </w14:solidFill>
          </w14:textFill>
        </w:rPr>
        <w:t>.</w:t>
      </w:r>
      <w:r>
        <w:rPr>
          <w:rFonts w:hint="eastAsia" w:ascii="宋体" w:hAnsi="宋体" w:eastAsia="宋体" w:cs="仿宋"/>
          <w:b/>
          <w:color w:val="000000" w:themeColor="text1"/>
          <w:sz w:val="28"/>
          <w:szCs w:val="28"/>
          <w:highlight w:val="none"/>
          <w14:textFill>
            <w14:solidFill>
              <w14:schemeClr w14:val="tx1"/>
            </w14:solidFill>
          </w14:textFill>
        </w:rPr>
        <w:t>评标原则</w:t>
      </w:r>
    </w:p>
    <w:p w14:paraId="2D3BE9FD">
      <w:pPr>
        <w:spacing w:line="520" w:lineRule="exact"/>
        <w:ind w:firstLine="560" w:firstLineChars="200"/>
        <w:rPr>
          <w:rFonts w:hint="eastAsia" w:ascii="宋体" w:hAnsi="宋体" w:eastAsia="宋体" w:cs="仿宋"/>
          <w:color w:val="000000" w:themeColor="text1"/>
          <w:sz w:val="28"/>
          <w:szCs w:val="21"/>
          <w:highlight w:val="none"/>
          <w14:textFill>
            <w14:solidFill>
              <w14:schemeClr w14:val="tx1"/>
            </w14:solidFill>
          </w14:textFill>
        </w:rPr>
      </w:pPr>
      <w:r>
        <w:rPr>
          <w:rFonts w:hint="eastAsia" w:ascii="宋体" w:hAnsi="宋体" w:eastAsia="宋体" w:cs="仿宋"/>
          <w:color w:val="000000" w:themeColor="text1"/>
          <w:sz w:val="28"/>
          <w:szCs w:val="21"/>
          <w:highlight w:val="none"/>
          <w14:textFill>
            <w14:solidFill>
              <w14:schemeClr w14:val="tx1"/>
            </w14:solidFill>
          </w14:textFill>
        </w:rPr>
        <w:t>“公平、公正、科学、择优”为本次评标的基本原则，评标委员会将按照这一原则的要求，公正、平等地对待各投标人，同时，在评标时恪守以下原则：</w:t>
      </w:r>
    </w:p>
    <w:p w14:paraId="6E8C600E">
      <w:pPr>
        <w:spacing w:line="520" w:lineRule="exact"/>
        <w:ind w:firstLine="560" w:firstLineChars="200"/>
        <w:rPr>
          <w:rFonts w:hint="eastAsia" w:ascii="宋体" w:hAnsi="宋体" w:eastAsia="宋体" w:cs="仿宋"/>
          <w:color w:val="000000" w:themeColor="text1"/>
          <w:sz w:val="28"/>
          <w:szCs w:val="21"/>
          <w:highlight w:val="none"/>
          <w14:textFill>
            <w14:solidFill>
              <w14:schemeClr w14:val="tx1"/>
            </w14:solidFill>
          </w14:textFill>
        </w:rPr>
      </w:pPr>
      <w:r>
        <w:rPr>
          <w:rFonts w:hint="eastAsia" w:ascii="宋体" w:hAnsi="宋体" w:eastAsia="宋体" w:cs="仿宋"/>
          <w:color w:val="000000" w:themeColor="text1"/>
          <w:sz w:val="28"/>
          <w:szCs w:val="21"/>
          <w:highlight w:val="none"/>
          <w14:textFill>
            <w14:solidFill>
              <w14:schemeClr w14:val="tx1"/>
            </w14:solidFill>
          </w14:textFill>
        </w:rPr>
        <w:t>（1）客观性原则：评标委员会将严格按照招标文件的要求，对投标人的投标文件进行认真评审，评标委员会对投标文件的评审仅依据投标文件本身，而不依靠投标文件以外的任何因素。</w:t>
      </w:r>
    </w:p>
    <w:p w14:paraId="1A4DEE6D">
      <w:pPr>
        <w:spacing w:line="520" w:lineRule="exact"/>
        <w:ind w:firstLine="560" w:firstLineChars="200"/>
        <w:rPr>
          <w:rFonts w:hint="eastAsia" w:ascii="宋体" w:hAnsi="宋体" w:eastAsia="宋体" w:cs="仿宋"/>
          <w:color w:val="000000" w:themeColor="text1"/>
          <w:sz w:val="28"/>
          <w:szCs w:val="21"/>
          <w:highlight w:val="none"/>
          <w14:textFill>
            <w14:solidFill>
              <w14:schemeClr w14:val="tx1"/>
            </w14:solidFill>
          </w14:textFill>
        </w:rPr>
      </w:pPr>
      <w:r>
        <w:rPr>
          <w:rFonts w:hint="eastAsia" w:ascii="宋体" w:hAnsi="宋体" w:eastAsia="宋体" w:cs="仿宋"/>
          <w:color w:val="000000" w:themeColor="text1"/>
          <w:sz w:val="28"/>
          <w:szCs w:val="21"/>
          <w:highlight w:val="none"/>
          <w14:textFill>
            <w14:solidFill>
              <w14:schemeClr w14:val="tx1"/>
            </w14:solidFill>
          </w14:textFill>
        </w:rPr>
        <w:t>（2）统一性原则：评标委员会将按照统一的评标原则和评标方法，采用统一标准进行评标。</w:t>
      </w:r>
    </w:p>
    <w:p w14:paraId="3AC09075">
      <w:pPr>
        <w:spacing w:line="520" w:lineRule="exact"/>
        <w:ind w:firstLine="560" w:firstLineChars="200"/>
        <w:rPr>
          <w:rFonts w:hint="eastAsia" w:ascii="宋体" w:hAnsi="宋体" w:eastAsia="宋体" w:cs="仿宋"/>
          <w:color w:val="000000" w:themeColor="text1"/>
          <w:sz w:val="28"/>
          <w:szCs w:val="21"/>
          <w:highlight w:val="none"/>
          <w14:textFill>
            <w14:solidFill>
              <w14:schemeClr w14:val="tx1"/>
            </w14:solidFill>
          </w14:textFill>
        </w:rPr>
      </w:pPr>
      <w:r>
        <w:rPr>
          <w:rFonts w:hint="eastAsia" w:ascii="宋体" w:hAnsi="宋体" w:eastAsia="宋体" w:cs="仿宋"/>
          <w:color w:val="000000" w:themeColor="text1"/>
          <w:sz w:val="28"/>
          <w:szCs w:val="21"/>
          <w:highlight w:val="none"/>
          <w14:textFill>
            <w14:solidFill>
              <w14:schemeClr w14:val="tx1"/>
            </w14:solidFill>
          </w14:textFill>
        </w:rPr>
        <w:t>（3）独立性原则：评标工作在评标委员会内部独立进行，不受外界任何因素的干扰和影响。</w:t>
      </w:r>
    </w:p>
    <w:p w14:paraId="0872AF93">
      <w:pPr>
        <w:spacing w:line="520" w:lineRule="exact"/>
        <w:ind w:firstLine="560" w:firstLineChars="200"/>
        <w:rPr>
          <w:rFonts w:hint="eastAsia" w:ascii="宋体" w:hAnsi="宋体" w:eastAsia="宋体" w:cs="仿宋"/>
          <w:color w:val="000000" w:themeColor="text1"/>
          <w:sz w:val="28"/>
          <w:szCs w:val="21"/>
          <w:highlight w:val="none"/>
          <w14:textFill>
            <w14:solidFill>
              <w14:schemeClr w14:val="tx1"/>
            </w14:solidFill>
          </w14:textFill>
        </w:rPr>
      </w:pPr>
      <w:r>
        <w:rPr>
          <w:rFonts w:hint="eastAsia" w:ascii="宋体" w:hAnsi="宋体" w:eastAsia="宋体" w:cs="仿宋"/>
          <w:color w:val="000000" w:themeColor="text1"/>
          <w:sz w:val="28"/>
          <w:szCs w:val="21"/>
          <w:highlight w:val="none"/>
          <w14:textFill>
            <w14:solidFill>
              <w14:schemeClr w14:val="tx1"/>
            </w14:solidFill>
          </w14:textFill>
        </w:rPr>
        <w:t>（4）保密性原则：评标委员会及熟知情况的有关工作人员必须对每位评委的评标意见和投标人的商业秘密严格保密，不得外泄。</w:t>
      </w:r>
    </w:p>
    <w:p w14:paraId="32C6506D">
      <w:pPr>
        <w:spacing w:line="520" w:lineRule="exact"/>
        <w:ind w:firstLine="560" w:firstLineChars="200"/>
        <w:rPr>
          <w:rFonts w:hint="eastAsia" w:ascii="宋体" w:hAnsi="宋体" w:eastAsia="宋体" w:cs="仿宋"/>
          <w:color w:val="000000" w:themeColor="text1"/>
          <w:sz w:val="28"/>
          <w:szCs w:val="21"/>
          <w:highlight w:val="none"/>
          <w14:textFill>
            <w14:solidFill>
              <w14:schemeClr w14:val="tx1"/>
            </w14:solidFill>
          </w14:textFill>
        </w:rPr>
      </w:pPr>
      <w:r>
        <w:rPr>
          <w:rFonts w:hint="eastAsia" w:ascii="宋体" w:hAnsi="宋体" w:eastAsia="宋体" w:cs="仿宋"/>
          <w:color w:val="000000" w:themeColor="text1"/>
          <w:sz w:val="28"/>
          <w:szCs w:val="21"/>
          <w:highlight w:val="none"/>
          <w14:textFill>
            <w14:solidFill>
              <w14:schemeClr w14:val="tx1"/>
            </w14:solidFill>
          </w14:textFill>
        </w:rPr>
        <w:t>（5）综合性原则：评标委员会将综合分析、评审投标人的各项指标，而不以单项指标的优劣评定出中标人。</w:t>
      </w:r>
    </w:p>
    <w:p w14:paraId="7D083E02">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ascii="宋体" w:hAnsi="宋体" w:eastAsia="宋体" w:cs="仿宋"/>
          <w:b/>
          <w:color w:val="000000" w:themeColor="text1"/>
          <w:sz w:val="28"/>
          <w:szCs w:val="28"/>
          <w:highlight w:val="none"/>
          <w14:textFill>
            <w14:solidFill>
              <w14:schemeClr w14:val="tx1"/>
            </w14:solidFill>
          </w14:textFill>
        </w:rPr>
        <w:t>2.</w:t>
      </w:r>
      <w:r>
        <w:rPr>
          <w:rFonts w:hint="eastAsia" w:ascii="宋体" w:hAnsi="宋体" w:eastAsia="宋体" w:cs="仿宋"/>
          <w:b/>
          <w:color w:val="000000" w:themeColor="text1"/>
          <w:sz w:val="28"/>
          <w:szCs w:val="28"/>
          <w:highlight w:val="none"/>
          <w14:textFill>
            <w14:solidFill>
              <w14:schemeClr w14:val="tx1"/>
            </w14:solidFill>
          </w14:textFill>
        </w:rPr>
        <w:t>评标程序</w:t>
      </w:r>
    </w:p>
    <w:p w14:paraId="403FDFD1">
      <w:pPr>
        <w:spacing w:line="520" w:lineRule="exact"/>
        <w:ind w:firstLine="560" w:firstLineChars="200"/>
        <w:rPr>
          <w:rFonts w:hint="eastAsia" w:ascii="宋体" w:hAnsi="宋体" w:eastAsia="宋体" w:cs="仿宋"/>
          <w:color w:val="000000" w:themeColor="text1"/>
          <w:sz w:val="28"/>
          <w:szCs w:val="21"/>
          <w:highlight w:val="none"/>
          <w14:textFill>
            <w14:solidFill>
              <w14:schemeClr w14:val="tx1"/>
            </w14:solidFill>
          </w14:textFill>
        </w:rPr>
      </w:pPr>
      <w:r>
        <w:rPr>
          <w:rFonts w:hint="eastAsia" w:ascii="宋体" w:hAnsi="宋体" w:eastAsia="宋体" w:cs="仿宋"/>
          <w:color w:val="000000" w:themeColor="text1"/>
          <w:sz w:val="28"/>
          <w:szCs w:val="21"/>
          <w:highlight w:val="none"/>
          <w14:textFill>
            <w14:solidFill>
              <w14:schemeClr w14:val="tx1"/>
            </w14:solidFill>
          </w14:textFill>
        </w:rPr>
        <w:t>（1）</w:t>
      </w:r>
      <w:r>
        <w:rPr>
          <w:rFonts w:ascii="宋体" w:hAnsi="宋体" w:eastAsia="宋体" w:cs="仿宋"/>
          <w:color w:val="000000" w:themeColor="text1"/>
          <w:sz w:val="28"/>
          <w:szCs w:val="21"/>
          <w:highlight w:val="none"/>
          <w14:textFill>
            <w14:solidFill>
              <w14:schemeClr w14:val="tx1"/>
            </w14:solidFill>
          </w14:textFill>
        </w:rPr>
        <w:t>核对评审专家身份</w:t>
      </w:r>
      <w:r>
        <w:rPr>
          <w:rFonts w:hint="eastAsia" w:ascii="宋体" w:hAnsi="宋体" w:eastAsia="宋体" w:cs="仿宋"/>
          <w:color w:val="000000" w:themeColor="text1"/>
          <w:sz w:val="28"/>
          <w:szCs w:val="21"/>
          <w:highlight w:val="none"/>
          <w14:textFill>
            <w14:solidFill>
              <w14:schemeClr w14:val="tx1"/>
            </w14:solidFill>
          </w14:textFill>
        </w:rPr>
        <w:t>、招标人代表授权书</w:t>
      </w:r>
      <w:r>
        <w:rPr>
          <w:rFonts w:ascii="宋体" w:hAnsi="宋体" w:eastAsia="宋体" w:cs="仿宋"/>
          <w:color w:val="000000" w:themeColor="text1"/>
          <w:sz w:val="28"/>
          <w:szCs w:val="21"/>
          <w:highlight w:val="none"/>
          <w14:textFill>
            <w14:solidFill>
              <w14:schemeClr w14:val="tx1"/>
            </w14:solidFill>
          </w14:textFill>
        </w:rPr>
        <w:t>；</w:t>
      </w:r>
    </w:p>
    <w:p w14:paraId="6D7A2FF6">
      <w:pPr>
        <w:spacing w:line="520" w:lineRule="exact"/>
        <w:ind w:firstLine="560" w:firstLineChars="200"/>
        <w:rPr>
          <w:rFonts w:hint="eastAsia" w:ascii="宋体" w:hAnsi="宋体" w:eastAsia="宋体" w:cs="仿宋"/>
          <w:color w:val="000000" w:themeColor="text1"/>
          <w:sz w:val="28"/>
          <w:szCs w:val="21"/>
          <w:highlight w:val="none"/>
          <w14:textFill>
            <w14:solidFill>
              <w14:schemeClr w14:val="tx1"/>
            </w14:solidFill>
          </w14:textFill>
        </w:rPr>
      </w:pPr>
      <w:r>
        <w:rPr>
          <w:rFonts w:hint="eastAsia" w:ascii="宋体" w:hAnsi="宋体" w:eastAsia="宋体" w:cs="仿宋"/>
          <w:color w:val="000000" w:themeColor="text1"/>
          <w:sz w:val="28"/>
          <w:szCs w:val="21"/>
          <w:highlight w:val="none"/>
          <w14:textFill>
            <w14:solidFill>
              <w14:schemeClr w14:val="tx1"/>
            </w14:solidFill>
          </w14:textFill>
        </w:rPr>
        <w:t>（2）</w:t>
      </w:r>
      <w:r>
        <w:rPr>
          <w:rFonts w:ascii="宋体" w:hAnsi="宋体" w:eastAsia="宋体" w:cs="仿宋"/>
          <w:color w:val="000000" w:themeColor="text1"/>
          <w:sz w:val="28"/>
          <w:szCs w:val="21"/>
          <w:highlight w:val="none"/>
          <w14:textFill>
            <w14:solidFill>
              <w14:schemeClr w14:val="tx1"/>
            </w14:solidFill>
          </w14:textFill>
        </w:rPr>
        <w:t>宣布评标纪律；</w:t>
      </w:r>
    </w:p>
    <w:p w14:paraId="038EE4CF">
      <w:pPr>
        <w:spacing w:line="520" w:lineRule="exact"/>
        <w:ind w:firstLine="560" w:firstLineChars="200"/>
        <w:rPr>
          <w:rFonts w:hint="eastAsia" w:ascii="宋体" w:hAnsi="宋体" w:eastAsia="宋体" w:cs="仿宋"/>
          <w:color w:val="000000" w:themeColor="text1"/>
          <w:sz w:val="28"/>
          <w:szCs w:val="21"/>
          <w:highlight w:val="none"/>
          <w14:textFill>
            <w14:solidFill>
              <w14:schemeClr w14:val="tx1"/>
            </w14:solidFill>
          </w14:textFill>
        </w:rPr>
      </w:pPr>
      <w:r>
        <w:rPr>
          <w:rFonts w:hint="eastAsia" w:ascii="宋体" w:hAnsi="宋体" w:eastAsia="宋体" w:cs="仿宋"/>
          <w:color w:val="000000" w:themeColor="text1"/>
          <w:sz w:val="28"/>
          <w:szCs w:val="21"/>
          <w:highlight w:val="none"/>
          <w14:textFill>
            <w14:solidFill>
              <w14:schemeClr w14:val="tx1"/>
            </w14:solidFill>
          </w14:textFill>
        </w:rPr>
        <w:t>（3）</w:t>
      </w:r>
      <w:r>
        <w:rPr>
          <w:rFonts w:ascii="宋体" w:hAnsi="宋体" w:eastAsia="宋体" w:cs="仿宋"/>
          <w:color w:val="000000" w:themeColor="text1"/>
          <w:sz w:val="28"/>
          <w:szCs w:val="21"/>
          <w:highlight w:val="none"/>
          <w14:textFill>
            <w14:solidFill>
              <w14:schemeClr w14:val="tx1"/>
            </w14:solidFill>
          </w14:textFill>
        </w:rPr>
        <w:t>公布投标人名单，告知评审专家应当回避的情形；</w:t>
      </w:r>
    </w:p>
    <w:p w14:paraId="1BEC972B">
      <w:pPr>
        <w:spacing w:line="520" w:lineRule="exact"/>
        <w:ind w:firstLine="560" w:firstLineChars="200"/>
        <w:rPr>
          <w:rFonts w:hint="eastAsia" w:ascii="宋体" w:hAnsi="宋体" w:eastAsia="宋体" w:cs="仿宋"/>
          <w:color w:val="000000" w:themeColor="text1"/>
          <w:sz w:val="28"/>
          <w:szCs w:val="21"/>
          <w:highlight w:val="none"/>
          <w14:textFill>
            <w14:solidFill>
              <w14:schemeClr w14:val="tx1"/>
            </w14:solidFill>
          </w14:textFill>
        </w:rPr>
      </w:pPr>
      <w:r>
        <w:rPr>
          <w:rFonts w:hint="eastAsia" w:ascii="宋体" w:hAnsi="宋体" w:eastAsia="宋体" w:cs="仿宋"/>
          <w:color w:val="000000" w:themeColor="text1"/>
          <w:sz w:val="28"/>
          <w:szCs w:val="21"/>
          <w:highlight w:val="none"/>
          <w14:textFill>
            <w14:solidFill>
              <w14:schemeClr w14:val="tx1"/>
            </w14:solidFill>
          </w14:textFill>
        </w:rPr>
        <w:t>（4）</w:t>
      </w:r>
      <w:r>
        <w:rPr>
          <w:rFonts w:ascii="宋体" w:hAnsi="宋体" w:eastAsia="宋体" w:cs="仿宋"/>
          <w:color w:val="000000" w:themeColor="text1"/>
          <w:sz w:val="28"/>
          <w:szCs w:val="21"/>
          <w:highlight w:val="none"/>
          <w14:textFill>
            <w14:solidFill>
              <w14:schemeClr w14:val="tx1"/>
            </w14:solidFill>
          </w14:textFill>
        </w:rPr>
        <w:t>组织评标委员会推选评标组长</w:t>
      </w:r>
      <w:r>
        <w:rPr>
          <w:rFonts w:hint="eastAsia" w:ascii="宋体" w:hAnsi="宋体" w:eastAsia="宋体" w:cs="仿宋"/>
          <w:color w:val="000000" w:themeColor="text1"/>
          <w:sz w:val="28"/>
          <w:szCs w:val="21"/>
          <w:highlight w:val="none"/>
          <w14:textFill>
            <w14:solidFill>
              <w14:schemeClr w14:val="tx1"/>
            </w14:solidFill>
          </w14:textFill>
        </w:rPr>
        <w:t>，招标人代表不得担任评标组长</w:t>
      </w:r>
      <w:r>
        <w:rPr>
          <w:rFonts w:ascii="宋体" w:hAnsi="宋体" w:eastAsia="宋体" w:cs="仿宋"/>
          <w:color w:val="000000" w:themeColor="text1"/>
          <w:sz w:val="28"/>
          <w:szCs w:val="21"/>
          <w:highlight w:val="none"/>
          <w14:textFill>
            <w14:solidFill>
              <w14:schemeClr w14:val="tx1"/>
            </w14:solidFill>
          </w14:textFill>
        </w:rPr>
        <w:t>；</w:t>
      </w:r>
    </w:p>
    <w:p w14:paraId="5E70086A">
      <w:pPr>
        <w:spacing w:line="520" w:lineRule="exact"/>
        <w:ind w:firstLine="560" w:firstLineChars="200"/>
        <w:rPr>
          <w:rFonts w:hint="eastAsia" w:ascii="宋体" w:hAnsi="宋体" w:eastAsia="宋体" w:cs="仿宋"/>
          <w:color w:val="000000" w:themeColor="text1"/>
          <w:sz w:val="28"/>
          <w:szCs w:val="21"/>
          <w:highlight w:val="none"/>
          <w14:textFill>
            <w14:solidFill>
              <w14:schemeClr w14:val="tx1"/>
            </w14:solidFill>
          </w14:textFill>
        </w:rPr>
      </w:pPr>
      <w:r>
        <w:rPr>
          <w:rFonts w:hint="eastAsia" w:ascii="宋体" w:hAnsi="宋体" w:eastAsia="宋体" w:cs="仿宋"/>
          <w:color w:val="000000" w:themeColor="text1"/>
          <w:sz w:val="28"/>
          <w:szCs w:val="21"/>
          <w:highlight w:val="none"/>
          <w14:textFill>
            <w14:solidFill>
              <w14:schemeClr w14:val="tx1"/>
            </w14:solidFill>
          </w14:textFill>
        </w:rPr>
        <w:t>（5）</w:t>
      </w:r>
      <w:r>
        <w:rPr>
          <w:rFonts w:ascii="宋体" w:hAnsi="宋体" w:eastAsia="宋体" w:cs="仿宋"/>
          <w:color w:val="000000" w:themeColor="text1"/>
          <w:sz w:val="28"/>
          <w:szCs w:val="21"/>
          <w:highlight w:val="none"/>
          <w14:textFill>
            <w14:solidFill>
              <w14:schemeClr w14:val="tx1"/>
            </w14:solidFill>
          </w14:textFill>
        </w:rPr>
        <w:t>开标结束后，评标委员会对投标</w:t>
      </w:r>
      <w:r>
        <w:rPr>
          <w:rFonts w:hint="eastAsia" w:ascii="宋体" w:hAnsi="宋体" w:eastAsia="宋体" w:cs="仿宋"/>
          <w:color w:val="000000" w:themeColor="text1"/>
          <w:sz w:val="28"/>
          <w:szCs w:val="21"/>
          <w:highlight w:val="none"/>
          <w14:textFill>
            <w14:solidFill>
              <w14:schemeClr w14:val="tx1"/>
            </w14:solidFill>
          </w14:textFill>
        </w:rPr>
        <w:t>人</w:t>
      </w:r>
      <w:r>
        <w:rPr>
          <w:rFonts w:ascii="宋体" w:hAnsi="宋体" w:eastAsia="宋体" w:cs="仿宋"/>
          <w:color w:val="000000" w:themeColor="text1"/>
          <w:sz w:val="28"/>
          <w:szCs w:val="21"/>
          <w:highlight w:val="none"/>
          <w14:textFill>
            <w14:solidFill>
              <w14:schemeClr w14:val="tx1"/>
            </w14:solidFill>
          </w14:textFill>
        </w:rPr>
        <w:t>的投标文件进行资格性和符合性审查，以确定其是否满足招标文件的实质性要求。</w:t>
      </w:r>
      <w:r>
        <w:rPr>
          <w:rFonts w:hint="eastAsia" w:ascii="宋体" w:hAnsi="宋体" w:eastAsia="宋体" w:cs="仿宋"/>
          <w:color w:val="000000" w:themeColor="text1"/>
          <w:sz w:val="28"/>
          <w:szCs w:val="21"/>
          <w:highlight w:val="none"/>
          <w14:textFill>
            <w14:solidFill>
              <w14:schemeClr w14:val="tx1"/>
            </w14:solidFill>
          </w14:textFill>
        </w:rPr>
        <w:t>详见第二章 《投标须知前附表》</w:t>
      </w:r>
      <w:r>
        <w:rPr>
          <w:rFonts w:ascii="宋体" w:hAnsi="宋体" w:eastAsia="宋体" w:cs="仿宋"/>
          <w:color w:val="000000" w:themeColor="text1"/>
          <w:sz w:val="28"/>
          <w:szCs w:val="21"/>
          <w:highlight w:val="none"/>
          <w14:textFill>
            <w14:solidFill>
              <w14:schemeClr w14:val="tx1"/>
            </w14:solidFill>
          </w14:textFill>
        </w:rPr>
        <w:t>-《实质性条款一览表》中</w:t>
      </w:r>
      <w:r>
        <w:rPr>
          <w:rFonts w:hint="eastAsia" w:ascii="宋体" w:hAnsi="宋体" w:eastAsia="宋体" w:cs="仿宋"/>
          <w:color w:val="000000" w:themeColor="text1"/>
          <w:sz w:val="28"/>
          <w:szCs w:val="21"/>
          <w:highlight w:val="none"/>
          <w14:textFill>
            <w14:solidFill>
              <w14:schemeClr w14:val="tx1"/>
            </w14:solidFill>
          </w14:textFill>
        </w:rPr>
        <w:t>资格性和</w:t>
      </w:r>
      <w:r>
        <w:rPr>
          <w:rFonts w:ascii="宋体" w:hAnsi="宋体" w:eastAsia="宋体" w:cs="仿宋"/>
          <w:color w:val="000000" w:themeColor="text1"/>
          <w:sz w:val="28"/>
          <w:szCs w:val="21"/>
          <w:highlight w:val="none"/>
          <w14:textFill>
            <w14:solidFill>
              <w14:schemeClr w14:val="tx1"/>
            </w14:solidFill>
          </w14:textFill>
        </w:rPr>
        <w:t>符合性检查条款。</w:t>
      </w:r>
    </w:p>
    <w:p w14:paraId="0AFFA267">
      <w:pPr>
        <w:spacing w:line="520" w:lineRule="exact"/>
        <w:ind w:firstLine="560" w:firstLineChars="200"/>
        <w:rPr>
          <w:rFonts w:hint="eastAsia" w:ascii="宋体" w:hAnsi="宋体" w:eastAsia="宋体" w:cs="仿宋"/>
          <w:color w:val="000000" w:themeColor="text1"/>
          <w:sz w:val="28"/>
          <w:szCs w:val="21"/>
          <w:highlight w:val="none"/>
          <w14:textFill>
            <w14:solidFill>
              <w14:schemeClr w14:val="tx1"/>
            </w14:solidFill>
          </w14:textFill>
        </w:rPr>
      </w:pPr>
      <w:r>
        <w:rPr>
          <w:rFonts w:hint="eastAsia" w:ascii="宋体" w:hAnsi="宋体" w:eastAsia="宋体" w:cs="仿宋"/>
          <w:color w:val="000000" w:themeColor="text1"/>
          <w:sz w:val="28"/>
          <w:szCs w:val="21"/>
          <w:highlight w:val="none"/>
          <w14:textFill>
            <w14:solidFill>
              <w14:schemeClr w14:val="tx1"/>
            </w14:solidFill>
          </w14:textFill>
        </w:rPr>
        <w:t>（</w:t>
      </w:r>
      <w:r>
        <w:rPr>
          <w:rFonts w:ascii="宋体" w:hAnsi="宋体" w:eastAsia="宋体" w:cs="仿宋"/>
          <w:color w:val="000000" w:themeColor="text1"/>
          <w:sz w:val="28"/>
          <w:szCs w:val="21"/>
          <w:highlight w:val="none"/>
          <w14:textFill>
            <w14:solidFill>
              <w14:schemeClr w14:val="tx1"/>
            </w14:solidFill>
          </w14:textFill>
        </w:rPr>
        <w:t>6</w:t>
      </w:r>
      <w:r>
        <w:rPr>
          <w:rFonts w:hint="eastAsia" w:ascii="宋体" w:hAnsi="宋体" w:eastAsia="宋体" w:cs="仿宋"/>
          <w:color w:val="000000" w:themeColor="text1"/>
          <w:sz w:val="28"/>
          <w:szCs w:val="21"/>
          <w:highlight w:val="none"/>
          <w14:textFill>
            <w14:solidFill>
              <w14:schemeClr w14:val="tx1"/>
            </w14:solidFill>
          </w14:textFill>
        </w:rPr>
        <w:t>）</w:t>
      </w:r>
      <w:r>
        <w:rPr>
          <w:rFonts w:ascii="宋体" w:hAnsi="宋体" w:eastAsia="宋体" w:cs="仿宋"/>
          <w:color w:val="000000" w:themeColor="text1"/>
          <w:sz w:val="28"/>
          <w:szCs w:val="21"/>
          <w:highlight w:val="none"/>
          <w14:textFill>
            <w14:solidFill>
              <w14:schemeClr w14:val="tx1"/>
            </w14:solidFill>
          </w14:textFill>
        </w:rPr>
        <w:t>属于无效投标的，投标人不能通过修正或撤销投标文件中不符合之处而成为实质性响应的投标，</w:t>
      </w:r>
      <w:r>
        <w:rPr>
          <w:rFonts w:hint="eastAsia" w:ascii="宋体" w:hAnsi="宋体" w:eastAsia="宋体" w:cs="仿宋"/>
          <w:color w:val="000000" w:themeColor="text1"/>
          <w:sz w:val="28"/>
          <w:szCs w:val="21"/>
          <w:highlight w:val="none"/>
          <w14:textFill>
            <w14:solidFill>
              <w14:schemeClr w14:val="tx1"/>
            </w14:solidFill>
          </w14:textFill>
        </w:rPr>
        <w:t>招标</w:t>
      </w:r>
      <w:r>
        <w:rPr>
          <w:rFonts w:ascii="宋体" w:hAnsi="宋体" w:eastAsia="宋体" w:cs="仿宋"/>
          <w:color w:val="000000" w:themeColor="text1"/>
          <w:sz w:val="28"/>
          <w:szCs w:val="21"/>
          <w:highlight w:val="none"/>
          <w14:textFill>
            <w14:solidFill>
              <w14:schemeClr w14:val="tx1"/>
            </w14:solidFill>
          </w14:textFill>
        </w:rPr>
        <w:t>代理将通知投标人，并说明无效投标理由；属于有效投标文件的，将进行下一轮次的询标和澄清、说明或补正。</w:t>
      </w:r>
    </w:p>
    <w:p w14:paraId="0C05FF5F">
      <w:pPr>
        <w:spacing w:line="520" w:lineRule="exact"/>
        <w:ind w:firstLine="562" w:firstLineChars="200"/>
        <w:rPr>
          <w:rFonts w:hint="eastAsia" w:ascii="宋体" w:hAnsi="宋体" w:eastAsia="宋体" w:cs="仿宋"/>
          <w:b/>
          <w:bCs/>
          <w:color w:val="000000" w:themeColor="text1"/>
          <w:sz w:val="28"/>
          <w:szCs w:val="21"/>
          <w:highlight w:val="none"/>
          <w14:textFill>
            <w14:solidFill>
              <w14:schemeClr w14:val="tx1"/>
            </w14:solidFill>
          </w14:textFill>
        </w:rPr>
      </w:pPr>
      <w:r>
        <w:rPr>
          <w:rFonts w:hint="eastAsia" w:ascii="宋体" w:hAnsi="宋体" w:eastAsia="宋体" w:cs="仿宋"/>
          <w:b/>
          <w:bCs/>
          <w:color w:val="000000" w:themeColor="text1"/>
          <w:sz w:val="28"/>
          <w:szCs w:val="21"/>
          <w:highlight w:val="none"/>
          <w14:textFill>
            <w14:solidFill>
              <w14:schemeClr w14:val="tx1"/>
            </w14:solidFill>
          </w14:textFill>
        </w:rPr>
        <w:t>（</w:t>
      </w:r>
      <w:r>
        <w:rPr>
          <w:rFonts w:ascii="宋体" w:hAnsi="宋体" w:eastAsia="宋体" w:cs="仿宋"/>
          <w:b/>
          <w:bCs/>
          <w:color w:val="000000" w:themeColor="text1"/>
          <w:sz w:val="28"/>
          <w:szCs w:val="21"/>
          <w:highlight w:val="none"/>
          <w14:textFill>
            <w14:solidFill>
              <w14:schemeClr w14:val="tx1"/>
            </w14:solidFill>
          </w14:textFill>
        </w:rPr>
        <w:t>7</w:t>
      </w:r>
      <w:r>
        <w:rPr>
          <w:rFonts w:hint="eastAsia" w:ascii="宋体" w:hAnsi="宋体" w:eastAsia="宋体" w:cs="仿宋"/>
          <w:b/>
          <w:bCs/>
          <w:color w:val="000000" w:themeColor="text1"/>
          <w:sz w:val="28"/>
          <w:szCs w:val="21"/>
          <w:highlight w:val="none"/>
          <w14:textFill>
            <w14:solidFill>
              <w14:schemeClr w14:val="tx1"/>
            </w14:solidFill>
          </w14:textFill>
        </w:rPr>
        <w:t>）</w:t>
      </w:r>
      <w:r>
        <w:rPr>
          <w:rFonts w:ascii="宋体" w:hAnsi="宋体" w:eastAsia="宋体" w:cs="仿宋"/>
          <w:b/>
          <w:bCs/>
          <w:color w:val="000000" w:themeColor="text1"/>
          <w:sz w:val="28"/>
          <w:szCs w:val="21"/>
          <w:highlight w:val="none"/>
          <w14:textFill>
            <w14:solidFill>
              <w14:schemeClr w14:val="tx1"/>
            </w14:solidFill>
          </w14:textFill>
        </w:rPr>
        <w:t>澄清、说明或者补正</w:t>
      </w:r>
    </w:p>
    <w:p w14:paraId="5D228A98">
      <w:pPr>
        <w:spacing w:line="520" w:lineRule="exact"/>
        <w:ind w:firstLine="840" w:firstLineChars="300"/>
        <w:rPr>
          <w:rFonts w:hint="eastAsia" w:ascii="宋体" w:hAnsi="宋体" w:eastAsia="宋体" w:cs="仿宋"/>
          <w:color w:val="000000" w:themeColor="text1"/>
          <w:sz w:val="28"/>
          <w:szCs w:val="21"/>
          <w:highlight w:val="none"/>
          <w14:textFill>
            <w14:solidFill>
              <w14:schemeClr w14:val="tx1"/>
            </w14:solidFill>
          </w14:textFill>
        </w:rPr>
      </w:pPr>
      <w:r>
        <w:rPr>
          <w:rFonts w:ascii="宋体" w:hAnsi="宋体" w:eastAsia="宋体" w:cs="仿宋"/>
          <w:color w:val="000000" w:themeColor="text1"/>
          <w:sz w:val="28"/>
          <w:szCs w:val="21"/>
          <w:highlight w:val="none"/>
          <w14:textFill>
            <w14:solidFill>
              <w14:schemeClr w14:val="tx1"/>
            </w14:solidFill>
          </w14:textFill>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112BD412">
      <w:pPr>
        <w:spacing w:line="520" w:lineRule="exact"/>
        <w:ind w:firstLine="840" w:firstLineChars="300"/>
        <w:rPr>
          <w:rFonts w:hint="eastAsia" w:ascii="宋体" w:hAnsi="宋体" w:eastAsia="宋体" w:cs="仿宋"/>
          <w:color w:val="000000" w:themeColor="text1"/>
          <w:sz w:val="28"/>
          <w:szCs w:val="21"/>
          <w:highlight w:val="none"/>
          <w14:textFill>
            <w14:solidFill>
              <w14:schemeClr w14:val="tx1"/>
            </w14:solidFill>
          </w14:textFill>
        </w:rPr>
      </w:pPr>
      <w:r>
        <w:rPr>
          <w:rFonts w:ascii="宋体" w:hAnsi="宋体" w:eastAsia="宋体" w:cs="仿宋"/>
          <w:color w:val="000000" w:themeColor="text1"/>
          <w:sz w:val="28"/>
          <w:szCs w:val="21"/>
          <w:highlight w:val="none"/>
          <w14:textFill>
            <w14:solidFill>
              <w14:schemeClr w14:val="tx1"/>
            </w14:solidFill>
          </w14:textFill>
        </w:rPr>
        <w:t>2）投标人依据评审要求进行澄清、说明或者补正的内容构成投标文件的组成部分。</w:t>
      </w:r>
    </w:p>
    <w:p w14:paraId="59736AC3">
      <w:pPr>
        <w:spacing w:line="520" w:lineRule="exact"/>
        <w:ind w:firstLine="562" w:firstLineChars="200"/>
        <w:rPr>
          <w:rFonts w:hint="eastAsia" w:ascii="宋体" w:hAnsi="宋体" w:eastAsia="宋体" w:cs="仿宋"/>
          <w:b/>
          <w:bCs/>
          <w:color w:val="000000" w:themeColor="text1"/>
          <w:sz w:val="28"/>
          <w:szCs w:val="21"/>
          <w:highlight w:val="none"/>
          <w14:textFill>
            <w14:solidFill>
              <w14:schemeClr w14:val="tx1"/>
            </w14:solidFill>
          </w14:textFill>
        </w:rPr>
      </w:pPr>
      <w:r>
        <w:rPr>
          <w:rFonts w:hint="eastAsia" w:ascii="宋体" w:hAnsi="宋体" w:eastAsia="宋体" w:cs="仿宋"/>
          <w:b/>
          <w:bCs/>
          <w:color w:val="000000" w:themeColor="text1"/>
          <w:sz w:val="28"/>
          <w:szCs w:val="21"/>
          <w:highlight w:val="none"/>
          <w14:textFill>
            <w14:solidFill>
              <w14:schemeClr w14:val="tx1"/>
            </w14:solidFill>
          </w14:textFill>
        </w:rPr>
        <w:t>（</w:t>
      </w:r>
      <w:r>
        <w:rPr>
          <w:rFonts w:ascii="宋体" w:hAnsi="宋体" w:eastAsia="宋体" w:cs="仿宋"/>
          <w:b/>
          <w:bCs/>
          <w:color w:val="000000" w:themeColor="text1"/>
          <w:sz w:val="28"/>
          <w:szCs w:val="21"/>
          <w:highlight w:val="none"/>
          <w14:textFill>
            <w14:solidFill>
              <w14:schemeClr w14:val="tx1"/>
            </w14:solidFill>
          </w14:textFill>
        </w:rPr>
        <w:t>8</w:t>
      </w:r>
      <w:r>
        <w:rPr>
          <w:rFonts w:hint="eastAsia" w:ascii="宋体" w:hAnsi="宋体" w:eastAsia="宋体" w:cs="仿宋"/>
          <w:b/>
          <w:bCs/>
          <w:color w:val="000000" w:themeColor="text1"/>
          <w:sz w:val="28"/>
          <w:szCs w:val="21"/>
          <w:highlight w:val="none"/>
          <w14:textFill>
            <w14:solidFill>
              <w14:schemeClr w14:val="tx1"/>
            </w14:solidFill>
          </w14:textFill>
        </w:rPr>
        <w:t>）</w:t>
      </w:r>
      <w:r>
        <w:rPr>
          <w:rFonts w:ascii="宋体" w:hAnsi="宋体" w:eastAsia="宋体" w:cs="仿宋"/>
          <w:b/>
          <w:bCs/>
          <w:color w:val="000000" w:themeColor="text1"/>
          <w:sz w:val="28"/>
          <w:szCs w:val="21"/>
          <w:highlight w:val="none"/>
          <w14:textFill>
            <w14:solidFill>
              <w14:schemeClr w14:val="tx1"/>
            </w14:solidFill>
          </w14:textFill>
        </w:rPr>
        <w:t>比较与评价</w:t>
      </w:r>
    </w:p>
    <w:p w14:paraId="3BD3ABD5">
      <w:pPr>
        <w:spacing w:line="518" w:lineRule="exact"/>
        <w:ind w:firstLine="548" w:firstLineChars="196"/>
        <w:rPr>
          <w:rFonts w:hint="eastAsia" w:ascii="宋体" w:hAnsi="宋体" w:eastAsia="宋体" w:cs="仿宋_GB2312"/>
          <w:color w:val="000000" w:themeColor="text1"/>
          <w:sz w:val="28"/>
          <w:highlight w:val="none"/>
          <w14:textFill>
            <w14:solidFill>
              <w14:schemeClr w14:val="tx1"/>
            </w14:solidFill>
          </w14:textFill>
        </w:rPr>
      </w:pPr>
      <w:r>
        <w:rPr>
          <w:rFonts w:ascii="宋体" w:hAnsi="宋体" w:eastAsia="宋体" w:cs="仿宋_GB2312"/>
          <w:color w:val="000000" w:themeColor="text1"/>
          <w:sz w:val="28"/>
          <w:highlight w:val="none"/>
          <w14:textFill>
            <w14:solidFill>
              <w14:schemeClr w14:val="tx1"/>
            </w14:solidFill>
          </w14:textFill>
        </w:rPr>
        <w:t>评标委员会按招标文件中规定的评标方法和评标标准对有效投标文件的商务和技术进行评分，综合比较和评价，按综合得分高低列出</w:t>
      </w:r>
      <w:r>
        <w:rPr>
          <w:rFonts w:hint="eastAsia" w:ascii="宋体" w:hAnsi="宋体" w:eastAsia="宋体" w:cs="仿宋_GB2312"/>
          <w:color w:val="000000" w:themeColor="text1"/>
          <w:sz w:val="28"/>
          <w:highlight w:val="none"/>
          <w14:textFill>
            <w14:solidFill>
              <w14:schemeClr w14:val="tx1"/>
            </w14:solidFill>
          </w14:textFill>
        </w:rPr>
        <w:t>3名</w:t>
      </w:r>
      <w:r>
        <w:rPr>
          <w:rFonts w:ascii="宋体" w:hAnsi="宋体" w:eastAsia="宋体" w:cs="仿宋_GB2312"/>
          <w:color w:val="000000" w:themeColor="text1"/>
          <w:sz w:val="28"/>
          <w:highlight w:val="none"/>
          <w14:textFill>
            <w14:solidFill>
              <w14:schemeClr w14:val="tx1"/>
            </w14:solidFill>
          </w14:textFill>
        </w:rPr>
        <w:t>中标候选人排序表。若总分相同，以报价得分高的排前；若总分、报价得分都相同，则以</w:t>
      </w:r>
      <w:r>
        <w:rPr>
          <w:rFonts w:hint="eastAsia" w:ascii="宋体" w:hAnsi="宋体" w:eastAsia="宋体" w:cs="仿宋_GB2312"/>
          <w:color w:val="000000" w:themeColor="text1"/>
          <w:sz w:val="28"/>
          <w:highlight w:val="none"/>
          <w14:textFill>
            <w14:solidFill>
              <w14:schemeClr w14:val="tx1"/>
            </w14:solidFill>
          </w14:textFill>
        </w:rPr>
        <w:t>施工组织设计得分</w:t>
      </w:r>
      <w:r>
        <w:rPr>
          <w:rFonts w:ascii="宋体" w:hAnsi="宋体" w:eastAsia="宋体" w:cs="仿宋_GB2312"/>
          <w:color w:val="000000" w:themeColor="text1"/>
          <w:sz w:val="28"/>
          <w:highlight w:val="none"/>
          <w14:textFill>
            <w14:solidFill>
              <w14:schemeClr w14:val="tx1"/>
            </w14:solidFill>
          </w14:textFill>
        </w:rPr>
        <w:t>高的排前。</w:t>
      </w:r>
    </w:p>
    <w:p w14:paraId="4273E0EC">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w:t>
      </w:r>
      <w:r>
        <w:rPr>
          <w:rFonts w:ascii="宋体" w:hAnsi="宋体" w:eastAsia="宋体" w:cs="仿宋"/>
          <w:b/>
          <w:color w:val="000000" w:themeColor="text1"/>
          <w:sz w:val="28"/>
          <w:szCs w:val="28"/>
          <w:highlight w:val="none"/>
          <w14:textFill>
            <w14:solidFill>
              <w14:schemeClr w14:val="tx1"/>
            </w14:solidFill>
          </w14:textFill>
        </w:rPr>
        <w:t>9</w:t>
      </w:r>
      <w:r>
        <w:rPr>
          <w:rFonts w:hint="eastAsia" w:ascii="宋体" w:hAnsi="宋体" w:eastAsia="宋体" w:cs="仿宋"/>
          <w:b/>
          <w:color w:val="000000" w:themeColor="text1"/>
          <w:sz w:val="28"/>
          <w:szCs w:val="28"/>
          <w:highlight w:val="none"/>
          <w14:textFill>
            <w14:solidFill>
              <w14:schemeClr w14:val="tx1"/>
            </w14:solidFill>
          </w14:textFill>
        </w:rPr>
        <w:t>）出现下列情形之一的，应予废标：</w:t>
      </w:r>
    </w:p>
    <w:p w14:paraId="72888FB4">
      <w:pPr>
        <w:spacing w:line="560" w:lineRule="exact"/>
        <w:ind w:firstLine="842" w:firstLineChars="3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w:t>
      </w:r>
      <w:r>
        <w:rPr>
          <w:rFonts w:hint="eastAsia" w:ascii="宋体" w:hAnsi="宋体" w:eastAsia="宋体" w:cs="仿宋"/>
          <w:color w:val="000000" w:themeColor="text1"/>
          <w:sz w:val="28"/>
          <w:szCs w:val="21"/>
          <w:highlight w:val="none"/>
          <w14:textFill>
            <w14:solidFill>
              <w14:schemeClr w14:val="tx1"/>
            </w14:solidFill>
          </w14:textFill>
        </w:rPr>
        <w:t>合格的投标人或参加投标的企业不足三家的</w:t>
      </w:r>
      <w:r>
        <w:rPr>
          <w:rFonts w:hint="eastAsia" w:ascii="宋体" w:hAnsi="宋体" w:eastAsia="宋体" w:cs="仿宋"/>
          <w:color w:val="000000" w:themeColor="text1"/>
          <w:sz w:val="28"/>
          <w:szCs w:val="28"/>
          <w:highlight w:val="none"/>
          <w14:textFill>
            <w14:solidFill>
              <w14:schemeClr w14:val="tx1"/>
            </w14:solidFill>
          </w14:textFill>
        </w:rPr>
        <w:t>；</w:t>
      </w:r>
    </w:p>
    <w:p w14:paraId="7BFDE1A6">
      <w:pPr>
        <w:spacing w:line="560" w:lineRule="exact"/>
        <w:ind w:firstLine="842" w:firstLineChars="3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2）出现影响招标公正的违法、违规行为的；</w:t>
      </w:r>
    </w:p>
    <w:p w14:paraId="55C6A7D9">
      <w:pPr>
        <w:spacing w:line="560" w:lineRule="exact"/>
        <w:ind w:firstLine="842" w:firstLineChars="3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3）投标报价超过招标文件中规定的招标控制价，招标人不能支付的</w:t>
      </w:r>
    </w:p>
    <w:p w14:paraId="41220420">
      <w:pPr>
        <w:spacing w:line="560" w:lineRule="exact"/>
        <w:ind w:firstLine="842" w:firstLineChars="3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4）因重大变故，招标任务取消的。</w:t>
      </w:r>
    </w:p>
    <w:p w14:paraId="510526BA">
      <w:pPr>
        <w:spacing w:line="560" w:lineRule="exact"/>
        <w:ind w:firstLine="565"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ascii="宋体" w:hAnsi="宋体" w:eastAsia="宋体" w:cs="仿宋"/>
          <w:b/>
          <w:color w:val="000000" w:themeColor="text1"/>
          <w:sz w:val="28"/>
          <w:szCs w:val="28"/>
          <w:highlight w:val="none"/>
          <w14:textFill>
            <w14:solidFill>
              <w14:schemeClr w14:val="tx1"/>
            </w14:solidFill>
          </w14:textFill>
        </w:rPr>
        <w:t>3</w:t>
      </w:r>
      <w:r>
        <w:rPr>
          <w:rFonts w:hint="eastAsia" w:ascii="宋体" w:hAnsi="宋体" w:eastAsia="宋体" w:cs="仿宋"/>
          <w:b/>
          <w:color w:val="000000" w:themeColor="text1"/>
          <w:sz w:val="28"/>
          <w:szCs w:val="28"/>
          <w:highlight w:val="none"/>
          <w14:textFill>
            <w14:solidFill>
              <w14:schemeClr w14:val="tx1"/>
            </w14:solidFill>
          </w14:textFill>
        </w:rPr>
        <w:t>.评标方法：</w:t>
      </w:r>
    </w:p>
    <w:p w14:paraId="4DAB8503">
      <w:pPr>
        <w:spacing w:line="560" w:lineRule="exact"/>
        <w:ind w:firstLine="562" w:firstLineChars="201"/>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Cs/>
          <w:color w:val="000000" w:themeColor="text1"/>
          <w:sz w:val="28"/>
          <w:szCs w:val="28"/>
          <w:highlight w:val="none"/>
          <w14:textFill>
            <w14:solidFill>
              <w14:schemeClr w14:val="tx1"/>
            </w14:solidFill>
          </w14:textFill>
        </w:rPr>
        <w:t>（1）综合评分法，即投标人的投标文件满足招标文件全部实质性要求，对评审因素的量化指标进行打分，按照综合得分由高到低的顺序确定投标人排序。</w:t>
      </w:r>
    </w:p>
    <w:p w14:paraId="325E2E9D">
      <w:pPr>
        <w:spacing w:line="520" w:lineRule="exact"/>
        <w:ind w:firstLine="560" w:firstLineChars="200"/>
        <w:rPr>
          <w:rFonts w:hint="eastAsia" w:ascii="宋体" w:hAnsi="宋体" w:eastAsia="宋体" w:cs="仿宋"/>
          <w:color w:val="000000" w:themeColor="text1"/>
          <w:sz w:val="28"/>
          <w:szCs w:val="21"/>
          <w:highlight w:val="none"/>
          <w14:textFill>
            <w14:solidFill>
              <w14:schemeClr w14:val="tx1"/>
            </w14:solidFill>
          </w14:textFill>
        </w:rPr>
      </w:pPr>
      <w:bookmarkStart w:id="92" w:name="_Hlk191971768"/>
      <w:r>
        <w:rPr>
          <w:rFonts w:hint="eastAsia" w:ascii="宋体" w:hAnsi="宋体" w:eastAsia="宋体" w:cs="仿宋"/>
          <w:color w:val="000000" w:themeColor="text1"/>
          <w:sz w:val="28"/>
          <w:szCs w:val="21"/>
          <w:highlight w:val="none"/>
          <w14:textFill>
            <w14:solidFill>
              <w14:schemeClr w14:val="tx1"/>
            </w14:solidFill>
          </w14:textFill>
        </w:rPr>
        <w:t>（2）评标细则</w:t>
      </w:r>
    </w:p>
    <w:tbl>
      <w:tblPr>
        <w:tblStyle w:val="67"/>
        <w:tblW w:w="937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50"/>
        <w:gridCol w:w="1413"/>
        <w:gridCol w:w="5069"/>
        <w:gridCol w:w="1118"/>
        <w:gridCol w:w="927"/>
      </w:tblGrid>
      <w:tr w14:paraId="60D9A2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shd w:val="clear" w:color="auto" w:fill="D9D9D9"/>
            <w:vAlign w:val="center"/>
          </w:tcPr>
          <w:p w14:paraId="622F1047">
            <w:pPr>
              <w:pStyle w:val="20"/>
              <w:spacing w:line="440" w:lineRule="exact"/>
              <w:ind w:firstLine="0"/>
              <w:jc w:val="center"/>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序号</w:t>
            </w:r>
          </w:p>
        </w:tc>
        <w:tc>
          <w:tcPr>
            <w:tcW w:w="1413" w:type="dxa"/>
            <w:shd w:val="clear" w:color="auto" w:fill="D9D9D9"/>
            <w:vAlign w:val="center"/>
          </w:tcPr>
          <w:p w14:paraId="42906C6D">
            <w:pPr>
              <w:pStyle w:val="20"/>
              <w:spacing w:line="440" w:lineRule="exact"/>
              <w:ind w:firstLine="0"/>
              <w:jc w:val="center"/>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评审因素</w:t>
            </w:r>
          </w:p>
        </w:tc>
        <w:tc>
          <w:tcPr>
            <w:tcW w:w="5069" w:type="dxa"/>
            <w:shd w:val="clear" w:color="auto" w:fill="D9D9D9"/>
            <w:vAlign w:val="center"/>
          </w:tcPr>
          <w:p w14:paraId="399C7C5F">
            <w:pPr>
              <w:pStyle w:val="20"/>
              <w:spacing w:line="440" w:lineRule="exact"/>
              <w:ind w:firstLine="0"/>
              <w:jc w:val="center"/>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评分标准</w:t>
            </w:r>
          </w:p>
        </w:tc>
        <w:tc>
          <w:tcPr>
            <w:tcW w:w="1118" w:type="dxa"/>
            <w:shd w:val="clear" w:color="auto" w:fill="D9D9D9"/>
            <w:vAlign w:val="center"/>
          </w:tcPr>
          <w:p w14:paraId="435C1C22">
            <w:pPr>
              <w:pStyle w:val="20"/>
              <w:spacing w:line="440" w:lineRule="exact"/>
              <w:ind w:firstLine="0"/>
              <w:jc w:val="center"/>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类型</w:t>
            </w:r>
          </w:p>
        </w:tc>
        <w:tc>
          <w:tcPr>
            <w:tcW w:w="927" w:type="dxa"/>
            <w:shd w:val="clear" w:color="auto" w:fill="D9D9D9"/>
            <w:vAlign w:val="center"/>
          </w:tcPr>
          <w:p w14:paraId="3FB0131A">
            <w:pPr>
              <w:pStyle w:val="20"/>
              <w:spacing w:line="440" w:lineRule="exact"/>
              <w:ind w:firstLine="0"/>
              <w:jc w:val="center"/>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分数</w:t>
            </w:r>
          </w:p>
        </w:tc>
      </w:tr>
      <w:tr w14:paraId="135B60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vAlign w:val="center"/>
          </w:tcPr>
          <w:p w14:paraId="18403688">
            <w:pPr>
              <w:pStyle w:val="20"/>
              <w:spacing w:line="440" w:lineRule="exact"/>
              <w:ind w:firstLine="0"/>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w:t>
            </w:r>
          </w:p>
        </w:tc>
        <w:tc>
          <w:tcPr>
            <w:tcW w:w="1413" w:type="dxa"/>
            <w:vAlign w:val="center"/>
          </w:tcPr>
          <w:p w14:paraId="7278BC8C">
            <w:pPr>
              <w:pStyle w:val="20"/>
              <w:spacing w:line="440" w:lineRule="exact"/>
              <w:ind w:firstLine="0"/>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报价</w:t>
            </w:r>
          </w:p>
        </w:tc>
        <w:tc>
          <w:tcPr>
            <w:tcW w:w="5069" w:type="dxa"/>
            <w:vAlign w:val="center"/>
          </w:tcPr>
          <w:p w14:paraId="1CE62918">
            <w:pPr>
              <w:spacing w:line="440" w:lineRule="exact"/>
              <w:ind w:firstLine="560" w:firstLineChars="20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投标报价不得高于招标控制价，否则否决其投标。不能实质性满足招标文件技术要求的报价为无效报价。评委将对确定为实质性响应本招标文件的投标文件进行评审。评审合格的报价为有效报价。投标人投标报价等于投标总报价评标基准价的，得满分65分。投标报价每高于评标基准价1％扣0.3分，每低于1％扣0.15分，最低计至0分，偏离不足1%的，按照插入法计算得分，得分精确到小数点后2位。</w:t>
            </w:r>
          </w:p>
          <w:p w14:paraId="44C3364A">
            <w:pPr>
              <w:spacing w:line="440" w:lineRule="exact"/>
              <w:ind w:firstLine="560" w:firstLineChars="20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评标基准价计算方法：</w:t>
            </w:r>
          </w:p>
          <w:p w14:paraId="1006940C">
            <w:pPr>
              <w:spacing w:line="440" w:lineRule="exact"/>
              <w:ind w:firstLine="560" w:firstLineChars="20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当n（有效投标人个数，以下相同）≤5时，评标基准价=所有投标价的算术平均值；</w:t>
            </w:r>
          </w:p>
          <w:p w14:paraId="676A37B2">
            <w:pPr>
              <w:spacing w:line="440" w:lineRule="exact"/>
              <w:ind w:firstLine="560" w:firstLineChars="20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当5＜n≤9时，评标基准价=所有投标报价中去掉1个最高价、1个最低价后的算术平均值；</w:t>
            </w:r>
          </w:p>
          <w:p w14:paraId="2FA6DC5B">
            <w:pPr>
              <w:pStyle w:val="20"/>
              <w:spacing w:line="440" w:lineRule="exact"/>
              <w:ind w:firstLine="560" w:firstLineChars="20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当n≥10时，评标基准价=所有投标报价中去掉2个最高价、2个最低价后的算术平均值。</w:t>
            </w:r>
          </w:p>
          <w:p w14:paraId="2F60538C">
            <w:pPr>
              <w:spacing w:line="56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投标报价的偏差率计算公式：</w:t>
            </w:r>
          </w:p>
          <w:p w14:paraId="70E78F5D">
            <w:pPr>
              <w:pStyle w:val="20"/>
              <w:spacing w:line="440" w:lineRule="exact"/>
              <w:ind w:firstLine="560" w:firstLineChars="20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偏差率＝100％×（投标人报价-评标基准价）/评标基准价</w:t>
            </w:r>
          </w:p>
        </w:tc>
        <w:tc>
          <w:tcPr>
            <w:tcW w:w="1118" w:type="dxa"/>
            <w:vAlign w:val="center"/>
          </w:tcPr>
          <w:p w14:paraId="7E73CB9B">
            <w:pPr>
              <w:pStyle w:val="20"/>
              <w:spacing w:line="440" w:lineRule="exact"/>
              <w:ind w:firstLine="0"/>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价格</w:t>
            </w:r>
          </w:p>
        </w:tc>
        <w:tc>
          <w:tcPr>
            <w:tcW w:w="927" w:type="dxa"/>
            <w:vAlign w:val="center"/>
          </w:tcPr>
          <w:p w14:paraId="3B56FE02">
            <w:pPr>
              <w:pStyle w:val="20"/>
              <w:spacing w:line="440" w:lineRule="exact"/>
              <w:ind w:firstLine="0"/>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65.00</w:t>
            </w:r>
          </w:p>
        </w:tc>
      </w:tr>
      <w:tr w14:paraId="60D3A3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850" w:type="dxa"/>
            <w:vAlign w:val="center"/>
          </w:tcPr>
          <w:p w14:paraId="3394DD0A">
            <w:pPr>
              <w:pStyle w:val="20"/>
              <w:spacing w:line="440" w:lineRule="exact"/>
              <w:ind w:firstLine="0"/>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w:t>
            </w:r>
          </w:p>
        </w:tc>
        <w:tc>
          <w:tcPr>
            <w:tcW w:w="1413" w:type="dxa"/>
            <w:vAlign w:val="center"/>
          </w:tcPr>
          <w:p w14:paraId="70F0A936">
            <w:pPr>
              <w:pStyle w:val="20"/>
              <w:spacing w:line="440" w:lineRule="exact"/>
              <w:ind w:firstLine="0"/>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企业业绩</w:t>
            </w:r>
          </w:p>
        </w:tc>
        <w:tc>
          <w:tcPr>
            <w:tcW w:w="5069" w:type="dxa"/>
            <w:vAlign w:val="center"/>
          </w:tcPr>
          <w:p w14:paraId="5B9881FD">
            <w:pPr>
              <w:pStyle w:val="20"/>
              <w:spacing w:line="440" w:lineRule="exact"/>
              <w:ind w:firstLine="560" w:firstLineChars="20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投标人自2023年1月1日至今承接的类似项目，每有一项得2.5分，最高得5分。</w:t>
            </w:r>
          </w:p>
          <w:p w14:paraId="04BFAD0B">
            <w:pPr>
              <w:pStyle w:val="20"/>
              <w:spacing w:line="440" w:lineRule="exact"/>
              <w:ind w:firstLine="560" w:firstLineChars="20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备注：</w:t>
            </w:r>
          </w:p>
          <w:p w14:paraId="485E2236">
            <w:pPr>
              <w:pStyle w:val="20"/>
              <w:spacing w:line="440" w:lineRule="exact"/>
              <w:ind w:firstLine="560" w:firstLineChars="20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①类似项目指土石方工程。</w:t>
            </w:r>
          </w:p>
          <w:p w14:paraId="5E5359B1">
            <w:pPr>
              <w:pStyle w:val="20"/>
              <w:spacing w:line="440" w:lineRule="exact"/>
              <w:ind w:firstLine="560" w:firstLineChars="20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②投标文件中须附中标（或成交）通知书及合同扫描件，时间以合同签订时间为准，否则该项不得分。工程名称如不能体现类似业绩，应附已标价工程量清单。</w:t>
            </w:r>
          </w:p>
        </w:tc>
        <w:tc>
          <w:tcPr>
            <w:tcW w:w="1118" w:type="dxa"/>
            <w:vAlign w:val="center"/>
          </w:tcPr>
          <w:p w14:paraId="3EA4C09B">
            <w:pPr>
              <w:pStyle w:val="20"/>
              <w:spacing w:line="440" w:lineRule="exact"/>
              <w:ind w:firstLine="0"/>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商务</w:t>
            </w:r>
          </w:p>
        </w:tc>
        <w:tc>
          <w:tcPr>
            <w:tcW w:w="927" w:type="dxa"/>
            <w:vAlign w:val="center"/>
          </w:tcPr>
          <w:p w14:paraId="517DC3F6">
            <w:pPr>
              <w:pStyle w:val="20"/>
              <w:spacing w:line="440" w:lineRule="exact"/>
              <w:ind w:firstLine="0"/>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5.00</w:t>
            </w:r>
          </w:p>
        </w:tc>
      </w:tr>
      <w:tr w14:paraId="26043B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3230D454">
            <w:pPr>
              <w:pStyle w:val="20"/>
              <w:spacing w:line="440" w:lineRule="exact"/>
              <w:ind w:firstLine="0"/>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w:t>
            </w:r>
          </w:p>
        </w:tc>
        <w:tc>
          <w:tcPr>
            <w:tcW w:w="1413" w:type="dxa"/>
            <w:vAlign w:val="center"/>
          </w:tcPr>
          <w:p w14:paraId="164E648C">
            <w:pPr>
              <w:pStyle w:val="20"/>
              <w:spacing w:line="440" w:lineRule="exact"/>
              <w:ind w:firstLine="0"/>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投标人信用情况</w:t>
            </w:r>
          </w:p>
        </w:tc>
        <w:tc>
          <w:tcPr>
            <w:tcW w:w="5069" w:type="dxa"/>
            <w:vAlign w:val="center"/>
          </w:tcPr>
          <w:p w14:paraId="58741404">
            <w:pPr>
              <w:wordWrap w:val="0"/>
              <w:autoSpaceDE w:val="0"/>
              <w:autoSpaceDN w:val="0"/>
              <w:spacing w:line="440" w:lineRule="exact"/>
              <w:ind w:firstLine="560" w:firstLineChars="20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投标人近一年（从开标日向前推算一年，查询日期不早于招标文件开始获取时间）未发生任何违纪、违规（无行政处罚）情况者得5分，否则得0分。若在招标投标相关领域或工程质量相关领域或工程安全相关领域有行政处罚记录的，每有一条记录在0分的基础上，扣0.5，扣分无下限。</w:t>
            </w:r>
          </w:p>
          <w:p w14:paraId="7830D064">
            <w:pPr>
              <w:pStyle w:val="20"/>
              <w:wordWrap w:val="0"/>
              <w:spacing w:line="440" w:lineRule="exact"/>
              <w:ind w:firstLine="560" w:firstLineChars="20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注：附通过信用中国查询的信用报告（查询网址：https://www.creditchina.gov.cn）或信用中国（山东）查询的信用报告（查询网址：https://credit.shandong.gov.cn）。</w:t>
            </w:r>
          </w:p>
        </w:tc>
        <w:tc>
          <w:tcPr>
            <w:tcW w:w="1118" w:type="dxa"/>
            <w:vAlign w:val="center"/>
          </w:tcPr>
          <w:p w14:paraId="03B77E99">
            <w:pPr>
              <w:pStyle w:val="20"/>
              <w:spacing w:line="440" w:lineRule="exact"/>
              <w:ind w:firstLine="0"/>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商务</w:t>
            </w:r>
          </w:p>
        </w:tc>
        <w:tc>
          <w:tcPr>
            <w:tcW w:w="927" w:type="dxa"/>
            <w:vAlign w:val="center"/>
          </w:tcPr>
          <w:p w14:paraId="31806735">
            <w:pPr>
              <w:pStyle w:val="20"/>
              <w:spacing w:line="440" w:lineRule="exact"/>
              <w:ind w:firstLine="0"/>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5.00</w:t>
            </w:r>
          </w:p>
        </w:tc>
      </w:tr>
      <w:tr w14:paraId="1841C2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0B795E70">
            <w:pPr>
              <w:pStyle w:val="20"/>
              <w:spacing w:line="440" w:lineRule="exact"/>
              <w:ind w:firstLine="0"/>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4</w:t>
            </w:r>
          </w:p>
        </w:tc>
        <w:tc>
          <w:tcPr>
            <w:tcW w:w="1413" w:type="dxa"/>
            <w:vAlign w:val="center"/>
          </w:tcPr>
          <w:p w14:paraId="4A28974C">
            <w:pPr>
              <w:pStyle w:val="20"/>
              <w:spacing w:line="440" w:lineRule="exact"/>
              <w:ind w:firstLine="0"/>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项目管理机构</w:t>
            </w:r>
          </w:p>
        </w:tc>
        <w:tc>
          <w:tcPr>
            <w:tcW w:w="5069" w:type="dxa"/>
            <w:vAlign w:val="center"/>
          </w:tcPr>
          <w:p w14:paraId="124129AF">
            <w:pPr>
              <w:spacing w:line="440" w:lineRule="exact"/>
              <w:ind w:firstLine="560" w:firstLineChars="20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合理配置项目管理班子和现场专业人员，保证具有相应管理、技术等能力的各岗位人员。</w:t>
            </w:r>
          </w:p>
          <w:p w14:paraId="68E8E7B4">
            <w:pPr>
              <w:spacing w:line="440" w:lineRule="exact"/>
              <w:ind w:firstLine="560" w:firstLineChars="20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项目负责人（项目经理）配备必须符合资格要求，否则否决其投标。</w:t>
            </w:r>
          </w:p>
          <w:p w14:paraId="4A0DC905">
            <w:pPr>
              <w:spacing w:line="440" w:lineRule="exact"/>
              <w:ind w:firstLine="560" w:firstLineChars="20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其他</w:t>
            </w:r>
            <w:r>
              <w:rPr>
                <w:rFonts w:hint="eastAsia" w:ascii="宋体" w:hAnsi="宋体" w:eastAsia="宋体" w:cs="仿宋"/>
                <w:color w:val="000000" w:themeColor="text1"/>
                <w:sz w:val="28"/>
                <w:szCs w:val="28"/>
                <w:highlight w:val="none"/>
                <w14:textFill>
                  <w14:solidFill>
                    <w14:schemeClr w14:val="tx1"/>
                  </w14:solidFill>
                </w14:textFill>
              </w:rPr>
              <w:t>项目管理机构人员至少为技术负责人（持工程系列中级及以上职称或与中级职称相当的建设类注册证书）、专职安全员各1人；</w:t>
            </w:r>
          </w:p>
          <w:p w14:paraId="3CB10874">
            <w:pPr>
              <w:spacing w:line="440" w:lineRule="exact"/>
              <w:ind w:firstLine="560" w:firstLineChars="20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项目管理机构人员按以上要求配备齐全，分工明确，不得兼任，得5分，否则不得分。</w:t>
            </w:r>
          </w:p>
          <w:p w14:paraId="6E9E27F3">
            <w:pPr>
              <w:spacing w:line="440" w:lineRule="exact"/>
              <w:ind w:firstLine="560" w:firstLineChars="20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注：1.投标文件中需附相关人员（项目负责人（项目经理）、技术负责人、专职安全员（安全考核合格证C证））有效的证书扫描件。</w:t>
            </w:r>
          </w:p>
          <w:p w14:paraId="446F7F00">
            <w:pPr>
              <w:spacing w:line="440" w:lineRule="exact"/>
              <w:ind w:firstLine="560" w:firstLineChars="20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2.投标文件中需附项目管理机构人员近一个月（开标前两个月中任意一个月，不含开标当月）社保证明。若为退休人员可提供退休及返聘证明材料。未提供或不符合要求，本项不得分。</w:t>
            </w:r>
          </w:p>
          <w:p w14:paraId="4F9898AB">
            <w:pPr>
              <w:spacing w:line="440" w:lineRule="exact"/>
              <w:ind w:firstLine="560" w:firstLineChars="20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3.技术负责人建设类注册证书按山东省人力资源和社会保障厅《关于调整部分专业技术类职业资格和职称对应关系的通知》（鲁人社办发〔2023〕11号）文件执行。</w:t>
            </w:r>
          </w:p>
          <w:p w14:paraId="0468083B">
            <w:pPr>
              <w:spacing w:line="440" w:lineRule="exact"/>
              <w:ind w:firstLine="560" w:firstLineChars="200"/>
              <w:rPr>
                <w:rFonts w:hint="eastAsia"/>
                <w:color w:val="000000" w:themeColor="text1"/>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4.安全员数量配备符合“关于印发《建筑施工企业、工程项目安全生产管理机构设置及安全生产管理人员配备办法》的通知”的要求。</w:t>
            </w:r>
          </w:p>
        </w:tc>
        <w:tc>
          <w:tcPr>
            <w:tcW w:w="1118" w:type="dxa"/>
            <w:vAlign w:val="center"/>
          </w:tcPr>
          <w:p w14:paraId="2610821F">
            <w:pPr>
              <w:pStyle w:val="20"/>
              <w:spacing w:line="440" w:lineRule="exact"/>
              <w:ind w:firstLine="0"/>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商务</w:t>
            </w:r>
          </w:p>
        </w:tc>
        <w:tc>
          <w:tcPr>
            <w:tcW w:w="927" w:type="dxa"/>
            <w:vAlign w:val="center"/>
          </w:tcPr>
          <w:p w14:paraId="625CAC10">
            <w:pPr>
              <w:pStyle w:val="20"/>
              <w:spacing w:line="440" w:lineRule="exact"/>
              <w:ind w:firstLine="0"/>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5.00</w:t>
            </w:r>
          </w:p>
        </w:tc>
      </w:tr>
      <w:tr w14:paraId="01216F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850" w:type="dxa"/>
            <w:vAlign w:val="center"/>
          </w:tcPr>
          <w:p w14:paraId="2DD41B50">
            <w:pPr>
              <w:pStyle w:val="20"/>
              <w:spacing w:line="440" w:lineRule="exact"/>
              <w:ind w:firstLine="0"/>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5</w:t>
            </w:r>
          </w:p>
        </w:tc>
        <w:tc>
          <w:tcPr>
            <w:tcW w:w="1413" w:type="dxa"/>
            <w:vAlign w:val="center"/>
          </w:tcPr>
          <w:p w14:paraId="3D28A5D4">
            <w:pPr>
              <w:pStyle w:val="20"/>
              <w:spacing w:line="440" w:lineRule="exact"/>
              <w:ind w:firstLine="0"/>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施工组织设计</w:t>
            </w:r>
          </w:p>
        </w:tc>
        <w:tc>
          <w:tcPr>
            <w:tcW w:w="5069" w:type="dxa"/>
            <w:vAlign w:val="center"/>
          </w:tcPr>
          <w:p w14:paraId="5B6E80B8">
            <w:pPr>
              <w:pStyle w:val="20"/>
              <w:spacing w:line="440" w:lineRule="exact"/>
              <w:ind w:firstLine="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由评委根据投标人的施工组织设计情况按以下标准每条在0-2分之间进行打分。</w:t>
            </w:r>
          </w:p>
          <w:p w14:paraId="394CF05B">
            <w:pPr>
              <w:pStyle w:val="20"/>
              <w:spacing w:line="440" w:lineRule="exact"/>
              <w:ind w:firstLine="560" w:firstLineChars="20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1.对工程整体有深刻认识，表述清晰完整，施工段划分、临时设施、临时道路、施工总平面图布置设计合理；</w:t>
            </w:r>
          </w:p>
          <w:p w14:paraId="57ADA0E8">
            <w:pPr>
              <w:pStyle w:val="20"/>
              <w:spacing w:line="440" w:lineRule="exact"/>
              <w:ind w:firstLine="560" w:firstLineChars="20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2.施工方案和技术措施合理，对关键工序和关键部位施工具有针对性，措施得力、经济、安全、可行；</w:t>
            </w:r>
          </w:p>
          <w:p w14:paraId="3B02D9EB">
            <w:pPr>
              <w:pStyle w:val="20"/>
              <w:spacing w:line="440" w:lineRule="exact"/>
              <w:ind w:firstLine="560" w:firstLineChars="20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3.有完整的质量保证措施，先进可行，有针对本工程的通病治理措施；</w:t>
            </w:r>
          </w:p>
          <w:p w14:paraId="776EECF3">
            <w:pPr>
              <w:pStyle w:val="20"/>
              <w:spacing w:line="440" w:lineRule="exact"/>
              <w:ind w:firstLine="560" w:firstLineChars="20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4.针对项目实际情况有完整的安全文明措施和应急救援预案，且措施齐全，预案可行；</w:t>
            </w:r>
          </w:p>
          <w:p w14:paraId="75852BA6">
            <w:pPr>
              <w:pStyle w:val="20"/>
              <w:spacing w:line="440" w:lineRule="exact"/>
              <w:ind w:firstLine="560" w:firstLineChars="20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5.环境保护措施安全得力，减少噪音、降低环境污染、扬尘污染防治专项措施 (包括(1）落实扬尘控制措施、落实渣土车运输管控措施等污染控制措施等；(2）对于非道路移动机械低排放控制区内的房屋建筑和市政工程项目，应使用国三及以上排放标准的非道路移动机械等控制措施))、地下管线及其他地上地下设施的保护加固措施等，冬季、雨季施工方案；建筑垃圾减量化目标及措施、建筑垃圾清运；</w:t>
            </w:r>
          </w:p>
          <w:p w14:paraId="10E8656F">
            <w:pPr>
              <w:pStyle w:val="20"/>
              <w:spacing w:line="440" w:lineRule="exact"/>
              <w:ind w:firstLine="560" w:firstLineChars="20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6.绿色建筑、新技术、新产品、新工艺、新材料应用；</w:t>
            </w:r>
          </w:p>
          <w:p w14:paraId="3E881CFB">
            <w:pPr>
              <w:pStyle w:val="20"/>
              <w:spacing w:line="440" w:lineRule="exact"/>
              <w:ind w:firstLine="560" w:firstLineChars="20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7.施工进度计划和进度措施（包括以横道图或标明关键线路的网络进度计划、保障进度计划需要的主要施工机械设备、劳动力需求计划及保证措施、材料设备进场计划及其他保证措施等）；</w:t>
            </w:r>
          </w:p>
          <w:p w14:paraId="06CC91DE">
            <w:pPr>
              <w:pStyle w:val="20"/>
              <w:spacing w:line="440" w:lineRule="exact"/>
              <w:ind w:firstLine="560" w:firstLineChars="20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8.资源配备计划。投入的劳动力、机械设备等计划合理，与进度计划呼应，满足施工需要；</w:t>
            </w:r>
          </w:p>
          <w:p w14:paraId="7104AC77">
            <w:pPr>
              <w:pStyle w:val="20"/>
              <w:spacing w:line="440" w:lineRule="exact"/>
              <w:ind w:firstLine="560" w:firstLineChars="20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9.项目人员配备齐全合理；</w:t>
            </w:r>
          </w:p>
          <w:p w14:paraId="5B59419F">
            <w:pPr>
              <w:pStyle w:val="20"/>
              <w:spacing w:line="440" w:lineRule="exact"/>
              <w:ind w:firstLine="560" w:firstLineChars="20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10成品保护、工程保修制度、总包和分包配合、与发包、分包、监理、设计的配合等。</w:t>
            </w:r>
          </w:p>
        </w:tc>
        <w:tc>
          <w:tcPr>
            <w:tcW w:w="1118" w:type="dxa"/>
            <w:vAlign w:val="center"/>
          </w:tcPr>
          <w:p w14:paraId="0A375C4A">
            <w:pPr>
              <w:pStyle w:val="20"/>
              <w:spacing w:line="440" w:lineRule="exact"/>
              <w:ind w:firstLine="0"/>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技术</w:t>
            </w:r>
          </w:p>
        </w:tc>
        <w:tc>
          <w:tcPr>
            <w:tcW w:w="927" w:type="dxa"/>
            <w:vAlign w:val="center"/>
          </w:tcPr>
          <w:p w14:paraId="08DC291A">
            <w:pPr>
              <w:pStyle w:val="20"/>
              <w:spacing w:line="440" w:lineRule="exact"/>
              <w:ind w:firstLine="0"/>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20.00</w:t>
            </w:r>
          </w:p>
        </w:tc>
      </w:tr>
      <w:bookmarkEnd w:id="92"/>
    </w:tbl>
    <w:p w14:paraId="038A1844">
      <w:pPr>
        <w:spacing w:line="440" w:lineRule="exact"/>
        <w:ind w:firstLine="560" w:firstLineChars="200"/>
        <w:rPr>
          <w:rFonts w:hint="eastAsia" w:ascii="宋体" w:hAnsi="宋体" w:eastAsia="宋体" w:cs="仿宋"/>
          <w:color w:val="000000" w:themeColor="text1"/>
          <w:sz w:val="28"/>
          <w:szCs w:val="21"/>
          <w:highlight w:val="none"/>
          <w14:textFill>
            <w14:solidFill>
              <w14:schemeClr w14:val="tx1"/>
            </w14:solidFill>
          </w14:textFill>
        </w:rPr>
      </w:pPr>
    </w:p>
    <w:p w14:paraId="63D1A1F2">
      <w:pPr>
        <w:spacing w:line="440" w:lineRule="exact"/>
        <w:ind w:firstLine="560" w:firstLineChars="200"/>
        <w:rPr>
          <w:rFonts w:hint="eastAsia" w:ascii="宋体" w:hAnsi="宋体" w:eastAsia="宋体" w:cs="仿宋"/>
          <w:color w:val="000000" w:themeColor="text1"/>
          <w:sz w:val="28"/>
          <w:szCs w:val="21"/>
          <w:highlight w:val="none"/>
          <w14:textFill>
            <w14:solidFill>
              <w14:schemeClr w14:val="tx1"/>
            </w14:solidFill>
          </w14:textFill>
        </w:rPr>
      </w:pPr>
      <w:r>
        <w:rPr>
          <w:rFonts w:hint="eastAsia" w:ascii="宋体" w:hAnsi="宋体" w:eastAsia="宋体" w:cs="仿宋"/>
          <w:color w:val="000000" w:themeColor="text1"/>
          <w:sz w:val="28"/>
          <w:szCs w:val="21"/>
          <w:highlight w:val="none"/>
          <w14:textFill>
            <w14:solidFill>
              <w14:schemeClr w14:val="tx1"/>
            </w14:solidFill>
          </w14:textFill>
        </w:rPr>
        <w:t>注：①本细则只针对有效投标文件予以评分。</w:t>
      </w:r>
    </w:p>
    <w:p w14:paraId="7C3EB86C">
      <w:pPr>
        <w:spacing w:line="520" w:lineRule="exact"/>
        <w:ind w:firstLine="560" w:firstLineChars="200"/>
        <w:rPr>
          <w:rFonts w:hint="eastAsia" w:ascii="宋体" w:hAnsi="宋体" w:eastAsia="宋体" w:cs="仿宋"/>
          <w:color w:val="000000" w:themeColor="text1"/>
          <w:sz w:val="28"/>
          <w:szCs w:val="21"/>
          <w:highlight w:val="none"/>
          <w14:textFill>
            <w14:solidFill>
              <w14:schemeClr w14:val="tx1"/>
            </w14:solidFill>
          </w14:textFill>
        </w:rPr>
      </w:pPr>
      <w:r>
        <w:rPr>
          <w:rFonts w:hint="eastAsia" w:ascii="宋体" w:hAnsi="宋体" w:eastAsia="宋体" w:cs="仿宋"/>
          <w:color w:val="000000" w:themeColor="text1"/>
          <w:sz w:val="28"/>
          <w:szCs w:val="21"/>
          <w:highlight w:val="none"/>
          <w14:textFill>
            <w14:solidFill>
              <w14:schemeClr w14:val="tx1"/>
            </w14:solidFill>
          </w14:textFill>
        </w:rPr>
        <w:t>②计算得分时，四舍五入保留至小数点后二位。</w:t>
      </w:r>
    </w:p>
    <w:p w14:paraId="0D35FC93">
      <w:pPr>
        <w:spacing w:line="520" w:lineRule="exact"/>
        <w:ind w:firstLine="560" w:firstLineChars="200"/>
        <w:rPr>
          <w:rFonts w:hint="eastAsia" w:ascii="宋体" w:hAnsi="宋体" w:eastAsia="宋体" w:cs="仿宋"/>
          <w:color w:val="000000" w:themeColor="text1"/>
          <w:sz w:val="28"/>
          <w:szCs w:val="21"/>
          <w:highlight w:val="none"/>
          <w14:textFill>
            <w14:solidFill>
              <w14:schemeClr w14:val="tx1"/>
            </w14:solidFill>
          </w14:textFill>
        </w:rPr>
      </w:pPr>
      <w:r>
        <w:rPr>
          <w:rFonts w:hint="eastAsia" w:ascii="宋体" w:hAnsi="宋体" w:eastAsia="宋体" w:cs="仿宋"/>
          <w:color w:val="000000" w:themeColor="text1"/>
          <w:sz w:val="28"/>
          <w:szCs w:val="21"/>
          <w:highlight w:val="none"/>
          <w14:textFill>
            <w14:solidFill>
              <w14:schemeClr w14:val="tx1"/>
            </w14:solidFill>
          </w14:textFill>
        </w:rPr>
        <w:t>③汇总各评委打分进行算术平均，计算出各投标人的综合得分。</w:t>
      </w:r>
    </w:p>
    <w:p w14:paraId="6B275842">
      <w:pPr>
        <w:pStyle w:val="5"/>
        <w:rPr>
          <w:rStyle w:val="454"/>
          <w:rFonts w:hint="eastAsia" w:ascii="宋体" w:hAnsi="宋体"/>
          <w:b/>
          <w:bCs/>
          <w:color w:val="000000" w:themeColor="text1"/>
          <w:kern w:val="2"/>
          <w:sz w:val="28"/>
          <w:szCs w:val="32"/>
          <w:highlight w:val="none"/>
          <w14:textFill>
            <w14:solidFill>
              <w14:schemeClr w14:val="tx1"/>
            </w14:solidFill>
          </w14:textFill>
        </w:rPr>
      </w:pPr>
      <w:bookmarkStart w:id="93" w:name="_Toc130891916"/>
      <w:r>
        <w:rPr>
          <w:rStyle w:val="454"/>
          <w:rFonts w:hint="eastAsia" w:ascii="宋体" w:hAnsi="宋体"/>
          <w:b/>
          <w:bCs/>
          <w:color w:val="000000" w:themeColor="text1"/>
          <w:kern w:val="2"/>
          <w:sz w:val="28"/>
          <w:szCs w:val="32"/>
          <w:highlight w:val="none"/>
          <w14:textFill>
            <w14:solidFill>
              <w14:schemeClr w14:val="tx1"/>
            </w14:solidFill>
          </w14:textFill>
        </w:rPr>
        <w:t>三、编写评标报告</w:t>
      </w:r>
      <w:bookmarkEnd w:id="93"/>
    </w:p>
    <w:p w14:paraId="5F71D968">
      <w:pPr>
        <w:spacing w:line="520" w:lineRule="exact"/>
        <w:ind w:firstLine="560" w:firstLineChars="200"/>
        <w:rPr>
          <w:rFonts w:hint="eastAsia" w:ascii="宋体" w:hAnsi="宋体" w:eastAsia="宋体" w:cs="仿宋"/>
          <w:color w:val="000000" w:themeColor="text1"/>
          <w:sz w:val="28"/>
          <w:highlight w:val="none"/>
          <w14:textFill>
            <w14:solidFill>
              <w14:schemeClr w14:val="tx1"/>
            </w14:solidFill>
          </w14:textFill>
        </w:rPr>
      </w:pPr>
      <w:r>
        <w:rPr>
          <w:rFonts w:hint="eastAsia" w:ascii="宋体" w:hAnsi="宋体" w:eastAsia="宋体" w:cs="仿宋"/>
          <w:color w:val="000000" w:themeColor="text1"/>
          <w:sz w:val="28"/>
          <w:szCs w:val="21"/>
          <w:highlight w:val="none"/>
          <w14:textFill>
            <w14:solidFill>
              <w14:schemeClr w14:val="tx1"/>
            </w14:solidFill>
          </w14:textFill>
        </w:rPr>
        <w:t>依据</w:t>
      </w:r>
      <w:r>
        <w:rPr>
          <w:rFonts w:ascii="宋体" w:hAnsi="宋体" w:eastAsia="宋体" w:cs="仿宋"/>
          <w:color w:val="000000" w:themeColor="text1"/>
          <w:sz w:val="28"/>
          <w:highlight w:val="none"/>
          <w14:textFill>
            <w14:solidFill>
              <w14:schemeClr w14:val="tx1"/>
            </w14:solidFill>
          </w14:textFill>
        </w:rPr>
        <w:t>评标委员会</w:t>
      </w:r>
      <w:r>
        <w:rPr>
          <w:rFonts w:hint="eastAsia" w:ascii="宋体" w:hAnsi="宋体" w:eastAsia="宋体" w:cs="仿宋"/>
          <w:color w:val="000000" w:themeColor="text1"/>
          <w:sz w:val="28"/>
          <w:szCs w:val="21"/>
          <w:highlight w:val="none"/>
          <w14:textFill>
            <w14:solidFill>
              <w14:schemeClr w14:val="tx1"/>
            </w14:solidFill>
          </w14:textFill>
        </w:rPr>
        <w:t>签字的原始记录和评标结果，按照规定的内容要求编写评标报告，并由全体评委签名。</w:t>
      </w:r>
    </w:p>
    <w:p w14:paraId="2DAE4752">
      <w:pPr>
        <w:pStyle w:val="5"/>
        <w:rPr>
          <w:rStyle w:val="454"/>
          <w:rFonts w:hint="eastAsia" w:ascii="宋体" w:hAnsi="宋体"/>
          <w:b/>
          <w:bCs/>
          <w:color w:val="000000" w:themeColor="text1"/>
          <w:kern w:val="2"/>
          <w:sz w:val="28"/>
          <w:szCs w:val="32"/>
          <w:highlight w:val="none"/>
          <w14:textFill>
            <w14:solidFill>
              <w14:schemeClr w14:val="tx1"/>
            </w14:solidFill>
          </w14:textFill>
        </w:rPr>
      </w:pPr>
      <w:bookmarkStart w:id="94" w:name="_Toc130891917"/>
      <w:r>
        <w:rPr>
          <w:rStyle w:val="454"/>
          <w:rFonts w:hint="eastAsia" w:ascii="宋体" w:hAnsi="宋体"/>
          <w:b/>
          <w:bCs/>
          <w:color w:val="000000" w:themeColor="text1"/>
          <w:kern w:val="2"/>
          <w:sz w:val="28"/>
          <w:szCs w:val="32"/>
          <w:highlight w:val="none"/>
          <w14:textFill>
            <w14:solidFill>
              <w14:schemeClr w14:val="tx1"/>
            </w14:solidFill>
          </w14:textFill>
        </w:rPr>
        <w:t>四、定标</w:t>
      </w:r>
      <w:bookmarkEnd w:id="94"/>
    </w:p>
    <w:p w14:paraId="11F2D4C8">
      <w:pPr>
        <w:spacing w:line="360" w:lineRule="auto"/>
        <w:ind w:firstLine="482"/>
        <w:rPr>
          <w:rFonts w:hint="eastAsia" w:ascii="宋体" w:hAnsi="宋体" w:eastAsia="宋体" w:cs="仿宋"/>
          <w:color w:val="000000" w:themeColor="text1"/>
          <w:sz w:val="28"/>
          <w:highlight w:val="none"/>
          <w14:textFill>
            <w14:solidFill>
              <w14:schemeClr w14:val="tx1"/>
            </w14:solidFill>
          </w14:textFill>
        </w:rPr>
      </w:pPr>
      <w:r>
        <w:rPr>
          <w:rFonts w:hint="eastAsia" w:ascii="宋体" w:hAnsi="宋体" w:eastAsia="宋体" w:cs="仿宋"/>
          <w:color w:val="000000" w:themeColor="text1"/>
          <w:sz w:val="28"/>
          <w:highlight w:val="none"/>
          <w14:textFill>
            <w14:solidFill>
              <w14:schemeClr w14:val="tx1"/>
            </w14:solidFill>
          </w14:textFill>
        </w:rPr>
        <w:t>1</w:t>
      </w:r>
      <w:r>
        <w:rPr>
          <w:rFonts w:ascii="宋体" w:hAnsi="宋体" w:eastAsia="宋体" w:cs="仿宋"/>
          <w:color w:val="000000" w:themeColor="text1"/>
          <w:sz w:val="28"/>
          <w:highlight w:val="none"/>
          <w14:textFill>
            <w14:solidFill>
              <w14:schemeClr w14:val="tx1"/>
            </w14:solidFill>
          </w14:textFill>
        </w:rPr>
        <w:t>.</w:t>
      </w:r>
      <w:r>
        <w:rPr>
          <w:rFonts w:hint="eastAsia" w:ascii="宋体" w:hAnsi="宋体" w:eastAsia="宋体" w:cs="仿宋"/>
          <w:color w:val="000000" w:themeColor="text1"/>
          <w:sz w:val="28"/>
          <w:highlight w:val="none"/>
          <w14:textFill>
            <w14:solidFill>
              <w14:schemeClr w14:val="tx1"/>
            </w14:solidFill>
          </w14:textFill>
        </w:rPr>
        <w:t>评标委员会根据招标文件载明的评标细则进行综合评审，并按评审后综合得分由高到低进行顺序排列，确定排序前三名为中标候选人。</w:t>
      </w:r>
    </w:p>
    <w:p w14:paraId="2BD9B4C7">
      <w:pPr>
        <w:spacing w:line="360" w:lineRule="auto"/>
        <w:ind w:firstLine="482"/>
        <w:rPr>
          <w:rFonts w:hint="eastAsia" w:ascii="宋体" w:hAnsi="宋体" w:eastAsia="宋体" w:cs="仿宋"/>
          <w:color w:val="000000" w:themeColor="text1"/>
          <w:sz w:val="28"/>
          <w:highlight w:val="none"/>
          <w14:textFill>
            <w14:solidFill>
              <w14:schemeClr w14:val="tx1"/>
            </w14:solidFill>
          </w14:textFill>
        </w:rPr>
      </w:pPr>
      <w:r>
        <w:rPr>
          <w:rFonts w:ascii="宋体" w:hAnsi="宋体" w:eastAsia="宋体" w:cs="仿宋"/>
          <w:color w:val="000000" w:themeColor="text1"/>
          <w:sz w:val="28"/>
          <w:highlight w:val="none"/>
          <w14:textFill>
            <w14:solidFill>
              <w14:schemeClr w14:val="tx1"/>
            </w14:solidFill>
          </w14:textFill>
        </w:rPr>
        <w:t>2</w:t>
      </w:r>
      <w:r>
        <w:rPr>
          <w:rFonts w:hint="eastAsia" w:ascii="宋体" w:hAnsi="宋体" w:eastAsia="宋体" w:cs="仿宋"/>
          <w:color w:val="000000" w:themeColor="text1"/>
          <w:sz w:val="28"/>
          <w:highlight w:val="none"/>
          <w14:textFill>
            <w14:solidFill>
              <w14:schemeClr w14:val="tx1"/>
            </w14:solidFill>
          </w14:textFill>
        </w:rPr>
        <w:t>.</w:t>
      </w:r>
      <w:r>
        <w:rPr>
          <w:rFonts w:ascii="宋体" w:hAnsi="宋体" w:eastAsia="宋体" w:cs="仿宋"/>
          <w:color w:val="000000" w:themeColor="text1"/>
          <w:sz w:val="28"/>
          <w:highlight w:val="none"/>
          <w14:textFill>
            <w14:solidFill>
              <w14:schemeClr w14:val="tx1"/>
            </w14:solidFill>
          </w14:textFill>
        </w:rPr>
        <w:t>评标结束后，公告无异议确定排名第一的</w:t>
      </w:r>
      <w:r>
        <w:rPr>
          <w:rFonts w:hint="eastAsia" w:ascii="宋体" w:hAnsi="宋体" w:eastAsia="宋体" w:cs="仿宋"/>
          <w:color w:val="000000" w:themeColor="text1"/>
          <w:sz w:val="28"/>
          <w:highlight w:val="none"/>
          <w14:textFill>
            <w14:solidFill>
              <w14:schemeClr w14:val="tx1"/>
            </w14:solidFill>
          </w14:textFill>
        </w:rPr>
        <w:t>中标候选人</w:t>
      </w:r>
      <w:r>
        <w:rPr>
          <w:rFonts w:ascii="宋体" w:hAnsi="宋体" w:eastAsia="宋体" w:cs="仿宋"/>
          <w:color w:val="000000" w:themeColor="text1"/>
          <w:sz w:val="28"/>
          <w:highlight w:val="none"/>
          <w14:textFill>
            <w14:solidFill>
              <w14:schemeClr w14:val="tx1"/>
            </w14:solidFill>
          </w14:textFill>
        </w:rPr>
        <w:t>为中标人。如发现中标人存在与招标文件、投标文件不符或弄虚作假等其它违法行为，经</w:t>
      </w:r>
      <w:r>
        <w:rPr>
          <w:rFonts w:hint="eastAsia" w:ascii="宋体" w:hAnsi="宋体" w:eastAsia="宋体" w:cs="仿宋"/>
          <w:color w:val="000000" w:themeColor="text1"/>
          <w:sz w:val="28"/>
          <w:highlight w:val="none"/>
          <w14:textFill>
            <w14:solidFill>
              <w14:schemeClr w14:val="tx1"/>
            </w14:solidFill>
          </w14:textFill>
        </w:rPr>
        <w:t>招标</w:t>
      </w:r>
      <w:r>
        <w:rPr>
          <w:rFonts w:ascii="宋体" w:hAnsi="宋体" w:eastAsia="宋体" w:cs="仿宋"/>
          <w:color w:val="000000" w:themeColor="text1"/>
          <w:sz w:val="28"/>
          <w:highlight w:val="none"/>
          <w14:textFill>
            <w14:solidFill>
              <w14:schemeClr w14:val="tx1"/>
            </w14:solidFill>
          </w14:textFill>
        </w:rPr>
        <w:t>人同意，取消中标人资格，由排名次之的中标，依次类推或重新招标。</w:t>
      </w:r>
    </w:p>
    <w:p w14:paraId="59F91201">
      <w:pPr>
        <w:pStyle w:val="5"/>
        <w:rPr>
          <w:rStyle w:val="454"/>
          <w:rFonts w:hint="eastAsia" w:ascii="宋体" w:hAnsi="宋体"/>
          <w:b/>
          <w:bCs/>
          <w:color w:val="000000" w:themeColor="text1"/>
          <w:kern w:val="2"/>
          <w:sz w:val="28"/>
          <w:szCs w:val="32"/>
          <w:highlight w:val="none"/>
          <w14:textFill>
            <w14:solidFill>
              <w14:schemeClr w14:val="tx1"/>
            </w14:solidFill>
          </w14:textFill>
        </w:rPr>
      </w:pPr>
      <w:bookmarkStart w:id="95" w:name="_Toc130891918"/>
      <w:r>
        <w:rPr>
          <w:rStyle w:val="454"/>
          <w:rFonts w:hint="eastAsia" w:ascii="宋体" w:hAnsi="宋体"/>
          <w:b/>
          <w:bCs/>
          <w:color w:val="000000" w:themeColor="text1"/>
          <w:kern w:val="2"/>
          <w:sz w:val="28"/>
          <w:szCs w:val="32"/>
          <w:highlight w:val="none"/>
          <w14:textFill>
            <w14:solidFill>
              <w14:schemeClr w14:val="tx1"/>
            </w14:solidFill>
          </w14:textFill>
        </w:rPr>
        <w:t>五、结果公告</w:t>
      </w:r>
      <w:bookmarkEnd w:id="95"/>
    </w:p>
    <w:p w14:paraId="433496CA">
      <w:pPr>
        <w:spacing w:line="360" w:lineRule="auto"/>
        <w:ind w:firstLine="482"/>
        <w:rPr>
          <w:rFonts w:hint="eastAsia" w:ascii="宋体" w:hAnsi="宋体" w:eastAsia="宋体"/>
          <w:color w:val="000000" w:themeColor="text1"/>
          <w:highlight w:val="none"/>
          <w14:textFill>
            <w14:solidFill>
              <w14:schemeClr w14:val="tx1"/>
            </w14:solidFill>
          </w14:textFill>
        </w:rPr>
      </w:pPr>
      <w:r>
        <w:rPr>
          <w:rFonts w:ascii="宋体" w:hAnsi="宋体" w:eastAsia="宋体" w:cs="仿宋"/>
          <w:color w:val="000000" w:themeColor="text1"/>
          <w:sz w:val="28"/>
          <w:highlight w:val="none"/>
          <w14:textFill>
            <w14:solidFill>
              <w14:schemeClr w14:val="tx1"/>
            </w14:solidFill>
          </w14:textFill>
        </w:rPr>
        <w:t>招标人应当自定标结束后在招标公告发布媒介发布中标公告。中标公告期限为1个工作日。</w:t>
      </w:r>
    </w:p>
    <w:p w14:paraId="5389A8D6">
      <w:pPr>
        <w:pStyle w:val="5"/>
        <w:rPr>
          <w:rStyle w:val="454"/>
          <w:rFonts w:hint="eastAsia" w:ascii="宋体" w:hAnsi="宋体"/>
          <w:b/>
          <w:bCs/>
          <w:color w:val="000000" w:themeColor="text1"/>
          <w:kern w:val="2"/>
          <w:sz w:val="28"/>
          <w:szCs w:val="32"/>
          <w:highlight w:val="none"/>
          <w14:textFill>
            <w14:solidFill>
              <w14:schemeClr w14:val="tx1"/>
            </w14:solidFill>
          </w14:textFill>
        </w:rPr>
      </w:pPr>
      <w:bookmarkStart w:id="96" w:name="_Toc130891919"/>
      <w:r>
        <w:rPr>
          <w:rStyle w:val="454"/>
          <w:rFonts w:hint="eastAsia" w:ascii="宋体" w:hAnsi="宋体"/>
          <w:b/>
          <w:bCs/>
          <w:color w:val="000000" w:themeColor="text1"/>
          <w:kern w:val="2"/>
          <w:sz w:val="28"/>
          <w:szCs w:val="32"/>
          <w:highlight w:val="none"/>
          <w14:textFill>
            <w14:solidFill>
              <w14:schemeClr w14:val="tx1"/>
            </w14:solidFill>
          </w14:textFill>
        </w:rPr>
        <w:t>六、</w:t>
      </w:r>
      <w:r>
        <w:rPr>
          <w:rStyle w:val="454"/>
          <w:rFonts w:ascii="宋体" w:hAnsi="宋体"/>
          <w:b/>
          <w:bCs/>
          <w:color w:val="000000" w:themeColor="text1"/>
          <w:kern w:val="2"/>
          <w:sz w:val="28"/>
          <w:szCs w:val="32"/>
          <w:highlight w:val="none"/>
          <w14:textFill>
            <w14:solidFill>
              <w14:schemeClr w14:val="tx1"/>
            </w14:solidFill>
          </w14:textFill>
        </w:rPr>
        <w:t>签发中标通知书</w:t>
      </w:r>
      <w:bookmarkEnd w:id="96"/>
    </w:p>
    <w:p w14:paraId="631EF155">
      <w:pPr>
        <w:spacing w:line="560" w:lineRule="exact"/>
        <w:ind w:firstLine="482"/>
        <w:rPr>
          <w:rFonts w:hint="eastAsia" w:ascii="宋体" w:hAnsi="宋体" w:eastAsia="宋体" w:cs="仿宋"/>
          <w:color w:val="000000" w:themeColor="text1"/>
          <w:sz w:val="28"/>
          <w:highlight w:val="none"/>
          <w14:textFill>
            <w14:solidFill>
              <w14:schemeClr w14:val="tx1"/>
            </w14:solidFill>
          </w14:textFill>
        </w:rPr>
      </w:pPr>
      <w:r>
        <w:rPr>
          <w:rFonts w:ascii="宋体" w:hAnsi="宋体" w:eastAsia="宋体" w:cs="仿宋"/>
          <w:color w:val="000000" w:themeColor="text1"/>
          <w:sz w:val="28"/>
          <w:highlight w:val="none"/>
          <w14:textFill>
            <w14:solidFill>
              <w14:schemeClr w14:val="tx1"/>
            </w14:solidFill>
          </w14:textFill>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351D30AE">
      <w:pPr>
        <w:pStyle w:val="5"/>
        <w:rPr>
          <w:rStyle w:val="454"/>
          <w:rFonts w:hint="eastAsia" w:ascii="宋体" w:hAnsi="宋体"/>
          <w:b/>
          <w:bCs/>
          <w:color w:val="000000" w:themeColor="text1"/>
          <w:kern w:val="2"/>
          <w:sz w:val="28"/>
          <w:szCs w:val="32"/>
          <w:highlight w:val="none"/>
          <w14:textFill>
            <w14:solidFill>
              <w14:schemeClr w14:val="tx1"/>
            </w14:solidFill>
          </w14:textFill>
        </w:rPr>
      </w:pPr>
      <w:bookmarkStart w:id="97" w:name="_Toc130891920"/>
      <w:r>
        <w:rPr>
          <w:rStyle w:val="454"/>
          <w:rFonts w:hint="eastAsia" w:ascii="宋体" w:hAnsi="宋体"/>
          <w:b/>
          <w:bCs/>
          <w:color w:val="000000" w:themeColor="text1"/>
          <w:kern w:val="2"/>
          <w:sz w:val="28"/>
          <w:szCs w:val="32"/>
          <w:highlight w:val="none"/>
          <w14:textFill>
            <w14:solidFill>
              <w14:schemeClr w14:val="tx1"/>
            </w14:solidFill>
          </w14:textFill>
        </w:rPr>
        <w:t>七、签订合同</w:t>
      </w:r>
      <w:bookmarkEnd w:id="97"/>
    </w:p>
    <w:p w14:paraId="3BE16525">
      <w:pPr>
        <w:spacing w:line="560" w:lineRule="exact"/>
        <w:ind w:firstLine="482"/>
        <w:rPr>
          <w:rFonts w:hint="eastAsia" w:ascii="宋体" w:hAnsi="宋体" w:eastAsia="宋体" w:cs="仿宋"/>
          <w:color w:val="000000" w:themeColor="text1"/>
          <w:sz w:val="28"/>
          <w:highlight w:val="none"/>
          <w14:textFill>
            <w14:solidFill>
              <w14:schemeClr w14:val="tx1"/>
            </w14:solidFill>
          </w14:textFill>
        </w:rPr>
      </w:pPr>
      <w:r>
        <w:rPr>
          <w:rFonts w:ascii="宋体" w:hAnsi="宋体" w:eastAsia="宋体" w:cs="仿宋"/>
          <w:color w:val="000000" w:themeColor="text1"/>
          <w:sz w:val="28"/>
          <w:highlight w:val="none"/>
          <w14:textFill>
            <w14:solidFill>
              <w14:schemeClr w14:val="tx1"/>
            </w14:solidFill>
          </w14:textFill>
        </w:rPr>
        <w:t>1.中标合同原则以第六章 合同（范本）为基础，并根据响应、答疑情况进行修改补充，自签订之日起生效。</w:t>
      </w:r>
    </w:p>
    <w:p w14:paraId="50F1FF6D">
      <w:pPr>
        <w:spacing w:line="560" w:lineRule="exact"/>
        <w:ind w:firstLine="482"/>
        <w:rPr>
          <w:rFonts w:hint="eastAsia" w:ascii="宋体" w:hAnsi="宋体" w:eastAsia="宋体" w:cs="仿宋"/>
          <w:color w:val="000000" w:themeColor="text1"/>
          <w:sz w:val="28"/>
          <w:highlight w:val="none"/>
          <w14:textFill>
            <w14:solidFill>
              <w14:schemeClr w14:val="tx1"/>
            </w14:solidFill>
          </w14:textFill>
        </w:rPr>
      </w:pPr>
      <w:r>
        <w:rPr>
          <w:rFonts w:ascii="宋体" w:hAnsi="宋体" w:eastAsia="宋体" w:cs="仿宋"/>
          <w:color w:val="000000" w:themeColor="text1"/>
          <w:sz w:val="28"/>
          <w:highlight w:val="none"/>
          <w14:textFill>
            <w14:solidFill>
              <w14:schemeClr w14:val="tx1"/>
            </w14:solidFill>
          </w14:textFill>
        </w:rPr>
        <w:t>2.中标人在规定的期限内无正当理由拒绝签订合同，招标人可以按照评审报告推荐的中标候选人名单排序，确定下一候选人为中标人，也可以重新开展招标活动</w:t>
      </w:r>
      <w:r>
        <w:rPr>
          <w:rFonts w:hint="eastAsia" w:ascii="宋体" w:hAnsi="宋体" w:eastAsia="宋体" w:cs="仿宋"/>
          <w:color w:val="000000" w:themeColor="text1"/>
          <w:sz w:val="28"/>
          <w:highlight w:val="none"/>
          <w14:textFill>
            <w14:solidFill>
              <w14:schemeClr w14:val="tx1"/>
            </w14:solidFill>
          </w14:textFill>
        </w:rPr>
        <w:t>。</w:t>
      </w:r>
    </w:p>
    <w:p w14:paraId="6EE0E145">
      <w:pPr>
        <w:spacing w:line="560" w:lineRule="exact"/>
        <w:ind w:firstLine="482"/>
        <w:rPr>
          <w:rFonts w:hint="eastAsia" w:ascii="宋体" w:hAnsi="宋体" w:eastAsia="宋体" w:cs="仿宋"/>
          <w:color w:val="000000" w:themeColor="text1"/>
          <w:sz w:val="28"/>
          <w:highlight w:val="none"/>
          <w14:textFill>
            <w14:solidFill>
              <w14:schemeClr w14:val="tx1"/>
            </w14:solidFill>
          </w14:textFill>
        </w:rPr>
      </w:pPr>
      <w:r>
        <w:rPr>
          <w:rFonts w:ascii="宋体" w:hAnsi="宋体" w:eastAsia="宋体" w:cs="仿宋"/>
          <w:color w:val="000000" w:themeColor="text1"/>
          <w:sz w:val="28"/>
          <w:highlight w:val="none"/>
          <w14:textFill>
            <w14:solidFill>
              <w14:schemeClr w14:val="tx1"/>
            </w14:solidFill>
          </w14:textFill>
        </w:rPr>
        <w:t>3.</w:t>
      </w:r>
      <w:r>
        <w:rPr>
          <w:rFonts w:ascii="宋体" w:hAnsi="宋体" w:eastAsia="宋体" w:cs="仿宋_GB2312"/>
          <w:color w:val="000000" w:themeColor="text1"/>
          <w:sz w:val="28"/>
          <w:highlight w:val="none"/>
          <w14:textFill>
            <w14:solidFill>
              <w14:schemeClr w14:val="tx1"/>
            </w14:solidFill>
          </w14:textFill>
        </w:rPr>
        <w:t>中标合同，按照</w:t>
      </w:r>
      <w:r>
        <w:rPr>
          <w:rFonts w:hint="eastAsia" w:ascii="宋体" w:hAnsi="宋体" w:eastAsia="宋体" w:cs="仿宋_GB2312"/>
          <w:color w:val="000000" w:themeColor="text1"/>
          <w:sz w:val="28"/>
          <w:highlight w:val="none"/>
          <w14:textFill>
            <w14:solidFill>
              <w14:schemeClr w14:val="tx1"/>
            </w14:solidFill>
          </w14:textFill>
        </w:rPr>
        <w:t>监督部门</w:t>
      </w:r>
      <w:r>
        <w:rPr>
          <w:rFonts w:ascii="宋体" w:hAnsi="宋体" w:eastAsia="宋体" w:cs="仿宋_GB2312"/>
          <w:color w:val="000000" w:themeColor="text1"/>
          <w:sz w:val="28"/>
          <w:highlight w:val="none"/>
          <w14:textFill>
            <w14:solidFill>
              <w14:schemeClr w14:val="tx1"/>
            </w14:solidFill>
          </w14:textFill>
        </w:rPr>
        <w:t>的要求，通过威海市国有企业阳光采购电子化服务平台进行签订</w:t>
      </w:r>
      <w:r>
        <w:rPr>
          <w:rFonts w:ascii="宋体" w:hAnsi="宋体" w:eastAsia="宋体" w:cs="仿宋"/>
          <w:color w:val="000000" w:themeColor="text1"/>
          <w:sz w:val="28"/>
          <w:highlight w:val="none"/>
          <w14:textFill>
            <w14:solidFill>
              <w14:schemeClr w14:val="tx1"/>
            </w14:solidFill>
          </w14:textFill>
        </w:rPr>
        <w:t>。</w:t>
      </w:r>
      <w:bookmarkEnd w:id="87"/>
      <w:bookmarkEnd w:id="88"/>
      <w:bookmarkEnd w:id="89"/>
      <w:bookmarkStart w:id="98" w:name="_Toc130891921"/>
      <w:bookmarkStart w:id="99" w:name="_Toc66864054"/>
    </w:p>
    <w:p w14:paraId="442F0AC1">
      <w:pPr>
        <w:spacing w:line="560" w:lineRule="exact"/>
        <w:ind w:firstLine="482"/>
        <w:rPr>
          <w:rFonts w:hint="eastAsia" w:ascii="宋体" w:hAnsi="宋体" w:eastAsia="宋体" w:cs="仿宋"/>
          <w:b/>
          <w:bCs/>
          <w:color w:val="000000" w:themeColor="text1"/>
          <w:kern w:val="44"/>
          <w:sz w:val="44"/>
          <w:szCs w:val="44"/>
          <w:highlight w:val="none"/>
          <w14:textFill>
            <w14:solidFill>
              <w14:schemeClr w14:val="tx1"/>
            </w14:solidFill>
          </w14:textFill>
        </w:rPr>
      </w:pPr>
      <w:r>
        <w:rPr>
          <w:rFonts w:hint="eastAsia" w:ascii="宋体" w:hAnsi="宋体" w:eastAsia="宋体" w:cs="仿宋"/>
          <w:color w:val="000000" w:themeColor="text1"/>
          <w:highlight w:val="none"/>
          <w14:textFill>
            <w14:solidFill>
              <w14:schemeClr w14:val="tx1"/>
            </w14:solidFill>
          </w14:textFill>
        </w:rPr>
        <w:br w:type="page"/>
      </w:r>
    </w:p>
    <w:p w14:paraId="5BBC5D29">
      <w:pPr>
        <w:pStyle w:val="4"/>
        <w:jc w:val="center"/>
        <w:rPr>
          <w:rFonts w:hint="eastAsia" w:ascii="宋体" w:hAnsi="宋体" w:eastAsia="宋体" w:cs="仿宋"/>
          <w:color w:val="000000" w:themeColor="text1"/>
          <w:highlight w:val="none"/>
          <w14:textFill>
            <w14:solidFill>
              <w14:schemeClr w14:val="tx1"/>
            </w14:solidFill>
          </w14:textFill>
        </w:rPr>
      </w:pPr>
      <w:bookmarkStart w:id="100" w:name="_Hlk218496667"/>
      <w:bookmarkStart w:id="101" w:name="_Hlk219971086"/>
      <w:bookmarkStart w:id="102" w:name="_Hlk192682706"/>
      <w:r>
        <w:rPr>
          <w:rFonts w:hint="eastAsia" w:ascii="宋体" w:hAnsi="宋体" w:eastAsia="宋体" w:cs="仿宋"/>
          <w:color w:val="000000" w:themeColor="text1"/>
          <w:highlight w:val="none"/>
          <w14:textFill>
            <w14:solidFill>
              <w14:schemeClr w14:val="tx1"/>
            </w14:solidFill>
          </w14:textFill>
        </w:rPr>
        <w:t>第四章</w:t>
      </w:r>
      <w:bookmarkStart w:id="103" w:name="_Hlk191971788"/>
      <w:r>
        <w:rPr>
          <w:rFonts w:hint="eastAsia" w:ascii="宋体" w:hAnsi="宋体" w:eastAsia="宋体" w:cs="仿宋"/>
          <w:color w:val="000000" w:themeColor="text1"/>
          <w:highlight w:val="none"/>
          <w14:textFill>
            <w14:solidFill>
              <w14:schemeClr w14:val="tx1"/>
            </w14:solidFill>
          </w14:textFill>
        </w:rPr>
        <w:t xml:space="preserve">  招标项目说明</w:t>
      </w:r>
      <w:bookmarkEnd w:id="98"/>
    </w:p>
    <w:bookmarkEnd w:id="100"/>
    <w:bookmarkEnd w:id="101"/>
    <w:p w14:paraId="644EDFEF">
      <w:pPr>
        <w:pStyle w:val="3"/>
        <w:ind w:left="5250"/>
        <w:jc w:val="left"/>
        <w:rPr>
          <w:rFonts w:hint="eastAsia" w:hAnsi="宋体" w:eastAsia="宋体"/>
          <w:color w:val="000000" w:themeColor="text1"/>
          <w:highlight w:val="none"/>
          <w14:textFill>
            <w14:solidFill>
              <w14:schemeClr w14:val="tx1"/>
            </w14:solidFill>
          </w14:textFill>
        </w:rPr>
      </w:pPr>
    </w:p>
    <w:p w14:paraId="40F1BF32">
      <w:pPr>
        <w:widowControl/>
        <w:adjustRightInd w:val="0"/>
        <w:spacing w:line="560" w:lineRule="exact"/>
        <w:ind w:firstLine="592" w:firstLineChars="200"/>
        <w:jc w:val="left"/>
        <w:rPr>
          <w:rFonts w:hint="eastAsia" w:ascii="宋体" w:hAnsi="宋体" w:eastAsia="宋体" w:cs="仿宋"/>
          <w:bCs/>
          <w:color w:val="000000" w:themeColor="text1"/>
          <w:spacing w:val="8"/>
          <w:kern w:val="0"/>
          <w:sz w:val="28"/>
          <w:szCs w:val="28"/>
          <w:highlight w:val="none"/>
          <w14:textFill>
            <w14:solidFill>
              <w14:schemeClr w14:val="tx1"/>
            </w14:solidFill>
          </w14:textFill>
        </w:rPr>
      </w:pPr>
      <w:r>
        <w:rPr>
          <w:rFonts w:hint="eastAsia" w:ascii="宋体" w:hAnsi="宋体" w:eastAsia="宋体" w:cs="仿宋"/>
          <w:bCs/>
          <w:color w:val="000000" w:themeColor="text1"/>
          <w:spacing w:val="8"/>
          <w:kern w:val="0"/>
          <w:sz w:val="28"/>
          <w:szCs w:val="28"/>
          <w:highlight w:val="none"/>
          <w14:textFill>
            <w14:solidFill>
              <w14:schemeClr w14:val="tx1"/>
            </w14:solidFill>
          </w14:textFill>
        </w:rPr>
        <w:t>1.项目名称：百合路土石方工程专业分包</w:t>
      </w:r>
    </w:p>
    <w:p w14:paraId="1540C62C">
      <w:pPr>
        <w:widowControl/>
        <w:adjustRightInd w:val="0"/>
        <w:spacing w:line="560" w:lineRule="exact"/>
        <w:ind w:firstLine="592" w:firstLineChars="200"/>
        <w:jc w:val="left"/>
        <w:rPr>
          <w:rFonts w:hint="eastAsia" w:ascii="宋体" w:hAnsi="宋体" w:eastAsia="宋体" w:cs="仿宋"/>
          <w:bCs/>
          <w:color w:val="000000" w:themeColor="text1"/>
          <w:spacing w:val="8"/>
          <w:kern w:val="0"/>
          <w:sz w:val="28"/>
          <w:szCs w:val="28"/>
          <w:highlight w:val="none"/>
          <w14:textFill>
            <w14:solidFill>
              <w14:schemeClr w14:val="tx1"/>
            </w14:solidFill>
          </w14:textFill>
        </w:rPr>
      </w:pPr>
      <w:r>
        <w:rPr>
          <w:rFonts w:hint="eastAsia" w:ascii="宋体" w:hAnsi="宋体" w:eastAsia="宋体" w:cs="仿宋"/>
          <w:bCs/>
          <w:color w:val="000000" w:themeColor="text1"/>
          <w:spacing w:val="8"/>
          <w:kern w:val="0"/>
          <w:sz w:val="28"/>
          <w:szCs w:val="28"/>
          <w:highlight w:val="none"/>
          <w14:textFill>
            <w14:solidFill>
              <w14:schemeClr w14:val="tx1"/>
            </w14:solidFill>
          </w14:textFill>
        </w:rPr>
        <w:t>2.项目内容：土石方挖运、回填等，具体详见招标文件。</w:t>
      </w:r>
    </w:p>
    <w:p w14:paraId="70FF33C3">
      <w:pPr>
        <w:widowControl/>
        <w:adjustRightInd w:val="0"/>
        <w:spacing w:line="560" w:lineRule="exact"/>
        <w:ind w:firstLine="592" w:firstLineChars="200"/>
        <w:jc w:val="left"/>
        <w:rPr>
          <w:rFonts w:hint="eastAsia" w:ascii="宋体" w:hAnsi="宋体" w:eastAsia="宋体" w:cs="仿宋"/>
          <w:bCs/>
          <w:color w:val="000000" w:themeColor="text1"/>
          <w:spacing w:val="8"/>
          <w:kern w:val="0"/>
          <w:sz w:val="28"/>
          <w:szCs w:val="28"/>
          <w:highlight w:val="none"/>
          <w14:textFill>
            <w14:solidFill>
              <w14:schemeClr w14:val="tx1"/>
            </w14:solidFill>
          </w14:textFill>
        </w:rPr>
      </w:pPr>
      <w:r>
        <w:rPr>
          <w:rFonts w:hint="eastAsia" w:ascii="宋体" w:hAnsi="宋体" w:eastAsia="宋体" w:cs="仿宋"/>
          <w:bCs/>
          <w:color w:val="000000" w:themeColor="text1"/>
          <w:spacing w:val="8"/>
          <w:kern w:val="0"/>
          <w:sz w:val="28"/>
          <w:szCs w:val="28"/>
          <w:highlight w:val="none"/>
          <w14:textFill>
            <w14:solidFill>
              <w14:schemeClr w14:val="tx1"/>
            </w14:solidFill>
          </w14:textFill>
        </w:rPr>
        <w:t>3.招标控制价：1979929.21元</w:t>
      </w:r>
    </w:p>
    <w:p w14:paraId="0971BF5F">
      <w:pPr>
        <w:widowControl/>
        <w:adjustRightInd w:val="0"/>
        <w:spacing w:line="560" w:lineRule="exact"/>
        <w:ind w:firstLine="592" w:firstLineChars="200"/>
        <w:jc w:val="left"/>
        <w:rPr>
          <w:rFonts w:hint="eastAsia" w:ascii="宋体" w:hAnsi="宋体" w:eastAsia="宋体" w:cs="仿宋"/>
          <w:bCs/>
          <w:color w:val="000000" w:themeColor="text1"/>
          <w:spacing w:val="8"/>
          <w:kern w:val="0"/>
          <w:sz w:val="28"/>
          <w:szCs w:val="28"/>
          <w:highlight w:val="none"/>
          <w14:textFill>
            <w14:solidFill>
              <w14:schemeClr w14:val="tx1"/>
            </w14:solidFill>
          </w14:textFill>
        </w:rPr>
      </w:pPr>
      <w:r>
        <w:rPr>
          <w:rFonts w:hint="eastAsia" w:ascii="宋体" w:hAnsi="宋体" w:eastAsia="宋体" w:cs="仿宋"/>
          <w:bCs/>
          <w:color w:val="000000" w:themeColor="text1"/>
          <w:spacing w:val="8"/>
          <w:kern w:val="0"/>
          <w:sz w:val="28"/>
          <w:szCs w:val="28"/>
          <w:highlight w:val="none"/>
          <w14:textFill>
            <w14:solidFill>
              <w14:schemeClr w14:val="tx1"/>
            </w14:solidFill>
          </w14:textFill>
        </w:rPr>
        <w:t>4.计划工期：60天</w:t>
      </w:r>
    </w:p>
    <w:p w14:paraId="6BC758FB">
      <w:pPr>
        <w:widowControl/>
        <w:adjustRightInd w:val="0"/>
        <w:spacing w:line="560" w:lineRule="exact"/>
        <w:ind w:firstLine="592" w:firstLineChars="200"/>
        <w:jc w:val="left"/>
        <w:rPr>
          <w:rFonts w:hint="eastAsia" w:ascii="宋体" w:hAnsi="宋体" w:eastAsia="宋体" w:cs="仿宋"/>
          <w:bCs/>
          <w:color w:val="000000" w:themeColor="text1"/>
          <w:spacing w:val="8"/>
          <w:kern w:val="0"/>
          <w:sz w:val="28"/>
          <w:szCs w:val="28"/>
          <w:highlight w:val="none"/>
          <w14:textFill>
            <w14:solidFill>
              <w14:schemeClr w14:val="tx1"/>
            </w14:solidFill>
          </w14:textFill>
        </w:rPr>
      </w:pPr>
      <w:r>
        <w:rPr>
          <w:rFonts w:hint="eastAsia" w:ascii="宋体" w:hAnsi="宋体" w:eastAsia="宋体" w:cs="仿宋"/>
          <w:bCs/>
          <w:color w:val="000000" w:themeColor="text1"/>
          <w:spacing w:val="8"/>
          <w:kern w:val="0"/>
          <w:sz w:val="28"/>
          <w:szCs w:val="28"/>
          <w:highlight w:val="none"/>
          <w14:textFill>
            <w14:solidFill>
              <w14:schemeClr w14:val="tx1"/>
            </w14:solidFill>
          </w14:textFill>
        </w:rPr>
        <w:t>5.质保期：2年</w:t>
      </w:r>
    </w:p>
    <w:p w14:paraId="59AD7B3C">
      <w:pPr>
        <w:widowControl/>
        <w:adjustRightInd w:val="0"/>
        <w:spacing w:line="560" w:lineRule="exact"/>
        <w:ind w:firstLine="592" w:firstLineChars="200"/>
        <w:jc w:val="left"/>
        <w:rPr>
          <w:rFonts w:hint="eastAsia" w:ascii="宋体" w:hAnsi="宋体" w:eastAsia="宋体" w:cs="仿宋"/>
          <w:bCs/>
          <w:color w:val="000000" w:themeColor="text1"/>
          <w:spacing w:val="8"/>
          <w:kern w:val="0"/>
          <w:sz w:val="28"/>
          <w:szCs w:val="28"/>
          <w:highlight w:val="none"/>
          <w14:textFill>
            <w14:solidFill>
              <w14:schemeClr w14:val="tx1"/>
            </w14:solidFill>
          </w14:textFill>
        </w:rPr>
      </w:pPr>
      <w:r>
        <w:rPr>
          <w:rFonts w:hint="eastAsia" w:ascii="宋体" w:hAnsi="宋体" w:eastAsia="宋体" w:cs="仿宋"/>
          <w:bCs/>
          <w:color w:val="000000" w:themeColor="text1"/>
          <w:spacing w:val="8"/>
          <w:kern w:val="0"/>
          <w:sz w:val="28"/>
          <w:szCs w:val="28"/>
          <w:highlight w:val="none"/>
          <w14:textFill>
            <w14:solidFill>
              <w14:schemeClr w14:val="tx1"/>
            </w14:solidFill>
          </w14:textFill>
        </w:rPr>
        <w:t>6.质量标准：达到国家验收规范合格标准。</w:t>
      </w:r>
    </w:p>
    <w:p w14:paraId="6F5D95EB">
      <w:pPr>
        <w:widowControl/>
        <w:jc w:val="left"/>
        <w:rPr>
          <w:rFonts w:hint="eastAsia" w:ascii="宋体" w:hAnsi="宋体" w:eastAsia="宋体"/>
          <w:color w:val="000000" w:themeColor="text1"/>
          <w:kern w:val="0"/>
          <w:sz w:val="24"/>
          <w:highlight w:val="none"/>
          <w14:textFill>
            <w14:solidFill>
              <w14:schemeClr w14:val="tx1"/>
            </w14:solidFill>
          </w14:textFill>
        </w:rPr>
      </w:pPr>
      <w:r>
        <w:rPr>
          <w:rFonts w:hint="eastAsia" w:ascii="宋体" w:hAnsi="宋体" w:eastAsia="宋体"/>
          <w:color w:val="000000" w:themeColor="text1"/>
          <w:highlight w:val="none"/>
          <w14:textFill>
            <w14:solidFill>
              <w14:schemeClr w14:val="tx1"/>
            </w14:solidFill>
          </w14:textFill>
        </w:rPr>
        <w:br w:type="page"/>
      </w:r>
    </w:p>
    <w:p w14:paraId="744D5280">
      <w:pPr>
        <w:widowControl/>
        <w:adjustRightInd w:val="0"/>
        <w:spacing w:line="560" w:lineRule="exact"/>
        <w:ind w:firstLine="592" w:firstLineChars="200"/>
        <w:jc w:val="left"/>
        <w:rPr>
          <w:rFonts w:hint="eastAsia" w:ascii="宋体" w:hAnsi="宋体" w:eastAsia="宋体" w:cs="仿宋"/>
          <w:bCs/>
          <w:color w:val="000000" w:themeColor="text1"/>
          <w:spacing w:val="8"/>
          <w:kern w:val="0"/>
          <w:sz w:val="28"/>
          <w:szCs w:val="28"/>
          <w:highlight w:val="none"/>
          <w14:textFill>
            <w14:solidFill>
              <w14:schemeClr w14:val="tx1"/>
            </w14:solidFill>
          </w14:textFill>
        </w:rPr>
      </w:pPr>
      <w:r>
        <w:rPr>
          <w:rFonts w:hint="eastAsia" w:ascii="宋体" w:hAnsi="宋体" w:eastAsia="宋体" w:cs="仿宋"/>
          <w:bCs/>
          <w:color w:val="000000" w:themeColor="text1"/>
          <w:spacing w:val="8"/>
          <w:kern w:val="0"/>
          <w:sz w:val="28"/>
          <w:szCs w:val="28"/>
          <w:highlight w:val="none"/>
          <w14:textFill>
            <w14:solidFill>
              <w14:schemeClr w14:val="tx1"/>
            </w14:solidFill>
          </w14:textFill>
        </w:rPr>
        <w:t>7.工程量清单：</w:t>
      </w:r>
    </w:p>
    <w:tbl>
      <w:tblPr>
        <w:tblStyle w:val="67"/>
        <w:tblW w:w="9356" w:type="dxa"/>
        <w:tblInd w:w="0" w:type="dxa"/>
        <w:tblLayout w:type="autofit"/>
        <w:tblCellMar>
          <w:top w:w="0" w:type="dxa"/>
          <w:left w:w="108" w:type="dxa"/>
          <w:bottom w:w="0" w:type="dxa"/>
          <w:right w:w="108" w:type="dxa"/>
        </w:tblCellMar>
      </w:tblPr>
      <w:tblGrid>
        <w:gridCol w:w="401"/>
        <w:gridCol w:w="4320"/>
        <w:gridCol w:w="553"/>
        <w:gridCol w:w="1026"/>
        <w:gridCol w:w="900"/>
        <w:gridCol w:w="1180"/>
        <w:gridCol w:w="976"/>
      </w:tblGrid>
      <w:tr w14:paraId="515EDDF7">
        <w:tblPrEx>
          <w:tblCellMar>
            <w:top w:w="0" w:type="dxa"/>
            <w:left w:w="108" w:type="dxa"/>
            <w:bottom w:w="0" w:type="dxa"/>
            <w:right w:w="108" w:type="dxa"/>
          </w:tblCellMar>
        </w:tblPrEx>
        <w:trPr>
          <w:trHeight w:val="540" w:hRule="atLeast"/>
        </w:trPr>
        <w:tc>
          <w:tcPr>
            <w:tcW w:w="9356" w:type="dxa"/>
            <w:gridSpan w:val="7"/>
            <w:tcBorders>
              <w:top w:val="nil"/>
              <w:left w:val="nil"/>
              <w:bottom w:val="nil"/>
              <w:right w:val="nil"/>
            </w:tcBorders>
            <w:vAlign w:val="center"/>
          </w:tcPr>
          <w:p w14:paraId="5562FBB3">
            <w:pPr>
              <w:widowControl/>
              <w:jc w:val="center"/>
              <w:rPr>
                <w:rFonts w:hint="eastAsia" w:ascii="宋体" w:hAnsi="宋体" w:eastAsia="宋体" w:cs="Arial"/>
                <w:b/>
                <w:bCs/>
                <w:color w:val="000000" w:themeColor="text1"/>
                <w:kern w:val="0"/>
                <w:sz w:val="26"/>
                <w:szCs w:val="26"/>
                <w:highlight w:val="none"/>
                <w14:textFill>
                  <w14:solidFill>
                    <w14:schemeClr w14:val="tx1"/>
                  </w14:solidFill>
                </w14:textFill>
              </w:rPr>
            </w:pPr>
            <w:r>
              <w:rPr>
                <w:rFonts w:hint="eastAsia" w:ascii="宋体" w:hAnsi="宋体" w:eastAsia="宋体" w:cs="Arial"/>
                <w:b/>
                <w:bCs/>
                <w:color w:val="000000" w:themeColor="text1"/>
                <w:kern w:val="0"/>
                <w:sz w:val="26"/>
                <w:szCs w:val="26"/>
                <w:highlight w:val="none"/>
                <w14:textFill>
                  <w14:solidFill>
                    <w14:schemeClr w14:val="tx1"/>
                  </w14:solidFill>
                </w14:textFill>
              </w:rPr>
              <w:t>百合路土石方工程专业分包</w:t>
            </w:r>
            <w:r>
              <w:rPr>
                <w:rFonts w:hint="eastAsia" w:ascii="宋体" w:hAnsi="宋体" w:eastAsia="宋体" w:cs="Arial"/>
                <w:b/>
                <w:bCs/>
                <w:color w:val="000000" w:themeColor="text1"/>
                <w:kern w:val="0"/>
                <w:sz w:val="26"/>
                <w:szCs w:val="26"/>
                <w:highlight w:val="none"/>
                <w14:textFill>
                  <w14:solidFill>
                    <w14:schemeClr w14:val="tx1"/>
                  </w14:solidFill>
                </w14:textFill>
              </w:rPr>
              <w:t>报价表</w:t>
            </w:r>
          </w:p>
        </w:tc>
      </w:tr>
      <w:tr w14:paraId="4955E540">
        <w:tblPrEx>
          <w:tblCellMar>
            <w:top w:w="0" w:type="dxa"/>
            <w:left w:w="108" w:type="dxa"/>
            <w:bottom w:w="0" w:type="dxa"/>
            <w:right w:w="108" w:type="dxa"/>
          </w:tblCellMar>
        </w:tblPrEx>
        <w:trPr>
          <w:trHeight w:val="255" w:hRule="atLeast"/>
        </w:trPr>
        <w:tc>
          <w:tcPr>
            <w:tcW w:w="401" w:type="dxa"/>
            <w:vMerge w:val="restart"/>
            <w:tcBorders>
              <w:top w:val="single" w:color="auto" w:sz="4" w:space="0"/>
              <w:left w:val="single" w:color="auto" w:sz="4" w:space="0"/>
              <w:bottom w:val="single" w:color="auto" w:sz="4" w:space="0"/>
              <w:right w:val="single" w:color="auto" w:sz="4" w:space="0"/>
            </w:tcBorders>
            <w:vAlign w:val="center"/>
          </w:tcPr>
          <w:p w14:paraId="3F7621B3">
            <w:pPr>
              <w:widowControl/>
              <w:spacing w:line="400" w:lineRule="exact"/>
              <w:jc w:val="center"/>
              <w:rPr>
                <w:rFonts w:hint="eastAsia" w:ascii="宋体" w:hAnsi="宋体" w:eastAsia="宋体" w:cs="Arial"/>
                <w:b/>
                <w:bCs/>
                <w:color w:val="000000" w:themeColor="text1"/>
                <w:kern w:val="0"/>
                <w:sz w:val="16"/>
                <w:szCs w:val="16"/>
                <w:highlight w:val="none"/>
                <w14:textFill>
                  <w14:solidFill>
                    <w14:schemeClr w14:val="tx1"/>
                  </w14:solidFill>
                </w14:textFill>
              </w:rPr>
            </w:pPr>
            <w:r>
              <w:rPr>
                <w:rFonts w:hint="eastAsia" w:ascii="宋体" w:hAnsi="宋体" w:eastAsia="宋体" w:cs="Arial"/>
                <w:b/>
                <w:bCs/>
                <w:color w:val="000000" w:themeColor="text1"/>
                <w:kern w:val="0"/>
                <w:sz w:val="16"/>
                <w:szCs w:val="16"/>
                <w:highlight w:val="none"/>
                <w14:textFill>
                  <w14:solidFill>
                    <w14:schemeClr w14:val="tx1"/>
                  </w14:solidFill>
                </w14:textFill>
              </w:rPr>
              <w:t>序号</w:t>
            </w:r>
          </w:p>
        </w:tc>
        <w:tc>
          <w:tcPr>
            <w:tcW w:w="4320" w:type="dxa"/>
            <w:vMerge w:val="restart"/>
            <w:tcBorders>
              <w:top w:val="single" w:color="auto" w:sz="4" w:space="0"/>
              <w:left w:val="single" w:color="auto" w:sz="4" w:space="0"/>
              <w:bottom w:val="single" w:color="auto" w:sz="4" w:space="0"/>
              <w:right w:val="single" w:color="auto" w:sz="4" w:space="0"/>
            </w:tcBorders>
            <w:vAlign w:val="center"/>
          </w:tcPr>
          <w:p w14:paraId="31F7A91E">
            <w:pPr>
              <w:widowControl/>
              <w:spacing w:line="400" w:lineRule="exact"/>
              <w:jc w:val="center"/>
              <w:rPr>
                <w:rFonts w:hint="eastAsia" w:ascii="宋体" w:hAnsi="宋体" w:eastAsia="宋体" w:cs="Arial"/>
                <w:b/>
                <w:bCs/>
                <w:color w:val="000000" w:themeColor="text1"/>
                <w:kern w:val="0"/>
                <w:sz w:val="16"/>
                <w:szCs w:val="16"/>
                <w:highlight w:val="none"/>
                <w14:textFill>
                  <w14:solidFill>
                    <w14:schemeClr w14:val="tx1"/>
                  </w14:solidFill>
                </w14:textFill>
              </w:rPr>
            </w:pPr>
            <w:r>
              <w:rPr>
                <w:rFonts w:hint="eastAsia" w:ascii="宋体" w:hAnsi="宋体" w:eastAsia="宋体" w:cs="Arial"/>
                <w:b/>
                <w:bCs/>
                <w:color w:val="000000" w:themeColor="text1"/>
                <w:kern w:val="0"/>
                <w:sz w:val="16"/>
                <w:szCs w:val="16"/>
                <w:highlight w:val="none"/>
                <w14:textFill>
                  <w14:solidFill>
                    <w14:schemeClr w14:val="tx1"/>
                  </w14:solidFill>
                </w14:textFill>
              </w:rPr>
              <w:t>项目名称</w:t>
            </w:r>
            <w:r>
              <w:rPr>
                <w:rFonts w:hint="eastAsia" w:ascii="宋体" w:hAnsi="宋体" w:eastAsia="宋体" w:cs="Arial"/>
                <w:b/>
                <w:bCs/>
                <w:color w:val="000000" w:themeColor="text1"/>
                <w:kern w:val="0"/>
                <w:sz w:val="16"/>
                <w:szCs w:val="16"/>
                <w:highlight w:val="none"/>
                <w14:textFill>
                  <w14:solidFill>
                    <w14:schemeClr w14:val="tx1"/>
                  </w14:solidFill>
                </w14:textFill>
              </w:rPr>
              <w:br w:type="textWrapping"/>
            </w:r>
            <w:r>
              <w:rPr>
                <w:rFonts w:hint="eastAsia" w:ascii="宋体" w:hAnsi="宋体" w:eastAsia="宋体" w:cs="Arial"/>
                <w:b/>
                <w:bCs/>
                <w:color w:val="000000" w:themeColor="text1"/>
                <w:kern w:val="0"/>
                <w:sz w:val="16"/>
                <w:szCs w:val="16"/>
                <w:highlight w:val="none"/>
                <w14:textFill>
                  <w14:solidFill>
                    <w14:schemeClr w14:val="tx1"/>
                  </w14:solidFill>
                </w14:textFill>
              </w:rPr>
              <w:t>项目特征</w:t>
            </w:r>
          </w:p>
        </w:tc>
        <w:tc>
          <w:tcPr>
            <w:tcW w:w="553" w:type="dxa"/>
            <w:vMerge w:val="restart"/>
            <w:tcBorders>
              <w:top w:val="single" w:color="auto" w:sz="4" w:space="0"/>
              <w:left w:val="single" w:color="auto" w:sz="4" w:space="0"/>
              <w:bottom w:val="single" w:color="auto" w:sz="4" w:space="0"/>
              <w:right w:val="single" w:color="auto" w:sz="4" w:space="0"/>
            </w:tcBorders>
            <w:vAlign w:val="center"/>
          </w:tcPr>
          <w:p w14:paraId="051FBC9E">
            <w:pPr>
              <w:widowControl/>
              <w:spacing w:line="400" w:lineRule="exact"/>
              <w:jc w:val="center"/>
              <w:rPr>
                <w:rFonts w:hint="eastAsia" w:ascii="宋体" w:hAnsi="宋体" w:eastAsia="宋体" w:cs="Arial"/>
                <w:b/>
                <w:bCs/>
                <w:color w:val="000000" w:themeColor="text1"/>
                <w:kern w:val="0"/>
                <w:sz w:val="16"/>
                <w:szCs w:val="16"/>
                <w:highlight w:val="none"/>
                <w14:textFill>
                  <w14:solidFill>
                    <w14:schemeClr w14:val="tx1"/>
                  </w14:solidFill>
                </w14:textFill>
              </w:rPr>
            </w:pPr>
            <w:r>
              <w:rPr>
                <w:rFonts w:hint="eastAsia" w:ascii="宋体" w:hAnsi="宋体" w:eastAsia="宋体" w:cs="Arial"/>
                <w:b/>
                <w:bCs/>
                <w:color w:val="000000" w:themeColor="text1"/>
                <w:kern w:val="0"/>
                <w:sz w:val="16"/>
                <w:szCs w:val="16"/>
                <w:highlight w:val="none"/>
                <w14:textFill>
                  <w14:solidFill>
                    <w14:schemeClr w14:val="tx1"/>
                  </w14:solidFill>
                </w14:textFill>
              </w:rPr>
              <w:t>计量</w:t>
            </w:r>
            <w:r>
              <w:rPr>
                <w:rFonts w:hint="eastAsia" w:ascii="宋体" w:hAnsi="宋体" w:eastAsia="宋体" w:cs="Arial"/>
                <w:b/>
                <w:bCs/>
                <w:color w:val="000000" w:themeColor="text1"/>
                <w:kern w:val="0"/>
                <w:sz w:val="16"/>
                <w:szCs w:val="16"/>
                <w:highlight w:val="none"/>
                <w14:textFill>
                  <w14:solidFill>
                    <w14:schemeClr w14:val="tx1"/>
                  </w14:solidFill>
                </w14:textFill>
              </w:rPr>
              <w:br w:type="textWrapping"/>
            </w:r>
            <w:r>
              <w:rPr>
                <w:rFonts w:hint="eastAsia" w:ascii="宋体" w:hAnsi="宋体" w:eastAsia="宋体" w:cs="Arial"/>
                <w:b/>
                <w:bCs/>
                <w:color w:val="000000" w:themeColor="text1"/>
                <w:kern w:val="0"/>
                <w:sz w:val="16"/>
                <w:szCs w:val="16"/>
                <w:highlight w:val="none"/>
                <w14:textFill>
                  <w14:solidFill>
                    <w14:schemeClr w14:val="tx1"/>
                  </w14:solidFill>
                </w14:textFill>
              </w:rPr>
              <w:t>单位</w:t>
            </w:r>
          </w:p>
        </w:tc>
        <w:tc>
          <w:tcPr>
            <w:tcW w:w="1026" w:type="dxa"/>
            <w:vMerge w:val="restart"/>
            <w:tcBorders>
              <w:top w:val="single" w:color="auto" w:sz="4" w:space="0"/>
              <w:left w:val="single" w:color="auto" w:sz="4" w:space="0"/>
              <w:bottom w:val="single" w:color="auto" w:sz="4" w:space="0"/>
              <w:right w:val="single" w:color="auto" w:sz="4" w:space="0"/>
            </w:tcBorders>
            <w:vAlign w:val="center"/>
          </w:tcPr>
          <w:p w14:paraId="2D93AF46">
            <w:pPr>
              <w:widowControl/>
              <w:spacing w:line="400" w:lineRule="exact"/>
              <w:jc w:val="center"/>
              <w:rPr>
                <w:rFonts w:hint="eastAsia" w:ascii="宋体" w:hAnsi="宋体" w:eastAsia="宋体" w:cs="Arial"/>
                <w:b/>
                <w:bCs/>
                <w:color w:val="000000" w:themeColor="text1"/>
                <w:kern w:val="0"/>
                <w:sz w:val="16"/>
                <w:szCs w:val="16"/>
                <w:highlight w:val="none"/>
                <w14:textFill>
                  <w14:solidFill>
                    <w14:schemeClr w14:val="tx1"/>
                  </w14:solidFill>
                </w14:textFill>
              </w:rPr>
            </w:pPr>
            <w:r>
              <w:rPr>
                <w:rFonts w:hint="eastAsia" w:ascii="宋体" w:hAnsi="宋体" w:eastAsia="宋体" w:cs="Arial"/>
                <w:b/>
                <w:bCs/>
                <w:color w:val="000000" w:themeColor="text1"/>
                <w:kern w:val="0"/>
                <w:sz w:val="16"/>
                <w:szCs w:val="16"/>
                <w:highlight w:val="none"/>
                <w14:textFill>
                  <w14:solidFill>
                    <w14:schemeClr w14:val="tx1"/>
                  </w14:solidFill>
                </w14:textFill>
              </w:rPr>
              <w:t>工程量</w:t>
            </w:r>
          </w:p>
        </w:tc>
        <w:tc>
          <w:tcPr>
            <w:tcW w:w="3056" w:type="dxa"/>
            <w:gridSpan w:val="3"/>
            <w:tcBorders>
              <w:top w:val="single" w:color="auto" w:sz="4" w:space="0"/>
              <w:left w:val="nil"/>
              <w:bottom w:val="single" w:color="auto" w:sz="4" w:space="0"/>
              <w:right w:val="single" w:color="auto" w:sz="4" w:space="0"/>
            </w:tcBorders>
            <w:vAlign w:val="center"/>
          </w:tcPr>
          <w:p w14:paraId="15B7DAE9">
            <w:pPr>
              <w:widowControl/>
              <w:spacing w:line="400" w:lineRule="exact"/>
              <w:jc w:val="center"/>
              <w:rPr>
                <w:rFonts w:hint="eastAsia" w:ascii="宋体" w:hAnsi="宋体" w:eastAsia="宋体" w:cs="Arial"/>
                <w:b/>
                <w:bCs/>
                <w:color w:val="000000" w:themeColor="text1"/>
                <w:kern w:val="0"/>
                <w:sz w:val="16"/>
                <w:szCs w:val="16"/>
                <w:highlight w:val="none"/>
                <w14:textFill>
                  <w14:solidFill>
                    <w14:schemeClr w14:val="tx1"/>
                  </w14:solidFill>
                </w14:textFill>
              </w:rPr>
            </w:pPr>
            <w:r>
              <w:rPr>
                <w:rFonts w:hint="eastAsia" w:ascii="宋体" w:hAnsi="宋体" w:eastAsia="宋体" w:cs="Arial"/>
                <w:b/>
                <w:bCs/>
                <w:color w:val="000000" w:themeColor="text1"/>
                <w:kern w:val="0"/>
                <w:sz w:val="16"/>
                <w:szCs w:val="16"/>
                <w:highlight w:val="none"/>
                <w14:textFill>
                  <w14:solidFill>
                    <w14:schemeClr w14:val="tx1"/>
                  </w14:solidFill>
                </w14:textFill>
              </w:rPr>
              <w:t>金额（元）</w:t>
            </w:r>
          </w:p>
        </w:tc>
      </w:tr>
      <w:tr w14:paraId="35B7D64C">
        <w:tblPrEx>
          <w:tblCellMar>
            <w:top w:w="0" w:type="dxa"/>
            <w:left w:w="108" w:type="dxa"/>
            <w:bottom w:w="0" w:type="dxa"/>
            <w:right w:w="108" w:type="dxa"/>
          </w:tblCellMar>
        </w:tblPrEx>
        <w:trPr>
          <w:trHeight w:val="360" w:hRule="atLeast"/>
        </w:trPr>
        <w:tc>
          <w:tcPr>
            <w:tcW w:w="401" w:type="dxa"/>
            <w:vMerge w:val="continue"/>
            <w:tcBorders>
              <w:top w:val="single" w:color="auto" w:sz="4" w:space="0"/>
              <w:left w:val="single" w:color="auto" w:sz="4" w:space="0"/>
              <w:bottom w:val="single" w:color="auto" w:sz="4" w:space="0"/>
              <w:right w:val="single" w:color="auto" w:sz="4" w:space="0"/>
            </w:tcBorders>
            <w:vAlign w:val="center"/>
          </w:tcPr>
          <w:p w14:paraId="7F48A276">
            <w:pPr>
              <w:widowControl/>
              <w:spacing w:line="400" w:lineRule="exact"/>
              <w:jc w:val="left"/>
              <w:rPr>
                <w:rFonts w:hint="eastAsia" w:ascii="宋体" w:hAnsi="宋体" w:eastAsia="宋体" w:cs="Arial"/>
                <w:b/>
                <w:bCs/>
                <w:color w:val="000000" w:themeColor="text1"/>
                <w:kern w:val="0"/>
                <w:sz w:val="16"/>
                <w:szCs w:val="16"/>
                <w:highlight w:val="none"/>
                <w14:textFill>
                  <w14:solidFill>
                    <w14:schemeClr w14:val="tx1"/>
                  </w14:solidFill>
                </w14:textFill>
              </w:rPr>
            </w:pPr>
          </w:p>
        </w:tc>
        <w:tc>
          <w:tcPr>
            <w:tcW w:w="4320" w:type="dxa"/>
            <w:vMerge w:val="continue"/>
            <w:tcBorders>
              <w:top w:val="single" w:color="auto" w:sz="4" w:space="0"/>
              <w:left w:val="single" w:color="auto" w:sz="4" w:space="0"/>
              <w:bottom w:val="single" w:color="auto" w:sz="4" w:space="0"/>
              <w:right w:val="single" w:color="auto" w:sz="4" w:space="0"/>
            </w:tcBorders>
            <w:vAlign w:val="center"/>
          </w:tcPr>
          <w:p w14:paraId="208D7D62">
            <w:pPr>
              <w:widowControl/>
              <w:spacing w:line="400" w:lineRule="exact"/>
              <w:jc w:val="left"/>
              <w:rPr>
                <w:rFonts w:hint="eastAsia" w:ascii="宋体" w:hAnsi="宋体" w:eastAsia="宋体" w:cs="Arial"/>
                <w:b/>
                <w:bCs/>
                <w:color w:val="000000" w:themeColor="text1"/>
                <w:kern w:val="0"/>
                <w:sz w:val="16"/>
                <w:szCs w:val="16"/>
                <w:highlight w:val="none"/>
                <w14:textFill>
                  <w14:solidFill>
                    <w14:schemeClr w14:val="tx1"/>
                  </w14:solidFill>
                </w14:textFill>
              </w:rPr>
            </w:pPr>
          </w:p>
        </w:tc>
        <w:tc>
          <w:tcPr>
            <w:tcW w:w="553" w:type="dxa"/>
            <w:vMerge w:val="continue"/>
            <w:tcBorders>
              <w:top w:val="single" w:color="auto" w:sz="4" w:space="0"/>
              <w:left w:val="single" w:color="auto" w:sz="4" w:space="0"/>
              <w:bottom w:val="single" w:color="auto" w:sz="4" w:space="0"/>
              <w:right w:val="single" w:color="auto" w:sz="4" w:space="0"/>
            </w:tcBorders>
            <w:vAlign w:val="center"/>
          </w:tcPr>
          <w:p w14:paraId="6F0FDD75">
            <w:pPr>
              <w:widowControl/>
              <w:spacing w:line="400" w:lineRule="exact"/>
              <w:jc w:val="left"/>
              <w:rPr>
                <w:rFonts w:hint="eastAsia" w:ascii="宋体" w:hAnsi="宋体" w:eastAsia="宋体" w:cs="Arial"/>
                <w:b/>
                <w:bCs/>
                <w:color w:val="000000" w:themeColor="text1"/>
                <w:kern w:val="0"/>
                <w:sz w:val="16"/>
                <w:szCs w:val="16"/>
                <w:highlight w:val="none"/>
                <w14:textFill>
                  <w14:solidFill>
                    <w14:schemeClr w14:val="tx1"/>
                  </w14:solidFill>
                </w14:textFill>
              </w:rPr>
            </w:pPr>
          </w:p>
        </w:tc>
        <w:tc>
          <w:tcPr>
            <w:tcW w:w="1026" w:type="dxa"/>
            <w:vMerge w:val="continue"/>
            <w:tcBorders>
              <w:top w:val="single" w:color="auto" w:sz="4" w:space="0"/>
              <w:left w:val="single" w:color="auto" w:sz="4" w:space="0"/>
              <w:bottom w:val="single" w:color="auto" w:sz="4" w:space="0"/>
              <w:right w:val="single" w:color="auto" w:sz="4" w:space="0"/>
            </w:tcBorders>
            <w:vAlign w:val="center"/>
          </w:tcPr>
          <w:p w14:paraId="4EAFCEEF">
            <w:pPr>
              <w:widowControl/>
              <w:spacing w:line="400" w:lineRule="exact"/>
              <w:jc w:val="left"/>
              <w:rPr>
                <w:rFonts w:hint="eastAsia" w:ascii="宋体" w:hAnsi="宋体" w:eastAsia="宋体" w:cs="Arial"/>
                <w:b/>
                <w:bCs/>
                <w:color w:val="000000" w:themeColor="text1"/>
                <w:kern w:val="0"/>
                <w:sz w:val="16"/>
                <w:szCs w:val="16"/>
                <w:highlight w:val="none"/>
                <w14:textFill>
                  <w14:solidFill>
                    <w14:schemeClr w14:val="tx1"/>
                  </w14:solidFill>
                </w14:textFill>
              </w:rPr>
            </w:pPr>
          </w:p>
        </w:tc>
        <w:tc>
          <w:tcPr>
            <w:tcW w:w="900" w:type="dxa"/>
            <w:tcBorders>
              <w:top w:val="nil"/>
              <w:left w:val="nil"/>
              <w:bottom w:val="single" w:color="auto" w:sz="4" w:space="0"/>
              <w:right w:val="single" w:color="auto" w:sz="4" w:space="0"/>
            </w:tcBorders>
            <w:vAlign w:val="center"/>
          </w:tcPr>
          <w:p w14:paraId="49A2835C">
            <w:pPr>
              <w:widowControl/>
              <w:spacing w:line="400" w:lineRule="exact"/>
              <w:jc w:val="center"/>
              <w:rPr>
                <w:rFonts w:hint="eastAsia" w:ascii="宋体" w:hAnsi="宋体" w:eastAsia="宋体" w:cs="Arial"/>
                <w:b/>
                <w:bCs/>
                <w:color w:val="000000" w:themeColor="text1"/>
                <w:kern w:val="0"/>
                <w:sz w:val="16"/>
                <w:szCs w:val="16"/>
                <w:highlight w:val="none"/>
                <w14:textFill>
                  <w14:solidFill>
                    <w14:schemeClr w14:val="tx1"/>
                  </w14:solidFill>
                </w14:textFill>
              </w:rPr>
            </w:pPr>
            <w:r>
              <w:rPr>
                <w:rFonts w:hint="eastAsia" w:ascii="宋体" w:hAnsi="宋体" w:eastAsia="宋体" w:cs="Arial"/>
                <w:b/>
                <w:bCs/>
                <w:color w:val="000000" w:themeColor="text1"/>
                <w:kern w:val="0"/>
                <w:sz w:val="16"/>
                <w:szCs w:val="16"/>
                <w:highlight w:val="none"/>
                <w14:textFill>
                  <w14:solidFill>
                    <w14:schemeClr w14:val="tx1"/>
                  </w14:solidFill>
                </w14:textFill>
              </w:rPr>
              <w:t>除税单价</w:t>
            </w:r>
          </w:p>
        </w:tc>
        <w:tc>
          <w:tcPr>
            <w:tcW w:w="1180" w:type="dxa"/>
            <w:tcBorders>
              <w:top w:val="nil"/>
              <w:left w:val="nil"/>
              <w:bottom w:val="single" w:color="auto" w:sz="4" w:space="0"/>
              <w:right w:val="single" w:color="auto" w:sz="4" w:space="0"/>
            </w:tcBorders>
            <w:vAlign w:val="center"/>
          </w:tcPr>
          <w:p w14:paraId="7A9646C5">
            <w:pPr>
              <w:widowControl/>
              <w:spacing w:line="400" w:lineRule="exact"/>
              <w:jc w:val="center"/>
              <w:rPr>
                <w:rFonts w:hint="eastAsia" w:ascii="宋体" w:hAnsi="宋体" w:eastAsia="宋体" w:cs="Arial"/>
                <w:b/>
                <w:bCs/>
                <w:color w:val="000000" w:themeColor="text1"/>
                <w:kern w:val="0"/>
                <w:sz w:val="16"/>
                <w:szCs w:val="16"/>
                <w:highlight w:val="none"/>
                <w14:textFill>
                  <w14:solidFill>
                    <w14:schemeClr w14:val="tx1"/>
                  </w14:solidFill>
                </w14:textFill>
              </w:rPr>
            </w:pPr>
            <w:r>
              <w:rPr>
                <w:rFonts w:hint="eastAsia" w:ascii="宋体" w:hAnsi="宋体" w:eastAsia="宋体" w:cs="Arial"/>
                <w:b/>
                <w:bCs/>
                <w:color w:val="000000" w:themeColor="text1"/>
                <w:kern w:val="0"/>
                <w:sz w:val="16"/>
                <w:szCs w:val="16"/>
                <w:highlight w:val="none"/>
                <w14:textFill>
                  <w14:solidFill>
                    <w14:schemeClr w14:val="tx1"/>
                  </w14:solidFill>
                </w14:textFill>
              </w:rPr>
              <w:t>合价</w:t>
            </w:r>
          </w:p>
        </w:tc>
        <w:tc>
          <w:tcPr>
            <w:tcW w:w="976" w:type="dxa"/>
            <w:tcBorders>
              <w:top w:val="nil"/>
              <w:left w:val="nil"/>
              <w:bottom w:val="single" w:color="auto" w:sz="4" w:space="0"/>
              <w:right w:val="single" w:color="auto" w:sz="4" w:space="0"/>
            </w:tcBorders>
            <w:vAlign w:val="center"/>
          </w:tcPr>
          <w:p w14:paraId="7225F869">
            <w:pPr>
              <w:widowControl/>
              <w:spacing w:line="400" w:lineRule="exact"/>
              <w:jc w:val="center"/>
              <w:rPr>
                <w:rFonts w:hint="eastAsia" w:ascii="宋体" w:hAnsi="宋体" w:eastAsia="宋体" w:cs="Arial"/>
                <w:b/>
                <w:bCs/>
                <w:color w:val="000000" w:themeColor="text1"/>
                <w:kern w:val="0"/>
                <w:sz w:val="16"/>
                <w:szCs w:val="16"/>
                <w:highlight w:val="none"/>
                <w14:textFill>
                  <w14:solidFill>
                    <w14:schemeClr w14:val="tx1"/>
                  </w14:solidFill>
                </w14:textFill>
              </w:rPr>
            </w:pPr>
            <w:r>
              <w:rPr>
                <w:rFonts w:hint="eastAsia" w:ascii="宋体" w:hAnsi="宋体" w:eastAsia="宋体" w:cs="Arial"/>
                <w:b/>
                <w:bCs/>
                <w:color w:val="000000" w:themeColor="text1"/>
                <w:kern w:val="0"/>
                <w:sz w:val="16"/>
                <w:szCs w:val="16"/>
                <w:highlight w:val="none"/>
                <w14:textFill>
                  <w14:solidFill>
                    <w14:schemeClr w14:val="tx1"/>
                  </w14:solidFill>
                </w14:textFill>
              </w:rPr>
              <w:t>备注</w:t>
            </w:r>
          </w:p>
        </w:tc>
      </w:tr>
      <w:tr w14:paraId="36DB0C78">
        <w:tblPrEx>
          <w:tblCellMar>
            <w:top w:w="0" w:type="dxa"/>
            <w:left w:w="108" w:type="dxa"/>
            <w:bottom w:w="0" w:type="dxa"/>
            <w:right w:w="108" w:type="dxa"/>
          </w:tblCellMar>
        </w:tblPrEx>
        <w:trPr>
          <w:trHeight w:val="255" w:hRule="atLeast"/>
        </w:trPr>
        <w:tc>
          <w:tcPr>
            <w:tcW w:w="401" w:type="dxa"/>
            <w:tcBorders>
              <w:top w:val="nil"/>
              <w:left w:val="single" w:color="auto" w:sz="4" w:space="0"/>
              <w:bottom w:val="single" w:color="auto" w:sz="4" w:space="0"/>
              <w:right w:val="single" w:color="auto" w:sz="4" w:space="0"/>
            </w:tcBorders>
            <w:vAlign w:val="center"/>
          </w:tcPr>
          <w:p w14:paraId="68A4E8B7">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4320" w:type="dxa"/>
            <w:tcBorders>
              <w:top w:val="nil"/>
              <w:left w:val="nil"/>
              <w:bottom w:val="single" w:color="auto" w:sz="4" w:space="0"/>
              <w:right w:val="single" w:color="auto" w:sz="4" w:space="0"/>
            </w:tcBorders>
            <w:vAlign w:val="center"/>
          </w:tcPr>
          <w:p w14:paraId="19809CC9">
            <w:pPr>
              <w:widowControl/>
              <w:spacing w:line="40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土石方工程</w:t>
            </w:r>
          </w:p>
        </w:tc>
        <w:tc>
          <w:tcPr>
            <w:tcW w:w="553" w:type="dxa"/>
            <w:tcBorders>
              <w:top w:val="nil"/>
              <w:left w:val="nil"/>
              <w:bottom w:val="single" w:color="auto" w:sz="4" w:space="0"/>
              <w:right w:val="single" w:color="auto" w:sz="4" w:space="0"/>
            </w:tcBorders>
            <w:vAlign w:val="center"/>
          </w:tcPr>
          <w:p w14:paraId="760B787F">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026" w:type="dxa"/>
            <w:tcBorders>
              <w:top w:val="nil"/>
              <w:left w:val="nil"/>
              <w:bottom w:val="single" w:color="auto" w:sz="4" w:space="0"/>
              <w:right w:val="single" w:color="auto" w:sz="4" w:space="0"/>
            </w:tcBorders>
            <w:noWrap/>
            <w:vAlign w:val="center"/>
          </w:tcPr>
          <w:p w14:paraId="311AAA28">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00" w:type="dxa"/>
            <w:tcBorders>
              <w:top w:val="nil"/>
              <w:left w:val="nil"/>
              <w:bottom w:val="single" w:color="auto" w:sz="4" w:space="0"/>
              <w:right w:val="single" w:color="auto" w:sz="4" w:space="0"/>
            </w:tcBorders>
            <w:noWrap/>
            <w:vAlign w:val="center"/>
          </w:tcPr>
          <w:p w14:paraId="66FE8A7C">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4E139B9A">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6" w:type="dxa"/>
            <w:tcBorders>
              <w:top w:val="nil"/>
              <w:left w:val="nil"/>
              <w:bottom w:val="single" w:color="auto" w:sz="4" w:space="0"/>
              <w:right w:val="single" w:color="auto" w:sz="4" w:space="0"/>
            </w:tcBorders>
            <w:noWrap/>
            <w:vAlign w:val="center"/>
          </w:tcPr>
          <w:p w14:paraId="614533A4">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26A7E8D3">
        <w:tblPrEx>
          <w:tblCellMar>
            <w:top w:w="0" w:type="dxa"/>
            <w:left w:w="108" w:type="dxa"/>
            <w:bottom w:w="0" w:type="dxa"/>
            <w:right w:w="108" w:type="dxa"/>
          </w:tblCellMar>
        </w:tblPrEx>
        <w:trPr>
          <w:trHeight w:val="1200" w:hRule="atLeast"/>
        </w:trPr>
        <w:tc>
          <w:tcPr>
            <w:tcW w:w="401" w:type="dxa"/>
            <w:tcBorders>
              <w:top w:val="nil"/>
              <w:left w:val="single" w:color="auto" w:sz="4" w:space="0"/>
              <w:bottom w:val="single" w:color="auto" w:sz="4" w:space="0"/>
              <w:right w:val="single" w:color="auto" w:sz="4" w:space="0"/>
            </w:tcBorders>
            <w:vAlign w:val="center"/>
          </w:tcPr>
          <w:p w14:paraId="0C7A3508">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w:t>
            </w:r>
          </w:p>
        </w:tc>
        <w:tc>
          <w:tcPr>
            <w:tcW w:w="4320" w:type="dxa"/>
            <w:tcBorders>
              <w:top w:val="nil"/>
              <w:left w:val="nil"/>
              <w:bottom w:val="single" w:color="auto" w:sz="4" w:space="0"/>
              <w:right w:val="single" w:color="auto" w:sz="4" w:space="0"/>
            </w:tcBorders>
            <w:vAlign w:val="center"/>
          </w:tcPr>
          <w:p w14:paraId="47513ACA">
            <w:pPr>
              <w:widowControl/>
              <w:spacing w:line="40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挖一般土方（场内回填）</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1.土壤类别:综合考虑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2.挖土方式:综合考虑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3.工作内容：挖土、装车、场内运输、填土等，运距综合考虑</w:t>
            </w:r>
          </w:p>
        </w:tc>
        <w:tc>
          <w:tcPr>
            <w:tcW w:w="553" w:type="dxa"/>
            <w:tcBorders>
              <w:top w:val="nil"/>
              <w:left w:val="nil"/>
              <w:bottom w:val="single" w:color="auto" w:sz="4" w:space="0"/>
              <w:right w:val="single" w:color="auto" w:sz="4" w:space="0"/>
            </w:tcBorders>
            <w:vAlign w:val="center"/>
          </w:tcPr>
          <w:p w14:paraId="12492AC8">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1BFAF481">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4940.01</w:t>
            </w:r>
          </w:p>
        </w:tc>
        <w:tc>
          <w:tcPr>
            <w:tcW w:w="900" w:type="dxa"/>
            <w:tcBorders>
              <w:top w:val="nil"/>
              <w:left w:val="nil"/>
              <w:bottom w:val="single" w:color="auto" w:sz="4" w:space="0"/>
              <w:right w:val="single" w:color="auto" w:sz="4" w:space="0"/>
            </w:tcBorders>
            <w:noWrap/>
            <w:vAlign w:val="center"/>
          </w:tcPr>
          <w:p w14:paraId="0582B509">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0267C848">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6" w:type="dxa"/>
            <w:tcBorders>
              <w:top w:val="nil"/>
              <w:left w:val="nil"/>
              <w:bottom w:val="single" w:color="auto" w:sz="4" w:space="0"/>
              <w:right w:val="single" w:color="auto" w:sz="4" w:space="0"/>
            </w:tcBorders>
            <w:noWrap/>
            <w:vAlign w:val="center"/>
          </w:tcPr>
          <w:p w14:paraId="627B137F">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6A12F91E">
        <w:tblPrEx>
          <w:tblCellMar>
            <w:top w:w="0" w:type="dxa"/>
            <w:left w:w="108" w:type="dxa"/>
            <w:bottom w:w="0" w:type="dxa"/>
            <w:right w:w="108" w:type="dxa"/>
          </w:tblCellMar>
        </w:tblPrEx>
        <w:trPr>
          <w:trHeight w:val="1200" w:hRule="atLeast"/>
        </w:trPr>
        <w:tc>
          <w:tcPr>
            <w:tcW w:w="401" w:type="dxa"/>
            <w:tcBorders>
              <w:top w:val="nil"/>
              <w:left w:val="single" w:color="auto" w:sz="4" w:space="0"/>
              <w:bottom w:val="single" w:color="auto" w:sz="4" w:space="0"/>
              <w:right w:val="single" w:color="auto" w:sz="4" w:space="0"/>
            </w:tcBorders>
            <w:vAlign w:val="center"/>
          </w:tcPr>
          <w:p w14:paraId="129BB089">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2</w:t>
            </w:r>
          </w:p>
        </w:tc>
        <w:tc>
          <w:tcPr>
            <w:tcW w:w="4320" w:type="dxa"/>
            <w:tcBorders>
              <w:top w:val="nil"/>
              <w:left w:val="nil"/>
              <w:bottom w:val="single" w:color="auto" w:sz="4" w:space="0"/>
              <w:right w:val="single" w:color="auto" w:sz="4" w:space="0"/>
            </w:tcBorders>
            <w:vAlign w:val="center"/>
          </w:tcPr>
          <w:p w14:paraId="79D02EFD">
            <w:pPr>
              <w:widowControl/>
              <w:spacing w:line="40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挖一般石方</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1.石方类别:次坚石</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2.开挖方式:综合考虑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3.工作内容：石方开挖、基层清理、场内倒运、回填等，运距综合考虑</w:t>
            </w:r>
          </w:p>
        </w:tc>
        <w:tc>
          <w:tcPr>
            <w:tcW w:w="553" w:type="dxa"/>
            <w:tcBorders>
              <w:top w:val="nil"/>
              <w:left w:val="nil"/>
              <w:bottom w:val="single" w:color="auto" w:sz="4" w:space="0"/>
              <w:right w:val="single" w:color="auto" w:sz="4" w:space="0"/>
            </w:tcBorders>
            <w:vAlign w:val="center"/>
          </w:tcPr>
          <w:p w14:paraId="42A79B18">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32F5B2DF">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692.11</w:t>
            </w:r>
          </w:p>
        </w:tc>
        <w:tc>
          <w:tcPr>
            <w:tcW w:w="900" w:type="dxa"/>
            <w:tcBorders>
              <w:top w:val="nil"/>
              <w:left w:val="nil"/>
              <w:bottom w:val="single" w:color="auto" w:sz="4" w:space="0"/>
              <w:right w:val="single" w:color="auto" w:sz="4" w:space="0"/>
            </w:tcBorders>
            <w:noWrap/>
            <w:vAlign w:val="center"/>
          </w:tcPr>
          <w:p w14:paraId="16DBF5F9">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0F780696">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6" w:type="dxa"/>
            <w:tcBorders>
              <w:top w:val="nil"/>
              <w:left w:val="nil"/>
              <w:bottom w:val="single" w:color="auto" w:sz="4" w:space="0"/>
              <w:right w:val="single" w:color="auto" w:sz="4" w:space="0"/>
            </w:tcBorders>
            <w:noWrap/>
            <w:vAlign w:val="center"/>
          </w:tcPr>
          <w:p w14:paraId="0AA153A8">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0F4416E9">
        <w:tblPrEx>
          <w:tblCellMar>
            <w:top w:w="0" w:type="dxa"/>
            <w:left w:w="108" w:type="dxa"/>
            <w:bottom w:w="0" w:type="dxa"/>
            <w:right w:w="108" w:type="dxa"/>
          </w:tblCellMar>
        </w:tblPrEx>
        <w:trPr>
          <w:trHeight w:val="1440" w:hRule="atLeast"/>
        </w:trPr>
        <w:tc>
          <w:tcPr>
            <w:tcW w:w="401" w:type="dxa"/>
            <w:tcBorders>
              <w:top w:val="nil"/>
              <w:left w:val="single" w:color="auto" w:sz="4" w:space="0"/>
              <w:bottom w:val="single" w:color="auto" w:sz="4" w:space="0"/>
              <w:right w:val="single" w:color="auto" w:sz="4" w:space="0"/>
            </w:tcBorders>
            <w:vAlign w:val="center"/>
          </w:tcPr>
          <w:p w14:paraId="74EBF0BA">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3</w:t>
            </w:r>
          </w:p>
        </w:tc>
        <w:tc>
          <w:tcPr>
            <w:tcW w:w="4320" w:type="dxa"/>
            <w:tcBorders>
              <w:top w:val="nil"/>
              <w:left w:val="nil"/>
              <w:bottom w:val="single" w:color="auto" w:sz="4" w:space="0"/>
              <w:right w:val="single" w:color="auto" w:sz="4" w:space="0"/>
            </w:tcBorders>
            <w:vAlign w:val="center"/>
          </w:tcPr>
          <w:p w14:paraId="1A7F00F0">
            <w:pPr>
              <w:widowControl/>
              <w:spacing w:line="40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挖一般石方</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1.石方类别:次坚石</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2.开挖方式:综合考虑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3.工作内容：石方开挖、基层清理、装车外运、弃土场平整等</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4.运距：3km</w:t>
            </w:r>
          </w:p>
        </w:tc>
        <w:tc>
          <w:tcPr>
            <w:tcW w:w="553" w:type="dxa"/>
            <w:tcBorders>
              <w:top w:val="nil"/>
              <w:left w:val="nil"/>
              <w:bottom w:val="single" w:color="auto" w:sz="4" w:space="0"/>
              <w:right w:val="single" w:color="auto" w:sz="4" w:space="0"/>
            </w:tcBorders>
            <w:vAlign w:val="center"/>
          </w:tcPr>
          <w:p w14:paraId="1553CA49">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4A8416DB">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30852.48</w:t>
            </w:r>
          </w:p>
        </w:tc>
        <w:tc>
          <w:tcPr>
            <w:tcW w:w="900" w:type="dxa"/>
            <w:tcBorders>
              <w:top w:val="nil"/>
              <w:left w:val="nil"/>
              <w:bottom w:val="single" w:color="auto" w:sz="4" w:space="0"/>
              <w:right w:val="single" w:color="auto" w:sz="4" w:space="0"/>
            </w:tcBorders>
            <w:noWrap/>
            <w:vAlign w:val="center"/>
          </w:tcPr>
          <w:p w14:paraId="486D9C36">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300E967D">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6" w:type="dxa"/>
            <w:tcBorders>
              <w:top w:val="nil"/>
              <w:left w:val="nil"/>
              <w:bottom w:val="single" w:color="auto" w:sz="4" w:space="0"/>
              <w:right w:val="single" w:color="auto" w:sz="4" w:space="0"/>
            </w:tcBorders>
            <w:noWrap/>
            <w:vAlign w:val="center"/>
          </w:tcPr>
          <w:p w14:paraId="3AB00F34">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54E8A4C1">
        <w:tblPrEx>
          <w:tblCellMar>
            <w:top w:w="0" w:type="dxa"/>
            <w:left w:w="108" w:type="dxa"/>
            <w:bottom w:w="0" w:type="dxa"/>
            <w:right w:w="108" w:type="dxa"/>
          </w:tblCellMar>
        </w:tblPrEx>
        <w:trPr>
          <w:trHeight w:val="1440" w:hRule="atLeast"/>
        </w:trPr>
        <w:tc>
          <w:tcPr>
            <w:tcW w:w="401" w:type="dxa"/>
            <w:tcBorders>
              <w:top w:val="nil"/>
              <w:left w:val="single" w:color="auto" w:sz="4" w:space="0"/>
              <w:bottom w:val="single" w:color="auto" w:sz="4" w:space="0"/>
              <w:right w:val="single" w:color="auto" w:sz="4" w:space="0"/>
            </w:tcBorders>
            <w:vAlign w:val="center"/>
          </w:tcPr>
          <w:p w14:paraId="422F9407">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4</w:t>
            </w:r>
          </w:p>
        </w:tc>
        <w:tc>
          <w:tcPr>
            <w:tcW w:w="4320" w:type="dxa"/>
            <w:tcBorders>
              <w:top w:val="nil"/>
              <w:left w:val="nil"/>
              <w:bottom w:val="single" w:color="auto" w:sz="4" w:space="0"/>
              <w:right w:val="single" w:color="auto" w:sz="4" w:space="0"/>
            </w:tcBorders>
            <w:vAlign w:val="center"/>
          </w:tcPr>
          <w:p w14:paraId="364EB0E7">
            <w:pPr>
              <w:widowControl/>
              <w:spacing w:line="40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挖一般石方</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1.石方类别:坚石</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2.开挖方式:综合考虑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3.工作内容：石方开挖、基层清理、装车外运、弃土场平整等</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4.运距：3km</w:t>
            </w:r>
          </w:p>
        </w:tc>
        <w:tc>
          <w:tcPr>
            <w:tcW w:w="553" w:type="dxa"/>
            <w:tcBorders>
              <w:top w:val="nil"/>
              <w:left w:val="nil"/>
              <w:bottom w:val="single" w:color="auto" w:sz="4" w:space="0"/>
              <w:right w:val="single" w:color="auto" w:sz="4" w:space="0"/>
            </w:tcBorders>
            <w:vAlign w:val="center"/>
          </w:tcPr>
          <w:p w14:paraId="03E55807">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106EAA4F">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9012.78</w:t>
            </w:r>
          </w:p>
        </w:tc>
        <w:tc>
          <w:tcPr>
            <w:tcW w:w="900" w:type="dxa"/>
            <w:tcBorders>
              <w:top w:val="nil"/>
              <w:left w:val="nil"/>
              <w:bottom w:val="single" w:color="auto" w:sz="4" w:space="0"/>
              <w:right w:val="single" w:color="auto" w:sz="4" w:space="0"/>
            </w:tcBorders>
            <w:noWrap/>
            <w:vAlign w:val="center"/>
          </w:tcPr>
          <w:p w14:paraId="00886129">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0B0407D0">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6" w:type="dxa"/>
            <w:tcBorders>
              <w:top w:val="nil"/>
              <w:left w:val="nil"/>
              <w:bottom w:val="single" w:color="auto" w:sz="4" w:space="0"/>
              <w:right w:val="single" w:color="auto" w:sz="4" w:space="0"/>
            </w:tcBorders>
            <w:noWrap/>
            <w:vAlign w:val="center"/>
          </w:tcPr>
          <w:p w14:paraId="34AC6698">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0392661C">
        <w:tblPrEx>
          <w:tblCellMar>
            <w:top w:w="0" w:type="dxa"/>
            <w:left w:w="108" w:type="dxa"/>
            <w:bottom w:w="0" w:type="dxa"/>
            <w:right w:w="108" w:type="dxa"/>
          </w:tblCellMar>
        </w:tblPrEx>
        <w:trPr>
          <w:trHeight w:val="480" w:hRule="atLeast"/>
        </w:trPr>
        <w:tc>
          <w:tcPr>
            <w:tcW w:w="401" w:type="dxa"/>
            <w:tcBorders>
              <w:top w:val="nil"/>
              <w:left w:val="single" w:color="auto" w:sz="4" w:space="0"/>
              <w:bottom w:val="single" w:color="auto" w:sz="4" w:space="0"/>
              <w:right w:val="single" w:color="auto" w:sz="4" w:space="0"/>
            </w:tcBorders>
            <w:vAlign w:val="center"/>
          </w:tcPr>
          <w:p w14:paraId="7C0565E6">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5</w:t>
            </w:r>
          </w:p>
        </w:tc>
        <w:tc>
          <w:tcPr>
            <w:tcW w:w="4320" w:type="dxa"/>
            <w:tcBorders>
              <w:top w:val="nil"/>
              <w:left w:val="nil"/>
              <w:bottom w:val="single" w:color="auto" w:sz="4" w:space="0"/>
              <w:right w:val="single" w:color="auto" w:sz="4" w:space="0"/>
            </w:tcBorders>
            <w:vAlign w:val="center"/>
          </w:tcPr>
          <w:p w14:paraId="762332B8">
            <w:pPr>
              <w:widowControl/>
              <w:spacing w:line="40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土石方运输</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1.工作内容：每增运1km</w:t>
            </w:r>
          </w:p>
        </w:tc>
        <w:tc>
          <w:tcPr>
            <w:tcW w:w="553" w:type="dxa"/>
            <w:tcBorders>
              <w:top w:val="nil"/>
              <w:left w:val="nil"/>
              <w:bottom w:val="single" w:color="auto" w:sz="4" w:space="0"/>
              <w:right w:val="single" w:color="auto" w:sz="4" w:space="0"/>
            </w:tcBorders>
            <w:vAlign w:val="center"/>
          </w:tcPr>
          <w:p w14:paraId="3F5DBAF3">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09D9CABB">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300000.00</w:t>
            </w:r>
          </w:p>
        </w:tc>
        <w:tc>
          <w:tcPr>
            <w:tcW w:w="900" w:type="dxa"/>
            <w:tcBorders>
              <w:top w:val="nil"/>
              <w:left w:val="nil"/>
              <w:bottom w:val="single" w:color="auto" w:sz="4" w:space="0"/>
              <w:right w:val="single" w:color="auto" w:sz="4" w:space="0"/>
            </w:tcBorders>
            <w:noWrap/>
            <w:vAlign w:val="center"/>
          </w:tcPr>
          <w:p w14:paraId="0343223B">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4184F10C">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6" w:type="dxa"/>
            <w:tcBorders>
              <w:top w:val="nil"/>
              <w:left w:val="nil"/>
              <w:bottom w:val="single" w:color="auto" w:sz="4" w:space="0"/>
              <w:right w:val="single" w:color="auto" w:sz="4" w:space="0"/>
            </w:tcBorders>
            <w:noWrap/>
            <w:vAlign w:val="center"/>
          </w:tcPr>
          <w:p w14:paraId="24203B5F">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43D9EB7C">
        <w:tblPrEx>
          <w:tblCellMar>
            <w:top w:w="0" w:type="dxa"/>
            <w:left w:w="108" w:type="dxa"/>
            <w:bottom w:w="0" w:type="dxa"/>
            <w:right w:w="108" w:type="dxa"/>
          </w:tblCellMar>
        </w:tblPrEx>
        <w:trPr>
          <w:trHeight w:val="785" w:hRule="atLeast"/>
        </w:trPr>
        <w:tc>
          <w:tcPr>
            <w:tcW w:w="401" w:type="dxa"/>
            <w:tcBorders>
              <w:top w:val="nil"/>
              <w:left w:val="single" w:color="auto" w:sz="4" w:space="0"/>
              <w:bottom w:val="single" w:color="auto" w:sz="4" w:space="0"/>
              <w:right w:val="single" w:color="auto" w:sz="4" w:space="0"/>
            </w:tcBorders>
            <w:vAlign w:val="center"/>
          </w:tcPr>
          <w:p w14:paraId="2263F54C">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6</w:t>
            </w:r>
          </w:p>
        </w:tc>
        <w:tc>
          <w:tcPr>
            <w:tcW w:w="4320" w:type="dxa"/>
            <w:tcBorders>
              <w:top w:val="nil"/>
              <w:left w:val="nil"/>
              <w:bottom w:val="single" w:color="auto" w:sz="4" w:space="0"/>
              <w:right w:val="single" w:color="auto" w:sz="4" w:space="0"/>
            </w:tcBorders>
            <w:vAlign w:val="center"/>
          </w:tcPr>
          <w:p w14:paraId="6FC63621">
            <w:pPr>
              <w:widowControl/>
              <w:spacing w:line="40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强夯土方</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1.夯击能量及次数：满足设计及规范要求，详见图纸</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2.工作内容：包含机械进出场、场地整理、沉降观测的相关费用</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3.工程量：按设计图示尺寸以面积计算</w:t>
            </w:r>
          </w:p>
        </w:tc>
        <w:tc>
          <w:tcPr>
            <w:tcW w:w="553" w:type="dxa"/>
            <w:tcBorders>
              <w:top w:val="nil"/>
              <w:left w:val="nil"/>
              <w:bottom w:val="single" w:color="auto" w:sz="4" w:space="0"/>
              <w:right w:val="single" w:color="auto" w:sz="4" w:space="0"/>
            </w:tcBorders>
            <w:vAlign w:val="center"/>
          </w:tcPr>
          <w:p w14:paraId="221781CE">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m2</w:t>
            </w:r>
          </w:p>
        </w:tc>
        <w:tc>
          <w:tcPr>
            <w:tcW w:w="1026" w:type="dxa"/>
            <w:tcBorders>
              <w:top w:val="nil"/>
              <w:left w:val="nil"/>
              <w:bottom w:val="single" w:color="auto" w:sz="4" w:space="0"/>
              <w:right w:val="single" w:color="auto" w:sz="4" w:space="0"/>
            </w:tcBorders>
            <w:noWrap/>
            <w:vAlign w:val="center"/>
          </w:tcPr>
          <w:p w14:paraId="7ADB9260">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1280.00</w:t>
            </w:r>
          </w:p>
        </w:tc>
        <w:tc>
          <w:tcPr>
            <w:tcW w:w="900" w:type="dxa"/>
            <w:tcBorders>
              <w:top w:val="nil"/>
              <w:left w:val="nil"/>
              <w:bottom w:val="single" w:color="auto" w:sz="4" w:space="0"/>
              <w:right w:val="single" w:color="auto" w:sz="4" w:space="0"/>
            </w:tcBorders>
            <w:noWrap/>
            <w:vAlign w:val="center"/>
          </w:tcPr>
          <w:p w14:paraId="548B6535">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02B697AC">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6" w:type="dxa"/>
            <w:tcBorders>
              <w:top w:val="nil"/>
              <w:left w:val="nil"/>
              <w:bottom w:val="single" w:color="auto" w:sz="4" w:space="0"/>
              <w:right w:val="single" w:color="auto" w:sz="4" w:space="0"/>
            </w:tcBorders>
            <w:noWrap/>
            <w:vAlign w:val="center"/>
          </w:tcPr>
          <w:p w14:paraId="31E546CD">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65234A55">
        <w:tblPrEx>
          <w:tblCellMar>
            <w:top w:w="0" w:type="dxa"/>
            <w:left w:w="108" w:type="dxa"/>
            <w:bottom w:w="0" w:type="dxa"/>
            <w:right w:w="108" w:type="dxa"/>
          </w:tblCellMar>
        </w:tblPrEx>
        <w:trPr>
          <w:trHeight w:val="1440" w:hRule="atLeast"/>
        </w:trPr>
        <w:tc>
          <w:tcPr>
            <w:tcW w:w="401" w:type="dxa"/>
            <w:tcBorders>
              <w:top w:val="nil"/>
              <w:left w:val="single" w:color="auto" w:sz="4" w:space="0"/>
              <w:bottom w:val="single" w:color="auto" w:sz="4" w:space="0"/>
              <w:right w:val="single" w:color="auto" w:sz="4" w:space="0"/>
            </w:tcBorders>
            <w:vAlign w:val="center"/>
          </w:tcPr>
          <w:p w14:paraId="1A2BC9B1">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7</w:t>
            </w:r>
          </w:p>
        </w:tc>
        <w:tc>
          <w:tcPr>
            <w:tcW w:w="4320" w:type="dxa"/>
            <w:tcBorders>
              <w:top w:val="nil"/>
              <w:left w:val="nil"/>
              <w:bottom w:val="single" w:color="auto" w:sz="4" w:space="0"/>
              <w:right w:val="single" w:color="auto" w:sz="4" w:space="0"/>
            </w:tcBorders>
            <w:vAlign w:val="center"/>
          </w:tcPr>
          <w:p w14:paraId="1CE55662">
            <w:pPr>
              <w:widowControl/>
              <w:spacing w:line="40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拆除建筑物</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1.建筑物类型：综合考虑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2.工作内容:拆除、破碎、块体吊运、清理归堆、装车外运等，运距综合考虑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3.已综合考虑物品回收费用</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4.工程量:按建筑物建筑面积计算</w:t>
            </w:r>
          </w:p>
        </w:tc>
        <w:tc>
          <w:tcPr>
            <w:tcW w:w="553" w:type="dxa"/>
            <w:tcBorders>
              <w:top w:val="nil"/>
              <w:left w:val="nil"/>
              <w:bottom w:val="single" w:color="auto" w:sz="4" w:space="0"/>
              <w:right w:val="single" w:color="auto" w:sz="4" w:space="0"/>
            </w:tcBorders>
            <w:vAlign w:val="center"/>
          </w:tcPr>
          <w:p w14:paraId="252FA13B">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m2</w:t>
            </w:r>
          </w:p>
        </w:tc>
        <w:tc>
          <w:tcPr>
            <w:tcW w:w="1026" w:type="dxa"/>
            <w:tcBorders>
              <w:top w:val="nil"/>
              <w:left w:val="nil"/>
              <w:bottom w:val="single" w:color="auto" w:sz="4" w:space="0"/>
              <w:right w:val="single" w:color="auto" w:sz="4" w:space="0"/>
            </w:tcBorders>
            <w:noWrap/>
            <w:vAlign w:val="center"/>
          </w:tcPr>
          <w:p w14:paraId="2F490DAE">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1150.00</w:t>
            </w:r>
          </w:p>
        </w:tc>
        <w:tc>
          <w:tcPr>
            <w:tcW w:w="900" w:type="dxa"/>
            <w:tcBorders>
              <w:top w:val="nil"/>
              <w:left w:val="nil"/>
              <w:bottom w:val="single" w:color="auto" w:sz="4" w:space="0"/>
              <w:right w:val="single" w:color="auto" w:sz="4" w:space="0"/>
            </w:tcBorders>
            <w:noWrap/>
            <w:vAlign w:val="center"/>
          </w:tcPr>
          <w:p w14:paraId="209E9D5C">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0007A167">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6" w:type="dxa"/>
            <w:tcBorders>
              <w:top w:val="nil"/>
              <w:left w:val="nil"/>
              <w:bottom w:val="single" w:color="auto" w:sz="4" w:space="0"/>
              <w:right w:val="single" w:color="auto" w:sz="4" w:space="0"/>
            </w:tcBorders>
            <w:noWrap/>
            <w:vAlign w:val="center"/>
          </w:tcPr>
          <w:p w14:paraId="3FC78AC4">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6151BC94">
        <w:tblPrEx>
          <w:tblCellMar>
            <w:top w:w="0" w:type="dxa"/>
            <w:left w:w="108" w:type="dxa"/>
            <w:bottom w:w="0" w:type="dxa"/>
            <w:right w:w="108" w:type="dxa"/>
          </w:tblCellMar>
        </w:tblPrEx>
        <w:trPr>
          <w:trHeight w:val="1440" w:hRule="atLeast"/>
        </w:trPr>
        <w:tc>
          <w:tcPr>
            <w:tcW w:w="401" w:type="dxa"/>
            <w:tcBorders>
              <w:top w:val="nil"/>
              <w:left w:val="single" w:color="auto" w:sz="4" w:space="0"/>
              <w:bottom w:val="single" w:color="auto" w:sz="4" w:space="0"/>
              <w:right w:val="single" w:color="auto" w:sz="4" w:space="0"/>
            </w:tcBorders>
            <w:vAlign w:val="center"/>
          </w:tcPr>
          <w:p w14:paraId="15E79126">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8</w:t>
            </w:r>
          </w:p>
        </w:tc>
        <w:tc>
          <w:tcPr>
            <w:tcW w:w="4320" w:type="dxa"/>
            <w:tcBorders>
              <w:top w:val="nil"/>
              <w:left w:val="nil"/>
              <w:bottom w:val="single" w:color="auto" w:sz="4" w:space="0"/>
              <w:right w:val="single" w:color="auto" w:sz="4" w:space="0"/>
            </w:tcBorders>
            <w:vAlign w:val="center"/>
          </w:tcPr>
          <w:p w14:paraId="6FB8125A">
            <w:pPr>
              <w:widowControl/>
              <w:spacing w:line="40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拆除路面</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1.道路材料:现状砼道路</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2.厚度：综合考虑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3.拆除方式：综合考虑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4.工作内容：砼路面及基层拆除、基层清理、集碴、装车外运等，运距综合考虑</w:t>
            </w:r>
          </w:p>
        </w:tc>
        <w:tc>
          <w:tcPr>
            <w:tcW w:w="553" w:type="dxa"/>
            <w:tcBorders>
              <w:top w:val="nil"/>
              <w:left w:val="nil"/>
              <w:bottom w:val="single" w:color="auto" w:sz="4" w:space="0"/>
              <w:right w:val="single" w:color="auto" w:sz="4" w:space="0"/>
            </w:tcBorders>
            <w:vAlign w:val="center"/>
          </w:tcPr>
          <w:p w14:paraId="03A505B4">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6CD8795E">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1515.34</w:t>
            </w:r>
          </w:p>
        </w:tc>
        <w:tc>
          <w:tcPr>
            <w:tcW w:w="900" w:type="dxa"/>
            <w:tcBorders>
              <w:top w:val="nil"/>
              <w:left w:val="nil"/>
              <w:bottom w:val="single" w:color="auto" w:sz="4" w:space="0"/>
              <w:right w:val="single" w:color="auto" w:sz="4" w:space="0"/>
            </w:tcBorders>
            <w:noWrap/>
            <w:vAlign w:val="center"/>
          </w:tcPr>
          <w:p w14:paraId="47B50714">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06DD74E4">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6" w:type="dxa"/>
            <w:tcBorders>
              <w:top w:val="nil"/>
              <w:left w:val="nil"/>
              <w:bottom w:val="single" w:color="auto" w:sz="4" w:space="0"/>
              <w:right w:val="single" w:color="auto" w:sz="4" w:space="0"/>
            </w:tcBorders>
            <w:noWrap/>
            <w:vAlign w:val="center"/>
          </w:tcPr>
          <w:p w14:paraId="78DA1482">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1D5B9382">
        <w:tblPrEx>
          <w:tblCellMar>
            <w:top w:w="0" w:type="dxa"/>
            <w:left w:w="108" w:type="dxa"/>
            <w:bottom w:w="0" w:type="dxa"/>
            <w:right w:w="108" w:type="dxa"/>
          </w:tblCellMar>
        </w:tblPrEx>
        <w:trPr>
          <w:trHeight w:val="1440" w:hRule="atLeast"/>
        </w:trPr>
        <w:tc>
          <w:tcPr>
            <w:tcW w:w="401" w:type="dxa"/>
            <w:tcBorders>
              <w:top w:val="nil"/>
              <w:left w:val="single" w:color="auto" w:sz="4" w:space="0"/>
              <w:bottom w:val="single" w:color="auto" w:sz="4" w:space="0"/>
              <w:right w:val="single" w:color="auto" w:sz="4" w:space="0"/>
            </w:tcBorders>
            <w:vAlign w:val="center"/>
          </w:tcPr>
          <w:p w14:paraId="17BC75A0">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9</w:t>
            </w:r>
          </w:p>
        </w:tc>
        <w:tc>
          <w:tcPr>
            <w:tcW w:w="4320" w:type="dxa"/>
            <w:tcBorders>
              <w:top w:val="nil"/>
              <w:left w:val="nil"/>
              <w:bottom w:val="single" w:color="auto" w:sz="4" w:space="0"/>
              <w:right w:val="single" w:color="auto" w:sz="4" w:space="0"/>
            </w:tcBorders>
            <w:vAlign w:val="center"/>
          </w:tcPr>
          <w:p w14:paraId="33F93844">
            <w:pPr>
              <w:widowControl/>
              <w:spacing w:line="40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拆除沥青砼道路</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1.道路材料:现状沥青砼道路</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2.厚度：综合考虑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3.工作内容：沥青砼路面面层及基层拆除、基层清理、集碴、装车外运等，运距综合考虑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4.部位：新旧沥青路面顺接处</w:t>
            </w:r>
          </w:p>
        </w:tc>
        <w:tc>
          <w:tcPr>
            <w:tcW w:w="553" w:type="dxa"/>
            <w:tcBorders>
              <w:top w:val="nil"/>
              <w:left w:val="nil"/>
              <w:bottom w:val="single" w:color="auto" w:sz="4" w:space="0"/>
              <w:right w:val="single" w:color="auto" w:sz="4" w:space="0"/>
            </w:tcBorders>
            <w:vAlign w:val="center"/>
          </w:tcPr>
          <w:p w14:paraId="7AF06AEE">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744331AE">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12.00</w:t>
            </w:r>
          </w:p>
        </w:tc>
        <w:tc>
          <w:tcPr>
            <w:tcW w:w="900" w:type="dxa"/>
            <w:tcBorders>
              <w:top w:val="nil"/>
              <w:left w:val="nil"/>
              <w:bottom w:val="single" w:color="auto" w:sz="4" w:space="0"/>
              <w:right w:val="single" w:color="auto" w:sz="4" w:space="0"/>
            </w:tcBorders>
            <w:noWrap/>
            <w:vAlign w:val="center"/>
          </w:tcPr>
          <w:p w14:paraId="50D5DEEA">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37D596D8">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6" w:type="dxa"/>
            <w:tcBorders>
              <w:top w:val="nil"/>
              <w:left w:val="nil"/>
              <w:bottom w:val="single" w:color="auto" w:sz="4" w:space="0"/>
              <w:right w:val="single" w:color="auto" w:sz="4" w:space="0"/>
            </w:tcBorders>
            <w:noWrap/>
            <w:vAlign w:val="center"/>
          </w:tcPr>
          <w:p w14:paraId="18089C29">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5BA05F47">
        <w:tblPrEx>
          <w:tblCellMar>
            <w:top w:w="0" w:type="dxa"/>
            <w:left w:w="108" w:type="dxa"/>
            <w:bottom w:w="0" w:type="dxa"/>
            <w:right w:w="108" w:type="dxa"/>
          </w:tblCellMar>
        </w:tblPrEx>
        <w:trPr>
          <w:trHeight w:val="1920" w:hRule="atLeast"/>
        </w:trPr>
        <w:tc>
          <w:tcPr>
            <w:tcW w:w="401" w:type="dxa"/>
            <w:tcBorders>
              <w:top w:val="nil"/>
              <w:left w:val="single" w:color="auto" w:sz="4" w:space="0"/>
              <w:bottom w:val="single" w:color="auto" w:sz="4" w:space="0"/>
              <w:right w:val="single" w:color="auto" w:sz="4" w:space="0"/>
            </w:tcBorders>
            <w:vAlign w:val="center"/>
          </w:tcPr>
          <w:p w14:paraId="5D36A80F">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10</w:t>
            </w:r>
          </w:p>
        </w:tc>
        <w:tc>
          <w:tcPr>
            <w:tcW w:w="4320" w:type="dxa"/>
            <w:tcBorders>
              <w:top w:val="nil"/>
              <w:left w:val="nil"/>
              <w:bottom w:val="single" w:color="auto" w:sz="4" w:space="0"/>
              <w:right w:val="single" w:color="auto" w:sz="4" w:space="0"/>
            </w:tcBorders>
            <w:vAlign w:val="center"/>
          </w:tcPr>
          <w:p w14:paraId="14DA2C61">
            <w:pPr>
              <w:widowControl/>
              <w:spacing w:line="40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清除草皮</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1.整理要求：清除原绿化用地内垃圾、石块、杂草、小灌木等杂物，平整顺地形和周围环境</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2.清除方式：综合考虑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3.工作内容：机械进出场、清理、集中堆放、回填树穴、清除等</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4.运距：综合考虑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5.范围：原地貌绿化区域</w:t>
            </w:r>
          </w:p>
        </w:tc>
        <w:tc>
          <w:tcPr>
            <w:tcW w:w="553" w:type="dxa"/>
            <w:tcBorders>
              <w:top w:val="nil"/>
              <w:left w:val="nil"/>
              <w:bottom w:val="single" w:color="auto" w:sz="4" w:space="0"/>
              <w:right w:val="single" w:color="auto" w:sz="4" w:space="0"/>
            </w:tcBorders>
            <w:vAlign w:val="center"/>
          </w:tcPr>
          <w:p w14:paraId="10E5526B">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m2</w:t>
            </w:r>
          </w:p>
        </w:tc>
        <w:tc>
          <w:tcPr>
            <w:tcW w:w="1026" w:type="dxa"/>
            <w:tcBorders>
              <w:top w:val="nil"/>
              <w:left w:val="nil"/>
              <w:bottom w:val="single" w:color="auto" w:sz="4" w:space="0"/>
              <w:right w:val="single" w:color="auto" w:sz="4" w:space="0"/>
            </w:tcBorders>
            <w:noWrap/>
            <w:vAlign w:val="center"/>
          </w:tcPr>
          <w:p w14:paraId="489789CB">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8914.65</w:t>
            </w:r>
          </w:p>
        </w:tc>
        <w:tc>
          <w:tcPr>
            <w:tcW w:w="900" w:type="dxa"/>
            <w:tcBorders>
              <w:top w:val="nil"/>
              <w:left w:val="nil"/>
              <w:bottom w:val="single" w:color="auto" w:sz="4" w:space="0"/>
              <w:right w:val="single" w:color="auto" w:sz="4" w:space="0"/>
            </w:tcBorders>
            <w:noWrap/>
            <w:vAlign w:val="center"/>
          </w:tcPr>
          <w:p w14:paraId="788E100D">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7D0AC4B8">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6" w:type="dxa"/>
            <w:tcBorders>
              <w:top w:val="nil"/>
              <w:left w:val="nil"/>
              <w:bottom w:val="single" w:color="auto" w:sz="4" w:space="0"/>
              <w:right w:val="single" w:color="auto" w:sz="4" w:space="0"/>
            </w:tcBorders>
            <w:noWrap/>
            <w:vAlign w:val="center"/>
          </w:tcPr>
          <w:p w14:paraId="2129CCBE">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6DD53F76">
        <w:tblPrEx>
          <w:tblCellMar>
            <w:top w:w="0" w:type="dxa"/>
            <w:left w:w="108" w:type="dxa"/>
            <w:bottom w:w="0" w:type="dxa"/>
            <w:right w:w="108" w:type="dxa"/>
          </w:tblCellMar>
        </w:tblPrEx>
        <w:trPr>
          <w:trHeight w:val="785" w:hRule="atLeast"/>
        </w:trPr>
        <w:tc>
          <w:tcPr>
            <w:tcW w:w="401" w:type="dxa"/>
            <w:tcBorders>
              <w:top w:val="nil"/>
              <w:left w:val="single" w:color="auto" w:sz="4" w:space="0"/>
              <w:bottom w:val="single" w:color="auto" w:sz="4" w:space="0"/>
              <w:right w:val="single" w:color="auto" w:sz="4" w:space="0"/>
            </w:tcBorders>
            <w:vAlign w:val="center"/>
          </w:tcPr>
          <w:p w14:paraId="327400DC">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11</w:t>
            </w:r>
          </w:p>
        </w:tc>
        <w:tc>
          <w:tcPr>
            <w:tcW w:w="4320" w:type="dxa"/>
            <w:tcBorders>
              <w:top w:val="nil"/>
              <w:left w:val="nil"/>
              <w:bottom w:val="single" w:color="auto" w:sz="4" w:space="0"/>
              <w:right w:val="single" w:color="auto" w:sz="4" w:space="0"/>
            </w:tcBorders>
            <w:vAlign w:val="center"/>
          </w:tcPr>
          <w:p w14:paraId="2751B823">
            <w:pPr>
              <w:widowControl/>
              <w:spacing w:line="40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垃圾外运</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1.废弃料品种:综合各种类的土、岩、砂、草木树根、建筑垃圾等</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2.运距:投标人根据实际情况自行考虑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3.工作内容补充:包括但不限于垃圾归堆、装载、运输、卸载、弃土场渣土消纳费、推平等，并满足经批准的《施工组织设计》,符合威海市环保、渣管部门及道路交通管理等规定</w:t>
            </w:r>
          </w:p>
        </w:tc>
        <w:tc>
          <w:tcPr>
            <w:tcW w:w="553" w:type="dxa"/>
            <w:tcBorders>
              <w:top w:val="nil"/>
              <w:left w:val="nil"/>
              <w:bottom w:val="single" w:color="auto" w:sz="4" w:space="0"/>
              <w:right w:val="single" w:color="auto" w:sz="4" w:space="0"/>
            </w:tcBorders>
            <w:vAlign w:val="center"/>
          </w:tcPr>
          <w:p w14:paraId="0511E3BF">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1A5ABF60">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2674.40</w:t>
            </w:r>
          </w:p>
        </w:tc>
        <w:tc>
          <w:tcPr>
            <w:tcW w:w="900" w:type="dxa"/>
            <w:tcBorders>
              <w:top w:val="nil"/>
              <w:left w:val="nil"/>
              <w:bottom w:val="single" w:color="auto" w:sz="4" w:space="0"/>
              <w:right w:val="single" w:color="auto" w:sz="4" w:space="0"/>
            </w:tcBorders>
            <w:noWrap/>
            <w:vAlign w:val="center"/>
          </w:tcPr>
          <w:p w14:paraId="266C8711">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2C864BB4">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6" w:type="dxa"/>
            <w:tcBorders>
              <w:top w:val="nil"/>
              <w:left w:val="nil"/>
              <w:bottom w:val="single" w:color="auto" w:sz="4" w:space="0"/>
              <w:right w:val="single" w:color="auto" w:sz="4" w:space="0"/>
            </w:tcBorders>
            <w:noWrap/>
            <w:vAlign w:val="center"/>
          </w:tcPr>
          <w:p w14:paraId="3712F888">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67B4CCBA">
        <w:tblPrEx>
          <w:tblCellMar>
            <w:top w:w="0" w:type="dxa"/>
            <w:left w:w="108" w:type="dxa"/>
            <w:bottom w:w="0" w:type="dxa"/>
            <w:right w:w="108" w:type="dxa"/>
          </w:tblCellMar>
        </w:tblPrEx>
        <w:trPr>
          <w:trHeight w:val="1440" w:hRule="atLeast"/>
        </w:trPr>
        <w:tc>
          <w:tcPr>
            <w:tcW w:w="401" w:type="dxa"/>
            <w:tcBorders>
              <w:top w:val="nil"/>
              <w:left w:val="single" w:color="auto" w:sz="4" w:space="0"/>
              <w:bottom w:val="single" w:color="auto" w:sz="4" w:space="0"/>
              <w:right w:val="single" w:color="auto" w:sz="4" w:space="0"/>
            </w:tcBorders>
            <w:vAlign w:val="center"/>
          </w:tcPr>
          <w:p w14:paraId="28F08BB4">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12</w:t>
            </w:r>
          </w:p>
        </w:tc>
        <w:tc>
          <w:tcPr>
            <w:tcW w:w="4320" w:type="dxa"/>
            <w:tcBorders>
              <w:top w:val="nil"/>
              <w:left w:val="nil"/>
              <w:bottom w:val="single" w:color="auto" w:sz="4" w:space="0"/>
              <w:right w:val="single" w:color="auto" w:sz="4" w:space="0"/>
            </w:tcBorders>
            <w:vAlign w:val="center"/>
          </w:tcPr>
          <w:p w14:paraId="2F2C395B">
            <w:pPr>
              <w:widowControl/>
              <w:spacing w:line="40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挖沟槽石方</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1.石方类别:次坚石</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2.开挖方式:机械破碎</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3.工作内容：石方开挖、基层清理、装车外运、弃土场平整等</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4.运距：3km</w:t>
            </w:r>
          </w:p>
        </w:tc>
        <w:tc>
          <w:tcPr>
            <w:tcW w:w="553" w:type="dxa"/>
            <w:tcBorders>
              <w:top w:val="nil"/>
              <w:left w:val="nil"/>
              <w:bottom w:val="single" w:color="auto" w:sz="4" w:space="0"/>
              <w:right w:val="single" w:color="auto" w:sz="4" w:space="0"/>
            </w:tcBorders>
            <w:vAlign w:val="center"/>
          </w:tcPr>
          <w:p w14:paraId="4EA11E0B">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160A5880">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3583.32</w:t>
            </w:r>
          </w:p>
        </w:tc>
        <w:tc>
          <w:tcPr>
            <w:tcW w:w="900" w:type="dxa"/>
            <w:tcBorders>
              <w:top w:val="nil"/>
              <w:left w:val="nil"/>
              <w:bottom w:val="single" w:color="auto" w:sz="4" w:space="0"/>
              <w:right w:val="single" w:color="auto" w:sz="4" w:space="0"/>
            </w:tcBorders>
            <w:noWrap/>
            <w:vAlign w:val="center"/>
          </w:tcPr>
          <w:p w14:paraId="25F1EB70">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4CE1DF5C">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6" w:type="dxa"/>
            <w:tcBorders>
              <w:top w:val="nil"/>
              <w:left w:val="nil"/>
              <w:bottom w:val="single" w:color="auto" w:sz="4" w:space="0"/>
              <w:right w:val="single" w:color="auto" w:sz="4" w:space="0"/>
            </w:tcBorders>
            <w:noWrap/>
            <w:vAlign w:val="center"/>
          </w:tcPr>
          <w:p w14:paraId="1042A4B1">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027A8590">
        <w:tblPrEx>
          <w:tblCellMar>
            <w:top w:w="0" w:type="dxa"/>
            <w:left w:w="108" w:type="dxa"/>
            <w:bottom w:w="0" w:type="dxa"/>
            <w:right w:w="108" w:type="dxa"/>
          </w:tblCellMar>
        </w:tblPrEx>
        <w:trPr>
          <w:trHeight w:val="1680" w:hRule="atLeast"/>
        </w:trPr>
        <w:tc>
          <w:tcPr>
            <w:tcW w:w="401" w:type="dxa"/>
            <w:tcBorders>
              <w:top w:val="nil"/>
              <w:left w:val="single" w:color="auto" w:sz="4" w:space="0"/>
              <w:bottom w:val="single" w:color="auto" w:sz="4" w:space="0"/>
              <w:right w:val="single" w:color="auto" w:sz="4" w:space="0"/>
            </w:tcBorders>
            <w:vAlign w:val="center"/>
          </w:tcPr>
          <w:p w14:paraId="1E1EDEC7">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13</w:t>
            </w:r>
          </w:p>
        </w:tc>
        <w:tc>
          <w:tcPr>
            <w:tcW w:w="4320" w:type="dxa"/>
            <w:tcBorders>
              <w:top w:val="nil"/>
              <w:left w:val="nil"/>
              <w:bottom w:val="single" w:color="auto" w:sz="4" w:space="0"/>
              <w:right w:val="single" w:color="auto" w:sz="4" w:space="0"/>
            </w:tcBorders>
            <w:vAlign w:val="center"/>
          </w:tcPr>
          <w:p w14:paraId="21553EA7">
            <w:pPr>
              <w:widowControl/>
              <w:spacing w:line="40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挖沟槽土方</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1.土壤类别:综合考虑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2.挖土深度:综合考虑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3.开挖方式:综合考虑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4.工作内容：土方开挖、基层清理、装车外运、弃土场平整等</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5.运距：3km</w:t>
            </w:r>
          </w:p>
        </w:tc>
        <w:tc>
          <w:tcPr>
            <w:tcW w:w="553" w:type="dxa"/>
            <w:tcBorders>
              <w:top w:val="nil"/>
              <w:left w:val="nil"/>
              <w:bottom w:val="single" w:color="auto" w:sz="4" w:space="0"/>
              <w:right w:val="single" w:color="auto" w:sz="4" w:space="0"/>
            </w:tcBorders>
            <w:vAlign w:val="center"/>
          </w:tcPr>
          <w:p w14:paraId="5E5155A6">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714F97FE">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2291.35</w:t>
            </w:r>
          </w:p>
        </w:tc>
        <w:tc>
          <w:tcPr>
            <w:tcW w:w="900" w:type="dxa"/>
            <w:tcBorders>
              <w:top w:val="nil"/>
              <w:left w:val="nil"/>
              <w:bottom w:val="single" w:color="auto" w:sz="4" w:space="0"/>
              <w:right w:val="single" w:color="auto" w:sz="4" w:space="0"/>
            </w:tcBorders>
            <w:noWrap/>
            <w:vAlign w:val="center"/>
          </w:tcPr>
          <w:p w14:paraId="1586F18C">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74ED4E84">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6" w:type="dxa"/>
            <w:tcBorders>
              <w:top w:val="nil"/>
              <w:left w:val="nil"/>
              <w:bottom w:val="single" w:color="auto" w:sz="4" w:space="0"/>
              <w:right w:val="single" w:color="auto" w:sz="4" w:space="0"/>
            </w:tcBorders>
            <w:noWrap/>
            <w:vAlign w:val="center"/>
          </w:tcPr>
          <w:p w14:paraId="4EEA02CE">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73A6ACC6">
        <w:tblPrEx>
          <w:tblCellMar>
            <w:top w:w="0" w:type="dxa"/>
            <w:left w:w="108" w:type="dxa"/>
            <w:bottom w:w="0" w:type="dxa"/>
            <w:right w:w="108" w:type="dxa"/>
          </w:tblCellMar>
        </w:tblPrEx>
        <w:trPr>
          <w:trHeight w:val="1200" w:hRule="atLeast"/>
        </w:trPr>
        <w:tc>
          <w:tcPr>
            <w:tcW w:w="401" w:type="dxa"/>
            <w:tcBorders>
              <w:top w:val="nil"/>
              <w:left w:val="single" w:color="auto" w:sz="4" w:space="0"/>
              <w:bottom w:val="single" w:color="auto" w:sz="4" w:space="0"/>
              <w:right w:val="single" w:color="auto" w:sz="4" w:space="0"/>
            </w:tcBorders>
            <w:vAlign w:val="center"/>
          </w:tcPr>
          <w:p w14:paraId="316287EE">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14</w:t>
            </w:r>
          </w:p>
        </w:tc>
        <w:tc>
          <w:tcPr>
            <w:tcW w:w="4320" w:type="dxa"/>
            <w:tcBorders>
              <w:top w:val="nil"/>
              <w:left w:val="nil"/>
              <w:bottom w:val="single" w:color="auto" w:sz="4" w:space="0"/>
              <w:right w:val="single" w:color="auto" w:sz="4" w:space="0"/>
            </w:tcBorders>
            <w:vAlign w:val="center"/>
          </w:tcPr>
          <w:p w14:paraId="2C058C28">
            <w:pPr>
              <w:widowControl/>
              <w:spacing w:line="40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拆除混凝土结构</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1.拆除方式：综合考虑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2.工作内容：拆除现状涵洞，废渣归堆、装车外运等，运距综合考虑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3.工程量按实际拆除混凝土体积计算</w:t>
            </w:r>
          </w:p>
        </w:tc>
        <w:tc>
          <w:tcPr>
            <w:tcW w:w="553" w:type="dxa"/>
            <w:tcBorders>
              <w:top w:val="nil"/>
              <w:left w:val="nil"/>
              <w:bottom w:val="single" w:color="auto" w:sz="4" w:space="0"/>
              <w:right w:val="single" w:color="auto" w:sz="4" w:space="0"/>
            </w:tcBorders>
            <w:vAlign w:val="center"/>
          </w:tcPr>
          <w:p w14:paraId="6BDEAB14">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58560238">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110.00</w:t>
            </w:r>
          </w:p>
        </w:tc>
        <w:tc>
          <w:tcPr>
            <w:tcW w:w="900" w:type="dxa"/>
            <w:tcBorders>
              <w:top w:val="nil"/>
              <w:left w:val="nil"/>
              <w:bottom w:val="single" w:color="auto" w:sz="4" w:space="0"/>
              <w:right w:val="single" w:color="auto" w:sz="4" w:space="0"/>
            </w:tcBorders>
            <w:noWrap/>
            <w:vAlign w:val="center"/>
          </w:tcPr>
          <w:p w14:paraId="76A0042B">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73CCE00D">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6" w:type="dxa"/>
            <w:tcBorders>
              <w:top w:val="nil"/>
              <w:left w:val="nil"/>
              <w:bottom w:val="single" w:color="auto" w:sz="4" w:space="0"/>
              <w:right w:val="single" w:color="auto" w:sz="4" w:space="0"/>
            </w:tcBorders>
            <w:noWrap/>
            <w:vAlign w:val="center"/>
          </w:tcPr>
          <w:p w14:paraId="15BC4B6F">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19BA735B">
        <w:tblPrEx>
          <w:tblCellMar>
            <w:top w:w="0" w:type="dxa"/>
            <w:left w:w="108" w:type="dxa"/>
            <w:bottom w:w="0" w:type="dxa"/>
            <w:right w:w="108" w:type="dxa"/>
          </w:tblCellMar>
        </w:tblPrEx>
        <w:trPr>
          <w:trHeight w:val="960" w:hRule="atLeast"/>
        </w:trPr>
        <w:tc>
          <w:tcPr>
            <w:tcW w:w="401" w:type="dxa"/>
            <w:tcBorders>
              <w:top w:val="nil"/>
              <w:left w:val="single" w:color="auto" w:sz="4" w:space="0"/>
              <w:bottom w:val="single" w:color="auto" w:sz="4" w:space="0"/>
              <w:right w:val="single" w:color="auto" w:sz="4" w:space="0"/>
            </w:tcBorders>
            <w:vAlign w:val="center"/>
          </w:tcPr>
          <w:p w14:paraId="5C3F24C2">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15</w:t>
            </w:r>
          </w:p>
        </w:tc>
        <w:tc>
          <w:tcPr>
            <w:tcW w:w="4320" w:type="dxa"/>
            <w:tcBorders>
              <w:top w:val="nil"/>
              <w:left w:val="nil"/>
              <w:bottom w:val="single" w:color="auto" w:sz="4" w:space="0"/>
              <w:right w:val="single" w:color="auto" w:sz="4" w:space="0"/>
            </w:tcBorders>
            <w:vAlign w:val="center"/>
          </w:tcPr>
          <w:p w14:paraId="7D7217FD">
            <w:pPr>
              <w:widowControl/>
              <w:spacing w:line="40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填方</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1.填方材料品种：级配砂石</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2.密实度：满足设计及规范要求</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3.部位：箱涵台背</w:t>
            </w:r>
          </w:p>
        </w:tc>
        <w:tc>
          <w:tcPr>
            <w:tcW w:w="553" w:type="dxa"/>
            <w:tcBorders>
              <w:top w:val="nil"/>
              <w:left w:val="nil"/>
              <w:bottom w:val="single" w:color="auto" w:sz="4" w:space="0"/>
              <w:right w:val="single" w:color="auto" w:sz="4" w:space="0"/>
            </w:tcBorders>
            <w:vAlign w:val="center"/>
          </w:tcPr>
          <w:p w14:paraId="1D0F4C3C">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6EEC4F11">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262.31</w:t>
            </w:r>
          </w:p>
        </w:tc>
        <w:tc>
          <w:tcPr>
            <w:tcW w:w="900" w:type="dxa"/>
            <w:tcBorders>
              <w:top w:val="nil"/>
              <w:left w:val="nil"/>
              <w:bottom w:val="single" w:color="auto" w:sz="4" w:space="0"/>
              <w:right w:val="single" w:color="auto" w:sz="4" w:space="0"/>
            </w:tcBorders>
            <w:noWrap/>
            <w:vAlign w:val="center"/>
          </w:tcPr>
          <w:p w14:paraId="7AA244FF">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3E3DD45C">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6" w:type="dxa"/>
            <w:tcBorders>
              <w:top w:val="nil"/>
              <w:left w:val="nil"/>
              <w:bottom w:val="single" w:color="auto" w:sz="4" w:space="0"/>
              <w:right w:val="single" w:color="auto" w:sz="4" w:space="0"/>
            </w:tcBorders>
            <w:noWrap/>
            <w:vAlign w:val="center"/>
          </w:tcPr>
          <w:p w14:paraId="6508B2A6">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6C937A69">
        <w:tblPrEx>
          <w:tblCellMar>
            <w:top w:w="0" w:type="dxa"/>
            <w:left w:w="108" w:type="dxa"/>
            <w:bottom w:w="0" w:type="dxa"/>
            <w:right w:w="108" w:type="dxa"/>
          </w:tblCellMar>
        </w:tblPrEx>
        <w:trPr>
          <w:trHeight w:val="1200" w:hRule="atLeast"/>
        </w:trPr>
        <w:tc>
          <w:tcPr>
            <w:tcW w:w="401" w:type="dxa"/>
            <w:tcBorders>
              <w:top w:val="nil"/>
              <w:left w:val="single" w:color="auto" w:sz="4" w:space="0"/>
              <w:bottom w:val="single" w:color="auto" w:sz="4" w:space="0"/>
              <w:right w:val="single" w:color="auto" w:sz="4" w:space="0"/>
            </w:tcBorders>
            <w:vAlign w:val="center"/>
          </w:tcPr>
          <w:p w14:paraId="20E836DD">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16</w:t>
            </w:r>
          </w:p>
        </w:tc>
        <w:tc>
          <w:tcPr>
            <w:tcW w:w="4320" w:type="dxa"/>
            <w:tcBorders>
              <w:top w:val="nil"/>
              <w:left w:val="nil"/>
              <w:bottom w:val="single" w:color="auto" w:sz="4" w:space="0"/>
              <w:right w:val="single" w:color="auto" w:sz="4" w:space="0"/>
            </w:tcBorders>
            <w:vAlign w:val="center"/>
          </w:tcPr>
          <w:p w14:paraId="078D76BC">
            <w:pPr>
              <w:widowControl/>
              <w:spacing w:line="40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拆除砖石结构</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1.拆除方式：综合考虑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2.工作内容：拆除现状挡墙，废渣归堆，装车外运等，运距综合考虑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3.工程量按实际拆除砌体体积计算</w:t>
            </w:r>
          </w:p>
        </w:tc>
        <w:tc>
          <w:tcPr>
            <w:tcW w:w="553" w:type="dxa"/>
            <w:tcBorders>
              <w:top w:val="nil"/>
              <w:left w:val="nil"/>
              <w:bottom w:val="single" w:color="auto" w:sz="4" w:space="0"/>
              <w:right w:val="single" w:color="auto" w:sz="4" w:space="0"/>
            </w:tcBorders>
            <w:vAlign w:val="center"/>
          </w:tcPr>
          <w:p w14:paraId="5910B17C">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7075BBCF">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1047.09</w:t>
            </w:r>
          </w:p>
        </w:tc>
        <w:tc>
          <w:tcPr>
            <w:tcW w:w="900" w:type="dxa"/>
            <w:tcBorders>
              <w:top w:val="nil"/>
              <w:left w:val="nil"/>
              <w:bottom w:val="single" w:color="auto" w:sz="4" w:space="0"/>
              <w:right w:val="single" w:color="auto" w:sz="4" w:space="0"/>
            </w:tcBorders>
            <w:noWrap/>
            <w:vAlign w:val="center"/>
          </w:tcPr>
          <w:p w14:paraId="6FB2E543">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3D123F4A">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6" w:type="dxa"/>
            <w:tcBorders>
              <w:top w:val="nil"/>
              <w:left w:val="nil"/>
              <w:bottom w:val="single" w:color="auto" w:sz="4" w:space="0"/>
              <w:right w:val="single" w:color="auto" w:sz="4" w:space="0"/>
            </w:tcBorders>
            <w:noWrap/>
            <w:vAlign w:val="center"/>
          </w:tcPr>
          <w:p w14:paraId="0012CEC8">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7F4F358A">
        <w:tblPrEx>
          <w:tblCellMar>
            <w:top w:w="0" w:type="dxa"/>
            <w:left w:w="108" w:type="dxa"/>
            <w:bottom w:w="0" w:type="dxa"/>
            <w:right w:w="108" w:type="dxa"/>
          </w:tblCellMar>
        </w:tblPrEx>
        <w:trPr>
          <w:trHeight w:val="1200" w:hRule="atLeast"/>
        </w:trPr>
        <w:tc>
          <w:tcPr>
            <w:tcW w:w="401" w:type="dxa"/>
            <w:tcBorders>
              <w:top w:val="nil"/>
              <w:left w:val="single" w:color="auto" w:sz="4" w:space="0"/>
              <w:bottom w:val="single" w:color="auto" w:sz="4" w:space="0"/>
              <w:right w:val="single" w:color="auto" w:sz="4" w:space="0"/>
            </w:tcBorders>
            <w:vAlign w:val="center"/>
          </w:tcPr>
          <w:p w14:paraId="70CC1158">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17</w:t>
            </w:r>
          </w:p>
        </w:tc>
        <w:tc>
          <w:tcPr>
            <w:tcW w:w="4320" w:type="dxa"/>
            <w:tcBorders>
              <w:top w:val="nil"/>
              <w:left w:val="nil"/>
              <w:bottom w:val="single" w:color="auto" w:sz="4" w:space="0"/>
              <w:right w:val="single" w:color="auto" w:sz="4" w:space="0"/>
            </w:tcBorders>
            <w:vAlign w:val="center"/>
          </w:tcPr>
          <w:p w14:paraId="5FC2468B">
            <w:pPr>
              <w:widowControl/>
              <w:spacing w:line="40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挖淤泥</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1.开挖深度：综合考虑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2.开挖方式：综合考虑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3.工作内容：河道清淤、垃圾归堆、装车外运，运距3km</w:t>
            </w:r>
          </w:p>
        </w:tc>
        <w:tc>
          <w:tcPr>
            <w:tcW w:w="553" w:type="dxa"/>
            <w:tcBorders>
              <w:top w:val="nil"/>
              <w:left w:val="nil"/>
              <w:bottom w:val="single" w:color="auto" w:sz="4" w:space="0"/>
              <w:right w:val="single" w:color="auto" w:sz="4" w:space="0"/>
            </w:tcBorders>
            <w:vAlign w:val="center"/>
          </w:tcPr>
          <w:p w14:paraId="3B1919CA">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4CFF2550">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1650.00</w:t>
            </w:r>
          </w:p>
        </w:tc>
        <w:tc>
          <w:tcPr>
            <w:tcW w:w="900" w:type="dxa"/>
            <w:tcBorders>
              <w:top w:val="nil"/>
              <w:left w:val="nil"/>
              <w:bottom w:val="single" w:color="auto" w:sz="4" w:space="0"/>
              <w:right w:val="single" w:color="auto" w:sz="4" w:space="0"/>
            </w:tcBorders>
            <w:noWrap/>
            <w:vAlign w:val="center"/>
          </w:tcPr>
          <w:p w14:paraId="73473A1D">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0E8D5264">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6" w:type="dxa"/>
            <w:tcBorders>
              <w:top w:val="nil"/>
              <w:left w:val="nil"/>
              <w:bottom w:val="single" w:color="auto" w:sz="4" w:space="0"/>
              <w:right w:val="single" w:color="auto" w:sz="4" w:space="0"/>
            </w:tcBorders>
            <w:noWrap/>
            <w:vAlign w:val="center"/>
          </w:tcPr>
          <w:p w14:paraId="5E9E7083">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0AC9DEF8">
        <w:tblPrEx>
          <w:tblCellMar>
            <w:top w:w="0" w:type="dxa"/>
            <w:left w:w="108" w:type="dxa"/>
            <w:bottom w:w="0" w:type="dxa"/>
            <w:right w:w="108" w:type="dxa"/>
          </w:tblCellMar>
        </w:tblPrEx>
        <w:trPr>
          <w:trHeight w:val="1200" w:hRule="atLeast"/>
        </w:trPr>
        <w:tc>
          <w:tcPr>
            <w:tcW w:w="401" w:type="dxa"/>
            <w:tcBorders>
              <w:top w:val="nil"/>
              <w:left w:val="single" w:color="auto" w:sz="4" w:space="0"/>
              <w:bottom w:val="single" w:color="auto" w:sz="4" w:space="0"/>
              <w:right w:val="single" w:color="auto" w:sz="4" w:space="0"/>
            </w:tcBorders>
            <w:vAlign w:val="center"/>
          </w:tcPr>
          <w:p w14:paraId="1CC5FB2D">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18</w:t>
            </w:r>
          </w:p>
        </w:tc>
        <w:tc>
          <w:tcPr>
            <w:tcW w:w="4320" w:type="dxa"/>
            <w:tcBorders>
              <w:top w:val="nil"/>
              <w:left w:val="nil"/>
              <w:bottom w:val="single" w:color="auto" w:sz="4" w:space="0"/>
              <w:right w:val="single" w:color="auto" w:sz="4" w:space="0"/>
            </w:tcBorders>
            <w:vAlign w:val="center"/>
          </w:tcPr>
          <w:p w14:paraId="7241B38D">
            <w:pPr>
              <w:widowControl/>
              <w:spacing w:line="40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挖一般土方（弃土外运）</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1.土壤类别：综合考虑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2.开挖方式：综合考虑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3.工作内容：挖土、装车、余土外运、弃土场地平整等，运距3km</w:t>
            </w:r>
          </w:p>
        </w:tc>
        <w:tc>
          <w:tcPr>
            <w:tcW w:w="553" w:type="dxa"/>
            <w:tcBorders>
              <w:top w:val="nil"/>
              <w:left w:val="nil"/>
              <w:bottom w:val="single" w:color="auto" w:sz="4" w:space="0"/>
              <w:right w:val="single" w:color="auto" w:sz="4" w:space="0"/>
            </w:tcBorders>
            <w:vAlign w:val="center"/>
          </w:tcPr>
          <w:p w14:paraId="5D922FFE">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4C480235">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4672.38</w:t>
            </w:r>
          </w:p>
        </w:tc>
        <w:tc>
          <w:tcPr>
            <w:tcW w:w="900" w:type="dxa"/>
            <w:tcBorders>
              <w:top w:val="nil"/>
              <w:left w:val="nil"/>
              <w:bottom w:val="single" w:color="auto" w:sz="4" w:space="0"/>
              <w:right w:val="single" w:color="auto" w:sz="4" w:space="0"/>
            </w:tcBorders>
            <w:noWrap/>
            <w:vAlign w:val="center"/>
          </w:tcPr>
          <w:p w14:paraId="01898A6B">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148FD236">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6" w:type="dxa"/>
            <w:tcBorders>
              <w:top w:val="nil"/>
              <w:left w:val="nil"/>
              <w:bottom w:val="single" w:color="auto" w:sz="4" w:space="0"/>
              <w:right w:val="single" w:color="auto" w:sz="4" w:space="0"/>
            </w:tcBorders>
            <w:noWrap/>
            <w:vAlign w:val="center"/>
          </w:tcPr>
          <w:p w14:paraId="6C8022F4">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0E257883">
        <w:tblPrEx>
          <w:tblCellMar>
            <w:top w:w="0" w:type="dxa"/>
            <w:left w:w="108" w:type="dxa"/>
            <w:bottom w:w="0" w:type="dxa"/>
            <w:right w:w="108" w:type="dxa"/>
          </w:tblCellMar>
        </w:tblPrEx>
        <w:trPr>
          <w:trHeight w:val="720" w:hRule="atLeast"/>
        </w:trPr>
        <w:tc>
          <w:tcPr>
            <w:tcW w:w="401" w:type="dxa"/>
            <w:tcBorders>
              <w:top w:val="nil"/>
              <w:left w:val="single" w:color="auto" w:sz="4" w:space="0"/>
              <w:bottom w:val="single" w:color="auto" w:sz="4" w:space="0"/>
              <w:right w:val="single" w:color="auto" w:sz="4" w:space="0"/>
            </w:tcBorders>
            <w:vAlign w:val="center"/>
          </w:tcPr>
          <w:p w14:paraId="7D7B96BF">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19</w:t>
            </w:r>
          </w:p>
        </w:tc>
        <w:tc>
          <w:tcPr>
            <w:tcW w:w="4320" w:type="dxa"/>
            <w:tcBorders>
              <w:top w:val="nil"/>
              <w:left w:val="nil"/>
              <w:bottom w:val="single" w:color="auto" w:sz="4" w:space="0"/>
              <w:right w:val="single" w:color="auto" w:sz="4" w:space="0"/>
            </w:tcBorders>
            <w:vAlign w:val="center"/>
          </w:tcPr>
          <w:p w14:paraId="0953289B">
            <w:pPr>
              <w:widowControl/>
              <w:spacing w:line="40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换填碎石</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1.工作内容：回填碎石，压实系数满足设计及规范要求</w:t>
            </w:r>
          </w:p>
        </w:tc>
        <w:tc>
          <w:tcPr>
            <w:tcW w:w="553" w:type="dxa"/>
            <w:tcBorders>
              <w:top w:val="nil"/>
              <w:left w:val="nil"/>
              <w:bottom w:val="single" w:color="auto" w:sz="4" w:space="0"/>
              <w:right w:val="single" w:color="auto" w:sz="4" w:space="0"/>
            </w:tcBorders>
            <w:vAlign w:val="center"/>
          </w:tcPr>
          <w:p w14:paraId="564988AA">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5E0CD11A">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1552.00</w:t>
            </w:r>
          </w:p>
        </w:tc>
        <w:tc>
          <w:tcPr>
            <w:tcW w:w="900" w:type="dxa"/>
            <w:tcBorders>
              <w:top w:val="nil"/>
              <w:left w:val="nil"/>
              <w:bottom w:val="single" w:color="auto" w:sz="4" w:space="0"/>
              <w:right w:val="single" w:color="auto" w:sz="4" w:space="0"/>
            </w:tcBorders>
            <w:noWrap/>
            <w:vAlign w:val="center"/>
          </w:tcPr>
          <w:p w14:paraId="2CBEA924">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296B83A0">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6" w:type="dxa"/>
            <w:tcBorders>
              <w:top w:val="nil"/>
              <w:left w:val="nil"/>
              <w:bottom w:val="single" w:color="auto" w:sz="4" w:space="0"/>
              <w:right w:val="single" w:color="auto" w:sz="4" w:space="0"/>
            </w:tcBorders>
            <w:noWrap/>
            <w:vAlign w:val="center"/>
          </w:tcPr>
          <w:p w14:paraId="1CA557C9">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5E0F5DFB">
        <w:tblPrEx>
          <w:tblCellMar>
            <w:top w:w="0" w:type="dxa"/>
            <w:left w:w="108" w:type="dxa"/>
            <w:bottom w:w="0" w:type="dxa"/>
            <w:right w:w="108" w:type="dxa"/>
          </w:tblCellMar>
        </w:tblPrEx>
        <w:trPr>
          <w:trHeight w:val="960" w:hRule="atLeast"/>
        </w:trPr>
        <w:tc>
          <w:tcPr>
            <w:tcW w:w="401" w:type="dxa"/>
            <w:tcBorders>
              <w:top w:val="nil"/>
              <w:left w:val="single" w:color="auto" w:sz="4" w:space="0"/>
              <w:bottom w:val="single" w:color="auto" w:sz="4" w:space="0"/>
              <w:right w:val="single" w:color="auto" w:sz="4" w:space="0"/>
            </w:tcBorders>
            <w:vAlign w:val="center"/>
          </w:tcPr>
          <w:p w14:paraId="4E8CFFCC">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20</w:t>
            </w:r>
          </w:p>
        </w:tc>
        <w:tc>
          <w:tcPr>
            <w:tcW w:w="4320" w:type="dxa"/>
            <w:tcBorders>
              <w:top w:val="nil"/>
              <w:left w:val="nil"/>
              <w:bottom w:val="single" w:color="auto" w:sz="4" w:space="0"/>
              <w:right w:val="single" w:color="auto" w:sz="4" w:space="0"/>
            </w:tcBorders>
            <w:vAlign w:val="center"/>
          </w:tcPr>
          <w:p w14:paraId="123E1685">
            <w:pPr>
              <w:widowControl/>
              <w:spacing w:line="40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填方</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1.填方材料品种：砂性土</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2.密实度：满足设计及规范要求</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3.部位：挡土墙后</w:t>
            </w:r>
          </w:p>
        </w:tc>
        <w:tc>
          <w:tcPr>
            <w:tcW w:w="553" w:type="dxa"/>
            <w:tcBorders>
              <w:top w:val="nil"/>
              <w:left w:val="nil"/>
              <w:bottom w:val="single" w:color="auto" w:sz="4" w:space="0"/>
              <w:right w:val="single" w:color="auto" w:sz="4" w:space="0"/>
            </w:tcBorders>
            <w:vAlign w:val="center"/>
          </w:tcPr>
          <w:p w14:paraId="72F2A4E2">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61AC779F">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4767.69</w:t>
            </w:r>
          </w:p>
        </w:tc>
        <w:tc>
          <w:tcPr>
            <w:tcW w:w="900" w:type="dxa"/>
            <w:tcBorders>
              <w:top w:val="nil"/>
              <w:left w:val="nil"/>
              <w:bottom w:val="single" w:color="auto" w:sz="4" w:space="0"/>
              <w:right w:val="single" w:color="auto" w:sz="4" w:space="0"/>
            </w:tcBorders>
            <w:noWrap/>
            <w:vAlign w:val="center"/>
          </w:tcPr>
          <w:p w14:paraId="307602FA">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3A5D0018">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6" w:type="dxa"/>
            <w:tcBorders>
              <w:top w:val="nil"/>
              <w:left w:val="nil"/>
              <w:bottom w:val="single" w:color="auto" w:sz="4" w:space="0"/>
              <w:right w:val="single" w:color="auto" w:sz="4" w:space="0"/>
            </w:tcBorders>
            <w:noWrap/>
            <w:vAlign w:val="center"/>
          </w:tcPr>
          <w:p w14:paraId="1CD9794E">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12105890">
        <w:tblPrEx>
          <w:tblCellMar>
            <w:top w:w="0" w:type="dxa"/>
            <w:left w:w="108" w:type="dxa"/>
            <w:bottom w:w="0" w:type="dxa"/>
            <w:right w:w="108" w:type="dxa"/>
          </w:tblCellMar>
        </w:tblPrEx>
        <w:trPr>
          <w:trHeight w:val="1200" w:hRule="atLeast"/>
        </w:trPr>
        <w:tc>
          <w:tcPr>
            <w:tcW w:w="401" w:type="dxa"/>
            <w:tcBorders>
              <w:top w:val="nil"/>
              <w:left w:val="single" w:color="auto" w:sz="4" w:space="0"/>
              <w:bottom w:val="single" w:color="auto" w:sz="4" w:space="0"/>
              <w:right w:val="single" w:color="auto" w:sz="4" w:space="0"/>
            </w:tcBorders>
            <w:vAlign w:val="center"/>
          </w:tcPr>
          <w:p w14:paraId="0E954C50">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21</w:t>
            </w:r>
          </w:p>
        </w:tc>
        <w:tc>
          <w:tcPr>
            <w:tcW w:w="4320" w:type="dxa"/>
            <w:tcBorders>
              <w:top w:val="nil"/>
              <w:left w:val="nil"/>
              <w:bottom w:val="single" w:color="auto" w:sz="4" w:space="0"/>
              <w:right w:val="single" w:color="auto" w:sz="4" w:space="0"/>
            </w:tcBorders>
            <w:vAlign w:val="center"/>
          </w:tcPr>
          <w:p w14:paraId="109D62A5">
            <w:pPr>
              <w:widowControl/>
              <w:spacing w:line="40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回填风化料</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1.部位：桥面人行道下</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2.填方材料品种：风化料</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3.密实度:满足设计图纸及规范要求</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4.工作内容：回填、碾压、平整等</w:t>
            </w:r>
          </w:p>
        </w:tc>
        <w:tc>
          <w:tcPr>
            <w:tcW w:w="553" w:type="dxa"/>
            <w:tcBorders>
              <w:top w:val="nil"/>
              <w:left w:val="nil"/>
              <w:bottom w:val="single" w:color="auto" w:sz="4" w:space="0"/>
              <w:right w:val="single" w:color="auto" w:sz="4" w:space="0"/>
            </w:tcBorders>
            <w:vAlign w:val="center"/>
          </w:tcPr>
          <w:p w14:paraId="00DE15A8">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62F18CF8">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11.66</w:t>
            </w:r>
          </w:p>
        </w:tc>
        <w:tc>
          <w:tcPr>
            <w:tcW w:w="900" w:type="dxa"/>
            <w:tcBorders>
              <w:top w:val="nil"/>
              <w:left w:val="nil"/>
              <w:bottom w:val="single" w:color="auto" w:sz="4" w:space="0"/>
              <w:right w:val="single" w:color="auto" w:sz="4" w:space="0"/>
            </w:tcBorders>
            <w:noWrap/>
            <w:vAlign w:val="center"/>
          </w:tcPr>
          <w:p w14:paraId="67B9F61C">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64238AAE">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6" w:type="dxa"/>
            <w:tcBorders>
              <w:top w:val="nil"/>
              <w:left w:val="nil"/>
              <w:bottom w:val="single" w:color="auto" w:sz="4" w:space="0"/>
              <w:right w:val="single" w:color="auto" w:sz="4" w:space="0"/>
            </w:tcBorders>
            <w:noWrap/>
            <w:vAlign w:val="center"/>
          </w:tcPr>
          <w:p w14:paraId="428C0E60">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7447E47B">
        <w:tblPrEx>
          <w:tblCellMar>
            <w:top w:w="0" w:type="dxa"/>
            <w:left w:w="108" w:type="dxa"/>
            <w:bottom w:w="0" w:type="dxa"/>
            <w:right w:w="108" w:type="dxa"/>
          </w:tblCellMar>
        </w:tblPrEx>
        <w:trPr>
          <w:trHeight w:val="960" w:hRule="atLeast"/>
        </w:trPr>
        <w:tc>
          <w:tcPr>
            <w:tcW w:w="401" w:type="dxa"/>
            <w:tcBorders>
              <w:top w:val="nil"/>
              <w:left w:val="single" w:color="auto" w:sz="4" w:space="0"/>
              <w:bottom w:val="single" w:color="auto" w:sz="4" w:space="0"/>
              <w:right w:val="single" w:color="auto" w:sz="4" w:space="0"/>
            </w:tcBorders>
            <w:vAlign w:val="center"/>
          </w:tcPr>
          <w:p w14:paraId="18223E11">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22</w:t>
            </w:r>
          </w:p>
        </w:tc>
        <w:tc>
          <w:tcPr>
            <w:tcW w:w="4320" w:type="dxa"/>
            <w:tcBorders>
              <w:top w:val="nil"/>
              <w:left w:val="nil"/>
              <w:bottom w:val="single" w:color="auto" w:sz="4" w:space="0"/>
              <w:right w:val="single" w:color="auto" w:sz="4" w:space="0"/>
            </w:tcBorders>
            <w:vAlign w:val="center"/>
          </w:tcPr>
          <w:p w14:paraId="74B3DD07">
            <w:pPr>
              <w:widowControl/>
              <w:spacing w:line="40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挖一般土方（内倒弃方）</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1.土壤类别：综合考虑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2.开挖方式：综合考虑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3.工作内容：挖土、装车、场内运输、卸土等</w:t>
            </w:r>
          </w:p>
        </w:tc>
        <w:tc>
          <w:tcPr>
            <w:tcW w:w="553" w:type="dxa"/>
            <w:tcBorders>
              <w:top w:val="nil"/>
              <w:left w:val="nil"/>
              <w:bottom w:val="single" w:color="auto" w:sz="4" w:space="0"/>
              <w:right w:val="single" w:color="auto" w:sz="4" w:space="0"/>
            </w:tcBorders>
            <w:vAlign w:val="center"/>
          </w:tcPr>
          <w:p w14:paraId="333340FE">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50511608">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4069.00</w:t>
            </w:r>
          </w:p>
        </w:tc>
        <w:tc>
          <w:tcPr>
            <w:tcW w:w="900" w:type="dxa"/>
            <w:tcBorders>
              <w:top w:val="nil"/>
              <w:left w:val="nil"/>
              <w:bottom w:val="single" w:color="auto" w:sz="4" w:space="0"/>
              <w:right w:val="single" w:color="auto" w:sz="4" w:space="0"/>
            </w:tcBorders>
            <w:noWrap/>
            <w:vAlign w:val="center"/>
          </w:tcPr>
          <w:p w14:paraId="51C70EDE">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5C922BF2">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6" w:type="dxa"/>
            <w:tcBorders>
              <w:top w:val="nil"/>
              <w:left w:val="nil"/>
              <w:bottom w:val="single" w:color="auto" w:sz="4" w:space="0"/>
              <w:right w:val="single" w:color="auto" w:sz="4" w:space="0"/>
            </w:tcBorders>
            <w:noWrap/>
            <w:vAlign w:val="center"/>
          </w:tcPr>
          <w:p w14:paraId="6EACBFD3">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72EF235A">
        <w:tblPrEx>
          <w:tblCellMar>
            <w:top w:w="0" w:type="dxa"/>
            <w:left w:w="108" w:type="dxa"/>
            <w:bottom w:w="0" w:type="dxa"/>
            <w:right w:w="108" w:type="dxa"/>
          </w:tblCellMar>
        </w:tblPrEx>
        <w:trPr>
          <w:trHeight w:val="390" w:hRule="atLeast"/>
        </w:trPr>
        <w:tc>
          <w:tcPr>
            <w:tcW w:w="401" w:type="dxa"/>
            <w:tcBorders>
              <w:top w:val="nil"/>
              <w:left w:val="single" w:color="auto" w:sz="4" w:space="0"/>
              <w:bottom w:val="single" w:color="auto" w:sz="4" w:space="0"/>
              <w:right w:val="single" w:color="auto" w:sz="4" w:space="0"/>
            </w:tcBorders>
            <w:vAlign w:val="center"/>
          </w:tcPr>
          <w:p w14:paraId="05153301">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一</w:t>
            </w:r>
          </w:p>
        </w:tc>
        <w:tc>
          <w:tcPr>
            <w:tcW w:w="4320" w:type="dxa"/>
            <w:tcBorders>
              <w:top w:val="nil"/>
              <w:left w:val="nil"/>
              <w:bottom w:val="single" w:color="auto" w:sz="4" w:space="0"/>
              <w:right w:val="single" w:color="auto" w:sz="4" w:space="0"/>
            </w:tcBorders>
            <w:vAlign w:val="center"/>
          </w:tcPr>
          <w:p w14:paraId="19526BA2">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小计</w:t>
            </w:r>
          </w:p>
        </w:tc>
        <w:tc>
          <w:tcPr>
            <w:tcW w:w="553" w:type="dxa"/>
            <w:tcBorders>
              <w:top w:val="nil"/>
              <w:left w:val="nil"/>
              <w:bottom w:val="single" w:color="auto" w:sz="4" w:space="0"/>
              <w:right w:val="single" w:color="auto" w:sz="4" w:space="0"/>
            </w:tcBorders>
            <w:vAlign w:val="center"/>
          </w:tcPr>
          <w:p w14:paraId="09F7D728">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元</w:t>
            </w:r>
          </w:p>
        </w:tc>
        <w:tc>
          <w:tcPr>
            <w:tcW w:w="1026" w:type="dxa"/>
            <w:tcBorders>
              <w:top w:val="nil"/>
              <w:left w:val="nil"/>
              <w:bottom w:val="single" w:color="auto" w:sz="4" w:space="0"/>
              <w:right w:val="single" w:color="auto" w:sz="4" w:space="0"/>
            </w:tcBorders>
            <w:noWrap/>
            <w:vAlign w:val="center"/>
          </w:tcPr>
          <w:p w14:paraId="0405E0F1">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00" w:type="dxa"/>
            <w:tcBorders>
              <w:top w:val="nil"/>
              <w:left w:val="nil"/>
              <w:bottom w:val="single" w:color="auto" w:sz="4" w:space="0"/>
              <w:right w:val="single" w:color="auto" w:sz="4" w:space="0"/>
            </w:tcBorders>
            <w:noWrap/>
            <w:vAlign w:val="center"/>
          </w:tcPr>
          <w:p w14:paraId="709334FF">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5A65045C">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6" w:type="dxa"/>
            <w:tcBorders>
              <w:top w:val="nil"/>
              <w:left w:val="nil"/>
              <w:bottom w:val="single" w:color="auto" w:sz="4" w:space="0"/>
              <w:right w:val="single" w:color="auto" w:sz="4" w:space="0"/>
            </w:tcBorders>
            <w:noWrap/>
            <w:vAlign w:val="center"/>
          </w:tcPr>
          <w:p w14:paraId="706522A6">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4E20FAA7">
        <w:tblPrEx>
          <w:tblCellMar>
            <w:top w:w="0" w:type="dxa"/>
            <w:left w:w="108" w:type="dxa"/>
            <w:bottom w:w="0" w:type="dxa"/>
            <w:right w:w="108" w:type="dxa"/>
          </w:tblCellMar>
        </w:tblPrEx>
        <w:trPr>
          <w:trHeight w:val="390" w:hRule="atLeast"/>
        </w:trPr>
        <w:tc>
          <w:tcPr>
            <w:tcW w:w="401" w:type="dxa"/>
            <w:tcBorders>
              <w:top w:val="nil"/>
              <w:left w:val="single" w:color="auto" w:sz="4" w:space="0"/>
              <w:bottom w:val="single" w:color="auto" w:sz="4" w:space="0"/>
              <w:right w:val="single" w:color="auto" w:sz="4" w:space="0"/>
            </w:tcBorders>
            <w:vAlign w:val="center"/>
          </w:tcPr>
          <w:p w14:paraId="5B2C2702">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二</w:t>
            </w:r>
          </w:p>
        </w:tc>
        <w:tc>
          <w:tcPr>
            <w:tcW w:w="4320" w:type="dxa"/>
            <w:tcBorders>
              <w:top w:val="nil"/>
              <w:left w:val="nil"/>
              <w:bottom w:val="single" w:color="auto" w:sz="4" w:space="0"/>
              <w:right w:val="single" w:color="auto" w:sz="4" w:space="0"/>
            </w:tcBorders>
            <w:vAlign w:val="center"/>
          </w:tcPr>
          <w:p w14:paraId="47E1668C">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暂列金</w:t>
            </w:r>
          </w:p>
        </w:tc>
        <w:tc>
          <w:tcPr>
            <w:tcW w:w="553" w:type="dxa"/>
            <w:tcBorders>
              <w:top w:val="nil"/>
              <w:left w:val="nil"/>
              <w:bottom w:val="single" w:color="auto" w:sz="4" w:space="0"/>
              <w:right w:val="single" w:color="auto" w:sz="4" w:space="0"/>
            </w:tcBorders>
            <w:vAlign w:val="center"/>
          </w:tcPr>
          <w:p w14:paraId="2D27D523">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元</w:t>
            </w:r>
          </w:p>
        </w:tc>
        <w:tc>
          <w:tcPr>
            <w:tcW w:w="1026" w:type="dxa"/>
            <w:tcBorders>
              <w:top w:val="nil"/>
              <w:left w:val="nil"/>
              <w:bottom w:val="single" w:color="auto" w:sz="4" w:space="0"/>
              <w:right w:val="single" w:color="auto" w:sz="4" w:space="0"/>
            </w:tcBorders>
            <w:noWrap/>
            <w:vAlign w:val="center"/>
          </w:tcPr>
          <w:p w14:paraId="6C28761B">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00" w:type="dxa"/>
            <w:tcBorders>
              <w:top w:val="nil"/>
              <w:left w:val="nil"/>
              <w:bottom w:val="single" w:color="auto" w:sz="4" w:space="0"/>
              <w:right w:val="single" w:color="auto" w:sz="4" w:space="0"/>
            </w:tcBorders>
            <w:noWrap/>
            <w:vAlign w:val="center"/>
          </w:tcPr>
          <w:p w14:paraId="6747D434">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49A4CC65">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xml:space="preserve">240000.00 </w:t>
            </w:r>
          </w:p>
        </w:tc>
        <w:tc>
          <w:tcPr>
            <w:tcW w:w="976" w:type="dxa"/>
            <w:tcBorders>
              <w:top w:val="nil"/>
              <w:left w:val="nil"/>
              <w:bottom w:val="single" w:color="auto" w:sz="4" w:space="0"/>
              <w:right w:val="single" w:color="auto" w:sz="4" w:space="0"/>
            </w:tcBorders>
            <w:noWrap/>
            <w:vAlign w:val="center"/>
          </w:tcPr>
          <w:p w14:paraId="5242220C">
            <w:pPr>
              <w:widowControl/>
              <w:spacing w:line="40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计取税金</w:t>
            </w:r>
          </w:p>
        </w:tc>
      </w:tr>
      <w:tr w14:paraId="1CD77F76">
        <w:tblPrEx>
          <w:tblCellMar>
            <w:top w:w="0" w:type="dxa"/>
            <w:left w:w="108" w:type="dxa"/>
            <w:bottom w:w="0" w:type="dxa"/>
            <w:right w:w="108" w:type="dxa"/>
          </w:tblCellMar>
        </w:tblPrEx>
        <w:trPr>
          <w:trHeight w:val="390" w:hRule="atLeast"/>
        </w:trPr>
        <w:tc>
          <w:tcPr>
            <w:tcW w:w="401" w:type="dxa"/>
            <w:tcBorders>
              <w:top w:val="nil"/>
              <w:left w:val="single" w:color="auto" w:sz="4" w:space="0"/>
              <w:bottom w:val="single" w:color="auto" w:sz="4" w:space="0"/>
              <w:right w:val="single" w:color="auto" w:sz="4" w:space="0"/>
            </w:tcBorders>
            <w:vAlign w:val="center"/>
          </w:tcPr>
          <w:p w14:paraId="623CBFC4">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三</w:t>
            </w:r>
          </w:p>
        </w:tc>
        <w:tc>
          <w:tcPr>
            <w:tcW w:w="4320" w:type="dxa"/>
            <w:tcBorders>
              <w:top w:val="nil"/>
              <w:left w:val="nil"/>
              <w:bottom w:val="single" w:color="auto" w:sz="4" w:space="0"/>
              <w:right w:val="single" w:color="auto" w:sz="4" w:space="0"/>
            </w:tcBorders>
            <w:noWrap/>
            <w:vAlign w:val="center"/>
          </w:tcPr>
          <w:p w14:paraId="4F95C002">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税金</w:t>
            </w:r>
          </w:p>
        </w:tc>
        <w:tc>
          <w:tcPr>
            <w:tcW w:w="553" w:type="dxa"/>
            <w:tcBorders>
              <w:top w:val="nil"/>
              <w:left w:val="nil"/>
              <w:bottom w:val="single" w:color="auto" w:sz="4" w:space="0"/>
              <w:right w:val="single" w:color="auto" w:sz="4" w:space="0"/>
            </w:tcBorders>
            <w:vAlign w:val="center"/>
          </w:tcPr>
          <w:p w14:paraId="3EF3E598">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w:t>
            </w:r>
          </w:p>
        </w:tc>
        <w:tc>
          <w:tcPr>
            <w:tcW w:w="1026" w:type="dxa"/>
            <w:tcBorders>
              <w:top w:val="nil"/>
              <w:left w:val="nil"/>
              <w:bottom w:val="single" w:color="auto" w:sz="4" w:space="0"/>
              <w:right w:val="single" w:color="auto" w:sz="4" w:space="0"/>
            </w:tcBorders>
            <w:noWrap/>
            <w:vAlign w:val="center"/>
          </w:tcPr>
          <w:p w14:paraId="2DBBBC08">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00" w:type="dxa"/>
            <w:tcBorders>
              <w:top w:val="nil"/>
              <w:left w:val="nil"/>
              <w:bottom w:val="single" w:color="auto" w:sz="4" w:space="0"/>
              <w:right w:val="single" w:color="auto" w:sz="4" w:space="0"/>
            </w:tcBorders>
            <w:noWrap/>
            <w:vAlign w:val="center"/>
          </w:tcPr>
          <w:p w14:paraId="16294125">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9</w:t>
            </w:r>
          </w:p>
        </w:tc>
        <w:tc>
          <w:tcPr>
            <w:tcW w:w="1180" w:type="dxa"/>
            <w:tcBorders>
              <w:top w:val="nil"/>
              <w:left w:val="nil"/>
              <w:bottom w:val="single" w:color="auto" w:sz="4" w:space="0"/>
              <w:right w:val="single" w:color="auto" w:sz="4" w:space="0"/>
            </w:tcBorders>
            <w:noWrap/>
            <w:vAlign w:val="center"/>
          </w:tcPr>
          <w:p w14:paraId="47B4F1CC">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6" w:type="dxa"/>
            <w:tcBorders>
              <w:top w:val="nil"/>
              <w:left w:val="nil"/>
              <w:bottom w:val="single" w:color="auto" w:sz="4" w:space="0"/>
              <w:right w:val="single" w:color="auto" w:sz="4" w:space="0"/>
            </w:tcBorders>
            <w:noWrap/>
            <w:vAlign w:val="bottom"/>
          </w:tcPr>
          <w:p w14:paraId="03ACF249">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46ECC3C1">
        <w:tblPrEx>
          <w:tblCellMar>
            <w:top w:w="0" w:type="dxa"/>
            <w:left w:w="108" w:type="dxa"/>
            <w:bottom w:w="0" w:type="dxa"/>
            <w:right w:w="108" w:type="dxa"/>
          </w:tblCellMar>
        </w:tblPrEx>
        <w:trPr>
          <w:trHeight w:val="390" w:hRule="atLeast"/>
        </w:trPr>
        <w:tc>
          <w:tcPr>
            <w:tcW w:w="401" w:type="dxa"/>
            <w:tcBorders>
              <w:top w:val="nil"/>
              <w:left w:val="single" w:color="auto" w:sz="4" w:space="0"/>
              <w:bottom w:val="single" w:color="auto" w:sz="4" w:space="0"/>
              <w:right w:val="single" w:color="auto" w:sz="4" w:space="0"/>
            </w:tcBorders>
            <w:vAlign w:val="center"/>
          </w:tcPr>
          <w:p w14:paraId="12419A67">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四</w:t>
            </w:r>
          </w:p>
        </w:tc>
        <w:tc>
          <w:tcPr>
            <w:tcW w:w="4320" w:type="dxa"/>
            <w:tcBorders>
              <w:top w:val="nil"/>
              <w:left w:val="nil"/>
              <w:bottom w:val="single" w:color="auto" w:sz="4" w:space="0"/>
              <w:right w:val="single" w:color="auto" w:sz="4" w:space="0"/>
            </w:tcBorders>
            <w:noWrap/>
            <w:vAlign w:val="center"/>
          </w:tcPr>
          <w:p w14:paraId="79CD0E4C">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合计</w:t>
            </w:r>
          </w:p>
        </w:tc>
        <w:tc>
          <w:tcPr>
            <w:tcW w:w="553" w:type="dxa"/>
            <w:tcBorders>
              <w:top w:val="nil"/>
              <w:left w:val="nil"/>
              <w:bottom w:val="single" w:color="auto" w:sz="4" w:space="0"/>
              <w:right w:val="single" w:color="auto" w:sz="4" w:space="0"/>
            </w:tcBorders>
            <w:noWrap/>
            <w:vAlign w:val="center"/>
          </w:tcPr>
          <w:p w14:paraId="4AAA723E">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元</w:t>
            </w:r>
          </w:p>
        </w:tc>
        <w:tc>
          <w:tcPr>
            <w:tcW w:w="1026" w:type="dxa"/>
            <w:tcBorders>
              <w:top w:val="nil"/>
              <w:left w:val="nil"/>
              <w:bottom w:val="single" w:color="auto" w:sz="4" w:space="0"/>
              <w:right w:val="single" w:color="auto" w:sz="4" w:space="0"/>
            </w:tcBorders>
            <w:noWrap/>
            <w:vAlign w:val="center"/>
          </w:tcPr>
          <w:p w14:paraId="07ED9F73">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00" w:type="dxa"/>
            <w:tcBorders>
              <w:top w:val="nil"/>
              <w:left w:val="nil"/>
              <w:bottom w:val="single" w:color="auto" w:sz="4" w:space="0"/>
              <w:right w:val="single" w:color="auto" w:sz="4" w:space="0"/>
            </w:tcBorders>
            <w:noWrap/>
            <w:vAlign w:val="center"/>
          </w:tcPr>
          <w:p w14:paraId="420AB9F9">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308D4BF7">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6" w:type="dxa"/>
            <w:tcBorders>
              <w:top w:val="nil"/>
              <w:left w:val="nil"/>
              <w:bottom w:val="single" w:color="auto" w:sz="4" w:space="0"/>
              <w:right w:val="single" w:color="auto" w:sz="4" w:space="0"/>
            </w:tcBorders>
            <w:noWrap/>
            <w:vAlign w:val="bottom"/>
          </w:tcPr>
          <w:p w14:paraId="37A819A6">
            <w:pPr>
              <w:widowControl/>
              <w:spacing w:line="40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bl>
    <w:p w14:paraId="041EA3C6">
      <w:pPr>
        <w:widowControl/>
        <w:jc w:val="left"/>
        <w:rPr>
          <w:rFonts w:hint="eastAsia" w:ascii="宋体" w:hAnsi="宋体" w:eastAsia="宋体"/>
          <w:color w:val="000000" w:themeColor="text1"/>
          <w:kern w:val="0"/>
          <w:sz w:val="24"/>
          <w:highlight w:val="none"/>
          <w14:textFill>
            <w14:solidFill>
              <w14:schemeClr w14:val="tx1"/>
            </w14:solidFill>
          </w14:textFill>
        </w:rPr>
      </w:pPr>
    </w:p>
    <w:p w14:paraId="267DA28C">
      <w:pPr>
        <w:pStyle w:val="2"/>
        <w:jc w:val="left"/>
        <w:rPr>
          <w:rFonts w:hint="eastAsia" w:ascii="宋体" w:hAnsi="宋体" w:eastAsia="宋体"/>
          <w:color w:val="000000" w:themeColor="text1"/>
          <w:highlight w:val="none"/>
          <w14:textFill>
            <w14:solidFill>
              <w14:schemeClr w14:val="tx1"/>
            </w14:solidFill>
          </w14:textFill>
        </w:rPr>
      </w:pPr>
    </w:p>
    <w:p w14:paraId="3CD19081">
      <w:pPr>
        <w:pStyle w:val="2"/>
        <w:rPr>
          <w:rFonts w:hint="eastAsia" w:ascii="宋体" w:hAnsi="宋体" w:eastAsia="宋体"/>
          <w:color w:val="000000" w:themeColor="text1"/>
          <w:highlight w:val="none"/>
          <w14:textFill>
            <w14:solidFill>
              <w14:schemeClr w14:val="tx1"/>
            </w14:solidFill>
          </w14:textFill>
        </w:rPr>
      </w:pPr>
    </w:p>
    <w:p w14:paraId="4EA16ED1">
      <w:pPr>
        <w:pStyle w:val="2"/>
        <w:rPr>
          <w:rFonts w:hint="eastAsia" w:ascii="宋体" w:hAnsi="宋体" w:eastAsia="宋体"/>
          <w:color w:val="000000" w:themeColor="text1"/>
          <w:highlight w:val="none"/>
          <w14:textFill>
            <w14:solidFill>
              <w14:schemeClr w14:val="tx1"/>
            </w14:solidFill>
          </w14:textFill>
        </w:rPr>
      </w:pPr>
      <w:r>
        <w:rPr>
          <w:rFonts w:hint="eastAsia" w:ascii="宋体" w:hAnsi="宋体" w:eastAsia="宋体"/>
          <w:color w:val="000000" w:themeColor="text1"/>
          <w:highlight w:val="none"/>
          <w14:textFill>
            <w14:solidFill>
              <w14:schemeClr w14:val="tx1"/>
            </w14:solidFill>
          </w14:textFill>
        </w:rPr>
        <w:br w:type="page"/>
      </w:r>
    </w:p>
    <w:p w14:paraId="22252C7B">
      <w:pPr>
        <w:widowControl/>
        <w:shd w:val="clear" w:color="auto" w:fill="FFFFFF"/>
        <w:spacing w:line="560" w:lineRule="exact"/>
        <w:ind w:firstLine="562" w:firstLineChars="200"/>
        <w:rPr>
          <w:rFonts w:hint="eastAsia" w:ascii="宋体" w:hAnsi="宋体" w:eastAsia="宋体" w:cs="仿宋"/>
          <w:b/>
          <w:bCs/>
          <w:color w:val="000000" w:themeColor="text1"/>
          <w:sz w:val="28"/>
          <w:szCs w:val="28"/>
          <w:highlight w:val="none"/>
          <w14:textFill>
            <w14:solidFill>
              <w14:schemeClr w14:val="tx1"/>
            </w14:solidFill>
          </w14:textFill>
        </w:rPr>
      </w:pPr>
    </w:p>
    <w:p w14:paraId="07283B63">
      <w:pPr>
        <w:pStyle w:val="2"/>
        <w:spacing w:after="0" w:line="520" w:lineRule="exact"/>
        <w:rPr>
          <w:rFonts w:hint="eastAsia" w:ascii="宋体" w:hAnsi="宋体" w:eastAsia="宋体" w:cs="仿宋"/>
          <w:b/>
          <w:bCs/>
          <w:color w:val="000000" w:themeColor="text1"/>
          <w:kern w:val="2"/>
          <w:sz w:val="28"/>
          <w:szCs w:val="28"/>
          <w:highlight w:val="none"/>
          <w14:textFill>
            <w14:solidFill>
              <w14:schemeClr w14:val="tx1"/>
            </w14:solidFill>
          </w14:textFill>
        </w:rPr>
      </w:pPr>
    </w:p>
    <w:bookmarkEnd w:id="102"/>
    <w:bookmarkEnd w:id="103"/>
    <w:p w14:paraId="2D7AEA21">
      <w:pPr>
        <w:pStyle w:val="4"/>
        <w:jc w:val="center"/>
        <w:rPr>
          <w:rFonts w:hint="eastAsia" w:ascii="宋体" w:hAnsi="宋体" w:eastAsia="宋体" w:cs="仿宋"/>
          <w:color w:val="000000" w:themeColor="text1"/>
          <w:highlight w:val="none"/>
          <w14:textFill>
            <w14:solidFill>
              <w14:schemeClr w14:val="tx1"/>
            </w14:solidFill>
          </w14:textFill>
        </w:rPr>
      </w:pPr>
      <w:bookmarkStart w:id="104" w:name="_Toc130891923"/>
      <w:r>
        <w:rPr>
          <w:rFonts w:hint="eastAsia" w:ascii="宋体" w:hAnsi="宋体" w:eastAsia="宋体" w:cs="仿宋"/>
          <w:color w:val="000000" w:themeColor="text1"/>
          <w:highlight w:val="none"/>
          <w14:textFill>
            <w14:solidFill>
              <w14:schemeClr w14:val="tx1"/>
            </w14:solidFill>
          </w14:textFill>
        </w:rPr>
        <w:t>第五章  投标文件格式</w:t>
      </w:r>
      <w:bookmarkEnd w:id="99"/>
      <w:bookmarkEnd w:id="104"/>
    </w:p>
    <w:p w14:paraId="5F74D16C">
      <w:pPr>
        <w:spacing w:line="460" w:lineRule="exact"/>
        <w:jc w:val="left"/>
        <w:rPr>
          <w:rFonts w:hint="eastAsia" w:ascii="宋体" w:hAnsi="宋体" w:eastAsia="宋体" w:cs="仿宋"/>
          <w:color w:val="000000" w:themeColor="text1"/>
          <w:sz w:val="24"/>
          <w:highlight w:val="none"/>
          <w14:textFill>
            <w14:solidFill>
              <w14:schemeClr w14:val="tx1"/>
            </w14:solidFill>
          </w14:textFill>
        </w:rPr>
      </w:pPr>
    </w:p>
    <w:p w14:paraId="1F93097B">
      <w:pPr>
        <w:spacing w:line="460" w:lineRule="exact"/>
        <w:jc w:val="left"/>
        <w:rPr>
          <w:rFonts w:hint="eastAsia" w:ascii="宋体" w:hAnsi="宋体" w:eastAsia="宋体" w:cs="仿宋"/>
          <w:b/>
          <w:color w:val="000000" w:themeColor="text1"/>
          <w:kern w:val="0"/>
          <w:sz w:val="24"/>
          <w:highlight w:val="none"/>
          <w14:textFill>
            <w14:solidFill>
              <w14:schemeClr w14:val="tx1"/>
            </w14:solidFill>
          </w14:textFill>
        </w:rPr>
      </w:pPr>
      <w:r>
        <w:rPr>
          <w:rFonts w:ascii="宋体" w:hAnsi="宋体" w:eastAsia="宋体" w:cs="仿宋"/>
          <w:color w:val="000000" w:themeColor="text1"/>
          <w:sz w:val="24"/>
          <w:highlight w:val="none"/>
          <w14:textFill>
            <w14:solidFill>
              <w14:schemeClr w14:val="tx1"/>
            </w14:solidFill>
          </w14:textFill>
        </w:rPr>
        <w:fldChar w:fldCharType="begin"/>
      </w:r>
      <w:r>
        <w:rPr>
          <w:rFonts w:ascii="宋体" w:hAnsi="宋体" w:eastAsia="宋体" w:cs="仿宋"/>
          <w:color w:val="000000" w:themeColor="text1"/>
          <w:sz w:val="24"/>
          <w:highlight w:val="none"/>
          <w14:textFill>
            <w14:solidFill>
              <w14:schemeClr w14:val="tx1"/>
            </w14:solidFill>
          </w14:textFill>
        </w:rPr>
        <w:instrText xml:space="preserve">&lt;MK</w:instrText>
      </w:r>
      <w:r>
        <w:rPr>
          <w:rFonts w:hint="eastAsia" w:ascii="宋体" w:hAnsi="宋体" w:eastAsia="宋体" w:cs="仿宋"/>
          <w:color w:val="000000" w:themeColor="text1"/>
          <w:sz w:val="24"/>
          <w:highlight w:val="none"/>
          <w14:textFill>
            <w14:solidFill>
              <w14:schemeClr w14:val="tx1"/>
            </w14:solidFill>
          </w14:textFill>
        </w:rPr>
        <w:instrText xml:space="preserve"> cmd="bus"</w:instrText>
      </w:r>
      <w:r>
        <w:rPr>
          <w:rFonts w:ascii="宋体" w:hAnsi="宋体" w:eastAsia="宋体" w:cs="仿宋"/>
          <w:color w:val="000000" w:themeColor="text1"/>
          <w:sz w:val="24"/>
          <w:highlight w:val="none"/>
          <w14:textFill>
            <w14:solidFill>
              <w14:schemeClr w14:val="tx1"/>
            </w14:solidFill>
          </w14:textFill>
        </w:rPr>
        <w:instrText xml:space="preserve">&gt;</w:instrText>
      </w:r>
      <w:r>
        <w:rPr>
          <w:rFonts w:hint="eastAsia" w:ascii="宋体" w:hAnsi="宋体" w:eastAsia="宋体" w:cs="仿宋"/>
          <w:color w:val="000000" w:themeColor="text1"/>
          <w:sz w:val="24"/>
          <w:highlight w:val="none"/>
          <w14:textFill>
            <w14:solidFill>
              <w14:schemeClr w14:val="tx1"/>
            </w14:solidFill>
          </w14:textFill>
        </w:rPr>
        <w:instrText xml:space="preserve">&lt;def type="query" recs="pro"&gt;"</w:instrText>
      </w:r>
      <w:r>
        <w:rPr>
          <w:rFonts w:ascii="宋体" w:hAnsi="宋体" w:eastAsia="宋体" w:cs="仿宋"/>
          <w:color w:val="000000" w:themeColor="text1"/>
          <w:sz w:val="24"/>
          <w:highlight w:val="none"/>
          <w14:textFill>
            <w14:solidFill>
              <w14:schemeClr w14:val="tx1"/>
            </w14:solidFill>
          </w14:textFill>
        </w:rPr>
        <w:instrText xml:space="preserve"> select </w:instrText>
      </w:r>
      <w:r>
        <w:rPr>
          <w:rFonts w:hint="eastAsia" w:ascii="宋体" w:hAnsi="宋体" w:eastAsia="宋体" w:cs="仿宋"/>
          <w:color w:val="000000" w:themeColor="text1"/>
          <w:sz w:val="24"/>
          <w:highlight w:val="none"/>
          <w14:textFill>
            <w14:solidFill>
              <w14:schemeClr w14:val="tx1"/>
            </w14:solidFill>
          </w14:textFill>
        </w:rPr>
        <w:instrText xml:space="preserve">b</w:instrText>
      </w:r>
      <w:r>
        <w:rPr>
          <w:rFonts w:ascii="宋体" w:hAnsi="宋体" w:eastAsia="宋体" w:cs="仿宋"/>
          <w:color w:val="000000" w:themeColor="text1"/>
          <w:sz w:val="24"/>
          <w:highlight w:val="none"/>
          <w14:textFill>
            <w14:solidFill>
              <w14:schemeClr w14:val="tx1"/>
            </w14:solidFill>
          </w14:textFill>
        </w:rPr>
        <w:instrText xml:space="preserve">.tradeWay,a.projectCode,a.projectName,</w:instrText>
      </w:r>
      <w:r>
        <w:rPr>
          <w:rFonts w:hint="eastAsia" w:ascii="宋体" w:hAnsi="宋体" w:eastAsia="宋体" w:cs="仿宋"/>
          <w:color w:val="000000" w:themeColor="text1"/>
          <w:sz w:val="24"/>
          <w:highlight w:val="none"/>
          <w14:textFill>
            <w14:solidFill>
              <w14:schemeClr w14:val="tx1"/>
            </w14:solidFill>
          </w14:textFill>
        </w:rPr>
        <w:instrText xml:space="preserve">b.schemecode,b.</w:instrText>
      </w:r>
      <w:r>
        <w:rPr>
          <w:rFonts w:ascii="宋体" w:hAnsi="宋体" w:eastAsia="宋体" w:cs="仿宋"/>
          <w:color w:val="000000" w:themeColor="text1"/>
          <w:sz w:val="24"/>
          <w:highlight w:val="none"/>
          <w14:textFill>
            <w14:solidFill>
              <w14:schemeClr w14:val="tx1"/>
            </w14:solidFill>
          </w14:textFill>
        </w:rPr>
        <w:instrText xml:space="preserve">saleMode</w:instrText>
      </w:r>
      <w:r>
        <w:rPr>
          <w:rFonts w:hint="eastAsia" w:ascii="宋体" w:hAnsi="宋体" w:eastAsia="宋体" w:cs="仿宋"/>
          <w:color w:val="000000" w:themeColor="text1"/>
          <w:sz w:val="24"/>
          <w:highlight w:val="none"/>
          <w14:textFill>
            <w14:solidFill>
              <w14:schemeClr w14:val="tx1"/>
            </w14:solidFill>
          </w14:textFill>
        </w:rPr>
        <w:instrText xml:space="preserve">,b.applycost,</w:instrText>
      </w:r>
      <w:r>
        <w:rPr>
          <w:rFonts w:ascii="宋体" w:hAnsi="宋体" w:eastAsia="宋体" w:cs="仿宋"/>
          <w:color w:val="000000" w:themeColor="text1"/>
          <w:sz w:val="24"/>
          <w:highlight w:val="none"/>
          <w14:textFill>
            <w14:solidFill>
              <w14:schemeClr w14:val="tx1"/>
            </w14:solidFill>
          </w14:textFill>
        </w:rPr>
        <w:instrText xml:space="preserve">b.applystart,b.applystop,b.deliverstop,b.openstart,b.openaddr</w:instrText>
      </w:r>
      <w:r>
        <w:rPr>
          <w:rFonts w:hint="eastAsia" w:ascii="宋体" w:hAnsi="宋体" w:eastAsia="宋体" w:cs="仿宋"/>
          <w:color w:val="000000" w:themeColor="text1"/>
          <w:sz w:val="24"/>
          <w:highlight w:val="none"/>
          <w14:textFill>
            <w14:solidFill>
              <w14:schemeClr w14:val="tx1"/>
            </w14:solidFill>
          </w14:textFill>
        </w:rPr>
        <w:instrText xml:space="preserve">,a.projectid,b.</w:instrText>
      </w:r>
      <w:r>
        <w:rPr>
          <w:rFonts w:ascii="宋体" w:hAnsi="宋体" w:eastAsia="宋体" w:cs="仿宋"/>
          <w:color w:val="000000" w:themeColor="text1"/>
          <w:sz w:val="24"/>
          <w:highlight w:val="none"/>
          <w14:textFill>
            <w14:solidFill>
              <w14:schemeClr w14:val="tx1"/>
            </w14:solidFill>
          </w14:textFill>
        </w:rPr>
        <w:instrText xml:space="preserve">bidvalidity</w:instrText>
      </w:r>
      <w:r>
        <w:rPr>
          <w:rFonts w:hint="eastAsia" w:ascii="宋体" w:hAnsi="宋体" w:eastAsia="宋体" w:cs="仿宋"/>
          <w:color w:val="000000" w:themeColor="text1"/>
          <w:sz w:val="24"/>
          <w:highlight w:val="none"/>
          <w14:textFill>
            <w14:solidFill>
              <w14:schemeClr w14:val="tx1"/>
            </w14:solidFill>
          </w14:textFill>
        </w:rPr>
        <w:instrText xml:space="preserve">,b.</w:instrText>
      </w:r>
      <w:r>
        <w:rPr>
          <w:rFonts w:ascii="宋体" w:hAnsi="宋体" w:eastAsia="宋体" w:cs="仿宋"/>
          <w:color w:val="000000" w:themeColor="text1"/>
          <w:sz w:val="24"/>
          <w:highlight w:val="none"/>
          <w14:textFill>
            <w14:solidFill>
              <w14:schemeClr w14:val="tx1"/>
            </w14:solidFill>
          </w14:textFill>
        </w:rPr>
        <w:instrText xml:space="preserve">canjoint</w:instrText>
      </w:r>
      <w:r>
        <w:rPr>
          <w:rFonts w:hint="eastAsia" w:ascii="宋体" w:hAnsi="宋体" w:eastAsia="宋体" w:cs="仿宋"/>
          <w:color w:val="000000" w:themeColor="text1"/>
          <w:sz w:val="24"/>
          <w:highlight w:val="none"/>
          <w14:textFill>
            <w14:solidFill>
              <w14:schemeClr w14:val="tx1"/>
            </w14:solidFill>
          </w14:textFill>
        </w:rPr>
        <w:instrText xml:space="preserve">,b.</w:instrText>
      </w:r>
      <w:r>
        <w:rPr>
          <w:rFonts w:ascii="宋体" w:hAnsi="宋体" w:eastAsia="宋体" w:cs="仿宋"/>
          <w:color w:val="000000" w:themeColor="text1"/>
          <w:sz w:val="24"/>
          <w:highlight w:val="none"/>
          <w14:textFill>
            <w14:solidFill>
              <w14:schemeClr w14:val="tx1"/>
            </w14:solidFill>
          </w14:textFill>
        </w:rPr>
        <w:instrText xml:space="preserve">judgecount from gp_project a,gp_projectScheme b where a.projectId=b.projectId and </w:instrText>
      </w:r>
      <w:r>
        <w:rPr>
          <w:rFonts w:hint="eastAsia" w:ascii="宋体" w:hAnsi="宋体" w:eastAsia="宋体" w:cs="仿宋"/>
          <w:color w:val="000000" w:themeColor="text1"/>
          <w:sz w:val="24"/>
          <w:highlight w:val="none"/>
          <w14:textFill>
            <w14:solidFill>
              <w14:schemeClr w14:val="tx1"/>
            </w14:solidFill>
          </w14:textFill>
        </w:rPr>
        <w:instrText xml:space="preserve">b</w:instrText>
      </w:r>
      <w:r>
        <w:rPr>
          <w:rFonts w:ascii="宋体" w:hAnsi="宋体" w:eastAsia="宋体" w:cs="仿宋"/>
          <w:color w:val="000000" w:themeColor="text1"/>
          <w:sz w:val="24"/>
          <w:highlight w:val="none"/>
          <w14:textFill>
            <w14:solidFill>
              <w14:schemeClr w14:val="tx1"/>
            </w14:solidFill>
          </w14:textFill>
        </w:rPr>
        <w:instrText xml:space="preserve">.schemeId=</w:instrText>
      </w:r>
      <w:r>
        <w:rPr>
          <w:rFonts w:hint="eastAsia" w:ascii="宋体" w:hAnsi="宋体" w:eastAsia="宋体" w:cs="仿宋"/>
          <w:color w:val="000000" w:themeColor="text1"/>
          <w:sz w:val="24"/>
          <w:highlight w:val="none"/>
          <w14:textFill>
            <w14:solidFill>
              <w14:schemeClr w14:val="tx1"/>
            </w14:solidFill>
          </w14:textFill>
        </w:rPr>
        <w:instrText xml:space="preserve">"+NFV("</w:instrText>
      </w:r>
      <w:r>
        <w:rPr>
          <w:rFonts w:ascii="宋体" w:hAnsi="宋体" w:eastAsia="宋体" w:cs="仿宋"/>
          <w:color w:val="000000" w:themeColor="text1"/>
          <w:sz w:val="24"/>
          <w:highlight w:val="none"/>
          <w14:textFill>
            <w14:solidFill>
              <w14:schemeClr w14:val="tx1"/>
            </w14:solidFill>
          </w14:textFill>
        </w:rPr>
        <w:instrText xml:space="preserve">scheme</w:instrText>
      </w:r>
      <w:r>
        <w:rPr>
          <w:rFonts w:hint="eastAsia" w:ascii="宋体" w:hAnsi="宋体" w:eastAsia="宋体" w:cs="仿宋"/>
          <w:color w:val="000000" w:themeColor="text1"/>
          <w:sz w:val="24"/>
          <w:highlight w:val="none"/>
          <w14:textFill>
            <w14:solidFill>
              <w14:schemeClr w14:val="tx1"/>
            </w14:solidFill>
          </w14:textFill>
        </w:rPr>
        <w:instrText xml:space="preserve">i</w:instrText>
      </w:r>
      <w:r>
        <w:rPr>
          <w:rFonts w:ascii="宋体" w:hAnsi="宋体" w:eastAsia="宋体" w:cs="仿宋"/>
          <w:color w:val="000000" w:themeColor="text1"/>
          <w:sz w:val="24"/>
          <w:highlight w:val="none"/>
          <w14:textFill>
            <w14:solidFill>
              <w14:schemeClr w14:val="tx1"/>
            </w14:solidFill>
          </w14:textFill>
        </w:rPr>
        <w:instrText xml:space="preserve">d</w:instrText>
      </w:r>
      <w:r>
        <w:rPr>
          <w:rFonts w:hint="eastAsia" w:ascii="宋体" w:hAnsi="宋体" w:eastAsia="宋体" w:cs="仿宋"/>
          <w:color w:val="000000" w:themeColor="text1"/>
          <w:sz w:val="24"/>
          <w:highlight w:val="none"/>
          <w14:textFill>
            <w14:solidFill>
              <w14:schemeClr w14:val="tx1"/>
            </w14:solidFill>
          </w14:textFill>
        </w:rPr>
        <w:instrText xml:space="preserve">",-1) &lt;/def&gt;</w:instrText>
      </w:r>
      <w:r>
        <w:rPr>
          <w:rFonts w:ascii="宋体" w:hAnsi="宋体" w:eastAsia="宋体" w:cs="仿宋"/>
          <w:color w:val="000000" w:themeColor="text1"/>
          <w:sz w:val="24"/>
          <w:highlight w:val="none"/>
          <w14:textFill>
            <w14:solidFill>
              <w14:schemeClr w14:val="tx1"/>
            </w14:solidFill>
          </w14:textFill>
        </w:rPr>
        <w:instrText xml:space="preserve">&lt;/MK&gt;</w:instrText>
      </w:r>
      <w:r>
        <w:rPr>
          <w:rFonts w:ascii="宋体" w:hAnsi="宋体" w:eastAsia="宋体" w:cs="仿宋"/>
          <w:color w:val="000000" w:themeColor="text1"/>
          <w:sz w:val="24"/>
          <w:highlight w:val="none"/>
          <w14:textFill>
            <w14:solidFill>
              <w14:schemeClr w14:val="tx1"/>
            </w14:solidFill>
          </w14:textFill>
        </w:rPr>
        <w:fldChar w:fldCharType="separate"/>
      </w:r>
      <w:r>
        <w:rPr>
          <w:rFonts w:ascii="宋体" w:hAnsi="宋体" w:eastAsia="宋体" w:cs="仿宋"/>
          <w:color w:val="000000" w:themeColor="text1"/>
          <w:sz w:val="24"/>
          <w:highlight w:val="none"/>
          <w14:textFill>
            <w14:solidFill>
              <w14:schemeClr w14:val="tx1"/>
            </w14:solidFill>
          </w14:textFill>
        </w:rPr>
        <w:t>!异常的公式结尾</w:t>
      </w:r>
      <w:r>
        <w:rPr>
          <w:rFonts w:ascii="宋体" w:hAnsi="宋体" w:eastAsia="宋体" w:cs="仿宋"/>
          <w:color w:val="000000" w:themeColor="text1"/>
          <w:sz w:val="24"/>
          <w:highlight w:val="none"/>
          <w14:textFill>
            <w14:solidFill>
              <w14:schemeClr w14:val="tx1"/>
            </w14:solidFill>
          </w14:textFill>
        </w:rPr>
        <w:fldChar w:fldCharType="end"/>
      </w:r>
      <w:r>
        <w:rPr>
          <w:rFonts w:ascii="宋体" w:hAnsi="宋体" w:eastAsia="宋体" w:cs="仿宋"/>
          <w:color w:val="000000" w:themeColor="text1"/>
          <w:sz w:val="24"/>
          <w:highlight w:val="none"/>
          <w14:textFill>
            <w14:solidFill>
              <w14:schemeClr w14:val="tx1"/>
            </w14:solidFill>
          </w14:textFill>
        </w:rPr>
        <w:fldChar w:fldCharType="begin"/>
      </w:r>
      <w:r>
        <w:rPr>
          <w:rFonts w:ascii="宋体" w:hAnsi="宋体" w:eastAsia="宋体" w:cs="仿宋"/>
          <w:color w:val="000000" w:themeColor="text1"/>
          <w:sz w:val="24"/>
          <w:highlight w:val="none"/>
          <w14:textFill>
            <w14:solidFill>
              <w14:schemeClr w14:val="tx1"/>
            </w14:solidFill>
          </w14:textFill>
        </w:rPr>
        <w:instrText xml:space="preserve">&lt;MK</w:instrText>
      </w:r>
      <w:r>
        <w:rPr>
          <w:rFonts w:hint="eastAsia" w:ascii="宋体" w:hAnsi="宋体" w:eastAsia="宋体" w:cs="仿宋"/>
          <w:color w:val="000000" w:themeColor="text1"/>
          <w:sz w:val="24"/>
          <w:highlight w:val="none"/>
          <w14:textFill>
            <w14:solidFill>
              <w14:schemeClr w14:val="tx1"/>
            </w14:solidFill>
          </w14:textFill>
        </w:rPr>
        <w:instrText xml:space="preserve"> cmd="bus"</w:instrText>
      </w:r>
      <w:r>
        <w:rPr>
          <w:rFonts w:ascii="宋体" w:hAnsi="宋体" w:eastAsia="宋体" w:cs="仿宋"/>
          <w:color w:val="000000" w:themeColor="text1"/>
          <w:sz w:val="24"/>
          <w:highlight w:val="none"/>
          <w14:textFill>
            <w14:solidFill>
              <w14:schemeClr w14:val="tx1"/>
            </w14:solidFill>
          </w14:textFill>
        </w:rPr>
        <w:instrText xml:space="preserve">&gt;</w:instrText>
      </w:r>
      <w:r>
        <w:rPr>
          <w:rFonts w:hint="eastAsia" w:ascii="宋体" w:hAnsi="宋体" w:eastAsia="宋体" w:cs="仿宋"/>
          <w:color w:val="000000" w:themeColor="text1"/>
          <w:sz w:val="24"/>
          <w:highlight w:val="none"/>
          <w14:textFill>
            <w14:solidFill>
              <w14:schemeClr w14:val="tx1"/>
            </w14:solidFill>
          </w14:textFill>
        </w:rPr>
        <w:instrText xml:space="preserve">&lt;def type="query" recs="org"&gt;"</w:instrText>
      </w:r>
      <w:r>
        <w:rPr>
          <w:rFonts w:ascii="宋体" w:hAnsi="宋体" w:eastAsia="宋体" w:cs="仿宋"/>
          <w:color w:val="000000" w:themeColor="text1"/>
          <w:sz w:val="24"/>
          <w:highlight w:val="none"/>
          <w14:textFill>
            <w14:solidFill>
              <w14:schemeClr w14:val="tx1"/>
            </w14:solidFill>
          </w14:textFill>
        </w:rPr>
        <w:instrText xml:space="preserve"> select b3.unitaddr,b3.zipcode,b3.linkman,b3.linkphone,</w:instrText>
      </w:r>
      <w:r>
        <w:rPr>
          <w:rFonts w:hint="eastAsia" w:ascii="宋体" w:hAnsi="宋体" w:eastAsia="宋体" w:cs="仿宋"/>
          <w:color w:val="000000" w:themeColor="text1"/>
          <w:sz w:val="24"/>
          <w:highlight w:val="none"/>
          <w14:textFill>
            <w14:solidFill>
              <w14:schemeClr w14:val="tx1"/>
            </w14:solidFill>
          </w14:textFill>
        </w:rPr>
        <w:instrText xml:space="preserve">b3.uniturl,</w:instrText>
      </w:r>
      <w:r>
        <w:rPr>
          <w:rFonts w:ascii="宋体" w:hAnsi="宋体" w:eastAsia="宋体" w:cs="仿宋"/>
          <w:color w:val="000000" w:themeColor="text1"/>
          <w:sz w:val="24"/>
          <w:highlight w:val="none"/>
          <w14:textFill>
            <w14:solidFill>
              <w14:schemeClr w14:val="tx1"/>
            </w14:solidFill>
          </w14:textFill>
        </w:rPr>
        <w:instrText xml:space="preserve">b2.organName from gp_project b1,bas_organ b2,gp_agent b3 where b1.agentOrgan=b2.organId and b2.organId=b3.org</w:instrText>
      </w:r>
      <w:r>
        <w:rPr>
          <w:rFonts w:hint="eastAsia" w:ascii="宋体" w:hAnsi="宋体" w:eastAsia="宋体" w:cs="仿宋"/>
          <w:color w:val="000000" w:themeColor="text1"/>
          <w:sz w:val="24"/>
          <w:highlight w:val="none"/>
          <w14:textFill>
            <w14:solidFill>
              <w14:schemeClr w14:val="tx1"/>
            </w14:solidFill>
          </w14:textFill>
        </w:rPr>
        <w:instrText xml:space="preserve">anid </w:instrText>
      </w:r>
      <w:r>
        <w:rPr>
          <w:rFonts w:ascii="宋体" w:hAnsi="宋体" w:eastAsia="宋体" w:cs="仿宋"/>
          <w:color w:val="000000" w:themeColor="text1"/>
          <w:sz w:val="24"/>
          <w:highlight w:val="none"/>
          <w14:textFill>
            <w14:solidFill>
              <w14:schemeClr w14:val="tx1"/>
            </w14:solidFill>
          </w14:textFill>
        </w:rPr>
        <w:instrText xml:space="preserve">and b1.</w:instrText>
      </w:r>
      <w:r>
        <w:rPr>
          <w:rFonts w:hint="eastAsia" w:ascii="宋体" w:hAnsi="宋体" w:eastAsia="宋体" w:cs="仿宋"/>
          <w:color w:val="000000" w:themeColor="text1"/>
          <w:sz w:val="24"/>
          <w:highlight w:val="none"/>
          <w14:textFill>
            <w14:solidFill>
              <w14:schemeClr w14:val="tx1"/>
            </w14:solidFill>
          </w14:textFill>
        </w:rPr>
        <w:instrText xml:space="preserve">projectid</w:instrText>
      </w:r>
      <w:r>
        <w:rPr>
          <w:rFonts w:ascii="宋体" w:hAnsi="宋体" w:eastAsia="宋体" w:cs="仿宋"/>
          <w:color w:val="000000" w:themeColor="text1"/>
          <w:sz w:val="24"/>
          <w:highlight w:val="none"/>
          <w14:textFill>
            <w14:solidFill>
              <w14:schemeClr w14:val="tx1"/>
            </w14:solidFill>
          </w14:textFill>
        </w:rPr>
        <w:instrText xml:space="preserve"> =</w:instrText>
      </w:r>
      <w:r>
        <w:rPr>
          <w:rFonts w:hint="eastAsia" w:ascii="宋体" w:hAnsi="宋体" w:eastAsia="宋体" w:cs="仿宋"/>
          <w:color w:val="000000" w:themeColor="text1"/>
          <w:sz w:val="24"/>
          <w:highlight w:val="none"/>
          <w14:textFill>
            <w14:solidFill>
              <w14:schemeClr w14:val="tx1"/>
            </w14:solidFill>
          </w14:textFill>
        </w:rPr>
        <w:instrText xml:space="preserve">"+NFV("pro.projectid",-1) &lt;/def&gt;</w:instrText>
      </w:r>
      <w:r>
        <w:rPr>
          <w:rFonts w:ascii="宋体" w:hAnsi="宋体" w:eastAsia="宋体" w:cs="仿宋"/>
          <w:color w:val="000000" w:themeColor="text1"/>
          <w:sz w:val="24"/>
          <w:highlight w:val="none"/>
          <w14:textFill>
            <w14:solidFill>
              <w14:schemeClr w14:val="tx1"/>
            </w14:solidFill>
          </w14:textFill>
        </w:rPr>
        <w:instrText xml:space="preserve">&lt;/MK&gt;</w:instrText>
      </w:r>
      <w:r>
        <w:rPr>
          <w:rFonts w:ascii="宋体" w:hAnsi="宋体" w:eastAsia="宋体" w:cs="仿宋"/>
          <w:color w:val="000000" w:themeColor="text1"/>
          <w:sz w:val="24"/>
          <w:highlight w:val="none"/>
          <w14:textFill>
            <w14:solidFill>
              <w14:schemeClr w14:val="tx1"/>
            </w14:solidFill>
          </w14:textFill>
        </w:rPr>
        <w:fldChar w:fldCharType="separate"/>
      </w:r>
      <w:r>
        <w:rPr>
          <w:rFonts w:ascii="宋体" w:hAnsi="宋体" w:eastAsia="宋体" w:cs="仿宋"/>
          <w:color w:val="000000" w:themeColor="text1"/>
          <w:sz w:val="24"/>
          <w:highlight w:val="none"/>
          <w14:textFill>
            <w14:solidFill>
              <w14:schemeClr w14:val="tx1"/>
            </w14:solidFill>
          </w14:textFill>
        </w:rPr>
        <w:t>!异常的公式结尾</w:t>
      </w:r>
      <w:r>
        <w:rPr>
          <w:rFonts w:ascii="宋体" w:hAnsi="宋体" w:eastAsia="宋体" w:cs="仿宋"/>
          <w:color w:val="000000" w:themeColor="text1"/>
          <w:sz w:val="24"/>
          <w:highlight w:val="none"/>
          <w14:textFill>
            <w14:solidFill>
              <w14:schemeClr w14:val="tx1"/>
            </w14:solidFill>
          </w14:textFill>
        </w:rPr>
        <w:fldChar w:fldCharType="end"/>
      </w:r>
      <w:r>
        <w:rPr>
          <w:rFonts w:ascii="宋体" w:hAnsi="宋体" w:eastAsia="宋体" w:cs="仿宋"/>
          <w:color w:val="000000" w:themeColor="text1"/>
          <w:sz w:val="24"/>
          <w:highlight w:val="none"/>
          <w14:textFill>
            <w14:solidFill>
              <w14:schemeClr w14:val="tx1"/>
            </w14:solidFill>
          </w14:textFill>
        </w:rPr>
        <w:fldChar w:fldCharType="begin"/>
      </w:r>
      <w:r>
        <w:rPr>
          <w:rFonts w:ascii="宋体" w:hAnsi="宋体" w:eastAsia="宋体" w:cs="仿宋"/>
          <w:color w:val="000000" w:themeColor="text1"/>
          <w:sz w:val="24"/>
          <w:highlight w:val="none"/>
          <w14:textFill>
            <w14:solidFill>
              <w14:schemeClr w14:val="tx1"/>
            </w14:solidFill>
          </w14:textFill>
        </w:rPr>
        <w:instrText xml:space="preserve">&lt;MK cmd="bus"&gt;&lt;def type="query" recs="</w:instrText>
      </w:r>
      <w:r>
        <w:rPr>
          <w:rFonts w:hint="eastAsia" w:ascii="宋体" w:hAnsi="宋体" w:eastAsia="宋体" w:cs="仿宋"/>
          <w:color w:val="000000" w:themeColor="text1"/>
          <w:sz w:val="24"/>
          <w:highlight w:val="none"/>
          <w14:textFill>
            <w14:solidFill>
              <w14:schemeClr w14:val="tx1"/>
            </w14:solidFill>
          </w14:textFill>
        </w:rPr>
        <w:instrText xml:space="preserve">totle</w:instrText>
      </w:r>
      <w:r>
        <w:rPr>
          <w:rFonts w:ascii="宋体" w:hAnsi="宋体" w:eastAsia="宋体" w:cs="仿宋"/>
          <w:color w:val="000000" w:themeColor="text1"/>
          <w:sz w:val="24"/>
          <w:highlight w:val="none"/>
          <w14:textFill>
            <w14:solidFill>
              <w14:schemeClr w14:val="tx1"/>
            </w14:solidFill>
          </w14:textFill>
        </w:rPr>
        <w:instrText xml:space="preserve">"&gt;"SELECT</w:instrText>
      </w:r>
      <w:r>
        <w:rPr>
          <w:rFonts w:hint="eastAsia" w:ascii="宋体" w:hAnsi="宋体" w:eastAsia="宋体" w:cs="仿宋"/>
          <w:color w:val="000000" w:themeColor="text1"/>
          <w:sz w:val="24"/>
          <w:highlight w:val="none"/>
          <w14:textFill>
            <w14:solidFill>
              <w14:schemeClr w14:val="tx1"/>
            </w14:solidFill>
          </w14:textFill>
        </w:rPr>
        <w:instrText xml:space="preserve"> sum(a.</w:instrText>
      </w:r>
      <w:r>
        <w:rPr>
          <w:rFonts w:ascii="宋体" w:hAnsi="宋体" w:eastAsia="宋体" w:cs="仿宋"/>
          <w:color w:val="000000" w:themeColor="text1"/>
          <w:sz w:val="24"/>
          <w:highlight w:val="none"/>
          <w14:textFill>
            <w14:solidFill>
              <w14:schemeClr w14:val="tx1"/>
            </w14:solidFill>
          </w14:textFill>
        </w:rPr>
        <w:instrText xml:space="preserve">budgetAmount</w:instrText>
      </w:r>
      <w:r>
        <w:rPr>
          <w:rFonts w:hint="eastAsia" w:ascii="宋体" w:hAnsi="宋体" w:eastAsia="宋体" w:cs="仿宋"/>
          <w:color w:val="000000" w:themeColor="text1"/>
          <w:sz w:val="24"/>
          <w:highlight w:val="none"/>
          <w14:textFill>
            <w14:solidFill>
              <w14:schemeClr w14:val="tx1"/>
            </w14:solidFill>
          </w14:textFill>
        </w:rPr>
        <w:instrText xml:space="preserve">) budgettotlefrom </w:instrText>
      </w:r>
      <w:r>
        <w:rPr>
          <w:rFonts w:ascii="宋体" w:hAnsi="宋体" w:eastAsia="宋体" w:cs="仿宋"/>
          <w:color w:val="000000" w:themeColor="text1"/>
          <w:sz w:val="24"/>
          <w:highlight w:val="none"/>
          <w14:textFill>
            <w14:solidFill>
              <w14:schemeClr w14:val="tx1"/>
            </w14:solidFill>
          </w14:textFill>
        </w:rPr>
        <w:instrText xml:space="preserve">gp_goods a,gp_package b,gp_packageScheme c WHERE a.packageId=b.packageId AND b.packageSchemeId=c.packageSchemeId ANDc.schemeId</w:instrText>
      </w:r>
      <w:r>
        <w:rPr>
          <w:rFonts w:hint="eastAsia" w:ascii="宋体" w:hAnsi="宋体" w:eastAsia="宋体" w:cs="仿宋"/>
          <w:color w:val="000000" w:themeColor="text1"/>
          <w:sz w:val="24"/>
          <w:highlight w:val="none"/>
          <w14:textFill>
            <w14:solidFill>
              <w14:schemeClr w14:val="tx1"/>
            </w14:solidFill>
          </w14:textFill>
        </w:rPr>
        <w:instrText xml:space="preserve"> ="+NFV("schemeid",-1)</w:instrText>
      </w:r>
      <w:r>
        <w:rPr>
          <w:rFonts w:ascii="宋体" w:hAnsi="宋体" w:eastAsia="宋体" w:cs="仿宋"/>
          <w:color w:val="000000" w:themeColor="text1"/>
          <w:sz w:val="24"/>
          <w:highlight w:val="none"/>
          <w14:textFill>
            <w14:solidFill>
              <w14:schemeClr w14:val="tx1"/>
            </w14:solidFill>
          </w14:textFill>
        </w:rPr>
        <w:instrText xml:space="preserve">&lt;/def&gt;&lt;/MK&gt;</w:instrText>
      </w:r>
      <w:r>
        <w:rPr>
          <w:rFonts w:ascii="宋体" w:hAnsi="宋体" w:eastAsia="宋体" w:cs="仿宋"/>
          <w:color w:val="000000" w:themeColor="text1"/>
          <w:sz w:val="24"/>
          <w:highlight w:val="none"/>
          <w14:textFill>
            <w14:solidFill>
              <w14:schemeClr w14:val="tx1"/>
            </w14:solidFill>
          </w14:textFill>
        </w:rPr>
        <w:fldChar w:fldCharType="end"/>
      </w:r>
      <w:r>
        <w:rPr>
          <w:rFonts w:ascii="宋体" w:hAnsi="宋体" w:eastAsia="宋体" w:cs="仿宋"/>
          <w:color w:val="000000" w:themeColor="text1"/>
          <w:sz w:val="24"/>
          <w:highlight w:val="none"/>
          <w14:textFill>
            <w14:solidFill>
              <w14:schemeClr w14:val="tx1"/>
            </w14:solidFill>
          </w14:textFill>
        </w:rPr>
        <w:fldChar w:fldCharType="begin"/>
      </w:r>
      <w:r>
        <w:rPr>
          <w:rFonts w:ascii="宋体" w:hAnsi="宋体" w:eastAsia="宋体" w:cs="仿宋"/>
          <w:color w:val="000000" w:themeColor="text1"/>
          <w:sz w:val="24"/>
          <w:highlight w:val="none"/>
          <w14:textFill>
            <w14:solidFill>
              <w14:schemeClr w14:val="tx1"/>
            </w14:solidFill>
          </w14:textFill>
        </w:rPr>
        <w:instrText xml:space="preserve">&lt;MK cmd="</w:instrText>
      </w:r>
      <w:r>
        <w:rPr>
          <w:rFonts w:hint="eastAsia" w:ascii="宋体" w:hAnsi="宋体" w:eastAsia="宋体" w:cs="仿宋"/>
          <w:color w:val="000000" w:themeColor="text1"/>
          <w:sz w:val="24"/>
          <w:highlight w:val="none"/>
          <w14:textFill>
            <w14:solidFill>
              <w14:schemeClr w14:val="tx1"/>
            </w14:solidFill>
          </w14:textFill>
        </w:rPr>
        <w:instrText xml:space="preserve">bus</w:instrText>
      </w:r>
      <w:r>
        <w:rPr>
          <w:rFonts w:ascii="宋体" w:hAnsi="宋体" w:eastAsia="宋体" w:cs="仿宋"/>
          <w:color w:val="000000" w:themeColor="text1"/>
          <w:sz w:val="24"/>
          <w:highlight w:val="none"/>
          <w14:textFill>
            <w14:solidFill>
              <w14:schemeClr w14:val="tx1"/>
            </w14:solidFill>
          </w14:textFill>
        </w:rPr>
        <w:instrText xml:space="preserve">"&gt;&lt;def type="query" recs="allbuyer"&gt;"SELECT DISTINCT d.organName FROM gp_plan a,bas_organ d WHERE a.buyer=d.organId AND a.planid IN (SELECT b.planId FROM gp_package b,gp_packageScheme c WHERE b.packageSchemeId=c.packageSchemeId AND c.schemeId="+NFV("schemeid")+")"&lt;/def&gt;&lt;/MK&gt;</w:instrText>
      </w:r>
      <w:r>
        <w:rPr>
          <w:rFonts w:ascii="宋体" w:hAnsi="宋体" w:eastAsia="宋体" w:cs="仿宋"/>
          <w:color w:val="000000" w:themeColor="text1"/>
          <w:sz w:val="24"/>
          <w:highlight w:val="none"/>
          <w14:textFill>
            <w14:solidFill>
              <w14:schemeClr w14:val="tx1"/>
            </w14:solidFill>
          </w14:textFill>
        </w:rPr>
        <w:fldChar w:fldCharType="end"/>
      </w:r>
      <w:r>
        <w:rPr>
          <w:rFonts w:ascii="宋体" w:hAnsi="宋体" w:eastAsia="宋体" w:cs="仿宋"/>
          <w:color w:val="000000" w:themeColor="text1"/>
          <w:sz w:val="24"/>
          <w:highlight w:val="none"/>
          <w14:textFill>
            <w14:solidFill>
              <w14:schemeClr w14:val="tx1"/>
            </w14:solidFill>
          </w14:textFill>
        </w:rPr>
        <w:fldChar w:fldCharType="begin"/>
      </w:r>
      <w:r>
        <w:rPr>
          <w:rFonts w:ascii="宋体" w:hAnsi="宋体" w:eastAsia="宋体" w:cs="仿宋"/>
          <w:color w:val="000000" w:themeColor="text1"/>
          <w:sz w:val="24"/>
          <w:highlight w:val="none"/>
          <w14:textFill>
            <w14:solidFill>
              <w14:schemeClr w14:val="tx1"/>
            </w14:solidFill>
          </w14:textFill>
        </w:rPr>
        <w:instrText xml:space="preserve">&lt;MK cmd="</w:instrText>
      </w:r>
      <w:r>
        <w:rPr>
          <w:rFonts w:hint="eastAsia" w:ascii="宋体" w:hAnsi="宋体" w:eastAsia="宋体" w:cs="仿宋"/>
          <w:color w:val="000000" w:themeColor="text1"/>
          <w:sz w:val="24"/>
          <w:highlight w:val="none"/>
          <w14:textFill>
            <w14:solidFill>
              <w14:schemeClr w14:val="tx1"/>
            </w14:solidFill>
          </w14:textFill>
        </w:rPr>
        <w:instrText xml:space="preserve">bus</w:instrText>
      </w:r>
      <w:r>
        <w:rPr>
          <w:rFonts w:ascii="宋体" w:hAnsi="宋体" w:eastAsia="宋体" w:cs="仿宋"/>
          <w:color w:val="000000" w:themeColor="text1"/>
          <w:sz w:val="24"/>
          <w:highlight w:val="none"/>
          <w14:textFill>
            <w14:solidFill>
              <w14:schemeClr w14:val="tx1"/>
            </w14:solidFill>
          </w14:textFill>
        </w:rPr>
        <w:instrText xml:space="preserve">"&gt;&lt;def type="query" recs="filecode"&gt;" SELECT a.grantSymbol FROM gp_plan a WHERE a.planid IN (SELECT DISTINCT b.planId FROM gp_package b,gp_packageScheme c WHERE b.packageSchemeId=c.packageSchemeId AND c.schemeId="+NFV("schemeid")+")"&lt;/def&gt;&lt;/MK&gt;</w:instrText>
      </w:r>
      <w:r>
        <w:rPr>
          <w:rFonts w:ascii="宋体" w:hAnsi="宋体" w:eastAsia="宋体" w:cs="仿宋"/>
          <w:color w:val="000000" w:themeColor="text1"/>
          <w:sz w:val="24"/>
          <w:highlight w:val="none"/>
          <w14:textFill>
            <w14:solidFill>
              <w14:schemeClr w14:val="tx1"/>
            </w14:solidFill>
          </w14:textFill>
        </w:rPr>
        <w:fldChar w:fldCharType="end"/>
      </w:r>
      <w:r>
        <w:rPr>
          <w:rFonts w:ascii="宋体" w:hAnsi="宋体" w:eastAsia="宋体" w:cs="仿宋"/>
          <w:color w:val="000000" w:themeColor="text1"/>
          <w:highlight w:val="none"/>
          <w14:textFill>
            <w14:solidFill>
              <w14:schemeClr w14:val="tx1"/>
            </w14:solidFill>
          </w14:textFill>
        </w:rPr>
        <w:fldChar w:fldCharType="begin"/>
      </w:r>
      <w:r>
        <w:rPr>
          <w:rFonts w:ascii="宋体" w:hAnsi="宋体" w:eastAsia="宋体" w:cs="仿宋"/>
          <w:color w:val="000000" w:themeColor="text1"/>
          <w:highlight w:val="none"/>
          <w14:textFill>
            <w14:solidFill>
              <w14:schemeClr w14:val="tx1"/>
            </w14:solidFill>
          </w14:textFill>
        </w:rPr>
        <w:instrText xml:space="preserve">&lt;MK</w:instrText>
      </w:r>
      <w:r>
        <w:rPr>
          <w:rFonts w:hint="eastAsia" w:ascii="宋体" w:hAnsi="宋体" w:eastAsia="宋体" w:cs="仿宋"/>
          <w:color w:val="000000" w:themeColor="text1"/>
          <w:highlight w:val="none"/>
          <w14:textFill>
            <w14:solidFill>
              <w14:schemeClr w14:val="tx1"/>
            </w14:solidFill>
          </w14:textFill>
        </w:rPr>
        <w:instrText xml:space="preserve"> cmd="bus"</w:instrText>
      </w:r>
      <w:r>
        <w:rPr>
          <w:rFonts w:ascii="宋体" w:hAnsi="宋体" w:eastAsia="宋体" w:cs="仿宋"/>
          <w:color w:val="000000" w:themeColor="text1"/>
          <w:highlight w:val="none"/>
          <w14:textFill>
            <w14:solidFill>
              <w14:schemeClr w14:val="tx1"/>
            </w14:solidFill>
          </w14:textFill>
        </w:rPr>
        <w:instrText xml:space="preserve">&gt;</w:instrText>
      </w:r>
      <w:r>
        <w:rPr>
          <w:rFonts w:hint="eastAsia" w:ascii="宋体" w:hAnsi="宋体" w:eastAsia="宋体" w:cs="仿宋"/>
          <w:color w:val="000000" w:themeColor="text1"/>
          <w:highlight w:val="none"/>
          <w14:textFill>
            <w14:solidFill>
              <w14:schemeClr w14:val="tx1"/>
            </w14:solidFill>
          </w14:textFill>
        </w:rPr>
        <w:instrText xml:space="preserve">&lt;def type="query" recs="mypro"&gt;"</w:instrText>
      </w:r>
      <w:r>
        <w:rPr>
          <w:rFonts w:ascii="宋体" w:hAnsi="宋体" w:eastAsia="宋体" w:cs="仿宋"/>
          <w:color w:val="000000" w:themeColor="text1"/>
          <w:highlight w:val="none"/>
          <w14:textFill>
            <w14:solidFill>
              <w14:schemeClr w14:val="tx1"/>
            </w14:solidFill>
          </w14:textFill>
        </w:rPr>
        <w:instrText xml:space="preserve"> select </w:instrText>
      </w:r>
      <w:r>
        <w:rPr>
          <w:rFonts w:hint="eastAsia" w:ascii="宋体" w:hAnsi="宋体" w:eastAsia="宋体" w:cs="仿宋"/>
          <w:color w:val="000000" w:themeColor="text1"/>
          <w:highlight w:val="none"/>
          <w14:textFill>
            <w14:solidFill>
              <w14:schemeClr w14:val="tx1"/>
            </w14:solidFill>
          </w14:textFill>
        </w:rPr>
        <w:instrText xml:space="preserve">a.agentOrgan,c.organname</w:instrText>
      </w:r>
      <w:r>
        <w:rPr>
          <w:rFonts w:ascii="宋体" w:hAnsi="宋体" w:eastAsia="宋体" w:cs="仿宋"/>
          <w:color w:val="000000" w:themeColor="text1"/>
          <w:highlight w:val="none"/>
          <w14:textFill>
            <w14:solidFill>
              <w14:schemeClr w14:val="tx1"/>
            </w14:solidFill>
          </w14:textFill>
        </w:rPr>
        <w:instrText xml:space="preserve"> from gp_project a,gp_projectScheme b</w:instrText>
      </w:r>
      <w:r>
        <w:rPr>
          <w:rFonts w:hint="eastAsia" w:ascii="宋体" w:hAnsi="宋体" w:eastAsia="宋体" w:cs="仿宋"/>
          <w:color w:val="000000" w:themeColor="text1"/>
          <w:highlight w:val="none"/>
          <w14:textFill>
            <w14:solidFill>
              <w14:schemeClr w14:val="tx1"/>
            </w14:solidFill>
          </w14:textFill>
        </w:rPr>
        <w:instrText xml:space="preserve">,bas_organ c</w:instrText>
      </w:r>
      <w:r>
        <w:rPr>
          <w:rFonts w:ascii="宋体" w:hAnsi="宋体" w:eastAsia="宋体" w:cs="仿宋"/>
          <w:color w:val="000000" w:themeColor="text1"/>
          <w:highlight w:val="none"/>
          <w14:textFill>
            <w14:solidFill>
              <w14:schemeClr w14:val="tx1"/>
            </w14:solidFill>
          </w14:textFill>
        </w:rPr>
        <w:instrText xml:space="preserve"> where a.projectId=b.projectId</w:instrText>
      </w:r>
      <w:r>
        <w:rPr>
          <w:rFonts w:hint="eastAsia" w:ascii="宋体" w:hAnsi="宋体" w:eastAsia="宋体" w:cs="仿宋"/>
          <w:color w:val="000000" w:themeColor="text1"/>
          <w:highlight w:val="none"/>
          <w14:textFill>
            <w14:solidFill>
              <w14:schemeClr w14:val="tx1"/>
            </w14:solidFill>
          </w14:textFill>
        </w:rPr>
        <w:instrText xml:space="preserve"> and a.agentorgan=c.organid</w:instrText>
      </w:r>
      <w:r>
        <w:rPr>
          <w:rFonts w:ascii="宋体" w:hAnsi="宋体" w:eastAsia="宋体" w:cs="仿宋"/>
          <w:color w:val="000000" w:themeColor="text1"/>
          <w:highlight w:val="none"/>
          <w14:textFill>
            <w14:solidFill>
              <w14:schemeClr w14:val="tx1"/>
            </w14:solidFill>
          </w14:textFill>
        </w:rPr>
        <w:instrText xml:space="preserve"> and </w:instrText>
      </w:r>
      <w:r>
        <w:rPr>
          <w:rFonts w:hint="eastAsia" w:ascii="宋体" w:hAnsi="宋体" w:eastAsia="宋体" w:cs="仿宋"/>
          <w:color w:val="000000" w:themeColor="text1"/>
          <w:highlight w:val="none"/>
          <w14:textFill>
            <w14:solidFill>
              <w14:schemeClr w14:val="tx1"/>
            </w14:solidFill>
          </w14:textFill>
        </w:rPr>
        <w:instrText xml:space="preserve">b</w:instrText>
      </w:r>
      <w:r>
        <w:rPr>
          <w:rFonts w:ascii="宋体" w:hAnsi="宋体" w:eastAsia="宋体" w:cs="仿宋"/>
          <w:color w:val="000000" w:themeColor="text1"/>
          <w:highlight w:val="none"/>
          <w14:textFill>
            <w14:solidFill>
              <w14:schemeClr w14:val="tx1"/>
            </w14:solidFill>
          </w14:textFill>
        </w:rPr>
        <w:instrText xml:space="preserve">.schemeId="</w:instrText>
      </w:r>
      <w:r>
        <w:rPr>
          <w:rFonts w:hint="eastAsia" w:ascii="宋体" w:hAnsi="宋体" w:eastAsia="宋体" w:cs="仿宋"/>
          <w:color w:val="000000" w:themeColor="text1"/>
          <w:highlight w:val="none"/>
          <w14:textFill>
            <w14:solidFill>
              <w14:schemeClr w14:val="tx1"/>
            </w14:solidFill>
          </w14:textFill>
        </w:rPr>
        <w:instrText xml:space="preserve">+NFV("</w:instrText>
      </w:r>
      <w:r>
        <w:rPr>
          <w:rFonts w:ascii="宋体" w:hAnsi="宋体" w:eastAsia="宋体" w:cs="仿宋"/>
          <w:color w:val="000000" w:themeColor="text1"/>
          <w:highlight w:val="none"/>
          <w14:textFill>
            <w14:solidFill>
              <w14:schemeClr w14:val="tx1"/>
            </w14:solidFill>
          </w14:textFill>
        </w:rPr>
        <w:instrText xml:space="preserve">schemeid</w:instrText>
      </w:r>
      <w:r>
        <w:rPr>
          <w:rFonts w:hint="eastAsia" w:ascii="宋体" w:hAnsi="宋体" w:eastAsia="宋体" w:cs="仿宋"/>
          <w:color w:val="000000" w:themeColor="text1"/>
          <w:highlight w:val="none"/>
          <w14:textFill>
            <w14:solidFill>
              <w14:schemeClr w14:val="tx1"/>
            </w14:solidFill>
          </w14:textFill>
        </w:rPr>
        <w:instrText xml:space="preserve">",-1)&lt;/def&gt;</w:instrText>
      </w:r>
      <w:r>
        <w:rPr>
          <w:rFonts w:ascii="宋体" w:hAnsi="宋体" w:eastAsia="宋体" w:cs="仿宋"/>
          <w:color w:val="000000" w:themeColor="text1"/>
          <w:highlight w:val="none"/>
          <w14:textFill>
            <w14:solidFill>
              <w14:schemeClr w14:val="tx1"/>
            </w14:solidFill>
          </w14:textFill>
        </w:rPr>
        <w:instrText xml:space="preserve">&lt;/MK&gt;</w:instrText>
      </w:r>
      <w:r>
        <w:rPr>
          <w:rFonts w:ascii="宋体" w:hAnsi="宋体" w:eastAsia="宋体" w:cs="仿宋"/>
          <w:color w:val="000000" w:themeColor="text1"/>
          <w:highlight w:val="none"/>
          <w14:textFill>
            <w14:solidFill>
              <w14:schemeClr w14:val="tx1"/>
            </w14:solidFill>
          </w14:textFill>
        </w:rPr>
        <w:fldChar w:fldCharType="separate"/>
      </w:r>
      <w:r>
        <w:rPr>
          <w:rFonts w:ascii="宋体" w:hAnsi="宋体" w:eastAsia="宋体" w:cs="仿宋"/>
          <w:color w:val="000000" w:themeColor="text1"/>
          <w:highlight w:val="none"/>
          <w14:textFill>
            <w14:solidFill>
              <w14:schemeClr w14:val="tx1"/>
            </w14:solidFill>
          </w14:textFill>
        </w:rPr>
        <w:t>!异常的公式结尾</w:t>
      </w:r>
      <w:r>
        <w:rPr>
          <w:rFonts w:ascii="宋体" w:hAnsi="宋体" w:eastAsia="宋体" w:cs="仿宋"/>
          <w:color w:val="000000" w:themeColor="text1"/>
          <w:highlight w:val="none"/>
          <w14:textFill>
            <w14:solidFill>
              <w14:schemeClr w14:val="tx1"/>
            </w14:solidFill>
          </w14:textFill>
        </w:rPr>
        <w:fldChar w:fldCharType="end"/>
      </w:r>
      <w:bookmarkStart w:id="105" w:name="_Hlk525721599"/>
    </w:p>
    <w:p w14:paraId="66DF8714">
      <w:pPr>
        <w:jc w:val="center"/>
        <w:rPr>
          <w:rFonts w:hint="eastAsia" w:ascii="宋体" w:hAnsi="宋体" w:eastAsia="宋体" w:cs="仿宋"/>
          <w:bCs/>
          <w:color w:val="000000" w:themeColor="text1"/>
          <w:sz w:val="84"/>
          <w:highlight w:val="none"/>
          <w14:textFill>
            <w14:solidFill>
              <w14:schemeClr w14:val="tx1"/>
            </w14:solidFill>
          </w14:textFill>
        </w:rPr>
      </w:pPr>
    </w:p>
    <w:p w14:paraId="284DEA7A">
      <w:pPr>
        <w:rPr>
          <w:rFonts w:hint="eastAsia" w:ascii="宋体" w:hAnsi="宋体" w:eastAsia="宋体" w:cs="仿宋"/>
          <w:color w:val="000000" w:themeColor="text1"/>
          <w:highlight w:val="none"/>
          <w14:textFill>
            <w14:solidFill>
              <w14:schemeClr w14:val="tx1"/>
            </w14:solidFill>
          </w14:textFill>
        </w:rPr>
      </w:pPr>
    </w:p>
    <w:p w14:paraId="5029067D">
      <w:pPr>
        <w:jc w:val="center"/>
        <w:rPr>
          <w:rFonts w:hint="eastAsia" w:ascii="宋体" w:hAnsi="宋体" w:eastAsia="宋体" w:cs="仿宋"/>
          <w:bCs/>
          <w:color w:val="000000" w:themeColor="text1"/>
          <w:sz w:val="84"/>
          <w:highlight w:val="none"/>
          <w14:textFill>
            <w14:solidFill>
              <w14:schemeClr w14:val="tx1"/>
            </w14:solidFill>
          </w14:textFill>
        </w:rPr>
      </w:pPr>
      <w:r>
        <w:rPr>
          <w:rFonts w:hint="eastAsia" w:ascii="宋体" w:hAnsi="宋体" w:eastAsia="宋体" w:cs="仿宋"/>
          <w:bCs/>
          <w:color w:val="000000" w:themeColor="text1"/>
          <w:sz w:val="84"/>
          <w:highlight w:val="none"/>
          <w14:textFill>
            <w14:solidFill>
              <w14:schemeClr w14:val="tx1"/>
            </w14:solidFill>
          </w14:textFill>
        </w:rPr>
        <w:t>投 标 文 件</w:t>
      </w:r>
    </w:p>
    <w:p w14:paraId="50EABDC7">
      <w:pPr>
        <w:jc w:val="center"/>
        <w:rPr>
          <w:rFonts w:hint="eastAsia" w:ascii="宋体" w:hAnsi="宋体" w:eastAsia="宋体" w:cs="仿宋"/>
          <w:color w:val="000000" w:themeColor="text1"/>
          <w:sz w:val="72"/>
          <w:highlight w:val="none"/>
          <w14:textFill>
            <w14:solidFill>
              <w14:schemeClr w14:val="tx1"/>
            </w14:solidFill>
          </w14:textFill>
        </w:rPr>
      </w:pPr>
      <w:r>
        <w:rPr>
          <w:rFonts w:hint="eastAsia" w:ascii="宋体" w:hAnsi="宋体" w:eastAsia="宋体" w:cs="仿宋"/>
          <w:color w:val="000000" w:themeColor="text1"/>
          <w:sz w:val="72"/>
          <w:highlight w:val="none"/>
          <w14:textFill>
            <w14:solidFill>
              <w14:schemeClr w14:val="tx1"/>
            </w14:solidFill>
          </w14:textFill>
        </w:rPr>
        <w:t>（第一册）</w:t>
      </w:r>
    </w:p>
    <w:p w14:paraId="587F695D">
      <w:pPr>
        <w:jc w:val="center"/>
        <w:rPr>
          <w:rFonts w:hint="eastAsia" w:ascii="宋体" w:hAnsi="宋体" w:eastAsia="宋体" w:cs="仿宋"/>
          <w:color w:val="000000" w:themeColor="text1"/>
          <w:sz w:val="72"/>
          <w:highlight w:val="none"/>
          <w14:textFill>
            <w14:solidFill>
              <w14:schemeClr w14:val="tx1"/>
            </w14:solidFill>
          </w14:textFill>
        </w:rPr>
      </w:pPr>
    </w:p>
    <w:p w14:paraId="2AF9E81B">
      <w:pPr>
        <w:jc w:val="center"/>
        <w:rPr>
          <w:rFonts w:hint="eastAsia" w:ascii="宋体" w:hAnsi="宋体" w:eastAsia="宋体" w:cs="仿宋"/>
          <w:color w:val="000000" w:themeColor="text1"/>
          <w:sz w:val="72"/>
          <w:highlight w:val="none"/>
          <w14:textFill>
            <w14:solidFill>
              <w14:schemeClr w14:val="tx1"/>
            </w14:solidFill>
          </w14:textFill>
        </w:rPr>
      </w:pPr>
    </w:p>
    <w:p w14:paraId="504A2D0C">
      <w:pPr>
        <w:ind w:firstLine="1080" w:firstLineChars="300"/>
        <w:jc w:val="left"/>
        <w:rPr>
          <w:rFonts w:hint="eastAsia" w:ascii="宋体" w:hAnsi="宋体" w:eastAsia="宋体" w:cs="仿宋"/>
          <w:color w:val="000000" w:themeColor="text1"/>
          <w:sz w:val="36"/>
          <w:szCs w:val="36"/>
          <w:highlight w:val="none"/>
          <w14:textFill>
            <w14:solidFill>
              <w14:schemeClr w14:val="tx1"/>
            </w14:solidFill>
          </w14:textFill>
        </w:rPr>
      </w:pPr>
      <w:r>
        <w:rPr>
          <w:rFonts w:hint="eastAsia" w:ascii="宋体" w:hAnsi="宋体" w:eastAsia="宋体" w:cs="仿宋"/>
          <w:bCs/>
          <w:color w:val="000000" w:themeColor="text1"/>
          <w:sz w:val="36"/>
          <w:szCs w:val="36"/>
          <w:highlight w:val="none"/>
          <w14:textFill>
            <w14:solidFill>
              <w14:schemeClr w14:val="tx1"/>
            </w14:solidFill>
          </w14:textFill>
        </w:rPr>
        <w:t>项目名称：</w:t>
      </w:r>
    </w:p>
    <w:p w14:paraId="48AF0C03">
      <w:pPr>
        <w:ind w:firstLine="1080" w:firstLineChars="300"/>
        <w:jc w:val="left"/>
        <w:rPr>
          <w:rFonts w:hint="eastAsia" w:ascii="宋体" w:hAnsi="宋体" w:eastAsia="宋体" w:cs="仿宋"/>
          <w:color w:val="000000" w:themeColor="text1"/>
          <w:sz w:val="36"/>
          <w:szCs w:val="36"/>
          <w:highlight w:val="none"/>
          <w14:textFill>
            <w14:solidFill>
              <w14:schemeClr w14:val="tx1"/>
            </w14:solidFill>
          </w14:textFill>
        </w:rPr>
      </w:pPr>
      <w:r>
        <w:rPr>
          <w:rFonts w:hint="eastAsia" w:ascii="宋体" w:hAnsi="宋体" w:eastAsia="宋体" w:cs="仿宋"/>
          <w:bCs/>
          <w:color w:val="000000" w:themeColor="text1"/>
          <w:sz w:val="36"/>
          <w:szCs w:val="36"/>
          <w:highlight w:val="none"/>
          <w14:textFill>
            <w14:solidFill>
              <w14:schemeClr w14:val="tx1"/>
            </w14:solidFill>
          </w14:textFill>
        </w:rPr>
        <w:t>招标编号：</w:t>
      </w:r>
    </w:p>
    <w:p w14:paraId="7E6CA315">
      <w:pPr>
        <w:jc w:val="left"/>
        <w:rPr>
          <w:rFonts w:hint="eastAsia" w:ascii="宋体" w:hAnsi="宋体" w:eastAsia="宋体" w:cs="仿宋"/>
          <w:color w:val="000000" w:themeColor="text1"/>
          <w:sz w:val="44"/>
          <w:highlight w:val="none"/>
          <w14:textFill>
            <w14:solidFill>
              <w14:schemeClr w14:val="tx1"/>
            </w14:solidFill>
          </w14:textFill>
        </w:rPr>
      </w:pPr>
    </w:p>
    <w:p w14:paraId="28B94E39">
      <w:pPr>
        <w:tabs>
          <w:tab w:val="left" w:pos="580"/>
        </w:tabs>
        <w:ind w:left="185" w:leftChars="88" w:firstLine="1800" w:firstLineChars="500"/>
        <w:rPr>
          <w:rFonts w:hint="eastAsia" w:ascii="宋体" w:hAnsi="宋体" w:eastAsia="宋体" w:cs="仿宋"/>
          <w:color w:val="000000" w:themeColor="text1"/>
          <w:kern w:val="0"/>
          <w:sz w:val="36"/>
          <w:szCs w:val="21"/>
          <w:highlight w:val="none"/>
          <w14:textFill>
            <w14:solidFill>
              <w14:schemeClr w14:val="tx1"/>
            </w14:solidFill>
          </w14:textFill>
        </w:rPr>
      </w:pPr>
    </w:p>
    <w:p w14:paraId="67FAA244">
      <w:pPr>
        <w:tabs>
          <w:tab w:val="left" w:pos="580"/>
        </w:tabs>
        <w:ind w:left="185" w:leftChars="88" w:firstLine="1800" w:firstLineChars="500"/>
        <w:rPr>
          <w:rFonts w:hint="eastAsia" w:ascii="宋体" w:hAnsi="宋体" w:eastAsia="宋体" w:cs="仿宋"/>
          <w:color w:val="000000" w:themeColor="text1"/>
          <w:kern w:val="0"/>
          <w:sz w:val="36"/>
          <w:szCs w:val="36"/>
          <w:highlight w:val="none"/>
          <w14:textFill>
            <w14:solidFill>
              <w14:schemeClr w14:val="tx1"/>
            </w14:solidFill>
          </w14:textFill>
        </w:rPr>
      </w:pPr>
    </w:p>
    <w:p w14:paraId="15300870">
      <w:pPr>
        <w:tabs>
          <w:tab w:val="left" w:pos="580"/>
        </w:tabs>
        <w:ind w:firstLine="1800" w:firstLineChars="500"/>
        <w:rPr>
          <w:rFonts w:hint="eastAsia" w:ascii="宋体" w:hAnsi="宋体" w:eastAsia="宋体" w:cs="仿宋"/>
          <w:color w:val="000000" w:themeColor="text1"/>
          <w:kern w:val="0"/>
          <w:sz w:val="36"/>
          <w:szCs w:val="36"/>
          <w:highlight w:val="none"/>
          <w14:textFill>
            <w14:solidFill>
              <w14:schemeClr w14:val="tx1"/>
            </w14:solidFill>
          </w14:textFill>
        </w:rPr>
      </w:pPr>
      <w:r>
        <w:rPr>
          <w:rFonts w:hint="eastAsia" w:ascii="宋体" w:hAnsi="宋体" w:eastAsia="宋体" w:cs="仿宋"/>
          <w:color w:val="000000" w:themeColor="text1"/>
          <w:kern w:val="0"/>
          <w:sz w:val="36"/>
          <w:szCs w:val="36"/>
          <w:highlight w:val="none"/>
          <w14:textFill>
            <w14:solidFill>
              <w14:schemeClr w14:val="tx1"/>
            </w14:solidFill>
          </w14:textFill>
        </w:rPr>
        <w:t>投标人：******</w:t>
      </w:r>
    </w:p>
    <w:p w14:paraId="6EC05C38">
      <w:pPr>
        <w:tabs>
          <w:tab w:val="left" w:pos="580"/>
        </w:tabs>
        <w:ind w:firstLine="1800" w:firstLineChars="500"/>
        <w:rPr>
          <w:rFonts w:hint="eastAsia" w:ascii="宋体" w:hAnsi="宋体" w:eastAsia="宋体" w:cs="仿宋"/>
          <w:color w:val="000000" w:themeColor="text1"/>
          <w:kern w:val="0"/>
          <w:sz w:val="36"/>
          <w:szCs w:val="36"/>
          <w:highlight w:val="none"/>
          <w14:textFill>
            <w14:solidFill>
              <w14:schemeClr w14:val="tx1"/>
            </w14:solidFill>
          </w14:textFill>
        </w:rPr>
      </w:pPr>
      <w:r>
        <w:rPr>
          <w:rFonts w:hint="eastAsia" w:ascii="宋体" w:hAnsi="宋体" w:eastAsia="宋体" w:cs="仿宋"/>
          <w:color w:val="000000" w:themeColor="text1"/>
          <w:kern w:val="0"/>
          <w:sz w:val="36"/>
          <w:szCs w:val="36"/>
          <w:highlight w:val="none"/>
          <w14:textFill>
            <w14:solidFill>
              <w14:schemeClr w14:val="tx1"/>
            </w14:solidFill>
          </w14:textFill>
        </w:rPr>
        <w:t>日      期：   年  月  日</w:t>
      </w:r>
    </w:p>
    <w:p w14:paraId="649EBEA3">
      <w:pPr>
        <w:widowControl/>
        <w:tabs>
          <w:tab w:val="center" w:pos="4870"/>
        </w:tabs>
        <w:jc w:val="left"/>
        <w:rPr>
          <w:rFonts w:hint="eastAsia" w:ascii="宋体" w:hAnsi="宋体" w:eastAsia="宋体" w:cs="仿宋"/>
          <w:color w:val="000000" w:themeColor="text1"/>
          <w:sz w:val="44"/>
          <w:szCs w:val="44"/>
          <w:highlight w:val="none"/>
          <w14:textFill>
            <w14:solidFill>
              <w14:schemeClr w14:val="tx1"/>
            </w14:solidFill>
          </w14:textFill>
        </w:rPr>
      </w:pPr>
      <w:r>
        <w:rPr>
          <w:rFonts w:ascii="宋体" w:hAnsi="宋体" w:eastAsia="宋体" w:cs="仿宋"/>
          <w:color w:val="000000" w:themeColor="text1"/>
          <w:sz w:val="44"/>
          <w:szCs w:val="44"/>
          <w:highlight w:val="none"/>
          <w14:textFill>
            <w14:solidFill>
              <w14:schemeClr w14:val="tx1"/>
            </w14:solidFill>
          </w14:textFill>
        </w:rPr>
        <w:br w:type="page"/>
      </w:r>
      <w:r>
        <w:rPr>
          <w:rFonts w:ascii="宋体" w:hAnsi="宋体" w:eastAsia="宋体" w:cs="仿宋"/>
          <w:color w:val="000000" w:themeColor="text1"/>
          <w:sz w:val="44"/>
          <w:szCs w:val="44"/>
          <w:highlight w:val="none"/>
          <w14:textFill>
            <w14:solidFill>
              <w14:schemeClr w14:val="tx1"/>
            </w14:solidFill>
          </w14:textFill>
        </w:rPr>
        <w:tab/>
      </w:r>
      <w:r>
        <w:rPr>
          <w:rFonts w:hint="eastAsia" w:ascii="宋体" w:hAnsi="宋体" w:eastAsia="宋体" w:cs="仿宋"/>
          <w:color w:val="000000" w:themeColor="text1"/>
          <w:sz w:val="44"/>
          <w:szCs w:val="44"/>
          <w:highlight w:val="none"/>
          <w14:textFill>
            <w14:solidFill>
              <w14:schemeClr w14:val="tx1"/>
            </w14:solidFill>
          </w14:textFill>
        </w:rPr>
        <w:t>目录</w:t>
      </w:r>
    </w:p>
    <w:p w14:paraId="39045B71">
      <w:pPr>
        <w:jc w:val="center"/>
        <w:rPr>
          <w:rFonts w:hint="eastAsia" w:ascii="宋体" w:hAnsi="宋体" w:eastAsia="宋体" w:cs="仿宋"/>
          <w:b/>
          <w:bCs/>
          <w:color w:val="000000" w:themeColor="text1"/>
          <w:sz w:val="30"/>
          <w:szCs w:val="30"/>
          <w:highlight w:val="none"/>
          <w14:textFill>
            <w14:solidFill>
              <w14:schemeClr w14:val="tx1"/>
            </w14:solidFill>
          </w14:textFill>
        </w:rPr>
      </w:pPr>
      <w:r>
        <w:rPr>
          <w:rFonts w:hint="eastAsia" w:ascii="宋体" w:hAnsi="宋体" w:eastAsia="宋体" w:cs="仿宋"/>
          <w:b/>
          <w:bCs/>
          <w:color w:val="000000" w:themeColor="text1"/>
          <w:sz w:val="30"/>
          <w:szCs w:val="30"/>
          <w:highlight w:val="none"/>
          <w14:textFill>
            <w14:solidFill>
              <w14:schemeClr w14:val="tx1"/>
            </w14:solidFill>
          </w14:textFill>
        </w:rPr>
        <w:t>（由投标人自行编制）</w:t>
      </w:r>
    </w:p>
    <w:p w14:paraId="7734CAED">
      <w:pPr>
        <w:pStyle w:val="2"/>
        <w:rPr>
          <w:rFonts w:hint="eastAsia" w:ascii="宋体" w:hAnsi="宋体" w:eastAsia="宋体"/>
          <w:color w:val="000000" w:themeColor="text1"/>
          <w:highlight w:val="none"/>
          <w14:textFill>
            <w14:solidFill>
              <w14:schemeClr w14:val="tx1"/>
            </w14:solidFill>
          </w14:textFill>
        </w:rPr>
      </w:pPr>
    </w:p>
    <w:p w14:paraId="3F59CDE0">
      <w:pPr>
        <w:pStyle w:val="3"/>
        <w:ind w:left="5250"/>
        <w:rPr>
          <w:rFonts w:hint="eastAsia" w:hAnsi="宋体" w:eastAsia="宋体"/>
          <w:color w:val="000000" w:themeColor="text1"/>
          <w:highlight w:val="none"/>
          <w14:textFill>
            <w14:solidFill>
              <w14:schemeClr w14:val="tx1"/>
            </w14:solidFill>
          </w14:textFill>
        </w:rPr>
      </w:pPr>
    </w:p>
    <w:p w14:paraId="733BD3E0">
      <w:pPr>
        <w:rPr>
          <w:rFonts w:hint="eastAsia" w:ascii="宋体" w:hAnsi="宋体" w:eastAsia="宋体"/>
          <w:color w:val="000000" w:themeColor="text1"/>
          <w:highlight w:val="none"/>
          <w14:textFill>
            <w14:solidFill>
              <w14:schemeClr w14:val="tx1"/>
            </w14:solidFill>
          </w14:textFill>
        </w:rPr>
      </w:pPr>
    </w:p>
    <w:p w14:paraId="593C3FD8">
      <w:pPr>
        <w:pStyle w:val="2"/>
        <w:rPr>
          <w:rFonts w:hint="eastAsia" w:ascii="宋体" w:hAnsi="宋体" w:eastAsia="宋体"/>
          <w:color w:val="000000" w:themeColor="text1"/>
          <w:highlight w:val="none"/>
          <w14:textFill>
            <w14:solidFill>
              <w14:schemeClr w14:val="tx1"/>
            </w14:solidFill>
          </w14:textFill>
        </w:rPr>
      </w:pPr>
    </w:p>
    <w:p w14:paraId="776A2AE4">
      <w:pPr>
        <w:pStyle w:val="3"/>
        <w:ind w:left="5250"/>
        <w:rPr>
          <w:rFonts w:hint="eastAsia" w:hAnsi="宋体" w:eastAsia="宋体"/>
          <w:color w:val="000000" w:themeColor="text1"/>
          <w:highlight w:val="none"/>
          <w14:textFill>
            <w14:solidFill>
              <w14:schemeClr w14:val="tx1"/>
            </w14:solidFill>
          </w14:textFill>
        </w:rPr>
      </w:pPr>
    </w:p>
    <w:p w14:paraId="3EFC5C79">
      <w:pPr>
        <w:rPr>
          <w:rFonts w:hint="eastAsia" w:ascii="宋体" w:hAnsi="宋体" w:eastAsia="宋体"/>
          <w:color w:val="000000" w:themeColor="text1"/>
          <w:highlight w:val="none"/>
          <w14:textFill>
            <w14:solidFill>
              <w14:schemeClr w14:val="tx1"/>
            </w14:solidFill>
          </w14:textFill>
        </w:rPr>
      </w:pPr>
    </w:p>
    <w:p w14:paraId="72745A4E">
      <w:pPr>
        <w:pStyle w:val="2"/>
        <w:rPr>
          <w:rFonts w:hint="eastAsia" w:ascii="宋体" w:hAnsi="宋体" w:eastAsia="宋体"/>
          <w:color w:val="000000" w:themeColor="text1"/>
          <w:highlight w:val="none"/>
          <w14:textFill>
            <w14:solidFill>
              <w14:schemeClr w14:val="tx1"/>
            </w14:solidFill>
          </w14:textFill>
        </w:rPr>
      </w:pPr>
    </w:p>
    <w:p w14:paraId="74B9660F">
      <w:pPr>
        <w:pStyle w:val="3"/>
        <w:ind w:left="5250"/>
        <w:rPr>
          <w:rFonts w:hint="eastAsia" w:hAnsi="宋体" w:eastAsia="宋体"/>
          <w:color w:val="000000" w:themeColor="text1"/>
          <w:highlight w:val="none"/>
          <w14:textFill>
            <w14:solidFill>
              <w14:schemeClr w14:val="tx1"/>
            </w14:solidFill>
          </w14:textFill>
        </w:rPr>
      </w:pPr>
    </w:p>
    <w:p w14:paraId="078D33E1">
      <w:pPr>
        <w:rPr>
          <w:rFonts w:hint="eastAsia" w:ascii="宋体" w:hAnsi="宋体" w:eastAsia="宋体"/>
          <w:color w:val="000000" w:themeColor="text1"/>
          <w:highlight w:val="none"/>
          <w14:textFill>
            <w14:solidFill>
              <w14:schemeClr w14:val="tx1"/>
            </w14:solidFill>
          </w14:textFill>
        </w:rPr>
      </w:pPr>
    </w:p>
    <w:p w14:paraId="4F0BFDE7">
      <w:pPr>
        <w:pStyle w:val="2"/>
        <w:rPr>
          <w:rFonts w:hint="eastAsia" w:ascii="宋体" w:hAnsi="宋体" w:eastAsia="宋体"/>
          <w:color w:val="000000" w:themeColor="text1"/>
          <w:highlight w:val="none"/>
          <w14:textFill>
            <w14:solidFill>
              <w14:schemeClr w14:val="tx1"/>
            </w14:solidFill>
          </w14:textFill>
        </w:rPr>
      </w:pPr>
    </w:p>
    <w:p w14:paraId="1A18657B">
      <w:pPr>
        <w:pStyle w:val="3"/>
        <w:ind w:left="5250"/>
        <w:rPr>
          <w:rFonts w:hint="eastAsia" w:hAnsi="宋体" w:eastAsia="宋体"/>
          <w:color w:val="000000" w:themeColor="text1"/>
          <w:highlight w:val="none"/>
          <w14:textFill>
            <w14:solidFill>
              <w14:schemeClr w14:val="tx1"/>
            </w14:solidFill>
          </w14:textFill>
        </w:rPr>
      </w:pPr>
    </w:p>
    <w:p w14:paraId="34F9DC00">
      <w:pPr>
        <w:rPr>
          <w:rFonts w:hint="eastAsia" w:ascii="宋体" w:hAnsi="宋体" w:eastAsia="宋体"/>
          <w:color w:val="000000" w:themeColor="text1"/>
          <w:highlight w:val="none"/>
          <w14:textFill>
            <w14:solidFill>
              <w14:schemeClr w14:val="tx1"/>
            </w14:solidFill>
          </w14:textFill>
        </w:rPr>
      </w:pPr>
    </w:p>
    <w:p w14:paraId="7079CE4E">
      <w:pPr>
        <w:pStyle w:val="2"/>
        <w:rPr>
          <w:rFonts w:hint="eastAsia" w:ascii="宋体" w:hAnsi="宋体" w:eastAsia="宋体"/>
          <w:color w:val="000000" w:themeColor="text1"/>
          <w:highlight w:val="none"/>
          <w14:textFill>
            <w14:solidFill>
              <w14:schemeClr w14:val="tx1"/>
            </w14:solidFill>
          </w14:textFill>
        </w:rPr>
      </w:pPr>
    </w:p>
    <w:p w14:paraId="0BEC6C2B">
      <w:pPr>
        <w:pStyle w:val="3"/>
        <w:ind w:left="5250"/>
        <w:rPr>
          <w:rFonts w:hint="eastAsia" w:hAnsi="宋体" w:eastAsia="宋体"/>
          <w:color w:val="000000" w:themeColor="text1"/>
          <w:highlight w:val="none"/>
          <w14:textFill>
            <w14:solidFill>
              <w14:schemeClr w14:val="tx1"/>
            </w14:solidFill>
          </w14:textFill>
        </w:rPr>
      </w:pPr>
    </w:p>
    <w:p w14:paraId="07FE5B68">
      <w:pPr>
        <w:rPr>
          <w:rFonts w:hint="eastAsia" w:ascii="宋体" w:hAnsi="宋体" w:eastAsia="宋体"/>
          <w:color w:val="000000" w:themeColor="text1"/>
          <w:highlight w:val="none"/>
          <w14:textFill>
            <w14:solidFill>
              <w14:schemeClr w14:val="tx1"/>
            </w14:solidFill>
          </w14:textFill>
        </w:rPr>
      </w:pPr>
    </w:p>
    <w:p w14:paraId="44055795">
      <w:pPr>
        <w:pStyle w:val="2"/>
        <w:rPr>
          <w:rFonts w:hint="eastAsia" w:ascii="宋体" w:hAnsi="宋体" w:eastAsia="宋体"/>
          <w:color w:val="000000" w:themeColor="text1"/>
          <w:highlight w:val="none"/>
          <w14:textFill>
            <w14:solidFill>
              <w14:schemeClr w14:val="tx1"/>
            </w14:solidFill>
          </w14:textFill>
        </w:rPr>
      </w:pPr>
    </w:p>
    <w:p w14:paraId="1BFDCED1">
      <w:pPr>
        <w:pStyle w:val="3"/>
        <w:ind w:left="5250"/>
        <w:rPr>
          <w:rFonts w:hint="eastAsia" w:hAnsi="宋体" w:eastAsia="宋体"/>
          <w:color w:val="000000" w:themeColor="text1"/>
          <w:highlight w:val="none"/>
          <w14:textFill>
            <w14:solidFill>
              <w14:schemeClr w14:val="tx1"/>
            </w14:solidFill>
          </w14:textFill>
        </w:rPr>
      </w:pPr>
    </w:p>
    <w:p w14:paraId="72F3D9AD">
      <w:pPr>
        <w:rPr>
          <w:rFonts w:hint="eastAsia" w:ascii="宋体" w:hAnsi="宋体" w:eastAsia="宋体"/>
          <w:color w:val="000000" w:themeColor="text1"/>
          <w:highlight w:val="none"/>
          <w14:textFill>
            <w14:solidFill>
              <w14:schemeClr w14:val="tx1"/>
            </w14:solidFill>
          </w14:textFill>
        </w:rPr>
      </w:pPr>
    </w:p>
    <w:p w14:paraId="0FF2B311">
      <w:pPr>
        <w:pStyle w:val="2"/>
        <w:rPr>
          <w:rFonts w:hint="eastAsia" w:ascii="宋体" w:hAnsi="宋体" w:eastAsia="宋体"/>
          <w:color w:val="000000" w:themeColor="text1"/>
          <w:highlight w:val="none"/>
          <w14:textFill>
            <w14:solidFill>
              <w14:schemeClr w14:val="tx1"/>
            </w14:solidFill>
          </w14:textFill>
        </w:rPr>
      </w:pPr>
    </w:p>
    <w:p w14:paraId="6CCC5855">
      <w:pPr>
        <w:pStyle w:val="3"/>
        <w:ind w:left="5250"/>
        <w:rPr>
          <w:rFonts w:hint="eastAsia" w:hAnsi="宋体" w:eastAsia="宋体"/>
          <w:color w:val="000000" w:themeColor="text1"/>
          <w:highlight w:val="none"/>
          <w14:textFill>
            <w14:solidFill>
              <w14:schemeClr w14:val="tx1"/>
            </w14:solidFill>
          </w14:textFill>
        </w:rPr>
      </w:pPr>
    </w:p>
    <w:p w14:paraId="7665A7D1">
      <w:pPr>
        <w:rPr>
          <w:rFonts w:hint="eastAsia" w:ascii="宋体" w:hAnsi="宋体" w:eastAsia="宋体"/>
          <w:color w:val="000000" w:themeColor="text1"/>
          <w:highlight w:val="none"/>
          <w14:textFill>
            <w14:solidFill>
              <w14:schemeClr w14:val="tx1"/>
            </w14:solidFill>
          </w14:textFill>
        </w:rPr>
      </w:pPr>
    </w:p>
    <w:p w14:paraId="34E3EF58">
      <w:pPr>
        <w:pStyle w:val="2"/>
        <w:rPr>
          <w:rFonts w:hint="eastAsia" w:ascii="宋体" w:hAnsi="宋体" w:eastAsia="宋体"/>
          <w:color w:val="000000" w:themeColor="text1"/>
          <w:highlight w:val="none"/>
          <w14:textFill>
            <w14:solidFill>
              <w14:schemeClr w14:val="tx1"/>
            </w14:solidFill>
          </w14:textFill>
        </w:rPr>
      </w:pPr>
    </w:p>
    <w:p w14:paraId="2761C488">
      <w:pPr>
        <w:pStyle w:val="3"/>
        <w:ind w:left="5250"/>
        <w:rPr>
          <w:rFonts w:hint="eastAsia" w:hAnsi="宋体" w:eastAsia="宋体"/>
          <w:color w:val="000000" w:themeColor="text1"/>
          <w:highlight w:val="none"/>
          <w14:textFill>
            <w14:solidFill>
              <w14:schemeClr w14:val="tx1"/>
            </w14:solidFill>
          </w14:textFill>
        </w:rPr>
      </w:pPr>
    </w:p>
    <w:p w14:paraId="6CBD6CC5">
      <w:pPr>
        <w:rPr>
          <w:rFonts w:hint="eastAsia" w:ascii="宋体" w:hAnsi="宋体" w:eastAsia="宋体"/>
          <w:color w:val="000000" w:themeColor="text1"/>
          <w:highlight w:val="none"/>
          <w14:textFill>
            <w14:solidFill>
              <w14:schemeClr w14:val="tx1"/>
            </w14:solidFill>
          </w14:textFill>
        </w:rPr>
      </w:pPr>
    </w:p>
    <w:p w14:paraId="3A02B9D4">
      <w:pPr>
        <w:pStyle w:val="2"/>
        <w:rPr>
          <w:rFonts w:hint="eastAsia" w:ascii="宋体" w:hAnsi="宋体" w:eastAsia="宋体"/>
          <w:color w:val="000000" w:themeColor="text1"/>
          <w:highlight w:val="none"/>
          <w14:textFill>
            <w14:solidFill>
              <w14:schemeClr w14:val="tx1"/>
            </w14:solidFill>
          </w14:textFill>
        </w:rPr>
      </w:pPr>
    </w:p>
    <w:p w14:paraId="159FC206">
      <w:pPr>
        <w:pStyle w:val="3"/>
        <w:ind w:left="5250"/>
        <w:rPr>
          <w:rFonts w:hint="eastAsia" w:hAnsi="宋体" w:eastAsia="宋体"/>
          <w:color w:val="000000" w:themeColor="text1"/>
          <w:highlight w:val="none"/>
          <w14:textFill>
            <w14:solidFill>
              <w14:schemeClr w14:val="tx1"/>
            </w14:solidFill>
          </w14:textFill>
        </w:rPr>
      </w:pPr>
    </w:p>
    <w:p w14:paraId="2CE32903">
      <w:pPr>
        <w:rPr>
          <w:rFonts w:hint="eastAsia" w:ascii="宋体" w:hAnsi="宋体" w:eastAsia="宋体"/>
          <w:color w:val="000000" w:themeColor="text1"/>
          <w:highlight w:val="none"/>
          <w14:textFill>
            <w14:solidFill>
              <w14:schemeClr w14:val="tx1"/>
            </w14:solidFill>
          </w14:textFill>
        </w:rPr>
      </w:pPr>
    </w:p>
    <w:p w14:paraId="21A920D9">
      <w:pPr>
        <w:widowControl/>
        <w:jc w:val="left"/>
        <w:rPr>
          <w:rFonts w:hint="eastAsia" w:ascii="宋体" w:hAnsi="宋体" w:eastAsia="宋体" w:cs="仿宋"/>
          <w:bCs/>
          <w:color w:val="000000" w:themeColor="text1"/>
          <w:sz w:val="44"/>
          <w:szCs w:val="32"/>
          <w:highlight w:val="none"/>
          <w14:textFill>
            <w14:solidFill>
              <w14:schemeClr w14:val="tx1"/>
            </w14:solidFill>
          </w14:textFill>
        </w:rPr>
      </w:pPr>
      <w:bookmarkStart w:id="106" w:name="_Toc524682807"/>
      <w:r>
        <w:rPr>
          <w:rFonts w:ascii="宋体" w:hAnsi="宋体" w:eastAsia="宋体" w:cs="仿宋"/>
          <w:bCs/>
          <w:color w:val="000000" w:themeColor="text1"/>
          <w:sz w:val="44"/>
          <w:szCs w:val="32"/>
          <w:highlight w:val="none"/>
          <w14:textFill>
            <w14:solidFill>
              <w14:schemeClr w14:val="tx1"/>
            </w14:solidFill>
          </w14:textFill>
        </w:rPr>
        <w:br w:type="page"/>
      </w:r>
    </w:p>
    <w:p w14:paraId="705DE69E">
      <w:pPr>
        <w:ind w:right="-41"/>
        <w:jc w:val="center"/>
        <w:rPr>
          <w:rFonts w:hint="eastAsia" w:ascii="宋体" w:hAnsi="宋体" w:eastAsia="宋体" w:cs="仿宋"/>
          <w:bCs/>
          <w:color w:val="000000" w:themeColor="text1"/>
          <w:sz w:val="44"/>
          <w:szCs w:val="32"/>
          <w:highlight w:val="none"/>
          <w14:textFill>
            <w14:solidFill>
              <w14:schemeClr w14:val="tx1"/>
            </w14:solidFill>
          </w14:textFill>
        </w:rPr>
      </w:pPr>
      <w:r>
        <w:rPr>
          <w:rFonts w:hint="eastAsia" w:ascii="宋体" w:hAnsi="宋体" w:eastAsia="宋体" w:cs="仿宋"/>
          <w:bCs/>
          <w:color w:val="000000" w:themeColor="text1"/>
          <w:sz w:val="44"/>
          <w:szCs w:val="32"/>
          <w:highlight w:val="none"/>
          <w14:textFill>
            <w14:solidFill>
              <w14:schemeClr w14:val="tx1"/>
            </w14:solidFill>
          </w14:textFill>
        </w:rPr>
        <w:t>投标承诺函</w:t>
      </w:r>
      <w:bookmarkEnd w:id="106"/>
    </w:p>
    <w:p w14:paraId="5D6527AB">
      <w:pPr>
        <w:spacing w:line="560" w:lineRule="exact"/>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威海市天垣工程咨询管理有限公司</w:t>
      </w:r>
      <w:r>
        <w:rPr>
          <w:rFonts w:hint="eastAsia" w:ascii="宋体" w:hAnsi="宋体" w:eastAsia="宋体" w:cs="仿宋"/>
          <w:color w:val="000000" w:themeColor="text1"/>
          <w:kern w:val="0"/>
          <w:sz w:val="28"/>
          <w:szCs w:val="28"/>
          <w:highlight w:val="none"/>
          <w14:textFill>
            <w14:solidFill>
              <w14:schemeClr w14:val="tx1"/>
            </w14:solidFill>
          </w14:textFill>
        </w:rPr>
        <w:t>：</w:t>
      </w:r>
    </w:p>
    <w:p w14:paraId="0CAFB719">
      <w:pPr>
        <w:spacing w:line="560" w:lineRule="exact"/>
        <w:ind w:firstLine="560" w:firstLineChars="200"/>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我方根据编号为WCSZ2026-003的招标文件的要求，经详细研究决定参加投标。</w:t>
      </w:r>
    </w:p>
    <w:p w14:paraId="4C0FE3BE">
      <w:pPr>
        <w:spacing w:line="560" w:lineRule="exact"/>
        <w:ind w:firstLine="560" w:firstLineChars="200"/>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1.我方接受本招标文件中关于电子招投标的各项规定，遵守《中华人民共和国电子签名法》关于电子签名的各项规定。我方愿意按照招标文件的规定和要求提供货物及服务，报价详见《投标（报价）一览表》。</w:t>
      </w:r>
    </w:p>
    <w:p w14:paraId="18A0C991">
      <w:pPr>
        <w:spacing w:line="560" w:lineRule="exact"/>
        <w:ind w:firstLine="560" w:firstLineChars="200"/>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2.我方同意</w:t>
      </w:r>
      <w:r>
        <w:rPr>
          <w:rFonts w:hint="eastAsia" w:ascii="宋体" w:hAnsi="宋体" w:eastAsia="宋体" w:cs="仿宋"/>
          <w:color w:val="000000" w:themeColor="text1"/>
          <w:sz w:val="28"/>
          <w:szCs w:val="28"/>
          <w:highlight w:val="none"/>
          <w14:textFill>
            <w14:solidFill>
              <w14:schemeClr w14:val="tx1"/>
            </w14:solidFill>
          </w14:textFill>
        </w:rPr>
        <w:t>开标之日起90天</w:t>
      </w:r>
      <w:r>
        <w:rPr>
          <w:rFonts w:hint="eastAsia" w:ascii="宋体" w:hAnsi="宋体" w:eastAsia="宋体" w:cs="仿宋"/>
          <w:color w:val="000000" w:themeColor="text1"/>
          <w:kern w:val="0"/>
          <w:sz w:val="28"/>
          <w:szCs w:val="28"/>
          <w:highlight w:val="none"/>
          <w14:textFill>
            <w14:solidFill>
              <w14:schemeClr w14:val="tx1"/>
            </w14:solidFill>
          </w14:textFill>
        </w:rPr>
        <w:t>的投标有效期，严格遵守投标文件的各项承诺。在此期限届满之前，本投标文件始终对我方具有约束力，并随时接受中标。我方承诺在投标有效期内不修改、撤销投标文件。</w:t>
      </w:r>
    </w:p>
    <w:p w14:paraId="6B617579">
      <w:pPr>
        <w:spacing w:line="560" w:lineRule="exact"/>
        <w:ind w:firstLine="560" w:firstLineChars="200"/>
        <w:rPr>
          <w:rFonts w:hint="eastAsia" w:ascii="宋体" w:hAnsi="宋体" w:eastAsia="宋体" w:cs="仿宋"/>
          <w:b/>
          <w:strike/>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3.我方愿意遵守本招标文件的规定和要求并提供招标文件中要求的所有资料，若投标文件中存在虚假资料的，则视为我方隐瞒真实情况、提供虚假资料，我方愿意接受主管部门做出的行政处罚。</w:t>
      </w:r>
    </w:p>
    <w:p w14:paraId="14E48CD5">
      <w:pPr>
        <w:spacing w:line="560" w:lineRule="exact"/>
        <w:ind w:firstLine="560" w:firstLineChars="200"/>
        <w:rPr>
          <w:rFonts w:hint="eastAsia" w:ascii="宋体" w:hAnsi="宋体" w:eastAsia="宋体" w:cs="仿宋"/>
          <w:color w:val="000000" w:themeColor="text1"/>
          <w:kern w:val="0"/>
          <w:sz w:val="28"/>
          <w:szCs w:val="28"/>
          <w:highlight w:val="none"/>
          <w14:textFill>
            <w14:solidFill>
              <w14:schemeClr w14:val="tx1"/>
            </w14:solidFill>
          </w14:textFill>
        </w:rPr>
      </w:pPr>
      <w:r>
        <w:rPr>
          <w:rFonts w:ascii="宋体" w:hAnsi="宋体" w:eastAsia="宋体" w:cs="仿宋"/>
          <w:color w:val="000000" w:themeColor="text1"/>
          <w:kern w:val="0"/>
          <w:sz w:val="28"/>
          <w:szCs w:val="28"/>
          <w:highlight w:val="none"/>
          <w14:textFill>
            <w14:solidFill>
              <w14:schemeClr w14:val="tx1"/>
            </w14:solidFill>
          </w14:textFill>
        </w:rPr>
        <w:t>4</w:t>
      </w:r>
      <w:r>
        <w:rPr>
          <w:rFonts w:hint="eastAsia" w:ascii="宋体" w:hAnsi="宋体" w:eastAsia="宋体" w:cs="仿宋"/>
          <w:color w:val="000000" w:themeColor="text1"/>
          <w:kern w:val="0"/>
          <w:sz w:val="28"/>
          <w:szCs w:val="28"/>
          <w:highlight w:val="none"/>
          <w14:textFill>
            <w14:solidFill>
              <w14:schemeClr w14:val="tx1"/>
            </w14:solidFill>
          </w14:textFill>
        </w:rPr>
        <w:t>.如果我方中标：</w:t>
      </w:r>
    </w:p>
    <w:p w14:paraId="1EFB942F">
      <w:pPr>
        <w:spacing w:line="560" w:lineRule="exact"/>
        <w:ind w:firstLine="420" w:firstLineChars="150"/>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（1）我方承诺在中标通知书发出后，在规定期限内与招标人签订合同；</w:t>
      </w:r>
    </w:p>
    <w:p w14:paraId="34708985">
      <w:pPr>
        <w:spacing w:line="560" w:lineRule="exact"/>
        <w:ind w:firstLine="420" w:firstLineChars="150"/>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（2）我方承诺在合同约定的期限内，按期、保质、保量完成项目任务；</w:t>
      </w:r>
    </w:p>
    <w:p w14:paraId="5C5880DE">
      <w:pPr>
        <w:spacing w:line="560" w:lineRule="exact"/>
        <w:ind w:firstLine="420" w:firstLineChars="150"/>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（3）我方承诺将按照招标文件的规定全额交纳代理服务费。</w:t>
      </w:r>
    </w:p>
    <w:p w14:paraId="4A549E6A">
      <w:pPr>
        <w:spacing w:line="560" w:lineRule="exact"/>
        <w:ind w:firstLine="560" w:firstLineChars="200"/>
        <w:rPr>
          <w:rFonts w:hint="eastAsia" w:ascii="宋体" w:hAnsi="宋体" w:eastAsia="宋体" w:cs="仿宋"/>
          <w:color w:val="000000" w:themeColor="text1"/>
          <w:kern w:val="0"/>
          <w:sz w:val="28"/>
          <w:szCs w:val="28"/>
          <w:highlight w:val="none"/>
          <w14:textFill>
            <w14:solidFill>
              <w14:schemeClr w14:val="tx1"/>
            </w14:solidFill>
          </w14:textFill>
        </w:rPr>
      </w:pPr>
      <w:r>
        <w:rPr>
          <w:rFonts w:ascii="宋体" w:hAnsi="宋体" w:eastAsia="宋体" w:cs="仿宋"/>
          <w:color w:val="000000" w:themeColor="text1"/>
          <w:kern w:val="0"/>
          <w:sz w:val="28"/>
          <w:szCs w:val="28"/>
          <w:highlight w:val="none"/>
          <w14:textFill>
            <w14:solidFill>
              <w14:schemeClr w14:val="tx1"/>
            </w14:solidFill>
          </w14:textFill>
        </w:rPr>
        <w:t>5.</w:t>
      </w:r>
      <w:r>
        <w:rPr>
          <w:rFonts w:hint="eastAsia" w:ascii="宋体" w:hAnsi="宋体" w:eastAsia="宋体" w:cs="仿宋"/>
          <w:color w:val="000000" w:themeColor="text1"/>
          <w:kern w:val="0"/>
          <w:sz w:val="28"/>
          <w:szCs w:val="28"/>
          <w:highlight w:val="none"/>
          <w14:textFill>
            <w14:solidFill>
              <w14:schemeClr w14:val="tx1"/>
            </w14:solidFill>
          </w14:textFill>
        </w:rPr>
        <w:t>我方在此声明，所提交的投标文件及有关资料内容完整、真实和准确，如有弄虚作假，一旦中标将取消中标资格。</w:t>
      </w:r>
    </w:p>
    <w:p w14:paraId="2B4E1337">
      <w:pPr>
        <w:spacing w:line="560" w:lineRule="exact"/>
        <w:ind w:firstLine="560" w:firstLineChars="200"/>
        <w:rPr>
          <w:rFonts w:hint="eastAsia" w:ascii="宋体" w:hAnsi="宋体" w:eastAsia="宋体" w:cs="仿宋"/>
          <w:color w:val="000000" w:themeColor="text1"/>
          <w:kern w:val="0"/>
          <w:sz w:val="28"/>
          <w:szCs w:val="28"/>
          <w:highlight w:val="none"/>
          <w14:textFill>
            <w14:solidFill>
              <w14:schemeClr w14:val="tx1"/>
            </w14:solidFill>
          </w14:textFill>
        </w:rPr>
      </w:pPr>
      <w:r>
        <w:rPr>
          <w:rFonts w:ascii="宋体" w:hAnsi="宋体" w:eastAsia="宋体" w:cs="仿宋"/>
          <w:color w:val="000000" w:themeColor="text1"/>
          <w:kern w:val="0"/>
          <w:sz w:val="28"/>
          <w:szCs w:val="28"/>
          <w:highlight w:val="none"/>
          <w14:textFill>
            <w14:solidFill>
              <w14:schemeClr w14:val="tx1"/>
            </w14:solidFill>
          </w14:textFill>
        </w:rPr>
        <w:t>6</w:t>
      </w:r>
      <w:r>
        <w:rPr>
          <w:rFonts w:hint="eastAsia" w:ascii="宋体" w:hAnsi="宋体" w:eastAsia="宋体" w:cs="仿宋"/>
          <w:color w:val="000000" w:themeColor="text1"/>
          <w:kern w:val="0"/>
          <w:sz w:val="28"/>
          <w:szCs w:val="28"/>
          <w:highlight w:val="none"/>
          <w14:textFill>
            <w14:solidFill>
              <w14:schemeClr w14:val="tx1"/>
            </w14:solidFill>
          </w14:textFill>
        </w:rPr>
        <w:t>.所有有关本投标的函电，请按下列地址联系：</w:t>
      </w:r>
    </w:p>
    <w:p w14:paraId="6D43DC20">
      <w:pPr>
        <w:spacing w:line="560" w:lineRule="exact"/>
        <w:ind w:firstLine="560" w:firstLineChars="200"/>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单    位：                     邮政编码：</w:t>
      </w:r>
    </w:p>
    <w:p w14:paraId="5F60ABD6">
      <w:pPr>
        <w:spacing w:line="560" w:lineRule="exact"/>
        <w:ind w:firstLine="560" w:firstLineChars="200"/>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地    址：                     联 系 人：</w:t>
      </w:r>
    </w:p>
    <w:p w14:paraId="1AAD2675">
      <w:pPr>
        <w:spacing w:line="560" w:lineRule="exact"/>
        <w:ind w:firstLine="560" w:firstLineChars="200"/>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电    话：                     传    真：</w:t>
      </w:r>
    </w:p>
    <w:p w14:paraId="7FA917B0">
      <w:pPr>
        <w:spacing w:line="560" w:lineRule="exact"/>
        <w:ind w:firstLine="560" w:firstLineChars="200"/>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开户名称：</w:t>
      </w:r>
    </w:p>
    <w:p w14:paraId="14FEBC31">
      <w:pPr>
        <w:spacing w:line="560" w:lineRule="exact"/>
        <w:ind w:firstLine="560" w:firstLineChars="200"/>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开户银行：</w:t>
      </w:r>
    </w:p>
    <w:p w14:paraId="0B866405">
      <w:pPr>
        <w:spacing w:line="560" w:lineRule="exact"/>
        <w:ind w:firstLine="560" w:firstLineChars="200"/>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开户账号：</w:t>
      </w:r>
    </w:p>
    <w:p w14:paraId="3DB7BA7B">
      <w:pPr>
        <w:spacing w:line="560" w:lineRule="exact"/>
        <w:ind w:firstLine="560" w:firstLineChars="200"/>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投标人（盖章）：</w:t>
      </w:r>
    </w:p>
    <w:p w14:paraId="4C79D008">
      <w:pPr>
        <w:spacing w:line="560" w:lineRule="exact"/>
        <w:ind w:firstLine="560" w:firstLineChars="200"/>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法定代表人或被授权人（签字或盖章）：</w:t>
      </w:r>
    </w:p>
    <w:p w14:paraId="782EAA74">
      <w:pPr>
        <w:spacing w:line="560" w:lineRule="exact"/>
        <w:ind w:firstLine="560" w:firstLineChars="200"/>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 xml:space="preserve">报价日期：××年××月××日 </w:t>
      </w:r>
    </w:p>
    <w:p w14:paraId="314E2565">
      <w:pPr>
        <w:spacing w:line="560" w:lineRule="exact"/>
        <w:ind w:firstLine="640"/>
        <w:rPr>
          <w:rFonts w:hint="eastAsia" w:ascii="宋体" w:hAnsi="宋体" w:eastAsia="宋体" w:cs="仿宋"/>
          <w:color w:val="000000" w:themeColor="text1"/>
          <w:kern w:val="0"/>
          <w:sz w:val="28"/>
          <w:szCs w:val="28"/>
          <w:highlight w:val="none"/>
          <w14:textFill>
            <w14:solidFill>
              <w14:schemeClr w14:val="tx1"/>
            </w14:solidFill>
          </w14:textFill>
        </w:rPr>
      </w:pPr>
    </w:p>
    <w:p w14:paraId="1DFD53E8">
      <w:pPr>
        <w:spacing w:line="480" w:lineRule="exact"/>
        <w:ind w:firstLine="600" w:firstLineChars="200"/>
        <w:jc w:val="center"/>
        <w:rPr>
          <w:rFonts w:hint="eastAsia" w:ascii="宋体" w:hAnsi="宋体" w:eastAsia="宋体" w:cs="仿宋"/>
          <w:bCs/>
          <w:color w:val="000000" w:themeColor="text1"/>
          <w:sz w:val="30"/>
          <w:szCs w:val="30"/>
          <w:highlight w:val="none"/>
          <w14:textFill>
            <w14:solidFill>
              <w14:schemeClr w14:val="tx1"/>
            </w14:solidFill>
          </w14:textFill>
        </w:rPr>
      </w:pPr>
      <w:r>
        <w:rPr>
          <w:rFonts w:ascii="宋体" w:hAnsi="宋体" w:eastAsia="宋体" w:cs="仿宋"/>
          <w:bCs/>
          <w:color w:val="000000" w:themeColor="text1"/>
          <w:sz w:val="30"/>
          <w:szCs w:val="30"/>
          <w:highlight w:val="none"/>
          <w14:textFill>
            <w14:solidFill>
              <w14:schemeClr w14:val="tx1"/>
            </w14:solidFill>
          </w14:textFill>
        </w:rPr>
        <w:br w:type="page"/>
      </w:r>
      <w:bookmarkEnd w:id="105"/>
      <w:bookmarkStart w:id="107" w:name="_Toc523388132"/>
    </w:p>
    <w:p w14:paraId="1A88B84F">
      <w:pPr>
        <w:pStyle w:val="36"/>
        <w:jc w:val="center"/>
        <w:rPr>
          <w:rFonts w:hint="eastAsia" w:hAnsi="宋体" w:eastAsia="宋体" w:cs="仿宋"/>
          <w:bCs/>
          <w:color w:val="000000" w:themeColor="text1"/>
          <w:kern w:val="2"/>
          <w:sz w:val="44"/>
          <w:szCs w:val="32"/>
          <w:highlight w:val="none"/>
          <w14:textFill>
            <w14:solidFill>
              <w14:schemeClr w14:val="tx1"/>
            </w14:solidFill>
          </w14:textFill>
        </w:rPr>
      </w:pPr>
      <w:r>
        <w:rPr>
          <w:rFonts w:hint="eastAsia" w:hAnsi="宋体" w:eastAsia="宋体" w:cs="仿宋"/>
          <w:bCs/>
          <w:color w:val="000000" w:themeColor="text1"/>
          <w:kern w:val="2"/>
          <w:sz w:val="44"/>
          <w:szCs w:val="32"/>
          <w:highlight w:val="none"/>
          <w14:textFill>
            <w14:solidFill>
              <w14:schemeClr w14:val="tx1"/>
            </w14:solidFill>
          </w14:textFill>
        </w:rPr>
        <w:t>投标（报价）一览表</w:t>
      </w:r>
    </w:p>
    <w:p w14:paraId="0A137E0D">
      <w:pPr>
        <w:pStyle w:val="36"/>
        <w:spacing w:line="520" w:lineRule="exact"/>
        <w:rPr>
          <w:rFonts w:hint="eastAsia" w:hAnsi="宋体" w:eastAsia="宋体" w:cs="仿宋"/>
          <w:color w:val="000000" w:themeColor="text1"/>
          <w:sz w:val="28"/>
          <w:szCs w:val="28"/>
          <w:highlight w:val="none"/>
          <w14:textFill>
            <w14:solidFill>
              <w14:schemeClr w14:val="tx1"/>
            </w14:solidFill>
          </w14:textFill>
        </w:rPr>
      </w:pPr>
      <w:r>
        <w:rPr>
          <w:rFonts w:hint="eastAsia" w:hAnsi="宋体" w:eastAsia="宋体" w:cs="仿宋"/>
          <w:color w:val="000000" w:themeColor="text1"/>
          <w:sz w:val="28"/>
          <w:szCs w:val="28"/>
          <w:highlight w:val="none"/>
          <w14:textFill>
            <w14:solidFill>
              <w14:schemeClr w14:val="tx1"/>
            </w14:solidFill>
          </w14:textFill>
        </w:rPr>
        <w:t>招标编号：WCSZ2026-003</w:t>
      </w:r>
    </w:p>
    <w:p w14:paraId="28D779E9">
      <w:pPr>
        <w:pStyle w:val="36"/>
        <w:spacing w:line="520" w:lineRule="exact"/>
        <w:rPr>
          <w:rFonts w:hint="eastAsia" w:hAnsi="宋体" w:eastAsia="宋体" w:cs="仿宋"/>
          <w:color w:val="000000" w:themeColor="text1"/>
          <w:sz w:val="28"/>
          <w:szCs w:val="28"/>
          <w:highlight w:val="none"/>
          <w14:textFill>
            <w14:solidFill>
              <w14:schemeClr w14:val="tx1"/>
            </w14:solidFill>
          </w14:textFill>
        </w:rPr>
      </w:pPr>
      <w:r>
        <w:rPr>
          <w:rFonts w:hint="eastAsia" w:hAnsi="宋体" w:eastAsia="宋体" w:cs="仿宋"/>
          <w:color w:val="000000" w:themeColor="text1"/>
          <w:sz w:val="28"/>
          <w:szCs w:val="28"/>
          <w:highlight w:val="none"/>
          <w14:textFill>
            <w14:solidFill>
              <w14:schemeClr w14:val="tx1"/>
            </w14:solidFill>
          </w14:textFill>
        </w:rPr>
        <w:t>项目名称：百合路土石方工程专业分包</w:t>
      </w:r>
    </w:p>
    <w:tbl>
      <w:tblPr>
        <w:tblStyle w:val="67"/>
        <w:tblW w:w="94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6995"/>
      </w:tblGrid>
      <w:tr w14:paraId="5C808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9" w:hRule="atLeast"/>
          <w:jc w:val="center"/>
        </w:trPr>
        <w:tc>
          <w:tcPr>
            <w:tcW w:w="2421" w:type="dxa"/>
            <w:vAlign w:val="center"/>
          </w:tcPr>
          <w:p w14:paraId="6D6CBA88">
            <w:pPr>
              <w:spacing w:line="440" w:lineRule="exact"/>
              <w:jc w:val="center"/>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项目名称</w:t>
            </w:r>
          </w:p>
        </w:tc>
        <w:tc>
          <w:tcPr>
            <w:tcW w:w="6995" w:type="dxa"/>
            <w:vAlign w:val="center"/>
          </w:tcPr>
          <w:p w14:paraId="7F3CD9E8">
            <w:pPr>
              <w:spacing w:line="440" w:lineRule="exact"/>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百合路土石方工程专业分包</w:t>
            </w:r>
          </w:p>
        </w:tc>
      </w:tr>
      <w:tr w14:paraId="1E00B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5" w:hRule="atLeast"/>
          <w:jc w:val="center"/>
        </w:trPr>
        <w:tc>
          <w:tcPr>
            <w:tcW w:w="2421" w:type="dxa"/>
            <w:vAlign w:val="center"/>
          </w:tcPr>
          <w:p w14:paraId="49961DEF">
            <w:pPr>
              <w:spacing w:line="440" w:lineRule="exact"/>
              <w:jc w:val="center"/>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总报价（元）</w:t>
            </w:r>
          </w:p>
        </w:tc>
        <w:tc>
          <w:tcPr>
            <w:tcW w:w="6995" w:type="dxa"/>
            <w:vAlign w:val="center"/>
          </w:tcPr>
          <w:p w14:paraId="1F0747F9">
            <w:pPr>
              <w:spacing w:line="440" w:lineRule="exac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大写：</w:t>
            </w:r>
          </w:p>
          <w:p w14:paraId="7560CF61">
            <w:pPr>
              <w:spacing w:line="440" w:lineRule="exact"/>
              <w:rPr>
                <w:rFonts w:hint="eastAsia" w:ascii="宋体" w:hAnsi="宋体" w:eastAsia="宋体"/>
                <w:color w:val="000000" w:themeColor="text1"/>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小写：</w:t>
            </w:r>
          </w:p>
        </w:tc>
      </w:tr>
      <w:tr w14:paraId="4CC47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3" w:hRule="atLeast"/>
          <w:jc w:val="center"/>
        </w:trPr>
        <w:tc>
          <w:tcPr>
            <w:tcW w:w="2421" w:type="dxa"/>
            <w:vAlign w:val="center"/>
          </w:tcPr>
          <w:p w14:paraId="1C94F4DF">
            <w:pPr>
              <w:spacing w:line="440" w:lineRule="exact"/>
              <w:jc w:val="center"/>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计划工期</w:t>
            </w:r>
          </w:p>
        </w:tc>
        <w:tc>
          <w:tcPr>
            <w:tcW w:w="6995" w:type="dxa"/>
            <w:vAlign w:val="center"/>
          </w:tcPr>
          <w:p w14:paraId="1982DF7D">
            <w:pPr>
              <w:spacing w:line="440" w:lineRule="exact"/>
              <w:rPr>
                <w:rFonts w:hint="eastAsia" w:ascii="宋体" w:hAnsi="宋体" w:eastAsia="宋体" w:cs="仿宋"/>
                <w:bCs/>
                <w:color w:val="000000" w:themeColor="text1"/>
                <w:sz w:val="28"/>
                <w:szCs w:val="28"/>
                <w:highlight w:val="none"/>
                <w:u w:val="single"/>
                <w14:textFill>
                  <w14:solidFill>
                    <w14:schemeClr w14:val="tx1"/>
                  </w14:solidFill>
                </w14:textFill>
              </w:rPr>
            </w:pPr>
            <w:r>
              <w:rPr>
                <w:rFonts w:hint="eastAsia" w:ascii="宋体" w:hAnsi="宋体" w:eastAsia="宋体" w:cs="仿宋"/>
                <w:bCs/>
                <w:color w:val="000000" w:themeColor="text1"/>
                <w:sz w:val="28"/>
                <w:szCs w:val="28"/>
                <w:highlight w:val="none"/>
                <w:u w:val="single"/>
                <w14:textFill>
                  <w14:solidFill>
                    <w14:schemeClr w14:val="tx1"/>
                  </w14:solidFill>
                </w14:textFill>
              </w:rPr>
              <w:t xml:space="preserve">        天</w:t>
            </w:r>
          </w:p>
        </w:tc>
      </w:tr>
      <w:tr w14:paraId="5B9AF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3" w:hRule="atLeast"/>
          <w:jc w:val="center"/>
        </w:trPr>
        <w:tc>
          <w:tcPr>
            <w:tcW w:w="2421" w:type="dxa"/>
            <w:vAlign w:val="center"/>
          </w:tcPr>
          <w:p w14:paraId="27CA9DB5">
            <w:pPr>
              <w:spacing w:line="440" w:lineRule="exact"/>
              <w:jc w:val="center"/>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质保期</w:t>
            </w:r>
          </w:p>
        </w:tc>
        <w:tc>
          <w:tcPr>
            <w:tcW w:w="6995" w:type="dxa"/>
            <w:vAlign w:val="center"/>
          </w:tcPr>
          <w:p w14:paraId="2310EE84">
            <w:pPr>
              <w:spacing w:line="440" w:lineRule="exact"/>
              <w:rPr>
                <w:rFonts w:hint="eastAsia" w:ascii="宋体" w:hAnsi="宋体" w:eastAsia="宋体" w:cs="仿宋"/>
                <w:bCs/>
                <w:color w:val="000000" w:themeColor="text1"/>
                <w:sz w:val="28"/>
                <w:szCs w:val="28"/>
                <w:highlight w:val="none"/>
                <w:u w:val="single"/>
                <w14:textFill>
                  <w14:solidFill>
                    <w14:schemeClr w14:val="tx1"/>
                  </w14:solidFill>
                </w14:textFill>
              </w:rPr>
            </w:pPr>
            <w:r>
              <w:rPr>
                <w:rFonts w:hint="eastAsia" w:ascii="宋体" w:hAnsi="宋体" w:eastAsia="宋体" w:cs="仿宋"/>
                <w:bCs/>
                <w:color w:val="000000" w:themeColor="text1"/>
                <w:sz w:val="28"/>
                <w:szCs w:val="28"/>
                <w:highlight w:val="none"/>
                <w:u w:val="single"/>
                <w14:textFill>
                  <w14:solidFill>
                    <w14:schemeClr w14:val="tx1"/>
                  </w14:solidFill>
                </w14:textFill>
              </w:rPr>
              <w:t xml:space="preserve">        年</w:t>
            </w:r>
          </w:p>
        </w:tc>
      </w:tr>
      <w:tr w14:paraId="07E11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3" w:hRule="atLeast"/>
          <w:jc w:val="center"/>
        </w:trPr>
        <w:tc>
          <w:tcPr>
            <w:tcW w:w="2421" w:type="dxa"/>
            <w:vAlign w:val="center"/>
          </w:tcPr>
          <w:p w14:paraId="62CAF385">
            <w:pPr>
              <w:spacing w:line="440" w:lineRule="exact"/>
              <w:jc w:val="center"/>
              <w:rPr>
                <w:rFonts w:hint="eastAsia" w:ascii="宋体" w:hAnsi="宋体" w:eastAsia="宋体" w:cs="仿宋"/>
                <w:b/>
                <w:color w:val="000000" w:themeColor="text1"/>
                <w:sz w:val="28"/>
                <w:szCs w:val="28"/>
                <w:highlight w:val="none"/>
                <w14:textFill>
                  <w14:solidFill>
                    <w14:schemeClr w14:val="tx1"/>
                  </w14:solidFill>
                </w14:textFill>
              </w:rPr>
            </w:pPr>
            <w:r>
              <w:rPr>
                <w:rFonts w:hint="eastAsia" w:ascii="宋体" w:hAnsi="宋体" w:eastAsia="宋体" w:cs="仿宋"/>
                <w:b/>
                <w:color w:val="000000" w:themeColor="text1"/>
                <w:sz w:val="28"/>
                <w:szCs w:val="28"/>
                <w:highlight w:val="none"/>
                <w14:textFill>
                  <w14:solidFill>
                    <w14:schemeClr w14:val="tx1"/>
                  </w14:solidFill>
                </w14:textFill>
              </w:rPr>
              <w:t>质量标准</w:t>
            </w:r>
          </w:p>
        </w:tc>
        <w:tc>
          <w:tcPr>
            <w:tcW w:w="6995" w:type="dxa"/>
            <w:vAlign w:val="center"/>
          </w:tcPr>
          <w:p w14:paraId="1EED123B">
            <w:pPr>
              <w:spacing w:line="440" w:lineRule="exact"/>
              <w:rPr>
                <w:rFonts w:hint="eastAsia" w:ascii="宋体" w:hAnsi="宋体" w:eastAsia="宋体" w:cs="仿宋"/>
                <w:bCs/>
                <w:color w:val="000000" w:themeColor="text1"/>
                <w:sz w:val="28"/>
                <w:szCs w:val="28"/>
                <w:highlight w:val="none"/>
                <w14:textFill>
                  <w14:solidFill>
                    <w14:schemeClr w14:val="tx1"/>
                  </w14:solidFill>
                </w14:textFill>
              </w:rPr>
            </w:pPr>
          </w:p>
        </w:tc>
      </w:tr>
      <w:tr w14:paraId="09B94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2" w:hRule="atLeast"/>
          <w:jc w:val="center"/>
        </w:trPr>
        <w:tc>
          <w:tcPr>
            <w:tcW w:w="2421" w:type="dxa"/>
            <w:vAlign w:val="center"/>
          </w:tcPr>
          <w:p w14:paraId="6244F0CC">
            <w:pPr>
              <w:spacing w:line="440" w:lineRule="exact"/>
              <w:jc w:val="center"/>
              <w:rPr>
                <w:rFonts w:hint="eastAsia" w:ascii="宋体" w:hAnsi="宋体" w:eastAsia="宋体" w:cs="仿宋"/>
                <w:b/>
                <w:bCs/>
                <w:color w:val="000000" w:themeColor="text1"/>
                <w:sz w:val="28"/>
                <w:szCs w:val="28"/>
                <w:highlight w:val="none"/>
                <w14:textFill>
                  <w14:solidFill>
                    <w14:schemeClr w14:val="tx1"/>
                  </w14:solidFill>
                </w14:textFill>
              </w:rPr>
            </w:pPr>
            <w:r>
              <w:rPr>
                <w:rFonts w:hint="eastAsia" w:ascii="宋体" w:hAnsi="宋体" w:eastAsia="宋体" w:cs="仿宋"/>
                <w:b/>
                <w:bCs/>
                <w:color w:val="000000" w:themeColor="text1"/>
                <w:kern w:val="0"/>
                <w:sz w:val="28"/>
                <w:szCs w:val="28"/>
                <w:highlight w:val="none"/>
                <w14:textFill>
                  <w14:solidFill>
                    <w14:schemeClr w14:val="tx1"/>
                  </w14:solidFill>
                </w14:textFill>
              </w:rPr>
              <w:t>报价</w:t>
            </w:r>
            <w:r>
              <w:rPr>
                <w:rFonts w:ascii="宋体" w:hAnsi="宋体" w:eastAsia="宋体" w:cs="仿宋"/>
                <w:b/>
                <w:bCs/>
                <w:color w:val="000000" w:themeColor="text1"/>
                <w:kern w:val="0"/>
                <w:sz w:val="28"/>
                <w:szCs w:val="28"/>
                <w:highlight w:val="none"/>
                <w14:textFill>
                  <w14:solidFill>
                    <w14:schemeClr w14:val="tx1"/>
                  </w14:solidFill>
                </w14:textFill>
              </w:rPr>
              <w:t>声明</w:t>
            </w:r>
          </w:p>
        </w:tc>
        <w:tc>
          <w:tcPr>
            <w:tcW w:w="6995" w:type="dxa"/>
          </w:tcPr>
          <w:p w14:paraId="09D69FB3">
            <w:pPr>
              <w:jc w:val="left"/>
              <w:rPr>
                <w:rFonts w:hint="eastAsia" w:ascii="宋体" w:hAnsi="宋体" w:eastAsia="宋体" w:cs="仿宋"/>
                <w:color w:val="000000" w:themeColor="text1"/>
                <w:sz w:val="28"/>
                <w:szCs w:val="28"/>
                <w:highlight w:val="none"/>
                <w14:textFill>
                  <w14:solidFill>
                    <w14:schemeClr w14:val="tx1"/>
                  </w14:solidFill>
                </w14:textFill>
              </w:rPr>
            </w:pPr>
          </w:p>
        </w:tc>
      </w:tr>
    </w:tbl>
    <w:p w14:paraId="23851434">
      <w:pPr>
        <w:spacing w:line="520" w:lineRule="exact"/>
        <w:ind w:firstLine="4760" w:firstLineChars="1700"/>
        <w:rPr>
          <w:rFonts w:hint="eastAsia" w:ascii="宋体" w:hAnsi="宋体" w:eastAsia="宋体" w:cs="仿宋"/>
          <w:color w:val="000000" w:themeColor="text1"/>
          <w:sz w:val="28"/>
          <w:highlight w:val="none"/>
          <w14:textFill>
            <w14:solidFill>
              <w14:schemeClr w14:val="tx1"/>
            </w14:solidFill>
          </w14:textFill>
        </w:rPr>
      </w:pPr>
    </w:p>
    <w:p w14:paraId="4364C97C">
      <w:pPr>
        <w:spacing w:line="520" w:lineRule="exact"/>
        <w:jc w:val="left"/>
        <w:rPr>
          <w:rFonts w:hint="eastAsia" w:ascii="宋体" w:hAnsi="宋体" w:eastAsia="宋体" w:cs="仿宋"/>
          <w:color w:val="000000" w:themeColor="text1"/>
          <w:sz w:val="28"/>
          <w:szCs w:val="28"/>
          <w:highlight w:val="none"/>
          <w14:textFill>
            <w14:solidFill>
              <w14:schemeClr w14:val="tx1"/>
            </w14:solidFill>
          </w14:textFill>
        </w:rPr>
      </w:pPr>
      <w:bookmarkStart w:id="108" w:name="OLE_LINK1"/>
      <w:r>
        <w:rPr>
          <w:rFonts w:hint="eastAsia" w:ascii="宋体" w:hAnsi="宋体" w:eastAsia="宋体" w:cs="仿宋"/>
          <w:color w:val="000000" w:themeColor="text1"/>
          <w:sz w:val="28"/>
          <w:szCs w:val="28"/>
          <w:highlight w:val="none"/>
          <w14:textFill>
            <w14:solidFill>
              <w14:schemeClr w14:val="tx1"/>
            </w14:solidFill>
          </w14:textFill>
        </w:rPr>
        <w:t>投标人(盖章):</w:t>
      </w:r>
    </w:p>
    <w:p w14:paraId="0C92758A">
      <w:pPr>
        <w:spacing w:line="520" w:lineRule="exact"/>
        <w:rPr>
          <w:rFonts w:hint="eastAsia" w:ascii="宋体" w:hAnsi="宋体" w:eastAsia="宋体" w:cs="仿宋"/>
          <w:color w:val="000000" w:themeColor="text1"/>
          <w:sz w:val="30"/>
          <w:szCs w:val="30"/>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法定代表人或委托代理人（签字或盖章）：</w:t>
      </w:r>
    </w:p>
    <w:bookmarkEnd w:id="108"/>
    <w:p w14:paraId="69B3DA4A">
      <w:pPr>
        <w:pStyle w:val="36"/>
        <w:jc w:val="center"/>
        <w:rPr>
          <w:rFonts w:hint="eastAsia" w:hAnsi="宋体" w:eastAsia="宋体" w:cs="仿宋"/>
          <w:bCs/>
          <w:color w:val="000000" w:themeColor="text1"/>
          <w:kern w:val="2"/>
          <w:sz w:val="44"/>
          <w:szCs w:val="32"/>
          <w:highlight w:val="none"/>
          <w14:textFill>
            <w14:solidFill>
              <w14:schemeClr w14:val="tx1"/>
            </w14:solidFill>
          </w14:textFill>
        </w:rPr>
      </w:pPr>
    </w:p>
    <w:p w14:paraId="33CA3AB3">
      <w:pPr>
        <w:pStyle w:val="36"/>
        <w:jc w:val="center"/>
        <w:rPr>
          <w:rFonts w:hint="eastAsia" w:hAnsi="宋体" w:eastAsia="宋体" w:cs="仿宋"/>
          <w:bCs/>
          <w:color w:val="000000" w:themeColor="text1"/>
          <w:kern w:val="2"/>
          <w:sz w:val="44"/>
          <w:szCs w:val="32"/>
          <w:highlight w:val="none"/>
          <w14:textFill>
            <w14:solidFill>
              <w14:schemeClr w14:val="tx1"/>
            </w14:solidFill>
          </w14:textFill>
        </w:rPr>
      </w:pPr>
    </w:p>
    <w:p w14:paraId="703ABB7E">
      <w:pPr>
        <w:pStyle w:val="36"/>
        <w:jc w:val="center"/>
        <w:rPr>
          <w:rFonts w:hint="eastAsia" w:hAnsi="宋体" w:eastAsia="宋体" w:cs="仿宋"/>
          <w:bCs/>
          <w:color w:val="000000" w:themeColor="text1"/>
          <w:kern w:val="2"/>
          <w:sz w:val="44"/>
          <w:szCs w:val="32"/>
          <w:highlight w:val="none"/>
          <w14:textFill>
            <w14:solidFill>
              <w14:schemeClr w14:val="tx1"/>
            </w14:solidFill>
          </w14:textFill>
        </w:rPr>
      </w:pPr>
    </w:p>
    <w:p w14:paraId="1837C225">
      <w:pPr>
        <w:widowControl/>
        <w:jc w:val="left"/>
        <w:rPr>
          <w:rFonts w:hint="eastAsia" w:ascii="宋体" w:hAnsi="宋体" w:eastAsia="宋体" w:cs="仿宋"/>
          <w:color w:val="000000" w:themeColor="text1"/>
          <w:sz w:val="24"/>
          <w:highlight w:val="none"/>
          <w14:textFill>
            <w14:solidFill>
              <w14:schemeClr w14:val="tx1"/>
            </w14:solidFill>
          </w14:textFill>
        </w:rPr>
      </w:pPr>
      <w:bookmarkStart w:id="109" w:name="_Toc66864055"/>
      <w:r>
        <w:rPr>
          <w:rFonts w:hint="eastAsia" w:ascii="宋体" w:hAnsi="宋体" w:eastAsia="宋体" w:cs="仿宋"/>
          <w:color w:val="000000" w:themeColor="text1"/>
          <w:highlight w:val="none"/>
          <w14:textFill>
            <w14:solidFill>
              <w14:schemeClr w14:val="tx1"/>
            </w14:solidFill>
          </w14:textFill>
        </w:rPr>
        <w:br w:type="page"/>
      </w:r>
    </w:p>
    <w:p w14:paraId="2E1FB22D">
      <w:pPr>
        <w:pStyle w:val="36"/>
        <w:jc w:val="center"/>
        <w:rPr>
          <w:rFonts w:hint="eastAsia" w:hAnsi="宋体" w:eastAsia="宋体" w:cs="仿宋"/>
          <w:bCs/>
          <w:color w:val="000000" w:themeColor="text1"/>
          <w:kern w:val="2"/>
          <w:sz w:val="44"/>
          <w:szCs w:val="32"/>
          <w:highlight w:val="none"/>
          <w14:textFill>
            <w14:solidFill>
              <w14:schemeClr w14:val="tx1"/>
            </w14:solidFill>
          </w14:textFill>
        </w:rPr>
      </w:pPr>
      <w:r>
        <w:rPr>
          <w:rFonts w:hint="eastAsia" w:hAnsi="宋体" w:eastAsia="宋体" w:cs="仿宋"/>
          <w:bCs/>
          <w:color w:val="000000" w:themeColor="text1"/>
          <w:kern w:val="2"/>
          <w:sz w:val="44"/>
          <w:szCs w:val="32"/>
          <w:highlight w:val="none"/>
          <w14:textFill>
            <w14:solidFill>
              <w14:schemeClr w14:val="tx1"/>
            </w14:solidFill>
          </w14:textFill>
        </w:rPr>
        <w:t>工程量清单报价表</w:t>
      </w:r>
    </w:p>
    <w:tbl>
      <w:tblPr>
        <w:tblStyle w:val="67"/>
        <w:tblW w:w="9351" w:type="dxa"/>
        <w:tblInd w:w="0" w:type="dxa"/>
        <w:tblLayout w:type="autofit"/>
        <w:tblCellMar>
          <w:top w:w="0" w:type="dxa"/>
          <w:left w:w="108" w:type="dxa"/>
          <w:bottom w:w="0" w:type="dxa"/>
          <w:right w:w="108" w:type="dxa"/>
        </w:tblCellMar>
      </w:tblPr>
      <w:tblGrid>
        <w:gridCol w:w="406"/>
        <w:gridCol w:w="4320"/>
        <w:gridCol w:w="548"/>
        <w:gridCol w:w="1026"/>
        <w:gridCol w:w="900"/>
        <w:gridCol w:w="1180"/>
        <w:gridCol w:w="971"/>
      </w:tblGrid>
      <w:tr w14:paraId="03F6794C">
        <w:tblPrEx>
          <w:tblCellMar>
            <w:top w:w="0" w:type="dxa"/>
            <w:left w:w="108" w:type="dxa"/>
            <w:bottom w:w="0" w:type="dxa"/>
            <w:right w:w="108" w:type="dxa"/>
          </w:tblCellMar>
        </w:tblPrEx>
        <w:trPr>
          <w:trHeight w:val="255" w:hRule="atLeast"/>
        </w:trPr>
        <w:tc>
          <w:tcPr>
            <w:tcW w:w="406" w:type="dxa"/>
            <w:vMerge w:val="restart"/>
            <w:tcBorders>
              <w:top w:val="single" w:color="auto" w:sz="4" w:space="0"/>
              <w:left w:val="single" w:color="auto" w:sz="4" w:space="0"/>
              <w:bottom w:val="single" w:color="auto" w:sz="4" w:space="0"/>
              <w:right w:val="single" w:color="auto" w:sz="4" w:space="0"/>
            </w:tcBorders>
            <w:vAlign w:val="center"/>
          </w:tcPr>
          <w:p w14:paraId="11032CAF">
            <w:pPr>
              <w:widowControl/>
              <w:spacing w:line="360" w:lineRule="exact"/>
              <w:jc w:val="center"/>
              <w:rPr>
                <w:rFonts w:hint="eastAsia" w:ascii="宋体" w:hAnsi="宋体" w:eastAsia="宋体" w:cs="Arial"/>
                <w:b/>
                <w:bCs/>
                <w:color w:val="000000" w:themeColor="text1"/>
                <w:kern w:val="0"/>
                <w:sz w:val="16"/>
                <w:szCs w:val="16"/>
                <w:highlight w:val="none"/>
                <w14:textFill>
                  <w14:solidFill>
                    <w14:schemeClr w14:val="tx1"/>
                  </w14:solidFill>
                </w14:textFill>
              </w:rPr>
            </w:pPr>
            <w:r>
              <w:rPr>
                <w:rFonts w:hint="eastAsia" w:ascii="宋体" w:hAnsi="宋体" w:eastAsia="宋体" w:cs="Arial"/>
                <w:b/>
                <w:bCs/>
                <w:color w:val="000000" w:themeColor="text1"/>
                <w:kern w:val="0"/>
                <w:sz w:val="16"/>
                <w:szCs w:val="16"/>
                <w:highlight w:val="none"/>
                <w14:textFill>
                  <w14:solidFill>
                    <w14:schemeClr w14:val="tx1"/>
                  </w14:solidFill>
                </w14:textFill>
              </w:rPr>
              <w:t>序号</w:t>
            </w:r>
          </w:p>
        </w:tc>
        <w:tc>
          <w:tcPr>
            <w:tcW w:w="4320" w:type="dxa"/>
            <w:vMerge w:val="restart"/>
            <w:tcBorders>
              <w:top w:val="single" w:color="auto" w:sz="4" w:space="0"/>
              <w:left w:val="single" w:color="auto" w:sz="4" w:space="0"/>
              <w:bottom w:val="single" w:color="auto" w:sz="4" w:space="0"/>
              <w:right w:val="single" w:color="auto" w:sz="4" w:space="0"/>
            </w:tcBorders>
            <w:vAlign w:val="center"/>
          </w:tcPr>
          <w:p w14:paraId="41D6023A">
            <w:pPr>
              <w:widowControl/>
              <w:spacing w:line="360" w:lineRule="exact"/>
              <w:jc w:val="center"/>
              <w:rPr>
                <w:rFonts w:hint="eastAsia" w:ascii="宋体" w:hAnsi="宋体" w:eastAsia="宋体" w:cs="Arial"/>
                <w:b/>
                <w:bCs/>
                <w:color w:val="000000" w:themeColor="text1"/>
                <w:kern w:val="0"/>
                <w:sz w:val="16"/>
                <w:szCs w:val="16"/>
                <w:highlight w:val="none"/>
                <w14:textFill>
                  <w14:solidFill>
                    <w14:schemeClr w14:val="tx1"/>
                  </w14:solidFill>
                </w14:textFill>
              </w:rPr>
            </w:pPr>
            <w:r>
              <w:rPr>
                <w:rFonts w:hint="eastAsia" w:ascii="宋体" w:hAnsi="宋体" w:eastAsia="宋体" w:cs="Arial"/>
                <w:b/>
                <w:bCs/>
                <w:color w:val="000000" w:themeColor="text1"/>
                <w:kern w:val="0"/>
                <w:sz w:val="16"/>
                <w:szCs w:val="16"/>
                <w:highlight w:val="none"/>
                <w14:textFill>
                  <w14:solidFill>
                    <w14:schemeClr w14:val="tx1"/>
                  </w14:solidFill>
                </w14:textFill>
              </w:rPr>
              <w:t>项目名称</w:t>
            </w:r>
            <w:r>
              <w:rPr>
                <w:rFonts w:hint="eastAsia" w:ascii="宋体" w:hAnsi="宋体" w:eastAsia="宋体" w:cs="Arial"/>
                <w:b/>
                <w:bCs/>
                <w:color w:val="000000" w:themeColor="text1"/>
                <w:kern w:val="0"/>
                <w:sz w:val="16"/>
                <w:szCs w:val="16"/>
                <w:highlight w:val="none"/>
                <w14:textFill>
                  <w14:solidFill>
                    <w14:schemeClr w14:val="tx1"/>
                  </w14:solidFill>
                </w14:textFill>
              </w:rPr>
              <w:br w:type="textWrapping"/>
            </w:r>
            <w:r>
              <w:rPr>
                <w:rFonts w:hint="eastAsia" w:ascii="宋体" w:hAnsi="宋体" w:eastAsia="宋体" w:cs="Arial"/>
                <w:b/>
                <w:bCs/>
                <w:color w:val="000000" w:themeColor="text1"/>
                <w:kern w:val="0"/>
                <w:sz w:val="16"/>
                <w:szCs w:val="16"/>
                <w:highlight w:val="none"/>
                <w14:textFill>
                  <w14:solidFill>
                    <w14:schemeClr w14:val="tx1"/>
                  </w14:solidFill>
                </w14:textFill>
              </w:rPr>
              <w:t>项目特征</w:t>
            </w:r>
          </w:p>
        </w:tc>
        <w:tc>
          <w:tcPr>
            <w:tcW w:w="548" w:type="dxa"/>
            <w:vMerge w:val="restart"/>
            <w:tcBorders>
              <w:top w:val="single" w:color="auto" w:sz="4" w:space="0"/>
              <w:left w:val="single" w:color="auto" w:sz="4" w:space="0"/>
              <w:bottom w:val="single" w:color="auto" w:sz="4" w:space="0"/>
              <w:right w:val="single" w:color="auto" w:sz="4" w:space="0"/>
            </w:tcBorders>
            <w:vAlign w:val="center"/>
          </w:tcPr>
          <w:p w14:paraId="4A203DF1">
            <w:pPr>
              <w:widowControl/>
              <w:spacing w:line="360" w:lineRule="exact"/>
              <w:jc w:val="center"/>
              <w:rPr>
                <w:rFonts w:hint="eastAsia" w:ascii="宋体" w:hAnsi="宋体" w:eastAsia="宋体" w:cs="Arial"/>
                <w:b/>
                <w:bCs/>
                <w:color w:val="000000" w:themeColor="text1"/>
                <w:kern w:val="0"/>
                <w:sz w:val="16"/>
                <w:szCs w:val="16"/>
                <w:highlight w:val="none"/>
                <w14:textFill>
                  <w14:solidFill>
                    <w14:schemeClr w14:val="tx1"/>
                  </w14:solidFill>
                </w14:textFill>
              </w:rPr>
            </w:pPr>
            <w:r>
              <w:rPr>
                <w:rFonts w:hint="eastAsia" w:ascii="宋体" w:hAnsi="宋体" w:eastAsia="宋体" w:cs="Arial"/>
                <w:b/>
                <w:bCs/>
                <w:color w:val="000000" w:themeColor="text1"/>
                <w:kern w:val="0"/>
                <w:sz w:val="16"/>
                <w:szCs w:val="16"/>
                <w:highlight w:val="none"/>
                <w14:textFill>
                  <w14:solidFill>
                    <w14:schemeClr w14:val="tx1"/>
                  </w14:solidFill>
                </w14:textFill>
              </w:rPr>
              <w:t>计量</w:t>
            </w:r>
            <w:r>
              <w:rPr>
                <w:rFonts w:hint="eastAsia" w:ascii="宋体" w:hAnsi="宋体" w:eastAsia="宋体" w:cs="Arial"/>
                <w:b/>
                <w:bCs/>
                <w:color w:val="000000" w:themeColor="text1"/>
                <w:kern w:val="0"/>
                <w:sz w:val="16"/>
                <w:szCs w:val="16"/>
                <w:highlight w:val="none"/>
                <w14:textFill>
                  <w14:solidFill>
                    <w14:schemeClr w14:val="tx1"/>
                  </w14:solidFill>
                </w14:textFill>
              </w:rPr>
              <w:br w:type="textWrapping"/>
            </w:r>
            <w:r>
              <w:rPr>
                <w:rFonts w:hint="eastAsia" w:ascii="宋体" w:hAnsi="宋体" w:eastAsia="宋体" w:cs="Arial"/>
                <w:b/>
                <w:bCs/>
                <w:color w:val="000000" w:themeColor="text1"/>
                <w:kern w:val="0"/>
                <w:sz w:val="16"/>
                <w:szCs w:val="16"/>
                <w:highlight w:val="none"/>
                <w14:textFill>
                  <w14:solidFill>
                    <w14:schemeClr w14:val="tx1"/>
                  </w14:solidFill>
                </w14:textFill>
              </w:rPr>
              <w:t>单位</w:t>
            </w:r>
          </w:p>
        </w:tc>
        <w:tc>
          <w:tcPr>
            <w:tcW w:w="1026" w:type="dxa"/>
            <w:vMerge w:val="restart"/>
            <w:tcBorders>
              <w:top w:val="single" w:color="auto" w:sz="4" w:space="0"/>
              <w:left w:val="single" w:color="auto" w:sz="4" w:space="0"/>
              <w:bottom w:val="single" w:color="auto" w:sz="4" w:space="0"/>
              <w:right w:val="single" w:color="auto" w:sz="4" w:space="0"/>
            </w:tcBorders>
            <w:vAlign w:val="center"/>
          </w:tcPr>
          <w:p w14:paraId="51F51C58">
            <w:pPr>
              <w:widowControl/>
              <w:spacing w:line="360" w:lineRule="exact"/>
              <w:jc w:val="center"/>
              <w:rPr>
                <w:rFonts w:hint="eastAsia" w:ascii="宋体" w:hAnsi="宋体" w:eastAsia="宋体" w:cs="Arial"/>
                <w:b/>
                <w:bCs/>
                <w:color w:val="000000" w:themeColor="text1"/>
                <w:kern w:val="0"/>
                <w:sz w:val="16"/>
                <w:szCs w:val="16"/>
                <w:highlight w:val="none"/>
                <w14:textFill>
                  <w14:solidFill>
                    <w14:schemeClr w14:val="tx1"/>
                  </w14:solidFill>
                </w14:textFill>
              </w:rPr>
            </w:pPr>
            <w:r>
              <w:rPr>
                <w:rFonts w:hint="eastAsia" w:ascii="宋体" w:hAnsi="宋体" w:eastAsia="宋体" w:cs="Arial"/>
                <w:b/>
                <w:bCs/>
                <w:color w:val="000000" w:themeColor="text1"/>
                <w:kern w:val="0"/>
                <w:sz w:val="16"/>
                <w:szCs w:val="16"/>
                <w:highlight w:val="none"/>
                <w14:textFill>
                  <w14:solidFill>
                    <w14:schemeClr w14:val="tx1"/>
                  </w14:solidFill>
                </w14:textFill>
              </w:rPr>
              <w:t>工程量</w:t>
            </w:r>
          </w:p>
        </w:tc>
        <w:tc>
          <w:tcPr>
            <w:tcW w:w="3051" w:type="dxa"/>
            <w:gridSpan w:val="3"/>
            <w:tcBorders>
              <w:top w:val="single" w:color="auto" w:sz="4" w:space="0"/>
              <w:left w:val="nil"/>
              <w:bottom w:val="single" w:color="auto" w:sz="4" w:space="0"/>
              <w:right w:val="single" w:color="auto" w:sz="4" w:space="0"/>
            </w:tcBorders>
            <w:vAlign w:val="center"/>
          </w:tcPr>
          <w:p w14:paraId="434D34FC">
            <w:pPr>
              <w:widowControl/>
              <w:spacing w:line="360" w:lineRule="exact"/>
              <w:jc w:val="center"/>
              <w:rPr>
                <w:rFonts w:hint="eastAsia" w:ascii="宋体" w:hAnsi="宋体" w:eastAsia="宋体" w:cs="Arial"/>
                <w:b/>
                <w:bCs/>
                <w:color w:val="000000" w:themeColor="text1"/>
                <w:kern w:val="0"/>
                <w:sz w:val="16"/>
                <w:szCs w:val="16"/>
                <w:highlight w:val="none"/>
                <w14:textFill>
                  <w14:solidFill>
                    <w14:schemeClr w14:val="tx1"/>
                  </w14:solidFill>
                </w14:textFill>
              </w:rPr>
            </w:pPr>
            <w:r>
              <w:rPr>
                <w:rFonts w:hint="eastAsia" w:ascii="宋体" w:hAnsi="宋体" w:eastAsia="宋体" w:cs="Arial"/>
                <w:b/>
                <w:bCs/>
                <w:color w:val="000000" w:themeColor="text1"/>
                <w:kern w:val="0"/>
                <w:sz w:val="16"/>
                <w:szCs w:val="16"/>
                <w:highlight w:val="none"/>
                <w14:textFill>
                  <w14:solidFill>
                    <w14:schemeClr w14:val="tx1"/>
                  </w14:solidFill>
                </w14:textFill>
              </w:rPr>
              <w:t>金额（元）</w:t>
            </w:r>
          </w:p>
        </w:tc>
      </w:tr>
      <w:tr w14:paraId="1A77B986">
        <w:tblPrEx>
          <w:tblCellMar>
            <w:top w:w="0" w:type="dxa"/>
            <w:left w:w="108" w:type="dxa"/>
            <w:bottom w:w="0" w:type="dxa"/>
            <w:right w:w="108" w:type="dxa"/>
          </w:tblCellMar>
        </w:tblPrEx>
        <w:trPr>
          <w:trHeight w:val="360" w:hRule="atLeast"/>
        </w:trPr>
        <w:tc>
          <w:tcPr>
            <w:tcW w:w="406" w:type="dxa"/>
            <w:vMerge w:val="continue"/>
            <w:tcBorders>
              <w:top w:val="single" w:color="auto" w:sz="4" w:space="0"/>
              <w:left w:val="single" w:color="auto" w:sz="4" w:space="0"/>
              <w:bottom w:val="single" w:color="auto" w:sz="4" w:space="0"/>
              <w:right w:val="single" w:color="auto" w:sz="4" w:space="0"/>
            </w:tcBorders>
            <w:vAlign w:val="center"/>
          </w:tcPr>
          <w:p w14:paraId="2198129B">
            <w:pPr>
              <w:widowControl/>
              <w:spacing w:line="360" w:lineRule="exact"/>
              <w:jc w:val="left"/>
              <w:rPr>
                <w:rFonts w:hint="eastAsia" w:ascii="宋体" w:hAnsi="宋体" w:eastAsia="宋体" w:cs="Arial"/>
                <w:b/>
                <w:bCs/>
                <w:color w:val="000000" w:themeColor="text1"/>
                <w:kern w:val="0"/>
                <w:sz w:val="16"/>
                <w:szCs w:val="16"/>
                <w:highlight w:val="none"/>
                <w14:textFill>
                  <w14:solidFill>
                    <w14:schemeClr w14:val="tx1"/>
                  </w14:solidFill>
                </w14:textFill>
              </w:rPr>
            </w:pPr>
          </w:p>
        </w:tc>
        <w:tc>
          <w:tcPr>
            <w:tcW w:w="4320" w:type="dxa"/>
            <w:vMerge w:val="continue"/>
            <w:tcBorders>
              <w:top w:val="single" w:color="auto" w:sz="4" w:space="0"/>
              <w:left w:val="single" w:color="auto" w:sz="4" w:space="0"/>
              <w:bottom w:val="single" w:color="auto" w:sz="4" w:space="0"/>
              <w:right w:val="single" w:color="auto" w:sz="4" w:space="0"/>
            </w:tcBorders>
            <w:vAlign w:val="center"/>
          </w:tcPr>
          <w:p w14:paraId="620E8E69">
            <w:pPr>
              <w:widowControl/>
              <w:spacing w:line="360" w:lineRule="exact"/>
              <w:jc w:val="left"/>
              <w:rPr>
                <w:rFonts w:hint="eastAsia" w:ascii="宋体" w:hAnsi="宋体" w:eastAsia="宋体" w:cs="Arial"/>
                <w:b/>
                <w:bCs/>
                <w:color w:val="000000" w:themeColor="text1"/>
                <w:kern w:val="0"/>
                <w:sz w:val="16"/>
                <w:szCs w:val="16"/>
                <w:highlight w:val="none"/>
                <w14:textFill>
                  <w14:solidFill>
                    <w14:schemeClr w14:val="tx1"/>
                  </w14:solidFill>
                </w14:textFill>
              </w:rPr>
            </w:pPr>
          </w:p>
        </w:tc>
        <w:tc>
          <w:tcPr>
            <w:tcW w:w="548" w:type="dxa"/>
            <w:vMerge w:val="continue"/>
            <w:tcBorders>
              <w:top w:val="single" w:color="auto" w:sz="4" w:space="0"/>
              <w:left w:val="single" w:color="auto" w:sz="4" w:space="0"/>
              <w:bottom w:val="single" w:color="auto" w:sz="4" w:space="0"/>
              <w:right w:val="single" w:color="auto" w:sz="4" w:space="0"/>
            </w:tcBorders>
            <w:vAlign w:val="center"/>
          </w:tcPr>
          <w:p w14:paraId="637A44A2">
            <w:pPr>
              <w:widowControl/>
              <w:spacing w:line="360" w:lineRule="exact"/>
              <w:jc w:val="left"/>
              <w:rPr>
                <w:rFonts w:hint="eastAsia" w:ascii="宋体" w:hAnsi="宋体" w:eastAsia="宋体" w:cs="Arial"/>
                <w:b/>
                <w:bCs/>
                <w:color w:val="000000" w:themeColor="text1"/>
                <w:kern w:val="0"/>
                <w:sz w:val="16"/>
                <w:szCs w:val="16"/>
                <w:highlight w:val="none"/>
                <w14:textFill>
                  <w14:solidFill>
                    <w14:schemeClr w14:val="tx1"/>
                  </w14:solidFill>
                </w14:textFill>
              </w:rPr>
            </w:pPr>
          </w:p>
        </w:tc>
        <w:tc>
          <w:tcPr>
            <w:tcW w:w="1026" w:type="dxa"/>
            <w:vMerge w:val="continue"/>
            <w:tcBorders>
              <w:top w:val="single" w:color="auto" w:sz="4" w:space="0"/>
              <w:left w:val="single" w:color="auto" w:sz="4" w:space="0"/>
              <w:bottom w:val="single" w:color="auto" w:sz="4" w:space="0"/>
              <w:right w:val="single" w:color="auto" w:sz="4" w:space="0"/>
            </w:tcBorders>
            <w:vAlign w:val="center"/>
          </w:tcPr>
          <w:p w14:paraId="64A7E9AB">
            <w:pPr>
              <w:widowControl/>
              <w:spacing w:line="360" w:lineRule="exact"/>
              <w:jc w:val="left"/>
              <w:rPr>
                <w:rFonts w:hint="eastAsia" w:ascii="宋体" w:hAnsi="宋体" w:eastAsia="宋体" w:cs="Arial"/>
                <w:b/>
                <w:bCs/>
                <w:color w:val="000000" w:themeColor="text1"/>
                <w:kern w:val="0"/>
                <w:sz w:val="16"/>
                <w:szCs w:val="16"/>
                <w:highlight w:val="none"/>
                <w14:textFill>
                  <w14:solidFill>
                    <w14:schemeClr w14:val="tx1"/>
                  </w14:solidFill>
                </w14:textFill>
              </w:rPr>
            </w:pPr>
          </w:p>
        </w:tc>
        <w:tc>
          <w:tcPr>
            <w:tcW w:w="900" w:type="dxa"/>
            <w:tcBorders>
              <w:top w:val="nil"/>
              <w:left w:val="nil"/>
              <w:bottom w:val="single" w:color="auto" w:sz="4" w:space="0"/>
              <w:right w:val="single" w:color="auto" w:sz="4" w:space="0"/>
            </w:tcBorders>
            <w:vAlign w:val="center"/>
          </w:tcPr>
          <w:p w14:paraId="18BC37C4">
            <w:pPr>
              <w:widowControl/>
              <w:spacing w:line="360" w:lineRule="exact"/>
              <w:jc w:val="center"/>
              <w:rPr>
                <w:rFonts w:hint="eastAsia" w:ascii="宋体" w:hAnsi="宋体" w:eastAsia="宋体" w:cs="Arial"/>
                <w:b/>
                <w:bCs/>
                <w:color w:val="000000" w:themeColor="text1"/>
                <w:kern w:val="0"/>
                <w:sz w:val="16"/>
                <w:szCs w:val="16"/>
                <w:highlight w:val="none"/>
                <w14:textFill>
                  <w14:solidFill>
                    <w14:schemeClr w14:val="tx1"/>
                  </w14:solidFill>
                </w14:textFill>
              </w:rPr>
            </w:pPr>
            <w:r>
              <w:rPr>
                <w:rFonts w:hint="eastAsia" w:ascii="宋体" w:hAnsi="宋体" w:eastAsia="宋体" w:cs="Arial"/>
                <w:b/>
                <w:bCs/>
                <w:color w:val="000000" w:themeColor="text1"/>
                <w:kern w:val="0"/>
                <w:sz w:val="16"/>
                <w:szCs w:val="16"/>
                <w:highlight w:val="none"/>
                <w14:textFill>
                  <w14:solidFill>
                    <w14:schemeClr w14:val="tx1"/>
                  </w14:solidFill>
                </w14:textFill>
              </w:rPr>
              <w:t>除税单价</w:t>
            </w:r>
          </w:p>
        </w:tc>
        <w:tc>
          <w:tcPr>
            <w:tcW w:w="1180" w:type="dxa"/>
            <w:tcBorders>
              <w:top w:val="nil"/>
              <w:left w:val="nil"/>
              <w:bottom w:val="single" w:color="auto" w:sz="4" w:space="0"/>
              <w:right w:val="single" w:color="auto" w:sz="4" w:space="0"/>
            </w:tcBorders>
            <w:vAlign w:val="center"/>
          </w:tcPr>
          <w:p w14:paraId="07B40A3C">
            <w:pPr>
              <w:widowControl/>
              <w:spacing w:line="360" w:lineRule="exact"/>
              <w:jc w:val="center"/>
              <w:rPr>
                <w:rFonts w:hint="eastAsia" w:ascii="宋体" w:hAnsi="宋体" w:eastAsia="宋体" w:cs="Arial"/>
                <w:b/>
                <w:bCs/>
                <w:color w:val="000000" w:themeColor="text1"/>
                <w:kern w:val="0"/>
                <w:sz w:val="16"/>
                <w:szCs w:val="16"/>
                <w:highlight w:val="none"/>
                <w14:textFill>
                  <w14:solidFill>
                    <w14:schemeClr w14:val="tx1"/>
                  </w14:solidFill>
                </w14:textFill>
              </w:rPr>
            </w:pPr>
            <w:r>
              <w:rPr>
                <w:rFonts w:hint="eastAsia" w:ascii="宋体" w:hAnsi="宋体" w:eastAsia="宋体" w:cs="Arial"/>
                <w:b/>
                <w:bCs/>
                <w:color w:val="000000" w:themeColor="text1"/>
                <w:kern w:val="0"/>
                <w:sz w:val="16"/>
                <w:szCs w:val="16"/>
                <w:highlight w:val="none"/>
                <w14:textFill>
                  <w14:solidFill>
                    <w14:schemeClr w14:val="tx1"/>
                  </w14:solidFill>
                </w14:textFill>
              </w:rPr>
              <w:t>合价</w:t>
            </w:r>
          </w:p>
        </w:tc>
        <w:tc>
          <w:tcPr>
            <w:tcW w:w="971" w:type="dxa"/>
            <w:tcBorders>
              <w:top w:val="nil"/>
              <w:left w:val="nil"/>
              <w:bottom w:val="single" w:color="auto" w:sz="4" w:space="0"/>
              <w:right w:val="single" w:color="auto" w:sz="4" w:space="0"/>
            </w:tcBorders>
            <w:vAlign w:val="center"/>
          </w:tcPr>
          <w:p w14:paraId="20F963D6">
            <w:pPr>
              <w:widowControl/>
              <w:spacing w:line="360" w:lineRule="exact"/>
              <w:jc w:val="center"/>
              <w:rPr>
                <w:rFonts w:hint="eastAsia" w:ascii="宋体" w:hAnsi="宋体" w:eastAsia="宋体" w:cs="Arial"/>
                <w:b/>
                <w:bCs/>
                <w:color w:val="000000" w:themeColor="text1"/>
                <w:kern w:val="0"/>
                <w:sz w:val="16"/>
                <w:szCs w:val="16"/>
                <w:highlight w:val="none"/>
                <w14:textFill>
                  <w14:solidFill>
                    <w14:schemeClr w14:val="tx1"/>
                  </w14:solidFill>
                </w14:textFill>
              </w:rPr>
            </w:pPr>
            <w:r>
              <w:rPr>
                <w:rFonts w:hint="eastAsia" w:ascii="宋体" w:hAnsi="宋体" w:eastAsia="宋体" w:cs="Arial"/>
                <w:b/>
                <w:bCs/>
                <w:color w:val="000000" w:themeColor="text1"/>
                <w:kern w:val="0"/>
                <w:sz w:val="16"/>
                <w:szCs w:val="16"/>
                <w:highlight w:val="none"/>
                <w14:textFill>
                  <w14:solidFill>
                    <w14:schemeClr w14:val="tx1"/>
                  </w14:solidFill>
                </w14:textFill>
              </w:rPr>
              <w:t>备注</w:t>
            </w:r>
          </w:p>
        </w:tc>
      </w:tr>
      <w:tr w14:paraId="2CF555D4">
        <w:tblPrEx>
          <w:tblCellMar>
            <w:top w:w="0" w:type="dxa"/>
            <w:left w:w="108" w:type="dxa"/>
            <w:bottom w:w="0" w:type="dxa"/>
            <w:right w:w="108" w:type="dxa"/>
          </w:tblCellMar>
        </w:tblPrEx>
        <w:trPr>
          <w:trHeight w:val="255" w:hRule="atLeast"/>
        </w:trPr>
        <w:tc>
          <w:tcPr>
            <w:tcW w:w="406" w:type="dxa"/>
            <w:tcBorders>
              <w:top w:val="nil"/>
              <w:left w:val="single" w:color="auto" w:sz="4" w:space="0"/>
              <w:bottom w:val="single" w:color="auto" w:sz="4" w:space="0"/>
              <w:right w:val="single" w:color="auto" w:sz="4" w:space="0"/>
            </w:tcBorders>
            <w:vAlign w:val="center"/>
          </w:tcPr>
          <w:p w14:paraId="7E1506AB">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4320" w:type="dxa"/>
            <w:tcBorders>
              <w:top w:val="nil"/>
              <w:left w:val="nil"/>
              <w:bottom w:val="single" w:color="auto" w:sz="4" w:space="0"/>
              <w:right w:val="single" w:color="auto" w:sz="4" w:space="0"/>
            </w:tcBorders>
            <w:vAlign w:val="center"/>
          </w:tcPr>
          <w:p w14:paraId="07ADC8C8">
            <w:pPr>
              <w:widowControl/>
              <w:spacing w:line="36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土石方工程</w:t>
            </w:r>
          </w:p>
        </w:tc>
        <w:tc>
          <w:tcPr>
            <w:tcW w:w="548" w:type="dxa"/>
            <w:tcBorders>
              <w:top w:val="nil"/>
              <w:left w:val="nil"/>
              <w:bottom w:val="single" w:color="auto" w:sz="4" w:space="0"/>
              <w:right w:val="single" w:color="auto" w:sz="4" w:space="0"/>
            </w:tcBorders>
            <w:vAlign w:val="center"/>
          </w:tcPr>
          <w:p w14:paraId="30FC6178">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026" w:type="dxa"/>
            <w:tcBorders>
              <w:top w:val="nil"/>
              <w:left w:val="nil"/>
              <w:bottom w:val="single" w:color="auto" w:sz="4" w:space="0"/>
              <w:right w:val="single" w:color="auto" w:sz="4" w:space="0"/>
            </w:tcBorders>
            <w:noWrap/>
            <w:vAlign w:val="center"/>
          </w:tcPr>
          <w:p w14:paraId="5D341700">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00" w:type="dxa"/>
            <w:tcBorders>
              <w:top w:val="nil"/>
              <w:left w:val="nil"/>
              <w:bottom w:val="single" w:color="auto" w:sz="4" w:space="0"/>
              <w:right w:val="single" w:color="auto" w:sz="4" w:space="0"/>
            </w:tcBorders>
            <w:noWrap/>
            <w:vAlign w:val="center"/>
          </w:tcPr>
          <w:p w14:paraId="3263561C">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27EB345C">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1" w:type="dxa"/>
            <w:tcBorders>
              <w:top w:val="nil"/>
              <w:left w:val="nil"/>
              <w:bottom w:val="single" w:color="auto" w:sz="4" w:space="0"/>
              <w:right w:val="single" w:color="auto" w:sz="4" w:space="0"/>
            </w:tcBorders>
            <w:noWrap/>
            <w:vAlign w:val="center"/>
          </w:tcPr>
          <w:p w14:paraId="05446C24">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73232BDC">
        <w:tblPrEx>
          <w:tblCellMar>
            <w:top w:w="0" w:type="dxa"/>
            <w:left w:w="108" w:type="dxa"/>
            <w:bottom w:w="0" w:type="dxa"/>
            <w:right w:w="108" w:type="dxa"/>
          </w:tblCellMar>
        </w:tblPrEx>
        <w:trPr>
          <w:trHeight w:val="1200" w:hRule="atLeast"/>
        </w:trPr>
        <w:tc>
          <w:tcPr>
            <w:tcW w:w="406" w:type="dxa"/>
            <w:tcBorders>
              <w:top w:val="nil"/>
              <w:left w:val="single" w:color="auto" w:sz="4" w:space="0"/>
              <w:bottom w:val="single" w:color="auto" w:sz="4" w:space="0"/>
              <w:right w:val="single" w:color="auto" w:sz="4" w:space="0"/>
            </w:tcBorders>
            <w:vAlign w:val="center"/>
          </w:tcPr>
          <w:p w14:paraId="5AEA7B0F">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w:t>
            </w:r>
          </w:p>
        </w:tc>
        <w:tc>
          <w:tcPr>
            <w:tcW w:w="4320" w:type="dxa"/>
            <w:tcBorders>
              <w:top w:val="nil"/>
              <w:left w:val="nil"/>
              <w:bottom w:val="single" w:color="auto" w:sz="4" w:space="0"/>
              <w:right w:val="single" w:color="auto" w:sz="4" w:space="0"/>
            </w:tcBorders>
            <w:vAlign w:val="center"/>
          </w:tcPr>
          <w:p w14:paraId="707FCE81">
            <w:pPr>
              <w:widowControl/>
              <w:spacing w:line="36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挖一般土方（场内回填）</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1.土壤类别:综合考虑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2.挖土方式:综合考虑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3.工作内容：挖土、装车、场内运输、填土等，运距综合考虑</w:t>
            </w:r>
          </w:p>
        </w:tc>
        <w:tc>
          <w:tcPr>
            <w:tcW w:w="548" w:type="dxa"/>
            <w:tcBorders>
              <w:top w:val="nil"/>
              <w:left w:val="nil"/>
              <w:bottom w:val="single" w:color="auto" w:sz="4" w:space="0"/>
              <w:right w:val="single" w:color="auto" w:sz="4" w:space="0"/>
            </w:tcBorders>
            <w:vAlign w:val="center"/>
          </w:tcPr>
          <w:p w14:paraId="722225D1">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2311C5FA">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4940.01</w:t>
            </w:r>
          </w:p>
        </w:tc>
        <w:tc>
          <w:tcPr>
            <w:tcW w:w="900" w:type="dxa"/>
            <w:tcBorders>
              <w:top w:val="nil"/>
              <w:left w:val="nil"/>
              <w:bottom w:val="single" w:color="auto" w:sz="4" w:space="0"/>
              <w:right w:val="single" w:color="auto" w:sz="4" w:space="0"/>
            </w:tcBorders>
            <w:noWrap/>
            <w:vAlign w:val="center"/>
          </w:tcPr>
          <w:p w14:paraId="7BE4D5D1">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14EBB681">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1" w:type="dxa"/>
            <w:tcBorders>
              <w:top w:val="nil"/>
              <w:left w:val="nil"/>
              <w:bottom w:val="single" w:color="auto" w:sz="4" w:space="0"/>
              <w:right w:val="single" w:color="auto" w:sz="4" w:space="0"/>
            </w:tcBorders>
            <w:noWrap/>
            <w:vAlign w:val="center"/>
          </w:tcPr>
          <w:p w14:paraId="31C524D7">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7E0B7BCD">
        <w:tblPrEx>
          <w:tblCellMar>
            <w:top w:w="0" w:type="dxa"/>
            <w:left w:w="108" w:type="dxa"/>
            <w:bottom w:w="0" w:type="dxa"/>
            <w:right w:w="108" w:type="dxa"/>
          </w:tblCellMar>
        </w:tblPrEx>
        <w:trPr>
          <w:trHeight w:val="1200" w:hRule="atLeast"/>
        </w:trPr>
        <w:tc>
          <w:tcPr>
            <w:tcW w:w="406" w:type="dxa"/>
            <w:tcBorders>
              <w:top w:val="nil"/>
              <w:left w:val="single" w:color="auto" w:sz="4" w:space="0"/>
              <w:bottom w:val="single" w:color="auto" w:sz="4" w:space="0"/>
              <w:right w:val="single" w:color="auto" w:sz="4" w:space="0"/>
            </w:tcBorders>
            <w:vAlign w:val="center"/>
          </w:tcPr>
          <w:p w14:paraId="27569C5F">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2</w:t>
            </w:r>
          </w:p>
        </w:tc>
        <w:tc>
          <w:tcPr>
            <w:tcW w:w="4320" w:type="dxa"/>
            <w:tcBorders>
              <w:top w:val="nil"/>
              <w:left w:val="nil"/>
              <w:bottom w:val="single" w:color="auto" w:sz="4" w:space="0"/>
              <w:right w:val="single" w:color="auto" w:sz="4" w:space="0"/>
            </w:tcBorders>
            <w:vAlign w:val="center"/>
          </w:tcPr>
          <w:p w14:paraId="40B9AF52">
            <w:pPr>
              <w:widowControl/>
              <w:spacing w:line="36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挖一般石方</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1.石方类别:次坚石</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2.开挖方式:综合考虑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3.工作内容：石方开挖、基层清理、场内倒运、回填等，运距综合考虑</w:t>
            </w:r>
          </w:p>
        </w:tc>
        <w:tc>
          <w:tcPr>
            <w:tcW w:w="548" w:type="dxa"/>
            <w:tcBorders>
              <w:top w:val="nil"/>
              <w:left w:val="nil"/>
              <w:bottom w:val="single" w:color="auto" w:sz="4" w:space="0"/>
              <w:right w:val="single" w:color="auto" w:sz="4" w:space="0"/>
            </w:tcBorders>
            <w:vAlign w:val="center"/>
          </w:tcPr>
          <w:p w14:paraId="2E87A938">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25738750">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692.11</w:t>
            </w:r>
          </w:p>
        </w:tc>
        <w:tc>
          <w:tcPr>
            <w:tcW w:w="900" w:type="dxa"/>
            <w:tcBorders>
              <w:top w:val="nil"/>
              <w:left w:val="nil"/>
              <w:bottom w:val="single" w:color="auto" w:sz="4" w:space="0"/>
              <w:right w:val="single" w:color="auto" w:sz="4" w:space="0"/>
            </w:tcBorders>
            <w:noWrap/>
            <w:vAlign w:val="center"/>
          </w:tcPr>
          <w:p w14:paraId="5C1AC3DB">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09D88074">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1" w:type="dxa"/>
            <w:tcBorders>
              <w:top w:val="nil"/>
              <w:left w:val="nil"/>
              <w:bottom w:val="single" w:color="auto" w:sz="4" w:space="0"/>
              <w:right w:val="single" w:color="auto" w:sz="4" w:space="0"/>
            </w:tcBorders>
            <w:noWrap/>
            <w:vAlign w:val="center"/>
          </w:tcPr>
          <w:p w14:paraId="51C49817">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3BBA0ED3">
        <w:tblPrEx>
          <w:tblCellMar>
            <w:top w:w="0" w:type="dxa"/>
            <w:left w:w="108" w:type="dxa"/>
            <w:bottom w:w="0" w:type="dxa"/>
            <w:right w:w="108" w:type="dxa"/>
          </w:tblCellMar>
        </w:tblPrEx>
        <w:trPr>
          <w:trHeight w:val="1440" w:hRule="atLeast"/>
        </w:trPr>
        <w:tc>
          <w:tcPr>
            <w:tcW w:w="406" w:type="dxa"/>
            <w:tcBorders>
              <w:top w:val="nil"/>
              <w:left w:val="single" w:color="auto" w:sz="4" w:space="0"/>
              <w:bottom w:val="single" w:color="auto" w:sz="4" w:space="0"/>
              <w:right w:val="single" w:color="auto" w:sz="4" w:space="0"/>
            </w:tcBorders>
            <w:vAlign w:val="center"/>
          </w:tcPr>
          <w:p w14:paraId="19995253">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3</w:t>
            </w:r>
          </w:p>
        </w:tc>
        <w:tc>
          <w:tcPr>
            <w:tcW w:w="4320" w:type="dxa"/>
            <w:tcBorders>
              <w:top w:val="nil"/>
              <w:left w:val="nil"/>
              <w:bottom w:val="single" w:color="auto" w:sz="4" w:space="0"/>
              <w:right w:val="single" w:color="auto" w:sz="4" w:space="0"/>
            </w:tcBorders>
            <w:vAlign w:val="center"/>
          </w:tcPr>
          <w:p w14:paraId="29F7EE87">
            <w:pPr>
              <w:widowControl/>
              <w:spacing w:line="36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挖一般石方</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1.石方类别:次坚石</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2.开挖方式:综合考虑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3.工作内容：石方开挖、基层清理、装车外运、弃土场平整等</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4.运距：3km</w:t>
            </w:r>
          </w:p>
        </w:tc>
        <w:tc>
          <w:tcPr>
            <w:tcW w:w="548" w:type="dxa"/>
            <w:tcBorders>
              <w:top w:val="nil"/>
              <w:left w:val="nil"/>
              <w:bottom w:val="single" w:color="auto" w:sz="4" w:space="0"/>
              <w:right w:val="single" w:color="auto" w:sz="4" w:space="0"/>
            </w:tcBorders>
            <w:vAlign w:val="center"/>
          </w:tcPr>
          <w:p w14:paraId="2786899C">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6F59F3F8">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30852.48</w:t>
            </w:r>
          </w:p>
        </w:tc>
        <w:tc>
          <w:tcPr>
            <w:tcW w:w="900" w:type="dxa"/>
            <w:tcBorders>
              <w:top w:val="nil"/>
              <w:left w:val="nil"/>
              <w:bottom w:val="single" w:color="auto" w:sz="4" w:space="0"/>
              <w:right w:val="single" w:color="auto" w:sz="4" w:space="0"/>
            </w:tcBorders>
            <w:noWrap/>
            <w:vAlign w:val="center"/>
          </w:tcPr>
          <w:p w14:paraId="68F16A2D">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10832E92">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1" w:type="dxa"/>
            <w:tcBorders>
              <w:top w:val="nil"/>
              <w:left w:val="nil"/>
              <w:bottom w:val="single" w:color="auto" w:sz="4" w:space="0"/>
              <w:right w:val="single" w:color="auto" w:sz="4" w:space="0"/>
            </w:tcBorders>
            <w:noWrap/>
            <w:vAlign w:val="center"/>
          </w:tcPr>
          <w:p w14:paraId="139E51F0">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4DFFD6FE">
        <w:tblPrEx>
          <w:tblCellMar>
            <w:top w:w="0" w:type="dxa"/>
            <w:left w:w="108" w:type="dxa"/>
            <w:bottom w:w="0" w:type="dxa"/>
            <w:right w:w="108" w:type="dxa"/>
          </w:tblCellMar>
        </w:tblPrEx>
        <w:trPr>
          <w:trHeight w:val="1440" w:hRule="atLeast"/>
        </w:trPr>
        <w:tc>
          <w:tcPr>
            <w:tcW w:w="406" w:type="dxa"/>
            <w:tcBorders>
              <w:top w:val="nil"/>
              <w:left w:val="single" w:color="auto" w:sz="4" w:space="0"/>
              <w:bottom w:val="single" w:color="auto" w:sz="4" w:space="0"/>
              <w:right w:val="single" w:color="auto" w:sz="4" w:space="0"/>
            </w:tcBorders>
            <w:vAlign w:val="center"/>
          </w:tcPr>
          <w:p w14:paraId="6BD775B0">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4</w:t>
            </w:r>
          </w:p>
        </w:tc>
        <w:tc>
          <w:tcPr>
            <w:tcW w:w="4320" w:type="dxa"/>
            <w:tcBorders>
              <w:top w:val="nil"/>
              <w:left w:val="nil"/>
              <w:bottom w:val="single" w:color="auto" w:sz="4" w:space="0"/>
              <w:right w:val="single" w:color="auto" w:sz="4" w:space="0"/>
            </w:tcBorders>
            <w:vAlign w:val="center"/>
          </w:tcPr>
          <w:p w14:paraId="43CAD441">
            <w:pPr>
              <w:widowControl/>
              <w:spacing w:line="36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挖一般石方</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1.石方类别:坚石</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2.开挖方式:综合考虑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3.工作内容：石方开挖、基层清理、装车外运、弃土场平整等</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4.运距：3km</w:t>
            </w:r>
          </w:p>
        </w:tc>
        <w:tc>
          <w:tcPr>
            <w:tcW w:w="548" w:type="dxa"/>
            <w:tcBorders>
              <w:top w:val="nil"/>
              <w:left w:val="nil"/>
              <w:bottom w:val="single" w:color="auto" w:sz="4" w:space="0"/>
              <w:right w:val="single" w:color="auto" w:sz="4" w:space="0"/>
            </w:tcBorders>
            <w:vAlign w:val="center"/>
          </w:tcPr>
          <w:p w14:paraId="573D8A11">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6EE6A0D0">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9012.78</w:t>
            </w:r>
          </w:p>
        </w:tc>
        <w:tc>
          <w:tcPr>
            <w:tcW w:w="900" w:type="dxa"/>
            <w:tcBorders>
              <w:top w:val="nil"/>
              <w:left w:val="nil"/>
              <w:bottom w:val="single" w:color="auto" w:sz="4" w:space="0"/>
              <w:right w:val="single" w:color="auto" w:sz="4" w:space="0"/>
            </w:tcBorders>
            <w:noWrap/>
            <w:vAlign w:val="center"/>
          </w:tcPr>
          <w:p w14:paraId="20B44852">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3F4735E6">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1" w:type="dxa"/>
            <w:tcBorders>
              <w:top w:val="nil"/>
              <w:left w:val="nil"/>
              <w:bottom w:val="single" w:color="auto" w:sz="4" w:space="0"/>
              <w:right w:val="single" w:color="auto" w:sz="4" w:space="0"/>
            </w:tcBorders>
            <w:noWrap/>
            <w:vAlign w:val="center"/>
          </w:tcPr>
          <w:p w14:paraId="29EB96AB">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4AC4FBE3">
        <w:tblPrEx>
          <w:tblCellMar>
            <w:top w:w="0" w:type="dxa"/>
            <w:left w:w="108" w:type="dxa"/>
            <w:bottom w:w="0" w:type="dxa"/>
            <w:right w:w="108" w:type="dxa"/>
          </w:tblCellMar>
        </w:tblPrEx>
        <w:trPr>
          <w:trHeight w:val="480" w:hRule="atLeast"/>
        </w:trPr>
        <w:tc>
          <w:tcPr>
            <w:tcW w:w="406" w:type="dxa"/>
            <w:tcBorders>
              <w:top w:val="nil"/>
              <w:left w:val="single" w:color="auto" w:sz="4" w:space="0"/>
              <w:bottom w:val="single" w:color="auto" w:sz="4" w:space="0"/>
              <w:right w:val="single" w:color="auto" w:sz="4" w:space="0"/>
            </w:tcBorders>
            <w:vAlign w:val="center"/>
          </w:tcPr>
          <w:p w14:paraId="6AE7A2F1">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5</w:t>
            </w:r>
          </w:p>
        </w:tc>
        <w:tc>
          <w:tcPr>
            <w:tcW w:w="4320" w:type="dxa"/>
            <w:tcBorders>
              <w:top w:val="nil"/>
              <w:left w:val="nil"/>
              <w:bottom w:val="single" w:color="auto" w:sz="4" w:space="0"/>
              <w:right w:val="single" w:color="auto" w:sz="4" w:space="0"/>
            </w:tcBorders>
            <w:vAlign w:val="center"/>
          </w:tcPr>
          <w:p w14:paraId="5362DB21">
            <w:pPr>
              <w:widowControl/>
              <w:spacing w:line="36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土石方运输</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1.工作内容：每增运1km</w:t>
            </w:r>
          </w:p>
        </w:tc>
        <w:tc>
          <w:tcPr>
            <w:tcW w:w="548" w:type="dxa"/>
            <w:tcBorders>
              <w:top w:val="nil"/>
              <w:left w:val="nil"/>
              <w:bottom w:val="single" w:color="auto" w:sz="4" w:space="0"/>
              <w:right w:val="single" w:color="auto" w:sz="4" w:space="0"/>
            </w:tcBorders>
            <w:vAlign w:val="center"/>
          </w:tcPr>
          <w:p w14:paraId="127D6A44">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70626E0B">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300000.00</w:t>
            </w:r>
          </w:p>
        </w:tc>
        <w:tc>
          <w:tcPr>
            <w:tcW w:w="900" w:type="dxa"/>
            <w:tcBorders>
              <w:top w:val="nil"/>
              <w:left w:val="nil"/>
              <w:bottom w:val="single" w:color="auto" w:sz="4" w:space="0"/>
              <w:right w:val="single" w:color="auto" w:sz="4" w:space="0"/>
            </w:tcBorders>
            <w:noWrap/>
            <w:vAlign w:val="center"/>
          </w:tcPr>
          <w:p w14:paraId="0B2496CF">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15BA2B97">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1" w:type="dxa"/>
            <w:tcBorders>
              <w:top w:val="nil"/>
              <w:left w:val="nil"/>
              <w:bottom w:val="single" w:color="auto" w:sz="4" w:space="0"/>
              <w:right w:val="single" w:color="auto" w:sz="4" w:space="0"/>
            </w:tcBorders>
            <w:noWrap/>
            <w:vAlign w:val="center"/>
          </w:tcPr>
          <w:p w14:paraId="2226EFA9">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72D4C02A">
        <w:tblPrEx>
          <w:tblCellMar>
            <w:top w:w="0" w:type="dxa"/>
            <w:left w:w="108" w:type="dxa"/>
            <w:bottom w:w="0" w:type="dxa"/>
            <w:right w:w="108" w:type="dxa"/>
          </w:tblCellMar>
        </w:tblPrEx>
        <w:trPr>
          <w:trHeight w:val="785" w:hRule="atLeast"/>
        </w:trPr>
        <w:tc>
          <w:tcPr>
            <w:tcW w:w="406" w:type="dxa"/>
            <w:tcBorders>
              <w:top w:val="nil"/>
              <w:left w:val="single" w:color="auto" w:sz="4" w:space="0"/>
              <w:bottom w:val="single" w:color="auto" w:sz="4" w:space="0"/>
              <w:right w:val="single" w:color="auto" w:sz="4" w:space="0"/>
            </w:tcBorders>
            <w:vAlign w:val="center"/>
          </w:tcPr>
          <w:p w14:paraId="020016F9">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6</w:t>
            </w:r>
          </w:p>
        </w:tc>
        <w:tc>
          <w:tcPr>
            <w:tcW w:w="4320" w:type="dxa"/>
            <w:tcBorders>
              <w:top w:val="nil"/>
              <w:left w:val="nil"/>
              <w:bottom w:val="single" w:color="auto" w:sz="4" w:space="0"/>
              <w:right w:val="single" w:color="auto" w:sz="4" w:space="0"/>
            </w:tcBorders>
            <w:vAlign w:val="center"/>
          </w:tcPr>
          <w:p w14:paraId="587E0A53">
            <w:pPr>
              <w:widowControl/>
              <w:spacing w:line="36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强夯土方</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1.夯击能量及次数：满足设计及规范要求，详见图纸</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2.工作内容：包含机械进出场、场地整理、沉降观测的相关费用</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3.工程量：按设计图示尺寸以面积计算</w:t>
            </w:r>
          </w:p>
        </w:tc>
        <w:tc>
          <w:tcPr>
            <w:tcW w:w="548" w:type="dxa"/>
            <w:tcBorders>
              <w:top w:val="nil"/>
              <w:left w:val="nil"/>
              <w:bottom w:val="single" w:color="auto" w:sz="4" w:space="0"/>
              <w:right w:val="single" w:color="auto" w:sz="4" w:space="0"/>
            </w:tcBorders>
            <w:vAlign w:val="center"/>
          </w:tcPr>
          <w:p w14:paraId="765EF103">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m2</w:t>
            </w:r>
          </w:p>
        </w:tc>
        <w:tc>
          <w:tcPr>
            <w:tcW w:w="1026" w:type="dxa"/>
            <w:tcBorders>
              <w:top w:val="nil"/>
              <w:left w:val="nil"/>
              <w:bottom w:val="single" w:color="auto" w:sz="4" w:space="0"/>
              <w:right w:val="single" w:color="auto" w:sz="4" w:space="0"/>
            </w:tcBorders>
            <w:noWrap/>
            <w:vAlign w:val="center"/>
          </w:tcPr>
          <w:p w14:paraId="3350EF49">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1280.00</w:t>
            </w:r>
          </w:p>
        </w:tc>
        <w:tc>
          <w:tcPr>
            <w:tcW w:w="900" w:type="dxa"/>
            <w:tcBorders>
              <w:top w:val="nil"/>
              <w:left w:val="nil"/>
              <w:bottom w:val="single" w:color="auto" w:sz="4" w:space="0"/>
              <w:right w:val="single" w:color="auto" w:sz="4" w:space="0"/>
            </w:tcBorders>
            <w:noWrap/>
            <w:vAlign w:val="center"/>
          </w:tcPr>
          <w:p w14:paraId="42F88C46">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542A4194">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1" w:type="dxa"/>
            <w:tcBorders>
              <w:top w:val="nil"/>
              <w:left w:val="nil"/>
              <w:bottom w:val="single" w:color="auto" w:sz="4" w:space="0"/>
              <w:right w:val="single" w:color="auto" w:sz="4" w:space="0"/>
            </w:tcBorders>
            <w:noWrap/>
            <w:vAlign w:val="center"/>
          </w:tcPr>
          <w:p w14:paraId="7422B709">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6EFBD955">
        <w:tblPrEx>
          <w:tblCellMar>
            <w:top w:w="0" w:type="dxa"/>
            <w:left w:w="108" w:type="dxa"/>
            <w:bottom w:w="0" w:type="dxa"/>
            <w:right w:w="108" w:type="dxa"/>
          </w:tblCellMar>
        </w:tblPrEx>
        <w:trPr>
          <w:trHeight w:val="1440" w:hRule="atLeast"/>
        </w:trPr>
        <w:tc>
          <w:tcPr>
            <w:tcW w:w="406" w:type="dxa"/>
            <w:tcBorders>
              <w:top w:val="nil"/>
              <w:left w:val="single" w:color="auto" w:sz="4" w:space="0"/>
              <w:bottom w:val="single" w:color="auto" w:sz="4" w:space="0"/>
              <w:right w:val="single" w:color="auto" w:sz="4" w:space="0"/>
            </w:tcBorders>
            <w:vAlign w:val="center"/>
          </w:tcPr>
          <w:p w14:paraId="66DCFAAD">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7</w:t>
            </w:r>
          </w:p>
        </w:tc>
        <w:tc>
          <w:tcPr>
            <w:tcW w:w="4320" w:type="dxa"/>
            <w:tcBorders>
              <w:top w:val="nil"/>
              <w:left w:val="nil"/>
              <w:bottom w:val="single" w:color="auto" w:sz="4" w:space="0"/>
              <w:right w:val="single" w:color="auto" w:sz="4" w:space="0"/>
            </w:tcBorders>
            <w:vAlign w:val="center"/>
          </w:tcPr>
          <w:p w14:paraId="46899C95">
            <w:pPr>
              <w:widowControl/>
              <w:spacing w:line="36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拆除建筑物</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1.建筑物类型：综合考虑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2.工作内容:拆除、破碎、块体吊运、清理归堆、装车外运等，运距综合考虑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3.已综合考虑物品回收费用</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4.工程量:按建筑物建筑面积计算</w:t>
            </w:r>
          </w:p>
        </w:tc>
        <w:tc>
          <w:tcPr>
            <w:tcW w:w="548" w:type="dxa"/>
            <w:tcBorders>
              <w:top w:val="nil"/>
              <w:left w:val="nil"/>
              <w:bottom w:val="single" w:color="auto" w:sz="4" w:space="0"/>
              <w:right w:val="single" w:color="auto" w:sz="4" w:space="0"/>
            </w:tcBorders>
            <w:vAlign w:val="center"/>
          </w:tcPr>
          <w:p w14:paraId="2848E2E3">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m2</w:t>
            </w:r>
          </w:p>
        </w:tc>
        <w:tc>
          <w:tcPr>
            <w:tcW w:w="1026" w:type="dxa"/>
            <w:tcBorders>
              <w:top w:val="nil"/>
              <w:left w:val="nil"/>
              <w:bottom w:val="single" w:color="auto" w:sz="4" w:space="0"/>
              <w:right w:val="single" w:color="auto" w:sz="4" w:space="0"/>
            </w:tcBorders>
            <w:noWrap/>
            <w:vAlign w:val="center"/>
          </w:tcPr>
          <w:p w14:paraId="0F34E161">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1150.00</w:t>
            </w:r>
          </w:p>
        </w:tc>
        <w:tc>
          <w:tcPr>
            <w:tcW w:w="900" w:type="dxa"/>
            <w:tcBorders>
              <w:top w:val="nil"/>
              <w:left w:val="nil"/>
              <w:bottom w:val="single" w:color="auto" w:sz="4" w:space="0"/>
              <w:right w:val="single" w:color="auto" w:sz="4" w:space="0"/>
            </w:tcBorders>
            <w:noWrap/>
            <w:vAlign w:val="center"/>
          </w:tcPr>
          <w:p w14:paraId="7AB70194">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59C48592">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1" w:type="dxa"/>
            <w:tcBorders>
              <w:top w:val="nil"/>
              <w:left w:val="nil"/>
              <w:bottom w:val="single" w:color="auto" w:sz="4" w:space="0"/>
              <w:right w:val="single" w:color="auto" w:sz="4" w:space="0"/>
            </w:tcBorders>
            <w:noWrap/>
            <w:vAlign w:val="center"/>
          </w:tcPr>
          <w:p w14:paraId="63452726">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21EC169E">
        <w:tblPrEx>
          <w:tblCellMar>
            <w:top w:w="0" w:type="dxa"/>
            <w:left w:w="108" w:type="dxa"/>
            <w:bottom w:w="0" w:type="dxa"/>
            <w:right w:w="108" w:type="dxa"/>
          </w:tblCellMar>
        </w:tblPrEx>
        <w:trPr>
          <w:trHeight w:val="1440" w:hRule="atLeast"/>
        </w:trPr>
        <w:tc>
          <w:tcPr>
            <w:tcW w:w="406" w:type="dxa"/>
            <w:tcBorders>
              <w:top w:val="nil"/>
              <w:left w:val="single" w:color="auto" w:sz="4" w:space="0"/>
              <w:bottom w:val="single" w:color="auto" w:sz="4" w:space="0"/>
              <w:right w:val="single" w:color="auto" w:sz="4" w:space="0"/>
            </w:tcBorders>
            <w:vAlign w:val="center"/>
          </w:tcPr>
          <w:p w14:paraId="4ECD8DBC">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8</w:t>
            </w:r>
          </w:p>
        </w:tc>
        <w:tc>
          <w:tcPr>
            <w:tcW w:w="4320" w:type="dxa"/>
            <w:tcBorders>
              <w:top w:val="nil"/>
              <w:left w:val="nil"/>
              <w:bottom w:val="single" w:color="auto" w:sz="4" w:space="0"/>
              <w:right w:val="single" w:color="auto" w:sz="4" w:space="0"/>
            </w:tcBorders>
            <w:vAlign w:val="center"/>
          </w:tcPr>
          <w:p w14:paraId="3EC348E1">
            <w:pPr>
              <w:widowControl/>
              <w:spacing w:line="36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拆除路面</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1.道路材料:现状砼道路</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2.厚度：综合考虑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3.拆除方式：综合考虑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4.工作内容：砼路面及基层拆除、基层清理、集碴、装车外运等，运距综合考虑</w:t>
            </w:r>
          </w:p>
        </w:tc>
        <w:tc>
          <w:tcPr>
            <w:tcW w:w="548" w:type="dxa"/>
            <w:tcBorders>
              <w:top w:val="nil"/>
              <w:left w:val="nil"/>
              <w:bottom w:val="single" w:color="auto" w:sz="4" w:space="0"/>
              <w:right w:val="single" w:color="auto" w:sz="4" w:space="0"/>
            </w:tcBorders>
            <w:vAlign w:val="center"/>
          </w:tcPr>
          <w:p w14:paraId="64CFA293">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0C9CBC25">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1515.34</w:t>
            </w:r>
          </w:p>
        </w:tc>
        <w:tc>
          <w:tcPr>
            <w:tcW w:w="900" w:type="dxa"/>
            <w:tcBorders>
              <w:top w:val="nil"/>
              <w:left w:val="nil"/>
              <w:bottom w:val="single" w:color="auto" w:sz="4" w:space="0"/>
              <w:right w:val="single" w:color="auto" w:sz="4" w:space="0"/>
            </w:tcBorders>
            <w:noWrap/>
            <w:vAlign w:val="center"/>
          </w:tcPr>
          <w:p w14:paraId="73EA89A4">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07AF4D3F">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1" w:type="dxa"/>
            <w:tcBorders>
              <w:top w:val="nil"/>
              <w:left w:val="nil"/>
              <w:bottom w:val="single" w:color="auto" w:sz="4" w:space="0"/>
              <w:right w:val="single" w:color="auto" w:sz="4" w:space="0"/>
            </w:tcBorders>
            <w:noWrap/>
            <w:vAlign w:val="center"/>
          </w:tcPr>
          <w:p w14:paraId="6B331651">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43595449">
        <w:tblPrEx>
          <w:tblCellMar>
            <w:top w:w="0" w:type="dxa"/>
            <w:left w:w="108" w:type="dxa"/>
            <w:bottom w:w="0" w:type="dxa"/>
            <w:right w:w="108" w:type="dxa"/>
          </w:tblCellMar>
        </w:tblPrEx>
        <w:trPr>
          <w:trHeight w:val="1440" w:hRule="atLeast"/>
        </w:trPr>
        <w:tc>
          <w:tcPr>
            <w:tcW w:w="406" w:type="dxa"/>
            <w:tcBorders>
              <w:top w:val="nil"/>
              <w:left w:val="single" w:color="auto" w:sz="4" w:space="0"/>
              <w:bottom w:val="single" w:color="auto" w:sz="4" w:space="0"/>
              <w:right w:val="single" w:color="auto" w:sz="4" w:space="0"/>
            </w:tcBorders>
            <w:vAlign w:val="center"/>
          </w:tcPr>
          <w:p w14:paraId="792C622B">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9</w:t>
            </w:r>
          </w:p>
        </w:tc>
        <w:tc>
          <w:tcPr>
            <w:tcW w:w="4320" w:type="dxa"/>
            <w:tcBorders>
              <w:top w:val="nil"/>
              <w:left w:val="nil"/>
              <w:bottom w:val="single" w:color="auto" w:sz="4" w:space="0"/>
              <w:right w:val="single" w:color="auto" w:sz="4" w:space="0"/>
            </w:tcBorders>
            <w:vAlign w:val="center"/>
          </w:tcPr>
          <w:p w14:paraId="36BF035B">
            <w:pPr>
              <w:widowControl/>
              <w:spacing w:line="36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拆除沥青砼道路</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1.道路材料:现状沥青砼道路</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2.厚度：综合考虑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3.工作内容：沥青砼路面面层及基层拆除、基层清理、集碴、装车外运等，运距综合考虑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4.部位：新旧沥青路面顺接处</w:t>
            </w:r>
          </w:p>
        </w:tc>
        <w:tc>
          <w:tcPr>
            <w:tcW w:w="548" w:type="dxa"/>
            <w:tcBorders>
              <w:top w:val="nil"/>
              <w:left w:val="nil"/>
              <w:bottom w:val="single" w:color="auto" w:sz="4" w:space="0"/>
              <w:right w:val="single" w:color="auto" w:sz="4" w:space="0"/>
            </w:tcBorders>
            <w:vAlign w:val="center"/>
          </w:tcPr>
          <w:p w14:paraId="58F09E16">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21ED9EA4">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12.00</w:t>
            </w:r>
          </w:p>
        </w:tc>
        <w:tc>
          <w:tcPr>
            <w:tcW w:w="900" w:type="dxa"/>
            <w:tcBorders>
              <w:top w:val="nil"/>
              <w:left w:val="nil"/>
              <w:bottom w:val="single" w:color="auto" w:sz="4" w:space="0"/>
              <w:right w:val="single" w:color="auto" w:sz="4" w:space="0"/>
            </w:tcBorders>
            <w:noWrap/>
            <w:vAlign w:val="center"/>
          </w:tcPr>
          <w:p w14:paraId="33EBBB97">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75886AAA">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1" w:type="dxa"/>
            <w:tcBorders>
              <w:top w:val="nil"/>
              <w:left w:val="nil"/>
              <w:bottom w:val="single" w:color="auto" w:sz="4" w:space="0"/>
              <w:right w:val="single" w:color="auto" w:sz="4" w:space="0"/>
            </w:tcBorders>
            <w:noWrap/>
            <w:vAlign w:val="center"/>
          </w:tcPr>
          <w:p w14:paraId="0D7101A8">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239305B9">
        <w:tblPrEx>
          <w:tblCellMar>
            <w:top w:w="0" w:type="dxa"/>
            <w:left w:w="108" w:type="dxa"/>
            <w:bottom w:w="0" w:type="dxa"/>
            <w:right w:w="108" w:type="dxa"/>
          </w:tblCellMar>
        </w:tblPrEx>
        <w:trPr>
          <w:trHeight w:val="1920" w:hRule="atLeast"/>
        </w:trPr>
        <w:tc>
          <w:tcPr>
            <w:tcW w:w="406" w:type="dxa"/>
            <w:tcBorders>
              <w:top w:val="nil"/>
              <w:left w:val="single" w:color="auto" w:sz="4" w:space="0"/>
              <w:bottom w:val="single" w:color="auto" w:sz="4" w:space="0"/>
              <w:right w:val="single" w:color="auto" w:sz="4" w:space="0"/>
            </w:tcBorders>
            <w:vAlign w:val="center"/>
          </w:tcPr>
          <w:p w14:paraId="55034E95">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10</w:t>
            </w:r>
          </w:p>
        </w:tc>
        <w:tc>
          <w:tcPr>
            <w:tcW w:w="4320" w:type="dxa"/>
            <w:tcBorders>
              <w:top w:val="nil"/>
              <w:left w:val="nil"/>
              <w:bottom w:val="single" w:color="auto" w:sz="4" w:space="0"/>
              <w:right w:val="single" w:color="auto" w:sz="4" w:space="0"/>
            </w:tcBorders>
            <w:vAlign w:val="center"/>
          </w:tcPr>
          <w:p w14:paraId="7AEA90B4">
            <w:pPr>
              <w:widowControl/>
              <w:spacing w:line="36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清除草皮</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1.整理要求：清除原绿化用地内垃圾、石块、杂草、小灌木等杂物，平整顺地形和周围环境</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2.清除方式：综合考虑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3.工作内容：机械进出场、清理、集中堆放、回填树穴、清除等</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4.运距：综合考虑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5.范围：原地貌绿化区域</w:t>
            </w:r>
          </w:p>
        </w:tc>
        <w:tc>
          <w:tcPr>
            <w:tcW w:w="548" w:type="dxa"/>
            <w:tcBorders>
              <w:top w:val="nil"/>
              <w:left w:val="nil"/>
              <w:bottom w:val="single" w:color="auto" w:sz="4" w:space="0"/>
              <w:right w:val="single" w:color="auto" w:sz="4" w:space="0"/>
            </w:tcBorders>
            <w:vAlign w:val="center"/>
          </w:tcPr>
          <w:p w14:paraId="13BE3CC9">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m2</w:t>
            </w:r>
          </w:p>
        </w:tc>
        <w:tc>
          <w:tcPr>
            <w:tcW w:w="1026" w:type="dxa"/>
            <w:tcBorders>
              <w:top w:val="nil"/>
              <w:left w:val="nil"/>
              <w:bottom w:val="single" w:color="auto" w:sz="4" w:space="0"/>
              <w:right w:val="single" w:color="auto" w:sz="4" w:space="0"/>
            </w:tcBorders>
            <w:noWrap/>
            <w:vAlign w:val="center"/>
          </w:tcPr>
          <w:p w14:paraId="042E9402">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8914.65</w:t>
            </w:r>
          </w:p>
        </w:tc>
        <w:tc>
          <w:tcPr>
            <w:tcW w:w="900" w:type="dxa"/>
            <w:tcBorders>
              <w:top w:val="nil"/>
              <w:left w:val="nil"/>
              <w:bottom w:val="single" w:color="auto" w:sz="4" w:space="0"/>
              <w:right w:val="single" w:color="auto" w:sz="4" w:space="0"/>
            </w:tcBorders>
            <w:noWrap/>
            <w:vAlign w:val="center"/>
          </w:tcPr>
          <w:p w14:paraId="09F0D1EB">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76B1D8E5">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1" w:type="dxa"/>
            <w:tcBorders>
              <w:top w:val="nil"/>
              <w:left w:val="nil"/>
              <w:bottom w:val="single" w:color="auto" w:sz="4" w:space="0"/>
              <w:right w:val="single" w:color="auto" w:sz="4" w:space="0"/>
            </w:tcBorders>
            <w:noWrap/>
            <w:vAlign w:val="center"/>
          </w:tcPr>
          <w:p w14:paraId="1FDAAFB2">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481EABED">
        <w:tblPrEx>
          <w:tblCellMar>
            <w:top w:w="0" w:type="dxa"/>
            <w:left w:w="108" w:type="dxa"/>
            <w:bottom w:w="0" w:type="dxa"/>
            <w:right w:w="108" w:type="dxa"/>
          </w:tblCellMar>
        </w:tblPrEx>
        <w:trPr>
          <w:trHeight w:val="785" w:hRule="atLeast"/>
        </w:trPr>
        <w:tc>
          <w:tcPr>
            <w:tcW w:w="406" w:type="dxa"/>
            <w:tcBorders>
              <w:top w:val="nil"/>
              <w:left w:val="single" w:color="auto" w:sz="4" w:space="0"/>
              <w:bottom w:val="single" w:color="auto" w:sz="4" w:space="0"/>
              <w:right w:val="single" w:color="auto" w:sz="4" w:space="0"/>
            </w:tcBorders>
            <w:vAlign w:val="center"/>
          </w:tcPr>
          <w:p w14:paraId="5A4F5DAD">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11</w:t>
            </w:r>
          </w:p>
        </w:tc>
        <w:tc>
          <w:tcPr>
            <w:tcW w:w="4320" w:type="dxa"/>
            <w:tcBorders>
              <w:top w:val="nil"/>
              <w:left w:val="nil"/>
              <w:bottom w:val="single" w:color="auto" w:sz="4" w:space="0"/>
              <w:right w:val="single" w:color="auto" w:sz="4" w:space="0"/>
            </w:tcBorders>
            <w:vAlign w:val="center"/>
          </w:tcPr>
          <w:p w14:paraId="31C99D06">
            <w:pPr>
              <w:widowControl/>
              <w:spacing w:line="36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垃圾外运</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1.废弃料品种:综合各种类的土、岩、砂、草木树根、建筑垃圾等</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2.运距:投标人根据实际情况自行考虑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3.工作内容补充:包括但不限于垃圾归堆、装载、运输、卸载、弃土场渣土消纳费、推平等，并满足经批准的《施工组织设计》,符合威海市环保、渣管部门及道路交通管理等规定</w:t>
            </w:r>
          </w:p>
        </w:tc>
        <w:tc>
          <w:tcPr>
            <w:tcW w:w="548" w:type="dxa"/>
            <w:tcBorders>
              <w:top w:val="nil"/>
              <w:left w:val="nil"/>
              <w:bottom w:val="single" w:color="auto" w:sz="4" w:space="0"/>
              <w:right w:val="single" w:color="auto" w:sz="4" w:space="0"/>
            </w:tcBorders>
            <w:vAlign w:val="center"/>
          </w:tcPr>
          <w:p w14:paraId="1E99CD97">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0D70EE9A">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2674.40</w:t>
            </w:r>
          </w:p>
        </w:tc>
        <w:tc>
          <w:tcPr>
            <w:tcW w:w="900" w:type="dxa"/>
            <w:tcBorders>
              <w:top w:val="nil"/>
              <w:left w:val="nil"/>
              <w:bottom w:val="single" w:color="auto" w:sz="4" w:space="0"/>
              <w:right w:val="single" w:color="auto" w:sz="4" w:space="0"/>
            </w:tcBorders>
            <w:noWrap/>
            <w:vAlign w:val="center"/>
          </w:tcPr>
          <w:p w14:paraId="407E4E21">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48882D11">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1" w:type="dxa"/>
            <w:tcBorders>
              <w:top w:val="nil"/>
              <w:left w:val="nil"/>
              <w:bottom w:val="single" w:color="auto" w:sz="4" w:space="0"/>
              <w:right w:val="single" w:color="auto" w:sz="4" w:space="0"/>
            </w:tcBorders>
            <w:noWrap/>
            <w:vAlign w:val="center"/>
          </w:tcPr>
          <w:p w14:paraId="2B35C04A">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4B18617E">
        <w:tblPrEx>
          <w:tblCellMar>
            <w:top w:w="0" w:type="dxa"/>
            <w:left w:w="108" w:type="dxa"/>
            <w:bottom w:w="0" w:type="dxa"/>
            <w:right w:w="108" w:type="dxa"/>
          </w:tblCellMar>
        </w:tblPrEx>
        <w:trPr>
          <w:trHeight w:val="643" w:hRule="atLeast"/>
        </w:trPr>
        <w:tc>
          <w:tcPr>
            <w:tcW w:w="406" w:type="dxa"/>
            <w:tcBorders>
              <w:top w:val="nil"/>
              <w:left w:val="single" w:color="auto" w:sz="4" w:space="0"/>
              <w:bottom w:val="single" w:color="auto" w:sz="4" w:space="0"/>
              <w:right w:val="single" w:color="auto" w:sz="4" w:space="0"/>
            </w:tcBorders>
            <w:vAlign w:val="center"/>
          </w:tcPr>
          <w:p w14:paraId="5BB68328">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12</w:t>
            </w:r>
          </w:p>
        </w:tc>
        <w:tc>
          <w:tcPr>
            <w:tcW w:w="4320" w:type="dxa"/>
            <w:tcBorders>
              <w:top w:val="nil"/>
              <w:left w:val="nil"/>
              <w:bottom w:val="single" w:color="auto" w:sz="4" w:space="0"/>
              <w:right w:val="single" w:color="auto" w:sz="4" w:space="0"/>
            </w:tcBorders>
            <w:vAlign w:val="center"/>
          </w:tcPr>
          <w:p w14:paraId="03D26A21">
            <w:pPr>
              <w:widowControl/>
              <w:spacing w:line="36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挖沟槽石方</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1.石方类别:次坚石</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2.开挖方式:机械破碎</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3.工作内容：石方开挖、基层清理、装车外运、弃土场平整等</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4.运距：3km</w:t>
            </w:r>
          </w:p>
        </w:tc>
        <w:tc>
          <w:tcPr>
            <w:tcW w:w="548" w:type="dxa"/>
            <w:tcBorders>
              <w:top w:val="nil"/>
              <w:left w:val="nil"/>
              <w:bottom w:val="single" w:color="auto" w:sz="4" w:space="0"/>
              <w:right w:val="single" w:color="auto" w:sz="4" w:space="0"/>
            </w:tcBorders>
            <w:vAlign w:val="center"/>
          </w:tcPr>
          <w:p w14:paraId="3A3E2A3D">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7DE72D1D">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3583.32</w:t>
            </w:r>
          </w:p>
        </w:tc>
        <w:tc>
          <w:tcPr>
            <w:tcW w:w="900" w:type="dxa"/>
            <w:tcBorders>
              <w:top w:val="nil"/>
              <w:left w:val="nil"/>
              <w:bottom w:val="single" w:color="auto" w:sz="4" w:space="0"/>
              <w:right w:val="single" w:color="auto" w:sz="4" w:space="0"/>
            </w:tcBorders>
            <w:noWrap/>
            <w:vAlign w:val="center"/>
          </w:tcPr>
          <w:p w14:paraId="28BAB244">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1D559094">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1" w:type="dxa"/>
            <w:tcBorders>
              <w:top w:val="nil"/>
              <w:left w:val="nil"/>
              <w:bottom w:val="single" w:color="auto" w:sz="4" w:space="0"/>
              <w:right w:val="single" w:color="auto" w:sz="4" w:space="0"/>
            </w:tcBorders>
            <w:noWrap/>
            <w:vAlign w:val="center"/>
          </w:tcPr>
          <w:p w14:paraId="7698483E">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5D621785">
        <w:tblPrEx>
          <w:tblCellMar>
            <w:top w:w="0" w:type="dxa"/>
            <w:left w:w="108" w:type="dxa"/>
            <w:bottom w:w="0" w:type="dxa"/>
            <w:right w:w="108" w:type="dxa"/>
          </w:tblCellMar>
        </w:tblPrEx>
        <w:trPr>
          <w:trHeight w:val="1680" w:hRule="atLeast"/>
        </w:trPr>
        <w:tc>
          <w:tcPr>
            <w:tcW w:w="406" w:type="dxa"/>
            <w:tcBorders>
              <w:top w:val="nil"/>
              <w:left w:val="single" w:color="auto" w:sz="4" w:space="0"/>
              <w:bottom w:val="single" w:color="auto" w:sz="4" w:space="0"/>
              <w:right w:val="single" w:color="auto" w:sz="4" w:space="0"/>
            </w:tcBorders>
            <w:vAlign w:val="center"/>
          </w:tcPr>
          <w:p w14:paraId="0160F911">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13</w:t>
            </w:r>
          </w:p>
        </w:tc>
        <w:tc>
          <w:tcPr>
            <w:tcW w:w="4320" w:type="dxa"/>
            <w:tcBorders>
              <w:top w:val="nil"/>
              <w:left w:val="nil"/>
              <w:bottom w:val="single" w:color="auto" w:sz="4" w:space="0"/>
              <w:right w:val="single" w:color="auto" w:sz="4" w:space="0"/>
            </w:tcBorders>
            <w:vAlign w:val="center"/>
          </w:tcPr>
          <w:p w14:paraId="003FAFEF">
            <w:pPr>
              <w:widowControl/>
              <w:spacing w:line="36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挖沟槽土方</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1.土壤类别:综合考虑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2.挖土深度:综合考虑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3.开挖方式:综合考虑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4.工作内容：土方开挖、基层清理、装车外运、弃土场平整等</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5.运距：3km</w:t>
            </w:r>
          </w:p>
        </w:tc>
        <w:tc>
          <w:tcPr>
            <w:tcW w:w="548" w:type="dxa"/>
            <w:tcBorders>
              <w:top w:val="nil"/>
              <w:left w:val="nil"/>
              <w:bottom w:val="single" w:color="auto" w:sz="4" w:space="0"/>
              <w:right w:val="single" w:color="auto" w:sz="4" w:space="0"/>
            </w:tcBorders>
            <w:vAlign w:val="center"/>
          </w:tcPr>
          <w:p w14:paraId="264D247E">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787DAB61">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2291.35</w:t>
            </w:r>
          </w:p>
        </w:tc>
        <w:tc>
          <w:tcPr>
            <w:tcW w:w="900" w:type="dxa"/>
            <w:tcBorders>
              <w:top w:val="nil"/>
              <w:left w:val="nil"/>
              <w:bottom w:val="single" w:color="auto" w:sz="4" w:space="0"/>
              <w:right w:val="single" w:color="auto" w:sz="4" w:space="0"/>
            </w:tcBorders>
            <w:noWrap/>
            <w:vAlign w:val="center"/>
          </w:tcPr>
          <w:p w14:paraId="0824A61F">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0105ACBC">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1" w:type="dxa"/>
            <w:tcBorders>
              <w:top w:val="nil"/>
              <w:left w:val="nil"/>
              <w:bottom w:val="single" w:color="auto" w:sz="4" w:space="0"/>
              <w:right w:val="single" w:color="auto" w:sz="4" w:space="0"/>
            </w:tcBorders>
            <w:noWrap/>
            <w:vAlign w:val="center"/>
          </w:tcPr>
          <w:p w14:paraId="51C067FC">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5CDC3F15">
        <w:tblPrEx>
          <w:tblCellMar>
            <w:top w:w="0" w:type="dxa"/>
            <w:left w:w="108" w:type="dxa"/>
            <w:bottom w:w="0" w:type="dxa"/>
            <w:right w:w="108" w:type="dxa"/>
          </w:tblCellMar>
        </w:tblPrEx>
        <w:trPr>
          <w:trHeight w:val="1200" w:hRule="atLeast"/>
        </w:trPr>
        <w:tc>
          <w:tcPr>
            <w:tcW w:w="406" w:type="dxa"/>
            <w:tcBorders>
              <w:top w:val="nil"/>
              <w:left w:val="single" w:color="auto" w:sz="4" w:space="0"/>
              <w:bottom w:val="single" w:color="auto" w:sz="4" w:space="0"/>
              <w:right w:val="single" w:color="auto" w:sz="4" w:space="0"/>
            </w:tcBorders>
            <w:vAlign w:val="center"/>
          </w:tcPr>
          <w:p w14:paraId="172D40FB">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14</w:t>
            </w:r>
          </w:p>
        </w:tc>
        <w:tc>
          <w:tcPr>
            <w:tcW w:w="4320" w:type="dxa"/>
            <w:tcBorders>
              <w:top w:val="nil"/>
              <w:left w:val="nil"/>
              <w:bottom w:val="single" w:color="auto" w:sz="4" w:space="0"/>
              <w:right w:val="single" w:color="auto" w:sz="4" w:space="0"/>
            </w:tcBorders>
            <w:vAlign w:val="center"/>
          </w:tcPr>
          <w:p w14:paraId="3E2293BB">
            <w:pPr>
              <w:widowControl/>
              <w:spacing w:line="36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拆除混凝土结构</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1.拆除方式：综合考虑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2.工作内容：拆除现状涵洞，废渣归堆、装车外运等，运距综合考虑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3.工程量按实际拆除混凝土体积计算</w:t>
            </w:r>
          </w:p>
        </w:tc>
        <w:tc>
          <w:tcPr>
            <w:tcW w:w="548" w:type="dxa"/>
            <w:tcBorders>
              <w:top w:val="nil"/>
              <w:left w:val="nil"/>
              <w:bottom w:val="single" w:color="auto" w:sz="4" w:space="0"/>
              <w:right w:val="single" w:color="auto" w:sz="4" w:space="0"/>
            </w:tcBorders>
            <w:vAlign w:val="center"/>
          </w:tcPr>
          <w:p w14:paraId="4F8A4FC3">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0822DC16">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110.00</w:t>
            </w:r>
          </w:p>
        </w:tc>
        <w:tc>
          <w:tcPr>
            <w:tcW w:w="900" w:type="dxa"/>
            <w:tcBorders>
              <w:top w:val="nil"/>
              <w:left w:val="nil"/>
              <w:bottom w:val="single" w:color="auto" w:sz="4" w:space="0"/>
              <w:right w:val="single" w:color="auto" w:sz="4" w:space="0"/>
            </w:tcBorders>
            <w:noWrap/>
            <w:vAlign w:val="center"/>
          </w:tcPr>
          <w:p w14:paraId="3C61EF37">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1422E5CD">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1" w:type="dxa"/>
            <w:tcBorders>
              <w:top w:val="nil"/>
              <w:left w:val="nil"/>
              <w:bottom w:val="single" w:color="auto" w:sz="4" w:space="0"/>
              <w:right w:val="single" w:color="auto" w:sz="4" w:space="0"/>
            </w:tcBorders>
            <w:noWrap/>
            <w:vAlign w:val="center"/>
          </w:tcPr>
          <w:p w14:paraId="19D6B4A1">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0C1AA590">
        <w:tblPrEx>
          <w:tblCellMar>
            <w:top w:w="0" w:type="dxa"/>
            <w:left w:w="108" w:type="dxa"/>
            <w:bottom w:w="0" w:type="dxa"/>
            <w:right w:w="108" w:type="dxa"/>
          </w:tblCellMar>
        </w:tblPrEx>
        <w:trPr>
          <w:trHeight w:val="960" w:hRule="atLeast"/>
        </w:trPr>
        <w:tc>
          <w:tcPr>
            <w:tcW w:w="406" w:type="dxa"/>
            <w:tcBorders>
              <w:top w:val="nil"/>
              <w:left w:val="single" w:color="auto" w:sz="4" w:space="0"/>
              <w:bottom w:val="single" w:color="auto" w:sz="4" w:space="0"/>
              <w:right w:val="single" w:color="auto" w:sz="4" w:space="0"/>
            </w:tcBorders>
            <w:vAlign w:val="center"/>
          </w:tcPr>
          <w:p w14:paraId="086CE41F">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15</w:t>
            </w:r>
          </w:p>
        </w:tc>
        <w:tc>
          <w:tcPr>
            <w:tcW w:w="4320" w:type="dxa"/>
            <w:tcBorders>
              <w:top w:val="nil"/>
              <w:left w:val="nil"/>
              <w:bottom w:val="single" w:color="auto" w:sz="4" w:space="0"/>
              <w:right w:val="single" w:color="auto" w:sz="4" w:space="0"/>
            </w:tcBorders>
            <w:vAlign w:val="center"/>
          </w:tcPr>
          <w:p w14:paraId="5478246B">
            <w:pPr>
              <w:widowControl/>
              <w:spacing w:line="36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填方</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1.填方材料品种：级配砂石</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2.密实度：满足设计及规范要求</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3.部位：箱涵台背</w:t>
            </w:r>
          </w:p>
        </w:tc>
        <w:tc>
          <w:tcPr>
            <w:tcW w:w="548" w:type="dxa"/>
            <w:tcBorders>
              <w:top w:val="nil"/>
              <w:left w:val="nil"/>
              <w:bottom w:val="single" w:color="auto" w:sz="4" w:space="0"/>
              <w:right w:val="single" w:color="auto" w:sz="4" w:space="0"/>
            </w:tcBorders>
            <w:vAlign w:val="center"/>
          </w:tcPr>
          <w:p w14:paraId="201A0EB0">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22B24C68">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262.31</w:t>
            </w:r>
          </w:p>
        </w:tc>
        <w:tc>
          <w:tcPr>
            <w:tcW w:w="900" w:type="dxa"/>
            <w:tcBorders>
              <w:top w:val="nil"/>
              <w:left w:val="nil"/>
              <w:bottom w:val="single" w:color="auto" w:sz="4" w:space="0"/>
              <w:right w:val="single" w:color="auto" w:sz="4" w:space="0"/>
            </w:tcBorders>
            <w:noWrap/>
            <w:vAlign w:val="center"/>
          </w:tcPr>
          <w:p w14:paraId="2D29FCC9">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3ED37E0A">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1" w:type="dxa"/>
            <w:tcBorders>
              <w:top w:val="nil"/>
              <w:left w:val="nil"/>
              <w:bottom w:val="single" w:color="auto" w:sz="4" w:space="0"/>
              <w:right w:val="single" w:color="auto" w:sz="4" w:space="0"/>
            </w:tcBorders>
            <w:noWrap/>
            <w:vAlign w:val="center"/>
          </w:tcPr>
          <w:p w14:paraId="5297295D">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1FE0F984">
        <w:tblPrEx>
          <w:tblCellMar>
            <w:top w:w="0" w:type="dxa"/>
            <w:left w:w="108" w:type="dxa"/>
            <w:bottom w:w="0" w:type="dxa"/>
            <w:right w:w="108" w:type="dxa"/>
          </w:tblCellMar>
        </w:tblPrEx>
        <w:trPr>
          <w:trHeight w:val="1200" w:hRule="atLeast"/>
        </w:trPr>
        <w:tc>
          <w:tcPr>
            <w:tcW w:w="406" w:type="dxa"/>
            <w:tcBorders>
              <w:top w:val="nil"/>
              <w:left w:val="single" w:color="auto" w:sz="4" w:space="0"/>
              <w:bottom w:val="single" w:color="auto" w:sz="4" w:space="0"/>
              <w:right w:val="single" w:color="auto" w:sz="4" w:space="0"/>
            </w:tcBorders>
            <w:vAlign w:val="center"/>
          </w:tcPr>
          <w:p w14:paraId="754E3171">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16</w:t>
            </w:r>
          </w:p>
        </w:tc>
        <w:tc>
          <w:tcPr>
            <w:tcW w:w="4320" w:type="dxa"/>
            <w:tcBorders>
              <w:top w:val="nil"/>
              <w:left w:val="nil"/>
              <w:bottom w:val="single" w:color="auto" w:sz="4" w:space="0"/>
              <w:right w:val="single" w:color="auto" w:sz="4" w:space="0"/>
            </w:tcBorders>
            <w:vAlign w:val="center"/>
          </w:tcPr>
          <w:p w14:paraId="53CBBBBA">
            <w:pPr>
              <w:widowControl/>
              <w:spacing w:line="36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拆除砖石结构</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1.拆除方式：综合考虑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2.工作内容：拆除现状挡墙，废渣归堆，装车外运等，运距综合考虑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3.工程量按实际拆除砌体体积计算</w:t>
            </w:r>
          </w:p>
        </w:tc>
        <w:tc>
          <w:tcPr>
            <w:tcW w:w="548" w:type="dxa"/>
            <w:tcBorders>
              <w:top w:val="nil"/>
              <w:left w:val="nil"/>
              <w:bottom w:val="single" w:color="auto" w:sz="4" w:space="0"/>
              <w:right w:val="single" w:color="auto" w:sz="4" w:space="0"/>
            </w:tcBorders>
            <w:vAlign w:val="center"/>
          </w:tcPr>
          <w:p w14:paraId="49EDBC31">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405973AD">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1047.09</w:t>
            </w:r>
          </w:p>
        </w:tc>
        <w:tc>
          <w:tcPr>
            <w:tcW w:w="900" w:type="dxa"/>
            <w:tcBorders>
              <w:top w:val="nil"/>
              <w:left w:val="nil"/>
              <w:bottom w:val="single" w:color="auto" w:sz="4" w:space="0"/>
              <w:right w:val="single" w:color="auto" w:sz="4" w:space="0"/>
            </w:tcBorders>
            <w:noWrap/>
            <w:vAlign w:val="center"/>
          </w:tcPr>
          <w:p w14:paraId="42B77F73">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14A1432F">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1" w:type="dxa"/>
            <w:tcBorders>
              <w:top w:val="nil"/>
              <w:left w:val="nil"/>
              <w:bottom w:val="single" w:color="auto" w:sz="4" w:space="0"/>
              <w:right w:val="single" w:color="auto" w:sz="4" w:space="0"/>
            </w:tcBorders>
            <w:noWrap/>
            <w:vAlign w:val="center"/>
          </w:tcPr>
          <w:p w14:paraId="099B24D7">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02998383">
        <w:tblPrEx>
          <w:tblCellMar>
            <w:top w:w="0" w:type="dxa"/>
            <w:left w:w="108" w:type="dxa"/>
            <w:bottom w:w="0" w:type="dxa"/>
            <w:right w:w="108" w:type="dxa"/>
          </w:tblCellMar>
        </w:tblPrEx>
        <w:trPr>
          <w:trHeight w:val="1200" w:hRule="atLeast"/>
        </w:trPr>
        <w:tc>
          <w:tcPr>
            <w:tcW w:w="406" w:type="dxa"/>
            <w:tcBorders>
              <w:top w:val="nil"/>
              <w:left w:val="single" w:color="auto" w:sz="4" w:space="0"/>
              <w:bottom w:val="single" w:color="auto" w:sz="4" w:space="0"/>
              <w:right w:val="single" w:color="auto" w:sz="4" w:space="0"/>
            </w:tcBorders>
            <w:vAlign w:val="center"/>
          </w:tcPr>
          <w:p w14:paraId="14D0F347">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17</w:t>
            </w:r>
          </w:p>
        </w:tc>
        <w:tc>
          <w:tcPr>
            <w:tcW w:w="4320" w:type="dxa"/>
            <w:tcBorders>
              <w:top w:val="nil"/>
              <w:left w:val="nil"/>
              <w:bottom w:val="single" w:color="auto" w:sz="4" w:space="0"/>
              <w:right w:val="single" w:color="auto" w:sz="4" w:space="0"/>
            </w:tcBorders>
            <w:vAlign w:val="center"/>
          </w:tcPr>
          <w:p w14:paraId="2F11B8B8">
            <w:pPr>
              <w:widowControl/>
              <w:spacing w:line="36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挖淤泥</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1.开挖深度：综合考虑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2.开挖方式：综合考虑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3.工作内容：河道清淤、垃圾归堆、装车外运，运距3km</w:t>
            </w:r>
          </w:p>
        </w:tc>
        <w:tc>
          <w:tcPr>
            <w:tcW w:w="548" w:type="dxa"/>
            <w:tcBorders>
              <w:top w:val="nil"/>
              <w:left w:val="nil"/>
              <w:bottom w:val="single" w:color="auto" w:sz="4" w:space="0"/>
              <w:right w:val="single" w:color="auto" w:sz="4" w:space="0"/>
            </w:tcBorders>
            <w:vAlign w:val="center"/>
          </w:tcPr>
          <w:p w14:paraId="55E84116">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4A15C574">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1650.00</w:t>
            </w:r>
          </w:p>
        </w:tc>
        <w:tc>
          <w:tcPr>
            <w:tcW w:w="900" w:type="dxa"/>
            <w:tcBorders>
              <w:top w:val="nil"/>
              <w:left w:val="nil"/>
              <w:bottom w:val="single" w:color="auto" w:sz="4" w:space="0"/>
              <w:right w:val="single" w:color="auto" w:sz="4" w:space="0"/>
            </w:tcBorders>
            <w:noWrap/>
            <w:vAlign w:val="center"/>
          </w:tcPr>
          <w:p w14:paraId="4044D286">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2B4D4149">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1" w:type="dxa"/>
            <w:tcBorders>
              <w:top w:val="nil"/>
              <w:left w:val="nil"/>
              <w:bottom w:val="single" w:color="auto" w:sz="4" w:space="0"/>
              <w:right w:val="single" w:color="auto" w:sz="4" w:space="0"/>
            </w:tcBorders>
            <w:noWrap/>
            <w:vAlign w:val="center"/>
          </w:tcPr>
          <w:p w14:paraId="4DCE68DB">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4E53F296">
        <w:tblPrEx>
          <w:tblCellMar>
            <w:top w:w="0" w:type="dxa"/>
            <w:left w:w="108" w:type="dxa"/>
            <w:bottom w:w="0" w:type="dxa"/>
            <w:right w:w="108" w:type="dxa"/>
          </w:tblCellMar>
        </w:tblPrEx>
        <w:trPr>
          <w:trHeight w:val="1200" w:hRule="atLeast"/>
        </w:trPr>
        <w:tc>
          <w:tcPr>
            <w:tcW w:w="406" w:type="dxa"/>
            <w:tcBorders>
              <w:top w:val="nil"/>
              <w:left w:val="single" w:color="auto" w:sz="4" w:space="0"/>
              <w:bottom w:val="single" w:color="auto" w:sz="4" w:space="0"/>
              <w:right w:val="single" w:color="auto" w:sz="4" w:space="0"/>
            </w:tcBorders>
            <w:vAlign w:val="center"/>
          </w:tcPr>
          <w:p w14:paraId="5656E5EC">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18</w:t>
            </w:r>
          </w:p>
        </w:tc>
        <w:tc>
          <w:tcPr>
            <w:tcW w:w="4320" w:type="dxa"/>
            <w:tcBorders>
              <w:top w:val="nil"/>
              <w:left w:val="nil"/>
              <w:bottom w:val="single" w:color="auto" w:sz="4" w:space="0"/>
              <w:right w:val="single" w:color="auto" w:sz="4" w:space="0"/>
            </w:tcBorders>
            <w:vAlign w:val="center"/>
          </w:tcPr>
          <w:p w14:paraId="5EBF6474">
            <w:pPr>
              <w:widowControl/>
              <w:spacing w:line="36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挖一般土方（弃土外运）</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1.土壤类别：综合考虑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2.开挖方式：综合考虑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3.工作内容：挖土、装车、余土外运、弃土场地平整等，运距3km</w:t>
            </w:r>
          </w:p>
        </w:tc>
        <w:tc>
          <w:tcPr>
            <w:tcW w:w="548" w:type="dxa"/>
            <w:tcBorders>
              <w:top w:val="nil"/>
              <w:left w:val="nil"/>
              <w:bottom w:val="single" w:color="auto" w:sz="4" w:space="0"/>
              <w:right w:val="single" w:color="auto" w:sz="4" w:space="0"/>
            </w:tcBorders>
            <w:vAlign w:val="center"/>
          </w:tcPr>
          <w:p w14:paraId="6F7D9F30">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4150E79A">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4672.38</w:t>
            </w:r>
          </w:p>
        </w:tc>
        <w:tc>
          <w:tcPr>
            <w:tcW w:w="900" w:type="dxa"/>
            <w:tcBorders>
              <w:top w:val="nil"/>
              <w:left w:val="nil"/>
              <w:bottom w:val="single" w:color="auto" w:sz="4" w:space="0"/>
              <w:right w:val="single" w:color="auto" w:sz="4" w:space="0"/>
            </w:tcBorders>
            <w:noWrap/>
            <w:vAlign w:val="center"/>
          </w:tcPr>
          <w:p w14:paraId="57D1DFD4">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29849C89">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1" w:type="dxa"/>
            <w:tcBorders>
              <w:top w:val="nil"/>
              <w:left w:val="nil"/>
              <w:bottom w:val="single" w:color="auto" w:sz="4" w:space="0"/>
              <w:right w:val="single" w:color="auto" w:sz="4" w:space="0"/>
            </w:tcBorders>
            <w:noWrap/>
            <w:vAlign w:val="center"/>
          </w:tcPr>
          <w:p w14:paraId="5F760969">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7FBD491D">
        <w:tblPrEx>
          <w:tblCellMar>
            <w:top w:w="0" w:type="dxa"/>
            <w:left w:w="108" w:type="dxa"/>
            <w:bottom w:w="0" w:type="dxa"/>
            <w:right w:w="108" w:type="dxa"/>
          </w:tblCellMar>
        </w:tblPrEx>
        <w:trPr>
          <w:trHeight w:val="720" w:hRule="atLeast"/>
        </w:trPr>
        <w:tc>
          <w:tcPr>
            <w:tcW w:w="406" w:type="dxa"/>
            <w:tcBorders>
              <w:top w:val="nil"/>
              <w:left w:val="single" w:color="auto" w:sz="4" w:space="0"/>
              <w:bottom w:val="single" w:color="auto" w:sz="4" w:space="0"/>
              <w:right w:val="single" w:color="auto" w:sz="4" w:space="0"/>
            </w:tcBorders>
            <w:vAlign w:val="center"/>
          </w:tcPr>
          <w:p w14:paraId="058E3E7C">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19</w:t>
            </w:r>
          </w:p>
        </w:tc>
        <w:tc>
          <w:tcPr>
            <w:tcW w:w="4320" w:type="dxa"/>
            <w:tcBorders>
              <w:top w:val="nil"/>
              <w:left w:val="nil"/>
              <w:bottom w:val="single" w:color="auto" w:sz="4" w:space="0"/>
              <w:right w:val="single" w:color="auto" w:sz="4" w:space="0"/>
            </w:tcBorders>
            <w:vAlign w:val="center"/>
          </w:tcPr>
          <w:p w14:paraId="3CFFD44B">
            <w:pPr>
              <w:widowControl/>
              <w:spacing w:line="36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换填碎石</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1.工作内容：回填碎石，压实系数满足设计及规范要求</w:t>
            </w:r>
          </w:p>
        </w:tc>
        <w:tc>
          <w:tcPr>
            <w:tcW w:w="548" w:type="dxa"/>
            <w:tcBorders>
              <w:top w:val="nil"/>
              <w:left w:val="nil"/>
              <w:bottom w:val="single" w:color="auto" w:sz="4" w:space="0"/>
              <w:right w:val="single" w:color="auto" w:sz="4" w:space="0"/>
            </w:tcBorders>
            <w:vAlign w:val="center"/>
          </w:tcPr>
          <w:p w14:paraId="3D801265">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754E7BAA">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1552.00</w:t>
            </w:r>
          </w:p>
        </w:tc>
        <w:tc>
          <w:tcPr>
            <w:tcW w:w="900" w:type="dxa"/>
            <w:tcBorders>
              <w:top w:val="nil"/>
              <w:left w:val="nil"/>
              <w:bottom w:val="single" w:color="auto" w:sz="4" w:space="0"/>
              <w:right w:val="single" w:color="auto" w:sz="4" w:space="0"/>
            </w:tcBorders>
            <w:noWrap/>
            <w:vAlign w:val="center"/>
          </w:tcPr>
          <w:p w14:paraId="5EEB13D4">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7B649B95">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1" w:type="dxa"/>
            <w:tcBorders>
              <w:top w:val="nil"/>
              <w:left w:val="nil"/>
              <w:bottom w:val="single" w:color="auto" w:sz="4" w:space="0"/>
              <w:right w:val="single" w:color="auto" w:sz="4" w:space="0"/>
            </w:tcBorders>
            <w:noWrap/>
            <w:vAlign w:val="center"/>
          </w:tcPr>
          <w:p w14:paraId="5DB18EB9">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4409A344">
        <w:tblPrEx>
          <w:tblCellMar>
            <w:top w:w="0" w:type="dxa"/>
            <w:left w:w="108" w:type="dxa"/>
            <w:bottom w:w="0" w:type="dxa"/>
            <w:right w:w="108" w:type="dxa"/>
          </w:tblCellMar>
        </w:tblPrEx>
        <w:trPr>
          <w:trHeight w:val="960" w:hRule="atLeast"/>
        </w:trPr>
        <w:tc>
          <w:tcPr>
            <w:tcW w:w="406" w:type="dxa"/>
            <w:tcBorders>
              <w:top w:val="nil"/>
              <w:left w:val="single" w:color="auto" w:sz="4" w:space="0"/>
              <w:bottom w:val="single" w:color="auto" w:sz="4" w:space="0"/>
              <w:right w:val="single" w:color="auto" w:sz="4" w:space="0"/>
            </w:tcBorders>
            <w:vAlign w:val="center"/>
          </w:tcPr>
          <w:p w14:paraId="1BAACBAF">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20</w:t>
            </w:r>
          </w:p>
        </w:tc>
        <w:tc>
          <w:tcPr>
            <w:tcW w:w="4320" w:type="dxa"/>
            <w:tcBorders>
              <w:top w:val="nil"/>
              <w:left w:val="nil"/>
              <w:bottom w:val="single" w:color="auto" w:sz="4" w:space="0"/>
              <w:right w:val="single" w:color="auto" w:sz="4" w:space="0"/>
            </w:tcBorders>
            <w:vAlign w:val="center"/>
          </w:tcPr>
          <w:p w14:paraId="0254ACA7">
            <w:pPr>
              <w:widowControl/>
              <w:spacing w:line="36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填方</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1.填方材料品种：砂性土</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2.密实度：满足设计及规范要求</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3.部位：挡土墙后</w:t>
            </w:r>
          </w:p>
        </w:tc>
        <w:tc>
          <w:tcPr>
            <w:tcW w:w="548" w:type="dxa"/>
            <w:tcBorders>
              <w:top w:val="nil"/>
              <w:left w:val="nil"/>
              <w:bottom w:val="single" w:color="auto" w:sz="4" w:space="0"/>
              <w:right w:val="single" w:color="auto" w:sz="4" w:space="0"/>
            </w:tcBorders>
            <w:vAlign w:val="center"/>
          </w:tcPr>
          <w:p w14:paraId="05703F5D">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3E3B8B35">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4767.69</w:t>
            </w:r>
          </w:p>
        </w:tc>
        <w:tc>
          <w:tcPr>
            <w:tcW w:w="900" w:type="dxa"/>
            <w:tcBorders>
              <w:top w:val="nil"/>
              <w:left w:val="nil"/>
              <w:bottom w:val="single" w:color="auto" w:sz="4" w:space="0"/>
              <w:right w:val="single" w:color="auto" w:sz="4" w:space="0"/>
            </w:tcBorders>
            <w:noWrap/>
            <w:vAlign w:val="center"/>
          </w:tcPr>
          <w:p w14:paraId="0D585879">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1146D78D">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1" w:type="dxa"/>
            <w:tcBorders>
              <w:top w:val="nil"/>
              <w:left w:val="nil"/>
              <w:bottom w:val="single" w:color="auto" w:sz="4" w:space="0"/>
              <w:right w:val="single" w:color="auto" w:sz="4" w:space="0"/>
            </w:tcBorders>
            <w:noWrap/>
            <w:vAlign w:val="center"/>
          </w:tcPr>
          <w:p w14:paraId="65C7FB89">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14F04416">
        <w:tblPrEx>
          <w:tblCellMar>
            <w:top w:w="0" w:type="dxa"/>
            <w:left w:w="108" w:type="dxa"/>
            <w:bottom w:w="0" w:type="dxa"/>
            <w:right w:w="108" w:type="dxa"/>
          </w:tblCellMar>
        </w:tblPrEx>
        <w:trPr>
          <w:trHeight w:val="1200" w:hRule="atLeast"/>
        </w:trPr>
        <w:tc>
          <w:tcPr>
            <w:tcW w:w="406" w:type="dxa"/>
            <w:tcBorders>
              <w:top w:val="nil"/>
              <w:left w:val="single" w:color="auto" w:sz="4" w:space="0"/>
              <w:bottom w:val="single" w:color="auto" w:sz="4" w:space="0"/>
              <w:right w:val="single" w:color="auto" w:sz="4" w:space="0"/>
            </w:tcBorders>
            <w:vAlign w:val="center"/>
          </w:tcPr>
          <w:p w14:paraId="40C94224">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21</w:t>
            </w:r>
          </w:p>
        </w:tc>
        <w:tc>
          <w:tcPr>
            <w:tcW w:w="4320" w:type="dxa"/>
            <w:tcBorders>
              <w:top w:val="nil"/>
              <w:left w:val="nil"/>
              <w:bottom w:val="single" w:color="auto" w:sz="4" w:space="0"/>
              <w:right w:val="single" w:color="auto" w:sz="4" w:space="0"/>
            </w:tcBorders>
            <w:vAlign w:val="center"/>
          </w:tcPr>
          <w:p w14:paraId="03FB4223">
            <w:pPr>
              <w:widowControl/>
              <w:spacing w:line="36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回填风化料</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1.部位：桥面人行道下</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2.填方材料品种：风化料</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3.密实度:满足设计图纸及规范要求</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4.工作内容：回填、碾压、平整等</w:t>
            </w:r>
          </w:p>
        </w:tc>
        <w:tc>
          <w:tcPr>
            <w:tcW w:w="548" w:type="dxa"/>
            <w:tcBorders>
              <w:top w:val="nil"/>
              <w:left w:val="nil"/>
              <w:bottom w:val="single" w:color="auto" w:sz="4" w:space="0"/>
              <w:right w:val="single" w:color="auto" w:sz="4" w:space="0"/>
            </w:tcBorders>
            <w:vAlign w:val="center"/>
          </w:tcPr>
          <w:p w14:paraId="5924F122">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79439CEF">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11.66</w:t>
            </w:r>
          </w:p>
        </w:tc>
        <w:tc>
          <w:tcPr>
            <w:tcW w:w="900" w:type="dxa"/>
            <w:tcBorders>
              <w:top w:val="nil"/>
              <w:left w:val="nil"/>
              <w:bottom w:val="single" w:color="auto" w:sz="4" w:space="0"/>
              <w:right w:val="single" w:color="auto" w:sz="4" w:space="0"/>
            </w:tcBorders>
            <w:noWrap/>
            <w:vAlign w:val="center"/>
          </w:tcPr>
          <w:p w14:paraId="31E87922">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3E7BCE04">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1" w:type="dxa"/>
            <w:tcBorders>
              <w:top w:val="nil"/>
              <w:left w:val="nil"/>
              <w:bottom w:val="single" w:color="auto" w:sz="4" w:space="0"/>
              <w:right w:val="single" w:color="auto" w:sz="4" w:space="0"/>
            </w:tcBorders>
            <w:noWrap/>
            <w:vAlign w:val="center"/>
          </w:tcPr>
          <w:p w14:paraId="2E9B3FED">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729BCEDE">
        <w:tblPrEx>
          <w:tblCellMar>
            <w:top w:w="0" w:type="dxa"/>
            <w:left w:w="108" w:type="dxa"/>
            <w:bottom w:w="0" w:type="dxa"/>
            <w:right w:w="108" w:type="dxa"/>
          </w:tblCellMar>
        </w:tblPrEx>
        <w:trPr>
          <w:trHeight w:val="960" w:hRule="atLeast"/>
        </w:trPr>
        <w:tc>
          <w:tcPr>
            <w:tcW w:w="406" w:type="dxa"/>
            <w:tcBorders>
              <w:top w:val="nil"/>
              <w:left w:val="single" w:color="auto" w:sz="4" w:space="0"/>
              <w:bottom w:val="single" w:color="auto" w:sz="4" w:space="0"/>
              <w:right w:val="single" w:color="auto" w:sz="4" w:space="0"/>
            </w:tcBorders>
            <w:vAlign w:val="center"/>
          </w:tcPr>
          <w:p w14:paraId="6070C36D">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22</w:t>
            </w:r>
          </w:p>
        </w:tc>
        <w:tc>
          <w:tcPr>
            <w:tcW w:w="4320" w:type="dxa"/>
            <w:tcBorders>
              <w:top w:val="nil"/>
              <w:left w:val="nil"/>
              <w:bottom w:val="single" w:color="auto" w:sz="4" w:space="0"/>
              <w:right w:val="single" w:color="auto" w:sz="4" w:space="0"/>
            </w:tcBorders>
            <w:vAlign w:val="center"/>
          </w:tcPr>
          <w:p w14:paraId="610618B8">
            <w:pPr>
              <w:widowControl/>
              <w:spacing w:line="360" w:lineRule="exact"/>
              <w:jc w:val="lef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挖一般土方（内倒弃方）</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1.土壤类别：综合考虑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2.开挖方式：综合考虑</w:t>
            </w:r>
            <w:r>
              <w:rPr>
                <w:rFonts w:hint="eastAsia" w:ascii="宋体" w:hAnsi="宋体" w:eastAsia="宋体" w:cs="Arial"/>
                <w:color w:val="000000" w:themeColor="text1"/>
                <w:kern w:val="0"/>
                <w:sz w:val="18"/>
                <w:szCs w:val="18"/>
                <w:highlight w:val="none"/>
                <w14:textFill>
                  <w14:solidFill>
                    <w14:schemeClr w14:val="tx1"/>
                  </w14:solidFill>
                </w14:textFill>
              </w:rPr>
              <w:br w:type="textWrapping"/>
            </w:r>
            <w:r>
              <w:rPr>
                <w:rFonts w:hint="eastAsia" w:ascii="宋体" w:hAnsi="宋体" w:eastAsia="宋体" w:cs="Arial"/>
                <w:color w:val="000000" w:themeColor="text1"/>
                <w:kern w:val="0"/>
                <w:sz w:val="18"/>
                <w:szCs w:val="18"/>
                <w:highlight w:val="none"/>
                <w14:textFill>
                  <w14:solidFill>
                    <w14:schemeClr w14:val="tx1"/>
                  </w14:solidFill>
                </w14:textFill>
              </w:rPr>
              <w:t>3.工作内容：挖土、装车、场内运输、卸土等</w:t>
            </w:r>
          </w:p>
        </w:tc>
        <w:tc>
          <w:tcPr>
            <w:tcW w:w="548" w:type="dxa"/>
            <w:tcBorders>
              <w:top w:val="nil"/>
              <w:left w:val="nil"/>
              <w:bottom w:val="single" w:color="auto" w:sz="4" w:space="0"/>
              <w:right w:val="single" w:color="auto" w:sz="4" w:space="0"/>
            </w:tcBorders>
            <w:vAlign w:val="center"/>
          </w:tcPr>
          <w:p w14:paraId="41EF28CE">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m3</w:t>
            </w:r>
          </w:p>
        </w:tc>
        <w:tc>
          <w:tcPr>
            <w:tcW w:w="1026" w:type="dxa"/>
            <w:tcBorders>
              <w:top w:val="nil"/>
              <w:left w:val="nil"/>
              <w:bottom w:val="single" w:color="auto" w:sz="4" w:space="0"/>
              <w:right w:val="single" w:color="auto" w:sz="4" w:space="0"/>
            </w:tcBorders>
            <w:noWrap/>
            <w:vAlign w:val="center"/>
          </w:tcPr>
          <w:p w14:paraId="0EFD3823">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4069.00</w:t>
            </w:r>
          </w:p>
        </w:tc>
        <w:tc>
          <w:tcPr>
            <w:tcW w:w="900" w:type="dxa"/>
            <w:tcBorders>
              <w:top w:val="nil"/>
              <w:left w:val="nil"/>
              <w:bottom w:val="single" w:color="auto" w:sz="4" w:space="0"/>
              <w:right w:val="single" w:color="auto" w:sz="4" w:space="0"/>
            </w:tcBorders>
            <w:noWrap/>
            <w:vAlign w:val="center"/>
          </w:tcPr>
          <w:p w14:paraId="235F4D44">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1A23E62C">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1" w:type="dxa"/>
            <w:tcBorders>
              <w:top w:val="nil"/>
              <w:left w:val="nil"/>
              <w:bottom w:val="single" w:color="auto" w:sz="4" w:space="0"/>
              <w:right w:val="single" w:color="auto" w:sz="4" w:space="0"/>
            </w:tcBorders>
            <w:noWrap/>
            <w:vAlign w:val="center"/>
          </w:tcPr>
          <w:p w14:paraId="6E41EFDC">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7BD1D284">
        <w:tblPrEx>
          <w:tblCellMar>
            <w:top w:w="0" w:type="dxa"/>
            <w:left w:w="108" w:type="dxa"/>
            <w:bottom w:w="0" w:type="dxa"/>
            <w:right w:w="108" w:type="dxa"/>
          </w:tblCellMar>
        </w:tblPrEx>
        <w:trPr>
          <w:trHeight w:val="390" w:hRule="atLeast"/>
        </w:trPr>
        <w:tc>
          <w:tcPr>
            <w:tcW w:w="406" w:type="dxa"/>
            <w:tcBorders>
              <w:top w:val="nil"/>
              <w:left w:val="single" w:color="auto" w:sz="4" w:space="0"/>
              <w:bottom w:val="single" w:color="auto" w:sz="4" w:space="0"/>
              <w:right w:val="single" w:color="auto" w:sz="4" w:space="0"/>
            </w:tcBorders>
            <w:vAlign w:val="center"/>
          </w:tcPr>
          <w:p w14:paraId="5E5C15E7">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一</w:t>
            </w:r>
          </w:p>
        </w:tc>
        <w:tc>
          <w:tcPr>
            <w:tcW w:w="4320" w:type="dxa"/>
            <w:tcBorders>
              <w:top w:val="nil"/>
              <w:left w:val="nil"/>
              <w:bottom w:val="single" w:color="auto" w:sz="4" w:space="0"/>
              <w:right w:val="single" w:color="auto" w:sz="4" w:space="0"/>
            </w:tcBorders>
            <w:vAlign w:val="center"/>
          </w:tcPr>
          <w:p w14:paraId="0DC1377B">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小计</w:t>
            </w:r>
          </w:p>
        </w:tc>
        <w:tc>
          <w:tcPr>
            <w:tcW w:w="548" w:type="dxa"/>
            <w:tcBorders>
              <w:top w:val="nil"/>
              <w:left w:val="nil"/>
              <w:bottom w:val="single" w:color="auto" w:sz="4" w:space="0"/>
              <w:right w:val="single" w:color="auto" w:sz="4" w:space="0"/>
            </w:tcBorders>
            <w:vAlign w:val="center"/>
          </w:tcPr>
          <w:p w14:paraId="487A2720">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元</w:t>
            </w:r>
          </w:p>
        </w:tc>
        <w:tc>
          <w:tcPr>
            <w:tcW w:w="1026" w:type="dxa"/>
            <w:tcBorders>
              <w:top w:val="nil"/>
              <w:left w:val="nil"/>
              <w:bottom w:val="single" w:color="auto" w:sz="4" w:space="0"/>
              <w:right w:val="single" w:color="auto" w:sz="4" w:space="0"/>
            </w:tcBorders>
            <w:noWrap/>
            <w:vAlign w:val="center"/>
          </w:tcPr>
          <w:p w14:paraId="113BCE5F">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00" w:type="dxa"/>
            <w:tcBorders>
              <w:top w:val="nil"/>
              <w:left w:val="nil"/>
              <w:bottom w:val="single" w:color="auto" w:sz="4" w:space="0"/>
              <w:right w:val="single" w:color="auto" w:sz="4" w:space="0"/>
            </w:tcBorders>
            <w:noWrap/>
            <w:vAlign w:val="center"/>
          </w:tcPr>
          <w:p w14:paraId="3E68BA86">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52C8805E">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1" w:type="dxa"/>
            <w:tcBorders>
              <w:top w:val="nil"/>
              <w:left w:val="nil"/>
              <w:bottom w:val="single" w:color="auto" w:sz="4" w:space="0"/>
              <w:right w:val="single" w:color="auto" w:sz="4" w:space="0"/>
            </w:tcBorders>
            <w:noWrap/>
            <w:vAlign w:val="center"/>
          </w:tcPr>
          <w:p w14:paraId="70F1803F">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7C93FB73">
        <w:tblPrEx>
          <w:tblCellMar>
            <w:top w:w="0" w:type="dxa"/>
            <w:left w:w="108" w:type="dxa"/>
            <w:bottom w:w="0" w:type="dxa"/>
            <w:right w:w="108" w:type="dxa"/>
          </w:tblCellMar>
        </w:tblPrEx>
        <w:trPr>
          <w:trHeight w:val="390" w:hRule="atLeast"/>
        </w:trPr>
        <w:tc>
          <w:tcPr>
            <w:tcW w:w="406" w:type="dxa"/>
            <w:tcBorders>
              <w:top w:val="nil"/>
              <w:left w:val="single" w:color="auto" w:sz="4" w:space="0"/>
              <w:bottom w:val="single" w:color="auto" w:sz="4" w:space="0"/>
              <w:right w:val="single" w:color="auto" w:sz="4" w:space="0"/>
            </w:tcBorders>
            <w:vAlign w:val="center"/>
          </w:tcPr>
          <w:p w14:paraId="3B8605DE">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二</w:t>
            </w:r>
          </w:p>
        </w:tc>
        <w:tc>
          <w:tcPr>
            <w:tcW w:w="4320" w:type="dxa"/>
            <w:tcBorders>
              <w:top w:val="nil"/>
              <w:left w:val="nil"/>
              <w:bottom w:val="single" w:color="auto" w:sz="4" w:space="0"/>
              <w:right w:val="single" w:color="auto" w:sz="4" w:space="0"/>
            </w:tcBorders>
            <w:vAlign w:val="center"/>
          </w:tcPr>
          <w:p w14:paraId="1F9BEF7D">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暂列金</w:t>
            </w:r>
          </w:p>
        </w:tc>
        <w:tc>
          <w:tcPr>
            <w:tcW w:w="548" w:type="dxa"/>
            <w:tcBorders>
              <w:top w:val="nil"/>
              <w:left w:val="nil"/>
              <w:bottom w:val="single" w:color="auto" w:sz="4" w:space="0"/>
              <w:right w:val="single" w:color="auto" w:sz="4" w:space="0"/>
            </w:tcBorders>
            <w:vAlign w:val="center"/>
          </w:tcPr>
          <w:p w14:paraId="3C3F6015">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元</w:t>
            </w:r>
          </w:p>
        </w:tc>
        <w:tc>
          <w:tcPr>
            <w:tcW w:w="1026" w:type="dxa"/>
            <w:tcBorders>
              <w:top w:val="nil"/>
              <w:left w:val="nil"/>
              <w:bottom w:val="single" w:color="auto" w:sz="4" w:space="0"/>
              <w:right w:val="single" w:color="auto" w:sz="4" w:space="0"/>
            </w:tcBorders>
            <w:noWrap/>
            <w:vAlign w:val="center"/>
          </w:tcPr>
          <w:p w14:paraId="6655DF04">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00" w:type="dxa"/>
            <w:tcBorders>
              <w:top w:val="nil"/>
              <w:left w:val="nil"/>
              <w:bottom w:val="single" w:color="auto" w:sz="4" w:space="0"/>
              <w:right w:val="single" w:color="auto" w:sz="4" w:space="0"/>
            </w:tcBorders>
            <w:noWrap/>
            <w:vAlign w:val="center"/>
          </w:tcPr>
          <w:p w14:paraId="0759910C">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121E1EC0">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xml:space="preserve">240000.00 </w:t>
            </w:r>
          </w:p>
        </w:tc>
        <w:tc>
          <w:tcPr>
            <w:tcW w:w="971" w:type="dxa"/>
            <w:tcBorders>
              <w:top w:val="nil"/>
              <w:left w:val="nil"/>
              <w:bottom w:val="single" w:color="auto" w:sz="4" w:space="0"/>
              <w:right w:val="single" w:color="auto" w:sz="4" w:space="0"/>
            </w:tcBorders>
            <w:noWrap/>
            <w:vAlign w:val="center"/>
          </w:tcPr>
          <w:p w14:paraId="288E77BB">
            <w:pPr>
              <w:widowControl/>
              <w:spacing w:line="360" w:lineRule="exact"/>
              <w:jc w:val="right"/>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计取税金</w:t>
            </w:r>
          </w:p>
        </w:tc>
      </w:tr>
      <w:tr w14:paraId="4239C3A9">
        <w:tblPrEx>
          <w:tblCellMar>
            <w:top w:w="0" w:type="dxa"/>
            <w:left w:w="108" w:type="dxa"/>
            <w:bottom w:w="0" w:type="dxa"/>
            <w:right w:w="108" w:type="dxa"/>
          </w:tblCellMar>
        </w:tblPrEx>
        <w:trPr>
          <w:trHeight w:val="390" w:hRule="atLeast"/>
        </w:trPr>
        <w:tc>
          <w:tcPr>
            <w:tcW w:w="406" w:type="dxa"/>
            <w:tcBorders>
              <w:top w:val="nil"/>
              <w:left w:val="single" w:color="auto" w:sz="4" w:space="0"/>
              <w:bottom w:val="single" w:color="auto" w:sz="4" w:space="0"/>
              <w:right w:val="single" w:color="auto" w:sz="4" w:space="0"/>
            </w:tcBorders>
            <w:vAlign w:val="center"/>
          </w:tcPr>
          <w:p w14:paraId="542265A9">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三</w:t>
            </w:r>
          </w:p>
        </w:tc>
        <w:tc>
          <w:tcPr>
            <w:tcW w:w="4320" w:type="dxa"/>
            <w:tcBorders>
              <w:top w:val="nil"/>
              <w:left w:val="nil"/>
              <w:bottom w:val="single" w:color="auto" w:sz="4" w:space="0"/>
              <w:right w:val="single" w:color="auto" w:sz="4" w:space="0"/>
            </w:tcBorders>
            <w:noWrap/>
            <w:vAlign w:val="center"/>
          </w:tcPr>
          <w:p w14:paraId="46A2DA0A">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税金</w:t>
            </w:r>
          </w:p>
        </w:tc>
        <w:tc>
          <w:tcPr>
            <w:tcW w:w="548" w:type="dxa"/>
            <w:tcBorders>
              <w:top w:val="nil"/>
              <w:left w:val="nil"/>
              <w:bottom w:val="single" w:color="auto" w:sz="4" w:space="0"/>
              <w:right w:val="single" w:color="auto" w:sz="4" w:space="0"/>
            </w:tcBorders>
            <w:vAlign w:val="center"/>
          </w:tcPr>
          <w:p w14:paraId="70937CB5">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w:t>
            </w:r>
          </w:p>
        </w:tc>
        <w:tc>
          <w:tcPr>
            <w:tcW w:w="1026" w:type="dxa"/>
            <w:tcBorders>
              <w:top w:val="nil"/>
              <w:left w:val="nil"/>
              <w:bottom w:val="single" w:color="auto" w:sz="4" w:space="0"/>
              <w:right w:val="single" w:color="auto" w:sz="4" w:space="0"/>
            </w:tcBorders>
            <w:noWrap/>
            <w:vAlign w:val="center"/>
          </w:tcPr>
          <w:p w14:paraId="65242C1B">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00" w:type="dxa"/>
            <w:tcBorders>
              <w:top w:val="nil"/>
              <w:left w:val="nil"/>
              <w:bottom w:val="single" w:color="auto" w:sz="4" w:space="0"/>
              <w:right w:val="single" w:color="auto" w:sz="4" w:space="0"/>
            </w:tcBorders>
            <w:noWrap/>
            <w:vAlign w:val="center"/>
          </w:tcPr>
          <w:p w14:paraId="37BCE77E">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9</w:t>
            </w:r>
          </w:p>
        </w:tc>
        <w:tc>
          <w:tcPr>
            <w:tcW w:w="1180" w:type="dxa"/>
            <w:tcBorders>
              <w:top w:val="nil"/>
              <w:left w:val="nil"/>
              <w:bottom w:val="single" w:color="auto" w:sz="4" w:space="0"/>
              <w:right w:val="single" w:color="auto" w:sz="4" w:space="0"/>
            </w:tcBorders>
            <w:noWrap/>
            <w:vAlign w:val="center"/>
          </w:tcPr>
          <w:p w14:paraId="6509A4E3">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1" w:type="dxa"/>
            <w:tcBorders>
              <w:top w:val="nil"/>
              <w:left w:val="nil"/>
              <w:bottom w:val="single" w:color="auto" w:sz="4" w:space="0"/>
              <w:right w:val="single" w:color="auto" w:sz="4" w:space="0"/>
            </w:tcBorders>
            <w:noWrap/>
            <w:vAlign w:val="bottom"/>
          </w:tcPr>
          <w:p w14:paraId="3E0789AF">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r w14:paraId="07A112FC">
        <w:tblPrEx>
          <w:tblCellMar>
            <w:top w:w="0" w:type="dxa"/>
            <w:left w:w="108" w:type="dxa"/>
            <w:bottom w:w="0" w:type="dxa"/>
            <w:right w:w="108" w:type="dxa"/>
          </w:tblCellMar>
        </w:tblPrEx>
        <w:trPr>
          <w:trHeight w:val="390" w:hRule="atLeast"/>
        </w:trPr>
        <w:tc>
          <w:tcPr>
            <w:tcW w:w="406" w:type="dxa"/>
            <w:tcBorders>
              <w:top w:val="nil"/>
              <w:left w:val="single" w:color="auto" w:sz="4" w:space="0"/>
              <w:bottom w:val="single" w:color="auto" w:sz="4" w:space="0"/>
              <w:right w:val="single" w:color="auto" w:sz="4" w:space="0"/>
            </w:tcBorders>
            <w:vAlign w:val="center"/>
          </w:tcPr>
          <w:p w14:paraId="3D13F001">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四</w:t>
            </w:r>
          </w:p>
        </w:tc>
        <w:tc>
          <w:tcPr>
            <w:tcW w:w="4320" w:type="dxa"/>
            <w:tcBorders>
              <w:top w:val="nil"/>
              <w:left w:val="nil"/>
              <w:bottom w:val="single" w:color="auto" w:sz="4" w:space="0"/>
              <w:right w:val="single" w:color="auto" w:sz="4" w:space="0"/>
            </w:tcBorders>
            <w:noWrap/>
            <w:vAlign w:val="center"/>
          </w:tcPr>
          <w:p w14:paraId="40EB2663">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合计</w:t>
            </w:r>
          </w:p>
        </w:tc>
        <w:tc>
          <w:tcPr>
            <w:tcW w:w="548" w:type="dxa"/>
            <w:tcBorders>
              <w:top w:val="nil"/>
              <w:left w:val="nil"/>
              <w:bottom w:val="single" w:color="auto" w:sz="4" w:space="0"/>
              <w:right w:val="single" w:color="auto" w:sz="4" w:space="0"/>
            </w:tcBorders>
            <w:noWrap/>
            <w:vAlign w:val="center"/>
          </w:tcPr>
          <w:p w14:paraId="182C7D82">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元</w:t>
            </w:r>
          </w:p>
        </w:tc>
        <w:tc>
          <w:tcPr>
            <w:tcW w:w="1026" w:type="dxa"/>
            <w:tcBorders>
              <w:top w:val="nil"/>
              <w:left w:val="nil"/>
              <w:bottom w:val="single" w:color="auto" w:sz="4" w:space="0"/>
              <w:right w:val="single" w:color="auto" w:sz="4" w:space="0"/>
            </w:tcBorders>
            <w:noWrap/>
            <w:vAlign w:val="center"/>
          </w:tcPr>
          <w:p w14:paraId="7DD79A06">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00" w:type="dxa"/>
            <w:tcBorders>
              <w:top w:val="nil"/>
              <w:left w:val="nil"/>
              <w:bottom w:val="single" w:color="auto" w:sz="4" w:space="0"/>
              <w:right w:val="single" w:color="auto" w:sz="4" w:space="0"/>
            </w:tcBorders>
            <w:noWrap/>
            <w:vAlign w:val="center"/>
          </w:tcPr>
          <w:p w14:paraId="533CC20D">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1180" w:type="dxa"/>
            <w:tcBorders>
              <w:top w:val="nil"/>
              <w:left w:val="nil"/>
              <w:bottom w:val="single" w:color="auto" w:sz="4" w:space="0"/>
              <w:right w:val="single" w:color="auto" w:sz="4" w:space="0"/>
            </w:tcBorders>
            <w:noWrap/>
            <w:vAlign w:val="center"/>
          </w:tcPr>
          <w:p w14:paraId="5CED5FE3">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c>
          <w:tcPr>
            <w:tcW w:w="971" w:type="dxa"/>
            <w:tcBorders>
              <w:top w:val="nil"/>
              <w:left w:val="nil"/>
              <w:bottom w:val="single" w:color="auto" w:sz="4" w:space="0"/>
              <w:right w:val="single" w:color="auto" w:sz="4" w:space="0"/>
            </w:tcBorders>
            <w:noWrap/>
            <w:vAlign w:val="bottom"/>
          </w:tcPr>
          <w:p w14:paraId="19846846">
            <w:pPr>
              <w:widowControl/>
              <w:spacing w:line="360" w:lineRule="exact"/>
              <w:jc w:val="center"/>
              <w:rPr>
                <w:rFonts w:hint="eastAsia" w:ascii="宋体" w:hAnsi="宋体" w:eastAsia="宋体" w:cs="Arial"/>
                <w:color w:val="000000" w:themeColor="text1"/>
                <w:kern w:val="0"/>
                <w:sz w:val="18"/>
                <w:szCs w:val="18"/>
                <w:highlight w:val="none"/>
                <w14:textFill>
                  <w14:solidFill>
                    <w14:schemeClr w14:val="tx1"/>
                  </w14:solidFill>
                </w14:textFill>
              </w:rPr>
            </w:pPr>
            <w:r>
              <w:rPr>
                <w:rFonts w:hint="eastAsia" w:ascii="宋体" w:hAnsi="宋体" w:eastAsia="宋体" w:cs="Arial"/>
                <w:color w:val="000000" w:themeColor="text1"/>
                <w:kern w:val="0"/>
                <w:sz w:val="18"/>
                <w:szCs w:val="18"/>
                <w:highlight w:val="none"/>
                <w14:textFill>
                  <w14:solidFill>
                    <w14:schemeClr w14:val="tx1"/>
                  </w14:solidFill>
                </w14:textFill>
              </w:rPr>
              <w:t>　</w:t>
            </w:r>
          </w:p>
        </w:tc>
      </w:tr>
    </w:tbl>
    <w:p w14:paraId="35850CCE">
      <w:pPr>
        <w:pStyle w:val="66"/>
        <w:rPr>
          <w:rFonts w:hint="eastAsia" w:ascii="宋体" w:hAnsi="宋体" w:eastAsia="宋体"/>
          <w:color w:val="000000" w:themeColor="text1"/>
          <w:highlight w:val="none"/>
          <w14:textFill>
            <w14:solidFill>
              <w14:schemeClr w14:val="tx1"/>
            </w14:solidFill>
          </w14:textFill>
        </w:rPr>
      </w:pPr>
    </w:p>
    <w:p w14:paraId="1996A6B4">
      <w:pPr>
        <w:widowControl/>
        <w:jc w:val="left"/>
        <w:rPr>
          <w:rFonts w:hint="eastAsia" w:ascii="宋体" w:hAnsi="宋体" w:eastAsia="宋体" w:cs="仿宋"/>
          <w:color w:val="000000" w:themeColor="text1"/>
          <w:sz w:val="44"/>
          <w:szCs w:val="44"/>
          <w:highlight w:val="none"/>
          <w14:textFill>
            <w14:solidFill>
              <w14:schemeClr w14:val="tx1"/>
            </w14:solidFill>
          </w14:textFill>
        </w:rPr>
      </w:pPr>
      <w:bookmarkStart w:id="110" w:name="_Toc130651408"/>
      <w:r>
        <w:rPr>
          <w:rFonts w:hint="eastAsia" w:ascii="宋体" w:hAnsi="宋体" w:eastAsia="宋体" w:cs="仿宋"/>
          <w:color w:val="000000" w:themeColor="text1"/>
          <w:sz w:val="44"/>
          <w:szCs w:val="44"/>
          <w:highlight w:val="none"/>
          <w14:textFill>
            <w14:solidFill>
              <w14:schemeClr w14:val="tx1"/>
            </w14:solidFill>
          </w14:textFill>
        </w:rPr>
        <w:br w:type="page"/>
      </w:r>
    </w:p>
    <w:p w14:paraId="27C843C2">
      <w:pPr>
        <w:spacing w:line="480" w:lineRule="exact"/>
        <w:jc w:val="center"/>
        <w:rPr>
          <w:rFonts w:hint="eastAsia" w:ascii="宋体" w:hAnsi="宋体" w:eastAsia="宋体" w:cs="仿宋"/>
          <w:color w:val="000000" w:themeColor="text1"/>
          <w:sz w:val="44"/>
          <w:szCs w:val="44"/>
          <w:highlight w:val="none"/>
          <w14:textFill>
            <w14:solidFill>
              <w14:schemeClr w14:val="tx1"/>
            </w14:solidFill>
          </w14:textFill>
        </w:rPr>
      </w:pPr>
      <w:r>
        <w:rPr>
          <w:rFonts w:hint="eastAsia" w:ascii="宋体" w:hAnsi="宋体" w:eastAsia="宋体" w:cs="仿宋"/>
          <w:color w:val="000000" w:themeColor="text1"/>
          <w:sz w:val="44"/>
          <w:szCs w:val="44"/>
          <w:highlight w:val="none"/>
          <w14:textFill>
            <w14:solidFill>
              <w14:schemeClr w14:val="tx1"/>
            </w14:solidFill>
          </w14:textFill>
        </w:rPr>
        <w:t>投标人资格证明文件</w:t>
      </w:r>
      <w:bookmarkEnd w:id="107"/>
      <w:bookmarkEnd w:id="109"/>
      <w:bookmarkEnd w:id="110"/>
    </w:p>
    <w:p w14:paraId="48DC33CE">
      <w:pPr>
        <w:snapToGrid w:val="0"/>
        <w:spacing w:line="560" w:lineRule="exact"/>
        <w:jc w:val="center"/>
        <w:rPr>
          <w:rFonts w:hint="eastAsia" w:ascii="宋体" w:hAnsi="宋体" w:eastAsia="宋体" w:cs="仿宋"/>
          <w:color w:val="000000" w:themeColor="text1"/>
          <w:sz w:val="30"/>
          <w:szCs w:val="30"/>
          <w:highlight w:val="none"/>
          <w14:textFill>
            <w14:solidFill>
              <w14:schemeClr w14:val="tx1"/>
            </w14:solidFill>
          </w14:textFill>
        </w:rPr>
      </w:pPr>
      <w:r>
        <w:rPr>
          <w:rFonts w:hint="eastAsia" w:ascii="宋体" w:hAnsi="宋体" w:eastAsia="宋体" w:cs="仿宋"/>
          <w:color w:val="000000" w:themeColor="text1"/>
          <w:sz w:val="30"/>
          <w:szCs w:val="30"/>
          <w:highlight w:val="none"/>
          <w14:textFill>
            <w14:solidFill>
              <w14:schemeClr w14:val="tx1"/>
            </w14:solidFill>
          </w14:textFill>
        </w:rPr>
        <w:t>投标人有效的营业执照扫描件</w:t>
      </w:r>
    </w:p>
    <w:p w14:paraId="42BC46DE">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p>
    <w:p w14:paraId="4BF7951B">
      <w:pPr>
        <w:snapToGrid w:val="0"/>
        <w:spacing w:line="560" w:lineRule="exact"/>
        <w:ind w:firstLine="562" w:firstLineChars="201"/>
        <w:jc w:val="center"/>
        <w:rPr>
          <w:rFonts w:hint="eastAsia" w:ascii="宋体" w:hAnsi="宋体" w:eastAsia="宋体" w:cs="仿宋"/>
          <w:color w:val="000000" w:themeColor="text1"/>
          <w:sz w:val="28"/>
          <w:szCs w:val="28"/>
          <w:highlight w:val="none"/>
          <w14:textFill>
            <w14:solidFill>
              <w14:schemeClr w14:val="tx1"/>
            </w14:solidFill>
          </w14:textFill>
        </w:rPr>
      </w:pPr>
    </w:p>
    <w:p w14:paraId="741FFA35">
      <w:pPr>
        <w:snapToGrid w:val="0"/>
        <w:spacing w:line="560" w:lineRule="exact"/>
        <w:ind w:firstLine="562" w:firstLineChars="201"/>
        <w:jc w:val="center"/>
        <w:rPr>
          <w:rFonts w:hint="eastAsia" w:ascii="宋体" w:hAnsi="宋体" w:eastAsia="宋体" w:cs="仿宋"/>
          <w:color w:val="000000" w:themeColor="text1"/>
          <w:sz w:val="28"/>
          <w:szCs w:val="28"/>
          <w:highlight w:val="none"/>
          <w14:textFill>
            <w14:solidFill>
              <w14:schemeClr w14:val="tx1"/>
            </w14:solidFill>
          </w14:textFill>
        </w:rPr>
      </w:pPr>
    </w:p>
    <w:p w14:paraId="09CEB573">
      <w:pPr>
        <w:snapToGrid w:val="0"/>
        <w:spacing w:line="560" w:lineRule="exact"/>
        <w:ind w:firstLine="562" w:firstLineChars="201"/>
        <w:jc w:val="center"/>
        <w:rPr>
          <w:rFonts w:hint="eastAsia" w:ascii="宋体" w:hAnsi="宋体" w:eastAsia="宋体" w:cs="仿宋"/>
          <w:color w:val="000000" w:themeColor="text1"/>
          <w:sz w:val="28"/>
          <w:szCs w:val="28"/>
          <w:highlight w:val="none"/>
          <w14:textFill>
            <w14:solidFill>
              <w14:schemeClr w14:val="tx1"/>
            </w14:solidFill>
          </w14:textFill>
        </w:rPr>
      </w:pPr>
    </w:p>
    <w:p w14:paraId="5A13A95C">
      <w:pPr>
        <w:snapToGrid w:val="0"/>
        <w:spacing w:line="560" w:lineRule="exact"/>
        <w:ind w:firstLine="562" w:firstLineChars="201"/>
        <w:jc w:val="center"/>
        <w:rPr>
          <w:rFonts w:hint="eastAsia" w:ascii="宋体" w:hAnsi="宋体" w:eastAsia="宋体" w:cs="仿宋"/>
          <w:color w:val="000000" w:themeColor="text1"/>
          <w:sz w:val="28"/>
          <w:szCs w:val="28"/>
          <w:highlight w:val="none"/>
          <w14:textFill>
            <w14:solidFill>
              <w14:schemeClr w14:val="tx1"/>
            </w14:solidFill>
          </w14:textFill>
        </w:rPr>
      </w:pPr>
    </w:p>
    <w:p w14:paraId="3F550B2F">
      <w:pPr>
        <w:snapToGrid w:val="0"/>
        <w:spacing w:line="560" w:lineRule="exact"/>
        <w:ind w:firstLine="562" w:firstLineChars="201"/>
        <w:jc w:val="center"/>
        <w:rPr>
          <w:rFonts w:hint="eastAsia" w:ascii="宋体" w:hAnsi="宋体" w:eastAsia="宋体" w:cs="仿宋"/>
          <w:color w:val="000000" w:themeColor="text1"/>
          <w:sz w:val="28"/>
          <w:szCs w:val="28"/>
          <w:highlight w:val="none"/>
          <w14:textFill>
            <w14:solidFill>
              <w14:schemeClr w14:val="tx1"/>
            </w14:solidFill>
          </w14:textFill>
        </w:rPr>
      </w:pPr>
    </w:p>
    <w:p w14:paraId="3C9ADEF8">
      <w:pPr>
        <w:snapToGrid w:val="0"/>
        <w:spacing w:line="560" w:lineRule="exact"/>
        <w:ind w:firstLine="562" w:firstLineChars="201"/>
        <w:jc w:val="center"/>
        <w:rPr>
          <w:rFonts w:hint="eastAsia" w:ascii="宋体" w:hAnsi="宋体" w:eastAsia="宋体" w:cs="仿宋"/>
          <w:color w:val="000000" w:themeColor="text1"/>
          <w:sz w:val="28"/>
          <w:szCs w:val="28"/>
          <w:highlight w:val="none"/>
          <w14:textFill>
            <w14:solidFill>
              <w14:schemeClr w14:val="tx1"/>
            </w14:solidFill>
          </w14:textFill>
        </w:rPr>
      </w:pPr>
    </w:p>
    <w:p w14:paraId="1C68A238">
      <w:pPr>
        <w:snapToGrid w:val="0"/>
        <w:spacing w:line="560" w:lineRule="exact"/>
        <w:ind w:firstLine="562" w:firstLineChars="201"/>
        <w:jc w:val="center"/>
        <w:rPr>
          <w:rFonts w:hint="eastAsia" w:ascii="宋体" w:hAnsi="宋体" w:eastAsia="宋体" w:cs="仿宋"/>
          <w:color w:val="000000" w:themeColor="text1"/>
          <w:sz w:val="28"/>
          <w:szCs w:val="28"/>
          <w:highlight w:val="none"/>
          <w14:textFill>
            <w14:solidFill>
              <w14:schemeClr w14:val="tx1"/>
            </w14:solidFill>
          </w14:textFill>
        </w:rPr>
      </w:pPr>
    </w:p>
    <w:p w14:paraId="7523F4D0">
      <w:pPr>
        <w:snapToGrid w:val="0"/>
        <w:spacing w:line="560" w:lineRule="exact"/>
        <w:ind w:firstLine="562" w:firstLineChars="201"/>
        <w:jc w:val="center"/>
        <w:rPr>
          <w:rFonts w:hint="eastAsia" w:ascii="宋体" w:hAnsi="宋体" w:eastAsia="宋体" w:cs="仿宋"/>
          <w:color w:val="000000" w:themeColor="text1"/>
          <w:sz w:val="28"/>
          <w:szCs w:val="28"/>
          <w:highlight w:val="none"/>
          <w14:textFill>
            <w14:solidFill>
              <w14:schemeClr w14:val="tx1"/>
            </w14:solidFill>
          </w14:textFill>
        </w:rPr>
      </w:pPr>
    </w:p>
    <w:p w14:paraId="7F73D1C9">
      <w:pPr>
        <w:snapToGrid w:val="0"/>
        <w:spacing w:line="560" w:lineRule="exact"/>
        <w:ind w:firstLine="562" w:firstLineChars="201"/>
        <w:jc w:val="center"/>
        <w:rPr>
          <w:rFonts w:hint="eastAsia" w:ascii="宋体" w:hAnsi="宋体" w:eastAsia="宋体" w:cs="仿宋"/>
          <w:color w:val="000000" w:themeColor="text1"/>
          <w:sz w:val="28"/>
          <w:szCs w:val="28"/>
          <w:highlight w:val="none"/>
          <w14:textFill>
            <w14:solidFill>
              <w14:schemeClr w14:val="tx1"/>
            </w14:solidFill>
          </w14:textFill>
        </w:rPr>
      </w:pPr>
    </w:p>
    <w:p w14:paraId="19440089">
      <w:pPr>
        <w:snapToGrid w:val="0"/>
        <w:spacing w:line="560" w:lineRule="exact"/>
        <w:jc w:val="center"/>
        <w:rPr>
          <w:rFonts w:hint="eastAsia" w:ascii="宋体" w:hAnsi="宋体" w:eastAsia="宋体"/>
          <w:color w:val="000000" w:themeColor="text1"/>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投标人（盖章）：</w:t>
      </w:r>
    </w:p>
    <w:p w14:paraId="60D54CA1">
      <w:pPr>
        <w:rPr>
          <w:rFonts w:hint="eastAsia" w:ascii="宋体" w:hAnsi="宋体" w:eastAsia="宋体"/>
          <w:color w:val="000000" w:themeColor="text1"/>
          <w:highlight w:val="none"/>
          <w14:textFill>
            <w14:solidFill>
              <w14:schemeClr w14:val="tx1"/>
            </w14:solidFill>
          </w14:textFill>
        </w:rPr>
      </w:pPr>
    </w:p>
    <w:p w14:paraId="71E9938D">
      <w:pPr>
        <w:rPr>
          <w:rFonts w:hint="eastAsia" w:ascii="宋体" w:hAnsi="宋体" w:eastAsia="宋体"/>
          <w:color w:val="000000" w:themeColor="text1"/>
          <w:highlight w:val="none"/>
          <w14:textFill>
            <w14:solidFill>
              <w14:schemeClr w14:val="tx1"/>
            </w14:solidFill>
          </w14:textFill>
        </w:rPr>
      </w:pPr>
    </w:p>
    <w:p w14:paraId="28CE8AF9">
      <w:pPr>
        <w:rPr>
          <w:rFonts w:hint="eastAsia" w:ascii="宋体" w:hAnsi="宋体" w:eastAsia="宋体"/>
          <w:color w:val="000000" w:themeColor="text1"/>
          <w:highlight w:val="none"/>
          <w14:textFill>
            <w14:solidFill>
              <w14:schemeClr w14:val="tx1"/>
            </w14:solidFill>
          </w14:textFill>
        </w:rPr>
      </w:pPr>
    </w:p>
    <w:p w14:paraId="16B64AF3">
      <w:pPr>
        <w:rPr>
          <w:rFonts w:hint="eastAsia" w:ascii="宋体" w:hAnsi="宋体" w:eastAsia="宋体"/>
          <w:color w:val="000000" w:themeColor="text1"/>
          <w:highlight w:val="none"/>
          <w14:textFill>
            <w14:solidFill>
              <w14:schemeClr w14:val="tx1"/>
            </w14:solidFill>
          </w14:textFill>
        </w:rPr>
      </w:pPr>
    </w:p>
    <w:p w14:paraId="6A66139B">
      <w:pPr>
        <w:rPr>
          <w:rFonts w:hint="eastAsia" w:ascii="宋体" w:hAnsi="宋体" w:eastAsia="宋体"/>
          <w:color w:val="000000" w:themeColor="text1"/>
          <w:highlight w:val="none"/>
          <w14:textFill>
            <w14:solidFill>
              <w14:schemeClr w14:val="tx1"/>
            </w14:solidFill>
          </w14:textFill>
        </w:rPr>
      </w:pPr>
    </w:p>
    <w:p w14:paraId="690B1E83">
      <w:pPr>
        <w:rPr>
          <w:rFonts w:hint="eastAsia" w:ascii="宋体" w:hAnsi="宋体" w:eastAsia="宋体"/>
          <w:color w:val="000000" w:themeColor="text1"/>
          <w:highlight w:val="none"/>
          <w14:textFill>
            <w14:solidFill>
              <w14:schemeClr w14:val="tx1"/>
            </w14:solidFill>
          </w14:textFill>
        </w:rPr>
      </w:pPr>
    </w:p>
    <w:p w14:paraId="6A9E756F">
      <w:pPr>
        <w:widowControl/>
        <w:jc w:val="left"/>
        <w:rPr>
          <w:rFonts w:hint="eastAsia" w:ascii="宋体" w:hAnsi="宋体" w:eastAsia="宋体"/>
          <w:color w:val="000000" w:themeColor="text1"/>
          <w:kern w:val="0"/>
          <w:sz w:val="24"/>
          <w:highlight w:val="none"/>
          <w14:textFill>
            <w14:solidFill>
              <w14:schemeClr w14:val="tx1"/>
            </w14:solidFill>
          </w14:textFill>
        </w:rPr>
      </w:pPr>
      <w:r>
        <w:rPr>
          <w:rFonts w:hint="eastAsia" w:ascii="宋体" w:hAnsi="宋体" w:eastAsia="宋体"/>
          <w:color w:val="000000" w:themeColor="text1"/>
          <w:highlight w:val="none"/>
          <w14:textFill>
            <w14:solidFill>
              <w14:schemeClr w14:val="tx1"/>
            </w14:solidFill>
          </w14:textFill>
        </w:rPr>
        <w:br w:type="page"/>
      </w:r>
    </w:p>
    <w:p w14:paraId="5C0C081A">
      <w:pPr>
        <w:snapToGrid w:val="0"/>
        <w:spacing w:line="560" w:lineRule="exact"/>
        <w:jc w:val="center"/>
        <w:rPr>
          <w:rFonts w:hint="eastAsia" w:ascii="宋体" w:hAnsi="宋体" w:eastAsia="宋体" w:cs="仿宋"/>
          <w:color w:val="000000" w:themeColor="text1"/>
          <w:sz w:val="30"/>
          <w:szCs w:val="30"/>
          <w:highlight w:val="none"/>
          <w14:textFill>
            <w14:solidFill>
              <w14:schemeClr w14:val="tx1"/>
            </w14:solidFill>
          </w14:textFill>
        </w:rPr>
      </w:pPr>
      <w:r>
        <w:rPr>
          <w:rFonts w:hint="eastAsia" w:ascii="宋体" w:hAnsi="宋体" w:eastAsia="宋体" w:cs="仿宋"/>
          <w:color w:val="000000" w:themeColor="text1"/>
          <w:sz w:val="30"/>
          <w:szCs w:val="30"/>
          <w:highlight w:val="none"/>
          <w14:textFill>
            <w14:solidFill>
              <w14:schemeClr w14:val="tx1"/>
            </w14:solidFill>
          </w14:textFill>
        </w:rPr>
        <w:t>项目负责人（项目经理）有效的市政公用工程二级及以上建造师注册证书，有效的安全生产考核合格证（B证）扫描件</w:t>
      </w:r>
    </w:p>
    <w:p w14:paraId="549FB30C">
      <w:pPr>
        <w:spacing w:after="120"/>
        <w:rPr>
          <w:rFonts w:hint="eastAsia"/>
          <w:color w:val="000000" w:themeColor="text1"/>
          <w:highlight w:val="none"/>
          <w14:textFill>
            <w14:solidFill>
              <w14:schemeClr w14:val="tx1"/>
            </w14:solidFill>
          </w14:textFill>
        </w:rPr>
      </w:pPr>
    </w:p>
    <w:p w14:paraId="0DA4B8E4">
      <w:pPr>
        <w:ind w:left="5250" w:leftChars="2500"/>
        <w:rPr>
          <w:rFonts w:ascii="宋体" w:hAnsi="Courier New"/>
          <w:color w:val="000000" w:themeColor="text1"/>
          <w:szCs w:val="21"/>
          <w:highlight w:val="none"/>
          <w14:textFill>
            <w14:solidFill>
              <w14:schemeClr w14:val="tx1"/>
            </w14:solidFill>
          </w14:textFill>
        </w:rPr>
      </w:pPr>
    </w:p>
    <w:p w14:paraId="0355BB07">
      <w:pPr>
        <w:rPr>
          <w:rFonts w:hint="eastAsia"/>
          <w:color w:val="000000" w:themeColor="text1"/>
          <w:highlight w:val="none"/>
          <w14:textFill>
            <w14:solidFill>
              <w14:schemeClr w14:val="tx1"/>
            </w14:solidFill>
          </w14:textFill>
        </w:rPr>
      </w:pPr>
    </w:p>
    <w:p w14:paraId="0AF4B7DD">
      <w:pPr>
        <w:spacing w:after="120"/>
        <w:rPr>
          <w:rFonts w:hint="eastAsia"/>
          <w:color w:val="000000" w:themeColor="text1"/>
          <w:highlight w:val="none"/>
          <w14:textFill>
            <w14:solidFill>
              <w14:schemeClr w14:val="tx1"/>
            </w14:solidFill>
          </w14:textFill>
        </w:rPr>
      </w:pPr>
    </w:p>
    <w:p w14:paraId="693E553A">
      <w:pPr>
        <w:ind w:left="5250" w:leftChars="2500"/>
        <w:rPr>
          <w:rFonts w:ascii="宋体" w:hAnsi="Courier New"/>
          <w:color w:val="000000" w:themeColor="text1"/>
          <w:szCs w:val="21"/>
          <w:highlight w:val="none"/>
          <w14:textFill>
            <w14:solidFill>
              <w14:schemeClr w14:val="tx1"/>
            </w14:solidFill>
          </w14:textFill>
        </w:rPr>
      </w:pPr>
    </w:p>
    <w:p w14:paraId="175877E7">
      <w:pPr>
        <w:rPr>
          <w:rFonts w:hint="eastAsia"/>
          <w:color w:val="000000" w:themeColor="text1"/>
          <w:highlight w:val="none"/>
          <w14:textFill>
            <w14:solidFill>
              <w14:schemeClr w14:val="tx1"/>
            </w14:solidFill>
          </w14:textFill>
        </w:rPr>
      </w:pPr>
    </w:p>
    <w:p w14:paraId="37FC86A0">
      <w:pPr>
        <w:spacing w:after="120"/>
        <w:rPr>
          <w:rFonts w:hint="eastAsia"/>
          <w:color w:val="000000" w:themeColor="text1"/>
          <w:highlight w:val="none"/>
          <w14:textFill>
            <w14:solidFill>
              <w14:schemeClr w14:val="tx1"/>
            </w14:solidFill>
          </w14:textFill>
        </w:rPr>
      </w:pPr>
    </w:p>
    <w:p w14:paraId="6DC57A52">
      <w:pPr>
        <w:ind w:left="5250" w:leftChars="2500"/>
        <w:rPr>
          <w:rFonts w:ascii="宋体" w:hAnsi="Courier New"/>
          <w:color w:val="000000" w:themeColor="text1"/>
          <w:szCs w:val="21"/>
          <w:highlight w:val="none"/>
          <w14:textFill>
            <w14:solidFill>
              <w14:schemeClr w14:val="tx1"/>
            </w14:solidFill>
          </w14:textFill>
        </w:rPr>
      </w:pPr>
    </w:p>
    <w:p w14:paraId="4BF27F98">
      <w:pPr>
        <w:rPr>
          <w:rFonts w:hint="eastAsia"/>
          <w:color w:val="000000" w:themeColor="text1"/>
          <w:highlight w:val="none"/>
          <w14:textFill>
            <w14:solidFill>
              <w14:schemeClr w14:val="tx1"/>
            </w14:solidFill>
          </w14:textFill>
        </w:rPr>
      </w:pPr>
    </w:p>
    <w:p w14:paraId="3115C1F6">
      <w:pPr>
        <w:spacing w:after="120"/>
        <w:rPr>
          <w:rFonts w:hint="eastAsia"/>
          <w:color w:val="000000" w:themeColor="text1"/>
          <w:highlight w:val="none"/>
          <w14:textFill>
            <w14:solidFill>
              <w14:schemeClr w14:val="tx1"/>
            </w14:solidFill>
          </w14:textFill>
        </w:rPr>
      </w:pPr>
    </w:p>
    <w:p w14:paraId="2ABEC8BE">
      <w:pPr>
        <w:ind w:left="5250" w:leftChars="2500"/>
        <w:rPr>
          <w:rFonts w:ascii="宋体" w:hAnsi="Courier New"/>
          <w:color w:val="000000" w:themeColor="text1"/>
          <w:szCs w:val="21"/>
          <w:highlight w:val="none"/>
          <w14:textFill>
            <w14:solidFill>
              <w14:schemeClr w14:val="tx1"/>
            </w14:solidFill>
          </w14:textFill>
        </w:rPr>
      </w:pPr>
    </w:p>
    <w:p w14:paraId="7427FAB6">
      <w:pPr>
        <w:rPr>
          <w:rFonts w:hint="eastAsia"/>
          <w:color w:val="000000" w:themeColor="text1"/>
          <w:highlight w:val="none"/>
          <w14:textFill>
            <w14:solidFill>
              <w14:schemeClr w14:val="tx1"/>
            </w14:solidFill>
          </w14:textFill>
        </w:rPr>
      </w:pPr>
    </w:p>
    <w:p w14:paraId="3CCA0237">
      <w:pPr>
        <w:spacing w:after="120"/>
        <w:rPr>
          <w:rFonts w:hint="eastAsia"/>
          <w:color w:val="000000" w:themeColor="text1"/>
          <w:highlight w:val="none"/>
          <w14:textFill>
            <w14:solidFill>
              <w14:schemeClr w14:val="tx1"/>
            </w14:solidFill>
          </w14:textFill>
        </w:rPr>
      </w:pPr>
    </w:p>
    <w:p w14:paraId="2CC3D99D">
      <w:pPr>
        <w:ind w:left="5250" w:leftChars="2500"/>
        <w:rPr>
          <w:rFonts w:ascii="宋体" w:hAnsi="Courier New"/>
          <w:color w:val="000000" w:themeColor="text1"/>
          <w:szCs w:val="21"/>
          <w:highlight w:val="none"/>
          <w14:textFill>
            <w14:solidFill>
              <w14:schemeClr w14:val="tx1"/>
            </w14:solidFill>
          </w14:textFill>
        </w:rPr>
      </w:pPr>
    </w:p>
    <w:p w14:paraId="70802982">
      <w:pPr>
        <w:rPr>
          <w:rFonts w:hint="eastAsia"/>
          <w:color w:val="000000" w:themeColor="text1"/>
          <w:highlight w:val="none"/>
          <w14:textFill>
            <w14:solidFill>
              <w14:schemeClr w14:val="tx1"/>
            </w14:solidFill>
          </w14:textFill>
        </w:rPr>
      </w:pPr>
    </w:p>
    <w:p w14:paraId="7FC55962">
      <w:pPr>
        <w:spacing w:after="120"/>
        <w:rPr>
          <w:rFonts w:hint="eastAsia"/>
          <w:color w:val="000000" w:themeColor="text1"/>
          <w:highlight w:val="none"/>
          <w14:textFill>
            <w14:solidFill>
              <w14:schemeClr w14:val="tx1"/>
            </w14:solidFill>
          </w14:textFill>
        </w:rPr>
      </w:pPr>
    </w:p>
    <w:p w14:paraId="5102F9DD">
      <w:pPr>
        <w:ind w:left="5250" w:leftChars="2500"/>
        <w:rPr>
          <w:rFonts w:ascii="宋体" w:hAnsi="Courier New"/>
          <w:color w:val="000000" w:themeColor="text1"/>
          <w:szCs w:val="21"/>
          <w:highlight w:val="none"/>
          <w14:textFill>
            <w14:solidFill>
              <w14:schemeClr w14:val="tx1"/>
            </w14:solidFill>
          </w14:textFill>
        </w:rPr>
      </w:pPr>
    </w:p>
    <w:p w14:paraId="7A387776">
      <w:pPr>
        <w:snapToGrid w:val="0"/>
        <w:spacing w:line="560" w:lineRule="exact"/>
        <w:jc w:val="center"/>
        <w:rPr>
          <w:rFonts w:hint="eastAsia" w:ascii="宋体" w:hAnsi="宋体" w:eastAsia="宋体"/>
          <w:color w:val="000000" w:themeColor="text1"/>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投标人（盖章）：</w:t>
      </w:r>
    </w:p>
    <w:p w14:paraId="634BE473">
      <w:pPr>
        <w:rPr>
          <w:rFonts w:hint="eastAsia"/>
          <w:color w:val="000000" w:themeColor="text1"/>
          <w:highlight w:val="none"/>
          <w14:textFill>
            <w14:solidFill>
              <w14:schemeClr w14:val="tx1"/>
            </w14:solidFill>
          </w14:textFill>
        </w:rPr>
      </w:pPr>
    </w:p>
    <w:p w14:paraId="7187EFE8">
      <w:pPr>
        <w:pStyle w:val="2"/>
        <w:rPr>
          <w:rFonts w:hint="eastAsia" w:ascii="宋体" w:hAnsi="宋体" w:eastAsia="宋体"/>
          <w:color w:val="000000" w:themeColor="text1"/>
          <w:highlight w:val="none"/>
          <w14:textFill>
            <w14:solidFill>
              <w14:schemeClr w14:val="tx1"/>
            </w14:solidFill>
          </w14:textFill>
        </w:rPr>
      </w:pPr>
    </w:p>
    <w:p w14:paraId="070B9936">
      <w:pPr>
        <w:widowControl/>
        <w:jc w:val="left"/>
        <w:rPr>
          <w:rFonts w:hint="eastAsia" w:ascii="宋体" w:hAnsi="宋体" w:eastAsia="宋体"/>
          <w:color w:val="000000" w:themeColor="text1"/>
          <w:highlight w:val="none"/>
          <w14:textFill>
            <w14:solidFill>
              <w14:schemeClr w14:val="tx1"/>
            </w14:solidFill>
          </w14:textFill>
        </w:rPr>
      </w:pPr>
      <w:r>
        <w:rPr>
          <w:rFonts w:hint="eastAsia" w:ascii="宋体" w:hAnsi="宋体" w:eastAsia="宋体"/>
          <w:color w:val="000000" w:themeColor="text1"/>
          <w:highlight w:val="none"/>
          <w14:textFill>
            <w14:solidFill>
              <w14:schemeClr w14:val="tx1"/>
            </w14:solidFill>
          </w14:textFill>
        </w:rPr>
        <w:br w:type="page"/>
      </w:r>
    </w:p>
    <w:p w14:paraId="63015EE4">
      <w:pPr>
        <w:rPr>
          <w:rFonts w:hint="eastAsia" w:ascii="宋体" w:hAnsi="宋体" w:eastAsia="宋体"/>
          <w:color w:val="000000" w:themeColor="text1"/>
          <w:highlight w:val="none"/>
          <w14:textFill>
            <w14:solidFill>
              <w14:schemeClr w14:val="tx1"/>
            </w14:solidFill>
          </w14:textFill>
        </w:rPr>
      </w:pPr>
    </w:p>
    <w:p w14:paraId="46A24C76">
      <w:pPr>
        <w:snapToGrid w:val="0"/>
        <w:spacing w:line="560" w:lineRule="exact"/>
        <w:jc w:val="center"/>
        <w:rPr>
          <w:rFonts w:hint="eastAsia" w:ascii="宋体" w:hAnsi="宋体" w:eastAsia="宋体" w:cs="仿宋"/>
          <w:color w:val="000000" w:themeColor="text1"/>
          <w:sz w:val="30"/>
          <w:szCs w:val="30"/>
          <w:highlight w:val="none"/>
          <w14:textFill>
            <w14:solidFill>
              <w14:schemeClr w14:val="tx1"/>
            </w14:solidFill>
          </w14:textFill>
        </w:rPr>
      </w:pPr>
      <w:r>
        <w:rPr>
          <w:rFonts w:hint="eastAsia" w:ascii="宋体" w:hAnsi="宋体" w:eastAsia="宋体" w:cs="仿宋"/>
          <w:color w:val="000000" w:themeColor="text1"/>
          <w:sz w:val="30"/>
          <w:szCs w:val="30"/>
          <w:highlight w:val="none"/>
          <w14:textFill>
            <w14:solidFill>
              <w14:schemeClr w14:val="tx1"/>
            </w14:solidFill>
          </w14:textFill>
        </w:rPr>
        <w:t>法定代表人身份证明</w:t>
      </w:r>
    </w:p>
    <w:p w14:paraId="5B5C1977">
      <w:pPr>
        <w:rPr>
          <w:rFonts w:hint="eastAsia" w:ascii="宋体" w:hAnsi="宋体" w:eastAsia="宋体" w:cs="仿宋"/>
          <w:color w:val="000000" w:themeColor="text1"/>
          <w:highlight w:val="none"/>
          <w14:textFill>
            <w14:solidFill>
              <w14:schemeClr w14:val="tx1"/>
            </w14:solidFill>
          </w14:textFill>
        </w:rPr>
      </w:pPr>
    </w:p>
    <w:p w14:paraId="7749D8D2">
      <w:pPr>
        <w:spacing w:before="157" w:line="480" w:lineRule="exact"/>
        <w:ind w:firstLine="563"/>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投标人名称：</w:t>
      </w:r>
      <w:r>
        <w:rPr>
          <w:rFonts w:hint="eastAsia" w:ascii="宋体" w:hAnsi="宋体" w:eastAsia="宋体" w:cs="仿宋"/>
          <w:color w:val="000000" w:themeColor="text1"/>
          <w:sz w:val="28"/>
          <w:szCs w:val="28"/>
          <w:highlight w:val="none"/>
          <w:u w:val="single"/>
          <w14:textFill>
            <w14:solidFill>
              <w14:schemeClr w14:val="tx1"/>
            </w14:solidFill>
          </w14:textFill>
        </w:rPr>
        <w:t xml:space="preserve">                            </w:t>
      </w:r>
      <w:r>
        <w:rPr>
          <w:rFonts w:hint="eastAsia" w:ascii="宋体" w:hAnsi="宋体" w:eastAsia="宋体" w:cs="仿宋"/>
          <w:color w:val="000000" w:themeColor="text1"/>
          <w:sz w:val="28"/>
          <w:szCs w:val="28"/>
          <w:highlight w:val="none"/>
          <w14:textFill>
            <w14:solidFill>
              <w14:schemeClr w14:val="tx1"/>
            </w14:solidFill>
          </w14:textFill>
        </w:rPr>
        <w:t xml:space="preserve"> </w:t>
      </w:r>
    </w:p>
    <w:p w14:paraId="670FF463">
      <w:pPr>
        <w:spacing w:before="157" w:line="480" w:lineRule="exact"/>
        <w:ind w:firstLine="563"/>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单位性质：</w:t>
      </w:r>
      <w:r>
        <w:rPr>
          <w:rFonts w:hint="eastAsia" w:ascii="宋体" w:hAnsi="宋体" w:eastAsia="宋体" w:cs="仿宋"/>
          <w:color w:val="000000" w:themeColor="text1"/>
          <w:sz w:val="28"/>
          <w:szCs w:val="28"/>
          <w:highlight w:val="none"/>
          <w:u w:val="single"/>
          <w14:textFill>
            <w14:solidFill>
              <w14:schemeClr w14:val="tx1"/>
            </w14:solidFill>
          </w14:textFill>
        </w:rPr>
        <w:t xml:space="preserve">                               </w:t>
      </w:r>
      <w:r>
        <w:rPr>
          <w:rFonts w:hint="eastAsia" w:ascii="宋体" w:hAnsi="宋体" w:eastAsia="宋体" w:cs="仿宋"/>
          <w:color w:val="000000" w:themeColor="text1"/>
          <w:sz w:val="28"/>
          <w:szCs w:val="28"/>
          <w:highlight w:val="none"/>
          <w14:textFill>
            <w14:solidFill>
              <w14:schemeClr w14:val="tx1"/>
            </w14:solidFill>
          </w14:textFill>
        </w:rPr>
        <w:t xml:space="preserve"> </w:t>
      </w:r>
    </w:p>
    <w:p w14:paraId="6A1F5CCB">
      <w:pPr>
        <w:spacing w:before="157" w:line="480" w:lineRule="exact"/>
        <w:ind w:firstLine="563"/>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地址：</w:t>
      </w:r>
      <w:r>
        <w:rPr>
          <w:rFonts w:hint="eastAsia" w:ascii="宋体" w:hAnsi="宋体" w:eastAsia="宋体" w:cs="仿宋"/>
          <w:color w:val="000000" w:themeColor="text1"/>
          <w:sz w:val="28"/>
          <w:szCs w:val="28"/>
          <w:highlight w:val="none"/>
          <w:u w:val="single"/>
          <w14:textFill>
            <w14:solidFill>
              <w14:schemeClr w14:val="tx1"/>
            </w14:solidFill>
          </w14:textFill>
        </w:rPr>
        <w:t xml:space="preserve">                                   </w:t>
      </w:r>
    </w:p>
    <w:p w14:paraId="5037C7FD">
      <w:pPr>
        <w:spacing w:before="157" w:line="480" w:lineRule="exact"/>
        <w:ind w:firstLine="563"/>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成立时间：</w:t>
      </w:r>
      <w:r>
        <w:rPr>
          <w:rFonts w:hint="eastAsia" w:ascii="宋体" w:hAnsi="宋体" w:eastAsia="宋体" w:cs="仿宋"/>
          <w:color w:val="000000" w:themeColor="text1"/>
          <w:sz w:val="28"/>
          <w:szCs w:val="28"/>
          <w:highlight w:val="none"/>
          <w:u w:val="single"/>
          <w14:textFill>
            <w14:solidFill>
              <w14:schemeClr w14:val="tx1"/>
            </w14:solidFill>
          </w14:textFill>
        </w:rPr>
        <w:t xml:space="preserve">          </w:t>
      </w:r>
      <w:r>
        <w:rPr>
          <w:rFonts w:hint="eastAsia" w:ascii="宋体" w:hAnsi="宋体" w:eastAsia="宋体" w:cs="仿宋"/>
          <w:color w:val="000000" w:themeColor="text1"/>
          <w:sz w:val="28"/>
          <w:szCs w:val="28"/>
          <w:highlight w:val="none"/>
          <w14:textFill>
            <w14:solidFill>
              <w14:schemeClr w14:val="tx1"/>
            </w14:solidFill>
          </w14:textFill>
        </w:rPr>
        <w:t>年</w:t>
      </w:r>
      <w:r>
        <w:rPr>
          <w:rFonts w:hint="eastAsia" w:ascii="宋体" w:hAnsi="宋体" w:eastAsia="宋体" w:cs="仿宋"/>
          <w:color w:val="000000" w:themeColor="text1"/>
          <w:sz w:val="28"/>
          <w:szCs w:val="28"/>
          <w:highlight w:val="none"/>
          <w:u w:val="single"/>
          <w14:textFill>
            <w14:solidFill>
              <w14:schemeClr w14:val="tx1"/>
            </w14:solidFill>
          </w14:textFill>
        </w:rPr>
        <w:t xml:space="preserve">        </w:t>
      </w:r>
      <w:r>
        <w:rPr>
          <w:rFonts w:hint="eastAsia" w:ascii="宋体" w:hAnsi="宋体" w:eastAsia="宋体" w:cs="仿宋"/>
          <w:color w:val="000000" w:themeColor="text1"/>
          <w:sz w:val="28"/>
          <w:szCs w:val="28"/>
          <w:highlight w:val="none"/>
          <w14:textFill>
            <w14:solidFill>
              <w14:schemeClr w14:val="tx1"/>
            </w14:solidFill>
          </w14:textFill>
        </w:rPr>
        <w:t>月</w:t>
      </w:r>
      <w:r>
        <w:rPr>
          <w:rFonts w:hint="eastAsia" w:ascii="宋体" w:hAnsi="宋体" w:eastAsia="宋体" w:cs="仿宋"/>
          <w:color w:val="000000" w:themeColor="text1"/>
          <w:sz w:val="28"/>
          <w:szCs w:val="28"/>
          <w:highlight w:val="none"/>
          <w:u w:val="single"/>
          <w14:textFill>
            <w14:solidFill>
              <w14:schemeClr w14:val="tx1"/>
            </w14:solidFill>
          </w14:textFill>
        </w:rPr>
        <w:t xml:space="preserve">        </w:t>
      </w:r>
      <w:r>
        <w:rPr>
          <w:rFonts w:hint="eastAsia" w:ascii="宋体" w:hAnsi="宋体" w:eastAsia="宋体" w:cs="仿宋"/>
          <w:color w:val="000000" w:themeColor="text1"/>
          <w:sz w:val="28"/>
          <w:szCs w:val="28"/>
          <w:highlight w:val="none"/>
          <w14:textFill>
            <w14:solidFill>
              <w14:schemeClr w14:val="tx1"/>
            </w14:solidFill>
          </w14:textFill>
        </w:rPr>
        <w:t>日</w:t>
      </w:r>
    </w:p>
    <w:p w14:paraId="07001280">
      <w:pPr>
        <w:spacing w:before="157" w:line="480" w:lineRule="exact"/>
        <w:ind w:firstLine="563"/>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经营期限：</w:t>
      </w:r>
      <w:r>
        <w:rPr>
          <w:rFonts w:hint="eastAsia" w:ascii="宋体" w:hAnsi="宋体" w:eastAsia="宋体" w:cs="仿宋"/>
          <w:color w:val="000000" w:themeColor="text1"/>
          <w:sz w:val="28"/>
          <w:szCs w:val="28"/>
          <w:highlight w:val="none"/>
          <w:u w:val="single"/>
          <w14:textFill>
            <w14:solidFill>
              <w14:schemeClr w14:val="tx1"/>
            </w14:solidFill>
          </w14:textFill>
        </w:rPr>
        <w:t xml:space="preserve">                               </w:t>
      </w:r>
    </w:p>
    <w:p w14:paraId="28D266F5">
      <w:pPr>
        <w:spacing w:before="157" w:line="480" w:lineRule="exact"/>
        <w:ind w:firstLine="563"/>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姓名：</w:t>
      </w:r>
      <w:r>
        <w:rPr>
          <w:rFonts w:hint="eastAsia" w:ascii="宋体" w:hAnsi="宋体" w:eastAsia="宋体" w:cs="仿宋"/>
          <w:color w:val="000000" w:themeColor="text1"/>
          <w:sz w:val="28"/>
          <w:szCs w:val="28"/>
          <w:highlight w:val="none"/>
          <w:u w:val="single"/>
          <w14:textFill>
            <w14:solidFill>
              <w14:schemeClr w14:val="tx1"/>
            </w14:solidFill>
          </w14:textFill>
        </w:rPr>
        <w:t xml:space="preserve">         </w:t>
      </w:r>
      <w:r>
        <w:rPr>
          <w:rFonts w:hint="eastAsia" w:ascii="宋体" w:hAnsi="宋体" w:eastAsia="宋体" w:cs="仿宋"/>
          <w:color w:val="000000" w:themeColor="text1"/>
          <w:sz w:val="28"/>
          <w:szCs w:val="28"/>
          <w:highlight w:val="none"/>
          <w14:textFill>
            <w14:solidFill>
              <w14:schemeClr w14:val="tx1"/>
            </w14:solidFill>
          </w14:textFill>
        </w:rPr>
        <w:t xml:space="preserve"> 性别：</w:t>
      </w:r>
      <w:r>
        <w:rPr>
          <w:rFonts w:hint="eastAsia" w:ascii="宋体" w:hAnsi="宋体" w:eastAsia="宋体" w:cs="仿宋"/>
          <w:color w:val="000000" w:themeColor="text1"/>
          <w:sz w:val="28"/>
          <w:szCs w:val="28"/>
          <w:highlight w:val="none"/>
          <w:u w:val="single"/>
          <w14:textFill>
            <w14:solidFill>
              <w14:schemeClr w14:val="tx1"/>
            </w14:solidFill>
          </w14:textFill>
        </w:rPr>
        <w:t xml:space="preserve">         </w:t>
      </w:r>
      <w:r>
        <w:rPr>
          <w:rFonts w:hint="eastAsia" w:ascii="宋体" w:hAnsi="宋体" w:eastAsia="宋体" w:cs="仿宋"/>
          <w:color w:val="000000" w:themeColor="text1"/>
          <w:sz w:val="28"/>
          <w:szCs w:val="28"/>
          <w:highlight w:val="none"/>
          <w14:textFill>
            <w14:solidFill>
              <w14:schemeClr w14:val="tx1"/>
            </w14:solidFill>
          </w14:textFill>
        </w:rPr>
        <w:t>年龄：</w:t>
      </w:r>
      <w:r>
        <w:rPr>
          <w:rFonts w:hint="eastAsia" w:ascii="宋体" w:hAnsi="宋体" w:eastAsia="宋体" w:cs="仿宋"/>
          <w:color w:val="000000" w:themeColor="text1"/>
          <w:sz w:val="28"/>
          <w:szCs w:val="28"/>
          <w:highlight w:val="none"/>
          <w:u w:val="single"/>
          <w14:textFill>
            <w14:solidFill>
              <w14:schemeClr w14:val="tx1"/>
            </w14:solidFill>
          </w14:textFill>
        </w:rPr>
        <w:t xml:space="preserve">        </w:t>
      </w:r>
      <w:r>
        <w:rPr>
          <w:rFonts w:hint="eastAsia" w:ascii="宋体" w:hAnsi="宋体" w:eastAsia="宋体" w:cs="仿宋"/>
          <w:color w:val="000000" w:themeColor="text1"/>
          <w:sz w:val="28"/>
          <w:szCs w:val="28"/>
          <w:highlight w:val="none"/>
          <w14:textFill>
            <w14:solidFill>
              <w14:schemeClr w14:val="tx1"/>
            </w14:solidFill>
          </w14:textFill>
        </w:rPr>
        <w:t>职务：</w:t>
      </w:r>
      <w:r>
        <w:rPr>
          <w:rFonts w:hint="eastAsia" w:ascii="宋体" w:hAnsi="宋体" w:eastAsia="宋体" w:cs="仿宋"/>
          <w:color w:val="000000" w:themeColor="text1"/>
          <w:sz w:val="28"/>
          <w:szCs w:val="28"/>
          <w:highlight w:val="none"/>
          <w:u w:val="single"/>
          <w14:textFill>
            <w14:solidFill>
              <w14:schemeClr w14:val="tx1"/>
            </w14:solidFill>
          </w14:textFill>
        </w:rPr>
        <w:t xml:space="preserve">    </w:t>
      </w:r>
      <w:r>
        <w:rPr>
          <w:rFonts w:ascii="宋体" w:hAnsi="宋体" w:eastAsia="宋体" w:cs="仿宋"/>
          <w:color w:val="000000" w:themeColor="text1"/>
          <w:sz w:val="28"/>
          <w:szCs w:val="28"/>
          <w:highlight w:val="none"/>
          <w:u w:val="single"/>
          <w14:textFill>
            <w14:solidFill>
              <w14:schemeClr w14:val="tx1"/>
            </w14:solidFill>
          </w14:textFill>
        </w:rPr>
        <w:t xml:space="preserve">    </w:t>
      </w:r>
      <w:r>
        <w:rPr>
          <w:rFonts w:hint="eastAsia" w:ascii="宋体" w:hAnsi="宋体" w:eastAsia="宋体" w:cs="仿宋"/>
          <w:color w:val="000000" w:themeColor="text1"/>
          <w:sz w:val="28"/>
          <w:szCs w:val="28"/>
          <w:highlight w:val="none"/>
          <w:u w:val="single"/>
          <w14:textFill>
            <w14:solidFill>
              <w14:schemeClr w14:val="tx1"/>
            </w14:solidFill>
          </w14:textFill>
        </w:rPr>
        <w:t xml:space="preserve">    </w:t>
      </w:r>
    </w:p>
    <w:p w14:paraId="2AC49029">
      <w:pPr>
        <w:spacing w:before="157" w:line="480" w:lineRule="exact"/>
        <w:ind w:firstLine="563"/>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系</w:t>
      </w:r>
      <w:r>
        <w:rPr>
          <w:rFonts w:hint="eastAsia" w:ascii="宋体" w:hAnsi="宋体" w:eastAsia="宋体" w:cs="仿宋"/>
          <w:color w:val="000000" w:themeColor="text1"/>
          <w:sz w:val="28"/>
          <w:szCs w:val="28"/>
          <w:highlight w:val="none"/>
          <w:u w:val="single"/>
          <w14:textFill>
            <w14:solidFill>
              <w14:schemeClr w14:val="tx1"/>
            </w14:solidFill>
          </w14:textFill>
        </w:rPr>
        <w:t xml:space="preserve">                             </w:t>
      </w:r>
      <w:r>
        <w:rPr>
          <w:rFonts w:hint="eastAsia" w:ascii="宋体" w:hAnsi="宋体" w:eastAsia="宋体" w:cs="仿宋"/>
          <w:color w:val="000000" w:themeColor="text1"/>
          <w:sz w:val="28"/>
          <w:szCs w:val="28"/>
          <w:highlight w:val="none"/>
          <w14:textFill>
            <w14:solidFill>
              <w14:schemeClr w14:val="tx1"/>
            </w14:solidFill>
          </w14:textFill>
        </w:rPr>
        <w:t xml:space="preserve"> （投标人名称）的法定代表人。</w:t>
      </w:r>
    </w:p>
    <w:p w14:paraId="51DB2F7D">
      <w:pPr>
        <w:spacing w:before="157" w:line="480" w:lineRule="exact"/>
        <w:ind w:firstLine="560" w:firstLineChars="20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特此证明。</w:t>
      </w:r>
    </w:p>
    <w:p w14:paraId="60B9A9E5">
      <w:pPr>
        <w:spacing w:before="157" w:line="480" w:lineRule="exact"/>
        <w:ind w:firstLine="563"/>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投标人：</w:t>
      </w:r>
      <w:r>
        <w:rPr>
          <w:rFonts w:hint="eastAsia" w:ascii="宋体" w:hAnsi="宋体" w:eastAsia="宋体" w:cs="仿宋"/>
          <w:color w:val="000000" w:themeColor="text1"/>
          <w:sz w:val="28"/>
          <w:szCs w:val="28"/>
          <w:highlight w:val="none"/>
          <w:u w:val="single"/>
          <w14:textFill>
            <w14:solidFill>
              <w14:schemeClr w14:val="tx1"/>
            </w14:solidFill>
          </w14:textFill>
        </w:rPr>
        <w:t xml:space="preserve">                 </w:t>
      </w:r>
      <w:r>
        <w:rPr>
          <w:rFonts w:hint="eastAsia" w:ascii="宋体" w:hAnsi="宋体" w:eastAsia="宋体" w:cs="仿宋"/>
          <w:color w:val="000000" w:themeColor="text1"/>
          <w:sz w:val="28"/>
          <w:szCs w:val="28"/>
          <w:highlight w:val="none"/>
          <w14:textFill>
            <w14:solidFill>
              <w14:schemeClr w14:val="tx1"/>
            </w14:solidFill>
          </w14:textFill>
        </w:rPr>
        <w:t>（盖章）</w:t>
      </w:r>
    </w:p>
    <w:p w14:paraId="4DB7AE13">
      <w:pPr>
        <w:pStyle w:val="36"/>
        <w:spacing w:before="157" w:line="480" w:lineRule="exact"/>
        <w:ind w:firstLine="563"/>
        <w:rPr>
          <w:rFonts w:hint="eastAsia" w:hAnsi="宋体" w:eastAsia="宋体" w:cs="仿宋"/>
          <w:color w:val="000000" w:themeColor="text1"/>
          <w:sz w:val="28"/>
          <w:szCs w:val="28"/>
          <w:highlight w:val="none"/>
          <w14:textFill>
            <w14:solidFill>
              <w14:schemeClr w14:val="tx1"/>
            </w14:solidFill>
          </w14:textFill>
        </w:rPr>
      </w:pPr>
      <w:r>
        <w:rPr>
          <w:rFonts w:hint="eastAsia" w:hAnsi="宋体" w:eastAsia="宋体" w:cs="仿宋"/>
          <w:color w:val="000000" w:themeColor="text1"/>
          <w:sz w:val="28"/>
          <w:szCs w:val="28"/>
          <w:highlight w:val="none"/>
          <w:u w:val="single"/>
          <w14:textFill>
            <w14:solidFill>
              <w14:schemeClr w14:val="tx1"/>
            </w14:solidFill>
          </w14:textFill>
        </w:rPr>
        <w:t xml:space="preserve">       </w:t>
      </w:r>
      <w:r>
        <w:rPr>
          <w:rFonts w:hint="eastAsia" w:hAnsi="宋体" w:eastAsia="宋体" w:cs="仿宋"/>
          <w:color w:val="000000" w:themeColor="text1"/>
          <w:sz w:val="28"/>
          <w:szCs w:val="28"/>
          <w:highlight w:val="none"/>
          <w14:textFill>
            <w14:solidFill>
              <w14:schemeClr w14:val="tx1"/>
            </w14:solidFill>
          </w14:textFill>
        </w:rPr>
        <w:t>年</w:t>
      </w:r>
      <w:r>
        <w:rPr>
          <w:rFonts w:hint="eastAsia" w:hAnsi="宋体" w:eastAsia="宋体" w:cs="仿宋"/>
          <w:color w:val="000000" w:themeColor="text1"/>
          <w:sz w:val="28"/>
          <w:szCs w:val="28"/>
          <w:highlight w:val="none"/>
          <w:u w:val="single"/>
          <w14:textFill>
            <w14:solidFill>
              <w14:schemeClr w14:val="tx1"/>
            </w14:solidFill>
          </w14:textFill>
        </w:rPr>
        <w:t xml:space="preserve">       </w:t>
      </w:r>
      <w:r>
        <w:rPr>
          <w:rFonts w:hint="eastAsia" w:hAnsi="宋体" w:eastAsia="宋体" w:cs="仿宋"/>
          <w:color w:val="000000" w:themeColor="text1"/>
          <w:sz w:val="28"/>
          <w:szCs w:val="28"/>
          <w:highlight w:val="none"/>
          <w14:textFill>
            <w14:solidFill>
              <w14:schemeClr w14:val="tx1"/>
            </w14:solidFill>
          </w14:textFill>
        </w:rPr>
        <w:t>月</w:t>
      </w:r>
      <w:r>
        <w:rPr>
          <w:rFonts w:hint="eastAsia" w:hAnsi="宋体" w:eastAsia="宋体" w:cs="仿宋"/>
          <w:color w:val="000000" w:themeColor="text1"/>
          <w:sz w:val="28"/>
          <w:szCs w:val="28"/>
          <w:highlight w:val="none"/>
          <w:u w:val="single"/>
          <w14:textFill>
            <w14:solidFill>
              <w14:schemeClr w14:val="tx1"/>
            </w14:solidFill>
          </w14:textFill>
        </w:rPr>
        <w:t xml:space="preserve">       </w:t>
      </w:r>
      <w:r>
        <w:rPr>
          <w:rFonts w:hint="eastAsia" w:hAnsi="宋体" w:eastAsia="宋体" w:cs="仿宋"/>
          <w:color w:val="000000" w:themeColor="text1"/>
          <w:sz w:val="28"/>
          <w:szCs w:val="28"/>
          <w:highlight w:val="none"/>
          <w14:textFill>
            <w14:solidFill>
              <w14:schemeClr w14:val="tx1"/>
            </w14:solidFill>
          </w14:textFill>
        </w:rPr>
        <w:t>日</w:t>
      </w:r>
    </w:p>
    <w:p w14:paraId="1A9E00B9">
      <w:pPr>
        <w:pStyle w:val="36"/>
        <w:spacing w:line="480" w:lineRule="exact"/>
        <w:ind w:firstLine="560" w:firstLineChars="200"/>
        <w:jc w:val="center"/>
        <w:rPr>
          <w:rFonts w:hint="eastAsia" w:hAnsi="宋体" w:eastAsia="宋体" w:cs="仿宋"/>
          <w:color w:val="000000" w:themeColor="text1"/>
          <w:sz w:val="28"/>
          <w:szCs w:val="28"/>
          <w:highlight w:val="none"/>
          <w14:textFill>
            <w14:solidFill>
              <w14:schemeClr w14:val="tx1"/>
            </w14:solidFill>
          </w14:textFill>
        </w:rPr>
      </w:pPr>
    </w:p>
    <w:p w14:paraId="3A8E6950">
      <w:pPr>
        <w:pStyle w:val="36"/>
        <w:ind w:firstLine="560" w:firstLineChars="200"/>
        <w:jc w:val="center"/>
        <w:rPr>
          <w:rFonts w:hint="eastAsia" w:hAnsi="宋体" w:eastAsia="宋体" w:cs="仿宋"/>
          <w:color w:val="000000" w:themeColor="text1"/>
          <w:sz w:val="28"/>
          <w:szCs w:val="28"/>
          <w:highlight w:val="none"/>
          <w14:textFill>
            <w14:solidFill>
              <w14:schemeClr w14:val="tx1"/>
            </w14:solidFill>
          </w14:textFill>
        </w:rPr>
      </w:pPr>
    </w:p>
    <w:tbl>
      <w:tblPr>
        <w:tblStyle w:val="67"/>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7"/>
      </w:tblGrid>
      <w:tr w14:paraId="15157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2" w:hRule="atLeast"/>
        </w:trPr>
        <w:tc>
          <w:tcPr>
            <w:tcW w:w="5827" w:type="dxa"/>
            <w:vAlign w:val="center"/>
          </w:tcPr>
          <w:p w14:paraId="046AED12">
            <w:pPr>
              <w:pStyle w:val="61"/>
              <w:spacing w:beforeAutospacing="0" w:afterAutospacing="0"/>
              <w:jc w:val="center"/>
              <w:rPr>
                <w:rFonts w:hint="eastAsia" w:eastAsia="宋体" w:cs="仿宋"/>
                <w:color w:val="000000" w:themeColor="text1"/>
                <w:sz w:val="28"/>
                <w:szCs w:val="28"/>
                <w:highlight w:val="none"/>
                <w14:textFill>
                  <w14:solidFill>
                    <w14:schemeClr w14:val="tx1"/>
                  </w14:solidFill>
                </w14:textFill>
              </w:rPr>
            </w:pPr>
            <w:r>
              <w:rPr>
                <w:rFonts w:hint="eastAsia" w:eastAsia="宋体" w:cs="仿宋"/>
                <w:color w:val="000000" w:themeColor="text1"/>
                <w:kern w:val="2"/>
                <w:sz w:val="28"/>
                <w:szCs w:val="28"/>
                <w:highlight w:val="none"/>
                <w14:textFill>
                  <w14:solidFill>
                    <w14:schemeClr w14:val="tx1"/>
                  </w14:solidFill>
                </w14:textFill>
              </w:rPr>
              <w:t>（法定代表人身份证扫描件）</w:t>
            </w:r>
          </w:p>
        </w:tc>
      </w:tr>
    </w:tbl>
    <w:p w14:paraId="73B0F9E4">
      <w:pPr>
        <w:pStyle w:val="36"/>
        <w:ind w:firstLine="420" w:firstLineChars="200"/>
        <w:jc w:val="center"/>
        <w:rPr>
          <w:rFonts w:hint="eastAsia" w:hAnsi="宋体" w:eastAsia="宋体" w:cs="仿宋"/>
          <w:color w:val="000000" w:themeColor="text1"/>
          <w:highlight w:val="none"/>
          <w14:textFill>
            <w14:solidFill>
              <w14:schemeClr w14:val="tx1"/>
            </w14:solidFill>
          </w14:textFill>
        </w:rPr>
      </w:pPr>
    </w:p>
    <w:p w14:paraId="676F96F6">
      <w:pPr>
        <w:pStyle w:val="36"/>
        <w:ind w:firstLine="420" w:firstLineChars="200"/>
        <w:jc w:val="center"/>
        <w:rPr>
          <w:rFonts w:hint="eastAsia" w:hAnsi="宋体" w:eastAsia="宋体" w:cs="仿宋"/>
          <w:color w:val="000000" w:themeColor="text1"/>
          <w:highlight w:val="none"/>
          <w14:textFill>
            <w14:solidFill>
              <w14:schemeClr w14:val="tx1"/>
            </w14:solidFill>
          </w14:textFill>
        </w:rPr>
      </w:pPr>
    </w:p>
    <w:p w14:paraId="3EFF5460">
      <w:pPr>
        <w:pStyle w:val="36"/>
        <w:ind w:firstLine="420" w:firstLineChars="200"/>
        <w:jc w:val="center"/>
        <w:rPr>
          <w:rFonts w:hint="eastAsia" w:hAnsi="宋体" w:eastAsia="宋体" w:cs="仿宋"/>
          <w:color w:val="000000" w:themeColor="text1"/>
          <w:highlight w:val="none"/>
          <w14:textFill>
            <w14:solidFill>
              <w14:schemeClr w14:val="tx1"/>
            </w14:solidFill>
          </w14:textFill>
        </w:rPr>
      </w:pPr>
    </w:p>
    <w:p w14:paraId="6454CE20">
      <w:pPr>
        <w:pStyle w:val="36"/>
        <w:ind w:firstLine="420" w:firstLineChars="200"/>
        <w:jc w:val="center"/>
        <w:rPr>
          <w:rFonts w:hint="eastAsia" w:hAnsi="宋体" w:eastAsia="宋体" w:cs="仿宋"/>
          <w:color w:val="000000" w:themeColor="text1"/>
          <w:highlight w:val="none"/>
          <w14:textFill>
            <w14:solidFill>
              <w14:schemeClr w14:val="tx1"/>
            </w14:solidFill>
          </w14:textFill>
        </w:rPr>
      </w:pPr>
    </w:p>
    <w:p w14:paraId="24748701">
      <w:pPr>
        <w:rPr>
          <w:rFonts w:hint="eastAsia" w:ascii="宋体" w:hAnsi="宋体" w:eastAsia="宋体"/>
          <w:color w:val="000000" w:themeColor="text1"/>
          <w:highlight w:val="none"/>
          <w14:textFill>
            <w14:solidFill>
              <w14:schemeClr w14:val="tx1"/>
            </w14:solidFill>
          </w14:textFill>
        </w:rPr>
      </w:pPr>
    </w:p>
    <w:p w14:paraId="256C01FD">
      <w:pPr>
        <w:rPr>
          <w:rFonts w:hint="eastAsia" w:ascii="宋体" w:hAnsi="宋体" w:eastAsia="宋体"/>
          <w:color w:val="000000" w:themeColor="text1"/>
          <w:highlight w:val="none"/>
          <w14:textFill>
            <w14:solidFill>
              <w14:schemeClr w14:val="tx1"/>
            </w14:solidFill>
          </w14:textFill>
        </w:rPr>
      </w:pPr>
    </w:p>
    <w:p w14:paraId="3B950B78">
      <w:pPr>
        <w:rPr>
          <w:rFonts w:hint="eastAsia" w:ascii="宋体" w:hAnsi="宋体" w:eastAsia="宋体"/>
          <w:color w:val="000000" w:themeColor="text1"/>
          <w:highlight w:val="none"/>
          <w14:textFill>
            <w14:solidFill>
              <w14:schemeClr w14:val="tx1"/>
            </w14:solidFill>
          </w14:textFill>
        </w:rPr>
      </w:pPr>
    </w:p>
    <w:p w14:paraId="5FE5DC26">
      <w:pPr>
        <w:rPr>
          <w:rFonts w:hint="eastAsia" w:ascii="宋体" w:hAnsi="宋体" w:eastAsia="宋体"/>
          <w:color w:val="000000" w:themeColor="text1"/>
          <w:highlight w:val="none"/>
          <w14:textFill>
            <w14:solidFill>
              <w14:schemeClr w14:val="tx1"/>
            </w14:solidFill>
          </w14:textFill>
        </w:rPr>
      </w:pPr>
    </w:p>
    <w:p w14:paraId="103B8AAE">
      <w:pPr>
        <w:rPr>
          <w:rFonts w:hint="eastAsia" w:ascii="宋体" w:hAnsi="宋体" w:eastAsia="宋体"/>
          <w:color w:val="000000" w:themeColor="text1"/>
          <w:highlight w:val="none"/>
          <w14:textFill>
            <w14:solidFill>
              <w14:schemeClr w14:val="tx1"/>
            </w14:solidFill>
          </w14:textFill>
        </w:rPr>
      </w:pPr>
    </w:p>
    <w:p w14:paraId="5743E5C3">
      <w:pPr>
        <w:rPr>
          <w:rFonts w:hint="eastAsia" w:ascii="宋体" w:hAnsi="宋体" w:eastAsia="宋体"/>
          <w:color w:val="000000" w:themeColor="text1"/>
          <w:highlight w:val="none"/>
          <w14:textFill>
            <w14:solidFill>
              <w14:schemeClr w14:val="tx1"/>
            </w14:solidFill>
          </w14:textFill>
        </w:rPr>
      </w:pPr>
    </w:p>
    <w:p w14:paraId="62D25EA7">
      <w:pPr>
        <w:rPr>
          <w:rFonts w:hint="eastAsia" w:ascii="宋体" w:hAnsi="宋体" w:eastAsia="宋体"/>
          <w:color w:val="000000" w:themeColor="text1"/>
          <w:highlight w:val="none"/>
          <w14:textFill>
            <w14:solidFill>
              <w14:schemeClr w14:val="tx1"/>
            </w14:solidFill>
          </w14:textFill>
        </w:rPr>
      </w:pPr>
    </w:p>
    <w:p w14:paraId="3B860D53">
      <w:pPr>
        <w:rPr>
          <w:rFonts w:hint="eastAsia" w:ascii="宋体" w:hAnsi="宋体" w:eastAsia="宋体"/>
          <w:color w:val="000000" w:themeColor="text1"/>
          <w:highlight w:val="none"/>
          <w14:textFill>
            <w14:solidFill>
              <w14:schemeClr w14:val="tx1"/>
            </w14:solidFill>
          </w14:textFill>
        </w:rPr>
      </w:pPr>
    </w:p>
    <w:p w14:paraId="20BA0F22">
      <w:pPr>
        <w:rPr>
          <w:rFonts w:hint="eastAsia" w:ascii="宋体" w:hAnsi="宋体" w:eastAsia="宋体"/>
          <w:color w:val="000000" w:themeColor="text1"/>
          <w:highlight w:val="none"/>
          <w14:textFill>
            <w14:solidFill>
              <w14:schemeClr w14:val="tx1"/>
            </w14:solidFill>
          </w14:textFill>
        </w:rPr>
      </w:pPr>
    </w:p>
    <w:p w14:paraId="1CE346FF">
      <w:pPr>
        <w:widowControl/>
        <w:jc w:val="left"/>
        <w:rPr>
          <w:rFonts w:hint="eastAsia" w:ascii="宋体" w:hAnsi="宋体" w:eastAsia="宋体" w:cs="仿宋"/>
          <w:color w:val="000000" w:themeColor="text1"/>
          <w:sz w:val="30"/>
          <w:szCs w:val="30"/>
          <w:highlight w:val="none"/>
          <w14:textFill>
            <w14:solidFill>
              <w14:schemeClr w14:val="tx1"/>
            </w14:solidFill>
          </w14:textFill>
        </w:rPr>
      </w:pPr>
      <w:r>
        <w:rPr>
          <w:rFonts w:ascii="宋体" w:hAnsi="宋体" w:eastAsia="宋体" w:cs="仿宋"/>
          <w:color w:val="000000" w:themeColor="text1"/>
          <w:sz w:val="30"/>
          <w:szCs w:val="30"/>
          <w:highlight w:val="none"/>
          <w14:textFill>
            <w14:solidFill>
              <w14:schemeClr w14:val="tx1"/>
            </w14:solidFill>
          </w14:textFill>
        </w:rPr>
        <w:br w:type="page"/>
      </w:r>
    </w:p>
    <w:p w14:paraId="56276E97">
      <w:pPr>
        <w:snapToGrid w:val="0"/>
        <w:spacing w:line="560" w:lineRule="exact"/>
        <w:jc w:val="center"/>
        <w:rPr>
          <w:rFonts w:hint="eastAsia" w:ascii="宋体" w:hAnsi="宋体" w:eastAsia="宋体" w:cs="仿宋"/>
          <w:color w:val="000000" w:themeColor="text1"/>
          <w:sz w:val="30"/>
          <w:szCs w:val="30"/>
          <w:highlight w:val="none"/>
          <w14:textFill>
            <w14:solidFill>
              <w14:schemeClr w14:val="tx1"/>
            </w14:solidFill>
          </w14:textFill>
        </w:rPr>
      </w:pPr>
      <w:r>
        <w:rPr>
          <w:rFonts w:hint="eastAsia" w:ascii="宋体" w:hAnsi="宋体" w:eastAsia="宋体" w:cs="仿宋"/>
          <w:color w:val="000000" w:themeColor="text1"/>
          <w:sz w:val="30"/>
          <w:szCs w:val="30"/>
          <w:highlight w:val="none"/>
          <w14:textFill>
            <w14:solidFill>
              <w14:schemeClr w14:val="tx1"/>
            </w14:solidFill>
          </w14:textFill>
        </w:rPr>
        <w:t>法定代表人授权委托书</w:t>
      </w:r>
    </w:p>
    <w:p w14:paraId="41CA7B69">
      <w:pPr>
        <w:pStyle w:val="2"/>
        <w:rPr>
          <w:rFonts w:hint="eastAsia" w:ascii="宋体" w:hAnsi="宋体" w:eastAsia="宋体"/>
          <w:color w:val="000000" w:themeColor="text1"/>
          <w:highlight w:val="none"/>
          <w14:textFill>
            <w14:solidFill>
              <w14:schemeClr w14:val="tx1"/>
            </w14:solidFill>
          </w14:textFill>
        </w:rPr>
      </w:pPr>
    </w:p>
    <w:p w14:paraId="0FED3BD8">
      <w:pPr>
        <w:widowControl/>
        <w:adjustRightInd w:val="0"/>
        <w:spacing w:line="520" w:lineRule="exact"/>
        <w:ind w:firstLine="560" w:firstLineChars="200"/>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本授权书声明：注册于</w:t>
      </w:r>
      <w:r>
        <w:rPr>
          <w:rFonts w:hint="eastAsia" w:ascii="宋体" w:hAnsi="宋体" w:eastAsia="宋体" w:cs="仿宋"/>
          <w:color w:val="000000" w:themeColor="text1"/>
          <w:sz w:val="28"/>
          <w:szCs w:val="28"/>
          <w:highlight w:val="none"/>
          <w:u w:val="single"/>
          <w14:textFill>
            <w14:solidFill>
              <w14:schemeClr w14:val="tx1"/>
            </w14:solidFill>
          </w14:textFill>
        </w:rPr>
        <w:t xml:space="preserve">   （国家或地区的名称）  </w:t>
      </w:r>
      <w:r>
        <w:rPr>
          <w:rFonts w:hint="eastAsia" w:ascii="宋体" w:hAnsi="宋体" w:eastAsia="宋体" w:cs="仿宋"/>
          <w:color w:val="000000" w:themeColor="text1"/>
          <w:sz w:val="28"/>
          <w:szCs w:val="28"/>
          <w:highlight w:val="none"/>
          <w14:textFill>
            <w14:solidFill>
              <w14:schemeClr w14:val="tx1"/>
            </w14:solidFill>
          </w14:textFill>
        </w:rPr>
        <w:t>的</w:t>
      </w:r>
      <w:r>
        <w:rPr>
          <w:rFonts w:hint="eastAsia" w:ascii="宋体" w:hAnsi="宋体" w:eastAsia="宋体" w:cs="仿宋"/>
          <w:color w:val="000000" w:themeColor="text1"/>
          <w:sz w:val="28"/>
          <w:szCs w:val="28"/>
          <w:highlight w:val="none"/>
          <w:u w:val="single"/>
          <w14:textFill>
            <w14:solidFill>
              <w14:schemeClr w14:val="tx1"/>
            </w14:solidFill>
          </w14:textFill>
        </w:rPr>
        <w:t xml:space="preserve">  （公司名称）  </w:t>
      </w:r>
      <w:r>
        <w:rPr>
          <w:rFonts w:hint="eastAsia" w:ascii="宋体" w:hAnsi="宋体" w:eastAsia="宋体" w:cs="仿宋"/>
          <w:color w:val="000000" w:themeColor="text1"/>
          <w:sz w:val="28"/>
          <w:szCs w:val="28"/>
          <w:highlight w:val="none"/>
          <w14:textFill>
            <w14:solidFill>
              <w14:schemeClr w14:val="tx1"/>
            </w14:solidFill>
          </w14:textFill>
        </w:rPr>
        <w:t>的</w:t>
      </w:r>
      <w:r>
        <w:rPr>
          <w:rFonts w:hint="eastAsia" w:ascii="宋体" w:hAnsi="宋体" w:eastAsia="宋体" w:cs="仿宋"/>
          <w:color w:val="000000" w:themeColor="text1"/>
          <w:sz w:val="28"/>
          <w:szCs w:val="28"/>
          <w:highlight w:val="none"/>
          <w:u w:val="single"/>
          <w14:textFill>
            <w14:solidFill>
              <w14:schemeClr w14:val="tx1"/>
            </w14:solidFill>
          </w14:textFill>
        </w:rPr>
        <w:t xml:space="preserve"> （姓名、职务）  </w:t>
      </w:r>
      <w:r>
        <w:rPr>
          <w:rFonts w:hint="eastAsia" w:ascii="宋体" w:hAnsi="宋体" w:eastAsia="宋体" w:cs="仿宋"/>
          <w:color w:val="000000" w:themeColor="text1"/>
          <w:sz w:val="28"/>
          <w:szCs w:val="28"/>
          <w:highlight w:val="none"/>
          <w14:textFill>
            <w14:solidFill>
              <w14:schemeClr w14:val="tx1"/>
            </w14:solidFill>
          </w14:textFill>
        </w:rPr>
        <w:t>，代表本公司授权</w:t>
      </w:r>
      <w:r>
        <w:rPr>
          <w:rFonts w:hint="eastAsia" w:ascii="宋体" w:hAnsi="宋体" w:eastAsia="宋体" w:cs="仿宋"/>
          <w:color w:val="000000" w:themeColor="text1"/>
          <w:sz w:val="28"/>
          <w:szCs w:val="28"/>
          <w:highlight w:val="none"/>
          <w:u w:val="single"/>
          <w14:textFill>
            <w14:solidFill>
              <w14:schemeClr w14:val="tx1"/>
            </w14:solidFill>
          </w14:textFill>
        </w:rPr>
        <w:t xml:space="preserve">  （被授权人的姓名、职务）</w:t>
      </w:r>
      <w:r>
        <w:rPr>
          <w:rFonts w:hint="eastAsia" w:ascii="宋体" w:hAnsi="宋体" w:eastAsia="宋体" w:cs="仿宋"/>
          <w:color w:val="000000" w:themeColor="text1"/>
          <w:sz w:val="28"/>
          <w:szCs w:val="28"/>
          <w:highlight w:val="none"/>
          <w14:textFill>
            <w14:solidFill>
              <w14:schemeClr w14:val="tx1"/>
            </w14:solidFill>
          </w14:textFill>
        </w:rPr>
        <w:t>为本公司的合法代理人，参加编号为</w:t>
      </w:r>
      <w:r>
        <w:rPr>
          <w:rFonts w:hint="eastAsia" w:ascii="宋体" w:hAnsi="宋体" w:eastAsia="宋体" w:cs="仿宋"/>
          <w:color w:val="000000" w:themeColor="text1"/>
          <w:spacing w:val="8"/>
          <w:kern w:val="0"/>
          <w:sz w:val="28"/>
          <w:szCs w:val="28"/>
          <w:highlight w:val="none"/>
          <w:u w:val="single"/>
          <w14:textFill>
            <w14:solidFill>
              <w14:schemeClr w14:val="tx1"/>
            </w14:solidFill>
          </w14:textFill>
        </w:rPr>
        <w:t xml:space="preserve"> WCSZ2026-003 </w:t>
      </w:r>
      <w:r>
        <w:rPr>
          <w:rFonts w:hint="eastAsia" w:ascii="宋体" w:hAnsi="宋体" w:eastAsia="宋体" w:cs="仿宋"/>
          <w:color w:val="000000" w:themeColor="text1"/>
          <w:sz w:val="28"/>
          <w:szCs w:val="28"/>
          <w:highlight w:val="none"/>
          <w14:textFill>
            <w14:solidFill>
              <w14:schemeClr w14:val="tx1"/>
            </w14:solidFill>
          </w14:textFill>
        </w:rPr>
        <w:t>号的招标活动，以本公司名义处理一切与之有关的事宜。</w:t>
      </w:r>
    </w:p>
    <w:p w14:paraId="1B1D9900">
      <w:pPr>
        <w:spacing w:line="520" w:lineRule="exact"/>
        <w:ind w:firstLine="560" w:firstLineChars="200"/>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如果本公司在此次招标活动中中标，被授权人有权代表本公司签署合同。</w:t>
      </w:r>
    </w:p>
    <w:p w14:paraId="59834C12">
      <w:pPr>
        <w:spacing w:before="157" w:line="480" w:lineRule="exact"/>
        <w:ind w:firstLine="560" w:firstLineChars="200"/>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本授权书于</w:t>
      </w:r>
      <w:r>
        <w:rPr>
          <w:rFonts w:hint="eastAsia" w:ascii="宋体" w:hAnsi="宋体" w:eastAsia="宋体" w:cs="仿宋"/>
          <w:color w:val="000000" w:themeColor="text1"/>
          <w:kern w:val="0"/>
          <w:sz w:val="28"/>
          <w:szCs w:val="28"/>
          <w:highlight w:val="none"/>
          <w:u w:val="single"/>
          <w14:textFill>
            <w14:solidFill>
              <w14:schemeClr w14:val="tx1"/>
            </w14:solidFill>
          </w14:textFill>
        </w:rPr>
        <w:t xml:space="preserve">      </w:t>
      </w:r>
      <w:r>
        <w:rPr>
          <w:rFonts w:hint="eastAsia" w:ascii="宋体" w:hAnsi="宋体" w:eastAsia="宋体" w:cs="仿宋"/>
          <w:color w:val="000000" w:themeColor="text1"/>
          <w:kern w:val="0"/>
          <w:sz w:val="28"/>
          <w:szCs w:val="28"/>
          <w:highlight w:val="none"/>
          <w14:textFill>
            <w14:solidFill>
              <w14:schemeClr w14:val="tx1"/>
            </w14:solidFill>
          </w14:textFill>
        </w:rPr>
        <w:t>年</w:t>
      </w:r>
      <w:r>
        <w:rPr>
          <w:rFonts w:hint="eastAsia" w:ascii="宋体" w:hAnsi="宋体" w:eastAsia="宋体" w:cs="仿宋"/>
          <w:color w:val="000000" w:themeColor="text1"/>
          <w:kern w:val="0"/>
          <w:sz w:val="28"/>
          <w:szCs w:val="28"/>
          <w:highlight w:val="none"/>
          <w:u w:val="single"/>
          <w14:textFill>
            <w14:solidFill>
              <w14:schemeClr w14:val="tx1"/>
            </w14:solidFill>
          </w14:textFill>
        </w:rPr>
        <w:t xml:space="preserve">    </w:t>
      </w:r>
      <w:r>
        <w:rPr>
          <w:rFonts w:hint="eastAsia" w:ascii="宋体" w:hAnsi="宋体" w:eastAsia="宋体" w:cs="仿宋"/>
          <w:color w:val="000000" w:themeColor="text1"/>
          <w:kern w:val="0"/>
          <w:sz w:val="28"/>
          <w:szCs w:val="28"/>
          <w:highlight w:val="none"/>
          <w14:textFill>
            <w14:solidFill>
              <w14:schemeClr w14:val="tx1"/>
            </w14:solidFill>
          </w14:textFill>
        </w:rPr>
        <w:t>月</w:t>
      </w:r>
      <w:r>
        <w:rPr>
          <w:rFonts w:hint="eastAsia" w:ascii="宋体" w:hAnsi="宋体" w:eastAsia="宋体" w:cs="仿宋"/>
          <w:color w:val="000000" w:themeColor="text1"/>
          <w:kern w:val="0"/>
          <w:sz w:val="28"/>
          <w:szCs w:val="28"/>
          <w:highlight w:val="none"/>
          <w:u w:val="single"/>
          <w14:textFill>
            <w14:solidFill>
              <w14:schemeClr w14:val="tx1"/>
            </w14:solidFill>
          </w14:textFill>
        </w:rPr>
        <w:t xml:space="preserve">    </w:t>
      </w:r>
      <w:r>
        <w:rPr>
          <w:rFonts w:hint="eastAsia" w:ascii="宋体" w:hAnsi="宋体" w:eastAsia="宋体" w:cs="仿宋"/>
          <w:color w:val="000000" w:themeColor="text1"/>
          <w:kern w:val="0"/>
          <w:sz w:val="28"/>
          <w:szCs w:val="28"/>
          <w:highlight w:val="none"/>
          <w14:textFill>
            <w14:solidFill>
              <w14:schemeClr w14:val="tx1"/>
            </w14:solidFill>
          </w14:textFill>
        </w:rPr>
        <w:t>日法定代表人签字或盖章并由单位盖章生效，特此声明。</w:t>
      </w:r>
    </w:p>
    <w:p w14:paraId="1D0A3BC9">
      <w:pPr>
        <w:spacing w:before="157" w:line="480" w:lineRule="exact"/>
        <w:ind w:firstLine="560" w:firstLineChars="200"/>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被授权人无转委托权。</w:t>
      </w:r>
    </w:p>
    <w:p w14:paraId="2CA4616B">
      <w:pPr>
        <w:spacing w:before="157" w:line="480" w:lineRule="exact"/>
        <w:ind w:firstLine="560" w:firstLineChars="200"/>
        <w:jc w:val="left"/>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法定代表人签字或盖章：</w:t>
      </w:r>
    </w:p>
    <w:p w14:paraId="3939FFB7">
      <w:pPr>
        <w:spacing w:before="157" w:line="480" w:lineRule="exact"/>
        <w:ind w:firstLine="560" w:firstLineChars="200"/>
        <w:jc w:val="left"/>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投标人（公 章）:</w:t>
      </w:r>
    </w:p>
    <w:p w14:paraId="0113F204">
      <w:pPr>
        <w:rPr>
          <w:rFonts w:hint="eastAsia" w:ascii="宋体" w:hAnsi="宋体" w:eastAsia="宋体" w:cs="仿宋"/>
          <w:color w:val="000000" w:themeColor="text1"/>
          <w:sz w:val="28"/>
          <w:szCs w:val="28"/>
          <w:highlight w:val="none"/>
          <w14:textFill>
            <w14:solidFill>
              <w14:schemeClr w14:val="tx1"/>
            </w14:solidFill>
          </w14:textFill>
        </w:rPr>
      </w:pPr>
    </w:p>
    <w:tbl>
      <w:tblPr>
        <w:tblStyle w:val="67"/>
        <w:tblpPr w:leftFromText="180" w:rightFromText="180" w:vertAnchor="text" w:horzAnchor="margin" w:tblpXSpec="center" w:tblpY="-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9"/>
      </w:tblGrid>
      <w:tr w14:paraId="07CE4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4" w:hRule="atLeast"/>
        </w:trPr>
        <w:tc>
          <w:tcPr>
            <w:tcW w:w="6149" w:type="dxa"/>
            <w:vAlign w:val="center"/>
          </w:tcPr>
          <w:p w14:paraId="75383175">
            <w:pPr>
              <w:widowControl/>
              <w:spacing w:beforeAutospacing="1" w:afterAutospacing="1" w:line="360" w:lineRule="auto"/>
              <w:jc w:val="center"/>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（被授权人身份证扫描件）</w:t>
            </w:r>
          </w:p>
        </w:tc>
      </w:tr>
    </w:tbl>
    <w:p w14:paraId="0F033D57">
      <w:pPr>
        <w:rPr>
          <w:rFonts w:hint="eastAsia" w:ascii="宋体" w:hAnsi="宋体" w:eastAsia="宋体"/>
          <w:color w:val="000000" w:themeColor="text1"/>
          <w:highlight w:val="none"/>
          <w14:textFill>
            <w14:solidFill>
              <w14:schemeClr w14:val="tx1"/>
            </w14:solidFill>
          </w14:textFill>
        </w:rPr>
      </w:pPr>
    </w:p>
    <w:p w14:paraId="0A54EB68">
      <w:pPr>
        <w:rPr>
          <w:rFonts w:hint="eastAsia" w:ascii="宋体" w:hAnsi="宋体" w:eastAsia="宋体"/>
          <w:color w:val="000000" w:themeColor="text1"/>
          <w:highlight w:val="none"/>
          <w14:textFill>
            <w14:solidFill>
              <w14:schemeClr w14:val="tx1"/>
            </w14:solidFill>
          </w14:textFill>
        </w:rPr>
      </w:pPr>
    </w:p>
    <w:p w14:paraId="76D79C1E">
      <w:pPr>
        <w:rPr>
          <w:rFonts w:hint="eastAsia" w:ascii="宋体" w:hAnsi="宋体" w:eastAsia="宋体"/>
          <w:color w:val="000000" w:themeColor="text1"/>
          <w:highlight w:val="none"/>
          <w14:textFill>
            <w14:solidFill>
              <w14:schemeClr w14:val="tx1"/>
            </w14:solidFill>
          </w14:textFill>
        </w:rPr>
      </w:pPr>
    </w:p>
    <w:p w14:paraId="488D1299">
      <w:pPr>
        <w:rPr>
          <w:rFonts w:hint="eastAsia" w:ascii="宋体" w:hAnsi="宋体" w:eastAsia="宋体"/>
          <w:color w:val="000000" w:themeColor="text1"/>
          <w:highlight w:val="none"/>
          <w14:textFill>
            <w14:solidFill>
              <w14:schemeClr w14:val="tx1"/>
            </w14:solidFill>
          </w14:textFill>
        </w:rPr>
      </w:pPr>
    </w:p>
    <w:p w14:paraId="670F6068">
      <w:pPr>
        <w:rPr>
          <w:rFonts w:hint="eastAsia" w:ascii="宋体" w:hAnsi="宋体" w:eastAsia="宋体"/>
          <w:color w:val="000000" w:themeColor="text1"/>
          <w:highlight w:val="none"/>
          <w14:textFill>
            <w14:solidFill>
              <w14:schemeClr w14:val="tx1"/>
            </w14:solidFill>
          </w14:textFill>
        </w:rPr>
      </w:pPr>
    </w:p>
    <w:p w14:paraId="53F2540A">
      <w:pPr>
        <w:rPr>
          <w:rFonts w:hint="eastAsia" w:ascii="宋体" w:hAnsi="宋体" w:eastAsia="宋体"/>
          <w:color w:val="000000" w:themeColor="text1"/>
          <w:highlight w:val="none"/>
          <w14:textFill>
            <w14:solidFill>
              <w14:schemeClr w14:val="tx1"/>
            </w14:solidFill>
          </w14:textFill>
        </w:rPr>
      </w:pPr>
    </w:p>
    <w:p w14:paraId="128EF0CE">
      <w:pPr>
        <w:rPr>
          <w:rFonts w:hint="eastAsia" w:ascii="宋体" w:hAnsi="宋体" w:eastAsia="宋体"/>
          <w:color w:val="000000" w:themeColor="text1"/>
          <w:highlight w:val="none"/>
          <w14:textFill>
            <w14:solidFill>
              <w14:schemeClr w14:val="tx1"/>
            </w14:solidFill>
          </w14:textFill>
        </w:rPr>
      </w:pPr>
    </w:p>
    <w:p w14:paraId="10B8DB44">
      <w:pPr>
        <w:rPr>
          <w:rFonts w:hint="eastAsia" w:ascii="宋体" w:hAnsi="宋体" w:eastAsia="宋体"/>
          <w:color w:val="000000" w:themeColor="text1"/>
          <w:highlight w:val="none"/>
          <w14:textFill>
            <w14:solidFill>
              <w14:schemeClr w14:val="tx1"/>
            </w14:solidFill>
          </w14:textFill>
        </w:rPr>
      </w:pPr>
    </w:p>
    <w:p w14:paraId="1EC07DAC">
      <w:pPr>
        <w:pStyle w:val="2"/>
        <w:rPr>
          <w:rFonts w:hint="eastAsia" w:ascii="宋体" w:hAnsi="宋体" w:eastAsia="宋体"/>
          <w:color w:val="000000" w:themeColor="text1"/>
          <w:highlight w:val="none"/>
          <w14:textFill>
            <w14:solidFill>
              <w14:schemeClr w14:val="tx1"/>
            </w14:solidFill>
          </w14:textFill>
        </w:rPr>
      </w:pPr>
    </w:p>
    <w:p w14:paraId="59A1EB47">
      <w:pPr>
        <w:rPr>
          <w:rFonts w:hint="eastAsia" w:ascii="宋体" w:hAnsi="宋体" w:eastAsia="宋体"/>
          <w:color w:val="000000" w:themeColor="text1"/>
          <w:highlight w:val="none"/>
          <w14:textFill>
            <w14:solidFill>
              <w14:schemeClr w14:val="tx1"/>
            </w14:solidFill>
          </w14:textFill>
        </w:rPr>
      </w:pPr>
    </w:p>
    <w:p w14:paraId="33CBDAAF">
      <w:pPr>
        <w:pStyle w:val="2"/>
        <w:rPr>
          <w:rFonts w:hint="eastAsia" w:ascii="宋体" w:hAnsi="宋体" w:eastAsia="宋体"/>
          <w:color w:val="000000" w:themeColor="text1"/>
          <w:highlight w:val="none"/>
          <w14:textFill>
            <w14:solidFill>
              <w14:schemeClr w14:val="tx1"/>
            </w14:solidFill>
          </w14:textFill>
        </w:rPr>
      </w:pPr>
    </w:p>
    <w:p w14:paraId="2E9147E3">
      <w:pPr>
        <w:pStyle w:val="3"/>
        <w:ind w:left="5250"/>
        <w:rPr>
          <w:rFonts w:hint="eastAsia" w:hAnsi="宋体" w:eastAsia="宋体"/>
          <w:color w:val="000000" w:themeColor="text1"/>
          <w:highlight w:val="none"/>
          <w14:textFill>
            <w14:solidFill>
              <w14:schemeClr w14:val="tx1"/>
            </w14:solidFill>
          </w14:textFill>
        </w:rPr>
      </w:pPr>
    </w:p>
    <w:p w14:paraId="167FA0EA">
      <w:pPr>
        <w:rPr>
          <w:rFonts w:hint="eastAsia" w:ascii="宋体" w:hAnsi="宋体" w:eastAsia="宋体" w:cs="仿宋"/>
          <w:color w:val="000000" w:themeColor="text1"/>
          <w:highlight w:val="none"/>
          <w14:textFill>
            <w14:solidFill>
              <w14:schemeClr w14:val="tx1"/>
            </w14:solidFill>
          </w14:textFill>
        </w:rPr>
      </w:pPr>
    </w:p>
    <w:p w14:paraId="394CF57E">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注：若由法定代表人亲自签署投标文件并参与相关活动，则无需提供授权委托书；若为授权委托代理人，则需提供授权委托书。</w:t>
      </w:r>
    </w:p>
    <w:p w14:paraId="5872BD5C">
      <w:pPr>
        <w:pStyle w:val="2"/>
        <w:rPr>
          <w:rFonts w:hint="eastAsia" w:ascii="宋体" w:hAnsi="宋体" w:eastAsia="宋体" w:cs="仿宋"/>
          <w:color w:val="000000" w:themeColor="text1"/>
          <w:sz w:val="30"/>
          <w:szCs w:val="30"/>
          <w:highlight w:val="none"/>
          <w14:textFill>
            <w14:solidFill>
              <w14:schemeClr w14:val="tx1"/>
            </w14:solidFill>
          </w14:textFill>
        </w:rPr>
      </w:pPr>
      <w:r>
        <w:rPr>
          <w:rFonts w:ascii="宋体" w:hAnsi="宋体" w:eastAsia="宋体"/>
          <w:color w:val="000000" w:themeColor="text1"/>
          <w:highlight w:val="none"/>
          <w14:textFill>
            <w14:solidFill>
              <w14:schemeClr w14:val="tx1"/>
            </w14:solidFill>
          </w14:textFill>
        </w:rPr>
        <w:br w:type="page"/>
      </w:r>
    </w:p>
    <w:p w14:paraId="44D7636A">
      <w:pPr>
        <w:snapToGrid w:val="0"/>
        <w:spacing w:line="560" w:lineRule="exact"/>
        <w:jc w:val="center"/>
        <w:rPr>
          <w:rFonts w:hint="eastAsia" w:ascii="宋体" w:hAnsi="宋体" w:eastAsia="宋体" w:cs="仿宋"/>
          <w:color w:val="000000" w:themeColor="text1"/>
          <w:sz w:val="30"/>
          <w:szCs w:val="30"/>
          <w:highlight w:val="none"/>
          <w14:textFill>
            <w14:solidFill>
              <w14:schemeClr w14:val="tx1"/>
            </w14:solidFill>
          </w14:textFill>
        </w:rPr>
      </w:pPr>
      <w:r>
        <w:rPr>
          <w:rFonts w:hint="eastAsia" w:ascii="宋体" w:hAnsi="宋体" w:eastAsia="宋体" w:cs="仿宋"/>
          <w:color w:val="000000" w:themeColor="text1"/>
          <w:sz w:val="30"/>
          <w:szCs w:val="30"/>
          <w:highlight w:val="none"/>
          <w14:textFill>
            <w14:solidFill>
              <w14:schemeClr w14:val="tx1"/>
            </w14:solidFill>
          </w14:textFill>
        </w:rPr>
        <w:t>投标人信用承诺书</w:t>
      </w:r>
    </w:p>
    <w:p w14:paraId="160DB00E">
      <w:pPr>
        <w:spacing w:line="560" w:lineRule="exact"/>
        <w:ind w:firstLine="560" w:firstLineChars="200"/>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为营造公平竞争、规范有序的市场环境，树立诚信守法经营形象。本单位郑重承诺：</w:t>
      </w:r>
    </w:p>
    <w:p w14:paraId="2627B4B2">
      <w:pPr>
        <w:spacing w:line="560" w:lineRule="exact"/>
        <w:ind w:firstLine="560" w:firstLineChars="200"/>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一、我方在此声明，本次招标投标活动中申报的所有资料都是真实、准确完整的，如发现提供虚假资料，或与事实不符而导致投标无效，甚至造成任何法律和经济责任，完全由我方负责。</w:t>
      </w:r>
    </w:p>
    <w:p w14:paraId="5C4BDF90">
      <w:pPr>
        <w:spacing w:line="560" w:lineRule="exact"/>
        <w:ind w:firstLine="560" w:firstLineChars="200"/>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二、我方在本次投标活动中绝无资质挂靠、串标、围标情形，若经贵方查出，立即取消我方投标资格并承担相应的法律责任。</w:t>
      </w:r>
    </w:p>
    <w:p w14:paraId="65CC7B6A">
      <w:pPr>
        <w:spacing w:line="560" w:lineRule="exact"/>
        <w:ind w:firstLine="560" w:firstLineChars="200"/>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三、我方在以往的招标投标活动中，无重大违法、违规、行贿犯罪的不良记录；或虽有不良记录，但已超过处理期限。</w:t>
      </w:r>
    </w:p>
    <w:p w14:paraId="70A7851F">
      <w:pPr>
        <w:spacing w:line="560" w:lineRule="exact"/>
        <w:ind w:firstLine="560" w:firstLineChars="200"/>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四、我方承诺投标人、法定代表人、委托代理人、项目负责人（项目经理）近三年无行贿犯罪记录。如有不实，愿意承担一切后果。</w:t>
      </w:r>
    </w:p>
    <w:p w14:paraId="65AADA84">
      <w:pPr>
        <w:spacing w:line="560" w:lineRule="exact"/>
        <w:ind w:firstLine="560" w:firstLineChars="200"/>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五、我单位拟派项目负责人（项目经理）未担任其他在建、排名第一的中标候选人或中标工程项目的项目经理。</w:t>
      </w:r>
    </w:p>
    <w:p w14:paraId="668DD54A">
      <w:pPr>
        <w:spacing w:line="560" w:lineRule="exact"/>
        <w:ind w:firstLine="560" w:firstLineChars="200"/>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六、我方一旦中标，将按规定及时与招标人签订合同，严格按照投标文件中所承诺的报价等内容组织实施。</w:t>
      </w:r>
    </w:p>
    <w:p w14:paraId="6A3C61D4">
      <w:pPr>
        <w:spacing w:line="560" w:lineRule="exact"/>
        <w:ind w:firstLine="560" w:firstLineChars="200"/>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七、自觉接受社会各界的监督，依法接受有关行政机关的事中事后监管和执法检查，并如实提供有关情况和材料。</w:t>
      </w:r>
    </w:p>
    <w:p w14:paraId="2981FC13">
      <w:pPr>
        <w:spacing w:line="560" w:lineRule="exact"/>
        <w:ind w:firstLine="560" w:firstLineChars="200"/>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八、严格遵守国家法律、法规、规章和相关政策规定，积极参与社会信用体系建设，倡树以信笃行，以诚兴业的传统美德，争当信用市民，争创信用企业。</w:t>
      </w:r>
    </w:p>
    <w:p w14:paraId="55C5B7CF">
      <w:pPr>
        <w:spacing w:line="560" w:lineRule="exact"/>
        <w:ind w:firstLine="560" w:firstLineChars="200"/>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九、本《信用承诺书》同意向社会公开。</w:t>
      </w:r>
    </w:p>
    <w:p w14:paraId="1D295625">
      <w:pPr>
        <w:spacing w:line="560" w:lineRule="exact"/>
        <w:ind w:firstLine="560" w:firstLineChars="200"/>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 xml:space="preserve"> 承诺单位：                          （盖章）</w:t>
      </w:r>
    </w:p>
    <w:p w14:paraId="55DA8A07">
      <w:pPr>
        <w:spacing w:line="560" w:lineRule="exact"/>
        <w:ind w:firstLine="560" w:firstLineChars="200"/>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 xml:space="preserve">                                     年    月    日</w:t>
      </w:r>
    </w:p>
    <w:p w14:paraId="3BEE1E69">
      <w:pPr>
        <w:snapToGrid w:val="0"/>
        <w:spacing w:line="360" w:lineRule="auto"/>
        <w:jc w:val="left"/>
        <w:rPr>
          <w:rFonts w:hint="eastAsia" w:ascii="宋体" w:hAnsi="宋体" w:eastAsia="宋体"/>
          <w:color w:val="000000" w:themeColor="text1"/>
          <w:kern w:val="0"/>
          <w:sz w:val="24"/>
          <w:highlight w:val="none"/>
          <w14:textFill>
            <w14:solidFill>
              <w14:schemeClr w14:val="tx1"/>
            </w14:solidFill>
          </w14:textFill>
        </w:rPr>
      </w:pPr>
    </w:p>
    <w:p w14:paraId="39118341">
      <w:pPr>
        <w:snapToGrid w:val="0"/>
        <w:spacing w:line="560" w:lineRule="exact"/>
        <w:jc w:val="center"/>
        <w:rPr>
          <w:rFonts w:hint="eastAsia" w:ascii="宋体" w:hAnsi="宋体" w:eastAsia="宋体" w:cs="仿宋"/>
          <w:color w:val="000000" w:themeColor="text1"/>
          <w:sz w:val="30"/>
          <w:szCs w:val="30"/>
          <w:highlight w:val="none"/>
          <w14:textFill>
            <w14:solidFill>
              <w14:schemeClr w14:val="tx1"/>
            </w14:solidFill>
          </w14:textFill>
        </w:rPr>
      </w:pPr>
      <w:r>
        <w:rPr>
          <w:rFonts w:hint="eastAsia" w:ascii="宋体" w:hAnsi="宋体" w:eastAsia="宋体" w:cs="仿宋"/>
          <w:color w:val="000000" w:themeColor="text1"/>
          <w:sz w:val="30"/>
          <w:szCs w:val="30"/>
          <w:highlight w:val="none"/>
          <w14:textFill>
            <w14:solidFill>
              <w14:schemeClr w14:val="tx1"/>
            </w14:solidFill>
          </w14:textFill>
        </w:rPr>
        <w:t>投标人参与投标的声明函</w:t>
      </w:r>
    </w:p>
    <w:p w14:paraId="6FE517AC">
      <w:pPr>
        <w:spacing w:line="520" w:lineRule="exact"/>
        <w:ind w:firstLine="560" w:firstLineChars="200"/>
        <w:rPr>
          <w:rFonts w:hint="eastAsia" w:ascii="宋体" w:hAnsi="宋体" w:eastAsia="宋体" w:cs="仿宋"/>
          <w:color w:val="000000" w:themeColor="text1"/>
          <w:kern w:val="0"/>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本单位郑重承诺如下：</w:t>
      </w:r>
    </w:p>
    <w:p w14:paraId="501865AA">
      <w:pPr>
        <w:widowControl/>
        <w:wordWrap w:val="0"/>
        <w:adjustRightInd w:val="0"/>
        <w:spacing w:line="520" w:lineRule="exact"/>
        <w:ind w:firstLine="592" w:firstLineChars="200"/>
        <w:jc w:val="left"/>
        <w:rPr>
          <w:rFonts w:hint="eastAsia" w:ascii="宋体" w:hAnsi="宋体" w:eastAsia="宋体" w:cs="仿宋"/>
          <w:color w:val="000000" w:themeColor="text1"/>
          <w:spacing w:val="8"/>
          <w:kern w:val="0"/>
          <w:sz w:val="28"/>
          <w:szCs w:val="28"/>
          <w:highlight w:val="none"/>
          <w14:textFill>
            <w14:solidFill>
              <w14:schemeClr w14:val="tx1"/>
            </w14:solidFill>
          </w14:textFill>
        </w:rPr>
      </w:pPr>
      <w:bookmarkStart w:id="111" w:name="_Hlk219973302"/>
      <w:r>
        <w:rPr>
          <w:rFonts w:hint="eastAsia" w:ascii="宋体" w:hAnsi="宋体" w:eastAsia="宋体" w:cs="仿宋"/>
          <w:color w:val="000000" w:themeColor="text1"/>
          <w:spacing w:val="8"/>
          <w:kern w:val="0"/>
          <w:sz w:val="28"/>
          <w:szCs w:val="28"/>
          <w:highlight w:val="none"/>
          <w14:textFill>
            <w14:solidFill>
              <w14:schemeClr w14:val="tx1"/>
            </w14:solidFill>
          </w14:textFill>
        </w:rPr>
        <w:t>（1）</w:t>
      </w:r>
      <w:r>
        <w:rPr>
          <w:rFonts w:hint="eastAsia" w:ascii="宋体" w:hAnsi="宋体" w:eastAsia="宋体" w:cs="仿宋"/>
          <w:color w:val="000000" w:themeColor="text1"/>
          <w:spacing w:val="8"/>
          <w:kern w:val="0"/>
          <w:sz w:val="28"/>
          <w:szCs w:val="28"/>
          <w:highlight w:val="none"/>
          <w14:textFill>
            <w14:solidFill>
              <w14:schemeClr w14:val="tx1"/>
            </w14:solidFill>
          </w14:textFill>
        </w:rPr>
        <w:t xml:space="preserve">具有独立承担民事责任的能力； </w:t>
      </w:r>
    </w:p>
    <w:p w14:paraId="53010E09">
      <w:pPr>
        <w:widowControl/>
        <w:adjustRightInd w:val="0"/>
        <w:spacing w:line="560" w:lineRule="exact"/>
        <w:ind w:firstLine="592" w:firstLineChars="200"/>
        <w:jc w:val="left"/>
        <w:rPr>
          <w:rFonts w:hint="eastAsia" w:ascii="宋体" w:hAnsi="宋体" w:eastAsia="宋体" w:cs="仿宋"/>
          <w:bCs/>
          <w:color w:val="000000" w:themeColor="text1"/>
          <w:spacing w:val="8"/>
          <w:kern w:val="0"/>
          <w:sz w:val="28"/>
          <w:szCs w:val="28"/>
          <w:highlight w:val="none"/>
          <w14:textFill>
            <w14:solidFill>
              <w14:schemeClr w14:val="tx1"/>
            </w14:solidFill>
          </w14:textFill>
        </w:rPr>
      </w:pPr>
      <w:r>
        <w:rPr>
          <w:rFonts w:hint="eastAsia" w:ascii="宋体" w:hAnsi="宋体" w:eastAsia="宋体" w:cs="仿宋"/>
          <w:bCs/>
          <w:color w:val="000000" w:themeColor="text1"/>
          <w:spacing w:val="8"/>
          <w:kern w:val="0"/>
          <w:sz w:val="28"/>
          <w:szCs w:val="28"/>
          <w:highlight w:val="none"/>
          <w14:textFill>
            <w14:solidFill>
              <w14:schemeClr w14:val="tx1"/>
            </w14:solidFill>
          </w14:textFill>
        </w:rPr>
        <w:t>（2）具有履行合同所必需的设备和专业技术能力；</w:t>
      </w:r>
    </w:p>
    <w:p w14:paraId="6A8462F5">
      <w:pPr>
        <w:widowControl/>
        <w:adjustRightInd w:val="0"/>
        <w:spacing w:line="560" w:lineRule="exact"/>
        <w:ind w:firstLine="592" w:firstLineChars="200"/>
        <w:jc w:val="left"/>
        <w:rPr>
          <w:rFonts w:hint="eastAsia" w:ascii="宋体" w:hAnsi="宋体" w:eastAsia="宋体" w:cs="仿宋"/>
          <w:bCs/>
          <w:color w:val="000000" w:themeColor="text1"/>
          <w:spacing w:val="8"/>
          <w:kern w:val="0"/>
          <w:sz w:val="28"/>
          <w:szCs w:val="28"/>
          <w:highlight w:val="none"/>
          <w14:textFill>
            <w14:solidFill>
              <w14:schemeClr w14:val="tx1"/>
            </w14:solidFill>
          </w14:textFill>
        </w:rPr>
      </w:pPr>
      <w:r>
        <w:rPr>
          <w:rFonts w:hint="eastAsia" w:ascii="宋体" w:hAnsi="宋体" w:eastAsia="宋体" w:cs="仿宋"/>
          <w:bCs/>
          <w:color w:val="000000" w:themeColor="text1"/>
          <w:spacing w:val="8"/>
          <w:kern w:val="0"/>
          <w:sz w:val="28"/>
          <w:szCs w:val="28"/>
          <w:highlight w:val="none"/>
          <w14:textFill>
            <w14:solidFill>
              <w14:schemeClr w14:val="tx1"/>
            </w14:solidFill>
          </w14:textFill>
        </w:rPr>
        <w:t>（3）有依法缴纳税收和社会保障资金的良好记录；</w:t>
      </w:r>
    </w:p>
    <w:p w14:paraId="73D53C39">
      <w:pPr>
        <w:widowControl/>
        <w:wordWrap w:val="0"/>
        <w:adjustRightInd w:val="0"/>
        <w:spacing w:line="520" w:lineRule="exact"/>
        <w:ind w:firstLine="592" w:firstLineChars="200"/>
        <w:jc w:val="left"/>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（4）我方参加本次招标活动前三年内，在经营活动中没有重大违法记录；</w:t>
      </w:r>
    </w:p>
    <w:p w14:paraId="56745423">
      <w:pPr>
        <w:widowControl/>
        <w:wordWrap w:val="0"/>
        <w:adjustRightInd w:val="0"/>
        <w:spacing w:line="520" w:lineRule="exact"/>
        <w:ind w:firstLine="592" w:firstLineChars="200"/>
        <w:jc w:val="left"/>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（5）我方及其法定代表人、委托代理人、项目负责人（项目经理）未被最高法院列入失信被执行人；</w:t>
      </w:r>
    </w:p>
    <w:p w14:paraId="47CC9F40">
      <w:pPr>
        <w:widowControl/>
        <w:wordWrap w:val="0"/>
        <w:adjustRightInd w:val="0"/>
        <w:spacing w:line="520" w:lineRule="exact"/>
        <w:ind w:firstLine="592" w:firstLineChars="200"/>
        <w:jc w:val="left"/>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（6）我方近一年在“信用中国”或“信用中国（山东）”无严重失信记录；</w:t>
      </w:r>
    </w:p>
    <w:p w14:paraId="1006409B">
      <w:pPr>
        <w:widowControl/>
        <w:wordWrap w:val="0"/>
        <w:adjustRightInd w:val="0"/>
        <w:spacing w:line="520" w:lineRule="exact"/>
        <w:ind w:firstLine="592" w:firstLineChars="200"/>
        <w:jc w:val="left"/>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（7）我方、法定代表人、委托代理人、项目负责人（项目经理）近三年无行贿犯罪记录；</w:t>
      </w:r>
    </w:p>
    <w:p w14:paraId="0FB36CB7">
      <w:pPr>
        <w:widowControl/>
        <w:wordWrap w:val="0"/>
        <w:adjustRightInd w:val="0"/>
        <w:spacing w:line="520" w:lineRule="exact"/>
        <w:ind w:firstLine="592" w:firstLineChars="200"/>
        <w:jc w:val="left"/>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（8）项目负责人（项目经理）具有市政公用工程二级及以上建造师注册证书且具有安全生产考核合格证（B证）；</w:t>
      </w:r>
    </w:p>
    <w:p w14:paraId="715E6E03">
      <w:pPr>
        <w:widowControl/>
        <w:wordWrap w:val="0"/>
        <w:adjustRightInd w:val="0"/>
        <w:spacing w:line="520" w:lineRule="exact"/>
        <w:ind w:firstLine="592" w:firstLineChars="200"/>
        <w:jc w:val="left"/>
        <w:rPr>
          <w:rFonts w:hint="eastAsia" w:ascii="宋体" w:hAnsi="宋体" w:eastAsia="宋体" w:cs="仿宋"/>
          <w:color w:val="000000" w:themeColor="text1"/>
          <w:spacing w:val="8"/>
          <w:kern w:val="0"/>
          <w:sz w:val="28"/>
          <w:szCs w:val="28"/>
          <w:highlight w:val="none"/>
          <w14:textFill>
            <w14:solidFill>
              <w14:schemeClr w14:val="tx1"/>
            </w14:solidFill>
          </w14:textFill>
        </w:rPr>
      </w:pPr>
      <w:r>
        <w:rPr>
          <w:rFonts w:hint="eastAsia" w:ascii="宋体" w:hAnsi="宋体" w:eastAsia="宋体" w:cs="仿宋"/>
          <w:color w:val="000000" w:themeColor="text1"/>
          <w:spacing w:val="8"/>
          <w:kern w:val="0"/>
          <w:sz w:val="28"/>
          <w:szCs w:val="28"/>
          <w:highlight w:val="none"/>
          <w14:textFill>
            <w14:solidFill>
              <w14:schemeClr w14:val="tx1"/>
            </w14:solidFill>
          </w14:textFill>
        </w:rPr>
        <w:t>（9）拟派项目负责人（项目经理）未担任其他在建、排名第一的中标候选人或中标工程项目的项目经理。</w:t>
      </w:r>
    </w:p>
    <w:p w14:paraId="4EAF5882">
      <w:pPr>
        <w:widowControl/>
        <w:wordWrap w:val="0"/>
        <w:adjustRightInd w:val="0"/>
        <w:spacing w:line="520" w:lineRule="exact"/>
        <w:ind w:firstLine="560" w:firstLineChars="200"/>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kern w:val="0"/>
          <w:sz w:val="28"/>
          <w:szCs w:val="28"/>
          <w:highlight w:val="none"/>
          <w14:textFill>
            <w14:solidFill>
              <w14:schemeClr w14:val="tx1"/>
            </w14:solidFill>
          </w14:textFill>
        </w:rPr>
        <w:t>我单位承诺非联合体投标。若我单位提供虚假承诺，我单位同意所提交的投标文件作无效处理，并愿意接受通报，按照有关法律法规规定接受处罚，由此造成的一切经济责任和法律责任由我单位自行承担。</w:t>
      </w:r>
      <w:bookmarkStart w:id="112" w:name="_Hlk72505594"/>
    </w:p>
    <w:bookmarkEnd w:id="111"/>
    <w:p w14:paraId="37E350F6">
      <w:pPr>
        <w:snapToGrid w:val="0"/>
        <w:spacing w:line="560" w:lineRule="exact"/>
        <w:ind w:firstLine="562" w:firstLineChars="201"/>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 xml:space="preserve">      </w:t>
      </w:r>
    </w:p>
    <w:p w14:paraId="26A5D020">
      <w:pPr>
        <w:snapToGrid w:val="0"/>
        <w:spacing w:line="560" w:lineRule="exact"/>
        <w:ind w:firstLine="562" w:firstLineChars="201"/>
        <w:jc w:val="center"/>
        <w:rPr>
          <w:rFonts w:hint="eastAsia" w:ascii="宋体" w:hAnsi="宋体" w:eastAsia="宋体" w:cs="仿宋"/>
          <w:color w:val="000000" w:themeColor="text1"/>
          <w:sz w:val="28"/>
          <w:szCs w:val="28"/>
          <w:highlight w:val="none"/>
          <w14:textFill>
            <w14:solidFill>
              <w14:schemeClr w14:val="tx1"/>
            </w14:solidFill>
          </w14:textFill>
        </w:rPr>
      </w:pPr>
    </w:p>
    <w:p w14:paraId="422E1E89">
      <w:pPr>
        <w:snapToGrid w:val="0"/>
        <w:spacing w:line="560" w:lineRule="exact"/>
        <w:ind w:firstLine="562" w:firstLineChars="201"/>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投标人（盖章）</w:t>
      </w:r>
      <w:bookmarkEnd w:id="112"/>
      <w:r>
        <w:rPr>
          <w:rFonts w:hint="eastAsia" w:ascii="宋体" w:hAnsi="宋体" w:eastAsia="宋体" w:cs="仿宋"/>
          <w:color w:val="000000" w:themeColor="text1"/>
          <w:sz w:val="28"/>
          <w:szCs w:val="28"/>
          <w:highlight w:val="none"/>
          <w14:textFill>
            <w14:solidFill>
              <w14:schemeClr w14:val="tx1"/>
            </w14:solidFill>
          </w14:textFill>
        </w:rPr>
        <w:t>：</w:t>
      </w:r>
    </w:p>
    <w:p w14:paraId="7E564F79">
      <w:pPr>
        <w:snapToGrid w:val="0"/>
        <w:spacing w:line="560" w:lineRule="exact"/>
        <w:ind w:firstLine="562" w:firstLineChars="201"/>
        <w:jc w:val="center"/>
        <w:rPr>
          <w:rFonts w:hint="eastAsia" w:ascii="宋体" w:hAnsi="宋体" w:eastAsia="宋体" w:cs="仿宋"/>
          <w:color w:val="000000" w:themeColor="text1"/>
          <w:sz w:val="28"/>
          <w:szCs w:val="28"/>
          <w:highlight w:val="none"/>
          <w14:textFill>
            <w14:solidFill>
              <w14:schemeClr w14:val="tx1"/>
            </w14:solidFill>
          </w14:textFill>
        </w:rPr>
      </w:pPr>
    </w:p>
    <w:p w14:paraId="75F7BC2C">
      <w:pPr>
        <w:widowControl/>
        <w:jc w:val="left"/>
        <w:rPr>
          <w:rFonts w:hint="eastAsia" w:ascii="宋体" w:hAnsi="宋体" w:eastAsia="宋体" w:cs="仿宋"/>
          <w:color w:val="000000" w:themeColor="text1"/>
          <w:sz w:val="30"/>
          <w:szCs w:val="30"/>
          <w:highlight w:val="none"/>
          <w14:textFill>
            <w14:solidFill>
              <w14:schemeClr w14:val="tx1"/>
            </w14:solidFill>
          </w14:textFill>
        </w:rPr>
      </w:pPr>
      <w:r>
        <w:rPr>
          <w:rFonts w:hint="eastAsia" w:ascii="宋体" w:hAnsi="宋体" w:eastAsia="宋体" w:cs="仿宋"/>
          <w:color w:val="000000" w:themeColor="text1"/>
          <w:sz w:val="30"/>
          <w:szCs w:val="30"/>
          <w:highlight w:val="none"/>
          <w14:textFill>
            <w14:solidFill>
              <w14:schemeClr w14:val="tx1"/>
            </w14:solidFill>
          </w14:textFill>
        </w:rPr>
        <w:br w:type="page"/>
      </w:r>
    </w:p>
    <w:p w14:paraId="5033CFC4">
      <w:pPr>
        <w:snapToGrid w:val="0"/>
        <w:spacing w:line="560" w:lineRule="exact"/>
        <w:jc w:val="center"/>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sz w:val="30"/>
          <w:szCs w:val="30"/>
          <w:highlight w:val="none"/>
          <w14:textFill>
            <w14:solidFill>
              <w14:schemeClr w14:val="tx1"/>
            </w14:solidFill>
          </w14:textFill>
        </w:rPr>
        <w:t>交纳投标保证金的证明材料（两者缺一不可）：（1）企业银行基本账户开户证明（如开户许可证或银行开户证明等）、（2）电汇凭证或电子汇款截图扫描件</w:t>
      </w:r>
      <w:r>
        <w:rPr>
          <w:rFonts w:hint="eastAsia" w:ascii="宋体" w:hAnsi="宋体" w:eastAsia="宋体" w:cs="仿宋"/>
          <w:color w:val="000000" w:themeColor="text1"/>
          <w:kern w:val="0"/>
          <w:sz w:val="24"/>
          <w:highlight w:val="none"/>
          <w14:textFill>
            <w14:solidFill>
              <w14:schemeClr w14:val="tx1"/>
            </w14:solidFill>
          </w14:textFill>
        </w:rPr>
        <w:t xml:space="preserve"> </w:t>
      </w:r>
    </w:p>
    <w:p w14:paraId="6EB660F3">
      <w:pPr>
        <w:snapToGrid w:val="0"/>
        <w:spacing w:line="560" w:lineRule="exact"/>
        <w:ind w:firstLine="482" w:firstLineChars="201"/>
        <w:jc w:val="center"/>
        <w:rPr>
          <w:rFonts w:hint="eastAsia" w:ascii="宋体" w:hAnsi="宋体" w:eastAsia="宋体" w:cs="仿宋"/>
          <w:color w:val="000000" w:themeColor="text1"/>
          <w:kern w:val="0"/>
          <w:sz w:val="24"/>
          <w:highlight w:val="none"/>
          <w14:textFill>
            <w14:solidFill>
              <w14:schemeClr w14:val="tx1"/>
            </w14:solidFill>
          </w14:textFill>
        </w:rPr>
      </w:pPr>
    </w:p>
    <w:p w14:paraId="65B246CE">
      <w:pPr>
        <w:snapToGrid w:val="0"/>
        <w:spacing w:line="560" w:lineRule="exact"/>
        <w:ind w:firstLine="482" w:firstLineChars="201"/>
        <w:jc w:val="center"/>
        <w:rPr>
          <w:rFonts w:hint="eastAsia" w:ascii="宋体" w:hAnsi="宋体" w:eastAsia="宋体" w:cs="仿宋"/>
          <w:color w:val="000000" w:themeColor="text1"/>
          <w:kern w:val="0"/>
          <w:sz w:val="24"/>
          <w:highlight w:val="none"/>
          <w14:textFill>
            <w14:solidFill>
              <w14:schemeClr w14:val="tx1"/>
            </w14:solidFill>
          </w14:textFill>
        </w:rPr>
      </w:pPr>
    </w:p>
    <w:p w14:paraId="035348D9">
      <w:pPr>
        <w:snapToGrid w:val="0"/>
        <w:spacing w:line="560" w:lineRule="exact"/>
        <w:ind w:firstLine="482" w:firstLineChars="201"/>
        <w:jc w:val="center"/>
        <w:rPr>
          <w:rFonts w:hint="eastAsia" w:ascii="宋体" w:hAnsi="宋体" w:eastAsia="宋体" w:cs="仿宋"/>
          <w:color w:val="000000" w:themeColor="text1"/>
          <w:sz w:val="24"/>
          <w:highlight w:val="none"/>
          <w14:textFill>
            <w14:solidFill>
              <w14:schemeClr w14:val="tx1"/>
            </w14:solidFill>
          </w14:textFill>
        </w:rPr>
      </w:pPr>
    </w:p>
    <w:p w14:paraId="2D1E518C">
      <w:pPr>
        <w:pStyle w:val="2"/>
        <w:rPr>
          <w:rFonts w:hint="eastAsia" w:ascii="宋体" w:hAnsi="宋体" w:eastAsia="宋体"/>
          <w:color w:val="000000" w:themeColor="text1"/>
          <w:highlight w:val="none"/>
          <w14:textFill>
            <w14:solidFill>
              <w14:schemeClr w14:val="tx1"/>
            </w14:solidFill>
          </w14:textFill>
        </w:rPr>
      </w:pPr>
    </w:p>
    <w:p w14:paraId="7F2B41D9">
      <w:pPr>
        <w:pStyle w:val="3"/>
        <w:ind w:left="5250"/>
        <w:rPr>
          <w:rFonts w:hint="eastAsia" w:hAnsi="宋体" w:eastAsia="宋体"/>
          <w:color w:val="000000" w:themeColor="text1"/>
          <w:highlight w:val="none"/>
          <w14:textFill>
            <w14:solidFill>
              <w14:schemeClr w14:val="tx1"/>
            </w14:solidFill>
          </w14:textFill>
        </w:rPr>
      </w:pPr>
    </w:p>
    <w:p w14:paraId="398A1872">
      <w:pPr>
        <w:rPr>
          <w:rFonts w:hint="eastAsia" w:ascii="宋体" w:hAnsi="宋体" w:eastAsia="宋体"/>
          <w:color w:val="000000" w:themeColor="text1"/>
          <w:highlight w:val="none"/>
          <w14:textFill>
            <w14:solidFill>
              <w14:schemeClr w14:val="tx1"/>
            </w14:solidFill>
          </w14:textFill>
        </w:rPr>
      </w:pPr>
    </w:p>
    <w:p w14:paraId="01D89593">
      <w:pPr>
        <w:pStyle w:val="2"/>
        <w:rPr>
          <w:rFonts w:hint="eastAsia" w:ascii="宋体" w:hAnsi="宋体" w:eastAsia="宋体"/>
          <w:color w:val="000000" w:themeColor="text1"/>
          <w:highlight w:val="none"/>
          <w14:textFill>
            <w14:solidFill>
              <w14:schemeClr w14:val="tx1"/>
            </w14:solidFill>
          </w14:textFill>
        </w:rPr>
      </w:pPr>
    </w:p>
    <w:p w14:paraId="6CEED8CE">
      <w:pPr>
        <w:snapToGrid w:val="0"/>
        <w:spacing w:line="560" w:lineRule="exact"/>
        <w:ind w:firstLine="482" w:firstLineChars="201"/>
        <w:jc w:val="center"/>
        <w:rPr>
          <w:rFonts w:hint="eastAsia" w:ascii="宋体" w:hAnsi="宋体" w:eastAsia="宋体" w:cs="仿宋"/>
          <w:color w:val="000000" w:themeColor="text1"/>
          <w:kern w:val="0"/>
          <w:sz w:val="24"/>
          <w:highlight w:val="none"/>
          <w14:textFill>
            <w14:solidFill>
              <w14:schemeClr w14:val="tx1"/>
            </w14:solidFill>
          </w14:textFill>
        </w:rPr>
      </w:pPr>
    </w:p>
    <w:p w14:paraId="22003DB8">
      <w:pPr>
        <w:snapToGrid w:val="0"/>
        <w:spacing w:line="560" w:lineRule="exact"/>
        <w:ind w:firstLine="562" w:firstLineChars="201"/>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投标人（盖章）：</w:t>
      </w:r>
    </w:p>
    <w:p w14:paraId="7E4C6F04">
      <w:pPr>
        <w:snapToGrid w:val="0"/>
        <w:spacing w:line="560" w:lineRule="exact"/>
        <w:ind w:firstLine="562" w:firstLineChars="201"/>
        <w:jc w:val="center"/>
        <w:rPr>
          <w:rFonts w:hint="eastAsia" w:ascii="宋体" w:hAnsi="宋体" w:eastAsia="宋体" w:cs="仿宋"/>
          <w:color w:val="000000" w:themeColor="text1"/>
          <w:sz w:val="28"/>
          <w:szCs w:val="28"/>
          <w:highlight w:val="none"/>
          <w14:textFill>
            <w14:solidFill>
              <w14:schemeClr w14:val="tx1"/>
            </w14:solidFill>
          </w14:textFill>
        </w:rPr>
      </w:pPr>
    </w:p>
    <w:p w14:paraId="554BEEFA">
      <w:pPr>
        <w:snapToGrid w:val="0"/>
        <w:spacing w:line="560" w:lineRule="exact"/>
        <w:ind w:firstLine="562" w:firstLineChars="201"/>
        <w:jc w:val="center"/>
        <w:rPr>
          <w:rFonts w:hint="eastAsia" w:ascii="宋体" w:hAnsi="宋体" w:eastAsia="宋体" w:cs="仿宋"/>
          <w:color w:val="000000" w:themeColor="text1"/>
          <w:sz w:val="28"/>
          <w:szCs w:val="28"/>
          <w:highlight w:val="none"/>
          <w14:textFill>
            <w14:solidFill>
              <w14:schemeClr w14:val="tx1"/>
            </w14:solidFill>
          </w14:textFill>
        </w:rPr>
      </w:pPr>
    </w:p>
    <w:p w14:paraId="5D1BD6D8">
      <w:pPr>
        <w:snapToGrid w:val="0"/>
        <w:spacing w:line="560" w:lineRule="exact"/>
        <w:ind w:firstLine="562" w:firstLineChars="201"/>
        <w:jc w:val="center"/>
        <w:rPr>
          <w:rFonts w:hint="eastAsia" w:ascii="宋体" w:hAnsi="宋体" w:eastAsia="宋体" w:cs="仿宋"/>
          <w:color w:val="000000" w:themeColor="text1"/>
          <w:sz w:val="28"/>
          <w:szCs w:val="28"/>
          <w:highlight w:val="none"/>
          <w14:textFill>
            <w14:solidFill>
              <w14:schemeClr w14:val="tx1"/>
            </w14:solidFill>
          </w14:textFill>
        </w:rPr>
      </w:pPr>
    </w:p>
    <w:p w14:paraId="100DF723">
      <w:pPr>
        <w:pStyle w:val="2"/>
        <w:rPr>
          <w:rFonts w:hint="eastAsia" w:ascii="宋体" w:hAnsi="宋体" w:eastAsia="宋体"/>
          <w:color w:val="000000" w:themeColor="text1"/>
          <w:highlight w:val="none"/>
          <w14:textFill>
            <w14:solidFill>
              <w14:schemeClr w14:val="tx1"/>
            </w14:solidFill>
          </w14:textFill>
        </w:rPr>
      </w:pPr>
    </w:p>
    <w:p w14:paraId="02CEA4F4">
      <w:pPr>
        <w:pStyle w:val="2"/>
        <w:rPr>
          <w:rFonts w:hint="eastAsia" w:ascii="宋体" w:hAnsi="宋体" w:eastAsia="宋体"/>
          <w:color w:val="000000" w:themeColor="text1"/>
          <w:highlight w:val="none"/>
          <w14:textFill>
            <w14:solidFill>
              <w14:schemeClr w14:val="tx1"/>
            </w14:solidFill>
          </w14:textFill>
        </w:rPr>
      </w:pPr>
    </w:p>
    <w:p w14:paraId="4C9AD0B3">
      <w:pPr>
        <w:snapToGrid w:val="0"/>
        <w:spacing w:line="560" w:lineRule="exact"/>
        <w:ind w:firstLine="562" w:firstLineChars="201"/>
        <w:jc w:val="center"/>
        <w:rPr>
          <w:rFonts w:hint="eastAsia" w:ascii="宋体" w:hAnsi="宋体" w:eastAsia="宋体" w:cs="仿宋"/>
          <w:color w:val="000000" w:themeColor="text1"/>
          <w:sz w:val="28"/>
          <w:szCs w:val="28"/>
          <w:highlight w:val="none"/>
          <w14:textFill>
            <w14:solidFill>
              <w14:schemeClr w14:val="tx1"/>
            </w14:solidFill>
          </w14:textFill>
        </w:rPr>
      </w:pPr>
    </w:p>
    <w:p w14:paraId="6A453560">
      <w:pPr>
        <w:widowControl/>
        <w:jc w:val="left"/>
        <w:rPr>
          <w:rFonts w:hint="eastAsia" w:ascii="宋体" w:hAnsi="宋体" w:eastAsia="宋体"/>
          <w:color w:val="000000" w:themeColor="text1"/>
          <w:kern w:val="0"/>
          <w:sz w:val="24"/>
          <w:highlight w:val="none"/>
          <w14:textFill>
            <w14:solidFill>
              <w14:schemeClr w14:val="tx1"/>
            </w14:solidFill>
          </w14:textFill>
        </w:rPr>
      </w:pPr>
      <w:r>
        <w:rPr>
          <w:rFonts w:ascii="宋体" w:hAnsi="宋体" w:eastAsia="宋体"/>
          <w:color w:val="000000" w:themeColor="text1"/>
          <w:highlight w:val="none"/>
          <w14:textFill>
            <w14:solidFill>
              <w14:schemeClr w14:val="tx1"/>
            </w14:solidFill>
          </w14:textFill>
        </w:rPr>
        <w:br w:type="page"/>
      </w:r>
    </w:p>
    <w:p w14:paraId="7C1D8641">
      <w:pPr>
        <w:snapToGrid w:val="0"/>
        <w:spacing w:line="560" w:lineRule="exact"/>
        <w:jc w:val="center"/>
        <w:rPr>
          <w:rFonts w:hint="eastAsia" w:ascii="宋体" w:hAnsi="宋体" w:eastAsia="宋体" w:cs="仿宋"/>
          <w:color w:val="000000" w:themeColor="text1"/>
          <w:sz w:val="30"/>
          <w:szCs w:val="30"/>
          <w:highlight w:val="none"/>
          <w14:textFill>
            <w14:solidFill>
              <w14:schemeClr w14:val="tx1"/>
            </w14:solidFill>
          </w14:textFill>
        </w:rPr>
      </w:pPr>
      <w:r>
        <w:rPr>
          <w:rFonts w:hint="eastAsia" w:ascii="宋体" w:hAnsi="宋体" w:eastAsia="宋体" w:cs="仿宋"/>
          <w:color w:val="000000" w:themeColor="text1"/>
          <w:sz w:val="30"/>
          <w:szCs w:val="30"/>
          <w:highlight w:val="none"/>
          <w14:textFill>
            <w14:solidFill>
              <w14:schemeClr w14:val="tx1"/>
            </w14:solidFill>
          </w14:textFill>
        </w:rPr>
        <w:t>投标人、法定代表人、委托代理人、项目负责人（项目经理）未被最高法院（查询网址：</w:t>
      </w:r>
      <w:r>
        <w:rPr>
          <w:rFonts w:ascii="宋体" w:hAnsi="宋体" w:eastAsia="宋体" w:cs="仿宋"/>
          <w:color w:val="000000" w:themeColor="text1"/>
          <w:sz w:val="30"/>
          <w:szCs w:val="30"/>
          <w:highlight w:val="none"/>
          <w14:textFill>
            <w14:solidFill>
              <w14:schemeClr w14:val="tx1"/>
            </w14:solidFill>
          </w14:textFill>
        </w:rPr>
        <w:t>http://zxgk.court.gov.cn/shixin/）列入失信被执行人</w:t>
      </w:r>
    </w:p>
    <w:p w14:paraId="13B4586A">
      <w:pPr>
        <w:snapToGrid w:val="0"/>
        <w:spacing w:line="560" w:lineRule="exact"/>
        <w:ind w:firstLine="602" w:firstLineChars="201"/>
        <w:jc w:val="center"/>
        <w:rPr>
          <w:rFonts w:hint="eastAsia" w:ascii="宋体" w:hAnsi="宋体" w:eastAsia="宋体" w:cs="仿宋"/>
          <w:color w:val="000000" w:themeColor="text1"/>
          <w:sz w:val="30"/>
          <w:szCs w:val="30"/>
          <w:highlight w:val="none"/>
          <w14:textFill>
            <w14:solidFill>
              <w14:schemeClr w14:val="tx1"/>
            </w14:solidFill>
          </w14:textFill>
        </w:rPr>
      </w:pPr>
    </w:p>
    <w:p w14:paraId="08B08419">
      <w:pPr>
        <w:snapToGrid w:val="0"/>
        <w:spacing w:line="560" w:lineRule="exact"/>
        <w:ind w:firstLine="602" w:firstLineChars="201"/>
        <w:jc w:val="center"/>
        <w:rPr>
          <w:rFonts w:hint="eastAsia" w:ascii="宋体" w:hAnsi="宋体" w:eastAsia="宋体" w:cs="仿宋"/>
          <w:color w:val="000000" w:themeColor="text1"/>
          <w:sz w:val="30"/>
          <w:szCs w:val="30"/>
          <w:highlight w:val="none"/>
          <w14:textFill>
            <w14:solidFill>
              <w14:schemeClr w14:val="tx1"/>
            </w14:solidFill>
          </w14:textFill>
        </w:rPr>
      </w:pPr>
    </w:p>
    <w:p w14:paraId="76C85F49">
      <w:pPr>
        <w:snapToGrid w:val="0"/>
        <w:spacing w:line="560" w:lineRule="exact"/>
        <w:ind w:firstLine="602" w:firstLineChars="201"/>
        <w:jc w:val="center"/>
        <w:rPr>
          <w:rFonts w:hint="eastAsia" w:ascii="宋体" w:hAnsi="宋体" w:eastAsia="宋体" w:cs="仿宋"/>
          <w:color w:val="000000" w:themeColor="text1"/>
          <w:sz w:val="30"/>
          <w:szCs w:val="30"/>
          <w:highlight w:val="none"/>
          <w14:textFill>
            <w14:solidFill>
              <w14:schemeClr w14:val="tx1"/>
            </w14:solidFill>
          </w14:textFill>
        </w:rPr>
      </w:pPr>
    </w:p>
    <w:p w14:paraId="7FFC7A29">
      <w:pPr>
        <w:snapToGrid w:val="0"/>
        <w:spacing w:line="560" w:lineRule="exact"/>
        <w:ind w:firstLine="602" w:firstLineChars="201"/>
        <w:jc w:val="center"/>
        <w:rPr>
          <w:rFonts w:hint="eastAsia" w:ascii="宋体" w:hAnsi="宋体" w:eastAsia="宋体" w:cs="仿宋"/>
          <w:color w:val="000000" w:themeColor="text1"/>
          <w:sz w:val="30"/>
          <w:szCs w:val="30"/>
          <w:highlight w:val="none"/>
          <w14:textFill>
            <w14:solidFill>
              <w14:schemeClr w14:val="tx1"/>
            </w14:solidFill>
          </w14:textFill>
        </w:rPr>
      </w:pPr>
    </w:p>
    <w:p w14:paraId="13E786D6">
      <w:pPr>
        <w:snapToGrid w:val="0"/>
        <w:spacing w:line="560" w:lineRule="exact"/>
        <w:ind w:firstLine="602" w:firstLineChars="201"/>
        <w:jc w:val="center"/>
        <w:rPr>
          <w:rFonts w:hint="eastAsia" w:ascii="宋体" w:hAnsi="宋体" w:eastAsia="宋体" w:cs="仿宋"/>
          <w:color w:val="000000" w:themeColor="text1"/>
          <w:sz w:val="30"/>
          <w:szCs w:val="30"/>
          <w:highlight w:val="none"/>
          <w14:textFill>
            <w14:solidFill>
              <w14:schemeClr w14:val="tx1"/>
            </w14:solidFill>
          </w14:textFill>
        </w:rPr>
      </w:pPr>
    </w:p>
    <w:p w14:paraId="342C70AC">
      <w:pPr>
        <w:snapToGrid w:val="0"/>
        <w:spacing w:line="560" w:lineRule="exact"/>
        <w:ind w:firstLine="602" w:firstLineChars="201"/>
        <w:jc w:val="center"/>
        <w:rPr>
          <w:rFonts w:hint="eastAsia" w:ascii="宋体" w:hAnsi="宋体" w:eastAsia="宋体" w:cs="仿宋"/>
          <w:color w:val="000000" w:themeColor="text1"/>
          <w:sz w:val="30"/>
          <w:szCs w:val="30"/>
          <w:highlight w:val="none"/>
          <w14:textFill>
            <w14:solidFill>
              <w14:schemeClr w14:val="tx1"/>
            </w14:solidFill>
          </w14:textFill>
        </w:rPr>
      </w:pPr>
    </w:p>
    <w:p w14:paraId="27EB416A">
      <w:pPr>
        <w:snapToGrid w:val="0"/>
        <w:spacing w:line="560" w:lineRule="exact"/>
        <w:ind w:firstLine="602" w:firstLineChars="201"/>
        <w:jc w:val="center"/>
        <w:rPr>
          <w:rFonts w:hint="eastAsia" w:ascii="宋体" w:hAnsi="宋体" w:eastAsia="宋体" w:cs="仿宋"/>
          <w:color w:val="000000" w:themeColor="text1"/>
          <w:sz w:val="30"/>
          <w:szCs w:val="30"/>
          <w:highlight w:val="none"/>
          <w14:textFill>
            <w14:solidFill>
              <w14:schemeClr w14:val="tx1"/>
            </w14:solidFill>
          </w14:textFill>
        </w:rPr>
      </w:pPr>
    </w:p>
    <w:p w14:paraId="07394B90">
      <w:pPr>
        <w:snapToGrid w:val="0"/>
        <w:spacing w:line="560" w:lineRule="exact"/>
        <w:ind w:firstLine="482" w:firstLineChars="201"/>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注：</w:t>
      </w:r>
      <w:r>
        <w:rPr>
          <w:rFonts w:ascii="宋体" w:hAnsi="宋体" w:eastAsia="宋体" w:cs="仿宋"/>
          <w:color w:val="000000" w:themeColor="text1"/>
          <w:sz w:val="24"/>
          <w:highlight w:val="none"/>
          <w14:textFill>
            <w14:solidFill>
              <w14:schemeClr w14:val="tx1"/>
            </w14:solidFill>
          </w14:textFill>
        </w:rPr>
        <w:t>附通过网站查询信息记录，包含投标人</w:t>
      </w:r>
      <w:r>
        <w:rPr>
          <w:rFonts w:hint="eastAsia" w:ascii="宋体" w:hAnsi="宋体" w:eastAsia="宋体" w:cs="仿宋"/>
          <w:color w:val="000000" w:themeColor="text1"/>
          <w:sz w:val="24"/>
          <w:highlight w:val="none"/>
          <w14:textFill>
            <w14:solidFill>
              <w14:schemeClr w14:val="tx1"/>
            </w14:solidFill>
          </w14:textFill>
        </w:rPr>
        <w:t>、</w:t>
      </w:r>
      <w:r>
        <w:rPr>
          <w:rFonts w:ascii="宋体" w:hAnsi="宋体" w:eastAsia="宋体" w:cs="仿宋"/>
          <w:color w:val="000000" w:themeColor="text1"/>
          <w:sz w:val="24"/>
          <w:highlight w:val="none"/>
          <w14:textFill>
            <w14:solidFill>
              <w14:schemeClr w14:val="tx1"/>
            </w14:solidFill>
          </w14:textFill>
        </w:rPr>
        <w:t>法定代表人、委托代理人</w:t>
      </w:r>
      <w:r>
        <w:rPr>
          <w:rFonts w:hint="eastAsia" w:ascii="宋体" w:hAnsi="宋体" w:eastAsia="宋体" w:cs="仿宋"/>
          <w:color w:val="000000" w:themeColor="text1"/>
          <w:sz w:val="24"/>
          <w:highlight w:val="none"/>
          <w14:textFill>
            <w14:solidFill>
              <w14:schemeClr w14:val="tx1"/>
            </w14:solidFill>
          </w14:textFill>
        </w:rPr>
        <w:t>、项目负责人（项目经理）</w:t>
      </w:r>
      <w:r>
        <w:rPr>
          <w:rFonts w:ascii="宋体" w:hAnsi="宋体" w:eastAsia="宋体" w:cs="仿宋"/>
          <w:color w:val="000000" w:themeColor="text1"/>
          <w:sz w:val="24"/>
          <w:highlight w:val="none"/>
          <w14:textFill>
            <w14:solidFill>
              <w14:schemeClr w14:val="tx1"/>
            </w14:solidFill>
          </w14:textFill>
        </w:rPr>
        <w:t>失信被执行人情况网页截图（省份为全部）</w:t>
      </w:r>
    </w:p>
    <w:p w14:paraId="3C1494CD">
      <w:pPr>
        <w:pStyle w:val="2"/>
        <w:rPr>
          <w:rFonts w:hint="eastAsia" w:ascii="宋体" w:hAnsi="宋体" w:eastAsia="宋体"/>
          <w:color w:val="000000" w:themeColor="text1"/>
          <w:highlight w:val="none"/>
          <w14:textFill>
            <w14:solidFill>
              <w14:schemeClr w14:val="tx1"/>
            </w14:solidFill>
          </w14:textFill>
        </w:rPr>
      </w:pPr>
    </w:p>
    <w:p w14:paraId="7C9D4CDE">
      <w:pPr>
        <w:pStyle w:val="3"/>
        <w:ind w:left="5250"/>
        <w:rPr>
          <w:rFonts w:hint="eastAsia" w:hAnsi="宋体" w:eastAsia="宋体"/>
          <w:color w:val="000000" w:themeColor="text1"/>
          <w:highlight w:val="none"/>
          <w14:textFill>
            <w14:solidFill>
              <w14:schemeClr w14:val="tx1"/>
            </w14:solidFill>
          </w14:textFill>
        </w:rPr>
      </w:pPr>
    </w:p>
    <w:p w14:paraId="399ADD08">
      <w:pPr>
        <w:rPr>
          <w:rFonts w:hint="eastAsia" w:ascii="宋体" w:hAnsi="宋体" w:eastAsia="宋体"/>
          <w:color w:val="000000" w:themeColor="text1"/>
          <w:highlight w:val="none"/>
          <w14:textFill>
            <w14:solidFill>
              <w14:schemeClr w14:val="tx1"/>
            </w14:solidFill>
          </w14:textFill>
        </w:rPr>
      </w:pPr>
    </w:p>
    <w:p w14:paraId="051E4377">
      <w:pPr>
        <w:pStyle w:val="66"/>
        <w:ind w:firstLine="560"/>
        <w:rPr>
          <w:rFonts w:hint="eastAsia" w:ascii="宋体" w:hAnsi="宋体" w:eastAsia="宋体" w:cs="仿宋"/>
          <w:color w:val="000000" w:themeColor="text1"/>
          <w:sz w:val="28"/>
          <w:szCs w:val="28"/>
          <w:highlight w:val="none"/>
          <w14:textFill>
            <w14:solidFill>
              <w14:schemeClr w14:val="tx1"/>
            </w14:solidFill>
          </w14:textFill>
        </w:rPr>
      </w:pPr>
    </w:p>
    <w:p w14:paraId="750EF19C">
      <w:pPr>
        <w:snapToGrid w:val="0"/>
        <w:spacing w:line="560" w:lineRule="exact"/>
        <w:ind w:firstLine="562" w:firstLineChars="201"/>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投标人（盖章）</w:t>
      </w:r>
    </w:p>
    <w:p w14:paraId="5957F584">
      <w:pPr>
        <w:pStyle w:val="2"/>
        <w:rPr>
          <w:rFonts w:hint="eastAsia" w:ascii="宋体" w:hAnsi="宋体" w:eastAsia="宋体"/>
          <w:color w:val="000000" w:themeColor="text1"/>
          <w:highlight w:val="none"/>
          <w14:textFill>
            <w14:solidFill>
              <w14:schemeClr w14:val="tx1"/>
            </w14:solidFill>
          </w14:textFill>
        </w:rPr>
      </w:pPr>
    </w:p>
    <w:p w14:paraId="1E72AEEF">
      <w:pPr>
        <w:pStyle w:val="3"/>
        <w:ind w:left="5250"/>
        <w:rPr>
          <w:rFonts w:hint="eastAsia" w:hAnsi="宋体" w:eastAsia="宋体"/>
          <w:color w:val="000000" w:themeColor="text1"/>
          <w:highlight w:val="none"/>
          <w14:textFill>
            <w14:solidFill>
              <w14:schemeClr w14:val="tx1"/>
            </w14:solidFill>
          </w14:textFill>
        </w:rPr>
      </w:pPr>
    </w:p>
    <w:p w14:paraId="30ADC278">
      <w:pPr>
        <w:rPr>
          <w:rFonts w:hint="eastAsia" w:ascii="宋体" w:hAnsi="宋体" w:eastAsia="宋体"/>
          <w:color w:val="000000" w:themeColor="text1"/>
          <w:highlight w:val="none"/>
          <w14:textFill>
            <w14:solidFill>
              <w14:schemeClr w14:val="tx1"/>
            </w14:solidFill>
          </w14:textFill>
        </w:rPr>
      </w:pPr>
    </w:p>
    <w:p w14:paraId="150A3F8D">
      <w:pPr>
        <w:pStyle w:val="2"/>
        <w:rPr>
          <w:rFonts w:hint="eastAsia" w:ascii="宋体" w:hAnsi="宋体" w:eastAsia="宋体"/>
          <w:color w:val="000000" w:themeColor="text1"/>
          <w:highlight w:val="none"/>
          <w14:textFill>
            <w14:solidFill>
              <w14:schemeClr w14:val="tx1"/>
            </w14:solidFill>
          </w14:textFill>
        </w:rPr>
      </w:pPr>
    </w:p>
    <w:p w14:paraId="4534C26A">
      <w:pPr>
        <w:pStyle w:val="3"/>
        <w:ind w:left="5250"/>
        <w:rPr>
          <w:rFonts w:hint="eastAsia" w:hAnsi="宋体" w:eastAsia="宋体"/>
          <w:color w:val="000000" w:themeColor="text1"/>
          <w:highlight w:val="none"/>
          <w14:textFill>
            <w14:solidFill>
              <w14:schemeClr w14:val="tx1"/>
            </w14:solidFill>
          </w14:textFill>
        </w:rPr>
      </w:pPr>
    </w:p>
    <w:p w14:paraId="14132D35">
      <w:pPr>
        <w:widowControl/>
        <w:jc w:val="left"/>
        <w:rPr>
          <w:rFonts w:hint="eastAsia" w:ascii="宋体" w:hAnsi="宋体" w:eastAsia="宋体" w:cs="仿宋"/>
          <w:color w:val="000000" w:themeColor="text1"/>
          <w:sz w:val="30"/>
          <w:szCs w:val="30"/>
          <w:highlight w:val="none"/>
          <w14:textFill>
            <w14:solidFill>
              <w14:schemeClr w14:val="tx1"/>
            </w14:solidFill>
          </w14:textFill>
        </w:rPr>
      </w:pPr>
      <w:bookmarkStart w:id="113" w:name="_Toc523388197"/>
      <w:r>
        <w:rPr>
          <w:rFonts w:ascii="宋体" w:hAnsi="宋体" w:eastAsia="宋体" w:cs="仿宋"/>
          <w:color w:val="000000" w:themeColor="text1"/>
          <w:sz w:val="30"/>
          <w:szCs w:val="30"/>
          <w:highlight w:val="none"/>
          <w14:textFill>
            <w14:solidFill>
              <w14:schemeClr w14:val="tx1"/>
            </w14:solidFill>
          </w14:textFill>
        </w:rPr>
        <w:br w:type="page"/>
      </w:r>
    </w:p>
    <w:p w14:paraId="3EBA15C8">
      <w:pPr>
        <w:snapToGrid w:val="0"/>
        <w:spacing w:line="560" w:lineRule="exact"/>
        <w:jc w:val="center"/>
        <w:rPr>
          <w:rFonts w:hint="eastAsia" w:ascii="宋体" w:hAnsi="宋体" w:eastAsia="宋体" w:cs="仿宋"/>
          <w:color w:val="000000" w:themeColor="text1"/>
          <w:sz w:val="30"/>
          <w:szCs w:val="30"/>
          <w:highlight w:val="none"/>
          <w14:textFill>
            <w14:solidFill>
              <w14:schemeClr w14:val="tx1"/>
            </w14:solidFill>
          </w14:textFill>
        </w:rPr>
      </w:pPr>
      <w:r>
        <w:rPr>
          <w:rFonts w:hint="eastAsia" w:ascii="宋体" w:hAnsi="宋体" w:eastAsia="宋体" w:cs="仿宋"/>
          <w:color w:val="000000" w:themeColor="text1"/>
          <w:sz w:val="30"/>
          <w:szCs w:val="30"/>
          <w:highlight w:val="none"/>
          <w14:textFill>
            <w14:solidFill>
              <w14:schemeClr w14:val="tx1"/>
            </w14:solidFill>
          </w14:textFill>
        </w:rPr>
        <w:t>投标人近一年在“信用中国”或“信用中国（山东）”无严重失信记录</w:t>
      </w:r>
    </w:p>
    <w:p w14:paraId="03E27719">
      <w:pPr>
        <w:snapToGrid w:val="0"/>
        <w:spacing w:line="560" w:lineRule="exact"/>
        <w:ind w:firstLine="602" w:firstLineChars="201"/>
        <w:jc w:val="center"/>
        <w:rPr>
          <w:rFonts w:hint="eastAsia" w:ascii="宋体" w:hAnsi="宋体" w:eastAsia="宋体" w:cs="仿宋"/>
          <w:color w:val="000000" w:themeColor="text1"/>
          <w:sz w:val="30"/>
          <w:szCs w:val="30"/>
          <w:highlight w:val="none"/>
          <w14:textFill>
            <w14:solidFill>
              <w14:schemeClr w14:val="tx1"/>
            </w14:solidFill>
          </w14:textFill>
        </w:rPr>
      </w:pPr>
    </w:p>
    <w:p w14:paraId="21FF9A9A">
      <w:pPr>
        <w:snapToGrid w:val="0"/>
        <w:spacing w:line="560" w:lineRule="exact"/>
        <w:ind w:firstLine="602" w:firstLineChars="201"/>
        <w:jc w:val="center"/>
        <w:rPr>
          <w:rFonts w:hint="eastAsia" w:ascii="宋体" w:hAnsi="宋体" w:eastAsia="宋体" w:cs="仿宋"/>
          <w:color w:val="000000" w:themeColor="text1"/>
          <w:sz w:val="30"/>
          <w:szCs w:val="30"/>
          <w:highlight w:val="none"/>
          <w14:textFill>
            <w14:solidFill>
              <w14:schemeClr w14:val="tx1"/>
            </w14:solidFill>
          </w14:textFill>
        </w:rPr>
      </w:pPr>
    </w:p>
    <w:p w14:paraId="65DAD957">
      <w:pPr>
        <w:snapToGrid w:val="0"/>
        <w:spacing w:line="560" w:lineRule="exact"/>
        <w:ind w:firstLine="602" w:firstLineChars="201"/>
        <w:jc w:val="center"/>
        <w:rPr>
          <w:rFonts w:hint="eastAsia" w:ascii="宋体" w:hAnsi="宋体" w:eastAsia="宋体" w:cs="仿宋"/>
          <w:color w:val="000000" w:themeColor="text1"/>
          <w:sz w:val="30"/>
          <w:szCs w:val="30"/>
          <w:highlight w:val="none"/>
          <w14:textFill>
            <w14:solidFill>
              <w14:schemeClr w14:val="tx1"/>
            </w14:solidFill>
          </w14:textFill>
        </w:rPr>
      </w:pPr>
    </w:p>
    <w:p w14:paraId="17D0BED1">
      <w:pPr>
        <w:snapToGrid w:val="0"/>
        <w:spacing w:line="560" w:lineRule="exact"/>
        <w:ind w:firstLine="602" w:firstLineChars="201"/>
        <w:jc w:val="center"/>
        <w:rPr>
          <w:rFonts w:hint="eastAsia" w:ascii="宋体" w:hAnsi="宋体" w:eastAsia="宋体" w:cs="仿宋"/>
          <w:color w:val="000000" w:themeColor="text1"/>
          <w:sz w:val="30"/>
          <w:szCs w:val="30"/>
          <w:highlight w:val="none"/>
          <w14:textFill>
            <w14:solidFill>
              <w14:schemeClr w14:val="tx1"/>
            </w14:solidFill>
          </w14:textFill>
        </w:rPr>
      </w:pPr>
    </w:p>
    <w:p w14:paraId="3E351418">
      <w:pPr>
        <w:pStyle w:val="2"/>
        <w:rPr>
          <w:rFonts w:hint="eastAsia" w:ascii="宋体" w:hAnsi="宋体" w:eastAsia="宋体"/>
          <w:color w:val="000000" w:themeColor="text1"/>
          <w:highlight w:val="none"/>
          <w14:textFill>
            <w14:solidFill>
              <w14:schemeClr w14:val="tx1"/>
            </w14:solidFill>
          </w14:textFill>
        </w:rPr>
      </w:pPr>
    </w:p>
    <w:p w14:paraId="1550B117">
      <w:pPr>
        <w:pStyle w:val="3"/>
        <w:ind w:left="5250"/>
        <w:rPr>
          <w:rFonts w:hint="eastAsia" w:hAnsi="宋体" w:eastAsia="宋体"/>
          <w:color w:val="000000" w:themeColor="text1"/>
          <w:highlight w:val="none"/>
          <w14:textFill>
            <w14:solidFill>
              <w14:schemeClr w14:val="tx1"/>
            </w14:solidFill>
          </w14:textFill>
        </w:rPr>
      </w:pPr>
    </w:p>
    <w:p w14:paraId="53A68710">
      <w:pPr>
        <w:rPr>
          <w:rFonts w:hint="eastAsia" w:ascii="宋体" w:hAnsi="宋体" w:eastAsia="宋体"/>
          <w:color w:val="000000" w:themeColor="text1"/>
          <w:highlight w:val="none"/>
          <w14:textFill>
            <w14:solidFill>
              <w14:schemeClr w14:val="tx1"/>
            </w14:solidFill>
          </w14:textFill>
        </w:rPr>
      </w:pPr>
    </w:p>
    <w:p w14:paraId="36984422">
      <w:pPr>
        <w:pStyle w:val="2"/>
        <w:rPr>
          <w:rFonts w:hint="eastAsia" w:ascii="宋体" w:hAnsi="宋体" w:eastAsia="宋体"/>
          <w:color w:val="000000" w:themeColor="text1"/>
          <w:highlight w:val="none"/>
          <w14:textFill>
            <w14:solidFill>
              <w14:schemeClr w14:val="tx1"/>
            </w14:solidFill>
          </w14:textFill>
        </w:rPr>
      </w:pPr>
    </w:p>
    <w:p w14:paraId="0A7AA598">
      <w:pPr>
        <w:snapToGrid w:val="0"/>
        <w:spacing w:line="560" w:lineRule="exact"/>
        <w:ind w:firstLine="482" w:firstLineChars="201"/>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注：附通过信用中国（查询网址：</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"https://www.creditchina.gov.cn" </w:instrText>
      </w:r>
      <w:r>
        <w:rPr>
          <w:color w:val="000000" w:themeColor="text1"/>
          <w:highlight w:val="none"/>
          <w14:textFill>
            <w14:solidFill>
              <w14:schemeClr w14:val="tx1"/>
            </w14:solidFill>
          </w14:textFill>
        </w:rPr>
        <w:fldChar w:fldCharType="separate"/>
      </w:r>
      <w:r>
        <w:rPr>
          <w:rStyle w:val="78"/>
          <w:rFonts w:hint="eastAsia" w:ascii="宋体" w:hAnsi="宋体" w:eastAsia="宋体" w:cs="仿宋"/>
          <w:color w:val="000000" w:themeColor="text1"/>
          <w:sz w:val="24"/>
          <w:highlight w:val="none"/>
          <w14:textFill>
            <w14:solidFill>
              <w14:schemeClr w14:val="tx1"/>
            </w14:solidFill>
          </w14:textFill>
        </w:rPr>
        <w:t>https://www.creditchina.gov.cn</w:t>
      </w:r>
      <w:r>
        <w:rPr>
          <w:rStyle w:val="78"/>
          <w:rFonts w:hint="eastAsia" w:ascii="宋体" w:hAnsi="宋体" w:eastAsia="宋体" w:cs="仿宋"/>
          <w:color w:val="000000" w:themeColor="text1"/>
          <w:sz w:val="24"/>
          <w:highlight w:val="none"/>
          <w14:textFill>
            <w14:solidFill>
              <w14:schemeClr w14:val="tx1"/>
            </w14:solidFill>
          </w14:textFill>
        </w:rPr>
        <w:fldChar w:fldCharType="end"/>
      </w:r>
      <w:r>
        <w:rPr>
          <w:rFonts w:hint="eastAsia" w:ascii="宋体" w:hAnsi="宋体" w:eastAsia="宋体" w:cs="仿宋"/>
          <w:color w:val="000000" w:themeColor="text1"/>
          <w:sz w:val="24"/>
          <w:highlight w:val="none"/>
          <w14:textFill>
            <w14:solidFill>
              <w14:schemeClr w14:val="tx1"/>
            </w14:solidFill>
          </w14:textFill>
        </w:rPr>
        <w:t>）查询的信用报告或信用中国（山东）（查询网址：https://credit.shandong.gov.cn）查询的信用报告。</w:t>
      </w:r>
    </w:p>
    <w:p w14:paraId="1E2F7882">
      <w:pPr>
        <w:pStyle w:val="2"/>
        <w:rPr>
          <w:rFonts w:hint="eastAsia" w:ascii="宋体" w:hAnsi="宋体" w:eastAsia="宋体"/>
          <w:color w:val="000000" w:themeColor="text1"/>
          <w:highlight w:val="none"/>
          <w14:textFill>
            <w14:solidFill>
              <w14:schemeClr w14:val="tx1"/>
            </w14:solidFill>
          </w14:textFill>
        </w:rPr>
      </w:pPr>
    </w:p>
    <w:p w14:paraId="1E2EE739">
      <w:pPr>
        <w:snapToGrid w:val="0"/>
        <w:spacing w:line="560" w:lineRule="exact"/>
        <w:ind w:firstLine="602" w:firstLineChars="201"/>
        <w:jc w:val="center"/>
        <w:rPr>
          <w:rFonts w:hint="eastAsia" w:ascii="宋体" w:hAnsi="宋体" w:eastAsia="宋体" w:cs="仿宋"/>
          <w:color w:val="000000" w:themeColor="text1"/>
          <w:sz w:val="30"/>
          <w:szCs w:val="30"/>
          <w:highlight w:val="none"/>
          <w14:textFill>
            <w14:solidFill>
              <w14:schemeClr w14:val="tx1"/>
            </w14:solidFill>
          </w14:textFill>
        </w:rPr>
      </w:pPr>
    </w:p>
    <w:p w14:paraId="086940F0">
      <w:pPr>
        <w:pStyle w:val="2"/>
        <w:rPr>
          <w:rFonts w:hint="eastAsia" w:ascii="宋体" w:hAnsi="宋体" w:eastAsia="宋体"/>
          <w:color w:val="000000" w:themeColor="text1"/>
          <w:highlight w:val="none"/>
          <w14:textFill>
            <w14:solidFill>
              <w14:schemeClr w14:val="tx1"/>
            </w14:solidFill>
          </w14:textFill>
        </w:rPr>
      </w:pPr>
    </w:p>
    <w:p w14:paraId="48ECF8C0">
      <w:pPr>
        <w:pStyle w:val="3"/>
        <w:ind w:left="5250"/>
        <w:rPr>
          <w:rFonts w:hint="eastAsia" w:hAnsi="宋体" w:eastAsia="宋体"/>
          <w:color w:val="000000" w:themeColor="text1"/>
          <w:highlight w:val="none"/>
          <w14:textFill>
            <w14:solidFill>
              <w14:schemeClr w14:val="tx1"/>
            </w14:solidFill>
          </w14:textFill>
        </w:rPr>
      </w:pPr>
    </w:p>
    <w:p w14:paraId="460FB51E">
      <w:pPr>
        <w:rPr>
          <w:rFonts w:hint="eastAsia" w:ascii="宋体" w:hAnsi="宋体" w:eastAsia="宋体"/>
          <w:color w:val="000000" w:themeColor="text1"/>
          <w:highlight w:val="none"/>
          <w14:textFill>
            <w14:solidFill>
              <w14:schemeClr w14:val="tx1"/>
            </w14:solidFill>
          </w14:textFill>
        </w:rPr>
      </w:pPr>
    </w:p>
    <w:p w14:paraId="63A411CB">
      <w:pPr>
        <w:snapToGrid w:val="0"/>
        <w:spacing w:line="560" w:lineRule="exact"/>
        <w:ind w:firstLine="602" w:firstLineChars="201"/>
        <w:jc w:val="center"/>
        <w:rPr>
          <w:rFonts w:hint="eastAsia" w:ascii="宋体" w:hAnsi="宋体" w:eastAsia="宋体" w:cs="仿宋"/>
          <w:color w:val="000000" w:themeColor="text1"/>
          <w:sz w:val="30"/>
          <w:szCs w:val="30"/>
          <w:highlight w:val="none"/>
          <w14:textFill>
            <w14:solidFill>
              <w14:schemeClr w14:val="tx1"/>
            </w14:solidFill>
          </w14:textFill>
        </w:rPr>
      </w:pPr>
    </w:p>
    <w:p w14:paraId="284B870B">
      <w:pPr>
        <w:pStyle w:val="66"/>
        <w:ind w:firstLine="560"/>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投标人（盖章）：</w:t>
      </w:r>
    </w:p>
    <w:p w14:paraId="748872DB">
      <w:pPr>
        <w:snapToGrid w:val="0"/>
        <w:spacing w:line="560" w:lineRule="exact"/>
        <w:ind w:firstLine="602" w:firstLineChars="201"/>
        <w:jc w:val="center"/>
        <w:rPr>
          <w:rFonts w:hint="eastAsia" w:ascii="宋体" w:hAnsi="宋体" w:eastAsia="宋体" w:cs="仿宋"/>
          <w:color w:val="000000" w:themeColor="text1"/>
          <w:sz w:val="30"/>
          <w:szCs w:val="30"/>
          <w:highlight w:val="none"/>
          <w14:textFill>
            <w14:solidFill>
              <w14:schemeClr w14:val="tx1"/>
            </w14:solidFill>
          </w14:textFill>
        </w:rPr>
      </w:pPr>
    </w:p>
    <w:p w14:paraId="31AB2ECD">
      <w:pPr>
        <w:pStyle w:val="3"/>
        <w:ind w:left="5250"/>
        <w:rPr>
          <w:rFonts w:hint="eastAsia" w:hAnsi="宋体" w:eastAsia="宋体"/>
          <w:color w:val="000000" w:themeColor="text1"/>
          <w:highlight w:val="none"/>
          <w14:textFill>
            <w14:solidFill>
              <w14:schemeClr w14:val="tx1"/>
            </w14:solidFill>
          </w14:textFill>
        </w:rPr>
      </w:pPr>
    </w:p>
    <w:p w14:paraId="0F2F300A">
      <w:pPr>
        <w:snapToGrid w:val="0"/>
        <w:spacing w:line="560" w:lineRule="exact"/>
        <w:ind w:firstLine="602" w:firstLineChars="201"/>
        <w:jc w:val="center"/>
        <w:rPr>
          <w:rFonts w:hint="eastAsia" w:ascii="宋体" w:hAnsi="宋体" w:eastAsia="宋体" w:cs="仿宋"/>
          <w:color w:val="000000" w:themeColor="text1"/>
          <w:sz w:val="30"/>
          <w:szCs w:val="30"/>
          <w:highlight w:val="none"/>
          <w14:textFill>
            <w14:solidFill>
              <w14:schemeClr w14:val="tx1"/>
            </w14:solidFill>
          </w14:textFill>
        </w:rPr>
      </w:pPr>
    </w:p>
    <w:p w14:paraId="2052A0A3">
      <w:pPr>
        <w:pStyle w:val="2"/>
        <w:rPr>
          <w:rFonts w:hint="eastAsia" w:ascii="宋体" w:hAnsi="宋体" w:eastAsia="宋体"/>
          <w:color w:val="000000" w:themeColor="text1"/>
          <w:highlight w:val="none"/>
          <w14:textFill>
            <w14:solidFill>
              <w14:schemeClr w14:val="tx1"/>
            </w14:solidFill>
          </w14:textFill>
        </w:rPr>
      </w:pPr>
    </w:p>
    <w:p w14:paraId="1CE95F1D">
      <w:pPr>
        <w:pStyle w:val="3"/>
        <w:ind w:left="5250"/>
        <w:rPr>
          <w:rFonts w:hint="eastAsia" w:hAnsi="宋体" w:eastAsia="宋体"/>
          <w:color w:val="000000" w:themeColor="text1"/>
          <w:highlight w:val="none"/>
          <w14:textFill>
            <w14:solidFill>
              <w14:schemeClr w14:val="tx1"/>
            </w14:solidFill>
          </w14:textFill>
        </w:rPr>
      </w:pPr>
    </w:p>
    <w:p w14:paraId="3FF2A377">
      <w:pPr>
        <w:widowControl/>
        <w:jc w:val="left"/>
        <w:rPr>
          <w:rFonts w:hint="eastAsia" w:ascii="宋体" w:hAnsi="宋体" w:eastAsia="宋体" w:cs="仿宋"/>
          <w:color w:val="000000" w:themeColor="text1"/>
          <w:sz w:val="30"/>
          <w:szCs w:val="30"/>
          <w:highlight w:val="none"/>
          <w14:textFill>
            <w14:solidFill>
              <w14:schemeClr w14:val="tx1"/>
            </w14:solidFill>
          </w14:textFill>
        </w:rPr>
      </w:pPr>
      <w:r>
        <w:rPr>
          <w:rFonts w:ascii="宋体" w:hAnsi="宋体" w:eastAsia="宋体" w:cs="仿宋"/>
          <w:color w:val="000000" w:themeColor="text1"/>
          <w:sz w:val="30"/>
          <w:szCs w:val="30"/>
          <w:highlight w:val="none"/>
          <w14:textFill>
            <w14:solidFill>
              <w14:schemeClr w14:val="tx1"/>
            </w14:solidFill>
          </w14:textFill>
        </w:rPr>
        <w:br w:type="page"/>
      </w:r>
    </w:p>
    <w:p w14:paraId="5A75F474">
      <w:pPr>
        <w:snapToGrid w:val="0"/>
        <w:spacing w:line="560" w:lineRule="exact"/>
        <w:jc w:val="center"/>
        <w:rPr>
          <w:rFonts w:hint="eastAsia" w:ascii="宋体" w:hAnsi="宋体" w:eastAsia="宋体" w:cs="仿宋"/>
          <w:color w:val="000000" w:themeColor="text1"/>
          <w:sz w:val="30"/>
          <w:szCs w:val="30"/>
          <w:highlight w:val="none"/>
          <w14:textFill>
            <w14:solidFill>
              <w14:schemeClr w14:val="tx1"/>
            </w14:solidFill>
          </w14:textFill>
        </w:rPr>
      </w:pPr>
      <w:r>
        <w:rPr>
          <w:rFonts w:hint="eastAsia" w:ascii="宋体" w:hAnsi="宋体" w:eastAsia="宋体" w:cs="仿宋"/>
          <w:color w:val="000000" w:themeColor="text1"/>
          <w:sz w:val="30"/>
          <w:szCs w:val="30"/>
          <w:highlight w:val="none"/>
          <w14:textFill>
            <w14:solidFill>
              <w14:schemeClr w14:val="tx1"/>
            </w14:solidFill>
          </w14:textFill>
        </w:rPr>
        <w:t>投标人认为需要提供的资质资格证明文件</w:t>
      </w:r>
    </w:p>
    <w:p w14:paraId="7A2FF961">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p>
    <w:p w14:paraId="1D7EE604">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p>
    <w:p w14:paraId="284AF0F6">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p>
    <w:p w14:paraId="5E0AC81C">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p>
    <w:p w14:paraId="5EABC398">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p>
    <w:p w14:paraId="7E7B8DDC">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p>
    <w:p w14:paraId="64FE237C">
      <w:pPr>
        <w:snapToGrid w:val="0"/>
        <w:spacing w:line="560" w:lineRule="exact"/>
        <w:ind w:firstLine="562" w:firstLineChars="201"/>
        <w:rPr>
          <w:rFonts w:hint="eastAsia" w:ascii="宋体" w:hAnsi="宋体" w:eastAsia="宋体" w:cs="仿宋"/>
          <w:color w:val="000000" w:themeColor="text1"/>
          <w:sz w:val="28"/>
          <w:szCs w:val="28"/>
          <w:highlight w:val="none"/>
          <w14:textFill>
            <w14:solidFill>
              <w14:schemeClr w14:val="tx1"/>
            </w14:solidFill>
          </w14:textFill>
        </w:rPr>
      </w:pPr>
    </w:p>
    <w:p w14:paraId="04A441EA">
      <w:pPr>
        <w:snapToGrid w:val="0"/>
        <w:spacing w:line="560" w:lineRule="exact"/>
        <w:ind w:firstLine="562" w:firstLineChars="201"/>
        <w:jc w:val="center"/>
        <w:rPr>
          <w:rFonts w:hint="eastAsia" w:ascii="宋体" w:hAnsi="宋体" w:eastAsia="宋体" w:cs="仿宋"/>
          <w:color w:val="000000" w:themeColor="text1"/>
          <w:sz w:val="28"/>
          <w:szCs w:val="28"/>
          <w:highlight w:val="none"/>
          <w14:textFill>
            <w14:solidFill>
              <w14:schemeClr w14:val="tx1"/>
            </w14:solidFill>
          </w14:textFill>
        </w:rPr>
      </w:pPr>
    </w:p>
    <w:p w14:paraId="2C8156C5">
      <w:pPr>
        <w:snapToGrid w:val="0"/>
        <w:spacing w:line="560" w:lineRule="exact"/>
        <w:ind w:firstLine="562" w:firstLineChars="201"/>
        <w:jc w:val="center"/>
        <w:rPr>
          <w:rFonts w:hint="eastAsia" w:ascii="宋体" w:hAnsi="宋体" w:eastAsia="宋体" w:cs="仿宋"/>
          <w:color w:val="000000" w:themeColor="text1"/>
          <w:sz w:val="28"/>
          <w:szCs w:val="28"/>
          <w:highlight w:val="none"/>
          <w14:textFill>
            <w14:solidFill>
              <w14:schemeClr w14:val="tx1"/>
            </w14:solidFill>
          </w14:textFill>
        </w:rPr>
      </w:pPr>
    </w:p>
    <w:p w14:paraId="78EA9636">
      <w:pPr>
        <w:snapToGrid w:val="0"/>
        <w:spacing w:line="560" w:lineRule="exact"/>
        <w:ind w:firstLine="562" w:firstLineChars="201"/>
        <w:jc w:val="center"/>
        <w:rPr>
          <w:rFonts w:hint="eastAsia" w:ascii="宋体" w:hAnsi="宋体" w:eastAsia="宋体" w:cs="仿宋"/>
          <w:color w:val="000000" w:themeColor="text1"/>
          <w:sz w:val="28"/>
          <w:szCs w:val="28"/>
          <w:highlight w:val="none"/>
          <w14:textFill>
            <w14:solidFill>
              <w14:schemeClr w14:val="tx1"/>
            </w14:solidFill>
          </w14:textFill>
        </w:rPr>
      </w:pPr>
    </w:p>
    <w:p w14:paraId="5A917CDE">
      <w:pPr>
        <w:snapToGrid w:val="0"/>
        <w:spacing w:line="560" w:lineRule="exact"/>
        <w:ind w:firstLine="562" w:firstLineChars="201"/>
        <w:jc w:val="center"/>
        <w:rPr>
          <w:rFonts w:hint="eastAsia" w:ascii="宋体" w:hAnsi="宋体" w:eastAsia="宋体" w:cs="仿宋"/>
          <w:color w:val="000000" w:themeColor="text1"/>
          <w:sz w:val="28"/>
          <w:szCs w:val="28"/>
          <w:highlight w:val="none"/>
          <w14:textFill>
            <w14:solidFill>
              <w14:schemeClr w14:val="tx1"/>
            </w14:solidFill>
          </w14:textFill>
        </w:rPr>
      </w:pPr>
    </w:p>
    <w:p w14:paraId="1A70362E">
      <w:pPr>
        <w:snapToGrid w:val="0"/>
        <w:spacing w:line="560" w:lineRule="exact"/>
        <w:ind w:firstLine="562" w:firstLineChars="201"/>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 xml:space="preserve">                      投标人（盖章）：</w:t>
      </w:r>
    </w:p>
    <w:p w14:paraId="5DDB3AE8">
      <w:pPr>
        <w:widowControl/>
        <w:jc w:val="center"/>
        <w:rPr>
          <w:rFonts w:hint="eastAsia" w:ascii="宋体" w:hAnsi="宋体" w:eastAsia="宋体" w:cs="仿宋"/>
          <w:color w:val="000000" w:themeColor="text1"/>
          <w:highlight w:val="none"/>
          <w14:textFill>
            <w14:solidFill>
              <w14:schemeClr w14:val="tx1"/>
            </w14:solidFill>
          </w14:textFill>
        </w:rPr>
      </w:pPr>
    </w:p>
    <w:p w14:paraId="3E6FB8F6">
      <w:pPr>
        <w:pStyle w:val="45"/>
        <w:rPr>
          <w:rFonts w:hint="eastAsia" w:ascii="宋体" w:hAnsi="宋体" w:eastAsia="宋体" w:cs="仿宋"/>
          <w:color w:val="000000" w:themeColor="text1"/>
          <w:highlight w:val="none"/>
          <w14:textFill>
            <w14:solidFill>
              <w14:schemeClr w14:val="tx1"/>
            </w14:solidFill>
          </w14:textFill>
        </w:rPr>
      </w:pPr>
    </w:p>
    <w:p w14:paraId="5F1797AC">
      <w:pPr>
        <w:rPr>
          <w:rFonts w:hint="eastAsia" w:ascii="宋体" w:hAnsi="宋体" w:eastAsia="宋体" w:cs="仿宋"/>
          <w:color w:val="000000" w:themeColor="text1"/>
          <w:highlight w:val="none"/>
          <w14:textFill>
            <w14:solidFill>
              <w14:schemeClr w14:val="tx1"/>
            </w14:solidFill>
          </w14:textFill>
        </w:rPr>
      </w:pPr>
    </w:p>
    <w:p w14:paraId="27228750">
      <w:pPr>
        <w:widowControl/>
        <w:jc w:val="center"/>
        <w:rPr>
          <w:rFonts w:hint="eastAsia" w:ascii="宋体" w:hAnsi="宋体" w:eastAsia="宋体" w:cs="仿宋"/>
          <w:color w:val="000000" w:themeColor="text1"/>
          <w:highlight w:val="none"/>
          <w14:textFill>
            <w14:solidFill>
              <w14:schemeClr w14:val="tx1"/>
            </w14:solidFill>
          </w14:textFill>
        </w:rPr>
      </w:pPr>
    </w:p>
    <w:p w14:paraId="72ADDC21">
      <w:pPr>
        <w:widowControl/>
        <w:jc w:val="center"/>
        <w:rPr>
          <w:rFonts w:hint="eastAsia" w:ascii="宋体" w:hAnsi="宋体" w:eastAsia="宋体" w:cs="仿宋"/>
          <w:color w:val="000000" w:themeColor="text1"/>
          <w:highlight w:val="none"/>
          <w14:textFill>
            <w14:solidFill>
              <w14:schemeClr w14:val="tx1"/>
            </w14:solidFill>
          </w14:textFill>
        </w:rPr>
      </w:pPr>
    </w:p>
    <w:p w14:paraId="12E2D68D">
      <w:pPr>
        <w:widowControl/>
        <w:jc w:val="center"/>
        <w:rPr>
          <w:rFonts w:hint="eastAsia" w:ascii="宋体" w:hAnsi="宋体" w:eastAsia="宋体" w:cs="仿宋"/>
          <w:color w:val="000000" w:themeColor="text1"/>
          <w:highlight w:val="none"/>
          <w14:textFill>
            <w14:solidFill>
              <w14:schemeClr w14:val="tx1"/>
            </w14:solidFill>
          </w14:textFill>
        </w:rPr>
      </w:pPr>
    </w:p>
    <w:p w14:paraId="234D9CBE">
      <w:pPr>
        <w:widowControl/>
        <w:jc w:val="center"/>
        <w:rPr>
          <w:rFonts w:hint="eastAsia" w:ascii="宋体" w:hAnsi="宋体" w:eastAsia="宋体" w:cs="仿宋"/>
          <w:color w:val="000000" w:themeColor="text1"/>
          <w:highlight w:val="none"/>
          <w14:textFill>
            <w14:solidFill>
              <w14:schemeClr w14:val="tx1"/>
            </w14:solidFill>
          </w14:textFill>
        </w:rPr>
      </w:pPr>
    </w:p>
    <w:p w14:paraId="7382DD5E">
      <w:pPr>
        <w:widowControl/>
        <w:jc w:val="center"/>
        <w:rPr>
          <w:rFonts w:hint="eastAsia" w:ascii="宋体" w:hAnsi="宋体" w:eastAsia="宋体" w:cs="仿宋"/>
          <w:color w:val="000000" w:themeColor="text1"/>
          <w:highlight w:val="none"/>
          <w14:textFill>
            <w14:solidFill>
              <w14:schemeClr w14:val="tx1"/>
            </w14:solidFill>
          </w14:textFill>
        </w:rPr>
      </w:pPr>
    </w:p>
    <w:p w14:paraId="7E734FC3">
      <w:pPr>
        <w:widowControl/>
        <w:jc w:val="center"/>
        <w:rPr>
          <w:rFonts w:hint="eastAsia" w:ascii="宋体" w:hAnsi="宋体" w:eastAsia="宋体" w:cs="仿宋"/>
          <w:color w:val="000000" w:themeColor="text1"/>
          <w:highlight w:val="none"/>
          <w14:textFill>
            <w14:solidFill>
              <w14:schemeClr w14:val="tx1"/>
            </w14:solidFill>
          </w14:textFill>
        </w:rPr>
      </w:pPr>
    </w:p>
    <w:p w14:paraId="28C7EC58">
      <w:pPr>
        <w:widowControl/>
        <w:jc w:val="center"/>
        <w:rPr>
          <w:rFonts w:hint="eastAsia" w:ascii="宋体" w:hAnsi="宋体" w:eastAsia="宋体" w:cs="仿宋"/>
          <w:color w:val="000000" w:themeColor="text1"/>
          <w:highlight w:val="none"/>
          <w14:textFill>
            <w14:solidFill>
              <w14:schemeClr w14:val="tx1"/>
            </w14:solidFill>
          </w14:textFill>
        </w:rPr>
      </w:pPr>
    </w:p>
    <w:p w14:paraId="18C2B33A">
      <w:pPr>
        <w:widowControl/>
        <w:jc w:val="center"/>
        <w:rPr>
          <w:rFonts w:hint="eastAsia" w:ascii="宋体" w:hAnsi="宋体" w:eastAsia="宋体" w:cs="仿宋"/>
          <w:color w:val="000000" w:themeColor="text1"/>
          <w:highlight w:val="none"/>
          <w14:textFill>
            <w14:solidFill>
              <w14:schemeClr w14:val="tx1"/>
            </w14:solidFill>
          </w14:textFill>
        </w:rPr>
      </w:pPr>
    </w:p>
    <w:p w14:paraId="006287F3">
      <w:pPr>
        <w:widowControl/>
        <w:jc w:val="center"/>
        <w:rPr>
          <w:rFonts w:hint="eastAsia" w:ascii="宋体" w:hAnsi="宋体" w:eastAsia="宋体" w:cs="仿宋"/>
          <w:color w:val="000000" w:themeColor="text1"/>
          <w:highlight w:val="none"/>
          <w14:textFill>
            <w14:solidFill>
              <w14:schemeClr w14:val="tx1"/>
            </w14:solidFill>
          </w14:textFill>
        </w:rPr>
      </w:pPr>
    </w:p>
    <w:p w14:paraId="5F061A84">
      <w:pPr>
        <w:widowControl/>
        <w:jc w:val="center"/>
        <w:rPr>
          <w:rFonts w:hint="eastAsia" w:ascii="宋体" w:hAnsi="宋体" w:eastAsia="宋体" w:cs="仿宋"/>
          <w:color w:val="000000" w:themeColor="text1"/>
          <w:highlight w:val="none"/>
          <w14:textFill>
            <w14:solidFill>
              <w14:schemeClr w14:val="tx1"/>
            </w14:solidFill>
          </w14:textFill>
        </w:rPr>
      </w:pPr>
    </w:p>
    <w:p w14:paraId="08341E5D">
      <w:pPr>
        <w:widowControl/>
        <w:jc w:val="center"/>
        <w:rPr>
          <w:rFonts w:hint="eastAsia" w:ascii="宋体" w:hAnsi="宋体" w:eastAsia="宋体" w:cs="仿宋"/>
          <w:color w:val="000000" w:themeColor="text1"/>
          <w:highlight w:val="none"/>
          <w14:textFill>
            <w14:solidFill>
              <w14:schemeClr w14:val="tx1"/>
            </w14:solidFill>
          </w14:textFill>
        </w:rPr>
      </w:pPr>
    </w:p>
    <w:p w14:paraId="527D8092">
      <w:pPr>
        <w:widowControl/>
        <w:jc w:val="center"/>
        <w:rPr>
          <w:rFonts w:hint="eastAsia" w:ascii="宋体" w:hAnsi="宋体" w:eastAsia="宋体" w:cs="仿宋"/>
          <w:color w:val="000000" w:themeColor="text1"/>
          <w:highlight w:val="none"/>
          <w14:textFill>
            <w14:solidFill>
              <w14:schemeClr w14:val="tx1"/>
            </w14:solidFill>
          </w14:textFill>
        </w:rPr>
      </w:pPr>
    </w:p>
    <w:p w14:paraId="33BA3004">
      <w:pPr>
        <w:widowControl/>
        <w:jc w:val="center"/>
        <w:rPr>
          <w:rFonts w:hint="eastAsia" w:ascii="宋体" w:hAnsi="宋体" w:eastAsia="宋体" w:cs="仿宋"/>
          <w:color w:val="000000" w:themeColor="text1"/>
          <w:highlight w:val="none"/>
          <w14:textFill>
            <w14:solidFill>
              <w14:schemeClr w14:val="tx1"/>
            </w14:solidFill>
          </w14:textFill>
        </w:rPr>
      </w:pPr>
    </w:p>
    <w:p w14:paraId="08D0CE2B">
      <w:pPr>
        <w:widowControl/>
        <w:jc w:val="center"/>
        <w:rPr>
          <w:rFonts w:hint="eastAsia" w:ascii="宋体" w:hAnsi="宋体" w:eastAsia="宋体" w:cs="仿宋"/>
          <w:color w:val="000000" w:themeColor="text1"/>
          <w:highlight w:val="none"/>
          <w14:textFill>
            <w14:solidFill>
              <w14:schemeClr w14:val="tx1"/>
            </w14:solidFill>
          </w14:textFill>
        </w:rPr>
      </w:pPr>
    </w:p>
    <w:p w14:paraId="4D81EA63">
      <w:pPr>
        <w:widowControl/>
        <w:jc w:val="center"/>
        <w:rPr>
          <w:rFonts w:hint="eastAsia" w:ascii="宋体" w:hAnsi="宋体" w:eastAsia="宋体" w:cs="仿宋"/>
          <w:color w:val="000000" w:themeColor="text1"/>
          <w:highlight w:val="none"/>
          <w14:textFill>
            <w14:solidFill>
              <w14:schemeClr w14:val="tx1"/>
            </w14:solidFill>
          </w14:textFill>
        </w:rPr>
      </w:pPr>
    </w:p>
    <w:p w14:paraId="0C09BC99">
      <w:pPr>
        <w:widowControl/>
        <w:jc w:val="center"/>
        <w:rPr>
          <w:rFonts w:hint="eastAsia" w:ascii="宋体" w:hAnsi="宋体" w:eastAsia="宋体" w:cs="仿宋"/>
          <w:color w:val="000000" w:themeColor="text1"/>
          <w:highlight w:val="none"/>
          <w14:textFill>
            <w14:solidFill>
              <w14:schemeClr w14:val="tx1"/>
            </w14:solidFill>
          </w14:textFill>
        </w:rPr>
      </w:pPr>
    </w:p>
    <w:p w14:paraId="6C94EAE2">
      <w:pPr>
        <w:pStyle w:val="36"/>
        <w:jc w:val="center"/>
        <w:rPr>
          <w:rFonts w:hint="eastAsia" w:hAnsi="宋体" w:eastAsia="宋体" w:cs="仿宋"/>
          <w:bCs/>
          <w:color w:val="000000" w:themeColor="text1"/>
          <w:kern w:val="2"/>
          <w:sz w:val="44"/>
          <w:szCs w:val="32"/>
          <w:highlight w:val="none"/>
          <w14:textFill>
            <w14:solidFill>
              <w14:schemeClr w14:val="tx1"/>
            </w14:solidFill>
          </w14:textFill>
        </w:rPr>
      </w:pPr>
      <w:r>
        <w:rPr>
          <w:rFonts w:hint="eastAsia" w:hAnsi="宋体" w:eastAsia="宋体" w:cs="仿宋"/>
          <w:bCs/>
          <w:color w:val="000000" w:themeColor="text1"/>
          <w:kern w:val="2"/>
          <w:sz w:val="44"/>
          <w:szCs w:val="32"/>
          <w:highlight w:val="none"/>
          <w14:textFill>
            <w14:solidFill>
              <w14:schemeClr w14:val="tx1"/>
            </w14:solidFill>
          </w14:textFill>
        </w:rPr>
        <w:t>投标人基本情况表</w:t>
      </w:r>
      <w:bookmarkEnd w:id="113"/>
    </w:p>
    <w:tbl>
      <w:tblPr>
        <w:tblStyle w:val="6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
        <w:gridCol w:w="1687"/>
        <w:gridCol w:w="1029"/>
        <w:gridCol w:w="674"/>
        <w:gridCol w:w="1252"/>
        <w:gridCol w:w="23"/>
        <w:gridCol w:w="2100"/>
        <w:gridCol w:w="2180"/>
      </w:tblGrid>
      <w:tr w14:paraId="003B2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2265" w:type="dxa"/>
            <w:gridSpan w:val="2"/>
            <w:vAlign w:val="center"/>
          </w:tcPr>
          <w:p w14:paraId="2803CDE0">
            <w:pPr>
              <w:spacing w:line="44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单位名称</w:t>
            </w:r>
          </w:p>
        </w:tc>
        <w:tc>
          <w:tcPr>
            <w:tcW w:w="2955" w:type="dxa"/>
            <w:gridSpan w:val="3"/>
            <w:vAlign w:val="center"/>
          </w:tcPr>
          <w:p w14:paraId="34FDC1E6">
            <w:pPr>
              <w:spacing w:line="440" w:lineRule="exact"/>
              <w:jc w:val="center"/>
              <w:rPr>
                <w:rFonts w:hint="eastAsia" w:ascii="宋体" w:hAnsi="宋体" w:eastAsia="宋体" w:cs="仿宋"/>
                <w:color w:val="000000" w:themeColor="text1"/>
                <w:sz w:val="28"/>
                <w:szCs w:val="28"/>
                <w:highlight w:val="none"/>
                <w14:textFill>
                  <w14:solidFill>
                    <w14:schemeClr w14:val="tx1"/>
                  </w14:solidFill>
                </w14:textFill>
              </w:rPr>
            </w:pPr>
          </w:p>
        </w:tc>
        <w:tc>
          <w:tcPr>
            <w:tcW w:w="2123" w:type="dxa"/>
            <w:gridSpan w:val="2"/>
            <w:vAlign w:val="center"/>
          </w:tcPr>
          <w:p w14:paraId="06045EE3">
            <w:pPr>
              <w:spacing w:line="44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地址</w:t>
            </w:r>
          </w:p>
        </w:tc>
        <w:tc>
          <w:tcPr>
            <w:tcW w:w="2180" w:type="dxa"/>
            <w:vAlign w:val="center"/>
          </w:tcPr>
          <w:p w14:paraId="70B8E522">
            <w:pPr>
              <w:spacing w:line="440" w:lineRule="exact"/>
              <w:jc w:val="center"/>
              <w:rPr>
                <w:rFonts w:hint="eastAsia" w:ascii="宋体" w:hAnsi="宋体" w:eastAsia="宋体" w:cs="仿宋"/>
                <w:color w:val="000000" w:themeColor="text1"/>
                <w:sz w:val="28"/>
                <w:szCs w:val="28"/>
                <w:highlight w:val="none"/>
                <w14:textFill>
                  <w14:solidFill>
                    <w14:schemeClr w14:val="tx1"/>
                  </w14:solidFill>
                </w14:textFill>
              </w:rPr>
            </w:pPr>
          </w:p>
        </w:tc>
      </w:tr>
      <w:tr w14:paraId="26458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2265" w:type="dxa"/>
            <w:gridSpan w:val="2"/>
            <w:vAlign w:val="center"/>
          </w:tcPr>
          <w:p w14:paraId="790C71BF">
            <w:pPr>
              <w:spacing w:line="44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办公电话/传真</w:t>
            </w:r>
          </w:p>
        </w:tc>
        <w:tc>
          <w:tcPr>
            <w:tcW w:w="2955" w:type="dxa"/>
            <w:gridSpan w:val="3"/>
            <w:vAlign w:val="center"/>
          </w:tcPr>
          <w:p w14:paraId="6D74AC83">
            <w:pPr>
              <w:spacing w:line="440" w:lineRule="exact"/>
              <w:jc w:val="center"/>
              <w:rPr>
                <w:rFonts w:hint="eastAsia" w:ascii="宋体" w:hAnsi="宋体" w:eastAsia="宋体" w:cs="仿宋"/>
                <w:color w:val="000000" w:themeColor="text1"/>
                <w:sz w:val="28"/>
                <w:szCs w:val="28"/>
                <w:highlight w:val="none"/>
                <w14:textFill>
                  <w14:solidFill>
                    <w14:schemeClr w14:val="tx1"/>
                  </w14:solidFill>
                </w14:textFill>
              </w:rPr>
            </w:pPr>
          </w:p>
        </w:tc>
        <w:tc>
          <w:tcPr>
            <w:tcW w:w="2123" w:type="dxa"/>
            <w:gridSpan w:val="2"/>
            <w:vAlign w:val="center"/>
          </w:tcPr>
          <w:p w14:paraId="300B1D0B">
            <w:pPr>
              <w:spacing w:line="44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联系人</w:t>
            </w:r>
          </w:p>
        </w:tc>
        <w:tc>
          <w:tcPr>
            <w:tcW w:w="2180" w:type="dxa"/>
            <w:vAlign w:val="center"/>
          </w:tcPr>
          <w:p w14:paraId="356607C9">
            <w:pPr>
              <w:spacing w:line="440" w:lineRule="exact"/>
              <w:jc w:val="center"/>
              <w:rPr>
                <w:rFonts w:hint="eastAsia" w:ascii="宋体" w:hAnsi="宋体" w:eastAsia="宋体" w:cs="仿宋"/>
                <w:color w:val="000000" w:themeColor="text1"/>
                <w:sz w:val="28"/>
                <w:szCs w:val="28"/>
                <w:highlight w:val="none"/>
                <w14:textFill>
                  <w14:solidFill>
                    <w14:schemeClr w14:val="tx1"/>
                  </w14:solidFill>
                </w14:textFill>
              </w:rPr>
            </w:pPr>
          </w:p>
        </w:tc>
      </w:tr>
      <w:tr w14:paraId="2E034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2265" w:type="dxa"/>
            <w:gridSpan w:val="2"/>
            <w:vAlign w:val="center"/>
          </w:tcPr>
          <w:p w14:paraId="5547B06D">
            <w:pPr>
              <w:spacing w:line="44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总经理</w:t>
            </w:r>
          </w:p>
        </w:tc>
        <w:tc>
          <w:tcPr>
            <w:tcW w:w="1703" w:type="dxa"/>
            <w:gridSpan w:val="2"/>
            <w:vAlign w:val="center"/>
          </w:tcPr>
          <w:p w14:paraId="3A4834F1">
            <w:pPr>
              <w:spacing w:line="440" w:lineRule="exact"/>
              <w:jc w:val="center"/>
              <w:rPr>
                <w:rFonts w:hint="eastAsia" w:ascii="宋体" w:hAnsi="宋体" w:eastAsia="宋体" w:cs="仿宋"/>
                <w:color w:val="000000" w:themeColor="text1"/>
                <w:sz w:val="28"/>
                <w:szCs w:val="28"/>
                <w:highlight w:val="none"/>
                <w14:textFill>
                  <w14:solidFill>
                    <w14:schemeClr w14:val="tx1"/>
                  </w14:solidFill>
                </w14:textFill>
              </w:rPr>
            </w:pPr>
          </w:p>
        </w:tc>
        <w:tc>
          <w:tcPr>
            <w:tcW w:w="3375" w:type="dxa"/>
            <w:gridSpan w:val="3"/>
            <w:vAlign w:val="center"/>
          </w:tcPr>
          <w:p w14:paraId="7F23D83D">
            <w:pPr>
              <w:spacing w:line="44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固定办公面积（平米）</w:t>
            </w:r>
          </w:p>
        </w:tc>
        <w:tc>
          <w:tcPr>
            <w:tcW w:w="2180" w:type="dxa"/>
            <w:vAlign w:val="center"/>
          </w:tcPr>
          <w:p w14:paraId="1D2BA26F">
            <w:pPr>
              <w:spacing w:line="440" w:lineRule="exact"/>
              <w:jc w:val="center"/>
              <w:rPr>
                <w:rFonts w:hint="eastAsia" w:ascii="宋体" w:hAnsi="宋体" w:eastAsia="宋体" w:cs="仿宋"/>
                <w:color w:val="000000" w:themeColor="text1"/>
                <w:sz w:val="28"/>
                <w:szCs w:val="28"/>
                <w:highlight w:val="none"/>
                <w14:textFill>
                  <w14:solidFill>
                    <w14:schemeClr w14:val="tx1"/>
                  </w14:solidFill>
                </w14:textFill>
              </w:rPr>
            </w:pPr>
          </w:p>
        </w:tc>
      </w:tr>
      <w:tr w14:paraId="32212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578" w:type="dxa"/>
            <w:vMerge w:val="restart"/>
            <w:vAlign w:val="center"/>
          </w:tcPr>
          <w:p w14:paraId="4E2D7C09">
            <w:pPr>
              <w:spacing w:line="44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注册情况</w:t>
            </w:r>
          </w:p>
        </w:tc>
        <w:tc>
          <w:tcPr>
            <w:tcW w:w="2716" w:type="dxa"/>
            <w:gridSpan w:val="2"/>
            <w:vAlign w:val="center"/>
          </w:tcPr>
          <w:p w14:paraId="41FC51D7">
            <w:pPr>
              <w:spacing w:line="44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工商注册号</w:t>
            </w:r>
          </w:p>
        </w:tc>
        <w:tc>
          <w:tcPr>
            <w:tcW w:w="6229" w:type="dxa"/>
            <w:gridSpan w:val="5"/>
            <w:vAlign w:val="center"/>
          </w:tcPr>
          <w:p w14:paraId="07DC8684">
            <w:pPr>
              <w:spacing w:line="440" w:lineRule="exact"/>
              <w:jc w:val="center"/>
              <w:rPr>
                <w:rFonts w:hint="eastAsia" w:ascii="宋体" w:hAnsi="宋体" w:eastAsia="宋体" w:cs="仿宋"/>
                <w:color w:val="000000" w:themeColor="text1"/>
                <w:sz w:val="28"/>
                <w:szCs w:val="28"/>
                <w:highlight w:val="none"/>
                <w14:textFill>
                  <w14:solidFill>
                    <w14:schemeClr w14:val="tx1"/>
                  </w14:solidFill>
                </w14:textFill>
              </w:rPr>
            </w:pPr>
          </w:p>
        </w:tc>
      </w:tr>
      <w:tr w14:paraId="5C8B9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578" w:type="dxa"/>
            <w:vMerge w:val="continue"/>
            <w:textDirection w:val="tbRlV"/>
            <w:vAlign w:val="center"/>
          </w:tcPr>
          <w:p w14:paraId="3E02A9D7">
            <w:pPr>
              <w:spacing w:line="440" w:lineRule="exact"/>
              <w:jc w:val="center"/>
              <w:rPr>
                <w:rFonts w:hint="eastAsia" w:ascii="宋体" w:hAnsi="宋体" w:eastAsia="宋体" w:cs="仿宋"/>
                <w:color w:val="000000" w:themeColor="text1"/>
                <w:sz w:val="28"/>
                <w:szCs w:val="28"/>
                <w:highlight w:val="none"/>
                <w14:textFill>
                  <w14:solidFill>
                    <w14:schemeClr w14:val="tx1"/>
                  </w14:solidFill>
                </w14:textFill>
              </w:rPr>
            </w:pPr>
          </w:p>
        </w:tc>
        <w:tc>
          <w:tcPr>
            <w:tcW w:w="2716" w:type="dxa"/>
            <w:gridSpan w:val="2"/>
            <w:vAlign w:val="center"/>
          </w:tcPr>
          <w:p w14:paraId="073A6ACF">
            <w:pPr>
              <w:spacing w:line="44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注册资本（万元）</w:t>
            </w:r>
          </w:p>
        </w:tc>
        <w:tc>
          <w:tcPr>
            <w:tcW w:w="6229" w:type="dxa"/>
            <w:gridSpan w:val="5"/>
            <w:vAlign w:val="center"/>
          </w:tcPr>
          <w:p w14:paraId="67204889">
            <w:pPr>
              <w:spacing w:line="440" w:lineRule="exact"/>
              <w:jc w:val="center"/>
              <w:rPr>
                <w:rFonts w:hint="eastAsia" w:ascii="宋体" w:hAnsi="宋体" w:eastAsia="宋体" w:cs="仿宋"/>
                <w:color w:val="000000" w:themeColor="text1"/>
                <w:sz w:val="28"/>
                <w:szCs w:val="28"/>
                <w:highlight w:val="none"/>
                <w14:textFill>
                  <w14:solidFill>
                    <w14:schemeClr w14:val="tx1"/>
                  </w14:solidFill>
                </w14:textFill>
              </w:rPr>
            </w:pPr>
          </w:p>
        </w:tc>
      </w:tr>
      <w:tr w14:paraId="0ED0A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578" w:type="dxa"/>
            <w:vMerge w:val="continue"/>
            <w:textDirection w:val="tbRlV"/>
            <w:vAlign w:val="center"/>
          </w:tcPr>
          <w:p w14:paraId="7269DD7A">
            <w:pPr>
              <w:spacing w:line="440" w:lineRule="exact"/>
              <w:jc w:val="center"/>
              <w:rPr>
                <w:rFonts w:hint="eastAsia" w:ascii="宋体" w:hAnsi="宋体" w:eastAsia="宋体" w:cs="仿宋"/>
                <w:color w:val="000000" w:themeColor="text1"/>
                <w:sz w:val="28"/>
                <w:szCs w:val="28"/>
                <w:highlight w:val="none"/>
                <w14:textFill>
                  <w14:solidFill>
                    <w14:schemeClr w14:val="tx1"/>
                  </w14:solidFill>
                </w14:textFill>
              </w:rPr>
            </w:pPr>
          </w:p>
        </w:tc>
        <w:tc>
          <w:tcPr>
            <w:tcW w:w="2716" w:type="dxa"/>
            <w:gridSpan w:val="2"/>
            <w:vAlign w:val="center"/>
          </w:tcPr>
          <w:p w14:paraId="62627E7D">
            <w:pPr>
              <w:spacing w:line="44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法定代表人</w:t>
            </w:r>
          </w:p>
        </w:tc>
        <w:tc>
          <w:tcPr>
            <w:tcW w:w="1949" w:type="dxa"/>
            <w:gridSpan w:val="3"/>
            <w:vAlign w:val="center"/>
          </w:tcPr>
          <w:p w14:paraId="779B7446">
            <w:pPr>
              <w:spacing w:line="440" w:lineRule="exact"/>
              <w:jc w:val="center"/>
              <w:rPr>
                <w:rFonts w:hint="eastAsia" w:ascii="宋体" w:hAnsi="宋体" w:eastAsia="宋体" w:cs="仿宋"/>
                <w:color w:val="000000" w:themeColor="text1"/>
                <w:sz w:val="28"/>
                <w:szCs w:val="28"/>
                <w:highlight w:val="none"/>
                <w14:textFill>
                  <w14:solidFill>
                    <w14:schemeClr w14:val="tx1"/>
                  </w14:solidFill>
                </w14:textFill>
              </w:rPr>
            </w:pPr>
          </w:p>
        </w:tc>
        <w:tc>
          <w:tcPr>
            <w:tcW w:w="2100" w:type="dxa"/>
            <w:vAlign w:val="center"/>
          </w:tcPr>
          <w:p w14:paraId="21C88CBB">
            <w:pPr>
              <w:spacing w:line="44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单位类型</w:t>
            </w:r>
          </w:p>
        </w:tc>
        <w:tc>
          <w:tcPr>
            <w:tcW w:w="2180" w:type="dxa"/>
            <w:vAlign w:val="center"/>
          </w:tcPr>
          <w:p w14:paraId="25CB999B">
            <w:pPr>
              <w:spacing w:line="440" w:lineRule="exact"/>
              <w:jc w:val="center"/>
              <w:rPr>
                <w:rFonts w:hint="eastAsia" w:ascii="宋体" w:hAnsi="宋体" w:eastAsia="宋体" w:cs="仿宋"/>
                <w:color w:val="000000" w:themeColor="text1"/>
                <w:sz w:val="28"/>
                <w:szCs w:val="28"/>
                <w:highlight w:val="none"/>
                <w14:textFill>
                  <w14:solidFill>
                    <w14:schemeClr w14:val="tx1"/>
                  </w14:solidFill>
                </w14:textFill>
              </w:rPr>
            </w:pPr>
          </w:p>
        </w:tc>
      </w:tr>
      <w:tr w14:paraId="37ACA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578" w:type="dxa"/>
            <w:vMerge w:val="continue"/>
            <w:textDirection w:val="tbRlV"/>
            <w:vAlign w:val="center"/>
          </w:tcPr>
          <w:p w14:paraId="75B98B30">
            <w:pPr>
              <w:spacing w:line="440" w:lineRule="exact"/>
              <w:jc w:val="center"/>
              <w:rPr>
                <w:rFonts w:hint="eastAsia" w:ascii="宋体" w:hAnsi="宋体" w:eastAsia="宋体" w:cs="仿宋"/>
                <w:color w:val="000000" w:themeColor="text1"/>
                <w:sz w:val="28"/>
                <w:szCs w:val="28"/>
                <w:highlight w:val="none"/>
                <w14:textFill>
                  <w14:solidFill>
                    <w14:schemeClr w14:val="tx1"/>
                  </w14:solidFill>
                </w14:textFill>
              </w:rPr>
            </w:pPr>
          </w:p>
        </w:tc>
        <w:tc>
          <w:tcPr>
            <w:tcW w:w="2716" w:type="dxa"/>
            <w:gridSpan w:val="2"/>
            <w:vAlign w:val="center"/>
          </w:tcPr>
          <w:p w14:paraId="6A1DBA01">
            <w:pPr>
              <w:spacing w:line="44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成立时间</w:t>
            </w:r>
          </w:p>
        </w:tc>
        <w:tc>
          <w:tcPr>
            <w:tcW w:w="1949" w:type="dxa"/>
            <w:gridSpan w:val="3"/>
            <w:vAlign w:val="center"/>
          </w:tcPr>
          <w:p w14:paraId="1175A516">
            <w:pPr>
              <w:spacing w:line="440" w:lineRule="exact"/>
              <w:jc w:val="center"/>
              <w:rPr>
                <w:rFonts w:hint="eastAsia" w:ascii="宋体" w:hAnsi="宋体" w:eastAsia="宋体" w:cs="仿宋"/>
                <w:color w:val="000000" w:themeColor="text1"/>
                <w:sz w:val="28"/>
                <w:szCs w:val="28"/>
                <w:highlight w:val="none"/>
                <w14:textFill>
                  <w14:solidFill>
                    <w14:schemeClr w14:val="tx1"/>
                  </w14:solidFill>
                </w14:textFill>
              </w:rPr>
            </w:pPr>
          </w:p>
        </w:tc>
        <w:tc>
          <w:tcPr>
            <w:tcW w:w="2100" w:type="dxa"/>
            <w:vAlign w:val="center"/>
          </w:tcPr>
          <w:p w14:paraId="694B05F8">
            <w:pPr>
              <w:spacing w:line="44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营业期限</w:t>
            </w:r>
          </w:p>
        </w:tc>
        <w:tc>
          <w:tcPr>
            <w:tcW w:w="2180" w:type="dxa"/>
            <w:vAlign w:val="center"/>
          </w:tcPr>
          <w:p w14:paraId="7E30F825">
            <w:pPr>
              <w:spacing w:line="440" w:lineRule="exact"/>
              <w:jc w:val="center"/>
              <w:rPr>
                <w:rFonts w:hint="eastAsia" w:ascii="宋体" w:hAnsi="宋体" w:eastAsia="宋体" w:cs="仿宋"/>
                <w:color w:val="000000" w:themeColor="text1"/>
                <w:sz w:val="28"/>
                <w:szCs w:val="28"/>
                <w:highlight w:val="none"/>
                <w14:textFill>
                  <w14:solidFill>
                    <w14:schemeClr w14:val="tx1"/>
                  </w14:solidFill>
                </w14:textFill>
              </w:rPr>
            </w:pPr>
          </w:p>
        </w:tc>
      </w:tr>
      <w:tr w14:paraId="62273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578" w:type="dxa"/>
            <w:vMerge w:val="continue"/>
            <w:textDirection w:val="tbRlV"/>
            <w:vAlign w:val="center"/>
          </w:tcPr>
          <w:p w14:paraId="75F79823">
            <w:pPr>
              <w:spacing w:line="440" w:lineRule="exact"/>
              <w:jc w:val="center"/>
              <w:rPr>
                <w:rFonts w:hint="eastAsia" w:ascii="宋体" w:hAnsi="宋体" w:eastAsia="宋体" w:cs="仿宋"/>
                <w:color w:val="000000" w:themeColor="text1"/>
                <w:sz w:val="28"/>
                <w:szCs w:val="28"/>
                <w:highlight w:val="none"/>
                <w14:textFill>
                  <w14:solidFill>
                    <w14:schemeClr w14:val="tx1"/>
                  </w14:solidFill>
                </w14:textFill>
              </w:rPr>
            </w:pPr>
          </w:p>
        </w:tc>
        <w:tc>
          <w:tcPr>
            <w:tcW w:w="2716" w:type="dxa"/>
            <w:gridSpan w:val="2"/>
            <w:vAlign w:val="center"/>
          </w:tcPr>
          <w:p w14:paraId="36945B92">
            <w:pPr>
              <w:spacing w:line="44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经营范围</w:t>
            </w:r>
          </w:p>
        </w:tc>
        <w:tc>
          <w:tcPr>
            <w:tcW w:w="6229" w:type="dxa"/>
            <w:gridSpan w:val="5"/>
            <w:vAlign w:val="center"/>
          </w:tcPr>
          <w:p w14:paraId="7489B665">
            <w:pPr>
              <w:spacing w:line="440" w:lineRule="exact"/>
              <w:jc w:val="center"/>
              <w:rPr>
                <w:rFonts w:hint="eastAsia" w:ascii="宋体" w:hAnsi="宋体" w:eastAsia="宋体" w:cs="仿宋"/>
                <w:color w:val="000000" w:themeColor="text1"/>
                <w:sz w:val="28"/>
                <w:szCs w:val="28"/>
                <w:highlight w:val="none"/>
                <w14:textFill>
                  <w14:solidFill>
                    <w14:schemeClr w14:val="tx1"/>
                  </w14:solidFill>
                </w14:textFill>
              </w:rPr>
            </w:pPr>
          </w:p>
        </w:tc>
      </w:tr>
      <w:tr w14:paraId="47D7C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jc w:val="center"/>
        </w:trPr>
        <w:tc>
          <w:tcPr>
            <w:tcW w:w="3294" w:type="dxa"/>
            <w:gridSpan w:val="3"/>
            <w:vAlign w:val="center"/>
          </w:tcPr>
          <w:p w14:paraId="146AA01D">
            <w:pPr>
              <w:spacing w:line="36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投标人关联企业情况（包括但不限于与投标人法定代表人为同一人或者存在控股、管理关系的不同单位）</w:t>
            </w:r>
          </w:p>
        </w:tc>
        <w:tc>
          <w:tcPr>
            <w:tcW w:w="6229" w:type="dxa"/>
            <w:gridSpan w:val="5"/>
            <w:vAlign w:val="center"/>
          </w:tcPr>
          <w:p w14:paraId="598D4004">
            <w:pPr>
              <w:spacing w:line="360" w:lineRule="auto"/>
              <w:jc w:val="left"/>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1.与我单位法定代表人（负责人）为同一人的其他单位为：</w:t>
            </w:r>
          </w:p>
          <w:p w14:paraId="1ADDBE3C">
            <w:pPr>
              <w:spacing w:line="44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ascii="宋体" w:hAnsi="宋体" w:eastAsia="宋体" w:cs="仿宋"/>
                <w:color w:val="000000" w:themeColor="text1"/>
                <w:sz w:val="28"/>
                <w:szCs w:val="28"/>
                <w:highlight w:val="none"/>
                <w14:textFill>
                  <w14:solidFill>
                    <w14:schemeClr w14:val="tx1"/>
                  </w14:solidFill>
                </w14:textFill>
              </w:rPr>
              <w:t>2.与我单位存在直接控股、管理关系的其他单位为：</w:t>
            </w:r>
          </w:p>
        </w:tc>
      </w:tr>
      <w:tr w14:paraId="3CEB1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7" w:hRule="atLeast"/>
          <w:jc w:val="center"/>
        </w:trPr>
        <w:tc>
          <w:tcPr>
            <w:tcW w:w="9523" w:type="dxa"/>
            <w:gridSpan w:val="8"/>
            <w:vAlign w:val="center"/>
          </w:tcPr>
          <w:p w14:paraId="3B6215CC">
            <w:pPr>
              <w:spacing w:line="440" w:lineRule="exact"/>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投标人情况简介</w:t>
            </w:r>
          </w:p>
        </w:tc>
      </w:tr>
      <w:tr w14:paraId="3E922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2" w:hRule="atLeast"/>
          <w:jc w:val="center"/>
        </w:trPr>
        <w:tc>
          <w:tcPr>
            <w:tcW w:w="9523" w:type="dxa"/>
            <w:gridSpan w:val="8"/>
          </w:tcPr>
          <w:p w14:paraId="2111AFCE">
            <w:pPr>
              <w:spacing w:line="440" w:lineRule="exact"/>
              <w:rPr>
                <w:rFonts w:hint="eastAsia" w:ascii="宋体" w:hAnsi="宋体" w:eastAsia="宋体" w:cs="仿宋"/>
                <w:color w:val="000000" w:themeColor="text1"/>
                <w:sz w:val="28"/>
                <w:szCs w:val="28"/>
                <w:highlight w:val="none"/>
                <w14:textFill>
                  <w14:solidFill>
                    <w14:schemeClr w14:val="tx1"/>
                  </w14:solidFill>
                </w14:textFill>
              </w:rPr>
            </w:pPr>
          </w:p>
        </w:tc>
      </w:tr>
    </w:tbl>
    <w:p w14:paraId="08F31120">
      <w:pPr>
        <w:spacing w:line="520" w:lineRule="exact"/>
        <w:jc w:val="left"/>
        <w:rPr>
          <w:rFonts w:hint="eastAsia" w:ascii="宋体" w:hAnsi="宋体" w:eastAsia="宋体" w:cs="仿宋"/>
          <w:color w:val="000000" w:themeColor="text1"/>
          <w:sz w:val="28"/>
          <w:szCs w:val="28"/>
          <w:highlight w:val="none"/>
          <w14:textFill>
            <w14:solidFill>
              <w14:schemeClr w14:val="tx1"/>
            </w14:solidFill>
          </w14:textFill>
        </w:rPr>
      </w:pPr>
    </w:p>
    <w:p w14:paraId="6FE4A654">
      <w:pPr>
        <w:spacing w:line="52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投标人（盖章）：</w:t>
      </w:r>
    </w:p>
    <w:p w14:paraId="31CDDD14">
      <w:pPr>
        <w:spacing w:line="520" w:lineRule="exact"/>
        <w:rPr>
          <w:rFonts w:hint="eastAsia" w:ascii="宋体" w:hAnsi="宋体" w:eastAsia="宋体" w:cs="仿宋"/>
          <w:color w:val="000000" w:themeColor="text1"/>
          <w:sz w:val="32"/>
          <w:szCs w:val="32"/>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法定代表人或委托代理人（签字或盖章）：</w:t>
      </w:r>
    </w:p>
    <w:p w14:paraId="41A705C8">
      <w:pPr>
        <w:wordWrap w:val="0"/>
        <w:snapToGrid w:val="0"/>
        <w:spacing w:line="360" w:lineRule="auto"/>
        <w:jc w:val="left"/>
        <w:rPr>
          <w:rFonts w:hint="eastAsia" w:ascii="宋体" w:hAnsi="宋体" w:eastAsia="宋体"/>
          <w:color w:val="000000" w:themeColor="text1"/>
          <w:highlight w:val="none"/>
          <w14:textFill>
            <w14:solidFill>
              <w14:schemeClr w14:val="tx1"/>
            </w14:solidFill>
          </w14:textFill>
        </w:rPr>
      </w:pPr>
      <w:r>
        <w:rPr>
          <w:rFonts w:ascii="宋体" w:hAnsi="宋体" w:eastAsia="宋体"/>
          <w:color w:val="000000" w:themeColor="text1"/>
          <w:highlight w:val="none"/>
          <w14:textFill>
            <w14:solidFill>
              <w14:schemeClr w14:val="tx1"/>
            </w14:solidFill>
          </w14:textFill>
        </w:rPr>
        <w:br w:type="page"/>
      </w:r>
    </w:p>
    <w:p w14:paraId="3F95A85E">
      <w:pPr>
        <w:pStyle w:val="36"/>
        <w:spacing w:before="157"/>
        <w:jc w:val="center"/>
        <w:rPr>
          <w:rFonts w:hint="eastAsia" w:hAnsi="宋体" w:eastAsia="宋体" w:cs="仿宋"/>
          <w:bCs/>
          <w:color w:val="000000" w:themeColor="text1"/>
          <w:kern w:val="2"/>
          <w:sz w:val="44"/>
          <w:szCs w:val="32"/>
          <w:highlight w:val="none"/>
          <w14:textFill>
            <w14:solidFill>
              <w14:schemeClr w14:val="tx1"/>
            </w14:solidFill>
          </w14:textFill>
        </w:rPr>
      </w:pPr>
      <w:bookmarkStart w:id="114" w:name="_Toc523388144"/>
      <w:r>
        <w:rPr>
          <w:rFonts w:hint="eastAsia" w:hAnsi="宋体" w:eastAsia="宋体" w:cs="仿宋"/>
          <w:bCs/>
          <w:color w:val="000000" w:themeColor="text1"/>
          <w:kern w:val="2"/>
          <w:sz w:val="44"/>
          <w:szCs w:val="32"/>
          <w:highlight w:val="none"/>
          <w14:textFill>
            <w14:solidFill>
              <w14:schemeClr w14:val="tx1"/>
            </w14:solidFill>
          </w14:textFill>
        </w:rPr>
        <w:t>投标人自2023年1月1日至今承揽的类似项目业绩表</w:t>
      </w:r>
    </w:p>
    <w:tbl>
      <w:tblPr>
        <w:tblStyle w:val="6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2199"/>
        <w:gridCol w:w="2100"/>
        <w:gridCol w:w="1215"/>
        <w:gridCol w:w="1483"/>
        <w:gridCol w:w="1669"/>
      </w:tblGrid>
      <w:tr w14:paraId="71675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25" w:type="dxa"/>
            <w:vAlign w:val="center"/>
          </w:tcPr>
          <w:p w14:paraId="6B68E866">
            <w:pPr>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序号</w:t>
            </w:r>
          </w:p>
        </w:tc>
        <w:tc>
          <w:tcPr>
            <w:tcW w:w="2199" w:type="dxa"/>
            <w:vAlign w:val="center"/>
          </w:tcPr>
          <w:p w14:paraId="32A8917C">
            <w:pPr>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发包人</w:t>
            </w:r>
          </w:p>
        </w:tc>
        <w:tc>
          <w:tcPr>
            <w:tcW w:w="2100" w:type="dxa"/>
            <w:vAlign w:val="center"/>
          </w:tcPr>
          <w:p w14:paraId="07E2026A">
            <w:pPr>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项目名称</w:t>
            </w:r>
          </w:p>
        </w:tc>
        <w:tc>
          <w:tcPr>
            <w:tcW w:w="1215" w:type="dxa"/>
            <w:vAlign w:val="center"/>
          </w:tcPr>
          <w:p w14:paraId="0483511D">
            <w:pPr>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合同签订日期</w:t>
            </w:r>
          </w:p>
        </w:tc>
        <w:tc>
          <w:tcPr>
            <w:tcW w:w="1483" w:type="dxa"/>
            <w:vAlign w:val="center"/>
          </w:tcPr>
          <w:p w14:paraId="3CCB6648">
            <w:pPr>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电话/联系人</w:t>
            </w:r>
          </w:p>
        </w:tc>
        <w:tc>
          <w:tcPr>
            <w:tcW w:w="1669" w:type="dxa"/>
            <w:vAlign w:val="center"/>
          </w:tcPr>
          <w:p w14:paraId="621F9A17">
            <w:pPr>
              <w:jc w:val="center"/>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备注</w:t>
            </w:r>
          </w:p>
        </w:tc>
      </w:tr>
      <w:tr w14:paraId="59DA0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25" w:type="dxa"/>
            <w:vAlign w:val="center"/>
          </w:tcPr>
          <w:p w14:paraId="25A39DF8">
            <w:pPr>
              <w:rPr>
                <w:rFonts w:hint="eastAsia" w:ascii="宋体" w:hAnsi="宋体" w:eastAsia="宋体" w:cs="仿宋"/>
                <w:color w:val="000000" w:themeColor="text1"/>
                <w:sz w:val="28"/>
                <w:szCs w:val="28"/>
                <w:highlight w:val="none"/>
                <w14:textFill>
                  <w14:solidFill>
                    <w14:schemeClr w14:val="tx1"/>
                  </w14:solidFill>
                </w14:textFill>
              </w:rPr>
            </w:pPr>
          </w:p>
        </w:tc>
        <w:tc>
          <w:tcPr>
            <w:tcW w:w="2199" w:type="dxa"/>
            <w:vAlign w:val="center"/>
          </w:tcPr>
          <w:p w14:paraId="10EFFD0D">
            <w:pPr>
              <w:rPr>
                <w:rFonts w:hint="eastAsia" w:ascii="宋体" w:hAnsi="宋体" w:eastAsia="宋体" w:cs="仿宋"/>
                <w:color w:val="000000" w:themeColor="text1"/>
                <w:sz w:val="28"/>
                <w:szCs w:val="28"/>
                <w:highlight w:val="none"/>
                <w14:textFill>
                  <w14:solidFill>
                    <w14:schemeClr w14:val="tx1"/>
                  </w14:solidFill>
                </w14:textFill>
              </w:rPr>
            </w:pPr>
          </w:p>
        </w:tc>
        <w:tc>
          <w:tcPr>
            <w:tcW w:w="2100" w:type="dxa"/>
            <w:vAlign w:val="center"/>
          </w:tcPr>
          <w:p w14:paraId="61CB99E9">
            <w:pPr>
              <w:rPr>
                <w:rFonts w:hint="eastAsia" w:ascii="宋体" w:hAnsi="宋体" w:eastAsia="宋体" w:cs="仿宋"/>
                <w:color w:val="000000" w:themeColor="text1"/>
                <w:sz w:val="28"/>
                <w:szCs w:val="28"/>
                <w:highlight w:val="none"/>
                <w14:textFill>
                  <w14:solidFill>
                    <w14:schemeClr w14:val="tx1"/>
                  </w14:solidFill>
                </w14:textFill>
              </w:rPr>
            </w:pPr>
          </w:p>
        </w:tc>
        <w:tc>
          <w:tcPr>
            <w:tcW w:w="1215" w:type="dxa"/>
            <w:vAlign w:val="center"/>
          </w:tcPr>
          <w:p w14:paraId="5ADC76B4">
            <w:pPr>
              <w:rPr>
                <w:rFonts w:hint="eastAsia" w:ascii="宋体" w:hAnsi="宋体" w:eastAsia="宋体" w:cs="仿宋"/>
                <w:color w:val="000000" w:themeColor="text1"/>
                <w:sz w:val="28"/>
                <w:szCs w:val="28"/>
                <w:highlight w:val="none"/>
                <w14:textFill>
                  <w14:solidFill>
                    <w14:schemeClr w14:val="tx1"/>
                  </w14:solidFill>
                </w14:textFill>
              </w:rPr>
            </w:pPr>
          </w:p>
        </w:tc>
        <w:tc>
          <w:tcPr>
            <w:tcW w:w="1483" w:type="dxa"/>
            <w:vAlign w:val="center"/>
          </w:tcPr>
          <w:p w14:paraId="56C2C948">
            <w:pPr>
              <w:rPr>
                <w:rFonts w:hint="eastAsia" w:ascii="宋体" w:hAnsi="宋体" w:eastAsia="宋体" w:cs="仿宋"/>
                <w:color w:val="000000" w:themeColor="text1"/>
                <w:sz w:val="28"/>
                <w:szCs w:val="28"/>
                <w:highlight w:val="none"/>
                <w14:textFill>
                  <w14:solidFill>
                    <w14:schemeClr w14:val="tx1"/>
                  </w14:solidFill>
                </w14:textFill>
              </w:rPr>
            </w:pPr>
          </w:p>
        </w:tc>
        <w:tc>
          <w:tcPr>
            <w:tcW w:w="1669" w:type="dxa"/>
            <w:vAlign w:val="center"/>
          </w:tcPr>
          <w:p w14:paraId="09B0AC98">
            <w:pPr>
              <w:rPr>
                <w:rFonts w:hint="eastAsia" w:ascii="宋体" w:hAnsi="宋体" w:eastAsia="宋体" w:cs="仿宋"/>
                <w:color w:val="000000" w:themeColor="text1"/>
                <w:sz w:val="28"/>
                <w:szCs w:val="28"/>
                <w:highlight w:val="none"/>
                <w14:textFill>
                  <w14:solidFill>
                    <w14:schemeClr w14:val="tx1"/>
                  </w14:solidFill>
                </w14:textFill>
              </w:rPr>
            </w:pPr>
          </w:p>
        </w:tc>
      </w:tr>
      <w:tr w14:paraId="47CE4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25" w:type="dxa"/>
            <w:vAlign w:val="center"/>
          </w:tcPr>
          <w:p w14:paraId="1CC25AD8">
            <w:pPr>
              <w:rPr>
                <w:rFonts w:hint="eastAsia" w:ascii="宋体" w:hAnsi="宋体" w:eastAsia="宋体" w:cs="仿宋"/>
                <w:color w:val="000000" w:themeColor="text1"/>
                <w:sz w:val="28"/>
                <w:szCs w:val="28"/>
                <w:highlight w:val="none"/>
                <w14:textFill>
                  <w14:solidFill>
                    <w14:schemeClr w14:val="tx1"/>
                  </w14:solidFill>
                </w14:textFill>
              </w:rPr>
            </w:pPr>
          </w:p>
        </w:tc>
        <w:tc>
          <w:tcPr>
            <w:tcW w:w="2199" w:type="dxa"/>
            <w:vAlign w:val="center"/>
          </w:tcPr>
          <w:p w14:paraId="6723CA50">
            <w:pPr>
              <w:rPr>
                <w:rFonts w:hint="eastAsia" w:ascii="宋体" w:hAnsi="宋体" w:eastAsia="宋体" w:cs="仿宋"/>
                <w:color w:val="000000" w:themeColor="text1"/>
                <w:sz w:val="28"/>
                <w:szCs w:val="28"/>
                <w:highlight w:val="none"/>
                <w14:textFill>
                  <w14:solidFill>
                    <w14:schemeClr w14:val="tx1"/>
                  </w14:solidFill>
                </w14:textFill>
              </w:rPr>
            </w:pPr>
          </w:p>
        </w:tc>
        <w:tc>
          <w:tcPr>
            <w:tcW w:w="2100" w:type="dxa"/>
            <w:vAlign w:val="center"/>
          </w:tcPr>
          <w:p w14:paraId="63154197">
            <w:pPr>
              <w:rPr>
                <w:rFonts w:hint="eastAsia" w:ascii="宋体" w:hAnsi="宋体" w:eastAsia="宋体" w:cs="仿宋"/>
                <w:color w:val="000000" w:themeColor="text1"/>
                <w:sz w:val="28"/>
                <w:szCs w:val="28"/>
                <w:highlight w:val="none"/>
                <w14:textFill>
                  <w14:solidFill>
                    <w14:schemeClr w14:val="tx1"/>
                  </w14:solidFill>
                </w14:textFill>
              </w:rPr>
            </w:pPr>
          </w:p>
        </w:tc>
        <w:tc>
          <w:tcPr>
            <w:tcW w:w="1215" w:type="dxa"/>
            <w:vAlign w:val="center"/>
          </w:tcPr>
          <w:p w14:paraId="41823897">
            <w:pPr>
              <w:rPr>
                <w:rFonts w:hint="eastAsia" w:ascii="宋体" w:hAnsi="宋体" w:eastAsia="宋体" w:cs="仿宋"/>
                <w:color w:val="000000" w:themeColor="text1"/>
                <w:sz w:val="28"/>
                <w:szCs w:val="28"/>
                <w:highlight w:val="none"/>
                <w14:textFill>
                  <w14:solidFill>
                    <w14:schemeClr w14:val="tx1"/>
                  </w14:solidFill>
                </w14:textFill>
              </w:rPr>
            </w:pPr>
          </w:p>
        </w:tc>
        <w:tc>
          <w:tcPr>
            <w:tcW w:w="1483" w:type="dxa"/>
            <w:vAlign w:val="center"/>
          </w:tcPr>
          <w:p w14:paraId="3BC1C090">
            <w:pPr>
              <w:rPr>
                <w:rFonts w:hint="eastAsia" w:ascii="宋体" w:hAnsi="宋体" w:eastAsia="宋体" w:cs="仿宋"/>
                <w:color w:val="000000" w:themeColor="text1"/>
                <w:sz w:val="28"/>
                <w:szCs w:val="28"/>
                <w:highlight w:val="none"/>
                <w14:textFill>
                  <w14:solidFill>
                    <w14:schemeClr w14:val="tx1"/>
                  </w14:solidFill>
                </w14:textFill>
              </w:rPr>
            </w:pPr>
          </w:p>
        </w:tc>
        <w:tc>
          <w:tcPr>
            <w:tcW w:w="1669" w:type="dxa"/>
            <w:vAlign w:val="center"/>
          </w:tcPr>
          <w:p w14:paraId="130527A3">
            <w:pPr>
              <w:rPr>
                <w:rFonts w:hint="eastAsia" w:ascii="宋体" w:hAnsi="宋体" w:eastAsia="宋体" w:cs="仿宋"/>
                <w:color w:val="000000" w:themeColor="text1"/>
                <w:sz w:val="28"/>
                <w:szCs w:val="28"/>
                <w:highlight w:val="none"/>
                <w14:textFill>
                  <w14:solidFill>
                    <w14:schemeClr w14:val="tx1"/>
                  </w14:solidFill>
                </w14:textFill>
              </w:rPr>
            </w:pPr>
          </w:p>
        </w:tc>
      </w:tr>
      <w:tr w14:paraId="04DF9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25" w:type="dxa"/>
            <w:vAlign w:val="center"/>
          </w:tcPr>
          <w:p w14:paraId="50239802">
            <w:pPr>
              <w:rPr>
                <w:rFonts w:hint="eastAsia" w:ascii="宋体" w:hAnsi="宋体" w:eastAsia="宋体" w:cs="仿宋"/>
                <w:color w:val="000000" w:themeColor="text1"/>
                <w:sz w:val="28"/>
                <w:szCs w:val="28"/>
                <w:highlight w:val="none"/>
                <w14:textFill>
                  <w14:solidFill>
                    <w14:schemeClr w14:val="tx1"/>
                  </w14:solidFill>
                </w14:textFill>
              </w:rPr>
            </w:pPr>
          </w:p>
        </w:tc>
        <w:tc>
          <w:tcPr>
            <w:tcW w:w="2199" w:type="dxa"/>
            <w:vAlign w:val="center"/>
          </w:tcPr>
          <w:p w14:paraId="008B58BA">
            <w:pPr>
              <w:rPr>
                <w:rFonts w:hint="eastAsia" w:ascii="宋体" w:hAnsi="宋体" w:eastAsia="宋体" w:cs="仿宋"/>
                <w:color w:val="000000" w:themeColor="text1"/>
                <w:sz w:val="28"/>
                <w:szCs w:val="28"/>
                <w:highlight w:val="none"/>
                <w14:textFill>
                  <w14:solidFill>
                    <w14:schemeClr w14:val="tx1"/>
                  </w14:solidFill>
                </w14:textFill>
              </w:rPr>
            </w:pPr>
          </w:p>
        </w:tc>
        <w:tc>
          <w:tcPr>
            <w:tcW w:w="2100" w:type="dxa"/>
            <w:vAlign w:val="center"/>
          </w:tcPr>
          <w:p w14:paraId="7CD77C6F">
            <w:pPr>
              <w:rPr>
                <w:rFonts w:hint="eastAsia" w:ascii="宋体" w:hAnsi="宋体" w:eastAsia="宋体" w:cs="仿宋"/>
                <w:color w:val="000000" w:themeColor="text1"/>
                <w:sz w:val="28"/>
                <w:szCs w:val="28"/>
                <w:highlight w:val="none"/>
                <w14:textFill>
                  <w14:solidFill>
                    <w14:schemeClr w14:val="tx1"/>
                  </w14:solidFill>
                </w14:textFill>
              </w:rPr>
            </w:pPr>
          </w:p>
        </w:tc>
        <w:tc>
          <w:tcPr>
            <w:tcW w:w="1215" w:type="dxa"/>
            <w:vAlign w:val="center"/>
          </w:tcPr>
          <w:p w14:paraId="71CD9640">
            <w:pPr>
              <w:rPr>
                <w:rFonts w:hint="eastAsia" w:ascii="宋体" w:hAnsi="宋体" w:eastAsia="宋体" w:cs="仿宋"/>
                <w:color w:val="000000" w:themeColor="text1"/>
                <w:sz w:val="28"/>
                <w:szCs w:val="28"/>
                <w:highlight w:val="none"/>
                <w14:textFill>
                  <w14:solidFill>
                    <w14:schemeClr w14:val="tx1"/>
                  </w14:solidFill>
                </w14:textFill>
              </w:rPr>
            </w:pPr>
          </w:p>
        </w:tc>
        <w:tc>
          <w:tcPr>
            <w:tcW w:w="1483" w:type="dxa"/>
            <w:vAlign w:val="center"/>
          </w:tcPr>
          <w:p w14:paraId="7709F83A">
            <w:pPr>
              <w:rPr>
                <w:rFonts w:hint="eastAsia" w:ascii="宋体" w:hAnsi="宋体" w:eastAsia="宋体" w:cs="仿宋"/>
                <w:color w:val="000000" w:themeColor="text1"/>
                <w:sz w:val="28"/>
                <w:szCs w:val="28"/>
                <w:highlight w:val="none"/>
                <w14:textFill>
                  <w14:solidFill>
                    <w14:schemeClr w14:val="tx1"/>
                  </w14:solidFill>
                </w14:textFill>
              </w:rPr>
            </w:pPr>
          </w:p>
        </w:tc>
        <w:tc>
          <w:tcPr>
            <w:tcW w:w="1669" w:type="dxa"/>
            <w:vAlign w:val="center"/>
          </w:tcPr>
          <w:p w14:paraId="5484C753">
            <w:pPr>
              <w:rPr>
                <w:rFonts w:hint="eastAsia" w:ascii="宋体" w:hAnsi="宋体" w:eastAsia="宋体" w:cs="仿宋"/>
                <w:color w:val="000000" w:themeColor="text1"/>
                <w:sz w:val="28"/>
                <w:szCs w:val="28"/>
                <w:highlight w:val="none"/>
                <w14:textFill>
                  <w14:solidFill>
                    <w14:schemeClr w14:val="tx1"/>
                  </w14:solidFill>
                </w14:textFill>
              </w:rPr>
            </w:pPr>
          </w:p>
        </w:tc>
      </w:tr>
      <w:tr w14:paraId="6AEF6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25" w:type="dxa"/>
            <w:vAlign w:val="center"/>
          </w:tcPr>
          <w:p w14:paraId="10C5618D">
            <w:pPr>
              <w:rPr>
                <w:rFonts w:hint="eastAsia" w:ascii="宋体" w:hAnsi="宋体" w:eastAsia="宋体" w:cs="仿宋"/>
                <w:color w:val="000000" w:themeColor="text1"/>
                <w:sz w:val="28"/>
                <w:szCs w:val="28"/>
                <w:highlight w:val="none"/>
                <w14:textFill>
                  <w14:solidFill>
                    <w14:schemeClr w14:val="tx1"/>
                  </w14:solidFill>
                </w14:textFill>
              </w:rPr>
            </w:pPr>
          </w:p>
        </w:tc>
        <w:tc>
          <w:tcPr>
            <w:tcW w:w="2199" w:type="dxa"/>
            <w:vAlign w:val="center"/>
          </w:tcPr>
          <w:p w14:paraId="7F3C1E95">
            <w:pPr>
              <w:rPr>
                <w:rFonts w:hint="eastAsia" w:ascii="宋体" w:hAnsi="宋体" w:eastAsia="宋体" w:cs="仿宋"/>
                <w:color w:val="000000" w:themeColor="text1"/>
                <w:sz w:val="28"/>
                <w:szCs w:val="28"/>
                <w:highlight w:val="none"/>
                <w14:textFill>
                  <w14:solidFill>
                    <w14:schemeClr w14:val="tx1"/>
                  </w14:solidFill>
                </w14:textFill>
              </w:rPr>
            </w:pPr>
          </w:p>
        </w:tc>
        <w:tc>
          <w:tcPr>
            <w:tcW w:w="2100" w:type="dxa"/>
            <w:vAlign w:val="center"/>
          </w:tcPr>
          <w:p w14:paraId="406E3B75">
            <w:pPr>
              <w:rPr>
                <w:rFonts w:hint="eastAsia" w:ascii="宋体" w:hAnsi="宋体" w:eastAsia="宋体" w:cs="仿宋"/>
                <w:color w:val="000000" w:themeColor="text1"/>
                <w:sz w:val="28"/>
                <w:szCs w:val="28"/>
                <w:highlight w:val="none"/>
                <w14:textFill>
                  <w14:solidFill>
                    <w14:schemeClr w14:val="tx1"/>
                  </w14:solidFill>
                </w14:textFill>
              </w:rPr>
            </w:pPr>
          </w:p>
        </w:tc>
        <w:tc>
          <w:tcPr>
            <w:tcW w:w="1215" w:type="dxa"/>
            <w:vAlign w:val="center"/>
          </w:tcPr>
          <w:p w14:paraId="5FEBBEC2">
            <w:pPr>
              <w:rPr>
                <w:rFonts w:hint="eastAsia" w:ascii="宋体" w:hAnsi="宋体" w:eastAsia="宋体" w:cs="仿宋"/>
                <w:color w:val="000000" w:themeColor="text1"/>
                <w:sz w:val="28"/>
                <w:szCs w:val="28"/>
                <w:highlight w:val="none"/>
                <w14:textFill>
                  <w14:solidFill>
                    <w14:schemeClr w14:val="tx1"/>
                  </w14:solidFill>
                </w14:textFill>
              </w:rPr>
            </w:pPr>
          </w:p>
        </w:tc>
        <w:tc>
          <w:tcPr>
            <w:tcW w:w="1483" w:type="dxa"/>
            <w:vAlign w:val="center"/>
          </w:tcPr>
          <w:p w14:paraId="72020EB6">
            <w:pPr>
              <w:rPr>
                <w:rFonts w:hint="eastAsia" w:ascii="宋体" w:hAnsi="宋体" w:eastAsia="宋体" w:cs="仿宋"/>
                <w:color w:val="000000" w:themeColor="text1"/>
                <w:sz w:val="28"/>
                <w:szCs w:val="28"/>
                <w:highlight w:val="none"/>
                <w14:textFill>
                  <w14:solidFill>
                    <w14:schemeClr w14:val="tx1"/>
                  </w14:solidFill>
                </w14:textFill>
              </w:rPr>
            </w:pPr>
          </w:p>
        </w:tc>
        <w:tc>
          <w:tcPr>
            <w:tcW w:w="1669" w:type="dxa"/>
            <w:vAlign w:val="center"/>
          </w:tcPr>
          <w:p w14:paraId="53FB4E15">
            <w:pPr>
              <w:rPr>
                <w:rFonts w:hint="eastAsia" w:ascii="宋体" w:hAnsi="宋体" w:eastAsia="宋体" w:cs="仿宋"/>
                <w:color w:val="000000" w:themeColor="text1"/>
                <w:sz w:val="28"/>
                <w:szCs w:val="28"/>
                <w:highlight w:val="none"/>
                <w14:textFill>
                  <w14:solidFill>
                    <w14:schemeClr w14:val="tx1"/>
                  </w14:solidFill>
                </w14:textFill>
              </w:rPr>
            </w:pPr>
          </w:p>
        </w:tc>
      </w:tr>
      <w:tr w14:paraId="1844F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25" w:type="dxa"/>
            <w:vAlign w:val="center"/>
          </w:tcPr>
          <w:p w14:paraId="7C46DBE6">
            <w:pPr>
              <w:rPr>
                <w:rFonts w:hint="eastAsia" w:ascii="宋体" w:hAnsi="宋体" w:eastAsia="宋体" w:cs="仿宋"/>
                <w:color w:val="000000" w:themeColor="text1"/>
                <w:sz w:val="28"/>
                <w:szCs w:val="28"/>
                <w:highlight w:val="none"/>
                <w14:textFill>
                  <w14:solidFill>
                    <w14:schemeClr w14:val="tx1"/>
                  </w14:solidFill>
                </w14:textFill>
              </w:rPr>
            </w:pPr>
          </w:p>
        </w:tc>
        <w:tc>
          <w:tcPr>
            <w:tcW w:w="2199" w:type="dxa"/>
            <w:vAlign w:val="center"/>
          </w:tcPr>
          <w:p w14:paraId="456EFC91">
            <w:pPr>
              <w:rPr>
                <w:rFonts w:hint="eastAsia" w:ascii="宋体" w:hAnsi="宋体" w:eastAsia="宋体" w:cs="仿宋"/>
                <w:color w:val="000000" w:themeColor="text1"/>
                <w:sz w:val="28"/>
                <w:szCs w:val="28"/>
                <w:highlight w:val="none"/>
                <w14:textFill>
                  <w14:solidFill>
                    <w14:schemeClr w14:val="tx1"/>
                  </w14:solidFill>
                </w14:textFill>
              </w:rPr>
            </w:pPr>
          </w:p>
        </w:tc>
        <w:tc>
          <w:tcPr>
            <w:tcW w:w="2100" w:type="dxa"/>
            <w:vAlign w:val="center"/>
          </w:tcPr>
          <w:p w14:paraId="4DDC23D0">
            <w:pPr>
              <w:rPr>
                <w:rFonts w:hint="eastAsia" w:ascii="宋体" w:hAnsi="宋体" w:eastAsia="宋体" w:cs="仿宋"/>
                <w:color w:val="000000" w:themeColor="text1"/>
                <w:sz w:val="28"/>
                <w:szCs w:val="28"/>
                <w:highlight w:val="none"/>
                <w14:textFill>
                  <w14:solidFill>
                    <w14:schemeClr w14:val="tx1"/>
                  </w14:solidFill>
                </w14:textFill>
              </w:rPr>
            </w:pPr>
          </w:p>
        </w:tc>
        <w:tc>
          <w:tcPr>
            <w:tcW w:w="1215" w:type="dxa"/>
            <w:vAlign w:val="center"/>
          </w:tcPr>
          <w:p w14:paraId="1156B3F0">
            <w:pPr>
              <w:rPr>
                <w:rFonts w:hint="eastAsia" w:ascii="宋体" w:hAnsi="宋体" w:eastAsia="宋体" w:cs="仿宋"/>
                <w:color w:val="000000" w:themeColor="text1"/>
                <w:sz w:val="28"/>
                <w:szCs w:val="28"/>
                <w:highlight w:val="none"/>
                <w14:textFill>
                  <w14:solidFill>
                    <w14:schemeClr w14:val="tx1"/>
                  </w14:solidFill>
                </w14:textFill>
              </w:rPr>
            </w:pPr>
          </w:p>
        </w:tc>
        <w:tc>
          <w:tcPr>
            <w:tcW w:w="1483" w:type="dxa"/>
            <w:vAlign w:val="center"/>
          </w:tcPr>
          <w:p w14:paraId="4641BBB4">
            <w:pPr>
              <w:rPr>
                <w:rFonts w:hint="eastAsia" w:ascii="宋体" w:hAnsi="宋体" w:eastAsia="宋体" w:cs="仿宋"/>
                <w:color w:val="000000" w:themeColor="text1"/>
                <w:sz w:val="28"/>
                <w:szCs w:val="28"/>
                <w:highlight w:val="none"/>
                <w14:textFill>
                  <w14:solidFill>
                    <w14:schemeClr w14:val="tx1"/>
                  </w14:solidFill>
                </w14:textFill>
              </w:rPr>
            </w:pPr>
          </w:p>
        </w:tc>
        <w:tc>
          <w:tcPr>
            <w:tcW w:w="1669" w:type="dxa"/>
            <w:vAlign w:val="center"/>
          </w:tcPr>
          <w:p w14:paraId="62CAC719">
            <w:pPr>
              <w:rPr>
                <w:rFonts w:hint="eastAsia" w:ascii="宋体" w:hAnsi="宋体" w:eastAsia="宋体" w:cs="仿宋"/>
                <w:color w:val="000000" w:themeColor="text1"/>
                <w:sz w:val="28"/>
                <w:szCs w:val="28"/>
                <w:highlight w:val="none"/>
                <w14:textFill>
                  <w14:solidFill>
                    <w14:schemeClr w14:val="tx1"/>
                  </w14:solidFill>
                </w14:textFill>
              </w:rPr>
            </w:pPr>
          </w:p>
        </w:tc>
      </w:tr>
      <w:tr w14:paraId="6CD07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25" w:type="dxa"/>
            <w:vAlign w:val="center"/>
          </w:tcPr>
          <w:p w14:paraId="29527F18">
            <w:pPr>
              <w:rPr>
                <w:rFonts w:hint="eastAsia" w:ascii="宋体" w:hAnsi="宋体" w:eastAsia="宋体" w:cs="仿宋"/>
                <w:color w:val="000000" w:themeColor="text1"/>
                <w:sz w:val="28"/>
                <w:szCs w:val="28"/>
                <w:highlight w:val="none"/>
                <w14:textFill>
                  <w14:solidFill>
                    <w14:schemeClr w14:val="tx1"/>
                  </w14:solidFill>
                </w14:textFill>
              </w:rPr>
            </w:pPr>
          </w:p>
        </w:tc>
        <w:tc>
          <w:tcPr>
            <w:tcW w:w="2199" w:type="dxa"/>
            <w:vAlign w:val="center"/>
          </w:tcPr>
          <w:p w14:paraId="5CE27BEE">
            <w:pPr>
              <w:rPr>
                <w:rFonts w:hint="eastAsia" w:ascii="宋体" w:hAnsi="宋体" w:eastAsia="宋体" w:cs="仿宋"/>
                <w:color w:val="000000" w:themeColor="text1"/>
                <w:sz w:val="28"/>
                <w:szCs w:val="28"/>
                <w:highlight w:val="none"/>
                <w14:textFill>
                  <w14:solidFill>
                    <w14:schemeClr w14:val="tx1"/>
                  </w14:solidFill>
                </w14:textFill>
              </w:rPr>
            </w:pPr>
          </w:p>
        </w:tc>
        <w:tc>
          <w:tcPr>
            <w:tcW w:w="2100" w:type="dxa"/>
            <w:vAlign w:val="center"/>
          </w:tcPr>
          <w:p w14:paraId="77B94CD9">
            <w:pPr>
              <w:rPr>
                <w:rFonts w:hint="eastAsia" w:ascii="宋体" w:hAnsi="宋体" w:eastAsia="宋体" w:cs="仿宋"/>
                <w:color w:val="000000" w:themeColor="text1"/>
                <w:sz w:val="28"/>
                <w:szCs w:val="28"/>
                <w:highlight w:val="none"/>
                <w14:textFill>
                  <w14:solidFill>
                    <w14:schemeClr w14:val="tx1"/>
                  </w14:solidFill>
                </w14:textFill>
              </w:rPr>
            </w:pPr>
          </w:p>
        </w:tc>
        <w:tc>
          <w:tcPr>
            <w:tcW w:w="1215" w:type="dxa"/>
            <w:vAlign w:val="center"/>
          </w:tcPr>
          <w:p w14:paraId="1AC6168C">
            <w:pPr>
              <w:rPr>
                <w:rFonts w:hint="eastAsia" w:ascii="宋体" w:hAnsi="宋体" w:eastAsia="宋体" w:cs="仿宋"/>
                <w:color w:val="000000" w:themeColor="text1"/>
                <w:sz w:val="28"/>
                <w:szCs w:val="28"/>
                <w:highlight w:val="none"/>
                <w14:textFill>
                  <w14:solidFill>
                    <w14:schemeClr w14:val="tx1"/>
                  </w14:solidFill>
                </w14:textFill>
              </w:rPr>
            </w:pPr>
          </w:p>
        </w:tc>
        <w:tc>
          <w:tcPr>
            <w:tcW w:w="1483" w:type="dxa"/>
            <w:vAlign w:val="center"/>
          </w:tcPr>
          <w:p w14:paraId="3C5BBA1F">
            <w:pPr>
              <w:rPr>
                <w:rFonts w:hint="eastAsia" w:ascii="宋体" w:hAnsi="宋体" w:eastAsia="宋体" w:cs="仿宋"/>
                <w:color w:val="000000" w:themeColor="text1"/>
                <w:sz w:val="28"/>
                <w:szCs w:val="28"/>
                <w:highlight w:val="none"/>
                <w14:textFill>
                  <w14:solidFill>
                    <w14:schemeClr w14:val="tx1"/>
                  </w14:solidFill>
                </w14:textFill>
              </w:rPr>
            </w:pPr>
          </w:p>
        </w:tc>
        <w:tc>
          <w:tcPr>
            <w:tcW w:w="1669" w:type="dxa"/>
            <w:vAlign w:val="center"/>
          </w:tcPr>
          <w:p w14:paraId="2600191F">
            <w:pPr>
              <w:rPr>
                <w:rFonts w:hint="eastAsia" w:ascii="宋体" w:hAnsi="宋体" w:eastAsia="宋体" w:cs="仿宋"/>
                <w:color w:val="000000" w:themeColor="text1"/>
                <w:sz w:val="28"/>
                <w:szCs w:val="28"/>
                <w:highlight w:val="none"/>
                <w14:textFill>
                  <w14:solidFill>
                    <w14:schemeClr w14:val="tx1"/>
                  </w14:solidFill>
                </w14:textFill>
              </w:rPr>
            </w:pPr>
          </w:p>
        </w:tc>
      </w:tr>
      <w:tr w14:paraId="29618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25" w:type="dxa"/>
            <w:vAlign w:val="center"/>
          </w:tcPr>
          <w:p w14:paraId="14566E98">
            <w:pPr>
              <w:rPr>
                <w:rFonts w:hint="eastAsia" w:ascii="宋体" w:hAnsi="宋体" w:eastAsia="宋体" w:cs="仿宋"/>
                <w:color w:val="000000" w:themeColor="text1"/>
                <w:sz w:val="28"/>
                <w:szCs w:val="28"/>
                <w:highlight w:val="none"/>
                <w14:textFill>
                  <w14:solidFill>
                    <w14:schemeClr w14:val="tx1"/>
                  </w14:solidFill>
                </w14:textFill>
              </w:rPr>
            </w:pPr>
          </w:p>
        </w:tc>
        <w:tc>
          <w:tcPr>
            <w:tcW w:w="2199" w:type="dxa"/>
            <w:vAlign w:val="center"/>
          </w:tcPr>
          <w:p w14:paraId="52DD66CE">
            <w:pPr>
              <w:rPr>
                <w:rFonts w:hint="eastAsia" w:ascii="宋体" w:hAnsi="宋体" w:eastAsia="宋体" w:cs="仿宋"/>
                <w:color w:val="000000" w:themeColor="text1"/>
                <w:sz w:val="28"/>
                <w:szCs w:val="28"/>
                <w:highlight w:val="none"/>
                <w14:textFill>
                  <w14:solidFill>
                    <w14:schemeClr w14:val="tx1"/>
                  </w14:solidFill>
                </w14:textFill>
              </w:rPr>
            </w:pPr>
          </w:p>
        </w:tc>
        <w:tc>
          <w:tcPr>
            <w:tcW w:w="2100" w:type="dxa"/>
            <w:vAlign w:val="center"/>
          </w:tcPr>
          <w:p w14:paraId="12BDBF69">
            <w:pPr>
              <w:rPr>
                <w:rFonts w:hint="eastAsia" w:ascii="宋体" w:hAnsi="宋体" w:eastAsia="宋体" w:cs="仿宋"/>
                <w:color w:val="000000" w:themeColor="text1"/>
                <w:sz w:val="28"/>
                <w:szCs w:val="28"/>
                <w:highlight w:val="none"/>
                <w14:textFill>
                  <w14:solidFill>
                    <w14:schemeClr w14:val="tx1"/>
                  </w14:solidFill>
                </w14:textFill>
              </w:rPr>
            </w:pPr>
          </w:p>
        </w:tc>
        <w:tc>
          <w:tcPr>
            <w:tcW w:w="1215" w:type="dxa"/>
            <w:vAlign w:val="center"/>
          </w:tcPr>
          <w:p w14:paraId="1464D911">
            <w:pPr>
              <w:rPr>
                <w:rFonts w:hint="eastAsia" w:ascii="宋体" w:hAnsi="宋体" w:eastAsia="宋体" w:cs="仿宋"/>
                <w:color w:val="000000" w:themeColor="text1"/>
                <w:sz w:val="28"/>
                <w:szCs w:val="28"/>
                <w:highlight w:val="none"/>
                <w14:textFill>
                  <w14:solidFill>
                    <w14:schemeClr w14:val="tx1"/>
                  </w14:solidFill>
                </w14:textFill>
              </w:rPr>
            </w:pPr>
          </w:p>
        </w:tc>
        <w:tc>
          <w:tcPr>
            <w:tcW w:w="1483" w:type="dxa"/>
            <w:vAlign w:val="center"/>
          </w:tcPr>
          <w:p w14:paraId="7BE8244F">
            <w:pPr>
              <w:rPr>
                <w:rFonts w:hint="eastAsia" w:ascii="宋体" w:hAnsi="宋体" w:eastAsia="宋体" w:cs="仿宋"/>
                <w:color w:val="000000" w:themeColor="text1"/>
                <w:sz w:val="28"/>
                <w:szCs w:val="28"/>
                <w:highlight w:val="none"/>
                <w14:textFill>
                  <w14:solidFill>
                    <w14:schemeClr w14:val="tx1"/>
                  </w14:solidFill>
                </w14:textFill>
              </w:rPr>
            </w:pPr>
          </w:p>
        </w:tc>
        <w:tc>
          <w:tcPr>
            <w:tcW w:w="1669" w:type="dxa"/>
            <w:vAlign w:val="center"/>
          </w:tcPr>
          <w:p w14:paraId="13C5E150">
            <w:pPr>
              <w:rPr>
                <w:rFonts w:hint="eastAsia" w:ascii="宋体" w:hAnsi="宋体" w:eastAsia="宋体" w:cs="仿宋"/>
                <w:color w:val="000000" w:themeColor="text1"/>
                <w:sz w:val="28"/>
                <w:szCs w:val="28"/>
                <w:highlight w:val="none"/>
                <w14:textFill>
                  <w14:solidFill>
                    <w14:schemeClr w14:val="tx1"/>
                  </w14:solidFill>
                </w14:textFill>
              </w:rPr>
            </w:pPr>
          </w:p>
        </w:tc>
      </w:tr>
    </w:tbl>
    <w:p w14:paraId="1CCD751D">
      <w:pPr>
        <w:spacing w:line="500" w:lineRule="exact"/>
        <w:rPr>
          <w:rFonts w:hint="eastAsia" w:ascii="宋体" w:hAnsi="宋体" w:eastAsia="宋体"/>
          <w:b/>
          <w:bCs/>
          <w:color w:val="000000" w:themeColor="text1"/>
          <w:sz w:val="28"/>
          <w:szCs w:val="28"/>
          <w:highlight w:val="none"/>
          <w14:textFill>
            <w14:solidFill>
              <w14:schemeClr w14:val="tx1"/>
            </w14:solidFill>
          </w14:textFill>
        </w:rPr>
      </w:pPr>
      <w:r>
        <w:rPr>
          <w:rFonts w:hint="eastAsia" w:ascii="宋体" w:hAnsi="宋体" w:eastAsia="宋体"/>
          <w:b/>
          <w:bCs/>
          <w:color w:val="000000" w:themeColor="text1"/>
          <w:sz w:val="28"/>
          <w:szCs w:val="28"/>
          <w:highlight w:val="none"/>
          <w14:textFill>
            <w14:solidFill>
              <w14:schemeClr w14:val="tx1"/>
            </w14:solidFill>
          </w14:textFill>
        </w:rPr>
        <w:t>注：投标文件中需提供证明材料。</w:t>
      </w:r>
    </w:p>
    <w:p w14:paraId="11129A0D">
      <w:pPr>
        <w:spacing w:line="520" w:lineRule="exact"/>
        <w:rPr>
          <w:rFonts w:hint="eastAsia" w:ascii="宋体" w:hAnsi="宋体" w:eastAsia="宋体" w:cs="仿宋"/>
          <w:color w:val="000000" w:themeColor="text1"/>
          <w:sz w:val="24"/>
          <w:highlight w:val="none"/>
          <w14:textFill>
            <w14:solidFill>
              <w14:schemeClr w14:val="tx1"/>
            </w14:solidFill>
          </w14:textFill>
        </w:rPr>
      </w:pPr>
    </w:p>
    <w:p w14:paraId="11ACA743">
      <w:pPr>
        <w:pStyle w:val="2"/>
        <w:rPr>
          <w:rFonts w:hint="eastAsia" w:ascii="宋体" w:hAnsi="宋体" w:eastAsia="宋体"/>
          <w:color w:val="000000" w:themeColor="text1"/>
          <w:highlight w:val="none"/>
          <w14:textFill>
            <w14:solidFill>
              <w14:schemeClr w14:val="tx1"/>
            </w14:solidFill>
          </w14:textFill>
        </w:rPr>
      </w:pPr>
    </w:p>
    <w:p w14:paraId="27997435">
      <w:pPr>
        <w:spacing w:line="52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投标人（盖章）：</w:t>
      </w:r>
    </w:p>
    <w:p w14:paraId="450BD7F1">
      <w:pPr>
        <w:spacing w:line="520" w:lineRule="exact"/>
        <w:rPr>
          <w:rFonts w:hint="eastAsia" w:ascii="宋体" w:hAnsi="宋体" w:eastAsia="宋体" w:cs="仿宋"/>
          <w:color w:val="000000" w:themeColor="text1"/>
          <w:sz w:val="30"/>
          <w:szCs w:val="30"/>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法定代表人或委托代理人（签字或盖章）：</w:t>
      </w:r>
    </w:p>
    <w:p w14:paraId="72680559">
      <w:pPr>
        <w:widowControl/>
        <w:jc w:val="left"/>
        <w:rPr>
          <w:rFonts w:hint="eastAsia" w:ascii="宋体" w:hAnsi="宋体" w:eastAsia="宋体" w:cs="仿宋"/>
          <w:bCs/>
          <w:color w:val="000000" w:themeColor="text1"/>
          <w:kern w:val="0"/>
          <w:sz w:val="44"/>
          <w:szCs w:val="32"/>
          <w:highlight w:val="none"/>
          <w14:textFill>
            <w14:solidFill>
              <w14:schemeClr w14:val="tx1"/>
            </w14:solidFill>
          </w14:textFill>
        </w:rPr>
      </w:pPr>
      <w:r>
        <w:rPr>
          <w:rFonts w:hint="eastAsia" w:ascii="宋体" w:hAnsi="宋体" w:eastAsia="宋体" w:cs="仿宋"/>
          <w:bCs/>
          <w:color w:val="000000" w:themeColor="text1"/>
          <w:sz w:val="44"/>
          <w:szCs w:val="32"/>
          <w:highlight w:val="none"/>
          <w14:textFill>
            <w14:solidFill>
              <w14:schemeClr w14:val="tx1"/>
            </w14:solidFill>
          </w14:textFill>
        </w:rPr>
        <w:br w:type="page"/>
      </w:r>
    </w:p>
    <w:p w14:paraId="1BA22E81">
      <w:pPr>
        <w:pStyle w:val="36"/>
        <w:spacing w:before="157"/>
        <w:jc w:val="center"/>
        <w:rPr>
          <w:rFonts w:hint="eastAsia" w:hAnsi="宋体" w:eastAsia="宋体" w:cs="仿宋"/>
          <w:bCs/>
          <w:color w:val="000000" w:themeColor="text1"/>
          <w:kern w:val="2"/>
          <w:sz w:val="44"/>
          <w:szCs w:val="32"/>
          <w:highlight w:val="none"/>
          <w14:textFill>
            <w14:solidFill>
              <w14:schemeClr w14:val="tx1"/>
            </w14:solidFill>
          </w14:textFill>
        </w:rPr>
      </w:pPr>
      <w:r>
        <w:rPr>
          <w:rFonts w:hAnsi="宋体" w:eastAsia="宋体" w:cs="仿宋"/>
          <w:bCs/>
          <w:color w:val="000000" w:themeColor="text1"/>
          <w:kern w:val="2"/>
          <w:sz w:val="44"/>
          <w:szCs w:val="32"/>
          <w:highlight w:val="none"/>
          <w14:textFill>
            <w14:solidFill>
              <w14:schemeClr w14:val="tx1"/>
            </w14:solidFill>
          </w14:textFill>
        </w:rPr>
        <w:t>项目管理机构组成表</w:t>
      </w:r>
    </w:p>
    <w:tbl>
      <w:tblPr>
        <w:tblStyle w:val="67"/>
        <w:tblW w:w="93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1407"/>
        <w:gridCol w:w="2551"/>
        <w:gridCol w:w="2457"/>
        <w:gridCol w:w="1842"/>
      </w:tblGrid>
      <w:tr w14:paraId="79C56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1075" w:type="dxa"/>
            <w:vMerge w:val="restart"/>
            <w:vAlign w:val="center"/>
          </w:tcPr>
          <w:p w14:paraId="37DED86A">
            <w:pPr>
              <w:tabs>
                <w:tab w:val="left" w:pos="4860"/>
              </w:tabs>
              <w:spacing w:line="460" w:lineRule="exact"/>
              <w:jc w:val="center"/>
              <w:rPr>
                <w:rFonts w:hint="eastAsia" w:ascii="宋体" w:hAnsi="宋体" w:eastAsia="宋体"/>
                <w:color w:val="000000" w:themeColor="text1"/>
                <w:sz w:val="24"/>
                <w:highlight w:val="none"/>
                <w14:textFill>
                  <w14:solidFill>
                    <w14:schemeClr w14:val="tx1"/>
                  </w14:solidFill>
                </w14:textFill>
              </w:rPr>
            </w:pPr>
            <w:r>
              <w:rPr>
                <w:rFonts w:hint="eastAsia" w:ascii="宋体" w:hAnsi="宋体" w:eastAsia="宋体"/>
                <w:color w:val="000000" w:themeColor="text1"/>
                <w:sz w:val="24"/>
                <w:highlight w:val="none"/>
                <w14:textFill>
                  <w14:solidFill>
                    <w14:schemeClr w14:val="tx1"/>
                  </w14:solidFill>
                </w14:textFill>
              </w:rPr>
              <w:t>序号</w:t>
            </w:r>
          </w:p>
        </w:tc>
        <w:tc>
          <w:tcPr>
            <w:tcW w:w="1407" w:type="dxa"/>
            <w:vMerge w:val="restart"/>
            <w:vAlign w:val="center"/>
          </w:tcPr>
          <w:p w14:paraId="7B213445">
            <w:pPr>
              <w:tabs>
                <w:tab w:val="left" w:pos="4860"/>
              </w:tabs>
              <w:spacing w:line="460" w:lineRule="exact"/>
              <w:jc w:val="center"/>
              <w:rPr>
                <w:rFonts w:hint="eastAsia" w:ascii="宋体" w:hAnsi="宋体" w:eastAsia="宋体"/>
                <w:color w:val="000000" w:themeColor="text1"/>
                <w:sz w:val="24"/>
                <w:highlight w:val="none"/>
                <w14:textFill>
                  <w14:solidFill>
                    <w14:schemeClr w14:val="tx1"/>
                  </w14:solidFill>
                </w14:textFill>
              </w:rPr>
            </w:pPr>
            <w:r>
              <w:rPr>
                <w:rFonts w:ascii="宋体" w:hAnsi="宋体" w:eastAsia="宋体"/>
                <w:color w:val="000000" w:themeColor="text1"/>
                <w:sz w:val="24"/>
                <w:highlight w:val="none"/>
                <w14:textFill>
                  <w14:solidFill>
                    <w14:schemeClr w14:val="tx1"/>
                  </w14:solidFill>
                </w14:textFill>
              </w:rPr>
              <w:t>姓名</w:t>
            </w:r>
          </w:p>
        </w:tc>
        <w:tc>
          <w:tcPr>
            <w:tcW w:w="2551" w:type="dxa"/>
            <w:vMerge w:val="restart"/>
            <w:vAlign w:val="center"/>
          </w:tcPr>
          <w:p w14:paraId="43DF2C22">
            <w:pPr>
              <w:tabs>
                <w:tab w:val="left" w:pos="4860"/>
              </w:tabs>
              <w:spacing w:line="460" w:lineRule="exact"/>
              <w:jc w:val="center"/>
              <w:rPr>
                <w:rFonts w:hint="eastAsia" w:ascii="宋体" w:hAnsi="宋体" w:eastAsia="宋体"/>
                <w:color w:val="000000" w:themeColor="text1"/>
                <w:sz w:val="24"/>
                <w:highlight w:val="none"/>
                <w14:textFill>
                  <w14:solidFill>
                    <w14:schemeClr w14:val="tx1"/>
                  </w14:solidFill>
                </w14:textFill>
              </w:rPr>
            </w:pPr>
            <w:r>
              <w:rPr>
                <w:rFonts w:hint="eastAsia" w:ascii="宋体" w:hAnsi="宋体" w:eastAsia="宋体"/>
                <w:color w:val="000000" w:themeColor="text1"/>
                <w:sz w:val="24"/>
                <w:highlight w:val="none"/>
                <w14:textFill>
                  <w14:solidFill>
                    <w14:schemeClr w14:val="tx1"/>
                  </w14:solidFill>
                </w14:textFill>
              </w:rPr>
              <w:t>本项目任职</w:t>
            </w:r>
          </w:p>
        </w:tc>
        <w:tc>
          <w:tcPr>
            <w:tcW w:w="2457" w:type="dxa"/>
            <w:vMerge w:val="restart"/>
            <w:vAlign w:val="center"/>
          </w:tcPr>
          <w:p w14:paraId="63ACF1EF">
            <w:pPr>
              <w:tabs>
                <w:tab w:val="left" w:pos="4860"/>
              </w:tabs>
              <w:spacing w:line="460" w:lineRule="exact"/>
              <w:jc w:val="center"/>
              <w:rPr>
                <w:rFonts w:hint="eastAsia" w:ascii="宋体" w:hAnsi="宋体" w:eastAsia="宋体"/>
                <w:color w:val="000000" w:themeColor="text1"/>
                <w:sz w:val="24"/>
                <w:highlight w:val="none"/>
                <w14:textFill>
                  <w14:solidFill>
                    <w14:schemeClr w14:val="tx1"/>
                  </w14:solidFill>
                </w14:textFill>
              </w:rPr>
            </w:pPr>
            <w:r>
              <w:rPr>
                <w:rFonts w:hint="eastAsia" w:ascii="宋体" w:hAnsi="宋体" w:eastAsia="宋体"/>
                <w:color w:val="000000" w:themeColor="text1"/>
                <w:sz w:val="24"/>
                <w:highlight w:val="none"/>
                <w14:textFill>
                  <w14:solidFill>
                    <w14:schemeClr w14:val="tx1"/>
                  </w14:solidFill>
                </w14:textFill>
              </w:rPr>
              <w:t>身份证号码</w:t>
            </w:r>
          </w:p>
        </w:tc>
        <w:tc>
          <w:tcPr>
            <w:tcW w:w="1842" w:type="dxa"/>
            <w:vMerge w:val="restart"/>
            <w:vAlign w:val="center"/>
          </w:tcPr>
          <w:p w14:paraId="7CCA5901">
            <w:pPr>
              <w:tabs>
                <w:tab w:val="left" w:pos="4860"/>
              </w:tabs>
              <w:spacing w:line="460" w:lineRule="exact"/>
              <w:jc w:val="center"/>
              <w:rPr>
                <w:rFonts w:hint="eastAsia" w:ascii="宋体" w:hAnsi="宋体" w:eastAsia="宋体"/>
                <w:color w:val="000000" w:themeColor="text1"/>
                <w:sz w:val="24"/>
                <w:highlight w:val="none"/>
                <w14:textFill>
                  <w14:solidFill>
                    <w14:schemeClr w14:val="tx1"/>
                  </w14:solidFill>
                </w14:textFill>
              </w:rPr>
            </w:pPr>
            <w:r>
              <w:rPr>
                <w:rFonts w:ascii="宋体" w:hAnsi="宋体" w:eastAsia="宋体"/>
                <w:color w:val="000000" w:themeColor="text1"/>
                <w:sz w:val="24"/>
                <w:highlight w:val="none"/>
                <w14:textFill>
                  <w14:solidFill>
                    <w14:schemeClr w14:val="tx1"/>
                  </w14:solidFill>
                </w14:textFill>
              </w:rPr>
              <w:t>备注</w:t>
            </w:r>
          </w:p>
        </w:tc>
      </w:tr>
      <w:tr w14:paraId="55FAE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jc w:val="center"/>
        </w:trPr>
        <w:tc>
          <w:tcPr>
            <w:tcW w:w="1075" w:type="dxa"/>
            <w:vMerge w:val="continue"/>
            <w:vAlign w:val="center"/>
          </w:tcPr>
          <w:p w14:paraId="25EED4C6">
            <w:pPr>
              <w:tabs>
                <w:tab w:val="left" w:pos="4860"/>
              </w:tabs>
              <w:spacing w:line="440" w:lineRule="exact"/>
              <w:jc w:val="center"/>
              <w:rPr>
                <w:rFonts w:hint="eastAsia" w:ascii="宋体" w:hAnsi="宋体" w:eastAsia="宋体"/>
                <w:color w:val="000000" w:themeColor="text1"/>
                <w:sz w:val="24"/>
                <w:highlight w:val="none"/>
                <w14:textFill>
                  <w14:solidFill>
                    <w14:schemeClr w14:val="tx1"/>
                  </w14:solidFill>
                </w14:textFill>
              </w:rPr>
            </w:pPr>
          </w:p>
        </w:tc>
        <w:tc>
          <w:tcPr>
            <w:tcW w:w="1407" w:type="dxa"/>
            <w:vMerge w:val="continue"/>
            <w:vAlign w:val="center"/>
          </w:tcPr>
          <w:p w14:paraId="56656C19">
            <w:pPr>
              <w:tabs>
                <w:tab w:val="left" w:pos="4860"/>
              </w:tabs>
              <w:spacing w:line="440" w:lineRule="exact"/>
              <w:jc w:val="center"/>
              <w:rPr>
                <w:rFonts w:hint="eastAsia" w:ascii="宋体" w:hAnsi="宋体" w:eastAsia="宋体"/>
                <w:color w:val="000000" w:themeColor="text1"/>
                <w:sz w:val="24"/>
                <w:highlight w:val="none"/>
                <w14:textFill>
                  <w14:solidFill>
                    <w14:schemeClr w14:val="tx1"/>
                  </w14:solidFill>
                </w14:textFill>
              </w:rPr>
            </w:pPr>
          </w:p>
        </w:tc>
        <w:tc>
          <w:tcPr>
            <w:tcW w:w="2551" w:type="dxa"/>
            <w:vMerge w:val="continue"/>
            <w:vAlign w:val="center"/>
          </w:tcPr>
          <w:p w14:paraId="0BF0CF74">
            <w:pPr>
              <w:tabs>
                <w:tab w:val="left" w:pos="4860"/>
              </w:tabs>
              <w:spacing w:line="440" w:lineRule="exact"/>
              <w:jc w:val="center"/>
              <w:rPr>
                <w:rFonts w:hint="eastAsia" w:ascii="宋体" w:hAnsi="宋体" w:eastAsia="宋体"/>
                <w:color w:val="000000" w:themeColor="text1"/>
                <w:sz w:val="24"/>
                <w:highlight w:val="none"/>
                <w14:textFill>
                  <w14:solidFill>
                    <w14:schemeClr w14:val="tx1"/>
                  </w14:solidFill>
                </w14:textFill>
              </w:rPr>
            </w:pPr>
          </w:p>
        </w:tc>
        <w:tc>
          <w:tcPr>
            <w:tcW w:w="2457" w:type="dxa"/>
            <w:vMerge w:val="continue"/>
            <w:vAlign w:val="center"/>
          </w:tcPr>
          <w:p w14:paraId="30535CD9">
            <w:pPr>
              <w:tabs>
                <w:tab w:val="left" w:pos="4860"/>
              </w:tabs>
              <w:spacing w:line="440" w:lineRule="exact"/>
              <w:jc w:val="center"/>
              <w:rPr>
                <w:rFonts w:hint="eastAsia" w:ascii="宋体" w:hAnsi="宋体" w:eastAsia="宋体"/>
                <w:color w:val="000000" w:themeColor="text1"/>
                <w:sz w:val="24"/>
                <w:highlight w:val="none"/>
                <w14:textFill>
                  <w14:solidFill>
                    <w14:schemeClr w14:val="tx1"/>
                  </w14:solidFill>
                </w14:textFill>
              </w:rPr>
            </w:pPr>
          </w:p>
        </w:tc>
        <w:tc>
          <w:tcPr>
            <w:tcW w:w="1842" w:type="dxa"/>
            <w:vMerge w:val="continue"/>
            <w:vAlign w:val="center"/>
          </w:tcPr>
          <w:p w14:paraId="091DC428">
            <w:pPr>
              <w:tabs>
                <w:tab w:val="left" w:pos="4860"/>
              </w:tabs>
              <w:spacing w:line="440" w:lineRule="exact"/>
              <w:jc w:val="center"/>
              <w:rPr>
                <w:rFonts w:hint="eastAsia" w:ascii="宋体" w:hAnsi="宋体" w:eastAsia="宋体"/>
                <w:color w:val="000000" w:themeColor="text1"/>
                <w:sz w:val="24"/>
                <w:highlight w:val="none"/>
                <w14:textFill>
                  <w14:solidFill>
                    <w14:schemeClr w14:val="tx1"/>
                  </w14:solidFill>
                </w14:textFill>
              </w:rPr>
            </w:pPr>
          </w:p>
        </w:tc>
      </w:tr>
      <w:tr w14:paraId="2A991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Align w:val="center"/>
          </w:tcPr>
          <w:p w14:paraId="153FAD70">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1407" w:type="dxa"/>
            <w:vAlign w:val="center"/>
          </w:tcPr>
          <w:p w14:paraId="46ED4F52">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2551" w:type="dxa"/>
            <w:vAlign w:val="center"/>
          </w:tcPr>
          <w:p w14:paraId="1908C805">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2457" w:type="dxa"/>
            <w:vAlign w:val="center"/>
          </w:tcPr>
          <w:p w14:paraId="00EE2962">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1842" w:type="dxa"/>
            <w:vAlign w:val="center"/>
          </w:tcPr>
          <w:p w14:paraId="4BB6459B">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r>
      <w:tr w14:paraId="263AF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Pr>
          <w:p w14:paraId="4F024DA6">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1407" w:type="dxa"/>
          </w:tcPr>
          <w:p w14:paraId="2669B984">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2551" w:type="dxa"/>
          </w:tcPr>
          <w:p w14:paraId="40FEB91F">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2457" w:type="dxa"/>
          </w:tcPr>
          <w:p w14:paraId="0710AEA3">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1842" w:type="dxa"/>
          </w:tcPr>
          <w:p w14:paraId="2608448F">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r>
      <w:tr w14:paraId="480E7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Pr>
          <w:p w14:paraId="3EE0314E">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1407" w:type="dxa"/>
          </w:tcPr>
          <w:p w14:paraId="39D063FD">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2551" w:type="dxa"/>
          </w:tcPr>
          <w:p w14:paraId="0A98B4E9">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2457" w:type="dxa"/>
          </w:tcPr>
          <w:p w14:paraId="1F60F383">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1842" w:type="dxa"/>
          </w:tcPr>
          <w:p w14:paraId="656AAA26">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r>
      <w:tr w14:paraId="6121A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Pr>
          <w:p w14:paraId="6D2666AA">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1407" w:type="dxa"/>
          </w:tcPr>
          <w:p w14:paraId="753D760D">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2551" w:type="dxa"/>
          </w:tcPr>
          <w:p w14:paraId="51E6B8F2">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2457" w:type="dxa"/>
          </w:tcPr>
          <w:p w14:paraId="1B520F3B">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1842" w:type="dxa"/>
          </w:tcPr>
          <w:p w14:paraId="361F12D1">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r>
      <w:tr w14:paraId="6E6B5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Pr>
          <w:p w14:paraId="6233554F">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1407" w:type="dxa"/>
          </w:tcPr>
          <w:p w14:paraId="665CA1B9">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2551" w:type="dxa"/>
          </w:tcPr>
          <w:p w14:paraId="0AB510E0">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2457" w:type="dxa"/>
          </w:tcPr>
          <w:p w14:paraId="5F550C9B">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1842" w:type="dxa"/>
          </w:tcPr>
          <w:p w14:paraId="5CD18F17">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r>
      <w:tr w14:paraId="6745C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Pr>
          <w:p w14:paraId="28047D8E">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1407" w:type="dxa"/>
          </w:tcPr>
          <w:p w14:paraId="4F51803C">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2551" w:type="dxa"/>
          </w:tcPr>
          <w:p w14:paraId="04B15ADD">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2457" w:type="dxa"/>
          </w:tcPr>
          <w:p w14:paraId="22F77454">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1842" w:type="dxa"/>
          </w:tcPr>
          <w:p w14:paraId="0A367C28">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r>
      <w:tr w14:paraId="17378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Pr>
          <w:p w14:paraId="7A439CA3">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1407" w:type="dxa"/>
          </w:tcPr>
          <w:p w14:paraId="0EDD07E3">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2551" w:type="dxa"/>
          </w:tcPr>
          <w:p w14:paraId="50844DE1">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2457" w:type="dxa"/>
          </w:tcPr>
          <w:p w14:paraId="7EAC9656">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1842" w:type="dxa"/>
          </w:tcPr>
          <w:p w14:paraId="3E106D22">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r>
      <w:tr w14:paraId="32FC7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Pr>
          <w:p w14:paraId="499BA032">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1407" w:type="dxa"/>
          </w:tcPr>
          <w:p w14:paraId="725D7C59">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2551" w:type="dxa"/>
          </w:tcPr>
          <w:p w14:paraId="0778488A">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2457" w:type="dxa"/>
          </w:tcPr>
          <w:p w14:paraId="2C838052">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1842" w:type="dxa"/>
          </w:tcPr>
          <w:p w14:paraId="4BDE8761">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r>
      <w:tr w14:paraId="571CA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Pr>
          <w:p w14:paraId="1ADDF282">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1407" w:type="dxa"/>
          </w:tcPr>
          <w:p w14:paraId="4FAD194D">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2551" w:type="dxa"/>
          </w:tcPr>
          <w:p w14:paraId="3EB08207">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2457" w:type="dxa"/>
          </w:tcPr>
          <w:p w14:paraId="14792555">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1842" w:type="dxa"/>
          </w:tcPr>
          <w:p w14:paraId="0699D8BE">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r>
      <w:tr w14:paraId="1E5F7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top w:val="single" w:color="auto" w:sz="4" w:space="0"/>
              <w:left w:val="single" w:color="auto" w:sz="4" w:space="0"/>
              <w:bottom w:val="single" w:color="auto" w:sz="4" w:space="0"/>
              <w:right w:val="single" w:color="auto" w:sz="4" w:space="0"/>
            </w:tcBorders>
          </w:tcPr>
          <w:p w14:paraId="004A1AE7">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1407" w:type="dxa"/>
            <w:tcBorders>
              <w:top w:val="single" w:color="auto" w:sz="4" w:space="0"/>
              <w:left w:val="single" w:color="auto" w:sz="4" w:space="0"/>
              <w:bottom w:val="single" w:color="auto" w:sz="4" w:space="0"/>
              <w:right w:val="single" w:color="auto" w:sz="4" w:space="0"/>
            </w:tcBorders>
          </w:tcPr>
          <w:p w14:paraId="35F6B30F">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2551" w:type="dxa"/>
            <w:tcBorders>
              <w:top w:val="single" w:color="auto" w:sz="4" w:space="0"/>
              <w:left w:val="single" w:color="auto" w:sz="4" w:space="0"/>
              <w:bottom w:val="single" w:color="auto" w:sz="4" w:space="0"/>
              <w:right w:val="single" w:color="auto" w:sz="4" w:space="0"/>
            </w:tcBorders>
          </w:tcPr>
          <w:p w14:paraId="5440278F">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2457" w:type="dxa"/>
            <w:tcBorders>
              <w:top w:val="single" w:color="auto" w:sz="4" w:space="0"/>
              <w:left w:val="single" w:color="auto" w:sz="4" w:space="0"/>
              <w:bottom w:val="single" w:color="auto" w:sz="4" w:space="0"/>
              <w:right w:val="single" w:color="auto" w:sz="4" w:space="0"/>
            </w:tcBorders>
          </w:tcPr>
          <w:p w14:paraId="3C3A6A66">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1842" w:type="dxa"/>
            <w:tcBorders>
              <w:top w:val="single" w:color="auto" w:sz="4" w:space="0"/>
              <w:left w:val="single" w:color="auto" w:sz="4" w:space="0"/>
              <w:bottom w:val="single" w:color="auto" w:sz="4" w:space="0"/>
              <w:right w:val="single" w:color="auto" w:sz="4" w:space="0"/>
            </w:tcBorders>
          </w:tcPr>
          <w:p w14:paraId="28108F8A">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r>
      <w:tr w14:paraId="553CD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top w:val="single" w:color="auto" w:sz="4" w:space="0"/>
              <w:left w:val="single" w:color="auto" w:sz="4" w:space="0"/>
              <w:bottom w:val="single" w:color="auto" w:sz="4" w:space="0"/>
              <w:right w:val="single" w:color="auto" w:sz="4" w:space="0"/>
            </w:tcBorders>
          </w:tcPr>
          <w:p w14:paraId="501A32D6">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1407" w:type="dxa"/>
            <w:tcBorders>
              <w:top w:val="single" w:color="auto" w:sz="4" w:space="0"/>
              <w:left w:val="single" w:color="auto" w:sz="4" w:space="0"/>
              <w:bottom w:val="single" w:color="auto" w:sz="4" w:space="0"/>
              <w:right w:val="single" w:color="auto" w:sz="4" w:space="0"/>
            </w:tcBorders>
          </w:tcPr>
          <w:p w14:paraId="181D124A">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2551" w:type="dxa"/>
            <w:tcBorders>
              <w:top w:val="single" w:color="auto" w:sz="4" w:space="0"/>
              <w:left w:val="single" w:color="auto" w:sz="4" w:space="0"/>
              <w:bottom w:val="single" w:color="auto" w:sz="4" w:space="0"/>
              <w:right w:val="single" w:color="auto" w:sz="4" w:space="0"/>
            </w:tcBorders>
          </w:tcPr>
          <w:p w14:paraId="2E534C7E">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2457" w:type="dxa"/>
            <w:tcBorders>
              <w:top w:val="single" w:color="auto" w:sz="4" w:space="0"/>
              <w:left w:val="single" w:color="auto" w:sz="4" w:space="0"/>
              <w:bottom w:val="single" w:color="auto" w:sz="4" w:space="0"/>
              <w:right w:val="single" w:color="auto" w:sz="4" w:space="0"/>
            </w:tcBorders>
          </w:tcPr>
          <w:p w14:paraId="4CAA4CAC">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1842" w:type="dxa"/>
            <w:tcBorders>
              <w:top w:val="single" w:color="auto" w:sz="4" w:space="0"/>
              <w:left w:val="single" w:color="auto" w:sz="4" w:space="0"/>
              <w:bottom w:val="single" w:color="auto" w:sz="4" w:space="0"/>
              <w:right w:val="single" w:color="auto" w:sz="4" w:space="0"/>
            </w:tcBorders>
          </w:tcPr>
          <w:p w14:paraId="3C4C4697">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r>
      <w:tr w14:paraId="72B24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top w:val="single" w:color="auto" w:sz="4" w:space="0"/>
              <w:left w:val="single" w:color="auto" w:sz="4" w:space="0"/>
              <w:bottom w:val="single" w:color="auto" w:sz="4" w:space="0"/>
              <w:right w:val="single" w:color="auto" w:sz="4" w:space="0"/>
            </w:tcBorders>
          </w:tcPr>
          <w:p w14:paraId="1AD4DC11">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1407" w:type="dxa"/>
            <w:tcBorders>
              <w:top w:val="single" w:color="auto" w:sz="4" w:space="0"/>
              <w:left w:val="single" w:color="auto" w:sz="4" w:space="0"/>
              <w:bottom w:val="single" w:color="auto" w:sz="4" w:space="0"/>
              <w:right w:val="single" w:color="auto" w:sz="4" w:space="0"/>
            </w:tcBorders>
          </w:tcPr>
          <w:p w14:paraId="730B2CFF">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2551" w:type="dxa"/>
            <w:tcBorders>
              <w:top w:val="single" w:color="auto" w:sz="4" w:space="0"/>
              <w:left w:val="single" w:color="auto" w:sz="4" w:space="0"/>
              <w:bottom w:val="single" w:color="auto" w:sz="4" w:space="0"/>
              <w:right w:val="single" w:color="auto" w:sz="4" w:space="0"/>
            </w:tcBorders>
          </w:tcPr>
          <w:p w14:paraId="0ECA3504">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2457" w:type="dxa"/>
            <w:tcBorders>
              <w:top w:val="single" w:color="auto" w:sz="4" w:space="0"/>
              <w:left w:val="single" w:color="auto" w:sz="4" w:space="0"/>
              <w:bottom w:val="single" w:color="auto" w:sz="4" w:space="0"/>
              <w:right w:val="single" w:color="auto" w:sz="4" w:space="0"/>
            </w:tcBorders>
          </w:tcPr>
          <w:p w14:paraId="7E609006">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1842" w:type="dxa"/>
            <w:tcBorders>
              <w:top w:val="single" w:color="auto" w:sz="4" w:space="0"/>
              <w:left w:val="single" w:color="auto" w:sz="4" w:space="0"/>
              <w:bottom w:val="single" w:color="auto" w:sz="4" w:space="0"/>
              <w:right w:val="single" w:color="auto" w:sz="4" w:space="0"/>
            </w:tcBorders>
          </w:tcPr>
          <w:p w14:paraId="59823183">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r>
      <w:tr w14:paraId="37D72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top w:val="single" w:color="auto" w:sz="4" w:space="0"/>
              <w:left w:val="single" w:color="auto" w:sz="4" w:space="0"/>
              <w:bottom w:val="single" w:color="auto" w:sz="4" w:space="0"/>
              <w:right w:val="single" w:color="auto" w:sz="4" w:space="0"/>
            </w:tcBorders>
          </w:tcPr>
          <w:p w14:paraId="3C7A76AB">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1407" w:type="dxa"/>
            <w:tcBorders>
              <w:top w:val="single" w:color="auto" w:sz="4" w:space="0"/>
              <w:left w:val="single" w:color="auto" w:sz="4" w:space="0"/>
              <w:bottom w:val="single" w:color="auto" w:sz="4" w:space="0"/>
              <w:right w:val="single" w:color="auto" w:sz="4" w:space="0"/>
            </w:tcBorders>
          </w:tcPr>
          <w:p w14:paraId="41275244">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2551" w:type="dxa"/>
            <w:tcBorders>
              <w:top w:val="single" w:color="auto" w:sz="4" w:space="0"/>
              <w:left w:val="single" w:color="auto" w:sz="4" w:space="0"/>
              <w:bottom w:val="single" w:color="auto" w:sz="4" w:space="0"/>
              <w:right w:val="single" w:color="auto" w:sz="4" w:space="0"/>
            </w:tcBorders>
          </w:tcPr>
          <w:p w14:paraId="1C8BD3DF">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2457" w:type="dxa"/>
            <w:tcBorders>
              <w:top w:val="single" w:color="auto" w:sz="4" w:space="0"/>
              <w:left w:val="single" w:color="auto" w:sz="4" w:space="0"/>
              <w:bottom w:val="single" w:color="auto" w:sz="4" w:space="0"/>
              <w:right w:val="single" w:color="auto" w:sz="4" w:space="0"/>
            </w:tcBorders>
          </w:tcPr>
          <w:p w14:paraId="3B4BCB55">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1842" w:type="dxa"/>
            <w:tcBorders>
              <w:top w:val="single" w:color="auto" w:sz="4" w:space="0"/>
              <w:left w:val="single" w:color="auto" w:sz="4" w:space="0"/>
              <w:bottom w:val="single" w:color="auto" w:sz="4" w:space="0"/>
              <w:right w:val="single" w:color="auto" w:sz="4" w:space="0"/>
            </w:tcBorders>
          </w:tcPr>
          <w:p w14:paraId="65C453FE">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r>
      <w:tr w14:paraId="5F195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top w:val="single" w:color="auto" w:sz="4" w:space="0"/>
              <w:left w:val="single" w:color="auto" w:sz="4" w:space="0"/>
              <w:bottom w:val="single" w:color="auto" w:sz="4" w:space="0"/>
              <w:right w:val="single" w:color="auto" w:sz="4" w:space="0"/>
            </w:tcBorders>
          </w:tcPr>
          <w:p w14:paraId="54392EDB">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1407" w:type="dxa"/>
            <w:tcBorders>
              <w:top w:val="single" w:color="auto" w:sz="4" w:space="0"/>
              <w:left w:val="single" w:color="auto" w:sz="4" w:space="0"/>
              <w:bottom w:val="single" w:color="auto" w:sz="4" w:space="0"/>
              <w:right w:val="single" w:color="auto" w:sz="4" w:space="0"/>
            </w:tcBorders>
          </w:tcPr>
          <w:p w14:paraId="30C77388">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2551" w:type="dxa"/>
            <w:tcBorders>
              <w:top w:val="single" w:color="auto" w:sz="4" w:space="0"/>
              <w:left w:val="single" w:color="auto" w:sz="4" w:space="0"/>
              <w:bottom w:val="single" w:color="auto" w:sz="4" w:space="0"/>
              <w:right w:val="single" w:color="auto" w:sz="4" w:space="0"/>
            </w:tcBorders>
          </w:tcPr>
          <w:p w14:paraId="6EA7F86D">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2457" w:type="dxa"/>
            <w:tcBorders>
              <w:top w:val="single" w:color="auto" w:sz="4" w:space="0"/>
              <w:left w:val="single" w:color="auto" w:sz="4" w:space="0"/>
              <w:bottom w:val="single" w:color="auto" w:sz="4" w:space="0"/>
              <w:right w:val="single" w:color="auto" w:sz="4" w:space="0"/>
            </w:tcBorders>
          </w:tcPr>
          <w:p w14:paraId="3CF26D80">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c>
          <w:tcPr>
            <w:tcW w:w="1842" w:type="dxa"/>
            <w:tcBorders>
              <w:top w:val="single" w:color="auto" w:sz="4" w:space="0"/>
              <w:left w:val="single" w:color="auto" w:sz="4" w:space="0"/>
              <w:bottom w:val="single" w:color="auto" w:sz="4" w:space="0"/>
              <w:right w:val="single" w:color="auto" w:sz="4" w:space="0"/>
            </w:tcBorders>
          </w:tcPr>
          <w:p w14:paraId="3B5FA3BD">
            <w:pPr>
              <w:tabs>
                <w:tab w:val="left" w:pos="4860"/>
              </w:tabs>
              <w:spacing w:line="440" w:lineRule="exact"/>
              <w:jc w:val="center"/>
              <w:rPr>
                <w:rFonts w:hint="eastAsia" w:ascii="宋体" w:hAnsi="宋体" w:eastAsia="宋体"/>
                <w:color w:val="000000" w:themeColor="text1"/>
                <w:szCs w:val="21"/>
                <w:highlight w:val="none"/>
                <w14:textFill>
                  <w14:solidFill>
                    <w14:schemeClr w14:val="tx1"/>
                  </w14:solidFill>
                </w14:textFill>
              </w:rPr>
            </w:pPr>
          </w:p>
        </w:tc>
      </w:tr>
    </w:tbl>
    <w:p w14:paraId="4EBE116C">
      <w:pPr>
        <w:tabs>
          <w:tab w:val="left" w:pos="4860"/>
        </w:tabs>
        <w:topLinePunct/>
        <w:spacing w:line="440" w:lineRule="exact"/>
        <w:rPr>
          <w:rFonts w:hint="eastAsia" w:ascii="宋体" w:hAnsi="宋体" w:eastAsia="宋体"/>
          <w:color w:val="000000" w:themeColor="text1"/>
          <w:sz w:val="24"/>
          <w:highlight w:val="none"/>
          <w14:textFill>
            <w14:solidFill>
              <w14:schemeClr w14:val="tx1"/>
            </w14:solidFill>
          </w14:textFill>
        </w:rPr>
      </w:pPr>
      <w:r>
        <w:rPr>
          <w:rFonts w:hint="eastAsia" w:ascii="宋体" w:hAnsi="宋体" w:eastAsia="宋体"/>
          <w:color w:val="000000" w:themeColor="text1"/>
          <w:sz w:val="24"/>
          <w:highlight w:val="none"/>
          <w14:textFill>
            <w14:solidFill>
              <w14:schemeClr w14:val="tx1"/>
            </w14:solidFill>
          </w14:textFill>
        </w:rPr>
        <w:t>备注: 需附项目负责人（项目经理）、技术负责人、安全员相关证书扫描件及项目管理机构人员近一个月（开标前两个月中任意一个月，不含开标当月）社保证明材料。若为退休人员可提供退休及返聘证明材料。</w:t>
      </w:r>
    </w:p>
    <w:p w14:paraId="2D5660CA">
      <w:pPr>
        <w:tabs>
          <w:tab w:val="left" w:pos="4860"/>
        </w:tabs>
        <w:topLinePunct/>
        <w:spacing w:line="440" w:lineRule="exact"/>
        <w:rPr>
          <w:rFonts w:hint="eastAsia" w:ascii="宋体" w:hAnsi="宋体" w:eastAsia="宋体"/>
          <w:color w:val="000000" w:themeColor="text1"/>
          <w:sz w:val="24"/>
          <w:highlight w:val="none"/>
          <w14:textFill>
            <w14:solidFill>
              <w14:schemeClr w14:val="tx1"/>
            </w14:solidFill>
          </w14:textFill>
        </w:rPr>
      </w:pPr>
    </w:p>
    <w:p w14:paraId="65CBF388">
      <w:pPr>
        <w:pStyle w:val="36"/>
        <w:spacing w:line="440" w:lineRule="exact"/>
        <w:rPr>
          <w:rFonts w:hint="eastAsia" w:hAnsi="宋体" w:eastAsia="宋体"/>
          <w:color w:val="000000" w:themeColor="text1"/>
          <w:sz w:val="24"/>
          <w:szCs w:val="24"/>
          <w:highlight w:val="none"/>
          <w14:textFill>
            <w14:solidFill>
              <w14:schemeClr w14:val="tx1"/>
            </w14:solidFill>
          </w14:textFill>
        </w:rPr>
      </w:pPr>
    </w:p>
    <w:p w14:paraId="5C4A938D">
      <w:pPr>
        <w:pStyle w:val="36"/>
        <w:spacing w:line="440" w:lineRule="exact"/>
        <w:rPr>
          <w:rFonts w:hint="eastAsia" w:hAnsi="宋体" w:eastAsia="宋体"/>
          <w:color w:val="000000" w:themeColor="text1"/>
          <w:sz w:val="24"/>
          <w:szCs w:val="24"/>
          <w:highlight w:val="none"/>
          <w14:textFill>
            <w14:solidFill>
              <w14:schemeClr w14:val="tx1"/>
            </w14:solidFill>
          </w14:textFill>
        </w:rPr>
      </w:pPr>
    </w:p>
    <w:p w14:paraId="340B7EAF">
      <w:pPr>
        <w:pStyle w:val="36"/>
        <w:spacing w:line="440" w:lineRule="exact"/>
        <w:rPr>
          <w:rFonts w:hint="eastAsia" w:hAnsi="宋体" w:eastAsia="宋体"/>
          <w:color w:val="000000" w:themeColor="text1"/>
          <w:sz w:val="24"/>
          <w:szCs w:val="24"/>
          <w:highlight w:val="none"/>
          <w14:textFill>
            <w14:solidFill>
              <w14:schemeClr w14:val="tx1"/>
            </w14:solidFill>
          </w14:textFill>
        </w:rPr>
      </w:pPr>
    </w:p>
    <w:p w14:paraId="3807E015">
      <w:pPr>
        <w:spacing w:line="520" w:lineRule="exact"/>
        <w:jc w:val="left"/>
        <w:rPr>
          <w:rFonts w:hint="eastAsia" w:ascii="宋体" w:hAnsi="宋体" w:eastAsia="宋体" w:cs="仿宋"/>
          <w:color w:val="000000" w:themeColor="text1"/>
          <w:sz w:val="28"/>
          <w:szCs w:val="28"/>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投标人（盖章）：</w:t>
      </w:r>
    </w:p>
    <w:p w14:paraId="212C5DAC">
      <w:pPr>
        <w:spacing w:line="520" w:lineRule="exact"/>
        <w:rPr>
          <w:rFonts w:hint="eastAsia" w:ascii="宋体" w:hAnsi="宋体" w:eastAsia="宋体" w:cs="仿宋"/>
          <w:color w:val="000000" w:themeColor="text1"/>
          <w:sz w:val="30"/>
          <w:szCs w:val="30"/>
          <w:highlight w:val="none"/>
          <w14:textFill>
            <w14:solidFill>
              <w14:schemeClr w14:val="tx1"/>
            </w14:solidFill>
          </w14:textFill>
        </w:rPr>
      </w:pPr>
      <w:r>
        <w:rPr>
          <w:rFonts w:hint="eastAsia" w:ascii="宋体" w:hAnsi="宋体" w:eastAsia="宋体" w:cs="仿宋"/>
          <w:color w:val="000000" w:themeColor="text1"/>
          <w:sz w:val="28"/>
          <w:szCs w:val="28"/>
          <w:highlight w:val="none"/>
          <w14:textFill>
            <w14:solidFill>
              <w14:schemeClr w14:val="tx1"/>
            </w14:solidFill>
          </w14:textFill>
        </w:rPr>
        <w:t>法定代表人或委托代理人（签字或盖章）：</w:t>
      </w:r>
    </w:p>
    <w:p w14:paraId="3E12535F">
      <w:pPr>
        <w:pStyle w:val="36"/>
        <w:jc w:val="center"/>
        <w:rPr>
          <w:rFonts w:hint="eastAsia" w:hAnsi="宋体" w:eastAsia="宋体" w:cs="仿宋"/>
          <w:bCs/>
          <w:color w:val="000000" w:themeColor="text1"/>
          <w:sz w:val="44"/>
          <w:szCs w:val="32"/>
          <w:highlight w:val="none"/>
          <w14:textFill>
            <w14:solidFill>
              <w14:schemeClr w14:val="tx1"/>
            </w14:solidFill>
          </w14:textFill>
        </w:rPr>
      </w:pPr>
    </w:p>
    <w:p w14:paraId="60152CB7">
      <w:pPr>
        <w:pStyle w:val="36"/>
        <w:jc w:val="center"/>
        <w:rPr>
          <w:rFonts w:hint="eastAsia" w:hAnsi="宋体" w:eastAsia="宋体" w:cs="仿宋"/>
          <w:bCs/>
          <w:color w:val="000000" w:themeColor="text1"/>
          <w:sz w:val="44"/>
          <w:szCs w:val="32"/>
          <w:highlight w:val="none"/>
          <w14:textFill>
            <w14:solidFill>
              <w14:schemeClr w14:val="tx1"/>
            </w14:solidFill>
          </w14:textFill>
        </w:rPr>
      </w:pPr>
    </w:p>
    <w:p w14:paraId="27615414">
      <w:pPr>
        <w:pStyle w:val="36"/>
        <w:jc w:val="center"/>
        <w:rPr>
          <w:rFonts w:hint="eastAsia" w:hAnsi="宋体" w:eastAsia="宋体" w:cs="仿宋"/>
          <w:bCs/>
          <w:color w:val="000000" w:themeColor="text1"/>
          <w:sz w:val="44"/>
          <w:szCs w:val="32"/>
          <w:highlight w:val="none"/>
          <w14:textFill>
            <w14:solidFill>
              <w14:schemeClr w14:val="tx1"/>
            </w14:solidFill>
          </w14:textFill>
        </w:rPr>
      </w:pPr>
    </w:p>
    <w:p w14:paraId="5BE356CF">
      <w:pPr>
        <w:pStyle w:val="36"/>
        <w:jc w:val="center"/>
        <w:rPr>
          <w:rFonts w:hint="eastAsia" w:hAnsi="宋体" w:eastAsia="宋体" w:cs="仿宋"/>
          <w:color w:val="000000" w:themeColor="text1"/>
          <w:highlight w:val="none"/>
          <w14:textFill>
            <w14:solidFill>
              <w14:schemeClr w14:val="tx1"/>
            </w14:solidFill>
          </w14:textFill>
        </w:rPr>
      </w:pPr>
      <w:r>
        <w:rPr>
          <w:rFonts w:hint="eastAsia" w:hAnsi="宋体" w:eastAsia="宋体" w:cs="仿宋"/>
          <w:bCs/>
          <w:color w:val="000000" w:themeColor="text1"/>
          <w:sz w:val="44"/>
          <w:szCs w:val="32"/>
          <w:highlight w:val="none"/>
          <w14:textFill>
            <w14:solidFill>
              <w14:schemeClr w14:val="tx1"/>
            </w14:solidFill>
          </w14:textFill>
        </w:rPr>
        <w:t>技术文件</w:t>
      </w:r>
    </w:p>
    <w:bookmarkEnd w:id="114"/>
    <w:p w14:paraId="3B863158">
      <w:pPr>
        <w:spacing w:line="520" w:lineRule="exact"/>
        <w:rPr>
          <w:rFonts w:hint="eastAsia" w:ascii="宋体" w:hAnsi="宋体" w:eastAsia="宋体" w:cs="仿宋"/>
          <w:color w:val="000000" w:themeColor="text1"/>
          <w:sz w:val="28"/>
          <w:szCs w:val="28"/>
          <w:highlight w:val="none"/>
          <w14:textFill>
            <w14:solidFill>
              <w14:schemeClr w14:val="tx1"/>
            </w14:solidFill>
          </w14:textFill>
        </w:rPr>
      </w:pPr>
    </w:p>
    <w:p w14:paraId="261FD742">
      <w:pPr>
        <w:widowControl/>
        <w:jc w:val="left"/>
        <w:rPr>
          <w:rFonts w:hint="eastAsia" w:ascii="宋体" w:hAnsi="宋体" w:eastAsia="宋体" w:cs="仿宋"/>
          <w:bCs/>
          <w:color w:val="000000" w:themeColor="text1"/>
          <w:sz w:val="28"/>
          <w:szCs w:val="28"/>
          <w:highlight w:val="none"/>
          <w14:textFill>
            <w14:solidFill>
              <w14:schemeClr w14:val="tx1"/>
            </w14:solidFill>
          </w14:textFill>
        </w:rPr>
      </w:pPr>
      <w:r>
        <w:rPr>
          <w:rFonts w:hint="eastAsia" w:ascii="宋体" w:hAnsi="宋体" w:eastAsia="宋体" w:cs="仿宋"/>
          <w:bCs/>
          <w:color w:val="000000" w:themeColor="text1"/>
          <w:sz w:val="28"/>
          <w:szCs w:val="28"/>
          <w:highlight w:val="none"/>
          <w14:textFill>
            <w14:solidFill>
              <w14:schemeClr w14:val="tx1"/>
            </w14:solidFill>
          </w14:textFill>
        </w:rPr>
        <w:t>按</w:t>
      </w:r>
      <w:r>
        <w:rPr>
          <w:rFonts w:hint="eastAsia" w:ascii="宋体" w:hAnsi="宋体" w:eastAsia="宋体" w:cs="仿宋"/>
          <w:color w:val="000000" w:themeColor="text1"/>
          <w:sz w:val="28"/>
          <w:szCs w:val="21"/>
          <w:highlight w:val="none"/>
          <w14:textFill>
            <w14:solidFill>
              <w14:schemeClr w14:val="tx1"/>
            </w14:solidFill>
          </w14:textFill>
        </w:rPr>
        <w:t>评标细则进行编制。</w:t>
      </w:r>
    </w:p>
    <w:p w14:paraId="2E91D419">
      <w:pPr>
        <w:pStyle w:val="2"/>
        <w:jc w:val="left"/>
        <w:rPr>
          <w:rFonts w:hint="eastAsia" w:ascii="宋体" w:hAnsi="宋体" w:eastAsia="宋体"/>
          <w:color w:val="000000" w:themeColor="text1"/>
          <w:highlight w:val="none"/>
          <w14:textFill>
            <w14:solidFill>
              <w14:schemeClr w14:val="tx1"/>
            </w14:solidFill>
          </w14:textFill>
        </w:rPr>
      </w:pPr>
    </w:p>
    <w:p w14:paraId="2B8283BF">
      <w:pPr>
        <w:pStyle w:val="3"/>
        <w:ind w:left="5250"/>
        <w:rPr>
          <w:rFonts w:hint="eastAsia" w:hAnsi="宋体" w:eastAsia="宋体"/>
          <w:color w:val="000000" w:themeColor="text1"/>
          <w:highlight w:val="none"/>
          <w14:textFill>
            <w14:solidFill>
              <w14:schemeClr w14:val="tx1"/>
            </w14:solidFill>
          </w14:textFill>
        </w:rPr>
      </w:pPr>
    </w:p>
    <w:p w14:paraId="490506DC">
      <w:pPr>
        <w:rPr>
          <w:rFonts w:hint="eastAsia" w:ascii="宋体" w:hAnsi="宋体" w:eastAsia="宋体"/>
          <w:color w:val="000000" w:themeColor="text1"/>
          <w:highlight w:val="none"/>
          <w14:textFill>
            <w14:solidFill>
              <w14:schemeClr w14:val="tx1"/>
            </w14:solidFill>
          </w14:textFill>
        </w:rPr>
      </w:pPr>
    </w:p>
    <w:p w14:paraId="60E502E8">
      <w:pPr>
        <w:pStyle w:val="2"/>
        <w:rPr>
          <w:rFonts w:hint="eastAsia" w:ascii="宋体" w:hAnsi="宋体" w:eastAsia="宋体"/>
          <w:color w:val="000000" w:themeColor="text1"/>
          <w:highlight w:val="none"/>
          <w14:textFill>
            <w14:solidFill>
              <w14:schemeClr w14:val="tx1"/>
            </w14:solidFill>
          </w14:textFill>
        </w:rPr>
      </w:pPr>
    </w:p>
    <w:p w14:paraId="4CAD6814">
      <w:pPr>
        <w:pStyle w:val="3"/>
        <w:ind w:left="5250"/>
        <w:rPr>
          <w:rFonts w:hint="eastAsia" w:hAnsi="宋体" w:eastAsia="宋体"/>
          <w:color w:val="000000" w:themeColor="text1"/>
          <w:highlight w:val="none"/>
          <w14:textFill>
            <w14:solidFill>
              <w14:schemeClr w14:val="tx1"/>
            </w14:solidFill>
          </w14:textFill>
        </w:rPr>
      </w:pPr>
    </w:p>
    <w:p w14:paraId="337EB363">
      <w:pPr>
        <w:rPr>
          <w:rFonts w:hint="eastAsia" w:ascii="宋体" w:hAnsi="宋体" w:eastAsia="宋体"/>
          <w:color w:val="000000" w:themeColor="text1"/>
          <w:highlight w:val="none"/>
          <w14:textFill>
            <w14:solidFill>
              <w14:schemeClr w14:val="tx1"/>
            </w14:solidFill>
          </w14:textFill>
        </w:rPr>
      </w:pPr>
    </w:p>
    <w:p w14:paraId="1EB4BAED">
      <w:pPr>
        <w:pStyle w:val="2"/>
        <w:rPr>
          <w:rFonts w:hint="eastAsia" w:ascii="宋体" w:hAnsi="宋体" w:eastAsia="宋体"/>
          <w:color w:val="000000" w:themeColor="text1"/>
          <w:highlight w:val="none"/>
          <w14:textFill>
            <w14:solidFill>
              <w14:schemeClr w14:val="tx1"/>
            </w14:solidFill>
          </w14:textFill>
        </w:rPr>
      </w:pPr>
    </w:p>
    <w:p w14:paraId="1673E766">
      <w:pPr>
        <w:pStyle w:val="3"/>
        <w:ind w:left="5250"/>
        <w:rPr>
          <w:rFonts w:hint="eastAsia" w:hAnsi="宋体" w:eastAsia="宋体"/>
          <w:color w:val="000000" w:themeColor="text1"/>
          <w:highlight w:val="none"/>
          <w14:textFill>
            <w14:solidFill>
              <w14:schemeClr w14:val="tx1"/>
            </w14:solidFill>
          </w14:textFill>
        </w:rPr>
      </w:pPr>
    </w:p>
    <w:p w14:paraId="7780EA99">
      <w:pPr>
        <w:rPr>
          <w:rFonts w:hint="eastAsia" w:ascii="宋体" w:hAnsi="宋体" w:eastAsia="宋体"/>
          <w:color w:val="000000" w:themeColor="text1"/>
          <w:highlight w:val="none"/>
          <w14:textFill>
            <w14:solidFill>
              <w14:schemeClr w14:val="tx1"/>
            </w14:solidFill>
          </w14:textFill>
        </w:rPr>
      </w:pPr>
    </w:p>
    <w:p w14:paraId="27B4F8C7">
      <w:pPr>
        <w:pStyle w:val="2"/>
        <w:rPr>
          <w:rFonts w:hint="eastAsia" w:ascii="宋体" w:hAnsi="宋体" w:eastAsia="宋体"/>
          <w:color w:val="000000" w:themeColor="text1"/>
          <w:highlight w:val="none"/>
          <w14:textFill>
            <w14:solidFill>
              <w14:schemeClr w14:val="tx1"/>
            </w14:solidFill>
          </w14:textFill>
        </w:rPr>
      </w:pPr>
    </w:p>
    <w:p w14:paraId="64B8B43F">
      <w:pPr>
        <w:pStyle w:val="3"/>
        <w:ind w:left="5250"/>
        <w:rPr>
          <w:rFonts w:hint="eastAsia" w:hAnsi="宋体" w:eastAsia="宋体"/>
          <w:color w:val="000000" w:themeColor="text1"/>
          <w:highlight w:val="none"/>
          <w14:textFill>
            <w14:solidFill>
              <w14:schemeClr w14:val="tx1"/>
            </w14:solidFill>
          </w14:textFill>
        </w:rPr>
      </w:pPr>
    </w:p>
    <w:p w14:paraId="1CE7B971">
      <w:pPr>
        <w:rPr>
          <w:rFonts w:hint="eastAsia" w:ascii="宋体" w:hAnsi="宋体" w:eastAsia="宋体"/>
          <w:color w:val="000000" w:themeColor="text1"/>
          <w:highlight w:val="none"/>
          <w14:textFill>
            <w14:solidFill>
              <w14:schemeClr w14:val="tx1"/>
            </w14:solidFill>
          </w14:textFill>
        </w:rPr>
      </w:pPr>
    </w:p>
    <w:p w14:paraId="00C1F4C1">
      <w:pPr>
        <w:pStyle w:val="2"/>
        <w:rPr>
          <w:rFonts w:hint="eastAsia" w:ascii="宋体" w:hAnsi="宋体" w:eastAsia="宋体"/>
          <w:color w:val="000000" w:themeColor="text1"/>
          <w:highlight w:val="none"/>
          <w14:textFill>
            <w14:solidFill>
              <w14:schemeClr w14:val="tx1"/>
            </w14:solidFill>
          </w14:textFill>
        </w:rPr>
      </w:pPr>
    </w:p>
    <w:p w14:paraId="2BD73547">
      <w:pPr>
        <w:pStyle w:val="3"/>
        <w:ind w:left="5250"/>
        <w:rPr>
          <w:rFonts w:hint="eastAsia" w:hAnsi="宋体" w:eastAsia="宋体"/>
          <w:color w:val="000000" w:themeColor="text1"/>
          <w:highlight w:val="none"/>
          <w14:textFill>
            <w14:solidFill>
              <w14:schemeClr w14:val="tx1"/>
            </w14:solidFill>
          </w14:textFill>
        </w:rPr>
      </w:pPr>
    </w:p>
    <w:p w14:paraId="7A23C23A">
      <w:pPr>
        <w:rPr>
          <w:rFonts w:hint="eastAsia" w:ascii="宋体" w:hAnsi="宋体" w:eastAsia="宋体"/>
          <w:color w:val="000000" w:themeColor="text1"/>
          <w:highlight w:val="none"/>
          <w14:textFill>
            <w14:solidFill>
              <w14:schemeClr w14:val="tx1"/>
            </w14:solidFill>
          </w14:textFill>
        </w:rPr>
      </w:pPr>
    </w:p>
    <w:p w14:paraId="48DF23D1">
      <w:pPr>
        <w:pStyle w:val="2"/>
        <w:rPr>
          <w:rFonts w:hint="eastAsia" w:ascii="宋体" w:hAnsi="宋体" w:eastAsia="宋体"/>
          <w:color w:val="000000" w:themeColor="text1"/>
          <w:highlight w:val="none"/>
          <w14:textFill>
            <w14:solidFill>
              <w14:schemeClr w14:val="tx1"/>
            </w14:solidFill>
          </w14:textFill>
        </w:rPr>
      </w:pPr>
    </w:p>
    <w:p w14:paraId="336DEB02">
      <w:pPr>
        <w:pStyle w:val="3"/>
        <w:ind w:left="5250"/>
        <w:rPr>
          <w:rFonts w:hint="eastAsia" w:hAnsi="宋体" w:eastAsia="宋体"/>
          <w:color w:val="000000" w:themeColor="text1"/>
          <w:highlight w:val="none"/>
          <w14:textFill>
            <w14:solidFill>
              <w14:schemeClr w14:val="tx1"/>
            </w14:solidFill>
          </w14:textFill>
        </w:rPr>
      </w:pPr>
    </w:p>
    <w:p w14:paraId="1ADD7CA7">
      <w:pPr>
        <w:rPr>
          <w:rFonts w:hint="eastAsia" w:ascii="宋体" w:hAnsi="宋体" w:eastAsia="宋体"/>
          <w:color w:val="000000" w:themeColor="text1"/>
          <w:highlight w:val="none"/>
          <w14:textFill>
            <w14:solidFill>
              <w14:schemeClr w14:val="tx1"/>
            </w14:solidFill>
          </w14:textFill>
        </w:rPr>
      </w:pPr>
    </w:p>
    <w:p w14:paraId="3E03CCBD">
      <w:pPr>
        <w:pStyle w:val="2"/>
        <w:rPr>
          <w:rFonts w:hint="eastAsia" w:ascii="宋体" w:hAnsi="宋体" w:eastAsia="宋体"/>
          <w:color w:val="000000" w:themeColor="text1"/>
          <w:highlight w:val="none"/>
          <w14:textFill>
            <w14:solidFill>
              <w14:schemeClr w14:val="tx1"/>
            </w14:solidFill>
          </w14:textFill>
        </w:rPr>
      </w:pPr>
    </w:p>
    <w:p w14:paraId="32D23FBC">
      <w:pPr>
        <w:pStyle w:val="3"/>
        <w:ind w:left="5250"/>
        <w:rPr>
          <w:rFonts w:hint="eastAsia" w:hAnsi="宋体" w:eastAsia="宋体"/>
          <w:color w:val="000000" w:themeColor="text1"/>
          <w:highlight w:val="none"/>
          <w14:textFill>
            <w14:solidFill>
              <w14:schemeClr w14:val="tx1"/>
            </w14:solidFill>
          </w14:textFill>
        </w:rPr>
      </w:pPr>
    </w:p>
    <w:p w14:paraId="46E3D74E">
      <w:pPr>
        <w:rPr>
          <w:rFonts w:hint="eastAsia" w:ascii="宋体" w:hAnsi="宋体" w:eastAsia="宋体"/>
          <w:color w:val="000000" w:themeColor="text1"/>
          <w:highlight w:val="none"/>
          <w14:textFill>
            <w14:solidFill>
              <w14:schemeClr w14:val="tx1"/>
            </w14:solidFill>
          </w14:textFill>
        </w:rPr>
      </w:pPr>
    </w:p>
    <w:p w14:paraId="2DC7942B">
      <w:pPr>
        <w:pStyle w:val="2"/>
        <w:rPr>
          <w:rFonts w:hint="eastAsia" w:ascii="宋体" w:hAnsi="宋体" w:eastAsia="宋体"/>
          <w:color w:val="000000" w:themeColor="text1"/>
          <w:highlight w:val="none"/>
          <w14:textFill>
            <w14:solidFill>
              <w14:schemeClr w14:val="tx1"/>
            </w14:solidFill>
          </w14:textFill>
        </w:rPr>
      </w:pPr>
    </w:p>
    <w:p w14:paraId="5C8BFE60">
      <w:pPr>
        <w:pStyle w:val="3"/>
        <w:ind w:left="5250"/>
        <w:rPr>
          <w:rFonts w:hint="eastAsia" w:hAnsi="宋体" w:eastAsia="宋体"/>
          <w:color w:val="000000" w:themeColor="text1"/>
          <w:highlight w:val="none"/>
          <w14:textFill>
            <w14:solidFill>
              <w14:schemeClr w14:val="tx1"/>
            </w14:solidFill>
          </w14:textFill>
        </w:rPr>
      </w:pPr>
    </w:p>
    <w:p w14:paraId="01AA9108">
      <w:pPr>
        <w:rPr>
          <w:rFonts w:hint="eastAsia" w:ascii="宋体" w:hAnsi="宋体" w:eastAsia="宋体"/>
          <w:color w:val="000000" w:themeColor="text1"/>
          <w:highlight w:val="none"/>
          <w14:textFill>
            <w14:solidFill>
              <w14:schemeClr w14:val="tx1"/>
            </w14:solidFill>
          </w14:textFill>
        </w:rPr>
      </w:pPr>
    </w:p>
    <w:p w14:paraId="078A7F74">
      <w:pPr>
        <w:widowControl/>
        <w:jc w:val="left"/>
        <w:rPr>
          <w:rFonts w:hint="eastAsia" w:ascii="宋体" w:hAnsi="宋体" w:eastAsia="宋体" w:cs="仿宋"/>
          <w:b/>
          <w:bCs/>
          <w:color w:val="000000" w:themeColor="text1"/>
          <w:kern w:val="44"/>
          <w:sz w:val="44"/>
          <w:szCs w:val="44"/>
          <w:highlight w:val="none"/>
          <w14:textFill>
            <w14:solidFill>
              <w14:schemeClr w14:val="tx1"/>
            </w14:solidFill>
          </w14:textFill>
        </w:rPr>
      </w:pPr>
      <w:bookmarkStart w:id="115" w:name="_Toc66864056"/>
      <w:bookmarkStart w:id="116" w:name="_Toc130891924"/>
      <w:r>
        <w:rPr>
          <w:rFonts w:ascii="宋体" w:hAnsi="宋体" w:eastAsia="宋体" w:cs="仿宋"/>
          <w:color w:val="000000" w:themeColor="text1"/>
          <w:highlight w:val="none"/>
          <w14:textFill>
            <w14:solidFill>
              <w14:schemeClr w14:val="tx1"/>
            </w14:solidFill>
          </w14:textFill>
        </w:rPr>
        <w:br w:type="page"/>
      </w:r>
    </w:p>
    <w:p w14:paraId="67484AAD">
      <w:pPr>
        <w:pStyle w:val="4"/>
        <w:jc w:val="center"/>
        <w:rPr>
          <w:rFonts w:hint="eastAsia" w:ascii="宋体" w:hAnsi="宋体" w:eastAsia="宋体" w:cs="仿宋"/>
          <w:color w:val="000000" w:themeColor="text1"/>
          <w:highlight w:val="none"/>
          <w14:textFill>
            <w14:solidFill>
              <w14:schemeClr w14:val="tx1"/>
            </w14:solidFill>
          </w14:textFill>
        </w:rPr>
      </w:pPr>
    </w:p>
    <w:p w14:paraId="5B65AEE5">
      <w:pPr>
        <w:pStyle w:val="4"/>
        <w:jc w:val="center"/>
        <w:rPr>
          <w:rFonts w:hint="eastAsia" w:ascii="宋体" w:hAnsi="宋体" w:eastAsia="宋体" w:cs="仿宋"/>
          <w:color w:val="000000" w:themeColor="text1"/>
          <w:highlight w:val="none"/>
          <w14:textFill>
            <w14:solidFill>
              <w14:schemeClr w14:val="tx1"/>
            </w14:solidFill>
          </w14:textFill>
        </w:rPr>
      </w:pPr>
    </w:p>
    <w:p w14:paraId="66F372DC">
      <w:pPr>
        <w:pStyle w:val="4"/>
        <w:jc w:val="center"/>
        <w:rPr>
          <w:rFonts w:hint="eastAsia" w:ascii="宋体" w:hAnsi="宋体" w:eastAsia="宋体" w:cs="仿宋"/>
          <w:color w:val="000000" w:themeColor="text1"/>
          <w:highlight w:val="none"/>
          <w14:textFill>
            <w14:solidFill>
              <w14:schemeClr w14:val="tx1"/>
            </w14:solidFill>
          </w14:textFill>
        </w:rPr>
      </w:pPr>
    </w:p>
    <w:p w14:paraId="248A62CD">
      <w:pPr>
        <w:pStyle w:val="4"/>
        <w:jc w:val="center"/>
        <w:rPr>
          <w:rFonts w:hint="eastAsia" w:ascii="宋体" w:hAnsi="宋体" w:eastAsia="宋体" w:cs="仿宋"/>
          <w:color w:val="000000" w:themeColor="text1"/>
          <w:highlight w:val="none"/>
          <w14:textFill>
            <w14:solidFill>
              <w14:schemeClr w14:val="tx1"/>
            </w14:solidFill>
          </w14:textFill>
        </w:rPr>
      </w:pPr>
    </w:p>
    <w:p w14:paraId="6BFD1621">
      <w:pPr>
        <w:pStyle w:val="4"/>
        <w:jc w:val="center"/>
        <w:rPr>
          <w:rFonts w:hint="eastAsia" w:ascii="宋体" w:hAnsi="宋体" w:eastAsia="宋体" w:cs="仿宋"/>
          <w:color w:val="000000" w:themeColor="text1"/>
          <w:highlight w:val="none"/>
          <w14:textFill>
            <w14:solidFill>
              <w14:schemeClr w14:val="tx1"/>
            </w14:solidFill>
          </w14:textFill>
        </w:rPr>
      </w:pPr>
    </w:p>
    <w:p w14:paraId="6746F103">
      <w:pPr>
        <w:pStyle w:val="4"/>
        <w:jc w:val="center"/>
        <w:rPr>
          <w:rFonts w:hint="eastAsia" w:ascii="宋体" w:hAnsi="宋体" w:eastAsia="宋体" w:cs="仿宋"/>
          <w:color w:val="000000" w:themeColor="text1"/>
          <w:highlight w:val="none"/>
          <w14:textFill>
            <w14:solidFill>
              <w14:schemeClr w14:val="tx1"/>
            </w14:solidFill>
          </w14:textFill>
        </w:rPr>
      </w:pPr>
      <w:r>
        <w:rPr>
          <w:rFonts w:hint="eastAsia" w:ascii="宋体" w:hAnsi="宋体" w:eastAsia="宋体" w:cs="仿宋"/>
          <w:color w:val="000000" w:themeColor="text1"/>
          <w:highlight w:val="none"/>
          <w14:textFill>
            <w14:solidFill>
              <w14:schemeClr w14:val="tx1"/>
            </w14:solidFill>
          </w14:textFill>
        </w:rPr>
        <w:t>第六章  合同（范本）</w:t>
      </w:r>
      <w:bookmarkEnd w:id="115"/>
      <w:bookmarkEnd w:id="116"/>
    </w:p>
    <w:p w14:paraId="2798F834">
      <w:pPr>
        <w:rPr>
          <w:rFonts w:hint="eastAsia" w:ascii="宋体" w:hAnsi="宋体" w:eastAsia="宋体"/>
          <w:color w:val="000000" w:themeColor="text1"/>
          <w:highlight w:val="none"/>
          <w14:textFill>
            <w14:solidFill>
              <w14:schemeClr w14:val="tx1"/>
            </w14:solidFill>
          </w14:textFill>
        </w:rPr>
      </w:pPr>
    </w:p>
    <w:p w14:paraId="32769CE3">
      <w:pPr>
        <w:rPr>
          <w:rFonts w:hint="eastAsia" w:ascii="宋体" w:hAnsi="宋体" w:eastAsia="宋体"/>
          <w:color w:val="000000" w:themeColor="text1"/>
          <w:highlight w:val="none"/>
          <w14:textFill>
            <w14:solidFill>
              <w14:schemeClr w14:val="tx1"/>
            </w14:solidFill>
          </w14:textFill>
        </w:rPr>
      </w:pPr>
    </w:p>
    <w:p w14:paraId="0B6D7A93">
      <w:pPr>
        <w:rPr>
          <w:rFonts w:hint="eastAsia" w:ascii="宋体" w:hAnsi="宋体" w:eastAsia="宋体"/>
          <w:color w:val="000000" w:themeColor="text1"/>
          <w:highlight w:val="none"/>
          <w14:textFill>
            <w14:solidFill>
              <w14:schemeClr w14:val="tx1"/>
            </w14:solidFill>
          </w14:textFill>
        </w:rPr>
      </w:pPr>
    </w:p>
    <w:p w14:paraId="0203FF2C">
      <w:pPr>
        <w:rPr>
          <w:rFonts w:hint="eastAsia" w:ascii="宋体" w:hAnsi="宋体" w:eastAsia="宋体"/>
          <w:color w:val="000000" w:themeColor="text1"/>
          <w:highlight w:val="none"/>
          <w14:textFill>
            <w14:solidFill>
              <w14:schemeClr w14:val="tx1"/>
            </w14:solidFill>
          </w14:textFill>
        </w:rPr>
      </w:pPr>
    </w:p>
    <w:p w14:paraId="6E60DD13">
      <w:pPr>
        <w:rPr>
          <w:rFonts w:hint="eastAsia" w:ascii="宋体" w:hAnsi="宋体" w:eastAsia="宋体"/>
          <w:color w:val="000000" w:themeColor="text1"/>
          <w:highlight w:val="none"/>
          <w14:textFill>
            <w14:solidFill>
              <w14:schemeClr w14:val="tx1"/>
            </w14:solidFill>
          </w14:textFill>
        </w:rPr>
      </w:pPr>
    </w:p>
    <w:p w14:paraId="150E148C">
      <w:pPr>
        <w:rPr>
          <w:rFonts w:hint="eastAsia" w:ascii="宋体" w:hAnsi="宋体" w:eastAsia="宋体"/>
          <w:color w:val="000000" w:themeColor="text1"/>
          <w:highlight w:val="none"/>
          <w14:textFill>
            <w14:solidFill>
              <w14:schemeClr w14:val="tx1"/>
            </w14:solidFill>
          </w14:textFill>
        </w:rPr>
      </w:pPr>
    </w:p>
    <w:p w14:paraId="583705F7">
      <w:pPr>
        <w:rPr>
          <w:rFonts w:hint="eastAsia" w:ascii="宋体" w:hAnsi="宋体" w:eastAsia="宋体"/>
          <w:color w:val="000000" w:themeColor="text1"/>
          <w:highlight w:val="none"/>
          <w14:textFill>
            <w14:solidFill>
              <w14:schemeClr w14:val="tx1"/>
            </w14:solidFill>
          </w14:textFill>
        </w:rPr>
      </w:pPr>
    </w:p>
    <w:p w14:paraId="51ECBD08">
      <w:pPr>
        <w:rPr>
          <w:rFonts w:hint="eastAsia" w:ascii="宋体" w:hAnsi="宋体" w:eastAsia="宋体"/>
          <w:color w:val="000000" w:themeColor="text1"/>
          <w:highlight w:val="none"/>
          <w14:textFill>
            <w14:solidFill>
              <w14:schemeClr w14:val="tx1"/>
            </w14:solidFill>
          </w14:textFill>
        </w:rPr>
      </w:pPr>
    </w:p>
    <w:p w14:paraId="021CAFC1">
      <w:pPr>
        <w:rPr>
          <w:rFonts w:hint="eastAsia" w:ascii="宋体" w:hAnsi="宋体" w:eastAsia="宋体"/>
          <w:color w:val="000000" w:themeColor="text1"/>
          <w:highlight w:val="none"/>
          <w14:textFill>
            <w14:solidFill>
              <w14:schemeClr w14:val="tx1"/>
            </w14:solidFill>
          </w14:textFill>
        </w:rPr>
      </w:pPr>
    </w:p>
    <w:p w14:paraId="218F3C68">
      <w:pPr>
        <w:rPr>
          <w:rFonts w:hint="eastAsia" w:ascii="宋体" w:hAnsi="宋体" w:eastAsia="宋体"/>
          <w:color w:val="000000" w:themeColor="text1"/>
          <w:highlight w:val="none"/>
          <w14:textFill>
            <w14:solidFill>
              <w14:schemeClr w14:val="tx1"/>
            </w14:solidFill>
          </w14:textFill>
        </w:rPr>
      </w:pPr>
    </w:p>
    <w:p w14:paraId="0F0D2B97">
      <w:pPr>
        <w:rPr>
          <w:rFonts w:hint="eastAsia" w:ascii="宋体" w:hAnsi="宋体" w:eastAsia="宋体"/>
          <w:color w:val="000000" w:themeColor="text1"/>
          <w:highlight w:val="none"/>
          <w14:textFill>
            <w14:solidFill>
              <w14:schemeClr w14:val="tx1"/>
            </w14:solidFill>
          </w14:textFill>
        </w:rPr>
      </w:pPr>
    </w:p>
    <w:p w14:paraId="074E071E">
      <w:pPr>
        <w:rPr>
          <w:rFonts w:hint="eastAsia" w:ascii="宋体" w:hAnsi="宋体" w:eastAsia="宋体"/>
          <w:color w:val="000000" w:themeColor="text1"/>
          <w:highlight w:val="none"/>
          <w14:textFill>
            <w14:solidFill>
              <w14:schemeClr w14:val="tx1"/>
            </w14:solidFill>
          </w14:textFill>
        </w:rPr>
      </w:pPr>
    </w:p>
    <w:p w14:paraId="5773B368">
      <w:pPr>
        <w:rPr>
          <w:rFonts w:hint="eastAsia" w:ascii="宋体" w:hAnsi="宋体" w:eastAsia="宋体"/>
          <w:color w:val="000000" w:themeColor="text1"/>
          <w:highlight w:val="none"/>
          <w14:textFill>
            <w14:solidFill>
              <w14:schemeClr w14:val="tx1"/>
            </w14:solidFill>
          </w14:textFill>
        </w:rPr>
      </w:pPr>
    </w:p>
    <w:p w14:paraId="0CB68EC0">
      <w:pPr>
        <w:rPr>
          <w:rFonts w:hint="eastAsia" w:ascii="宋体" w:hAnsi="宋体" w:eastAsia="宋体"/>
          <w:color w:val="000000" w:themeColor="text1"/>
          <w:highlight w:val="none"/>
          <w14:textFill>
            <w14:solidFill>
              <w14:schemeClr w14:val="tx1"/>
            </w14:solidFill>
          </w14:textFill>
        </w:rPr>
      </w:pPr>
    </w:p>
    <w:p w14:paraId="528F19CA">
      <w:pPr>
        <w:rPr>
          <w:rFonts w:hint="eastAsia" w:ascii="宋体" w:hAnsi="宋体" w:eastAsia="宋体"/>
          <w:color w:val="000000" w:themeColor="text1"/>
          <w:highlight w:val="none"/>
          <w14:textFill>
            <w14:solidFill>
              <w14:schemeClr w14:val="tx1"/>
            </w14:solidFill>
          </w14:textFill>
        </w:rPr>
      </w:pPr>
    </w:p>
    <w:p w14:paraId="56DD4382">
      <w:pPr>
        <w:rPr>
          <w:rFonts w:hint="eastAsia" w:ascii="宋体" w:hAnsi="宋体" w:eastAsia="宋体"/>
          <w:color w:val="000000" w:themeColor="text1"/>
          <w:highlight w:val="none"/>
          <w14:textFill>
            <w14:solidFill>
              <w14:schemeClr w14:val="tx1"/>
            </w14:solidFill>
          </w14:textFill>
        </w:rPr>
      </w:pPr>
    </w:p>
    <w:p w14:paraId="0173A600">
      <w:pPr>
        <w:rPr>
          <w:rFonts w:hint="eastAsia" w:ascii="宋体" w:hAnsi="宋体" w:eastAsia="宋体"/>
          <w:color w:val="000000" w:themeColor="text1"/>
          <w:highlight w:val="none"/>
          <w14:textFill>
            <w14:solidFill>
              <w14:schemeClr w14:val="tx1"/>
            </w14:solidFill>
          </w14:textFill>
        </w:rPr>
      </w:pPr>
    </w:p>
    <w:p w14:paraId="4CB40453">
      <w:pPr>
        <w:rPr>
          <w:rFonts w:hint="eastAsia" w:ascii="宋体" w:hAnsi="宋体" w:eastAsia="宋体"/>
          <w:color w:val="000000" w:themeColor="text1"/>
          <w:highlight w:val="none"/>
          <w14:textFill>
            <w14:solidFill>
              <w14:schemeClr w14:val="tx1"/>
            </w14:solidFill>
          </w14:textFill>
        </w:rPr>
      </w:pPr>
    </w:p>
    <w:p w14:paraId="3116B215">
      <w:pPr>
        <w:rPr>
          <w:rFonts w:hint="eastAsia" w:ascii="宋体" w:hAnsi="宋体" w:eastAsia="宋体"/>
          <w:color w:val="000000" w:themeColor="text1"/>
          <w:highlight w:val="none"/>
          <w14:textFill>
            <w14:solidFill>
              <w14:schemeClr w14:val="tx1"/>
            </w14:solidFill>
          </w14:textFill>
        </w:rPr>
      </w:pPr>
    </w:p>
    <w:p w14:paraId="4EBA8AF9">
      <w:pPr>
        <w:rPr>
          <w:rFonts w:hint="eastAsia" w:ascii="宋体" w:hAnsi="宋体" w:eastAsia="宋体"/>
          <w:color w:val="000000" w:themeColor="text1"/>
          <w:highlight w:val="none"/>
          <w14:textFill>
            <w14:solidFill>
              <w14:schemeClr w14:val="tx1"/>
            </w14:solidFill>
          </w14:textFill>
        </w:rPr>
      </w:pPr>
    </w:p>
    <w:p w14:paraId="657246E6">
      <w:pPr>
        <w:rPr>
          <w:rFonts w:hint="eastAsia" w:ascii="宋体" w:hAnsi="宋体" w:eastAsia="宋体"/>
          <w:color w:val="000000" w:themeColor="text1"/>
          <w:highlight w:val="none"/>
          <w14:textFill>
            <w14:solidFill>
              <w14:schemeClr w14:val="tx1"/>
            </w14:solidFill>
          </w14:textFill>
        </w:rPr>
      </w:pPr>
    </w:p>
    <w:p w14:paraId="6C16DA97">
      <w:pPr>
        <w:rPr>
          <w:rFonts w:hint="eastAsia" w:ascii="宋体" w:hAnsi="宋体" w:eastAsia="宋体"/>
          <w:color w:val="000000" w:themeColor="text1"/>
          <w:highlight w:val="none"/>
          <w14:textFill>
            <w14:solidFill>
              <w14:schemeClr w14:val="tx1"/>
            </w14:solidFill>
          </w14:textFill>
        </w:rPr>
      </w:pPr>
    </w:p>
    <w:p w14:paraId="43CCC86B">
      <w:pPr>
        <w:rPr>
          <w:rFonts w:hint="eastAsia" w:ascii="宋体" w:hAnsi="宋体" w:eastAsia="宋体"/>
          <w:color w:val="000000" w:themeColor="text1"/>
          <w:highlight w:val="none"/>
          <w14:textFill>
            <w14:solidFill>
              <w14:schemeClr w14:val="tx1"/>
            </w14:solidFill>
          </w14:textFill>
        </w:rPr>
      </w:pPr>
    </w:p>
    <w:p w14:paraId="22318A90">
      <w:pPr>
        <w:keepNext/>
        <w:keepLines/>
        <w:spacing w:before="340" w:after="330" w:line="460" w:lineRule="exact"/>
        <w:ind w:firstLine="883" w:firstLineChars="200"/>
        <w:jc w:val="center"/>
        <w:outlineLvl w:val="0"/>
        <w:rPr>
          <w:rFonts w:hint="eastAsia" w:ascii="宋体" w:hAnsi="宋体" w:eastAsia="宋体" w:cs="仿宋"/>
          <w:b/>
          <w:bCs/>
          <w:color w:val="000000" w:themeColor="text1"/>
          <w:kern w:val="44"/>
          <w:sz w:val="44"/>
          <w:szCs w:val="44"/>
          <w:highlight w:val="none"/>
          <w:lang w:val="zh-CN"/>
          <w14:textFill>
            <w14:solidFill>
              <w14:schemeClr w14:val="tx1"/>
            </w14:solidFill>
          </w14:textFill>
        </w:rPr>
      </w:pPr>
      <w:r>
        <w:rPr>
          <w:rFonts w:hint="eastAsia" w:ascii="宋体" w:hAnsi="宋体" w:eastAsia="宋体" w:cs="仿宋"/>
          <w:b/>
          <w:bCs/>
          <w:color w:val="000000" w:themeColor="text1"/>
          <w:kern w:val="44"/>
          <w:sz w:val="44"/>
          <w:szCs w:val="44"/>
          <w:highlight w:val="none"/>
          <w:lang w:val="zh-CN"/>
          <w14:textFill>
            <w14:solidFill>
              <w14:schemeClr w14:val="tx1"/>
            </w14:solidFill>
          </w14:textFill>
        </w:rPr>
        <w:t>第一部分 分包合同协议书</w:t>
      </w:r>
    </w:p>
    <w:p w14:paraId="619D7A0C">
      <w:pPr>
        <w:wordWrap w:val="0"/>
        <w:spacing w:line="460" w:lineRule="exact"/>
        <w:rPr>
          <w:rFonts w:hint="eastAsia" w:ascii="宋体" w:hAnsi="宋体" w:eastAsia="宋体" w:cs="仿宋"/>
          <w:b/>
          <w:color w:val="000000" w:themeColor="text1"/>
          <w:sz w:val="24"/>
          <w:highlight w:val="none"/>
          <w:u w:val="single"/>
          <w14:textFill>
            <w14:solidFill>
              <w14:schemeClr w14:val="tx1"/>
            </w14:solidFill>
          </w14:textFill>
        </w:rPr>
      </w:pPr>
      <w:r>
        <w:rPr>
          <w:rFonts w:hint="eastAsia" w:ascii="宋体" w:hAnsi="宋体" w:eastAsia="宋体" w:cs="仿宋"/>
          <w:b/>
          <w:color w:val="000000" w:themeColor="text1"/>
          <w:sz w:val="24"/>
          <w:highlight w:val="none"/>
          <w14:textFill>
            <w14:solidFill>
              <w14:schemeClr w14:val="tx1"/>
            </w14:solidFill>
          </w14:textFill>
        </w:rPr>
        <w:t>承包人（全称）：</w:t>
      </w:r>
      <w:r>
        <w:rPr>
          <w:rFonts w:hint="eastAsia" w:ascii="宋体" w:hAnsi="宋体" w:eastAsia="宋体" w:cs="仿宋"/>
          <w:b/>
          <w:color w:val="000000" w:themeColor="text1"/>
          <w:sz w:val="24"/>
          <w:highlight w:val="none"/>
          <w:u w:val="single"/>
          <w14:textFill>
            <w14:solidFill>
              <w14:schemeClr w14:val="tx1"/>
            </w14:solidFill>
          </w14:textFill>
        </w:rPr>
        <w:t>威海威畅市政工程有限公司</w:t>
      </w:r>
    </w:p>
    <w:p w14:paraId="715FFFFD">
      <w:pPr>
        <w:wordWrap w:val="0"/>
        <w:spacing w:line="460" w:lineRule="exact"/>
        <w:rPr>
          <w:rFonts w:hint="eastAsia" w:ascii="宋体" w:hAnsi="宋体" w:eastAsia="宋体" w:cs="仿宋"/>
          <w:b/>
          <w:color w:val="000000" w:themeColor="text1"/>
          <w:sz w:val="24"/>
          <w:highlight w:val="none"/>
          <w:u w:val="single"/>
          <w14:textFill>
            <w14:solidFill>
              <w14:schemeClr w14:val="tx1"/>
            </w14:solidFill>
          </w14:textFill>
        </w:rPr>
      </w:pPr>
      <w:r>
        <w:rPr>
          <w:rFonts w:hint="eastAsia" w:ascii="宋体" w:hAnsi="宋体" w:eastAsia="宋体" w:cs="仿宋"/>
          <w:b/>
          <w:color w:val="000000" w:themeColor="text1"/>
          <w:sz w:val="24"/>
          <w:highlight w:val="none"/>
          <w14:textFill>
            <w14:solidFill>
              <w14:schemeClr w14:val="tx1"/>
            </w14:solidFill>
          </w14:textFill>
        </w:rPr>
        <w:t>分包人（全称）：</w:t>
      </w:r>
      <w:r>
        <w:rPr>
          <w:rFonts w:hint="eastAsia" w:ascii="宋体" w:hAnsi="宋体" w:eastAsia="宋体" w:cs="仿宋"/>
          <w:b/>
          <w:color w:val="000000" w:themeColor="text1"/>
          <w:sz w:val="24"/>
          <w:highlight w:val="none"/>
          <w:u w:val="single"/>
          <w14:textFill>
            <w14:solidFill>
              <w14:schemeClr w14:val="tx1"/>
            </w14:solidFill>
          </w14:textFill>
        </w:rPr>
        <w:t xml:space="preserve">                        </w:t>
      </w:r>
    </w:p>
    <w:p w14:paraId="0AEC80C1">
      <w:pPr>
        <w:wordWrap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根据《中华人民共和国民法典》、《中华人民共和国建筑法》及有关法律规定，遵循平等、自愿、公平和诚实信用的原则，双方就</w:t>
      </w:r>
      <w:r>
        <w:rPr>
          <w:rFonts w:hint="eastAsia" w:ascii="宋体" w:hAnsi="宋体" w:eastAsia="宋体" w:cs="仿宋"/>
          <w:b/>
          <w:bCs/>
          <w:color w:val="000000" w:themeColor="text1"/>
          <w:sz w:val="24"/>
          <w:highlight w:val="none"/>
          <w:u w:val="single"/>
          <w14:textFill>
            <w14:solidFill>
              <w14:schemeClr w14:val="tx1"/>
            </w14:solidFill>
          </w14:textFill>
        </w:rPr>
        <w:t>百合路土石方工程专业分包</w:t>
      </w:r>
      <w:r>
        <w:rPr>
          <w:rFonts w:hint="eastAsia" w:ascii="宋体" w:hAnsi="宋体" w:eastAsia="宋体" w:cs="仿宋"/>
          <w:color w:val="000000" w:themeColor="text1"/>
          <w:sz w:val="24"/>
          <w:highlight w:val="none"/>
          <w14:textFill>
            <w14:solidFill>
              <w14:schemeClr w14:val="tx1"/>
            </w14:solidFill>
          </w14:textFill>
        </w:rPr>
        <w:t>及有关事项协商一致，共同达成如下协议：</w:t>
      </w:r>
    </w:p>
    <w:p w14:paraId="2E1418B2">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117" w:name="_Toc371493141"/>
      <w:bookmarkStart w:id="118" w:name="_Toc389586296"/>
      <w:bookmarkStart w:id="119" w:name="_Toc351203481"/>
      <w:r>
        <w:rPr>
          <w:rFonts w:hint="eastAsia" w:ascii="宋体" w:hAnsi="宋体" w:eastAsia="宋体" w:cs="仿宋"/>
          <w:b/>
          <w:bCs/>
          <w:color w:val="000000" w:themeColor="text1"/>
          <w:kern w:val="0"/>
          <w:sz w:val="24"/>
          <w:highlight w:val="none"/>
          <w:lang w:val="zh-CN"/>
          <w14:textFill>
            <w14:solidFill>
              <w14:schemeClr w14:val="tx1"/>
            </w14:solidFill>
          </w14:textFill>
        </w:rPr>
        <w:t>一、分包工程概况</w:t>
      </w:r>
      <w:bookmarkEnd w:id="117"/>
      <w:bookmarkEnd w:id="118"/>
      <w:bookmarkEnd w:id="119"/>
    </w:p>
    <w:p w14:paraId="5404416D">
      <w:pPr>
        <w:wordWrap w:val="0"/>
        <w:spacing w:line="460" w:lineRule="exact"/>
        <w:ind w:firstLine="470" w:firstLineChars="196"/>
        <w:rPr>
          <w:rFonts w:hint="eastAsia" w:ascii="宋体" w:hAnsi="宋体" w:eastAsia="宋体" w:cs="仿宋"/>
          <w:color w:val="000000" w:themeColor="text1"/>
          <w:sz w:val="24"/>
          <w:highlight w:val="none"/>
          <w:u w:val="single"/>
          <w14:textFill>
            <w14:solidFill>
              <w14:schemeClr w14:val="tx1"/>
            </w14:solidFill>
          </w14:textFill>
        </w:rPr>
      </w:pPr>
      <w:r>
        <w:rPr>
          <w:rFonts w:hint="eastAsia" w:ascii="宋体" w:hAnsi="宋体" w:eastAsia="宋体" w:cs="仿宋"/>
          <w:bCs/>
          <w:color w:val="000000" w:themeColor="text1"/>
          <w:sz w:val="24"/>
          <w:highlight w:val="none"/>
          <w14:textFill>
            <w14:solidFill>
              <w14:schemeClr w14:val="tx1"/>
            </w14:solidFill>
          </w14:textFill>
        </w:rPr>
        <w:t>1.总包工程名称</w:t>
      </w:r>
      <w:r>
        <w:rPr>
          <w:rFonts w:hint="eastAsia" w:ascii="宋体" w:hAnsi="宋体" w:eastAsia="宋体" w:cs="仿宋"/>
          <w:color w:val="000000" w:themeColor="text1"/>
          <w:sz w:val="24"/>
          <w:highlight w:val="none"/>
          <w14:textFill>
            <w14:solidFill>
              <w14:schemeClr w14:val="tx1"/>
            </w14:solidFill>
          </w14:textFill>
        </w:rPr>
        <w:t>：</w:t>
      </w:r>
      <w:r>
        <w:rPr>
          <w:rFonts w:hint="eastAsia" w:ascii="宋体" w:hAnsi="宋体" w:eastAsia="宋体" w:cs="仿宋"/>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w:t>
      </w:r>
    </w:p>
    <w:p w14:paraId="424EC77E">
      <w:pPr>
        <w:wordWrap w:val="0"/>
        <w:spacing w:line="460" w:lineRule="exact"/>
        <w:ind w:firstLine="470" w:firstLineChars="196"/>
        <w:rPr>
          <w:rFonts w:hint="eastAsia" w:ascii="宋体" w:hAnsi="宋体" w:eastAsia="宋体" w:cs="仿宋"/>
          <w:bCs/>
          <w:color w:val="000000" w:themeColor="text1"/>
          <w:sz w:val="24"/>
          <w:highlight w:val="none"/>
          <w14:textFill>
            <w14:solidFill>
              <w14:schemeClr w14:val="tx1"/>
            </w14:solidFill>
          </w14:textFill>
        </w:rPr>
      </w:pPr>
      <w:r>
        <w:rPr>
          <w:rFonts w:hint="eastAsia" w:ascii="宋体" w:hAnsi="宋体" w:eastAsia="宋体" w:cs="仿宋"/>
          <w:bCs/>
          <w:color w:val="000000" w:themeColor="text1"/>
          <w:sz w:val="24"/>
          <w:highlight w:val="none"/>
          <w14:textFill>
            <w14:solidFill>
              <w14:schemeClr w14:val="tx1"/>
            </w14:solidFill>
          </w14:textFill>
        </w:rPr>
        <w:t>2.分包工程名称：</w:t>
      </w:r>
      <w:r>
        <w:rPr>
          <w:rFonts w:hint="eastAsia" w:ascii="宋体" w:hAnsi="宋体" w:eastAsia="宋体" w:cs="仿宋"/>
          <w:color w:val="000000" w:themeColor="text1"/>
          <w:sz w:val="24"/>
          <w:highlight w:val="none"/>
          <w:u w:val="single"/>
          <w14:textFill>
            <w14:solidFill>
              <w14:schemeClr w14:val="tx1"/>
            </w14:solidFill>
          </w14:textFill>
        </w:rPr>
        <w:t>百合路土石方工程</w:t>
      </w:r>
      <w:r>
        <w:rPr>
          <w:rFonts w:hint="eastAsia" w:ascii="宋体" w:hAnsi="宋体" w:eastAsia="宋体" w:cs="仿宋"/>
          <w:bCs/>
          <w:color w:val="000000" w:themeColor="text1"/>
          <w:sz w:val="24"/>
          <w:highlight w:val="none"/>
          <w14:textFill>
            <w14:solidFill>
              <w14:schemeClr w14:val="tx1"/>
            </w14:solidFill>
          </w14:textFill>
        </w:rPr>
        <w:t>。</w:t>
      </w:r>
    </w:p>
    <w:p w14:paraId="6347FEE5">
      <w:pPr>
        <w:wordWrap w:val="0"/>
        <w:spacing w:line="460" w:lineRule="exact"/>
        <w:ind w:firstLine="470" w:firstLineChars="196"/>
        <w:rPr>
          <w:rFonts w:hint="eastAsia" w:ascii="宋体" w:hAnsi="宋体" w:eastAsia="宋体" w:cs="仿宋"/>
          <w:bCs/>
          <w:color w:val="000000" w:themeColor="text1"/>
          <w:sz w:val="24"/>
          <w:highlight w:val="none"/>
          <w14:textFill>
            <w14:solidFill>
              <w14:schemeClr w14:val="tx1"/>
            </w14:solidFill>
          </w14:textFill>
        </w:rPr>
      </w:pPr>
      <w:r>
        <w:rPr>
          <w:rFonts w:hint="eastAsia" w:ascii="宋体" w:hAnsi="宋体" w:eastAsia="宋体" w:cs="仿宋"/>
          <w:bCs/>
          <w:color w:val="000000" w:themeColor="text1"/>
          <w:sz w:val="24"/>
          <w:highlight w:val="none"/>
          <w14:textFill>
            <w14:solidFill>
              <w14:schemeClr w14:val="tx1"/>
            </w14:solidFill>
          </w14:textFill>
        </w:rPr>
        <w:t>3.分包工程地点：</w:t>
      </w:r>
      <w:r>
        <w:rPr>
          <w:rFonts w:hint="eastAsia" w:ascii="宋体" w:hAnsi="宋体" w:eastAsia="宋体" w:cs="仿宋"/>
          <w:color w:val="000000" w:themeColor="text1"/>
          <w:sz w:val="24"/>
          <w:highlight w:val="none"/>
          <w:u w:val="single"/>
          <w14:textFill>
            <w14:solidFill>
              <w14:schemeClr w14:val="tx1"/>
            </w14:solidFill>
          </w14:textFill>
        </w:rPr>
        <w:t>威海市</w:t>
      </w:r>
      <w:r>
        <w:rPr>
          <w:rFonts w:hint="eastAsia" w:ascii="宋体" w:hAnsi="宋体" w:eastAsia="宋体" w:cs="仿宋"/>
          <w:color w:val="000000" w:themeColor="text1"/>
          <w:sz w:val="24"/>
          <w:highlight w:val="none"/>
          <w14:textFill>
            <w14:solidFill>
              <w14:schemeClr w14:val="tx1"/>
            </w14:solidFill>
          </w14:textFill>
        </w:rPr>
        <w:t>。</w:t>
      </w:r>
    </w:p>
    <w:p w14:paraId="5C0A7407">
      <w:pPr>
        <w:wordWrap w:val="0"/>
        <w:spacing w:line="460" w:lineRule="exact"/>
        <w:ind w:firstLine="470" w:firstLineChars="196"/>
        <w:rPr>
          <w:rFonts w:hint="eastAsia" w:ascii="宋体" w:hAnsi="宋体" w:eastAsia="宋体" w:cs="仿宋"/>
          <w:b/>
          <w:color w:val="000000" w:themeColor="text1"/>
          <w:sz w:val="24"/>
          <w:highlight w:val="none"/>
          <w:u w:val="single"/>
          <w:lang w:val="zh-CN"/>
          <w14:textFill>
            <w14:solidFill>
              <w14:schemeClr w14:val="tx1"/>
            </w14:solidFill>
          </w14:textFill>
        </w:rPr>
      </w:pPr>
      <w:r>
        <w:rPr>
          <w:rFonts w:hint="eastAsia" w:ascii="宋体" w:hAnsi="宋体" w:eastAsia="宋体" w:cs="仿宋"/>
          <w:bCs/>
          <w:color w:val="000000" w:themeColor="text1"/>
          <w:sz w:val="24"/>
          <w:highlight w:val="none"/>
          <w14:textFill>
            <w14:solidFill>
              <w14:schemeClr w14:val="tx1"/>
            </w14:solidFill>
          </w14:textFill>
        </w:rPr>
        <w:t>4.</w:t>
      </w:r>
      <w:r>
        <w:rPr>
          <w:rFonts w:hint="eastAsia" w:ascii="宋体" w:hAnsi="宋体" w:eastAsia="宋体" w:cs="仿宋"/>
          <w:color w:val="000000" w:themeColor="text1"/>
          <w:sz w:val="24"/>
          <w:highlight w:val="none"/>
          <w14:textFill>
            <w14:solidFill>
              <w14:schemeClr w14:val="tx1"/>
            </w14:solidFill>
          </w14:textFill>
        </w:rPr>
        <w:t>分包工程承包范围：</w:t>
      </w:r>
      <w:r>
        <w:rPr>
          <w:rFonts w:hint="eastAsia" w:ascii="宋体" w:hAnsi="宋体" w:eastAsia="宋体" w:cs="仿宋"/>
          <w:color w:val="000000" w:themeColor="text1"/>
          <w:sz w:val="24"/>
          <w:highlight w:val="none"/>
          <w:u w:val="single"/>
          <w14:textFill>
            <w14:solidFill>
              <w14:schemeClr w14:val="tx1"/>
            </w14:solidFill>
          </w14:textFill>
        </w:rPr>
        <w:t>具体详见工程量清单</w:t>
      </w:r>
      <w:r>
        <w:rPr>
          <w:rFonts w:hint="eastAsia" w:ascii="宋体" w:hAnsi="宋体" w:eastAsia="宋体" w:cs="仿宋"/>
          <w:color w:val="000000" w:themeColor="text1"/>
          <w:sz w:val="24"/>
          <w:highlight w:val="none"/>
          <w14:textFill>
            <w14:solidFill>
              <w14:schemeClr w14:val="tx1"/>
            </w14:solidFill>
          </w14:textFill>
        </w:rPr>
        <w:t>。</w:t>
      </w:r>
    </w:p>
    <w:p w14:paraId="18120C68">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120" w:name="_Toc389586297"/>
      <w:bookmarkStart w:id="121" w:name="_Toc371493142"/>
      <w:bookmarkStart w:id="122" w:name="_Toc351203482"/>
      <w:r>
        <w:rPr>
          <w:rFonts w:hint="eastAsia" w:ascii="宋体" w:hAnsi="宋体" w:eastAsia="宋体" w:cs="仿宋"/>
          <w:b/>
          <w:bCs/>
          <w:color w:val="000000" w:themeColor="text1"/>
          <w:kern w:val="0"/>
          <w:sz w:val="24"/>
          <w:highlight w:val="none"/>
          <w:lang w:val="zh-CN"/>
          <w14:textFill>
            <w14:solidFill>
              <w14:schemeClr w14:val="tx1"/>
            </w14:solidFill>
          </w14:textFill>
        </w:rPr>
        <w:t>二、分包合同工期</w:t>
      </w:r>
      <w:bookmarkEnd w:id="120"/>
      <w:bookmarkEnd w:id="121"/>
      <w:bookmarkEnd w:id="122"/>
    </w:p>
    <w:p w14:paraId="0772BFC9">
      <w:pPr>
        <w:wordWrap w:val="0"/>
        <w:spacing w:line="460" w:lineRule="exact"/>
        <w:ind w:firstLine="459"/>
        <w:rPr>
          <w:rFonts w:hint="eastAsia" w:ascii="宋体" w:hAnsi="宋体" w:eastAsia="宋体" w:cs="仿宋"/>
          <w:color w:val="000000" w:themeColor="text1"/>
          <w:sz w:val="24"/>
          <w:highlight w:val="none"/>
          <w14:textFill>
            <w14:solidFill>
              <w14:schemeClr w14:val="tx1"/>
            </w14:solidFill>
          </w14:textFill>
        </w:rPr>
      </w:pPr>
      <w:bookmarkStart w:id="123" w:name="_Toc389586298"/>
      <w:bookmarkStart w:id="124" w:name="_Toc371493143"/>
      <w:bookmarkStart w:id="125" w:name="_Toc351203483"/>
      <w:r>
        <w:rPr>
          <w:rFonts w:hint="eastAsia" w:ascii="宋体" w:hAnsi="宋体" w:eastAsia="宋体" w:cs="仿宋"/>
          <w:color w:val="000000" w:themeColor="text1"/>
          <w:sz w:val="24"/>
          <w:highlight w:val="none"/>
          <w14:textFill>
            <w14:solidFill>
              <w14:schemeClr w14:val="tx1"/>
            </w14:solidFill>
          </w14:textFill>
        </w:rPr>
        <w:t>计划开工日期：</w:t>
      </w:r>
      <w:r>
        <w:rPr>
          <w:rFonts w:hint="eastAsia" w:ascii="宋体" w:hAnsi="宋体" w:eastAsia="宋体" w:cs="仿宋"/>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年</w:t>
      </w:r>
      <w:r>
        <w:rPr>
          <w:rFonts w:hint="eastAsia" w:ascii="宋体" w:hAnsi="宋体" w:eastAsia="宋体" w:cs="仿宋"/>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月</w:t>
      </w:r>
      <w:r>
        <w:rPr>
          <w:rFonts w:hint="eastAsia" w:ascii="宋体" w:hAnsi="宋体" w:eastAsia="宋体" w:cs="仿宋"/>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日。</w:t>
      </w:r>
    </w:p>
    <w:p w14:paraId="583438DE">
      <w:pPr>
        <w:wordWrap w:val="0"/>
        <w:spacing w:line="460" w:lineRule="exact"/>
        <w:ind w:firstLine="459"/>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计划完工日期：</w:t>
      </w:r>
      <w:r>
        <w:rPr>
          <w:rFonts w:hint="eastAsia" w:ascii="宋体" w:hAnsi="宋体" w:eastAsia="宋体" w:cs="仿宋"/>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年</w:t>
      </w:r>
      <w:r>
        <w:rPr>
          <w:rFonts w:hint="eastAsia" w:ascii="宋体" w:hAnsi="宋体" w:eastAsia="宋体" w:cs="仿宋"/>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月</w:t>
      </w:r>
      <w:r>
        <w:rPr>
          <w:rFonts w:hint="eastAsia" w:ascii="宋体" w:hAnsi="宋体" w:eastAsia="宋体" w:cs="仿宋"/>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日。</w:t>
      </w:r>
    </w:p>
    <w:p w14:paraId="667674FD">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r>
        <w:rPr>
          <w:rFonts w:hint="eastAsia" w:ascii="宋体" w:hAnsi="宋体" w:eastAsia="宋体" w:cs="仿宋"/>
          <w:b/>
          <w:bCs/>
          <w:color w:val="000000" w:themeColor="text1"/>
          <w:kern w:val="0"/>
          <w:sz w:val="24"/>
          <w:highlight w:val="none"/>
          <w:lang w:val="zh-CN"/>
          <w14:textFill>
            <w14:solidFill>
              <w14:schemeClr w14:val="tx1"/>
            </w14:solidFill>
          </w14:textFill>
        </w:rPr>
        <w:t>三、质量标准</w:t>
      </w:r>
      <w:bookmarkEnd w:id="123"/>
      <w:bookmarkEnd w:id="124"/>
      <w:bookmarkEnd w:id="125"/>
    </w:p>
    <w:p w14:paraId="6972EDAB">
      <w:pPr>
        <w:wordWrap w:val="0"/>
        <w:spacing w:line="460" w:lineRule="exact"/>
        <w:ind w:left="450" w:leftChars="100" w:hanging="240" w:hangingChars="1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分包工程质量应符合总包合同约定的分包工程的质量标准，并同时达到</w:t>
      </w:r>
      <w:r>
        <w:rPr>
          <w:rFonts w:hint="eastAsia" w:ascii="宋体" w:hAnsi="宋体" w:eastAsia="宋体" w:cs="仿宋"/>
          <w:b/>
          <w:bCs/>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标准。</w:t>
      </w:r>
    </w:p>
    <w:p w14:paraId="79149834">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126" w:name="_Toc389586299"/>
      <w:bookmarkStart w:id="127" w:name="_Toc351203484"/>
      <w:bookmarkStart w:id="128" w:name="_Toc371493144"/>
      <w:r>
        <w:rPr>
          <w:rFonts w:hint="eastAsia" w:ascii="宋体" w:hAnsi="宋体" w:eastAsia="宋体" w:cs="仿宋"/>
          <w:b/>
          <w:bCs/>
          <w:color w:val="000000" w:themeColor="text1"/>
          <w:kern w:val="0"/>
          <w:sz w:val="24"/>
          <w:highlight w:val="none"/>
          <w:lang w:val="zh-CN"/>
          <w14:textFill>
            <w14:solidFill>
              <w14:schemeClr w14:val="tx1"/>
            </w14:solidFill>
          </w14:textFill>
        </w:rPr>
        <w:t>四、签约合同价与合同价格形式</w:t>
      </w:r>
      <w:bookmarkEnd w:id="126"/>
      <w:bookmarkEnd w:id="127"/>
      <w:bookmarkEnd w:id="128"/>
      <w:r>
        <w:rPr>
          <w:rFonts w:hint="eastAsia" w:ascii="宋体" w:hAnsi="宋体" w:eastAsia="宋体" w:cs="仿宋"/>
          <w:b/>
          <w:bCs/>
          <w:color w:val="000000" w:themeColor="text1"/>
          <w:kern w:val="0"/>
          <w:sz w:val="24"/>
          <w:highlight w:val="none"/>
          <w:lang w:val="zh-CN"/>
          <w14:textFill>
            <w14:solidFill>
              <w14:schemeClr w14:val="tx1"/>
            </w14:solidFill>
          </w14:textFill>
        </w:rPr>
        <w:tab/>
      </w:r>
    </w:p>
    <w:p w14:paraId="261FEFFD">
      <w:pPr>
        <w:wordWrap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1.签约合同价为：人民币（大写）</w:t>
      </w:r>
      <w:r>
        <w:rPr>
          <w:rFonts w:hint="eastAsia" w:ascii="宋体" w:hAnsi="宋体" w:eastAsia="宋体" w:cs="仿宋"/>
          <w:color w:val="000000" w:themeColor="text1"/>
          <w:sz w:val="24"/>
          <w:highlight w:val="none"/>
          <w:u w:val="single"/>
          <w14:textFill>
            <w14:solidFill>
              <w14:schemeClr w14:val="tx1"/>
            </w14:solidFill>
          </w14:textFill>
        </w:rPr>
        <w:t xml:space="preserve">             </w:t>
      </w:r>
      <w:r>
        <w:rPr>
          <w:rFonts w:hint="eastAsia" w:ascii="宋体" w:hAnsi="宋体" w:eastAsia="宋体" w:cs="Calibri"/>
          <w:color w:val="000000" w:themeColor="text1"/>
          <w:sz w:val="24"/>
          <w:highlight w:val="none"/>
          <w14:textFill>
            <w14:solidFill>
              <w14:schemeClr w14:val="tx1"/>
            </w14:solidFill>
          </w14:textFill>
        </w:rPr>
        <w:t>¥</w:t>
      </w:r>
      <w:r>
        <w:rPr>
          <w:rFonts w:hint="eastAsia" w:ascii="宋体" w:hAnsi="宋体" w:eastAsia="宋体" w:cs="仿宋"/>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元)。</w:t>
      </w:r>
    </w:p>
    <w:p w14:paraId="3246825F">
      <w:pPr>
        <w:wordWrap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2.分包合同价格形式：</w:t>
      </w:r>
      <w:r>
        <w:rPr>
          <w:rFonts w:hint="eastAsia" w:ascii="宋体" w:hAnsi="宋体" w:eastAsia="宋体" w:cs="仿宋"/>
          <w:color w:val="000000" w:themeColor="text1"/>
          <w:sz w:val="24"/>
          <w:highlight w:val="none"/>
          <w:u w:val="single"/>
          <w14:textFill>
            <w14:solidFill>
              <w14:schemeClr w14:val="tx1"/>
            </w14:solidFill>
          </w14:textFill>
        </w:rPr>
        <w:t>全费用单价合同，详见附件1</w:t>
      </w:r>
      <w:r>
        <w:rPr>
          <w:rFonts w:hint="eastAsia" w:ascii="宋体" w:hAnsi="宋体" w:eastAsia="宋体" w:cs="仿宋"/>
          <w:color w:val="000000" w:themeColor="text1"/>
          <w:sz w:val="24"/>
          <w:highlight w:val="none"/>
          <w14:textFill>
            <w14:solidFill>
              <w14:schemeClr w14:val="tx1"/>
            </w14:solidFill>
          </w14:textFill>
        </w:rPr>
        <w:t>。</w:t>
      </w:r>
    </w:p>
    <w:p w14:paraId="56043899">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129" w:name="_Toc371493145"/>
      <w:bookmarkStart w:id="130" w:name="_Toc389586300"/>
      <w:bookmarkStart w:id="131" w:name="_Toc351203486"/>
      <w:r>
        <w:rPr>
          <w:rFonts w:hint="eastAsia" w:ascii="宋体" w:hAnsi="宋体" w:eastAsia="宋体" w:cs="仿宋"/>
          <w:b/>
          <w:bCs/>
          <w:color w:val="000000" w:themeColor="text1"/>
          <w:kern w:val="0"/>
          <w:sz w:val="24"/>
          <w:highlight w:val="none"/>
          <w:lang w:val="zh-CN"/>
          <w14:textFill>
            <w14:solidFill>
              <w14:schemeClr w14:val="tx1"/>
            </w14:solidFill>
          </w14:textFill>
        </w:rPr>
        <w:t>五、合同文件构成</w:t>
      </w:r>
      <w:bookmarkEnd w:id="129"/>
      <w:bookmarkEnd w:id="130"/>
      <w:bookmarkEnd w:id="131"/>
    </w:p>
    <w:p w14:paraId="7AFC275C">
      <w:pPr>
        <w:wordWrap w:val="0"/>
        <w:spacing w:line="460" w:lineRule="exact"/>
        <w:ind w:firstLine="480" w:firstLineChars="200"/>
        <w:rPr>
          <w:rFonts w:hint="eastAsia" w:ascii="宋体" w:hAnsi="宋体" w:eastAsia="宋体" w:cs="仿宋"/>
          <w:bCs/>
          <w:color w:val="000000" w:themeColor="text1"/>
          <w:sz w:val="24"/>
          <w:highlight w:val="none"/>
          <w14:textFill>
            <w14:solidFill>
              <w14:schemeClr w14:val="tx1"/>
            </w14:solidFill>
          </w14:textFill>
        </w:rPr>
      </w:pPr>
      <w:r>
        <w:rPr>
          <w:rFonts w:hint="eastAsia" w:ascii="宋体" w:hAnsi="宋体" w:eastAsia="宋体" w:cs="仿宋"/>
          <w:bCs/>
          <w:color w:val="000000" w:themeColor="text1"/>
          <w:sz w:val="24"/>
          <w:highlight w:val="none"/>
          <w14:textFill>
            <w14:solidFill>
              <w14:schemeClr w14:val="tx1"/>
            </w14:solidFill>
          </w14:textFill>
        </w:rPr>
        <w:t>本协议书与下列文件一起构成分包合同文件：</w:t>
      </w:r>
    </w:p>
    <w:p w14:paraId="367EF633">
      <w:pPr>
        <w:wordWrap w:val="0"/>
        <w:autoSpaceDE w:val="0"/>
        <w:autoSpaceDN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（1）中标通知书（如果有）；</w:t>
      </w:r>
    </w:p>
    <w:p w14:paraId="3FB7CD15">
      <w:pPr>
        <w:wordWrap w:val="0"/>
        <w:autoSpaceDE w:val="0"/>
        <w:autoSpaceDN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 xml:space="preserve">（2）投标函及其附录（如果有）； </w:t>
      </w:r>
    </w:p>
    <w:p w14:paraId="09436E35">
      <w:pPr>
        <w:wordWrap w:val="0"/>
        <w:autoSpaceDE w:val="0"/>
        <w:autoSpaceDN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（3）专用合同条款及其附件；</w:t>
      </w:r>
    </w:p>
    <w:p w14:paraId="7AE796FB">
      <w:pPr>
        <w:wordWrap w:val="0"/>
        <w:autoSpaceDE w:val="0"/>
        <w:autoSpaceDN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（4）通用合同条款；</w:t>
      </w:r>
    </w:p>
    <w:p w14:paraId="21981013">
      <w:pPr>
        <w:wordWrap w:val="0"/>
        <w:autoSpaceDE w:val="0"/>
        <w:autoSpaceDN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（5）技术标准和要求；</w:t>
      </w:r>
    </w:p>
    <w:p w14:paraId="61AD6A2A">
      <w:pPr>
        <w:wordWrap w:val="0"/>
        <w:autoSpaceDE w:val="0"/>
        <w:autoSpaceDN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（6）图纸（如果有）；</w:t>
      </w:r>
    </w:p>
    <w:p w14:paraId="54CEAF1D">
      <w:pPr>
        <w:wordWrap w:val="0"/>
        <w:autoSpaceDE w:val="0"/>
        <w:autoSpaceDN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（7）已标价工程量清单或预算书；</w:t>
      </w:r>
    </w:p>
    <w:p w14:paraId="1820CDEB">
      <w:pPr>
        <w:wordWrap w:val="0"/>
        <w:autoSpaceDE w:val="0"/>
        <w:autoSpaceDN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（8）其他分包合同文件。</w:t>
      </w:r>
    </w:p>
    <w:p w14:paraId="3D8876CE">
      <w:pPr>
        <w:wordWrap w:val="0"/>
        <w:autoSpaceDE w:val="0"/>
        <w:autoSpaceDN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在分包合同订立及履行过程中分包合同当事人签署的与分包合同有关的文件均构成分包合同文件组成部分。</w:t>
      </w:r>
    </w:p>
    <w:p w14:paraId="37428CC9">
      <w:pPr>
        <w:wordWrap w:val="0"/>
        <w:autoSpaceDE w:val="0"/>
        <w:autoSpaceDN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前述各项分包合同文件包括合同当事人就该项分包合同文件作出的补充和修改，属于同一类内容的文件，应以最新签署的为准。</w:t>
      </w:r>
    </w:p>
    <w:p w14:paraId="0F1FCD98">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132" w:name="_Toc351203487"/>
      <w:bookmarkStart w:id="133" w:name="_Toc389586301"/>
      <w:bookmarkStart w:id="134" w:name="_Toc371493146"/>
      <w:r>
        <w:rPr>
          <w:rFonts w:hint="eastAsia" w:ascii="宋体" w:hAnsi="宋体" w:eastAsia="宋体" w:cs="仿宋"/>
          <w:b/>
          <w:bCs/>
          <w:color w:val="000000" w:themeColor="text1"/>
          <w:kern w:val="0"/>
          <w:sz w:val="24"/>
          <w:highlight w:val="none"/>
          <w:lang w:val="zh-CN"/>
          <w14:textFill>
            <w14:solidFill>
              <w14:schemeClr w14:val="tx1"/>
            </w14:solidFill>
          </w14:textFill>
        </w:rPr>
        <w:t>六、承诺</w:t>
      </w:r>
      <w:bookmarkEnd w:id="132"/>
      <w:bookmarkEnd w:id="133"/>
      <w:bookmarkEnd w:id="134"/>
    </w:p>
    <w:p w14:paraId="521EFA23">
      <w:pPr>
        <w:wordWrap w:val="0"/>
        <w:spacing w:line="460" w:lineRule="exact"/>
        <w:ind w:firstLine="480" w:firstLineChars="200"/>
        <w:rPr>
          <w:rFonts w:hint="eastAsia" w:ascii="宋体" w:hAnsi="宋体" w:eastAsia="宋体" w:cs="仿宋"/>
          <w:bCs/>
          <w:color w:val="000000" w:themeColor="text1"/>
          <w:sz w:val="24"/>
          <w:highlight w:val="none"/>
          <w14:textFill>
            <w14:solidFill>
              <w14:schemeClr w14:val="tx1"/>
            </w14:solidFill>
          </w14:textFill>
        </w:rPr>
      </w:pPr>
      <w:r>
        <w:rPr>
          <w:rFonts w:hint="eastAsia" w:ascii="宋体" w:hAnsi="宋体" w:eastAsia="宋体" w:cs="仿宋"/>
          <w:bCs/>
          <w:color w:val="000000" w:themeColor="text1"/>
          <w:sz w:val="24"/>
          <w:highlight w:val="none"/>
          <w14:textFill>
            <w14:solidFill>
              <w14:schemeClr w14:val="tx1"/>
            </w14:solidFill>
          </w14:textFill>
        </w:rPr>
        <w:t>1.承包人承诺发包人同意承包人将分包工程分包给分包人，并承诺按照分包合同约定的期限和方式支付合同价款。</w:t>
      </w:r>
    </w:p>
    <w:p w14:paraId="096EFA38">
      <w:pPr>
        <w:wordWrap w:val="0"/>
        <w:spacing w:line="460" w:lineRule="exact"/>
        <w:ind w:firstLine="480" w:firstLineChars="200"/>
        <w:rPr>
          <w:rFonts w:hint="eastAsia" w:ascii="宋体" w:hAnsi="宋体" w:eastAsia="宋体" w:cs="仿宋"/>
          <w:bCs/>
          <w:color w:val="000000" w:themeColor="text1"/>
          <w:sz w:val="24"/>
          <w:highlight w:val="none"/>
          <w14:textFill>
            <w14:solidFill>
              <w14:schemeClr w14:val="tx1"/>
            </w14:solidFill>
          </w14:textFill>
        </w:rPr>
      </w:pPr>
      <w:r>
        <w:rPr>
          <w:rFonts w:hint="eastAsia" w:ascii="宋体" w:hAnsi="宋体" w:eastAsia="宋体" w:cs="仿宋"/>
          <w:bCs/>
          <w:color w:val="000000" w:themeColor="text1"/>
          <w:sz w:val="24"/>
          <w:highlight w:val="none"/>
          <w14:textFill>
            <w14:solidFill>
              <w14:schemeClr w14:val="tx1"/>
            </w14:solidFill>
          </w14:textFill>
        </w:rPr>
        <w:t>2.分包人承诺按照法律规定及分包合同约定完成分包工程施工，并在缺陷责任期及保修期内履行分包工程维修义务。</w:t>
      </w:r>
    </w:p>
    <w:p w14:paraId="0181E03C">
      <w:pPr>
        <w:wordWrap w:val="0"/>
        <w:spacing w:line="460" w:lineRule="exact"/>
        <w:ind w:firstLine="480"/>
        <w:rPr>
          <w:rFonts w:hint="eastAsia" w:ascii="宋体" w:hAnsi="宋体" w:eastAsia="宋体" w:cs="仿宋"/>
          <w:bCs/>
          <w:color w:val="000000" w:themeColor="text1"/>
          <w:sz w:val="24"/>
          <w:highlight w:val="none"/>
          <w14:textFill>
            <w14:solidFill>
              <w14:schemeClr w14:val="tx1"/>
            </w14:solidFill>
          </w14:textFill>
        </w:rPr>
      </w:pPr>
      <w:r>
        <w:rPr>
          <w:rFonts w:hint="eastAsia" w:ascii="宋体" w:hAnsi="宋体" w:eastAsia="宋体" w:cs="仿宋"/>
          <w:bCs/>
          <w:color w:val="000000" w:themeColor="text1"/>
          <w:sz w:val="24"/>
          <w:highlight w:val="none"/>
          <w14:textFill>
            <w14:solidFill>
              <w14:schemeClr w14:val="tx1"/>
            </w14:solidFill>
          </w14:textFill>
        </w:rPr>
        <w:t>3.分包人承诺履行总包合同中与分包工程有关的承包人的所有义务，但分包合同明确约定应由承包人履行的义务除外。分包人承诺就分包工程质量和安全与承包人向发包人承担连带责任。</w:t>
      </w:r>
    </w:p>
    <w:p w14:paraId="6E83FF83">
      <w:pPr>
        <w:wordWrap w:val="0"/>
        <w:spacing w:line="460" w:lineRule="exact"/>
        <w:ind w:firstLine="480" w:firstLineChars="200"/>
        <w:rPr>
          <w:rFonts w:hint="eastAsia" w:ascii="宋体" w:hAnsi="宋体" w:eastAsia="宋体" w:cs="仿宋"/>
          <w:bCs/>
          <w:color w:val="000000" w:themeColor="text1"/>
          <w:sz w:val="24"/>
          <w:highlight w:val="none"/>
          <w14:textFill>
            <w14:solidFill>
              <w14:schemeClr w14:val="tx1"/>
            </w14:solidFill>
          </w14:textFill>
        </w:rPr>
      </w:pPr>
      <w:r>
        <w:rPr>
          <w:rFonts w:hint="eastAsia" w:ascii="宋体" w:hAnsi="宋体" w:eastAsia="宋体" w:cs="仿宋"/>
          <w:bCs/>
          <w:color w:val="000000" w:themeColor="text1"/>
          <w:sz w:val="24"/>
          <w:highlight w:val="none"/>
          <w14:textFill>
            <w14:solidFill>
              <w14:schemeClr w14:val="tx1"/>
            </w14:solidFill>
          </w14:textFill>
        </w:rPr>
        <w:t>4.合同当事人通过招投标形式签订分包合同的，双方理解并承诺不再另行签订与分包合同实质性内容相背离的合同。</w:t>
      </w:r>
    </w:p>
    <w:p w14:paraId="58EE3AC0">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135" w:name="_Toc351203488"/>
      <w:bookmarkStart w:id="136" w:name="_Toc389586302"/>
      <w:bookmarkStart w:id="137" w:name="_Toc371493147"/>
      <w:r>
        <w:rPr>
          <w:rFonts w:hint="eastAsia" w:ascii="宋体" w:hAnsi="宋体" w:eastAsia="宋体" w:cs="仿宋"/>
          <w:b/>
          <w:bCs/>
          <w:color w:val="000000" w:themeColor="text1"/>
          <w:kern w:val="0"/>
          <w:sz w:val="24"/>
          <w:highlight w:val="none"/>
          <w:lang w:val="zh-CN"/>
          <w14:textFill>
            <w14:solidFill>
              <w14:schemeClr w14:val="tx1"/>
            </w14:solidFill>
          </w14:textFill>
        </w:rPr>
        <w:t>七、</w:t>
      </w:r>
      <w:bookmarkEnd w:id="135"/>
      <w:r>
        <w:rPr>
          <w:rFonts w:hint="eastAsia" w:ascii="宋体" w:hAnsi="宋体" w:eastAsia="宋体" w:cs="仿宋"/>
          <w:b/>
          <w:bCs/>
          <w:color w:val="000000" w:themeColor="text1"/>
          <w:kern w:val="0"/>
          <w:sz w:val="24"/>
          <w:highlight w:val="none"/>
          <w:lang w:val="zh-CN"/>
          <w14:textFill>
            <w14:solidFill>
              <w14:schemeClr w14:val="tx1"/>
            </w14:solidFill>
          </w14:textFill>
        </w:rPr>
        <w:t>其他</w:t>
      </w:r>
      <w:bookmarkEnd w:id="136"/>
      <w:bookmarkEnd w:id="137"/>
    </w:p>
    <w:p w14:paraId="4650CE5D">
      <w:pPr>
        <w:wordWrap w:val="0"/>
        <w:spacing w:line="460" w:lineRule="exact"/>
        <w:ind w:firstLine="480" w:firstLineChars="200"/>
        <w:rPr>
          <w:rFonts w:hint="eastAsia" w:ascii="宋体" w:hAnsi="宋体" w:eastAsia="宋体" w:cs="仿宋"/>
          <w:bCs/>
          <w:color w:val="000000" w:themeColor="text1"/>
          <w:sz w:val="24"/>
          <w:highlight w:val="none"/>
          <w14:textFill>
            <w14:solidFill>
              <w14:schemeClr w14:val="tx1"/>
            </w14:solidFill>
          </w14:textFill>
        </w:rPr>
      </w:pPr>
      <w:r>
        <w:rPr>
          <w:rFonts w:hint="eastAsia" w:ascii="宋体" w:hAnsi="宋体" w:eastAsia="宋体" w:cs="仿宋"/>
          <w:bCs/>
          <w:color w:val="000000" w:themeColor="text1"/>
          <w:sz w:val="24"/>
          <w:highlight w:val="none"/>
          <w14:textFill>
            <w14:solidFill>
              <w14:schemeClr w14:val="tx1"/>
            </w14:solidFill>
          </w14:textFill>
        </w:rPr>
        <w:t>1. 协议书中词语含义与第二部分通用合同条款中赋予的含义相同。</w:t>
      </w:r>
    </w:p>
    <w:p w14:paraId="25098DDE">
      <w:pPr>
        <w:wordWrap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bCs/>
          <w:color w:val="000000" w:themeColor="text1"/>
          <w:sz w:val="24"/>
          <w:highlight w:val="none"/>
          <w14:textFill>
            <w14:solidFill>
              <w14:schemeClr w14:val="tx1"/>
            </w14:solidFill>
          </w14:textFill>
        </w:rPr>
        <w:t>2. 本协议书于</w:t>
      </w:r>
      <w:r>
        <w:rPr>
          <w:rFonts w:hint="eastAsia" w:ascii="宋体" w:hAnsi="宋体" w:eastAsia="宋体" w:cs="仿宋"/>
          <w:bCs/>
          <w:color w:val="000000" w:themeColor="text1"/>
          <w:sz w:val="24"/>
          <w:highlight w:val="none"/>
          <w:u w:val="single"/>
          <w14:textFill>
            <w14:solidFill>
              <w14:schemeClr w14:val="tx1"/>
            </w14:solidFill>
          </w14:textFill>
        </w:rPr>
        <w:t xml:space="preserve">      </w:t>
      </w:r>
      <w:r>
        <w:rPr>
          <w:rFonts w:hint="eastAsia" w:ascii="宋体" w:hAnsi="宋体" w:eastAsia="宋体" w:cs="仿宋"/>
          <w:bCs/>
          <w:color w:val="000000" w:themeColor="text1"/>
          <w:sz w:val="24"/>
          <w:highlight w:val="none"/>
          <w14:textFill>
            <w14:solidFill>
              <w14:schemeClr w14:val="tx1"/>
            </w14:solidFill>
          </w14:textFill>
        </w:rPr>
        <w:t>年</w:t>
      </w:r>
      <w:r>
        <w:rPr>
          <w:rFonts w:hint="eastAsia" w:ascii="宋体" w:hAnsi="宋体" w:eastAsia="宋体" w:cs="仿宋"/>
          <w:bCs/>
          <w:color w:val="000000" w:themeColor="text1"/>
          <w:sz w:val="24"/>
          <w:highlight w:val="none"/>
          <w:u w:val="single"/>
          <w14:textFill>
            <w14:solidFill>
              <w14:schemeClr w14:val="tx1"/>
            </w14:solidFill>
          </w14:textFill>
        </w:rPr>
        <w:t xml:space="preserve">   </w:t>
      </w:r>
      <w:r>
        <w:rPr>
          <w:rFonts w:hint="eastAsia" w:ascii="宋体" w:hAnsi="宋体" w:eastAsia="宋体" w:cs="仿宋"/>
          <w:bCs/>
          <w:color w:val="000000" w:themeColor="text1"/>
          <w:sz w:val="24"/>
          <w:highlight w:val="none"/>
          <w14:textFill>
            <w14:solidFill>
              <w14:schemeClr w14:val="tx1"/>
            </w14:solidFill>
          </w14:textFill>
        </w:rPr>
        <w:t>月</w:t>
      </w:r>
      <w:r>
        <w:rPr>
          <w:rFonts w:hint="eastAsia" w:ascii="宋体" w:hAnsi="宋体" w:eastAsia="宋体" w:cs="仿宋"/>
          <w:bCs/>
          <w:color w:val="000000" w:themeColor="text1"/>
          <w:sz w:val="24"/>
          <w:highlight w:val="none"/>
          <w:u w:val="single"/>
          <w14:textFill>
            <w14:solidFill>
              <w14:schemeClr w14:val="tx1"/>
            </w14:solidFill>
          </w14:textFill>
        </w:rPr>
        <w:t xml:space="preserve">   </w:t>
      </w:r>
      <w:r>
        <w:rPr>
          <w:rFonts w:hint="eastAsia" w:ascii="宋体" w:hAnsi="宋体" w:eastAsia="宋体" w:cs="仿宋"/>
          <w:bCs/>
          <w:color w:val="000000" w:themeColor="text1"/>
          <w:sz w:val="24"/>
          <w:highlight w:val="none"/>
          <w14:textFill>
            <w14:solidFill>
              <w14:schemeClr w14:val="tx1"/>
            </w14:solidFill>
          </w14:textFill>
        </w:rPr>
        <w:t>日在</w:t>
      </w:r>
      <w:r>
        <w:rPr>
          <w:rFonts w:hint="eastAsia" w:ascii="宋体" w:hAnsi="宋体" w:eastAsia="宋体" w:cs="仿宋"/>
          <w:bCs/>
          <w:color w:val="000000" w:themeColor="text1"/>
          <w:sz w:val="24"/>
          <w:highlight w:val="none"/>
          <w:u w:val="single"/>
          <w14:textFill>
            <w14:solidFill>
              <w14:schemeClr w14:val="tx1"/>
            </w14:solidFill>
          </w14:textFill>
        </w:rPr>
        <w:t>承包人所在地</w:t>
      </w:r>
      <w:r>
        <w:rPr>
          <w:rFonts w:hint="eastAsia" w:ascii="宋体" w:hAnsi="宋体" w:eastAsia="宋体" w:cs="仿宋"/>
          <w:bCs/>
          <w:color w:val="000000" w:themeColor="text1"/>
          <w:sz w:val="24"/>
          <w:highlight w:val="none"/>
          <w14:textFill>
            <w14:solidFill>
              <w14:schemeClr w14:val="tx1"/>
            </w14:solidFill>
          </w14:textFill>
        </w:rPr>
        <w:t>签订，自</w:t>
      </w:r>
      <w:r>
        <w:rPr>
          <w:rFonts w:hint="eastAsia" w:ascii="宋体" w:hAnsi="宋体" w:eastAsia="宋体" w:cs="仿宋"/>
          <w:bCs/>
          <w:color w:val="000000" w:themeColor="text1"/>
          <w:sz w:val="24"/>
          <w:highlight w:val="none"/>
          <w:u w:val="single"/>
          <w14:textFill>
            <w14:solidFill>
              <w14:schemeClr w14:val="tx1"/>
            </w14:solidFill>
          </w14:textFill>
        </w:rPr>
        <w:t>双方签字并盖章之日起</w:t>
      </w:r>
      <w:r>
        <w:rPr>
          <w:rFonts w:hint="eastAsia" w:ascii="宋体" w:hAnsi="宋体" w:eastAsia="宋体" w:cs="仿宋"/>
          <w:bCs/>
          <w:color w:val="000000" w:themeColor="text1"/>
          <w:sz w:val="24"/>
          <w:highlight w:val="none"/>
          <w14:textFill>
            <w14:solidFill>
              <w14:schemeClr w14:val="tx1"/>
            </w14:solidFill>
          </w14:textFill>
        </w:rPr>
        <w:t>生效。本协议书一式</w:t>
      </w:r>
      <w:r>
        <w:rPr>
          <w:rFonts w:hint="eastAsia" w:ascii="宋体" w:hAnsi="宋体" w:eastAsia="宋体" w:cs="仿宋"/>
          <w:bCs/>
          <w:color w:val="000000" w:themeColor="text1"/>
          <w:sz w:val="24"/>
          <w:highlight w:val="none"/>
          <w:u w:val="single"/>
          <w14:textFill>
            <w14:solidFill>
              <w14:schemeClr w14:val="tx1"/>
            </w14:solidFill>
          </w14:textFill>
        </w:rPr>
        <w:t>伍</w:t>
      </w:r>
      <w:r>
        <w:rPr>
          <w:rFonts w:hint="eastAsia" w:ascii="宋体" w:hAnsi="宋体" w:eastAsia="宋体" w:cs="仿宋"/>
          <w:bCs/>
          <w:color w:val="000000" w:themeColor="text1"/>
          <w:sz w:val="24"/>
          <w:highlight w:val="none"/>
          <w14:textFill>
            <w14:solidFill>
              <w14:schemeClr w14:val="tx1"/>
            </w14:solidFill>
          </w14:textFill>
        </w:rPr>
        <w:t>份，均具有同等法律效力，承包人执</w:t>
      </w:r>
      <w:r>
        <w:rPr>
          <w:rFonts w:hint="eastAsia" w:ascii="宋体" w:hAnsi="宋体" w:eastAsia="宋体" w:cs="仿宋"/>
          <w:bCs/>
          <w:color w:val="000000" w:themeColor="text1"/>
          <w:sz w:val="24"/>
          <w:highlight w:val="none"/>
          <w:u w:val="single"/>
          <w14:textFill>
            <w14:solidFill>
              <w14:schemeClr w14:val="tx1"/>
            </w14:solidFill>
          </w14:textFill>
        </w:rPr>
        <w:t>叁</w:t>
      </w:r>
      <w:r>
        <w:rPr>
          <w:rFonts w:hint="eastAsia" w:ascii="宋体" w:hAnsi="宋体" w:eastAsia="宋体" w:cs="仿宋"/>
          <w:bCs/>
          <w:color w:val="000000" w:themeColor="text1"/>
          <w:sz w:val="24"/>
          <w:highlight w:val="none"/>
          <w14:textFill>
            <w14:solidFill>
              <w14:schemeClr w14:val="tx1"/>
            </w14:solidFill>
          </w14:textFill>
        </w:rPr>
        <w:t>份，分包人执</w:t>
      </w:r>
      <w:r>
        <w:rPr>
          <w:rFonts w:hint="eastAsia" w:ascii="宋体" w:hAnsi="宋体" w:eastAsia="宋体" w:cs="仿宋"/>
          <w:bCs/>
          <w:color w:val="000000" w:themeColor="text1"/>
          <w:sz w:val="24"/>
          <w:highlight w:val="none"/>
          <w:u w:val="single"/>
          <w14:textFill>
            <w14:solidFill>
              <w14:schemeClr w14:val="tx1"/>
            </w14:solidFill>
          </w14:textFill>
        </w:rPr>
        <w:t>贰</w:t>
      </w:r>
      <w:r>
        <w:rPr>
          <w:rFonts w:hint="eastAsia" w:ascii="宋体" w:hAnsi="宋体" w:eastAsia="宋体" w:cs="仿宋"/>
          <w:bCs/>
          <w:color w:val="000000" w:themeColor="text1"/>
          <w:sz w:val="24"/>
          <w:highlight w:val="none"/>
          <w14:textFill>
            <w14:solidFill>
              <w14:schemeClr w14:val="tx1"/>
            </w14:solidFill>
          </w14:textFill>
        </w:rPr>
        <w:t>份。</w:t>
      </w:r>
    </w:p>
    <w:p w14:paraId="7A944D72">
      <w:pPr>
        <w:wordWrap w:val="0"/>
        <w:spacing w:line="460" w:lineRule="exact"/>
        <w:rPr>
          <w:rFonts w:hint="eastAsia" w:ascii="宋体" w:hAnsi="宋体" w:eastAsia="宋体" w:cs="仿宋"/>
          <w:color w:val="000000" w:themeColor="text1"/>
          <w:sz w:val="24"/>
          <w:highlight w:val="none"/>
          <w14:textFill>
            <w14:solidFill>
              <w14:schemeClr w14:val="tx1"/>
            </w14:solidFill>
          </w14:textFill>
        </w:rPr>
      </w:pPr>
    </w:p>
    <w:p w14:paraId="266BF96A">
      <w:pPr>
        <w:wordWrap w:val="0"/>
        <w:spacing w:line="460" w:lineRule="exac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承包人：</w:t>
      </w:r>
      <w:r>
        <w:rPr>
          <w:rFonts w:hint="eastAsia" w:ascii="宋体" w:hAnsi="宋体" w:eastAsia="宋体" w:cs="仿宋"/>
          <w:bCs/>
          <w:color w:val="000000" w:themeColor="text1"/>
          <w:sz w:val="24"/>
          <w:highlight w:val="none"/>
          <w:u w:val="single"/>
          <w14:textFill>
            <w14:solidFill>
              <w14:schemeClr w14:val="tx1"/>
            </w14:solidFill>
          </w14:textFill>
        </w:rPr>
        <w:t xml:space="preserve">                         </w:t>
      </w:r>
      <w:r>
        <w:rPr>
          <w:rFonts w:hint="eastAsia" w:ascii="宋体" w:hAnsi="宋体" w:eastAsia="宋体" w:cs="仿宋"/>
          <w:bCs/>
          <w:color w:val="000000" w:themeColor="text1"/>
          <w:sz w:val="24"/>
          <w:highlight w:val="non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分包人：</w:t>
      </w:r>
      <w:r>
        <w:rPr>
          <w:rFonts w:hint="eastAsia" w:ascii="宋体" w:hAnsi="宋体" w:eastAsia="宋体" w:cs="仿宋"/>
          <w:bCs/>
          <w:color w:val="000000" w:themeColor="text1"/>
          <w:sz w:val="24"/>
          <w:highlight w:val="none"/>
          <w:u w:val="single"/>
          <w14:textFill>
            <w14:solidFill>
              <w14:schemeClr w14:val="tx1"/>
            </w14:solidFill>
          </w14:textFill>
        </w:rPr>
        <w:t xml:space="preserve">                         </w:t>
      </w:r>
    </w:p>
    <w:p w14:paraId="174C19AC">
      <w:pPr>
        <w:wordWrap w:val="0"/>
        <w:spacing w:line="460" w:lineRule="exact"/>
        <w:ind w:firstLine="960" w:firstLineChars="400"/>
        <w:rPr>
          <w:rFonts w:hint="eastAsia" w:ascii="宋体" w:hAnsi="宋体" w:eastAsia="宋体" w:cs="仿宋"/>
          <w:color w:val="000000" w:themeColor="text1"/>
          <w:sz w:val="24"/>
          <w:highlight w:val="none"/>
          <w:u w:val="singl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 xml:space="preserve">(盖章)                                (盖章) </w:t>
      </w:r>
    </w:p>
    <w:p w14:paraId="5D819DDF">
      <w:pPr>
        <w:wordWrap w:val="0"/>
        <w:spacing w:line="460" w:lineRule="exac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法定代表人或其委托代理人：             法定代表人或其委托代理人：</w:t>
      </w:r>
    </w:p>
    <w:p w14:paraId="50924B4D">
      <w:pPr>
        <w:wordWrap w:val="0"/>
        <w:spacing w:line="460" w:lineRule="exact"/>
        <w:ind w:firstLine="720" w:firstLineChars="300"/>
        <w:rPr>
          <w:rFonts w:hint="eastAsia" w:ascii="宋体" w:hAnsi="宋体" w:eastAsia="宋体" w:cs="仿宋"/>
          <w:color w:val="000000" w:themeColor="text1"/>
          <w:sz w:val="24"/>
          <w:highlight w:val="none"/>
          <w:u w:val="singl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（签字或盖章）                               （签字或盖章）</w:t>
      </w:r>
    </w:p>
    <w:p w14:paraId="175FBA44">
      <w:pPr>
        <w:wordWrap w:val="0"/>
        <w:spacing w:line="460" w:lineRule="exact"/>
        <w:ind w:left="5520" w:hanging="5520" w:hangingChars="2300"/>
        <w:rPr>
          <w:rFonts w:hint="eastAsia" w:ascii="宋体" w:hAnsi="宋体" w:eastAsia="宋体" w:cs="仿宋"/>
          <w:color w:val="000000" w:themeColor="text1"/>
          <w:sz w:val="24"/>
          <w:highlight w:val="none"/>
          <w:u w:val="singl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组织机构代码：</w:t>
      </w:r>
      <w:r>
        <w:rPr>
          <w:rFonts w:hint="eastAsia" w:ascii="宋体" w:hAnsi="宋体" w:eastAsia="宋体" w:cs="仿宋"/>
          <w:bCs/>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 xml:space="preserve">      组织机构代码：</w:t>
      </w:r>
      <w:r>
        <w:rPr>
          <w:rFonts w:hint="eastAsia" w:ascii="宋体" w:hAnsi="宋体" w:eastAsia="宋体" w:cs="仿宋"/>
          <w:bCs/>
          <w:color w:val="000000" w:themeColor="text1"/>
          <w:sz w:val="24"/>
          <w:highlight w:val="none"/>
          <w:u w:val="single"/>
          <w14:textFill>
            <w14:solidFill>
              <w14:schemeClr w14:val="tx1"/>
            </w14:solidFill>
          </w14:textFill>
        </w:rPr>
        <w:t xml:space="preserve">                   </w:t>
      </w:r>
    </w:p>
    <w:p w14:paraId="4E798EC1">
      <w:pPr>
        <w:wordWrap w:val="0"/>
        <w:spacing w:line="460" w:lineRule="exact"/>
        <w:ind w:left="5520" w:hanging="5520" w:hangingChars="2300"/>
        <w:rPr>
          <w:rFonts w:hint="eastAsia" w:ascii="宋体" w:hAnsi="宋体" w:eastAsia="宋体" w:cs="仿宋"/>
          <w:color w:val="000000" w:themeColor="text1"/>
          <w:sz w:val="24"/>
          <w:highlight w:val="none"/>
          <w:u w:val="singl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地  址：</w:t>
      </w:r>
      <w:r>
        <w:rPr>
          <w:rFonts w:hint="eastAsia" w:ascii="宋体" w:hAnsi="宋体" w:eastAsia="宋体" w:cs="仿宋"/>
          <w:bCs/>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 xml:space="preserve">      地  址：</w:t>
      </w:r>
      <w:r>
        <w:rPr>
          <w:rFonts w:hint="eastAsia" w:ascii="宋体" w:hAnsi="宋体" w:eastAsia="宋体" w:cs="仿宋"/>
          <w:bCs/>
          <w:color w:val="000000" w:themeColor="text1"/>
          <w:sz w:val="24"/>
          <w:highlight w:val="none"/>
          <w:u w:val="single"/>
          <w14:textFill>
            <w14:solidFill>
              <w14:schemeClr w14:val="tx1"/>
            </w14:solidFill>
          </w14:textFill>
        </w:rPr>
        <w:t xml:space="preserve">                         </w:t>
      </w:r>
    </w:p>
    <w:p w14:paraId="286669F7">
      <w:pPr>
        <w:wordWrap w:val="0"/>
        <w:spacing w:line="460" w:lineRule="exact"/>
        <w:rPr>
          <w:rFonts w:hint="eastAsia" w:ascii="宋体" w:hAnsi="宋体" w:eastAsia="宋体" w:cs="仿宋"/>
          <w:color w:val="000000" w:themeColor="text1"/>
          <w:sz w:val="24"/>
          <w:highlight w:val="none"/>
          <w:u w:val="singl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邮政编码：</w:t>
      </w:r>
      <w:r>
        <w:rPr>
          <w:rFonts w:hint="eastAsia" w:ascii="宋体" w:hAnsi="宋体" w:eastAsia="宋体" w:cs="仿宋"/>
          <w:bCs/>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 xml:space="preserve">      邮政编码：</w:t>
      </w:r>
      <w:r>
        <w:rPr>
          <w:rFonts w:hint="eastAsia" w:ascii="宋体" w:hAnsi="宋体" w:eastAsia="宋体" w:cs="仿宋"/>
          <w:bCs/>
          <w:color w:val="000000" w:themeColor="text1"/>
          <w:sz w:val="24"/>
          <w:highlight w:val="none"/>
          <w:u w:val="single"/>
          <w14:textFill>
            <w14:solidFill>
              <w14:schemeClr w14:val="tx1"/>
            </w14:solidFill>
          </w14:textFill>
        </w:rPr>
        <w:t xml:space="preserve">                       </w:t>
      </w:r>
    </w:p>
    <w:p w14:paraId="7BFBF920">
      <w:pPr>
        <w:wordWrap w:val="0"/>
        <w:spacing w:line="460" w:lineRule="exact"/>
        <w:rPr>
          <w:rFonts w:hint="eastAsia" w:ascii="宋体" w:hAnsi="宋体" w:eastAsia="宋体" w:cs="仿宋"/>
          <w:color w:val="000000" w:themeColor="text1"/>
          <w:sz w:val="24"/>
          <w:highlight w:val="none"/>
          <w:u w:val="singl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电  话：</w:t>
      </w:r>
      <w:r>
        <w:rPr>
          <w:rFonts w:hint="eastAsia" w:ascii="宋体" w:hAnsi="宋体" w:eastAsia="宋体" w:cs="仿宋"/>
          <w:bCs/>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 xml:space="preserve">      电  话：</w:t>
      </w:r>
      <w:r>
        <w:rPr>
          <w:rFonts w:hint="eastAsia" w:ascii="宋体" w:hAnsi="宋体" w:eastAsia="宋体" w:cs="仿宋"/>
          <w:color w:val="000000" w:themeColor="text1"/>
          <w:sz w:val="24"/>
          <w:highlight w:val="none"/>
          <w:u w:val="single"/>
          <w14:textFill>
            <w14:solidFill>
              <w14:schemeClr w14:val="tx1"/>
            </w14:solidFill>
          </w14:textFill>
        </w:rPr>
        <w:t xml:space="preserve">                         </w:t>
      </w:r>
    </w:p>
    <w:p w14:paraId="0C913D02">
      <w:pPr>
        <w:wordWrap w:val="0"/>
        <w:spacing w:line="460" w:lineRule="exact"/>
        <w:ind w:left="5760" w:hanging="5760" w:hangingChars="2400"/>
        <w:rPr>
          <w:rFonts w:hint="eastAsia" w:ascii="宋体" w:hAnsi="宋体" w:eastAsia="宋体" w:cs="仿宋"/>
          <w:color w:val="000000" w:themeColor="text1"/>
          <w:sz w:val="24"/>
          <w:highlight w:val="none"/>
          <w:u w:val="singl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传  真：</w:t>
      </w:r>
      <w:r>
        <w:rPr>
          <w:rFonts w:hint="eastAsia" w:ascii="宋体" w:hAnsi="宋体" w:eastAsia="宋体" w:cs="仿宋"/>
          <w:bCs/>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 xml:space="preserve">      传  真：</w:t>
      </w:r>
      <w:r>
        <w:rPr>
          <w:rFonts w:hint="eastAsia" w:ascii="宋体" w:hAnsi="宋体" w:eastAsia="宋体" w:cs="仿宋"/>
          <w:color w:val="000000" w:themeColor="text1"/>
          <w:sz w:val="24"/>
          <w:highlight w:val="none"/>
          <w:u w:val="single"/>
          <w14:textFill>
            <w14:solidFill>
              <w14:schemeClr w14:val="tx1"/>
            </w14:solidFill>
          </w14:textFill>
        </w:rPr>
        <w:t xml:space="preserve">                         </w:t>
      </w:r>
    </w:p>
    <w:p w14:paraId="3ADE3D49">
      <w:pPr>
        <w:spacing w:line="460" w:lineRule="exact"/>
        <w:rPr>
          <w:rFonts w:hint="eastAsia" w:ascii="宋体" w:hAnsi="宋体" w:eastAsia="宋体" w:cs="仿宋"/>
          <w:color w:val="000000" w:themeColor="text1"/>
          <w:sz w:val="24"/>
          <w:highlight w:val="none"/>
          <w:u w:val="singl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账  号：</w:t>
      </w:r>
      <w:r>
        <w:rPr>
          <w:rFonts w:hint="eastAsia" w:ascii="宋体" w:hAnsi="宋体" w:eastAsia="宋体" w:cs="仿宋"/>
          <w:bCs/>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 xml:space="preserve">      账  号：</w:t>
      </w:r>
      <w:r>
        <w:rPr>
          <w:rFonts w:hint="eastAsia" w:ascii="宋体" w:hAnsi="宋体" w:eastAsia="宋体" w:cs="仿宋"/>
          <w:color w:val="000000" w:themeColor="text1"/>
          <w:sz w:val="24"/>
          <w:highlight w:val="none"/>
          <w:u w:val="single"/>
          <w14:textFill>
            <w14:solidFill>
              <w14:schemeClr w14:val="tx1"/>
            </w14:solidFill>
          </w14:textFill>
        </w:rPr>
        <w:t xml:space="preserve">                          </w:t>
      </w:r>
    </w:p>
    <w:p w14:paraId="7AE1DEE6">
      <w:pPr>
        <w:keepNext/>
        <w:keepLines/>
        <w:wordWrap w:val="0"/>
        <w:spacing w:before="312" w:beforeLines="100" w:after="312" w:afterLines="100" w:line="460" w:lineRule="exact"/>
        <w:jc w:val="center"/>
        <w:outlineLvl w:val="0"/>
        <w:rPr>
          <w:rFonts w:hint="eastAsia" w:ascii="宋体" w:hAnsi="宋体" w:eastAsia="宋体" w:cs="仿宋"/>
          <w:b/>
          <w:bCs/>
          <w:color w:val="000000" w:themeColor="text1"/>
          <w:kern w:val="44"/>
          <w:sz w:val="44"/>
          <w:szCs w:val="44"/>
          <w:highlight w:val="none"/>
          <w:lang w:val="zh-CN"/>
          <w14:textFill>
            <w14:solidFill>
              <w14:schemeClr w14:val="tx1"/>
            </w14:solidFill>
          </w14:textFill>
        </w:rPr>
      </w:pPr>
      <w:r>
        <w:rPr>
          <w:rFonts w:hint="eastAsia" w:ascii="宋体" w:hAnsi="宋体" w:eastAsia="宋体" w:cs="仿宋"/>
          <w:color w:val="000000" w:themeColor="text1"/>
          <w:kern w:val="44"/>
          <w:sz w:val="24"/>
          <w:szCs w:val="44"/>
          <w:highlight w:val="none"/>
          <w:lang w:val="zh-CN"/>
          <w14:textFill>
            <w14:solidFill>
              <w14:schemeClr w14:val="tx1"/>
            </w14:solidFill>
          </w14:textFill>
        </w:rPr>
        <w:br w:type="page"/>
      </w:r>
      <w:bookmarkStart w:id="138" w:name="_Toc371493148"/>
      <w:bookmarkStart w:id="139" w:name="_Toc351203494"/>
      <w:bookmarkStart w:id="140" w:name="_Toc389586303"/>
      <w:r>
        <w:rPr>
          <w:rFonts w:hint="eastAsia" w:ascii="宋体" w:hAnsi="宋体" w:eastAsia="宋体" w:cs="仿宋"/>
          <w:b/>
          <w:bCs/>
          <w:color w:val="000000" w:themeColor="text1"/>
          <w:kern w:val="44"/>
          <w:sz w:val="44"/>
          <w:szCs w:val="44"/>
          <w:highlight w:val="none"/>
          <w:lang w:val="zh-CN"/>
          <w14:textFill>
            <w14:solidFill>
              <w14:schemeClr w14:val="tx1"/>
            </w14:solidFill>
          </w14:textFill>
        </w:rPr>
        <w:t>第二部分 通用合同条款</w:t>
      </w:r>
      <w:bookmarkEnd w:id="138"/>
      <w:bookmarkEnd w:id="139"/>
      <w:bookmarkEnd w:id="140"/>
      <w:bookmarkStart w:id="141" w:name="_Toc337558727"/>
    </w:p>
    <w:p w14:paraId="46312566">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142" w:name="_Toc389586304"/>
      <w:bookmarkStart w:id="143" w:name="_Toc371493149"/>
      <w:bookmarkStart w:id="144" w:name="_Toc351203495"/>
      <w:r>
        <w:rPr>
          <w:rFonts w:hint="eastAsia" w:ascii="宋体" w:hAnsi="宋体" w:eastAsia="宋体" w:cs="仿宋"/>
          <w:b/>
          <w:bCs/>
          <w:color w:val="000000" w:themeColor="text1"/>
          <w:kern w:val="0"/>
          <w:sz w:val="24"/>
          <w:highlight w:val="none"/>
          <w:lang w:val="zh-CN"/>
          <w14:textFill>
            <w14:solidFill>
              <w14:schemeClr w14:val="tx1"/>
            </w14:solidFill>
          </w14:textFill>
        </w:rPr>
        <w:t>1.</w:t>
      </w:r>
      <w:bookmarkStart w:id="145" w:name="_Toc303538976"/>
      <w:bookmarkEnd w:id="145"/>
      <w:bookmarkStart w:id="146" w:name="_Toc303538972"/>
      <w:bookmarkEnd w:id="146"/>
      <w:bookmarkStart w:id="147" w:name="_Toc303538973"/>
      <w:bookmarkEnd w:id="147"/>
      <w:bookmarkStart w:id="148" w:name="_Toc303538974"/>
      <w:bookmarkEnd w:id="148"/>
      <w:bookmarkStart w:id="149" w:name="_Toc303538975"/>
      <w:bookmarkEnd w:id="149"/>
      <w:bookmarkStart w:id="150" w:name="_Toc296346528"/>
      <w:bookmarkStart w:id="151" w:name="_Toc296503027"/>
      <w:r>
        <w:rPr>
          <w:rFonts w:hint="eastAsia" w:ascii="宋体" w:hAnsi="宋体" w:eastAsia="宋体" w:cs="仿宋"/>
          <w:b/>
          <w:bCs/>
          <w:color w:val="000000" w:themeColor="text1"/>
          <w:kern w:val="0"/>
          <w:sz w:val="24"/>
          <w:highlight w:val="none"/>
          <w:lang w:val="zh-CN"/>
          <w14:textFill>
            <w14:solidFill>
              <w14:schemeClr w14:val="tx1"/>
            </w14:solidFill>
          </w14:textFill>
        </w:rPr>
        <w:t xml:space="preserve"> 一般约定</w:t>
      </w:r>
      <w:bookmarkEnd w:id="141"/>
      <w:bookmarkEnd w:id="142"/>
      <w:bookmarkEnd w:id="143"/>
      <w:bookmarkEnd w:id="144"/>
      <w:bookmarkEnd w:id="150"/>
      <w:bookmarkEnd w:id="151"/>
    </w:p>
    <w:p w14:paraId="6674A008">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152" w:name="_Toc296503028"/>
      <w:bookmarkStart w:id="153" w:name="_Toc296346529"/>
      <w:bookmarkStart w:id="154" w:name="_Toc337558728"/>
      <w:bookmarkStart w:id="155" w:name="_Toc389586305"/>
      <w:bookmarkStart w:id="156" w:name="_Toc351203496"/>
      <w:bookmarkStart w:id="157" w:name="_Toc371493150"/>
      <w:r>
        <w:rPr>
          <w:rFonts w:hint="eastAsia" w:ascii="宋体" w:hAnsi="宋体" w:eastAsia="宋体" w:cs="仿宋"/>
          <w:b/>
          <w:color w:val="000000" w:themeColor="text1"/>
          <w:kern w:val="0"/>
          <w:sz w:val="24"/>
          <w:highlight w:val="none"/>
          <w:lang w:val="zh-CN"/>
          <w14:textFill>
            <w14:solidFill>
              <w14:schemeClr w14:val="tx1"/>
            </w14:solidFill>
          </w14:textFill>
        </w:rPr>
        <w:t>1.1 词语定义</w:t>
      </w:r>
      <w:bookmarkEnd w:id="152"/>
      <w:bookmarkEnd w:id="153"/>
      <w:bookmarkEnd w:id="154"/>
      <w:r>
        <w:rPr>
          <w:rFonts w:hint="eastAsia" w:ascii="宋体" w:hAnsi="宋体" w:eastAsia="宋体" w:cs="仿宋"/>
          <w:b/>
          <w:color w:val="000000" w:themeColor="text1"/>
          <w:kern w:val="0"/>
          <w:sz w:val="24"/>
          <w:highlight w:val="none"/>
          <w:lang w:val="zh-CN"/>
          <w14:textFill>
            <w14:solidFill>
              <w14:schemeClr w14:val="tx1"/>
            </w14:solidFill>
          </w14:textFill>
        </w:rPr>
        <w:t>与解释</w:t>
      </w:r>
      <w:bookmarkEnd w:id="155"/>
      <w:bookmarkEnd w:id="156"/>
      <w:bookmarkEnd w:id="157"/>
    </w:p>
    <w:p w14:paraId="232C34EA">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分包合同协议书、通用合同条款、专用合同条款中的下列词语具有本款所赋予的含义：</w:t>
      </w:r>
    </w:p>
    <w:p w14:paraId="71F6BEF6">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1.1.1 分包合同：是指根据法律规定和合同当事人约定具有约束力的文件，包括分包合同协议书、中标通知书（如果有）、投标函及其附录（如果有）、专用合同条款</w:t>
      </w:r>
      <w:r>
        <w:rPr>
          <w:rFonts w:hint="eastAsia" w:ascii="宋体" w:hAnsi="宋体" w:eastAsia="宋体" w:cs="仿宋"/>
          <w:color w:val="000000" w:themeColor="text1"/>
          <w:sz w:val="24"/>
          <w:highlight w:val="none"/>
          <w14:textFill>
            <w14:solidFill>
              <w14:schemeClr w14:val="tx1"/>
            </w14:solidFill>
          </w14:textFill>
        </w:rPr>
        <w:t>及其附件</w:t>
      </w:r>
      <w:r>
        <w:rPr>
          <w:rFonts w:hint="eastAsia" w:ascii="宋体" w:hAnsi="宋体" w:eastAsia="宋体" w:cs="仿宋"/>
          <w:color w:val="000000" w:themeColor="text1"/>
          <w:kern w:val="0"/>
          <w:sz w:val="24"/>
          <w:highlight w:val="none"/>
          <w14:textFill>
            <w14:solidFill>
              <w14:schemeClr w14:val="tx1"/>
            </w14:solidFill>
          </w14:textFill>
        </w:rPr>
        <w:t>、通用合同条款、技术标准和要求、图纸、已标价工程量清单或预算书以及专用合同条款约定的其他分包合同文件。</w:t>
      </w:r>
    </w:p>
    <w:p w14:paraId="2208C7EC">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1.1.2 总包合同：是指发包人和承包人就总包工程签订的且在分包合同专用合同条款中指明的总承包合同。</w:t>
      </w:r>
    </w:p>
    <w:p w14:paraId="45EA7995">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1.1.3 分包合同当事人：是指承包人和（或）分包人。</w:t>
      </w:r>
    </w:p>
    <w:p w14:paraId="4F472298">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1.1.4 承包人：是指与发包人签订总包合同，并经发包人同意与分包人签订分包合同的，具有总包工程承包资质的当事人及取得该当事人资格的合法继承人。</w:t>
      </w:r>
    </w:p>
    <w:p w14:paraId="7706F669">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1.1.5 分包人：是指承包分包工程并与承包人签订分包合同的，具有分包工程施工承包资质的当事人及取得该当事人资格的合法继承人。</w:t>
      </w:r>
    </w:p>
    <w:p w14:paraId="61280823">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1.1.6 发包人：是指与承包人签订总包合同的当事人及取得该当事人资格的合法继承人。</w:t>
      </w:r>
    </w:p>
    <w:p w14:paraId="57CD196E">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1.1.7 监理人：是指在总包合同中指明的，受发包人委托按照法律规定对总包工程进行监督管理的法人或其他组织。</w:t>
      </w:r>
    </w:p>
    <w:p w14:paraId="72556E52">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1.1.8 设计人：是指在总包合同中指明的，受发包人委托负责总包工程设计并具备相应工程设计资质的法人或其他组织。</w:t>
      </w:r>
    </w:p>
    <w:p w14:paraId="52762611">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1.1.9 承包人项目经理：是指由承包人任命并派驻施工现场，在承包人授权范围内负责分包合同履行，且按照法律规定具有相应资格的项目负责人。</w:t>
      </w:r>
    </w:p>
    <w:p w14:paraId="199F31C5">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1.1.10 分包人项目经理：是指由分包人任命并派驻施工现场，在分包人授权范围内负责分包合同履行的项目负责人。</w:t>
      </w:r>
    </w:p>
    <w:p w14:paraId="0B451302">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1.1.11 总包工程：是指发包人和承包人在总包合同中约定的承包范围内的工程。</w:t>
      </w:r>
    </w:p>
    <w:p w14:paraId="73F6EF4B">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1.1.12 分包工程：是指承包人和分包人在分包合同中约定的分包人承包范围内的工程。</w:t>
      </w:r>
    </w:p>
    <w:p w14:paraId="6346F998">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1.1.13 永久工程：是指分包人按分包合同约定建造并移交给承包人的工程，包括工程设备。</w:t>
      </w:r>
    </w:p>
    <w:p w14:paraId="34E2250B">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1.1.14 临时工程：是指分包人为完成分包合同约定的永久工程所修建的各类临时性工程，不包括施工设备。</w:t>
      </w:r>
    </w:p>
    <w:p w14:paraId="62B3F541">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1.1.15 工程设备：是指构成永久工程的机电设备、金属结构设备、仪器及其他类似的设备和装置。</w:t>
      </w:r>
    </w:p>
    <w:p w14:paraId="2CD4ABC9">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1.1.16 施工设备：是指为完成分包合同约定的各项工作所需的设备、器具和其他物品，但不包括工程设备、临时工程和材料。</w:t>
      </w:r>
    </w:p>
    <w:p w14:paraId="75CF0A72">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1.1.17 施工场地：是指用于分包工程施工的场所，以及在专用合同条款中指明作为分包工程施工场地组成部分的其他场所。</w:t>
      </w:r>
    </w:p>
    <w:p w14:paraId="22D09BBF">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1.1.18 临时设施：是指为完成分包合同约定的各项工作服务的临时性生产和生活设施。</w:t>
      </w:r>
    </w:p>
    <w:p w14:paraId="37F3AA41">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1.1.19 开工日期：包括计划开工日期和实际开工日期。计划开工日期是指合同协议书约定的开工日期；实际开工日期是指承包人按照第7.2款【开工】发出的开工通知中载明的开工日期。</w:t>
      </w:r>
    </w:p>
    <w:p w14:paraId="19D75E7A">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 xml:space="preserve">1.1.20 完工日期：包括计划完工日期和实际完工日期。计划完工日期是指合同协议书约定的完工日期；实际完工日期按照第17.3款【完工日期】确定。 </w:t>
      </w:r>
    </w:p>
    <w:p w14:paraId="76502025">
      <w:pPr>
        <w:wordWrap w:val="0"/>
        <w:spacing w:line="460" w:lineRule="exact"/>
        <w:ind w:firstLine="487" w:firstLineChars="203"/>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1.1.21 工期：是指在分包合同协议书约定的分包人完成分包工程所需的期限，包括按照分包合同约定所作的期限变更。</w:t>
      </w:r>
    </w:p>
    <w:p w14:paraId="7AEE23A0">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1.1.22 缺陷责任期：是指分包人按照分包合同约定履行缺陷修复义务、承包人扣留质量保证金的期限。提前使用的分包工程自开始使用之日起计算，其他分包工程自总包工程实际竣工之日起计算。</w:t>
      </w:r>
    </w:p>
    <w:p w14:paraId="1CD99874">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1.1.23 保修期：是指分包人按照分包合同约定履行保修义务的期限。提前使用的分包工程自开始使用之日起计算，其他分包工程自总包工程验收合格之日起计算。</w:t>
      </w:r>
    </w:p>
    <w:p w14:paraId="62BA6032">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1.1.24 基准日期：招标分包工程以投标截止日前第28天的日期为基准日期，直接分包工程以分包合同签订日前第28天的日期为基准日期。</w:t>
      </w:r>
    </w:p>
    <w:p w14:paraId="23095800">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1.1.25 天：除特别指明外，均指日历天。合同中按天计算时间的，开始当天不计入，从次日开始计算，期限最后一天的截止时间为当天24:00时。</w:t>
      </w:r>
    </w:p>
    <w:p w14:paraId="3881B8D0">
      <w:pPr>
        <w:wordWrap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1.1.26 签约合同价：是指</w:t>
      </w:r>
      <w:r>
        <w:rPr>
          <w:rFonts w:hint="eastAsia" w:ascii="宋体" w:hAnsi="宋体" w:eastAsia="宋体" w:cs="仿宋"/>
          <w:color w:val="000000" w:themeColor="text1"/>
          <w:sz w:val="24"/>
          <w:highlight w:val="none"/>
          <w14:textFill>
            <w14:solidFill>
              <w14:schemeClr w14:val="tx1"/>
            </w14:solidFill>
          </w14:textFill>
        </w:rPr>
        <w:t xml:space="preserve">承包人和分包人在分包合同协议书中确定的总金额。 </w:t>
      </w:r>
    </w:p>
    <w:p w14:paraId="639BE1F8">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1.1.27 分包合同价格：是指承包人用于支付分包人按照分包合同约定完成承包范围内全部工作的金额，包括分包合同履行过程中按分包合同约定发生的价格变化。</w:t>
      </w:r>
    </w:p>
    <w:p w14:paraId="6E38E233">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1.1.28 费用：是指为履行分包合同所发生的或将要发生的所有必需的开支，包括管理费和应分摊的其他费用，但不包括利润。</w:t>
      </w:r>
    </w:p>
    <w:p w14:paraId="174AA914">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1.1.29 计日工：是指分包合同履行过程中，分包人完成承包人提出的零星工作或需要采用计日工计价的变更工作时，按分包合同中约定的单价计价的一种方式。</w:t>
      </w:r>
    </w:p>
    <w:p w14:paraId="26452322">
      <w:pPr>
        <w:wordWrap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1.1.30 质量保证金</w:t>
      </w:r>
      <w:bookmarkStart w:id="158" w:name="#go2"/>
      <w:bookmarkEnd w:id="158"/>
      <w:r>
        <w:rPr>
          <w:rFonts w:hint="eastAsia" w:ascii="宋体" w:hAnsi="宋体" w:eastAsia="宋体" w:cs="仿宋"/>
          <w:color w:val="000000" w:themeColor="text1"/>
          <w:kern w:val="0"/>
          <w:sz w:val="24"/>
          <w:highlight w:val="none"/>
          <w14:textFill>
            <w14:solidFill>
              <w14:schemeClr w14:val="tx1"/>
            </w14:solidFill>
          </w14:textFill>
        </w:rPr>
        <w:t>：是指分包人按照第20.3款【质量保证金】用于保证其在缺陷责任期内履行缺陷修补义务的担保</w:t>
      </w:r>
      <w:r>
        <w:rPr>
          <w:rFonts w:hint="eastAsia" w:ascii="宋体" w:hAnsi="宋体" w:eastAsia="宋体" w:cs="仿宋"/>
          <w:color w:val="000000" w:themeColor="text1"/>
          <w:sz w:val="24"/>
          <w:highlight w:val="none"/>
          <w14:textFill>
            <w14:solidFill>
              <w14:schemeClr w14:val="tx1"/>
            </w14:solidFill>
          </w14:textFill>
        </w:rPr>
        <w:t>。</w:t>
      </w:r>
    </w:p>
    <w:p w14:paraId="4561920A">
      <w:pPr>
        <w:wordWrap w:val="0"/>
        <w:spacing w:line="460" w:lineRule="exac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1.1.31 书面形式：是指信函、电报、传真等可以有形地表现所载内容的形式。</w:t>
      </w:r>
    </w:p>
    <w:p w14:paraId="4B2C566F">
      <w:pPr>
        <w:wordWrap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1.1.32 深化设计：是指分包人在承包人提供的图纸基础上，结合现场实际情况，对图纸进行完善、补充并绘制直接指导施工的图纸的活动。</w:t>
      </w:r>
    </w:p>
    <w:p w14:paraId="7EFCC121">
      <w:pPr>
        <w:wordWrap w:val="0"/>
        <w:autoSpaceDE w:val="0"/>
        <w:autoSpaceDN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1.1.33 法律：</w:t>
      </w:r>
      <w:r>
        <w:rPr>
          <w:rFonts w:hint="eastAsia" w:ascii="宋体" w:hAnsi="宋体" w:eastAsia="宋体" w:cs="仿宋"/>
          <w:color w:val="000000" w:themeColor="text1"/>
          <w:kern w:val="0"/>
          <w:sz w:val="24"/>
          <w:highlight w:val="none"/>
          <w14:textFill>
            <w14:solidFill>
              <w14:schemeClr w14:val="tx1"/>
            </w14:solidFill>
          </w14:textFill>
        </w:rPr>
        <w:t>是指中华人民共和国法律、行政法规、部门规章，以及工程所在地的地方性法规、自治条例、单行条例和地方政府规章等。分包合同当事人可以在专用合同条款中约定分包合同适用的其他规范性文件。</w:t>
      </w:r>
    </w:p>
    <w:p w14:paraId="418A02E7">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159" w:name="_Toc296346530"/>
      <w:bookmarkStart w:id="160" w:name="_Toc337558729"/>
      <w:bookmarkStart w:id="161" w:name="_Toc296503029"/>
      <w:bookmarkStart w:id="162" w:name="_Toc389586306"/>
      <w:bookmarkStart w:id="163" w:name="_Toc351203497"/>
      <w:bookmarkStart w:id="164" w:name="_Toc371493151"/>
      <w:r>
        <w:rPr>
          <w:rFonts w:hint="eastAsia" w:ascii="宋体" w:hAnsi="宋体" w:eastAsia="宋体" w:cs="仿宋"/>
          <w:b/>
          <w:color w:val="000000" w:themeColor="text1"/>
          <w:kern w:val="0"/>
          <w:sz w:val="24"/>
          <w:highlight w:val="none"/>
          <w:lang w:val="zh-CN"/>
          <w14:textFill>
            <w14:solidFill>
              <w14:schemeClr w14:val="tx1"/>
            </w14:solidFill>
          </w14:textFill>
        </w:rPr>
        <w:t>1.2 语言文字</w:t>
      </w:r>
      <w:bookmarkEnd w:id="159"/>
      <w:bookmarkEnd w:id="160"/>
      <w:bookmarkEnd w:id="161"/>
      <w:bookmarkEnd w:id="162"/>
      <w:bookmarkEnd w:id="163"/>
      <w:bookmarkEnd w:id="164"/>
    </w:p>
    <w:p w14:paraId="669E31C1">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分包合同以中国的汉语简体文字编写、解释和说明。</w:t>
      </w:r>
    </w:p>
    <w:p w14:paraId="5DE7B126">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165" w:name="_Toc371493153"/>
      <w:bookmarkStart w:id="166" w:name="_Toc389586307"/>
      <w:bookmarkStart w:id="167" w:name="_Toc351203499"/>
      <w:r>
        <w:rPr>
          <w:rFonts w:hint="eastAsia" w:ascii="宋体" w:hAnsi="宋体" w:eastAsia="宋体" w:cs="仿宋"/>
          <w:b/>
          <w:color w:val="000000" w:themeColor="text1"/>
          <w:kern w:val="0"/>
          <w:sz w:val="24"/>
          <w:highlight w:val="none"/>
          <w:lang w:val="zh-CN"/>
          <w14:textFill>
            <w14:solidFill>
              <w14:schemeClr w14:val="tx1"/>
            </w14:solidFill>
          </w14:textFill>
        </w:rPr>
        <w:t>1.3 标准和规范</w:t>
      </w:r>
      <w:bookmarkEnd w:id="165"/>
      <w:bookmarkEnd w:id="166"/>
      <w:bookmarkEnd w:id="167"/>
    </w:p>
    <w:p w14:paraId="1C83D832">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1.3.1 适用于分包工程的标准和规范包括国家标准、行业标准、工程所在地的地方标准以及总包合同中约定的适用于分包工程的标准和规范等。分包合同当事人有特别要求的，应在专用合同条款中约定。</w:t>
      </w:r>
    </w:p>
    <w:p w14:paraId="0909C465">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1.3.2 除专用合同条款另有约定外，分包人在签订分包合同前已充分了解前述标准和要求的复杂程度，签约合同价中已包含由此产生的费用。</w:t>
      </w:r>
    </w:p>
    <w:p w14:paraId="56BFFC14">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168" w:name="_Toc351203500"/>
      <w:bookmarkStart w:id="169" w:name="_Toc371493154"/>
      <w:bookmarkStart w:id="170" w:name="_Toc389586308"/>
      <w:r>
        <w:rPr>
          <w:rFonts w:hint="eastAsia" w:ascii="宋体" w:hAnsi="宋体" w:eastAsia="宋体" w:cs="仿宋"/>
          <w:b/>
          <w:color w:val="000000" w:themeColor="text1"/>
          <w:kern w:val="0"/>
          <w:sz w:val="24"/>
          <w:highlight w:val="none"/>
          <w:lang w:val="zh-CN"/>
          <w14:textFill>
            <w14:solidFill>
              <w14:schemeClr w14:val="tx1"/>
            </w14:solidFill>
          </w14:textFill>
        </w:rPr>
        <w:t>1</w:t>
      </w:r>
      <w:bookmarkStart w:id="171" w:name="_Toc337558731"/>
      <w:bookmarkStart w:id="172" w:name="_Toc296346532"/>
      <w:bookmarkStart w:id="173" w:name="_Toc296503031"/>
      <w:r>
        <w:rPr>
          <w:rFonts w:hint="eastAsia" w:ascii="宋体" w:hAnsi="宋体" w:eastAsia="宋体" w:cs="仿宋"/>
          <w:b/>
          <w:color w:val="000000" w:themeColor="text1"/>
          <w:kern w:val="0"/>
          <w:sz w:val="24"/>
          <w:highlight w:val="none"/>
          <w:lang w:val="zh-CN"/>
          <w14:textFill>
            <w14:solidFill>
              <w14:schemeClr w14:val="tx1"/>
            </w14:solidFill>
          </w14:textFill>
        </w:rPr>
        <w:t>.4 分包合同文件的优先顺序</w:t>
      </w:r>
      <w:bookmarkEnd w:id="168"/>
      <w:bookmarkEnd w:id="169"/>
      <w:bookmarkEnd w:id="170"/>
    </w:p>
    <w:bookmarkEnd w:id="171"/>
    <w:bookmarkEnd w:id="172"/>
    <w:bookmarkEnd w:id="173"/>
    <w:p w14:paraId="1E367D9C">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组成分包合同的各项文件应互相解释，互为说明。除专用合同条款另有约定外，解释分包合同文件的优先顺序如下：</w:t>
      </w:r>
    </w:p>
    <w:p w14:paraId="2B7D8431">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（1）分包合同协议书</w:t>
      </w:r>
    </w:p>
    <w:p w14:paraId="09452053">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（2）中标通知书（如果有）</w:t>
      </w:r>
    </w:p>
    <w:p w14:paraId="3BF5BF6F">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（3）投标函及其附录（如果有）</w:t>
      </w:r>
    </w:p>
    <w:p w14:paraId="5DBDD067">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（4）专用合同条款</w:t>
      </w:r>
      <w:r>
        <w:rPr>
          <w:rFonts w:hint="eastAsia" w:ascii="宋体" w:hAnsi="宋体" w:eastAsia="宋体" w:cs="仿宋"/>
          <w:color w:val="000000" w:themeColor="text1"/>
          <w:sz w:val="24"/>
          <w:highlight w:val="none"/>
          <w14:textFill>
            <w14:solidFill>
              <w14:schemeClr w14:val="tx1"/>
            </w14:solidFill>
          </w14:textFill>
        </w:rPr>
        <w:t>及其附件</w:t>
      </w:r>
    </w:p>
    <w:p w14:paraId="55F0D968">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（5）通用合同条款</w:t>
      </w:r>
    </w:p>
    <w:p w14:paraId="13D14A65">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（6）技术标准和要求</w:t>
      </w:r>
    </w:p>
    <w:p w14:paraId="5F1FAF79">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（7）图纸</w:t>
      </w:r>
    </w:p>
    <w:p w14:paraId="5D9BAA4B">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（8）已标价工程量清单或预算书</w:t>
      </w:r>
    </w:p>
    <w:p w14:paraId="37E0EA52">
      <w:pPr>
        <w:wordWrap w:val="0"/>
        <w:autoSpaceDE w:val="0"/>
        <w:autoSpaceDN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（9）其他分包合同文件</w:t>
      </w:r>
    </w:p>
    <w:p w14:paraId="4A8A14EB">
      <w:pPr>
        <w:wordWrap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上述各项分包合同文件包括分包合同当事人就该项分包合同文件作出的补充和修改；属于同一类内容的文件，应以最新签署的为准。</w:t>
      </w:r>
    </w:p>
    <w:p w14:paraId="2E516000">
      <w:pPr>
        <w:wordWrap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在分包合同订立及履行过程中分包合同当事人签署的与分包合同有关的文件均构成分包合同文件组成部分，并根据其性质确定优先解释顺序。</w:t>
      </w:r>
    </w:p>
    <w:p w14:paraId="02DCB7AC">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174" w:name="_Toc371493155"/>
      <w:bookmarkStart w:id="175" w:name="_Toc351203501"/>
      <w:bookmarkStart w:id="176" w:name="_Toc389586309"/>
      <w:r>
        <w:rPr>
          <w:rFonts w:hint="eastAsia" w:ascii="宋体" w:hAnsi="宋体" w:eastAsia="宋体" w:cs="仿宋"/>
          <w:b/>
          <w:color w:val="000000" w:themeColor="text1"/>
          <w:kern w:val="0"/>
          <w:sz w:val="24"/>
          <w:highlight w:val="none"/>
          <w:lang w:val="zh-CN"/>
          <w14:textFill>
            <w14:solidFill>
              <w14:schemeClr w14:val="tx1"/>
            </w14:solidFill>
          </w14:textFill>
        </w:rPr>
        <w:t>1</w:t>
      </w:r>
      <w:bookmarkStart w:id="177" w:name="_Toc337558732"/>
      <w:bookmarkStart w:id="178" w:name="_Toc296503032"/>
      <w:bookmarkStart w:id="179" w:name="_Toc296346533"/>
      <w:r>
        <w:rPr>
          <w:rFonts w:hint="eastAsia" w:ascii="宋体" w:hAnsi="宋体" w:eastAsia="宋体" w:cs="仿宋"/>
          <w:b/>
          <w:color w:val="000000" w:themeColor="text1"/>
          <w:kern w:val="0"/>
          <w:sz w:val="24"/>
          <w:highlight w:val="none"/>
          <w:lang w:val="zh-CN"/>
          <w14:textFill>
            <w14:solidFill>
              <w14:schemeClr w14:val="tx1"/>
            </w14:solidFill>
          </w14:textFill>
        </w:rPr>
        <w:t>.5 图纸</w:t>
      </w:r>
      <w:bookmarkEnd w:id="174"/>
      <w:bookmarkEnd w:id="175"/>
      <w:bookmarkEnd w:id="176"/>
    </w:p>
    <w:bookmarkEnd w:id="177"/>
    <w:bookmarkEnd w:id="178"/>
    <w:bookmarkEnd w:id="179"/>
    <w:p w14:paraId="687EE287">
      <w:pPr>
        <w:wordWrap w:val="0"/>
        <w:spacing w:line="460" w:lineRule="exact"/>
        <w:ind w:firstLine="480" w:firstLineChars="200"/>
        <w:jc w:val="left"/>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1.5.1 承包人应按照专用合同条款约定的期限、数量和内容向分包人免费提供图纸，并组织图纸会审和设计交底。承包人至迟不得晚于实际开工日期前7天向分包人提供图纸。因承包人未按分包合同约定提供图纸导致分包人费用增加和（或）工期延误的，按照第7.4.1项的约定办理。除专用合同条款另有约定外，分包人应在施工场地保存一套完整的图纸，供承包人和有关人员进行工程检查时使用。</w:t>
      </w:r>
    </w:p>
    <w:p w14:paraId="66C532DA">
      <w:pPr>
        <w:wordWrap w:val="0"/>
        <w:spacing w:line="460" w:lineRule="exact"/>
        <w:ind w:firstLine="480" w:firstLineChars="200"/>
        <w:jc w:val="left"/>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1.5.2分包人在收到图纸后，发现图纸存在差错、遗漏或缺陷的，应及时通知承包人。承包人应及时向分包人提供修改补充后的图纸或处理意见。</w:t>
      </w:r>
    </w:p>
    <w:p w14:paraId="363CD5EC">
      <w:pPr>
        <w:wordWrap w:val="0"/>
        <w:spacing w:line="460" w:lineRule="exact"/>
        <w:ind w:firstLine="480" w:firstLineChars="200"/>
        <w:jc w:val="left"/>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1.5.3 深化设计</w:t>
      </w:r>
    </w:p>
    <w:p w14:paraId="56E79AD2">
      <w:pPr>
        <w:wordWrap w:val="0"/>
        <w:spacing w:line="460" w:lineRule="exact"/>
        <w:ind w:firstLine="480" w:firstLineChars="200"/>
        <w:jc w:val="left"/>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承包人委托分包人完成分包工程的施工图深化设计的，深化设计需要相应的设计资质的，分包人应在其设计资质等级和业务允许的范围内，在承包人提供图纸的基础上，根据国家有关工程建设标准进行深化设计；如分包人不具备相应的设计资质，应由分包人委托具有相应资质的单位进行深化设计。深化设计不需要相应设计资质的，分包人在承包人提供图纸的基础上根据国家有关工程建设标准自行完成深化设计。</w:t>
      </w:r>
    </w:p>
    <w:p w14:paraId="0E2B4D33">
      <w:pPr>
        <w:wordWrap w:val="0"/>
        <w:spacing w:line="460" w:lineRule="exact"/>
        <w:ind w:firstLine="480" w:firstLineChars="200"/>
        <w:jc w:val="left"/>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分包人的深化设计须经过承包人确认后方可进行施工。分包人对自行或委托设计的图纸负有相应的法律责任。关于承包人委托分包人进行深化设计的范围及发生的费用，双方应在专用合同条款中约定。</w:t>
      </w:r>
    </w:p>
    <w:p w14:paraId="2E3D4803">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180" w:name="_Toc389586310"/>
      <w:bookmarkStart w:id="181" w:name="_Toc371493156"/>
      <w:bookmarkStart w:id="182" w:name="_Toc351203502"/>
      <w:r>
        <w:rPr>
          <w:rFonts w:hint="eastAsia" w:ascii="宋体" w:hAnsi="宋体" w:eastAsia="宋体" w:cs="仿宋"/>
          <w:b/>
          <w:color w:val="000000" w:themeColor="text1"/>
          <w:kern w:val="0"/>
          <w:sz w:val="24"/>
          <w:highlight w:val="none"/>
          <w:lang w:val="zh-CN"/>
          <w14:textFill>
            <w14:solidFill>
              <w14:schemeClr w14:val="tx1"/>
            </w14:solidFill>
          </w14:textFill>
        </w:rPr>
        <w:t>1</w:t>
      </w:r>
      <w:bookmarkStart w:id="183" w:name="_Toc296503033"/>
      <w:bookmarkStart w:id="184" w:name="_Toc337558733"/>
      <w:bookmarkStart w:id="185" w:name="_Toc296346534"/>
      <w:r>
        <w:rPr>
          <w:rFonts w:hint="eastAsia" w:ascii="宋体" w:hAnsi="宋体" w:eastAsia="宋体" w:cs="仿宋"/>
          <w:b/>
          <w:color w:val="000000" w:themeColor="text1"/>
          <w:kern w:val="0"/>
          <w:sz w:val="24"/>
          <w:highlight w:val="none"/>
          <w:lang w:val="zh-CN"/>
          <w14:textFill>
            <w14:solidFill>
              <w14:schemeClr w14:val="tx1"/>
            </w14:solidFill>
          </w14:textFill>
        </w:rPr>
        <w:t>.6 联络</w:t>
      </w:r>
      <w:bookmarkEnd w:id="180"/>
      <w:bookmarkEnd w:id="181"/>
      <w:bookmarkEnd w:id="182"/>
    </w:p>
    <w:bookmarkEnd w:id="183"/>
    <w:bookmarkEnd w:id="184"/>
    <w:bookmarkEnd w:id="185"/>
    <w:p w14:paraId="0000748F">
      <w:pPr>
        <w:wordWrap w:val="0"/>
        <w:autoSpaceDE w:val="0"/>
        <w:autoSpaceDN w:val="0"/>
        <w:spacing w:line="460" w:lineRule="exact"/>
        <w:ind w:firstLine="480" w:firstLineChars="200"/>
        <w:jc w:val="left"/>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与分包合同有关的通知、指令等，均应采用书面形式，并应在分包合同约定的期限内送达接收人和送达地点。承包人和分包人应在专用合同条款中约定各自的送达接收人和送达地点。任何一方合同当事人指定的接收人或送达地点发生变动的，应提前3天以书面形式通知对方。</w:t>
      </w:r>
    </w:p>
    <w:p w14:paraId="2C8440C8">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186" w:name="_Toc351203504"/>
      <w:bookmarkStart w:id="187" w:name="_Toc371493157"/>
      <w:bookmarkStart w:id="188" w:name="_Toc389586311"/>
      <w:r>
        <w:rPr>
          <w:rFonts w:hint="eastAsia" w:ascii="宋体" w:hAnsi="宋体" w:eastAsia="宋体" w:cs="仿宋"/>
          <w:b/>
          <w:color w:val="000000" w:themeColor="text1"/>
          <w:kern w:val="0"/>
          <w:sz w:val="24"/>
          <w:highlight w:val="none"/>
          <w:lang w:val="zh-CN"/>
          <w14:textFill>
            <w14:solidFill>
              <w14:schemeClr w14:val="tx1"/>
            </w14:solidFill>
          </w14:textFill>
        </w:rPr>
        <w:t>1</w:t>
      </w:r>
      <w:bookmarkStart w:id="189" w:name="_Toc296503036"/>
      <w:bookmarkStart w:id="190" w:name="_Toc296346537"/>
      <w:bookmarkStart w:id="191" w:name="_Toc337558735"/>
      <w:r>
        <w:rPr>
          <w:rFonts w:hint="eastAsia" w:ascii="宋体" w:hAnsi="宋体" w:eastAsia="宋体" w:cs="仿宋"/>
          <w:b/>
          <w:color w:val="000000" w:themeColor="text1"/>
          <w:kern w:val="0"/>
          <w:sz w:val="24"/>
          <w:highlight w:val="none"/>
          <w:lang w:val="zh-CN"/>
          <w14:textFill>
            <w14:solidFill>
              <w14:schemeClr w14:val="tx1"/>
            </w14:solidFill>
          </w14:textFill>
        </w:rPr>
        <w:t>.7 化石、文物</w:t>
      </w:r>
      <w:bookmarkEnd w:id="186"/>
      <w:bookmarkEnd w:id="187"/>
      <w:bookmarkEnd w:id="188"/>
    </w:p>
    <w:bookmarkEnd w:id="189"/>
    <w:bookmarkEnd w:id="190"/>
    <w:bookmarkEnd w:id="191"/>
    <w:p w14:paraId="68B60049">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承包人应根据总包合同将施工场地内需要保护的化石、文物等通知分包人，分包人应予保护，因采取保护措施发生的费用由承包人承担。</w:t>
      </w:r>
    </w:p>
    <w:p w14:paraId="2935F106">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人在施工过程中发现化石、文物的，分包人应立即以书面形式通知承包人，通知中应载明化石或文物的数量、需要采取的保护措施以及因此发生的费用。承包人收到通知后应指示分包人采取合理有效的保护措施，防止任何人员移动或损坏前述物品，因分包人采取保护措施增加的费用和（或）延误的工期由承包人承担。</w:t>
      </w:r>
    </w:p>
    <w:p w14:paraId="156C3A5D">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192" w:name="_Toc371493158"/>
      <w:bookmarkStart w:id="193" w:name="_Toc351203506"/>
      <w:bookmarkStart w:id="194" w:name="_Toc389586312"/>
      <w:r>
        <w:rPr>
          <w:rFonts w:hint="eastAsia" w:ascii="宋体" w:hAnsi="宋体" w:eastAsia="宋体" w:cs="仿宋"/>
          <w:b/>
          <w:color w:val="000000" w:themeColor="text1"/>
          <w:kern w:val="0"/>
          <w:sz w:val="24"/>
          <w:highlight w:val="none"/>
          <w:lang w:val="zh-CN"/>
          <w14:textFill>
            <w14:solidFill>
              <w14:schemeClr w14:val="tx1"/>
            </w14:solidFill>
          </w14:textFill>
        </w:rPr>
        <w:t>1</w:t>
      </w:r>
      <w:bookmarkStart w:id="195" w:name="_Toc337558737"/>
      <w:bookmarkStart w:id="196" w:name="_Toc296346538"/>
      <w:bookmarkStart w:id="197" w:name="_Toc296503037"/>
      <w:r>
        <w:rPr>
          <w:rFonts w:hint="eastAsia" w:ascii="宋体" w:hAnsi="宋体" w:eastAsia="宋体" w:cs="仿宋"/>
          <w:b/>
          <w:color w:val="000000" w:themeColor="text1"/>
          <w:kern w:val="0"/>
          <w:sz w:val="24"/>
          <w:highlight w:val="none"/>
          <w:lang w:val="zh-CN"/>
          <w14:textFill>
            <w14:solidFill>
              <w14:schemeClr w14:val="tx1"/>
            </w14:solidFill>
          </w14:textFill>
        </w:rPr>
        <w:t>.8 知识产权</w:t>
      </w:r>
      <w:bookmarkEnd w:id="192"/>
      <w:bookmarkEnd w:id="193"/>
      <w:bookmarkEnd w:id="194"/>
      <w:bookmarkEnd w:id="195"/>
    </w:p>
    <w:bookmarkEnd w:id="196"/>
    <w:bookmarkEnd w:id="197"/>
    <w:p w14:paraId="7407CAB0">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1.8.1承包人提供给分包人的图纸和文件，分包人可以为实现合同目的而复制、使用，但不能用于与分包合同无关的其他事项。</w:t>
      </w:r>
    </w:p>
    <w:p w14:paraId="69F7B806">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1.8.2分包合同当事人保证在履行分包合同过程中不侵犯对方及第三方的知识产权。分包人在深化设计、使用材料、施工设备、工程设备或采用施工工艺时，因侵犯他人的专利权或其他知识产权所引起的责任，由分包人承担；因使用承包人提供的材料、施工设备、工程设备或施工工艺导致侵权的，由承包人承担责任。</w:t>
      </w:r>
    </w:p>
    <w:p w14:paraId="5F5BA235">
      <w:pPr>
        <w:wordWrap w:val="0"/>
        <w:autoSpaceDE w:val="0"/>
        <w:autoSpaceDN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1.8.3 除专用合同条款另有约定外，分包人在合同签订前和签订时已确定采用的专利、专有技术、技术秘密的使用费已包含在签约合同价中。</w:t>
      </w:r>
    </w:p>
    <w:p w14:paraId="596AB7E6">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198" w:name="_Toc389586313"/>
      <w:bookmarkStart w:id="199" w:name="_Toc351203507"/>
      <w:bookmarkStart w:id="200" w:name="_Toc371493159"/>
      <w:r>
        <w:rPr>
          <w:rFonts w:hint="eastAsia" w:ascii="宋体" w:hAnsi="宋体" w:eastAsia="宋体" w:cs="仿宋"/>
          <w:b/>
          <w:color w:val="000000" w:themeColor="text1"/>
          <w:kern w:val="0"/>
          <w:sz w:val="24"/>
          <w:highlight w:val="none"/>
          <w:lang w:val="zh-CN"/>
          <w14:textFill>
            <w14:solidFill>
              <w14:schemeClr w14:val="tx1"/>
            </w14:solidFill>
          </w14:textFill>
        </w:rPr>
        <w:t>1</w:t>
      </w:r>
      <w:bookmarkStart w:id="201" w:name="_Toc337558738"/>
      <w:r>
        <w:rPr>
          <w:rFonts w:hint="eastAsia" w:ascii="宋体" w:hAnsi="宋体" w:eastAsia="宋体" w:cs="仿宋"/>
          <w:b/>
          <w:color w:val="000000" w:themeColor="text1"/>
          <w:kern w:val="0"/>
          <w:sz w:val="24"/>
          <w:highlight w:val="none"/>
          <w:lang w:val="zh-CN"/>
          <w14:textFill>
            <w14:solidFill>
              <w14:schemeClr w14:val="tx1"/>
            </w14:solidFill>
          </w14:textFill>
        </w:rPr>
        <w:t>.9 保密</w:t>
      </w:r>
      <w:bookmarkEnd w:id="198"/>
      <w:bookmarkEnd w:id="199"/>
      <w:bookmarkEnd w:id="200"/>
    </w:p>
    <w:bookmarkEnd w:id="201"/>
    <w:p w14:paraId="6E1DDAED">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除法律规定或分包合同另有约定外，未经对方当事人同意，任何一方当事人不得将对方提供的图纸、文件以及声明需要保密的资料信息等商业秘密泄露给第三方。</w:t>
      </w:r>
    </w:p>
    <w:p w14:paraId="0A64B747">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202" w:name="_Toc351203509"/>
      <w:bookmarkStart w:id="203" w:name="_Toc371493160"/>
      <w:bookmarkStart w:id="204" w:name="_Toc389586314"/>
      <w:r>
        <w:rPr>
          <w:rFonts w:hint="eastAsia" w:ascii="宋体" w:hAnsi="宋体" w:eastAsia="宋体" w:cs="仿宋"/>
          <w:b/>
          <w:bCs/>
          <w:color w:val="000000" w:themeColor="text1"/>
          <w:kern w:val="0"/>
          <w:sz w:val="24"/>
          <w:highlight w:val="none"/>
          <w:lang w:val="zh-CN"/>
          <w14:textFill>
            <w14:solidFill>
              <w14:schemeClr w14:val="tx1"/>
            </w14:solidFill>
          </w14:textFill>
        </w:rPr>
        <w:t>2</w:t>
      </w:r>
      <w:bookmarkStart w:id="205" w:name="_Toc296503038"/>
      <w:bookmarkStart w:id="206" w:name="OLE_LINK2"/>
      <w:bookmarkStart w:id="207" w:name="_Toc337558739"/>
      <w:bookmarkStart w:id="208" w:name="_Toc296346539"/>
      <w:r>
        <w:rPr>
          <w:rFonts w:hint="eastAsia" w:ascii="宋体" w:hAnsi="宋体" w:eastAsia="宋体" w:cs="仿宋"/>
          <w:b/>
          <w:bCs/>
          <w:color w:val="000000" w:themeColor="text1"/>
          <w:kern w:val="0"/>
          <w:sz w:val="24"/>
          <w:highlight w:val="none"/>
          <w:lang w:val="zh-CN"/>
          <w14:textFill>
            <w14:solidFill>
              <w14:schemeClr w14:val="tx1"/>
            </w14:solidFill>
          </w14:textFill>
        </w:rPr>
        <w:t>.</w:t>
      </w:r>
      <w:bookmarkEnd w:id="202"/>
      <w:bookmarkEnd w:id="205"/>
      <w:bookmarkEnd w:id="206"/>
      <w:bookmarkEnd w:id="207"/>
      <w:bookmarkEnd w:id="208"/>
      <w:bookmarkStart w:id="209" w:name="_Toc351203518"/>
      <w:bookmarkStart w:id="210" w:name="_Toc296503045"/>
      <w:bookmarkStart w:id="211" w:name="_Toc296346546"/>
      <w:bookmarkStart w:id="212" w:name="_Toc337558746"/>
      <w:r>
        <w:rPr>
          <w:rFonts w:hint="eastAsia" w:ascii="宋体" w:hAnsi="宋体" w:eastAsia="宋体" w:cs="仿宋"/>
          <w:b/>
          <w:bCs/>
          <w:color w:val="000000" w:themeColor="text1"/>
          <w:kern w:val="0"/>
          <w:sz w:val="24"/>
          <w:highlight w:val="none"/>
          <w:lang w:val="zh-CN"/>
          <w14:textFill>
            <w14:solidFill>
              <w14:schemeClr w14:val="tx1"/>
            </w14:solidFill>
          </w14:textFill>
        </w:rPr>
        <w:t xml:space="preserve"> 承包人</w:t>
      </w:r>
      <w:bookmarkEnd w:id="203"/>
      <w:bookmarkEnd w:id="204"/>
      <w:bookmarkEnd w:id="209"/>
    </w:p>
    <w:bookmarkEnd w:id="210"/>
    <w:bookmarkEnd w:id="211"/>
    <w:bookmarkEnd w:id="212"/>
    <w:p w14:paraId="54D7D7F6">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213" w:name="_Toc351203519"/>
      <w:bookmarkStart w:id="214" w:name="_Toc389586315"/>
      <w:bookmarkStart w:id="215" w:name="_Toc296346547"/>
      <w:bookmarkStart w:id="216" w:name="_Toc371493161"/>
      <w:bookmarkStart w:id="217" w:name="_Toc296503046"/>
      <w:bookmarkStart w:id="218" w:name="_Toc337558747"/>
      <w:r>
        <w:rPr>
          <w:rFonts w:hint="eastAsia" w:ascii="宋体" w:hAnsi="宋体" w:eastAsia="宋体" w:cs="仿宋"/>
          <w:b/>
          <w:color w:val="000000" w:themeColor="text1"/>
          <w:kern w:val="0"/>
          <w:sz w:val="24"/>
          <w:highlight w:val="none"/>
          <w:lang w:val="zh-CN"/>
          <w14:textFill>
            <w14:solidFill>
              <w14:schemeClr w14:val="tx1"/>
            </w14:solidFill>
          </w14:textFill>
        </w:rPr>
        <w:t xml:space="preserve">2.1 </w:t>
      </w:r>
      <w:bookmarkEnd w:id="213"/>
      <w:r>
        <w:rPr>
          <w:rFonts w:hint="eastAsia" w:ascii="宋体" w:hAnsi="宋体" w:eastAsia="宋体" w:cs="仿宋"/>
          <w:b/>
          <w:color w:val="000000" w:themeColor="text1"/>
          <w:kern w:val="0"/>
          <w:sz w:val="24"/>
          <w:highlight w:val="none"/>
          <w:lang w:val="zh-CN"/>
          <w14:textFill>
            <w14:solidFill>
              <w14:schemeClr w14:val="tx1"/>
            </w14:solidFill>
          </w14:textFill>
        </w:rPr>
        <w:t>承包人的一般义务</w:t>
      </w:r>
      <w:bookmarkEnd w:id="214"/>
    </w:p>
    <w:p w14:paraId="7784E8E8">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 xml:space="preserve">2.1.1 </w:t>
      </w:r>
      <w:bookmarkEnd w:id="215"/>
      <w:bookmarkEnd w:id="216"/>
      <w:bookmarkEnd w:id="217"/>
      <w:bookmarkEnd w:id="218"/>
      <w:r>
        <w:rPr>
          <w:rFonts w:hint="eastAsia" w:ascii="宋体" w:hAnsi="宋体" w:eastAsia="宋体" w:cs="仿宋"/>
          <w:color w:val="000000" w:themeColor="text1"/>
          <w:kern w:val="0"/>
          <w:sz w:val="24"/>
          <w:highlight w:val="none"/>
          <w14:textFill>
            <w14:solidFill>
              <w14:schemeClr w14:val="tx1"/>
            </w14:solidFill>
          </w14:textFill>
        </w:rPr>
        <w:t>承包人应向分包人提供履行分包合同所需的相应资料。</w:t>
      </w:r>
    </w:p>
    <w:p w14:paraId="40E805BE">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2.1.2 承包人应按法律规定和总包合同的约定对分包人和分包工程进行管理并承担总包管理责任。承包人负责协调分包人与其他分包人之间的交叉施工作业。</w:t>
      </w:r>
    </w:p>
    <w:p w14:paraId="20310E6F">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2.1.3 承包人应保证分包人免于承担因承包人、其他分包人的行为或疏忽造成的人员伤亡、财产损失、或与此有关的任何索赔。</w:t>
      </w:r>
    </w:p>
    <w:p w14:paraId="15038BF2">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219" w:name="_Toc389586316"/>
      <w:r>
        <w:rPr>
          <w:rFonts w:hint="eastAsia" w:ascii="宋体" w:hAnsi="宋体" w:eastAsia="宋体" w:cs="仿宋"/>
          <w:b/>
          <w:color w:val="000000" w:themeColor="text1"/>
          <w:kern w:val="0"/>
          <w:sz w:val="24"/>
          <w:highlight w:val="none"/>
          <w:lang w:val="zh-CN"/>
          <w14:textFill>
            <w14:solidFill>
              <w14:schemeClr w14:val="tx1"/>
            </w14:solidFill>
          </w14:textFill>
        </w:rPr>
        <w:t>2.2 提供基础资料、施工条件</w:t>
      </w:r>
      <w:bookmarkEnd w:id="219"/>
    </w:p>
    <w:p w14:paraId="441C91AA">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2.2.1承包人应当在移交施工场地前向分包人提供分包工程施工所必需的地下管线资料、地质勘察资料、相邻建筑物、构筑物和地下工程等有关基础资料。分包人应对依据前述基础资料所做出的解释和推断负责，但因基础资料存在错误、遗漏导致分包人解释或推断失实的，由承包人承担责任。</w:t>
      </w:r>
    </w:p>
    <w:p w14:paraId="170CFCEE">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2.2.2 除专用合同条款另有约定外，承包人应最迟于实际开工日期3天前向分包人移交施工场地并提供以下施工条件：</w:t>
      </w:r>
    </w:p>
    <w:p w14:paraId="684FE597">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（1）水、电接驳点；</w:t>
      </w:r>
    </w:p>
    <w:p w14:paraId="5C27B55C">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（2）正常施工所需要的进入施工场地的交通条件；</w:t>
      </w:r>
    </w:p>
    <w:p w14:paraId="7A656CA6">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（3）正常施工所需要的作业面；</w:t>
      </w:r>
    </w:p>
    <w:p w14:paraId="20062188">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（4）按照专用合同条款约定应提供的其他设施和条件。</w:t>
      </w:r>
    </w:p>
    <w:p w14:paraId="26411063">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承包人向分包人移交施工场地时，承包人和分包人应对全部施工条件和分包工程施工前的工程质量进行检查，并在检查记录上签字确认。施工条件不满足或分包工程施工前的工程质量不合格的，承包人负责完善施工条件或修复相关工程直至质量合格。</w:t>
      </w:r>
    </w:p>
    <w:p w14:paraId="291E5F5D">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2.2.3 因承包人原因未能按分包合同约定及时向分包人提供施工场地、施工条件、基础资料的，由承包人承担由此增加的费用和（或）延误的工期。</w:t>
      </w:r>
    </w:p>
    <w:p w14:paraId="0D3D2B82">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220" w:name="_Toc389586317"/>
      <w:bookmarkStart w:id="221" w:name="_Toc371493163"/>
      <w:r>
        <w:rPr>
          <w:rFonts w:hint="eastAsia" w:ascii="宋体" w:hAnsi="宋体" w:eastAsia="宋体" w:cs="仿宋"/>
          <w:b/>
          <w:color w:val="000000" w:themeColor="text1"/>
          <w:kern w:val="0"/>
          <w:sz w:val="24"/>
          <w:highlight w:val="none"/>
          <w:lang w:val="zh-CN"/>
          <w14:textFill>
            <w14:solidFill>
              <w14:schemeClr w14:val="tx1"/>
            </w14:solidFill>
          </w14:textFill>
        </w:rPr>
        <w:t>2.3 承包人项目经理</w:t>
      </w:r>
      <w:bookmarkEnd w:id="220"/>
      <w:bookmarkEnd w:id="221"/>
      <w:bookmarkStart w:id="222" w:name="_Toc296346548"/>
      <w:bookmarkStart w:id="223" w:name="_Toc296503047"/>
      <w:bookmarkStart w:id="224" w:name="_Toc337558748"/>
    </w:p>
    <w:bookmarkEnd w:id="222"/>
    <w:bookmarkEnd w:id="223"/>
    <w:bookmarkEnd w:id="224"/>
    <w:p w14:paraId="7EBAE0F5">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承包人应在专用合同条款中明确其派驻施工场地的承包人项目经理的姓名、职称、注册执业证书编号、联系方式及授权范围等事项。承包人项目经理在承包人的授权范围内负责处理分包合同履行过程中与承包人有关的具体事宜。承包人项目经理在授权范围内的行为由承包人承担责任。承包人更换项目经理的，应提前7天书面通知分包人。</w:t>
      </w:r>
    </w:p>
    <w:p w14:paraId="625502D3">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225" w:name="_Toc371493165"/>
      <w:bookmarkStart w:id="226" w:name="_Toc389586318"/>
      <w:r>
        <w:rPr>
          <w:rFonts w:hint="eastAsia" w:ascii="宋体" w:hAnsi="宋体" w:eastAsia="宋体" w:cs="仿宋"/>
          <w:b/>
          <w:color w:val="000000" w:themeColor="text1"/>
          <w:kern w:val="0"/>
          <w:sz w:val="24"/>
          <w:highlight w:val="none"/>
          <w:lang w:val="zh-CN"/>
          <w14:textFill>
            <w14:solidFill>
              <w14:schemeClr w14:val="tx1"/>
            </w14:solidFill>
          </w14:textFill>
        </w:rPr>
        <w:t>2.4 指令和决定</w:t>
      </w:r>
      <w:bookmarkEnd w:id="225"/>
      <w:bookmarkEnd w:id="226"/>
    </w:p>
    <w:p w14:paraId="725A412D">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2.4.1 承包人指令</w:t>
      </w:r>
    </w:p>
    <w:p w14:paraId="0B83441A">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就分包工程范围内的工作，承包人随时可以向分包人发出指令，分包人应执行承包人发出的指令，承包人指令违反法律或强制性标准的除外。如果分包人在收到承包人指令后3日内未向承包人提出异议且未执行指令，或者分包人提出异议但在承包人再次确认指令后3日内仍未执行指令的，承包人可委托其它施工单位完成该指令事项，因此发生的费用由分包人承担。</w:t>
      </w:r>
    </w:p>
    <w:p w14:paraId="45D84A86">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承包人的指令应以书面形式发出。紧急情况下，为了保证施工人员的安全或避免工程受损，承包人可以口头形式发出指令，该指令与书面形式的指令具有同等法律效力，但承包人应在口头指令发出后48小时内补发书面指令，补发的书面指令应与口头指令一致。</w:t>
      </w:r>
    </w:p>
    <w:p w14:paraId="15AFCF8C">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2.4.2 发包人或监理人指令</w:t>
      </w:r>
    </w:p>
    <w:p w14:paraId="14B9F1AC">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就分包工程范围内的工作，分包人应接受并执行经承包人确认并转发的发包人或监理人发出的指令。分包人不应接受或执行未经承包人确认的发包人或监理人发出的指令。分包人一旦收到了发包人或监理人直接向分包人发出的指令，应立即将此类指令通知承包人。</w:t>
      </w:r>
    </w:p>
    <w:p w14:paraId="3C7915B9">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227" w:name="_Toc371493174"/>
      <w:bookmarkStart w:id="228" w:name="_Toc389586319"/>
      <w:r>
        <w:rPr>
          <w:rFonts w:hint="eastAsia" w:ascii="宋体" w:hAnsi="宋体" w:eastAsia="宋体" w:cs="仿宋"/>
          <w:b/>
          <w:bCs/>
          <w:color w:val="000000" w:themeColor="text1"/>
          <w:kern w:val="0"/>
          <w:sz w:val="24"/>
          <w:highlight w:val="none"/>
          <w:lang w:val="zh-CN"/>
          <w14:textFill>
            <w14:solidFill>
              <w14:schemeClr w14:val="tx1"/>
            </w14:solidFill>
          </w14:textFill>
        </w:rPr>
        <w:t>3. 分包人</w:t>
      </w:r>
      <w:bookmarkEnd w:id="227"/>
      <w:bookmarkEnd w:id="228"/>
    </w:p>
    <w:p w14:paraId="0C432391">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229" w:name="_Toc389586320"/>
      <w:bookmarkStart w:id="230" w:name="_Toc371493175"/>
      <w:r>
        <w:rPr>
          <w:rFonts w:hint="eastAsia" w:ascii="宋体" w:hAnsi="宋体" w:eastAsia="宋体" w:cs="仿宋"/>
          <w:b/>
          <w:color w:val="000000" w:themeColor="text1"/>
          <w:kern w:val="0"/>
          <w:sz w:val="24"/>
          <w:highlight w:val="none"/>
          <w:lang w:val="zh-CN"/>
          <w14:textFill>
            <w14:solidFill>
              <w14:schemeClr w14:val="tx1"/>
            </w14:solidFill>
          </w14:textFill>
        </w:rPr>
        <w:t>3.1 分包人的一般义务</w:t>
      </w:r>
      <w:bookmarkEnd w:id="229"/>
      <w:bookmarkEnd w:id="230"/>
    </w:p>
    <w:p w14:paraId="06B81E7D">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3.1.1 办理专用合同条款约定的与分包工程有关的许可和批准手续。</w:t>
      </w:r>
    </w:p>
    <w:p w14:paraId="60764659">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3.1.2 按法律规定和分包合同约定完成分包工程，对所有施工作业和施工方法的完备性和安全可靠性负责，并在保修期内履行保修义务。</w:t>
      </w:r>
    </w:p>
    <w:p w14:paraId="3475B33A">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3.1.3 对施工场地进行查勘，并充分了解分包工程所在地的气象条件、交通条件、风俗习惯以及与履行分包合同有关的其他情况。</w:t>
      </w:r>
    </w:p>
    <w:p w14:paraId="22698B51">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3.1.4 按照法律规定完成分包工程资料的编写、管理和归档；确保分包工程资料的准确完整。</w:t>
      </w:r>
    </w:p>
    <w:p w14:paraId="461274B2">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231" w:name="_Toc371493176"/>
      <w:bookmarkStart w:id="232" w:name="_Toc389586321"/>
      <w:r>
        <w:rPr>
          <w:rFonts w:hint="eastAsia" w:ascii="宋体" w:hAnsi="宋体" w:eastAsia="宋体" w:cs="仿宋"/>
          <w:b/>
          <w:color w:val="000000" w:themeColor="text1"/>
          <w:kern w:val="0"/>
          <w:sz w:val="24"/>
          <w:highlight w:val="none"/>
          <w:lang w:val="zh-CN"/>
          <w14:textFill>
            <w14:solidFill>
              <w14:schemeClr w14:val="tx1"/>
            </w14:solidFill>
          </w14:textFill>
        </w:rPr>
        <w:t>3.2 分包人项目经理</w:t>
      </w:r>
      <w:bookmarkEnd w:id="231"/>
      <w:r>
        <w:rPr>
          <w:rFonts w:hint="eastAsia" w:ascii="宋体" w:hAnsi="宋体" w:eastAsia="宋体" w:cs="仿宋"/>
          <w:b/>
          <w:color w:val="000000" w:themeColor="text1"/>
          <w:kern w:val="0"/>
          <w:sz w:val="24"/>
          <w:highlight w:val="none"/>
          <w:lang w:val="zh-CN"/>
          <w14:textFill>
            <w14:solidFill>
              <w14:schemeClr w14:val="tx1"/>
            </w14:solidFill>
          </w14:textFill>
        </w:rPr>
        <w:t>和其他主要项目管理人员</w:t>
      </w:r>
      <w:bookmarkEnd w:id="232"/>
    </w:p>
    <w:p w14:paraId="4D13BB70">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3.2.1 除专用合同条款另有约定外，分包人应在收到开工通知后7天内向承包人提交分包人项目管理机构及施工人员安排的报告。分包人项目管理机构包括分包人项目经理和其他主要项目管理人员。分包合同当事人应在专用合同条款中约定分包人项目经理的姓名、职称、联系方式及授权范围等事项。其他主要项目管理人员的姓名和岗位详见专用合同条款【附件3：分包人主要项目管理人员表】。合同当事人通过招投标方式订立分包合同的，专用合同条款或其附件中载明的分包人项目经理和其他主要项目管理人员应与分包人投标文件保持一致。</w:t>
      </w:r>
    </w:p>
    <w:p w14:paraId="090A8B50">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人应在收到开工通知后7天内向承包人提交分包人为前述人员缴纳社会保险的有效证明。分包人不提交上述文件的，承包人有权要求更换，由此增加的费用和（或）延误的工期由分包人承担。承包人不因未收集上述文件或未要求更换而承担任何责任。</w:t>
      </w:r>
    </w:p>
    <w:p w14:paraId="748F2472">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3.2.2 分包人项目经理为分包人派驻施工场地的负责人，在分包人授权范围内决定分包合同履行过程中与分包人有关的具体事宜。除专用合同条款另有约定外，分包人项目经理不得同时担任其他项目的项目经理；否则，分包人应按专用合同条款的约定承担违约责任。</w:t>
      </w:r>
    </w:p>
    <w:p w14:paraId="327625F2">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3.2.3 分包人项目经理和其他主要项目管理人员应常驻施工场地。前述人员因故需要离开施工场地时，应事先取得承包人的书面同意；否则，分包人应按照专用合同条款的约定承担违约责任。</w:t>
      </w:r>
    </w:p>
    <w:p w14:paraId="799A8A8E">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3.2.4 分包人需要更换分包人项目经理或其他主要项目管理人员的，应提前7天书面通知承包人，并征得承包人书面同意。未经承包人书面同意，分包人不得擅自更换。分包人擅自更换的，应按照专用合同条款的约定承担违约责任。</w:t>
      </w:r>
    </w:p>
    <w:p w14:paraId="38C25B07">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承包人有权书面通知分包人更换不称职的分包人项目经理或其他主要项目管理人员的，分包人应在接到更换通知后7天内进行更换。分包人无正当理由拒绝更换，应按照专用合同条款的约定承担违约责任。</w:t>
      </w:r>
    </w:p>
    <w:p w14:paraId="132AF5AF">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233" w:name="_Toc371493177"/>
      <w:bookmarkStart w:id="234" w:name="_Toc351203521"/>
      <w:bookmarkStart w:id="235" w:name="_Toc389586322"/>
      <w:r>
        <w:rPr>
          <w:rFonts w:hint="eastAsia" w:ascii="宋体" w:hAnsi="宋体" w:eastAsia="宋体" w:cs="仿宋"/>
          <w:b/>
          <w:color w:val="000000" w:themeColor="text1"/>
          <w:kern w:val="0"/>
          <w:sz w:val="24"/>
          <w:highlight w:val="none"/>
          <w:lang w:val="zh-CN"/>
          <w14:textFill>
            <w14:solidFill>
              <w14:schemeClr w14:val="tx1"/>
            </w14:solidFill>
          </w14:textFill>
        </w:rPr>
        <w:t>3</w:t>
      </w:r>
      <w:bookmarkStart w:id="236" w:name="_Toc296503048"/>
      <w:bookmarkStart w:id="237" w:name="_Toc296346549"/>
      <w:bookmarkStart w:id="238" w:name="_Toc337558749"/>
      <w:r>
        <w:rPr>
          <w:rFonts w:hint="eastAsia" w:ascii="宋体" w:hAnsi="宋体" w:eastAsia="宋体" w:cs="仿宋"/>
          <w:b/>
          <w:color w:val="000000" w:themeColor="text1"/>
          <w:kern w:val="0"/>
          <w:sz w:val="24"/>
          <w:highlight w:val="none"/>
          <w:lang w:val="zh-CN"/>
          <w14:textFill>
            <w14:solidFill>
              <w14:schemeClr w14:val="tx1"/>
            </w14:solidFill>
          </w14:textFill>
        </w:rPr>
        <w:t>.3</w:t>
      </w:r>
      <w:bookmarkEnd w:id="233"/>
      <w:bookmarkEnd w:id="234"/>
      <w:bookmarkEnd w:id="236"/>
      <w:bookmarkEnd w:id="237"/>
      <w:bookmarkEnd w:id="238"/>
      <w:r>
        <w:rPr>
          <w:rFonts w:hint="eastAsia" w:ascii="宋体" w:hAnsi="宋体" w:eastAsia="宋体" w:cs="仿宋"/>
          <w:b/>
          <w:color w:val="000000" w:themeColor="text1"/>
          <w:kern w:val="0"/>
          <w:sz w:val="24"/>
          <w:highlight w:val="none"/>
          <w:lang w:val="zh-CN"/>
          <w14:textFill>
            <w14:solidFill>
              <w14:schemeClr w14:val="tx1"/>
            </w14:solidFill>
          </w14:textFill>
        </w:rPr>
        <w:t>特殊工种上岗作业要求</w:t>
      </w:r>
      <w:bookmarkEnd w:id="235"/>
    </w:p>
    <w:p w14:paraId="722001C1">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法律规定需要持证上岗的特殊工种作业人员，必须具有行政管理部门颁发的相应岗位的特殊工种上岗证，并在相应作业人员进场前报送承包人审核并备案。特殊工种作业人员不具备上岗证的，分包人应按专用合同条款的约定承担违约责任。</w:t>
      </w:r>
    </w:p>
    <w:p w14:paraId="50F03862">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239" w:name="_Toc389586323"/>
      <w:r>
        <w:rPr>
          <w:rFonts w:hint="eastAsia" w:ascii="宋体" w:hAnsi="宋体" w:eastAsia="宋体" w:cs="仿宋"/>
          <w:b/>
          <w:color w:val="000000" w:themeColor="text1"/>
          <w:kern w:val="0"/>
          <w:sz w:val="24"/>
          <w:highlight w:val="none"/>
          <w:lang w:val="zh-CN"/>
          <w14:textFill>
            <w14:solidFill>
              <w14:schemeClr w14:val="tx1"/>
            </w14:solidFill>
          </w14:textFill>
        </w:rPr>
        <w:t>3.4</w:t>
      </w:r>
      <w:bookmarkStart w:id="240" w:name="_Toc351203523"/>
      <w:bookmarkStart w:id="241" w:name="_Toc371493179"/>
      <w:bookmarkStart w:id="242" w:name="_Toc296346552"/>
      <w:bookmarkStart w:id="243" w:name="_Toc296503051"/>
      <w:bookmarkStart w:id="244" w:name="_Toc337558751"/>
      <w:r>
        <w:rPr>
          <w:rFonts w:hint="eastAsia" w:ascii="宋体" w:hAnsi="宋体" w:eastAsia="宋体" w:cs="仿宋"/>
          <w:b/>
          <w:color w:val="000000" w:themeColor="text1"/>
          <w:kern w:val="0"/>
          <w:sz w:val="24"/>
          <w:highlight w:val="none"/>
          <w:lang w:val="zh-CN"/>
          <w14:textFill>
            <w14:solidFill>
              <w14:schemeClr w14:val="tx1"/>
            </w14:solidFill>
          </w14:textFill>
        </w:rPr>
        <w:t xml:space="preserve"> 禁止转包</w:t>
      </w:r>
      <w:bookmarkEnd w:id="240"/>
      <w:r>
        <w:rPr>
          <w:rFonts w:hint="eastAsia" w:ascii="宋体" w:hAnsi="宋体" w:eastAsia="宋体" w:cs="仿宋"/>
          <w:b/>
          <w:color w:val="000000" w:themeColor="text1"/>
          <w:kern w:val="0"/>
          <w:sz w:val="24"/>
          <w:highlight w:val="none"/>
          <w:lang w:val="zh-CN"/>
          <w14:textFill>
            <w14:solidFill>
              <w14:schemeClr w14:val="tx1"/>
            </w14:solidFill>
          </w14:textFill>
        </w:rPr>
        <w:t>和</w:t>
      </w:r>
      <w:bookmarkEnd w:id="241"/>
      <w:r>
        <w:rPr>
          <w:rFonts w:hint="eastAsia" w:ascii="宋体" w:hAnsi="宋体" w:eastAsia="宋体" w:cs="仿宋"/>
          <w:b/>
          <w:color w:val="000000" w:themeColor="text1"/>
          <w:kern w:val="0"/>
          <w:sz w:val="24"/>
          <w:highlight w:val="none"/>
          <w:lang w:val="zh-CN"/>
          <w14:textFill>
            <w14:solidFill>
              <w14:schemeClr w14:val="tx1"/>
            </w14:solidFill>
          </w14:textFill>
        </w:rPr>
        <w:t>再分包</w:t>
      </w:r>
      <w:bookmarkEnd w:id="239"/>
    </w:p>
    <w:bookmarkEnd w:id="242"/>
    <w:bookmarkEnd w:id="243"/>
    <w:bookmarkEnd w:id="244"/>
    <w:p w14:paraId="2AAFD767">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3.4.1 分包人不得将分包工程转包给第三人。分包人转包分包工程的，应按专用合同条款的约定承担违约责任。</w:t>
      </w:r>
    </w:p>
    <w:p w14:paraId="36E74F0E">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3.4.2 分包人不得将分包工程的任何部分违法分包给任何第三人。分包人违法分包工程的，应按专用合同条款的约定承担违约责任。</w:t>
      </w:r>
    </w:p>
    <w:p w14:paraId="62D08E3F">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245" w:name="_Toc351203525"/>
      <w:bookmarkStart w:id="246" w:name="_Toc371493181"/>
      <w:bookmarkStart w:id="247" w:name="_Toc389586324"/>
      <w:r>
        <w:rPr>
          <w:rFonts w:hint="eastAsia" w:ascii="宋体" w:hAnsi="宋体" w:eastAsia="宋体" w:cs="仿宋"/>
          <w:b/>
          <w:color w:val="000000" w:themeColor="text1"/>
          <w:kern w:val="0"/>
          <w:sz w:val="24"/>
          <w:highlight w:val="none"/>
          <w:lang w:val="zh-CN"/>
          <w14:textFill>
            <w14:solidFill>
              <w14:schemeClr w14:val="tx1"/>
            </w14:solidFill>
          </w14:textFill>
        </w:rPr>
        <w:t>3</w:t>
      </w:r>
      <w:bookmarkStart w:id="248" w:name="_Toc296503052"/>
      <w:bookmarkStart w:id="249" w:name="_Toc296346553"/>
      <w:bookmarkStart w:id="250" w:name="_Toc337558752"/>
      <w:r>
        <w:rPr>
          <w:rFonts w:hint="eastAsia" w:ascii="宋体" w:hAnsi="宋体" w:eastAsia="宋体" w:cs="仿宋"/>
          <w:b/>
          <w:color w:val="000000" w:themeColor="text1"/>
          <w:kern w:val="0"/>
          <w:sz w:val="24"/>
          <w:highlight w:val="none"/>
          <w:lang w:val="zh-CN"/>
          <w14:textFill>
            <w14:solidFill>
              <w14:schemeClr w14:val="tx1"/>
            </w14:solidFill>
          </w14:textFill>
        </w:rPr>
        <w:t>.5 履约担保</w:t>
      </w:r>
      <w:bookmarkEnd w:id="245"/>
      <w:bookmarkEnd w:id="246"/>
      <w:bookmarkEnd w:id="247"/>
    </w:p>
    <w:bookmarkEnd w:id="248"/>
    <w:bookmarkEnd w:id="249"/>
    <w:bookmarkEnd w:id="250"/>
    <w:p w14:paraId="75EDEFA2">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承包人需要分包人提供履约担保的，由合同当事人在专用合同条款中约定履约担保的方式、金额及期限等。</w:t>
      </w:r>
    </w:p>
    <w:p w14:paraId="440F1782">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251" w:name="_Toc351203526"/>
      <w:bookmarkStart w:id="252" w:name="_Toc371493182"/>
      <w:bookmarkStart w:id="253" w:name="_Toc389586325"/>
      <w:r>
        <w:rPr>
          <w:rFonts w:hint="eastAsia" w:ascii="宋体" w:hAnsi="宋体" w:eastAsia="宋体" w:cs="仿宋"/>
          <w:b/>
          <w:color w:val="000000" w:themeColor="text1"/>
          <w:kern w:val="0"/>
          <w:sz w:val="24"/>
          <w:highlight w:val="none"/>
          <w:lang w:val="zh-CN"/>
          <w14:textFill>
            <w14:solidFill>
              <w14:schemeClr w14:val="tx1"/>
            </w14:solidFill>
          </w14:textFill>
        </w:rPr>
        <w:t>3.6 联合体</w:t>
      </w:r>
      <w:bookmarkEnd w:id="251"/>
      <w:bookmarkEnd w:id="252"/>
      <w:bookmarkEnd w:id="253"/>
    </w:p>
    <w:p w14:paraId="1205A13C">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3.6.1联合体各方应共同与承包人签订合同协议书；联合体各方应为履行分包合同向承包人承担连带责任。</w:t>
      </w:r>
    </w:p>
    <w:p w14:paraId="7D072773">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3.6.2联合体协议经承包人确认后作为专用合同条款附件。在履行分包合同过程中，未经承包人书面同意，不得修改联合体协议。</w:t>
      </w:r>
    </w:p>
    <w:p w14:paraId="168170DF">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254" w:name="_Toc389586326"/>
      <w:bookmarkStart w:id="255" w:name="_Toc371493183"/>
      <w:bookmarkStart w:id="256" w:name="_Toc351203527"/>
      <w:r>
        <w:rPr>
          <w:rFonts w:hint="eastAsia" w:ascii="宋体" w:hAnsi="宋体" w:eastAsia="宋体" w:cs="仿宋"/>
          <w:b/>
          <w:bCs/>
          <w:color w:val="000000" w:themeColor="text1"/>
          <w:kern w:val="0"/>
          <w:sz w:val="24"/>
          <w:highlight w:val="none"/>
          <w:lang w:val="zh-CN"/>
          <w14:textFill>
            <w14:solidFill>
              <w14:schemeClr w14:val="tx1"/>
            </w14:solidFill>
          </w14:textFill>
        </w:rPr>
        <w:t>4. 总包合同</w:t>
      </w:r>
      <w:bookmarkEnd w:id="254"/>
      <w:bookmarkEnd w:id="255"/>
    </w:p>
    <w:p w14:paraId="7ED3EBDB">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257" w:name="_Toc371493184"/>
      <w:bookmarkStart w:id="258" w:name="_Toc389586327"/>
      <w:r>
        <w:rPr>
          <w:rFonts w:hint="eastAsia" w:ascii="宋体" w:hAnsi="宋体" w:eastAsia="宋体" w:cs="仿宋"/>
          <w:b/>
          <w:color w:val="000000" w:themeColor="text1"/>
          <w:kern w:val="0"/>
          <w:sz w:val="24"/>
          <w:highlight w:val="none"/>
          <w:lang w:val="zh-CN"/>
          <w14:textFill>
            <w14:solidFill>
              <w14:schemeClr w14:val="tx1"/>
            </w14:solidFill>
          </w14:textFill>
        </w:rPr>
        <w:t xml:space="preserve">4.1 </w:t>
      </w:r>
      <w:bookmarkEnd w:id="257"/>
      <w:r>
        <w:rPr>
          <w:rFonts w:hint="eastAsia" w:ascii="宋体" w:hAnsi="宋体" w:eastAsia="宋体" w:cs="仿宋"/>
          <w:b/>
          <w:color w:val="000000" w:themeColor="text1"/>
          <w:kern w:val="0"/>
          <w:sz w:val="24"/>
          <w:highlight w:val="none"/>
          <w:lang w:val="zh-CN"/>
          <w14:textFill>
            <w14:solidFill>
              <w14:schemeClr w14:val="tx1"/>
            </w14:solidFill>
          </w14:textFill>
        </w:rPr>
        <w:t>总包合同的提供</w:t>
      </w:r>
      <w:bookmarkEnd w:id="258"/>
    </w:p>
    <w:p w14:paraId="230C3063">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承包人应提供总包合同供分包人查阅，并且在分包人要求时向分包人提供一份总包合同复印件，但有关总包工程价格及支付内容除外。分包人应仔细阅读并全面了解总包合同的各项约定，分包合同的签订视为分包人完全知悉承包人在总包合同项下与分包工程有关的义务和责任。</w:t>
      </w:r>
    </w:p>
    <w:p w14:paraId="25A91B4F">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259" w:name="_Toc371493185"/>
      <w:bookmarkStart w:id="260" w:name="_Toc389586328"/>
      <w:r>
        <w:rPr>
          <w:rFonts w:hint="eastAsia" w:ascii="宋体" w:hAnsi="宋体" w:eastAsia="宋体" w:cs="仿宋"/>
          <w:b/>
          <w:color w:val="000000" w:themeColor="text1"/>
          <w:kern w:val="0"/>
          <w:sz w:val="24"/>
          <w:highlight w:val="none"/>
          <w:lang w:val="zh-CN"/>
          <w14:textFill>
            <w14:solidFill>
              <w14:schemeClr w14:val="tx1"/>
            </w14:solidFill>
          </w14:textFill>
        </w:rPr>
        <w:t xml:space="preserve">4.2 </w:t>
      </w:r>
      <w:bookmarkEnd w:id="259"/>
      <w:r>
        <w:rPr>
          <w:rFonts w:hint="eastAsia" w:ascii="宋体" w:hAnsi="宋体" w:eastAsia="宋体" w:cs="仿宋"/>
          <w:b/>
          <w:color w:val="000000" w:themeColor="text1"/>
          <w:kern w:val="0"/>
          <w:sz w:val="24"/>
          <w:highlight w:val="none"/>
          <w:lang w:val="zh-CN"/>
          <w14:textFill>
            <w14:solidFill>
              <w14:schemeClr w14:val="tx1"/>
            </w14:solidFill>
          </w14:textFill>
        </w:rPr>
        <w:t>与总包合同有关的分包人义务</w:t>
      </w:r>
      <w:bookmarkEnd w:id="260"/>
    </w:p>
    <w:p w14:paraId="63897B44">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分包人应履行总包合同中与分包工程有关的承包人的所有义务，但分包合同明确约定由承包人履行的义务除外。分包人应避免因其自身行为或疏忽造成承包人违反总包合同约定。</w:t>
      </w:r>
    </w:p>
    <w:bookmarkEnd w:id="256"/>
    <w:p w14:paraId="2C4ACA2E">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261" w:name="_Toc389586329"/>
      <w:bookmarkStart w:id="262" w:name="_Toc351203532"/>
      <w:bookmarkStart w:id="263" w:name="_Toc371493187"/>
      <w:bookmarkStart w:id="264" w:name="_Toc337558758"/>
      <w:r>
        <w:rPr>
          <w:rFonts w:hint="eastAsia" w:ascii="宋体" w:hAnsi="宋体" w:eastAsia="宋体" w:cs="仿宋"/>
          <w:b/>
          <w:bCs/>
          <w:color w:val="000000" w:themeColor="text1"/>
          <w:kern w:val="0"/>
          <w:sz w:val="24"/>
          <w:highlight w:val="none"/>
          <w:lang w:val="zh-CN"/>
          <w14:textFill>
            <w14:solidFill>
              <w14:schemeClr w14:val="tx1"/>
            </w14:solidFill>
          </w14:textFill>
        </w:rPr>
        <w:t>5. 分包工程质量</w:t>
      </w:r>
      <w:bookmarkEnd w:id="261"/>
      <w:bookmarkEnd w:id="262"/>
      <w:bookmarkEnd w:id="263"/>
    </w:p>
    <w:bookmarkEnd w:id="264"/>
    <w:p w14:paraId="4C3AFE75">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265" w:name="_Toc371493188"/>
      <w:bookmarkStart w:id="266" w:name="_Toc351203533"/>
      <w:bookmarkStart w:id="267" w:name="_Toc389586330"/>
      <w:bookmarkStart w:id="268" w:name="_Toc337558759"/>
      <w:r>
        <w:rPr>
          <w:rFonts w:hint="eastAsia" w:ascii="宋体" w:hAnsi="宋体" w:eastAsia="宋体" w:cs="仿宋"/>
          <w:b/>
          <w:color w:val="000000" w:themeColor="text1"/>
          <w:kern w:val="0"/>
          <w:sz w:val="24"/>
          <w:highlight w:val="none"/>
          <w:lang w:val="zh-CN"/>
          <w14:textFill>
            <w14:solidFill>
              <w14:schemeClr w14:val="tx1"/>
            </w14:solidFill>
          </w14:textFill>
        </w:rPr>
        <w:t>5.1 质量要求</w:t>
      </w:r>
      <w:bookmarkEnd w:id="265"/>
      <w:bookmarkEnd w:id="266"/>
      <w:bookmarkEnd w:id="267"/>
    </w:p>
    <w:bookmarkEnd w:id="268"/>
    <w:p w14:paraId="0E40ADBE">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工程质量必须符合国家、行业及工程所在地的强制性技术标准和要求，同时应符合总包合同约定的质量标准。除分包合同协议书约定的质量标准外，有关分包工程质量的特殊标准或要求可以由分包合同当事人在专用合同条款中约定。</w:t>
      </w:r>
    </w:p>
    <w:p w14:paraId="62560054">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269" w:name="_Toc389586331"/>
      <w:r>
        <w:rPr>
          <w:rFonts w:hint="eastAsia" w:ascii="宋体" w:hAnsi="宋体" w:eastAsia="宋体" w:cs="仿宋"/>
          <w:b/>
          <w:color w:val="000000" w:themeColor="text1"/>
          <w:kern w:val="0"/>
          <w:sz w:val="24"/>
          <w:highlight w:val="none"/>
          <w:lang w:val="zh-CN"/>
          <w14:textFill>
            <w14:solidFill>
              <w14:schemeClr w14:val="tx1"/>
            </w14:solidFill>
          </w14:textFill>
        </w:rPr>
        <w:t>5.2 分包人的质量管理</w:t>
      </w:r>
      <w:bookmarkEnd w:id="269"/>
    </w:p>
    <w:p w14:paraId="18577A19">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分包人应按照第7.1款【施工组织】向承包人提交分包工程质量保证体系及措施文件，建立完善的质量检查制度并严格执行。</w:t>
      </w:r>
    </w:p>
    <w:p w14:paraId="6EF3D3EA">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270" w:name="_Toc351203534"/>
      <w:bookmarkStart w:id="271" w:name="_Toc371493189"/>
      <w:bookmarkStart w:id="272" w:name="_Toc389586332"/>
      <w:bookmarkStart w:id="273" w:name="_Toc337558760"/>
      <w:r>
        <w:rPr>
          <w:rFonts w:hint="eastAsia" w:ascii="宋体" w:hAnsi="宋体" w:eastAsia="宋体" w:cs="仿宋"/>
          <w:b/>
          <w:color w:val="000000" w:themeColor="text1"/>
          <w:kern w:val="0"/>
          <w:sz w:val="24"/>
          <w:highlight w:val="none"/>
          <w:lang w:val="zh-CN"/>
          <w14:textFill>
            <w14:solidFill>
              <w14:schemeClr w14:val="tx1"/>
            </w14:solidFill>
          </w14:textFill>
        </w:rPr>
        <w:t xml:space="preserve">5.3 </w:t>
      </w:r>
      <w:bookmarkEnd w:id="270"/>
      <w:bookmarkEnd w:id="271"/>
      <w:r>
        <w:rPr>
          <w:rFonts w:hint="eastAsia" w:ascii="宋体" w:hAnsi="宋体" w:eastAsia="宋体" w:cs="仿宋"/>
          <w:b/>
          <w:color w:val="000000" w:themeColor="text1"/>
          <w:kern w:val="0"/>
          <w:sz w:val="24"/>
          <w:highlight w:val="none"/>
          <w:lang w:val="zh-CN"/>
          <w14:textFill>
            <w14:solidFill>
              <w14:schemeClr w14:val="tx1"/>
            </w14:solidFill>
          </w14:textFill>
        </w:rPr>
        <w:t>承包人的质量管理</w:t>
      </w:r>
      <w:bookmarkEnd w:id="272"/>
    </w:p>
    <w:bookmarkEnd w:id="273"/>
    <w:p w14:paraId="1B15B91D">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承包人应根据法律及总包合同约定建立总包工程质量管理体系，并将分包工程质量管理纳入总包工程质量管理体系，对分包工程的质量进行监督管理。</w:t>
      </w:r>
    </w:p>
    <w:p w14:paraId="2B6B3FD0">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274" w:name="_Toc371493191"/>
      <w:bookmarkStart w:id="275" w:name="_Toc389586333"/>
      <w:bookmarkStart w:id="276" w:name="_Toc351203536"/>
      <w:bookmarkStart w:id="277" w:name="_Toc337558762"/>
      <w:r>
        <w:rPr>
          <w:rFonts w:hint="eastAsia" w:ascii="宋体" w:hAnsi="宋体" w:eastAsia="宋体" w:cs="仿宋"/>
          <w:b/>
          <w:color w:val="000000" w:themeColor="text1"/>
          <w:kern w:val="0"/>
          <w:sz w:val="24"/>
          <w:highlight w:val="none"/>
          <w:lang w:val="zh-CN"/>
          <w14:textFill>
            <w14:solidFill>
              <w14:schemeClr w14:val="tx1"/>
            </w14:solidFill>
          </w14:textFill>
        </w:rPr>
        <w:t>5.4 不合格工程的处理</w:t>
      </w:r>
      <w:bookmarkEnd w:id="274"/>
      <w:bookmarkEnd w:id="275"/>
      <w:bookmarkEnd w:id="276"/>
    </w:p>
    <w:bookmarkEnd w:id="277"/>
    <w:p w14:paraId="4C7BE3D5">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 xml:space="preserve">5.4.1 因分包人原因造成分包工程不合格的，承包人有权随时要求分包人采取补救措施，直至达到分包合同要求的质量标准，由此增加的费用和（或）延误的工期由分包人承担。无法采取措施补救的，按照第18.2款【拒绝接收全部或部分分包工程】执行。 </w:t>
      </w:r>
    </w:p>
    <w:p w14:paraId="47E030FB">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5.4.2 因承包人原因造成分包工程不合格的，分包人应采取补救措施，由此增加的费用和（或）延误的工期由承包人承担，并支付分包人合理的利润。</w:t>
      </w:r>
    </w:p>
    <w:p w14:paraId="7EC3D569">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278" w:name="_Toc351203538"/>
      <w:bookmarkStart w:id="279" w:name="_Toc371493192"/>
      <w:bookmarkStart w:id="280" w:name="_Toc389586334"/>
      <w:bookmarkStart w:id="281" w:name="_Toc337558763"/>
      <w:r>
        <w:rPr>
          <w:rFonts w:hint="eastAsia" w:ascii="宋体" w:hAnsi="宋体" w:eastAsia="宋体" w:cs="仿宋"/>
          <w:b/>
          <w:bCs/>
          <w:color w:val="000000" w:themeColor="text1"/>
          <w:kern w:val="0"/>
          <w:sz w:val="24"/>
          <w:highlight w:val="none"/>
          <w:lang w:val="zh-CN"/>
          <w14:textFill>
            <w14:solidFill>
              <w14:schemeClr w14:val="tx1"/>
            </w14:solidFill>
          </w14:textFill>
        </w:rPr>
        <w:t>6. 安全文明施工、环境保护</w:t>
      </w:r>
      <w:bookmarkEnd w:id="278"/>
      <w:r>
        <w:rPr>
          <w:rFonts w:hint="eastAsia" w:ascii="宋体" w:hAnsi="宋体" w:eastAsia="宋体" w:cs="仿宋"/>
          <w:b/>
          <w:bCs/>
          <w:color w:val="000000" w:themeColor="text1"/>
          <w:kern w:val="0"/>
          <w:sz w:val="24"/>
          <w:highlight w:val="none"/>
          <w:lang w:val="zh-CN"/>
          <w14:textFill>
            <w14:solidFill>
              <w14:schemeClr w14:val="tx1"/>
            </w14:solidFill>
          </w14:textFill>
        </w:rPr>
        <w:t>与劳动用工管理</w:t>
      </w:r>
      <w:bookmarkEnd w:id="279"/>
      <w:bookmarkEnd w:id="280"/>
    </w:p>
    <w:bookmarkEnd w:id="281"/>
    <w:p w14:paraId="39DF213E">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282" w:name="_Toc351203539"/>
      <w:bookmarkStart w:id="283" w:name="_Toc371493193"/>
      <w:bookmarkStart w:id="284" w:name="_Toc389586335"/>
      <w:bookmarkStart w:id="285" w:name="_Toc337558764"/>
      <w:r>
        <w:rPr>
          <w:rFonts w:hint="eastAsia" w:ascii="宋体" w:hAnsi="宋体" w:eastAsia="宋体" w:cs="仿宋"/>
          <w:b/>
          <w:color w:val="000000" w:themeColor="text1"/>
          <w:kern w:val="0"/>
          <w:sz w:val="24"/>
          <w:highlight w:val="none"/>
          <w:lang w:val="zh-CN"/>
          <w14:textFill>
            <w14:solidFill>
              <w14:schemeClr w14:val="tx1"/>
            </w14:solidFill>
          </w14:textFill>
        </w:rPr>
        <w:t>6.1 安全文明施工</w:t>
      </w:r>
      <w:bookmarkEnd w:id="282"/>
      <w:bookmarkEnd w:id="283"/>
      <w:bookmarkEnd w:id="284"/>
    </w:p>
    <w:bookmarkEnd w:id="285"/>
    <w:p w14:paraId="400B2A5B">
      <w:pPr>
        <w:wordWrap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6.1.1 安全文明施工</w:t>
      </w:r>
    </w:p>
    <w:p w14:paraId="0764AEF1">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承包人和分包人应按法律和分包合同</w:t>
      </w:r>
      <w:r>
        <w:rPr>
          <w:rFonts w:hint="eastAsia" w:ascii="宋体" w:hAnsi="宋体" w:eastAsia="宋体" w:cs="仿宋"/>
          <w:color w:val="000000" w:themeColor="text1"/>
          <w:kern w:val="0"/>
          <w:sz w:val="24"/>
          <w:highlight w:val="none"/>
          <w14:textFill>
            <w14:solidFill>
              <w14:schemeClr w14:val="tx1"/>
            </w14:solidFill>
          </w14:textFill>
        </w:rPr>
        <w:t>采取</w:t>
      </w:r>
      <w:r>
        <w:rPr>
          <w:rFonts w:hint="eastAsia" w:ascii="宋体" w:hAnsi="宋体" w:eastAsia="宋体" w:cs="仿宋"/>
          <w:color w:val="000000" w:themeColor="text1"/>
          <w:sz w:val="24"/>
          <w:highlight w:val="none"/>
          <w14:textFill>
            <w14:solidFill>
              <w14:schemeClr w14:val="tx1"/>
            </w14:solidFill>
          </w14:textFill>
        </w:rPr>
        <w:t>安全文明施工措施并</w:t>
      </w:r>
      <w:r>
        <w:rPr>
          <w:rFonts w:hint="eastAsia" w:ascii="宋体" w:hAnsi="宋体" w:eastAsia="宋体" w:cs="仿宋"/>
          <w:color w:val="000000" w:themeColor="text1"/>
          <w:kern w:val="0"/>
          <w:sz w:val="24"/>
          <w:highlight w:val="none"/>
          <w14:textFill>
            <w14:solidFill>
              <w14:schemeClr w14:val="tx1"/>
            </w14:solidFill>
          </w14:textFill>
        </w:rPr>
        <w:t>履行安全文明管理义务</w:t>
      </w:r>
      <w:r>
        <w:rPr>
          <w:rFonts w:hint="eastAsia" w:ascii="宋体" w:hAnsi="宋体" w:eastAsia="宋体" w:cs="仿宋"/>
          <w:color w:val="000000" w:themeColor="text1"/>
          <w:sz w:val="24"/>
          <w:highlight w:val="none"/>
          <w14:textFill>
            <w14:solidFill>
              <w14:schemeClr w14:val="tx1"/>
            </w14:solidFill>
          </w14:textFill>
        </w:rPr>
        <w:t>。</w:t>
      </w:r>
      <w:r>
        <w:rPr>
          <w:rFonts w:hint="eastAsia" w:ascii="宋体" w:hAnsi="宋体" w:eastAsia="宋体" w:cs="仿宋"/>
          <w:color w:val="000000" w:themeColor="text1"/>
          <w:kern w:val="0"/>
          <w:sz w:val="24"/>
          <w:highlight w:val="none"/>
          <w14:textFill>
            <w14:solidFill>
              <w14:schemeClr w14:val="tx1"/>
            </w14:solidFill>
          </w14:textFill>
        </w:rPr>
        <w:t>承包人应向分包人进行安全文明施工措施的详细交底</w:t>
      </w:r>
      <w:r>
        <w:rPr>
          <w:rFonts w:hint="eastAsia" w:ascii="宋体" w:hAnsi="宋体" w:eastAsia="宋体" w:cs="仿宋"/>
          <w:color w:val="000000" w:themeColor="text1"/>
          <w:sz w:val="24"/>
          <w:highlight w:val="none"/>
          <w14:textFill>
            <w14:solidFill>
              <w14:schemeClr w14:val="tx1"/>
            </w14:solidFill>
          </w14:textFill>
        </w:rPr>
        <w:t>。因安全文明施工措施不到位而发生的安全生产事故由责任方承担责任</w:t>
      </w:r>
      <w:r>
        <w:rPr>
          <w:rFonts w:hint="eastAsia" w:ascii="宋体" w:hAnsi="宋体" w:eastAsia="宋体" w:cs="仿宋"/>
          <w:color w:val="000000" w:themeColor="text1"/>
          <w:kern w:val="0"/>
          <w:sz w:val="24"/>
          <w:highlight w:val="none"/>
          <w14:textFill>
            <w14:solidFill>
              <w14:schemeClr w14:val="tx1"/>
            </w14:solidFill>
          </w14:textFill>
        </w:rPr>
        <w:t>。</w:t>
      </w:r>
    </w:p>
    <w:p w14:paraId="3C980AC6">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人对安全文明施工费应专款专用，并应在财务账目中单独列项备查，不得挪作他用，否则承包人有权责令其限期改正；逾期未改正的，承包人有权责令分包人暂停施工，由此增加的费用和（或）延误的工期由分包人承担。</w:t>
      </w:r>
    </w:p>
    <w:p w14:paraId="2FE222C0">
      <w:pPr>
        <w:wordWrap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6.1.2 安全保卫</w:t>
      </w:r>
    </w:p>
    <w:p w14:paraId="115BEAE8">
      <w:pPr>
        <w:wordWrap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承包人应负责分包工程施工期间施工场地的安全保卫工作，分包人应予以配合。在施工场地或生活区发生突发事件的，分包人应积极协助承包人、发包人和当地有关部门采取措施平息事态，尽量避免人员伤亡和财产损失。</w:t>
      </w:r>
    </w:p>
    <w:p w14:paraId="0E4F80E1">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6.1.3 事故处理</w:t>
      </w:r>
    </w:p>
    <w:p w14:paraId="1B0FECDD">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工程施工过程中发生安全生产事故的，分包人应立即通知承包人，并应立即组织人员和设备进行紧急抢救和抢修，减少人员伤亡和财产损失并保护事故现场。需要移动现场物品时，应作出标记和书面记录，妥善保管有关证据。承包人和分包人应按照法律及时向有关部门报告事故有关情况。因分包人发生安全生产事故给承包人造成损失的，分包人应当予以赔偿，且承包人有权自应付分包人款项中予以扣除。</w:t>
      </w:r>
    </w:p>
    <w:p w14:paraId="4CFEABCF">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286" w:name="_Toc351203541"/>
      <w:bookmarkStart w:id="287" w:name="_Toc371493194"/>
      <w:bookmarkStart w:id="288" w:name="_Toc389586336"/>
      <w:bookmarkStart w:id="289" w:name="_Toc337558766"/>
      <w:r>
        <w:rPr>
          <w:rFonts w:hint="eastAsia" w:ascii="宋体" w:hAnsi="宋体" w:eastAsia="宋体" w:cs="仿宋"/>
          <w:b/>
          <w:color w:val="000000" w:themeColor="text1"/>
          <w:kern w:val="0"/>
          <w:sz w:val="24"/>
          <w:highlight w:val="none"/>
          <w:lang w:val="zh-CN"/>
          <w14:textFill>
            <w14:solidFill>
              <w14:schemeClr w14:val="tx1"/>
            </w14:solidFill>
          </w14:textFill>
        </w:rPr>
        <w:t>6.2 环境保护</w:t>
      </w:r>
      <w:bookmarkEnd w:id="286"/>
      <w:bookmarkEnd w:id="287"/>
      <w:bookmarkEnd w:id="288"/>
    </w:p>
    <w:bookmarkEnd w:id="289"/>
    <w:p w14:paraId="6111EFA6">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分包人应在施工组织设计中列明环境保护的具体措施。分包人应按经承包人批准的施工组织设计采取环境保护具体措施，防止环境损害和环境污染。分包人应当承担因其原因引起的环境污染责任。</w:t>
      </w:r>
    </w:p>
    <w:p w14:paraId="0823B024">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290" w:name="_Toc351203540"/>
      <w:bookmarkStart w:id="291" w:name="_Toc389586337"/>
      <w:bookmarkStart w:id="292" w:name="_Toc371493195"/>
      <w:bookmarkStart w:id="293" w:name="_Toc337558765"/>
      <w:r>
        <w:rPr>
          <w:rFonts w:hint="eastAsia" w:ascii="宋体" w:hAnsi="宋体" w:eastAsia="宋体" w:cs="仿宋"/>
          <w:b/>
          <w:color w:val="000000" w:themeColor="text1"/>
          <w:kern w:val="0"/>
          <w:sz w:val="24"/>
          <w:highlight w:val="none"/>
          <w:lang w:val="zh-CN"/>
          <w14:textFill>
            <w14:solidFill>
              <w14:schemeClr w14:val="tx1"/>
            </w14:solidFill>
          </w14:textFill>
        </w:rPr>
        <w:t xml:space="preserve">6.3 </w:t>
      </w:r>
      <w:bookmarkEnd w:id="290"/>
      <w:r>
        <w:rPr>
          <w:rFonts w:hint="eastAsia" w:ascii="宋体" w:hAnsi="宋体" w:eastAsia="宋体" w:cs="仿宋"/>
          <w:b/>
          <w:color w:val="000000" w:themeColor="text1"/>
          <w:kern w:val="0"/>
          <w:sz w:val="24"/>
          <w:highlight w:val="none"/>
          <w:lang w:val="zh-CN"/>
          <w14:textFill>
            <w14:solidFill>
              <w14:schemeClr w14:val="tx1"/>
            </w14:solidFill>
          </w14:textFill>
        </w:rPr>
        <w:t>劳动用工管理</w:t>
      </w:r>
      <w:bookmarkEnd w:id="291"/>
      <w:bookmarkEnd w:id="292"/>
    </w:p>
    <w:bookmarkEnd w:id="293"/>
    <w:p w14:paraId="5C28F9B7">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6.3.1分包人应与其为履行分包合同而雇佣的人员建立劳动关系，并按法律规定保障劳动者的各项权利。</w:t>
      </w:r>
    </w:p>
    <w:p w14:paraId="2B00DADE">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6.3.2 除专用合同条款另有约定外，承包人应按专用合同条款约定的时间为分包人雇佣的人员提供必要的膳宿条件；膳宿条件应达到工程所在地行政管理机关的标准和要求。承包人应按工程所在地行政管理机关的标准和要求对劳务人员的宿舍和食堂进行管理。</w:t>
      </w:r>
    </w:p>
    <w:p w14:paraId="5AD93403">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 xml:space="preserve">6.3.3分包人获得的工程款应优先支付分包人雇佣人员的劳动报酬和劳务分包单位的劳务费用。分包人拖欠前述劳动报酬或劳务费用给本项目造成不利影响的，分包人应按照专用合同条款的约定承担违约责任。 </w:t>
      </w:r>
    </w:p>
    <w:p w14:paraId="59AD4E39">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294" w:name="_Toc371493196"/>
      <w:bookmarkStart w:id="295" w:name="_Toc351203542"/>
      <w:bookmarkStart w:id="296" w:name="_Toc389586338"/>
      <w:bookmarkStart w:id="297" w:name="_Toc337558767"/>
      <w:r>
        <w:rPr>
          <w:rFonts w:hint="eastAsia" w:ascii="宋体" w:hAnsi="宋体" w:eastAsia="宋体" w:cs="仿宋"/>
          <w:b/>
          <w:bCs/>
          <w:color w:val="000000" w:themeColor="text1"/>
          <w:kern w:val="0"/>
          <w:sz w:val="24"/>
          <w:highlight w:val="none"/>
          <w:lang w:val="zh-CN"/>
          <w14:textFill>
            <w14:solidFill>
              <w14:schemeClr w14:val="tx1"/>
            </w14:solidFill>
          </w14:textFill>
        </w:rPr>
        <w:t>7. 工期和进度</w:t>
      </w:r>
      <w:bookmarkEnd w:id="294"/>
      <w:bookmarkEnd w:id="295"/>
      <w:bookmarkEnd w:id="296"/>
    </w:p>
    <w:bookmarkEnd w:id="297"/>
    <w:p w14:paraId="689ED990">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298" w:name="_Toc371493197"/>
      <w:bookmarkStart w:id="299" w:name="_Toc351203543"/>
      <w:bookmarkStart w:id="300" w:name="_Toc389586339"/>
      <w:bookmarkStart w:id="301" w:name="_Toc337558768"/>
      <w:bookmarkStart w:id="302" w:name="_Toc296346567"/>
      <w:bookmarkStart w:id="303" w:name="_Toc296503066"/>
      <w:r>
        <w:rPr>
          <w:rFonts w:hint="eastAsia" w:ascii="宋体" w:hAnsi="宋体" w:eastAsia="宋体" w:cs="仿宋"/>
          <w:b/>
          <w:color w:val="000000" w:themeColor="text1"/>
          <w:kern w:val="0"/>
          <w:sz w:val="24"/>
          <w:highlight w:val="none"/>
          <w:lang w:val="zh-CN"/>
          <w14:textFill>
            <w14:solidFill>
              <w14:schemeClr w14:val="tx1"/>
            </w14:solidFill>
          </w14:textFill>
        </w:rPr>
        <w:t>7.1 施工组织</w:t>
      </w:r>
      <w:bookmarkEnd w:id="298"/>
      <w:bookmarkEnd w:id="299"/>
      <w:bookmarkEnd w:id="300"/>
    </w:p>
    <w:bookmarkEnd w:id="301"/>
    <w:p w14:paraId="310D68FE">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7.1.1</w:t>
      </w:r>
      <w:r>
        <w:rPr>
          <w:rFonts w:hint="eastAsia" w:ascii="宋体" w:hAnsi="宋体" w:eastAsia="宋体" w:cs="仿宋"/>
          <w:color w:val="000000" w:themeColor="text1"/>
          <w:kern w:val="0"/>
          <w:sz w:val="24"/>
          <w:highlight w:val="none"/>
          <w14:textFill>
            <w14:solidFill>
              <w14:schemeClr w14:val="tx1"/>
            </w14:solidFill>
          </w14:textFill>
        </w:rPr>
        <w:t>施工组织设计的编制和批准</w:t>
      </w:r>
    </w:p>
    <w:p w14:paraId="6A819F87">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除专用合同条款另有约定外，分包人应在分包合同签订后7天内，至迟不得晚于实际开工日期前7天，向承包人提交分包工程详细施工组织设计。除专用合同条款另有约定外，承包人应在收到施工组织设计后7天内确认或提出修改意见。对承包人提出的合理意见和要求，分包人应予以修改完善。分包人未在前述期限内提交施工组织设计，或承包人未在前述期限内确认或提出修改意见的，应按专用合同条款的约定承担违约责任。</w:t>
      </w:r>
    </w:p>
    <w:p w14:paraId="09D1F449">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经承包人批准的施工组织设计是分包合同当事人控制分包工程进度的依据。需要修改施工组织设计的，分包人应向承包人提交修改后的施工组织设计并获得承包人的批准。</w:t>
      </w:r>
    </w:p>
    <w:p w14:paraId="569539C2">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7.1.2 交叉作业的工期管理</w:t>
      </w:r>
    </w:p>
    <w:p w14:paraId="35D5ABE2">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承包人应严格按总包工程施工组织设计对分包工程及其他工程的工期进行管理，并按分包工程施工组织设计向分包人提供正常施工所需的施工条件。因其他工程原因影响分包工程正常施工时，承包人应及时通知分包人，分包人应立即调整施工组织设计并取得承包人批准，因此产生的费用和（或）延误的工期由承包人承担。</w:t>
      </w:r>
    </w:p>
    <w:p w14:paraId="612FBFDC">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人应按经批准的施工组织设计组织分包工程的施工，在施工过程中应配合其他工程的施工。由于分包人原因造成分包工程施工影响其他工程正常施工的，分包人应立即通知承包人，调整施工组织设计并取得承包人批准，因此产生的费用和（或）延误的工期由分包人承担。</w:t>
      </w:r>
    </w:p>
    <w:p w14:paraId="7FE0550D">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7.1.3 劳动力保障</w:t>
      </w:r>
    </w:p>
    <w:p w14:paraId="5C2BD6C5">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人应按照经批准的施工组织设计保证劳动力投入。因分包人劳动力短缺导致分包工程进度滞后的，分包人应在收到承包人书面通知后7日内补足劳动力，否则，承包人有权解除分包合同或取消分包人部分工作，且分包人应按照专用合同条款的约定承担违约责任。</w:t>
      </w:r>
    </w:p>
    <w:p w14:paraId="18DB37EF">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304" w:name="_Toc389586340"/>
      <w:bookmarkStart w:id="305" w:name="_Toc371493199"/>
      <w:bookmarkStart w:id="306" w:name="_Toc351203545"/>
      <w:bookmarkStart w:id="307" w:name="_Toc337558770"/>
      <w:r>
        <w:rPr>
          <w:rFonts w:hint="eastAsia" w:ascii="宋体" w:hAnsi="宋体" w:eastAsia="宋体" w:cs="仿宋"/>
          <w:b/>
          <w:color w:val="000000" w:themeColor="text1"/>
          <w:kern w:val="0"/>
          <w:sz w:val="24"/>
          <w:highlight w:val="none"/>
          <w:lang w:val="zh-CN"/>
          <w14:textFill>
            <w14:solidFill>
              <w14:schemeClr w14:val="tx1"/>
            </w14:solidFill>
          </w14:textFill>
        </w:rPr>
        <w:t>7.2 开工</w:t>
      </w:r>
      <w:bookmarkEnd w:id="304"/>
      <w:bookmarkEnd w:id="305"/>
      <w:bookmarkEnd w:id="306"/>
    </w:p>
    <w:bookmarkEnd w:id="307"/>
    <w:p w14:paraId="2CFD82AC">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承包人应在计划开工日期/前按照分包合同约定依法向分包人发出开工通知，工期自开工通知中载明的开工日期起算。</w:t>
      </w:r>
    </w:p>
    <w:p w14:paraId="148AD8D4">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308" w:name="_Toc351203546"/>
      <w:bookmarkStart w:id="309" w:name="_Toc389586341"/>
      <w:bookmarkStart w:id="310" w:name="_Toc371493200"/>
      <w:r>
        <w:rPr>
          <w:rFonts w:hint="eastAsia" w:ascii="宋体" w:hAnsi="宋体" w:eastAsia="宋体" w:cs="仿宋"/>
          <w:b/>
          <w:color w:val="000000" w:themeColor="text1"/>
          <w:kern w:val="0"/>
          <w:sz w:val="24"/>
          <w:highlight w:val="none"/>
          <w:lang w:val="zh-CN"/>
          <w14:textFill>
            <w14:solidFill>
              <w14:schemeClr w14:val="tx1"/>
            </w14:solidFill>
          </w14:textFill>
        </w:rPr>
        <w:t>7.3 测量放线</w:t>
      </w:r>
      <w:bookmarkEnd w:id="308"/>
      <w:bookmarkEnd w:id="309"/>
      <w:bookmarkEnd w:id="310"/>
    </w:p>
    <w:p w14:paraId="2DACF66A">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7.3.1 除专用合同条款另有约定外，承包人应在实际开工日期3天前向分包人提供测量基准点、基准线和水准点及其书面资料。分包人发现承包人提供的测量基准点、基准线和水准点及其书面资料存在错误或疏漏的，应及时通知承包人。承包人应及时发出指令。</w:t>
      </w:r>
    </w:p>
    <w:p w14:paraId="5F75F93A">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7.3.2 分包人负责分包工程施工过程中的测量放线工作。分包人应矫正分包工程的位置、标高、尺寸或准线中出现的任何差错，并对分包工程各部分的定位负责。分包人负责对施工场地内水准点等测量标志物进行保护。</w:t>
      </w:r>
      <w:bookmarkStart w:id="311" w:name="_Toc351203547"/>
    </w:p>
    <w:bookmarkEnd w:id="302"/>
    <w:bookmarkEnd w:id="303"/>
    <w:p w14:paraId="4BE7132A">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312" w:name="_Toc371493201"/>
      <w:bookmarkStart w:id="313" w:name="_Toc389586342"/>
      <w:bookmarkStart w:id="314" w:name="_Toc296346574"/>
      <w:bookmarkStart w:id="315" w:name="_Toc296503073"/>
      <w:bookmarkStart w:id="316" w:name="_Toc337558772"/>
      <w:r>
        <w:rPr>
          <w:rFonts w:hint="eastAsia" w:ascii="宋体" w:hAnsi="宋体" w:eastAsia="宋体" w:cs="仿宋"/>
          <w:b/>
          <w:color w:val="000000" w:themeColor="text1"/>
          <w:kern w:val="0"/>
          <w:sz w:val="24"/>
          <w:highlight w:val="none"/>
          <w:lang w:val="zh-CN"/>
          <w14:textFill>
            <w14:solidFill>
              <w14:schemeClr w14:val="tx1"/>
            </w14:solidFill>
          </w14:textFill>
        </w:rPr>
        <w:t>7.4 工期延误</w:t>
      </w:r>
      <w:bookmarkEnd w:id="311"/>
      <w:bookmarkEnd w:id="312"/>
      <w:bookmarkEnd w:id="313"/>
    </w:p>
    <w:bookmarkEnd w:id="314"/>
    <w:bookmarkEnd w:id="315"/>
    <w:bookmarkEnd w:id="316"/>
    <w:p w14:paraId="7AD71E14">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 xml:space="preserve">7.4.1 分包合同履行过程中，非因分包人原因造成工期延误的，工期根据发包人指令调整，发包人向承包人支付相关费用及合理利润的，承包人同比例向分包人支付。发包人未向承包人支付相关费用及合理利润的，承包人无须向分包人支付。 </w:t>
      </w:r>
    </w:p>
    <w:p w14:paraId="29A9CDB8">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 xml:space="preserve">7.4.2 </w:t>
      </w:r>
      <w:bookmarkStart w:id="317" w:name="_Toc296503076"/>
      <w:bookmarkStart w:id="318" w:name="_Toc296346577"/>
      <w:r>
        <w:rPr>
          <w:rFonts w:hint="eastAsia" w:ascii="宋体" w:hAnsi="宋体" w:eastAsia="宋体" w:cs="仿宋"/>
          <w:color w:val="000000" w:themeColor="text1"/>
          <w:kern w:val="0"/>
          <w:sz w:val="24"/>
          <w:highlight w:val="none"/>
          <w14:textFill>
            <w14:solidFill>
              <w14:schemeClr w14:val="tx1"/>
            </w14:solidFill>
          </w14:textFill>
        </w:rPr>
        <w:t>因</w:t>
      </w:r>
      <w:bookmarkEnd w:id="317"/>
      <w:bookmarkEnd w:id="318"/>
      <w:r>
        <w:rPr>
          <w:rFonts w:hint="eastAsia" w:ascii="宋体" w:hAnsi="宋体" w:eastAsia="宋体" w:cs="仿宋"/>
          <w:color w:val="000000" w:themeColor="text1"/>
          <w:kern w:val="0"/>
          <w:sz w:val="24"/>
          <w:highlight w:val="none"/>
          <w14:textFill>
            <w14:solidFill>
              <w14:schemeClr w14:val="tx1"/>
            </w14:solidFill>
          </w14:textFill>
        </w:rPr>
        <w:t>分包人原因造成工期延误的，分包人应按照专用合同条款的约定承担逾期完工的违约责任。分包人支付逾期完工违约金后，不免除或减轻分包人继续完成工程及修补缺陷的义务。</w:t>
      </w:r>
    </w:p>
    <w:p w14:paraId="7245C769">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319" w:name="_Toc351203548"/>
      <w:bookmarkStart w:id="320" w:name="_Toc371493202"/>
      <w:bookmarkStart w:id="321" w:name="_Toc389586343"/>
      <w:bookmarkStart w:id="322" w:name="_Toc337558773"/>
      <w:bookmarkStart w:id="323" w:name="_Toc296346575"/>
      <w:bookmarkStart w:id="324" w:name="_Toc296503074"/>
      <w:bookmarkStart w:id="325" w:name="_Toc296503077"/>
      <w:bookmarkStart w:id="326" w:name="_Toc296346578"/>
      <w:r>
        <w:rPr>
          <w:rFonts w:hint="eastAsia" w:ascii="宋体" w:hAnsi="宋体" w:eastAsia="宋体" w:cs="仿宋"/>
          <w:b/>
          <w:color w:val="000000" w:themeColor="text1"/>
          <w:kern w:val="0"/>
          <w:sz w:val="24"/>
          <w:highlight w:val="none"/>
          <w:lang w:val="zh-CN"/>
          <w14:textFill>
            <w14:solidFill>
              <w14:schemeClr w14:val="tx1"/>
            </w14:solidFill>
          </w14:textFill>
        </w:rPr>
        <w:t>7.5 不利物质条件</w:t>
      </w:r>
      <w:bookmarkEnd w:id="319"/>
      <w:bookmarkEnd w:id="320"/>
      <w:bookmarkEnd w:id="321"/>
    </w:p>
    <w:bookmarkEnd w:id="322"/>
    <w:bookmarkEnd w:id="323"/>
    <w:bookmarkEnd w:id="324"/>
    <w:p w14:paraId="79FFF07E">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不利物质条件是指有经验的分包人在施工场地遇到的不可预见的自然物质条件、非自然的物质障碍和污染物，包括地表以下物质条件和水文条件以及专用合同条款约定的其他情形，但不包括气候条件。</w:t>
      </w:r>
    </w:p>
    <w:p w14:paraId="6AB9FA99">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人遇到不利物质条件时，应采取克服不利物质条件的合理措施继续施工，并及时通知承包人。通知应载明不利物质条件的内容、分包人认为不可预见的理由以及需要采取的合理措施和因此发生的费用。分包人因采取合理措施而增加的费用和（或）延误的工期由承包人承担。</w:t>
      </w:r>
    </w:p>
    <w:p w14:paraId="7BCF9DEA">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327" w:name="_Toc389586344"/>
      <w:bookmarkStart w:id="328" w:name="_Toc351203549"/>
      <w:bookmarkStart w:id="329" w:name="_Toc371493203"/>
      <w:bookmarkStart w:id="330" w:name="_Toc296503075"/>
      <w:bookmarkStart w:id="331" w:name="_Toc337558774"/>
      <w:bookmarkStart w:id="332" w:name="_Toc296346576"/>
      <w:r>
        <w:rPr>
          <w:rFonts w:hint="eastAsia" w:ascii="宋体" w:hAnsi="宋体" w:eastAsia="宋体" w:cs="仿宋"/>
          <w:b/>
          <w:color w:val="000000" w:themeColor="text1"/>
          <w:kern w:val="0"/>
          <w:sz w:val="24"/>
          <w:highlight w:val="none"/>
          <w:lang w:val="zh-CN"/>
          <w14:textFill>
            <w14:solidFill>
              <w14:schemeClr w14:val="tx1"/>
            </w14:solidFill>
          </w14:textFill>
        </w:rPr>
        <w:t>7.6 异常恶劣的气候条件</w:t>
      </w:r>
      <w:bookmarkEnd w:id="327"/>
      <w:bookmarkEnd w:id="328"/>
      <w:bookmarkEnd w:id="329"/>
    </w:p>
    <w:bookmarkEnd w:id="330"/>
    <w:bookmarkEnd w:id="331"/>
    <w:bookmarkEnd w:id="332"/>
    <w:p w14:paraId="66EA0E25">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异常恶劣的气候条件是指在施工过程中遇到的，有经验的分包人在签订分包合同时不可预见的，对合同履行造成实质性影响的，但尚未构成不可抗力事件的恶劣气候条件。分包合同当事人可以在专用合同条款中约定异常恶劣的气候条件的具体情形。</w:t>
      </w:r>
    </w:p>
    <w:p w14:paraId="3C2D9043">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出现异常恶劣的气候条件时，分包人应及时通知承包人。通知应载明异常恶劣的气候条件的内容、分包人认为不可预见的理由以及因此发生的费用。分包人因异常恶劣的气候条件而增加的费用和（或）延误的工期由承包人承担。</w:t>
      </w:r>
      <w:bookmarkStart w:id="333" w:name="_Toc351203550"/>
    </w:p>
    <w:p w14:paraId="3B04269E">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334" w:name="_Toc389586345"/>
      <w:bookmarkStart w:id="335" w:name="_Toc371493204"/>
      <w:bookmarkStart w:id="336" w:name="_Toc337558775"/>
      <w:r>
        <w:rPr>
          <w:rFonts w:hint="eastAsia" w:ascii="宋体" w:hAnsi="宋体" w:eastAsia="宋体" w:cs="仿宋"/>
          <w:b/>
          <w:color w:val="000000" w:themeColor="text1"/>
          <w:kern w:val="0"/>
          <w:sz w:val="24"/>
          <w:highlight w:val="none"/>
          <w:lang w:val="zh-CN"/>
          <w14:textFill>
            <w14:solidFill>
              <w14:schemeClr w14:val="tx1"/>
            </w14:solidFill>
          </w14:textFill>
        </w:rPr>
        <w:t>7.7 暂停施工</w:t>
      </w:r>
      <w:bookmarkEnd w:id="333"/>
      <w:bookmarkEnd w:id="334"/>
      <w:bookmarkEnd w:id="335"/>
    </w:p>
    <w:bookmarkEnd w:id="325"/>
    <w:bookmarkEnd w:id="326"/>
    <w:bookmarkEnd w:id="336"/>
    <w:p w14:paraId="294A51CB">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7.7.1发包人指示暂停施工的或因承包人原因引起暂停施工的，承包人应及时下达暂停施工指令，分包人应按承包人指令暂停施工，承包人应承担由此增加的费用和（或）延误的工期，发包人向承包人支付合理利润的，承包人同比例向分包人支付。发包人未向承包人支付合理利润的，承包人无须向分包人支付合理利润。</w:t>
      </w:r>
    </w:p>
    <w:p w14:paraId="23309CC8">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7.7.2 因分包人原因引起的暂停施工，分包人应承担由此增加的费用和（或）延误的工期，且分包人在收到承包人复工指示后28天内仍未复工的，视为分包人无法继续履行分包合同。</w:t>
      </w:r>
    </w:p>
    <w:p w14:paraId="1AFB7BCD">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7.7.3 暂停施工期间，分包人应负责妥善照管分包工程并提供安全保障，由此增加的费用由造成暂停施工的责任方承担。</w:t>
      </w:r>
    </w:p>
    <w:p w14:paraId="3CC92477">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7.7.4 暂停施工后的复工</w:t>
      </w:r>
    </w:p>
    <w:p w14:paraId="0B88BD87">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暂停施工后，承包人和分包人应采取有效措施积极消除暂停施工的影响。在分包工程复工前，承包人和分包人应确定因暂停施工造成的损失，并确定工程复工条件。当工程具备复工条件时，承包人向分包人发出复工通知，分包人应按照复工通知的要求复工。</w:t>
      </w:r>
    </w:p>
    <w:p w14:paraId="17DBA4C9">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分包人无故拖延或拒绝复工的，分包人承担由此增加的费用和（或）延误的工期；因承包人原因无法按时复工的，按照第7.4.1项执行。</w:t>
      </w:r>
    </w:p>
    <w:p w14:paraId="604D6419">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337" w:name="_Toc389586346"/>
      <w:bookmarkStart w:id="338" w:name="_Toc351203552"/>
      <w:bookmarkStart w:id="339" w:name="_Toc371493205"/>
      <w:bookmarkStart w:id="340" w:name="_Toc296346559"/>
      <w:bookmarkStart w:id="341" w:name="_Toc337558776"/>
      <w:bookmarkStart w:id="342" w:name="_Toc296503058"/>
      <w:r>
        <w:rPr>
          <w:rFonts w:hint="eastAsia" w:ascii="宋体" w:hAnsi="宋体" w:eastAsia="宋体" w:cs="仿宋"/>
          <w:b/>
          <w:bCs/>
          <w:color w:val="000000" w:themeColor="text1"/>
          <w:kern w:val="0"/>
          <w:sz w:val="24"/>
          <w:highlight w:val="none"/>
          <w:lang w:val="zh-CN"/>
          <w14:textFill>
            <w14:solidFill>
              <w14:schemeClr w14:val="tx1"/>
            </w14:solidFill>
          </w14:textFill>
        </w:rPr>
        <w:t>8. 材料与设备</w:t>
      </w:r>
      <w:bookmarkEnd w:id="337"/>
      <w:bookmarkEnd w:id="338"/>
      <w:bookmarkEnd w:id="339"/>
    </w:p>
    <w:bookmarkEnd w:id="340"/>
    <w:bookmarkEnd w:id="341"/>
    <w:bookmarkEnd w:id="342"/>
    <w:p w14:paraId="1405EBF3">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343" w:name="_Toc351203553"/>
      <w:bookmarkStart w:id="344" w:name="_Toc371493206"/>
      <w:bookmarkStart w:id="345" w:name="_Toc389586347"/>
      <w:bookmarkStart w:id="346" w:name="_Toc296503059"/>
      <w:bookmarkStart w:id="347" w:name="_Toc296346560"/>
      <w:bookmarkStart w:id="348" w:name="_Toc337558777"/>
      <w:bookmarkStart w:id="349" w:name="_Toc468936960"/>
      <w:r>
        <w:rPr>
          <w:rFonts w:hint="eastAsia" w:ascii="宋体" w:hAnsi="宋体" w:eastAsia="宋体" w:cs="仿宋"/>
          <w:b/>
          <w:color w:val="000000" w:themeColor="text1"/>
          <w:kern w:val="0"/>
          <w:sz w:val="24"/>
          <w:highlight w:val="none"/>
          <w:lang w:val="zh-CN"/>
          <w14:textFill>
            <w14:solidFill>
              <w14:schemeClr w14:val="tx1"/>
            </w14:solidFill>
          </w14:textFill>
        </w:rPr>
        <w:t>8.1 承包人供应材料与工程设备</w:t>
      </w:r>
      <w:bookmarkEnd w:id="343"/>
      <w:bookmarkEnd w:id="344"/>
      <w:bookmarkEnd w:id="345"/>
    </w:p>
    <w:bookmarkEnd w:id="346"/>
    <w:bookmarkEnd w:id="347"/>
    <w:bookmarkEnd w:id="348"/>
    <w:p w14:paraId="42398D16">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8.1.1承包人供应材料和工程设备的，承包人应向分包人提供合格证明及出厂证明，并对其质量负责。</w:t>
      </w:r>
    </w:p>
    <w:p w14:paraId="34E66D98">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8.1.2分包人应在分包合同签订后7日内根据图纸和专用合同条款约定的损耗率计算承包人供应材料和工程设备的数量，并编制材料和工程设备的供应计划，主要内容包括品种、规格、型号、暂定数量、单价、质量等级和送达地点，并作为施工组织设计组成部分报承包人审核。由于变更等原因引起承包人供应范围内的材料或设备数量、规格的变化，分包人应在收到变更指令5天内调整供应计划并报承包人审核。</w:t>
      </w:r>
    </w:p>
    <w:p w14:paraId="07072994">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8.1.3除专用合同条款另有约定外，分包人应提前28天以书面形式通知承包人供应材料、工程设备的进场时间。因迟延通知导致进场日期迟延的，分包人承担增加的费用和（或）延误的工期。</w:t>
      </w:r>
    </w:p>
    <w:p w14:paraId="38D2BF93">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人提交的供应计划中的承包人供应数量计算错误，且供应计划中的数量少于实际使用数量的，缺少部分由分包人补齐并承担因此发生的费用和（或）延误的工期；供应计划中的数量多于实际使用数量，则因处理超出部分而发生的全部费用由分包人承担。</w:t>
      </w:r>
    </w:p>
    <w:p w14:paraId="080C35B6">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分包人提交的供应计划中的承包人供应材料、工程设备的规格错误并因此导致承包人供应的材料、工程设备不符合分包合同约定的，承包人重新供应，由分包人承担因此增加的费用和（或）延误的工期。</w:t>
      </w:r>
    </w:p>
    <w:p w14:paraId="57752949">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8.1.4 承包人供应材料和工程设备的，承包人应提前24小时以书面形式通知分包人材料和工程设备到货时间，由分包人负责材料和工程设备的清点、检验和接收。承包人提供的材料和工程设备的规格、数量或质量不符合分包合同约定的，分包人有权拒绝接收并要求承包人更换。因承包人原因导致交货日期延误或交货地点变更等情况的，由承包人承担增加的费用和（或）延误的工期。</w:t>
      </w:r>
    </w:p>
    <w:p w14:paraId="44BDA8C4">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350" w:name="_Toc389586348"/>
      <w:bookmarkStart w:id="351" w:name="_Toc351203554"/>
      <w:bookmarkStart w:id="352" w:name="_Toc371493207"/>
      <w:bookmarkStart w:id="353" w:name="_Toc296503060"/>
      <w:bookmarkStart w:id="354" w:name="_Toc337558778"/>
      <w:bookmarkStart w:id="355" w:name="_Toc296346561"/>
      <w:r>
        <w:rPr>
          <w:rFonts w:hint="eastAsia" w:ascii="宋体" w:hAnsi="宋体" w:eastAsia="宋体" w:cs="仿宋"/>
          <w:b/>
          <w:color w:val="000000" w:themeColor="text1"/>
          <w:kern w:val="0"/>
          <w:sz w:val="24"/>
          <w:highlight w:val="none"/>
          <w:lang w:val="zh-CN"/>
          <w14:textFill>
            <w14:solidFill>
              <w14:schemeClr w14:val="tx1"/>
            </w14:solidFill>
          </w14:textFill>
        </w:rPr>
        <w:t>8.2 分包人供应材料与工程设备</w:t>
      </w:r>
      <w:bookmarkEnd w:id="350"/>
      <w:bookmarkEnd w:id="351"/>
      <w:bookmarkEnd w:id="352"/>
    </w:p>
    <w:bookmarkEnd w:id="353"/>
    <w:bookmarkEnd w:id="354"/>
    <w:bookmarkEnd w:id="355"/>
    <w:p w14:paraId="3B00397A">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8.2.1 分包人应按照图纸和有关标准要求采购材料、工程设备，提供材料、工程设备合格证明及出厂证明，并对材料、工程设备质量负责。分包合同约定由分包人采购的材料、工程设备，承包人不得指定生产厂家或供应商，承包人指定生产厂家或供应商的，分包人有权拒绝，承包人应按专用合同条款的约定承担违约责任。</w:t>
      </w:r>
    </w:p>
    <w:p w14:paraId="12A9C1BC">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8.2.2 分包人采购的材料和工程设备，分包人应在材料和工程设备到货前24小时通知承包人检验。分包人采购的材料和工程设备不符合图纸或有关标准要求时，分包人应在承包人要求的合理期限内将不符合设计或有关标准要求的材料、工程设备运出施工场地，并重新采购符合要求的材料、工程设备，由此增加的费用和（或）延误的工期，由分包人承担。</w:t>
      </w:r>
    </w:p>
    <w:p w14:paraId="1579F68E">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356" w:name="_Toc351203556"/>
      <w:bookmarkStart w:id="357" w:name="_Toc389586349"/>
      <w:bookmarkStart w:id="358" w:name="_Toc371493209"/>
      <w:bookmarkStart w:id="359" w:name="_Toc296346563"/>
      <w:bookmarkStart w:id="360" w:name="_Toc337558780"/>
      <w:bookmarkStart w:id="361" w:name="_Toc296503062"/>
      <w:r>
        <w:rPr>
          <w:rFonts w:hint="eastAsia" w:ascii="宋体" w:hAnsi="宋体" w:eastAsia="宋体" w:cs="仿宋"/>
          <w:b/>
          <w:color w:val="000000" w:themeColor="text1"/>
          <w:kern w:val="0"/>
          <w:sz w:val="24"/>
          <w:highlight w:val="none"/>
          <w:lang w:val="zh-CN"/>
          <w14:textFill>
            <w14:solidFill>
              <w14:schemeClr w14:val="tx1"/>
            </w14:solidFill>
          </w14:textFill>
        </w:rPr>
        <w:t>8.3 材料与工程设备的保管与使用</w:t>
      </w:r>
      <w:bookmarkEnd w:id="356"/>
      <w:bookmarkEnd w:id="357"/>
      <w:bookmarkEnd w:id="358"/>
    </w:p>
    <w:bookmarkEnd w:id="359"/>
    <w:bookmarkEnd w:id="360"/>
    <w:bookmarkEnd w:id="361"/>
    <w:p w14:paraId="02F47457">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8.3.1 承包人和分包人供应的材料和工程设备，分包人清点、检验后负责保管，保管费用已包含在签约合同价内。发生丢失毁损的，由分包人负责赔偿。</w:t>
      </w:r>
    </w:p>
    <w:p w14:paraId="771FDD68">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8.3.2 承包人和分包人供应的材料和工程设备使用前，法律规定必须进行检验或试验的，由分包人负责检验或试验，检验费用已包含在签约合同价内，检验或试验不合格的不得使用。</w:t>
      </w:r>
    </w:p>
    <w:p w14:paraId="1C7DDAA4">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362" w:name="_Toc351203558"/>
      <w:bookmarkStart w:id="363" w:name="_Toc371493210"/>
      <w:bookmarkStart w:id="364" w:name="_Toc389586350"/>
      <w:r>
        <w:rPr>
          <w:rFonts w:hint="eastAsia" w:ascii="宋体" w:hAnsi="宋体" w:eastAsia="宋体" w:cs="仿宋"/>
          <w:b/>
          <w:color w:val="000000" w:themeColor="text1"/>
          <w:kern w:val="0"/>
          <w:sz w:val="24"/>
          <w:highlight w:val="none"/>
          <w:lang w:val="zh-CN"/>
          <w14:textFill>
            <w14:solidFill>
              <w14:schemeClr w14:val="tx1"/>
            </w14:solidFill>
          </w14:textFill>
        </w:rPr>
        <w:t>8.4 样品</w:t>
      </w:r>
      <w:bookmarkEnd w:id="362"/>
      <w:bookmarkEnd w:id="363"/>
      <w:bookmarkEnd w:id="364"/>
    </w:p>
    <w:p w14:paraId="233999BA">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需要分包人报送样品的材料或工程设备，样品的种类、名称、规格、数量均应在专用合同条款中约定。样品的报送、封存及保管事宜按总包合同的约定执行，分包人应履行总包合同对应条款中约定的承包人义务。</w:t>
      </w:r>
    </w:p>
    <w:p w14:paraId="73CB275E">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365" w:name="_Toc389586351"/>
      <w:bookmarkStart w:id="366" w:name="_Toc351203559"/>
      <w:bookmarkStart w:id="367" w:name="_Toc371493211"/>
      <w:r>
        <w:rPr>
          <w:rFonts w:hint="eastAsia" w:ascii="宋体" w:hAnsi="宋体" w:eastAsia="宋体" w:cs="仿宋"/>
          <w:b/>
          <w:color w:val="000000" w:themeColor="text1"/>
          <w:kern w:val="0"/>
          <w:sz w:val="24"/>
          <w:highlight w:val="none"/>
          <w:lang w:val="zh-CN"/>
          <w14:textFill>
            <w14:solidFill>
              <w14:schemeClr w14:val="tx1"/>
            </w14:solidFill>
          </w14:textFill>
        </w:rPr>
        <w:t>8.5 材料与工程设备的替代</w:t>
      </w:r>
      <w:bookmarkEnd w:id="365"/>
      <w:bookmarkEnd w:id="366"/>
      <w:bookmarkEnd w:id="367"/>
    </w:p>
    <w:p w14:paraId="53B24732">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除专用合同条款另有约定外，材料与工程设备的替代按总包合同的约定执行，分包人应履行总包合同对应条款中约定的承包人义务。</w:t>
      </w:r>
    </w:p>
    <w:p w14:paraId="7962215A">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368" w:name="_Toc351203560"/>
      <w:bookmarkStart w:id="369" w:name="_Toc389586352"/>
      <w:bookmarkStart w:id="370" w:name="_Toc371493212"/>
      <w:r>
        <w:rPr>
          <w:rFonts w:hint="eastAsia" w:ascii="宋体" w:hAnsi="宋体" w:eastAsia="宋体" w:cs="仿宋"/>
          <w:b/>
          <w:color w:val="000000" w:themeColor="text1"/>
          <w:kern w:val="0"/>
          <w:sz w:val="24"/>
          <w:highlight w:val="none"/>
          <w:lang w:val="zh-CN"/>
          <w14:textFill>
            <w14:solidFill>
              <w14:schemeClr w14:val="tx1"/>
            </w14:solidFill>
          </w14:textFill>
        </w:rPr>
        <w:t>8.6 施工设备和临时设施</w:t>
      </w:r>
      <w:bookmarkEnd w:id="368"/>
      <w:bookmarkEnd w:id="369"/>
      <w:bookmarkEnd w:id="370"/>
    </w:p>
    <w:p w14:paraId="44A671E1">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8.6.1 承包人提供的施工设备和临时设施在专用合同条款中约定。</w:t>
      </w:r>
    </w:p>
    <w:p w14:paraId="406BAC11">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8.6.2 分包人应按分包合同的要求及时配置施工设备和修建临时设施。施工设备应符合经承包人批准的施工组织设计。分包人更换分包合同约定的施工设备的，应报承包人批准。</w:t>
      </w:r>
    </w:p>
    <w:p w14:paraId="7DB4CE28">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8.6.3分包人提供的施工设备不能满足施工组织设计和（或）分包工程质量要求时，承包人有权要求分包人增加或更换施工设备，分包人应及时增加或更换，由此增加的费用和（或）延误的工期由分包人承担。</w:t>
      </w:r>
    </w:p>
    <w:p w14:paraId="1C55C766">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371" w:name="_Toc351203561"/>
      <w:bookmarkStart w:id="372" w:name="_Toc389586353"/>
      <w:bookmarkStart w:id="373" w:name="_Toc371493213"/>
      <w:bookmarkStart w:id="374" w:name="_Toc296503063"/>
      <w:bookmarkStart w:id="375" w:name="_Toc296346564"/>
      <w:bookmarkStart w:id="376" w:name="_Toc337558781"/>
      <w:r>
        <w:rPr>
          <w:rFonts w:hint="eastAsia" w:ascii="宋体" w:hAnsi="宋体" w:eastAsia="宋体" w:cs="仿宋"/>
          <w:b/>
          <w:color w:val="000000" w:themeColor="text1"/>
          <w:kern w:val="0"/>
          <w:sz w:val="24"/>
          <w:highlight w:val="none"/>
          <w:lang w:val="zh-CN"/>
          <w14:textFill>
            <w14:solidFill>
              <w14:schemeClr w14:val="tx1"/>
            </w14:solidFill>
          </w14:textFill>
        </w:rPr>
        <w:t>8.7 材料与设备专用</w:t>
      </w:r>
      <w:bookmarkEnd w:id="371"/>
      <w:bookmarkEnd w:id="372"/>
      <w:bookmarkEnd w:id="373"/>
    </w:p>
    <w:bookmarkEnd w:id="374"/>
    <w:bookmarkEnd w:id="375"/>
    <w:bookmarkEnd w:id="376"/>
    <w:p w14:paraId="21CF5911">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分包人运入施工场地的材料、工程设备、施工设备以及在施工场地建设的临时设施，包括备品备件、安装工具与资料，必须专用于分包工程。未经承包人批准，分包人不得运出施工场地或挪作他用；</w:t>
      </w:r>
      <w:bookmarkEnd w:id="349"/>
      <w:r>
        <w:rPr>
          <w:rFonts w:hint="eastAsia" w:ascii="宋体" w:hAnsi="宋体" w:eastAsia="宋体" w:cs="仿宋"/>
          <w:color w:val="000000" w:themeColor="text1"/>
          <w:kern w:val="0"/>
          <w:sz w:val="24"/>
          <w:highlight w:val="none"/>
          <w14:textFill>
            <w14:solidFill>
              <w14:schemeClr w14:val="tx1"/>
            </w14:solidFill>
          </w14:textFill>
        </w:rPr>
        <w:t>经承包人批准，分包人可以根据施工进度计划撤走闲置的施工设备和其他物品。</w:t>
      </w:r>
    </w:p>
    <w:p w14:paraId="2A989FD1">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377" w:name="_Toc389586354"/>
      <w:bookmarkStart w:id="378" w:name="_Toc371493214"/>
      <w:bookmarkStart w:id="379" w:name="_Toc351203562"/>
      <w:bookmarkStart w:id="380" w:name="_Toc337558782"/>
      <w:bookmarkStart w:id="381" w:name="_Toc296503083"/>
      <w:bookmarkStart w:id="382" w:name="_Toc296346584"/>
      <w:r>
        <w:rPr>
          <w:rFonts w:hint="eastAsia" w:ascii="宋体" w:hAnsi="宋体" w:eastAsia="宋体" w:cs="仿宋"/>
          <w:b/>
          <w:bCs/>
          <w:color w:val="000000" w:themeColor="text1"/>
          <w:kern w:val="0"/>
          <w:sz w:val="24"/>
          <w:highlight w:val="none"/>
          <w:lang w:val="zh-CN"/>
          <w14:textFill>
            <w14:solidFill>
              <w14:schemeClr w14:val="tx1"/>
            </w14:solidFill>
          </w14:textFill>
        </w:rPr>
        <w:t>9.试验和检验</w:t>
      </w:r>
      <w:bookmarkEnd w:id="377"/>
      <w:bookmarkEnd w:id="378"/>
      <w:bookmarkEnd w:id="379"/>
    </w:p>
    <w:bookmarkEnd w:id="380"/>
    <w:p w14:paraId="3C37E912">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除专用合同条款另有约定外，试验和检验按总包合同的约定进行，由分包人履行总包合同对应条款中的承包人义务。</w:t>
      </w:r>
    </w:p>
    <w:p w14:paraId="47F530B4">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383" w:name="_Toc351203567"/>
      <w:bookmarkStart w:id="384" w:name="_Toc371493218"/>
      <w:bookmarkStart w:id="385" w:name="_Toc389586355"/>
      <w:bookmarkStart w:id="386" w:name="_Toc337558787"/>
      <w:r>
        <w:rPr>
          <w:rFonts w:hint="eastAsia" w:ascii="宋体" w:hAnsi="宋体" w:eastAsia="宋体" w:cs="仿宋"/>
          <w:b/>
          <w:bCs/>
          <w:color w:val="000000" w:themeColor="text1"/>
          <w:kern w:val="0"/>
          <w:sz w:val="24"/>
          <w:highlight w:val="none"/>
          <w:lang w:val="zh-CN"/>
          <w14:textFill>
            <w14:solidFill>
              <w14:schemeClr w14:val="tx1"/>
            </w14:solidFill>
          </w14:textFill>
        </w:rPr>
        <w:t>10. 分包合同变更</w:t>
      </w:r>
      <w:bookmarkEnd w:id="381"/>
      <w:bookmarkEnd w:id="382"/>
      <w:bookmarkEnd w:id="383"/>
      <w:bookmarkEnd w:id="384"/>
      <w:bookmarkEnd w:id="385"/>
    </w:p>
    <w:bookmarkEnd w:id="386"/>
    <w:p w14:paraId="245A4913">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387" w:name="_Toc351203568"/>
      <w:bookmarkStart w:id="388" w:name="_Toc389586356"/>
      <w:bookmarkStart w:id="389" w:name="_Toc371493219"/>
      <w:bookmarkStart w:id="390" w:name="_Toc337558788"/>
      <w:bookmarkStart w:id="391" w:name="_Toc296346585"/>
      <w:bookmarkStart w:id="392" w:name="_Toc296503084"/>
      <w:r>
        <w:rPr>
          <w:rFonts w:hint="eastAsia" w:ascii="宋体" w:hAnsi="宋体" w:eastAsia="宋体" w:cs="仿宋"/>
          <w:b/>
          <w:color w:val="000000" w:themeColor="text1"/>
          <w:kern w:val="0"/>
          <w:sz w:val="24"/>
          <w:highlight w:val="none"/>
          <w:lang w:val="zh-CN"/>
          <w14:textFill>
            <w14:solidFill>
              <w14:schemeClr w14:val="tx1"/>
            </w14:solidFill>
          </w14:textFill>
        </w:rPr>
        <w:t>10.1 分包合同变更的范围</w:t>
      </w:r>
      <w:bookmarkEnd w:id="387"/>
      <w:bookmarkEnd w:id="388"/>
      <w:bookmarkEnd w:id="389"/>
    </w:p>
    <w:bookmarkEnd w:id="390"/>
    <w:bookmarkEnd w:id="391"/>
    <w:bookmarkEnd w:id="392"/>
    <w:p w14:paraId="36B23605">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除专用合同条款另有约定外，分包合同履行过程中发生的以下情形属于变更：</w:t>
      </w:r>
    </w:p>
    <w:p w14:paraId="6DCF28AB">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（1）增加或减少分包合同中任何工作，或追加额外的工作；</w:t>
      </w:r>
    </w:p>
    <w:p w14:paraId="3F581392">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（2）取消分包合同中任何工作，但转由他人实施的工作除外；</w:t>
      </w:r>
    </w:p>
    <w:p w14:paraId="30F38DCC">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（3）改变分包合同中任何工作的质量标准或其他特性；</w:t>
      </w:r>
    </w:p>
    <w:p w14:paraId="0A93A913">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（4）改变分包工程的基线、标高、位置和尺寸；</w:t>
      </w:r>
    </w:p>
    <w:p w14:paraId="5DC9E8D6">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（5）改变分包工程的时间安排或实施顺序。</w:t>
      </w:r>
    </w:p>
    <w:p w14:paraId="25F636A8">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393" w:name="_Toc351203569"/>
      <w:bookmarkStart w:id="394" w:name="_Toc371493220"/>
      <w:bookmarkStart w:id="395" w:name="_Toc389586357"/>
      <w:bookmarkStart w:id="396" w:name="_Toc296503085"/>
      <w:bookmarkStart w:id="397" w:name="_Toc296346586"/>
      <w:bookmarkStart w:id="398" w:name="_Toc337558789"/>
      <w:r>
        <w:rPr>
          <w:rFonts w:hint="eastAsia" w:ascii="宋体" w:hAnsi="宋体" w:eastAsia="宋体" w:cs="仿宋"/>
          <w:b/>
          <w:color w:val="000000" w:themeColor="text1"/>
          <w:kern w:val="0"/>
          <w:sz w:val="24"/>
          <w:highlight w:val="none"/>
          <w:lang w:val="zh-CN"/>
          <w14:textFill>
            <w14:solidFill>
              <w14:schemeClr w14:val="tx1"/>
            </w14:solidFill>
          </w14:textFill>
        </w:rPr>
        <w:t>10.2 分包合同变更</w:t>
      </w:r>
      <w:bookmarkEnd w:id="393"/>
      <w:bookmarkEnd w:id="394"/>
      <w:r>
        <w:rPr>
          <w:rFonts w:hint="eastAsia" w:ascii="宋体" w:hAnsi="宋体" w:eastAsia="宋体" w:cs="仿宋"/>
          <w:b/>
          <w:color w:val="000000" w:themeColor="text1"/>
          <w:kern w:val="0"/>
          <w:sz w:val="24"/>
          <w:highlight w:val="none"/>
          <w:lang w:val="zh-CN"/>
          <w14:textFill>
            <w14:solidFill>
              <w14:schemeClr w14:val="tx1"/>
            </w14:solidFill>
          </w14:textFill>
        </w:rPr>
        <w:t>的提出和执行</w:t>
      </w:r>
      <w:bookmarkEnd w:id="395"/>
    </w:p>
    <w:bookmarkEnd w:id="396"/>
    <w:bookmarkEnd w:id="397"/>
    <w:bookmarkEnd w:id="398"/>
    <w:p w14:paraId="719B877F">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人收到经承包人确认的发包人发出的变更指令或承包人发出的变更指令后，方可实施变更。未经许可，分包人不得擅自对工程的任何部分进行变更。涉及设计变更的，应由承包人提供设计人签署的变更后的图纸和说明。</w:t>
      </w:r>
    </w:p>
    <w:p w14:paraId="76AA0360">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分包人收到承包人下达的变更指令后，认为不能执行的，应在收到变更指令后24小时内提出不能执行的理由。分包人认为可以执行变更的，应按第10.3款【分包合同变更估价】确定变更估价。</w:t>
      </w:r>
    </w:p>
    <w:p w14:paraId="73507DF9">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399" w:name="_Toc371493221"/>
      <w:bookmarkStart w:id="400" w:name="_Toc351203571"/>
      <w:bookmarkStart w:id="401" w:name="_Toc389586358"/>
      <w:bookmarkStart w:id="402" w:name="_Toc296346588"/>
      <w:bookmarkStart w:id="403" w:name="_Toc296503087"/>
      <w:bookmarkStart w:id="404" w:name="_Toc337558791"/>
      <w:r>
        <w:rPr>
          <w:rFonts w:hint="eastAsia" w:ascii="宋体" w:hAnsi="宋体" w:eastAsia="宋体" w:cs="仿宋"/>
          <w:b/>
          <w:color w:val="000000" w:themeColor="text1"/>
          <w:kern w:val="0"/>
          <w:sz w:val="24"/>
          <w:highlight w:val="none"/>
          <w:lang w:val="zh-CN"/>
          <w14:textFill>
            <w14:solidFill>
              <w14:schemeClr w14:val="tx1"/>
            </w14:solidFill>
          </w14:textFill>
        </w:rPr>
        <w:t>10.3 分包合同变更估价</w:t>
      </w:r>
      <w:bookmarkEnd w:id="399"/>
      <w:bookmarkEnd w:id="400"/>
      <w:bookmarkEnd w:id="401"/>
    </w:p>
    <w:bookmarkEnd w:id="402"/>
    <w:bookmarkEnd w:id="403"/>
    <w:bookmarkEnd w:id="404"/>
    <w:p w14:paraId="71FD9C49">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10.3.1 变更估价原则</w:t>
      </w:r>
    </w:p>
    <w:p w14:paraId="29618CD7">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除专用合同条款另有约定外，变更估价按照本项约定执行：</w:t>
      </w:r>
    </w:p>
    <w:p w14:paraId="1E64D260">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（1）已标价工程量清单或预算书有相同项目的，按照相同项目单价认定；</w:t>
      </w:r>
    </w:p>
    <w:p w14:paraId="1CE75E2E">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（2）已标价工程量清单或预算书中无相同项目，但有类似项目的，参照类似项目的单价认定；</w:t>
      </w:r>
    </w:p>
    <w:p w14:paraId="7314D21D">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3）变更导致实际完成的工程量与已标价工程量清单或预算书中列明的该项目工程量的变化幅度超过15%的，或已标价工程量清单或预算书中无相同项目及类似项目单价的，由合同当事人按照成本加合理利润的原则认定。</w:t>
      </w:r>
    </w:p>
    <w:p w14:paraId="00CDA6B6">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10.3.2 变更估价程序</w:t>
      </w:r>
    </w:p>
    <w:p w14:paraId="6C81577A">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除专用合同条款另有约定外，分包人应在收到变更指令后7天内向承包人提交变更估价申请。承包人对变更估价申请有异议的，应通知分包人修改后重新提交。因变更引起的价格调整应计入最近一期的进度款中支付。</w:t>
      </w:r>
    </w:p>
    <w:p w14:paraId="3905C87A">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405" w:name="_Toc389586359"/>
      <w:bookmarkStart w:id="406" w:name="_Toc371493222"/>
      <w:bookmarkStart w:id="407" w:name="_Toc351203572"/>
      <w:bookmarkStart w:id="408" w:name="_Toc296503094"/>
      <w:bookmarkStart w:id="409" w:name="_Toc296346595"/>
      <w:bookmarkStart w:id="410" w:name="_Toc337558792"/>
      <w:r>
        <w:rPr>
          <w:rFonts w:hint="eastAsia" w:ascii="宋体" w:hAnsi="宋体" w:eastAsia="宋体" w:cs="仿宋"/>
          <w:b/>
          <w:color w:val="000000" w:themeColor="text1"/>
          <w:kern w:val="0"/>
          <w:sz w:val="24"/>
          <w:highlight w:val="none"/>
          <w:lang w:val="zh-CN"/>
          <w14:textFill>
            <w14:solidFill>
              <w14:schemeClr w14:val="tx1"/>
            </w14:solidFill>
          </w14:textFill>
        </w:rPr>
        <w:t>10.4 分包人的合理化建议</w:t>
      </w:r>
      <w:bookmarkEnd w:id="405"/>
      <w:bookmarkEnd w:id="406"/>
      <w:bookmarkEnd w:id="407"/>
    </w:p>
    <w:bookmarkEnd w:id="408"/>
    <w:bookmarkEnd w:id="409"/>
    <w:bookmarkEnd w:id="410"/>
    <w:p w14:paraId="2DE8B794">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分包人可以向承包人提出合理化建议并说明实施该建议对分包合同价格和工期的影响。承包人批准前述合理化建议的，承包人应及时发出变更指令。承包人不同意前述合理化建议的，应书面通知分包人。</w:t>
      </w:r>
    </w:p>
    <w:p w14:paraId="53D778A3">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合理化建议降低了分包合同价格或者提高了分包工程经济效益的，承包人可对分包人给予奖励，奖励的方法和金额在专用合同条款中约定。</w:t>
      </w:r>
    </w:p>
    <w:p w14:paraId="0C3BF72F">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411" w:name="_Toc351203573"/>
      <w:bookmarkStart w:id="412" w:name="_Toc337558793"/>
      <w:bookmarkStart w:id="413" w:name="_Toc389586360"/>
      <w:bookmarkStart w:id="414" w:name="_Toc371493223"/>
      <w:r>
        <w:rPr>
          <w:rFonts w:hint="eastAsia" w:ascii="宋体" w:hAnsi="宋体" w:eastAsia="宋体" w:cs="仿宋"/>
          <w:b/>
          <w:color w:val="000000" w:themeColor="text1"/>
          <w:kern w:val="0"/>
          <w:sz w:val="24"/>
          <w:highlight w:val="none"/>
          <w:lang w:val="zh-CN"/>
          <w14:textFill>
            <w14:solidFill>
              <w14:schemeClr w14:val="tx1"/>
            </w14:solidFill>
          </w14:textFill>
        </w:rPr>
        <w:t>10.5 变更引起的工期调整</w:t>
      </w:r>
      <w:bookmarkEnd w:id="411"/>
      <w:bookmarkEnd w:id="412"/>
      <w:bookmarkEnd w:id="413"/>
      <w:bookmarkEnd w:id="414"/>
    </w:p>
    <w:p w14:paraId="7386841D">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因变更引起工期变化的，合同当事人均可要求调整分包合同工期，由合同当事人按专用合同条款约定的方法确定增减工期天数。</w:t>
      </w:r>
    </w:p>
    <w:p w14:paraId="0A8735AA">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415" w:name="_Toc389586361"/>
      <w:bookmarkStart w:id="416" w:name="_Toc296346592"/>
      <w:bookmarkStart w:id="417" w:name="_Toc296503091"/>
      <w:bookmarkStart w:id="418" w:name="_Toc351203576"/>
      <w:bookmarkStart w:id="419" w:name="_Toc371493225"/>
      <w:bookmarkStart w:id="420" w:name="_Toc337558796"/>
      <w:r>
        <w:rPr>
          <w:rFonts w:hint="eastAsia" w:ascii="宋体" w:hAnsi="宋体" w:eastAsia="宋体" w:cs="仿宋"/>
          <w:b/>
          <w:color w:val="000000" w:themeColor="text1"/>
          <w:kern w:val="0"/>
          <w:sz w:val="24"/>
          <w:highlight w:val="none"/>
          <w:lang w:val="zh-CN"/>
          <w14:textFill>
            <w14:solidFill>
              <w14:schemeClr w14:val="tx1"/>
            </w14:solidFill>
          </w14:textFill>
        </w:rPr>
        <w:t>10.6 计日工</w:t>
      </w:r>
      <w:bookmarkEnd w:id="415"/>
      <w:bookmarkEnd w:id="416"/>
      <w:bookmarkEnd w:id="417"/>
      <w:bookmarkEnd w:id="418"/>
      <w:bookmarkEnd w:id="419"/>
      <w:bookmarkEnd w:id="420"/>
    </w:p>
    <w:p w14:paraId="0022683E">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需要采用计日工方式的，承包人通知分包人以计日工计价方式实施相应的工作，其价款按已标价工程量清单或预算书中的计日工计价项目及其单价进行计算；已标价工程量清单或预算书中无相应的计日工单价的，由合同当事人按照成本加合理利润的原则确定计日工单价。</w:t>
      </w:r>
    </w:p>
    <w:p w14:paraId="4305CFD1">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采用计日工计价的工作，分包人应每天提交以下报表送承包人审查：</w:t>
      </w:r>
    </w:p>
    <w:p w14:paraId="51024EBB">
      <w:pPr>
        <w:wordWrap w:val="0"/>
        <w:spacing w:line="460" w:lineRule="exact"/>
        <w:ind w:firstLine="360" w:firstLineChars="15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（1）工作名称、内容和数量；</w:t>
      </w:r>
    </w:p>
    <w:p w14:paraId="609340EF">
      <w:pPr>
        <w:wordWrap w:val="0"/>
        <w:spacing w:line="460" w:lineRule="exact"/>
        <w:ind w:firstLine="360" w:firstLineChars="15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（2）投入该工作的所有人员的姓名、专业、工种、级别和耗用工时；</w:t>
      </w:r>
    </w:p>
    <w:p w14:paraId="0C2F0B56">
      <w:pPr>
        <w:wordWrap w:val="0"/>
        <w:spacing w:line="460" w:lineRule="exact"/>
        <w:ind w:firstLine="360" w:firstLineChars="15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（3）投入该工作的材料类别和数量；</w:t>
      </w:r>
    </w:p>
    <w:p w14:paraId="03D2950C">
      <w:pPr>
        <w:wordWrap w:val="0"/>
        <w:spacing w:line="460" w:lineRule="exact"/>
        <w:ind w:firstLine="360" w:firstLineChars="15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（4）投入该工作的施工设备型号、台数和耗用台班时；</w:t>
      </w:r>
    </w:p>
    <w:p w14:paraId="40ACA6AE">
      <w:pPr>
        <w:wordWrap w:val="0"/>
        <w:spacing w:line="460" w:lineRule="exact"/>
        <w:ind w:firstLine="360" w:firstLineChars="15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（5）其他有关资料和凭证。</w:t>
      </w:r>
    </w:p>
    <w:p w14:paraId="3A833954">
      <w:pPr>
        <w:wordWrap w:val="0"/>
        <w:spacing w:line="460" w:lineRule="exact"/>
        <w:ind w:firstLine="360" w:firstLineChars="15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 xml:space="preserve"> 计日工应计入最近一期的进度款中支付。</w:t>
      </w:r>
    </w:p>
    <w:p w14:paraId="573B165E">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421" w:name="_Toc389586362"/>
      <w:r>
        <w:rPr>
          <w:rFonts w:hint="eastAsia" w:ascii="宋体" w:hAnsi="宋体" w:eastAsia="宋体" w:cs="仿宋"/>
          <w:b/>
          <w:bCs/>
          <w:color w:val="000000" w:themeColor="text1"/>
          <w:kern w:val="0"/>
          <w:sz w:val="24"/>
          <w:highlight w:val="none"/>
          <w:lang w:val="zh-CN"/>
          <w14:textFill>
            <w14:solidFill>
              <w14:schemeClr w14:val="tx1"/>
            </w14:solidFill>
          </w14:textFill>
        </w:rPr>
        <w:t>11. 合同价格</w:t>
      </w:r>
      <w:bookmarkEnd w:id="421"/>
    </w:p>
    <w:p w14:paraId="10D5FF99">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 xml:space="preserve">承包人和分包人应在合同协议书中选择下列一种合同价格形式： </w:t>
      </w:r>
    </w:p>
    <w:p w14:paraId="7CBB5630">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1、单价合同</w:t>
      </w:r>
    </w:p>
    <w:p w14:paraId="39E665D3">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单价合同是指合同当事人约定以工程量清单及其综合单价进行合同价格计算、调整和确认的建设工程专业分包合同，</w:t>
      </w:r>
      <w:r>
        <w:rPr>
          <w:rFonts w:hint="eastAsia" w:ascii="宋体" w:hAnsi="宋体" w:eastAsia="宋体" w:cs="仿宋"/>
          <w:color w:val="000000" w:themeColor="text1"/>
          <w:sz w:val="24"/>
          <w:highlight w:val="none"/>
          <w14:textFill>
            <w14:solidFill>
              <w14:schemeClr w14:val="tx1"/>
            </w14:solidFill>
          </w14:textFill>
        </w:rPr>
        <w:t>在约定的风险范围内合同单价不作调整</w:t>
      </w:r>
      <w:r>
        <w:rPr>
          <w:rFonts w:hint="eastAsia" w:ascii="宋体" w:hAnsi="宋体" w:eastAsia="宋体" w:cs="仿宋"/>
          <w:color w:val="000000" w:themeColor="text1"/>
          <w:kern w:val="0"/>
          <w:sz w:val="24"/>
          <w:highlight w:val="none"/>
          <w14:textFill>
            <w14:solidFill>
              <w14:schemeClr w14:val="tx1"/>
            </w14:solidFill>
          </w14:textFill>
        </w:rPr>
        <w:t>。合同当事人应在专用合同条款中约定综合单价包含的风险范围和风险费用的计算方法</w:t>
      </w:r>
      <w:r>
        <w:rPr>
          <w:rFonts w:hint="eastAsia" w:ascii="宋体" w:hAnsi="宋体" w:eastAsia="宋体" w:cs="仿宋"/>
          <w:color w:val="000000" w:themeColor="text1"/>
          <w:sz w:val="24"/>
          <w:highlight w:val="none"/>
          <w14:textFill>
            <w14:solidFill>
              <w14:schemeClr w14:val="tx1"/>
            </w14:solidFill>
          </w14:textFill>
        </w:rPr>
        <w:t>，</w:t>
      </w:r>
      <w:r>
        <w:rPr>
          <w:rFonts w:hint="eastAsia" w:ascii="宋体" w:hAnsi="宋体" w:eastAsia="宋体" w:cs="仿宋"/>
          <w:color w:val="000000" w:themeColor="text1"/>
          <w:kern w:val="0"/>
          <w:sz w:val="24"/>
          <w:highlight w:val="none"/>
          <w14:textFill>
            <w14:solidFill>
              <w14:schemeClr w14:val="tx1"/>
            </w14:solidFill>
          </w14:textFill>
        </w:rPr>
        <w:t>并约定风险范围以外的合同价格的调整方法，其中因市场价格波动引起的调整按第12.1款【市场价格波动引起的调整】约定执行，因法律变化引起的调整按第12.2款【法律变化引起的调整】约定执行。</w:t>
      </w:r>
    </w:p>
    <w:p w14:paraId="56DD2931">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2、总价合同</w:t>
      </w:r>
    </w:p>
    <w:p w14:paraId="7D8218F6">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总价合同是指合同当事人约定以图纸、已标价工程量清单或预算书及有关条件进行合同价格计算、调整和确认的建设工程专业分包合同，</w:t>
      </w:r>
      <w:r>
        <w:rPr>
          <w:rFonts w:hint="eastAsia" w:ascii="宋体" w:hAnsi="宋体" w:eastAsia="宋体" w:cs="仿宋"/>
          <w:color w:val="000000" w:themeColor="text1"/>
          <w:sz w:val="24"/>
          <w:highlight w:val="none"/>
          <w14:textFill>
            <w14:solidFill>
              <w14:schemeClr w14:val="tx1"/>
            </w14:solidFill>
          </w14:textFill>
        </w:rPr>
        <w:t>在约定的风险范围内合同总价不作调整</w:t>
      </w:r>
      <w:r>
        <w:rPr>
          <w:rFonts w:hint="eastAsia" w:ascii="宋体" w:hAnsi="宋体" w:eastAsia="宋体" w:cs="仿宋"/>
          <w:color w:val="000000" w:themeColor="text1"/>
          <w:kern w:val="0"/>
          <w:sz w:val="24"/>
          <w:highlight w:val="none"/>
          <w14:textFill>
            <w14:solidFill>
              <w14:schemeClr w14:val="tx1"/>
            </w14:solidFill>
          </w14:textFill>
        </w:rPr>
        <w:t>。合同当事人应在专用合同条款中约定总价包含的风险范围和风险费用的计算方法，并约定风险范围以外的合同价格的调整方法，其中因市场价格波动引起的调整按第12.1款【市场价格波动引起的调整】约定执行，因法律变化引起的调整按第12.2款【法律变化引起的调整】约定执行。</w:t>
      </w:r>
    </w:p>
    <w:p w14:paraId="03047F3F">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3、其它价格形式</w:t>
      </w:r>
    </w:p>
    <w:p w14:paraId="5E923A53">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合同当事人可在专用合同条款中约定其他合同价格形式。</w:t>
      </w:r>
    </w:p>
    <w:p w14:paraId="2AD462F7">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422" w:name="_Toc351203577"/>
      <w:bookmarkStart w:id="423" w:name="_Toc389586363"/>
      <w:bookmarkStart w:id="424" w:name="_Toc371493226"/>
      <w:r>
        <w:rPr>
          <w:rFonts w:hint="eastAsia" w:ascii="宋体" w:hAnsi="宋体" w:eastAsia="宋体" w:cs="仿宋"/>
          <w:b/>
          <w:bCs/>
          <w:color w:val="000000" w:themeColor="text1"/>
          <w:kern w:val="0"/>
          <w:sz w:val="24"/>
          <w:highlight w:val="none"/>
          <w:lang w:val="zh-CN"/>
          <w14:textFill>
            <w14:solidFill>
              <w14:schemeClr w14:val="tx1"/>
            </w14:solidFill>
          </w14:textFill>
        </w:rPr>
        <w:t>12. 价格调整</w:t>
      </w:r>
      <w:bookmarkEnd w:id="422"/>
      <w:bookmarkEnd w:id="423"/>
      <w:bookmarkEnd w:id="424"/>
    </w:p>
    <w:p w14:paraId="30E55BEC">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425" w:name="_Toc371493227"/>
      <w:bookmarkStart w:id="426" w:name="_Toc351203578"/>
      <w:bookmarkStart w:id="427" w:name="_Toc389586364"/>
      <w:bookmarkStart w:id="428" w:name="_Toc296346593"/>
      <w:bookmarkStart w:id="429" w:name="_Toc337558797"/>
      <w:bookmarkStart w:id="430" w:name="_Toc296503092"/>
      <w:r>
        <w:rPr>
          <w:rFonts w:hint="eastAsia" w:ascii="宋体" w:hAnsi="宋体" w:eastAsia="宋体" w:cs="仿宋"/>
          <w:b/>
          <w:color w:val="000000" w:themeColor="text1"/>
          <w:kern w:val="0"/>
          <w:sz w:val="24"/>
          <w:highlight w:val="none"/>
          <w:lang w:val="zh-CN"/>
          <w14:textFill>
            <w14:solidFill>
              <w14:schemeClr w14:val="tx1"/>
            </w14:solidFill>
          </w14:textFill>
        </w:rPr>
        <w:t>12.1 市场价格波动引起的调整</w:t>
      </w:r>
      <w:bookmarkEnd w:id="425"/>
      <w:bookmarkEnd w:id="426"/>
      <w:bookmarkEnd w:id="427"/>
    </w:p>
    <w:bookmarkEnd w:id="428"/>
    <w:bookmarkEnd w:id="429"/>
    <w:bookmarkEnd w:id="430"/>
    <w:p w14:paraId="6A043D6E">
      <w:pPr>
        <w:wordWrap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除专用合同条款另有约定外，市场价格波动超过分包合同当事人约定的范围，分包合同价格应当调整。分包合同当事人可以在专用合同条款中约定市场价格波动超过当事人约定范围时进行价格调整的方式。</w:t>
      </w:r>
    </w:p>
    <w:p w14:paraId="3FB596DA">
      <w:pPr>
        <w:wordWrap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因市场价格波动引起的价格调整金额列入最近一期进度付款申请单，经承包人批准后列入进度付款。</w:t>
      </w:r>
    </w:p>
    <w:p w14:paraId="346906A2">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431" w:name="_Toc351203579"/>
      <w:bookmarkStart w:id="432" w:name="_Toc371493228"/>
      <w:bookmarkStart w:id="433" w:name="_Toc389586365"/>
      <w:bookmarkStart w:id="434" w:name="_Toc296503093"/>
      <w:bookmarkStart w:id="435" w:name="_Toc296346594"/>
      <w:bookmarkStart w:id="436" w:name="_Toc337558798"/>
      <w:r>
        <w:rPr>
          <w:rFonts w:hint="eastAsia" w:ascii="宋体" w:hAnsi="宋体" w:eastAsia="宋体" w:cs="仿宋"/>
          <w:b/>
          <w:color w:val="000000" w:themeColor="text1"/>
          <w:kern w:val="0"/>
          <w:sz w:val="24"/>
          <w:highlight w:val="none"/>
          <w:lang w:val="zh-CN"/>
          <w14:textFill>
            <w14:solidFill>
              <w14:schemeClr w14:val="tx1"/>
            </w14:solidFill>
          </w14:textFill>
        </w:rPr>
        <w:t>12.2 法律变化引起的调整</w:t>
      </w:r>
      <w:bookmarkEnd w:id="431"/>
      <w:bookmarkEnd w:id="432"/>
      <w:bookmarkEnd w:id="433"/>
    </w:p>
    <w:bookmarkEnd w:id="434"/>
    <w:bookmarkEnd w:id="435"/>
    <w:bookmarkEnd w:id="436"/>
    <w:p w14:paraId="3C303BBC">
      <w:pPr>
        <w:wordWrap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基准日期后，法律变化导致分包人在合同履行过程中所需要的费用发生除第12.1款【市场价格波动引起的调整】约定以外的增加时，由承包人承担由此增加的费用；减少时，应从合同价格中予以扣减。基准日期后，因法律变化造成工期延误时，工期应予以顺延。</w:t>
      </w:r>
    </w:p>
    <w:p w14:paraId="21706EB2">
      <w:pPr>
        <w:wordWrap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因法律变化引起的价格调整金额列入最近一期进度付款申请单，经承包人批准后列入进度付款。</w:t>
      </w:r>
    </w:p>
    <w:p w14:paraId="71535C82">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437" w:name="_Toc389586366"/>
      <w:bookmarkStart w:id="438" w:name="_Toc371493230"/>
      <w:bookmarkStart w:id="439" w:name="_Toc351203580"/>
      <w:bookmarkStart w:id="440" w:name="_Toc337558799"/>
      <w:bookmarkStart w:id="441" w:name="_Toc296346597"/>
      <w:bookmarkStart w:id="442" w:name="_Toc296503096"/>
      <w:r>
        <w:rPr>
          <w:rFonts w:hint="eastAsia" w:ascii="宋体" w:hAnsi="宋体" w:eastAsia="宋体" w:cs="仿宋"/>
          <w:b/>
          <w:bCs/>
          <w:color w:val="000000" w:themeColor="text1"/>
          <w:kern w:val="0"/>
          <w:sz w:val="24"/>
          <w:highlight w:val="none"/>
          <w:lang w:val="zh-CN"/>
          <w14:textFill>
            <w14:solidFill>
              <w14:schemeClr w14:val="tx1"/>
            </w14:solidFill>
          </w14:textFill>
        </w:rPr>
        <w:t>13. 计量</w:t>
      </w:r>
      <w:bookmarkEnd w:id="437"/>
    </w:p>
    <w:p w14:paraId="2610C9C2">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443" w:name="_Toc389586367"/>
      <w:r>
        <w:rPr>
          <w:rFonts w:hint="eastAsia" w:ascii="宋体" w:hAnsi="宋体" w:eastAsia="宋体" w:cs="仿宋"/>
          <w:b/>
          <w:color w:val="000000" w:themeColor="text1"/>
          <w:kern w:val="0"/>
          <w:sz w:val="24"/>
          <w:highlight w:val="none"/>
          <w:lang w:val="zh-CN"/>
          <w14:textFill>
            <w14:solidFill>
              <w14:schemeClr w14:val="tx1"/>
            </w14:solidFill>
          </w14:textFill>
        </w:rPr>
        <w:t>13.1 计量原则和计量周期</w:t>
      </w:r>
      <w:bookmarkEnd w:id="443"/>
    </w:p>
    <w:p w14:paraId="6D18EBEB">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13.1.1 工程量计量按照分包合同约定的工程量计算规则、图纸及变更指示等进行计量。工程量计算规则应以相关的国家标准、行业标准等为依据，由合同当事人在专用合同条款中约定。</w:t>
      </w:r>
    </w:p>
    <w:p w14:paraId="701F8B68">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13.1.2 除专用合同条款另有约定外，工程量的计量按月进行。</w:t>
      </w:r>
    </w:p>
    <w:p w14:paraId="05340A7F">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444" w:name="_Toc389586368"/>
      <w:r>
        <w:rPr>
          <w:rFonts w:hint="eastAsia" w:ascii="宋体" w:hAnsi="宋体" w:eastAsia="宋体" w:cs="仿宋"/>
          <w:b/>
          <w:color w:val="000000" w:themeColor="text1"/>
          <w:kern w:val="0"/>
          <w:sz w:val="24"/>
          <w:highlight w:val="none"/>
          <w:lang w:val="zh-CN"/>
          <w14:textFill>
            <w14:solidFill>
              <w14:schemeClr w14:val="tx1"/>
            </w14:solidFill>
          </w14:textFill>
        </w:rPr>
        <w:t>13.2 计量程序</w:t>
      </w:r>
      <w:bookmarkEnd w:id="444"/>
    </w:p>
    <w:p w14:paraId="38836B66">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除专用合同条款另有约定外，分包合同的计量按照本款约定程序执行：</w:t>
      </w:r>
    </w:p>
    <w:p w14:paraId="24BC09EA">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分包人应按总包合同约定的每月计量的起止日期进行计量，并于总包合同约定的承包人每月提交工程量报告的期限届满3天前向承包人报送当月工程量报告，并附具进度付款申请单、已完成工程量报表和有关资料。</w:t>
      </w:r>
    </w:p>
    <w:p w14:paraId="5CD51206">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承包人应在收到分包人提交的工程量报告后10天内完成对分包人提交的工程量报表的审核，以确定当月实际完成的工程量。承包人对工程量有异议的，有权要求分包人进行共同复核或抽样复测。分包人应协助承包人进行复核或抽样复测，并按承包人要求提供补充计量资料。分包人未按承包人要求参加复核或抽样复测的，承包人复核或修正的工程量视为分包人实际完成的工程量。</w:t>
      </w:r>
    </w:p>
    <w:p w14:paraId="75215CF9">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（3）承包人在收到分包人提交的工程量报表后的10天内未完成审核的或未提出异议的，分包人报送的工程量视为分包人实际完成的工程量。</w:t>
      </w:r>
    </w:p>
    <w:p w14:paraId="1BF8B2C5">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445" w:name="_Toc389586369"/>
      <w:r>
        <w:rPr>
          <w:rFonts w:hint="eastAsia" w:ascii="宋体" w:hAnsi="宋体" w:eastAsia="宋体" w:cs="仿宋"/>
          <w:b/>
          <w:bCs/>
          <w:color w:val="000000" w:themeColor="text1"/>
          <w:kern w:val="0"/>
          <w:sz w:val="24"/>
          <w:highlight w:val="none"/>
          <w:lang w:val="zh-CN"/>
          <w14:textFill>
            <w14:solidFill>
              <w14:schemeClr w14:val="tx1"/>
            </w14:solidFill>
          </w14:textFill>
        </w:rPr>
        <w:t>14. 工程款支付</w:t>
      </w:r>
      <w:bookmarkEnd w:id="438"/>
      <w:bookmarkEnd w:id="439"/>
      <w:bookmarkEnd w:id="445"/>
    </w:p>
    <w:bookmarkEnd w:id="440"/>
    <w:bookmarkEnd w:id="441"/>
    <w:bookmarkEnd w:id="442"/>
    <w:p w14:paraId="2EEF0237">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446" w:name="_Toc296503097"/>
      <w:bookmarkStart w:id="447" w:name="_Toc296346598"/>
      <w:bookmarkStart w:id="448" w:name="_Toc389586370"/>
      <w:bookmarkStart w:id="449" w:name="_Toc351203582"/>
      <w:bookmarkStart w:id="450" w:name="_Toc371493232"/>
      <w:bookmarkStart w:id="451" w:name="_Toc337558801"/>
      <w:r>
        <w:rPr>
          <w:rFonts w:hint="eastAsia" w:ascii="宋体" w:hAnsi="宋体" w:eastAsia="宋体" w:cs="仿宋"/>
          <w:b/>
          <w:color w:val="000000" w:themeColor="text1"/>
          <w:kern w:val="0"/>
          <w:sz w:val="24"/>
          <w:highlight w:val="none"/>
          <w:lang w:val="zh-CN"/>
          <w14:textFill>
            <w14:solidFill>
              <w14:schemeClr w14:val="tx1"/>
            </w14:solidFill>
          </w14:textFill>
        </w:rPr>
        <w:t>14.1 预</w:t>
      </w:r>
      <w:bookmarkEnd w:id="446"/>
      <w:bookmarkEnd w:id="447"/>
      <w:bookmarkStart w:id="452" w:name="_Toc296346601"/>
      <w:bookmarkStart w:id="453" w:name="_Toc296503100"/>
      <w:r>
        <w:rPr>
          <w:rFonts w:hint="eastAsia" w:ascii="宋体" w:hAnsi="宋体" w:eastAsia="宋体" w:cs="仿宋"/>
          <w:b/>
          <w:color w:val="000000" w:themeColor="text1"/>
          <w:kern w:val="0"/>
          <w:sz w:val="24"/>
          <w:highlight w:val="none"/>
          <w:lang w:val="zh-CN"/>
          <w14:textFill>
            <w14:solidFill>
              <w14:schemeClr w14:val="tx1"/>
            </w14:solidFill>
          </w14:textFill>
        </w:rPr>
        <w:t>付款</w:t>
      </w:r>
      <w:bookmarkEnd w:id="448"/>
      <w:bookmarkEnd w:id="449"/>
      <w:bookmarkEnd w:id="450"/>
    </w:p>
    <w:bookmarkEnd w:id="451"/>
    <w:bookmarkEnd w:id="452"/>
    <w:bookmarkEnd w:id="453"/>
    <w:p w14:paraId="2234B8DF">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承包人应按照专用合同条款的约定支付预付款。承包人逾期支付预付款的，承包人按专用合同条款的约定承担违约责任。预付款应当用于材料、工程设备、施工设备的采购及组织施工队伍进场等。</w:t>
      </w:r>
    </w:p>
    <w:p w14:paraId="5BA50206">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除专用合同条款另有约定外，预付款在进度付款中同比例扣回。在分包工程完工验收合格前，分包合同解除的，尚未扣完的预付款应与分包合同价款一并结算。</w:t>
      </w:r>
    </w:p>
    <w:p w14:paraId="644B972A">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454" w:name="_Toc389586371"/>
      <w:r>
        <w:rPr>
          <w:rFonts w:hint="eastAsia" w:ascii="宋体" w:hAnsi="宋体" w:eastAsia="宋体" w:cs="仿宋"/>
          <w:b/>
          <w:color w:val="000000" w:themeColor="text1"/>
          <w:kern w:val="0"/>
          <w:sz w:val="24"/>
          <w:highlight w:val="none"/>
          <w:lang w:val="zh-CN"/>
          <w14:textFill>
            <w14:solidFill>
              <w14:schemeClr w14:val="tx1"/>
            </w14:solidFill>
          </w14:textFill>
        </w:rPr>
        <w:t>14.2安全文明施工费的支付</w:t>
      </w:r>
      <w:bookmarkEnd w:id="454"/>
    </w:p>
    <w:p w14:paraId="42F3112E">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根据专用合同条款确定。</w:t>
      </w:r>
    </w:p>
    <w:p w14:paraId="01E6F346">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455" w:name="_Toc296503101"/>
      <w:bookmarkStart w:id="456" w:name="_Toc296346602"/>
      <w:bookmarkStart w:id="457" w:name="_Toc389586372"/>
      <w:bookmarkStart w:id="458" w:name="_Toc351203584"/>
      <w:bookmarkStart w:id="459" w:name="_Toc371493234"/>
      <w:bookmarkStart w:id="460" w:name="_Toc337558803"/>
      <w:r>
        <w:rPr>
          <w:rFonts w:hint="eastAsia" w:ascii="宋体" w:hAnsi="宋体" w:eastAsia="宋体" w:cs="仿宋"/>
          <w:b/>
          <w:color w:val="000000" w:themeColor="text1"/>
          <w:kern w:val="0"/>
          <w:sz w:val="24"/>
          <w:highlight w:val="none"/>
          <w:lang w:val="zh-CN"/>
          <w14:textFill>
            <w14:solidFill>
              <w14:schemeClr w14:val="tx1"/>
            </w14:solidFill>
          </w14:textFill>
        </w:rPr>
        <w:t>14.3 工程进度款支</w:t>
      </w:r>
      <w:bookmarkEnd w:id="455"/>
      <w:bookmarkEnd w:id="456"/>
      <w:r>
        <w:rPr>
          <w:rFonts w:hint="eastAsia" w:ascii="宋体" w:hAnsi="宋体" w:eastAsia="宋体" w:cs="仿宋"/>
          <w:b/>
          <w:color w:val="000000" w:themeColor="text1"/>
          <w:kern w:val="0"/>
          <w:sz w:val="24"/>
          <w:highlight w:val="none"/>
          <w:lang w:val="zh-CN"/>
          <w14:textFill>
            <w14:solidFill>
              <w14:schemeClr w14:val="tx1"/>
            </w14:solidFill>
          </w14:textFill>
        </w:rPr>
        <w:t>付</w:t>
      </w:r>
      <w:bookmarkEnd w:id="457"/>
      <w:bookmarkEnd w:id="458"/>
      <w:bookmarkEnd w:id="459"/>
    </w:p>
    <w:bookmarkEnd w:id="460"/>
    <w:p w14:paraId="140F6494">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14.3</w:t>
      </w:r>
      <w:r>
        <w:rPr>
          <w:rFonts w:hint="eastAsia" w:ascii="宋体" w:hAnsi="宋体" w:eastAsia="宋体" w:cs="仿宋"/>
          <w:color w:val="000000" w:themeColor="text1"/>
          <w:kern w:val="0"/>
          <w:sz w:val="24"/>
          <w:highlight w:val="none"/>
          <w14:textFill>
            <w14:solidFill>
              <w14:schemeClr w14:val="tx1"/>
            </w14:solidFill>
          </w14:textFill>
        </w:rPr>
        <w:t>.1 除专用合同条款另有约定外，付款周期应与第13.1款【计量原则和计量周期】约定的计量周期保持一致。</w:t>
      </w:r>
    </w:p>
    <w:p w14:paraId="2D923253">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14.3</w:t>
      </w:r>
      <w:r>
        <w:rPr>
          <w:rFonts w:hint="eastAsia" w:ascii="宋体" w:hAnsi="宋体" w:eastAsia="宋体" w:cs="仿宋"/>
          <w:color w:val="000000" w:themeColor="text1"/>
          <w:kern w:val="0"/>
          <w:sz w:val="24"/>
          <w:highlight w:val="none"/>
          <w14:textFill>
            <w14:solidFill>
              <w14:schemeClr w14:val="tx1"/>
            </w14:solidFill>
          </w14:textFill>
        </w:rPr>
        <w:t>.2 除专用合同条款另有约定外，进度付款申请单应包括下列内容：</w:t>
      </w:r>
    </w:p>
    <w:p w14:paraId="5CA1593E">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（1）截至本次付款周期已完成工作对应的金额；</w:t>
      </w:r>
    </w:p>
    <w:p w14:paraId="34E9771E">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（2）根据第10条【分包合同变更】应增加和扣减的变更金额；</w:t>
      </w:r>
    </w:p>
    <w:p w14:paraId="7B8B7A55">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（3）根据第12条【价格调整】应增加和扣减的调整金额；</w:t>
      </w:r>
    </w:p>
    <w:p w14:paraId="30E1172D">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（4）根据第14.1款【预付款】应支付的预付款和扣减的返还预付款；</w:t>
      </w:r>
    </w:p>
    <w:p w14:paraId="4642DC69">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（5）根据第20.3款【质量保证金】应扣减的质量保证金；</w:t>
      </w:r>
    </w:p>
    <w:p w14:paraId="0E0E716E">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（6）根据第24条【索赔】应增加和扣减的索赔金额；</w:t>
      </w:r>
    </w:p>
    <w:p w14:paraId="5B222ECC">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（7）对已签发的进度款支付证书中出现错误的修正，应在本次进度付款中支付或扣除的金额；</w:t>
      </w:r>
    </w:p>
    <w:p w14:paraId="496A3DE5">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（8）根据分包合同约定应增加和扣减的其他金额。</w:t>
      </w:r>
    </w:p>
    <w:p w14:paraId="0BD568B7">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分包人应按照第13.2款【计量程序】约定的时间按付款周期向承包人提交进度付款申请单，并附上已完成工程量报表和有关资料。</w:t>
      </w:r>
    </w:p>
    <w:p w14:paraId="151EE4E3">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14.3</w:t>
      </w:r>
      <w:r>
        <w:rPr>
          <w:rFonts w:hint="eastAsia" w:ascii="宋体" w:hAnsi="宋体" w:eastAsia="宋体" w:cs="仿宋"/>
          <w:color w:val="000000" w:themeColor="text1"/>
          <w:kern w:val="0"/>
          <w:sz w:val="24"/>
          <w:highlight w:val="none"/>
          <w14:textFill>
            <w14:solidFill>
              <w14:schemeClr w14:val="tx1"/>
            </w14:solidFill>
          </w14:textFill>
        </w:rPr>
        <w:t>.3 进度款审核和支付</w:t>
      </w:r>
    </w:p>
    <w:p w14:paraId="5D3F98FA">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（1）在专用合同条款约定期限内，完成审核并签发进度款支付证书。承包人逾期未完成审批且未提出异议的，视为已签发进度款支付证书。</w:t>
      </w:r>
    </w:p>
    <w:p w14:paraId="6BDC97B8">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承包人对分包人的进度付款申请单有异议的，有权要求分包人修正和提供补充资料，分包人应提交修正后的进度付款申请单。存在争议的部分，按照第25条【争议解决】的约定处理。</w:t>
      </w:r>
    </w:p>
    <w:p w14:paraId="08B55313">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（2）在专用合同条款约定期限内，完成支付，承包人逾期支付进度款的，应按照中国人民银行发布的同期同类存款基准利率支付违约金。</w:t>
      </w:r>
    </w:p>
    <w:p w14:paraId="2F40C2AA">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（3）承包人签发进度款支付证书或临时进度款支付证书，不表明承包人已同意、批准或认可了分包人完成的相应部分的工作。</w:t>
      </w:r>
    </w:p>
    <w:p w14:paraId="6278C787">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14.3.4 进度付款的修正</w:t>
      </w:r>
    </w:p>
    <w:p w14:paraId="4E8B62BB">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在对已签发的进度款支付证书进行阶段汇总和复核中发现错误、遗漏或重复的，承包人和分包人均有权提出修正申请。经承包人和分包人同意的修正，应在下期进度付款中支付或扣除。</w:t>
      </w:r>
    </w:p>
    <w:p w14:paraId="54576DDC">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461" w:name="_Toc351203585"/>
      <w:bookmarkStart w:id="462" w:name="_Toc371493235"/>
      <w:bookmarkStart w:id="463" w:name="_Toc389586373"/>
      <w:r>
        <w:rPr>
          <w:rFonts w:hint="eastAsia" w:ascii="宋体" w:hAnsi="宋体" w:eastAsia="宋体" w:cs="仿宋"/>
          <w:b/>
          <w:color w:val="000000" w:themeColor="text1"/>
          <w:kern w:val="0"/>
          <w:sz w:val="24"/>
          <w:highlight w:val="none"/>
          <w:lang w:val="zh-CN"/>
          <w14:textFill>
            <w14:solidFill>
              <w14:schemeClr w14:val="tx1"/>
            </w14:solidFill>
          </w14:textFill>
        </w:rPr>
        <w:t>14.4 支付账户</w:t>
      </w:r>
      <w:bookmarkEnd w:id="461"/>
      <w:bookmarkEnd w:id="462"/>
      <w:bookmarkEnd w:id="463"/>
    </w:p>
    <w:p w14:paraId="391E672A">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承包人应将合同价款支付至合同协议书中约定的分包人账户。</w:t>
      </w:r>
    </w:p>
    <w:p w14:paraId="5E6892B8">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464" w:name="_Toc389586374"/>
      <w:bookmarkStart w:id="465" w:name="_Toc371493236"/>
      <w:bookmarkStart w:id="466" w:name="_Toc351203586"/>
      <w:bookmarkStart w:id="467" w:name="_Toc296346607"/>
      <w:bookmarkStart w:id="468" w:name="_Toc322522574"/>
      <w:bookmarkStart w:id="469" w:name="_Toc296503106"/>
      <w:bookmarkStart w:id="470" w:name="_Toc337558804"/>
      <w:r>
        <w:rPr>
          <w:rFonts w:hint="eastAsia" w:ascii="宋体" w:hAnsi="宋体" w:eastAsia="宋体" w:cs="仿宋"/>
          <w:b/>
          <w:bCs/>
          <w:color w:val="000000" w:themeColor="text1"/>
          <w:kern w:val="0"/>
          <w:sz w:val="24"/>
          <w:highlight w:val="none"/>
          <w:lang w:val="zh-CN"/>
          <w14:textFill>
            <w14:solidFill>
              <w14:schemeClr w14:val="tx1"/>
            </w14:solidFill>
          </w14:textFill>
        </w:rPr>
        <w:t>15. 成品保护</w:t>
      </w:r>
      <w:bookmarkEnd w:id="464"/>
    </w:p>
    <w:p w14:paraId="6CD17C3A">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471" w:name="_Toc389586375"/>
      <w:r>
        <w:rPr>
          <w:rFonts w:hint="eastAsia" w:ascii="宋体" w:hAnsi="宋体" w:eastAsia="宋体" w:cs="仿宋"/>
          <w:b/>
          <w:color w:val="000000" w:themeColor="text1"/>
          <w:kern w:val="0"/>
          <w:sz w:val="24"/>
          <w:highlight w:val="none"/>
          <w:lang w:val="zh-CN"/>
          <w14:textFill>
            <w14:solidFill>
              <w14:schemeClr w14:val="tx1"/>
            </w14:solidFill>
          </w14:textFill>
        </w:rPr>
        <w:t>15.1 分包工程的成品保护</w:t>
      </w:r>
      <w:bookmarkEnd w:id="471"/>
    </w:p>
    <w:p w14:paraId="3B979FAD">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15.1.1在分包工程移交承包人前，分包人负责分包工程的成品保护工作。分包人应采取妥善的保护措施确保已完成的分包工程在其他施工单位正常施工时不被损坏。</w:t>
      </w:r>
    </w:p>
    <w:p w14:paraId="42D58B2F">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15.1.2在分包工程移交承包人后，承包人负责分包工程的成品保护工作。承包人应采取妥善的保护措施确保分包工程不被损坏，因此发生的费用由承包人承担。</w:t>
      </w:r>
    </w:p>
    <w:p w14:paraId="15497407">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分包工程因非分包人原因被损坏的，承包人可以自行修复，也可以要求分包人进行修复，因此发生的费用和（或）延误的工期由承包人承担。</w:t>
      </w:r>
    </w:p>
    <w:p w14:paraId="3DF4DDE0">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472" w:name="_Toc389586376"/>
      <w:r>
        <w:rPr>
          <w:rFonts w:hint="eastAsia" w:ascii="宋体" w:hAnsi="宋体" w:eastAsia="宋体" w:cs="仿宋"/>
          <w:b/>
          <w:color w:val="000000" w:themeColor="text1"/>
          <w:kern w:val="0"/>
          <w:sz w:val="24"/>
          <w:highlight w:val="none"/>
          <w:lang w:val="zh-CN"/>
          <w14:textFill>
            <w14:solidFill>
              <w14:schemeClr w14:val="tx1"/>
            </w14:solidFill>
          </w14:textFill>
        </w:rPr>
        <w:t>15.2 其它工程的成品保护</w:t>
      </w:r>
      <w:bookmarkEnd w:id="472"/>
    </w:p>
    <w:p w14:paraId="75F0B017">
      <w:pPr>
        <w:wordWrap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人在施工过程中应采取合理措施对分包工程之外的已完工程予以保护，避免对已完工程造成损坏。分包工程之外的其他工程因分包人原因损坏的，承包人自行修复，因此发生的费用和（或）延误的工期由分包人承担。</w:t>
      </w:r>
    </w:p>
    <w:p w14:paraId="2DA05AC4">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473" w:name="_Toc389586377"/>
      <w:r>
        <w:rPr>
          <w:rFonts w:hint="eastAsia" w:ascii="宋体" w:hAnsi="宋体" w:eastAsia="宋体" w:cs="仿宋"/>
          <w:b/>
          <w:bCs/>
          <w:color w:val="000000" w:themeColor="text1"/>
          <w:kern w:val="0"/>
          <w:sz w:val="24"/>
          <w:highlight w:val="none"/>
          <w:lang w:val="zh-CN"/>
          <w14:textFill>
            <w14:solidFill>
              <w14:schemeClr w14:val="tx1"/>
            </w14:solidFill>
          </w14:textFill>
        </w:rPr>
        <w:t>16. 试车</w:t>
      </w:r>
      <w:bookmarkEnd w:id="473"/>
    </w:p>
    <w:p w14:paraId="7BC6E724">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474" w:name="_Toc389586378"/>
      <w:r>
        <w:rPr>
          <w:rFonts w:hint="eastAsia" w:ascii="宋体" w:hAnsi="宋体" w:eastAsia="宋体" w:cs="仿宋"/>
          <w:b/>
          <w:color w:val="000000" w:themeColor="text1"/>
          <w:kern w:val="0"/>
          <w:sz w:val="24"/>
          <w:highlight w:val="none"/>
          <w:lang w:val="zh-CN"/>
          <w14:textFill>
            <w14:solidFill>
              <w14:schemeClr w14:val="tx1"/>
            </w14:solidFill>
          </w14:textFill>
        </w:rPr>
        <w:t>16.1试车的组织和配合</w:t>
      </w:r>
      <w:bookmarkEnd w:id="474"/>
    </w:p>
    <w:p w14:paraId="189E5D65">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分包工程需要试车的，除专用合同条款另有约定外，试车内容应与分包人承包范围相一致。</w:t>
      </w:r>
    </w:p>
    <w:p w14:paraId="0E71B559">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分包人负责组织试车，并在试车前48小时书面通知承包人，通知中应载明试车内容、时间、地点。分包人准备试车记录，承包人根据分包人要求为试车提供必要条件。试车合格的，承包人在试车记录上签字。</w:t>
      </w:r>
    </w:p>
    <w:p w14:paraId="3B46E003">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承包人不能按时参加试车或不能为试车提供必要条件的，应在试车前24小时以书面形式向分包人提出延期要求，由此导致工期延误的，工期应予以顺延。承包人未能在前述期限内提出延期要求，又不参加试车或不提供必要条件的，视为试车达到验收要求。</w:t>
      </w:r>
    </w:p>
    <w:p w14:paraId="290CB446">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475" w:name="_Toc389586379"/>
      <w:r>
        <w:rPr>
          <w:rFonts w:hint="eastAsia" w:ascii="宋体" w:hAnsi="宋体" w:eastAsia="宋体" w:cs="仿宋"/>
          <w:b/>
          <w:color w:val="000000" w:themeColor="text1"/>
          <w:kern w:val="0"/>
          <w:sz w:val="24"/>
          <w:highlight w:val="none"/>
          <w:lang w:val="zh-CN"/>
          <w14:textFill>
            <w14:solidFill>
              <w14:schemeClr w14:val="tx1"/>
            </w14:solidFill>
          </w14:textFill>
        </w:rPr>
        <w:t>16.2 试车的费用承担</w:t>
      </w:r>
      <w:bookmarkEnd w:id="475"/>
    </w:p>
    <w:p w14:paraId="676CAB75">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试车费用明细及试车费用承担由合同当事人在专用合同条款中约定。</w:t>
      </w:r>
    </w:p>
    <w:p w14:paraId="4EFA9307">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476" w:name="_Toc389586380"/>
      <w:r>
        <w:rPr>
          <w:rFonts w:hint="eastAsia" w:ascii="宋体" w:hAnsi="宋体" w:eastAsia="宋体" w:cs="仿宋"/>
          <w:b/>
          <w:color w:val="000000" w:themeColor="text1"/>
          <w:kern w:val="0"/>
          <w:sz w:val="24"/>
          <w:highlight w:val="none"/>
          <w:lang w:val="zh-CN"/>
          <w14:textFill>
            <w14:solidFill>
              <w14:schemeClr w14:val="tx1"/>
            </w14:solidFill>
          </w14:textFill>
        </w:rPr>
        <w:t>16.3试车中的责任</w:t>
      </w:r>
      <w:bookmarkEnd w:id="476"/>
    </w:p>
    <w:p w14:paraId="7DE7401E">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因设计原因导致试车达不到验收要求，承包人应协调发包人修改设计，分包人按修改后的设计重新施工。承包人承担修改设计、拆除及重新施工的全部费用，工期相应顺延。因分包人原因导致试车达不到验收要求，分包人按承包人要求重新施工和试车，并承担重新施工和试车的费用，工期不予顺延。</w:t>
      </w:r>
    </w:p>
    <w:p w14:paraId="2B93B12A">
      <w:pPr>
        <w:wordWrap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因工程设备制造原因导致试车达不到验收要求的，由采购该工程设备的合同当事人负责重新购置或修理，分包人负责拆除和重新安装，由此增加的修理、重新购置、拆除及重新安装的费用及延误的工期由采购该工程设备的合同当事人承担。</w:t>
      </w:r>
    </w:p>
    <w:p w14:paraId="5C00723F">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477" w:name="_Toc389586381"/>
      <w:r>
        <w:rPr>
          <w:rFonts w:hint="eastAsia" w:ascii="宋体" w:hAnsi="宋体" w:eastAsia="宋体" w:cs="仿宋"/>
          <w:b/>
          <w:bCs/>
          <w:color w:val="000000" w:themeColor="text1"/>
          <w:kern w:val="0"/>
          <w:sz w:val="24"/>
          <w:highlight w:val="none"/>
          <w:lang w:val="zh-CN"/>
          <w14:textFill>
            <w14:solidFill>
              <w14:schemeClr w14:val="tx1"/>
            </w14:solidFill>
          </w14:textFill>
        </w:rPr>
        <w:t>17. 完工验收</w:t>
      </w:r>
      <w:bookmarkEnd w:id="465"/>
      <w:bookmarkEnd w:id="466"/>
      <w:bookmarkEnd w:id="477"/>
    </w:p>
    <w:bookmarkEnd w:id="467"/>
    <w:bookmarkEnd w:id="468"/>
    <w:bookmarkEnd w:id="469"/>
    <w:bookmarkEnd w:id="470"/>
    <w:p w14:paraId="182BBA7F">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478" w:name="_Toc371493237"/>
      <w:bookmarkStart w:id="479" w:name="_Toc351203588"/>
      <w:bookmarkStart w:id="480" w:name="_Toc389586382"/>
      <w:bookmarkStart w:id="481" w:name="_Toc337558806"/>
      <w:bookmarkStart w:id="482" w:name="_Toc296503110"/>
      <w:bookmarkStart w:id="483" w:name="_Toc296346611"/>
      <w:r>
        <w:rPr>
          <w:rFonts w:hint="eastAsia" w:ascii="宋体" w:hAnsi="宋体" w:eastAsia="宋体" w:cs="仿宋"/>
          <w:b/>
          <w:color w:val="000000" w:themeColor="text1"/>
          <w:kern w:val="0"/>
          <w:sz w:val="24"/>
          <w:highlight w:val="none"/>
          <w:lang w:val="zh-CN"/>
          <w14:textFill>
            <w14:solidFill>
              <w14:schemeClr w14:val="tx1"/>
            </w14:solidFill>
          </w14:textFill>
        </w:rPr>
        <w:t>17.1 完工验收</w:t>
      </w:r>
      <w:bookmarkEnd w:id="478"/>
      <w:bookmarkEnd w:id="479"/>
      <w:r>
        <w:rPr>
          <w:rFonts w:hint="eastAsia" w:ascii="宋体" w:hAnsi="宋体" w:eastAsia="宋体" w:cs="仿宋"/>
          <w:b/>
          <w:color w:val="000000" w:themeColor="text1"/>
          <w:kern w:val="0"/>
          <w:sz w:val="24"/>
          <w:highlight w:val="none"/>
          <w:lang w:val="zh-CN"/>
          <w14:textFill>
            <w14:solidFill>
              <w14:schemeClr w14:val="tx1"/>
            </w14:solidFill>
          </w14:textFill>
        </w:rPr>
        <w:t>条件</w:t>
      </w:r>
      <w:bookmarkEnd w:id="480"/>
    </w:p>
    <w:bookmarkEnd w:id="481"/>
    <w:bookmarkEnd w:id="482"/>
    <w:bookmarkEnd w:id="483"/>
    <w:p w14:paraId="609E6B48">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分包工程具备以下条件的，分包人可以申请完工验收：</w:t>
      </w:r>
    </w:p>
    <w:p w14:paraId="38869E7F">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（1）分包合同范围内的全部分包工程以及有关工作，包括分包合同要求的试验以及检验均已完成，并符合分包合同要求；</w:t>
      </w:r>
    </w:p>
    <w:p w14:paraId="1F7B32D9">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（2）已按分包合同约定编制了缺陷修补工作清单以及相应的施工计划；</w:t>
      </w:r>
    </w:p>
    <w:p w14:paraId="545A77F6">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（3）已按分包合同约定的内容和份数备齐完工资料；</w:t>
      </w:r>
    </w:p>
    <w:p w14:paraId="2DB8FCFF">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（4）专用合同条款约定的其他条件。</w:t>
      </w:r>
    </w:p>
    <w:p w14:paraId="2CCE9A4E">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484" w:name="_Toc389586383"/>
      <w:r>
        <w:rPr>
          <w:rFonts w:hint="eastAsia" w:ascii="宋体" w:hAnsi="宋体" w:eastAsia="宋体" w:cs="仿宋"/>
          <w:b/>
          <w:color w:val="000000" w:themeColor="text1"/>
          <w:kern w:val="0"/>
          <w:sz w:val="24"/>
          <w:highlight w:val="none"/>
          <w:lang w:val="zh-CN"/>
          <w14:textFill>
            <w14:solidFill>
              <w14:schemeClr w14:val="tx1"/>
            </w14:solidFill>
          </w14:textFill>
        </w:rPr>
        <w:t>17.2完工验收程序</w:t>
      </w:r>
      <w:bookmarkEnd w:id="484"/>
    </w:p>
    <w:p w14:paraId="0D0269BF">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除专用合同条款另有约定外，分包人申请完工验收的，应当按照以下程序进行：</w:t>
      </w:r>
    </w:p>
    <w:p w14:paraId="309F7BD6">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分包人向承包人报送完工验收申请报告，承包人应在收到完工验收申请报告后21天内完成审查，承包人审查后认为不具备验收条件的，应通知分包人还需完成的工作内容，分包人应在完成承包人通知的全部工作内容后，再次提交完工验收申请报告。</w:t>
      </w:r>
    </w:p>
    <w:p w14:paraId="715E841A">
      <w:pPr>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（2）承包人审查后认为已具备完工验收条件的，应在收到完工验收申请报告后28天内按分部分项工程验收要求组织相关单位进行完工验收。</w:t>
      </w:r>
    </w:p>
    <w:p w14:paraId="51FEBE99">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3）完工验收不合格的，承包人应按照验收意见发出指示，要求分包人对不合格工程返工、修复或采取其他补救措施，由此增加的费用和（或）延误的工期由分包人承担。分包人完成不合格工程的返工、修复或采取其他补救措施后，应重新提交完工验收申请报告，并按本款约定的程序重新进行验收。</w:t>
      </w:r>
    </w:p>
    <w:p w14:paraId="34E2D5D0">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（4）分包工程未经验收或验收不合格，承包人或发包人擅自使用的，自转移占有分包工程之日起，分包工程应被视为完工验收合格。</w:t>
      </w:r>
    </w:p>
    <w:p w14:paraId="7D316B6B">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485" w:name="_Toc389586384"/>
      <w:r>
        <w:rPr>
          <w:rFonts w:hint="eastAsia" w:ascii="宋体" w:hAnsi="宋体" w:eastAsia="宋体" w:cs="仿宋"/>
          <w:b/>
          <w:color w:val="000000" w:themeColor="text1"/>
          <w:kern w:val="0"/>
          <w:sz w:val="24"/>
          <w:highlight w:val="none"/>
          <w:lang w:val="zh-CN"/>
          <w14:textFill>
            <w14:solidFill>
              <w14:schemeClr w14:val="tx1"/>
            </w14:solidFill>
          </w14:textFill>
        </w:rPr>
        <w:t>17.3完工日期</w:t>
      </w:r>
      <w:bookmarkEnd w:id="485"/>
    </w:p>
    <w:p w14:paraId="6BF2E66C">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分包工程经完工验收合格的，以分包人提交完工验收申请报告之日为实际完工日期；因承包人原因未在收到完工验收申请报告28天内进行完工验收的，以分包人提交完工验</w:t>
      </w:r>
      <w:bookmarkStart w:id="486" w:name="#go14"/>
      <w:bookmarkEnd w:id="486"/>
      <w:r>
        <w:rPr>
          <w:rFonts w:hint="eastAsia" w:ascii="宋体" w:hAnsi="宋体" w:eastAsia="宋体" w:cs="仿宋"/>
          <w:color w:val="000000" w:themeColor="text1"/>
          <w:kern w:val="0"/>
          <w:sz w:val="24"/>
          <w:highlight w:val="none"/>
          <w14:textFill>
            <w14:solidFill>
              <w14:schemeClr w14:val="tx1"/>
            </w14:solidFill>
          </w14:textFill>
        </w:rPr>
        <w:t>收申请报告的日期为实际完工日期；分包工程未经完工验收，承包人或发包人擅自使用的，以转移占有分包工程之日为实际完工日期。</w:t>
      </w:r>
    </w:p>
    <w:p w14:paraId="607EB57E">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分包人应保证分包工程自完工验收合格至移交承包人的期间一直保持质量合格状态，否则分包人应按专用合同条款的约定承担违约责任。</w:t>
      </w:r>
    </w:p>
    <w:p w14:paraId="78059124">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487" w:name="_Toc296346613"/>
      <w:bookmarkStart w:id="488" w:name="_Toc296503112"/>
      <w:bookmarkStart w:id="489" w:name="_Toc371493239"/>
      <w:bookmarkStart w:id="490" w:name="_Toc351203592"/>
      <w:bookmarkStart w:id="491" w:name="_Toc389586385"/>
      <w:bookmarkStart w:id="492" w:name="_Toc337558809"/>
      <w:r>
        <w:rPr>
          <w:rFonts w:hint="eastAsia" w:ascii="宋体" w:hAnsi="宋体" w:eastAsia="宋体" w:cs="仿宋"/>
          <w:b/>
          <w:color w:val="000000" w:themeColor="text1"/>
          <w:kern w:val="0"/>
          <w:sz w:val="24"/>
          <w:highlight w:val="none"/>
          <w:lang w:val="zh-CN"/>
          <w14:textFill>
            <w14:solidFill>
              <w14:schemeClr w14:val="tx1"/>
            </w14:solidFill>
          </w14:textFill>
        </w:rPr>
        <w:t>17.4 完工退</w:t>
      </w:r>
      <w:bookmarkEnd w:id="487"/>
      <w:bookmarkEnd w:id="488"/>
      <w:r>
        <w:rPr>
          <w:rFonts w:hint="eastAsia" w:ascii="宋体" w:hAnsi="宋体" w:eastAsia="宋体" w:cs="仿宋"/>
          <w:b/>
          <w:color w:val="000000" w:themeColor="text1"/>
          <w:kern w:val="0"/>
          <w:sz w:val="24"/>
          <w:highlight w:val="none"/>
          <w:lang w:val="zh-CN"/>
          <w14:textFill>
            <w14:solidFill>
              <w14:schemeClr w14:val="tx1"/>
            </w14:solidFill>
          </w14:textFill>
        </w:rPr>
        <w:t>场</w:t>
      </w:r>
      <w:bookmarkEnd w:id="489"/>
      <w:bookmarkEnd w:id="490"/>
      <w:bookmarkEnd w:id="491"/>
    </w:p>
    <w:bookmarkEnd w:id="492"/>
    <w:p w14:paraId="089E0147">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工程完工验收合格后，分包人应在专用合同条款约定的期限内对施工场地进行清理后退场；逾期未完成清理并退场的，承包人有权出售或另行处理分包人遗留的物品，由此发生的费用由分包人承担。经承包人书面同意，分包人可在承包人指定的地点保留分包人履行缺陷责任期内的各项义务所需要的材料、施工设备和临时工程。</w:t>
      </w:r>
    </w:p>
    <w:p w14:paraId="30A3A330">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493" w:name="_Toc389586386"/>
      <w:r>
        <w:rPr>
          <w:rFonts w:hint="eastAsia" w:ascii="宋体" w:hAnsi="宋体" w:eastAsia="宋体" w:cs="仿宋"/>
          <w:b/>
          <w:bCs/>
          <w:color w:val="000000" w:themeColor="text1"/>
          <w:kern w:val="0"/>
          <w:sz w:val="24"/>
          <w:highlight w:val="none"/>
          <w:lang w:val="zh-CN"/>
          <w14:textFill>
            <w14:solidFill>
              <w14:schemeClr w14:val="tx1"/>
            </w14:solidFill>
          </w14:textFill>
        </w:rPr>
        <w:t>18. 分包工程移交</w:t>
      </w:r>
      <w:bookmarkEnd w:id="493"/>
    </w:p>
    <w:p w14:paraId="10B82A3A">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494" w:name="_Toc389586387"/>
      <w:r>
        <w:rPr>
          <w:rFonts w:hint="eastAsia" w:ascii="宋体" w:hAnsi="宋体" w:eastAsia="宋体" w:cs="仿宋"/>
          <w:b/>
          <w:color w:val="000000" w:themeColor="text1"/>
          <w:kern w:val="0"/>
          <w:sz w:val="24"/>
          <w:highlight w:val="none"/>
          <w:lang w:val="zh-CN"/>
          <w14:textFill>
            <w14:solidFill>
              <w14:schemeClr w14:val="tx1"/>
            </w14:solidFill>
          </w14:textFill>
        </w:rPr>
        <w:t>18.1 分包工程移交时间</w:t>
      </w:r>
      <w:bookmarkEnd w:id="494"/>
    </w:p>
    <w:p w14:paraId="0438B8FB">
      <w:pPr>
        <w:wordWrap w:val="0"/>
        <w:spacing w:line="460" w:lineRule="exact"/>
        <w:ind w:firstLine="465"/>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除专用合同条款另有约定外，对于提前使用的分包工程，承包人应于分包工程完工验收合格后14天内向分包人颁发接收证书；对于其他分包工程，承包人应于总包工程竣工验收合格后14天内向分包人颁发分包工程接收证书。承包人无正当理由逾期不颁发分包工程接收证书，自总包工程竣工验收合格后第15天起视为已颁发分包工程接收证书。</w:t>
      </w:r>
    </w:p>
    <w:p w14:paraId="0F1D3AB8">
      <w:pPr>
        <w:wordWrap w:val="0"/>
        <w:spacing w:line="460" w:lineRule="exact"/>
        <w:ind w:firstLine="465"/>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除专用合同条款另有约定外，合同当事人应当在颁发分包工程接收证书后7天内完成分包工程以及全部工程资料的移交，工程资料的套数、内容由合同当事人在专用合同条款中约定。</w:t>
      </w:r>
    </w:p>
    <w:p w14:paraId="6F626DE5">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495" w:name="_Toc389586388"/>
      <w:r>
        <w:rPr>
          <w:rFonts w:hint="eastAsia" w:ascii="宋体" w:hAnsi="宋体" w:eastAsia="宋体" w:cs="仿宋"/>
          <w:b/>
          <w:color w:val="000000" w:themeColor="text1"/>
          <w:kern w:val="0"/>
          <w:sz w:val="24"/>
          <w:highlight w:val="none"/>
          <w:lang w:val="zh-CN"/>
          <w14:textFill>
            <w14:solidFill>
              <w14:schemeClr w14:val="tx1"/>
            </w14:solidFill>
          </w14:textFill>
        </w:rPr>
        <w:t>18.2 拒绝接收全部或部分分包工程</w:t>
      </w:r>
      <w:bookmarkEnd w:id="495"/>
    </w:p>
    <w:p w14:paraId="2E1EEE37">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对于完工验收不合格的分包工程，分包人完成整改后，经重新组织验收仍不合格且无法采取补救措施的，承包人可以拒绝接收，由此给承包人造成的损失由分包人承担。</w:t>
      </w:r>
    </w:p>
    <w:p w14:paraId="73A58FEA">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496" w:name="_Toc351203593"/>
      <w:bookmarkStart w:id="497" w:name="_Toc371493240"/>
      <w:bookmarkStart w:id="498" w:name="_Toc389586389"/>
      <w:bookmarkStart w:id="499" w:name="_Toc337558810"/>
      <w:bookmarkStart w:id="500" w:name="_Toc296346614"/>
      <w:bookmarkStart w:id="501" w:name="_Toc296503113"/>
      <w:r>
        <w:rPr>
          <w:rFonts w:hint="eastAsia" w:ascii="宋体" w:hAnsi="宋体" w:eastAsia="宋体" w:cs="仿宋"/>
          <w:b/>
          <w:bCs/>
          <w:color w:val="000000" w:themeColor="text1"/>
          <w:kern w:val="0"/>
          <w:sz w:val="24"/>
          <w:highlight w:val="none"/>
          <w:lang w:val="zh-CN"/>
          <w14:textFill>
            <w14:solidFill>
              <w14:schemeClr w14:val="tx1"/>
            </w14:solidFill>
          </w14:textFill>
        </w:rPr>
        <w:t>19. 结算</w:t>
      </w:r>
      <w:bookmarkEnd w:id="496"/>
      <w:bookmarkEnd w:id="497"/>
      <w:bookmarkEnd w:id="498"/>
    </w:p>
    <w:bookmarkEnd w:id="499"/>
    <w:p w14:paraId="318EFF57">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502" w:name="_Toc389586390"/>
      <w:bookmarkStart w:id="503" w:name="_Toc371493241"/>
      <w:bookmarkStart w:id="504" w:name="_Toc351203594"/>
      <w:bookmarkStart w:id="505" w:name="_Toc337558811"/>
      <w:r>
        <w:rPr>
          <w:rFonts w:hint="eastAsia" w:ascii="宋体" w:hAnsi="宋体" w:eastAsia="宋体" w:cs="仿宋"/>
          <w:b/>
          <w:color w:val="000000" w:themeColor="text1"/>
          <w:kern w:val="0"/>
          <w:sz w:val="24"/>
          <w:highlight w:val="none"/>
          <w:lang w:val="zh-CN"/>
          <w14:textFill>
            <w14:solidFill>
              <w14:schemeClr w14:val="tx1"/>
            </w14:solidFill>
          </w14:textFill>
        </w:rPr>
        <w:t>19.1结算申请</w:t>
      </w:r>
      <w:bookmarkEnd w:id="502"/>
      <w:bookmarkEnd w:id="503"/>
      <w:bookmarkEnd w:id="504"/>
    </w:p>
    <w:bookmarkEnd w:id="505"/>
    <w:p w14:paraId="55E685D8">
      <w:pPr>
        <w:wordWrap w:val="0"/>
        <w:autoSpaceDE w:val="0"/>
        <w:autoSpaceDN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除专用合同条款另有约定外，</w:t>
      </w:r>
      <w:r>
        <w:rPr>
          <w:rFonts w:hint="eastAsia" w:ascii="宋体" w:hAnsi="宋体" w:eastAsia="宋体" w:cs="仿宋"/>
          <w:color w:val="000000" w:themeColor="text1"/>
          <w:sz w:val="24"/>
          <w:highlight w:val="none"/>
          <w14:textFill>
            <w14:solidFill>
              <w14:schemeClr w14:val="tx1"/>
            </w14:solidFill>
          </w14:textFill>
        </w:rPr>
        <w:t>分包人应在分包工程完工验收合格后28天内向承包人提交分包工程结算申请单，并提交完整的结算资料，有关分包工程结算申请单的资料清单和份数等要求由合同当事人在专用合同条款中约定。</w:t>
      </w:r>
    </w:p>
    <w:p w14:paraId="07A99620">
      <w:pPr>
        <w:wordWrap w:val="0"/>
        <w:autoSpaceDE w:val="0"/>
        <w:autoSpaceDN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除专用合同条款另有约定外，分包工程结算申请单应包括以下内容：</w:t>
      </w:r>
    </w:p>
    <w:p w14:paraId="0FF0F742">
      <w:pPr>
        <w:wordWrap w:val="0"/>
        <w:autoSpaceDE w:val="0"/>
        <w:autoSpaceDN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（1）分包工程结算价格；</w:t>
      </w:r>
    </w:p>
    <w:p w14:paraId="2A4A6A35">
      <w:pPr>
        <w:wordWrap w:val="0"/>
        <w:autoSpaceDE w:val="0"/>
        <w:autoSpaceDN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（2）承包人已支付分包人的款项；</w:t>
      </w:r>
    </w:p>
    <w:p w14:paraId="03D934D2">
      <w:pPr>
        <w:wordWrap w:val="0"/>
        <w:autoSpaceDE w:val="0"/>
        <w:autoSpaceDN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 xml:space="preserve">（3）应扣留的质量保证金； </w:t>
      </w:r>
    </w:p>
    <w:p w14:paraId="3ECC0D4B">
      <w:pPr>
        <w:wordWrap w:val="0"/>
        <w:autoSpaceDE w:val="0"/>
        <w:autoSpaceDN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（4）承包人应支付分包人的合同价款。</w:t>
      </w:r>
    </w:p>
    <w:p w14:paraId="3526C825">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506" w:name="_Toc371493242"/>
      <w:bookmarkStart w:id="507" w:name="_Toc351203595"/>
      <w:bookmarkStart w:id="508" w:name="_Toc389586391"/>
      <w:bookmarkStart w:id="509" w:name="_Toc337558812"/>
      <w:r>
        <w:rPr>
          <w:rFonts w:hint="eastAsia" w:ascii="宋体" w:hAnsi="宋体" w:eastAsia="宋体" w:cs="仿宋"/>
          <w:b/>
          <w:color w:val="000000" w:themeColor="text1"/>
          <w:kern w:val="0"/>
          <w:sz w:val="24"/>
          <w:highlight w:val="none"/>
          <w:lang w:val="zh-CN"/>
          <w14:textFill>
            <w14:solidFill>
              <w14:schemeClr w14:val="tx1"/>
            </w14:solidFill>
          </w14:textFill>
        </w:rPr>
        <w:t>19.2 结算审核</w:t>
      </w:r>
      <w:bookmarkEnd w:id="506"/>
      <w:bookmarkEnd w:id="507"/>
      <w:bookmarkEnd w:id="508"/>
    </w:p>
    <w:bookmarkEnd w:id="509"/>
    <w:p w14:paraId="2BD8FB60">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19.2.1 除专用合同条款另有约定外，承包人应在收到结算申请单后向发包人移送结算审核材料。承</w:t>
      </w:r>
      <w:r>
        <w:rPr>
          <w:rFonts w:hint="eastAsia" w:ascii="宋体" w:hAnsi="宋体" w:eastAsia="宋体" w:cs="仿宋"/>
          <w:color w:val="000000" w:themeColor="text1"/>
          <w:sz w:val="24"/>
          <w:highlight w:val="none"/>
          <w14:textFill>
            <w14:solidFill>
              <w14:schemeClr w14:val="tx1"/>
            </w14:solidFill>
          </w14:textFill>
        </w:rPr>
        <w:t>包人对</w:t>
      </w:r>
      <w:r>
        <w:rPr>
          <w:rFonts w:hint="eastAsia" w:ascii="宋体" w:hAnsi="宋体" w:eastAsia="宋体" w:cs="仿宋"/>
          <w:color w:val="000000" w:themeColor="text1"/>
          <w:kern w:val="0"/>
          <w:sz w:val="24"/>
          <w:highlight w:val="none"/>
          <w14:textFill>
            <w14:solidFill>
              <w14:schemeClr w14:val="tx1"/>
            </w14:solidFill>
          </w14:textFill>
        </w:rPr>
        <w:t>结算</w:t>
      </w:r>
      <w:r>
        <w:rPr>
          <w:rFonts w:hint="eastAsia" w:ascii="宋体" w:hAnsi="宋体" w:eastAsia="宋体" w:cs="仿宋"/>
          <w:color w:val="000000" w:themeColor="text1"/>
          <w:sz w:val="24"/>
          <w:highlight w:val="none"/>
          <w14:textFill>
            <w14:solidFill>
              <w14:schemeClr w14:val="tx1"/>
            </w14:solidFill>
          </w14:textFill>
        </w:rPr>
        <w:t>申请单有异议的，有权要求分包人进行修正和提供补充资料，分包人应提交修正后的</w:t>
      </w:r>
      <w:r>
        <w:rPr>
          <w:rFonts w:hint="eastAsia" w:ascii="宋体" w:hAnsi="宋体" w:eastAsia="宋体" w:cs="仿宋"/>
          <w:color w:val="000000" w:themeColor="text1"/>
          <w:kern w:val="0"/>
          <w:sz w:val="24"/>
          <w:highlight w:val="none"/>
          <w14:textFill>
            <w14:solidFill>
              <w14:schemeClr w14:val="tx1"/>
            </w14:solidFill>
          </w14:textFill>
        </w:rPr>
        <w:t>结算</w:t>
      </w:r>
      <w:r>
        <w:rPr>
          <w:rFonts w:hint="eastAsia" w:ascii="宋体" w:hAnsi="宋体" w:eastAsia="宋体" w:cs="仿宋"/>
          <w:color w:val="000000" w:themeColor="text1"/>
          <w:sz w:val="24"/>
          <w:highlight w:val="none"/>
          <w14:textFill>
            <w14:solidFill>
              <w14:schemeClr w14:val="tx1"/>
            </w14:solidFill>
          </w14:textFill>
        </w:rPr>
        <w:t>申请单。</w:t>
      </w:r>
    </w:p>
    <w:p w14:paraId="3E3053BD">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19.2.2 除专用合同条款另有约定外，承包人应在收到发包人的付款后，同比例完成对分包人的完工付款。承包人逾期支付的，按照中国人民银行发布的同期同类存款基准利率支付违约金。</w:t>
      </w:r>
    </w:p>
    <w:p w14:paraId="5F094689">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19.2.3 分包人对承包人签发的完工付款证书有异议的，对于有异议部分应在收到承包人签发的完工付款证书后7天内提出异议，按照第25条【争议解决】的约定处理。分包人逾期未提出异议的，视为认可承包人签发的完工付款证书。</w:t>
      </w:r>
    </w:p>
    <w:p w14:paraId="01E3DD8D">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510" w:name="_Toc371493243"/>
      <w:bookmarkStart w:id="511" w:name="_Toc351203597"/>
      <w:bookmarkStart w:id="512" w:name="_Toc389586392"/>
      <w:bookmarkStart w:id="513" w:name="_Toc337558814"/>
      <w:r>
        <w:rPr>
          <w:rFonts w:hint="eastAsia" w:ascii="宋体" w:hAnsi="宋体" w:eastAsia="宋体" w:cs="仿宋"/>
          <w:b/>
          <w:color w:val="000000" w:themeColor="text1"/>
          <w:kern w:val="0"/>
          <w:sz w:val="24"/>
          <w:highlight w:val="none"/>
          <w:lang w:val="zh-CN"/>
          <w14:textFill>
            <w14:solidFill>
              <w14:schemeClr w14:val="tx1"/>
            </w14:solidFill>
          </w14:textFill>
        </w:rPr>
        <w:t>19.3 最终结清</w:t>
      </w:r>
      <w:bookmarkEnd w:id="510"/>
      <w:bookmarkEnd w:id="511"/>
      <w:bookmarkEnd w:id="512"/>
    </w:p>
    <w:bookmarkEnd w:id="513"/>
    <w:p w14:paraId="1DB70D4B">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19.3.1 除专用合同条款另有约定外，分包人应在分包工程缺陷责任期终止证书颁发后7天内，按专用合同条款约定的份数向承包人提交最终结清申请单，并提供相关证明材料。</w:t>
      </w:r>
    </w:p>
    <w:p w14:paraId="1285AA07">
      <w:pPr>
        <w:wordWrap w:val="0"/>
        <w:autoSpaceDE w:val="0"/>
        <w:autoSpaceDN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除专用合同条款另有约定外，</w:t>
      </w:r>
      <w:r>
        <w:rPr>
          <w:rFonts w:hint="eastAsia" w:ascii="宋体" w:hAnsi="宋体" w:eastAsia="宋体" w:cs="仿宋"/>
          <w:color w:val="000000" w:themeColor="text1"/>
          <w:kern w:val="0"/>
          <w:sz w:val="24"/>
          <w:highlight w:val="none"/>
          <w14:textFill>
            <w14:solidFill>
              <w14:schemeClr w14:val="tx1"/>
            </w14:solidFill>
          </w14:textFill>
        </w:rPr>
        <w:t>最终结清申请单</w:t>
      </w:r>
      <w:r>
        <w:rPr>
          <w:rFonts w:hint="eastAsia" w:ascii="宋体" w:hAnsi="宋体" w:eastAsia="宋体" w:cs="仿宋"/>
          <w:color w:val="000000" w:themeColor="text1"/>
          <w:sz w:val="24"/>
          <w:highlight w:val="none"/>
          <w14:textFill>
            <w14:solidFill>
              <w14:schemeClr w14:val="tx1"/>
            </w14:solidFill>
          </w14:textFill>
        </w:rPr>
        <w:t>应列明质量保证金、应扣除的质量保证金、分包工程完工验收合格之日至缺陷责任期届满之日发生的增减费用。</w:t>
      </w:r>
    </w:p>
    <w:p w14:paraId="2CD8865E">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承包人对最终结清申请单内容有异议的，有权要求分包人进行修正和提供补充资料，分包人应向承包人提交修正后的最终结清申请单。</w:t>
      </w:r>
    </w:p>
    <w:p w14:paraId="09A783FE">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19.3.2除专用合同条款另有约定外，承包人应在收到最终结清申请单后将分包人最终结清材料移送发包人。</w:t>
      </w:r>
    </w:p>
    <w:p w14:paraId="7A7F5174">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除专用合同条款另有约定外，承包人应在收到发包人的付款后同比例完成支付。承包人逾期支付的，按照中国人民银行发布的同期同类存款基准利率支付违约金。</w:t>
      </w:r>
    </w:p>
    <w:p w14:paraId="0164D976">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514" w:name="_Toc351203598"/>
      <w:bookmarkStart w:id="515" w:name="_Toc371493244"/>
      <w:bookmarkStart w:id="516" w:name="_Toc389586393"/>
      <w:bookmarkStart w:id="517" w:name="_Toc337558815"/>
      <w:r>
        <w:rPr>
          <w:rFonts w:hint="eastAsia" w:ascii="宋体" w:hAnsi="宋体" w:eastAsia="宋体" w:cs="仿宋"/>
          <w:b/>
          <w:bCs/>
          <w:color w:val="000000" w:themeColor="text1"/>
          <w:kern w:val="0"/>
          <w:sz w:val="24"/>
          <w:highlight w:val="none"/>
          <w:lang w:val="zh-CN"/>
          <w14:textFill>
            <w14:solidFill>
              <w14:schemeClr w14:val="tx1"/>
            </w14:solidFill>
          </w14:textFill>
        </w:rPr>
        <w:t>20. 缺陷责任期与</w:t>
      </w:r>
      <w:bookmarkEnd w:id="514"/>
      <w:bookmarkEnd w:id="515"/>
      <w:r>
        <w:rPr>
          <w:rFonts w:hint="eastAsia" w:ascii="宋体" w:hAnsi="宋体" w:eastAsia="宋体" w:cs="仿宋"/>
          <w:b/>
          <w:bCs/>
          <w:color w:val="000000" w:themeColor="text1"/>
          <w:kern w:val="0"/>
          <w:sz w:val="24"/>
          <w:highlight w:val="none"/>
          <w:lang w:val="zh-CN"/>
          <w14:textFill>
            <w14:solidFill>
              <w14:schemeClr w14:val="tx1"/>
            </w14:solidFill>
          </w14:textFill>
        </w:rPr>
        <w:t>保修期</w:t>
      </w:r>
      <w:bookmarkEnd w:id="516"/>
    </w:p>
    <w:bookmarkEnd w:id="500"/>
    <w:bookmarkEnd w:id="501"/>
    <w:bookmarkEnd w:id="517"/>
    <w:p w14:paraId="14F74356">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518" w:name="_Toc371493246"/>
      <w:bookmarkStart w:id="519" w:name="_Toc296503114"/>
      <w:bookmarkStart w:id="520" w:name="_Toc351203600"/>
      <w:bookmarkStart w:id="521" w:name="_Toc296346615"/>
      <w:bookmarkStart w:id="522" w:name="_Toc389586394"/>
      <w:bookmarkStart w:id="523" w:name="_Toc337558817"/>
      <w:r>
        <w:rPr>
          <w:rFonts w:hint="eastAsia" w:ascii="宋体" w:hAnsi="宋体" w:eastAsia="宋体" w:cs="仿宋"/>
          <w:b/>
          <w:color w:val="000000" w:themeColor="text1"/>
          <w:kern w:val="0"/>
          <w:sz w:val="24"/>
          <w:highlight w:val="none"/>
          <w:lang w:val="zh-CN"/>
          <w14:textFill>
            <w14:solidFill>
              <w14:schemeClr w14:val="tx1"/>
            </w14:solidFill>
          </w14:textFill>
        </w:rPr>
        <w:t>20.1 缺陷责任期</w:t>
      </w:r>
      <w:bookmarkEnd w:id="518"/>
      <w:bookmarkEnd w:id="519"/>
      <w:bookmarkEnd w:id="520"/>
      <w:bookmarkEnd w:id="521"/>
      <w:bookmarkEnd w:id="522"/>
    </w:p>
    <w:bookmarkEnd w:id="523"/>
    <w:p w14:paraId="6CDEE7F2">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20.1.1 除专用合同条款另有约定外，提前使用分包工程的，分包工程缺陷责任期自开始使用之日起算；未提前使用的，分包工程缺陷责任期自总包工程实际竣工日期起计算，合同当事人应在专用合同条款约定缺陷责任期的具体期限，但该期限最长不超过24个月。</w:t>
      </w:r>
    </w:p>
    <w:p w14:paraId="3E7532FA">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20.1.2 在分包工程缺陷责任期内，因分包人原因导致的缺陷或损坏致使分包工程或某项主要设备不能按原定目的使用的，承包人有权要求分</w:t>
      </w:r>
      <w:r>
        <w:rPr>
          <w:rFonts w:hint="eastAsia" w:ascii="宋体" w:hAnsi="宋体" w:eastAsia="宋体" w:cs="仿宋"/>
          <w:bCs/>
          <w:color w:val="000000" w:themeColor="text1"/>
          <w:sz w:val="24"/>
          <w:highlight w:val="none"/>
          <w14:textFill>
            <w14:solidFill>
              <w14:schemeClr w14:val="tx1"/>
            </w14:solidFill>
          </w14:textFill>
        </w:rPr>
        <w:t>包人延长缺陷责任期，</w:t>
      </w:r>
      <w:r>
        <w:rPr>
          <w:rFonts w:hint="eastAsia" w:ascii="宋体" w:hAnsi="宋体" w:eastAsia="宋体" w:cs="仿宋"/>
          <w:color w:val="000000" w:themeColor="text1"/>
          <w:kern w:val="0"/>
          <w:sz w:val="24"/>
          <w:highlight w:val="none"/>
          <w14:textFill>
            <w14:solidFill>
              <w14:schemeClr w14:val="tx1"/>
            </w14:solidFill>
          </w14:textFill>
        </w:rPr>
        <w:t>并应在原缺陷责任期届满前发出延长通知，</w:t>
      </w:r>
      <w:r>
        <w:rPr>
          <w:rFonts w:hint="eastAsia" w:ascii="宋体" w:hAnsi="宋体" w:eastAsia="宋体" w:cs="仿宋"/>
          <w:bCs/>
          <w:color w:val="000000" w:themeColor="text1"/>
          <w:sz w:val="24"/>
          <w:highlight w:val="none"/>
          <w14:textFill>
            <w14:solidFill>
              <w14:schemeClr w14:val="tx1"/>
            </w14:solidFill>
          </w14:textFill>
        </w:rPr>
        <w:t>但延长后的缺陷责任期也</w:t>
      </w:r>
      <w:r>
        <w:rPr>
          <w:rFonts w:hint="eastAsia" w:ascii="宋体" w:hAnsi="宋体" w:eastAsia="宋体" w:cs="仿宋"/>
          <w:color w:val="000000" w:themeColor="text1"/>
          <w:kern w:val="0"/>
          <w:sz w:val="24"/>
          <w:highlight w:val="none"/>
          <w14:textFill>
            <w14:solidFill>
              <w14:schemeClr w14:val="tx1"/>
            </w14:solidFill>
          </w14:textFill>
        </w:rPr>
        <w:t>不能超过24个月。</w:t>
      </w:r>
    </w:p>
    <w:p w14:paraId="31316D06">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20.1.3 除专用合同条款另有约定外，分包人应于缺陷责任期届满后7天内向承包人发出缺陷责任期届满通知，承包人应在收到缺陷责任期届满通知后核实分包人是否履行缺陷修复义务，分包人未能履行缺陷修复义务的，承包人有权扣除相应金额的维修费用。</w:t>
      </w:r>
    </w:p>
    <w:p w14:paraId="50304E9A">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524" w:name="_Toc389586395"/>
      <w:bookmarkStart w:id="525" w:name="_Toc371493247"/>
      <w:bookmarkStart w:id="526" w:name="_Toc351203601"/>
      <w:bookmarkStart w:id="527" w:name="_Toc337558818"/>
      <w:bookmarkStart w:id="528" w:name="_Toc296346616"/>
      <w:bookmarkStart w:id="529" w:name="_Toc296503115"/>
      <w:r>
        <w:rPr>
          <w:rFonts w:hint="eastAsia" w:ascii="宋体" w:hAnsi="宋体" w:eastAsia="宋体" w:cs="仿宋"/>
          <w:b/>
          <w:color w:val="000000" w:themeColor="text1"/>
          <w:kern w:val="0"/>
          <w:sz w:val="24"/>
          <w:highlight w:val="none"/>
          <w:lang w:val="zh-CN"/>
          <w14:textFill>
            <w14:solidFill>
              <w14:schemeClr w14:val="tx1"/>
            </w14:solidFill>
          </w14:textFill>
        </w:rPr>
        <w:t>20.2 保修期</w:t>
      </w:r>
      <w:bookmarkEnd w:id="524"/>
    </w:p>
    <w:p w14:paraId="68445876">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20.2.1 除专用合同条款另有约定外，提前使用分包工程的，分包工程保修期自开始使用之日起计算；未提前使用的，分包工程保修期自总包工程竣工验收合格之日起计算。保修期由合同当事人在专用合同条款中约定，但不得低于法定最低保修年限。在分包工程保修期内，分包人应根据法律规定和分包合同约定对因分包人原因产生的分包工程质量缺陷承担保修义务和损失赔偿责任。</w:t>
      </w:r>
    </w:p>
    <w:p w14:paraId="2102A400">
      <w:pPr>
        <w:wordWrap w:val="0"/>
        <w:autoSpaceDE w:val="0"/>
        <w:autoSpaceDN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 xml:space="preserve">20.2.2 </w:t>
      </w:r>
      <w:r>
        <w:rPr>
          <w:rFonts w:hint="eastAsia" w:ascii="宋体" w:hAnsi="宋体" w:eastAsia="宋体" w:cs="仿宋"/>
          <w:color w:val="000000" w:themeColor="text1"/>
          <w:sz w:val="24"/>
          <w:highlight w:val="none"/>
          <w14:textFill>
            <w14:solidFill>
              <w14:schemeClr w14:val="tx1"/>
            </w14:solidFill>
          </w14:textFill>
        </w:rPr>
        <w:t>承包人或发包人未经完工验收擅自使用分包工程的，保修期自分包工程</w:t>
      </w:r>
      <w:r>
        <w:rPr>
          <w:rFonts w:hint="eastAsia" w:ascii="宋体" w:hAnsi="宋体" w:eastAsia="宋体" w:cs="仿宋"/>
          <w:color w:val="000000" w:themeColor="text1"/>
          <w:kern w:val="0"/>
          <w:sz w:val="24"/>
          <w:highlight w:val="none"/>
          <w14:textFill>
            <w14:solidFill>
              <w14:schemeClr w14:val="tx1"/>
            </w14:solidFill>
          </w14:textFill>
        </w:rPr>
        <w:t>转移占有之日起算</w:t>
      </w:r>
      <w:r>
        <w:rPr>
          <w:rFonts w:hint="eastAsia" w:ascii="宋体" w:hAnsi="宋体" w:eastAsia="宋体" w:cs="仿宋"/>
          <w:color w:val="000000" w:themeColor="text1"/>
          <w:sz w:val="24"/>
          <w:highlight w:val="none"/>
          <w14:textFill>
            <w14:solidFill>
              <w14:schemeClr w14:val="tx1"/>
            </w14:solidFill>
          </w14:textFill>
        </w:rPr>
        <w:t>。</w:t>
      </w:r>
    </w:p>
    <w:p w14:paraId="7D5A5483">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530" w:name="_Toc389586396"/>
      <w:r>
        <w:rPr>
          <w:rFonts w:hint="eastAsia" w:ascii="宋体" w:hAnsi="宋体" w:eastAsia="宋体" w:cs="仿宋"/>
          <w:b/>
          <w:color w:val="000000" w:themeColor="text1"/>
          <w:kern w:val="0"/>
          <w:sz w:val="24"/>
          <w:highlight w:val="none"/>
          <w:lang w:val="zh-CN"/>
          <w14:textFill>
            <w14:solidFill>
              <w14:schemeClr w14:val="tx1"/>
            </w14:solidFill>
          </w14:textFill>
        </w:rPr>
        <w:t>20.3 质量保证金</w:t>
      </w:r>
      <w:bookmarkEnd w:id="525"/>
      <w:bookmarkEnd w:id="526"/>
      <w:bookmarkEnd w:id="530"/>
    </w:p>
    <w:bookmarkEnd w:id="527"/>
    <w:p w14:paraId="0D690E7E">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20.3.1 合同当事人可以在专用合同条款中约定扣留质量保证金的金额和扣留方式。</w:t>
      </w:r>
    </w:p>
    <w:p w14:paraId="125DB6A4">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bookmarkStart w:id="531" w:name="#go4"/>
      <w:bookmarkEnd w:id="531"/>
      <w:r>
        <w:rPr>
          <w:rFonts w:hint="eastAsia" w:ascii="宋体" w:hAnsi="宋体" w:eastAsia="宋体" w:cs="仿宋"/>
          <w:color w:val="000000" w:themeColor="text1"/>
          <w:kern w:val="0"/>
          <w:sz w:val="24"/>
          <w:highlight w:val="none"/>
          <w14:textFill>
            <w14:solidFill>
              <w14:schemeClr w14:val="tx1"/>
            </w14:solidFill>
          </w14:textFill>
        </w:rPr>
        <w:t>20.3.2 承包人应按第19.3款【最终结清】的约定退还质量保证金。</w:t>
      </w:r>
    </w:p>
    <w:bookmarkEnd w:id="528"/>
    <w:bookmarkEnd w:id="529"/>
    <w:p w14:paraId="30347444">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532" w:name="_Toc389586397"/>
      <w:bookmarkStart w:id="533" w:name="_Toc351203603"/>
      <w:bookmarkStart w:id="534" w:name="_Toc371493249"/>
      <w:bookmarkStart w:id="535" w:name="_Toc337558820"/>
      <w:r>
        <w:rPr>
          <w:rFonts w:hint="eastAsia" w:ascii="宋体" w:hAnsi="宋体" w:eastAsia="宋体" w:cs="仿宋"/>
          <w:b/>
          <w:bCs/>
          <w:color w:val="000000" w:themeColor="text1"/>
          <w:kern w:val="0"/>
          <w:sz w:val="24"/>
          <w:highlight w:val="none"/>
          <w:lang w:val="zh-CN"/>
          <w14:textFill>
            <w14:solidFill>
              <w14:schemeClr w14:val="tx1"/>
            </w14:solidFill>
          </w14:textFill>
        </w:rPr>
        <w:t>21. 违约</w:t>
      </w:r>
      <w:bookmarkEnd w:id="532"/>
      <w:bookmarkEnd w:id="533"/>
      <w:bookmarkEnd w:id="534"/>
    </w:p>
    <w:bookmarkEnd w:id="535"/>
    <w:p w14:paraId="675D2181">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536" w:name="_Toc296346630"/>
      <w:bookmarkStart w:id="537" w:name="_Toc296503129"/>
      <w:bookmarkStart w:id="538" w:name="_Toc351203604"/>
      <w:bookmarkStart w:id="539" w:name="_Toc371493250"/>
      <w:bookmarkStart w:id="540" w:name="_Toc389586398"/>
      <w:bookmarkStart w:id="541" w:name="_Toc337558821"/>
      <w:r>
        <w:rPr>
          <w:rFonts w:hint="eastAsia" w:ascii="宋体" w:hAnsi="宋体" w:eastAsia="宋体" w:cs="仿宋"/>
          <w:b/>
          <w:color w:val="000000" w:themeColor="text1"/>
          <w:kern w:val="0"/>
          <w:sz w:val="24"/>
          <w:highlight w:val="none"/>
          <w:lang w:val="zh-CN"/>
          <w14:textFill>
            <w14:solidFill>
              <w14:schemeClr w14:val="tx1"/>
            </w14:solidFill>
          </w14:textFill>
        </w:rPr>
        <w:t xml:space="preserve">21.1 </w:t>
      </w:r>
      <w:bookmarkEnd w:id="536"/>
      <w:bookmarkEnd w:id="537"/>
      <w:r>
        <w:rPr>
          <w:rFonts w:hint="eastAsia" w:ascii="宋体" w:hAnsi="宋体" w:eastAsia="宋体" w:cs="仿宋"/>
          <w:b/>
          <w:color w:val="000000" w:themeColor="text1"/>
          <w:kern w:val="0"/>
          <w:sz w:val="24"/>
          <w:highlight w:val="none"/>
          <w:lang w:val="zh-CN"/>
          <w14:textFill>
            <w14:solidFill>
              <w14:schemeClr w14:val="tx1"/>
            </w14:solidFill>
          </w14:textFill>
        </w:rPr>
        <w:t>承包人违约</w:t>
      </w:r>
      <w:bookmarkEnd w:id="538"/>
      <w:bookmarkEnd w:id="539"/>
      <w:bookmarkEnd w:id="540"/>
    </w:p>
    <w:bookmarkEnd w:id="541"/>
    <w:p w14:paraId="7ADB32AB">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承包人未能按照分包合同约定履行合同义务的，分包人可向承包人发出通知，要求承包人采取有效措施纠正违约行为。承包人应赔偿其违约行为给分包人造成的损失。合同当事人可在专用合同条款中约定承包人应支付的违约金或违约金的计算方法。</w:t>
      </w:r>
    </w:p>
    <w:p w14:paraId="4633BE09">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542" w:name="_Toc371493251"/>
      <w:bookmarkStart w:id="543" w:name="_Toc389586399"/>
      <w:bookmarkStart w:id="544" w:name="_Toc351203605"/>
      <w:bookmarkStart w:id="545" w:name="_Toc296503131"/>
      <w:bookmarkStart w:id="546" w:name="_Toc296346632"/>
      <w:bookmarkStart w:id="547" w:name="_Toc337558822"/>
      <w:r>
        <w:rPr>
          <w:rFonts w:hint="eastAsia" w:ascii="宋体" w:hAnsi="宋体" w:eastAsia="宋体" w:cs="仿宋"/>
          <w:b/>
          <w:color w:val="000000" w:themeColor="text1"/>
          <w:kern w:val="0"/>
          <w:sz w:val="24"/>
          <w:highlight w:val="none"/>
          <w:lang w:val="zh-CN"/>
          <w14:textFill>
            <w14:solidFill>
              <w14:schemeClr w14:val="tx1"/>
            </w14:solidFill>
          </w14:textFill>
        </w:rPr>
        <w:t>21.2 分包人违约</w:t>
      </w:r>
      <w:bookmarkEnd w:id="542"/>
      <w:bookmarkEnd w:id="543"/>
      <w:bookmarkEnd w:id="544"/>
    </w:p>
    <w:bookmarkEnd w:id="545"/>
    <w:bookmarkEnd w:id="546"/>
    <w:bookmarkEnd w:id="547"/>
    <w:p w14:paraId="4A0E391C">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21.2.1 分包人未能按照分包合同约定履行合同义务的，承包人可向分包人发出整改通知，要求其在指定的期限内改正。分包人应赔偿其违约行为给承包人造成的损失。合同当事人可在专用合同条款中约定分包人应支付的违约金或违约金的计算方法。</w:t>
      </w:r>
    </w:p>
    <w:p w14:paraId="1EB1B8D9">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除专用合同条款另有约定外，承包人发出整改通知后，分包人在指定的合理期限内仍不纠正违约行为，承包人有权解除合同。</w:t>
      </w:r>
    </w:p>
    <w:p w14:paraId="230D0FDC">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21.2.2 承包人按照第21.2.1项的约定解除合同的，承包人有权暂停对分包人的付款；分包合同当事人应在分包合同解除后28天内按专用合同条款的约定完成分包工程估价、清算和付款；承包人有权要求分包人将其为实施分包合同而签订的材料和设备的采购合同的权益转让给承包人，分包人应在收到解除分包合同通知后14天内，协助承包人与采购合同的供应商达成相关的转让协议。</w:t>
      </w:r>
    </w:p>
    <w:p w14:paraId="47263926">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548" w:name="_Toc296346617"/>
      <w:bookmarkStart w:id="549" w:name="_Toc337558823"/>
      <w:bookmarkStart w:id="550" w:name="_Toc371493252"/>
      <w:bookmarkStart w:id="551" w:name="_Toc389586400"/>
      <w:bookmarkStart w:id="552" w:name="_Toc296503116"/>
      <w:bookmarkStart w:id="553" w:name="_Toc351203607"/>
      <w:r>
        <w:rPr>
          <w:rFonts w:hint="eastAsia" w:ascii="宋体" w:hAnsi="宋体" w:eastAsia="宋体" w:cs="仿宋"/>
          <w:b/>
          <w:bCs/>
          <w:color w:val="000000" w:themeColor="text1"/>
          <w:kern w:val="0"/>
          <w:sz w:val="24"/>
          <w:highlight w:val="none"/>
          <w:lang w:val="zh-CN"/>
          <w14:textFill>
            <w14:solidFill>
              <w14:schemeClr w14:val="tx1"/>
            </w14:solidFill>
          </w14:textFill>
        </w:rPr>
        <w:t>22. 不可抗力</w:t>
      </w:r>
      <w:bookmarkEnd w:id="548"/>
      <w:bookmarkEnd w:id="549"/>
      <w:bookmarkEnd w:id="550"/>
      <w:bookmarkEnd w:id="551"/>
      <w:bookmarkEnd w:id="552"/>
      <w:bookmarkEnd w:id="553"/>
    </w:p>
    <w:p w14:paraId="206B328F">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554" w:name="_Toc351203608"/>
      <w:bookmarkStart w:id="555" w:name="_Toc371493253"/>
      <w:bookmarkStart w:id="556" w:name="_Toc389586401"/>
      <w:bookmarkStart w:id="557" w:name="_Toc337558824"/>
      <w:bookmarkStart w:id="558" w:name="_Toc296503117"/>
      <w:bookmarkStart w:id="559" w:name="_Toc296346618"/>
      <w:r>
        <w:rPr>
          <w:rFonts w:hint="eastAsia" w:ascii="宋体" w:hAnsi="宋体" w:eastAsia="宋体" w:cs="仿宋"/>
          <w:b/>
          <w:color w:val="000000" w:themeColor="text1"/>
          <w:kern w:val="0"/>
          <w:sz w:val="24"/>
          <w:highlight w:val="none"/>
          <w:lang w:val="zh-CN"/>
          <w14:textFill>
            <w14:solidFill>
              <w14:schemeClr w14:val="tx1"/>
            </w14:solidFill>
          </w14:textFill>
        </w:rPr>
        <w:t>22.1 不可抗力的确认</w:t>
      </w:r>
      <w:bookmarkEnd w:id="554"/>
      <w:bookmarkEnd w:id="555"/>
      <w:r>
        <w:rPr>
          <w:rFonts w:hint="eastAsia" w:ascii="宋体" w:hAnsi="宋体" w:eastAsia="宋体" w:cs="仿宋"/>
          <w:b/>
          <w:color w:val="000000" w:themeColor="text1"/>
          <w:kern w:val="0"/>
          <w:sz w:val="24"/>
          <w:highlight w:val="none"/>
          <w:lang w:val="zh-CN"/>
          <w14:textFill>
            <w14:solidFill>
              <w14:schemeClr w14:val="tx1"/>
            </w14:solidFill>
          </w14:textFill>
        </w:rPr>
        <w:t>和通知</w:t>
      </w:r>
      <w:bookmarkEnd w:id="556"/>
    </w:p>
    <w:bookmarkEnd w:id="557"/>
    <w:bookmarkEnd w:id="558"/>
    <w:bookmarkEnd w:id="559"/>
    <w:p w14:paraId="4B7F63ED">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不可抗力是指合同当事人在签订合同时不可预见，在合同履行过程中不可避免且不能克服的自然灾害和社会性突发事件，如地震、海啸、瘟疫、骚乱、戒严、暴动、战争和专用合同条款中约定的其他情形。</w:t>
      </w:r>
    </w:p>
    <w:p w14:paraId="71295BFA">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分包合同一方当事人遇到不可抗力事件，使其履行合同义务受到阻碍时，应立即通知合同另一方当事人，书面说明不可抗力和受阻碍的详细情况，并提供必要的证明。</w:t>
      </w:r>
    </w:p>
    <w:p w14:paraId="5ABA80B4">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560" w:name="_Toc371493255"/>
      <w:bookmarkStart w:id="561" w:name="_Toc389586402"/>
      <w:bookmarkStart w:id="562" w:name="_Toc351203610"/>
      <w:bookmarkStart w:id="563" w:name="_Toc337558826"/>
      <w:bookmarkStart w:id="564" w:name="_Toc296503119"/>
      <w:bookmarkStart w:id="565" w:name="_Toc296346620"/>
      <w:r>
        <w:rPr>
          <w:rFonts w:hint="eastAsia" w:ascii="宋体" w:hAnsi="宋体" w:eastAsia="宋体" w:cs="仿宋"/>
          <w:b/>
          <w:color w:val="000000" w:themeColor="text1"/>
          <w:kern w:val="0"/>
          <w:sz w:val="24"/>
          <w:highlight w:val="none"/>
          <w:lang w:val="zh-CN"/>
          <w14:textFill>
            <w14:solidFill>
              <w14:schemeClr w14:val="tx1"/>
            </w14:solidFill>
          </w14:textFill>
        </w:rPr>
        <w:t>22.2 不可抗力风险的承担</w:t>
      </w:r>
      <w:bookmarkEnd w:id="560"/>
      <w:bookmarkEnd w:id="561"/>
      <w:bookmarkEnd w:id="562"/>
    </w:p>
    <w:bookmarkEnd w:id="563"/>
    <w:bookmarkEnd w:id="564"/>
    <w:bookmarkEnd w:id="565"/>
    <w:p w14:paraId="3FE84F09">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22.2.1 不可抗力发生前已完成的分包工程应当按照分包合同约定进行计量支付。</w:t>
      </w:r>
    </w:p>
    <w:p w14:paraId="4E2CD759">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22.2.2 不可抗力风险由分包合同当事人按以下原则承担：</w:t>
      </w:r>
    </w:p>
    <w:p w14:paraId="294E4B53">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（1）永久工程、已运至施工场地的材料和工程设备的损坏，以及因分包工程损坏造成的第三人人员伤亡和财产损失由承包人承担；</w:t>
      </w:r>
    </w:p>
    <w:p w14:paraId="3BAC6866">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（2）分包人施工设备的损坏由分包人承担；</w:t>
      </w:r>
    </w:p>
    <w:p w14:paraId="602DE233">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（3）承包人和分包人承担各自人员伤亡和财产的损失；</w:t>
      </w:r>
    </w:p>
    <w:p w14:paraId="5B4BB3DD">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（4）因不可抗力影响分包人履行合同约定的义务，已经引起或将引起工期延误的，应当顺延工期，由此导致分包人停工的费用损失由分包人承担；</w:t>
      </w:r>
    </w:p>
    <w:p w14:paraId="0240105D">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（5）因不可抗力引起或将引起工期延误，承包人要求赶工的，由此增加的赶工费用由承包人承担；</w:t>
      </w:r>
    </w:p>
    <w:p w14:paraId="6EC0628D">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（6）分包人在停工期间按照承包人要求照管和清理分包工程的费用由承包人承担。</w:t>
      </w:r>
    </w:p>
    <w:p w14:paraId="65919FDA">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不可抗力发生后，合同当事人均应采取措施尽量避免和减少损失的扩大，任何一方当事人没有采取有效措施导致损失扩大的，应对扩大的损失承担责任。</w:t>
      </w:r>
    </w:p>
    <w:p w14:paraId="1EAE5CDE">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22.2.3 因合同一方迟延履行合同义务，在迟延履行期间遭遇不可抗力的，不免除其违约责任。</w:t>
      </w:r>
    </w:p>
    <w:p w14:paraId="222D6EFE">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566" w:name="_Toc389586403"/>
      <w:bookmarkStart w:id="567" w:name="_Toc371493256"/>
      <w:bookmarkStart w:id="568" w:name="_Toc351203611"/>
      <w:bookmarkStart w:id="569" w:name="_Toc337558827"/>
      <w:r>
        <w:rPr>
          <w:rFonts w:hint="eastAsia" w:ascii="宋体" w:hAnsi="宋体" w:eastAsia="宋体" w:cs="仿宋"/>
          <w:b/>
          <w:color w:val="000000" w:themeColor="text1"/>
          <w:kern w:val="0"/>
          <w:sz w:val="24"/>
          <w:highlight w:val="none"/>
          <w:lang w:val="zh-CN"/>
          <w14:textFill>
            <w14:solidFill>
              <w14:schemeClr w14:val="tx1"/>
            </w14:solidFill>
          </w14:textFill>
        </w:rPr>
        <w:t>22.3 因不可抗力解除合同</w:t>
      </w:r>
      <w:bookmarkEnd w:id="566"/>
      <w:bookmarkEnd w:id="567"/>
      <w:bookmarkEnd w:id="568"/>
    </w:p>
    <w:bookmarkEnd w:id="569"/>
    <w:p w14:paraId="4407BE8B">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因不可抗力导致分包合同无法履行连续超过84天或累计超过140天的，承包人和分包人均有权解除分包合同。分包合同解除后28天内，双方当事人应按专用合同条款的约定确定承包人应支付的款项并完成支付。</w:t>
      </w:r>
    </w:p>
    <w:p w14:paraId="7825C424">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570" w:name="_Toc351203612"/>
      <w:bookmarkStart w:id="571" w:name="_Toc389586404"/>
      <w:bookmarkStart w:id="572" w:name="_Toc371493257"/>
      <w:bookmarkStart w:id="573" w:name="_Toc337558828"/>
      <w:bookmarkStart w:id="574" w:name="_Toc296503120"/>
      <w:bookmarkStart w:id="575" w:name="_Toc296346621"/>
      <w:r>
        <w:rPr>
          <w:rFonts w:hint="eastAsia" w:ascii="宋体" w:hAnsi="宋体" w:eastAsia="宋体" w:cs="仿宋"/>
          <w:b/>
          <w:bCs/>
          <w:color w:val="000000" w:themeColor="text1"/>
          <w:kern w:val="0"/>
          <w:sz w:val="24"/>
          <w:highlight w:val="none"/>
          <w:lang w:val="zh-CN"/>
          <w14:textFill>
            <w14:solidFill>
              <w14:schemeClr w14:val="tx1"/>
            </w14:solidFill>
          </w14:textFill>
        </w:rPr>
        <w:t>23. 保险</w:t>
      </w:r>
      <w:bookmarkEnd w:id="570"/>
      <w:bookmarkEnd w:id="571"/>
      <w:bookmarkEnd w:id="572"/>
    </w:p>
    <w:bookmarkEnd w:id="573"/>
    <w:bookmarkEnd w:id="574"/>
    <w:bookmarkEnd w:id="575"/>
    <w:p w14:paraId="5BE29DA0">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576" w:name="_Toc296346622"/>
      <w:bookmarkStart w:id="577" w:name="_Toc296503121"/>
      <w:bookmarkStart w:id="578" w:name="_Toc337558829"/>
      <w:bookmarkStart w:id="579" w:name="_Toc351203613"/>
      <w:bookmarkStart w:id="580" w:name="_Toc389586405"/>
      <w:bookmarkStart w:id="581" w:name="_Toc371493258"/>
      <w:r>
        <w:rPr>
          <w:rFonts w:hint="eastAsia" w:ascii="宋体" w:hAnsi="宋体" w:eastAsia="宋体" w:cs="仿宋"/>
          <w:b/>
          <w:color w:val="000000" w:themeColor="text1"/>
          <w:kern w:val="0"/>
          <w:sz w:val="24"/>
          <w:highlight w:val="none"/>
          <w:lang w:val="zh-CN"/>
          <w14:textFill>
            <w14:solidFill>
              <w14:schemeClr w14:val="tx1"/>
            </w14:solidFill>
          </w14:textFill>
        </w:rPr>
        <w:t>23.1</w:t>
      </w:r>
      <w:bookmarkEnd w:id="576"/>
      <w:bookmarkEnd w:id="577"/>
      <w:bookmarkEnd w:id="578"/>
      <w:bookmarkEnd w:id="579"/>
      <w:bookmarkStart w:id="582" w:name="_Toc351203614"/>
      <w:bookmarkStart w:id="583" w:name="_Toc337558830"/>
      <w:bookmarkStart w:id="584" w:name="_Toc296503122"/>
      <w:bookmarkStart w:id="585" w:name="_Toc296346623"/>
      <w:r>
        <w:rPr>
          <w:rFonts w:hint="eastAsia" w:ascii="宋体" w:hAnsi="宋体" w:eastAsia="宋体" w:cs="仿宋"/>
          <w:b/>
          <w:color w:val="000000" w:themeColor="text1"/>
          <w:kern w:val="0"/>
          <w:sz w:val="24"/>
          <w:highlight w:val="none"/>
          <w:lang w:val="zh-CN"/>
          <w14:textFill>
            <w14:solidFill>
              <w14:schemeClr w14:val="tx1"/>
            </w14:solidFill>
          </w14:textFill>
        </w:rPr>
        <w:t>工伤保险</w:t>
      </w:r>
      <w:bookmarkEnd w:id="580"/>
      <w:bookmarkEnd w:id="581"/>
      <w:bookmarkEnd w:id="582"/>
    </w:p>
    <w:bookmarkEnd w:id="583"/>
    <w:bookmarkEnd w:id="584"/>
    <w:bookmarkEnd w:id="585"/>
    <w:p w14:paraId="1FC5E968">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分包人应依照法律规定参加工伤保险，并为其履行合同的全部员工办理工伤保险，缴纳工伤保险费，并要求其聘请的第三方依法参加工伤保险。</w:t>
      </w:r>
    </w:p>
    <w:p w14:paraId="0697EBF0">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586" w:name="_Toc371493259"/>
      <w:bookmarkStart w:id="587" w:name="_Toc351203615"/>
      <w:bookmarkStart w:id="588" w:name="_Toc389586406"/>
      <w:bookmarkStart w:id="589" w:name="_Toc296346626"/>
      <w:bookmarkStart w:id="590" w:name="_Toc296503125"/>
      <w:bookmarkStart w:id="591" w:name="_Toc337558831"/>
      <w:r>
        <w:rPr>
          <w:rFonts w:hint="eastAsia" w:ascii="宋体" w:hAnsi="宋体" w:eastAsia="宋体" w:cs="仿宋"/>
          <w:b/>
          <w:color w:val="000000" w:themeColor="text1"/>
          <w:kern w:val="0"/>
          <w:sz w:val="24"/>
          <w:highlight w:val="none"/>
          <w:lang w:val="zh-CN"/>
          <w14:textFill>
            <w14:solidFill>
              <w14:schemeClr w14:val="tx1"/>
            </w14:solidFill>
          </w14:textFill>
        </w:rPr>
        <w:t>23.2 其他保险</w:t>
      </w:r>
      <w:bookmarkEnd w:id="586"/>
      <w:bookmarkEnd w:id="587"/>
      <w:bookmarkEnd w:id="588"/>
    </w:p>
    <w:bookmarkEnd w:id="589"/>
    <w:bookmarkEnd w:id="590"/>
    <w:bookmarkEnd w:id="591"/>
    <w:p w14:paraId="0D430FA9">
      <w:pPr>
        <w:wordWrap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除专用合同条款另有约定外，分包人应为其雇佣的人员办理意外伤害保险，为其施工设备等办理财产保险。分包合同当事人应在专用合同条款约定保险金额等具体事项。</w:t>
      </w:r>
    </w:p>
    <w:p w14:paraId="60BC8615">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592" w:name="_Toc389586407"/>
      <w:bookmarkStart w:id="593" w:name="_Toc351203617"/>
      <w:bookmarkStart w:id="594" w:name="_Toc371493260"/>
      <w:bookmarkStart w:id="595" w:name="_Toc296503126"/>
      <w:bookmarkStart w:id="596" w:name="_Toc296346627"/>
      <w:bookmarkStart w:id="597" w:name="_Toc337558832"/>
      <w:r>
        <w:rPr>
          <w:rFonts w:hint="eastAsia" w:ascii="宋体" w:hAnsi="宋体" w:eastAsia="宋体" w:cs="仿宋"/>
          <w:b/>
          <w:color w:val="000000" w:themeColor="text1"/>
          <w:kern w:val="0"/>
          <w:sz w:val="24"/>
          <w:highlight w:val="none"/>
          <w:lang w:val="zh-CN"/>
          <w14:textFill>
            <w14:solidFill>
              <w14:schemeClr w14:val="tx1"/>
            </w14:solidFill>
          </w14:textFill>
        </w:rPr>
        <w:t>23.3 保险凭证</w:t>
      </w:r>
      <w:bookmarkEnd w:id="592"/>
      <w:bookmarkEnd w:id="593"/>
      <w:bookmarkEnd w:id="594"/>
    </w:p>
    <w:bookmarkEnd w:id="595"/>
    <w:bookmarkEnd w:id="596"/>
    <w:bookmarkEnd w:id="597"/>
    <w:p w14:paraId="3B70BC9B">
      <w:pPr>
        <w:wordWrap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分包人应在专用合同条款约定的期限内向承包人提交已投保的各项保险的凭证和保险单复印件。</w:t>
      </w:r>
    </w:p>
    <w:p w14:paraId="6F004C24">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598" w:name="_Toc351203620"/>
      <w:bookmarkStart w:id="599" w:name="_Toc371493263"/>
      <w:bookmarkStart w:id="600" w:name="_Toc389586408"/>
      <w:bookmarkStart w:id="601" w:name="_Toc296346641"/>
      <w:bookmarkStart w:id="602" w:name="_Toc296503140"/>
      <w:bookmarkStart w:id="603" w:name="_Toc337558835"/>
      <w:r>
        <w:rPr>
          <w:rFonts w:hint="eastAsia" w:ascii="宋体" w:hAnsi="宋体" w:eastAsia="宋体" w:cs="仿宋"/>
          <w:b/>
          <w:bCs/>
          <w:color w:val="000000" w:themeColor="text1"/>
          <w:kern w:val="0"/>
          <w:sz w:val="24"/>
          <w:highlight w:val="none"/>
          <w:lang w:val="zh-CN"/>
          <w14:textFill>
            <w14:solidFill>
              <w14:schemeClr w14:val="tx1"/>
            </w14:solidFill>
          </w14:textFill>
        </w:rPr>
        <w:t>24. 索赔</w:t>
      </w:r>
      <w:bookmarkEnd w:id="598"/>
      <w:bookmarkEnd w:id="599"/>
      <w:bookmarkEnd w:id="600"/>
    </w:p>
    <w:bookmarkEnd w:id="601"/>
    <w:bookmarkEnd w:id="602"/>
    <w:bookmarkEnd w:id="603"/>
    <w:p w14:paraId="7975E601">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04" w:name="_Toc389586409"/>
      <w:bookmarkStart w:id="605" w:name="_Toc371493264"/>
      <w:bookmarkStart w:id="606" w:name="_Toc351203621"/>
      <w:bookmarkStart w:id="607" w:name="_Toc296346642"/>
      <w:bookmarkStart w:id="608" w:name="_Toc337558836"/>
      <w:bookmarkStart w:id="609" w:name="_Toc296503141"/>
      <w:r>
        <w:rPr>
          <w:rFonts w:hint="eastAsia" w:ascii="宋体" w:hAnsi="宋体" w:eastAsia="宋体" w:cs="仿宋"/>
          <w:b/>
          <w:color w:val="000000" w:themeColor="text1"/>
          <w:kern w:val="0"/>
          <w:sz w:val="24"/>
          <w:highlight w:val="none"/>
          <w:lang w:val="zh-CN"/>
          <w14:textFill>
            <w14:solidFill>
              <w14:schemeClr w14:val="tx1"/>
            </w14:solidFill>
          </w14:textFill>
        </w:rPr>
        <w:t>24.1 分包人的索赔</w:t>
      </w:r>
      <w:bookmarkEnd w:id="604"/>
      <w:bookmarkEnd w:id="605"/>
      <w:bookmarkEnd w:id="606"/>
    </w:p>
    <w:bookmarkEnd w:id="607"/>
    <w:bookmarkEnd w:id="608"/>
    <w:bookmarkEnd w:id="609"/>
    <w:p w14:paraId="3B05A7FA">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根据分包合同约定，分包人认为有权得到追加付款和（或）延长工期的，应按以下程序向承包人提出索赔：</w:t>
      </w:r>
    </w:p>
    <w:p w14:paraId="630A0626">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（1）分包人应在知道或应当知道索赔事件发生后14天内，向承包人递交索赔意向通知书，并说明发生索赔事件的事由；分包人未在前述14天内发出索赔意向通知书的，丧失要求追加付款和（或）延长工期的权利；</w:t>
      </w:r>
    </w:p>
    <w:p w14:paraId="129AC1F7">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（2）分包人应在发出索赔意向通知书后14天内，向承包人正式递交索赔报告；索赔报告应详细说明索赔理由以及要求追加的付款金额和（或）延长的工期，并附必要的记录和证明材料；</w:t>
      </w:r>
    </w:p>
    <w:p w14:paraId="560FD242">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（3）索赔事件具有持续影响的，分包人应按合理时间间隔继续递交延续索赔通知，说明持续影响的实际情况和记录，列出累计的追加付款金额和（或）工期延长天数；</w:t>
      </w:r>
    </w:p>
    <w:p w14:paraId="38020A4A">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（4）在索赔事件影响结束后14天内，分包人应向承包人递交最终索赔报告，说明最终要求索赔的追加付款金额和（或）延长的工期，并附必要的记录和证明材料。</w:t>
      </w:r>
    </w:p>
    <w:p w14:paraId="41518A55">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10" w:name="_Toc351203622"/>
      <w:bookmarkStart w:id="611" w:name="_Toc389586410"/>
      <w:bookmarkStart w:id="612" w:name="_Toc371493265"/>
      <w:bookmarkStart w:id="613" w:name="_Toc337558837"/>
      <w:bookmarkStart w:id="614" w:name="_Toc296503142"/>
      <w:bookmarkStart w:id="615" w:name="_Toc296346643"/>
      <w:r>
        <w:rPr>
          <w:rFonts w:hint="eastAsia" w:ascii="宋体" w:hAnsi="宋体" w:eastAsia="宋体" w:cs="仿宋"/>
          <w:b/>
          <w:color w:val="000000" w:themeColor="text1"/>
          <w:kern w:val="0"/>
          <w:sz w:val="24"/>
          <w:highlight w:val="none"/>
          <w:lang w:val="zh-CN"/>
          <w14:textFill>
            <w14:solidFill>
              <w14:schemeClr w14:val="tx1"/>
            </w14:solidFill>
          </w14:textFill>
        </w:rPr>
        <w:t>24.2 对分包人索赔的处理</w:t>
      </w:r>
      <w:bookmarkEnd w:id="610"/>
      <w:bookmarkEnd w:id="611"/>
      <w:bookmarkEnd w:id="612"/>
    </w:p>
    <w:bookmarkEnd w:id="613"/>
    <w:bookmarkEnd w:id="614"/>
    <w:bookmarkEnd w:id="615"/>
    <w:p w14:paraId="7034A35C">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除专用合同条款另有约定外，对分包人的索赔处理如下：</w:t>
      </w:r>
    </w:p>
    <w:p w14:paraId="2E6C0160">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（1）承包人应在收到索赔报告后进行审查。承包人对索赔报告存在异议的，有权要求分包人提交全部原始记录副本。</w:t>
      </w:r>
    </w:p>
    <w:p w14:paraId="007D8A95">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（2）分包人接受索赔处理结果的，索赔款项在当期进度款中进行支付；分包人不接受索赔处理结果的，按照第25条【争议解决】的约定处理。</w:t>
      </w:r>
    </w:p>
    <w:p w14:paraId="6B3A2D46">
      <w:pPr>
        <w:keepNext/>
        <w:keepLines/>
        <w:wordWrap w:val="0"/>
        <w:spacing w:line="460" w:lineRule="exact"/>
        <w:outlineLvl w:val="2"/>
        <w:rPr>
          <w:rFonts w:hint="eastAsia" w:ascii="宋体" w:hAnsi="宋体" w:eastAsia="宋体" w:cs="仿宋"/>
          <w:b/>
          <w:color w:val="000000" w:themeColor="text1"/>
          <w:kern w:val="0"/>
          <w:sz w:val="32"/>
          <w:highlight w:val="none"/>
          <w:lang w:val="zh-CN"/>
          <w14:textFill>
            <w14:solidFill>
              <w14:schemeClr w14:val="tx1"/>
            </w14:solidFill>
          </w14:textFill>
        </w:rPr>
      </w:pPr>
      <w:bookmarkStart w:id="616" w:name="_Toc351203623"/>
      <w:bookmarkStart w:id="617" w:name="_Toc371493266"/>
      <w:bookmarkStart w:id="618" w:name="_Toc389586411"/>
      <w:bookmarkStart w:id="619" w:name="_Toc296346644"/>
      <w:bookmarkStart w:id="620" w:name="_Toc337558838"/>
      <w:bookmarkStart w:id="621" w:name="_Toc296503143"/>
      <w:r>
        <w:rPr>
          <w:rFonts w:hint="eastAsia" w:ascii="宋体" w:hAnsi="宋体" w:eastAsia="宋体" w:cs="仿宋"/>
          <w:b/>
          <w:color w:val="000000" w:themeColor="text1"/>
          <w:kern w:val="0"/>
          <w:sz w:val="24"/>
          <w:highlight w:val="none"/>
          <w:lang w:val="zh-CN"/>
          <w14:textFill>
            <w14:solidFill>
              <w14:schemeClr w14:val="tx1"/>
            </w14:solidFill>
          </w14:textFill>
        </w:rPr>
        <w:t>24.3 承包人的索赔</w:t>
      </w:r>
      <w:bookmarkEnd w:id="616"/>
      <w:bookmarkEnd w:id="617"/>
      <w:bookmarkEnd w:id="618"/>
    </w:p>
    <w:bookmarkEnd w:id="619"/>
    <w:bookmarkEnd w:id="620"/>
    <w:bookmarkEnd w:id="621"/>
    <w:p w14:paraId="31E7CAA5">
      <w:pPr>
        <w:wordWrap w:val="0"/>
        <w:autoSpaceDE w:val="0"/>
        <w:autoSpaceDN w:val="0"/>
        <w:spacing w:line="460" w:lineRule="exact"/>
        <w:ind w:firstLine="480" w:firstLineChars="200"/>
        <w:rPr>
          <w:rFonts w:hint="eastAsia" w:ascii="宋体" w:hAnsi="宋体" w:eastAsia="宋体" w:cs="Times New Roman"/>
          <w:color w:val="000000" w:themeColor="text1"/>
          <w:kern w:val="0"/>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根据分包合同约定，承包人认为有权得到赔付金额和（或）延长缺陷责任期的，应向分包人发出通知并附有详细的证明。</w:t>
      </w:r>
    </w:p>
    <w:p w14:paraId="2455F6D5">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承包人应在知道或应当知道索赔事件发生后向分包人提出索赔意向通知书。承包人应在发出索赔意向通知书后向分包人正式递交索赔报告。</w:t>
      </w:r>
    </w:p>
    <w:p w14:paraId="10EB0985">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22" w:name="_Toc389586412"/>
      <w:bookmarkStart w:id="623" w:name="_Toc371493267"/>
      <w:bookmarkStart w:id="624" w:name="_Toc351203624"/>
      <w:bookmarkStart w:id="625" w:name="_Toc296503144"/>
      <w:bookmarkStart w:id="626" w:name="_Toc337558839"/>
      <w:bookmarkStart w:id="627" w:name="_Toc296346645"/>
      <w:r>
        <w:rPr>
          <w:rFonts w:hint="eastAsia" w:ascii="宋体" w:hAnsi="宋体" w:eastAsia="宋体" w:cs="仿宋"/>
          <w:b/>
          <w:color w:val="000000" w:themeColor="text1"/>
          <w:kern w:val="0"/>
          <w:sz w:val="24"/>
          <w:highlight w:val="none"/>
          <w:lang w:val="zh-CN"/>
          <w14:textFill>
            <w14:solidFill>
              <w14:schemeClr w14:val="tx1"/>
            </w14:solidFill>
          </w14:textFill>
        </w:rPr>
        <w:t>24.4 对承包人索赔的处理</w:t>
      </w:r>
      <w:bookmarkEnd w:id="622"/>
      <w:bookmarkEnd w:id="623"/>
      <w:bookmarkEnd w:id="624"/>
    </w:p>
    <w:bookmarkEnd w:id="625"/>
    <w:bookmarkEnd w:id="626"/>
    <w:bookmarkEnd w:id="627"/>
    <w:p w14:paraId="23D8F960">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除专用合同条款另有约定外，对承包人的索赔处理如下：</w:t>
      </w:r>
    </w:p>
    <w:p w14:paraId="55E3AB58">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（1）分包人收到承包人提交的索赔报告后35天内，将索赔处理结果答复承包人。如果分包人未在上述期限内作出答复的，则视为对承包人索赔要求的认可；</w:t>
      </w:r>
    </w:p>
    <w:p w14:paraId="1A313626">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（2）承包人接受索赔处理结果的，承包人可从应支付给分包人的合同价款中扣除赔付的金额或延长缺陷责任期；承包人不接受索赔处理结果的，按第25条【争议解决】的约定处理。</w:t>
      </w:r>
    </w:p>
    <w:p w14:paraId="6CF707D9">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28" w:name="_Toc351203625"/>
      <w:bookmarkStart w:id="629" w:name="_Toc371493268"/>
      <w:bookmarkStart w:id="630" w:name="_Toc389586413"/>
      <w:r>
        <w:rPr>
          <w:rFonts w:hint="eastAsia" w:ascii="宋体" w:hAnsi="宋体" w:eastAsia="宋体" w:cs="仿宋"/>
          <w:b/>
          <w:color w:val="000000" w:themeColor="text1"/>
          <w:kern w:val="0"/>
          <w:sz w:val="24"/>
          <w:highlight w:val="none"/>
          <w:lang w:val="zh-CN"/>
          <w14:textFill>
            <w14:solidFill>
              <w14:schemeClr w14:val="tx1"/>
            </w14:solidFill>
          </w14:textFill>
        </w:rPr>
        <w:t>24.5 提出索赔的期限</w:t>
      </w:r>
      <w:bookmarkEnd w:id="628"/>
      <w:bookmarkEnd w:id="629"/>
      <w:bookmarkEnd w:id="630"/>
    </w:p>
    <w:p w14:paraId="5BF50AF0">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（1）分包人按第19.2款【结算审核】的约定认可结算付款证书后，应被视为已无权就结算付款证书签发前所发生的事项提出任何索赔。</w:t>
      </w:r>
    </w:p>
    <w:p w14:paraId="62B183CF">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（2）分包人按第19.3款【最终结清】提交的最终结清申请单，只限于提出结算付款证书签发后发生的索赔。分包人提出索赔的期限自最终结清申请单被承包人确认时终止。</w:t>
      </w:r>
    </w:p>
    <w:p w14:paraId="4F1A883F">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31" w:name="_Toc389586414"/>
      <w:r>
        <w:rPr>
          <w:rFonts w:hint="eastAsia" w:ascii="宋体" w:hAnsi="宋体" w:eastAsia="宋体" w:cs="仿宋"/>
          <w:b/>
          <w:color w:val="000000" w:themeColor="text1"/>
          <w:kern w:val="0"/>
          <w:sz w:val="24"/>
          <w:highlight w:val="none"/>
          <w:lang w:val="zh-CN"/>
          <w14:textFill>
            <w14:solidFill>
              <w14:schemeClr w14:val="tx1"/>
            </w14:solidFill>
          </w14:textFill>
        </w:rPr>
        <w:t>24.6 分包人索赔配合</w:t>
      </w:r>
      <w:bookmarkEnd w:id="631"/>
    </w:p>
    <w:p w14:paraId="47E9AFE1">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当承包人与发包人之间发生的索赔事项涉及分包工程时，分包人应按承包人要求配合承包人处理前述索赔事项。</w:t>
      </w:r>
    </w:p>
    <w:p w14:paraId="6B0D2027">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632" w:name="_Toc371493269"/>
      <w:bookmarkStart w:id="633" w:name="_Toc389586415"/>
      <w:bookmarkStart w:id="634" w:name="_Toc351203626"/>
      <w:bookmarkStart w:id="635" w:name="_Toc296346647"/>
      <w:bookmarkStart w:id="636" w:name="_Toc296503146"/>
      <w:bookmarkStart w:id="637" w:name="_Toc337558840"/>
      <w:r>
        <w:rPr>
          <w:rFonts w:hint="eastAsia" w:ascii="宋体" w:hAnsi="宋体" w:eastAsia="宋体" w:cs="仿宋"/>
          <w:b/>
          <w:bCs/>
          <w:color w:val="000000" w:themeColor="text1"/>
          <w:kern w:val="0"/>
          <w:sz w:val="24"/>
          <w:highlight w:val="none"/>
          <w:lang w:val="zh-CN"/>
          <w14:textFill>
            <w14:solidFill>
              <w14:schemeClr w14:val="tx1"/>
            </w14:solidFill>
          </w14:textFill>
        </w:rPr>
        <w:t>25. 争议解决</w:t>
      </w:r>
      <w:bookmarkEnd w:id="632"/>
      <w:bookmarkEnd w:id="633"/>
      <w:bookmarkEnd w:id="634"/>
    </w:p>
    <w:bookmarkEnd w:id="635"/>
    <w:bookmarkEnd w:id="636"/>
    <w:bookmarkEnd w:id="637"/>
    <w:p w14:paraId="71977B11">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38" w:name="_Toc351203628"/>
      <w:bookmarkStart w:id="639" w:name="_Toc371493270"/>
      <w:bookmarkStart w:id="640" w:name="_Toc389586416"/>
      <w:bookmarkStart w:id="641" w:name="_Toc337558842"/>
      <w:bookmarkStart w:id="642" w:name="_Toc296503148"/>
      <w:bookmarkStart w:id="643" w:name="_Toc296346649"/>
      <w:r>
        <w:rPr>
          <w:rFonts w:hint="eastAsia" w:ascii="宋体" w:hAnsi="宋体" w:eastAsia="宋体" w:cs="仿宋"/>
          <w:b/>
          <w:color w:val="000000" w:themeColor="text1"/>
          <w:kern w:val="0"/>
          <w:sz w:val="24"/>
          <w:highlight w:val="none"/>
          <w:lang w:val="zh-CN"/>
          <w14:textFill>
            <w14:solidFill>
              <w14:schemeClr w14:val="tx1"/>
            </w14:solidFill>
          </w14:textFill>
        </w:rPr>
        <w:t>25.1 调解</w:t>
      </w:r>
      <w:bookmarkEnd w:id="638"/>
      <w:bookmarkEnd w:id="639"/>
      <w:bookmarkEnd w:id="640"/>
    </w:p>
    <w:bookmarkEnd w:id="641"/>
    <w:bookmarkEnd w:id="642"/>
    <w:bookmarkEnd w:id="643"/>
    <w:p w14:paraId="5B59219A">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分包合同当事人可以就争议请求建设行政主管部门、行业协会或其他第三方进行调解，调解达成协议的，经双方签字并盖章后作为合同补充文件，双方均应遵照执行。</w:t>
      </w:r>
    </w:p>
    <w:p w14:paraId="056AF67A">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44" w:name="_Toc389586417"/>
      <w:bookmarkStart w:id="645" w:name="_Toc371493271"/>
      <w:bookmarkStart w:id="646" w:name="_Toc351203630"/>
      <w:bookmarkStart w:id="647" w:name="_Toc296346651"/>
      <w:bookmarkStart w:id="648" w:name="_Toc337558844"/>
      <w:bookmarkStart w:id="649" w:name="_Toc296503150"/>
      <w:r>
        <w:rPr>
          <w:rFonts w:hint="eastAsia" w:ascii="宋体" w:hAnsi="宋体" w:eastAsia="宋体" w:cs="仿宋"/>
          <w:b/>
          <w:color w:val="000000" w:themeColor="text1"/>
          <w:kern w:val="0"/>
          <w:sz w:val="24"/>
          <w:highlight w:val="none"/>
          <w:lang w:val="zh-CN"/>
          <w14:textFill>
            <w14:solidFill>
              <w14:schemeClr w14:val="tx1"/>
            </w14:solidFill>
          </w14:textFill>
        </w:rPr>
        <w:t>25.2 仲裁或诉讼</w:t>
      </w:r>
      <w:bookmarkEnd w:id="644"/>
      <w:bookmarkEnd w:id="645"/>
      <w:bookmarkEnd w:id="646"/>
    </w:p>
    <w:bookmarkEnd w:id="647"/>
    <w:bookmarkEnd w:id="648"/>
    <w:bookmarkEnd w:id="649"/>
    <w:p w14:paraId="737E5E84">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因分包合同及合同有关事项产生的争议，分包合同当事人可以在专用合同条款中约定以下列任意一种方式解决争议：</w:t>
      </w:r>
    </w:p>
    <w:p w14:paraId="51FCD0A2">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（1）向专用合同条款约定的仲裁委员会申请仲裁；</w:t>
      </w:r>
    </w:p>
    <w:p w14:paraId="6ADCB93B">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（2）向专用合同条款约定的有管辖权的人民法院起诉。</w:t>
      </w:r>
    </w:p>
    <w:p w14:paraId="30BAF93B">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50" w:name="_Toc389586418"/>
      <w:r>
        <w:rPr>
          <w:rFonts w:hint="eastAsia" w:ascii="宋体" w:hAnsi="宋体" w:eastAsia="宋体" w:cs="仿宋"/>
          <w:b/>
          <w:color w:val="000000" w:themeColor="text1"/>
          <w:kern w:val="0"/>
          <w:sz w:val="24"/>
          <w:highlight w:val="none"/>
          <w:lang w:val="zh-CN"/>
          <w14:textFill>
            <w14:solidFill>
              <w14:schemeClr w14:val="tx1"/>
            </w14:solidFill>
          </w14:textFill>
        </w:rPr>
        <w:t>25.3 与争议解决有关的事项</w:t>
      </w:r>
      <w:bookmarkEnd w:id="650"/>
    </w:p>
    <w:p w14:paraId="0FF81C63">
      <w:pPr>
        <w:wordWrap w:val="0"/>
        <w:autoSpaceDE w:val="0"/>
        <w:autoSpaceDN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在承包人与发包人进入争议解决程序且争议事项涉及分包工程时，分包人应配合承包人处理争议事项。</w:t>
      </w:r>
    </w:p>
    <w:p w14:paraId="3C65AE2C">
      <w:pPr>
        <w:keepNext/>
        <w:keepLines/>
        <w:wordWrap w:val="0"/>
        <w:spacing w:line="460" w:lineRule="exact"/>
        <w:jc w:val="center"/>
        <w:outlineLvl w:val="0"/>
        <w:rPr>
          <w:rFonts w:hint="eastAsia" w:ascii="宋体" w:hAnsi="宋体" w:eastAsia="宋体" w:cs="仿宋"/>
          <w:b/>
          <w:bCs/>
          <w:color w:val="000000" w:themeColor="text1"/>
          <w:kern w:val="44"/>
          <w:sz w:val="24"/>
          <w:highlight w:val="none"/>
          <w:lang w:val="zh-CN"/>
          <w14:textFill>
            <w14:solidFill>
              <w14:schemeClr w14:val="tx1"/>
            </w14:solidFill>
          </w14:textFill>
        </w:rPr>
      </w:pPr>
      <w:r>
        <w:rPr>
          <w:rFonts w:hint="eastAsia" w:ascii="宋体" w:hAnsi="宋体" w:eastAsia="宋体" w:cs="仿宋"/>
          <w:color w:val="000000" w:themeColor="text1"/>
          <w:kern w:val="44"/>
          <w:sz w:val="24"/>
          <w:szCs w:val="44"/>
          <w:highlight w:val="none"/>
          <w:lang w:val="zh-CN"/>
          <w14:textFill>
            <w14:solidFill>
              <w14:schemeClr w14:val="tx1"/>
            </w14:solidFill>
          </w14:textFill>
        </w:rPr>
        <w:br w:type="page"/>
      </w:r>
      <w:bookmarkStart w:id="651" w:name="_Toc351203632"/>
      <w:bookmarkEnd w:id="651"/>
      <w:bookmarkStart w:id="652" w:name="_Toc389586419"/>
      <w:bookmarkStart w:id="653" w:name="_Toc351203652"/>
    </w:p>
    <w:p w14:paraId="23D7AE45">
      <w:pPr>
        <w:keepNext/>
        <w:keepLines/>
        <w:wordWrap w:val="0"/>
        <w:spacing w:line="460" w:lineRule="exact"/>
        <w:jc w:val="center"/>
        <w:outlineLvl w:val="0"/>
        <w:rPr>
          <w:rFonts w:hint="eastAsia" w:ascii="宋体" w:hAnsi="宋体" w:eastAsia="宋体" w:cs="仿宋"/>
          <w:b/>
          <w:bCs/>
          <w:color w:val="000000" w:themeColor="text1"/>
          <w:kern w:val="44"/>
          <w:sz w:val="44"/>
          <w:szCs w:val="44"/>
          <w:highlight w:val="none"/>
          <w:lang w:val="zh-CN"/>
          <w14:textFill>
            <w14:solidFill>
              <w14:schemeClr w14:val="tx1"/>
            </w14:solidFill>
          </w14:textFill>
        </w:rPr>
      </w:pPr>
      <w:r>
        <w:rPr>
          <w:rFonts w:hint="eastAsia" w:ascii="宋体" w:hAnsi="宋体" w:eastAsia="宋体" w:cs="仿宋"/>
          <w:b/>
          <w:bCs/>
          <w:color w:val="000000" w:themeColor="text1"/>
          <w:kern w:val="44"/>
          <w:sz w:val="44"/>
          <w:szCs w:val="44"/>
          <w:highlight w:val="none"/>
          <w:lang w:val="zh-CN"/>
          <w14:textFill>
            <w14:solidFill>
              <w14:schemeClr w14:val="tx1"/>
            </w14:solidFill>
          </w14:textFill>
        </w:rPr>
        <w:t>第三部分 专用合同条款</w:t>
      </w:r>
      <w:bookmarkEnd w:id="652"/>
    </w:p>
    <w:p w14:paraId="24455034">
      <w:pPr>
        <w:rPr>
          <w:rFonts w:hint="eastAsia" w:ascii="宋体" w:hAnsi="宋体" w:eastAsia="宋体" w:cs="Times New Roman"/>
          <w:color w:val="000000" w:themeColor="text1"/>
          <w:highlight w:val="none"/>
          <w14:textFill>
            <w14:solidFill>
              <w14:schemeClr w14:val="tx1"/>
            </w14:solidFill>
          </w14:textFill>
        </w:rPr>
      </w:pPr>
    </w:p>
    <w:p w14:paraId="1222AB24">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654" w:name="_Toc389586420"/>
      <w:r>
        <w:rPr>
          <w:rFonts w:hint="eastAsia" w:ascii="宋体" w:hAnsi="宋体" w:eastAsia="宋体" w:cs="仿宋"/>
          <w:b/>
          <w:bCs/>
          <w:color w:val="000000" w:themeColor="text1"/>
          <w:kern w:val="0"/>
          <w:sz w:val="24"/>
          <w:highlight w:val="none"/>
          <w:lang w:val="zh-CN"/>
          <w14:textFill>
            <w14:solidFill>
              <w14:schemeClr w14:val="tx1"/>
            </w14:solidFill>
          </w14:textFill>
        </w:rPr>
        <w:t>1. 一般约定</w:t>
      </w:r>
      <w:bookmarkEnd w:id="654"/>
    </w:p>
    <w:p w14:paraId="570C4C28">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55" w:name="_Toc389586421"/>
      <w:r>
        <w:rPr>
          <w:rFonts w:hint="eastAsia" w:ascii="宋体" w:hAnsi="宋体" w:eastAsia="宋体" w:cs="仿宋"/>
          <w:b/>
          <w:color w:val="000000" w:themeColor="text1"/>
          <w:kern w:val="0"/>
          <w:sz w:val="24"/>
          <w:highlight w:val="none"/>
          <w:lang w:val="zh-CN"/>
          <w14:textFill>
            <w14:solidFill>
              <w14:schemeClr w14:val="tx1"/>
            </w14:solidFill>
          </w14:textFill>
        </w:rPr>
        <w:t>1.1 词语定义与解释</w:t>
      </w:r>
      <w:bookmarkEnd w:id="655"/>
    </w:p>
    <w:p w14:paraId="0DD290B2">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1.1.1 其他分包合同文件包括：</w:t>
      </w:r>
      <w:r>
        <w:rPr>
          <w:rFonts w:hint="eastAsia" w:ascii="宋体" w:hAnsi="宋体" w:eastAsia="宋体" w:cs="仿宋"/>
          <w:b/>
          <w:bCs/>
          <w:color w:val="000000" w:themeColor="text1"/>
          <w:sz w:val="24"/>
          <w:highlight w:val="none"/>
          <w:u w:val="single"/>
          <w14:textFill>
            <w14:solidFill>
              <w14:schemeClr w14:val="tx1"/>
            </w14:solidFill>
          </w14:textFill>
        </w:rPr>
        <w:t>在合同订立及履行过程中形成的与合同有关的文件均构成合同文件组成部分；合同当事人就该项合同文件所作出的补充和修改，且已经过合同当事人签字或盖章</w:t>
      </w:r>
      <w:r>
        <w:rPr>
          <w:rFonts w:hint="eastAsia" w:ascii="宋体" w:hAnsi="宋体" w:eastAsia="宋体" w:cs="仿宋"/>
          <w:color w:val="000000" w:themeColor="text1"/>
          <w:sz w:val="24"/>
          <w:highlight w:val="none"/>
          <w14:textFill>
            <w14:solidFill>
              <w14:schemeClr w14:val="tx1"/>
            </w14:solidFill>
          </w14:textFill>
        </w:rPr>
        <w:t>。</w:t>
      </w:r>
    </w:p>
    <w:p w14:paraId="6205C14C">
      <w:pPr>
        <w:wordWrap w:val="0"/>
        <w:spacing w:line="460" w:lineRule="exact"/>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 xml:space="preserve">    1.1.2总包合同是指：</w:t>
      </w:r>
      <w:r>
        <w:rPr>
          <w:rFonts w:hint="eastAsia" w:ascii="宋体" w:hAnsi="宋体" w:eastAsia="宋体" w:cs="仿宋"/>
          <w:b/>
          <w:bCs/>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w:t>
      </w:r>
    </w:p>
    <w:p w14:paraId="11D56923">
      <w:pPr>
        <w:wordWrap w:val="0"/>
        <w:spacing w:line="460" w:lineRule="exact"/>
        <w:ind w:firstLine="480" w:firstLineChars="200"/>
        <w:jc w:val="left"/>
        <w:rPr>
          <w:rFonts w:hint="eastAsia" w:ascii="宋体" w:hAnsi="宋体" w:eastAsia="宋体" w:cs="仿宋"/>
          <w:color w:val="000000" w:themeColor="text1"/>
          <w:sz w:val="24"/>
          <w:highlight w:val="none"/>
          <w:u w:val="singl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1.1.17 作为施工场地组成部分的其他场所包括：</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432F261A">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1.1.33 分包合同适用的其他规范性文件：</w:t>
      </w:r>
      <w:r>
        <w:rPr>
          <w:rFonts w:hint="eastAsia" w:ascii="宋体" w:hAnsi="宋体" w:eastAsia="宋体" w:cs="仿宋"/>
          <w:b/>
          <w:bCs/>
          <w:color w:val="000000" w:themeColor="text1"/>
          <w:sz w:val="24"/>
          <w:highlight w:val="none"/>
          <w:u w:val="single"/>
          <w14:textFill>
            <w14:solidFill>
              <w14:schemeClr w14:val="tx1"/>
            </w14:solidFill>
          </w14:textFill>
        </w:rPr>
        <w:t>《中华人民共和国民法典》、《中华人民共和国建筑法》、《中华人民共和国招标投标法》、《建设工程质量管理条例》、《建筑工程施工发包与承包计价管理办法》、《山东省建筑安全生产管理规定》等及其它相关法律、法规、规定</w:t>
      </w:r>
      <w:r>
        <w:rPr>
          <w:rFonts w:hint="eastAsia" w:ascii="宋体" w:hAnsi="宋体" w:eastAsia="宋体" w:cs="仿宋"/>
          <w:color w:val="000000" w:themeColor="text1"/>
          <w:sz w:val="24"/>
          <w:highlight w:val="none"/>
          <w14:textFill>
            <w14:solidFill>
              <w14:schemeClr w14:val="tx1"/>
            </w14:solidFill>
          </w14:textFill>
        </w:rPr>
        <w:t>。</w:t>
      </w:r>
    </w:p>
    <w:p w14:paraId="02D58ABE">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56" w:name="_Toc389586422"/>
      <w:r>
        <w:rPr>
          <w:rFonts w:hint="eastAsia" w:ascii="宋体" w:hAnsi="宋体" w:eastAsia="宋体" w:cs="仿宋"/>
          <w:b/>
          <w:color w:val="000000" w:themeColor="text1"/>
          <w:kern w:val="0"/>
          <w:sz w:val="24"/>
          <w:highlight w:val="none"/>
          <w:lang w:val="zh-CN"/>
          <w14:textFill>
            <w14:solidFill>
              <w14:schemeClr w14:val="tx1"/>
            </w14:solidFill>
          </w14:textFill>
        </w:rPr>
        <w:t>1.3 标准和规范</w:t>
      </w:r>
      <w:bookmarkEnd w:id="656"/>
    </w:p>
    <w:p w14:paraId="55383F96">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1.3.1 适用于分包工程的标准和规范包括：</w:t>
      </w:r>
      <w:r>
        <w:rPr>
          <w:rFonts w:hint="eastAsia" w:ascii="宋体" w:hAnsi="宋体" w:eastAsia="宋体" w:cs="仿宋"/>
          <w:b/>
          <w:bCs/>
          <w:color w:val="000000" w:themeColor="text1"/>
          <w:sz w:val="24"/>
          <w:highlight w:val="none"/>
          <w:u w:val="single"/>
          <w14:textFill>
            <w14:solidFill>
              <w14:schemeClr w14:val="tx1"/>
            </w14:solidFill>
          </w14:textFill>
        </w:rPr>
        <w:t>国家现行建筑工程强制标准及城市道路工程施工及验收规范等</w:t>
      </w:r>
      <w:r>
        <w:rPr>
          <w:rFonts w:hint="eastAsia" w:ascii="宋体" w:hAnsi="宋体" w:eastAsia="宋体" w:cs="仿宋"/>
          <w:color w:val="000000" w:themeColor="text1"/>
          <w:sz w:val="24"/>
          <w:highlight w:val="none"/>
          <w14:textFill>
            <w14:solidFill>
              <w14:schemeClr w14:val="tx1"/>
            </w14:solidFill>
          </w14:textFill>
        </w:rPr>
        <w:t>。</w:t>
      </w:r>
    </w:p>
    <w:p w14:paraId="69EC4FE8">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1.3.2 分包人对前述标准和要求的了解程度：</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29C27623">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57" w:name="_Toc389586423"/>
      <w:r>
        <w:rPr>
          <w:rFonts w:hint="eastAsia" w:ascii="宋体" w:hAnsi="宋体" w:eastAsia="宋体" w:cs="仿宋"/>
          <w:b/>
          <w:color w:val="000000" w:themeColor="text1"/>
          <w:kern w:val="0"/>
          <w:sz w:val="24"/>
          <w:highlight w:val="none"/>
          <w:lang w:val="zh-CN"/>
          <w14:textFill>
            <w14:solidFill>
              <w14:schemeClr w14:val="tx1"/>
            </w14:solidFill>
          </w14:textFill>
        </w:rPr>
        <w:t>1.4 分包合同文件的优先顺序</w:t>
      </w:r>
      <w:bookmarkEnd w:id="657"/>
    </w:p>
    <w:p w14:paraId="243AE40C">
      <w:pPr>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解释分包合同文件的优先顺序为：</w:t>
      </w:r>
    </w:p>
    <w:p w14:paraId="024B7735">
      <w:pPr>
        <w:spacing w:line="460" w:lineRule="exact"/>
        <w:ind w:firstLine="482" w:firstLineChars="200"/>
        <w:rPr>
          <w:rFonts w:hint="eastAsia" w:ascii="宋体" w:hAnsi="宋体" w:eastAsia="宋体" w:cs="仿宋"/>
          <w:b/>
          <w:bCs/>
          <w:color w:val="000000" w:themeColor="text1"/>
          <w:kern w:val="0"/>
          <w:sz w:val="24"/>
          <w:highlight w:val="none"/>
          <w:u w:val="single"/>
          <w14:textFill>
            <w14:solidFill>
              <w14:schemeClr w14:val="tx1"/>
            </w14:solidFill>
          </w14:textFill>
        </w:rPr>
      </w:pPr>
      <w:r>
        <w:rPr>
          <w:rFonts w:hint="eastAsia" w:ascii="宋体" w:hAnsi="宋体" w:eastAsia="宋体" w:cs="仿宋"/>
          <w:b/>
          <w:bCs/>
          <w:color w:val="000000" w:themeColor="text1"/>
          <w:kern w:val="0"/>
          <w:sz w:val="24"/>
          <w:highlight w:val="none"/>
          <w14:textFill>
            <w14:solidFill>
              <w14:schemeClr w14:val="tx1"/>
            </w14:solidFill>
          </w14:textFill>
        </w:rPr>
        <w:t>（1）</w:t>
      </w:r>
      <w:r>
        <w:rPr>
          <w:rFonts w:hint="eastAsia" w:ascii="宋体" w:hAnsi="宋体" w:eastAsia="宋体" w:cs="仿宋"/>
          <w:b/>
          <w:bCs/>
          <w:color w:val="000000" w:themeColor="text1"/>
          <w:kern w:val="0"/>
          <w:sz w:val="24"/>
          <w:highlight w:val="none"/>
          <w:u w:val="single"/>
          <w14:textFill>
            <w14:solidFill>
              <w14:schemeClr w14:val="tx1"/>
            </w14:solidFill>
          </w14:textFill>
        </w:rPr>
        <w:t>本合同协议书</w:t>
      </w:r>
      <w:r>
        <w:rPr>
          <w:rFonts w:hint="eastAsia" w:ascii="宋体" w:hAnsi="宋体" w:eastAsia="宋体" w:cs="仿宋"/>
          <w:b/>
          <w:bCs/>
          <w:color w:val="000000" w:themeColor="text1"/>
          <w:kern w:val="0"/>
          <w:sz w:val="24"/>
          <w:highlight w:val="none"/>
          <w14:textFill>
            <w14:solidFill>
              <w14:schemeClr w14:val="tx1"/>
            </w14:solidFill>
          </w14:textFill>
        </w:rPr>
        <w:t>；</w:t>
      </w:r>
    </w:p>
    <w:p w14:paraId="2428CD60">
      <w:pPr>
        <w:spacing w:line="460" w:lineRule="exact"/>
        <w:ind w:firstLine="482" w:firstLineChars="200"/>
        <w:rPr>
          <w:rFonts w:hint="eastAsia" w:ascii="宋体" w:hAnsi="宋体" w:eastAsia="宋体" w:cs="仿宋"/>
          <w:b/>
          <w:bCs/>
          <w:color w:val="000000" w:themeColor="text1"/>
          <w:kern w:val="0"/>
          <w:sz w:val="24"/>
          <w:highlight w:val="none"/>
          <w:u w:val="single"/>
          <w14:textFill>
            <w14:solidFill>
              <w14:schemeClr w14:val="tx1"/>
            </w14:solidFill>
          </w14:textFill>
        </w:rPr>
      </w:pPr>
      <w:r>
        <w:rPr>
          <w:rFonts w:hint="eastAsia" w:ascii="宋体" w:hAnsi="宋体" w:eastAsia="宋体" w:cs="仿宋"/>
          <w:b/>
          <w:bCs/>
          <w:color w:val="000000" w:themeColor="text1"/>
          <w:kern w:val="0"/>
          <w:sz w:val="24"/>
          <w:highlight w:val="none"/>
          <w14:textFill>
            <w14:solidFill>
              <w14:schemeClr w14:val="tx1"/>
            </w14:solidFill>
          </w14:textFill>
        </w:rPr>
        <w:t>（2）</w:t>
      </w:r>
      <w:r>
        <w:rPr>
          <w:rFonts w:hint="eastAsia" w:ascii="宋体" w:hAnsi="宋体" w:eastAsia="宋体" w:cs="仿宋"/>
          <w:b/>
          <w:bCs/>
          <w:color w:val="000000" w:themeColor="text1"/>
          <w:kern w:val="0"/>
          <w:sz w:val="24"/>
          <w:highlight w:val="none"/>
          <w:u w:val="single"/>
          <w14:textFill>
            <w14:solidFill>
              <w14:schemeClr w14:val="tx1"/>
            </w14:solidFill>
          </w14:textFill>
        </w:rPr>
        <w:t>中标（成交）通知书（如有）</w:t>
      </w:r>
      <w:r>
        <w:rPr>
          <w:rFonts w:hint="eastAsia" w:ascii="宋体" w:hAnsi="宋体" w:eastAsia="宋体" w:cs="仿宋"/>
          <w:b/>
          <w:bCs/>
          <w:color w:val="000000" w:themeColor="text1"/>
          <w:kern w:val="0"/>
          <w:sz w:val="24"/>
          <w:highlight w:val="none"/>
          <w14:textFill>
            <w14:solidFill>
              <w14:schemeClr w14:val="tx1"/>
            </w14:solidFill>
          </w14:textFill>
        </w:rPr>
        <w:t>；</w:t>
      </w:r>
    </w:p>
    <w:p w14:paraId="4C5B9A4B">
      <w:pPr>
        <w:spacing w:line="460" w:lineRule="exact"/>
        <w:ind w:firstLine="482" w:firstLineChars="200"/>
        <w:rPr>
          <w:rFonts w:hint="eastAsia" w:ascii="宋体" w:hAnsi="宋体" w:eastAsia="宋体" w:cs="仿宋"/>
          <w:b/>
          <w:bCs/>
          <w:color w:val="000000" w:themeColor="text1"/>
          <w:kern w:val="0"/>
          <w:sz w:val="24"/>
          <w:highlight w:val="none"/>
          <w:u w:val="single"/>
          <w14:textFill>
            <w14:solidFill>
              <w14:schemeClr w14:val="tx1"/>
            </w14:solidFill>
          </w14:textFill>
        </w:rPr>
      </w:pPr>
      <w:r>
        <w:rPr>
          <w:rFonts w:hint="eastAsia" w:ascii="宋体" w:hAnsi="宋体" w:eastAsia="宋体" w:cs="仿宋"/>
          <w:b/>
          <w:bCs/>
          <w:color w:val="000000" w:themeColor="text1"/>
          <w:kern w:val="0"/>
          <w:sz w:val="24"/>
          <w:highlight w:val="none"/>
          <w14:textFill>
            <w14:solidFill>
              <w14:schemeClr w14:val="tx1"/>
            </w14:solidFill>
          </w14:textFill>
        </w:rPr>
        <w:t>（3）</w:t>
      </w:r>
      <w:r>
        <w:rPr>
          <w:rFonts w:hint="eastAsia" w:ascii="宋体" w:hAnsi="宋体" w:eastAsia="宋体" w:cs="仿宋"/>
          <w:b/>
          <w:bCs/>
          <w:color w:val="000000" w:themeColor="text1"/>
          <w:kern w:val="0"/>
          <w:sz w:val="24"/>
          <w:highlight w:val="none"/>
          <w:u w:val="single"/>
          <w14:textFill>
            <w14:solidFill>
              <w14:schemeClr w14:val="tx1"/>
            </w14:solidFill>
          </w14:textFill>
        </w:rPr>
        <w:t>投标文件及其附件</w:t>
      </w:r>
      <w:r>
        <w:rPr>
          <w:rFonts w:hint="eastAsia" w:ascii="宋体" w:hAnsi="宋体" w:eastAsia="宋体" w:cs="仿宋"/>
          <w:b/>
          <w:bCs/>
          <w:color w:val="000000" w:themeColor="text1"/>
          <w:kern w:val="0"/>
          <w:sz w:val="24"/>
          <w:highlight w:val="none"/>
          <w14:textFill>
            <w14:solidFill>
              <w14:schemeClr w14:val="tx1"/>
            </w14:solidFill>
          </w14:textFill>
        </w:rPr>
        <w:t>；</w:t>
      </w:r>
    </w:p>
    <w:p w14:paraId="713B057C">
      <w:pPr>
        <w:spacing w:line="460" w:lineRule="exact"/>
        <w:ind w:firstLine="482" w:firstLineChars="200"/>
        <w:rPr>
          <w:rFonts w:hint="eastAsia" w:ascii="宋体" w:hAnsi="宋体" w:eastAsia="宋体" w:cs="仿宋"/>
          <w:b/>
          <w:bCs/>
          <w:color w:val="000000" w:themeColor="text1"/>
          <w:kern w:val="0"/>
          <w:sz w:val="24"/>
          <w:highlight w:val="none"/>
          <w:u w:val="single"/>
          <w14:textFill>
            <w14:solidFill>
              <w14:schemeClr w14:val="tx1"/>
            </w14:solidFill>
          </w14:textFill>
        </w:rPr>
      </w:pPr>
      <w:r>
        <w:rPr>
          <w:rFonts w:hint="eastAsia" w:ascii="宋体" w:hAnsi="宋体" w:eastAsia="宋体" w:cs="仿宋"/>
          <w:b/>
          <w:bCs/>
          <w:color w:val="000000" w:themeColor="text1"/>
          <w:kern w:val="0"/>
          <w:sz w:val="24"/>
          <w:highlight w:val="none"/>
          <w14:textFill>
            <w14:solidFill>
              <w14:schemeClr w14:val="tx1"/>
            </w14:solidFill>
          </w14:textFill>
        </w:rPr>
        <w:t>（4）</w:t>
      </w:r>
      <w:r>
        <w:rPr>
          <w:rFonts w:hint="eastAsia" w:ascii="宋体" w:hAnsi="宋体" w:eastAsia="宋体" w:cs="仿宋"/>
          <w:b/>
          <w:bCs/>
          <w:color w:val="000000" w:themeColor="text1"/>
          <w:kern w:val="0"/>
          <w:sz w:val="24"/>
          <w:highlight w:val="none"/>
          <w:u w:val="single"/>
          <w14:textFill>
            <w14:solidFill>
              <w14:schemeClr w14:val="tx1"/>
            </w14:solidFill>
          </w14:textFill>
        </w:rPr>
        <w:t>本合同专用条款</w:t>
      </w:r>
      <w:r>
        <w:rPr>
          <w:rFonts w:hint="eastAsia" w:ascii="宋体" w:hAnsi="宋体" w:eastAsia="宋体" w:cs="仿宋"/>
          <w:b/>
          <w:bCs/>
          <w:color w:val="000000" w:themeColor="text1"/>
          <w:kern w:val="0"/>
          <w:sz w:val="24"/>
          <w:highlight w:val="none"/>
          <w14:textFill>
            <w14:solidFill>
              <w14:schemeClr w14:val="tx1"/>
            </w14:solidFill>
          </w14:textFill>
        </w:rPr>
        <w:t>；</w:t>
      </w:r>
    </w:p>
    <w:p w14:paraId="004E68E0">
      <w:pPr>
        <w:spacing w:line="460" w:lineRule="exact"/>
        <w:ind w:firstLine="482" w:firstLineChars="200"/>
        <w:rPr>
          <w:rFonts w:hint="eastAsia" w:ascii="宋体" w:hAnsi="宋体" w:eastAsia="宋体" w:cs="仿宋"/>
          <w:b/>
          <w:bCs/>
          <w:color w:val="000000" w:themeColor="text1"/>
          <w:kern w:val="0"/>
          <w:sz w:val="24"/>
          <w:highlight w:val="none"/>
          <w:u w:val="single"/>
          <w14:textFill>
            <w14:solidFill>
              <w14:schemeClr w14:val="tx1"/>
            </w14:solidFill>
          </w14:textFill>
        </w:rPr>
      </w:pPr>
      <w:r>
        <w:rPr>
          <w:rFonts w:hint="eastAsia" w:ascii="宋体" w:hAnsi="宋体" w:eastAsia="宋体" w:cs="仿宋"/>
          <w:b/>
          <w:bCs/>
          <w:color w:val="000000" w:themeColor="text1"/>
          <w:kern w:val="0"/>
          <w:sz w:val="24"/>
          <w:highlight w:val="none"/>
          <w14:textFill>
            <w14:solidFill>
              <w14:schemeClr w14:val="tx1"/>
            </w14:solidFill>
          </w14:textFill>
        </w:rPr>
        <w:t>（5）</w:t>
      </w:r>
      <w:r>
        <w:rPr>
          <w:rFonts w:hint="eastAsia" w:ascii="宋体" w:hAnsi="宋体" w:eastAsia="宋体" w:cs="仿宋"/>
          <w:b/>
          <w:bCs/>
          <w:color w:val="000000" w:themeColor="text1"/>
          <w:kern w:val="0"/>
          <w:sz w:val="24"/>
          <w:highlight w:val="none"/>
          <w:u w:val="single"/>
          <w14:textFill>
            <w14:solidFill>
              <w14:schemeClr w14:val="tx1"/>
            </w14:solidFill>
          </w14:textFill>
        </w:rPr>
        <w:t>本合同通用条款</w:t>
      </w:r>
      <w:r>
        <w:rPr>
          <w:rFonts w:hint="eastAsia" w:ascii="宋体" w:hAnsi="宋体" w:eastAsia="宋体" w:cs="仿宋"/>
          <w:b/>
          <w:bCs/>
          <w:color w:val="000000" w:themeColor="text1"/>
          <w:kern w:val="0"/>
          <w:sz w:val="24"/>
          <w:highlight w:val="none"/>
          <w14:textFill>
            <w14:solidFill>
              <w14:schemeClr w14:val="tx1"/>
            </w14:solidFill>
          </w14:textFill>
        </w:rPr>
        <w:t>；</w:t>
      </w:r>
    </w:p>
    <w:p w14:paraId="5B1A128B">
      <w:pPr>
        <w:spacing w:line="460" w:lineRule="exact"/>
        <w:ind w:firstLine="482" w:firstLineChars="200"/>
        <w:rPr>
          <w:rFonts w:hint="eastAsia" w:ascii="宋体" w:hAnsi="宋体" w:eastAsia="宋体" w:cs="仿宋"/>
          <w:b/>
          <w:bCs/>
          <w:color w:val="000000" w:themeColor="text1"/>
          <w:kern w:val="0"/>
          <w:sz w:val="24"/>
          <w:highlight w:val="none"/>
          <w:u w:val="single"/>
          <w14:textFill>
            <w14:solidFill>
              <w14:schemeClr w14:val="tx1"/>
            </w14:solidFill>
          </w14:textFill>
        </w:rPr>
      </w:pPr>
      <w:r>
        <w:rPr>
          <w:rFonts w:hint="eastAsia" w:ascii="宋体" w:hAnsi="宋体" w:eastAsia="宋体" w:cs="仿宋"/>
          <w:b/>
          <w:bCs/>
          <w:color w:val="000000" w:themeColor="text1"/>
          <w:kern w:val="0"/>
          <w:sz w:val="24"/>
          <w:highlight w:val="none"/>
          <w14:textFill>
            <w14:solidFill>
              <w14:schemeClr w14:val="tx1"/>
            </w14:solidFill>
          </w14:textFill>
        </w:rPr>
        <w:t>（6）</w:t>
      </w:r>
      <w:r>
        <w:rPr>
          <w:rFonts w:hint="eastAsia" w:ascii="宋体" w:hAnsi="宋体" w:eastAsia="宋体" w:cs="仿宋"/>
          <w:b/>
          <w:bCs/>
          <w:color w:val="000000" w:themeColor="text1"/>
          <w:kern w:val="0"/>
          <w:sz w:val="24"/>
          <w:highlight w:val="none"/>
          <w:u w:val="single"/>
          <w14:textFill>
            <w14:solidFill>
              <w14:schemeClr w14:val="tx1"/>
            </w14:solidFill>
          </w14:textFill>
        </w:rPr>
        <w:t>标准、规范及有关技术文件</w:t>
      </w:r>
      <w:r>
        <w:rPr>
          <w:rFonts w:hint="eastAsia" w:ascii="宋体" w:hAnsi="宋体" w:eastAsia="宋体" w:cs="仿宋"/>
          <w:b/>
          <w:bCs/>
          <w:color w:val="000000" w:themeColor="text1"/>
          <w:kern w:val="0"/>
          <w:sz w:val="24"/>
          <w:highlight w:val="none"/>
          <w14:textFill>
            <w14:solidFill>
              <w14:schemeClr w14:val="tx1"/>
            </w14:solidFill>
          </w14:textFill>
        </w:rPr>
        <w:t>；</w:t>
      </w:r>
    </w:p>
    <w:p w14:paraId="12464F0B">
      <w:pPr>
        <w:spacing w:line="460" w:lineRule="exact"/>
        <w:ind w:firstLine="482" w:firstLineChars="200"/>
        <w:rPr>
          <w:rFonts w:hint="eastAsia" w:ascii="宋体" w:hAnsi="宋体" w:eastAsia="宋体" w:cs="仿宋"/>
          <w:b/>
          <w:bCs/>
          <w:color w:val="000000" w:themeColor="text1"/>
          <w:kern w:val="0"/>
          <w:sz w:val="24"/>
          <w:highlight w:val="none"/>
          <w:u w:val="single"/>
          <w14:textFill>
            <w14:solidFill>
              <w14:schemeClr w14:val="tx1"/>
            </w14:solidFill>
          </w14:textFill>
        </w:rPr>
      </w:pPr>
      <w:r>
        <w:rPr>
          <w:rFonts w:hint="eastAsia" w:ascii="宋体" w:hAnsi="宋体" w:eastAsia="宋体" w:cs="仿宋"/>
          <w:b/>
          <w:bCs/>
          <w:color w:val="000000" w:themeColor="text1"/>
          <w:kern w:val="0"/>
          <w:sz w:val="24"/>
          <w:highlight w:val="none"/>
          <w14:textFill>
            <w14:solidFill>
              <w14:schemeClr w14:val="tx1"/>
            </w14:solidFill>
          </w14:textFill>
        </w:rPr>
        <w:t>（7）</w:t>
      </w:r>
      <w:r>
        <w:rPr>
          <w:rFonts w:hint="eastAsia" w:ascii="宋体" w:hAnsi="宋体" w:eastAsia="宋体" w:cs="仿宋"/>
          <w:b/>
          <w:bCs/>
          <w:color w:val="000000" w:themeColor="text1"/>
          <w:kern w:val="0"/>
          <w:sz w:val="24"/>
          <w:highlight w:val="none"/>
          <w:u w:val="single"/>
          <w14:textFill>
            <w14:solidFill>
              <w14:schemeClr w14:val="tx1"/>
            </w14:solidFill>
          </w14:textFill>
        </w:rPr>
        <w:t>图纸（如有）</w:t>
      </w:r>
      <w:r>
        <w:rPr>
          <w:rFonts w:hint="eastAsia" w:ascii="宋体" w:hAnsi="宋体" w:eastAsia="宋体" w:cs="仿宋"/>
          <w:b/>
          <w:bCs/>
          <w:color w:val="000000" w:themeColor="text1"/>
          <w:kern w:val="0"/>
          <w:sz w:val="24"/>
          <w:highlight w:val="none"/>
          <w14:textFill>
            <w14:solidFill>
              <w14:schemeClr w14:val="tx1"/>
            </w14:solidFill>
          </w14:textFill>
        </w:rPr>
        <w:t>；</w:t>
      </w:r>
    </w:p>
    <w:p w14:paraId="2E53141E">
      <w:pPr>
        <w:spacing w:line="460" w:lineRule="exact"/>
        <w:ind w:firstLine="482" w:firstLineChars="200"/>
        <w:rPr>
          <w:rFonts w:hint="eastAsia" w:ascii="宋体" w:hAnsi="宋体" w:eastAsia="宋体" w:cs="仿宋"/>
          <w:b/>
          <w:bCs/>
          <w:color w:val="000000" w:themeColor="text1"/>
          <w:kern w:val="0"/>
          <w:sz w:val="24"/>
          <w:highlight w:val="none"/>
          <w:u w:val="single"/>
          <w14:textFill>
            <w14:solidFill>
              <w14:schemeClr w14:val="tx1"/>
            </w14:solidFill>
          </w14:textFill>
        </w:rPr>
      </w:pPr>
      <w:r>
        <w:rPr>
          <w:rFonts w:hint="eastAsia" w:ascii="宋体" w:hAnsi="宋体" w:eastAsia="宋体" w:cs="仿宋"/>
          <w:b/>
          <w:bCs/>
          <w:color w:val="000000" w:themeColor="text1"/>
          <w:kern w:val="0"/>
          <w:sz w:val="24"/>
          <w:highlight w:val="none"/>
          <w14:textFill>
            <w14:solidFill>
              <w14:schemeClr w14:val="tx1"/>
            </w14:solidFill>
          </w14:textFill>
        </w:rPr>
        <w:t>（8）</w:t>
      </w:r>
      <w:r>
        <w:rPr>
          <w:rFonts w:hint="eastAsia" w:ascii="宋体" w:hAnsi="宋体" w:eastAsia="宋体" w:cs="仿宋"/>
          <w:b/>
          <w:bCs/>
          <w:color w:val="000000" w:themeColor="text1"/>
          <w:kern w:val="0"/>
          <w:sz w:val="24"/>
          <w:highlight w:val="none"/>
          <w:u w:val="single"/>
          <w14:textFill>
            <w14:solidFill>
              <w14:schemeClr w14:val="tx1"/>
            </w14:solidFill>
          </w14:textFill>
        </w:rPr>
        <w:t>已标价的工程量清单</w:t>
      </w:r>
      <w:r>
        <w:rPr>
          <w:rFonts w:hint="eastAsia" w:ascii="宋体" w:hAnsi="宋体" w:eastAsia="宋体" w:cs="仿宋"/>
          <w:b/>
          <w:bCs/>
          <w:color w:val="000000" w:themeColor="text1"/>
          <w:kern w:val="0"/>
          <w:sz w:val="24"/>
          <w:highlight w:val="none"/>
          <w14:textFill>
            <w14:solidFill>
              <w14:schemeClr w14:val="tx1"/>
            </w14:solidFill>
          </w14:textFill>
        </w:rPr>
        <w:t>；</w:t>
      </w:r>
    </w:p>
    <w:p w14:paraId="44378270">
      <w:pPr>
        <w:wordWrap w:val="0"/>
        <w:spacing w:line="460" w:lineRule="exact"/>
        <w:ind w:firstLine="482"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b/>
          <w:bCs/>
          <w:color w:val="000000" w:themeColor="text1"/>
          <w:kern w:val="0"/>
          <w:sz w:val="24"/>
          <w:highlight w:val="none"/>
          <w14:textFill>
            <w14:solidFill>
              <w14:schemeClr w14:val="tx1"/>
            </w14:solidFill>
          </w14:textFill>
        </w:rPr>
        <w:t>（9）</w:t>
      </w:r>
      <w:r>
        <w:rPr>
          <w:rFonts w:hint="eastAsia" w:ascii="宋体" w:hAnsi="宋体" w:eastAsia="宋体" w:cs="仿宋"/>
          <w:b/>
          <w:bCs/>
          <w:color w:val="000000" w:themeColor="text1"/>
          <w:kern w:val="0"/>
          <w:sz w:val="24"/>
          <w:highlight w:val="none"/>
          <w:u w:val="single"/>
          <w14:textFill>
            <w14:solidFill>
              <w14:schemeClr w14:val="tx1"/>
            </w14:solidFill>
          </w14:textFill>
        </w:rPr>
        <w:t>在合同订立及履行过程中形成经双方当事人签字或盖章的补充协议、设计变更及经济签证等资料，同一类内容的文件，应以最新签署的为准</w:t>
      </w:r>
      <w:r>
        <w:rPr>
          <w:rFonts w:hint="eastAsia" w:ascii="宋体" w:hAnsi="宋体" w:eastAsia="宋体" w:cs="仿宋"/>
          <w:b/>
          <w:bCs/>
          <w:color w:val="000000" w:themeColor="text1"/>
          <w:kern w:val="0"/>
          <w:sz w:val="24"/>
          <w:highlight w:val="none"/>
          <w14:textFill>
            <w14:solidFill>
              <w14:schemeClr w14:val="tx1"/>
            </w14:solidFill>
          </w14:textFill>
        </w:rPr>
        <w:t>。</w:t>
      </w:r>
    </w:p>
    <w:p w14:paraId="2093DDBA">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58" w:name="_Toc389586424"/>
      <w:r>
        <w:rPr>
          <w:rFonts w:hint="eastAsia" w:ascii="宋体" w:hAnsi="宋体" w:eastAsia="宋体" w:cs="仿宋"/>
          <w:b/>
          <w:color w:val="000000" w:themeColor="text1"/>
          <w:kern w:val="0"/>
          <w:sz w:val="24"/>
          <w:highlight w:val="none"/>
          <w:lang w:val="zh-CN"/>
          <w14:textFill>
            <w14:solidFill>
              <w14:schemeClr w14:val="tx1"/>
            </w14:solidFill>
          </w14:textFill>
        </w:rPr>
        <w:t>1.5 图纸</w:t>
      </w:r>
      <w:bookmarkEnd w:id="658"/>
      <w:r>
        <w:rPr>
          <w:rFonts w:hint="eastAsia" w:ascii="宋体" w:hAnsi="宋体" w:eastAsia="宋体" w:cs="仿宋"/>
          <w:b/>
          <w:color w:val="000000" w:themeColor="text1"/>
          <w:kern w:val="0"/>
          <w:sz w:val="24"/>
          <w:highlight w:val="none"/>
          <w:lang w:val="zh-CN"/>
          <w14:textFill>
            <w14:solidFill>
              <w14:schemeClr w14:val="tx1"/>
            </w14:solidFill>
          </w14:textFill>
        </w:rPr>
        <w:tab/>
      </w:r>
    </w:p>
    <w:p w14:paraId="63ADF6A5">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1.5.1 承包人向分包人提供图纸的期限：</w:t>
      </w:r>
      <w:r>
        <w:rPr>
          <w:rFonts w:hint="eastAsia" w:ascii="宋体" w:hAnsi="宋体" w:eastAsia="宋体" w:cs="仿宋"/>
          <w:b/>
          <w:bCs/>
          <w:color w:val="000000" w:themeColor="text1"/>
          <w:kern w:val="0"/>
          <w:sz w:val="24"/>
          <w:highlight w:val="none"/>
          <w:u w:val="single"/>
          <w14:textFill>
            <w14:solidFill>
              <w14:schemeClr w14:val="tx1"/>
            </w14:solidFill>
          </w14:textFill>
        </w:rPr>
        <w:t>承包人于合同签订之日向分包人提供工程施工图纸</w:t>
      </w:r>
      <w:r>
        <w:rPr>
          <w:rFonts w:hint="eastAsia" w:ascii="宋体" w:hAnsi="宋体" w:eastAsia="宋体" w:cs="仿宋"/>
          <w:color w:val="000000" w:themeColor="text1"/>
          <w:sz w:val="24"/>
          <w:highlight w:val="none"/>
          <w14:textFill>
            <w14:solidFill>
              <w14:schemeClr w14:val="tx1"/>
            </w14:solidFill>
          </w14:textFill>
        </w:rPr>
        <w:t>；</w:t>
      </w:r>
    </w:p>
    <w:p w14:paraId="23DBFC1F">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承包人向分包人提供图纸的数量：</w:t>
      </w:r>
      <w:r>
        <w:rPr>
          <w:rFonts w:hint="eastAsia" w:ascii="宋体" w:hAnsi="宋体" w:eastAsia="宋体" w:cs="仿宋"/>
          <w:b/>
          <w:bCs/>
          <w:color w:val="000000" w:themeColor="text1"/>
          <w:kern w:val="0"/>
          <w:sz w:val="24"/>
          <w:highlight w:val="none"/>
          <w:u w:val="single"/>
          <w14:textFill>
            <w14:solidFill>
              <w14:schemeClr w14:val="tx1"/>
            </w14:solidFill>
          </w14:textFill>
        </w:rPr>
        <w:t>1套纸质或电子版图纸</w:t>
      </w:r>
      <w:r>
        <w:rPr>
          <w:rFonts w:hint="eastAsia" w:ascii="宋体" w:hAnsi="宋体" w:eastAsia="宋体" w:cs="仿宋"/>
          <w:color w:val="000000" w:themeColor="text1"/>
          <w:sz w:val="24"/>
          <w:highlight w:val="none"/>
          <w14:textFill>
            <w14:solidFill>
              <w14:schemeClr w14:val="tx1"/>
            </w14:solidFill>
          </w14:textFill>
        </w:rPr>
        <w:t>；</w:t>
      </w:r>
    </w:p>
    <w:p w14:paraId="4964057B">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承包人向分包人提供图纸的内容：</w:t>
      </w:r>
      <w:r>
        <w:rPr>
          <w:rFonts w:hint="eastAsia" w:ascii="宋体" w:hAnsi="宋体" w:eastAsia="宋体" w:cs="仿宋"/>
          <w:b/>
          <w:bCs/>
          <w:color w:val="000000" w:themeColor="text1"/>
          <w:kern w:val="0"/>
          <w:sz w:val="24"/>
          <w:highlight w:val="none"/>
          <w:u w:val="single"/>
          <w14:textFill>
            <w14:solidFill>
              <w14:schemeClr w14:val="tx1"/>
            </w14:solidFill>
          </w14:textFill>
        </w:rPr>
        <w:t>与施工内容及工程量清单相对应的施工设计图</w:t>
      </w:r>
      <w:r>
        <w:rPr>
          <w:rFonts w:hint="eastAsia" w:ascii="宋体" w:hAnsi="宋体" w:eastAsia="宋体" w:cs="仿宋"/>
          <w:color w:val="000000" w:themeColor="text1"/>
          <w:sz w:val="24"/>
          <w:highlight w:val="none"/>
          <w14:textFill>
            <w14:solidFill>
              <w14:schemeClr w14:val="tx1"/>
            </w14:solidFill>
          </w14:textFill>
        </w:rPr>
        <w:t>；</w:t>
      </w:r>
    </w:p>
    <w:p w14:paraId="1D331FD2">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分包人应在施工场地保存图纸的份数：</w:t>
      </w:r>
      <w:r>
        <w:rPr>
          <w:rFonts w:hint="eastAsia" w:ascii="宋体" w:hAnsi="宋体" w:eastAsia="宋体" w:cs="仿宋"/>
          <w:b/>
          <w:bCs/>
          <w:color w:val="000000" w:themeColor="text1"/>
          <w:sz w:val="24"/>
          <w:highlight w:val="none"/>
          <w:u w:val="single"/>
          <w14:textFill>
            <w14:solidFill>
              <w14:schemeClr w14:val="tx1"/>
            </w14:solidFill>
          </w14:textFill>
        </w:rPr>
        <w:t>一套</w:t>
      </w:r>
      <w:r>
        <w:rPr>
          <w:rFonts w:hint="eastAsia" w:ascii="宋体" w:hAnsi="宋体" w:eastAsia="宋体" w:cs="仿宋"/>
          <w:color w:val="000000" w:themeColor="text1"/>
          <w:sz w:val="24"/>
          <w:highlight w:val="none"/>
          <w14:textFill>
            <w14:solidFill>
              <w14:schemeClr w14:val="tx1"/>
            </w14:solidFill>
          </w14:textFill>
        </w:rPr>
        <w:t>。</w:t>
      </w:r>
    </w:p>
    <w:p w14:paraId="4D58707D">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1.5.3 深化设计</w:t>
      </w:r>
    </w:p>
    <w:p w14:paraId="54E043E6">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承包人委托分包人进行深化设计的范围及费用承担：</w:t>
      </w:r>
      <w:r>
        <w:rPr>
          <w:rFonts w:hint="eastAsia" w:ascii="宋体" w:hAnsi="宋体" w:eastAsia="宋体" w:cs="仿宋"/>
          <w:color w:val="000000" w:themeColor="text1"/>
          <w:sz w:val="24"/>
          <w:highlight w:val="none"/>
          <w:u w:val="single"/>
          <w14:textFill>
            <w14:solidFill>
              <w14:schemeClr w14:val="tx1"/>
            </w14:solidFill>
          </w14:textFill>
        </w:rPr>
        <w:t xml:space="preserve">由分包人承担 </w:t>
      </w:r>
      <w:r>
        <w:rPr>
          <w:rFonts w:hint="eastAsia" w:ascii="宋体" w:hAnsi="宋体" w:eastAsia="宋体" w:cs="仿宋"/>
          <w:color w:val="000000" w:themeColor="text1"/>
          <w:sz w:val="24"/>
          <w:highlight w:val="none"/>
          <w14:textFill>
            <w14:solidFill>
              <w14:schemeClr w14:val="tx1"/>
            </w14:solidFill>
          </w14:textFill>
        </w:rPr>
        <w:t>。</w:t>
      </w:r>
    </w:p>
    <w:p w14:paraId="3A99BC40">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59" w:name="_Toc389586425"/>
      <w:r>
        <w:rPr>
          <w:rFonts w:hint="eastAsia" w:ascii="宋体" w:hAnsi="宋体" w:eastAsia="宋体" w:cs="仿宋"/>
          <w:b/>
          <w:color w:val="000000" w:themeColor="text1"/>
          <w:kern w:val="0"/>
          <w:sz w:val="24"/>
          <w:highlight w:val="none"/>
          <w:lang w:val="zh-CN"/>
          <w14:textFill>
            <w14:solidFill>
              <w14:schemeClr w14:val="tx1"/>
            </w14:solidFill>
          </w14:textFill>
        </w:rPr>
        <w:t>1.6 联络</w:t>
      </w:r>
      <w:bookmarkEnd w:id="659"/>
    </w:p>
    <w:p w14:paraId="36D7BA18">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bookmarkStart w:id="660" w:name="_Toc389586426"/>
      <w:r>
        <w:rPr>
          <w:rFonts w:hint="eastAsia" w:ascii="宋体" w:hAnsi="宋体" w:eastAsia="宋体" w:cs="仿宋"/>
          <w:color w:val="000000" w:themeColor="text1"/>
          <w:sz w:val="24"/>
          <w:highlight w:val="none"/>
          <w14:textFill>
            <w14:solidFill>
              <w14:schemeClr w14:val="tx1"/>
            </w14:solidFill>
          </w14:textFill>
        </w:rPr>
        <w:t>承包人接收文件的地点：</w:t>
      </w:r>
      <w:r>
        <w:rPr>
          <w:rFonts w:hint="eastAsia" w:ascii="宋体" w:hAnsi="宋体" w:eastAsia="宋体" w:cs="仿宋"/>
          <w:b/>
          <w:bCs/>
          <w:color w:val="000000" w:themeColor="text1"/>
          <w:kern w:val="0"/>
          <w:sz w:val="24"/>
          <w:highlight w:val="none"/>
          <w:u w:val="single"/>
          <w14:textFill>
            <w14:solidFill>
              <w14:schemeClr w14:val="tx1"/>
            </w14:solidFill>
          </w14:textFill>
        </w:rPr>
        <w:t>施工现场</w:t>
      </w:r>
      <w:r>
        <w:rPr>
          <w:rFonts w:hint="eastAsia" w:ascii="宋体" w:hAnsi="宋体" w:eastAsia="宋体" w:cs="仿宋"/>
          <w:color w:val="000000" w:themeColor="text1"/>
          <w:sz w:val="24"/>
          <w:highlight w:val="none"/>
          <w14:textFill>
            <w14:solidFill>
              <w14:schemeClr w14:val="tx1"/>
            </w14:solidFill>
          </w14:textFill>
        </w:rPr>
        <w:t>；</w:t>
      </w:r>
    </w:p>
    <w:p w14:paraId="0D0AF234">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承包人指定的接收人：</w:t>
      </w:r>
      <w:r>
        <w:rPr>
          <w:rFonts w:hint="eastAsia" w:ascii="宋体" w:hAnsi="宋体" w:eastAsia="宋体" w:cs="仿宋"/>
          <w:b/>
          <w:bCs/>
          <w:color w:val="000000" w:themeColor="text1"/>
          <w:kern w:val="0"/>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w:t>
      </w:r>
    </w:p>
    <w:p w14:paraId="77FA734E">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分包人接收文件的地点：</w:t>
      </w:r>
      <w:r>
        <w:rPr>
          <w:rFonts w:hint="eastAsia" w:ascii="宋体" w:hAnsi="宋体" w:eastAsia="宋体" w:cs="仿宋"/>
          <w:b/>
          <w:bCs/>
          <w:color w:val="000000" w:themeColor="text1"/>
          <w:kern w:val="0"/>
          <w:sz w:val="24"/>
          <w:highlight w:val="none"/>
          <w:u w:val="single"/>
          <w14:textFill>
            <w14:solidFill>
              <w14:schemeClr w14:val="tx1"/>
            </w14:solidFill>
          </w14:textFill>
        </w:rPr>
        <w:t>施工现场</w:t>
      </w:r>
      <w:r>
        <w:rPr>
          <w:rFonts w:hint="eastAsia" w:ascii="宋体" w:hAnsi="宋体" w:eastAsia="宋体" w:cs="仿宋"/>
          <w:color w:val="000000" w:themeColor="text1"/>
          <w:sz w:val="24"/>
          <w:highlight w:val="none"/>
          <w14:textFill>
            <w14:solidFill>
              <w14:schemeClr w14:val="tx1"/>
            </w14:solidFill>
          </w14:textFill>
        </w:rPr>
        <w:t>；</w:t>
      </w:r>
    </w:p>
    <w:p w14:paraId="5E265CF0">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分包人指定的接收人：</w:t>
      </w:r>
      <w:r>
        <w:rPr>
          <w:rFonts w:hint="eastAsia" w:ascii="宋体" w:hAnsi="宋体" w:eastAsia="宋体" w:cs="仿宋"/>
          <w:b/>
          <w:bCs/>
          <w:color w:val="000000" w:themeColor="text1"/>
          <w:kern w:val="0"/>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w:t>
      </w:r>
    </w:p>
    <w:p w14:paraId="00C848B8">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r>
        <w:rPr>
          <w:rFonts w:hint="eastAsia" w:ascii="宋体" w:hAnsi="宋体" w:eastAsia="宋体" w:cs="仿宋"/>
          <w:b/>
          <w:color w:val="000000" w:themeColor="text1"/>
          <w:kern w:val="0"/>
          <w:sz w:val="24"/>
          <w:highlight w:val="none"/>
          <w:lang w:val="zh-CN"/>
          <w14:textFill>
            <w14:solidFill>
              <w14:schemeClr w14:val="tx1"/>
            </w14:solidFill>
          </w14:textFill>
        </w:rPr>
        <w:t>1.8 知识产权</w:t>
      </w:r>
      <w:bookmarkEnd w:id="660"/>
      <w:r>
        <w:rPr>
          <w:rFonts w:hint="eastAsia" w:ascii="宋体" w:hAnsi="宋体" w:eastAsia="宋体" w:cs="仿宋"/>
          <w:b/>
          <w:color w:val="000000" w:themeColor="text1"/>
          <w:kern w:val="0"/>
          <w:sz w:val="24"/>
          <w:highlight w:val="none"/>
          <w:lang w:val="zh-CN"/>
          <w14:textFill>
            <w14:solidFill>
              <w14:schemeClr w14:val="tx1"/>
            </w14:solidFill>
          </w14:textFill>
        </w:rPr>
        <w:t xml:space="preserve">   </w:t>
      </w:r>
    </w:p>
    <w:p w14:paraId="1E9A730B">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1.8.3 分包人在合同签订前和签订时已确定采用的专利、专有技术、技术秘密的使用费：</w:t>
      </w:r>
      <w:r>
        <w:rPr>
          <w:rFonts w:hint="eastAsia" w:ascii="宋体" w:hAnsi="宋体" w:eastAsia="宋体" w:cs="仿宋"/>
          <w:b/>
          <w:bCs/>
          <w:color w:val="000000" w:themeColor="text1"/>
          <w:sz w:val="24"/>
          <w:highlight w:val="none"/>
          <w:u w:val="single"/>
          <w14:textFill>
            <w14:solidFill>
              <w14:schemeClr w14:val="tx1"/>
            </w14:solidFill>
          </w14:textFill>
        </w:rPr>
        <w:t>执行通用条款</w:t>
      </w:r>
      <w:r>
        <w:rPr>
          <w:rFonts w:hint="eastAsia" w:ascii="宋体" w:hAnsi="宋体" w:eastAsia="宋体" w:cs="仿宋"/>
          <w:color w:val="000000" w:themeColor="text1"/>
          <w:sz w:val="24"/>
          <w:highlight w:val="none"/>
          <w14:textFill>
            <w14:solidFill>
              <w14:schemeClr w14:val="tx1"/>
            </w14:solidFill>
          </w14:textFill>
        </w:rPr>
        <w:t>。</w:t>
      </w:r>
    </w:p>
    <w:p w14:paraId="263C2951">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661" w:name="_Toc389586427"/>
      <w:r>
        <w:rPr>
          <w:rFonts w:hint="eastAsia" w:ascii="宋体" w:hAnsi="宋体" w:eastAsia="宋体" w:cs="仿宋"/>
          <w:b/>
          <w:bCs/>
          <w:color w:val="000000" w:themeColor="text1"/>
          <w:kern w:val="0"/>
          <w:sz w:val="24"/>
          <w:highlight w:val="none"/>
          <w:lang w:val="zh-CN"/>
          <w14:textFill>
            <w14:solidFill>
              <w14:schemeClr w14:val="tx1"/>
            </w14:solidFill>
          </w14:textFill>
        </w:rPr>
        <w:t>2. 承包人</w:t>
      </w:r>
      <w:bookmarkEnd w:id="661"/>
    </w:p>
    <w:p w14:paraId="6D09CFDE">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62" w:name="_Toc389586428"/>
      <w:r>
        <w:rPr>
          <w:rFonts w:hint="eastAsia" w:ascii="宋体" w:hAnsi="宋体" w:eastAsia="宋体" w:cs="仿宋"/>
          <w:b/>
          <w:color w:val="000000" w:themeColor="text1"/>
          <w:kern w:val="0"/>
          <w:sz w:val="24"/>
          <w:highlight w:val="none"/>
          <w:lang w:val="zh-CN"/>
          <w14:textFill>
            <w14:solidFill>
              <w14:schemeClr w14:val="tx1"/>
            </w14:solidFill>
          </w14:textFill>
        </w:rPr>
        <w:t>2.2 提供基础资料、施工条件</w:t>
      </w:r>
      <w:bookmarkEnd w:id="662"/>
    </w:p>
    <w:p w14:paraId="2C786C20">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2.2.2 承包人移交施工场地的期限：</w:t>
      </w:r>
      <w:r>
        <w:rPr>
          <w:rFonts w:hint="eastAsia" w:ascii="宋体" w:hAnsi="宋体" w:eastAsia="宋体" w:cs="仿宋"/>
          <w:color w:val="000000" w:themeColor="text1"/>
          <w:sz w:val="24"/>
          <w:highlight w:val="none"/>
          <w:u w:val="single"/>
          <w14:textFill>
            <w14:solidFill>
              <w14:schemeClr w14:val="tx1"/>
            </w14:solidFill>
          </w14:textFill>
        </w:rPr>
        <w:t>于实际开工日期3天前。</w:t>
      </w:r>
    </w:p>
    <w:p w14:paraId="22D8DC39">
      <w:pPr>
        <w:wordWrap w:val="0"/>
        <w:spacing w:line="460" w:lineRule="exact"/>
        <w:ind w:firstLine="480" w:firstLineChars="200"/>
        <w:jc w:val="left"/>
        <w:rPr>
          <w:rFonts w:hint="eastAsia" w:ascii="宋体" w:hAnsi="宋体" w:eastAsia="宋体" w:cs="仿宋"/>
          <w:color w:val="000000" w:themeColor="text1"/>
          <w:sz w:val="24"/>
          <w:highlight w:val="none"/>
          <w:u w:val="singl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（4）承包人负责提供的其他设施和条件：</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74852CF4">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63" w:name="_Toc389586429"/>
      <w:r>
        <w:rPr>
          <w:rFonts w:hint="eastAsia" w:ascii="宋体" w:hAnsi="宋体" w:eastAsia="宋体" w:cs="仿宋"/>
          <w:b/>
          <w:color w:val="000000" w:themeColor="text1"/>
          <w:kern w:val="0"/>
          <w:sz w:val="24"/>
          <w:highlight w:val="none"/>
          <w:lang w:val="zh-CN"/>
          <w14:textFill>
            <w14:solidFill>
              <w14:schemeClr w14:val="tx1"/>
            </w14:solidFill>
          </w14:textFill>
        </w:rPr>
        <w:t>2.3 承包人项目经理</w:t>
      </w:r>
      <w:bookmarkEnd w:id="663"/>
    </w:p>
    <w:p w14:paraId="341A79F6">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姓    名：</w:t>
      </w:r>
      <w:r>
        <w:rPr>
          <w:rFonts w:hint="eastAsia" w:ascii="宋体" w:hAnsi="宋体" w:eastAsia="宋体" w:cs="仿宋"/>
          <w:b/>
          <w:bCs/>
          <w:color w:val="000000" w:themeColor="text1"/>
          <w:sz w:val="24"/>
          <w:highlight w:val="none"/>
          <w:u w:val="single"/>
          <w14:textFill>
            <w14:solidFill>
              <w14:schemeClr w14:val="tx1"/>
            </w14:solidFill>
          </w14:textFill>
        </w:rPr>
        <w:t xml:space="preserve">    </w:t>
      </w:r>
      <w:r>
        <w:rPr>
          <w:rFonts w:hint="eastAsia" w:ascii="宋体" w:hAnsi="宋体" w:eastAsia="宋体" w:cs="仿宋"/>
          <w:b/>
          <w:bCs/>
          <w:color w:val="000000" w:themeColor="text1"/>
          <w:kern w:val="0"/>
          <w:sz w:val="24"/>
          <w:highlight w:val="none"/>
          <w:u w:val="single"/>
          <w14:textFill>
            <w14:solidFill>
              <w14:schemeClr w14:val="tx1"/>
            </w14:solidFill>
          </w14:textFill>
        </w:rPr>
        <w:t xml:space="preserve">                    </w:t>
      </w:r>
      <w:r>
        <w:rPr>
          <w:rFonts w:hint="eastAsia" w:ascii="宋体" w:hAnsi="宋体" w:eastAsia="宋体" w:cs="仿宋"/>
          <w:b/>
          <w:bCs/>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w:t>
      </w:r>
    </w:p>
    <w:p w14:paraId="76C5ACCD">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身份证号：</w:t>
      </w:r>
      <w:r>
        <w:rPr>
          <w:rFonts w:hint="eastAsia" w:ascii="宋体" w:hAnsi="宋体" w:eastAsia="宋体" w:cs="仿宋"/>
          <w:b/>
          <w:bCs/>
          <w:color w:val="000000" w:themeColor="text1"/>
          <w:sz w:val="24"/>
          <w:highlight w:val="none"/>
          <w:u w:val="single"/>
          <w14:textFill>
            <w14:solidFill>
              <w14:schemeClr w14:val="tx1"/>
            </w14:solidFill>
          </w14:textFill>
        </w:rPr>
        <w:t xml:space="preserve">   </w:t>
      </w:r>
      <w:r>
        <w:rPr>
          <w:rFonts w:hint="eastAsia" w:ascii="宋体" w:hAnsi="宋体" w:eastAsia="宋体" w:cs="仿宋"/>
          <w:b/>
          <w:bCs/>
          <w:color w:val="000000" w:themeColor="text1"/>
          <w:kern w:val="0"/>
          <w:sz w:val="24"/>
          <w:highlight w:val="none"/>
          <w:u w:val="single"/>
          <w14:textFill>
            <w14:solidFill>
              <w14:schemeClr w14:val="tx1"/>
            </w14:solidFill>
          </w14:textFill>
        </w:rPr>
        <w:t xml:space="preserve">                    </w:t>
      </w:r>
      <w:r>
        <w:rPr>
          <w:rFonts w:hint="eastAsia" w:ascii="宋体" w:hAnsi="宋体" w:eastAsia="宋体" w:cs="Times New Roman"/>
          <w:b/>
          <w:color w:val="000000" w:themeColor="text1"/>
          <w:sz w:val="28"/>
          <w:szCs w:val="28"/>
          <w:highlight w:val="none"/>
          <w:u w:val="single"/>
          <w14:textFill>
            <w14:solidFill>
              <w14:schemeClr w14:val="tx1"/>
            </w14:solidFill>
          </w14:textFill>
        </w:rPr>
        <w:t xml:space="preserve"> </w:t>
      </w:r>
      <w:r>
        <w:rPr>
          <w:rFonts w:hint="eastAsia" w:ascii="宋体" w:hAnsi="宋体" w:eastAsia="宋体" w:cs="仿宋"/>
          <w:b/>
          <w:bCs/>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w:t>
      </w:r>
    </w:p>
    <w:p w14:paraId="18833DE5">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建造师执业资格等级：</w:t>
      </w:r>
      <w:r>
        <w:rPr>
          <w:rFonts w:hint="eastAsia" w:ascii="宋体" w:hAnsi="宋体" w:eastAsia="宋体" w:cs="仿宋"/>
          <w:b/>
          <w:bCs/>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w:t>
      </w:r>
    </w:p>
    <w:p w14:paraId="7DEA32C2">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建造师注册证书号：</w:t>
      </w:r>
      <w:r>
        <w:rPr>
          <w:rFonts w:hint="eastAsia" w:ascii="宋体" w:hAnsi="宋体" w:eastAsia="宋体" w:cs="仿宋"/>
          <w:b/>
          <w:bCs/>
          <w:color w:val="000000" w:themeColor="text1"/>
          <w:sz w:val="24"/>
          <w:highlight w:val="none"/>
          <w:u w:val="single"/>
          <w14:textFill>
            <w14:solidFill>
              <w14:schemeClr w14:val="tx1"/>
            </w14:solidFill>
          </w14:textFill>
        </w:rPr>
        <w:t xml:space="preserve">  </w:t>
      </w:r>
      <w:r>
        <w:rPr>
          <w:rFonts w:hint="eastAsia" w:ascii="宋体" w:hAnsi="宋体" w:eastAsia="宋体" w:cs="仿宋"/>
          <w:b/>
          <w:bCs/>
          <w:color w:val="000000" w:themeColor="text1"/>
          <w:kern w:val="0"/>
          <w:sz w:val="24"/>
          <w:highlight w:val="none"/>
          <w:u w:val="single"/>
          <w14:textFill>
            <w14:solidFill>
              <w14:schemeClr w14:val="tx1"/>
            </w14:solidFill>
          </w14:textFill>
        </w:rPr>
        <w:t xml:space="preserve">               </w:t>
      </w:r>
      <w:r>
        <w:rPr>
          <w:rFonts w:hint="eastAsia" w:ascii="宋体" w:hAnsi="宋体" w:eastAsia="宋体" w:cs="仿宋"/>
          <w:b/>
          <w:bCs/>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w:t>
      </w:r>
    </w:p>
    <w:p w14:paraId="1CAA4200">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联系电话：</w:t>
      </w:r>
      <w:r>
        <w:rPr>
          <w:rFonts w:hint="eastAsia" w:ascii="宋体" w:hAnsi="宋体" w:eastAsia="宋体" w:cs="仿宋"/>
          <w:b/>
          <w:bCs/>
          <w:color w:val="000000" w:themeColor="text1"/>
          <w:sz w:val="24"/>
          <w:highlight w:val="none"/>
          <w:u w:val="single"/>
          <w14:textFill>
            <w14:solidFill>
              <w14:schemeClr w14:val="tx1"/>
            </w14:solidFill>
          </w14:textFill>
        </w:rPr>
        <w:t xml:space="preserve">  </w:t>
      </w:r>
      <w:r>
        <w:rPr>
          <w:rFonts w:hint="eastAsia" w:ascii="宋体" w:hAnsi="宋体" w:eastAsia="宋体" w:cs="仿宋"/>
          <w:b/>
          <w:bCs/>
          <w:color w:val="000000" w:themeColor="text1"/>
          <w:kern w:val="0"/>
          <w:sz w:val="24"/>
          <w:highlight w:val="none"/>
          <w:u w:val="single"/>
          <w14:textFill>
            <w14:solidFill>
              <w14:schemeClr w14:val="tx1"/>
            </w14:solidFill>
          </w14:textFill>
        </w:rPr>
        <w:t xml:space="preserve">                     </w:t>
      </w:r>
      <w:r>
        <w:rPr>
          <w:rFonts w:hint="eastAsia" w:ascii="宋体" w:hAnsi="宋体" w:eastAsia="宋体" w:cs="Times New Roman"/>
          <w:b/>
          <w:color w:val="000000" w:themeColor="text1"/>
          <w:sz w:val="28"/>
          <w:szCs w:val="28"/>
          <w:highlight w:val="none"/>
          <w:u w:val="single"/>
          <w14:textFill>
            <w14:solidFill>
              <w14:schemeClr w14:val="tx1"/>
            </w14:solidFill>
          </w14:textFill>
        </w:rPr>
        <w:t xml:space="preserve"> </w:t>
      </w:r>
      <w:r>
        <w:rPr>
          <w:rFonts w:hint="eastAsia" w:ascii="宋体" w:hAnsi="宋体" w:eastAsia="宋体" w:cs="仿宋"/>
          <w:b/>
          <w:bCs/>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w:t>
      </w:r>
    </w:p>
    <w:p w14:paraId="4AB2C7DA">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电子信箱：</w:t>
      </w:r>
      <w:r>
        <w:rPr>
          <w:rFonts w:hint="eastAsia" w:ascii="宋体" w:hAnsi="宋体" w:eastAsia="宋体" w:cs="仿宋"/>
          <w:b/>
          <w:bCs/>
          <w:color w:val="000000" w:themeColor="text1"/>
          <w:sz w:val="24"/>
          <w:highlight w:val="none"/>
          <w:u w:val="single"/>
          <w14:textFill>
            <w14:solidFill>
              <w14:schemeClr w14:val="tx1"/>
            </w14:solidFill>
          </w14:textFill>
        </w:rPr>
        <w:t xml:space="preserve">      </w:t>
      </w:r>
      <w:r>
        <w:rPr>
          <w:rFonts w:hint="eastAsia" w:ascii="宋体" w:hAnsi="宋体" w:eastAsia="宋体" w:cs="仿宋"/>
          <w:b/>
          <w:color w:val="000000" w:themeColor="text1"/>
          <w:sz w:val="24"/>
          <w:highlight w:val="none"/>
          <w:u w:val="single"/>
          <w14:textFill>
            <w14:solidFill>
              <w14:schemeClr w14:val="tx1"/>
            </w14:solidFill>
          </w14:textFill>
        </w:rPr>
        <w:t xml:space="preserve">               </w:t>
      </w:r>
      <w:r>
        <w:rPr>
          <w:rFonts w:hint="eastAsia" w:ascii="宋体" w:hAnsi="宋体" w:eastAsia="宋体" w:cs="仿宋"/>
          <w:b/>
          <w:bCs/>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w:t>
      </w:r>
    </w:p>
    <w:p w14:paraId="47A9C578">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通信地址：</w:t>
      </w:r>
      <w:r>
        <w:rPr>
          <w:rFonts w:hint="eastAsia" w:ascii="宋体" w:hAnsi="宋体" w:eastAsia="宋体" w:cs="仿宋"/>
          <w:b/>
          <w:bCs/>
          <w:color w:val="000000" w:themeColor="text1"/>
          <w:sz w:val="24"/>
          <w:highlight w:val="none"/>
          <w:u w:val="single"/>
          <w14:textFill>
            <w14:solidFill>
              <w14:schemeClr w14:val="tx1"/>
            </w14:solidFill>
          </w14:textFill>
        </w:rPr>
        <w:t xml:space="preserve">  </w:t>
      </w:r>
      <w:r>
        <w:rPr>
          <w:rFonts w:hint="eastAsia" w:ascii="宋体" w:hAnsi="宋体" w:eastAsia="宋体" w:cs="仿宋"/>
          <w:b/>
          <w:bCs/>
          <w:color w:val="000000" w:themeColor="text1"/>
          <w:kern w:val="0"/>
          <w:sz w:val="24"/>
          <w:highlight w:val="none"/>
          <w:u w:val="single"/>
          <w14:textFill>
            <w14:solidFill>
              <w14:schemeClr w14:val="tx1"/>
            </w14:solidFill>
          </w14:textFill>
        </w:rPr>
        <w:t xml:space="preserve">                      </w:t>
      </w:r>
      <w:r>
        <w:rPr>
          <w:rFonts w:hint="eastAsia" w:ascii="宋体" w:hAnsi="宋体" w:eastAsia="宋体" w:cs="Times New Roman"/>
          <w:b/>
          <w:color w:val="000000" w:themeColor="text1"/>
          <w:sz w:val="28"/>
          <w:szCs w:val="28"/>
          <w:highlight w:val="none"/>
          <w:u w:val="single"/>
          <w14:textFill>
            <w14:solidFill>
              <w14:schemeClr w14:val="tx1"/>
            </w14:solidFill>
          </w14:textFill>
        </w:rPr>
        <w:t xml:space="preserve"> </w:t>
      </w:r>
      <w:r>
        <w:rPr>
          <w:rFonts w:hint="eastAsia" w:ascii="宋体" w:hAnsi="宋体" w:eastAsia="宋体" w:cs="仿宋"/>
          <w:b/>
          <w:bCs/>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w:t>
      </w:r>
    </w:p>
    <w:p w14:paraId="57096D2D">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承包人对项目经理的授权范围：</w:t>
      </w:r>
      <w:r>
        <w:rPr>
          <w:rFonts w:hint="eastAsia" w:ascii="宋体" w:hAnsi="宋体" w:eastAsia="宋体" w:cs="仿宋"/>
          <w:b/>
          <w:bCs/>
          <w:color w:val="000000" w:themeColor="text1"/>
          <w:sz w:val="24"/>
          <w:highlight w:val="none"/>
          <w:u w:val="single"/>
          <w14:textFill>
            <w14:solidFill>
              <w14:schemeClr w14:val="tx1"/>
            </w14:solidFill>
          </w14:textFill>
        </w:rPr>
        <w:t>代表承包人在施工现场行使承包人的一切权利和履行义务</w:t>
      </w:r>
      <w:r>
        <w:rPr>
          <w:rFonts w:hint="eastAsia" w:ascii="宋体" w:hAnsi="宋体" w:eastAsia="宋体" w:cs="仿宋"/>
          <w:color w:val="000000" w:themeColor="text1"/>
          <w:sz w:val="24"/>
          <w:highlight w:val="none"/>
          <w14:textFill>
            <w14:solidFill>
              <w14:schemeClr w14:val="tx1"/>
            </w14:solidFill>
          </w14:textFill>
        </w:rPr>
        <w:t>。</w:t>
      </w:r>
    </w:p>
    <w:p w14:paraId="1FAE365C">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664" w:name="_Toc389586430"/>
      <w:r>
        <w:rPr>
          <w:rFonts w:hint="eastAsia" w:ascii="宋体" w:hAnsi="宋体" w:eastAsia="宋体" w:cs="仿宋"/>
          <w:b/>
          <w:bCs/>
          <w:color w:val="000000" w:themeColor="text1"/>
          <w:kern w:val="0"/>
          <w:sz w:val="24"/>
          <w:highlight w:val="none"/>
          <w:lang w:val="zh-CN"/>
          <w14:textFill>
            <w14:solidFill>
              <w14:schemeClr w14:val="tx1"/>
            </w14:solidFill>
          </w14:textFill>
        </w:rPr>
        <w:t>3. 分包人</w:t>
      </w:r>
      <w:bookmarkEnd w:id="664"/>
    </w:p>
    <w:p w14:paraId="7968272F">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65" w:name="_Toc389586431"/>
      <w:r>
        <w:rPr>
          <w:rFonts w:hint="eastAsia" w:ascii="宋体" w:hAnsi="宋体" w:eastAsia="宋体" w:cs="仿宋"/>
          <w:b/>
          <w:color w:val="000000" w:themeColor="text1"/>
          <w:kern w:val="0"/>
          <w:sz w:val="24"/>
          <w:highlight w:val="none"/>
          <w:lang w:val="zh-CN"/>
          <w14:textFill>
            <w14:solidFill>
              <w14:schemeClr w14:val="tx1"/>
            </w14:solidFill>
          </w14:textFill>
        </w:rPr>
        <w:t>3.1 分包人的一般义务</w:t>
      </w:r>
      <w:bookmarkEnd w:id="665"/>
    </w:p>
    <w:p w14:paraId="2BB42605">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3.1.1 由分包人</w:t>
      </w:r>
      <w:r>
        <w:rPr>
          <w:rFonts w:hint="eastAsia" w:ascii="宋体" w:hAnsi="宋体" w:eastAsia="宋体" w:cs="仿宋"/>
          <w:color w:val="000000" w:themeColor="text1"/>
          <w:kern w:val="0"/>
          <w:sz w:val="24"/>
          <w:highlight w:val="none"/>
          <w14:textFill>
            <w14:solidFill>
              <w14:schemeClr w14:val="tx1"/>
            </w14:solidFill>
          </w14:textFill>
        </w:rPr>
        <w:t>办理的许可和批准手续包括</w:t>
      </w:r>
      <w:r>
        <w:rPr>
          <w:rFonts w:hint="eastAsia" w:ascii="宋体" w:hAnsi="宋体" w:eastAsia="宋体" w:cs="仿宋"/>
          <w:color w:val="000000" w:themeColor="text1"/>
          <w:sz w:val="24"/>
          <w:highlight w:val="none"/>
          <w14:textFill>
            <w14:solidFill>
              <w14:schemeClr w14:val="tx1"/>
            </w14:solidFill>
          </w14:textFill>
        </w:rPr>
        <w:t>：</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39234FAE">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66" w:name="_Toc389586432"/>
      <w:r>
        <w:rPr>
          <w:rFonts w:hint="eastAsia" w:ascii="宋体" w:hAnsi="宋体" w:eastAsia="宋体" w:cs="仿宋"/>
          <w:b/>
          <w:color w:val="000000" w:themeColor="text1"/>
          <w:kern w:val="0"/>
          <w:sz w:val="24"/>
          <w:highlight w:val="none"/>
          <w:lang w:val="zh-CN"/>
          <w14:textFill>
            <w14:solidFill>
              <w14:schemeClr w14:val="tx1"/>
            </w14:solidFill>
          </w14:textFill>
        </w:rPr>
        <w:t>3.2 分包人项目经理和其他主要项目管理人员</w:t>
      </w:r>
      <w:bookmarkEnd w:id="666"/>
    </w:p>
    <w:p w14:paraId="1AB49317">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3.2.1 分包人提交项目管理机构及施工人员安排报告的期限：</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1C7B9AC5">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分包人项目经理信息：</w:t>
      </w:r>
    </w:p>
    <w:p w14:paraId="4CED40FF">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姓    名：</w:t>
      </w:r>
      <w:r>
        <w:rPr>
          <w:rFonts w:hint="eastAsia" w:ascii="宋体" w:hAnsi="宋体" w:eastAsia="宋体" w:cs="仿宋"/>
          <w:b/>
          <w:bCs/>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w:t>
      </w:r>
    </w:p>
    <w:p w14:paraId="44E350C7">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职    称：</w:t>
      </w:r>
      <w:r>
        <w:rPr>
          <w:rFonts w:hint="eastAsia" w:ascii="宋体" w:hAnsi="宋体" w:eastAsia="宋体" w:cs="仿宋"/>
          <w:b/>
          <w:color w:val="000000" w:themeColor="text1"/>
          <w:sz w:val="24"/>
          <w:highlight w:val="none"/>
          <w:u w:val="single"/>
          <w14:textFill>
            <w14:solidFill>
              <w14:schemeClr w14:val="tx1"/>
            </w14:solidFill>
          </w14:textFill>
        </w:rPr>
        <w:t xml:space="preserve">                    </w:t>
      </w:r>
      <w:r>
        <w:rPr>
          <w:rFonts w:hint="eastAsia" w:ascii="宋体" w:hAnsi="宋体" w:eastAsia="宋体" w:cs="仿宋"/>
          <w:bCs/>
          <w:color w:val="000000" w:themeColor="text1"/>
          <w:sz w:val="24"/>
          <w:highlight w:val="none"/>
          <w14:textFill>
            <w14:solidFill>
              <w14:schemeClr w14:val="tx1"/>
            </w14:solidFill>
          </w14:textFill>
        </w:rPr>
        <w:t>；</w:t>
      </w:r>
    </w:p>
    <w:p w14:paraId="5F9EA979">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身份证号：</w:t>
      </w:r>
      <w:r>
        <w:rPr>
          <w:rFonts w:hint="eastAsia" w:ascii="宋体" w:hAnsi="宋体" w:eastAsia="宋体" w:cs="仿宋"/>
          <w:b/>
          <w:bCs/>
          <w:color w:val="000000" w:themeColor="text1"/>
          <w:sz w:val="24"/>
          <w:highlight w:val="none"/>
          <w:u w:val="single"/>
          <w14:textFill>
            <w14:solidFill>
              <w14:schemeClr w14:val="tx1"/>
            </w14:solidFill>
          </w14:textFill>
        </w:rPr>
        <w:t xml:space="preserve">                    </w:t>
      </w:r>
      <w:r>
        <w:rPr>
          <w:rFonts w:hint="eastAsia" w:ascii="宋体" w:hAnsi="宋体" w:eastAsia="宋体" w:cs="仿宋"/>
          <w:bCs/>
          <w:color w:val="000000" w:themeColor="text1"/>
          <w:sz w:val="24"/>
          <w:highlight w:val="none"/>
          <w14:textFill>
            <w14:solidFill>
              <w14:schemeClr w14:val="tx1"/>
            </w14:solidFill>
          </w14:textFill>
        </w:rPr>
        <w:t>；</w:t>
      </w:r>
    </w:p>
    <w:p w14:paraId="64D87639">
      <w:pPr>
        <w:wordWrap w:val="0"/>
        <w:spacing w:line="460" w:lineRule="exact"/>
        <w:ind w:firstLine="480" w:firstLineChars="200"/>
        <w:jc w:val="left"/>
        <w:rPr>
          <w:rFonts w:hint="eastAsia" w:ascii="宋体" w:hAnsi="宋体" w:eastAsia="宋体" w:cs="仿宋"/>
          <w:color w:val="000000" w:themeColor="text1"/>
          <w:sz w:val="24"/>
          <w:highlight w:val="none"/>
          <w:u w:val="singl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建造师执业资格等级：</w:t>
      </w:r>
      <w:r>
        <w:rPr>
          <w:rFonts w:hint="eastAsia" w:ascii="宋体" w:hAnsi="宋体" w:eastAsia="宋体" w:cs="仿宋"/>
          <w:b/>
          <w:bCs/>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w:t>
      </w:r>
    </w:p>
    <w:p w14:paraId="5F3C5ECB">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建造师注册证书号：</w:t>
      </w:r>
      <w:r>
        <w:rPr>
          <w:rFonts w:hint="eastAsia" w:ascii="宋体" w:hAnsi="宋体" w:eastAsia="宋体" w:cs="仿宋"/>
          <w:b/>
          <w:bCs/>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w:t>
      </w:r>
    </w:p>
    <w:p w14:paraId="2A0D75C7">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联系电话：</w:t>
      </w:r>
      <w:r>
        <w:rPr>
          <w:rFonts w:hint="eastAsia" w:ascii="宋体" w:hAnsi="宋体" w:eastAsia="宋体" w:cs="仿宋"/>
          <w:color w:val="000000" w:themeColor="text1"/>
          <w:sz w:val="24"/>
          <w:highlight w:val="none"/>
          <w:u w:val="single"/>
          <w14:textFill>
            <w14:solidFill>
              <w14:schemeClr w14:val="tx1"/>
            </w14:solidFill>
          </w14:textFill>
        </w:rPr>
        <w:t xml:space="preserve"> </w:t>
      </w:r>
      <w:r>
        <w:rPr>
          <w:rFonts w:hint="eastAsia" w:ascii="宋体" w:hAnsi="宋体" w:eastAsia="宋体" w:cs="仿宋"/>
          <w:b/>
          <w:bCs/>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w:t>
      </w:r>
    </w:p>
    <w:p w14:paraId="616C1993">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电子信箱：</w:t>
      </w:r>
      <w:r>
        <w:rPr>
          <w:rFonts w:hint="eastAsia" w:ascii="宋体" w:hAnsi="宋体" w:eastAsia="宋体" w:cs="仿宋"/>
          <w:color w:val="000000" w:themeColor="text1"/>
          <w:sz w:val="24"/>
          <w:highlight w:val="none"/>
          <w:u w:val="single"/>
          <w14:textFill>
            <w14:solidFill>
              <w14:schemeClr w14:val="tx1"/>
            </w14:solidFill>
          </w14:textFill>
        </w:rPr>
        <w:t xml:space="preserve">  </w:t>
      </w:r>
      <w:r>
        <w:rPr>
          <w:rFonts w:hint="eastAsia" w:ascii="宋体" w:hAnsi="宋体" w:eastAsia="宋体" w:cs="仿宋"/>
          <w:b/>
          <w:bCs/>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w:t>
      </w:r>
    </w:p>
    <w:p w14:paraId="0B1E04C8">
      <w:pPr>
        <w:widowControl/>
        <w:ind w:firstLine="480" w:firstLineChars="200"/>
        <w:jc w:val="lef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通信地址：</w:t>
      </w:r>
      <w:r>
        <w:rPr>
          <w:rFonts w:hint="eastAsia" w:ascii="宋体" w:hAnsi="宋体" w:eastAsia="宋体" w:cs="仿宋"/>
          <w:color w:val="000000" w:themeColor="text1"/>
          <w:sz w:val="24"/>
          <w:highlight w:val="none"/>
          <w:u w:val="single"/>
          <w14:textFill>
            <w14:solidFill>
              <w14:schemeClr w14:val="tx1"/>
            </w14:solidFill>
          </w14:textFill>
        </w:rPr>
        <w:t xml:space="preserve">  </w:t>
      </w:r>
      <w:r>
        <w:rPr>
          <w:rFonts w:hint="eastAsia" w:ascii="宋体" w:hAnsi="宋体" w:eastAsia="宋体" w:cs="仿宋"/>
          <w:b/>
          <w:bCs/>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w:t>
      </w:r>
    </w:p>
    <w:p w14:paraId="19AA211C">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分包人对分包人项目经理的授权范围：</w:t>
      </w:r>
      <w:r>
        <w:rPr>
          <w:rFonts w:hint="eastAsia" w:ascii="宋体" w:hAnsi="宋体" w:eastAsia="宋体" w:cs="仿宋"/>
          <w:b/>
          <w:bCs/>
          <w:color w:val="000000" w:themeColor="text1"/>
          <w:sz w:val="24"/>
          <w:highlight w:val="none"/>
          <w:u w:val="single"/>
          <w14:textFill>
            <w14:solidFill>
              <w14:schemeClr w14:val="tx1"/>
            </w14:solidFill>
          </w14:textFill>
        </w:rPr>
        <w:t>全权代表，代表分包人行使一切与工程施工有关的权利和履行义务</w:t>
      </w:r>
      <w:r>
        <w:rPr>
          <w:rFonts w:hint="eastAsia" w:ascii="宋体" w:hAnsi="宋体" w:eastAsia="宋体" w:cs="仿宋"/>
          <w:color w:val="000000" w:themeColor="text1"/>
          <w:sz w:val="24"/>
          <w:highlight w:val="none"/>
          <w14:textFill>
            <w14:solidFill>
              <w14:schemeClr w14:val="tx1"/>
            </w14:solidFill>
          </w14:textFill>
        </w:rPr>
        <w:t>。</w:t>
      </w:r>
    </w:p>
    <w:p w14:paraId="2EC4E858">
      <w:pPr>
        <w:wordWrap w:val="0"/>
        <w:spacing w:line="460" w:lineRule="exact"/>
        <w:ind w:firstLine="480" w:firstLineChars="200"/>
        <w:jc w:val="left"/>
        <w:rPr>
          <w:rFonts w:hint="eastAsia" w:ascii="宋体" w:hAnsi="宋体" w:eastAsia="宋体" w:cs="仿宋"/>
          <w:b/>
          <w:bCs/>
          <w:color w:val="000000" w:themeColor="text1"/>
          <w:sz w:val="24"/>
          <w:highlight w:val="none"/>
          <w:u w:val="singl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3.2.2 分包人项目经理是否可以兼任其他项目的项目经理：</w:t>
      </w:r>
      <w:r>
        <w:rPr>
          <w:rFonts w:hint="eastAsia" w:ascii="宋体" w:hAnsi="宋体" w:eastAsia="宋体" w:cs="仿宋"/>
          <w:b/>
          <w:bCs/>
          <w:color w:val="000000" w:themeColor="text1"/>
          <w:sz w:val="24"/>
          <w:highlight w:val="none"/>
          <w:u w:val="single"/>
          <w14:textFill>
            <w14:solidFill>
              <w14:schemeClr w14:val="tx1"/>
            </w14:solidFill>
          </w14:textFill>
        </w:rPr>
        <w:t xml:space="preserve"> 否。</w:t>
      </w:r>
    </w:p>
    <w:p w14:paraId="53124226">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分包人项目经理兼任其他项目的项目经理的违约责任：</w:t>
      </w:r>
      <w:r>
        <w:rPr>
          <w:rFonts w:hint="eastAsia" w:ascii="宋体" w:hAnsi="宋体" w:eastAsia="宋体" w:cs="仿宋"/>
          <w:b/>
          <w:bCs/>
          <w:color w:val="000000" w:themeColor="text1"/>
          <w:sz w:val="24"/>
          <w:highlight w:val="none"/>
          <w:u w:val="single"/>
          <w14:textFill>
            <w14:solidFill>
              <w14:schemeClr w14:val="tx1"/>
            </w14:solidFill>
          </w14:textFill>
        </w:rPr>
        <w:t>支付违约金5000元</w:t>
      </w:r>
      <w:r>
        <w:rPr>
          <w:rFonts w:hint="eastAsia" w:ascii="宋体" w:hAnsi="宋体" w:eastAsia="宋体" w:cs="仿宋"/>
          <w:color w:val="000000" w:themeColor="text1"/>
          <w:sz w:val="24"/>
          <w:highlight w:val="none"/>
          <w14:textFill>
            <w14:solidFill>
              <w14:schemeClr w14:val="tx1"/>
            </w14:solidFill>
          </w14:textFill>
        </w:rPr>
        <w:t>。</w:t>
      </w:r>
    </w:p>
    <w:p w14:paraId="7E807EE6">
      <w:pPr>
        <w:wordWrap w:val="0"/>
        <w:spacing w:line="460" w:lineRule="exact"/>
        <w:ind w:firstLine="480" w:firstLineChars="200"/>
        <w:jc w:val="left"/>
        <w:rPr>
          <w:rFonts w:hint="eastAsia" w:ascii="宋体" w:hAnsi="宋体" w:eastAsia="宋体" w:cs="仿宋"/>
          <w:b/>
          <w:bCs/>
          <w:color w:val="000000" w:themeColor="text1"/>
          <w:sz w:val="24"/>
          <w:highlight w:val="none"/>
          <w:u w:val="singl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3.2.3 分包人项目经理和其他主要项目管理人员擅自离开施工场地的违约责任：</w:t>
      </w:r>
      <w:r>
        <w:rPr>
          <w:rFonts w:hint="eastAsia" w:ascii="宋体" w:hAnsi="宋体" w:eastAsia="宋体" w:cs="仿宋"/>
          <w:b/>
          <w:bCs/>
          <w:color w:val="000000" w:themeColor="text1"/>
          <w:sz w:val="24"/>
          <w:highlight w:val="none"/>
          <w:u w:val="single"/>
          <w14:textFill>
            <w14:solidFill>
              <w14:schemeClr w14:val="tx1"/>
            </w14:solidFill>
          </w14:textFill>
        </w:rPr>
        <w:t>每人次支付违约金500元，每人累计3次以上，承包人有权解除合同。</w:t>
      </w:r>
    </w:p>
    <w:p w14:paraId="22912841">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3.2.4 分包人擅自更换</w:t>
      </w:r>
      <w:r>
        <w:rPr>
          <w:rFonts w:hint="eastAsia" w:ascii="宋体" w:hAnsi="宋体" w:eastAsia="宋体" w:cs="仿宋"/>
          <w:color w:val="000000" w:themeColor="text1"/>
          <w:kern w:val="0"/>
          <w:sz w:val="24"/>
          <w:highlight w:val="none"/>
          <w14:textFill>
            <w14:solidFill>
              <w14:schemeClr w14:val="tx1"/>
            </w14:solidFill>
          </w14:textFill>
        </w:rPr>
        <w:t>分包人项目经理或其他主要项目管理人员的违约责任：</w:t>
      </w:r>
      <w:r>
        <w:rPr>
          <w:rFonts w:hint="eastAsia" w:ascii="宋体" w:hAnsi="宋体" w:eastAsia="宋体" w:cs="仿宋"/>
          <w:b/>
          <w:bCs/>
          <w:color w:val="000000" w:themeColor="text1"/>
          <w:sz w:val="24"/>
          <w:highlight w:val="none"/>
          <w:u w:val="single"/>
          <w14:textFill>
            <w14:solidFill>
              <w14:schemeClr w14:val="tx1"/>
            </w14:solidFill>
          </w14:textFill>
        </w:rPr>
        <w:t>每人次支付违约金1000元</w:t>
      </w:r>
      <w:r>
        <w:rPr>
          <w:rFonts w:hint="eastAsia" w:ascii="宋体" w:hAnsi="宋体" w:eastAsia="宋体" w:cs="仿宋"/>
          <w:color w:val="000000" w:themeColor="text1"/>
          <w:kern w:val="0"/>
          <w:sz w:val="24"/>
          <w:highlight w:val="none"/>
          <w14:textFill>
            <w14:solidFill>
              <w14:schemeClr w14:val="tx1"/>
            </w14:solidFill>
          </w14:textFill>
        </w:rPr>
        <w:t>。</w:t>
      </w:r>
    </w:p>
    <w:p w14:paraId="35C21244">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分包人无正当理由拒绝更换分包人项目经理</w:t>
      </w:r>
      <w:r>
        <w:rPr>
          <w:rFonts w:hint="eastAsia" w:ascii="宋体" w:hAnsi="宋体" w:eastAsia="宋体" w:cs="仿宋"/>
          <w:color w:val="000000" w:themeColor="text1"/>
          <w:kern w:val="0"/>
          <w:sz w:val="24"/>
          <w:highlight w:val="none"/>
          <w14:textFill>
            <w14:solidFill>
              <w14:schemeClr w14:val="tx1"/>
            </w14:solidFill>
          </w14:textFill>
        </w:rPr>
        <w:t>或其他主要项目管理人员</w:t>
      </w:r>
      <w:r>
        <w:rPr>
          <w:rFonts w:hint="eastAsia" w:ascii="宋体" w:hAnsi="宋体" w:eastAsia="宋体" w:cs="仿宋"/>
          <w:color w:val="000000" w:themeColor="text1"/>
          <w:sz w:val="24"/>
          <w:highlight w:val="none"/>
          <w14:textFill>
            <w14:solidFill>
              <w14:schemeClr w14:val="tx1"/>
            </w14:solidFill>
          </w14:textFill>
        </w:rPr>
        <w:t>的违约责任：</w:t>
      </w:r>
      <w:r>
        <w:rPr>
          <w:rFonts w:hint="eastAsia" w:ascii="宋体" w:hAnsi="宋体" w:eastAsia="宋体" w:cs="仿宋"/>
          <w:b/>
          <w:bCs/>
          <w:color w:val="000000" w:themeColor="text1"/>
          <w:sz w:val="24"/>
          <w:highlight w:val="none"/>
          <w:u w:val="single"/>
          <w14:textFill>
            <w14:solidFill>
              <w14:schemeClr w14:val="tx1"/>
            </w14:solidFill>
          </w14:textFill>
        </w:rPr>
        <w:t>每人次支付违约金1000元</w:t>
      </w:r>
      <w:r>
        <w:rPr>
          <w:rFonts w:hint="eastAsia" w:ascii="宋体" w:hAnsi="宋体" w:eastAsia="宋体" w:cs="仿宋"/>
          <w:color w:val="000000" w:themeColor="text1"/>
          <w:sz w:val="24"/>
          <w:highlight w:val="none"/>
          <w14:textFill>
            <w14:solidFill>
              <w14:schemeClr w14:val="tx1"/>
            </w14:solidFill>
          </w14:textFill>
        </w:rPr>
        <w:t>。</w:t>
      </w:r>
    </w:p>
    <w:p w14:paraId="71438D92">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67" w:name="_Toc389586433"/>
      <w:r>
        <w:rPr>
          <w:rFonts w:hint="eastAsia" w:ascii="宋体" w:hAnsi="宋体" w:eastAsia="宋体" w:cs="仿宋"/>
          <w:b/>
          <w:color w:val="000000" w:themeColor="text1"/>
          <w:kern w:val="0"/>
          <w:sz w:val="24"/>
          <w:highlight w:val="none"/>
          <w:lang w:val="zh-CN"/>
          <w14:textFill>
            <w14:solidFill>
              <w14:schemeClr w14:val="tx1"/>
            </w14:solidFill>
          </w14:textFill>
        </w:rPr>
        <w:t>3.3 特殊工种上岗作业要求</w:t>
      </w:r>
      <w:bookmarkEnd w:id="667"/>
    </w:p>
    <w:p w14:paraId="479B1632">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特殊工种作业人员无证上岗的违约责任：</w:t>
      </w:r>
      <w:r>
        <w:rPr>
          <w:rFonts w:hint="eastAsia" w:ascii="宋体" w:hAnsi="宋体" w:eastAsia="宋体" w:cs="仿宋"/>
          <w:b/>
          <w:bCs/>
          <w:color w:val="000000" w:themeColor="text1"/>
          <w:sz w:val="24"/>
          <w:highlight w:val="none"/>
          <w:u w:val="single"/>
          <w14:textFill>
            <w14:solidFill>
              <w14:schemeClr w14:val="tx1"/>
            </w14:solidFill>
          </w14:textFill>
        </w:rPr>
        <w:t>每人次支付违约金500元</w:t>
      </w:r>
      <w:r>
        <w:rPr>
          <w:rFonts w:hint="eastAsia" w:ascii="宋体" w:hAnsi="宋体" w:eastAsia="宋体" w:cs="仿宋"/>
          <w:color w:val="000000" w:themeColor="text1"/>
          <w:sz w:val="24"/>
          <w:highlight w:val="none"/>
          <w14:textFill>
            <w14:solidFill>
              <w14:schemeClr w14:val="tx1"/>
            </w14:solidFill>
          </w14:textFill>
        </w:rPr>
        <w:t>。</w:t>
      </w:r>
    </w:p>
    <w:p w14:paraId="23AF5541">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68" w:name="_Toc389586434"/>
      <w:r>
        <w:rPr>
          <w:rFonts w:hint="eastAsia" w:ascii="宋体" w:hAnsi="宋体" w:eastAsia="宋体" w:cs="仿宋"/>
          <w:b/>
          <w:color w:val="000000" w:themeColor="text1"/>
          <w:kern w:val="0"/>
          <w:sz w:val="24"/>
          <w:highlight w:val="none"/>
          <w:lang w:val="zh-CN"/>
          <w14:textFill>
            <w14:solidFill>
              <w14:schemeClr w14:val="tx1"/>
            </w14:solidFill>
          </w14:textFill>
        </w:rPr>
        <w:t>3.4 禁止转包和再分包</w:t>
      </w:r>
      <w:bookmarkEnd w:id="668"/>
    </w:p>
    <w:p w14:paraId="18667755">
      <w:pPr>
        <w:wordWrap w:val="0"/>
        <w:spacing w:line="460" w:lineRule="exact"/>
        <w:ind w:firstLine="424" w:firstLineChars="177"/>
        <w:jc w:val="left"/>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3.4.1 分包人转包分包工程的违约责任：</w:t>
      </w:r>
      <w:r>
        <w:rPr>
          <w:rFonts w:hint="eastAsia" w:ascii="宋体" w:hAnsi="宋体" w:eastAsia="宋体" w:cs="仿宋"/>
          <w:b/>
          <w:bCs/>
          <w:color w:val="000000" w:themeColor="text1"/>
          <w:sz w:val="24"/>
          <w:highlight w:val="none"/>
          <w:u w:val="single"/>
          <w14:textFill>
            <w14:solidFill>
              <w14:schemeClr w14:val="tx1"/>
            </w14:solidFill>
          </w14:textFill>
        </w:rPr>
        <w:t>按照合同约定金额的5%承担违约责任，承包人有权解除合同</w:t>
      </w:r>
      <w:r>
        <w:rPr>
          <w:rFonts w:hint="eastAsia" w:ascii="宋体" w:hAnsi="宋体" w:eastAsia="宋体" w:cs="仿宋"/>
          <w:color w:val="000000" w:themeColor="text1"/>
          <w:kern w:val="0"/>
          <w:sz w:val="24"/>
          <w:highlight w:val="none"/>
          <w14:textFill>
            <w14:solidFill>
              <w14:schemeClr w14:val="tx1"/>
            </w14:solidFill>
          </w14:textFill>
        </w:rPr>
        <w:t>。</w:t>
      </w:r>
    </w:p>
    <w:p w14:paraId="2DFCADC1">
      <w:pPr>
        <w:wordWrap w:val="0"/>
        <w:spacing w:line="460" w:lineRule="exact"/>
        <w:ind w:firstLine="480" w:firstLineChars="200"/>
        <w:jc w:val="left"/>
        <w:rPr>
          <w:rFonts w:hint="eastAsia" w:ascii="宋体" w:hAnsi="宋体" w:eastAsia="宋体" w:cs="仿宋"/>
          <w:b/>
          <w:bCs/>
          <w:color w:val="000000" w:themeColor="text1"/>
          <w:sz w:val="24"/>
          <w:highlight w:val="none"/>
          <w:u w:val="singl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3.4.2 分包人违法分包工程的违约责任：</w:t>
      </w:r>
      <w:r>
        <w:rPr>
          <w:rFonts w:hint="eastAsia" w:ascii="宋体" w:hAnsi="宋体" w:eastAsia="宋体" w:cs="仿宋"/>
          <w:b/>
          <w:bCs/>
          <w:color w:val="000000" w:themeColor="text1"/>
          <w:sz w:val="24"/>
          <w:highlight w:val="none"/>
          <w:u w:val="single"/>
          <w14:textFill>
            <w14:solidFill>
              <w14:schemeClr w14:val="tx1"/>
            </w14:solidFill>
          </w14:textFill>
        </w:rPr>
        <w:t>按照合同约定金额的5%承担违约责任，承包人有权解除合同。</w:t>
      </w:r>
    </w:p>
    <w:p w14:paraId="51A28F97">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69" w:name="_Toc389586435"/>
      <w:r>
        <w:rPr>
          <w:rFonts w:hint="eastAsia" w:ascii="宋体" w:hAnsi="宋体" w:eastAsia="宋体" w:cs="仿宋"/>
          <w:b/>
          <w:color w:val="000000" w:themeColor="text1"/>
          <w:kern w:val="0"/>
          <w:sz w:val="24"/>
          <w:highlight w:val="none"/>
          <w:lang w:val="zh-CN"/>
          <w14:textFill>
            <w14:solidFill>
              <w14:schemeClr w14:val="tx1"/>
            </w14:solidFill>
          </w14:textFill>
        </w:rPr>
        <w:t>3.5 履约担保</w:t>
      </w:r>
      <w:bookmarkEnd w:id="669"/>
    </w:p>
    <w:p w14:paraId="646B82D3">
      <w:pPr>
        <w:wordWrap w:val="0"/>
        <w:spacing w:line="460" w:lineRule="exact"/>
        <w:ind w:firstLine="480" w:firstLineChars="200"/>
        <w:jc w:val="left"/>
        <w:rPr>
          <w:rFonts w:hint="eastAsia" w:ascii="宋体" w:hAnsi="宋体" w:eastAsia="宋体" w:cs="仿宋"/>
          <w:color w:val="000000" w:themeColor="text1"/>
          <w:sz w:val="24"/>
          <w:highlight w:val="none"/>
          <w:u w:val="singl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履约担保的方式：</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0B86B2DF">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履约担保的金额：</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4988BCCC">
      <w:pPr>
        <w:wordWrap w:val="0"/>
        <w:spacing w:line="460" w:lineRule="exact"/>
        <w:ind w:firstLine="480" w:firstLineChars="200"/>
        <w:jc w:val="left"/>
        <w:rPr>
          <w:rFonts w:hint="eastAsia" w:ascii="宋体" w:hAnsi="宋体" w:eastAsia="宋体" w:cs="仿宋"/>
          <w:bCs/>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履约担保的期限：</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1DBFC942">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670" w:name="_Toc389586436"/>
      <w:r>
        <w:rPr>
          <w:rFonts w:hint="eastAsia" w:ascii="宋体" w:hAnsi="宋体" w:eastAsia="宋体" w:cs="仿宋"/>
          <w:b/>
          <w:bCs/>
          <w:color w:val="000000" w:themeColor="text1"/>
          <w:kern w:val="0"/>
          <w:sz w:val="24"/>
          <w:highlight w:val="none"/>
          <w:lang w:val="zh-CN"/>
          <w14:textFill>
            <w14:solidFill>
              <w14:schemeClr w14:val="tx1"/>
            </w14:solidFill>
          </w14:textFill>
        </w:rPr>
        <w:t>5. 分包工程质量</w:t>
      </w:r>
      <w:bookmarkEnd w:id="670"/>
    </w:p>
    <w:p w14:paraId="6198B913">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71" w:name="_Toc389586437"/>
      <w:r>
        <w:rPr>
          <w:rFonts w:hint="eastAsia" w:ascii="宋体" w:hAnsi="宋体" w:eastAsia="宋体" w:cs="仿宋"/>
          <w:b/>
          <w:color w:val="000000" w:themeColor="text1"/>
          <w:kern w:val="0"/>
          <w:sz w:val="24"/>
          <w:highlight w:val="none"/>
          <w:lang w:val="zh-CN"/>
          <w14:textFill>
            <w14:solidFill>
              <w14:schemeClr w14:val="tx1"/>
            </w14:solidFill>
          </w14:textFill>
        </w:rPr>
        <w:t>5.1质量要求</w:t>
      </w:r>
      <w:bookmarkEnd w:id="671"/>
    </w:p>
    <w:p w14:paraId="3B00EE69">
      <w:pPr>
        <w:wordWrap w:val="0"/>
        <w:spacing w:line="460" w:lineRule="exact"/>
        <w:ind w:firstLine="480" w:firstLineChars="200"/>
        <w:jc w:val="left"/>
        <w:rPr>
          <w:rFonts w:hint="eastAsia" w:ascii="宋体" w:hAnsi="宋体" w:eastAsia="宋体" w:cs="仿宋"/>
          <w:color w:val="000000" w:themeColor="text1"/>
          <w:kern w:val="0"/>
          <w:sz w:val="24"/>
          <w:highlight w:val="none"/>
          <w:u w:val="singl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对于分包工程质量的特殊标准或要求：</w:t>
      </w:r>
      <w:r>
        <w:rPr>
          <w:rFonts w:hint="eastAsia" w:ascii="宋体" w:hAnsi="宋体" w:eastAsia="宋体" w:cs="仿宋"/>
          <w:b/>
          <w:color w:val="000000" w:themeColor="text1"/>
          <w:sz w:val="24"/>
          <w:highlight w:val="none"/>
          <w:u w:val="single"/>
          <w14:textFill>
            <w14:solidFill>
              <w14:schemeClr w14:val="tx1"/>
            </w14:solidFill>
          </w14:textFill>
        </w:rPr>
        <w:t>构成合同的任何合同文件中的相关约定或描述，均应理解为是对工程质量标准的定义，分包人应按照合同中约定的标准和方法组织施工或修补缺陷</w:t>
      </w:r>
      <w:r>
        <w:rPr>
          <w:rFonts w:hint="eastAsia" w:ascii="宋体" w:hAnsi="宋体" w:eastAsia="宋体" w:cs="仿宋"/>
          <w:color w:val="000000" w:themeColor="text1"/>
          <w:sz w:val="24"/>
          <w:highlight w:val="none"/>
          <w14:textFill>
            <w14:solidFill>
              <w14:schemeClr w14:val="tx1"/>
            </w14:solidFill>
          </w14:textFill>
        </w:rPr>
        <w:t>。</w:t>
      </w:r>
    </w:p>
    <w:p w14:paraId="2DC70A30">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672" w:name="_Toc389586438"/>
      <w:r>
        <w:rPr>
          <w:rFonts w:hint="eastAsia" w:ascii="宋体" w:hAnsi="宋体" w:eastAsia="宋体" w:cs="仿宋"/>
          <w:b/>
          <w:bCs/>
          <w:color w:val="000000" w:themeColor="text1"/>
          <w:kern w:val="0"/>
          <w:sz w:val="24"/>
          <w:highlight w:val="none"/>
          <w:lang w:val="zh-CN"/>
          <w14:textFill>
            <w14:solidFill>
              <w14:schemeClr w14:val="tx1"/>
            </w14:solidFill>
          </w14:textFill>
        </w:rPr>
        <w:t>6. 安全文明施工、环境保护与劳动用工管理</w:t>
      </w:r>
      <w:bookmarkEnd w:id="672"/>
    </w:p>
    <w:p w14:paraId="47DE9753">
      <w:pPr>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6.1.1安全文明施工</w:t>
      </w:r>
    </w:p>
    <w:p w14:paraId="4160145C">
      <w:pPr>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（1）分包人应严格按照《山东省建筑安全生产管理规定》、《环境保护法》以及省市级相关文件要求，保证施工现场安全生产文明施工。</w:t>
      </w:r>
    </w:p>
    <w:p w14:paraId="1DF9D2A8">
      <w:pPr>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（2）分包人进入施工现场的所有人员必须穿戴统一的反光背心、安全帽，否则每出现一人次，分包人应向承包人支付100元违约金。</w:t>
      </w:r>
    </w:p>
    <w:p w14:paraId="14134A94">
      <w:pPr>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（3）分包人必须根据不同作业工种，为其配备必要的劳动保护用品，否则每出现一人次，分包人应向承包人支付100元违约金。</w:t>
      </w:r>
      <w:bookmarkStart w:id="673" w:name="_Toc389586439"/>
    </w:p>
    <w:p w14:paraId="4320D78C">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r>
        <w:rPr>
          <w:rFonts w:hint="eastAsia" w:ascii="宋体" w:hAnsi="宋体" w:eastAsia="宋体" w:cs="仿宋"/>
          <w:b/>
          <w:color w:val="000000" w:themeColor="text1"/>
          <w:kern w:val="0"/>
          <w:sz w:val="24"/>
          <w:highlight w:val="none"/>
          <w:lang w:val="zh-CN"/>
          <w14:textFill>
            <w14:solidFill>
              <w14:schemeClr w14:val="tx1"/>
            </w14:solidFill>
          </w14:textFill>
        </w:rPr>
        <w:t>6.3 劳动用工管理</w:t>
      </w:r>
      <w:bookmarkEnd w:id="673"/>
    </w:p>
    <w:p w14:paraId="5DF9F025">
      <w:pPr>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6.3.2分包人雇佣的人员所需必要膳宿条件的提供方：</w:t>
      </w:r>
      <w:r>
        <w:rPr>
          <w:rFonts w:hint="eastAsia" w:ascii="宋体" w:hAnsi="宋体" w:eastAsia="宋体" w:cs="仿宋"/>
          <w:b/>
          <w:bCs/>
          <w:color w:val="000000" w:themeColor="text1"/>
          <w:sz w:val="24"/>
          <w:highlight w:val="none"/>
          <w:u w:val="single"/>
          <w14:textFill>
            <w14:solidFill>
              <w14:schemeClr w14:val="tx1"/>
            </w14:solidFill>
          </w14:textFill>
        </w:rPr>
        <w:t>分包人</w:t>
      </w:r>
      <w:r>
        <w:rPr>
          <w:rFonts w:hint="eastAsia" w:ascii="宋体" w:hAnsi="宋体" w:eastAsia="宋体" w:cs="仿宋"/>
          <w:color w:val="000000" w:themeColor="text1"/>
          <w:sz w:val="24"/>
          <w:highlight w:val="none"/>
          <w14:textFill>
            <w14:solidFill>
              <w14:schemeClr w14:val="tx1"/>
            </w14:solidFill>
          </w14:textFill>
        </w:rPr>
        <w:t>。</w:t>
      </w:r>
    </w:p>
    <w:p w14:paraId="587EB6EC">
      <w:pPr>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承包人为分包人雇佣的人员提供必要膳宿条件的期限：</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103C62C4">
      <w:pPr>
        <w:spacing w:line="460" w:lineRule="exact"/>
        <w:ind w:firstLine="480" w:firstLineChars="200"/>
        <w:jc w:val="left"/>
        <w:rPr>
          <w:rFonts w:hint="eastAsia" w:ascii="宋体" w:hAnsi="宋体" w:eastAsia="宋体" w:cs="仿宋"/>
          <w:b/>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6.3.3 分包人拖欠其雇佣人员的劳动报酬或劳务分包单位的劳务费用应承担的违约责任：</w:t>
      </w:r>
      <w:r>
        <w:rPr>
          <w:rFonts w:hint="eastAsia" w:ascii="宋体" w:hAnsi="宋体" w:eastAsia="宋体" w:cs="仿宋"/>
          <w:b/>
          <w:color w:val="000000" w:themeColor="text1"/>
          <w:sz w:val="24"/>
          <w:highlight w:val="none"/>
          <w:u w:val="single"/>
          <w14:textFill>
            <w14:solidFill>
              <w14:schemeClr w14:val="tx1"/>
            </w14:solidFill>
          </w14:textFill>
        </w:rPr>
        <w:t>若承包人收到关于拖欠反映的，可书面要求分包人立即支付，分包人应当于收到承包人书面通知之日起3日内，足额支付农民工工资报酬，并将发放情况（附发放明细表）书面回复给承包人；分包人收到承包人书面通知后，逾期向承包人书面回复或仍存在未解决情况的，承包人有权按照农民工自行主张的金额先行垫付，并在应付分包人工程款中双倍扣除，由此产生的一切责任及损失均由分包人承担。</w:t>
      </w:r>
    </w:p>
    <w:p w14:paraId="77A5A34F">
      <w:pPr>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bookmarkStart w:id="674" w:name="_Toc389586440"/>
      <w:r>
        <w:rPr>
          <w:rFonts w:hint="eastAsia" w:ascii="宋体" w:hAnsi="宋体" w:eastAsia="宋体" w:cs="仿宋"/>
          <w:color w:val="000000" w:themeColor="text1"/>
          <w:sz w:val="24"/>
          <w:highlight w:val="none"/>
          <w14:textFill>
            <w14:solidFill>
              <w14:schemeClr w14:val="tx1"/>
            </w14:solidFill>
          </w14:textFill>
        </w:rPr>
        <w:t>7. 工期和进度</w:t>
      </w:r>
      <w:bookmarkEnd w:id="674"/>
    </w:p>
    <w:p w14:paraId="2877110D">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75" w:name="_Toc389586441"/>
      <w:r>
        <w:rPr>
          <w:rFonts w:hint="eastAsia" w:ascii="宋体" w:hAnsi="宋体" w:eastAsia="宋体" w:cs="仿宋"/>
          <w:b/>
          <w:color w:val="000000" w:themeColor="text1"/>
          <w:kern w:val="0"/>
          <w:sz w:val="24"/>
          <w:highlight w:val="none"/>
          <w:lang w:val="zh-CN"/>
          <w14:textFill>
            <w14:solidFill>
              <w14:schemeClr w14:val="tx1"/>
            </w14:solidFill>
          </w14:textFill>
        </w:rPr>
        <w:t>7.1 施工组织</w:t>
      </w:r>
      <w:bookmarkEnd w:id="675"/>
    </w:p>
    <w:p w14:paraId="7AD5E33B">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7.1.1 施工组织设计的编制和批准</w:t>
      </w:r>
    </w:p>
    <w:p w14:paraId="7A7B4185">
      <w:pPr>
        <w:wordWrap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分包人提交详细施工组织设计的期限：</w:t>
      </w:r>
      <w:r>
        <w:rPr>
          <w:rFonts w:hint="eastAsia" w:ascii="宋体" w:hAnsi="宋体" w:eastAsia="宋体" w:cs="仿宋"/>
          <w:b/>
          <w:bCs/>
          <w:color w:val="000000" w:themeColor="text1"/>
          <w:sz w:val="24"/>
          <w:highlight w:val="none"/>
          <w:u w:val="single"/>
          <w14:textFill>
            <w14:solidFill>
              <w14:schemeClr w14:val="tx1"/>
            </w14:solidFill>
          </w14:textFill>
        </w:rPr>
        <w:t>开工前7日内</w:t>
      </w:r>
      <w:r>
        <w:rPr>
          <w:rFonts w:hint="eastAsia" w:ascii="宋体" w:hAnsi="宋体" w:eastAsia="宋体" w:cs="仿宋"/>
          <w:color w:val="000000" w:themeColor="text1"/>
          <w:sz w:val="24"/>
          <w:highlight w:val="none"/>
          <w14:textFill>
            <w14:solidFill>
              <w14:schemeClr w14:val="tx1"/>
            </w14:solidFill>
          </w14:textFill>
        </w:rPr>
        <w:t>。</w:t>
      </w:r>
    </w:p>
    <w:p w14:paraId="658D8B84">
      <w:pPr>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承包人对分包人施工组织设计进行确认或提出修改意见的期限：</w:t>
      </w:r>
      <w:r>
        <w:rPr>
          <w:rFonts w:hint="eastAsia" w:ascii="宋体" w:hAnsi="宋体" w:eastAsia="宋体" w:cs="仿宋"/>
          <w:b/>
          <w:bCs/>
          <w:color w:val="000000" w:themeColor="text1"/>
          <w:sz w:val="24"/>
          <w:highlight w:val="none"/>
          <w:u w:val="single"/>
          <w14:textFill>
            <w14:solidFill>
              <w14:schemeClr w14:val="tx1"/>
            </w14:solidFill>
          </w14:textFill>
        </w:rPr>
        <w:t>收到后7日内</w:t>
      </w:r>
      <w:r>
        <w:rPr>
          <w:rFonts w:hint="eastAsia" w:ascii="宋体" w:hAnsi="宋体" w:eastAsia="宋体" w:cs="仿宋"/>
          <w:color w:val="000000" w:themeColor="text1"/>
          <w:sz w:val="24"/>
          <w:highlight w:val="none"/>
          <w14:textFill>
            <w14:solidFill>
              <w14:schemeClr w14:val="tx1"/>
            </w14:solidFill>
          </w14:textFill>
        </w:rPr>
        <w:t>。</w:t>
      </w:r>
    </w:p>
    <w:p w14:paraId="022E3F11">
      <w:pPr>
        <w:wordWrap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分包人未按时提交详细施工组织设计的违约责任：</w:t>
      </w:r>
      <w:r>
        <w:rPr>
          <w:rFonts w:hint="eastAsia" w:ascii="宋体" w:hAnsi="宋体" w:eastAsia="宋体" w:cs="仿宋"/>
          <w:b/>
          <w:bCs/>
          <w:color w:val="000000" w:themeColor="text1"/>
          <w:sz w:val="24"/>
          <w:highlight w:val="none"/>
          <w:u w:val="single"/>
          <w14:textFill>
            <w14:solidFill>
              <w14:schemeClr w14:val="tx1"/>
            </w14:solidFill>
          </w14:textFill>
        </w:rPr>
        <w:t>每逾期一日，支付500元违约金</w:t>
      </w:r>
      <w:r>
        <w:rPr>
          <w:rFonts w:hint="eastAsia" w:ascii="宋体" w:hAnsi="宋体" w:eastAsia="宋体" w:cs="仿宋"/>
          <w:color w:val="000000" w:themeColor="text1"/>
          <w:sz w:val="24"/>
          <w:highlight w:val="none"/>
          <w14:textFill>
            <w14:solidFill>
              <w14:schemeClr w14:val="tx1"/>
            </w14:solidFill>
          </w14:textFill>
        </w:rPr>
        <w:t>。</w:t>
      </w:r>
    </w:p>
    <w:p w14:paraId="4336292C">
      <w:pPr>
        <w:wordWrap w:val="0"/>
        <w:spacing w:line="460" w:lineRule="exact"/>
        <w:ind w:firstLine="480" w:firstLineChars="200"/>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承包人对施工组织设计</w:t>
      </w:r>
      <w:r>
        <w:rPr>
          <w:rFonts w:hint="eastAsia" w:ascii="宋体" w:hAnsi="宋体" w:eastAsia="宋体" w:cs="仿宋"/>
          <w:color w:val="000000" w:themeColor="text1"/>
          <w:kern w:val="0"/>
          <w:sz w:val="24"/>
          <w:highlight w:val="none"/>
          <w14:textFill>
            <w14:solidFill>
              <w14:schemeClr w14:val="tx1"/>
            </w14:solidFill>
          </w14:textFill>
        </w:rPr>
        <w:t>未按时确认且未提出修改意见的违约责任：</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0FD64718">
      <w:pPr>
        <w:wordWrap w:val="0"/>
        <w:spacing w:line="460" w:lineRule="exact"/>
        <w:ind w:firstLine="465"/>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7.1.3 劳动力保障</w:t>
      </w:r>
    </w:p>
    <w:p w14:paraId="2A72207D">
      <w:pPr>
        <w:wordWrap w:val="0"/>
        <w:spacing w:line="460" w:lineRule="exact"/>
        <w:ind w:firstLine="465"/>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分包人未按时补足劳动力的违约责任：</w:t>
      </w:r>
      <w:r>
        <w:rPr>
          <w:rFonts w:hint="eastAsia" w:ascii="宋体" w:hAnsi="宋体" w:eastAsia="宋体" w:cs="仿宋"/>
          <w:color w:val="000000" w:themeColor="text1"/>
          <w:kern w:val="0"/>
          <w:sz w:val="24"/>
          <w:highlight w:val="none"/>
          <w:u w:val="single"/>
          <w14:textFill>
            <w14:solidFill>
              <w14:schemeClr w14:val="tx1"/>
            </w14:solidFill>
          </w14:textFill>
        </w:rPr>
        <w:t>造成工期逾期的，承担逾期责任</w:t>
      </w:r>
      <w:r>
        <w:rPr>
          <w:rFonts w:hint="eastAsia" w:ascii="宋体" w:hAnsi="宋体" w:eastAsia="宋体" w:cs="仿宋"/>
          <w:color w:val="000000" w:themeColor="text1"/>
          <w:kern w:val="0"/>
          <w:sz w:val="24"/>
          <w:highlight w:val="none"/>
          <w14:textFill>
            <w14:solidFill>
              <w14:schemeClr w14:val="tx1"/>
            </w14:solidFill>
          </w14:textFill>
        </w:rPr>
        <w:t>。</w:t>
      </w:r>
    </w:p>
    <w:p w14:paraId="77551ACC">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76" w:name="_Toc389586443"/>
      <w:r>
        <w:rPr>
          <w:rFonts w:hint="eastAsia" w:ascii="宋体" w:hAnsi="宋体" w:eastAsia="宋体" w:cs="仿宋"/>
          <w:b/>
          <w:color w:val="000000" w:themeColor="text1"/>
          <w:kern w:val="0"/>
          <w:sz w:val="24"/>
          <w:highlight w:val="none"/>
          <w:lang w:val="zh-CN"/>
          <w14:textFill>
            <w14:solidFill>
              <w14:schemeClr w14:val="tx1"/>
            </w14:solidFill>
          </w14:textFill>
        </w:rPr>
        <w:t>7.3 测量放线</w:t>
      </w:r>
      <w:bookmarkEnd w:id="676"/>
    </w:p>
    <w:p w14:paraId="16F1F794">
      <w:pPr>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7.3.1 承包人提供测量基准点、基准线和水准点及其书面资料的期限：</w:t>
      </w:r>
      <w:r>
        <w:rPr>
          <w:rFonts w:hint="eastAsia" w:ascii="宋体" w:hAnsi="宋体" w:eastAsia="宋体" w:cs="仿宋"/>
          <w:b/>
          <w:color w:val="000000" w:themeColor="text1"/>
          <w:sz w:val="24"/>
          <w:highlight w:val="none"/>
          <w:u w:val="single"/>
          <w14:textFill>
            <w14:solidFill>
              <w14:schemeClr w14:val="tx1"/>
            </w14:solidFill>
          </w14:textFill>
        </w:rPr>
        <w:t>开工前7日内</w:t>
      </w:r>
      <w:r>
        <w:rPr>
          <w:rFonts w:hint="eastAsia" w:ascii="宋体" w:hAnsi="宋体" w:eastAsia="宋体" w:cs="仿宋"/>
          <w:color w:val="000000" w:themeColor="text1"/>
          <w:sz w:val="24"/>
          <w:highlight w:val="none"/>
          <w14:textFill>
            <w14:solidFill>
              <w14:schemeClr w14:val="tx1"/>
            </w14:solidFill>
          </w14:textFill>
        </w:rPr>
        <w:t>。</w:t>
      </w:r>
    </w:p>
    <w:p w14:paraId="5BB398CB">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77" w:name="_Toc389586444"/>
      <w:r>
        <w:rPr>
          <w:rFonts w:hint="eastAsia" w:ascii="宋体" w:hAnsi="宋体" w:eastAsia="宋体" w:cs="仿宋"/>
          <w:b/>
          <w:color w:val="000000" w:themeColor="text1"/>
          <w:kern w:val="0"/>
          <w:sz w:val="24"/>
          <w:highlight w:val="none"/>
          <w:lang w:val="zh-CN"/>
          <w14:textFill>
            <w14:solidFill>
              <w14:schemeClr w14:val="tx1"/>
            </w14:solidFill>
          </w14:textFill>
        </w:rPr>
        <w:t>7.4 工期延误</w:t>
      </w:r>
      <w:bookmarkEnd w:id="677"/>
    </w:p>
    <w:p w14:paraId="13F98E26">
      <w:pPr>
        <w:autoSpaceDE w:val="0"/>
        <w:autoSpaceDN w:val="0"/>
        <w:spacing w:line="460" w:lineRule="exact"/>
        <w:ind w:firstLine="480" w:firstLineChars="200"/>
        <w:rPr>
          <w:rFonts w:hint="eastAsia" w:ascii="宋体" w:hAnsi="宋体" w:eastAsia="宋体" w:cs="仿宋"/>
          <w:b/>
          <w:bCs/>
          <w:color w:val="000000" w:themeColor="text1"/>
          <w:sz w:val="24"/>
          <w:highlight w:val="none"/>
          <w:u w:val="singl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7.4.2 因分包人原因造成工期延误，分包人应承担的逾期完工违约责任：</w:t>
      </w:r>
      <w:r>
        <w:rPr>
          <w:rFonts w:hint="eastAsia" w:ascii="宋体" w:hAnsi="宋体" w:eastAsia="宋体" w:cs="仿宋"/>
          <w:b/>
          <w:bCs/>
          <w:color w:val="000000" w:themeColor="text1"/>
          <w:sz w:val="24"/>
          <w:highlight w:val="none"/>
          <w:u w:val="single"/>
          <w14:textFill>
            <w14:solidFill>
              <w14:schemeClr w14:val="tx1"/>
            </w14:solidFill>
          </w14:textFill>
        </w:rPr>
        <w:t>在施工过程中，如果承包人或承包人授权的机构认为本合同工程或其任何部分的进度过慢，不符合总进度计划的要求，或者工程质量无任何保证，因而不能按预定的工期竣工并达到预定的质量标准，则承包人可将此情况通知分包人并提出警告；分包人应一个工作日内制定承包人同意的措施，以便加快工程进度和保证工程质量，分包人无权要求为了采取这些措施而相应支付任何附加费用；如分包人对承包人的上述警告无积极改正，则承包人将视情节轻重，有权要求分包人支付违约金1～5万元。</w:t>
      </w:r>
    </w:p>
    <w:p w14:paraId="67CEF895">
      <w:pPr>
        <w:autoSpaceDE w:val="0"/>
        <w:autoSpaceDN w:val="0"/>
        <w:spacing w:line="460" w:lineRule="exact"/>
        <w:ind w:firstLine="472" w:firstLineChars="196"/>
        <w:rPr>
          <w:rFonts w:hint="eastAsia" w:ascii="宋体" w:hAnsi="宋体" w:eastAsia="宋体" w:cs="仿宋"/>
          <w:b/>
          <w:bCs/>
          <w:color w:val="000000" w:themeColor="text1"/>
          <w:sz w:val="24"/>
          <w:highlight w:val="none"/>
          <w:u w:val="single"/>
          <w14:textFill>
            <w14:solidFill>
              <w14:schemeClr w14:val="tx1"/>
            </w14:solidFill>
          </w14:textFill>
        </w:rPr>
      </w:pPr>
      <w:r>
        <w:rPr>
          <w:rFonts w:hint="eastAsia" w:ascii="宋体" w:hAnsi="宋体" w:eastAsia="宋体" w:cs="仿宋"/>
          <w:b/>
          <w:bCs/>
          <w:color w:val="000000" w:themeColor="text1"/>
          <w:sz w:val="24"/>
          <w:highlight w:val="none"/>
          <w:u w:val="single"/>
          <w14:textFill>
            <w14:solidFill>
              <w14:schemeClr w14:val="tx1"/>
            </w14:solidFill>
          </w14:textFill>
        </w:rPr>
        <w:t>非经承包人认可，因分包人原因造成工期延误，每逾期一日，分包人向承包人支付合同总价款0.5%的违约金, 违约金上限为合同总价款5%；当按进度计划延误工期超过10天，承包人有权解除合同，由此造成的一切损失均由分包人承担。</w:t>
      </w:r>
    </w:p>
    <w:p w14:paraId="0A234F7D">
      <w:pPr>
        <w:spacing w:line="460" w:lineRule="exact"/>
        <w:ind w:firstLine="482" w:firstLineChars="200"/>
        <w:rPr>
          <w:rFonts w:hint="eastAsia" w:ascii="宋体" w:hAnsi="宋体" w:eastAsia="宋体" w:cs="仿宋"/>
          <w:b/>
          <w:bCs/>
          <w:color w:val="000000" w:themeColor="text1"/>
          <w:kern w:val="0"/>
          <w:sz w:val="24"/>
          <w:highlight w:val="none"/>
          <w:u w:val="single"/>
          <w14:textFill>
            <w14:solidFill>
              <w14:schemeClr w14:val="tx1"/>
            </w14:solidFill>
          </w14:textFill>
        </w:rPr>
      </w:pPr>
      <w:r>
        <w:rPr>
          <w:rFonts w:hint="eastAsia" w:ascii="宋体" w:hAnsi="宋体" w:eastAsia="宋体" w:cs="仿宋"/>
          <w:b/>
          <w:bCs/>
          <w:color w:val="000000" w:themeColor="text1"/>
          <w:kern w:val="0"/>
          <w:sz w:val="24"/>
          <w:highlight w:val="none"/>
          <w:u w:val="single"/>
          <w14:textFill>
            <w14:solidFill>
              <w14:schemeClr w14:val="tx1"/>
            </w14:solidFill>
          </w14:textFill>
        </w:rPr>
        <w:t>在合同总工期未变的前提下，承包人根据工程实际情况或认为有必要的任何其它理由而对工程分阶段工期所进行的调整，分包人应无条件地服从。由此而可能引起工程费用投入的变化将不另考虑。</w:t>
      </w:r>
    </w:p>
    <w:p w14:paraId="07AD1C58">
      <w:pPr>
        <w:spacing w:line="460" w:lineRule="exact"/>
        <w:ind w:firstLine="472" w:firstLineChars="196"/>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b/>
          <w:bCs/>
          <w:color w:val="000000" w:themeColor="text1"/>
          <w:sz w:val="24"/>
          <w:highlight w:val="none"/>
          <w:u w:val="single"/>
          <w14:textFill>
            <w14:solidFill>
              <w14:schemeClr w14:val="tx1"/>
            </w14:solidFill>
          </w14:textFill>
        </w:rPr>
        <w:t>如达不到约定质量标准，分包人应采取返工、修理等补救措施使工程质量达到约定的质量标准，并承担所支付的一切费用；因此给承包人造成相应的损失由分包人承担，返工期间工期不予顺延。</w:t>
      </w:r>
    </w:p>
    <w:p w14:paraId="17251CB6">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78" w:name="_Toc389586445"/>
      <w:r>
        <w:rPr>
          <w:rFonts w:hint="eastAsia" w:ascii="宋体" w:hAnsi="宋体" w:eastAsia="宋体" w:cs="仿宋"/>
          <w:b/>
          <w:color w:val="000000" w:themeColor="text1"/>
          <w:kern w:val="0"/>
          <w:sz w:val="24"/>
          <w:highlight w:val="none"/>
          <w:lang w:val="zh-CN"/>
          <w14:textFill>
            <w14:solidFill>
              <w14:schemeClr w14:val="tx1"/>
            </w14:solidFill>
          </w14:textFill>
        </w:rPr>
        <w:t>7.5 不利物质条件</w:t>
      </w:r>
      <w:bookmarkEnd w:id="678"/>
    </w:p>
    <w:p w14:paraId="05CB2333">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不利物质条件的其他情形：</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5D120E07">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79" w:name="_Toc389586446"/>
      <w:r>
        <w:rPr>
          <w:rFonts w:hint="eastAsia" w:ascii="宋体" w:hAnsi="宋体" w:eastAsia="宋体" w:cs="仿宋"/>
          <w:b/>
          <w:color w:val="000000" w:themeColor="text1"/>
          <w:kern w:val="0"/>
          <w:sz w:val="24"/>
          <w:highlight w:val="none"/>
          <w:lang w:val="zh-CN"/>
          <w14:textFill>
            <w14:solidFill>
              <w14:schemeClr w14:val="tx1"/>
            </w14:solidFill>
          </w14:textFill>
        </w:rPr>
        <w:t>7.6 异常恶劣的气候条件</w:t>
      </w:r>
      <w:bookmarkEnd w:id="679"/>
    </w:p>
    <w:p w14:paraId="18B10CB8">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异常恶劣的气候条件包括：</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5B41B114">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680" w:name="_Toc389586447"/>
      <w:r>
        <w:rPr>
          <w:rFonts w:hint="eastAsia" w:ascii="宋体" w:hAnsi="宋体" w:eastAsia="宋体" w:cs="仿宋"/>
          <w:b/>
          <w:bCs/>
          <w:color w:val="000000" w:themeColor="text1"/>
          <w:kern w:val="0"/>
          <w:sz w:val="24"/>
          <w:highlight w:val="none"/>
          <w:lang w:val="zh-CN"/>
          <w14:textFill>
            <w14:solidFill>
              <w14:schemeClr w14:val="tx1"/>
            </w14:solidFill>
          </w14:textFill>
        </w:rPr>
        <w:t>8. 材料与设备</w:t>
      </w:r>
      <w:bookmarkEnd w:id="680"/>
    </w:p>
    <w:p w14:paraId="02333BFD">
      <w:pPr>
        <w:spacing w:line="460" w:lineRule="exact"/>
        <w:outlineLvl w:val="2"/>
        <w:rPr>
          <w:rFonts w:hint="eastAsia" w:ascii="宋体" w:hAnsi="宋体" w:eastAsia="宋体" w:cs="仿宋"/>
          <w:b/>
          <w:color w:val="000000" w:themeColor="text1"/>
          <w:sz w:val="24"/>
          <w:highlight w:val="none"/>
          <w14:textFill>
            <w14:solidFill>
              <w14:schemeClr w14:val="tx1"/>
            </w14:solidFill>
          </w14:textFill>
        </w:rPr>
      </w:pPr>
      <w:bookmarkStart w:id="681" w:name="_Toc389586448"/>
      <w:r>
        <w:rPr>
          <w:rFonts w:hint="eastAsia" w:ascii="宋体" w:hAnsi="宋体" w:eastAsia="宋体" w:cs="仿宋"/>
          <w:b/>
          <w:color w:val="000000" w:themeColor="text1"/>
          <w:sz w:val="24"/>
          <w:highlight w:val="none"/>
          <w14:textFill>
            <w14:solidFill>
              <w14:schemeClr w14:val="tx1"/>
            </w14:solidFill>
          </w14:textFill>
        </w:rPr>
        <w:t>8.1 承包人供应材料与工程设备</w:t>
      </w:r>
      <w:bookmarkEnd w:id="681"/>
    </w:p>
    <w:p w14:paraId="029105B9">
      <w:pPr>
        <w:wordWrap w:val="0"/>
        <w:spacing w:line="460" w:lineRule="exact"/>
        <w:ind w:firstLine="465"/>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8.1.2 承包人供应材料和工程设备的损耗率：</w:t>
      </w:r>
      <w:r>
        <w:rPr>
          <w:rFonts w:hint="eastAsia" w:ascii="宋体" w:hAnsi="宋体" w:eastAsia="宋体" w:cs="仿宋"/>
          <w:b/>
          <w:color w:val="000000" w:themeColor="text1"/>
          <w:sz w:val="24"/>
          <w:highlight w:val="none"/>
          <w:u w:val="single"/>
          <w14:textFill>
            <w14:solidFill>
              <w14:schemeClr w14:val="tx1"/>
            </w14:solidFill>
          </w14:textFill>
        </w:rPr>
        <w:t>本项目承包人提供主材料</w:t>
      </w:r>
      <w:r>
        <w:rPr>
          <w:rFonts w:hint="eastAsia" w:ascii="宋体" w:hAnsi="宋体" w:eastAsia="宋体" w:cs="仿宋"/>
          <w:color w:val="000000" w:themeColor="text1"/>
          <w:sz w:val="24"/>
          <w:highlight w:val="none"/>
          <w14:textFill>
            <w14:solidFill>
              <w14:schemeClr w14:val="tx1"/>
            </w14:solidFill>
          </w14:textFill>
        </w:rPr>
        <w:t>。</w:t>
      </w:r>
    </w:p>
    <w:p w14:paraId="10952F27">
      <w:pPr>
        <w:wordWrap w:val="0"/>
        <w:spacing w:line="460" w:lineRule="exact"/>
        <w:ind w:firstLine="465"/>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8.1.3 分包人通知承包人材料、工程设备进场时间的期限：</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463EA455">
      <w:pPr>
        <w:wordWrap w:val="0"/>
        <w:spacing w:line="460" w:lineRule="exact"/>
        <w:jc w:val="left"/>
        <w:outlineLvl w:val="2"/>
        <w:rPr>
          <w:rFonts w:hint="eastAsia" w:ascii="宋体" w:hAnsi="宋体" w:eastAsia="宋体" w:cs="仿宋"/>
          <w:b/>
          <w:color w:val="000000" w:themeColor="text1"/>
          <w:sz w:val="24"/>
          <w:highlight w:val="none"/>
          <w14:textFill>
            <w14:solidFill>
              <w14:schemeClr w14:val="tx1"/>
            </w14:solidFill>
          </w14:textFill>
        </w:rPr>
      </w:pPr>
      <w:bookmarkStart w:id="682" w:name="_Toc389586449"/>
      <w:r>
        <w:rPr>
          <w:rFonts w:hint="eastAsia" w:ascii="宋体" w:hAnsi="宋体" w:eastAsia="宋体" w:cs="仿宋"/>
          <w:b/>
          <w:color w:val="000000" w:themeColor="text1"/>
          <w:sz w:val="24"/>
          <w:highlight w:val="none"/>
          <w14:textFill>
            <w14:solidFill>
              <w14:schemeClr w14:val="tx1"/>
            </w14:solidFill>
          </w14:textFill>
        </w:rPr>
        <w:t>8.2 分包人供应材料与工程设备</w:t>
      </w:r>
      <w:bookmarkEnd w:id="682"/>
    </w:p>
    <w:p w14:paraId="6C3339CB">
      <w:pPr>
        <w:wordWrap w:val="0"/>
        <w:spacing w:line="460" w:lineRule="exact"/>
        <w:ind w:firstLine="465"/>
        <w:jc w:val="left"/>
        <w:rPr>
          <w:rFonts w:hint="eastAsia" w:ascii="宋体" w:hAnsi="宋体" w:eastAsia="宋体" w:cs="仿宋"/>
          <w:color w:val="000000" w:themeColor="text1"/>
          <w:sz w:val="24"/>
          <w:highlight w:val="none"/>
          <w:u w:val="singl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8.2.1承包人指定生产厂家或供应商时应承担的违约责任：</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043D2479">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83" w:name="_Toc389586450"/>
      <w:r>
        <w:rPr>
          <w:rFonts w:hint="eastAsia" w:ascii="宋体" w:hAnsi="宋体" w:eastAsia="宋体" w:cs="仿宋"/>
          <w:b/>
          <w:color w:val="000000" w:themeColor="text1"/>
          <w:kern w:val="0"/>
          <w:sz w:val="24"/>
          <w:highlight w:val="none"/>
          <w:lang w:val="zh-CN"/>
          <w14:textFill>
            <w14:solidFill>
              <w14:schemeClr w14:val="tx1"/>
            </w14:solidFill>
          </w14:textFill>
        </w:rPr>
        <w:t>8.4 样品</w:t>
      </w:r>
      <w:bookmarkEnd w:id="683"/>
    </w:p>
    <w:p w14:paraId="38ACF606">
      <w:pPr>
        <w:autoSpaceDE w:val="0"/>
        <w:autoSpaceDN w:val="0"/>
        <w:spacing w:line="460" w:lineRule="exact"/>
        <w:ind w:firstLine="480" w:firstLineChars="200"/>
        <w:jc w:val="left"/>
        <w:rPr>
          <w:rFonts w:hint="eastAsia" w:ascii="宋体" w:hAnsi="宋体" w:eastAsia="宋体" w:cs="仿宋"/>
          <w:color w:val="000000" w:themeColor="text1"/>
          <w:sz w:val="24"/>
          <w:highlight w:val="none"/>
          <w:u w:val="singl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需要分包人报送样品的材料或工程设备，样品的种类、名称、规格、数量要求：</w:t>
      </w:r>
      <w:r>
        <w:rPr>
          <w:rFonts w:hint="eastAsia" w:ascii="宋体" w:hAnsi="宋体" w:eastAsia="宋体" w:cs="仿宋"/>
          <w:b/>
          <w:bCs/>
          <w:color w:val="000000" w:themeColor="text1"/>
          <w:sz w:val="24"/>
          <w:highlight w:val="none"/>
          <w:u w:val="single"/>
          <w14:textFill>
            <w14:solidFill>
              <w14:schemeClr w14:val="tx1"/>
            </w14:solidFill>
          </w14:textFill>
        </w:rPr>
        <w:t>按设计、规范及验收要求</w:t>
      </w:r>
      <w:r>
        <w:rPr>
          <w:rFonts w:hint="eastAsia" w:ascii="宋体" w:hAnsi="宋体" w:eastAsia="宋体" w:cs="仿宋"/>
          <w:color w:val="000000" w:themeColor="text1"/>
          <w:sz w:val="24"/>
          <w:highlight w:val="none"/>
          <w14:textFill>
            <w14:solidFill>
              <w14:schemeClr w14:val="tx1"/>
            </w14:solidFill>
          </w14:textFill>
        </w:rPr>
        <w:t>。</w:t>
      </w:r>
    </w:p>
    <w:p w14:paraId="5E670345">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84" w:name="_Toc389586451"/>
      <w:r>
        <w:rPr>
          <w:rFonts w:hint="eastAsia" w:ascii="宋体" w:hAnsi="宋体" w:eastAsia="宋体" w:cs="仿宋"/>
          <w:b/>
          <w:color w:val="000000" w:themeColor="text1"/>
          <w:kern w:val="0"/>
          <w:sz w:val="24"/>
          <w:highlight w:val="none"/>
          <w:lang w:val="zh-CN"/>
          <w14:textFill>
            <w14:solidFill>
              <w14:schemeClr w14:val="tx1"/>
            </w14:solidFill>
          </w14:textFill>
        </w:rPr>
        <w:t>8.5 材料与工程设备的替代</w:t>
      </w:r>
      <w:bookmarkEnd w:id="684"/>
    </w:p>
    <w:p w14:paraId="30F545A9">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关于材料与工程设备替代的约定：</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4C7E24D5">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85" w:name="_Toc389586452"/>
      <w:r>
        <w:rPr>
          <w:rFonts w:hint="eastAsia" w:ascii="宋体" w:hAnsi="宋体" w:eastAsia="宋体" w:cs="仿宋"/>
          <w:b/>
          <w:color w:val="000000" w:themeColor="text1"/>
          <w:kern w:val="0"/>
          <w:sz w:val="24"/>
          <w:highlight w:val="none"/>
          <w:lang w:val="zh-CN"/>
          <w14:textFill>
            <w14:solidFill>
              <w14:schemeClr w14:val="tx1"/>
            </w14:solidFill>
          </w14:textFill>
        </w:rPr>
        <w:t>8.6 施工设备和临时设施</w:t>
      </w:r>
      <w:bookmarkEnd w:id="685"/>
    </w:p>
    <w:p w14:paraId="1E57E150">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8.6.1承包人提供的施工设备和临时设施包括：</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2C6B7D0D">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686" w:name="_Toc389586453"/>
      <w:r>
        <w:rPr>
          <w:rFonts w:hint="eastAsia" w:ascii="宋体" w:hAnsi="宋体" w:eastAsia="宋体" w:cs="仿宋"/>
          <w:b/>
          <w:bCs/>
          <w:color w:val="000000" w:themeColor="text1"/>
          <w:kern w:val="0"/>
          <w:sz w:val="24"/>
          <w:highlight w:val="none"/>
          <w:lang w:val="zh-CN"/>
          <w14:textFill>
            <w14:solidFill>
              <w14:schemeClr w14:val="tx1"/>
            </w14:solidFill>
          </w14:textFill>
        </w:rPr>
        <w:t>9.试验和检验</w:t>
      </w:r>
      <w:bookmarkEnd w:id="686"/>
    </w:p>
    <w:p w14:paraId="32A91E09">
      <w:pPr>
        <w:wordWrap w:val="0"/>
        <w:spacing w:line="460" w:lineRule="exact"/>
        <w:ind w:firstLine="480" w:firstLineChars="200"/>
        <w:jc w:val="left"/>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关于试验和检验的约定：</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1CF20F98">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687" w:name="_Toc389586454"/>
      <w:r>
        <w:rPr>
          <w:rFonts w:hint="eastAsia" w:ascii="宋体" w:hAnsi="宋体" w:eastAsia="宋体" w:cs="仿宋"/>
          <w:b/>
          <w:bCs/>
          <w:color w:val="000000" w:themeColor="text1"/>
          <w:kern w:val="0"/>
          <w:sz w:val="24"/>
          <w:highlight w:val="none"/>
          <w:lang w:val="zh-CN"/>
          <w14:textFill>
            <w14:solidFill>
              <w14:schemeClr w14:val="tx1"/>
            </w14:solidFill>
          </w14:textFill>
        </w:rPr>
        <w:t>10. 分包合同变更</w:t>
      </w:r>
      <w:bookmarkEnd w:id="687"/>
    </w:p>
    <w:p w14:paraId="0D4D0946">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88" w:name="_Toc389586455"/>
      <w:r>
        <w:rPr>
          <w:rFonts w:hint="eastAsia" w:ascii="宋体" w:hAnsi="宋体" w:eastAsia="宋体" w:cs="仿宋"/>
          <w:b/>
          <w:color w:val="000000" w:themeColor="text1"/>
          <w:kern w:val="0"/>
          <w:sz w:val="24"/>
          <w:highlight w:val="none"/>
          <w:lang w:val="zh-CN"/>
          <w14:textFill>
            <w14:solidFill>
              <w14:schemeClr w14:val="tx1"/>
            </w14:solidFill>
          </w14:textFill>
        </w:rPr>
        <w:t>10.1 分包合同变更的范围</w:t>
      </w:r>
      <w:bookmarkEnd w:id="688"/>
    </w:p>
    <w:p w14:paraId="5F6967BE">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关于分包合同变更范围的约定：</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69BDCF65">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89" w:name="_Toc389586456"/>
      <w:r>
        <w:rPr>
          <w:rFonts w:hint="eastAsia" w:ascii="宋体" w:hAnsi="宋体" w:eastAsia="宋体" w:cs="仿宋"/>
          <w:b/>
          <w:color w:val="000000" w:themeColor="text1"/>
          <w:kern w:val="0"/>
          <w:sz w:val="24"/>
          <w:highlight w:val="none"/>
          <w:lang w:val="zh-CN"/>
          <w14:textFill>
            <w14:solidFill>
              <w14:schemeClr w14:val="tx1"/>
            </w14:solidFill>
          </w14:textFill>
        </w:rPr>
        <w:t>10.3 分包合同变更估价</w:t>
      </w:r>
      <w:bookmarkEnd w:id="689"/>
    </w:p>
    <w:p w14:paraId="31CA3AB2">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10.3.1 变更估价原则</w:t>
      </w:r>
    </w:p>
    <w:p w14:paraId="363A92CF">
      <w:pPr>
        <w:spacing w:line="460" w:lineRule="exact"/>
        <w:ind w:firstLine="480" w:firstLineChars="200"/>
        <w:textAlignment w:val="center"/>
        <w:rPr>
          <w:rFonts w:hint="eastAsia" w:ascii="宋体" w:hAnsi="宋体" w:eastAsia="宋体" w:cs="仿宋"/>
          <w:b/>
          <w:bCs/>
          <w:color w:val="000000" w:themeColor="text1"/>
          <w:sz w:val="24"/>
          <w:highlight w:val="none"/>
          <w:u w:val="singl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关于变更估价原则的约定：</w:t>
      </w:r>
      <w:r>
        <w:rPr>
          <w:rFonts w:hint="eastAsia" w:ascii="宋体" w:hAnsi="宋体" w:eastAsia="宋体" w:cs="仿宋"/>
          <w:b/>
          <w:bCs/>
          <w:color w:val="000000" w:themeColor="text1"/>
          <w:sz w:val="24"/>
          <w:highlight w:val="none"/>
          <w:u w:val="single"/>
          <w14:textFill>
            <w14:solidFill>
              <w14:schemeClr w14:val="tx1"/>
            </w14:solidFill>
          </w14:textFill>
        </w:rPr>
        <w:t>本合同采用固定全费用综合单价的工程量清单计价方式，按照实际发生且承包人确认的合格工程量和工程量清单中综合单价进行结算和支付。在建设过程中如发生市场物价浮动和政策性调价，综合单价不做调整。</w:t>
      </w:r>
    </w:p>
    <w:p w14:paraId="001EE85E">
      <w:pPr>
        <w:spacing w:line="460" w:lineRule="exact"/>
        <w:ind w:firstLine="480" w:firstLineChars="200"/>
        <w:textAlignment w:val="center"/>
        <w:rPr>
          <w:rFonts w:hint="eastAsia" w:ascii="宋体" w:hAnsi="宋体" w:eastAsia="宋体" w:cs="仿宋"/>
          <w:b/>
          <w:bCs/>
          <w:color w:val="000000" w:themeColor="text1"/>
          <w:sz w:val="24"/>
          <w:highlight w:val="none"/>
          <w:u w:val="singl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风险范围以外合同价款调整方法：</w:t>
      </w:r>
      <w:r>
        <w:rPr>
          <w:rFonts w:hint="eastAsia" w:ascii="宋体" w:hAnsi="宋体" w:eastAsia="宋体" w:cs="仿宋"/>
          <w:b/>
          <w:bCs/>
          <w:color w:val="000000" w:themeColor="text1"/>
          <w:sz w:val="24"/>
          <w:highlight w:val="none"/>
          <w:u w:val="single"/>
          <w14:textFill>
            <w14:solidFill>
              <w14:schemeClr w14:val="tx1"/>
            </w14:solidFill>
          </w14:textFill>
        </w:rPr>
        <w:t>因工程变更造成的工程量增减，其项目单价执行工程量清单子目综合单价，若该工程项目为清单不含项目，结算方式为：</w:t>
      </w:r>
    </w:p>
    <w:p w14:paraId="3CC51778">
      <w:pPr>
        <w:spacing w:line="460" w:lineRule="exact"/>
        <w:ind w:firstLine="482" w:firstLineChars="200"/>
        <w:textAlignment w:val="center"/>
        <w:rPr>
          <w:rFonts w:hint="eastAsia" w:ascii="宋体" w:hAnsi="宋体" w:eastAsia="宋体" w:cs="仿宋"/>
          <w:b/>
          <w:bCs/>
          <w:color w:val="000000" w:themeColor="text1"/>
          <w:sz w:val="24"/>
          <w:highlight w:val="none"/>
          <w:u w:val="single"/>
          <w14:textFill>
            <w14:solidFill>
              <w14:schemeClr w14:val="tx1"/>
            </w14:solidFill>
          </w14:textFill>
        </w:rPr>
      </w:pPr>
      <w:r>
        <w:rPr>
          <w:rFonts w:hint="eastAsia" w:ascii="宋体" w:hAnsi="宋体" w:eastAsia="宋体" w:cs="仿宋"/>
          <w:b/>
          <w:bCs/>
          <w:color w:val="000000" w:themeColor="text1"/>
          <w:sz w:val="24"/>
          <w:highlight w:val="none"/>
          <w:u w:val="single"/>
          <w14:textFill>
            <w14:solidFill>
              <w14:schemeClr w14:val="tx1"/>
            </w14:solidFill>
          </w14:textFill>
        </w:rPr>
        <w:t>1、变更价款确定的原则：</w:t>
      </w:r>
    </w:p>
    <w:p w14:paraId="70222EB5">
      <w:pPr>
        <w:spacing w:line="460" w:lineRule="exact"/>
        <w:ind w:firstLine="482" w:firstLineChars="200"/>
        <w:textAlignment w:val="center"/>
        <w:rPr>
          <w:rFonts w:hint="eastAsia" w:ascii="宋体" w:hAnsi="宋体" w:eastAsia="宋体" w:cs="仿宋"/>
          <w:b/>
          <w:bCs/>
          <w:color w:val="000000" w:themeColor="text1"/>
          <w:sz w:val="24"/>
          <w:highlight w:val="none"/>
          <w:u w:val="single"/>
          <w14:textFill>
            <w14:solidFill>
              <w14:schemeClr w14:val="tx1"/>
            </w14:solidFill>
          </w14:textFill>
        </w:rPr>
      </w:pPr>
      <w:r>
        <w:rPr>
          <w:rFonts w:hint="eastAsia" w:ascii="宋体" w:hAnsi="宋体" w:eastAsia="宋体" w:cs="仿宋"/>
          <w:b/>
          <w:bCs/>
          <w:color w:val="000000" w:themeColor="text1"/>
          <w:sz w:val="24"/>
          <w:highlight w:val="none"/>
          <w:u w:val="single"/>
          <w14:textFill>
            <w14:solidFill>
              <w14:schemeClr w14:val="tx1"/>
            </w14:solidFill>
          </w14:textFill>
        </w:rPr>
        <w:t>（1）清单中已有适用于变更工程的价格，按清单已有的价格变更清单价款；</w:t>
      </w:r>
    </w:p>
    <w:p w14:paraId="6A66D55B">
      <w:pPr>
        <w:spacing w:line="460" w:lineRule="exact"/>
        <w:ind w:firstLine="482" w:firstLineChars="200"/>
        <w:textAlignment w:val="center"/>
        <w:rPr>
          <w:rFonts w:hint="eastAsia" w:ascii="宋体" w:hAnsi="宋体" w:eastAsia="宋体" w:cs="仿宋"/>
          <w:b/>
          <w:bCs/>
          <w:color w:val="000000" w:themeColor="text1"/>
          <w:sz w:val="24"/>
          <w:highlight w:val="none"/>
          <w:u w:val="single"/>
          <w14:textFill>
            <w14:solidFill>
              <w14:schemeClr w14:val="tx1"/>
            </w14:solidFill>
          </w14:textFill>
        </w:rPr>
      </w:pPr>
      <w:r>
        <w:rPr>
          <w:rFonts w:hint="eastAsia" w:ascii="宋体" w:hAnsi="宋体" w:eastAsia="宋体" w:cs="仿宋"/>
          <w:b/>
          <w:bCs/>
          <w:color w:val="000000" w:themeColor="text1"/>
          <w:sz w:val="24"/>
          <w:highlight w:val="none"/>
          <w:u w:val="single"/>
          <w14:textFill>
            <w14:solidFill>
              <w14:schemeClr w14:val="tx1"/>
            </w14:solidFill>
          </w14:textFill>
        </w:rPr>
        <w:t>（2）清单中只有类似于变更工程的价格，可以参照类似价格变更清单价款；</w:t>
      </w:r>
    </w:p>
    <w:p w14:paraId="0613EACA">
      <w:pPr>
        <w:spacing w:line="460" w:lineRule="exact"/>
        <w:ind w:firstLine="482" w:firstLineChars="200"/>
        <w:textAlignment w:val="center"/>
        <w:rPr>
          <w:rFonts w:hint="eastAsia" w:ascii="宋体" w:hAnsi="宋体" w:eastAsia="宋体" w:cs="仿宋"/>
          <w:b/>
          <w:bCs/>
          <w:color w:val="000000" w:themeColor="text1"/>
          <w:sz w:val="24"/>
          <w:highlight w:val="none"/>
          <w:u w:val="single"/>
          <w14:textFill>
            <w14:solidFill>
              <w14:schemeClr w14:val="tx1"/>
            </w14:solidFill>
          </w14:textFill>
        </w:rPr>
      </w:pPr>
      <w:r>
        <w:rPr>
          <w:rFonts w:hint="eastAsia" w:ascii="宋体" w:hAnsi="宋体" w:eastAsia="宋体" w:cs="仿宋"/>
          <w:b/>
          <w:bCs/>
          <w:color w:val="000000" w:themeColor="text1"/>
          <w:sz w:val="24"/>
          <w:highlight w:val="none"/>
          <w:u w:val="single"/>
          <w14:textFill>
            <w14:solidFill>
              <w14:schemeClr w14:val="tx1"/>
            </w14:solidFill>
          </w14:textFill>
        </w:rPr>
        <w:t>2、施工过程中如出现工程量清单没有的新项目，其造价按如下方式确定：</w:t>
      </w:r>
    </w:p>
    <w:p w14:paraId="4522FBFC">
      <w:pPr>
        <w:spacing w:line="460" w:lineRule="exact"/>
        <w:ind w:firstLine="482" w:firstLineChars="200"/>
        <w:textAlignment w:val="center"/>
        <w:rPr>
          <w:rFonts w:hint="eastAsia" w:ascii="宋体" w:hAnsi="宋体" w:eastAsia="宋体" w:cs="仿宋"/>
          <w:b/>
          <w:bCs/>
          <w:color w:val="000000" w:themeColor="text1"/>
          <w:sz w:val="24"/>
          <w:highlight w:val="none"/>
          <w:u w:val="single"/>
          <w14:textFill>
            <w14:solidFill>
              <w14:schemeClr w14:val="tx1"/>
            </w14:solidFill>
          </w14:textFill>
        </w:rPr>
      </w:pPr>
      <w:r>
        <w:rPr>
          <w:rFonts w:hint="eastAsia" w:ascii="宋体" w:hAnsi="宋体" w:eastAsia="宋体" w:cs="仿宋"/>
          <w:b/>
          <w:bCs/>
          <w:color w:val="000000" w:themeColor="text1"/>
          <w:sz w:val="24"/>
          <w:highlight w:val="none"/>
          <w:u w:val="single"/>
          <w14:textFill>
            <w14:solidFill>
              <w14:schemeClr w14:val="tx1"/>
            </w14:solidFill>
          </w14:textFill>
        </w:rPr>
        <w:t>（1）由分包人、承包人</w:t>
      </w:r>
      <w:r>
        <w:rPr>
          <w:rFonts w:hint="eastAsia" w:ascii="宋体" w:hAnsi="宋体" w:eastAsia="宋体" w:cs="仿宋"/>
          <w:b/>
          <w:bCs/>
          <w:color w:val="000000" w:themeColor="text1"/>
          <w:kern w:val="0"/>
          <w:sz w:val="24"/>
          <w:highlight w:val="none"/>
          <w:u w:val="single"/>
          <w14:textFill>
            <w14:solidFill>
              <w14:schemeClr w14:val="tx1"/>
            </w14:solidFill>
          </w14:textFill>
        </w:rPr>
        <w:t>根据</w:t>
      </w:r>
      <w:r>
        <w:rPr>
          <w:rFonts w:hint="eastAsia" w:ascii="宋体" w:hAnsi="宋体" w:eastAsia="宋体" w:cs="仿宋"/>
          <w:b/>
          <w:bCs/>
          <w:color w:val="000000" w:themeColor="text1"/>
          <w:sz w:val="24"/>
          <w:highlight w:val="none"/>
          <w:u w:val="single"/>
          <w14:textFill>
            <w14:solidFill>
              <w14:schemeClr w14:val="tx1"/>
            </w14:solidFill>
          </w14:textFill>
        </w:rPr>
        <w:t>《施工组织设计》、现行市政定额及有关造价及投标文件规定、参照项目建设方审定价格、市场一般价格、</w:t>
      </w:r>
      <w:r>
        <w:rPr>
          <w:rFonts w:hint="eastAsia" w:ascii="宋体" w:hAnsi="宋体" w:eastAsia="宋体" w:cs="仿宋"/>
          <w:b/>
          <w:bCs/>
          <w:color w:val="000000" w:themeColor="text1"/>
          <w:kern w:val="0"/>
          <w:sz w:val="24"/>
          <w:highlight w:val="none"/>
          <w:u w:val="single"/>
          <w14:textFill>
            <w14:solidFill>
              <w14:schemeClr w14:val="tx1"/>
            </w14:solidFill>
          </w14:textFill>
        </w:rPr>
        <w:t>相似工程项目价格等</w:t>
      </w:r>
      <w:r>
        <w:rPr>
          <w:rFonts w:hint="eastAsia" w:ascii="宋体" w:hAnsi="宋体" w:eastAsia="宋体" w:cs="仿宋"/>
          <w:b/>
          <w:bCs/>
          <w:color w:val="000000" w:themeColor="text1"/>
          <w:sz w:val="24"/>
          <w:highlight w:val="none"/>
          <w:u w:val="single"/>
          <w14:textFill>
            <w14:solidFill>
              <w14:schemeClr w14:val="tx1"/>
            </w14:solidFill>
          </w14:textFill>
        </w:rPr>
        <w:t>协商确定该综合单价；</w:t>
      </w:r>
    </w:p>
    <w:p w14:paraId="6A29B9A7">
      <w:pPr>
        <w:spacing w:line="460" w:lineRule="exact"/>
        <w:ind w:firstLine="482" w:firstLineChars="200"/>
        <w:textAlignment w:val="center"/>
        <w:rPr>
          <w:rFonts w:hint="eastAsia" w:ascii="宋体" w:hAnsi="宋体" w:eastAsia="宋体" w:cs="仿宋"/>
          <w:b/>
          <w:bCs/>
          <w:color w:val="000000" w:themeColor="text1"/>
          <w:sz w:val="24"/>
          <w:highlight w:val="none"/>
          <w:u w:val="single"/>
          <w14:textFill>
            <w14:solidFill>
              <w14:schemeClr w14:val="tx1"/>
            </w14:solidFill>
          </w14:textFill>
        </w:rPr>
      </w:pPr>
      <w:r>
        <w:rPr>
          <w:rFonts w:hint="eastAsia" w:ascii="宋体" w:hAnsi="宋体" w:eastAsia="宋体" w:cs="仿宋"/>
          <w:b/>
          <w:bCs/>
          <w:color w:val="000000" w:themeColor="text1"/>
          <w:sz w:val="24"/>
          <w:highlight w:val="none"/>
          <w:u w:val="single"/>
          <w14:textFill>
            <w14:solidFill>
              <w14:schemeClr w14:val="tx1"/>
            </w14:solidFill>
          </w14:textFill>
        </w:rPr>
        <w:t>（2）定额人工工日单价按本项目承包人投标文件价格计算。</w:t>
      </w:r>
    </w:p>
    <w:p w14:paraId="5DC423F7">
      <w:pPr>
        <w:spacing w:line="460" w:lineRule="exact"/>
        <w:ind w:firstLine="482" w:firstLineChars="200"/>
        <w:textAlignment w:val="center"/>
        <w:rPr>
          <w:rFonts w:hint="eastAsia" w:ascii="宋体" w:hAnsi="宋体" w:eastAsia="宋体" w:cs="仿宋"/>
          <w:b/>
          <w:bCs/>
          <w:color w:val="000000" w:themeColor="text1"/>
          <w:sz w:val="24"/>
          <w:highlight w:val="none"/>
          <w:u w:val="single"/>
          <w14:textFill>
            <w14:solidFill>
              <w14:schemeClr w14:val="tx1"/>
            </w14:solidFill>
          </w14:textFill>
        </w:rPr>
      </w:pPr>
      <w:r>
        <w:rPr>
          <w:rFonts w:hint="eastAsia" w:ascii="宋体" w:hAnsi="宋体" w:eastAsia="宋体" w:cs="仿宋"/>
          <w:b/>
          <w:bCs/>
          <w:color w:val="000000" w:themeColor="text1"/>
          <w:sz w:val="24"/>
          <w:highlight w:val="none"/>
          <w:u w:val="single"/>
          <w14:textFill>
            <w14:solidFill>
              <w14:schemeClr w14:val="tx1"/>
            </w14:solidFill>
          </w14:textFill>
        </w:rPr>
        <w:t>（3）投标文件中已有的材料价格，按投标文件已有材料价格计算；投标文件中没有的新材料，由分包人、承包人参照市场一般价格协商确定该材料价格。</w:t>
      </w:r>
      <w:r>
        <w:rPr>
          <w:rFonts w:hint="eastAsia" w:ascii="宋体" w:hAnsi="宋体" w:eastAsia="宋体" w:cs="仿宋"/>
          <w:b/>
          <w:bCs/>
          <w:color w:val="000000" w:themeColor="text1"/>
          <w:kern w:val="0"/>
          <w:sz w:val="24"/>
          <w:highlight w:val="none"/>
          <w:u w:val="single"/>
          <w14:textFill>
            <w14:solidFill>
              <w14:schemeClr w14:val="tx1"/>
            </w14:solidFill>
          </w14:textFill>
        </w:rPr>
        <w:t>材料价格中均包含材料原价、运杂费、采保费及检测试验费等。</w:t>
      </w:r>
      <w:r>
        <w:rPr>
          <w:rFonts w:hint="eastAsia" w:ascii="宋体" w:hAnsi="宋体" w:eastAsia="宋体" w:cs="仿宋"/>
          <w:b/>
          <w:bCs/>
          <w:color w:val="000000" w:themeColor="text1"/>
          <w:sz w:val="24"/>
          <w:highlight w:val="none"/>
          <w:u w:val="single"/>
          <w14:textFill>
            <w14:solidFill>
              <w14:schemeClr w14:val="tx1"/>
            </w14:solidFill>
          </w14:textFill>
        </w:rPr>
        <w:t>承包人有提出更换材料的权力，因承包人提出材料变更导致材料产生差价的，承包人给予找补差价，但差价不参与取费，仅计取税金。</w:t>
      </w:r>
    </w:p>
    <w:p w14:paraId="48A4B4F0">
      <w:pPr>
        <w:wordWrap w:val="0"/>
        <w:spacing w:line="460" w:lineRule="exact"/>
        <w:ind w:firstLine="465"/>
        <w:jc w:val="left"/>
        <w:rPr>
          <w:rFonts w:hint="eastAsia" w:ascii="宋体" w:hAnsi="宋体" w:eastAsia="宋体" w:cs="仿宋"/>
          <w:b/>
          <w:bCs/>
          <w:color w:val="000000" w:themeColor="text1"/>
          <w:sz w:val="24"/>
          <w:highlight w:val="none"/>
          <w:u w:val="single"/>
          <w14:textFill>
            <w14:solidFill>
              <w14:schemeClr w14:val="tx1"/>
            </w14:solidFill>
          </w14:textFill>
        </w:rPr>
      </w:pPr>
      <w:r>
        <w:rPr>
          <w:rFonts w:hint="eastAsia" w:ascii="宋体" w:hAnsi="宋体" w:eastAsia="宋体" w:cs="仿宋"/>
          <w:b/>
          <w:bCs/>
          <w:color w:val="000000" w:themeColor="text1"/>
          <w:sz w:val="24"/>
          <w:highlight w:val="none"/>
          <w:u w:val="single"/>
          <w14:textFill>
            <w14:solidFill>
              <w14:schemeClr w14:val="tx1"/>
            </w14:solidFill>
          </w14:textFill>
        </w:rPr>
        <w:t>（4）本工程按照营改增后的计价依据执行。承包人付款前，分包人需按9%税率向承包人开具增值税专用发票。若出现因分包人根据税务主管部门及相关法律法规规定导致其所开具的增值税专用发票税率与投标报价税率不一致的情况，最终结算时税率按照分包人实际开具的增值税专用发票税率计取。</w:t>
      </w:r>
    </w:p>
    <w:p w14:paraId="71BE3ED7">
      <w:pPr>
        <w:wordWrap w:val="0"/>
        <w:spacing w:line="460" w:lineRule="exact"/>
        <w:ind w:firstLine="465"/>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10.3.2 变更估价程序</w:t>
      </w:r>
    </w:p>
    <w:p w14:paraId="2A7DAE46">
      <w:pPr>
        <w:wordWrap w:val="0"/>
        <w:spacing w:line="460" w:lineRule="exact"/>
        <w:ind w:firstLine="465"/>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关于变更估价程序的约定：</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32938A1F">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90" w:name="_Toc389586457"/>
      <w:r>
        <w:rPr>
          <w:rFonts w:hint="eastAsia" w:ascii="宋体" w:hAnsi="宋体" w:eastAsia="宋体" w:cs="仿宋"/>
          <w:b/>
          <w:color w:val="000000" w:themeColor="text1"/>
          <w:kern w:val="0"/>
          <w:sz w:val="24"/>
          <w:highlight w:val="none"/>
          <w:lang w:val="zh-CN"/>
          <w14:textFill>
            <w14:solidFill>
              <w14:schemeClr w14:val="tx1"/>
            </w14:solidFill>
          </w14:textFill>
        </w:rPr>
        <w:t>10.4 分包人的合理化建议</w:t>
      </w:r>
      <w:bookmarkEnd w:id="690"/>
    </w:p>
    <w:p w14:paraId="6126A72B">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分包人提出的合理化建议降低了合同价格或者提高了工程经济效益的，奖励的方法和金额为：</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22E809A5">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91" w:name="_Toc389586458"/>
      <w:r>
        <w:rPr>
          <w:rFonts w:hint="eastAsia" w:ascii="宋体" w:hAnsi="宋体" w:eastAsia="宋体" w:cs="仿宋"/>
          <w:b/>
          <w:color w:val="000000" w:themeColor="text1"/>
          <w:kern w:val="0"/>
          <w:sz w:val="24"/>
          <w:highlight w:val="none"/>
          <w:lang w:val="zh-CN"/>
          <w14:textFill>
            <w14:solidFill>
              <w14:schemeClr w14:val="tx1"/>
            </w14:solidFill>
          </w14:textFill>
        </w:rPr>
        <w:t>10.5 变更引起的工期调整</w:t>
      </w:r>
      <w:bookmarkEnd w:id="691"/>
    </w:p>
    <w:p w14:paraId="3AC6BD6F">
      <w:pPr>
        <w:wordWrap w:val="0"/>
        <w:spacing w:line="460" w:lineRule="exact"/>
        <w:ind w:firstLine="480" w:firstLineChars="200"/>
        <w:jc w:val="left"/>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因变更引起工期变化的，确定增减工期天数的方法：</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755E1187">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692" w:name="_Toc389586459"/>
      <w:r>
        <w:rPr>
          <w:rFonts w:hint="eastAsia" w:ascii="宋体" w:hAnsi="宋体" w:eastAsia="宋体" w:cs="仿宋"/>
          <w:b/>
          <w:bCs/>
          <w:color w:val="000000" w:themeColor="text1"/>
          <w:kern w:val="0"/>
          <w:sz w:val="24"/>
          <w:highlight w:val="none"/>
          <w:lang w:val="zh-CN"/>
          <w14:textFill>
            <w14:solidFill>
              <w14:schemeClr w14:val="tx1"/>
            </w14:solidFill>
          </w14:textFill>
        </w:rPr>
        <w:t>11. 合同价格</w:t>
      </w:r>
      <w:bookmarkEnd w:id="692"/>
    </w:p>
    <w:p w14:paraId="34D36FD0">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1、单价合同</w:t>
      </w:r>
    </w:p>
    <w:p w14:paraId="2E755D7F">
      <w:pPr>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综合单价包含的风险范围：</w:t>
      </w:r>
      <w:r>
        <w:rPr>
          <w:rFonts w:hint="eastAsia" w:ascii="宋体" w:hAnsi="宋体" w:eastAsia="宋体" w:cs="仿宋"/>
          <w:b/>
          <w:bCs/>
          <w:color w:val="000000" w:themeColor="text1"/>
          <w:sz w:val="24"/>
          <w:highlight w:val="none"/>
          <w:u w:val="single"/>
          <w14:textFill>
            <w14:solidFill>
              <w14:schemeClr w14:val="tx1"/>
            </w14:solidFill>
          </w14:textFill>
        </w:rPr>
        <w:t>材料价格波动、政策性调价等，不可抗力以外的自然天气灾害等不可预见因素</w:t>
      </w:r>
      <w:r>
        <w:rPr>
          <w:rFonts w:hint="eastAsia" w:ascii="宋体" w:hAnsi="宋体" w:eastAsia="宋体" w:cs="仿宋"/>
          <w:color w:val="000000" w:themeColor="text1"/>
          <w:sz w:val="24"/>
          <w:highlight w:val="none"/>
          <w14:textFill>
            <w14:solidFill>
              <w14:schemeClr w14:val="tx1"/>
            </w14:solidFill>
          </w14:textFill>
        </w:rPr>
        <w:t>。</w:t>
      </w:r>
    </w:p>
    <w:p w14:paraId="6790B04B">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风险费用的计算方法：</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34C82150">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风险范围以外合同价格的调整方法：</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7CB2BB66">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2、总价合同</w:t>
      </w:r>
    </w:p>
    <w:p w14:paraId="6FCC20E0">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总价包含的风险范围：</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05163614">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风险费用的计算方法：</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402544C1">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风险范围以外合同价格的调整方法：</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70CB6F62">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3、其他价格形式：</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477D098C">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693" w:name="_Toc389586460"/>
      <w:r>
        <w:rPr>
          <w:rFonts w:hint="eastAsia" w:ascii="宋体" w:hAnsi="宋体" w:eastAsia="宋体" w:cs="仿宋"/>
          <w:b/>
          <w:bCs/>
          <w:color w:val="000000" w:themeColor="text1"/>
          <w:kern w:val="0"/>
          <w:sz w:val="24"/>
          <w:highlight w:val="none"/>
          <w:lang w:val="zh-CN"/>
          <w14:textFill>
            <w14:solidFill>
              <w14:schemeClr w14:val="tx1"/>
            </w14:solidFill>
          </w14:textFill>
        </w:rPr>
        <w:t>12. 价格调整</w:t>
      </w:r>
      <w:bookmarkEnd w:id="693"/>
    </w:p>
    <w:p w14:paraId="22E41EF2">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94" w:name="_Toc389586461"/>
      <w:r>
        <w:rPr>
          <w:rFonts w:hint="eastAsia" w:ascii="宋体" w:hAnsi="宋体" w:eastAsia="宋体" w:cs="仿宋"/>
          <w:b/>
          <w:color w:val="000000" w:themeColor="text1"/>
          <w:kern w:val="0"/>
          <w:sz w:val="24"/>
          <w:highlight w:val="none"/>
          <w:lang w:val="zh-CN"/>
          <w14:textFill>
            <w14:solidFill>
              <w14:schemeClr w14:val="tx1"/>
            </w14:solidFill>
          </w14:textFill>
        </w:rPr>
        <w:t>12.1 市场价格波动引起的调整</w:t>
      </w:r>
      <w:bookmarkEnd w:id="694"/>
    </w:p>
    <w:p w14:paraId="2483F0A6">
      <w:pPr>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市场价格波动</w:t>
      </w:r>
      <w:r>
        <w:rPr>
          <w:rFonts w:hint="eastAsia" w:ascii="宋体" w:hAnsi="宋体" w:eastAsia="宋体" w:cs="仿宋"/>
          <w:color w:val="000000" w:themeColor="text1"/>
          <w:sz w:val="24"/>
          <w:highlight w:val="none"/>
          <w14:textFill>
            <w14:solidFill>
              <w14:schemeClr w14:val="tx1"/>
            </w14:solidFill>
          </w14:textFill>
        </w:rPr>
        <w:t>是否调整分包合同价格的约定：</w:t>
      </w:r>
      <w:r>
        <w:rPr>
          <w:rFonts w:hint="eastAsia" w:ascii="宋体" w:hAnsi="宋体" w:eastAsia="宋体" w:cs="仿宋"/>
          <w:b/>
          <w:bCs/>
          <w:color w:val="000000" w:themeColor="text1"/>
          <w:sz w:val="24"/>
          <w:highlight w:val="none"/>
          <w:u w:val="single"/>
          <w14:textFill>
            <w14:solidFill>
              <w14:schemeClr w14:val="tx1"/>
            </w14:solidFill>
          </w14:textFill>
        </w:rPr>
        <w:t>不调整</w:t>
      </w:r>
      <w:r>
        <w:rPr>
          <w:rFonts w:hint="eastAsia" w:ascii="宋体" w:hAnsi="宋体" w:eastAsia="宋体" w:cs="仿宋"/>
          <w:color w:val="000000" w:themeColor="text1"/>
          <w:sz w:val="24"/>
          <w:highlight w:val="none"/>
          <w14:textFill>
            <w14:solidFill>
              <w14:schemeClr w14:val="tx1"/>
            </w14:solidFill>
          </w14:textFill>
        </w:rPr>
        <w:t>。</w:t>
      </w:r>
    </w:p>
    <w:p w14:paraId="74B3D5C3">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因市场价格波动，调整合同价格的方式：</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321C824B">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695" w:name="_Toc389586462"/>
      <w:r>
        <w:rPr>
          <w:rFonts w:hint="eastAsia" w:ascii="宋体" w:hAnsi="宋体" w:eastAsia="宋体" w:cs="仿宋"/>
          <w:b/>
          <w:bCs/>
          <w:color w:val="000000" w:themeColor="text1"/>
          <w:kern w:val="0"/>
          <w:sz w:val="24"/>
          <w:highlight w:val="none"/>
          <w:lang w:val="zh-CN"/>
          <w14:textFill>
            <w14:solidFill>
              <w14:schemeClr w14:val="tx1"/>
            </w14:solidFill>
          </w14:textFill>
        </w:rPr>
        <w:t>13. 计量</w:t>
      </w:r>
      <w:bookmarkEnd w:id="695"/>
    </w:p>
    <w:p w14:paraId="0ABF32D1">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96" w:name="_Toc389586463"/>
      <w:r>
        <w:rPr>
          <w:rFonts w:hint="eastAsia" w:ascii="宋体" w:hAnsi="宋体" w:eastAsia="宋体" w:cs="仿宋"/>
          <w:b/>
          <w:color w:val="000000" w:themeColor="text1"/>
          <w:kern w:val="0"/>
          <w:sz w:val="24"/>
          <w:highlight w:val="none"/>
          <w:lang w:val="zh-CN"/>
          <w14:textFill>
            <w14:solidFill>
              <w14:schemeClr w14:val="tx1"/>
            </w14:solidFill>
          </w14:textFill>
        </w:rPr>
        <w:t>13.1 计量原则和计量周期</w:t>
      </w:r>
      <w:bookmarkEnd w:id="696"/>
    </w:p>
    <w:p w14:paraId="640D3EE9">
      <w:pPr>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13.1.1 工程量计算规则：</w:t>
      </w:r>
      <w:r>
        <w:rPr>
          <w:rFonts w:hint="eastAsia" w:ascii="宋体" w:hAnsi="宋体" w:eastAsia="宋体" w:cs="仿宋"/>
          <w:b/>
          <w:bCs/>
          <w:color w:val="000000" w:themeColor="text1"/>
          <w:sz w:val="24"/>
          <w:highlight w:val="none"/>
          <w:u w:val="single"/>
          <w14:textFill>
            <w14:solidFill>
              <w14:schemeClr w14:val="tx1"/>
            </w14:solidFill>
          </w14:textFill>
        </w:rPr>
        <w:t>根据现场实际发生的情况，按照清单编制说明规定的计算规则计算</w:t>
      </w:r>
      <w:r>
        <w:rPr>
          <w:rFonts w:hint="eastAsia" w:ascii="宋体" w:hAnsi="宋体" w:eastAsia="宋体" w:cs="仿宋"/>
          <w:color w:val="000000" w:themeColor="text1"/>
          <w:sz w:val="24"/>
          <w:highlight w:val="none"/>
          <w14:textFill>
            <w14:solidFill>
              <w14:schemeClr w14:val="tx1"/>
            </w14:solidFill>
          </w14:textFill>
        </w:rPr>
        <w:t>。</w:t>
      </w:r>
    </w:p>
    <w:p w14:paraId="6B335951">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13.1.2 工程量计量周期：</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2BF66F1D">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97" w:name="_Toc389586464"/>
      <w:r>
        <w:rPr>
          <w:rFonts w:hint="eastAsia" w:ascii="宋体" w:hAnsi="宋体" w:eastAsia="宋体" w:cs="仿宋"/>
          <w:b/>
          <w:color w:val="000000" w:themeColor="text1"/>
          <w:kern w:val="0"/>
          <w:sz w:val="24"/>
          <w:highlight w:val="none"/>
          <w:lang w:val="zh-CN"/>
          <w14:textFill>
            <w14:solidFill>
              <w14:schemeClr w14:val="tx1"/>
            </w14:solidFill>
          </w14:textFill>
        </w:rPr>
        <w:t>13.2 计量程序</w:t>
      </w:r>
      <w:bookmarkEnd w:id="697"/>
    </w:p>
    <w:p w14:paraId="28117A96">
      <w:pPr>
        <w:wordWrap w:val="0"/>
        <w:spacing w:line="460" w:lineRule="exact"/>
        <w:ind w:firstLine="480" w:firstLineChars="200"/>
        <w:jc w:val="left"/>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关于计量程序的约定：</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4198982C">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698" w:name="_Toc389586465"/>
      <w:r>
        <w:rPr>
          <w:rFonts w:hint="eastAsia" w:ascii="宋体" w:hAnsi="宋体" w:eastAsia="宋体" w:cs="仿宋"/>
          <w:b/>
          <w:bCs/>
          <w:color w:val="000000" w:themeColor="text1"/>
          <w:kern w:val="0"/>
          <w:sz w:val="24"/>
          <w:highlight w:val="none"/>
          <w:lang w:val="zh-CN"/>
          <w14:textFill>
            <w14:solidFill>
              <w14:schemeClr w14:val="tx1"/>
            </w14:solidFill>
          </w14:textFill>
        </w:rPr>
        <w:t>14. 工程款支付</w:t>
      </w:r>
      <w:bookmarkEnd w:id="698"/>
    </w:p>
    <w:p w14:paraId="161294FF">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699" w:name="_Toc389586466"/>
      <w:r>
        <w:rPr>
          <w:rFonts w:hint="eastAsia" w:ascii="宋体" w:hAnsi="宋体" w:eastAsia="宋体" w:cs="仿宋"/>
          <w:b/>
          <w:color w:val="000000" w:themeColor="text1"/>
          <w:kern w:val="0"/>
          <w:sz w:val="24"/>
          <w:highlight w:val="none"/>
          <w:lang w:val="zh-CN"/>
          <w14:textFill>
            <w14:solidFill>
              <w14:schemeClr w14:val="tx1"/>
            </w14:solidFill>
          </w14:textFill>
        </w:rPr>
        <w:t>14.1 预付款</w:t>
      </w:r>
      <w:bookmarkEnd w:id="699"/>
    </w:p>
    <w:p w14:paraId="61EAB946">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预付款支付比例或金额：</w:t>
      </w:r>
      <w:r>
        <w:rPr>
          <w:rFonts w:hint="eastAsia" w:ascii="宋体" w:hAnsi="宋体" w:eastAsia="宋体" w:cs="仿宋"/>
          <w:b/>
          <w:bCs/>
          <w:color w:val="000000" w:themeColor="text1"/>
          <w:sz w:val="24"/>
          <w:highlight w:val="none"/>
          <w:u w:val="single"/>
          <w14:textFill>
            <w14:solidFill>
              <w14:schemeClr w14:val="tx1"/>
            </w14:solidFill>
          </w14:textFill>
        </w:rPr>
        <w:t>无预付款</w:t>
      </w:r>
      <w:r>
        <w:rPr>
          <w:rFonts w:hint="eastAsia" w:ascii="宋体" w:hAnsi="宋体" w:eastAsia="宋体" w:cs="仿宋"/>
          <w:color w:val="000000" w:themeColor="text1"/>
          <w:sz w:val="24"/>
          <w:highlight w:val="none"/>
          <w14:textFill>
            <w14:solidFill>
              <w14:schemeClr w14:val="tx1"/>
            </w14:solidFill>
          </w14:textFill>
        </w:rPr>
        <w:t>。</w:t>
      </w:r>
    </w:p>
    <w:p w14:paraId="04D2ACF1">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预付款支付期限：</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21414C5B">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承包人逾期支付预付款的违约责任：</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611AF861">
      <w:pPr>
        <w:wordWrap w:val="0"/>
        <w:spacing w:line="460" w:lineRule="exact"/>
        <w:ind w:firstLine="48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关于预付款扣回的约定：</w:t>
      </w:r>
      <w:r>
        <w:rPr>
          <w:rFonts w:hint="eastAsia" w:ascii="宋体" w:hAnsi="宋体" w:eastAsia="宋体" w:cs="仿宋"/>
          <w:color w:val="000000" w:themeColor="text1"/>
          <w:sz w:val="24"/>
          <w:highlight w:val="none"/>
          <w:u w:val="single"/>
          <w14:textFill>
            <w14:solidFill>
              <w14:schemeClr w14:val="tx1"/>
            </w14:solidFill>
          </w14:textFill>
        </w:rPr>
        <w:t>不扣回</w:t>
      </w:r>
      <w:r>
        <w:rPr>
          <w:rFonts w:hint="eastAsia" w:ascii="宋体" w:hAnsi="宋体" w:eastAsia="宋体" w:cs="仿宋"/>
          <w:color w:val="000000" w:themeColor="text1"/>
          <w:sz w:val="24"/>
          <w:highlight w:val="none"/>
          <w14:textFill>
            <w14:solidFill>
              <w14:schemeClr w14:val="tx1"/>
            </w14:solidFill>
          </w14:textFill>
        </w:rPr>
        <w:t>。</w:t>
      </w:r>
    </w:p>
    <w:p w14:paraId="62B7795A">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700" w:name="_Toc389586467"/>
      <w:r>
        <w:rPr>
          <w:rFonts w:hint="eastAsia" w:ascii="宋体" w:hAnsi="宋体" w:eastAsia="宋体" w:cs="仿宋"/>
          <w:b/>
          <w:color w:val="000000" w:themeColor="text1"/>
          <w:kern w:val="0"/>
          <w:sz w:val="24"/>
          <w:highlight w:val="none"/>
          <w:lang w:val="zh-CN"/>
          <w14:textFill>
            <w14:solidFill>
              <w14:schemeClr w14:val="tx1"/>
            </w14:solidFill>
          </w14:textFill>
        </w:rPr>
        <w:t>14.2安全文明施工费的支付</w:t>
      </w:r>
      <w:bookmarkEnd w:id="700"/>
    </w:p>
    <w:p w14:paraId="33B762EA">
      <w:pPr>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承包人支付安全文明施工费的比例及期限：</w:t>
      </w:r>
      <w:r>
        <w:rPr>
          <w:rFonts w:hint="eastAsia" w:ascii="宋体" w:hAnsi="宋体" w:eastAsia="宋体" w:cs="仿宋"/>
          <w:b/>
          <w:bCs/>
          <w:color w:val="000000" w:themeColor="text1"/>
          <w:sz w:val="24"/>
          <w:highlight w:val="none"/>
          <w:u w:val="single"/>
          <w14:textFill>
            <w14:solidFill>
              <w14:schemeClr w14:val="tx1"/>
            </w14:solidFill>
          </w14:textFill>
        </w:rPr>
        <w:t>已包含在合同价款内，按工程进度款支付比例支付</w:t>
      </w:r>
      <w:r>
        <w:rPr>
          <w:rFonts w:hint="eastAsia" w:ascii="宋体" w:hAnsi="宋体" w:eastAsia="宋体" w:cs="仿宋"/>
          <w:color w:val="000000" w:themeColor="text1"/>
          <w:sz w:val="24"/>
          <w:highlight w:val="none"/>
          <w14:textFill>
            <w14:solidFill>
              <w14:schemeClr w14:val="tx1"/>
            </w14:solidFill>
          </w14:textFill>
        </w:rPr>
        <w:t>。</w:t>
      </w:r>
    </w:p>
    <w:p w14:paraId="1D5A7018">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701" w:name="_Toc389586468"/>
      <w:r>
        <w:rPr>
          <w:rFonts w:hint="eastAsia" w:ascii="宋体" w:hAnsi="宋体" w:eastAsia="宋体" w:cs="仿宋"/>
          <w:b/>
          <w:color w:val="000000" w:themeColor="text1"/>
          <w:kern w:val="0"/>
          <w:sz w:val="24"/>
          <w:highlight w:val="none"/>
          <w:lang w:val="zh-CN"/>
          <w14:textFill>
            <w14:solidFill>
              <w14:schemeClr w14:val="tx1"/>
            </w14:solidFill>
          </w14:textFill>
        </w:rPr>
        <w:t>14.3 工程进度款支付</w:t>
      </w:r>
      <w:bookmarkEnd w:id="701"/>
    </w:p>
    <w:p w14:paraId="318B0E54">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14.3.1 工程进度款付款周期：</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3EB17C8A">
      <w:pPr>
        <w:wordWrap w:val="0"/>
        <w:spacing w:line="460" w:lineRule="exact"/>
        <w:ind w:firstLine="480" w:firstLineChars="200"/>
        <w:jc w:val="left"/>
        <w:rPr>
          <w:rFonts w:hint="eastAsia" w:ascii="宋体" w:hAnsi="宋体" w:eastAsia="宋体" w:cs="仿宋"/>
          <w:color w:val="000000" w:themeColor="text1"/>
          <w:sz w:val="24"/>
          <w:highlight w:val="none"/>
          <w:u w:val="singl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14.3</w:t>
      </w:r>
      <w:r>
        <w:rPr>
          <w:rFonts w:hint="eastAsia" w:ascii="宋体" w:hAnsi="宋体" w:eastAsia="宋体" w:cs="仿宋"/>
          <w:color w:val="000000" w:themeColor="text1"/>
          <w:kern w:val="0"/>
          <w:sz w:val="24"/>
          <w:highlight w:val="none"/>
          <w14:textFill>
            <w14:solidFill>
              <w14:schemeClr w14:val="tx1"/>
            </w14:solidFill>
          </w14:textFill>
        </w:rPr>
        <w:t xml:space="preserve">.2 </w:t>
      </w:r>
      <w:r>
        <w:rPr>
          <w:rFonts w:hint="eastAsia" w:ascii="宋体" w:hAnsi="宋体" w:eastAsia="宋体" w:cs="仿宋"/>
          <w:color w:val="000000" w:themeColor="text1"/>
          <w:sz w:val="24"/>
          <w:highlight w:val="none"/>
          <w14:textFill>
            <w14:solidFill>
              <w14:schemeClr w14:val="tx1"/>
            </w14:solidFill>
          </w14:textFill>
        </w:rPr>
        <w:t>进度付款申请单应包括的内容：</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3A0393AC">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14.3.3 进度款审核和支付</w:t>
      </w:r>
    </w:p>
    <w:p w14:paraId="364509A6">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（1）承包人对完成审核并签发进度款支付证书的期限：</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118FE8D1">
      <w:pPr>
        <w:spacing w:line="460" w:lineRule="exact"/>
        <w:ind w:firstLine="480" w:firstLineChars="200"/>
        <w:rPr>
          <w:rFonts w:hint="eastAsia" w:ascii="宋体" w:hAnsi="宋体" w:eastAsia="宋体" w:cs="仿宋"/>
          <w:b/>
          <w:bCs/>
          <w:color w:val="000000" w:themeColor="text1"/>
          <w:sz w:val="24"/>
          <w:highlight w:val="none"/>
          <w:u w:val="single"/>
          <w14:textFill>
            <w14:solidFill>
              <w14:schemeClr w14:val="tx1"/>
            </w14:solidFill>
          </w14:textFill>
        </w:rPr>
      </w:pPr>
      <w:bookmarkStart w:id="702" w:name="_Toc389586469"/>
      <w:r>
        <w:rPr>
          <w:rFonts w:hint="eastAsia" w:ascii="宋体" w:hAnsi="宋体" w:eastAsia="宋体" w:cs="仿宋"/>
          <w:color w:val="000000" w:themeColor="text1"/>
          <w:sz w:val="24"/>
          <w:highlight w:val="none"/>
          <w14:textFill>
            <w14:solidFill>
              <w14:schemeClr w14:val="tx1"/>
            </w14:solidFill>
          </w14:textFill>
        </w:rPr>
        <w:t>（2）承包人完成支付的期限：</w:t>
      </w:r>
      <w:r>
        <w:rPr>
          <w:rFonts w:hint="eastAsia" w:ascii="宋体" w:hAnsi="宋体" w:eastAsia="宋体" w:cs="仿宋"/>
          <w:b/>
          <w:bCs/>
          <w:color w:val="000000" w:themeColor="text1"/>
          <w:sz w:val="24"/>
          <w:highlight w:val="none"/>
          <w:u w:val="single"/>
          <w14:textFill>
            <w14:solidFill>
              <w14:schemeClr w14:val="tx1"/>
            </w14:solidFill>
          </w14:textFill>
        </w:rPr>
        <w:t>工程进度款按承包人确认的进度结算60%的比例拨付，全部工程完工后60个工作日内付至承包人确认的全部进度结算的80%，竣工结算审定后90个工作日内，付至竣工结算审定值的97%，余款留作质量保修金，缺陷责任期满后无质量问题的前提下于30日内付清(无息)。</w:t>
      </w:r>
    </w:p>
    <w:p w14:paraId="58E366A7">
      <w:pPr>
        <w:spacing w:line="460" w:lineRule="exact"/>
        <w:ind w:firstLine="482" w:firstLineChars="200"/>
        <w:rPr>
          <w:rFonts w:hint="eastAsia" w:ascii="宋体" w:hAnsi="宋体" w:eastAsia="宋体" w:cs="仿宋"/>
          <w:b/>
          <w:bCs/>
          <w:color w:val="000000" w:themeColor="text1"/>
          <w:sz w:val="24"/>
          <w:highlight w:val="none"/>
          <w:u w:val="single"/>
          <w14:textFill>
            <w14:solidFill>
              <w14:schemeClr w14:val="tx1"/>
            </w14:solidFill>
          </w14:textFill>
        </w:rPr>
      </w:pPr>
      <w:r>
        <w:rPr>
          <w:rFonts w:hint="eastAsia" w:ascii="宋体" w:hAnsi="宋体" w:eastAsia="宋体" w:cs="仿宋"/>
          <w:b/>
          <w:bCs/>
          <w:color w:val="000000" w:themeColor="text1"/>
          <w:sz w:val="24"/>
          <w:highlight w:val="none"/>
          <w:u w:val="single"/>
          <w14:textFill>
            <w14:solidFill>
              <w14:schemeClr w14:val="tx1"/>
            </w14:solidFill>
          </w14:textFill>
        </w:rPr>
        <w:t>承包人付款前，分包人应向承包人提供有效、等额的增值税专用发票（税率为9%），承包人收到发票并验证合格后付款，否则承包人有权拒绝付款，造成的付款延迟责任由分包人承担。</w:t>
      </w:r>
    </w:p>
    <w:p w14:paraId="26E5EE82">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r>
        <w:rPr>
          <w:rFonts w:hint="eastAsia" w:ascii="宋体" w:hAnsi="宋体" w:eastAsia="宋体" w:cs="仿宋"/>
          <w:b/>
          <w:bCs/>
          <w:color w:val="000000" w:themeColor="text1"/>
          <w:kern w:val="0"/>
          <w:sz w:val="24"/>
          <w:highlight w:val="none"/>
          <w:lang w:val="zh-CN"/>
          <w14:textFill>
            <w14:solidFill>
              <w14:schemeClr w14:val="tx1"/>
            </w14:solidFill>
          </w14:textFill>
        </w:rPr>
        <w:t>16. 试车</w:t>
      </w:r>
      <w:bookmarkEnd w:id="702"/>
    </w:p>
    <w:p w14:paraId="5DFBC2E6">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703" w:name="_Toc389586470"/>
      <w:r>
        <w:rPr>
          <w:rFonts w:hint="eastAsia" w:ascii="宋体" w:hAnsi="宋体" w:eastAsia="宋体" w:cs="仿宋"/>
          <w:b/>
          <w:color w:val="000000" w:themeColor="text1"/>
          <w:kern w:val="0"/>
          <w:sz w:val="24"/>
          <w:highlight w:val="none"/>
          <w:lang w:val="zh-CN"/>
          <w14:textFill>
            <w14:solidFill>
              <w14:schemeClr w14:val="tx1"/>
            </w14:solidFill>
          </w14:textFill>
        </w:rPr>
        <w:t>16.1试车的组织和配合</w:t>
      </w:r>
      <w:bookmarkEnd w:id="703"/>
    </w:p>
    <w:p w14:paraId="1E70CAF2">
      <w:pPr>
        <w:wordWrap w:val="0"/>
        <w:spacing w:line="460" w:lineRule="exact"/>
        <w:ind w:firstLine="480" w:firstLineChars="200"/>
        <w:jc w:val="left"/>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关于试车内容的约定：</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68267423">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704" w:name="_Toc389586471"/>
      <w:r>
        <w:rPr>
          <w:rFonts w:hint="eastAsia" w:ascii="宋体" w:hAnsi="宋体" w:eastAsia="宋体" w:cs="仿宋"/>
          <w:b/>
          <w:color w:val="000000" w:themeColor="text1"/>
          <w:kern w:val="0"/>
          <w:sz w:val="24"/>
          <w:highlight w:val="none"/>
          <w:lang w:val="zh-CN"/>
          <w14:textFill>
            <w14:solidFill>
              <w14:schemeClr w14:val="tx1"/>
            </w14:solidFill>
          </w14:textFill>
        </w:rPr>
        <w:t>16.2 试车的费用承担</w:t>
      </w:r>
      <w:bookmarkEnd w:id="704"/>
    </w:p>
    <w:p w14:paraId="264254D5">
      <w:pPr>
        <w:spacing w:line="460" w:lineRule="exact"/>
        <w:ind w:firstLine="480" w:firstLineChars="200"/>
        <w:jc w:val="left"/>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关于试车费用明细及试车费用承担的约定：</w:t>
      </w:r>
    </w:p>
    <w:p w14:paraId="59BD3B5B">
      <w:pPr>
        <w:spacing w:line="460" w:lineRule="exact"/>
        <w:ind w:firstLine="480" w:firstLineChars="200"/>
        <w:jc w:val="left"/>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（1）单机无负荷试车费用由</w:t>
      </w:r>
      <w:r>
        <w:rPr>
          <w:rFonts w:hint="eastAsia" w:ascii="宋体" w:hAnsi="宋体" w:eastAsia="宋体" w:cs="仿宋"/>
          <w:b/>
          <w:bCs/>
          <w:color w:val="000000" w:themeColor="text1"/>
          <w:sz w:val="24"/>
          <w:highlight w:val="none"/>
          <w:u w:val="single"/>
          <w14:textFill>
            <w14:solidFill>
              <w14:schemeClr w14:val="tx1"/>
            </w14:solidFill>
          </w14:textFill>
        </w:rPr>
        <w:t>分包人</w:t>
      </w:r>
      <w:r>
        <w:rPr>
          <w:rFonts w:hint="eastAsia" w:ascii="宋体" w:hAnsi="宋体" w:eastAsia="宋体" w:cs="仿宋"/>
          <w:color w:val="000000" w:themeColor="text1"/>
          <w:kern w:val="0"/>
          <w:sz w:val="24"/>
          <w:highlight w:val="none"/>
          <w14:textFill>
            <w14:solidFill>
              <w14:schemeClr w14:val="tx1"/>
            </w14:solidFill>
          </w14:textFill>
        </w:rPr>
        <w:t>承担；</w:t>
      </w:r>
    </w:p>
    <w:p w14:paraId="4B9AF2F1">
      <w:pPr>
        <w:spacing w:line="460" w:lineRule="exact"/>
        <w:ind w:firstLine="480" w:firstLineChars="200"/>
        <w:jc w:val="left"/>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（2）无负荷联动试车费用由</w:t>
      </w:r>
      <w:r>
        <w:rPr>
          <w:rFonts w:hint="eastAsia" w:ascii="宋体" w:hAnsi="宋体" w:eastAsia="宋体" w:cs="仿宋"/>
          <w:b/>
          <w:bCs/>
          <w:color w:val="000000" w:themeColor="text1"/>
          <w:sz w:val="24"/>
          <w:highlight w:val="none"/>
          <w:u w:val="single"/>
          <w14:textFill>
            <w14:solidFill>
              <w14:schemeClr w14:val="tx1"/>
            </w14:solidFill>
          </w14:textFill>
        </w:rPr>
        <w:t>承包人</w:t>
      </w:r>
      <w:r>
        <w:rPr>
          <w:rFonts w:hint="eastAsia" w:ascii="宋体" w:hAnsi="宋体" w:eastAsia="宋体" w:cs="仿宋"/>
          <w:color w:val="000000" w:themeColor="text1"/>
          <w:kern w:val="0"/>
          <w:sz w:val="24"/>
          <w:highlight w:val="none"/>
          <w14:textFill>
            <w14:solidFill>
              <w14:schemeClr w14:val="tx1"/>
            </w14:solidFill>
          </w14:textFill>
        </w:rPr>
        <w:t>承担。</w:t>
      </w:r>
    </w:p>
    <w:p w14:paraId="1266DC13">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705" w:name="_Toc389586472"/>
      <w:r>
        <w:rPr>
          <w:rFonts w:hint="eastAsia" w:ascii="宋体" w:hAnsi="宋体" w:eastAsia="宋体" w:cs="仿宋"/>
          <w:b/>
          <w:bCs/>
          <w:color w:val="000000" w:themeColor="text1"/>
          <w:kern w:val="0"/>
          <w:sz w:val="24"/>
          <w:highlight w:val="none"/>
          <w:lang w:val="zh-CN"/>
          <w14:textFill>
            <w14:solidFill>
              <w14:schemeClr w14:val="tx1"/>
            </w14:solidFill>
          </w14:textFill>
        </w:rPr>
        <w:t>17. 完工验收</w:t>
      </w:r>
      <w:bookmarkEnd w:id="705"/>
    </w:p>
    <w:p w14:paraId="0F15742F">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706" w:name="_Toc389586473"/>
      <w:r>
        <w:rPr>
          <w:rFonts w:hint="eastAsia" w:ascii="宋体" w:hAnsi="宋体" w:eastAsia="宋体" w:cs="仿宋"/>
          <w:b/>
          <w:color w:val="000000" w:themeColor="text1"/>
          <w:kern w:val="0"/>
          <w:sz w:val="24"/>
          <w:highlight w:val="none"/>
          <w:lang w:val="zh-CN"/>
          <w14:textFill>
            <w14:solidFill>
              <w14:schemeClr w14:val="tx1"/>
            </w14:solidFill>
          </w14:textFill>
        </w:rPr>
        <w:t>17.1 完工验收条件</w:t>
      </w:r>
      <w:bookmarkEnd w:id="706"/>
    </w:p>
    <w:p w14:paraId="4516FA27">
      <w:pPr>
        <w:spacing w:line="460" w:lineRule="exact"/>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（4）申请完工验收应具备的其他条件：</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1D878429">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707" w:name="_Toc389586474"/>
      <w:r>
        <w:rPr>
          <w:rFonts w:hint="eastAsia" w:ascii="宋体" w:hAnsi="宋体" w:eastAsia="宋体" w:cs="仿宋"/>
          <w:b/>
          <w:color w:val="000000" w:themeColor="text1"/>
          <w:kern w:val="0"/>
          <w:sz w:val="24"/>
          <w:highlight w:val="none"/>
          <w:lang w:val="zh-CN"/>
          <w14:textFill>
            <w14:solidFill>
              <w14:schemeClr w14:val="tx1"/>
            </w14:solidFill>
          </w14:textFill>
        </w:rPr>
        <w:t>17.2完工验收程序</w:t>
      </w:r>
      <w:bookmarkEnd w:id="707"/>
    </w:p>
    <w:p w14:paraId="72E5D223">
      <w:pPr>
        <w:spacing w:line="460" w:lineRule="exact"/>
        <w:ind w:firstLine="480" w:firstLineChars="200"/>
        <w:jc w:val="left"/>
        <w:rPr>
          <w:rFonts w:hint="eastAsia" w:ascii="宋体" w:hAnsi="宋体" w:eastAsia="宋体" w:cs="仿宋"/>
          <w:b/>
          <w:bCs/>
          <w:color w:val="000000" w:themeColor="text1"/>
          <w:sz w:val="24"/>
          <w:highlight w:val="none"/>
          <w:u w:val="singl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分包人申请完工验收的程序：</w:t>
      </w:r>
      <w:r>
        <w:rPr>
          <w:rFonts w:hint="eastAsia" w:ascii="宋体" w:hAnsi="宋体" w:eastAsia="宋体" w:cs="仿宋"/>
          <w:b/>
          <w:bCs/>
          <w:color w:val="000000" w:themeColor="text1"/>
          <w:sz w:val="24"/>
          <w:highlight w:val="none"/>
          <w:u w:val="single"/>
          <w14:textFill>
            <w14:solidFill>
              <w14:schemeClr w14:val="tx1"/>
            </w14:solidFill>
          </w14:textFill>
        </w:rPr>
        <w:t>分包人按规范、设计文件等完成合同内的所有工作；全部工程（含资料）自检验收完毕后，向监理公司及承包人提交竣工验收申请报告；监理公司初验合格后，按程序组织竣工验收</w:t>
      </w:r>
      <w:r>
        <w:rPr>
          <w:rFonts w:hint="eastAsia" w:ascii="宋体" w:hAnsi="宋体" w:eastAsia="宋体" w:cs="仿宋"/>
          <w:b/>
          <w:bCs/>
          <w:color w:val="000000" w:themeColor="text1"/>
          <w:sz w:val="24"/>
          <w:highlight w:val="none"/>
          <w14:textFill>
            <w14:solidFill>
              <w14:schemeClr w14:val="tx1"/>
            </w14:solidFill>
          </w14:textFill>
        </w:rPr>
        <w:t>。</w:t>
      </w:r>
    </w:p>
    <w:p w14:paraId="75BB8039">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708" w:name="_Toc389586475"/>
      <w:r>
        <w:rPr>
          <w:rFonts w:hint="eastAsia" w:ascii="宋体" w:hAnsi="宋体" w:eastAsia="宋体" w:cs="仿宋"/>
          <w:b/>
          <w:color w:val="000000" w:themeColor="text1"/>
          <w:kern w:val="0"/>
          <w:sz w:val="24"/>
          <w:highlight w:val="none"/>
          <w:lang w:val="zh-CN"/>
          <w14:textFill>
            <w14:solidFill>
              <w14:schemeClr w14:val="tx1"/>
            </w14:solidFill>
          </w14:textFill>
        </w:rPr>
        <w:t>17.3 完工日期</w:t>
      </w:r>
      <w:bookmarkEnd w:id="708"/>
    </w:p>
    <w:p w14:paraId="3533001F">
      <w:pPr>
        <w:wordWrap w:val="0"/>
        <w:spacing w:line="460" w:lineRule="exact"/>
        <w:ind w:firstLine="480" w:firstLineChars="200"/>
        <w:jc w:val="left"/>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分包工程自完工验收合格至移交承包人的期间未能保持质量合格状态的，分包人应承担的违约责任：</w:t>
      </w:r>
      <w:r>
        <w:rPr>
          <w:rFonts w:hint="eastAsia" w:ascii="宋体" w:hAnsi="宋体" w:eastAsia="宋体" w:cs="仿宋"/>
          <w:color w:val="000000" w:themeColor="text1"/>
          <w:kern w:val="0"/>
          <w:sz w:val="24"/>
          <w:highlight w:val="none"/>
          <w:u w:val="single"/>
          <w14:textFill>
            <w14:solidFill>
              <w14:schemeClr w14:val="tx1"/>
            </w14:solidFill>
          </w14:textFill>
        </w:rPr>
        <w:t xml:space="preserve">  由分包人采取相应的补救措施并赔偿承包人的经济损失   </w:t>
      </w:r>
      <w:r>
        <w:rPr>
          <w:rFonts w:hint="eastAsia" w:ascii="宋体" w:hAnsi="宋体" w:eastAsia="宋体" w:cs="仿宋"/>
          <w:color w:val="000000" w:themeColor="text1"/>
          <w:kern w:val="0"/>
          <w:sz w:val="24"/>
          <w:highlight w:val="none"/>
          <w14:textFill>
            <w14:solidFill>
              <w14:schemeClr w14:val="tx1"/>
            </w14:solidFill>
          </w14:textFill>
        </w:rPr>
        <w:t>。</w:t>
      </w:r>
    </w:p>
    <w:p w14:paraId="00987105">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709" w:name="_Toc389586476"/>
      <w:r>
        <w:rPr>
          <w:rFonts w:hint="eastAsia" w:ascii="宋体" w:hAnsi="宋体" w:eastAsia="宋体" w:cs="仿宋"/>
          <w:b/>
          <w:color w:val="000000" w:themeColor="text1"/>
          <w:kern w:val="0"/>
          <w:sz w:val="24"/>
          <w:highlight w:val="none"/>
          <w:lang w:val="zh-CN"/>
          <w14:textFill>
            <w14:solidFill>
              <w14:schemeClr w14:val="tx1"/>
            </w14:solidFill>
          </w14:textFill>
        </w:rPr>
        <w:t>17.4 完工退场</w:t>
      </w:r>
      <w:bookmarkEnd w:id="709"/>
    </w:p>
    <w:p w14:paraId="7334726D">
      <w:pPr>
        <w:wordWrap w:val="0"/>
        <w:spacing w:line="460" w:lineRule="exact"/>
        <w:ind w:firstLine="480" w:firstLineChars="200"/>
        <w:jc w:val="left"/>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分包人对施工场地进行清理并退场的期限：</w:t>
      </w:r>
      <w:r>
        <w:rPr>
          <w:rFonts w:hint="eastAsia" w:ascii="宋体" w:hAnsi="宋体" w:eastAsia="宋体" w:cs="仿宋"/>
          <w:b/>
          <w:bCs/>
          <w:color w:val="000000" w:themeColor="text1"/>
          <w:sz w:val="24"/>
          <w:highlight w:val="none"/>
          <w:u w:val="single"/>
          <w14:textFill>
            <w14:solidFill>
              <w14:schemeClr w14:val="tx1"/>
            </w14:solidFill>
          </w14:textFill>
        </w:rPr>
        <w:t>竣工验收合格后30日内</w:t>
      </w:r>
      <w:r>
        <w:rPr>
          <w:rFonts w:hint="eastAsia" w:ascii="宋体" w:hAnsi="宋体" w:eastAsia="宋体" w:cs="仿宋"/>
          <w:color w:val="000000" w:themeColor="text1"/>
          <w:kern w:val="0"/>
          <w:sz w:val="24"/>
          <w:highlight w:val="none"/>
          <w14:textFill>
            <w14:solidFill>
              <w14:schemeClr w14:val="tx1"/>
            </w14:solidFill>
          </w14:textFill>
        </w:rPr>
        <w:t>。</w:t>
      </w:r>
    </w:p>
    <w:p w14:paraId="3E16C6D8">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710" w:name="_Toc389586477"/>
      <w:r>
        <w:rPr>
          <w:rFonts w:hint="eastAsia" w:ascii="宋体" w:hAnsi="宋体" w:eastAsia="宋体" w:cs="仿宋"/>
          <w:b/>
          <w:bCs/>
          <w:color w:val="000000" w:themeColor="text1"/>
          <w:kern w:val="0"/>
          <w:sz w:val="24"/>
          <w:highlight w:val="none"/>
          <w:lang w:val="zh-CN"/>
          <w14:textFill>
            <w14:solidFill>
              <w14:schemeClr w14:val="tx1"/>
            </w14:solidFill>
          </w14:textFill>
        </w:rPr>
        <w:t>18. 分包工程移交</w:t>
      </w:r>
      <w:bookmarkEnd w:id="710"/>
    </w:p>
    <w:p w14:paraId="0AD72C9B">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711" w:name="_Toc389586478"/>
      <w:r>
        <w:rPr>
          <w:rFonts w:hint="eastAsia" w:ascii="宋体" w:hAnsi="宋体" w:eastAsia="宋体" w:cs="仿宋"/>
          <w:b/>
          <w:color w:val="000000" w:themeColor="text1"/>
          <w:kern w:val="0"/>
          <w:sz w:val="24"/>
          <w:highlight w:val="none"/>
          <w:lang w:val="zh-CN"/>
          <w14:textFill>
            <w14:solidFill>
              <w14:schemeClr w14:val="tx1"/>
            </w14:solidFill>
          </w14:textFill>
        </w:rPr>
        <w:t>18.1 分包工程移交时间</w:t>
      </w:r>
      <w:bookmarkEnd w:id="711"/>
    </w:p>
    <w:p w14:paraId="7BD6EB81">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承包人</w:t>
      </w:r>
      <w:r>
        <w:rPr>
          <w:rFonts w:hint="eastAsia" w:ascii="宋体" w:hAnsi="宋体" w:eastAsia="宋体" w:cs="仿宋"/>
          <w:color w:val="000000" w:themeColor="text1"/>
          <w:kern w:val="0"/>
          <w:sz w:val="24"/>
          <w:highlight w:val="none"/>
          <w14:textFill>
            <w14:solidFill>
              <w14:schemeClr w14:val="tx1"/>
            </w14:solidFill>
          </w14:textFill>
        </w:rPr>
        <w:t>向分包人颁发分包工程接收证书的期限：</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7F15B2B7">
      <w:pPr>
        <w:wordWrap w:val="0"/>
        <w:spacing w:line="460" w:lineRule="exact"/>
        <w:ind w:firstLine="480" w:firstLineChars="200"/>
        <w:jc w:val="left"/>
        <w:rPr>
          <w:rFonts w:hint="eastAsia" w:ascii="宋体" w:hAnsi="宋体" w:eastAsia="宋体" w:cs="仿宋"/>
          <w:color w:val="000000" w:themeColor="text1"/>
          <w:kern w:val="0"/>
          <w:sz w:val="24"/>
          <w:highlight w:val="none"/>
          <w:u w:val="singl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合同当事人完成分包工程以及全部工程资料移交的期限：</w:t>
      </w:r>
      <w:r>
        <w:rPr>
          <w:rFonts w:hint="eastAsia" w:ascii="宋体" w:hAnsi="宋体" w:eastAsia="宋体" w:cs="仿宋"/>
          <w:b/>
          <w:color w:val="000000" w:themeColor="text1"/>
          <w:kern w:val="0"/>
          <w:sz w:val="24"/>
          <w:highlight w:val="none"/>
          <w:u w:val="single"/>
          <w14:textFill>
            <w14:solidFill>
              <w14:schemeClr w14:val="tx1"/>
            </w14:solidFill>
          </w14:textFill>
        </w:rPr>
        <w:t>分包工程竣工验收合格后30日内</w:t>
      </w:r>
      <w:r>
        <w:rPr>
          <w:rFonts w:hint="eastAsia" w:ascii="宋体" w:hAnsi="宋体" w:eastAsia="宋体" w:cs="仿宋"/>
          <w:color w:val="000000" w:themeColor="text1"/>
          <w:kern w:val="0"/>
          <w:sz w:val="24"/>
          <w:highlight w:val="none"/>
          <w14:textFill>
            <w14:solidFill>
              <w14:schemeClr w14:val="tx1"/>
            </w14:solidFill>
          </w14:textFill>
        </w:rPr>
        <w:t>。</w:t>
      </w:r>
    </w:p>
    <w:p w14:paraId="7E76043F">
      <w:pPr>
        <w:wordWrap w:val="0"/>
        <w:spacing w:line="460" w:lineRule="exact"/>
        <w:ind w:firstLine="480" w:firstLineChars="200"/>
        <w:jc w:val="left"/>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工程资料的套数、内容：</w:t>
      </w:r>
      <w:r>
        <w:rPr>
          <w:rFonts w:hint="eastAsia" w:ascii="宋体" w:hAnsi="宋体" w:eastAsia="宋体" w:cs="仿宋"/>
          <w:b/>
          <w:bCs/>
          <w:color w:val="000000" w:themeColor="text1"/>
          <w:sz w:val="24"/>
          <w:highlight w:val="none"/>
          <w:u w:val="single"/>
          <w14:textFill>
            <w14:solidFill>
              <w14:schemeClr w14:val="tx1"/>
            </w14:solidFill>
          </w14:textFill>
        </w:rPr>
        <w:t>竣工图及完整的档案资料两套</w:t>
      </w:r>
      <w:r>
        <w:rPr>
          <w:rFonts w:hint="eastAsia" w:ascii="宋体" w:hAnsi="宋体" w:eastAsia="宋体" w:cs="仿宋"/>
          <w:color w:val="000000" w:themeColor="text1"/>
          <w:sz w:val="24"/>
          <w:highlight w:val="none"/>
          <w14:textFill>
            <w14:solidFill>
              <w14:schemeClr w14:val="tx1"/>
            </w14:solidFill>
          </w14:textFill>
        </w:rPr>
        <w:t>。</w:t>
      </w:r>
    </w:p>
    <w:p w14:paraId="108DE923">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712" w:name="_Toc389586479"/>
      <w:r>
        <w:rPr>
          <w:rFonts w:hint="eastAsia" w:ascii="宋体" w:hAnsi="宋体" w:eastAsia="宋体" w:cs="仿宋"/>
          <w:b/>
          <w:bCs/>
          <w:color w:val="000000" w:themeColor="text1"/>
          <w:kern w:val="0"/>
          <w:sz w:val="24"/>
          <w:highlight w:val="none"/>
          <w:lang w:val="zh-CN"/>
          <w14:textFill>
            <w14:solidFill>
              <w14:schemeClr w14:val="tx1"/>
            </w14:solidFill>
          </w14:textFill>
        </w:rPr>
        <w:t>19. 结算</w:t>
      </w:r>
      <w:bookmarkEnd w:id="712"/>
    </w:p>
    <w:p w14:paraId="2F35AE1F">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713" w:name="_Toc389586480"/>
      <w:r>
        <w:rPr>
          <w:rFonts w:hint="eastAsia" w:ascii="宋体" w:hAnsi="宋体" w:eastAsia="宋体" w:cs="仿宋"/>
          <w:b/>
          <w:color w:val="000000" w:themeColor="text1"/>
          <w:kern w:val="0"/>
          <w:sz w:val="24"/>
          <w:highlight w:val="none"/>
          <w:lang w:val="zh-CN"/>
          <w14:textFill>
            <w14:solidFill>
              <w14:schemeClr w14:val="tx1"/>
            </w14:solidFill>
          </w14:textFill>
        </w:rPr>
        <w:t>19.1 结算申请</w:t>
      </w:r>
      <w:bookmarkEnd w:id="713"/>
    </w:p>
    <w:p w14:paraId="39659CE6">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分包人提交分包工程结算申请单的期限：</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0A4101E5">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分包工程结算申请单需要的资料清单和份数：</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7AF2559A">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分包工程结算申请单应包括的内容：</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3DCAE39D">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714" w:name="_Toc389586481"/>
      <w:r>
        <w:rPr>
          <w:rFonts w:hint="eastAsia" w:ascii="宋体" w:hAnsi="宋体" w:eastAsia="宋体" w:cs="仿宋"/>
          <w:b/>
          <w:color w:val="000000" w:themeColor="text1"/>
          <w:kern w:val="0"/>
          <w:sz w:val="24"/>
          <w:highlight w:val="none"/>
          <w:lang w:val="zh-CN"/>
          <w14:textFill>
            <w14:solidFill>
              <w14:schemeClr w14:val="tx1"/>
            </w14:solidFill>
          </w14:textFill>
        </w:rPr>
        <w:t>19.2 结算审核</w:t>
      </w:r>
      <w:bookmarkEnd w:id="714"/>
    </w:p>
    <w:p w14:paraId="2B8AE2D1">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19.2.1 承包人完成结算申请单审核并签发完工付款证书的期限：</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0A2C2B2B">
      <w:pPr>
        <w:spacing w:line="460" w:lineRule="exact"/>
        <w:ind w:firstLine="480" w:firstLineChars="200"/>
        <w:rPr>
          <w:rFonts w:hint="eastAsia" w:ascii="宋体" w:hAnsi="宋体" w:eastAsia="宋体" w:cs="仿宋"/>
          <w:b/>
          <w:bCs/>
          <w:color w:val="000000" w:themeColor="text1"/>
          <w:kern w:val="0"/>
          <w:sz w:val="24"/>
          <w:highlight w:val="none"/>
          <w:u w:val="singl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19.2.2 承包人完成完工付款的期限：</w:t>
      </w:r>
      <w:r>
        <w:rPr>
          <w:rFonts w:hint="eastAsia" w:ascii="宋体" w:hAnsi="宋体" w:eastAsia="宋体" w:cs="仿宋"/>
          <w:b/>
          <w:bCs/>
          <w:color w:val="000000" w:themeColor="text1"/>
          <w:sz w:val="24"/>
          <w:highlight w:val="none"/>
          <w:u w:val="single"/>
          <w14:textFill>
            <w14:solidFill>
              <w14:schemeClr w14:val="tx1"/>
            </w14:solidFill>
          </w14:textFill>
        </w:rPr>
        <w:t>竣工结算审定后90个工作日内，付至竣工结算审定值的97%，余款留作质量保修金，缺陷责任期满后无质量问题的前提下于30日内付清(无息)。</w:t>
      </w:r>
    </w:p>
    <w:p w14:paraId="5B80CFC9">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715" w:name="_Toc389586482"/>
      <w:r>
        <w:rPr>
          <w:rFonts w:hint="eastAsia" w:ascii="宋体" w:hAnsi="宋体" w:eastAsia="宋体" w:cs="仿宋"/>
          <w:b/>
          <w:color w:val="000000" w:themeColor="text1"/>
          <w:kern w:val="0"/>
          <w:sz w:val="24"/>
          <w:highlight w:val="none"/>
          <w:lang w:val="zh-CN"/>
          <w14:textFill>
            <w14:solidFill>
              <w14:schemeClr w14:val="tx1"/>
            </w14:solidFill>
          </w14:textFill>
        </w:rPr>
        <w:t>19.3 最终结清</w:t>
      </w:r>
      <w:bookmarkEnd w:id="715"/>
    </w:p>
    <w:p w14:paraId="77B03093">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19.3.1 分包人提交最终结清申请单的期限：</w:t>
      </w:r>
      <w:r>
        <w:rPr>
          <w:rFonts w:hint="eastAsia" w:ascii="宋体" w:hAnsi="宋体" w:eastAsia="宋体" w:cs="仿宋"/>
          <w:b/>
          <w:bCs/>
          <w:color w:val="000000" w:themeColor="text1"/>
          <w:sz w:val="24"/>
          <w:highlight w:val="none"/>
          <w:u w:val="single"/>
          <w14:textFill>
            <w14:solidFill>
              <w14:schemeClr w14:val="tx1"/>
            </w14:solidFill>
          </w14:textFill>
        </w:rPr>
        <w:t>执行通用条款</w:t>
      </w:r>
      <w:r>
        <w:rPr>
          <w:rFonts w:hint="eastAsia" w:ascii="宋体" w:hAnsi="宋体" w:eastAsia="宋体" w:cs="仿宋"/>
          <w:color w:val="000000" w:themeColor="text1"/>
          <w:sz w:val="24"/>
          <w:highlight w:val="none"/>
          <w14:textFill>
            <w14:solidFill>
              <w14:schemeClr w14:val="tx1"/>
            </w14:solidFill>
          </w14:textFill>
        </w:rPr>
        <w:t>。</w:t>
      </w:r>
    </w:p>
    <w:p w14:paraId="3D448072">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分包人提交最终结清申请单的份数：</w:t>
      </w:r>
      <w:r>
        <w:rPr>
          <w:rFonts w:hint="eastAsia" w:ascii="宋体" w:hAnsi="宋体" w:eastAsia="宋体" w:cs="仿宋"/>
          <w:b/>
          <w:bCs/>
          <w:color w:val="000000" w:themeColor="text1"/>
          <w:sz w:val="24"/>
          <w:highlight w:val="none"/>
          <w:u w:val="single"/>
          <w14:textFill>
            <w14:solidFill>
              <w14:schemeClr w14:val="tx1"/>
            </w14:solidFill>
          </w14:textFill>
        </w:rPr>
        <w:t>2份</w:t>
      </w:r>
      <w:r>
        <w:rPr>
          <w:rFonts w:hint="eastAsia" w:ascii="宋体" w:hAnsi="宋体" w:eastAsia="宋体" w:cs="仿宋"/>
          <w:color w:val="000000" w:themeColor="text1"/>
          <w:sz w:val="24"/>
          <w:highlight w:val="none"/>
          <w14:textFill>
            <w14:solidFill>
              <w14:schemeClr w14:val="tx1"/>
            </w14:solidFill>
          </w14:textFill>
        </w:rPr>
        <w:t>。</w:t>
      </w:r>
    </w:p>
    <w:p w14:paraId="080077CC">
      <w:pPr>
        <w:wordWrap w:val="0"/>
        <w:spacing w:line="460" w:lineRule="exact"/>
        <w:ind w:firstLine="480" w:firstLineChars="200"/>
        <w:jc w:val="left"/>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关于最终结清申请单内容的特殊约定：</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1500938B">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19.3.2 承包人完成最终结清申请单的审批并颁发最终结清证书的期限：</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52290B72">
      <w:pPr>
        <w:wordWrap w:val="0"/>
        <w:spacing w:line="460" w:lineRule="exact"/>
        <w:ind w:firstLine="480" w:firstLineChars="200"/>
        <w:jc w:val="left"/>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承包人完成最终支付的期限：</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0BA8E6FD">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716" w:name="_Toc389586483"/>
      <w:r>
        <w:rPr>
          <w:rFonts w:hint="eastAsia" w:ascii="宋体" w:hAnsi="宋体" w:eastAsia="宋体" w:cs="仿宋"/>
          <w:b/>
          <w:bCs/>
          <w:color w:val="000000" w:themeColor="text1"/>
          <w:kern w:val="0"/>
          <w:sz w:val="24"/>
          <w:highlight w:val="none"/>
          <w:lang w:val="zh-CN"/>
          <w14:textFill>
            <w14:solidFill>
              <w14:schemeClr w14:val="tx1"/>
            </w14:solidFill>
          </w14:textFill>
        </w:rPr>
        <w:t>20. 缺陷责任期与保修期</w:t>
      </w:r>
      <w:bookmarkEnd w:id="716"/>
    </w:p>
    <w:p w14:paraId="69B231D4">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717" w:name="_Toc389586484"/>
      <w:r>
        <w:rPr>
          <w:rFonts w:hint="eastAsia" w:ascii="宋体" w:hAnsi="宋体" w:eastAsia="宋体" w:cs="仿宋"/>
          <w:b/>
          <w:color w:val="000000" w:themeColor="text1"/>
          <w:kern w:val="0"/>
          <w:sz w:val="24"/>
          <w:highlight w:val="none"/>
          <w:lang w:val="zh-CN"/>
          <w14:textFill>
            <w14:solidFill>
              <w14:schemeClr w14:val="tx1"/>
            </w14:solidFill>
          </w14:textFill>
        </w:rPr>
        <w:t>20.1 缺陷责任期</w:t>
      </w:r>
      <w:bookmarkEnd w:id="717"/>
    </w:p>
    <w:p w14:paraId="742E7B83">
      <w:pPr>
        <w:wordWrap w:val="0"/>
        <w:spacing w:line="460" w:lineRule="exact"/>
        <w:ind w:firstLine="480" w:firstLineChars="200"/>
        <w:jc w:val="left"/>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20.1.1 缺陷责任期的起算日：</w:t>
      </w:r>
      <w:r>
        <w:rPr>
          <w:rFonts w:hint="eastAsia" w:ascii="宋体" w:hAnsi="宋体" w:eastAsia="宋体" w:cs="仿宋"/>
          <w:b/>
          <w:bCs/>
          <w:color w:val="000000" w:themeColor="text1"/>
          <w:sz w:val="24"/>
          <w:highlight w:val="none"/>
          <w:u w:val="single"/>
          <w14:textFill>
            <w14:solidFill>
              <w14:schemeClr w14:val="tx1"/>
            </w14:solidFill>
          </w14:textFill>
        </w:rPr>
        <w:t>详见《工程质量保修书》</w:t>
      </w:r>
      <w:r>
        <w:rPr>
          <w:rFonts w:hint="eastAsia" w:ascii="宋体" w:hAnsi="宋体" w:eastAsia="宋体" w:cs="仿宋"/>
          <w:color w:val="000000" w:themeColor="text1"/>
          <w:kern w:val="0"/>
          <w:sz w:val="24"/>
          <w:highlight w:val="none"/>
          <w14:textFill>
            <w14:solidFill>
              <w14:schemeClr w14:val="tx1"/>
            </w14:solidFill>
          </w14:textFill>
        </w:rPr>
        <w:t>。</w:t>
      </w:r>
    </w:p>
    <w:p w14:paraId="36454734">
      <w:pPr>
        <w:wordWrap w:val="0"/>
        <w:spacing w:line="460" w:lineRule="exact"/>
        <w:ind w:firstLine="480" w:firstLineChars="200"/>
        <w:jc w:val="left"/>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缺陷责任期的具体期限：</w:t>
      </w:r>
      <w:r>
        <w:rPr>
          <w:rFonts w:hint="eastAsia" w:ascii="宋体" w:hAnsi="宋体" w:eastAsia="宋体" w:cs="仿宋"/>
          <w:b/>
          <w:bCs/>
          <w:color w:val="000000" w:themeColor="text1"/>
          <w:sz w:val="24"/>
          <w:highlight w:val="none"/>
          <w:u w:val="single"/>
          <w14:textFill>
            <w14:solidFill>
              <w14:schemeClr w14:val="tx1"/>
            </w14:solidFill>
          </w14:textFill>
        </w:rPr>
        <w:t>详见《工程质量保修书》</w:t>
      </w:r>
      <w:r>
        <w:rPr>
          <w:rFonts w:hint="eastAsia" w:ascii="宋体" w:hAnsi="宋体" w:eastAsia="宋体" w:cs="仿宋"/>
          <w:color w:val="000000" w:themeColor="text1"/>
          <w:sz w:val="24"/>
          <w:highlight w:val="none"/>
          <w14:textFill>
            <w14:solidFill>
              <w14:schemeClr w14:val="tx1"/>
            </w14:solidFill>
          </w14:textFill>
        </w:rPr>
        <w:t>。</w:t>
      </w:r>
    </w:p>
    <w:p w14:paraId="1AC95E0D">
      <w:pPr>
        <w:wordWrap w:val="0"/>
        <w:spacing w:line="460" w:lineRule="exact"/>
        <w:ind w:firstLine="480" w:firstLineChars="200"/>
        <w:jc w:val="left"/>
        <w:rPr>
          <w:rFonts w:hint="eastAsia" w:ascii="宋体" w:hAnsi="宋体" w:eastAsia="宋体" w:cs="仿宋"/>
          <w:color w:val="000000" w:themeColor="text1"/>
          <w:kern w:val="0"/>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20.1.3分包人发出缺陷责任期届满通知的期限：</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3A29C921">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718" w:name="_Toc389586485"/>
      <w:r>
        <w:rPr>
          <w:rFonts w:hint="eastAsia" w:ascii="宋体" w:hAnsi="宋体" w:eastAsia="宋体" w:cs="仿宋"/>
          <w:b/>
          <w:color w:val="000000" w:themeColor="text1"/>
          <w:kern w:val="0"/>
          <w:sz w:val="24"/>
          <w:highlight w:val="none"/>
          <w:lang w:val="zh-CN"/>
          <w14:textFill>
            <w14:solidFill>
              <w14:schemeClr w14:val="tx1"/>
            </w14:solidFill>
          </w14:textFill>
        </w:rPr>
        <w:t>20.2 保修期</w:t>
      </w:r>
      <w:bookmarkEnd w:id="718"/>
    </w:p>
    <w:p w14:paraId="7015B780">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20.2.1 保修期的起算日：</w:t>
      </w:r>
      <w:r>
        <w:rPr>
          <w:rFonts w:hint="eastAsia" w:ascii="宋体" w:hAnsi="宋体" w:eastAsia="宋体" w:cs="仿宋"/>
          <w:b/>
          <w:bCs/>
          <w:color w:val="000000" w:themeColor="text1"/>
          <w:sz w:val="24"/>
          <w:highlight w:val="none"/>
          <w:u w:val="single"/>
          <w14:textFill>
            <w14:solidFill>
              <w14:schemeClr w14:val="tx1"/>
            </w14:solidFill>
          </w14:textFill>
        </w:rPr>
        <w:t>详见《工程质量保修书》</w:t>
      </w:r>
      <w:r>
        <w:rPr>
          <w:rFonts w:hint="eastAsia" w:ascii="宋体" w:hAnsi="宋体" w:eastAsia="宋体" w:cs="仿宋"/>
          <w:color w:val="000000" w:themeColor="text1"/>
          <w:sz w:val="24"/>
          <w:highlight w:val="none"/>
          <w14:textFill>
            <w14:solidFill>
              <w14:schemeClr w14:val="tx1"/>
            </w14:solidFill>
          </w14:textFill>
        </w:rPr>
        <w:t>。</w:t>
      </w:r>
    </w:p>
    <w:p w14:paraId="0C2D9267">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保修期具体期限：</w:t>
      </w:r>
      <w:r>
        <w:rPr>
          <w:rFonts w:hint="eastAsia" w:ascii="宋体" w:hAnsi="宋体" w:eastAsia="宋体" w:cs="仿宋"/>
          <w:b/>
          <w:bCs/>
          <w:color w:val="000000" w:themeColor="text1"/>
          <w:sz w:val="24"/>
          <w:highlight w:val="none"/>
          <w:u w:val="single"/>
          <w14:textFill>
            <w14:solidFill>
              <w14:schemeClr w14:val="tx1"/>
            </w14:solidFill>
          </w14:textFill>
        </w:rPr>
        <w:t>详见《工程质量保修书》</w:t>
      </w:r>
      <w:r>
        <w:rPr>
          <w:rFonts w:hint="eastAsia" w:ascii="宋体" w:hAnsi="宋体" w:eastAsia="宋体" w:cs="仿宋"/>
          <w:color w:val="000000" w:themeColor="text1"/>
          <w:kern w:val="0"/>
          <w:sz w:val="24"/>
          <w:highlight w:val="none"/>
          <w14:textFill>
            <w14:solidFill>
              <w14:schemeClr w14:val="tx1"/>
            </w14:solidFill>
          </w14:textFill>
        </w:rPr>
        <w:t>。</w:t>
      </w:r>
    </w:p>
    <w:p w14:paraId="4B563848">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719" w:name="_Toc389586486"/>
      <w:r>
        <w:rPr>
          <w:rFonts w:hint="eastAsia" w:ascii="宋体" w:hAnsi="宋体" w:eastAsia="宋体" w:cs="仿宋"/>
          <w:b/>
          <w:color w:val="000000" w:themeColor="text1"/>
          <w:kern w:val="0"/>
          <w:sz w:val="24"/>
          <w:highlight w:val="none"/>
          <w:lang w:val="zh-CN"/>
          <w14:textFill>
            <w14:solidFill>
              <w14:schemeClr w14:val="tx1"/>
            </w14:solidFill>
          </w14:textFill>
        </w:rPr>
        <w:t>20.3 质量保证金</w:t>
      </w:r>
      <w:bookmarkEnd w:id="719"/>
    </w:p>
    <w:p w14:paraId="45BA0B35">
      <w:pPr>
        <w:autoSpaceDE w:val="0"/>
        <w:autoSpaceDN w:val="0"/>
        <w:spacing w:line="460" w:lineRule="exact"/>
        <w:ind w:firstLine="480" w:firstLineChars="200"/>
        <w:jc w:val="left"/>
        <w:outlineLvl w:val="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20.3.1 质量保证金的扣留金额和扣留方式：</w:t>
      </w:r>
      <w:r>
        <w:rPr>
          <w:rFonts w:hint="eastAsia" w:ascii="宋体" w:hAnsi="宋体" w:eastAsia="宋体" w:cs="仿宋"/>
          <w:b/>
          <w:bCs/>
          <w:color w:val="000000" w:themeColor="text1"/>
          <w:sz w:val="24"/>
          <w:highlight w:val="none"/>
          <w:u w:val="single"/>
          <w14:textFill>
            <w14:solidFill>
              <w14:schemeClr w14:val="tx1"/>
            </w14:solidFill>
          </w14:textFill>
        </w:rPr>
        <w:t>扣留3%的工程款，工程竣工结算时一次性扣留质量保证金。</w:t>
      </w:r>
    </w:p>
    <w:p w14:paraId="0D4CBD0F">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720" w:name="_Toc389586487"/>
      <w:r>
        <w:rPr>
          <w:rFonts w:hint="eastAsia" w:ascii="宋体" w:hAnsi="宋体" w:eastAsia="宋体" w:cs="仿宋"/>
          <w:b/>
          <w:bCs/>
          <w:color w:val="000000" w:themeColor="text1"/>
          <w:kern w:val="0"/>
          <w:sz w:val="24"/>
          <w:highlight w:val="none"/>
          <w:lang w:val="zh-CN"/>
          <w14:textFill>
            <w14:solidFill>
              <w14:schemeClr w14:val="tx1"/>
            </w14:solidFill>
          </w14:textFill>
        </w:rPr>
        <w:t>21. 违约</w:t>
      </w:r>
      <w:bookmarkEnd w:id="720"/>
    </w:p>
    <w:p w14:paraId="53FDA2E4">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721" w:name="_Toc389586488"/>
      <w:r>
        <w:rPr>
          <w:rFonts w:hint="eastAsia" w:ascii="宋体" w:hAnsi="宋体" w:eastAsia="宋体" w:cs="仿宋"/>
          <w:b/>
          <w:color w:val="000000" w:themeColor="text1"/>
          <w:kern w:val="0"/>
          <w:sz w:val="24"/>
          <w:highlight w:val="none"/>
          <w:lang w:val="zh-CN"/>
          <w14:textFill>
            <w14:solidFill>
              <w14:schemeClr w14:val="tx1"/>
            </w14:solidFill>
          </w14:textFill>
        </w:rPr>
        <w:t>21.1 承包人违约</w:t>
      </w:r>
      <w:bookmarkEnd w:id="721"/>
    </w:p>
    <w:p w14:paraId="445EF8BE">
      <w:pPr>
        <w:wordWrap w:val="0"/>
        <w:spacing w:line="460" w:lineRule="exact"/>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21.1.1 承包人违约时应支付的违约金或违约金的计算方法：</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0A796ACB">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分包人因承包人违约暂停施工满</w:t>
      </w:r>
      <w:r>
        <w:rPr>
          <w:rFonts w:hint="eastAsia" w:ascii="宋体" w:hAnsi="宋体" w:eastAsia="宋体" w:cs="仿宋"/>
          <w:color w:val="000000" w:themeColor="text1"/>
          <w:kern w:val="0"/>
          <w:sz w:val="24"/>
          <w:highlight w:val="none"/>
          <w:u w:val="single"/>
          <w14:textFill>
            <w14:solidFill>
              <w14:schemeClr w14:val="tx1"/>
            </w14:solidFill>
          </w14:textFill>
        </w:rPr>
        <w:t xml:space="preserve"> ----- </w:t>
      </w:r>
      <w:r>
        <w:rPr>
          <w:rFonts w:hint="eastAsia" w:ascii="宋体" w:hAnsi="宋体" w:eastAsia="宋体" w:cs="仿宋"/>
          <w:color w:val="000000" w:themeColor="text1"/>
          <w:kern w:val="0"/>
          <w:sz w:val="24"/>
          <w:highlight w:val="none"/>
          <w14:textFill>
            <w14:solidFill>
              <w14:schemeClr w14:val="tx1"/>
            </w14:solidFill>
          </w14:textFill>
        </w:rPr>
        <w:t>天后，承包人仍不纠正其违约行为的，分包人有权解除合同。</w:t>
      </w:r>
    </w:p>
    <w:p w14:paraId="6F029215">
      <w:pPr>
        <w:wordWrap w:val="0"/>
        <w:spacing w:line="460" w:lineRule="exact"/>
        <w:ind w:firstLine="480" w:firstLineChars="200"/>
        <w:jc w:val="left"/>
        <w:rPr>
          <w:rFonts w:hint="eastAsia" w:ascii="宋体" w:hAnsi="宋体" w:eastAsia="宋体" w:cs="仿宋"/>
          <w:b/>
          <w:color w:val="000000" w:themeColor="text1"/>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21.1.2 因承包人违约解除合同的，关于已完工程估价、清算和付款的约定：</w:t>
      </w:r>
      <w:r>
        <w:rPr>
          <w:rFonts w:hint="eastAsia" w:ascii="宋体" w:hAnsi="宋体" w:eastAsia="宋体" w:cs="仿宋"/>
          <w:b/>
          <w:color w:val="000000" w:themeColor="text1"/>
          <w:kern w:val="0"/>
          <w:sz w:val="24"/>
          <w:highlight w:val="none"/>
          <w:u w:val="single"/>
          <w14:textFill>
            <w14:solidFill>
              <w14:schemeClr w14:val="tx1"/>
            </w14:solidFill>
          </w14:textFill>
        </w:rPr>
        <w:t>工程进度款按承包人确认的进度结算60%的比例拨付，全部工程完工后60个工作日内付至承包人确认的全部进度结算的80%，竣工结算审定后90个工作日内，付至竣工结算审定值的97%，余款留作质量保修金，缺陷责任期满后无质量问题的前提下于30日内付清(无息)。</w:t>
      </w:r>
    </w:p>
    <w:p w14:paraId="50AB3381">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722" w:name="_Toc389586489"/>
      <w:r>
        <w:rPr>
          <w:rFonts w:hint="eastAsia" w:ascii="宋体" w:hAnsi="宋体" w:eastAsia="宋体" w:cs="仿宋"/>
          <w:b/>
          <w:color w:val="000000" w:themeColor="text1"/>
          <w:kern w:val="0"/>
          <w:sz w:val="24"/>
          <w:highlight w:val="none"/>
          <w:lang w:val="zh-CN"/>
          <w14:textFill>
            <w14:solidFill>
              <w14:schemeClr w14:val="tx1"/>
            </w14:solidFill>
          </w14:textFill>
        </w:rPr>
        <w:t>21.2 分包人违约</w:t>
      </w:r>
      <w:bookmarkEnd w:id="722"/>
    </w:p>
    <w:p w14:paraId="52E3A9B7">
      <w:pPr>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21.2.1分包人违约时应支付的违约金或违约金的计算方法：</w:t>
      </w:r>
    </w:p>
    <w:p w14:paraId="02F2A0C2">
      <w:pPr>
        <w:spacing w:line="460" w:lineRule="exact"/>
        <w:ind w:firstLine="482" w:firstLineChars="200"/>
        <w:jc w:val="left"/>
        <w:rPr>
          <w:rFonts w:hint="eastAsia" w:ascii="宋体" w:hAnsi="宋体" w:eastAsia="宋体" w:cs="仿宋"/>
          <w:b/>
          <w:bCs/>
          <w:color w:val="000000" w:themeColor="text1"/>
          <w:kern w:val="0"/>
          <w:sz w:val="24"/>
          <w:highlight w:val="none"/>
          <w:u w:val="single"/>
          <w14:textFill>
            <w14:solidFill>
              <w14:schemeClr w14:val="tx1"/>
            </w14:solidFill>
          </w14:textFill>
        </w:rPr>
      </w:pPr>
      <w:r>
        <w:rPr>
          <w:rFonts w:hint="eastAsia" w:ascii="宋体" w:hAnsi="宋体" w:eastAsia="宋体" w:cs="仿宋"/>
          <w:b/>
          <w:bCs/>
          <w:color w:val="000000" w:themeColor="text1"/>
          <w:kern w:val="0"/>
          <w:sz w:val="24"/>
          <w:highlight w:val="none"/>
          <w:u w:val="single"/>
          <w14:textFill>
            <w14:solidFill>
              <w14:schemeClr w14:val="tx1"/>
            </w14:solidFill>
          </w14:textFill>
        </w:rPr>
        <w:t>（1）工期方面：非经承包人认可，因分包人原因造成工期延误，每延误一天,分包人向承包人支付合同总价款0.5%的违约金，违约金上限为合同总价款的5%。延误工期致使工程不能正常投入使用的，承包人可增加违约金、停止付款及终止合同，而不承担任何责任。</w:t>
      </w:r>
    </w:p>
    <w:p w14:paraId="310DECB2">
      <w:pPr>
        <w:spacing w:line="460" w:lineRule="exact"/>
        <w:ind w:firstLine="482" w:firstLineChars="200"/>
        <w:jc w:val="left"/>
        <w:rPr>
          <w:rFonts w:hint="eastAsia" w:ascii="宋体" w:hAnsi="宋体" w:eastAsia="宋体" w:cs="仿宋"/>
          <w:b/>
          <w:bCs/>
          <w:color w:val="000000" w:themeColor="text1"/>
          <w:kern w:val="0"/>
          <w:sz w:val="24"/>
          <w:highlight w:val="none"/>
          <w:u w:val="single"/>
          <w14:textFill>
            <w14:solidFill>
              <w14:schemeClr w14:val="tx1"/>
            </w14:solidFill>
          </w14:textFill>
        </w:rPr>
      </w:pPr>
      <w:r>
        <w:rPr>
          <w:rFonts w:hint="eastAsia" w:ascii="宋体" w:hAnsi="宋体" w:eastAsia="宋体" w:cs="仿宋"/>
          <w:b/>
          <w:bCs/>
          <w:color w:val="000000" w:themeColor="text1"/>
          <w:kern w:val="0"/>
          <w:sz w:val="24"/>
          <w:highlight w:val="none"/>
          <w:u w:val="single"/>
          <w14:textFill>
            <w14:solidFill>
              <w14:schemeClr w14:val="tx1"/>
            </w14:solidFill>
          </w14:textFill>
        </w:rPr>
        <w:t>（2）质量方面：分包人须按要求使用材料，若发现所使用的材料不符合要求，分包人除须对材料进行更换外，还须向承包人支付材料价款2倍的违约金。</w:t>
      </w:r>
    </w:p>
    <w:p w14:paraId="7E3E47AC">
      <w:pPr>
        <w:spacing w:line="460" w:lineRule="exact"/>
        <w:ind w:firstLine="482"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b/>
          <w:bCs/>
          <w:color w:val="000000" w:themeColor="text1"/>
          <w:kern w:val="0"/>
          <w:sz w:val="24"/>
          <w:highlight w:val="none"/>
          <w:u w:val="single"/>
          <w14:textFill>
            <w14:solidFill>
              <w14:schemeClr w14:val="tx1"/>
            </w14:solidFill>
          </w14:textFill>
        </w:rPr>
        <w:t>（3）安全方面：分包人须与其全部施工人员签订安全生产责任书，并交承包人一份存档；分包人须在开工前对进场施工人员进行安全技术交底；施工期间承包人不定期进行安全检查，对发现存在的安全隐患发放整改通知书，分包人未在整改期限内进行整改的或整改不到位的，每次根据承包人要求</w:t>
      </w:r>
      <w:r>
        <w:rPr>
          <w:rFonts w:hint="eastAsia" w:ascii="宋体" w:hAnsi="宋体" w:eastAsia="宋体" w:cs="仿宋"/>
          <w:b/>
          <w:bCs/>
          <w:color w:val="000000" w:themeColor="text1"/>
          <w:sz w:val="24"/>
          <w:highlight w:val="none"/>
          <w:u w:val="single"/>
          <w14:textFill>
            <w14:solidFill>
              <w14:schemeClr w14:val="tx1"/>
            </w14:solidFill>
          </w14:textFill>
        </w:rPr>
        <w:t>支付违约金2000-10000元</w:t>
      </w:r>
      <w:r>
        <w:rPr>
          <w:rFonts w:hint="eastAsia" w:ascii="宋体" w:hAnsi="宋体" w:eastAsia="宋体" w:cs="仿宋"/>
          <w:b/>
          <w:bCs/>
          <w:color w:val="000000" w:themeColor="text1"/>
          <w:kern w:val="0"/>
          <w:sz w:val="24"/>
          <w:highlight w:val="none"/>
          <w:u w:val="single"/>
          <w14:textFill>
            <w14:solidFill>
              <w14:schemeClr w14:val="tx1"/>
            </w14:solidFill>
          </w14:textFill>
        </w:rPr>
        <w:t>。</w:t>
      </w:r>
    </w:p>
    <w:p w14:paraId="36508E9E">
      <w:pPr>
        <w:spacing w:line="460" w:lineRule="exact"/>
        <w:ind w:firstLine="482" w:firstLineChars="200"/>
        <w:jc w:val="left"/>
        <w:rPr>
          <w:rFonts w:hint="eastAsia" w:ascii="宋体" w:hAnsi="宋体" w:eastAsia="宋体" w:cs="仿宋"/>
          <w:b/>
          <w:bCs/>
          <w:color w:val="000000" w:themeColor="text1"/>
          <w:sz w:val="24"/>
          <w:highlight w:val="none"/>
          <w14:textFill>
            <w14:solidFill>
              <w14:schemeClr w14:val="tx1"/>
            </w14:solidFill>
          </w14:textFill>
        </w:rPr>
      </w:pPr>
      <w:r>
        <w:rPr>
          <w:rFonts w:hint="eastAsia" w:ascii="宋体" w:hAnsi="宋体" w:eastAsia="宋体" w:cs="仿宋"/>
          <w:b/>
          <w:bCs/>
          <w:color w:val="000000" w:themeColor="text1"/>
          <w:kern w:val="0"/>
          <w:sz w:val="24"/>
          <w:highlight w:val="none"/>
          <w:u w:val="single"/>
          <w14:textFill>
            <w14:solidFill>
              <w14:schemeClr w14:val="tx1"/>
            </w14:solidFill>
          </w14:textFill>
        </w:rPr>
        <w:t>（4）分包人承包范围内的工作以及相应的方案调整、设计变更等工作，如分包人未按要求完成，承包人有权另行安排施工方，由此产生的一切费用及损失均由分包人承担。</w:t>
      </w:r>
    </w:p>
    <w:p w14:paraId="4B7C0410">
      <w:pPr>
        <w:tabs>
          <w:tab w:val="left" w:pos="4860"/>
          <w:tab w:val="left" w:pos="5400"/>
        </w:tabs>
        <w:spacing w:line="460" w:lineRule="exact"/>
        <w:ind w:firstLine="482" w:firstLineChars="200"/>
        <w:rPr>
          <w:rFonts w:hint="eastAsia" w:ascii="宋体" w:hAnsi="宋体" w:eastAsia="宋体" w:cs="仿宋"/>
          <w:b/>
          <w:bCs/>
          <w:color w:val="000000" w:themeColor="text1"/>
          <w:kern w:val="0"/>
          <w:sz w:val="24"/>
          <w:highlight w:val="none"/>
          <w:u w:val="single"/>
          <w14:textFill>
            <w14:solidFill>
              <w14:schemeClr w14:val="tx1"/>
            </w14:solidFill>
          </w14:textFill>
        </w:rPr>
      </w:pPr>
      <w:r>
        <w:rPr>
          <w:rFonts w:hint="eastAsia" w:ascii="宋体" w:hAnsi="宋体" w:eastAsia="宋体" w:cs="仿宋"/>
          <w:b/>
          <w:bCs/>
          <w:color w:val="000000" w:themeColor="text1"/>
          <w:kern w:val="0"/>
          <w:sz w:val="24"/>
          <w:highlight w:val="none"/>
          <w:u w:val="single"/>
          <w14:textFill>
            <w14:solidFill>
              <w14:schemeClr w14:val="tx1"/>
            </w14:solidFill>
          </w14:textFill>
        </w:rPr>
        <w:t>（5）若因分包人提供的增值税专用发票认证不合格、不规范或涉嫌虚开，分包人应当收回原发票，并在2日内向承包人开具新的合格发票，因此延迟付款造成的损失由分包人承担。</w:t>
      </w:r>
    </w:p>
    <w:p w14:paraId="6FB4AA48">
      <w:pPr>
        <w:wordWrap w:val="0"/>
        <w:spacing w:line="460" w:lineRule="exact"/>
        <w:ind w:firstLine="482" w:firstLineChars="200"/>
        <w:rPr>
          <w:rFonts w:hint="eastAsia" w:ascii="宋体" w:hAnsi="宋体" w:eastAsia="宋体" w:cs="仿宋"/>
          <w:b/>
          <w:bCs/>
          <w:color w:val="000000" w:themeColor="text1"/>
          <w:kern w:val="0"/>
          <w:sz w:val="24"/>
          <w:highlight w:val="none"/>
          <w:u w:val="single"/>
          <w14:textFill>
            <w14:solidFill>
              <w14:schemeClr w14:val="tx1"/>
            </w14:solidFill>
          </w14:textFill>
        </w:rPr>
      </w:pPr>
      <w:r>
        <w:rPr>
          <w:rFonts w:hint="eastAsia" w:ascii="宋体" w:hAnsi="宋体" w:eastAsia="宋体" w:cs="仿宋"/>
          <w:b/>
          <w:bCs/>
          <w:color w:val="000000" w:themeColor="text1"/>
          <w:kern w:val="0"/>
          <w:sz w:val="24"/>
          <w:highlight w:val="none"/>
          <w:u w:val="single"/>
          <w14:textFill>
            <w14:solidFill>
              <w14:schemeClr w14:val="tx1"/>
            </w14:solidFill>
          </w14:textFill>
        </w:rPr>
        <w:t>（6）若因分包人未能开具合格的增值税专用发票，造成承包人无法进行税收抵扣的，承包人可以将无法抵扣的金额自工程结算及应付款中直接予以扣减；也可以直接要求分包人赔偿损失，损失包括但不限于由此承包人产生的税款、滞纳金、罚款及主张权利的费用等。</w:t>
      </w:r>
    </w:p>
    <w:p w14:paraId="00F58F82">
      <w:pPr>
        <w:wordWrap w:val="0"/>
        <w:spacing w:line="460" w:lineRule="exact"/>
        <w:ind w:firstLine="482" w:firstLineChars="200"/>
        <w:rPr>
          <w:rFonts w:hint="eastAsia" w:ascii="宋体" w:hAnsi="宋体" w:eastAsia="宋体" w:cs="仿宋"/>
          <w:b/>
          <w:bCs/>
          <w:color w:val="000000" w:themeColor="text1"/>
          <w:kern w:val="0"/>
          <w:sz w:val="24"/>
          <w:highlight w:val="none"/>
          <w:u w:val="single"/>
          <w14:textFill>
            <w14:solidFill>
              <w14:schemeClr w14:val="tx1"/>
            </w14:solidFill>
          </w14:textFill>
        </w:rPr>
      </w:pPr>
      <w:r>
        <w:rPr>
          <w:rFonts w:hint="eastAsia" w:ascii="宋体" w:hAnsi="宋体" w:eastAsia="宋体" w:cs="仿宋"/>
          <w:b/>
          <w:bCs/>
          <w:color w:val="000000" w:themeColor="text1"/>
          <w:kern w:val="0"/>
          <w:sz w:val="24"/>
          <w:highlight w:val="none"/>
          <w:u w:val="single"/>
          <w14:textFill>
            <w14:solidFill>
              <w14:schemeClr w14:val="tx1"/>
            </w14:solidFill>
          </w14:textFill>
        </w:rPr>
        <w:t>（7）本合同中的违约金在承包人发出通知后7日内，由分包人直接交至承包人财务科，若不按时缴纳则由承包人从分包人工程结算款中双倍扣除。</w:t>
      </w:r>
    </w:p>
    <w:p w14:paraId="678F31BC">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关于承包人违约解除合同的特别约定：</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7B73EC62">
      <w:pPr>
        <w:wordWrap w:val="0"/>
        <w:spacing w:line="460" w:lineRule="exact"/>
        <w:ind w:firstLine="360" w:firstLineChars="15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kern w:val="0"/>
          <w:sz w:val="24"/>
          <w:highlight w:val="none"/>
          <w14:textFill>
            <w14:solidFill>
              <w14:schemeClr w14:val="tx1"/>
            </w14:solidFill>
          </w14:textFill>
        </w:rPr>
        <w:t>21.2.2 因分包人违约解除合同的，关于分包工程估价、清算和付款的约定</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29407745">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723" w:name="_Toc389586490"/>
      <w:r>
        <w:rPr>
          <w:rFonts w:hint="eastAsia" w:ascii="宋体" w:hAnsi="宋体" w:eastAsia="宋体" w:cs="仿宋"/>
          <w:b/>
          <w:bCs/>
          <w:color w:val="000000" w:themeColor="text1"/>
          <w:kern w:val="0"/>
          <w:sz w:val="24"/>
          <w:highlight w:val="none"/>
          <w:lang w:val="zh-CN"/>
          <w14:textFill>
            <w14:solidFill>
              <w14:schemeClr w14:val="tx1"/>
            </w14:solidFill>
          </w14:textFill>
        </w:rPr>
        <w:t>22. 不可抗力</w:t>
      </w:r>
      <w:bookmarkEnd w:id="723"/>
    </w:p>
    <w:p w14:paraId="292C5BB9">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724" w:name="_Toc389586491"/>
      <w:r>
        <w:rPr>
          <w:rFonts w:hint="eastAsia" w:ascii="宋体" w:hAnsi="宋体" w:eastAsia="宋体" w:cs="仿宋"/>
          <w:b/>
          <w:color w:val="000000" w:themeColor="text1"/>
          <w:kern w:val="0"/>
          <w:sz w:val="24"/>
          <w:highlight w:val="none"/>
          <w:lang w:val="zh-CN"/>
          <w14:textFill>
            <w14:solidFill>
              <w14:schemeClr w14:val="tx1"/>
            </w14:solidFill>
          </w14:textFill>
        </w:rPr>
        <w:t>22.1 不可抗力的确认和通知</w:t>
      </w:r>
      <w:bookmarkEnd w:id="724"/>
    </w:p>
    <w:p w14:paraId="25C790E4">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不可抗力的其他情形</w:t>
      </w:r>
      <w:r>
        <w:rPr>
          <w:rFonts w:hint="eastAsia" w:ascii="宋体" w:hAnsi="宋体" w:eastAsia="宋体" w:cs="仿宋"/>
          <w:color w:val="000000" w:themeColor="text1"/>
          <w:kern w:val="0"/>
          <w:sz w:val="24"/>
          <w:highlight w:val="none"/>
          <w14:textFill>
            <w14:solidFill>
              <w14:schemeClr w14:val="tx1"/>
            </w14:solidFill>
          </w14:textFill>
        </w:rPr>
        <w:t>：</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740E35A5">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725" w:name="_Toc389586492"/>
      <w:r>
        <w:rPr>
          <w:rFonts w:hint="eastAsia" w:ascii="宋体" w:hAnsi="宋体" w:eastAsia="宋体" w:cs="仿宋"/>
          <w:b/>
          <w:color w:val="000000" w:themeColor="text1"/>
          <w:kern w:val="0"/>
          <w:sz w:val="24"/>
          <w:highlight w:val="none"/>
          <w:lang w:val="zh-CN"/>
          <w14:textFill>
            <w14:solidFill>
              <w14:schemeClr w14:val="tx1"/>
            </w14:solidFill>
          </w14:textFill>
        </w:rPr>
        <w:t>22.3 因不可抗力解除合同</w:t>
      </w:r>
      <w:bookmarkEnd w:id="725"/>
    </w:p>
    <w:p w14:paraId="602CEB55">
      <w:pPr>
        <w:wordWrap w:val="0"/>
        <w:spacing w:line="460" w:lineRule="exact"/>
        <w:ind w:firstLine="482"/>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因不可抗力解除合同，承包人应支付款项包括：</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364D0767">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726" w:name="_Toc389586493"/>
      <w:r>
        <w:rPr>
          <w:rFonts w:hint="eastAsia" w:ascii="宋体" w:hAnsi="宋体" w:eastAsia="宋体" w:cs="仿宋"/>
          <w:b/>
          <w:bCs/>
          <w:color w:val="000000" w:themeColor="text1"/>
          <w:kern w:val="0"/>
          <w:sz w:val="24"/>
          <w:highlight w:val="none"/>
          <w:lang w:val="zh-CN"/>
          <w14:textFill>
            <w14:solidFill>
              <w14:schemeClr w14:val="tx1"/>
            </w14:solidFill>
          </w14:textFill>
        </w:rPr>
        <w:t>23. 保险</w:t>
      </w:r>
      <w:bookmarkEnd w:id="726"/>
    </w:p>
    <w:p w14:paraId="4421C6FF">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727" w:name="_Toc389586494"/>
      <w:r>
        <w:rPr>
          <w:rFonts w:hint="eastAsia" w:ascii="宋体" w:hAnsi="宋体" w:eastAsia="宋体" w:cs="仿宋"/>
          <w:b/>
          <w:color w:val="000000" w:themeColor="text1"/>
          <w:kern w:val="0"/>
          <w:sz w:val="24"/>
          <w:highlight w:val="none"/>
          <w:lang w:val="zh-CN"/>
          <w14:textFill>
            <w14:solidFill>
              <w14:schemeClr w14:val="tx1"/>
            </w14:solidFill>
          </w14:textFill>
        </w:rPr>
        <w:t>23.2 其他保险</w:t>
      </w:r>
      <w:bookmarkEnd w:id="727"/>
    </w:p>
    <w:p w14:paraId="5EDBF08A">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关于意外伤害保险、财产保险的特别约定：</w:t>
      </w:r>
      <w:r>
        <w:rPr>
          <w:rFonts w:hint="eastAsia" w:ascii="宋体" w:hAnsi="宋体" w:eastAsia="宋体" w:cs="仿宋"/>
          <w:b/>
          <w:bCs/>
          <w:color w:val="000000" w:themeColor="text1"/>
          <w:kern w:val="0"/>
          <w:sz w:val="24"/>
          <w:highlight w:val="none"/>
          <w:u w:val="single"/>
          <w14:textFill>
            <w14:solidFill>
              <w14:schemeClr w14:val="tx1"/>
            </w14:solidFill>
          </w14:textFill>
        </w:rPr>
        <w:t>施工过程中的一切保险均由分包人自行投保并承担费用。</w:t>
      </w:r>
    </w:p>
    <w:p w14:paraId="36A7B80C">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办理意外伤害保险的具体事项：</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5B4C7D00">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办理财产保险的具体事项：</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20643E45">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728" w:name="_Toc389586495"/>
      <w:r>
        <w:rPr>
          <w:rFonts w:hint="eastAsia" w:ascii="宋体" w:hAnsi="宋体" w:eastAsia="宋体" w:cs="仿宋"/>
          <w:b/>
          <w:color w:val="000000" w:themeColor="text1"/>
          <w:kern w:val="0"/>
          <w:sz w:val="24"/>
          <w:highlight w:val="none"/>
          <w:lang w:val="zh-CN"/>
          <w14:textFill>
            <w14:solidFill>
              <w14:schemeClr w14:val="tx1"/>
            </w14:solidFill>
          </w14:textFill>
        </w:rPr>
        <w:t>23.3 保险凭证</w:t>
      </w:r>
      <w:bookmarkEnd w:id="728"/>
    </w:p>
    <w:p w14:paraId="40B5ABAB">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分包人提交保险凭证和保险单复印件的期限：</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1487875B">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729" w:name="_Toc389586496"/>
      <w:r>
        <w:rPr>
          <w:rFonts w:hint="eastAsia" w:ascii="宋体" w:hAnsi="宋体" w:eastAsia="宋体" w:cs="仿宋"/>
          <w:b/>
          <w:bCs/>
          <w:color w:val="000000" w:themeColor="text1"/>
          <w:kern w:val="0"/>
          <w:sz w:val="24"/>
          <w:highlight w:val="none"/>
          <w:lang w:val="zh-CN"/>
          <w14:textFill>
            <w14:solidFill>
              <w14:schemeClr w14:val="tx1"/>
            </w14:solidFill>
          </w14:textFill>
        </w:rPr>
        <w:t>24. 索赔</w:t>
      </w:r>
      <w:bookmarkEnd w:id="729"/>
    </w:p>
    <w:p w14:paraId="2E60656F">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730" w:name="_Toc389586497"/>
      <w:r>
        <w:rPr>
          <w:rFonts w:hint="eastAsia" w:ascii="宋体" w:hAnsi="宋体" w:eastAsia="宋体" w:cs="仿宋"/>
          <w:b/>
          <w:color w:val="000000" w:themeColor="text1"/>
          <w:kern w:val="0"/>
          <w:sz w:val="24"/>
          <w:highlight w:val="none"/>
          <w:lang w:val="zh-CN"/>
          <w14:textFill>
            <w14:solidFill>
              <w14:schemeClr w14:val="tx1"/>
            </w14:solidFill>
          </w14:textFill>
        </w:rPr>
        <w:t>24.2 对分包人索赔的处理</w:t>
      </w:r>
      <w:bookmarkEnd w:id="730"/>
    </w:p>
    <w:p w14:paraId="43200FB7">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关于对分包人索赔的处理的约定：</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4007C8C1">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731" w:name="_Toc389586498"/>
      <w:r>
        <w:rPr>
          <w:rFonts w:hint="eastAsia" w:ascii="宋体" w:hAnsi="宋体" w:eastAsia="宋体" w:cs="仿宋"/>
          <w:b/>
          <w:color w:val="000000" w:themeColor="text1"/>
          <w:kern w:val="0"/>
          <w:sz w:val="24"/>
          <w:highlight w:val="none"/>
          <w:lang w:val="zh-CN"/>
          <w14:textFill>
            <w14:solidFill>
              <w14:schemeClr w14:val="tx1"/>
            </w14:solidFill>
          </w14:textFill>
        </w:rPr>
        <w:t>24.4 对承包人索赔的处理</w:t>
      </w:r>
      <w:bookmarkEnd w:id="731"/>
    </w:p>
    <w:p w14:paraId="05AD75D3">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关于对承包人索赔的处理的约定：</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6A8DCDBB">
      <w:pPr>
        <w:keepNext/>
        <w:keepLines/>
        <w:wordWrap w:val="0"/>
        <w:spacing w:line="460" w:lineRule="exact"/>
        <w:outlineLvl w:val="1"/>
        <w:rPr>
          <w:rFonts w:hint="eastAsia" w:ascii="宋体" w:hAnsi="宋体" w:eastAsia="宋体" w:cs="仿宋"/>
          <w:b/>
          <w:bCs/>
          <w:color w:val="000000" w:themeColor="text1"/>
          <w:kern w:val="0"/>
          <w:sz w:val="24"/>
          <w:highlight w:val="none"/>
          <w:lang w:val="zh-CN"/>
          <w14:textFill>
            <w14:solidFill>
              <w14:schemeClr w14:val="tx1"/>
            </w14:solidFill>
          </w14:textFill>
        </w:rPr>
      </w:pPr>
      <w:bookmarkStart w:id="732" w:name="_Toc389586499"/>
      <w:r>
        <w:rPr>
          <w:rFonts w:hint="eastAsia" w:ascii="宋体" w:hAnsi="宋体" w:eastAsia="宋体" w:cs="仿宋"/>
          <w:b/>
          <w:bCs/>
          <w:color w:val="000000" w:themeColor="text1"/>
          <w:kern w:val="0"/>
          <w:sz w:val="24"/>
          <w:highlight w:val="none"/>
          <w:lang w:val="zh-CN"/>
          <w14:textFill>
            <w14:solidFill>
              <w14:schemeClr w14:val="tx1"/>
            </w14:solidFill>
          </w14:textFill>
        </w:rPr>
        <w:t>25. 争议解决</w:t>
      </w:r>
      <w:bookmarkEnd w:id="732"/>
    </w:p>
    <w:p w14:paraId="5D1A73F8">
      <w:pPr>
        <w:keepNext/>
        <w:keepLines/>
        <w:wordWrap w:val="0"/>
        <w:spacing w:line="460" w:lineRule="exact"/>
        <w:outlineLvl w:val="2"/>
        <w:rPr>
          <w:rFonts w:hint="eastAsia" w:ascii="宋体" w:hAnsi="宋体" w:eastAsia="宋体" w:cs="仿宋"/>
          <w:b/>
          <w:color w:val="000000" w:themeColor="text1"/>
          <w:kern w:val="0"/>
          <w:sz w:val="24"/>
          <w:highlight w:val="none"/>
          <w:lang w:val="zh-CN"/>
          <w14:textFill>
            <w14:solidFill>
              <w14:schemeClr w14:val="tx1"/>
            </w14:solidFill>
          </w14:textFill>
        </w:rPr>
      </w:pPr>
      <w:bookmarkStart w:id="733" w:name="_Toc389586500"/>
      <w:r>
        <w:rPr>
          <w:rFonts w:hint="eastAsia" w:ascii="宋体" w:hAnsi="宋体" w:eastAsia="宋体" w:cs="仿宋"/>
          <w:b/>
          <w:color w:val="000000" w:themeColor="text1"/>
          <w:kern w:val="0"/>
          <w:sz w:val="24"/>
          <w:highlight w:val="none"/>
          <w:lang w:val="zh-CN"/>
          <w14:textFill>
            <w14:solidFill>
              <w14:schemeClr w14:val="tx1"/>
            </w14:solidFill>
          </w14:textFill>
        </w:rPr>
        <w:t>25.2 仲裁或诉讼</w:t>
      </w:r>
      <w:bookmarkEnd w:id="733"/>
    </w:p>
    <w:p w14:paraId="5ADFE6A8">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因合同及合同有关事项发生的争议，按下列第（2）种方式解决：</w:t>
      </w:r>
    </w:p>
    <w:p w14:paraId="5AA094A5">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（1）向</w:t>
      </w:r>
      <w:r>
        <w:rPr>
          <w:rFonts w:hint="eastAsia" w:ascii="宋体" w:hAnsi="宋体" w:eastAsia="宋体" w:cs="仿宋"/>
          <w:color w:val="000000" w:themeColor="text1"/>
          <w:sz w:val="24"/>
          <w:highlight w:val="none"/>
          <w:u w:val="single"/>
          <w14:textFill>
            <w14:solidFill>
              <w14:schemeClr w14:val="tx1"/>
            </w14:solidFill>
          </w14:textFill>
        </w:rPr>
        <w:t xml:space="preserve">----------   </w:t>
      </w:r>
      <w:r>
        <w:rPr>
          <w:rFonts w:hint="eastAsia" w:ascii="宋体" w:hAnsi="宋体" w:eastAsia="宋体" w:cs="仿宋"/>
          <w:color w:val="000000" w:themeColor="text1"/>
          <w:sz w:val="24"/>
          <w:highlight w:val="none"/>
          <w14:textFill>
            <w14:solidFill>
              <w14:schemeClr w14:val="tx1"/>
            </w14:solidFill>
          </w14:textFill>
        </w:rPr>
        <w:t>仲裁委员会申请仲裁。</w:t>
      </w:r>
    </w:p>
    <w:p w14:paraId="5D736112">
      <w:pPr>
        <w:wordWrap w:val="0"/>
        <w:spacing w:line="460" w:lineRule="exact"/>
        <w:ind w:firstLine="480" w:firstLineChars="200"/>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（2）向</w:t>
      </w:r>
      <w:r>
        <w:rPr>
          <w:rFonts w:hint="eastAsia" w:ascii="宋体" w:hAnsi="宋体" w:eastAsia="宋体" w:cs="仿宋"/>
          <w:b/>
          <w:bCs/>
          <w:color w:val="000000" w:themeColor="text1"/>
          <w:sz w:val="24"/>
          <w:highlight w:val="none"/>
          <w:u w:val="single"/>
          <w14:textFill>
            <w14:solidFill>
              <w14:schemeClr w14:val="tx1"/>
            </w14:solidFill>
          </w14:textFill>
        </w:rPr>
        <w:t>工程所在地</w:t>
      </w:r>
      <w:r>
        <w:rPr>
          <w:rFonts w:hint="eastAsia" w:ascii="宋体" w:hAnsi="宋体" w:eastAsia="宋体" w:cs="仿宋"/>
          <w:color w:val="000000" w:themeColor="text1"/>
          <w:sz w:val="24"/>
          <w:highlight w:val="none"/>
          <w14:textFill>
            <w14:solidFill>
              <w14:schemeClr w14:val="tx1"/>
            </w14:solidFill>
          </w14:textFill>
        </w:rPr>
        <w:t>人民法院起诉。</w:t>
      </w:r>
      <w:bookmarkEnd w:id="653"/>
    </w:p>
    <w:p w14:paraId="2E5FD54B">
      <w:pPr>
        <w:wordWrap w:val="0"/>
        <w:spacing w:line="460" w:lineRule="exact"/>
        <w:jc w:val="left"/>
        <w:rPr>
          <w:rFonts w:hint="eastAsia" w:ascii="宋体" w:hAnsi="宋体" w:eastAsia="宋体" w:cs="仿宋"/>
          <w:color w:val="000000" w:themeColor="text1"/>
          <w:sz w:val="24"/>
          <w:highlight w:val="none"/>
          <w14:textFill>
            <w14:solidFill>
              <w14:schemeClr w14:val="tx1"/>
            </w14:solidFill>
          </w14:textFill>
        </w:rPr>
      </w:pPr>
    </w:p>
    <w:p w14:paraId="2D866B59">
      <w:pPr>
        <w:wordWrap w:val="0"/>
        <w:spacing w:line="460" w:lineRule="exact"/>
        <w:jc w:val="left"/>
        <w:rPr>
          <w:rFonts w:hint="eastAsia" w:ascii="宋体" w:hAnsi="宋体" w:eastAsia="宋体" w:cs="仿宋"/>
          <w:b/>
          <w:color w:val="000000" w:themeColor="text1"/>
          <w:sz w:val="24"/>
          <w:highlight w:val="none"/>
          <w14:textFill>
            <w14:solidFill>
              <w14:schemeClr w14:val="tx1"/>
            </w14:solidFill>
          </w14:textFill>
        </w:rPr>
      </w:pPr>
      <w:r>
        <w:rPr>
          <w:rFonts w:hint="eastAsia" w:ascii="宋体" w:hAnsi="宋体" w:eastAsia="宋体" w:cs="仿宋"/>
          <w:b/>
          <w:color w:val="000000" w:themeColor="text1"/>
          <w:sz w:val="24"/>
          <w:highlight w:val="none"/>
          <w14:textFill>
            <w14:solidFill>
              <w14:schemeClr w14:val="tx1"/>
            </w14:solidFill>
          </w14:textFill>
        </w:rPr>
        <w:br w:type="page"/>
      </w:r>
      <w:r>
        <w:rPr>
          <w:rFonts w:hint="eastAsia" w:ascii="宋体" w:hAnsi="宋体" w:eastAsia="宋体" w:cs="仿宋"/>
          <w:b/>
          <w:color w:val="000000" w:themeColor="text1"/>
          <w:sz w:val="24"/>
          <w:highlight w:val="none"/>
          <w14:textFill>
            <w14:solidFill>
              <w14:schemeClr w14:val="tx1"/>
            </w14:solidFill>
          </w14:textFill>
        </w:rPr>
        <w:t>专用合同条款附件：</w:t>
      </w:r>
    </w:p>
    <w:p w14:paraId="18D10BA7">
      <w:pPr>
        <w:wordWrap w:val="0"/>
        <w:spacing w:line="460" w:lineRule="exact"/>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附件1：工程量清单</w:t>
      </w:r>
    </w:p>
    <w:p w14:paraId="26B8C2BD">
      <w:pPr>
        <w:wordWrap w:val="0"/>
        <w:spacing w:line="460" w:lineRule="exact"/>
        <w:jc w:val="lef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附件2：工程质量保修书</w:t>
      </w:r>
    </w:p>
    <w:p w14:paraId="19138190">
      <w:pPr>
        <w:spacing w:line="460" w:lineRule="exac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附件3：分包人主要项目管理人员表</w:t>
      </w:r>
    </w:p>
    <w:p w14:paraId="1C5E2DEF">
      <w:pPr>
        <w:spacing w:line="440" w:lineRule="exact"/>
        <w:rPr>
          <w:rFonts w:hint="eastAsia" w:ascii="宋体" w:hAnsi="宋体" w:eastAsia="宋体" w:cs="黑体"/>
          <w:color w:val="000000" w:themeColor="text1"/>
          <w:sz w:val="30"/>
          <w:szCs w:val="30"/>
          <w:highlight w:val="none"/>
          <w14:textFill>
            <w14:solidFill>
              <w14:schemeClr w14:val="tx1"/>
            </w14:solidFill>
          </w14:textFill>
        </w:rPr>
      </w:pPr>
    </w:p>
    <w:p w14:paraId="6414DB46">
      <w:pPr>
        <w:spacing w:line="440" w:lineRule="exact"/>
        <w:rPr>
          <w:rFonts w:hint="eastAsia" w:ascii="宋体" w:hAnsi="宋体" w:eastAsia="宋体" w:cs="黑体"/>
          <w:color w:val="000000" w:themeColor="text1"/>
          <w:sz w:val="30"/>
          <w:szCs w:val="30"/>
          <w:highlight w:val="none"/>
          <w14:textFill>
            <w14:solidFill>
              <w14:schemeClr w14:val="tx1"/>
            </w14:solidFill>
          </w14:textFill>
        </w:rPr>
      </w:pPr>
    </w:p>
    <w:p w14:paraId="0F2D0824">
      <w:pPr>
        <w:spacing w:line="440" w:lineRule="exact"/>
        <w:rPr>
          <w:rFonts w:hint="eastAsia" w:ascii="宋体" w:hAnsi="宋体" w:eastAsia="宋体" w:cs="黑体"/>
          <w:color w:val="000000" w:themeColor="text1"/>
          <w:sz w:val="30"/>
          <w:szCs w:val="30"/>
          <w:highlight w:val="none"/>
          <w14:textFill>
            <w14:solidFill>
              <w14:schemeClr w14:val="tx1"/>
            </w14:solidFill>
          </w14:textFill>
        </w:rPr>
      </w:pPr>
    </w:p>
    <w:p w14:paraId="4D9DFC48">
      <w:pPr>
        <w:spacing w:line="440" w:lineRule="exact"/>
        <w:rPr>
          <w:rFonts w:hint="eastAsia" w:ascii="宋体" w:hAnsi="宋体" w:eastAsia="宋体" w:cs="黑体"/>
          <w:color w:val="000000" w:themeColor="text1"/>
          <w:sz w:val="30"/>
          <w:szCs w:val="30"/>
          <w:highlight w:val="none"/>
          <w14:textFill>
            <w14:solidFill>
              <w14:schemeClr w14:val="tx1"/>
            </w14:solidFill>
          </w14:textFill>
        </w:rPr>
      </w:pPr>
    </w:p>
    <w:p w14:paraId="40E440A1">
      <w:pPr>
        <w:spacing w:line="440" w:lineRule="exact"/>
        <w:rPr>
          <w:rFonts w:hint="eastAsia" w:ascii="宋体" w:hAnsi="宋体" w:eastAsia="宋体" w:cs="黑体"/>
          <w:color w:val="000000" w:themeColor="text1"/>
          <w:sz w:val="30"/>
          <w:szCs w:val="30"/>
          <w:highlight w:val="none"/>
          <w14:textFill>
            <w14:solidFill>
              <w14:schemeClr w14:val="tx1"/>
            </w14:solidFill>
          </w14:textFill>
        </w:rPr>
      </w:pPr>
    </w:p>
    <w:p w14:paraId="0F903E9A">
      <w:pPr>
        <w:spacing w:line="440" w:lineRule="exact"/>
        <w:rPr>
          <w:rFonts w:hint="eastAsia" w:ascii="宋体" w:hAnsi="宋体" w:eastAsia="宋体" w:cs="黑体"/>
          <w:color w:val="000000" w:themeColor="text1"/>
          <w:sz w:val="30"/>
          <w:szCs w:val="30"/>
          <w:highlight w:val="none"/>
          <w14:textFill>
            <w14:solidFill>
              <w14:schemeClr w14:val="tx1"/>
            </w14:solidFill>
          </w14:textFill>
        </w:rPr>
      </w:pPr>
    </w:p>
    <w:p w14:paraId="2BBE52D1">
      <w:pPr>
        <w:spacing w:line="440" w:lineRule="exact"/>
        <w:rPr>
          <w:rFonts w:hint="eastAsia" w:ascii="宋体" w:hAnsi="宋体" w:eastAsia="宋体" w:cs="黑体"/>
          <w:color w:val="000000" w:themeColor="text1"/>
          <w:sz w:val="30"/>
          <w:szCs w:val="30"/>
          <w:highlight w:val="none"/>
          <w14:textFill>
            <w14:solidFill>
              <w14:schemeClr w14:val="tx1"/>
            </w14:solidFill>
          </w14:textFill>
        </w:rPr>
      </w:pPr>
    </w:p>
    <w:p w14:paraId="3F7BF098">
      <w:pPr>
        <w:spacing w:line="440" w:lineRule="exact"/>
        <w:rPr>
          <w:rFonts w:hint="eastAsia" w:ascii="宋体" w:hAnsi="宋体" w:eastAsia="宋体" w:cs="黑体"/>
          <w:color w:val="000000" w:themeColor="text1"/>
          <w:sz w:val="30"/>
          <w:szCs w:val="30"/>
          <w:highlight w:val="none"/>
          <w14:textFill>
            <w14:solidFill>
              <w14:schemeClr w14:val="tx1"/>
            </w14:solidFill>
          </w14:textFill>
        </w:rPr>
      </w:pPr>
    </w:p>
    <w:p w14:paraId="10C9DACD">
      <w:pPr>
        <w:spacing w:line="440" w:lineRule="exact"/>
        <w:rPr>
          <w:rFonts w:hint="eastAsia" w:ascii="宋体" w:hAnsi="宋体" w:eastAsia="宋体" w:cs="黑体"/>
          <w:color w:val="000000" w:themeColor="text1"/>
          <w:sz w:val="30"/>
          <w:szCs w:val="30"/>
          <w:highlight w:val="none"/>
          <w14:textFill>
            <w14:solidFill>
              <w14:schemeClr w14:val="tx1"/>
            </w14:solidFill>
          </w14:textFill>
        </w:rPr>
      </w:pPr>
    </w:p>
    <w:p w14:paraId="2ADBAD4F">
      <w:pPr>
        <w:spacing w:line="440" w:lineRule="exact"/>
        <w:rPr>
          <w:rFonts w:hint="eastAsia" w:ascii="宋体" w:hAnsi="宋体" w:eastAsia="宋体" w:cs="黑体"/>
          <w:color w:val="000000" w:themeColor="text1"/>
          <w:sz w:val="30"/>
          <w:szCs w:val="30"/>
          <w:highlight w:val="none"/>
          <w14:textFill>
            <w14:solidFill>
              <w14:schemeClr w14:val="tx1"/>
            </w14:solidFill>
          </w14:textFill>
        </w:rPr>
      </w:pPr>
    </w:p>
    <w:p w14:paraId="48948A70">
      <w:pPr>
        <w:spacing w:line="440" w:lineRule="exact"/>
        <w:rPr>
          <w:rFonts w:hint="eastAsia" w:ascii="宋体" w:hAnsi="宋体" w:eastAsia="宋体" w:cs="黑体"/>
          <w:color w:val="000000" w:themeColor="text1"/>
          <w:sz w:val="30"/>
          <w:szCs w:val="30"/>
          <w:highlight w:val="none"/>
          <w14:textFill>
            <w14:solidFill>
              <w14:schemeClr w14:val="tx1"/>
            </w14:solidFill>
          </w14:textFill>
        </w:rPr>
      </w:pPr>
    </w:p>
    <w:p w14:paraId="058FC342">
      <w:pPr>
        <w:spacing w:line="440" w:lineRule="exact"/>
        <w:rPr>
          <w:rFonts w:hint="eastAsia" w:ascii="宋体" w:hAnsi="宋体" w:eastAsia="宋体" w:cs="黑体"/>
          <w:color w:val="000000" w:themeColor="text1"/>
          <w:sz w:val="30"/>
          <w:szCs w:val="30"/>
          <w:highlight w:val="none"/>
          <w14:textFill>
            <w14:solidFill>
              <w14:schemeClr w14:val="tx1"/>
            </w14:solidFill>
          </w14:textFill>
        </w:rPr>
      </w:pPr>
    </w:p>
    <w:p w14:paraId="774262E9">
      <w:pPr>
        <w:spacing w:line="440" w:lineRule="exact"/>
        <w:rPr>
          <w:rFonts w:hint="eastAsia" w:ascii="宋体" w:hAnsi="宋体" w:eastAsia="宋体" w:cs="黑体"/>
          <w:color w:val="000000" w:themeColor="text1"/>
          <w:sz w:val="30"/>
          <w:szCs w:val="30"/>
          <w:highlight w:val="none"/>
          <w14:textFill>
            <w14:solidFill>
              <w14:schemeClr w14:val="tx1"/>
            </w14:solidFill>
          </w14:textFill>
        </w:rPr>
      </w:pPr>
    </w:p>
    <w:p w14:paraId="48D97DBA">
      <w:pPr>
        <w:spacing w:line="440" w:lineRule="exact"/>
        <w:rPr>
          <w:rFonts w:hint="eastAsia" w:ascii="宋体" w:hAnsi="宋体" w:eastAsia="宋体" w:cs="黑体"/>
          <w:color w:val="000000" w:themeColor="text1"/>
          <w:sz w:val="30"/>
          <w:szCs w:val="30"/>
          <w:highlight w:val="none"/>
          <w14:textFill>
            <w14:solidFill>
              <w14:schemeClr w14:val="tx1"/>
            </w14:solidFill>
          </w14:textFill>
        </w:rPr>
      </w:pPr>
    </w:p>
    <w:p w14:paraId="5AB936CA">
      <w:pPr>
        <w:spacing w:line="440" w:lineRule="exact"/>
        <w:rPr>
          <w:rFonts w:hint="eastAsia" w:ascii="宋体" w:hAnsi="宋体" w:eastAsia="宋体" w:cs="黑体"/>
          <w:color w:val="000000" w:themeColor="text1"/>
          <w:sz w:val="30"/>
          <w:szCs w:val="30"/>
          <w:highlight w:val="none"/>
          <w14:textFill>
            <w14:solidFill>
              <w14:schemeClr w14:val="tx1"/>
            </w14:solidFill>
          </w14:textFill>
        </w:rPr>
      </w:pPr>
    </w:p>
    <w:p w14:paraId="0E77C4A5">
      <w:pPr>
        <w:spacing w:line="440" w:lineRule="exact"/>
        <w:rPr>
          <w:rFonts w:hint="eastAsia" w:ascii="宋体" w:hAnsi="宋体" w:eastAsia="宋体" w:cs="黑体"/>
          <w:color w:val="000000" w:themeColor="text1"/>
          <w:sz w:val="30"/>
          <w:szCs w:val="30"/>
          <w:highlight w:val="none"/>
          <w14:textFill>
            <w14:solidFill>
              <w14:schemeClr w14:val="tx1"/>
            </w14:solidFill>
          </w14:textFill>
        </w:rPr>
      </w:pPr>
    </w:p>
    <w:p w14:paraId="23BF9894">
      <w:pPr>
        <w:spacing w:line="440" w:lineRule="exact"/>
        <w:rPr>
          <w:rFonts w:hint="eastAsia" w:ascii="宋体" w:hAnsi="宋体" w:eastAsia="宋体" w:cs="黑体"/>
          <w:color w:val="000000" w:themeColor="text1"/>
          <w:sz w:val="30"/>
          <w:szCs w:val="30"/>
          <w:highlight w:val="none"/>
          <w14:textFill>
            <w14:solidFill>
              <w14:schemeClr w14:val="tx1"/>
            </w14:solidFill>
          </w14:textFill>
        </w:rPr>
      </w:pPr>
    </w:p>
    <w:p w14:paraId="084D26CF">
      <w:pPr>
        <w:spacing w:line="440" w:lineRule="exact"/>
        <w:rPr>
          <w:rFonts w:hint="eastAsia" w:ascii="宋体" w:hAnsi="宋体" w:eastAsia="宋体" w:cs="黑体"/>
          <w:color w:val="000000" w:themeColor="text1"/>
          <w:sz w:val="30"/>
          <w:szCs w:val="30"/>
          <w:highlight w:val="none"/>
          <w14:textFill>
            <w14:solidFill>
              <w14:schemeClr w14:val="tx1"/>
            </w14:solidFill>
          </w14:textFill>
        </w:rPr>
      </w:pPr>
    </w:p>
    <w:p w14:paraId="12D679CA">
      <w:pPr>
        <w:spacing w:line="440" w:lineRule="exact"/>
        <w:rPr>
          <w:rFonts w:hint="eastAsia" w:ascii="宋体" w:hAnsi="宋体" w:eastAsia="宋体" w:cs="黑体"/>
          <w:color w:val="000000" w:themeColor="text1"/>
          <w:sz w:val="30"/>
          <w:szCs w:val="30"/>
          <w:highlight w:val="none"/>
          <w14:textFill>
            <w14:solidFill>
              <w14:schemeClr w14:val="tx1"/>
            </w14:solidFill>
          </w14:textFill>
        </w:rPr>
      </w:pPr>
    </w:p>
    <w:p w14:paraId="490B02C3">
      <w:pPr>
        <w:spacing w:line="440" w:lineRule="exact"/>
        <w:rPr>
          <w:rFonts w:hint="eastAsia" w:ascii="宋体" w:hAnsi="宋体" w:eastAsia="宋体" w:cs="黑体"/>
          <w:color w:val="000000" w:themeColor="text1"/>
          <w:sz w:val="30"/>
          <w:szCs w:val="30"/>
          <w:highlight w:val="none"/>
          <w14:textFill>
            <w14:solidFill>
              <w14:schemeClr w14:val="tx1"/>
            </w14:solidFill>
          </w14:textFill>
        </w:rPr>
      </w:pPr>
    </w:p>
    <w:p w14:paraId="4675DE83">
      <w:pPr>
        <w:spacing w:line="440" w:lineRule="exact"/>
        <w:rPr>
          <w:rFonts w:hint="eastAsia" w:ascii="宋体" w:hAnsi="宋体" w:eastAsia="宋体" w:cs="黑体"/>
          <w:color w:val="000000" w:themeColor="text1"/>
          <w:sz w:val="30"/>
          <w:szCs w:val="30"/>
          <w:highlight w:val="none"/>
          <w14:textFill>
            <w14:solidFill>
              <w14:schemeClr w14:val="tx1"/>
            </w14:solidFill>
          </w14:textFill>
        </w:rPr>
      </w:pPr>
    </w:p>
    <w:p w14:paraId="32E6221B">
      <w:pPr>
        <w:spacing w:line="440" w:lineRule="exact"/>
        <w:rPr>
          <w:rFonts w:hint="eastAsia" w:ascii="宋体" w:hAnsi="宋体" w:eastAsia="宋体" w:cs="黑体"/>
          <w:color w:val="000000" w:themeColor="text1"/>
          <w:sz w:val="30"/>
          <w:szCs w:val="30"/>
          <w:highlight w:val="none"/>
          <w14:textFill>
            <w14:solidFill>
              <w14:schemeClr w14:val="tx1"/>
            </w14:solidFill>
          </w14:textFill>
        </w:rPr>
      </w:pPr>
    </w:p>
    <w:p w14:paraId="41B72978">
      <w:pPr>
        <w:spacing w:line="440" w:lineRule="exact"/>
        <w:rPr>
          <w:rFonts w:hint="eastAsia" w:ascii="宋体" w:hAnsi="宋体" w:eastAsia="宋体" w:cs="黑体"/>
          <w:color w:val="000000" w:themeColor="text1"/>
          <w:sz w:val="30"/>
          <w:szCs w:val="30"/>
          <w:highlight w:val="none"/>
          <w14:textFill>
            <w14:solidFill>
              <w14:schemeClr w14:val="tx1"/>
            </w14:solidFill>
          </w14:textFill>
        </w:rPr>
      </w:pPr>
    </w:p>
    <w:p w14:paraId="2ABEBB42">
      <w:pPr>
        <w:spacing w:line="440" w:lineRule="exact"/>
        <w:rPr>
          <w:rFonts w:hint="eastAsia" w:ascii="宋体" w:hAnsi="宋体" w:eastAsia="宋体" w:cs="黑体"/>
          <w:color w:val="000000" w:themeColor="text1"/>
          <w:sz w:val="30"/>
          <w:szCs w:val="30"/>
          <w:highlight w:val="none"/>
          <w14:textFill>
            <w14:solidFill>
              <w14:schemeClr w14:val="tx1"/>
            </w14:solidFill>
          </w14:textFill>
        </w:rPr>
      </w:pPr>
    </w:p>
    <w:p w14:paraId="7222A492">
      <w:pPr>
        <w:spacing w:line="440" w:lineRule="exact"/>
        <w:rPr>
          <w:rFonts w:hint="eastAsia" w:ascii="宋体" w:hAnsi="宋体" w:eastAsia="宋体" w:cs="黑体"/>
          <w:color w:val="000000" w:themeColor="text1"/>
          <w:sz w:val="30"/>
          <w:szCs w:val="30"/>
          <w:highlight w:val="none"/>
          <w14:textFill>
            <w14:solidFill>
              <w14:schemeClr w14:val="tx1"/>
            </w14:solidFill>
          </w14:textFill>
        </w:rPr>
      </w:pPr>
    </w:p>
    <w:p w14:paraId="36106DD3">
      <w:pPr>
        <w:spacing w:line="440" w:lineRule="exact"/>
        <w:rPr>
          <w:rFonts w:hint="eastAsia" w:ascii="宋体" w:hAnsi="宋体" w:eastAsia="宋体" w:cs="黑体"/>
          <w:color w:val="000000" w:themeColor="text1"/>
          <w:sz w:val="30"/>
          <w:szCs w:val="30"/>
          <w:highlight w:val="none"/>
          <w14:textFill>
            <w14:solidFill>
              <w14:schemeClr w14:val="tx1"/>
            </w14:solidFill>
          </w14:textFill>
        </w:rPr>
      </w:pPr>
    </w:p>
    <w:p w14:paraId="2F520A00">
      <w:pPr>
        <w:spacing w:line="440" w:lineRule="exact"/>
        <w:rPr>
          <w:rFonts w:hint="eastAsia" w:ascii="宋体" w:hAnsi="宋体" w:eastAsia="宋体" w:cs="黑体"/>
          <w:color w:val="000000" w:themeColor="text1"/>
          <w:sz w:val="30"/>
          <w:szCs w:val="30"/>
          <w:highlight w:val="none"/>
          <w14:textFill>
            <w14:solidFill>
              <w14:schemeClr w14:val="tx1"/>
            </w14:solidFill>
          </w14:textFill>
        </w:rPr>
      </w:pPr>
    </w:p>
    <w:p w14:paraId="79566D60">
      <w:pPr>
        <w:spacing w:line="440" w:lineRule="exact"/>
        <w:rPr>
          <w:rFonts w:hint="eastAsia" w:ascii="宋体" w:hAnsi="宋体" w:eastAsia="宋体" w:cs="Times New Roman"/>
          <w:color w:val="000000" w:themeColor="text1"/>
          <w:sz w:val="28"/>
          <w:szCs w:val="28"/>
          <w:highlight w:val="none"/>
          <w14:textFill>
            <w14:solidFill>
              <w14:schemeClr w14:val="tx1"/>
            </w14:solidFill>
          </w14:textFill>
        </w:rPr>
      </w:pPr>
      <w:r>
        <w:rPr>
          <w:rFonts w:hint="eastAsia" w:ascii="宋体" w:hAnsi="宋体" w:eastAsia="宋体" w:cs="黑体"/>
          <w:color w:val="000000" w:themeColor="text1"/>
          <w:sz w:val="28"/>
          <w:szCs w:val="28"/>
          <w:highlight w:val="none"/>
          <w14:textFill>
            <w14:solidFill>
              <w14:schemeClr w14:val="tx1"/>
            </w14:solidFill>
          </w14:textFill>
        </w:rPr>
        <w:br w:type="page"/>
      </w:r>
      <w:r>
        <w:rPr>
          <w:rFonts w:hint="eastAsia" w:ascii="宋体" w:hAnsi="宋体" w:eastAsia="宋体" w:cs="黑体"/>
          <w:color w:val="000000" w:themeColor="text1"/>
          <w:sz w:val="28"/>
          <w:szCs w:val="28"/>
          <w:highlight w:val="none"/>
          <w14:textFill>
            <w14:solidFill>
              <w14:schemeClr w14:val="tx1"/>
            </w14:solidFill>
          </w14:textFill>
        </w:rPr>
        <w:t>附件1</w:t>
      </w:r>
      <w:r>
        <w:rPr>
          <w:rFonts w:hint="eastAsia" w:ascii="宋体" w:hAnsi="宋体" w:eastAsia="宋体" w:cs="Times New Roman"/>
          <w:color w:val="000000" w:themeColor="text1"/>
          <w:sz w:val="28"/>
          <w:szCs w:val="28"/>
          <w:highlight w:val="none"/>
          <w14:textFill>
            <w14:solidFill>
              <w14:schemeClr w14:val="tx1"/>
            </w14:solidFill>
          </w14:textFill>
        </w:rPr>
        <w:t>：已标价的工程量清单</w:t>
      </w:r>
      <w:r>
        <w:rPr>
          <w:rFonts w:hint="eastAsia" w:ascii="宋体" w:hAnsi="宋体" w:eastAsia="宋体" w:cs="黑体"/>
          <w:color w:val="000000" w:themeColor="text1"/>
          <w:sz w:val="28"/>
          <w:szCs w:val="28"/>
          <w:highlight w:val="none"/>
          <w14:textFill>
            <w14:solidFill>
              <w14:schemeClr w14:val="tx1"/>
            </w14:solidFill>
          </w14:textFill>
        </w:rPr>
        <w:br w:type="page"/>
      </w:r>
      <w:r>
        <w:rPr>
          <w:rFonts w:hint="eastAsia" w:ascii="宋体" w:hAnsi="宋体" w:eastAsia="宋体" w:cs="黑体"/>
          <w:color w:val="000000" w:themeColor="text1"/>
          <w:sz w:val="28"/>
          <w:szCs w:val="28"/>
          <w:highlight w:val="none"/>
          <w14:textFill>
            <w14:solidFill>
              <w14:schemeClr w14:val="tx1"/>
            </w14:solidFill>
          </w14:textFill>
        </w:rPr>
        <w:t>附</w:t>
      </w:r>
      <w:bookmarkStart w:id="734" w:name="_Toc296503226"/>
      <w:bookmarkStart w:id="735" w:name="_Toc296891266"/>
      <w:bookmarkStart w:id="736" w:name="_Toc296346727"/>
      <w:bookmarkStart w:id="737" w:name="_Toc296944565"/>
      <w:bookmarkStart w:id="738" w:name="_Toc296347225"/>
      <w:bookmarkStart w:id="739" w:name="_Toc267261693"/>
      <w:bookmarkStart w:id="740" w:name="_Toc296891054"/>
      <w:r>
        <w:rPr>
          <w:rFonts w:hint="eastAsia" w:ascii="宋体" w:hAnsi="宋体" w:eastAsia="宋体" w:cs="黑体"/>
          <w:color w:val="000000" w:themeColor="text1"/>
          <w:sz w:val="28"/>
          <w:szCs w:val="28"/>
          <w:highlight w:val="none"/>
          <w14:textFill>
            <w14:solidFill>
              <w14:schemeClr w14:val="tx1"/>
            </w14:solidFill>
          </w14:textFill>
        </w:rPr>
        <w:t>件</w:t>
      </w:r>
      <w:bookmarkEnd w:id="734"/>
      <w:bookmarkEnd w:id="735"/>
      <w:bookmarkEnd w:id="736"/>
      <w:bookmarkEnd w:id="737"/>
      <w:bookmarkEnd w:id="738"/>
      <w:bookmarkEnd w:id="739"/>
      <w:bookmarkEnd w:id="740"/>
      <w:r>
        <w:rPr>
          <w:rFonts w:hint="eastAsia" w:ascii="宋体" w:hAnsi="宋体" w:eastAsia="宋体" w:cs="黑体"/>
          <w:color w:val="000000" w:themeColor="text1"/>
          <w:sz w:val="28"/>
          <w:szCs w:val="28"/>
          <w:highlight w:val="none"/>
          <w14:textFill>
            <w14:solidFill>
              <w14:schemeClr w14:val="tx1"/>
            </w14:solidFill>
          </w14:textFill>
        </w:rPr>
        <w:t>2</w:t>
      </w:r>
    </w:p>
    <w:p w14:paraId="03AEF1BE">
      <w:pPr>
        <w:tabs>
          <w:tab w:val="left" w:pos="4860"/>
        </w:tabs>
        <w:spacing w:before="156" w:beforeLines="50" w:after="156" w:afterLines="50" w:line="400" w:lineRule="exact"/>
        <w:jc w:val="center"/>
        <w:rPr>
          <w:rFonts w:hint="eastAsia" w:ascii="宋体" w:hAnsi="宋体" w:eastAsia="宋体" w:cs="Times New Roman"/>
          <w:b/>
          <w:color w:val="000000" w:themeColor="text1"/>
          <w:sz w:val="30"/>
          <w:szCs w:val="30"/>
          <w:highlight w:val="none"/>
          <w14:textFill>
            <w14:solidFill>
              <w14:schemeClr w14:val="tx1"/>
            </w14:solidFill>
          </w14:textFill>
        </w:rPr>
      </w:pPr>
      <w:r>
        <w:rPr>
          <w:rFonts w:hint="eastAsia" w:ascii="宋体" w:hAnsi="宋体" w:eastAsia="宋体" w:cs="Times New Roman"/>
          <w:b/>
          <w:color w:val="000000" w:themeColor="text1"/>
          <w:sz w:val="30"/>
          <w:szCs w:val="30"/>
          <w:highlight w:val="none"/>
          <w14:textFill>
            <w14:solidFill>
              <w14:schemeClr w14:val="tx1"/>
            </w14:solidFill>
          </w14:textFill>
        </w:rPr>
        <w:t>工程质量保修书</w:t>
      </w:r>
    </w:p>
    <w:p w14:paraId="697CAEDB">
      <w:pPr>
        <w:tabs>
          <w:tab w:val="left" w:pos="4860"/>
        </w:tabs>
        <w:spacing w:line="480" w:lineRule="exact"/>
        <w:ind w:firstLine="480" w:firstLineChars="200"/>
        <w:rPr>
          <w:rFonts w:hint="eastAsia" w:ascii="宋体" w:hAnsi="宋体" w:eastAsia="宋体" w:cs="Times New Roman"/>
          <w:color w:val="000000" w:themeColor="text1"/>
          <w:sz w:val="24"/>
          <w:highlight w:val="none"/>
          <w14:textFill>
            <w14:solidFill>
              <w14:schemeClr w14:val="tx1"/>
            </w14:solidFill>
          </w14:textFill>
        </w:rPr>
      </w:pPr>
      <w:r>
        <w:rPr>
          <w:rFonts w:hint="eastAsia" w:ascii="宋体" w:hAnsi="宋体" w:eastAsia="宋体" w:cs="Times New Roman"/>
          <w:color w:val="000000" w:themeColor="text1"/>
          <w:sz w:val="24"/>
          <w:highlight w:val="none"/>
          <w14:textFill>
            <w14:solidFill>
              <w14:schemeClr w14:val="tx1"/>
            </w14:solidFill>
          </w14:textFill>
        </w:rPr>
        <w:t>承包人（全称）：</w:t>
      </w:r>
      <w:r>
        <w:rPr>
          <w:rFonts w:hint="eastAsia" w:ascii="宋体" w:hAnsi="宋体" w:eastAsia="宋体" w:cs="宋体"/>
          <w:b/>
          <w:bCs/>
          <w:snapToGrid w:val="0"/>
          <w:color w:val="000000" w:themeColor="text1"/>
          <w:kern w:val="0"/>
          <w:sz w:val="24"/>
          <w:highlight w:val="none"/>
          <w:u w:val="single"/>
          <w14:textFill>
            <w14:solidFill>
              <w14:schemeClr w14:val="tx1"/>
            </w14:solidFill>
          </w14:textFill>
        </w:rPr>
        <w:t>威海威畅市政工程有限公司</w:t>
      </w:r>
    </w:p>
    <w:p w14:paraId="6F4D0789">
      <w:pPr>
        <w:tabs>
          <w:tab w:val="left" w:pos="4860"/>
        </w:tabs>
        <w:spacing w:line="480" w:lineRule="exact"/>
        <w:ind w:firstLine="480"/>
        <w:rPr>
          <w:rFonts w:hint="eastAsia" w:ascii="宋体" w:hAnsi="宋体" w:eastAsia="宋体" w:cs="Times New Roman"/>
          <w:color w:val="000000" w:themeColor="text1"/>
          <w:sz w:val="24"/>
          <w:highlight w:val="none"/>
          <w:u w:val="single"/>
          <w14:textFill>
            <w14:solidFill>
              <w14:schemeClr w14:val="tx1"/>
            </w14:solidFill>
          </w14:textFill>
        </w:rPr>
      </w:pPr>
      <w:r>
        <w:rPr>
          <w:rFonts w:hint="eastAsia" w:ascii="宋体" w:hAnsi="宋体" w:eastAsia="宋体" w:cs="Times New Roman"/>
          <w:color w:val="000000" w:themeColor="text1"/>
          <w:sz w:val="24"/>
          <w:highlight w:val="none"/>
          <w14:textFill>
            <w14:solidFill>
              <w14:schemeClr w14:val="tx1"/>
            </w14:solidFill>
          </w14:textFill>
        </w:rPr>
        <w:t>分包人（全称）：</w:t>
      </w:r>
      <w:r>
        <w:rPr>
          <w:rFonts w:hint="eastAsia" w:ascii="宋体" w:hAnsi="宋体" w:eastAsia="宋体" w:cs="Times New Roman"/>
          <w:color w:val="000000" w:themeColor="text1"/>
          <w:sz w:val="24"/>
          <w:highlight w:val="none"/>
          <w:u w:val="single"/>
          <w14:textFill>
            <w14:solidFill>
              <w14:schemeClr w14:val="tx1"/>
            </w14:solidFill>
          </w14:textFill>
        </w:rPr>
        <w:t xml:space="preserve">                        </w:t>
      </w:r>
    </w:p>
    <w:p w14:paraId="7926F5E6">
      <w:pPr>
        <w:tabs>
          <w:tab w:val="left" w:pos="4860"/>
        </w:tabs>
        <w:spacing w:line="480" w:lineRule="exact"/>
        <w:ind w:firstLine="480"/>
        <w:rPr>
          <w:rFonts w:hint="eastAsia" w:ascii="宋体" w:hAnsi="宋体" w:eastAsia="宋体" w:cs="Times New Roman"/>
          <w:color w:val="000000" w:themeColor="text1"/>
          <w:sz w:val="24"/>
          <w:highlight w:val="none"/>
          <w14:textFill>
            <w14:solidFill>
              <w14:schemeClr w14:val="tx1"/>
            </w14:solidFill>
          </w14:textFill>
        </w:rPr>
      </w:pPr>
    </w:p>
    <w:p w14:paraId="66B45E61">
      <w:pPr>
        <w:tabs>
          <w:tab w:val="left" w:pos="4860"/>
        </w:tabs>
        <w:spacing w:line="460" w:lineRule="exact"/>
        <w:ind w:firstLine="480" w:firstLineChars="200"/>
        <w:jc w:val="left"/>
        <w:rPr>
          <w:rFonts w:hint="eastAsia" w:ascii="宋体" w:hAnsi="宋体" w:eastAsia="宋体" w:cs="Times New Roman"/>
          <w:color w:val="000000" w:themeColor="text1"/>
          <w:sz w:val="24"/>
          <w:highlight w:val="none"/>
          <w14:textFill>
            <w14:solidFill>
              <w14:schemeClr w14:val="tx1"/>
            </w14:solidFill>
          </w14:textFill>
        </w:rPr>
      </w:pPr>
      <w:r>
        <w:rPr>
          <w:rFonts w:hint="eastAsia" w:ascii="宋体" w:hAnsi="宋体" w:eastAsia="宋体" w:cs="Times New Roman"/>
          <w:color w:val="000000" w:themeColor="text1"/>
          <w:sz w:val="24"/>
          <w:highlight w:val="none"/>
          <w14:textFill>
            <w14:solidFill>
              <w14:schemeClr w14:val="tx1"/>
            </w14:solidFill>
          </w14:textFill>
        </w:rPr>
        <w:t>承包人和分包人根据《中华人民共和国建筑法》和《建设工程质量管理条例》，经协商一致就</w:t>
      </w:r>
      <w:r>
        <w:rPr>
          <w:rFonts w:hint="eastAsia" w:ascii="宋体" w:hAnsi="宋体" w:eastAsia="宋体" w:cs="Times New Roman"/>
          <w:b/>
          <w:color w:val="000000" w:themeColor="text1"/>
          <w:sz w:val="24"/>
          <w:highlight w:val="none"/>
          <w:u w:val="single"/>
          <w14:textFill>
            <w14:solidFill>
              <w14:schemeClr w14:val="tx1"/>
            </w14:solidFill>
          </w14:textFill>
        </w:rPr>
        <w:t>百合路土石方工程专业分包</w:t>
      </w:r>
      <w:r>
        <w:rPr>
          <w:rFonts w:hint="eastAsia" w:ascii="宋体" w:hAnsi="宋体" w:eastAsia="宋体" w:cs="Times New Roman"/>
          <w:color w:val="000000" w:themeColor="text1"/>
          <w:sz w:val="24"/>
          <w:highlight w:val="none"/>
          <w14:textFill>
            <w14:solidFill>
              <w14:schemeClr w14:val="tx1"/>
            </w14:solidFill>
          </w14:textFill>
        </w:rPr>
        <w:t>（分包工程全称）签订工程质量保修书。</w:t>
      </w:r>
    </w:p>
    <w:p w14:paraId="3095A9BF">
      <w:pPr>
        <w:wordWrap w:val="0"/>
        <w:snapToGrid w:val="0"/>
        <w:spacing w:line="460" w:lineRule="exact"/>
        <w:ind w:firstLine="480"/>
        <w:rPr>
          <w:rFonts w:hint="eastAsia" w:ascii="宋体" w:hAnsi="宋体" w:eastAsia="宋体" w:cs="仿宋"/>
          <w:snapToGrid w:val="0"/>
          <w:color w:val="000000" w:themeColor="text1"/>
          <w:sz w:val="24"/>
          <w:highlight w:val="none"/>
          <w14:textFill>
            <w14:solidFill>
              <w14:schemeClr w14:val="tx1"/>
            </w14:solidFill>
          </w14:textFill>
        </w:rPr>
      </w:pPr>
      <w:r>
        <w:rPr>
          <w:rFonts w:hint="eastAsia" w:ascii="宋体" w:hAnsi="宋体" w:eastAsia="宋体" w:cs="仿宋"/>
          <w:snapToGrid w:val="0"/>
          <w:color w:val="000000" w:themeColor="text1"/>
          <w:sz w:val="24"/>
          <w:highlight w:val="none"/>
          <w14:textFill>
            <w14:solidFill>
              <w14:schemeClr w14:val="tx1"/>
            </w14:solidFill>
          </w14:textFill>
        </w:rPr>
        <w:t>一、工程质量保修范围和内容</w:t>
      </w:r>
    </w:p>
    <w:p w14:paraId="789DDD8C">
      <w:pPr>
        <w:wordWrap w:val="0"/>
        <w:snapToGrid w:val="0"/>
        <w:spacing w:line="460" w:lineRule="exact"/>
        <w:rPr>
          <w:rFonts w:hint="eastAsia" w:ascii="宋体" w:hAnsi="宋体" w:eastAsia="宋体" w:cs="仿宋"/>
          <w:snapToGrid w:val="0"/>
          <w:color w:val="000000" w:themeColor="text1"/>
          <w:sz w:val="24"/>
          <w:highlight w:val="none"/>
          <w14:textFill>
            <w14:solidFill>
              <w14:schemeClr w14:val="tx1"/>
            </w14:solidFill>
          </w14:textFill>
        </w:rPr>
      </w:pPr>
      <w:r>
        <w:rPr>
          <w:rFonts w:hint="eastAsia" w:ascii="宋体" w:hAnsi="宋体" w:eastAsia="宋体" w:cs="仿宋"/>
          <w:snapToGrid w:val="0"/>
          <w:color w:val="000000" w:themeColor="text1"/>
          <w:sz w:val="24"/>
          <w:highlight w:val="none"/>
          <w14:textFill>
            <w14:solidFill>
              <w14:schemeClr w14:val="tx1"/>
            </w14:solidFill>
          </w14:textFill>
        </w:rPr>
        <w:t>　　分包人在保修期内，按照有关法律规定和合同约定，承担工程质量保修责任。</w:t>
      </w:r>
    </w:p>
    <w:p w14:paraId="5B4949E8">
      <w:pPr>
        <w:wordWrap w:val="0"/>
        <w:snapToGrid w:val="0"/>
        <w:spacing w:line="460" w:lineRule="exact"/>
        <w:rPr>
          <w:rFonts w:hint="eastAsia" w:ascii="宋体" w:hAnsi="宋体" w:eastAsia="宋体" w:cs="仿宋"/>
          <w:snapToGrid w:val="0"/>
          <w:color w:val="000000" w:themeColor="text1"/>
          <w:sz w:val="24"/>
          <w:highlight w:val="none"/>
          <w14:textFill>
            <w14:solidFill>
              <w14:schemeClr w14:val="tx1"/>
            </w14:solidFill>
          </w14:textFill>
        </w:rPr>
      </w:pPr>
      <w:r>
        <w:rPr>
          <w:rFonts w:hint="eastAsia" w:ascii="宋体" w:hAnsi="宋体" w:eastAsia="宋体" w:cs="仿宋"/>
          <w:snapToGrid w:val="0"/>
          <w:color w:val="000000" w:themeColor="text1"/>
          <w:sz w:val="24"/>
          <w:highlight w:val="none"/>
          <w14:textFill>
            <w14:solidFill>
              <w14:schemeClr w14:val="tx1"/>
            </w14:solidFill>
          </w14:textFill>
        </w:rPr>
        <w:t>　　质量保修范围和内容：</w:t>
      </w:r>
      <w:r>
        <w:rPr>
          <w:rFonts w:hint="eastAsia" w:ascii="宋体" w:hAnsi="宋体" w:eastAsia="宋体" w:cs="仿宋"/>
          <w:snapToGrid w:val="0"/>
          <w:color w:val="000000" w:themeColor="text1"/>
          <w:sz w:val="24"/>
          <w:highlight w:val="none"/>
          <w:u w:val="single"/>
          <w14:textFill>
            <w14:solidFill>
              <w14:schemeClr w14:val="tx1"/>
            </w14:solidFill>
          </w14:textFill>
        </w:rPr>
        <w:t>承包人承包范围内的工程内容</w:t>
      </w:r>
      <w:r>
        <w:rPr>
          <w:rFonts w:hint="eastAsia" w:ascii="宋体" w:hAnsi="宋体" w:eastAsia="宋体" w:cs="仿宋"/>
          <w:snapToGrid w:val="0"/>
          <w:color w:val="000000" w:themeColor="text1"/>
          <w:sz w:val="24"/>
          <w:highlight w:val="none"/>
          <w14:textFill>
            <w14:solidFill>
              <w14:schemeClr w14:val="tx1"/>
            </w14:solidFill>
          </w14:textFill>
        </w:rPr>
        <w:t>。</w:t>
      </w:r>
    </w:p>
    <w:p w14:paraId="25A52179">
      <w:pPr>
        <w:wordWrap w:val="0"/>
        <w:snapToGrid w:val="0"/>
        <w:spacing w:line="460" w:lineRule="exact"/>
        <w:rPr>
          <w:rFonts w:hint="eastAsia" w:ascii="宋体" w:hAnsi="宋体" w:eastAsia="宋体" w:cs="仿宋"/>
          <w:snapToGrid w:val="0"/>
          <w:color w:val="000000" w:themeColor="text1"/>
          <w:sz w:val="24"/>
          <w:highlight w:val="none"/>
          <w14:textFill>
            <w14:solidFill>
              <w14:schemeClr w14:val="tx1"/>
            </w14:solidFill>
          </w14:textFill>
        </w:rPr>
      </w:pPr>
      <w:r>
        <w:rPr>
          <w:rFonts w:hint="eastAsia" w:ascii="宋体" w:hAnsi="宋体" w:eastAsia="宋体" w:cs="仿宋"/>
          <w:b/>
          <w:snapToGrid w:val="0"/>
          <w:color w:val="000000" w:themeColor="text1"/>
          <w:sz w:val="24"/>
          <w:highlight w:val="none"/>
          <w14:textFill>
            <w14:solidFill>
              <w14:schemeClr w14:val="tx1"/>
            </w14:solidFill>
          </w14:textFill>
        </w:rPr>
        <w:t>　　</w:t>
      </w:r>
      <w:r>
        <w:rPr>
          <w:rFonts w:hint="eastAsia" w:ascii="宋体" w:hAnsi="宋体" w:eastAsia="宋体" w:cs="仿宋"/>
          <w:snapToGrid w:val="0"/>
          <w:color w:val="000000" w:themeColor="text1"/>
          <w:sz w:val="24"/>
          <w:highlight w:val="none"/>
          <w14:textFill>
            <w14:solidFill>
              <w14:schemeClr w14:val="tx1"/>
            </w14:solidFill>
          </w14:textFill>
        </w:rPr>
        <w:t>二、保修期</w:t>
      </w:r>
    </w:p>
    <w:p w14:paraId="4B01F0C7">
      <w:pPr>
        <w:wordWrap w:val="0"/>
        <w:snapToGrid w:val="0"/>
        <w:spacing w:line="460" w:lineRule="exact"/>
        <w:ind w:firstLine="480" w:firstLineChars="200"/>
        <w:rPr>
          <w:rFonts w:hint="eastAsia" w:ascii="宋体" w:hAnsi="宋体" w:eastAsia="宋体" w:cs="仿宋"/>
          <w:color w:val="000000" w:themeColor="text1"/>
          <w:sz w:val="24"/>
          <w:highlight w:val="none"/>
          <w:u w:val="singl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根据《建设工程质量管理条例》及有关规定，分包工程的保修期如下：</w:t>
      </w:r>
      <w:r>
        <w:rPr>
          <w:rFonts w:hint="eastAsia" w:ascii="宋体" w:hAnsi="宋体" w:eastAsia="宋体" w:cs="仿宋"/>
          <w:color w:val="000000" w:themeColor="text1"/>
          <w:sz w:val="24"/>
          <w:highlight w:val="none"/>
          <w:u w:val="single"/>
          <w14:textFill>
            <w14:solidFill>
              <w14:schemeClr w14:val="tx1"/>
            </w14:solidFill>
          </w14:textFill>
        </w:rPr>
        <w:t>本工程质保期为2年，其他未约定的分项工程的质量保修期2年。</w:t>
      </w:r>
    </w:p>
    <w:p w14:paraId="247EE99F">
      <w:pPr>
        <w:wordWrap w:val="0"/>
        <w:snapToGrid w:val="0"/>
        <w:spacing w:line="460" w:lineRule="exac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　　保修期自</w:t>
      </w:r>
      <w:r>
        <w:rPr>
          <w:rFonts w:hint="eastAsia" w:ascii="宋体" w:hAnsi="宋体" w:eastAsia="宋体" w:cs="仿宋"/>
          <w:color w:val="000000" w:themeColor="text1"/>
          <w:sz w:val="24"/>
          <w:highlight w:val="none"/>
          <w:u w:val="single"/>
          <w14:textFill>
            <w14:solidFill>
              <w14:schemeClr w14:val="tx1"/>
            </w14:solidFill>
          </w14:textFill>
        </w:rPr>
        <w:t>工程竣工验收合格之日</w:t>
      </w:r>
      <w:r>
        <w:rPr>
          <w:rFonts w:hint="eastAsia" w:ascii="宋体" w:hAnsi="宋体" w:eastAsia="宋体" w:cs="仿宋"/>
          <w:color w:val="000000" w:themeColor="text1"/>
          <w:sz w:val="24"/>
          <w:highlight w:val="none"/>
          <w14:textFill>
            <w14:solidFill>
              <w14:schemeClr w14:val="tx1"/>
            </w14:solidFill>
          </w14:textFill>
        </w:rPr>
        <w:t>起计算。</w:t>
      </w:r>
    </w:p>
    <w:p w14:paraId="33D53EBF">
      <w:pPr>
        <w:wordWrap w:val="0"/>
        <w:snapToGrid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三、缺陷责任期</w:t>
      </w:r>
    </w:p>
    <w:p w14:paraId="16D4F1E4">
      <w:pPr>
        <w:wordWrap w:val="0"/>
        <w:snapToGrid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分包工程缺陷责任期为</w:t>
      </w:r>
      <w:r>
        <w:rPr>
          <w:rFonts w:hint="eastAsia" w:ascii="宋体" w:hAnsi="宋体" w:eastAsia="宋体" w:cs="仿宋"/>
          <w:color w:val="000000" w:themeColor="text1"/>
          <w:sz w:val="24"/>
          <w:highlight w:val="none"/>
          <w:u w:val="single"/>
          <w14:textFill>
            <w14:solidFill>
              <w14:schemeClr w14:val="tx1"/>
            </w14:solidFill>
          </w14:textFill>
        </w:rPr>
        <w:t>24</w:t>
      </w:r>
      <w:r>
        <w:rPr>
          <w:rFonts w:hint="eastAsia" w:ascii="宋体" w:hAnsi="宋体" w:eastAsia="宋体" w:cs="仿宋"/>
          <w:color w:val="000000" w:themeColor="text1"/>
          <w:sz w:val="24"/>
          <w:highlight w:val="none"/>
          <w14:textFill>
            <w14:solidFill>
              <w14:schemeClr w14:val="tx1"/>
            </w14:solidFill>
          </w14:textFill>
        </w:rPr>
        <w:t>个月，缺陷责任期自</w:t>
      </w:r>
      <w:r>
        <w:rPr>
          <w:rFonts w:hint="eastAsia" w:ascii="宋体" w:hAnsi="宋体" w:eastAsia="宋体" w:cs="仿宋"/>
          <w:color w:val="000000" w:themeColor="text1"/>
          <w:sz w:val="24"/>
          <w:highlight w:val="none"/>
          <w:u w:val="single"/>
          <w14:textFill>
            <w14:solidFill>
              <w14:schemeClr w14:val="tx1"/>
            </w14:solidFill>
          </w14:textFill>
        </w:rPr>
        <w:t>工程通过竣工验收之日</w:t>
      </w:r>
      <w:r>
        <w:rPr>
          <w:rFonts w:hint="eastAsia" w:ascii="宋体" w:hAnsi="宋体" w:eastAsia="宋体" w:cs="仿宋"/>
          <w:color w:val="000000" w:themeColor="text1"/>
          <w:sz w:val="24"/>
          <w:highlight w:val="none"/>
          <w14:textFill>
            <w14:solidFill>
              <w14:schemeClr w14:val="tx1"/>
            </w14:solidFill>
          </w14:textFill>
        </w:rPr>
        <w:t>起计算。</w:t>
      </w:r>
    </w:p>
    <w:p w14:paraId="02507CC4">
      <w:pPr>
        <w:wordWrap w:val="0"/>
        <w:snapToGrid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缺陷责任期终止后，承包人应退还剩余的质量保证金。</w:t>
      </w:r>
    </w:p>
    <w:p w14:paraId="64CF22DF">
      <w:pPr>
        <w:wordWrap w:val="0"/>
        <w:snapToGrid w:val="0"/>
        <w:spacing w:line="460" w:lineRule="exac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 xml:space="preserve">    四、质量保修责任</w:t>
      </w:r>
    </w:p>
    <w:p w14:paraId="7979C3A4">
      <w:pPr>
        <w:wordWrap w:val="0"/>
        <w:snapToGrid w:val="0"/>
        <w:spacing w:line="460" w:lineRule="exact"/>
        <w:ind w:firstLine="491" w:firstLineChars="205"/>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1．属于保修范围、内容的项目，分包人应当在接到保修通知之日起3天内派人保修。分包人不在约定期限内派人保修的，承包人可以委托他人修理。</w:t>
      </w:r>
    </w:p>
    <w:p w14:paraId="4F535A5F">
      <w:pPr>
        <w:wordWrap w:val="0"/>
        <w:snapToGrid w:val="0"/>
        <w:spacing w:line="460" w:lineRule="exact"/>
        <w:ind w:firstLine="491" w:firstLineChars="205"/>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2．发生紧急事故需抢修的，分包人在接到事故通知后，应当立即到达事故现场抢修。</w:t>
      </w:r>
    </w:p>
    <w:p w14:paraId="4BBEC8A6">
      <w:pPr>
        <w:wordWrap w:val="0"/>
        <w:snapToGrid w:val="0"/>
        <w:spacing w:line="460" w:lineRule="exact"/>
        <w:ind w:firstLine="491" w:firstLineChars="205"/>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3．对于涉及结构安全的质量问题，分包人应当按照《建设工程质量管理条例》的规定，立即向当地建设行政主管部门和有关部门报告，采取安全防范措施，并由原设计人或者具有相应资质等级的设计人提出保修方案，分包人实施保修。</w:t>
      </w:r>
    </w:p>
    <w:p w14:paraId="712475D9">
      <w:pPr>
        <w:wordWrap w:val="0"/>
        <w:snapToGrid w:val="0"/>
        <w:spacing w:line="460" w:lineRule="exact"/>
        <w:ind w:firstLine="491" w:firstLineChars="205"/>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4．质量保修完成后，由承包人组织验收。</w:t>
      </w:r>
    </w:p>
    <w:p w14:paraId="1EC9F51A">
      <w:pPr>
        <w:wordWrap w:val="0"/>
        <w:snapToGrid w:val="0"/>
        <w:spacing w:line="460" w:lineRule="exac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　　五、保修费用</w:t>
      </w:r>
    </w:p>
    <w:p w14:paraId="44CCB63E">
      <w:pPr>
        <w:wordWrap w:val="0"/>
        <w:snapToGrid w:val="0"/>
        <w:spacing w:line="460" w:lineRule="exact"/>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　　保修费用由造成质量缺陷的责任方承担。</w:t>
      </w:r>
    </w:p>
    <w:p w14:paraId="7C785385">
      <w:pPr>
        <w:wordWrap w:val="0"/>
        <w:snapToGrid w:val="0"/>
        <w:spacing w:line="460" w:lineRule="exact"/>
        <w:ind w:firstLine="480" w:firstLineChars="20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六、双方约定的其他工程质量保修事项：</w:t>
      </w:r>
      <w:r>
        <w:rPr>
          <w:rFonts w:hint="eastAsia" w:ascii="宋体" w:hAnsi="宋体" w:eastAsia="宋体" w:cs="仿宋"/>
          <w:color w:val="000000" w:themeColor="text1"/>
          <w:sz w:val="24"/>
          <w:highlight w:val="none"/>
          <w:u w:val="single"/>
          <w14:textFill>
            <w14:solidFill>
              <w14:schemeClr w14:val="tx1"/>
            </w14:solidFill>
          </w14:textFill>
        </w:rPr>
        <w:t>----------</w:t>
      </w:r>
      <w:r>
        <w:rPr>
          <w:rFonts w:hint="eastAsia" w:ascii="宋体" w:hAnsi="宋体" w:eastAsia="宋体" w:cs="仿宋"/>
          <w:color w:val="000000" w:themeColor="text1"/>
          <w:sz w:val="24"/>
          <w:highlight w:val="none"/>
          <w14:textFill>
            <w14:solidFill>
              <w14:schemeClr w14:val="tx1"/>
            </w14:solidFill>
          </w14:textFill>
        </w:rPr>
        <w:t>。</w:t>
      </w:r>
    </w:p>
    <w:p w14:paraId="2F28FDD8">
      <w:pPr>
        <w:wordWrap w:val="0"/>
        <w:snapToGrid w:val="0"/>
        <w:spacing w:line="460" w:lineRule="exact"/>
        <w:ind w:firstLine="456" w:firstLineChars="190"/>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工程质量保修书由承包人、分包人在工程完工验收前共同签署，作为分包合同的附件，其有效期限至保修期满。</w:t>
      </w:r>
    </w:p>
    <w:p w14:paraId="529F09EE">
      <w:pPr>
        <w:spacing w:line="460" w:lineRule="exact"/>
        <w:rPr>
          <w:rFonts w:hint="eastAsia" w:ascii="宋体" w:hAnsi="宋体" w:eastAsia="宋体" w:cs="Times New Roman"/>
          <w:color w:val="000000" w:themeColor="text1"/>
          <w:sz w:val="28"/>
          <w:szCs w:val="28"/>
          <w:highlight w:val="none"/>
          <w14:textFill>
            <w14:solidFill>
              <w14:schemeClr w14:val="tx1"/>
            </w14:solidFill>
          </w14:textFill>
        </w:rPr>
      </w:pPr>
    </w:p>
    <w:p w14:paraId="3A4CCDB9">
      <w:pPr>
        <w:spacing w:line="460" w:lineRule="exact"/>
        <w:ind w:firstLine="360" w:firstLineChars="150"/>
        <w:rPr>
          <w:rFonts w:hint="eastAsia" w:ascii="宋体" w:hAnsi="宋体" w:eastAsia="宋体" w:cs="Times New Roman"/>
          <w:color w:val="000000" w:themeColor="text1"/>
          <w:sz w:val="24"/>
          <w:highlight w:val="none"/>
          <w14:textFill>
            <w14:solidFill>
              <w14:schemeClr w14:val="tx1"/>
            </w14:solidFill>
          </w14:textFill>
        </w:rPr>
      </w:pPr>
      <w:r>
        <w:rPr>
          <w:rFonts w:hint="eastAsia" w:ascii="宋体" w:hAnsi="宋体" w:eastAsia="宋体" w:cs="Times New Roman"/>
          <w:color w:val="000000" w:themeColor="text1"/>
          <w:sz w:val="24"/>
          <w:highlight w:val="none"/>
          <w14:textFill>
            <w14:solidFill>
              <w14:schemeClr w14:val="tx1"/>
            </w14:solidFill>
          </w14:textFill>
        </w:rPr>
        <w:t>发包人(盖章)：                             承包人(盖章)：</w:t>
      </w:r>
    </w:p>
    <w:p w14:paraId="2F7CF904">
      <w:pPr>
        <w:spacing w:line="460" w:lineRule="exact"/>
        <w:rPr>
          <w:rFonts w:hint="eastAsia" w:ascii="宋体" w:hAnsi="宋体" w:eastAsia="宋体" w:cs="Times New Roman"/>
          <w:color w:val="000000" w:themeColor="text1"/>
          <w:sz w:val="28"/>
          <w:szCs w:val="28"/>
          <w:highlight w:val="none"/>
          <w14:textFill>
            <w14:solidFill>
              <w14:schemeClr w14:val="tx1"/>
            </w14:solidFill>
          </w14:textFill>
        </w:rPr>
      </w:pPr>
    </w:p>
    <w:p w14:paraId="6869DAE1">
      <w:pPr>
        <w:spacing w:line="460" w:lineRule="exact"/>
        <w:rPr>
          <w:rFonts w:hint="eastAsia" w:ascii="宋体" w:hAnsi="宋体" w:eastAsia="宋体" w:cs="Times New Roman"/>
          <w:color w:val="000000" w:themeColor="text1"/>
          <w:sz w:val="28"/>
          <w:szCs w:val="28"/>
          <w:highlight w:val="none"/>
          <w14:textFill>
            <w14:solidFill>
              <w14:schemeClr w14:val="tx1"/>
            </w14:solidFill>
          </w14:textFill>
        </w:rPr>
      </w:pPr>
    </w:p>
    <w:p w14:paraId="3FFECE11">
      <w:pPr>
        <w:spacing w:line="460" w:lineRule="exact"/>
        <w:ind w:firstLine="360" w:firstLineChars="150"/>
        <w:rPr>
          <w:rFonts w:hint="eastAsia" w:ascii="宋体" w:hAnsi="宋体" w:eastAsia="宋体" w:cs="Times New Roman"/>
          <w:color w:val="000000" w:themeColor="text1"/>
          <w:sz w:val="24"/>
          <w:highlight w:val="none"/>
          <w14:textFill>
            <w14:solidFill>
              <w14:schemeClr w14:val="tx1"/>
            </w14:solidFill>
          </w14:textFill>
        </w:rPr>
      </w:pPr>
      <w:r>
        <w:rPr>
          <w:rFonts w:hint="eastAsia" w:ascii="宋体" w:hAnsi="宋体" w:eastAsia="宋体" w:cs="Times New Roman"/>
          <w:color w:val="000000" w:themeColor="text1"/>
          <w:sz w:val="24"/>
          <w:highlight w:val="none"/>
          <w14:textFill>
            <w14:solidFill>
              <w14:schemeClr w14:val="tx1"/>
            </w14:solidFill>
          </w14:textFill>
        </w:rPr>
        <w:t>法定代表人或其委托代理人：                 法定代表人或其委托代理人：</w:t>
      </w:r>
    </w:p>
    <w:p w14:paraId="2D344455">
      <w:pPr>
        <w:spacing w:line="460" w:lineRule="exact"/>
        <w:ind w:firstLine="360" w:firstLineChars="150"/>
        <w:rPr>
          <w:rFonts w:hint="eastAsia" w:ascii="宋体" w:hAnsi="宋体" w:eastAsia="宋体" w:cs="Times New Roman"/>
          <w:color w:val="000000" w:themeColor="text1"/>
          <w:sz w:val="24"/>
          <w:highlight w:val="none"/>
          <w14:textFill>
            <w14:solidFill>
              <w14:schemeClr w14:val="tx1"/>
            </w14:solidFill>
          </w14:textFill>
        </w:rPr>
      </w:pPr>
      <w:r>
        <w:rPr>
          <w:rFonts w:hint="eastAsia" w:ascii="宋体" w:hAnsi="宋体" w:eastAsia="宋体" w:cs="Times New Roman"/>
          <w:color w:val="000000" w:themeColor="text1"/>
          <w:sz w:val="24"/>
          <w:highlight w:val="none"/>
          <w14:textFill>
            <w14:solidFill>
              <w14:schemeClr w14:val="tx1"/>
            </w14:solidFill>
          </w14:textFill>
        </w:rPr>
        <w:t>（签字或盖章）                            （签字或盖章）</w:t>
      </w:r>
    </w:p>
    <w:p w14:paraId="492E48C5">
      <w:pPr>
        <w:spacing w:line="460" w:lineRule="exact"/>
        <w:rPr>
          <w:rFonts w:hint="eastAsia" w:ascii="宋体" w:hAnsi="宋体" w:eastAsia="宋体" w:cs="Times New Roman"/>
          <w:color w:val="000000" w:themeColor="text1"/>
          <w:sz w:val="24"/>
          <w:highlight w:val="none"/>
          <w14:textFill>
            <w14:solidFill>
              <w14:schemeClr w14:val="tx1"/>
            </w14:solidFill>
          </w14:textFill>
        </w:rPr>
      </w:pPr>
    </w:p>
    <w:p w14:paraId="0FAA89E2">
      <w:pPr>
        <w:spacing w:line="460" w:lineRule="exact"/>
        <w:rPr>
          <w:rFonts w:hint="eastAsia" w:ascii="宋体" w:hAnsi="宋体" w:eastAsia="宋体" w:cs="Times New Roman"/>
          <w:color w:val="000000" w:themeColor="text1"/>
          <w:sz w:val="24"/>
          <w:highlight w:val="none"/>
          <w14:textFill>
            <w14:solidFill>
              <w14:schemeClr w14:val="tx1"/>
            </w14:solidFill>
          </w14:textFill>
        </w:rPr>
      </w:pPr>
    </w:p>
    <w:p w14:paraId="1C784E30">
      <w:pPr>
        <w:spacing w:line="460" w:lineRule="exact"/>
        <w:rPr>
          <w:rFonts w:hint="eastAsia" w:ascii="宋体" w:hAnsi="宋体" w:eastAsia="宋体" w:cs="Times New Roman"/>
          <w:color w:val="000000" w:themeColor="text1"/>
          <w:sz w:val="24"/>
          <w:highlight w:val="none"/>
          <w14:textFill>
            <w14:solidFill>
              <w14:schemeClr w14:val="tx1"/>
            </w14:solidFill>
          </w14:textFill>
        </w:rPr>
      </w:pPr>
      <w:r>
        <w:rPr>
          <w:rFonts w:hint="eastAsia" w:ascii="宋体" w:hAnsi="宋体" w:eastAsia="宋体" w:cs="Times New Roman"/>
          <w:color w:val="000000" w:themeColor="text1"/>
          <w:sz w:val="24"/>
          <w:highlight w:val="none"/>
          <w14:textFill>
            <w14:solidFill>
              <w14:schemeClr w14:val="tx1"/>
            </w14:solidFill>
          </w14:textFill>
        </w:rPr>
        <w:t xml:space="preserve">                                                </w:t>
      </w:r>
    </w:p>
    <w:p w14:paraId="4E5C4BEC">
      <w:pPr>
        <w:spacing w:line="460" w:lineRule="exact"/>
        <w:jc w:val="right"/>
        <w:rPr>
          <w:rFonts w:hint="eastAsia" w:ascii="宋体" w:hAnsi="宋体" w:eastAsia="宋体" w:cs="Times New Roman"/>
          <w:color w:val="000000" w:themeColor="text1"/>
          <w:sz w:val="24"/>
          <w:highlight w:val="none"/>
          <w14:textFill>
            <w14:solidFill>
              <w14:schemeClr w14:val="tx1"/>
            </w14:solidFill>
          </w14:textFill>
        </w:rPr>
      </w:pPr>
      <w:r>
        <w:rPr>
          <w:rFonts w:hint="eastAsia" w:ascii="宋体" w:hAnsi="宋体" w:eastAsia="宋体" w:cs="Times New Roman"/>
          <w:color w:val="000000" w:themeColor="text1"/>
          <w:sz w:val="24"/>
          <w:highlight w:val="none"/>
          <w14:textFill>
            <w14:solidFill>
              <w14:schemeClr w14:val="tx1"/>
            </w14:solidFill>
          </w14:textFill>
        </w:rPr>
        <w:t>日期：   年  月  日</w:t>
      </w:r>
    </w:p>
    <w:p w14:paraId="45D97753">
      <w:pPr>
        <w:rPr>
          <w:rFonts w:hint="eastAsia" w:ascii="宋体" w:hAnsi="宋体" w:eastAsia="宋体" w:cs="Times New Roman"/>
          <w:color w:val="000000" w:themeColor="text1"/>
          <w:sz w:val="24"/>
          <w:highlight w:val="none"/>
          <w14:textFill>
            <w14:solidFill>
              <w14:schemeClr w14:val="tx1"/>
            </w14:solidFill>
          </w14:textFill>
        </w:rPr>
      </w:pPr>
      <w:r>
        <w:rPr>
          <w:rFonts w:hint="eastAsia" w:ascii="宋体" w:hAnsi="宋体" w:eastAsia="宋体" w:cs="Times New Roman"/>
          <w:color w:val="000000" w:themeColor="text1"/>
          <w:sz w:val="24"/>
          <w:highlight w:val="none"/>
          <w14:textFill>
            <w14:solidFill>
              <w14:schemeClr w14:val="tx1"/>
            </w14:solidFill>
          </w14:textFill>
        </w:rPr>
        <w:br w:type="page"/>
      </w:r>
    </w:p>
    <w:p w14:paraId="42C375C8">
      <w:pPr>
        <w:rPr>
          <w:rFonts w:hint="eastAsia" w:ascii="宋体" w:hAnsi="宋体" w:eastAsia="宋体" w:cs="Times New Roman"/>
          <w:color w:val="000000" w:themeColor="text1"/>
          <w:sz w:val="28"/>
          <w:szCs w:val="28"/>
          <w:highlight w:val="none"/>
          <w14:textFill>
            <w14:solidFill>
              <w14:schemeClr w14:val="tx1"/>
            </w14:solidFill>
          </w14:textFill>
        </w:rPr>
      </w:pPr>
      <w:r>
        <w:rPr>
          <w:rFonts w:hint="eastAsia" w:ascii="宋体" w:hAnsi="宋体" w:eastAsia="宋体" w:cs="黑体"/>
          <w:bCs/>
          <w:color w:val="000000" w:themeColor="text1"/>
          <w:sz w:val="28"/>
          <w:szCs w:val="28"/>
          <w:highlight w:val="none"/>
          <w14:textFill>
            <w14:solidFill>
              <w14:schemeClr w14:val="tx1"/>
            </w14:solidFill>
          </w14:textFill>
        </w:rPr>
        <w:t>附件3</w:t>
      </w:r>
      <w:r>
        <w:rPr>
          <w:rFonts w:hint="eastAsia" w:ascii="宋体" w:hAnsi="宋体" w:eastAsia="宋体" w:cs="Times New Roman"/>
          <w:color w:val="000000" w:themeColor="text1"/>
          <w:sz w:val="28"/>
          <w:szCs w:val="28"/>
          <w:highlight w:val="none"/>
          <w14:textFill>
            <w14:solidFill>
              <w14:schemeClr w14:val="tx1"/>
            </w14:solidFill>
          </w14:textFill>
        </w:rPr>
        <w:t>：</w:t>
      </w:r>
    </w:p>
    <w:p w14:paraId="5F8A5032">
      <w:pPr>
        <w:tabs>
          <w:tab w:val="left" w:pos="4860"/>
        </w:tabs>
        <w:spacing w:before="156" w:beforeLines="50" w:after="156" w:afterLines="50" w:line="400" w:lineRule="exact"/>
        <w:jc w:val="center"/>
        <w:rPr>
          <w:rFonts w:hint="eastAsia" w:ascii="宋体" w:hAnsi="宋体" w:eastAsia="宋体" w:cs="Times New Roman"/>
          <w:b/>
          <w:color w:val="000000" w:themeColor="text1"/>
          <w:sz w:val="30"/>
          <w:szCs w:val="30"/>
          <w:highlight w:val="none"/>
          <w14:textFill>
            <w14:solidFill>
              <w14:schemeClr w14:val="tx1"/>
            </w14:solidFill>
          </w14:textFill>
        </w:rPr>
      </w:pPr>
      <w:r>
        <w:rPr>
          <w:rFonts w:hint="eastAsia" w:ascii="宋体" w:hAnsi="宋体" w:eastAsia="宋体" w:cs="Times New Roman"/>
          <w:b/>
          <w:color w:val="000000" w:themeColor="text1"/>
          <w:sz w:val="30"/>
          <w:szCs w:val="30"/>
          <w:highlight w:val="none"/>
          <w14:textFill>
            <w14:solidFill>
              <w14:schemeClr w14:val="tx1"/>
            </w14:solidFill>
          </w14:textFill>
        </w:rPr>
        <w:t>分包人主要项目管理人员表</w:t>
      </w:r>
    </w:p>
    <w:tbl>
      <w:tblPr>
        <w:tblStyle w:val="67"/>
        <w:tblW w:w="979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2068"/>
        <w:gridCol w:w="1567"/>
        <w:gridCol w:w="2593"/>
        <w:gridCol w:w="3567"/>
      </w:tblGrid>
      <w:tr w14:paraId="737B05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91" w:hRule="atLeast"/>
          <w:jc w:val="center"/>
        </w:trPr>
        <w:tc>
          <w:tcPr>
            <w:tcW w:w="2069" w:type="dxa"/>
            <w:tcBorders>
              <w:top w:val="single" w:color="auto" w:sz="12" w:space="0"/>
              <w:left w:val="single" w:color="auto" w:sz="12" w:space="0"/>
              <w:bottom w:val="double" w:color="auto" w:sz="6" w:space="0"/>
              <w:right w:val="single" w:color="auto" w:sz="6" w:space="0"/>
            </w:tcBorders>
            <w:vAlign w:val="center"/>
          </w:tcPr>
          <w:p w14:paraId="5833867F">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名    称</w:t>
            </w:r>
          </w:p>
        </w:tc>
        <w:tc>
          <w:tcPr>
            <w:tcW w:w="1567" w:type="dxa"/>
            <w:tcBorders>
              <w:top w:val="single" w:color="auto" w:sz="12" w:space="0"/>
              <w:left w:val="single" w:color="auto" w:sz="6" w:space="0"/>
              <w:bottom w:val="double" w:color="auto" w:sz="6" w:space="0"/>
              <w:right w:val="single" w:color="auto" w:sz="6" w:space="0"/>
            </w:tcBorders>
            <w:vAlign w:val="center"/>
          </w:tcPr>
          <w:p w14:paraId="4BBBAB66">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姓名</w:t>
            </w:r>
          </w:p>
        </w:tc>
        <w:tc>
          <w:tcPr>
            <w:tcW w:w="2594" w:type="dxa"/>
            <w:tcBorders>
              <w:top w:val="single" w:color="auto" w:sz="12" w:space="0"/>
              <w:left w:val="single" w:color="auto" w:sz="6" w:space="0"/>
              <w:bottom w:val="double" w:color="auto" w:sz="6" w:space="0"/>
              <w:right w:val="single" w:color="auto" w:sz="6" w:space="0"/>
            </w:tcBorders>
            <w:vAlign w:val="center"/>
          </w:tcPr>
          <w:p w14:paraId="79AB4C28">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证书编号</w:t>
            </w:r>
          </w:p>
        </w:tc>
        <w:tc>
          <w:tcPr>
            <w:tcW w:w="3568" w:type="dxa"/>
            <w:tcBorders>
              <w:top w:val="single" w:color="auto" w:sz="12" w:space="0"/>
              <w:left w:val="single" w:color="auto" w:sz="6" w:space="0"/>
              <w:bottom w:val="double" w:color="auto" w:sz="6" w:space="0"/>
              <w:right w:val="single" w:color="auto" w:sz="12" w:space="0"/>
            </w:tcBorders>
            <w:vAlign w:val="center"/>
          </w:tcPr>
          <w:p w14:paraId="3B958E25">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r>
              <w:rPr>
                <w:rFonts w:hint="eastAsia" w:ascii="宋体" w:hAnsi="宋体" w:eastAsia="宋体" w:cs="仿宋"/>
                <w:color w:val="000000" w:themeColor="text1"/>
                <w:sz w:val="24"/>
                <w:highlight w:val="none"/>
                <w14:textFill>
                  <w14:solidFill>
                    <w14:schemeClr w14:val="tx1"/>
                  </w14:solidFill>
                </w14:textFill>
              </w:rPr>
              <w:t>联系电话</w:t>
            </w:r>
          </w:p>
        </w:tc>
      </w:tr>
      <w:tr w14:paraId="483A6D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74" w:hRule="atLeast"/>
          <w:jc w:val="center"/>
        </w:trPr>
        <w:tc>
          <w:tcPr>
            <w:tcW w:w="2069" w:type="dxa"/>
            <w:tcBorders>
              <w:top w:val="single" w:color="auto" w:sz="6" w:space="0"/>
              <w:left w:val="single" w:color="auto" w:sz="12" w:space="0"/>
              <w:bottom w:val="single" w:color="auto" w:sz="6" w:space="0"/>
              <w:right w:val="single" w:color="auto" w:sz="6" w:space="0"/>
            </w:tcBorders>
            <w:vAlign w:val="center"/>
          </w:tcPr>
          <w:p w14:paraId="519938B9">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p>
        </w:tc>
        <w:tc>
          <w:tcPr>
            <w:tcW w:w="1567" w:type="dxa"/>
            <w:tcBorders>
              <w:top w:val="single" w:color="auto" w:sz="6" w:space="0"/>
              <w:left w:val="single" w:color="auto" w:sz="6" w:space="0"/>
              <w:bottom w:val="single" w:color="auto" w:sz="6" w:space="0"/>
              <w:right w:val="single" w:color="auto" w:sz="6" w:space="0"/>
            </w:tcBorders>
            <w:vAlign w:val="center"/>
          </w:tcPr>
          <w:p w14:paraId="7E21E93F">
            <w:pPr>
              <w:spacing w:line="460" w:lineRule="exact"/>
              <w:jc w:val="center"/>
              <w:rPr>
                <w:rFonts w:hint="eastAsia" w:ascii="宋体" w:hAnsi="宋体" w:eastAsia="宋体" w:cs="仿宋"/>
                <w:color w:val="000000" w:themeColor="text1"/>
                <w:sz w:val="24"/>
                <w:highlight w:val="none"/>
                <w14:textFill>
                  <w14:solidFill>
                    <w14:schemeClr w14:val="tx1"/>
                  </w14:solidFill>
                </w14:textFill>
              </w:rPr>
            </w:pPr>
          </w:p>
        </w:tc>
        <w:tc>
          <w:tcPr>
            <w:tcW w:w="2594" w:type="dxa"/>
            <w:tcBorders>
              <w:top w:val="single" w:color="auto" w:sz="6" w:space="0"/>
              <w:left w:val="single" w:color="auto" w:sz="6" w:space="0"/>
              <w:bottom w:val="single" w:color="auto" w:sz="6" w:space="0"/>
              <w:right w:val="single" w:color="auto" w:sz="6" w:space="0"/>
            </w:tcBorders>
            <w:vAlign w:val="center"/>
          </w:tcPr>
          <w:p w14:paraId="75FE0022">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p>
        </w:tc>
        <w:tc>
          <w:tcPr>
            <w:tcW w:w="3568" w:type="dxa"/>
            <w:tcBorders>
              <w:top w:val="single" w:color="auto" w:sz="6" w:space="0"/>
              <w:left w:val="single" w:color="auto" w:sz="6" w:space="0"/>
              <w:bottom w:val="single" w:color="auto" w:sz="6" w:space="0"/>
              <w:right w:val="single" w:color="auto" w:sz="12" w:space="0"/>
            </w:tcBorders>
            <w:vAlign w:val="center"/>
          </w:tcPr>
          <w:p w14:paraId="2C580812">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p>
        </w:tc>
      </w:tr>
      <w:tr w14:paraId="00B7EF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7" w:hRule="atLeast"/>
          <w:jc w:val="center"/>
        </w:trPr>
        <w:tc>
          <w:tcPr>
            <w:tcW w:w="2069" w:type="dxa"/>
            <w:tcBorders>
              <w:top w:val="single" w:color="auto" w:sz="6" w:space="0"/>
              <w:left w:val="single" w:color="auto" w:sz="12" w:space="0"/>
              <w:bottom w:val="single" w:color="auto" w:sz="6" w:space="0"/>
              <w:right w:val="single" w:color="auto" w:sz="6" w:space="0"/>
            </w:tcBorders>
            <w:vAlign w:val="center"/>
          </w:tcPr>
          <w:p w14:paraId="04928A4B">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p>
        </w:tc>
        <w:tc>
          <w:tcPr>
            <w:tcW w:w="1567" w:type="dxa"/>
            <w:tcBorders>
              <w:top w:val="single" w:color="auto" w:sz="6" w:space="0"/>
              <w:left w:val="single" w:color="auto" w:sz="6" w:space="0"/>
              <w:bottom w:val="single" w:color="auto" w:sz="6" w:space="0"/>
              <w:right w:val="single" w:color="auto" w:sz="6" w:space="0"/>
            </w:tcBorders>
            <w:vAlign w:val="center"/>
          </w:tcPr>
          <w:p w14:paraId="04D023A9">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p>
        </w:tc>
        <w:tc>
          <w:tcPr>
            <w:tcW w:w="2594" w:type="dxa"/>
            <w:tcBorders>
              <w:top w:val="single" w:color="auto" w:sz="6" w:space="0"/>
              <w:left w:val="single" w:color="auto" w:sz="6" w:space="0"/>
              <w:bottom w:val="single" w:color="auto" w:sz="6" w:space="0"/>
              <w:right w:val="single" w:color="auto" w:sz="6" w:space="0"/>
            </w:tcBorders>
            <w:vAlign w:val="center"/>
          </w:tcPr>
          <w:p w14:paraId="3FF4B7A7">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p>
        </w:tc>
        <w:tc>
          <w:tcPr>
            <w:tcW w:w="3568" w:type="dxa"/>
            <w:tcBorders>
              <w:top w:val="single" w:color="auto" w:sz="6" w:space="0"/>
              <w:left w:val="single" w:color="auto" w:sz="6" w:space="0"/>
              <w:bottom w:val="single" w:color="auto" w:sz="6" w:space="0"/>
              <w:right w:val="single" w:color="auto" w:sz="12" w:space="0"/>
            </w:tcBorders>
            <w:vAlign w:val="center"/>
          </w:tcPr>
          <w:p w14:paraId="2A36506B">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p>
        </w:tc>
      </w:tr>
      <w:tr w14:paraId="0F406F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7" w:hRule="atLeast"/>
          <w:jc w:val="center"/>
        </w:trPr>
        <w:tc>
          <w:tcPr>
            <w:tcW w:w="2069" w:type="dxa"/>
            <w:tcBorders>
              <w:top w:val="single" w:color="auto" w:sz="6" w:space="0"/>
              <w:left w:val="single" w:color="auto" w:sz="12" w:space="0"/>
              <w:bottom w:val="single" w:color="auto" w:sz="6" w:space="0"/>
              <w:right w:val="single" w:color="auto" w:sz="6" w:space="0"/>
            </w:tcBorders>
            <w:vAlign w:val="center"/>
          </w:tcPr>
          <w:p w14:paraId="2B5A2821">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p>
        </w:tc>
        <w:tc>
          <w:tcPr>
            <w:tcW w:w="1567" w:type="dxa"/>
            <w:tcBorders>
              <w:top w:val="single" w:color="auto" w:sz="6" w:space="0"/>
              <w:left w:val="single" w:color="auto" w:sz="6" w:space="0"/>
              <w:bottom w:val="single" w:color="auto" w:sz="6" w:space="0"/>
              <w:right w:val="single" w:color="auto" w:sz="6" w:space="0"/>
            </w:tcBorders>
            <w:vAlign w:val="center"/>
          </w:tcPr>
          <w:p w14:paraId="3CC23722">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p>
        </w:tc>
        <w:tc>
          <w:tcPr>
            <w:tcW w:w="2594" w:type="dxa"/>
            <w:tcBorders>
              <w:top w:val="single" w:color="auto" w:sz="6" w:space="0"/>
              <w:left w:val="single" w:color="auto" w:sz="6" w:space="0"/>
              <w:bottom w:val="single" w:color="auto" w:sz="6" w:space="0"/>
              <w:right w:val="single" w:color="auto" w:sz="6" w:space="0"/>
            </w:tcBorders>
            <w:vAlign w:val="center"/>
          </w:tcPr>
          <w:p w14:paraId="01C9DABA">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p>
        </w:tc>
        <w:tc>
          <w:tcPr>
            <w:tcW w:w="3568" w:type="dxa"/>
            <w:tcBorders>
              <w:top w:val="single" w:color="auto" w:sz="6" w:space="0"/>
              <w:left w:val="single" w:color="auto" w:sz="6" w:space="0"/>
              <w:bottom w:val="single" w:color="auto" w:sz="6" w:space="0"/>
              <w:right w:val="single" w:color="auto" w:sz="12" w:space="0"/>
            </w:tcBorders>
            <w:vAlign w:val="center"/>
          </w:tcPr>
          <w:p w14:paraId="37D8B264">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p>
        </w:tc>
      </w:tr>
      <w:tr w14:paraId="6B0766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7" w:hRule="atLeast"/>
          <w:jc w:val="center"/>
        </w:trPr>
        <w:tc>
          <w:tcPr>
            <w:tcW w:w="2069" w:type="dxa"/>
            <w:vMerge w:val="restart"/>
            <w:tcBorders>
              <w:top w:val="single" w:color="auto" w:sz="6" w:space="0"/>
              <w:left w:val="single" w:color="auto" w:sz="12" w:space="0"/>
              <w:bottom w:val="single" w:color="auto" w:sz="12" w:space="0"/>
              <w:right w:val="single" w:color="auto" w:sz="6" w:space="0"/>
            </w:tcBorders>
            <w:vAlign w:val="center"/>
          </w:tcPr>
          <w:p w14:paraId="35F83786">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p>
        </w:tc>
        <w:tc>
          <w:tcPr>
            <w:tcW w:w="1567" w:type="dxa"/>
            <w:tcBorders>
              <w:top w:val="single" w:color="auto" w:sz="6" w:space="0"/>
              <w:left w:val="single" w:color="auto" w:sz="6" w:space="0"/>
              <w:bottom w:val="single" w:color="auto" w:sz="6" w:space="0"/>
              <w:right w:val="single" w:color="auto" w:sz="6" w:space="0"/>
            </w:tcBorders>
            <w:vAlign w:val="center"/>
          </w:tcPr>
          <w:p w14:paraId="0E76EAA5">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p>
        </w:tc>
        <w:tc>
          <w:tcPr>
            <w:tcW w:w="2594" w:type="dxa"/>
            <w:tcBorders>
              <w:top w:val="single" w:color="auto" w:sz="6" w:space="0"/>
              <w:left w:val="single" w:color="auto" w:sz="6" w:space="0"/>
              <w:bottom w:val="single" w:color="auto" w:sz="6" w:space="0"/>
              <w:right w:val="single" w:color="auto" w:sz="6" w:space="0"/>
            </w:tcBorders>
            <w:vAlign w:val="center"/>
          </w:tcPr>
          <w:p w14:paraId="0314830D">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p>
        </w:tc>
        <w:tc>
          <w:tcPr>
            <w:tcW w:w="3568" w:type="dxa"/>
            <w:tcBorders>
              <w:top w:val="single" w:color="auto" w:sz="6" w:space="0"/>
              <w:left w:val="single" w:color="auto" w:sz="6" w:space="0"/>
              <w:bottom w:val="single" w:color="auto" w:sz="6" w:space="0"/>
              <w:right w:val="single" w:color="auto" w:sz="12" w:space="0"/>
            </w:tcBorders>
            <w:vAlign w:val="center"/>
          </w:tcPr>
          <w:p w14:paraId="44F44BA9">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p>
        </w:tc>
      </w:tr>
      <w:tr w14:paraId="09B8E6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7" w:hRule="atLeast"/>
          <w:jc w:val="center"/>
        </w:trPr>
        <w:tc>
          <w:tcPr>
            <w:tcW w:w="2069" w:type="dxa"/>
            <w:vMerge w:val="continue"/>
            <w:tcBorders>
              <w:top w:val="single" w:color="auto" w:sz="6" w:space="0"/>
              <w:left w:val="single" w:color="auto" w:sz="12" w:space="0"/>
              <w:bottom w:val="single" w:color="auto" w:sz="12" w:space="0"/>
              <w:right w:val="single" w:color="auto" w:sz="6" w:space="0"/>
            </w:tcBorders>
            <w:vAlign w:val="center"/>
          </w:tcPr>
          <w:p w14:paraId="15EA2CD2">
            <w:pPr>
              <w:widowControl/>
              <w:jc w:val="left"/>
              <w:rPr>
                <w:rFonts w:hint="eastAsia" w:ascii="宋体" w:hAnsi="宋体" w:eastAsia="宋体" w:cs="仿宋"/>
                <w:color w:val="000000" w:themeColor="text1"/>
                <w:sz w:val="24"/>
                <w:highlight w:val="none"/>
                <w14:textFill>
                  <w14:solidFill>
                    <w14:schemeClr w14:val="tx1"/>
                  </w14:solidFill>
                </w14:textFill>
              </w:rPr>
            </w:pPr>
          </w:p>
        </w:tc>
        <w:tc>
          <w:tcPr>
            <w:tcW w:w="1567" w:type="dxa"/>
            <w:tcBorders>
              <w:top w:val="single" w:color="auto" w:sz="6" w:space="0"/>
              <w:left w:val="single" w:color="auto" w:sz="6" w:space="0"/>
              <w:bottom w:val="nil"/>
              <w:right w:val="single" w:color="auto" w:sz="6" w:space="0"/>
            </w:tcBorders>
            <w:vAlign w:val="center"/>
          </w:tcPr>
          <w:p w14:paraId="53C6351A">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p>
        </w:tc>
        <w:tc>
          <w:tcPr>
            <w:tcW w:w="2594" w:type="dxa"/>
            <w:tcBorders>
              <w:top w:val="single" w:color="auto" w:sz="6" w:space="0"/>
              <w:left w:val="single" w:color="auto" w:sz="6" w:space="0"/>
              <w:bottom w:val="nil"/>
              <w:right w:val="single" w:color="auto" w:sz="6" w:space="0"/>
            </w:tcBorders>
            <w:vAlign w:val="center"/>
          </w:tcPr>
          <w:p w14:paraId="75F004DA">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p>
        </w:tc>
        <w:tc>
          <w:tcPr>
            <w:tcW w:w="3568" w:type="dxa"/>
            <w:tcBorders>
              <w:top w:val="single" w:color="auto" w:sz="6" w:space="0"/>
              <w:left w:val="single" w:color="auto" w:sz="6" w:space="0"/>
              <w:bottom w:val="nil"/>
              <w:right w:val="single" w:color="auto" w:sz="12" w:space="0"/>
            </w:tcBorders>
            <w:vAlign w:val="center"/>
          </w:tcPr>
          <w:p w14:paraId="13F71A4E">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p>
        </w:tc>
      </w:tr>
      <w:tr w14:paraId="17593D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7" w:hRule="atLeast"/>
          <w:jc w:val="center"/>
        </w:trPr>
        <w:tc>
          <w:tcPr>
            <w:tcW w:w="2069" w:type="dxa"/>
            <w:vMerge w:val="continue"/>
            <w:tcBorders>
              <w:top w:val="single" w:color="auto" w:sz="6" w:space="0"/>
              <w:left w:val="single" w:color="auto" w:sz="12" w:space="0"/>
              <w:bottom w:val="single" w:color="auto" w:sz="12" w:space="0"/>
              <w:right w:val="single" w:color="auto" w:sz="6" w:space="0"/>
            </w:tcBorders>
            <w:vAlign w:val="center"/>
          </w:tcPr>
          <w:p w14:paraId="15734145">
            <w:pPr>
              <w:widowControl/>
              <w:jc w:val="left"/>
              <w:rPr>
                <w:rFonts w:hint="eastAsia" w:ascii="宋体" w:hAnsi="宋体" w:eastAsia="宋体" w:cs="仿宋"/>
                <w:color w:val="000000" w:themeColor="text1"/>
                <w:sz w:val="24"/>
                <w:highlight w:val="none"/>
                <w14:textFill>
                  <w14:solidFill>
                    <w14:schemeClr w14:val="tx1"/>
                  </w14:solidFill>
                </w14:textFill>
              </w:rPr>
            </w:pPr>
          </w:p>
        </w:tc>
        <w:tc>
          <w:tcPr>
            <w:tcW w:w="1567" w:type="dxa"/>
            <w:tcBorders>
              <w:top w:val="single" w:color="auto" w:sz="6" w:space="0"/>
              <w:left w:val="single" w:color="auto" w:sz="6" w:space="0"/>
              <w:bottom w:val="single" w:color="auto" w:sz="6" w:space="0"/>
              <w:right w:val="single" w:color="auto" w:sz="6" w:space="0"/>
            </w:tcBorders>
            <w:vAlign w:val="center"/>
          </w:tcPr>
          <w:p w14:paraId="019BA4B3">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p>
        </w:tc>
        <w:tc>
          <w:tcPr>
            <w:tcW w:w="2594" w:type="dxa"/>
            <w:tcBorders>
              <w:top w:val="single" w:color="auto" w:sz="6" w:space="0"/>
              <w:left w:val="single" w:color="auto" w:sz="6" w:space="0"/>
              <w:bottom w:val="single" w:color="auto" w:sz="6" w:space="0"/>
              <w:right w:val="single" w:color="auto" w:sz="6" w:space="0"/>
            </w:tcBorders>
            <w:vAlign w:val="center"/>
          </w:tcPr>
          <w:p w14:paraId="4B0A1615">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p>
        </w:tc>
        <w:tc>
          <w:tcPr>
            <w:tcW w:w="3568" w:type="dxa"/>
            <w:tcBorders>
              <w:top w:val="single" w:color="auto" w:sz="6" w:space="0"/>
              <w:left w:val="single" w:color="auto" w:sz="6" w:space="0"/>
              <w:bottom w:val="single" w:color="auto" w:sz="6" w:space="0"/>
              <w:right w:val="single" w:color="auto" w:sz="12" w:space="0"/>
            </w:tcBorders>
            <w:vAlign w:val="center"/>
          </w:tcPr>
          <w:p w14:paraId="5CFE002A">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p>
        </w:tc>
      </w:tr>
      <w:tr w14:paraId="01F34B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7" w:hRule="atLeast"/>
          <w:jc w:val="center"/>
        </w:trPr>
        <w:tc>
          <w:tcPr>
            <w:tcW w:w="2069" w:type="dxa"/>
            <w:vMerge w:val="continue"/>
            <w:tcBorders>
              <w:top w:val="single" w:color="auto" w:sz="6" w:space="0"/>
              <w:left w:val="single" w:color="auto" w:sz="12" w:space="0"/>
              <w:bottom w:val="single" w:color="auto" w:sz="12" w:space="0"/>
              <w:right w:val="single" w:color="auto" w:sz="6" w:space="0"/>
            </w:tcBorders>
            <w:vAlign w:val="center"/>
          </w:tcPr>
          <w:p w14:paraId="5588D85E">
            <w:pPr>
              <w:widowControl/>
              <w:jc w:val="left"/>
              <w:rPr>
                <w:rFonts w:hint="eastAsia" w:ascii="宋体" w:hAnsi="宋体" w:eastAsia="宋体" w:cs="仿宋"/>
                <w:color w:val="000000" w:themeColor="text1"/>
                <w:sz w:val="24"/>
                <w:highlight w:val="none"/>
                <w14:textFill>
                  <w14:solidFill>
                    <w14:schemeClr w14:val="tx1"/>
                  </w14:solidFill>
                </w14:textFill>
              </w:rPr>
            </w:pPr>
          </w:p>
        </w:tc>
        <w:tc>
          <w:tcPr>
            <w:tcW w:w="1567" w:type="dxa"/>
            <w:tcBorders>
              <w:top w:val="single" w:color="auto" w:sz="6" w:space="0"/>
              <w:left w:val="single" w:color="auto" w:sz="6" w:space="0"/>
              <w:bottom w:val="single" w:color="auto" w:sz="6" w:space="0"/>
              <w:right w:val="single" w:color="auto" w:sz="6" w:space="0"/>
            </w:tcBorders>
            <w:vAlign w:val="center"/>
          </w:tcPr>
          <w:p w14:paraId="7DE17F83">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p>
        </w:tc>
        <w:tc>
          <w:tcPr>
            <w:tcW w:w="2594" w:type="dxa"/>
            <w:tcBorders>
              <w:top w:val="single" w:color="auto" w:sz="6" w:space="0"/>
              <w:left w:val="single" w:color="auto" w:sz="6" w:space="0"/>
              <w:bottom w:val="single" w:color="auto" w:sz="6" w:space="0"/>
              <w:right w:val="single" w:color="auto" w:sz="6" w:space="0"/>
            </w:tcBorders>
            <w:vAlign w:val="center"/>
          </w:tcPr>
          <w:p w14:paraId="4EE5BDF9">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p>
        </w:tc>
        <w:tc>
          <w:tcPr>
            <w:tcW w:w="3568" w:type="dxa"/>
            <w:tcBorders>
              <w:top w:val="single" w:color="auto" w:sz="6" w:space="0"/>
              <w:left w:val="single" w:color="auto" w:sz="6" w:space="0"/>
              <w:bottom w:val="single" w:color="auto" w:sz="6" w:space="0"/>
              <w:right w:val="single" w:color="auto" w:sz="12" w:space="0"/>
            </w:tcBorders>
            <w:vAlign w:val="center"/>
          </w:tcPr>
          <w:p w14:paraId="5EB5DD2F">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p>
        </w:tc>
      </w:tr>
      <w:tr w14:paraId="2128E5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7" w:hRule="atLeast"/>
          <w:jc w:val="center"/>
        </w:trPr>
        <w:tc>
          <w:tcPr>
            <w:tcW w:w="2069" w:type="dxa"/>
            <w:vMerge w:val="continue"/>
            <w:tcBorders>
              <w:top w:val="single" w:color="auto" w:sz="6" w:space="0"/>
              <w:left w:val="single" w:color="auto" w:sz="12" w:space="0"/>
              <w:bottom w:val="single" w:color="auto" w:sz="12" w:space="0"/>
              <w:right w:val="single" w:color="auto" w:sz="6" w:space="0"/>
            </w:tcBorders>
            <w:vAlign w:val="center"/>
          </w:tcPr>
          <w:p w14:paraId="6D99291C">
            <w:pPr>
              <w:widowControl/>
              <w:jc w:val="left"/>
              <w:rPr>
                <w:rFonts w:hint="eastAsia" w:ascii="宋体" w:hAnsi="宋体" w:eastAsia="宋体" w:cs="仿宋"/>
                <w:color w:val="000000" w:themeColor="text1"/>
                <w:sz w:val="24"/>
                <w:highlight w:val="none"/>
                <w14:textFill>
                  <w14:solidFill>
                    <w14:schemeClr w14:val="tx1"/>
                  </w14:solidFill>
                </w14:textFill>
              </w:rPr>
            </w:pPr>
          </w:p>
        </w:tc>
        <w:tc>
          <w:tcPr>
            <w:tcW w:w="1567" w:type="dxa"/>
            <w:tcBorders>
              <w:top w:val="single" w:color="auto" w:sz="6" w:space="0"/>
              <w:left w:val="single" w:color="auto" w:sz="6" w:space="0"/>
              <w:bottom w:val="single" w:color="auto" w:sz="6" w:space="0"/>
              <w:right w:val="single" w:color="auto" w:sz="6" w:space="0"/>
            </w:tcBorders>
            <w:vAlign w:val="center"/>
          </w:tcPr>
          <w:p w14:paraId="27CB16DB">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p>
        </w:tc>
        <w:tc>
          <w:tcPr>
            <w:tcW w:w="2594" w:type="dxa"/>
            <w:tcBorders>
              <w:top w:val="single" w:color="auto" w:sz="6" w:space="0"/>
              <w:left w:val="single" w:color="auto" w:sz="6" w:space="0"/>
              <w:bottom w:val="single" w:color="auto" w:sz="6" w:space="0"/>
              <w:right w:val="single" w:color="auto" w:sz="6" w:space="0"/>
            </w:tcBorders>
            <w:vAlign w:val="center"/>
          </w:tcPr>
          <w:p w14:paraId="35388788">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p>
        </w:tc>
        <w:tc>
          <w:tcPr>
            <w:tcW w:w="3568" w:type="dxa"/>
            <w:tcBorders>
              <w:top w:val="single" w:color="auto" w:sz="6" w:space="0"/>
              <w:left w:val="single" w:color="auto" w:sz="6" w:space="0"/>
              <w:bottom w:val="single" w:color="auto" w:sz="6" w:space="0"/>
              <w:right w:val="single" w:color="auto" w:sz="12" w:space="0"/>
            </w:tcBorders>
            <w:vAlign w:val="center"/>
          </w:tcPr>
          <w:p w14:paraId="54B43A2E">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p>
        </w:tc>
      </w:tr>
      <w:tr w14:paraId="352F3B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6" w:hRule="atLeast"/>
          <w:jc w:val="center"/>
        </w:trPr>
        <w:tc>
          <w:tcPr>
            <w:tcW w:w="2069" w:type="dxa"/>
            <w:vMerge w:val="continue"/>
            <w:tcBorders>
              <w:top w:val="single" w:color="auto" w:sz="6" w:space="0"/>
              <w:left w:val="single" w:color="auto" w:sz="12" w:space="0"/>
              <w:bottom w:val="single" w:color="auto" w:sz="12" w:space="0"/>
              <w:right w:val="single" w:color="auto" w:sz="6" w:space="0"/>
            </w:tcBorders>
            <w:vAlign w:val="center"/>
          </w:tcPr>
          <w:p w14:paraId="38F49EF1">
            <w:pPr>
              <w:widowControl/>
              <w:jc w:val="left"/>
              <w:rPr>
                <w:rFonts w:hint="eastAsia" w:ascii="宋体" w:hAnsi="宋体" w:eastAsia="宋体" w:cs="仿宋"/>
                <w:color w:val="000000" w:themeColor="text1"/>
                <w:sz w:val="24"/>
                <w:highlight w:val="none"/>
                <w14:textFill>
                  <w14:solidFill>
                    <w14:schemeClr w14:val="tx1"/>
                  </w14:solidFill>
                </w14:textFill>
              </w:rPr>
            </w:pPr>
          </w:p>
        </w:tc>
        <w:tc>
          <w:tcPr>
            <w:tcW w:w="1567" w:type="dxa"/>
            <w:tcBorders>
              <w:top w:val="single" w:color="auto" w:sz="6" w:space="0"/>
              <w:left w:val="single" w:color="auto" w:sz="6" w:space="0"/>
              <w:bottom w:val="single" w:color="auto" w:sz="12" w:space="0"/>
              <w:right w:val="single" w:color="auto" w:sz="6" w:space="0"/>
            </w:tcBorders>
            <w:vAlign w:val="center"/>
          </w:tcPr>
          <w:p w14:paraId="1B826230">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p>
        </w:tc>
        <w:tc>
          <w:tcPr>
            <w:tcW w:w="2594" w:type="dxa"/>
            <w:tcBorders>
              <w:top w:val="single" w:color="auto" w:sz="6" w:space="0"/>
              <w:left w:val="single" w:color="auto" w:sz="6" w:space="0"/>
              <w:bottom w:val="single" w:color="auto" w:sz="12" w:space="0"/>
              <w:right w:val="single" w:color="auto" w:sz="6" w:space="0"/>
            </w:tcBorders>
            <w:vAlign w:val="center"/>
          </w:tcPr>
          <w:p w14:paraId="73FD8EB8">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p>
        </w:tc>
        <w:tc>
          <w:tcPr>
            <w:tcW w:w="3568" w:type="dxa"/>
            <w:tcBorders>
              <w:top w:val="single" w:color="auto" w:sz="6" w:space="0"/>
              <w:left w:val="single" w:color="auto" w:sz="6" w:space="0"/>
              <w:bottom w:val="single" w:color="auto" w:sz="12" w:space="0"/>
              <w:right w:val="single" w:color="auto" w:sz="12" w:space="0"/>
            </w:tcBorders>
            <w:vAlign w:val="center"/>
          </w:tcPr>
          <w:p w14:paraId="61592D64">
            <w:pPr>
              <w:keepNext/>
              <w:spacing w:line="460" w:lineRule="exact"/>
              <w:jc w:val="center"/>
              <w:textAlignment w:val="baseline"/>
              <w:rPr>
                <w:rFonts w:hint="eastAsia" w:ascii="宋体" w:hAnsi="宋体" w:eastAsia="宋体" w:cs="仿宋"/>
                <w:color w:val="000000" w:themeColor="text1"/>
                <w:sz w:val="24"/>
                <w:highlight w:val="none"/>
                <w14:textFill>
                  <w14:solidFill>
                    <w14:schemeClr w14:val="tx1"/>
                  </w14:solidFill>
                </w14:textFill>
              </w:rPr>
            </w:pPr>
          </w:p>
        </w:tc>
      </w:tr>
    </w:tbl>
    <w:p w14:paraId="700E80D2">
      <w:pPr>
        <w:spacing w:after="120"/>
        <w:rPr>
          <w:rFonts w:hint="eastAsia" w:ascii="宋体" w:hAnsi="宋体" w:eastAsia="宋体" w:cs="Times New Roman"/>
          <w:color w:val="000000" w:themeColor="text1"/>
          <w:highlight w:val="none"/>
          <w14:textFill>
            <w14:solidFill>
              <w14:schemeClr w14:val="tx1"/>
            </w14:solidFill>
          </w14:textFill>
        </w:rPr>
      </w:pPr>
    </w:p>
    <w:p w14:paraId="7770FE7C">
      <w:pPr>
        <w:keepNext/>
        <w:keepLines/>
        <w:tabs>
          <w:tab w:val="left" w:pos="4860"/>
        </w:tabs>
        <w:spacing w:before="260" w:after="260" w:line="412" w:lineRule="auto"/>
        <w:jc w:val="center"/>
        <w:outlineLvl w:val="2"/>
        <w:rPr>
          <w:rFonts w:hint="eastAsia" w:ascii="宋体" w:hAnsi="宋体" w:eastAsia="宋体" w:cs="Times New Roman"/>
          <w:b/>
          <w:color w:val="000000" w:themeColor="text1"/>
          <w:kern w:val="0"/>
          <w:sz w:val="24"/>
          <w:szCs w:val="20"/>
          <w:highlight w:val="none"/>
          <w:lang w:val="zh-CN"/>
          <w14:textFill>
            <w14:solidFill>
              <w14:schemeClr w14:val="tx1"/>
            </w14:solidFill>
          </w14:textFill>
        </w:rPr>
      </w:pPr>
    </w:p>
    <w:p w14:paraId="44DFC12D">
      <w:pPr>
        <w:pStyle w:val="2"/>
        <w:rPr>
          <w:rFonts w:hint="eastAsia" w:ascii="宋体" w:hAnsi="宋体" w:eastAsia="宋体"/>
          <w:color w:val="000000" w:themeColor="text1"/>
          <w:highlight w:val="none"/>
          <w14:textFill>
            <w14:solidFill>
              <w14:schemeClr w14:val="tx1"/>
            </w14:solidFill>
          </w14:textFill>
        </w:rPr>
      </w:pPr>
    </w:p>
    <w:sectPr>
      <w:pgSz w:w="11906" w:h="16838"/>
      <w:pgMar w:top="1418" w:right="1555" w:bottom="1418" w:left="153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0000000000000000000"/>
    <w:charset w:val="86"/>
    <w:family w:val="script"/>
    <w:pitch w:val="default"/>
    <w:sig w:usb0="00000000" w:usb1="00000000" w:usb2="00000010" w:usb3="00000000" w:csb0="00040000" w:csb1="00000000"/>
  </w:font>
  <w:font w:name="方正小标宋简体">
    <w:altName w:val="方正舒体"/>
    <w:panose1 w:val="02010601030101010101"/>
    <w:charset w:val="86"/>
    <w:family w:val="auto"/>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
    <w:altName w:val="Times New Roman"/>
    <w:panose1 w:val="00000000000000000000"/>
    <w:charset w:val="00"/>
    <w:family w:val="auto"/>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swiss"/>
    <w:pitch w:val="default"/>
    <w:sig w:usb0="80000287" w:usb1="2ACF3C50" w:usb2="00000016" w:usb3="00000000" w:csb0="0004001F" w:csb1="00000000"/>
  </w:font>
  <w:font w:name="HYShuSongYiJ">
    <w:altName w:val="宋体"/>
    <w:panose1 w:val="00000000000000000000"/>
    <w:charset w:val="00"/>
    <w:family w:val="roman"/>
    <w:pitch w:val="default"/>
    <w:sig w:usb0="00000000" w:usb1="00000000" w:usb2="00000000" w:usb3="00000000" w:csb0="00000000" w:csb1="00000000"/>
  </w:font>
  <w:font w:name="HYZhongDengXianJ">
    <w:altName w:val="宋体"/>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icrosoft YaHei UI">
    <w:panose1 w:val="020B0503020204020204"/>
    <w:charset w:val="86"/>
    <w:family w:val="swiss"/>
    <w:pitch w:val="default"/>
    <w:sig w:usb0="80000287" w:usb1="2ACF3C50" w:usb2="00000016" w:usb3="00000000" w:csb0="0004001F" w:csb1="00000000"/>
  </w:font>
  <w:font w:name="ˎ̥">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
    <w:altName w:val="宋体"/>
    <w:panose1 w:val="00000000000000000000"/>
    <w:charset w:val="00"/>
    <w:family w:val="roman"/>
    <w:pitch w:val="default"/>
    <w:sig w:usb0="00000000" w:usb1="00000000" w:usb2="00000000" w:usb3="00000000" w:csb0="00000000" w:csb1="00000000"/>
  </w:font>
  <w:font w:name="Microsoft JhengHei">
    <w:panose1 w:val="020B0604030504040204"/>
    <w:charset w:val="88"/>
    <w:family w:val="swiss"/>
    <w:pitch w:val="default"/>
    <w:sig w:usb0="000002A7" w:usb1="28CF4400" w:usb2="00000016" w:usb3="00000000" w:csb0="00100009" w:csb1="00000000"/>
  </w:font>
  <w:font w:name="长城仿宋">
    <w:altName w:val="仿宋"/>
    <w:panose1 w:val="00000000000000000000"/>
    <w:charset w:val="86"/>
    <w:family w:val="roman"/>
    <w:pitch w:val="default"/>
    <w:sig w:usb0="00000000" w:usb1="00000000" w:usb2="00000000" w:usb3="00000000" w:csb0="00000000"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MetaPlusLF">
    <w:altName w:val="PMingLiU-ExtB"/>
    <w:panose1 w:val="00000000000000000000"/>
    <w:charset w:val="00"/>
    <w:family w:val="roman"/>
    <w:pitch w:val="default"/>
    <w:sig w:usb0="00000000" w:usb1="00000000" w:usb2="00000000" w:usb3="00000000" w:csb0="00000000" w:csb1="00000000"/>
  </w:font>
  <w:font w:name="华文楷体">
    <w:panose1 w:val="02010600040101010101"/>
    <w:charset w:val="86"/>
    <w:family w:val="auto"/>
    <w:pitch w:val="default"/>
    <w:sig w:usb0="00000287" w:usb1="080F0000" w:usb2="00000000" w:usb3="00000000" w:csb0="0004009F" w:csb1="DFD70000"/>
  </w:font>
  <w:font w:name="文鼎.....">
    <w:altName w:val="宋体"/>
    <w:panose1 w:val="00000000000000000000"/>
    <w:charset w:val="86"/>
    <w:family w:val="roman"/>
    <w:pitch w:val="default"/>
    <w:sig w:usb0="00000000" w:usb1="00000000" w:usb2="00000000" w:usb3="00000000" w:csb0="00000000" w:csb1="00000000"/>
  </w:font>
  <w:font w:name="新宋体">
    <w:panose1 w:val="02010609030101010101"/>
    <w:charset w:val="86"/>
    <w:family w:val="modern"/>
    <w:pitch w:val="default"/>
    <w:sig w:usb0="00000203" w:usb1="288F0000" w:usb2="00000006" w:usb3="00000000" w:csb0="00040001" w:csb1="00000000"/>
  </w:font>
  <w:font w:name="汉鼎简中等线Arial">
    <w:altName w:val="宋体"/>
    <w:panose1 w:val="00000000000000000000"/>
    <w:charset w:val="86"/>
    <w:family w:val="roman"/>
    <w:pitch w:val="default"/>
    <w:sig w:usb0="00000000" w:usb1="00000000" w:usb2="00000000" w:usb3="00000000" w:csb0="00000000" w:csb1="00000000"/>
  </w:font>
  <w:font w:name="FrutigerNext LT Light">
    <w:altName w:val="宋体"/>
    <w:panose1 w:val="00000000000000000000"/>
    <w:charset w:val="00"/>
    <w:family w:val="roman"/>
    <w:pitch w:val="default"/>
    <w:sig w:usb0="00000000" w:usb1="00000000" w:usb2="00000000" w:usb3="00000000" w:csb0="00000000" w:csb1="00000000"/>
  </w:font>
  <w:font w:name="MS Sans Serif">
    <w:altName w:val="Microsoft Sans Serif"/>
    <w:panose1 w:val="00000000000000000000"/>
    <w:charset w:val="00"/>
    <w:family w:val="roman"/>
    <w:pitch w:val="default"/>
    <w:sig w:usb0="00000000" w:usb1="00000000" w:usb2="00000000" w:usb3="00000000" w:csb0="00000000" w:csb1="00000000"/>
  </w:font>
  <w:font w:name="Microsoft Sans Serif">
    <w:panose1 w:val="020B0604020202020204"/>
    <w:charset w:val="00"/>
    <w:family w:val="auto"/>
    <w:pitch w:val="default"/>
    <w:sig w:usb0="E5002EFF" w:usb1="C000605B" w:usb2="00000029" w:usb3="00000000" w:csb0="200101FF" w:csb1="20280000"/>
  </w:font>
  <w:font w:name="EU-F1">
    <w:altName w:val="宋体"/>
    <w:panose1 w:val="00000000000000000000"/>
    <w:charset w:val="00"/>
    <w:family w:val="roman"/>
    <w:pitch w:val="default"/>
    <w:sig w:usb0="00000000" w:usb1="00000000" w:usb2="00000000" w:usb3="00000000" w:csb0="00000000" w:csb1="00000000"/>
  </w:font>
  <w:font w:name="E-F1">
    <w:altName w:val="Malgun Gothic"/>
    <w:panose1 w:val="00000000000000000000"/>
    <w:charset w:val="81"/>
    <w:family w:val="roman"/>
    <w:pitch w:val="default"/>
    <w:sig w:usb0="00000000" w:usb1="00000000" w:usb2="00000033" w:usb3="00000000" w:csb0="00080000" w:csb1="00000000"/>
  </w:font>
  <w:font w:name="Malgun Gothic">
    <w:panose1 w:val="020B0503020000020004"/>
    <w:charset w:val="81"/>
    <w:family w:val="auto"/>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华文仿宋">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0000000000000000000"/>
    <w:charset w:val="86"/>
    <w:family w:val="script"/>
    <w:pitch w:val="default"/>
    <w:sig w:usb0="00000000" w:usb1="00000000" w:usb2="00000010" w:usb3="00000000" w:csb0="00040000" w:csb1="00000000"/>
  </w:font>
  <w:font w:name="Yu Gothic UI">
    <w:panose1 w:val="020B0500000000000000"/>
    <w:charset w:val="80"/>
    <w:family w:val="swiss"/>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全真中明體">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汉鼎简大黑Arial Black">
    <w:altName w:val="宋体"/>
    <w:panose1 w:val="00000000000000000000"/>
    <w:charset w:val="86"/>
    <w:family w:val="auto"/>
    <w:pitch w:val="default"/>
    <w:sig w:usb0="00000000" w:usb1="00000000" w:usb2="00000010" w:usb3="00000000" w:csb0="00040000" w:csb1="00000000"/>
  </w:font>
  <w:font w:name="Helvetica Neue">
    <w:altName w:val="Corbel"/>
    <w:panose1 w:val="00000000000000000000"/>
    <w:charset w:val="00"/>
    <w:family w:val="roman"/>
    <w:pitch w:val="default"/>
    <w:sig w:usb0="00000000" w:usb1="00000000" w:usb2="00000000" w:usb3="00000000" w:csb0="00040001" w:csb1="00000000"/>
  </w:font>
  <w:font w:name="Corbel">
    <w:panose1 w:val="020B0503020204020204"/>
    <w:charset w:val="00"/>
    <w:family w:val="auto"/>
    <w:pitch w:val="default"/>
    <w:sig w:usb0="A00002EF" w:usb1="4000A44B" w:usb2="00000000" w:usb3="00000000" w:csb0="2000019F" w:csb1="00000000"/>
  </w:font>
  <w:font w:name="Optima">
    <w:altName w:val="Arial"/>
    <w:panose1 w:val="00000000000000000000"/>
    <w:charset w:val="00"/>
    <w:family w:val="auto"/>
    <w:pitch w:val="default"/>
    <w:sig w:usb0="00000000"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88DE4">
    <w:pPr>
      <w:tabs>
        <w:tab w:val="left" w:pos="3165"/>
        <w:tab w:val="center" w:pos="4876"/>
      </w:tabs>
      <w:jc w:val="left"/>
      <w:rPr>
        <w:rFonts w:hint="eastAsia" w:ascii="仿宋" w:hAnsi="仿宋" w:eastAsia="仿宋"/>
      </w:rPr>
    </w:pPr>
    <w:r>
      <w:rPr>
        <w:rFonts w:hint="eastAsia" w:ascii="仿宋" w:hAnsi="仿宋" w:eastAsia="仿宋"/>
      </w:rPr>
      <w:t>威海市天垣工程咨询管理有限公司</w:t>
    </w:r>
    <w:r>
      <w:rPr>
        <w:rFonts w:ascii="仿宋" w:hAnsi="仿宋" w:eastAsia="仿宋"/>
      </w:rPr>
      <w:ptab w:relativeTo="margin" w:alignment="center" w:leader="none"/>
    </w:r>
    <w:r>
      <w:rPr>
        <w:rFonts w:ascii="仿宋" w:hAnsi="仿宋" w:eastAsia="仿宋"/>
      </w:rPr>
      <w:fldChar w:fldCharType="begin"/>
    </w:r>
    <w:r>
      <w:rPr>
        <w:rFonts w:ascii="仿宋" w:hAnsi="仿宋" w:eastAsia="仿宋"/>
      </w:rPr>
      <w:instrText xml:space="preserve">PAGE   \* MERGEFORMAT</w:instrText>
    </w:r>
    <w:r>
      <w:rPr>
        <w:rFonts w:ascii="仿宋" w:hAnsi="仿宋" w:eastAsia="仿宋"/>
      </w:rPr>
      <w:fldChar w:fldCharType="separate"/>
    </w:r>
    <w:r>
      <w:rPr>
        <w:rFonts w:ascii="仿宋" w:hAnsi="仿宋" w:eastAsia="仿宋"/>
        <w:lang w:val="zh-CN"/>
      </w:rPr>
      <w:t>1</w:t>
    </w:r>
    <w:r>
      <w:rPr>
        <w:rFonts w:ascii="仿宋" w:hAnsi="仿宋" w:eastAsia="仿宋"/>
      </w:rPr>
      <w:fldChar w:fldCharType="end"/>
    </w:r>
    <w:r>
      <w:rPr>
        <w:rFonts w:ascii="仿宋" w:hAnsi="仿宋" w:eastAsia="仿宋"/>
      </w:rPr>
      <w:ptab w:relativeTo="margin" w:alignment="right" w:leader="none"/>
    </w:r>
    <w:r>
      <w:rPr>
        <w:rFonts w:hint="eastAsia" w:ascii="仿宋" w:hAnsi="仿宋" w:eastAsia="仿宋"/>
      </w:rPr>
      <w:t>0631-5819542</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0B6E9">
    <w:pPr>
      <w:pStyle w:val="44"/>
      <w:jc w:val="right"/>
      <w:rPr>
        <w:rFonts w:hint="eastAsia" w:ascii="仿宋" w:hAnsi="仿宋" w:eastAsia="仿宋"/>
      </w:rPr>
    </w:pPr>
    <w:r>
      <w:rPr>
        <w:rFonts w:hint="eastAsia" w:ascii="仿宋" w:hAnsi="仿宋" w:eastAsia="仿宋"/>
      </w:rPr>
      <w:t>百合路土石方工程专业分包招标文件</w:t>
    </w:r>
  </w:p>
  <w:p w14:paraId="22F5FB23">
    <w:pPr>
      <w:spacing w:after="120" w:afterLines="50" w:line="360" w:lineRule="auto"/>
      <w:jc w:val="right"/>
      <w:rPr>
        <w:rFonts w:hint="eastAsia" w:ascii="仿宋" w:hAnsi="仿宋" w:eastAsia="仿宋"/>
        <w:color w:val="808080"/>
        <w:sz w:val="13"/>
        <w:szCs w:val="13"/>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1B0242">
    <w:pPr>
      <w:pStyle w:val="44"/>
      <w:rPr>
        <w:rFonts w:hint="eastAsia"/>
      </w:rPr>
    </w:pPr>
  </w:p>
  <w:p w14:paraId="57329ABB">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1917C">
    <w:pPr>
      <w:pStyle w:val="44"/>
      <w:jc w:val="right"/>
      <w:rPr>
        <w:rFonts w:hint="eastAsia"/>
      </w:rPr>
    </w:pPr>
    <w:r>
      <w:rPr>
        <w:rFonts w:hint="eastAsia"/>
      </w:rPr>
      <w:t>环翠区“碧湾智岛·美丽环翠”EOD项目项目招标文件</w:t>
    </w:r>
  </w:p>
  <w:p w14:paraId="78E6FF69">
    <w:pP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09497D"/>
    <w:multiLevelType w:val="multilevel"/>
    <w:tmpl w:val="7F09497D"/>
    <w:lvl w:ilvl="0" w:tentative="0">
      <w:start w:val="1"/>
      <w:numFmt w:val="japaneseCounting"/>
      <w:lvlText w:val="第%1章"/>
      <w:lvlJc w:val="left"/>
      <w:pPr>
        <w:ind w:left="1440" w:hanging="1440"/>
      </w:pPr>
      <w:rPr>
        <w:rFonts w:hint="eastAsia" w:ascii="宋体" w:hAnsi="宋体" w:eastAsia="宋体"/>
        <w:b/>
        <w:sz w:val="40"/>
      </w:rPr>
    </w:lvl>
    <w:lvl w:ilvl="1" w:tentative="0">
      <w:start w:val="1"/>
      <w:numFmt w:val="lowerLetter"/>
      <w:pStyle w:val="404"/>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7"/>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M3MzQ0NmMxOTc5ZmJkZGI4MjdkM2NjNmQxMjVlN2EifQ=="/>
  </w:docVars>
  <w:rsids>
    <w:rsidRoot w:val="00EF492A"/>
    <w:rsid w:val="000002BA"/>
    <w:rsid w:val="00000511"/>
    <w:rsid w:val="00000A67"/>
    <w:rsid w:val="00000EA7"/>
    <w:rsid w:val="00000F14"/>
    <w:rsid w:val="00000FFE"/>
    <w:rsid w:val="000024A8"/>
    <w:rsid w:val="00002CCB"/>
    <w:rsid w:val="00003E1B"/>
    <w:rsid w:val="00004586"/>
    <w:rsid w:val="000045DD"/>
    <w:rsid w:val="00004EFA"/>
    <w:rsid w:val="000057DC"/>
    <w:rsid w:val="00007AE7"/>
    <w:rsid w:val="00011721"/>
    <w:rsid w:val="00011FBC"/>
    <w:rsid w:val="000120E9"/>
    <w:rsid w:val="000125FB"/>
    <w:rsid w:val="00012FCB"/>
    <w:rsid w:val="00014002"/>
    <w:rsid w:val="000148AA"/>
    <w:rsid w:val="00014AEE"/>
    <w:rsid w:val="00015902"/>
    <w:rsid w:val="00017364"/>
    <w:rsid w:val="000173EA"/>
    <w:rsid w:val="00017CF8"/>
    <w:rsid w:val="0002027C"/>
    <w:rsid w:val="00020400"/>
    <w:rsid w:val="00020431"/>
    <w:rsid w:val="00020622"/>
    <w:rsid w:val="00022E4E"/>
    <w:rsid w:val="000246D1"/>
    <w:rsid w:val="00025156"/>
    <w:rsid w:val="0002548D"/>
    <w:rsid w:val="0002561A"/>
    <w:rsid w:val="00025CC5"/>
    <w:rsid w:val="000275B4"/>
    <w:rsid w:val="00030ABD"/>
    <w:rsid w:val="00031A87"/>
    <w:rsid w:val="00031B64"/>
    <w:rsid w:val="0003236B"/>
    <w:rsid w:val="000326E5"/>
    <w:rsid w:val="000339F8"/>
    <w:rsid w:val="00033BEE"/>
    <w:rsid w:val="00033E52"/>
    <w:rsid w:val="0003461A"/>
    <w:rsid w:val="000349B0"/>
    <w:rsid w:val="00034D75"/>
    <w:rsid w:val="0003586F"/>
    <w:rsid w:val="0003605E"/>
    <w:rsid w:val="0003766E"/>
    <w:rsid w:val="00037B0C"/>
    <w:rsid w:val="00040A2E"/>
    <w:rsid w:val="00041068"/>
    <w:rsid w:val="0004135A"/>
    <w:rsid w:val="00041C8B"/>
    <w:rsid w:val="00041D07"/>
    <w:rsid w:val="000425A1"/>
    <w:rsid w:val="0004293F"/>
    <w:rsid w:val="00043604"/>
    <w:rsid w:val="000443D7"/>
    <w:rsid w:val="0004489D"/>
    <w:rsid w:val="00044B1F"/>
    <w:rsid w:val="00047A8A"/>
    <w:rsid w:val="00047BB8"/>
    <w:rsid w:val="0005112A"/>
    <w:rsid w:val="00051160"/>
    <w:rsid w:val="00051A58"/>
    <w:rsid w:val="000522CF"/>
    <w:rsid w:val="00052415"/>
    <w:rsid w:val="0005297E"/>
    <w:rsid w:val="00052B78"/>
    <w:rsid w:val="00052EDC"/>
    <w:rsid w:val="0005326C"/>
    <w:rsid w:val="000534D4"/>
    <w:rsid w:val="00053DA0"/>
    <w:rsid w:val="00053F87"/>
    <w:rsid w:val="00054096"/>
    <w:rsid w:val="00054EA7"/>
    <w:rsid w:val="00055403"/>
    <w:rsid w:val="000558DC"/>
    <w:rsid w:val="00055FF6"/>
    <w:rsid w:val="00057F7E"/>
    <w:rsid w:val="00060F97"/>
    <w:rsid w:val="000619F0"/>
    <w:rsid w:val="00061DE2"/>
    <w:rsid w:val="000628BE"/>
    <w:rsid w:val="00062EDE"/>
    <w:rsid w:val="00063CBD"/>
    <w:rsid w:val="00063E26"/>
    <w:rsid w:val="00063FC4"/>
    <w:rsid w:val="0006491A"/>
    <w:rsid w:val="00064E76"/>
    <w:rsid w:val="000654CC"/>
    <w:rsid w:val="00066330"/>
    <w:rsid w:val="00066985"/>
    <w:rsid w:val="00067ABA"/>
    <w:rsid w:val="00070BE8"/>
    <w:rsid w:val="000710EA"/>
    <w:rsid w:val="000720DE"/>
    <w:rsid w:val="00072257"/>
    <w:rsid w:val="000725B5"/>
    <w:rsid w:val="00074243"/>
    <w:rsid w:val="000746EB"/>
    <w:rsid w:val="00077B7B"/>
    <w:rsid w:val="00077C67"/>
    <w:rsid w:val="00080F28"/>
    <w:rsid w:val="000814DD"/>
    <w:rsid w:val="00082049"/>
    <w:rsid w:val="0008297B"/>
    <w:rsid w:val="000829F0"/>
    <w:rsid w:val="00083426"/>
    <w:rsid w:val="00083941"/>
    <w:rsid w:val="00083C8B"/>
    <w:rsid w:val="000855E1"/>
    <w:rsid w:val="000856F6"/>
    <w:rsid w:val="00086EDB"/>
    <w:rsid w:val="0008723D"/>
    <w:rsid w:val="000873E7"/>
    <w:rsid w:val="000874B5"/>
    <w:rsid w:val="000879CE"/>
    <w:rsid w:val="000913EC"/>
    <w:rsid w:val="00091CF0"/>
    <w:rsid w:val="00092563"/>
    <w:rsid w:val="00092907"/>
    <w:rsid w:val="00092DBB"/>
    <w:rsid w:val="00092E1F"/>
    <w:rsid w:val="000936A7"/>
    <w:rsid w:val="000955B7"/>
    <w:rsid w:val="00097285"/>
    <w:rsid w:val="000977A1"/>
    <w:rsid w:val="00097CDA"/>
    <w:rsid w:val="00097D73"/>
    <w:rsid w:val="000A1BD5"/>
    <w:rsid w:val="000A3011"/>
    <w:rsid w:val="000A4D68"/>
    <w:rsid w:val="000A5000"/>
    <w:rsid w:val="000A518E"/>
    <w:rsid w:val="000A725A"/>
    <w:rsid w:val="000B214F"/>
    <w:rsid w:val="000B2355"/>
    <w:rsid w:val="000B3598"/>
    <w:rsid w:val="000B393B"/>
    <w:rsid w:val="000B3A93"/>
    <w:rsid w:val="000B429A"/>
    <w:rsid w:val="000B4AA1"/>
    <w:rsid w:val="000B4C3B"/>
    <w:rsid w:val="000B573A"/>
    <w:rsid w:val="000B5886"/>
    <w:rsid w:val="000B592D"/>
    <w:rsid w:val="000B6543"/>
    <w:rsid w:val="000B6A10"/>
    <w:rsid w:val="000B6E05"/>
    <w:rsid w:val="000B6E37"/>
    <w:rsid w:val="000B7FC8"/>
    <w:rsid w:val="000C1A81"/>
    <w:rsid w:val="000C1EBA"/>
    <w:rsid w:val="000C276A"/>
    <w:rsid w:val="000C3246"/>
    <w:rsid w:val="000C515B"/>
    <w:rsid w:val="000C6C82"/>
    <w:rsid w:val="000C7C52"/>
    <w:rsid w:val="000D0CE7"/>
    <w:rsid w:val="000D1CDD"/>
    <w:rsid w:val="000D3539"/>
    <w:rsid w:val="000D3DDE"/>
    <w:rsid w:val="000D4679"/>
    <w:rsid w:val="000D4C76"/>
    <w:rsid w:val="000D4E44"/>
    <w:rsid w:val="000D4F15"/>
    <w:rsid w:val="000D4F16"/>
    <w:rsid w:val="000D6186"/>
    <w:rsid w:val="000D640F"/>
    <w:rsid w:val="000D72BD"/>
    <w:rsid w:val="000D7751"/>
    <w:rsid w:val="000D7884"/>
    <w:rsid w:val="000E170A"/>
    <w:rsid w:val="000E1C5A"/>
    <w:rsid w:val="000E22D9"/>
    <w:rsid w:val="000E2442"/>
    <w:rsid w:val="000E2B93"/>
    <w:rsid w:val="000E3603"/>
    <w:rsid w:val="000E369B"/>
    <w:rsid w:val="000E370D"/>
    <w:rsid w:val="000E41C3"/>
    <w:rsid w:val="000E4B64"/>
    <w:rsid w:val="000E59BA"/>
    <w:rsid w:val="000E61B8"/>
    <w:rsid w:val="000E6470"/>
    <w:rsid w:val="000E6BC6"/>
    <w:rsid w:val="000E72B6"/>
    <w:rsid w:val="000E7911"/>
    <w:rsid w:val="000E7CFD"/>
    <w:rsid w:val="000F067A"/>
    <w:rsid w:val="000F08EF"/>
    <w:rsid w:val="000F0C0F"/>
    <w:rsid w:val="000F1A9B"/>
    <w:rsid w:val="000F1DA3"/>
    <w:rsid w:val="000F1FEB"/>
    <w:rsid w:val="000F2C01"/>
    <w:rsid w:val="000F2D7D"/>
    <w:rsid w:val="000F37F9"/>
    <w:rsid w:val="000F3F17"/>
    <w:rsid w:val="000F54F7"/>
    <w:rsid w:val="000F5834"/>
    <w:rsid w:val="000F7231"/>
    <w:rsid w:val="000F76AC"/>
    <w:rsid w:val="000F7810"/>
    <w:rsid w:val="001001A2"/>
    <w:rsid w:val="001018A2"/>
    <w:rsid w:val="00102107"/>
    <w:rsid w:val="00102396"/>
    <w:rsid w:val="00102DCB"/>
    <w:rsid w:val="001054EF"/>
    <w:rsid w:val="001055B5"/>
    <w:rsid w:val="00106D70"/>
    <w:rsid w:val="00107FB0"/>
    <w:rsid w:val="001108A2"/>
    <w:rsid w:val="00111B0F"/>
    <w:rsid w:val="00111D50"/>
    <w:rsid w:val="00112845"/>
    <w:rsid w:val="0011307A"/>
    <w:rsid w:val="001133BC"/>
    <w:rsid w:val="00113822"/>
    <w:rsid w:val="00113F3A"/>
    <w:rsid w:val="00114B98"/>
    <w:rsid w:val="00115310"/>
    <w:rsid w:val="001162AE"/>
    <w:rsid w:val="00116724"/>
    <w:rsid w:val="00116A7C"/>
    <w:rsid w:val="0011707A"/>
    <w:rsid w:val="00117D72"/>
    <w:rsid w:val="00122204"/>
    <w:rsid w:val="0012253B"/>
    <w:rsid w:val="0012273C"/>
    <w:rsid w:val="00122955"/>
    <w:rsid w:val="00123437"/>
    <w:rsid w:val="00123622"/>
    <w:rsid w:val="00123C5D"/>
    <w:rsid w:val="001257F5"/>
    <w:rsid w:val="00125BE1"/>
    <w:rsid w:val="00126E4D"/>
    <w:rsid w:val="00130BAD"/>
    <w:rsid w:val="001311DF"/>
    <w:rsid w:val="00131D4D"/>
    <w:rsid w:val="0013262A"/>
    <w:rsid w:val="00133549"/>
    <w:rsid w:val="0013466A"/>
    <w:rsid w:val="001348FC"/>
    <w:rsid w:val="001350AC"/>
    <w:rsid w:val="00135C1B"/>
    <w:rsid w:val="0013671B"/>
    <w:rsid w:val="00136FF4"/>
    <w:rsid w:val="00140387"/>
    <w:rsid w:val="001405CC"/>
    <w:rsid w:val="001412E5"/>
    <w:rsid w:val="0014202C"/>
    <w:rsid w:val="00142B56"/>
    <w:rsid w:val="00142C9C"/>
    <w:rsid w:val="00142D2E"/>
    <w:rsid w:val="001430F7"/>
    <w:rsid w:val="00143636"/>
    <w:rsid w:val="0014431E"/>
    <w:rsid w:val="00144538"/>
    <w:rsid w:val="001448BF"/>
    <w:rsid w:val="0014507C"/>
    <w:rsid w:val="001469D6"/>
    <w:rsid w:val="0014707A"/>
    <w:rsid w:val="001476D0"/>
    <w:rsid w:val="001529BE"/>
    <w:rsid w:val="00152B94"/>
    <w:rsid w:val="00153012"/>
    <w:rsid w:val="001533FD"/>
    <w:rsid w:val="00153AD0"/>
    <w:rsid w:val="001543C8"/>
    <w:rsid w:val="001544BD"/>
    <w:rsid w:val="00156454"/>
    <w:rsid w:val="00156E92"/>
    <w:rsid w:val="001572F4"/>
    <w:rsid w:val="001579BB"/>
    <w:rsid w:val="00160360"/>
    <w:rsid w:val="0016050B"/>
    <w:rsid w:val="00160A63"/>
    <w:rsid w:val="00161C29"/>
    <w:rsid w:val="00162617"/>
    <w:rsid w:val="00164CCE"/>
    <w:rsid w:val="00164D65"/>
    <w:rsid w:val="00165518"/>
    <w:rsid w:val="00165A19"/>
    <w:rsid w:val="00165D19"/>
    <w:rsid w:val="00165D93"/>
    <w:rsid w:val="00165DB6"/>
    <w:rsid w:val="00165E55"/>
    <w:rsid w:val="0016646B"/>
    <w:rsid w:val="00167218"/>
    <w:rsid w:val="001673AA"/>
    <w:rsid w:val="00167451"/>
    <w:rsid w:val="00167572"/>
    <w:rsid w:val="00167C04"/>
    <w:rsid w:val="00170114"/>
    <w:rsid w:val="00170655"/>
    <w:rsid w:val="0017066C"/>
    <w:rsid w:val="00170DAD"/>
    <w:rsid w:val="00170FEA"/>
    <w:rsid w:val="001717F7"/>
    <w:rsid w:val="001726B5"/>
    <w:rsid w:val="0017290B"/>
    <w:rsid w:val="00173101"/>
    <w:rsid w:val="00175374"/>
    <w:rsid w:val="001757E0"/>
    <w:rsid w:val="00176705"/>
    <w:rsid w:val="0017766C"/>
    <w:rsid w:val="00177729"/>
    <w:rsid w:val="00177ED7"/>
    <w:rsid w:val="00180335"/>
    <w:rsid w:val="00180B3C"/>
    <w:rsid w:val="001815D6"/>
    <w:rsid w:val="00181603"/>
    <w:rsid w:val="00181C6E"/>
    <w:rsid w:val="00181F7B"/>
    <w:rsid w:val="001821D8"/>
    <w:rsid w:val="001829CB"/>
    <w:rsid w:val="00182B98"/>
    <w:rsid w:val="001831C4"/>
    <w:rsid w:val="0018351A"/>
    <w:rsid w:val="00183DAE"/>
    <w:rsid w:val="00185DD4"/>
    <w:rsid w:val="00185DF8"/>
    <w:rsid w:val="00187107"/>
    <w:rsid w:val="0018784D"/>
    <w:rsid w:val="001878D7"/>
    <w:rsid w:val="0019057E"/>
    <w:rsid w:val="001918E7"/>
    <w:rsid w:val="00192EE2"/>
    <w:rsid w:val="001947BA"/>
    <w:rsid w:val="00194AA1"/>
    <w:rsid w:val="00194ACE"/>
    <w:rsid w:val="00195220"/>
    <w:rsid w:val="001957FD"/>
    <w:rsid w:val="00195C7F"/>
    <w:rsid w:val="00196898"/>
    <w:rsid w:val="00196BCC"/>
    <w:rsid w:val="001A0F3A"/>
    <w:rsid w:val="001A1A9F"/>
    <w:rsid w:val="001A287C"/>
    <w:rsid w:val="001A2FA8"/>
    <w:rsid w:val="001A3483"/>
    <w:rsid w:val="001A37C0"/>
    <w:rsid w:val="001A3ADC"/>
    <w:rsid w:val="001A410F"/>
    <w:rsid w:val="001A4B60"/>
    <w:rsid w:val="001A5326"/>
    <w:rsid w:val="001A57A4"/>
    <w:rsid w:val="001A58A2"/>
    <w:rsid w:val="001A5A07"/>
    <w:rsid w:val="001A653E"/>
    <w:rsid w:val="001A6E98"/>
    <w:rsid w:val="001A7323"/>
    <w:rsid w:val="001A7635"/>
    <w:rsid w:val="001A7A81"/>
    <w:rsid w:val="001B023C"/>
    <w:rsid w:val="001B05A9"/>
    <w:rsid w:val="001B10A7"/>
    <w:rsid w:val="001B2422"/>
    <w:rsid w:val="001B243F"/>
    <w:rsid w:val="001B2F0E"/>
    <w:rsid w:val="001B4660"/>
    <w:rsid w:val="001B54CC"/>
    <w:rsid w:val="001B6154"/>
    <w:rsid w:val="001B6774"/>
    <w:rsid w:val="001B6A6D"/>
    <w:rsid w:val="001B7348"/>
    <w:rsid w:val="001B7CCC"/>
    <w:rsid w:val="001C05F8"/>
    <w:rsid w:val="001C09E7"/>
    <w:rsid w:val="001C146F"/>
    <w:rsid w:val="001C1717"/>
    <w:rsid w:val="001C1975"/>
    <w:rsid w:val="001C1BA2"/>
    <w:rsid w:val="001C1BDF"/>
    <w:rsid w:val="001C2080"/>
    <w:rsid w:val="001C2E0C"/>
    <w:rsid w:val="001C3A6C"/>
    <w:rsid w:val="001C504D"/>
    <w:rsid w:val="001C52CF"/>
    <w:rsid w:val="001C5BFB"/>
    <w:rsid w:val="001C6553"/>
    <w:rsid w:val="001C7425"/>
    <w:rsid w:val="001C7CFC"/>
    <w:rsid w:val="001D064C"/>
    <w:rsid w:val="001D194D"/>
    <w:rsid w:val="001D1ED7"/>
    <w:rsid w:val="001D208C"/>
    <w:rsid w:val="001D21AF"/>
    <w:rsid w:val="001D243B"/>
    <w:rsid w:val="001D2E34"/>
    <w:rsid w:val="001D317E"/>
    <w:rsid w:val="001D38D0"/>
    <w:rsid w:val="001D3EFE"/>
    <w:rsid w:val="001D4FA6"/>
    <w:rsid w:val="001D4FD9"/>
    <w:rsid w:val="001D501D"/>
    <w:rsid w:val="001D50D4"/>
    <w:rsid w:val="001D6505"/>
    <w:rsid w:val="001D65EA"/>
    <w:rsid w:val="001D66CB"/>
    <w:rsid w:val="001D6A7B"/>
    <w:rsid w:val="001D7A6C"/>
    <w:rsid w:val="001D7ED2"/>
    <w:rsid w:val="001E0DAE"/>
    <w:rsid w:val="001E101D"/>
    <w:rsid w:val="001E1AD3"/>
    <w:rsid w:val="001E363C"/>
    <w:rsid w:val="001E3DE8"/>
    <w:rsid w:val="001E4485"/>
    <w:rsid w:val="001E50AD"/>
    <w:rsid w:val="001E5813"/>
    <w:rsid w:val="001E5DF5"/>
    <w:rsid w:val="001E75E7"/>
    <w:rsid w:val="001F01DC"/>
    <w:rsid w:val="001F09EE"/>
    <w:rsid w:val="001F108F"/>
    <w:rsid w:val="001F1B82"/>
    <w:rsid w:val="001F229F"/>
    <w:rsid w:val="001F2F91"/>
    <w:rsid w:val="001F367A"/>
    <w:rsid w:val="001F39CA"/>
    <w:rsid w:val="001F3BC0"/>
    <w:rsid w:val="001F3DA9"/>
    <w:rsid w:val="001F4914"/>
    <w:rsid w:val="001F52D4"/>
    <w:rsid w:val="001F59AC"/>
    <w:rsid w:val="001F5BE4"/>
    <w:rsid w:val="001F5EE8"/>
    <w:rsid w:val="001F666C"/>
    <w:rsid w:val="001F68A8"/>
    <w:rsid w:val="001F7861"/>
    <w:rsid w:val="002009DB"/>
    <w:rsid w:val="00201DFF"/>
    <w:rsid w:val="002021C4"/>
    <w:rsid w:val="002027BC"/>
    <w:rsid w:val="002027CC"/>
    <w:rsid w:val="002047FE"/>
    <w:rsid w:val="00205065"/>
    <w:rsid w:val="002066D4"/>
    <w:rsid w:val="0020687C"/>
    <w:rsid w:val="00206EC9"/>
    <w:rsid w:val="00207281"/>
    <w:rsid w:val="002106CD"/>
    <w:rsid w:val="00210A96"/>
    <w:rsid w:val="00210BBF"/>
    <w:rsid w:val="00211036"/>
    <w:rsid w:val="002118EC"/>
    <w:rsid w:val="002129BA"/>
    <w:rsid w:val="0021329F"/>
    <w:rsid w:val="00215D55"/>
    <w:rsid w:val="00216454"/>
    <w:rsid w:val="0021736B"/>
    <w:rsid w:val="002175DB"/>
    <w:rsid w:val="002178E5"/>
    <w:rsid w:val="00220817"/>
    <w:rsid w:val="002220A1"/>
    <w:rsid w:val="002236B2"/>
    <w:rsid w:val="002261EE"/>
    <w:rsid w:val="00226EFD"/>
    <w:rsid w:val="00227061"/>
    <w:rsid w:val="0022726A"/>
    <w:rsid w:val="00230413"/>
    <w:rsid w:val="0023063B"/>
    <w:rsid w:val="00230BED"/>
    <w:rsid w:val="00230EE5"/>
    <w:rsid w:val="00231D7F"/>
    <w:rsid w:val="00231E1E"/>
    <w:rsid w:val="00232009"/>
    <w:rsid w:val="00233216"/>
    <w:rsid w:val="00233AD1"/>
    <w:rsid w:val="00233B7B"/>
    <w:rsid w:val="00234F11"/>
    <w:rsid w:val="00235C93"/>
    <w:rsid w:val="0023645E"/>
    <w:rsid w:val="00237012"/>
    <w:rsid w:val="00237CB8"/>
    <w:rsid w:val="0024027C"/>
    <w:rsid w:val="0024054B"/>
    <w:rsid w:val="00240CE1"/>
    <w:rsid w:val="00241927"/>
    <w:rsid w:val="002425CC"/>
    <w:rsid w:val="0024297F"/>
    <w:rsid w:val="00242983"/>
    <w:rsid w:val="00242C31"/>
    <w:rsid w:val="00243B4C"/>
    <w:rsid w:val="00245522"/>
    <w:rsid w:val="00245F8D"/>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2FA"/>
    <w:rsid w:val="0025558D"/>
    <w:rsid w:val="00255590"/>
    <w:rsid w:val="002568E4"/>
    <w:rsid w:val="0025695E"/>
    <w:rsid w:val="002573BC"/>
    <w:rsid w:val="00257954"/>
    <w:rsid w:val="00257B0A"/>
    <w:rsid w:val="00257EBD"/>
    <w:rsid w:val="00260816"/>
    <w:rsid w:val="00260FA9"/>
    <w:rsid w:val="00261356"/>
    <w:rsid w:val="00261890"/>
    <w:rsid w:val="002621D5"/>
    <w:rsid w:val="0026237B"/>
    <w:rsid w:val="002624C1"/>
    <w:rsid w:val="00262596"/>
    <w:rsid w:val="00265548"/>
    <w:rsid w:val="00265778"/>
    <w:rsid w:val="00265783"/>
    <w:rsid w:val="00265EF3"/>
    <w:rsid w:val="00266AF5"/>
    <w:rsid w:val="00266FFF"/>
    <w:rsid w:val="00267405"/>
    <w:rsid w:val="002677B9"/>
    <w:rsid w:val="00270A53"/>
    <w:rsid w:val="00270C1A"/>
    <w:rsid w:val="00271ECB"/>
    <w:rsid w:val="00272A77"/>
    <w:rsid w:val="00273183"/>
    <w:rsid w:val="0027345D"/>
    <w:rsid w:val="00273E63"/>
    <w:rsid w:val="00274280"/>
    <w:rsid w:val="00274E7A"/>
    <w:rsid w:val="00275962"/>
    <w:rsid w:val="00275C31"/>
    <w:rsid w:val="002762CB"/>
    <w:rsid w:val="00276558"/>
    <w:rsid w:val="0028108E"/>
    <w:rsid w:val="002811E8"/>
    <w:rsid w:val="002817E2"/>
    <w:rsid w:val="00282590"/>
    <w:rsid w:val="00282A44"/>
    <w:rsid w:val="00282D30"/>
    <w:rsid w:val="00285329"/>
    <w:rsid w:val="002863B4"/>
    <w:rsid w:val="0028709A"/>
    <w:rsid w:val="0028796B"/>
    <w:rsid w:val="00287AF7"/>
    <w:rsid w:val="00287E07"/>
    <w:rsid w:val="00290034"/>
    <w:rsid w:val="0029181A"/>
    <w:rsid w:val="00291DB5"/>
    <w:rsid w:val="00292B72"/>
    <w:rsid w:val="00292F2B"/>
    <w:rsid w:val="00293984"/>
    <w:rsid w:val="00294E04"/>
    <w:rsid w:val="0029535C"/>
    <w:rsid w:val="00295CA4"/>
    <w:rsid w:val="00295F64"/>
    <w:rsid w:val="00297079"/>
    <w:rsid w:val="002972E7"/>
    <w:rsid w:val="00297998"/>
    <w:rsid w:val="002A1BFD"/>
    <w:rsid w:val="002A2834"/>
    <w:rsid w:val="002A2ABA"/>
    <w:rsid w:val="002A3EBB"/>
    <w:rsid w:val="002A4727"/>
    <w:rsid w:val="002A4D75"/>
    <w:rsid w:val="002A665E"/>
    <w:rsid w:val="002A6EB0"/>
    <w:rsid w:val="002B0298"/>
    <w:rsid w:val="002B17D2"/>
    <w:rsid w:val="002B4186"/>
    <w:rsid w:val="002B608A"/>
    <w:rsid w:val="002B6227"/>
    <w:rsid w:val="002B63E9"/>
    <w:rsid w:val="002B6B25"/>
    <w:rsid w:val="002B6CDC"/>
    <w:rsid w:val="002B7202"/>
    <w:rsid w:val="002B7320"/>
    <w:rsid w:val="002B7366"/>
    <w:rsid w:val="002C098E"/>
    <w:rsid w:val="002C12BB"/>
    <w:rsid w:val="002C20FD"/>
    <w:rsid w:val="002C2796"/>
    <w:rsid w:val="002C5F5A"/>
    <w:rsid w:val="002C64B5"/>
    <w:rsid w:val="002C6C66"/>
    <w:rsid w:val="002C6DF1"/>
    <w:rsid w:val="002C73F1"/>
    <w:rsid w:val="002D0AFD"/>
    <w:rsid w:val="002D1191"/>
    <w:rsid w:val="002D11C8"/>
    <w:rsid w:val="002D1FDE"/>
    <w:rsid w:val="002D2EAE"/>
    <w:rsid w:val="002D34CF"/>
    <w:rsid w:val="002D3DA8"/>
    <w:rsid w:val="002D470C"/>
    <w:rsid w:val="002D47E3"/>
    <w:rsid w:val="002D49FE"/>
    <w:rsid w:val="002D4C9E"/>
    <w:rsid w:val="002D6C77"/>
    <w:rsid w:val="002E0355"/>
    <w:rsid w:val="002E0E46"/>
    <w:rsid w:val="002E1792"/>
    <w:rsid w:val="002E249B"/>
    <w:rsid w:val="002E2B13"/>
    <w:rsid w:val="002E3ECF"/>
    <w:rsid w:val="002E437D"/>
    <w:rsid w:val="002E4595"/>
    <w:rsid w:val="002E4EF3"/>
    <w:rsid w:val="002E74D9"/>
    <w:rsid w:val="002E753C"/>
    <w:rsid w:val="002E76AE"/>
    <w:rsid w:val="002F070F"/>
    <w:rsid w:val="002F0C4E"/>
    <w:rsid w:val="002F0FCB"/>
    <w:rsid w:val="002F28D5"/>
    <w:rsid w:val="002F343A"/>
    <w:rsid w:val="002F3C1D"/>
    <w:rsid w:val="002F3D60"/>
    <w:rsid w:val="002F492A"/>
    <w:rsid w:val="002F52A6"/>
    <w:rsid w:val="002F656E"/>
    <w:rsid w:val="002F6E1F"/>
    <w:rsid w:val="002F764B"/>
    <w:rsid w:val="002F7B17"/>
    <w:rsid w:val="00300042"/>
    <w:rsid w:val="003003BE"/>
    <w:rsid w:val="003014F1"/>
    <w:rsid w:val="003019F5"/>
    <w:rsid w:val="00301E58"/>
    <w:rsid w:val="00301F2D"/>
    <w:rsid w:val="00301FD6"/>
    <w:rsid w:val="003021BE"/>
    <w:rsid w:val="0030282D"/>
    <w:rsid w:val="003029FA"/>
    <w:rsid w:val="00302B5B"/>
    <w:rsid w:val="0030422B"/>
    <w:rsid w:val="00304AD3"/>
    <w:rsid w:val="00305AAE"/>
    <w:rsid w:val="00305DAA"/>
    <w:rsid w:val="00307063"/>
    <w:rsid w:val="00310289"/>
    <w:rsid w:val="0031045E"/>
    <w:rsid w:val="0031078A"/>
    <w:rsid w:val="003107EB"/>
    <w:rsid w:val="00310A47"/>
    <w:rsid w:val="0031126E"/>
    <w:rsid w:val="00311515"/>
    <w:rsid w:val="003118AB"/>
    <w:rsid w:val="00311C38"/>
    <w:rsid w:val="003120B6"/>
    <w:rsid w:val="00312135"/>
    <w:rsid w:val="0031240A"/>
    <w:rsid w:val="003135AC"/>
    <w:rsid w:val="00313781"/>
    <w:rsid w:val="003139B6"/>
    <w:rsid w:val="00313D72"/>
    <w:rsid w:val="003145CC"/>
    <w:rsid w:val="0031562C"/>
    <w:rsid w:val="00315685"/>
    <w:rsid w:val="00316C99"/>
    <w:rsid w:val="00317886"/>
    <w:rsid w:val="00317DA0"/>
    <w:rsid w:val="003208C6"/>
    <w:rsid w:val="003229E8"/>
    <w:rsid w:val="00322AA3"/>
    <w:rsid w:val="00322C79"/>
    <w:rsid w:val="003235DD"/>
    <w:rsid w:val="00323C00"/>
    <w:rsid w:val="00323C71"/>
    <w:rsid w:val="00323E98"/>
    <w:rsid w:val="00324A07"/>
    <w:rsid w:val="00324C5D"/>
    <w:rsid w:val="00325FBD"/>
    <w:rsid w:val="00326072"/>
    <w:rsid w:val="00326B0F"/>
    <w:rsid w:val="00326F06"/>
    <w:rsid w:val="0032733A"/>
    <w:rsid w:val="0032760F"/>
    <w:rsid w:val="00327644"/>
    <w:rsid w:val="00327975"/>
    <w:rsid w:val="00330A8F"/>
    <w:rsid w:val="003316A0"/>
    <w:rsid w:val="00331B67"/>
    <w:rsid w:val="003325F3"/>
    <w:rsid w:val="00332ACD"/>
    <w:rsid w:val="00332DA4"/>
    <w:rsid w:val="00333179"/>
    <w:rsid w:val="0033346D"/>
    <w:rsid w:val="00333C89"/>
    <w:rsid w:val="00336B0C"/>
    <w:rsid w:val="00336CD3"/>
    <w:rsid w:val="00337D92"/>
    <w:rsid w:val="00337FB7"/>
    <w:rsid w:val="0034003C"/>
    <w:rsid w:val="003401AC"/>
    <w:rsid w:val="00340388"/>
    <w:rsid w:val="003404A2"/>
    <w:rsid w:val="003407FB"/>
    <w:rsid w:val="00340800"/>
    <w:rsid w:val="00341444"/>
    <w:rsid w:val="00341621"/>
    <w:rsid w:val="003416DE"/>
    <w:rsid w:val="00342AAC"/>
    <w:rsid w:val="0034418D"/>
    <w:rsid w:val="00344EBD"/>
    <w:rsid w:val="0034524D"/>
    <w:rsid w:val="00346121"/>
    <w:rsid w:val="00347BE8"/>
    <w:rsid w:val="00347F7F"/>
    <w:rsid w:val="00353F58"/>
    <w:rsid w:val="00354413"/>
    <w:rsid w:val="003545E5"/>
    <w:rsid w:val="003552A7"/>
    <w:rsid w:val="00355A7B"/>
    <w:rsid w:val="00356090"/>
    <w:rsid w:val="003561D3"/>
    <w:rsid w:val="003565E8"/>
    <w:rsid w:val="00357D32"/>
    <w:rsid w:val="00360733"/>
    <w:rsid w:val="0036257D"/>
    <w:rsid w:val="0036279E"/>
    <w:rsid w:val="00362BA9"/>
    <w:rsid w:val="003630CC"/>
    <w:rsid w:val="00365BF4"/>
    <w:rsid w:val="0036605F"/>
    <w:rsid w:val="00366A85"/>
    <w:rsid w:val="00366EA5"/>
    <w:rsid w:val="0037048E"/>
    <w:rsid w:val="003708AB"/>
    <w:rsid w:val="00371468"/>
    <w:rsid w:val="0037184E"/>
    <w:rsid w:val="003719E5"/>
    <w:rsid w:val="00371A55"/>
    <w:rsid w:val="0037287D"/>
    <w:rsid w:val="003730E8"/>
    <w:rsid w:val="003762D7"/>
    <w:rsid w:val="00376572"/>
    <w:rsid w:val="00376C48"/>
    <w:rsid w:val="003779B2"/>
    <w:rsid w:val="00377F34"/>
    <w:rsid w:val="0038035C"/>
    <w:rsid w:val="003808A0"/>
    <w:rsid w:val="00380BFC"/>
    <w:rsid w:val="00381CF0"/>
    <w:rsid w:val="00381EBD"/>
    <w:rsid w:val="003830C0"/>
    <w:rsid w:val="00384425"/>
    <w:rsid w:val="00385158"/>
    <w:rsid w:val="00385667"/>
    <w:rsid w:val="003858C1"/>
    <w:rsid w:val="00386A45"/>
    <w:rsid w:val="003871C9"/>
    <w:rsid w:val="003874E5"/>
    <w:rsid w:val="00390E18"/>
    <w:rsid w:val="0039107B"/>
    <w:rsid w:val="003912A8"/>
    <w:rsid w:val="003916AD"/>
    <w:rsid w:val="00393042"/>
    <w:rsid w:val="00394CC2"/>
    <w:rsid w:val="003957D7"/>
    <w:rsid w:val="00395954"/>
    <w:rsid w:val="00396E6F"/>
    <w:rsid w:val="003A0E7D"/>
    <w:rsid w:val="003A2110"/>
    <w:rsid w:val="003A2CA1"/>
    <w:rsid w:val="003A3C1D"/>
    <w:rsid w:val="003A3DC7"/>
    <w:rsid w:val="003A3EAD"/>
    <w:rsid w:val="003A44E1"/>
    <w:rsid w:val="003A4FA9"/>
    <w:rsid w:val="003A503E"/>
    <w:rsid w:val="003A52AF"/>
    <w:rsid w:val="003A5BD5"/>
    <w:rsid w:val="003A618E"/>
    <w:rsid w:val="003A6FAD"/>
    <w:rsid w:val="003A7770"/>
    <w:rsid w:val="003B0855"/>
    <w:rsid w:val="003B0BE3"/>
    <w:rsid w:val="003B1583"/>
    <w:rsid w:val="003B15EF"/>
    <w:rsid w:val="003B1D7C"/>
    <w:rsid w:val="003B1D9C"/>
    <w:rsid w:val="003B2637"/>
    <w:rsid w:val="003B3292"/>
    <w:rsid w:val="003B3EBC"/>
    <w:rsid w:val="003B42CD"/>
    <w:rsid w:val="003B43B0"/>
    <w:rsid w:val="003B4FA2"/>
    <w:rsid w:val="003B53EA"/>
    <w:rsid w:val="003B732E"/>
    <w:rsid w:val="003B7AE3"/>
    <w:rsid w:val="003C048B"/>
    <w:rsid w:val="003C0C84"/>
    <w:rsid w:val="003C0D66"/>
    <w:rsid w:val="003C1177"/>
    <w:rsid w:val="003C124A"/>
    <w:rsid w:val="003C1B3D"/>
    <w:rsid w:val="003C2E35"/>
    <w:rsid w:val="003C3A1A"/>
    <w:rsid w:val="003C49E5"/>
    <w:rsid w:val="003C5454"/>
    <w:rsid w:val="003C5547"/>
    <w:rsid w:val="003C5A8E"/>
    <w:rsid w:val="003C5B7A"/>
    <w:rsid w:val="003C5E04"/>
    <w:rsid w:val="003C66C2"/>
    <w:rsid w:val="003C7CD8"/>
    <w:rsid w:val="003C7CFD"/>
    <w:rsid w:val="003D02CF"/>
    <w:rsid w:val="003D12C3"/>
    <w:rsid w:val="003D16D7"/>
    <w:rsid w:val="003D2527"/>
    <w:rsid w:val="003D2E1B"/>
    <w:rsid w:val="003D2EDA"/>
    <w:rsid w:val="003D300B"/>
    <w:rsid w:val="003D36A2"/>
    <w:rsid w:val="003D51EF"/>
    <w:rsid w:val="003D52D2"/>
    <w:rsid w:val="003D5373"/>
    <w:rsid w:val="003D5B43"/>
    <w:rsid w:val="003D5C90"/>
    <w:rsid w:val="003D5D73"/>
    <w:rsid w:val="003D6EC7"/>
    <w:rsid w:val="003D73B7"/>
    <w:rsid w:val="003D7D37"/>
    <w:rsid w:val="003E032F"/>
    <w:rsid w:val="003E0903"/>
    <w:rsid w:val="003E0FA1"/>
    <w:rsid w:val="003E1934"/>
    <w:rsid w:val="003E1B02"/>
    <w:rsid w:val="003E2F64"/>
    <w:rsid w:val="003E4032"/>
    <w:rsid w:val="003E4658"/>
    <w:rsid w:val="003E46CC"/>
    <w:rsid w:val="003E554F"/>
    <w:rsid w:val="003E6070"/>
    <w:rsid w:val="003E6DB1"/>
    <w:rsid w:val="003E71CB"/>
    <w:rsid w:val="003E75BE"/>
    <w:rsid w:val="003F0566"/>
    <w:rsid w:val="003F0DDA"/>
    <w:rsid w:val="003F0E23"/>
    <w:rsid w:val="003F2397"/>
    <w:rsid w:val="003F2A6A"/>
    <w:rsid w:val="003F2ADA"/>
    <w:rsid w:val="003F3222"/>
    <w:rsid w:val="003F36AA"/>
    <w:rsid w:val="003F43BB"/>
    <w:rsid w:val="003F4D1E"/>
    <w:rsid w:val="003F5072"/>
    <w:rsid w:val="003F5563"/>
    <w:rsid w:val="003F5AC4"/>
    <w:rsid w:val="003F67B0"/>
    <w:rsid w:val="003F67D4"/>
    <w:rsid w:val="003F6FB8"/>
    <w:rsid w:val="003F76F5"/>
    <w:rsid w:val="003F7949"/>
    <w:rsid w:val="003F7DB3"/>
    <w:rsid w:val="003F7FA7"/>
    <w:rsid w:val="004006CD"/>
    <w:rsid w:val="004016E1"/>
    <w:rsid w:val="00402AA7"/>
    <w:rsid w:val="00402BBE"/>
    <w:rsid w:val="00403C14"/>
    <w:rsid w:val="0040424B"/>
    <w:rsid w:val="00404B55"/>
    <w:rsid w:val="00404C50"/>
    <w:rsid w:val="004050B8"/>
    <w:rsid w:val="00405102"/>
    <w:rsid w:val="00406016"/>
    <w:rsid w:val="0040673A"/>
    <w:rsid w:val="00406ACC"/>
    <w:rsid w:val="0040769E"/>
    <w:rsid w:val="00410503"/>
    <w:rsid w:val="00412F2C"/>
    <w:rsid w:val="00413844"/>
    <w:rsid w:val="00414817"/>
    <w:rsid w:val="00415CE7"/>
    <w:rsid w:val="00416297"/>
    <w:rsid w:val="0041641A"/>
    <w:rsid w:val="00416560"/>
    <w:rsid w:val="0041666C"/>
    <w:rsid w:val="0041731B"/>
    <w:rsid w:val="00417856"/>
    <w:rsid w:val="004203ED"/>
    <w:rsid w:val="00420681"/>
    <w:rsid w:val="004212FC"/>
    <w:rsid w:val="0042169F"/>
    <w:rsid w:val="00421CF7"/>
    <w:rsid w:val="00422591"/>
    <w:rsid w:val="00422CFD"/>
    <w:rsid w:val="00423D20"/>
    <w:rsid w:val="00424212"/>
    <w:rsid w:val="004245B1"/>
    <w:rsid w:val="00424932"/>
    <w:rsid w:val="0042573C"/>
    <w:rsid w:val="0042594A"/>
    <w:rsid w:val="004301B4"/>
    <w:rsid w:val="004304D7"/>
    <w:rsid w:val="00430795"/>
    <w:rsid w:val="0043081F"/>
    <w:rsid w:val="00430EBA"/>
    <w:rsid w:val="00431353"/>
    <w:rsid w:val="004313CA"/>
    <w:rsid w:val="00431F1B"/>
    <w:rsid w:val="0043284F"/>
    <w:rsid w:val="00432D53"/>
    <w:rsid w:val="004358A0"/>
    <w:rsid w:val="00435F87"/>
    <w:rsid w:val="00435FBD"/>
    <w:rsid w:val="0043631B"/>
    <w:rsid w:val="0043632A"/>
    <w:rsid w:val="00436937"/>
    <w:rsid w:val="00436EAC"/>
    <w:rsid w:val="00437C4B"/>
    <w:rsid w:val="004406B3"/>
    <w:rsid w:val="004407A3"/>
    <w:rsid w:val="0044424E"/>
    <w:rsid w:val="0044525C"/>
    <w:rsid w:val="0044679B"/>
    <w:rsid w:val="00446BD2"/>
    <w:rsid w:val="00447155"/>
    <w:rsid w:val="00450807"/>
    <w:rsid w:val="00450B50"/>
    <w:rsid w:val="00451AB6"/>
    <w:rsid w:val="00452479"/>
    <w:rsid w:val="004544F5"/>
    <w:rsid w:val="00455221"/>
    <w:rsid w:val="004554FF"/>
    <w:rsid w:val="00456E3F"/>
    <w:rsid w:val="00457893"/>
    <w:rsid w:val="00460811"/>
    <w:rsid w:val="00460983"/>
    <w:rsid w:val="0046148C"/>
    <w:rsid w:val="00461897"/>
    <w:rsid w:val="004623D7"/>
    <w:rsid w:val="00462655"/>
    <w:rsid w:val="00462753"/>
    <w:rsid w:val="0046365B"/>
    <w:rsid w:val="00464417"/>
    <w:rsid w:val="0046466E"/>
    <w:rsid w:val="00464F34"/>
    <w:rsid w:val="0046524A"/>
    <w:rsid w:val="0046670C"/>
    <w:rsid w:val="00466D76"/>
    <w:rsid w:val="00466D79"/>
    <w:rsid w:val="004670B2"/>
    <w:rsid w:val="0046738B"/>
    <w:rsid w:val="00467BA1"/>
    <w:rsid w:val="004708DA"/>
    <w:rsid w:val="00470EF9"/>
    <w:rsid w:val="00471AAE"/>
    <w:rsid w:val="00473D90"/>
    <w:rsid w:val="00474CD5"/>
    <w:rsid w:val="00474E4F"/>
    <w:rsid w:val="00475369"/>
    <w:rsid w:val="00475A1E"/>
    <w:rsid w:val="004766D9"/>
    <w:rsid w:val="00477985"/>
    <w:rsid w:val="00480549"/>
    <w:rsid w:val="00480B43"/>
    <w:rsid w:val="00481E0C"/>
    <w:rsid w:val="00481F10"/>
    <w:rsid w:val="004826AA"/>
    <w:rsid w:val="00482702"/>
    <w:rsid w:val="0048359A"/>
    <w:rsid w:val="00483BE7"/>
    <w:rsid w:val="00484B4C"/>
    <w:rsid w:val="00485236"/>
    <w:rsid w:val="004859EB"/>
    <w:rsid w:val="00485C32"/>
    <w:rsid w:val="00486D01"/>
    <w:rsid w:val="00487029"/>
    <w:rsid w:val="004902CC"/>
    <w:rsid w:val="0049052D"/>
    <w:rsid w:val="00490B2F"/>
    <w:rsid w:val="00491A27"/>
    <w:rsid w:val="00492A2D"/>
    <w:rsid w:val="004933CE"/>
    <w:rsid w:val="00493663"/>
    <w:rsid w:val="00494F27"/>
    <w:rsid w:val="0049531A"/>
    <w:rsid w:val="0049569C"/>
    <w:rsid w:val="00495CA2"/>
    <w:rsid w:val="00495D97"/>
    <w:rsid w:val="004967C0"/>
    <w:rsid w:val="00496853"/>
    <w:rsid w:val="004978E1"/>
    <w:rsid w:val="00497E5D"/>
    <w:rsid w:val="004A060F"/>
    <w:rsid w:val="004A09D5"/>
    <w:rsid w:val="004A4C8E"/>
    <w:rsid w:val="004A623D"/>
    <w:rsid w:val="004A6CA3"/>
    <w:rsid w:val="004A717F"/>
    <w:rsid w:val="004A7182"/>
    <w:rsid w:val="004A72D8"/>
    <w:rsid w:val="004B052B"/>
    <w:rsid w:val="004B0534"/>
    <w:rsid w:val="004B0A30"/>
    <w:rsid w:val="004B0CF1"/>
    <w:rsid w:val="004B0FBF"/>
    <w:rsid w:val="004B14C3"/>
    <w:rsid w:val="004B30B6"/>
    <w:rsid w:val="004B361E"/>
    <w:rsid w:val="004B3CF3"/>
    <w:rsid w:val="004B47BD"/>
    <w:rsid w:val="004B494C"/>
    <w:rsid w:val="004B53C7"/>
    <w:rsid w:val="004B6634"/>
    <w:rsid w:val="004B6B9B"/>
    <w:rsid w:val="004B7791"/>
    <w:rsid w:val="004B78AB"/>
    <w:rsid w:val="004B7BB7"/>
    <w:rsid w:val="004B7FBD"/>
    <w:rsid w:val="004C07CB"/>
    <w:rsid w:val="004C09A8"/>
    <w:rsid w:val="004C1657"/>
    <w:rsid w:val="004C277B"/>
    <w:rsid w:val="004C3922"/>
    <w:rsid w:val="004C4397"/>
    <w:rsid w:val="004C4F8D"/>
    <w:rsid w:val="004C6847"/>
    <w:rsid w:val="004C6D30"/>
    <w:rsid w:val="004C7E87"/>
    <w:rsid w:val="004D04D3"/>
    <w:rsid w:val="004D1C5D"/>
    <w:rsid w:val="004D3122"/>
    <w:rsid w:val="004D3234"/>
    <w:rsid w:val="004D3F3C"/>
    <w:rsid w:val="004D433E"/>
    <w:rsid w:val="004D489C"/>
    <w:rsid w:val="004D48DD"/>
    <w:rsid w:val="004D5F0B"/>
    <w:rsid w:val="004D62C6"/>
    <w:rsid w:val="004D6D06"/>
    <w:rsid w:val="004D7AC8"/>
    <w:rsid w:val="004E0BAC"/>
    <w:rsid w:val="004E101B"/>
    <w:rsid w:val="004E105A"/>
    <w:rsid w:val="004E1528"/>
    <w:rsid w:val="004E19A4"/>
    <w:rsid w:val="004E1C50"/>
    <w:rsid w:val="004E274B"/>
    <w:rsid w:val="004E2BCD"/>
    <w:rsid w:val="004E2E17"/>
    <w:rsid w:val="004E3156"/>
    <w:rsid w:val="004E43E4"/>
    <w:rsid w:val="004E49A7"/>
    <w:rsid w:val="004E521C"/>
    <w:rsid w:val="004E57C2"/>
    <w:rsid w:val="004E5E18"/>
    <w:rsid w:val="004E6312"/>
    <w:rsid w:val="004E70F4"/>
    <w:rsid w:val="004F016C"/>
    <w:rsid w:val="004F0326"/>
    <w:rsid w:val="004F187C"/>
    <w:rsid w:val="004F18DD"/>
    <w:rsid w:val="004F1D1E"/>
    <w:rsid w:val="004F1F89"/>
    <w:rsid w:val="004F2151"/>
    <w:rsid w:val="004F3675"/>
    <w:rsid w:val="004F4E51"/>
    <w:rsid w:val="004F53E5"/>
    <w:rsid w:val="004F5637"/>
    <w:rsid w:val="004F57C5"/>
    <w:rsid w:val="004F5BF2"/>
    <w:rsid w:val="004F6A4A"/>
    <w:rsid w:val="004F73EA"/>
    <w:rsid w:val="00500360"/>
    <w:rsid w:val="0050094A"/>
    <w:rsid w:val="0050113B"/>
    <w:rsid w:val="005018DF"/>
    <w:rsid w:val="0050236E"/>
    <w:rsid w:val="00502BA4"/>
    <w:rsid w:val="00502BB1"/>
    <w:rsid w:val="005037CD"/>
    <w:rsid w:val="0050433B"/>
    <w:rsid w:val="0050507D"/>
    <w:rsid w:val="005053A6"/>
    <w:rsid w:val="0050605A"/>
    <w:rsid w:val="00507CA4"/>
    <w:rsid w:val="00510F19"/>
    <w:rsid w:val="00511C27"/>
    <w:rsid w:val="00512290"/>
    <w:rsid w:val="00512DFB"/>
    <w:rsid w:val="00514A8E"/>
    <w:rsid w:val="0051509D"/>
    <w:rsid w:val="005158D1"/>
    <w:rsid w:val="00515992"/>
    <w:rsid w:val="0051600E"/>
    <w:rsid w:val="00516B30"/>
    <w:rsid w:val="00521535"/>
    <w:rsid w:val="005222F8"/>
    <w:rsid w:val="00522D0D"/>
    <w:rsid w:val="00522ECE"/>
    <w:rsid w:val="00523DC0"/>
    <w:rsid w:val="005245EB"/>
    <w:rsid w:val="00524A01"/>
    <w:rsid w:val="00524D2C"/>
    <w:rsid w:val="00524D67"/>
    <w:rsid w:val="00525137"/>
    <w:rsid w:val="0052520F"/>
    <w:rsid w:val="005254B0"/>
    <w:rsid w:val="0052607D"/>
    <w:rsid w:val="0052691B"/>
    <w:rsid w:val="00526AC7"/>
    <w:rsid w:val="00526BE3"/>
    <w:rsid w:val="00526EA3"/>
    <w:rsid w:val="005272A4"/>
    <w:rsid w:val="005275C6"/>
    <w:rsid w:val="00527613"/>
    <w:rsid w:val="005276D3"/>
    <w:rsid w:val="0052797A"/>
    <w:rsid w:val="00527FBC"/>
    <w:rsid w:val="0053136C"/>
    <w:rsid w:val="00532666"/>
    <w:rsid w:val="0053291C"/>
    <w:rsid w:val="00532B82"/>
    <w:rsid w:val="00533A1A"/>
    <w:rsid w:val="00533C76"/>
    <w:rsid w:val="00535186"/>
    <w:rsid w:val="0053594D"/>
    <w:rsid w:val="0053622A"/>
    <w:rsid w:val="00537882"/>
    <w:rsid w:val="00537A98"/>
    <w:rsid w:val="00537E3C"/>
    <w:rsid w:val="00540365"/>
    <w:rsid w:val="005403A2"/>
    <w:rsid w:val="0054078C"/>
    <w:rsid w:val="0054088B"/>
    <w:rsid w:val="00541B41"/>
    <w:rsid w:val="005432E9"/>
    <w:rsid w:val="00543E8F"/>
    <w:rsid w:val="005447B5"/>
    <w:rsid w:val="00545104"/>
    <w:rsid w:val="005451D8"/>
    <w:rsid w:val="0054724D"/>
    <w:rsid w:val="0054772E"/>
    <w:rsid w:val="00547F2F"/>
    <w:rsid w:val="00550276"/>
    <w:rsid w:val="00550437"/>
    <w:rsid w:val="005511B3"/>
    <w:rsid w:val="0055130C"/>
    <w:rsid w:val="00551834"/>
    <w:rsid w:val="00552434"/>
    <w:rsid w:val="00553070"/>
    <w:rsid w:val="00554AEA"/>
    <w:rsid w:val="00554FCB"/>
    <w:rsid w:val="005560FC"/>
    <w:rsid w:val="005570C3"/>
    <w:rsid w:val="0055745E"/>
    <w:rsid w:val="005575E6"/>
    <w:rsid w:val="005603B2"/>
    <w:rsid w:val="00560621"/>
    <w:rsid w:val="005616CE"/>
    <w:rsid w:val="00561BF3"/>
    <w:rsid w:val="00561E48"/>
    <w:rsid w:val="005623CE"/>
    <w:rsid w:val="00562EA4"/>
    <w:rsid w:val="0056353A"/>
    <w:rsid w:val="00563920"/>
    <w:rsid w:val="00563990"/>
    <w:rsid w:val="00563ED2"/>
    <w:rsid w:val="0056472A"/>
    <w:rsid w:val="00564BD8"/>
    <w:rsid w:val="00564C74"/>
    <w:rsid w:val="00565A74"/>
    <w:rsid w:val="00565B14"/>
    <w:rsid w:val="0056648B"/>
    <w:rsid w:val="0056663B"/>
    <w:rsid w:val="0057101A"/>
    <w:rsid w:val="00571104"/>
    <w:rsid w:val="005711E3"/>
    <w:rsid w:val="00571493"/>
    <w:rsid w:val="00572C2E"/>
    <w:rsid w:val="00572E09"/>
    <w:rsid w:val="0057368E"/>
    <w:rsid w:val="005740A3"/>
    <w:rsid w:val="00574511"/>
    <w:rsid w:val="0057521C"/>
    <w:rsid w:val="005769A5"/>
    <w:rsid w:val="00577BCC"/>
    <w:rsid w:val="0058063A"/>
    <w:rsid w:val="00581EE6"/>
    <w:rsid w:val="00582B3E"/>
    <w:rsid w:val="005839FC"/>
    <w:rsid w:val="00584037"/>
    <w:rsid w:val="0058449D"/>
    <w:rsid w:val="00584FF0"/>
    <w:rsid w:val="005850D8"/>
    <w:rsid w:val="005851D0"/>
    <w:rsid w:val="005852D9"/>
    <w:rsid w:val="005864D8"/>
    <w:rsid w:val="005867ED"/>
    <w:rsid w:val="005869B3"/>
    <w:rsid w:val="00586FEC"/>
    <w:rsid w:val="00587512"/>
    <w:rsid w:val="00590235"/>
    <w:rsid w:val="005909B6"/>
    <w:rsid w:val="00590F24"/>
    <w:rsid w:val="00591362"/>
    <w:rsid w:val="005915F3"/>
    <w:rsid w:val="00591842"/>
    <w:rsid w:val="00591C68"/>
    <w:rsid w:val="00591C90"/>
    <w:rsid w:val="005929C3"/>
    <w:rsid w:val="00592EA0"/>
    <w:rsid w:val="005948ED"/>
    <w:rsid w:val="00595233"/>
    <w:rsid w:val="005954F5"/>
    <w:rsid w:val="0059576F"/>
    <w:rsid w:val="005962F3"/>
    <w:rsid w:val="005968ED"/>
    <w:rsid w:val="00596DA7"/>
    <w:rsid w:val="005A0A75"/>
    <w:rsid w:val="005A0D69"/>
    <w:rsid w:val="005A1084"/>
    <w:rsid w:val="005A11B1"/>
    <w:rsid w:val="005A1946"/>
    <w:rsid w:val="005A2C6D"/>
    <w:rsid w:val="005A2E81"/>
    <w:rsid w:val="005A30F3"/>
    <w:rsid w:val="005A343D"/>
    <w:rsid w:val="005A3E54"/>
    <w:rsid w:val="005A3F11"/>
    <w:rsid w:val="005A47A1"/>
    <w:rsid w:val="005A483A"/>
    <w:rsid w:val="005A6A4F"/>
    <w:rsid w:val="005B00FD"/>
    <w:rsid w:val="005B1886"/>
    <w:rsid w:val="005B219E"/>
    <w:rsid w:val="005B23EC"/>
    <w:rsid w:val="005B241D"/>
    <w:rsid w:val="005B2F81"/>
    <w:rsid w:val="005B3014"/>
    <w:rsid w:val="005B38C2"/>
    <w:rsid w:val="005B3936"/>
    <w:rsid w:val="005B4F39"/>
    <w:rsid w:val="005B6415"/>
    <w:rsid w:val="005B73E8"/>
    <w:rsid w:val="005B7D14"/>
    <w:rsid w:val="005C061C"/>
    <w:rsid w:val="005C0973"/>
    <w:rsid w:val="005C135F"/>
    <w:rsid w:val="005C162F"/>
    <w:rsid w:val="005C1EEB"/>
    <w:rsid w:val="005C2155"/>
    <w:rsid w:val="005C2390"/>
    <w:rsid w:val="005C3077"/>
    <w:rsid w:val="005C397E"/>
    <w:rsid w:val="005C39E4"/>
    <w:rsid w:val="005C3BE7"/>
    <w:rsid w:val="005C4519"/>
    <w:rsid w:val="005C4538"/>
    <w:rsid w:val="005C4B6A"/>
    <w:rsid w:val="005C586D"/>
    <w:rsid w:val="005C5B62"/>
    <w:rsid w:val="005C6487"/>
    <w:rsid w:val="005C6F70"/>
    <w:rsid w:val="005C7011"/>
    <w:rsid w:val="005C7676"/>
    <w:rsid w:val="005C7931"/>
    <w:rsid w:val="005C7E13"/>
    <w:rsid w:val="005D00E7"/>
    <w:rsid w:val="005D0269"/>
    <w:rsid w:val="005D070F"/>
    <w:rsid w:val="005D0F2A"/>
    <w:rsid w:val="005D156C"/>
    <w:rsid w:val="005D191A"/>
    <w:rsid w:val="005D2600"/>
    <w:rsid w:val="005D26F6"/>
    <w:rsid w:val="005D2972"/>
    <w:rsid w:val="005D2DF7"/>
    <w:rsid w:val="005D37B5"/>
    <w:rsid w:val="005D44C7"/>
    <w:rsid w:val="005D452F"/>
    <w:rsid w:val="005D4FB8"/>
    <w:rsid w:val="005D5713"/>
    <w:rsid w:val="005D588A"/>
    <w:rsid w:val="005D60A9"/>
    <w:rsid w:val="005D6B69"/>
    <w:rsid w:val="005D6BBA"/>
    <w:rsid w:val="005D6C55"/>
    <w:rsid w:val="005D7397"/>
    <w:rsid w:val="005D7416"/>
    <w:rsid w:val="005D7D2B"/>
    <w:rsid w:val="005D7F5C"/>
    <w:rsid w:val="005D7FBA"/>
    <w:rsid w:val="005E0C2D"/>
    <w:rsid w:val="005E126D"/>
    <w:rsid w:val="005E2B21"/>
    <w:rsid w:val="005E2C53"/>
    <w:rsid w:val="005E2C8F"/>
    <w:rsid w:val="005E33A3"/>
    <w:rsid w:val="005E413A"/>
    <w:rsid w:val="005E43ED"/>
    <w:rsid w:val="005E5F36"/>
    <w:rsid w:val="005E681F"/>
    <w:rsid w:val="005E69A2"/>
    <w:rsid w:val="005E7451"/>
    <w:rsid w:val="005E7581"/>
    <w:rsid w:val="005E7E9B"/>
    <w:rsid w:val="005F0C72"/>
    <w:rsid w:val="005F1F25"/>
    <w:rsid w:val="005F26F4"/>
    <w:rsid w:val="005F2A80"/>
    <w:rsid w:val="005F2A8D"/>
    <w:rsid w:val="005F2BBE"/>
    <w:rsid w:val="005F3AA6"/>
    <w:rsid w:val="005F3E31"/>
    <w:rsid w:val="005F414B"/>
    <w:rsid w:val="005F5300"/>
    <w:rsid w:val="005F538F"/>
    <w:rsid w:val="005F5E76"/>
    <w:rsid w:val="005F62E1"/>
    <w:rsid w:val="005F7E42"/>
    <w:rsid w:val="00600C74"/>
    <w:rsid w:val="0060204F"/>
    <w:rsid w:val="00602AC3"/>
    <w:rsid w:val="006034E2"/>
    <w:rsid w:val="00603620"/>
    <w:rsid w:val="00603B50"/>
    <w:rsid w:val="006040C7"/>
    <w:rsid w:val="00605CA2"/>
    <w:rsid w:val="00607B45"/>
    <w:rsid w:val="00607C44"/>
    <w:rsid w:val="0061171B"/>
    <w:rsid w:val="006125D5"/>
    <w:rsid w:val="00613450"/>
    <w:rsid w:val="00613D62"/>
    <w:rsid w:val="00613E4F"/>
    <w:rsid w:val="00614D1E"/>
    <w:rsid w:val="00615153"/>
    <w:rsid w:val="00615F5F"/>
    <w:rsid w:val="0061638D"/>
    <w:rsid w:val="006163F0"/>
    <w:rsid w:val="00616AFC"/>
    <w:rsid w:val="00617337"/>
    <w:rsid w:val="00617903"/>
    <w:rsid w:val="00620541"/>
    <w:rsid w:val="006208D6"/>
    <w:rsid w:val="00620F9D"/>
    <w:rsid w:val="0062176E"/>
    <w:rsid w:val="00622891"/>
    <w:rsid w:val="006230A9"/>
    <w:rsid w:val="00624E8B"/>
    <w:rsid w:val="00625B92"/>
    <w:rsid w:val="006302DE"/>
    <w:rsid w:val="00633603"/>
    <w:rsid w:val="00633852"/>
    <w:rsid w:val="00634977"/>
    <w:rsid w:val="00635216"/>
    <w:rsid w:val="00635F49"/>
    <w:rsid w:val="0063639D"/>
    <w:rsid w:val="0063648E"/>
    <w:rsid w:val="00636781"/>
    <w:rsid w:val="00637012"/>
    <w:rsid w:val="006373A6"/>
    <w:rsid w:val="00637978"/>
    <w:rsid w:val="00637D87"/>
    <w:rsid w:val="00643035"/>
    <w:rsid w:val="00644785"/>
    <w:rsid w:val="006454CA"/>
    <w:rsid w:val="0064568A"/>
    <w:rsid w:val="00645775"/>
    <w:rsid w:val="00646387"/>
    <w:rsid w:val="006466FA"/>
    <w:rsid w:val="00646BA6"/>
    <w:rsid w:val="00646CAB"/>
    <w:rsid w:val="0065070E"/>
    <w:rsid w:val="006508A3"/>
    <w:rsid w:val="00651DAE"/>
    <w:rsid w:val="0065206D"/>
    <w:rsid w:val="00653E43"/>
    <w:rsid w:val="00654131"/>
    <w:rsid w:val="006555CB"/>
    <w:rsid w:val="00655D4F"/>
    <w:rsid w:val="00657B66"/>
    <w:rsid w:val="00657C75"/>
    <w:rsid w:val="00660663"/>
    <w:rsid w:val="00660F0F"/>
    <w:rsid w:val="00660FF1"/>
    <w:rsid w:val="00661796"/>
    <w:rsid w:val="00662D59"/>
    <w:rsid w:val="00663287"/>
    <w:rsid w:val="006638BE"/>
    <w:rsid w:val="00663C7A"/>
    <w:rsid w:val="00664288"/>
    <w:rsid w:val="00665032"/>
    <w:rsid w:val="00665AEC"/>
    <w:rsid w:val="00666958"/>
    <w:rsid w:val="00666A44"/>
    <w:rsid w:val="00666B1D"/>
    <w:rsid w:val="00666DC3"/>
    <w:rsid w:val="006674D0"/>
    <w:rsid w:val="006677FF"/>
    <w:rsid w:val="0067037E"/>
    <w:rsid w:val="00670AFE"/>
    <w:rsid w:val="00670EB1"/>
    <w:rsid w:val="00672B03"/>
    <w:rsid w:val="00673307"/>
    <w:rsid w:val="006737C6"/>
    <w:rsid w:val="00673A9B"/>
    <w:rsid w:val="00673E4F"/>
    <w:rsid w:val="0067443B"/>
    <w:rsid w:val="006747BD"/>
    <w:rsid w:val="0067494F"/>
    <w:rsid w:val="006761E1"/>
    <w:rsid w:val="00676FD8"/>
    <w:rsid w:val="00677D9B"/>
    <w:rsid w:val="0068038C"/>
    <w:rsid w:val="00680FF1"/>
    <w:rsid w:val="0068299C"/>
    <w:rsid w:val="006839DE"/>
    <w:rsid w:val="00683AFF"/>
    <w:rsid w:val="006853D7"/>
    <w:rsid w:val="006857A4"/>
    <w:rsid w:val="0068680C"/>
    <w:rsid w:val="006869F8"/>
    <w:rsid w:val="00686D30"/>
    <w:rsid w:val="006875D3"/>
    <w:rsid w:val="00687ADB"/>
    <w:rsid w:val="00690952"/>
    <w:rsid w:val="006913F6"/>
    <w:rsid w:val="00691D63"/>
    <w:rsid w:val="006921E2"/>
    <w:rsid w:val="0069227B"/>
    <w:rsid w:val="00692A17"/>
    <w:rsid w:val="0069389F"/>
    <w:rsid w:val="00694683"/>
    <w:rsid w:val="00694A9C"/>
    <w:rsid w:val="0069577F"/>
    <w:rsid w:val="00695C50"/>
    <w:rsid w:val="006977AF"/>
    <w:rsid w:val="00697891"/>
    <w:rsid w:val="00697898"/>
    <w:rsid w:val="00697CFA"/>
    <w:rsid w:val="006A0490"/>
    <w:rsid w:val="006A05D2"/>
    <w:rsid w:val="006A0D40"/>
    <w:rsid w:val="006A15F8"/>
    <w:rsid w:val="006A1AAE"/>
    <w:rsid w:val="006A2AB4"/>
    <w:rsid w:val="006A432F"/>
    <w:rsid w:val="006A5AA7"/>
    <w:rsid w:val="006A5AB9"/>
    <w:rsid w:val="006A61C3"/>
    <w:rsid w:val="006A6505"/>
    <w:rsid w:val="006A6995"/>
    <w:rsid w:val="006A77D7"/>
    <w:rsid w:val="006A7F4F"/>
    <w:rsid w:val="006B008C"/>
    <w:rsid w:val="006B057C"/>
    <w:rsid w:val="006B08CC"/>
    <w:rsid w:val="006B1D78"/>
    <w:rsid w:val="006B3951"/>
    <w:rsid w:val="006B54C4"/>
    <w:rsid w:val="006B5DB4"/>
    <w:rsid w:val="006B6553"/>
    <w:rsid w:val="006C12E6"/>
    <w:rsid w:val="006C1CF7"/>
    <w:rsid w:val="006C24B5"/>
    <w:rsid w:val="006C27EC"/>
    <w:rsid w:val="006C30B5"/>
    <w:rsid w:val="006C35C9"/>
    <w:rsid w:val="006C400C"/>
    <w:rsid w:val="006C4B32"/>
    <w:rsid w:val="006C5910"/>
    <w:rsid w:val="006D0144"/>
    <w:rsid w:val="006D04E6"/>
    <w:rsid w:val="006D06F3"/>
    <w:rsid w:val="006D1532"/>
    <w:rsid w:val="006D15D0"/>
    <w:rsid w:val="006D2163"/>
    <w:rsid w:val="006D2D30"/>
    <w:rsid w:val="006D4420"/>
    <w:rsid w:val="006D5FFD"/>
    <w:rsid w:val="006D6118"/>
    <w:rsid w:val="006D6C1E"/>
    <w:rsid w:val="006E124A"/>
    <w:rsid w:val="006E1423"/>
    <w:rsid w:val="006E24D9"/>
    <w:rsid w:val="006E2656"/>
    <w:rsid w:val="006E3A20"/>
    <w:rsid w:val="006E3C18"/>
    <w:rsid w:val="006E4C8C"/>
    <w:rsid w:val="006E4CF1"/>
    <w:rsid w:val="006E4DAB"/>
    <w:rsid w:val="006E5146"/>
    <w:rsid w:val="006E522E"/>
    <w:rsid w:val="006E59E8"/>
    <w:rsid w:val="006E64B8"/>
    <w:rsid w:val="006E7517"/>
    <w:rsid w:val="006E78AF"/>
    <w:rsid w:val="006E7EA2"/>
    <w:rsid w:val="006F00A3"/>
    <w:rsid w:val="006F049D"/>
    <w:rsid w:val="006F0618"/>
    <w:rsid w:val="006F0C46"/>
    <w:rsid w:val="006F13FB"/>
    <w:rsid w:val="006F3EAF"/>
    <w:rsid w:val="006F4A00"/>
    <w:rsid w:val="006F5E23"/>
    <w:rsid w:val="006F65BF"/>
    <w:rsid w:val="006F749A"/>
    <w:rsid w:val="006F7920"/>
    <w:rsid w:val="006F7A4B"/>
    <w:rsid w:val="007026FC"/>
    <w:rsid w:val="00702B18"/>
    <w:rsid w:val="00702F51"/>
    <w:rsid w:val="00703AB2"/>
    <w:rsid w:val="0070412E"/>
    <w:rsid w:val="00704151"/>
    <w:rsid w:val="00705F1C"/>
    <w:rsid w:val="007069EA"/>
    <w:rsid w:val="00706D44"/>
    <w:rsid w:val="00707468"/>
    <w:rsid w:val="00707BF4"/>
    <w:rsid w:val="00707D48"/>
    <w:rsid w:val="007105DA"/>
    <w:rsid w:val="00710BBD"/>
    <w:rsid w:val="00710F76"/>
    <w:rsid w:val="0071371C"/>
    <w:rsid w:val="00713742"/>
    <w:rsid w:val="00713749"/>
    <w:rsid w:val="00713864"/>
    <w:rsid w:val="00714749"/>
    <w:rsid w:val="00715854"/>
    <w:rsid w:val="007160DB"/>
    <w:rsid w:val="00716CAB"/>
    <w:rsid w:val="00717534"/>
    <w:rsid w:val="0071779F"/>
    <w:rsid w:val="0072018F"/>
    <w:rsid w:val="00720390"/>
    <w:rsid w:val="00720CBB"/>
    <w:rsid w:val="00721996"/>
    <w:rsid w:val="00721B9E"/>
    <w:rsid w:val="00722098"/>
    <w:rsid w:val="007223F3"/>
    <w:rsid w:val="007226B0"/>
    <w:rsid w:val="007231FC"/>
    <w:rsid w:val="00723498"/>
    <w:rsid w:val="00723ACF"/>
    <w:rsid w:val="00726DB1"/>
    <w:rsid w:val="007271BC"/>
    <w:rsid w:val="007276AC"/>
    <w:rsid w:val="007301ED"/>
    <w:rsid w:val="007307AF"/>
    <w:rsid w:val="00730D1E"/>
    <w:rsid w:val="00732D53"/>
    <w:rsid w:val="00733F31"/>
    <w:rsid w:val="00733F89"/>
    <w:rsid w:val="00734E9E"/>
    <w:rsid w:val="007351E9"/>
    <w:rsid w:val="00735473"/>
    <w:rsid w:val="00735578"/>
    <w:rsid w:val="0073592D"/>
    <w:rsid w:val="007361C6"/>
    <w:rsid w:val="00736476"/>
    <w:rsid w:val="0074058D"/>
    <w:rsid w:val="00742DDA"/>
    <w:rsid w:val="007437FB"/>
    <w:rsid w:val="00743B51"/>
    <w:rsid w:val="00744188"/>
    <w:rsid w:val="00744D0F"/>
    <w:rsid w:val="007451ED"/>
    <w:rsid w:val="00745951"/>
    <w:rsid w:val="00745E6F"/>
    <w:rsid w:val="0074646B"/>
    <w:rsid w:val="00746570"/>
    <w:rsid w:val="00747162"/>
    <w:rsid w:val="0074726C"/>
    <w:rsid w:val="00747A22"/>
    <w:rsid w:val="00747A40"/>
    <w:rsid w:val="0075067F"/>
    <w:rsid w:val="007508C4"/>
    <w:rsid w:val="0075134E"/>
    <w:rsid w:val="007515D3"/>
    <w:rsid w:val="0075181D"/>
    <w:rsid w:val="00751E34"/>
    <w:rsid w:val="00753249"/>
    <w:rsid w:val="007543AC"/>
    <w:rsid w:val="00754DC8"/>
    <w:rsid w:val="00755403"/>
    <w:rsid w:val="007556DA"/>
    <w:rsid w:val="007560AC"/>
    <w:rsid w:val="007562BC"/>
    <w:rsid w:val="00756FFD"/>
    <w:rsid w:val="007570C5"/>
    <w:rsid w:val="0076092D"/>
    <w:rsid w:val="00761B30"/>
    <w:rsid w:val="00761D5E"/>
    <w:rsid w:val="00761E69"/>
    <w:rsid w:val="00762CD1"/>
    <w:rsid w:val="007636D8"/>
    <w:rsid w:val="0076416A"/>
    <w:rsid w:val="00764A83"/>
    <w:rsid w:val="00764BCC"/>
    <w:rsid w:val="00764DF2"/>
    <w:rsid w:val="007650D2"/>
    <w:rsid w:val="007655D2"/>
    <w:rsid w:val="00765D50"/>
    <w:rsid w:val="0076630D"/>
    <w:rsid w:val="007664A0"/>
    <w:rsid w:val="0076662B"/>
    <w:rsid w:val="007668F1"/>
    <w:rsid w:val="00766BFF"/>
    <w:rsid w:val="00767F33"/>
    <w:rsid w:val="00770C1D"/>
    <w:rsid w:val="007711FF"/>
    <w:rsid w:val="00771A30"/>
    <w:rsid w:val="00773208"/>
    <w:rsid w:val="0077542B"/>
    <w:rsid w:val="00776C54"/>
    <w:rsid w:val="00777923"/>
    <w:rsid w:val="00780054"/>
    <w:rsid w:val="0078138C"/>
    <w:rsid w:val="00781D7A"/>
    <w:rsid w:val="00782138"/>
    <w:rsid w:val="0078349E"/>
    <w:rsid w:val="00784836"/>
    <w:rsid w:val="00784BB7"/>
    <w:rsid w:val="00785DE0"/>
    <w:rsid w:val="007876D0"/>
    <w:rsid w:val="00790653"/>
    <w:rsid w:val="00790E27"/>
    <w:rsid w:val="00791B49"/>
    <w:rsid w:val="00793CB2"/>
    <w:rsid w:val="0079409A"/>
    <w:rsid w:val="00795CC9"/>
    <w:rsid w:val="00796789"/>
    <w:rsid w:val="007A0E38"/>
    <w:rsid w:val="007A0EEF"/>
    <w:rsid w:val="007A11A8"/>
    <w:rsid w:val="007A174E"/>
    <w:rsid w:val="007A1947"/>
    <w:rsid w:val="007A2E76"/>
    <w:rsid w:val="007A3508"/>
    <w:rsid w:val="007A36B1"/>
    <w:rsid w:val="007A3973"/>
    <w:rsid w:val="007A48F8"/>
    <w:rsid w:val="007A513B"/>
    <w:rsid w:val="007A5522"/>
    <w:rsid w:val="007A5B8C"/>
    <w:rsid w:val="007A6FD5"/>
    <w:rsid w:val="007A763F"/>
    <w:rsid w:val="007A7BFC"/>
    <w:rsid w:val="007B07CD"/>
    <w:rsid w:val="007B0CF0"/>
    <w:rsid w:val="007B10CF"/>
    <w:rsid w:val="007B382A"/>
    <w:rsid w:val="007B3FEF"/>
    <w:rsid w:val="007B42A1"/>
    <w:rsid w:val="007B43CC"/>
    <w:rsid w:val="007B4BA9"/>
    <w:rsid w:val="007B58C6"/>
    <w:rsid w:val="007B5FEA"/>
    <w:rsid w:val="007B6677"/>
    <w:rsid w:val="007B72F8"/>
    <w:rsid w:val="007B7369"/>
    <w:rsid w:val="007B749C"/>
    <w:rsid w:val="007B74FA"/>
    <w:rsid w:val="007B7ABD"/>
    <w:rsid w:val="007C12CB"/>
    <w:rsid w:val="007C1399"/>
    <w:rsid w:val="007C1A3E"/>
    <w:rsid w:val="007C1BED"/>
    <w:rsid w:val="007C3635"/>
    <w:rsid w:val="007C58FF"/>
    <w:rsid w:val="007C590C"/>
    <w:rsid w:val="007C6340"/>
    <w:rsid w:val="007C717D"/>
    <w:rsid w:val="007C74FA"/>
    <w:rsid w:val="007C7D49"/>
    <w:rsid w:val="007D0181"/>
    <w:rsid w:val="007D0431"/>
    <w:rsid w:val="007D145A"/>
    <w:rsid w:val="007D176F"/>
    <w:rsid w:val="007D182B"/>
    <w:rsid w:val="007D4BC3"/>
    <w:rsid w:val="007D50A4"/>
    <w:rsid w:val="007D534F"/>
    <w:rsid w:val="007D5C3A"/>
    <w:rsid w:val="007D666A"/>
    <w:rsid w:val="007D6958"/>
    <w:rsid w:val="007D6E9B"/>
    <w:rsid w:val="007D7A95"/>
    <w:rsid w:val="007D7CF1"/>
    <w:rsid w:val="007E0CF6"/>
    <w:rsid w:val="007E15C1"/>
    <w:rsid w:val="007E2EF6"/>
    <w:rsid w:val="007E3719"/>
    <w:rsid w:val="007E3D9B"/>
    <w:rsid w:val="007E3DCF"/>
    <w:rsid w:val="007E3E78"/>
    <w:rsid w:val="007E4C4A"/>
    <w:rsid w:val="007E54C0"/>
    <w:rsid w:val="007E573B"/>
    <w:rsid w:val="007E7567"/>
    <w:rsid w:val="007E7E44"/>
    <w:rsid w:val="007F1416"/>
    <w:rsid w:val="007F19F5"/>
    <w:rsid w:val="007F2C75"/>
    <w:rsid w:val="007F4BD1"/>
    <w:rsid w:val="007F513F"/>
    <w:rsid w:val="007F518A"/>
    <w:rsid w:val="007F6D3F"/>
    <w:rsid w:val="007F7D55"/>
    <w:rsid w:val="00800090"/>
    <w:rsid w:val="00800595"/>
    <w:rsid w:val="00800C0E"/>
    <w:rsid w:val="00801ECF"/>
    <w:rsid w:val="00802EFD"/>
    <w:rsid w:val="00803251"/>
    <w:rsid w:val="00803EBB"/>
    <w:rsid w:val="008043E9"/>
    <w:rsid w:val="008047AA"/>
    <w:rsid w:val="00804F2A"/>
    <w:rsid w:val="00806903"/>
    <w:rsid w:val="00806E5A"/>
    <w:rsid w:val="00807901"/>
    <w:rsid w:val="00807E3F"/>
    <w:rsid w:val="008106A2"/>
    <w:rsid w:val="00812423"/>
    <w:rsid w:val="008135D9"/>
    <w:rsid w:val="00813821"/>
    <w:rsid w:val="00814010"/>
    <w:rsid w:val="008150BD"/>
    <w:rsid w:val="008152EF"/>
    <w:rsid w:val="00815A50"/>
    <w:rsid w:val="00815AFA"/>
    <w:rsid w:val="00815F79"/>
    <w:rsid w:val="00816CD9"/>
    <w:rsid w:val="0081712A"/>
    <w:rsid w:val="00817782"/>
    <w:rsid w:val="00820ADF"/>
    <w:rsid w:val="008214E6"/>
    <w:rsid w:val="0082165F"/>
    <w:rsid w:val="00822446"/>
    <w:rsid w:val="008234B1"/>
    <w:rsid w:val="00823ED7"/>
    <w:rsid w:val="008261DD"/>
    <w:rsid w:val="0082716D"/>
    <w:rsid w:val="008274A3"/>
    <w:rsid w:val="00832508"/>
    <w:rsid w:val="0083263C"/>
    <w:rsid w:val="00832E15"/>
    <w:rsid w:val="008338E6"/>
    <w:rsid w:val="008346FC"/>
    <w:rsid w:val="008349ED"/>
    <w:rsid w:val="00834E99"/>
    <w:rsid w:val="008358EB"/>
    <w:rsid w:val="008360F2"/>
    <w:rsid w:val="00836678"/>
    <w:rsid w:val="00836736"/>
    <w:rsid w:val="00836EDA"/>
    <w:rsid w:val="00836FC1"/>
    <w:rsid w:val="008372ED"/>
    <w:rsid w:val="008375DA"/>
    <w:rsid w:val="00837EC4"/>
    <w:rsid w:val="0084004B"/>
    <w:rsid w:val="0084037F"/>
    <w:rsid w:val="00840AAB"/>
    <w:rsid w:val="00840DA2"/>
    <w:rsid w:val="00841806"/>
    <w:rsid w:val="0084291F"/>
    <w:rsid w:val="0084300B"/>
    <w:rsid w:val="008432E4"/>
    <w:rsid w:val="00843D7A"/>
    <w:rsid w:val="00843E3D"/>
    <w:rsid w:val="00844FCA"/>
    <w:rsid w:val="00845B01"/>
    <w:rsid w:val="00846CEC"/>
    <w:rsid w:val="00846F2D"/>
    <w:rsid w:val="00846FAE"/>
    <w:rsid w:val="0084733E"/>
    <w:rsid w:val="00847424"/>
    <w:rsid w:val="00847569"/>
    <w:rsid w:val="00847F03"/>
    <w:rsid w:val="00847FC5"/>
    <w:rsid w:val="008502D6"/>
    <w:rsid w:val="0085078D"/>
    <w:rsid w:val="00852403"/>
    <w:rsid w:val="008532E9"/>
    <w:rsid w:val="00853386"/>
    <w:rsid w:val="00856CE1"/>
    <w:rsid w:val="00857463"/>
    <w:rsid w:val="0085758F"/>
    <w:rsid w:val="008577B1"/>
    <w:rsid w:val="00857DCB"/>
    <w:rsid w:val="00860B04"/>
    <w:rsid w:val="00860D31"/>
    <w:rsid w:val="00861260"/>
    <w:rsid w:val="0086194E"/>
    <w:rsid w:val="00861EFC"/>
    <w:rsid w:val="0086218B"/>
    <w:rsid w:val="00862424"/>
    <w:rsid w:val="00862584"/>
    <w:rsid w:val="00862D4E"/>
    <w:rsid w:val="00865D3F"/>
    <w:rsid w:val="00866C95"/>
    <w:rsid w:val="00866CE7"/>
    <w:rsid w:val="00867269"/>
    <w:rsid w:val="00867975"/>
    <w:rsid w:val="00870627"/>
    <w:rsid w:val="008714B7"/>
    <w:rsid w:val="0087392D"/>
    <w:rsid w:val="0087426D"/>
    <w:rsid w:val="00874ABB"/>
    <w:rsid w:val="0087526B"/>
    <w:rsid w:val="00875745"/>
    <w:rsid w:val="00875C7B"/>
    <w:rsid w:val="008761A2"/>
    <w:rsid w:val="00876306"/>
    <w:rsid w:val="00876A6F"/>
    <w:rsid w:val="00877254"/>
    <w:rsid w:val="00877D04"/>
    <w:rsid w:val="008817B4"/>
    <w:rsid w:val="00881921"/>
    <w:rsid w:val="008819C5"/>
    <w:rsid w:val="00881E58"/>
    <w:rsid w:val="008820B2"/>
    <w:rsid w:val="008821A8"/>
    <w:rsid w:val="008823F2"/>
    <w:rsid w:val="0088466D"/>
    <w:rsid w:val="0088469F"/>
    <w:rsid w:val="00885759"/>
    <w:rsid w:val="0088606A"/>
    <w:rsid w:val="0088645B"/>
    <w:rsid w:val="00886CC9"/>
    <w:rsid w:val="00887D61"/>
    <w:rsid w:val="00887FD0"/>
    <w:rsid w:val="008907BA"/>
    <w:rsid w:val="008911F3"/>
    <w:rsid w:val="00891D7D"/>
    <w:rsid w:val="008924F5"/>
    <w:rsid w:val="0089278D"/>
    <w:rsid w:val="00892FBB"/>
    <w:rsid w:val="008946CB"/>
    <w:rsid w:val="00894959"/>
    <w:rsid w:val="0089495D"/>
    <w:rsid w:val="00895839"/>
    <w:rsid w:val="00895DF4"/>
    <w:rsid w:val="00896086"/>
    <w:rsid w:val="00896AFA"/>
    <w:rsid w:val="00896CAE"/>
    <w:rsid w:val="00896D45"/>
    <w:rsid w:val="00896F5D"/>
    <w:rsid w:val="0089724B"/>
    <w:rsid w:val="008973CD"/>
    <w:rsid w:val="008A1C1A"/>
    <w:rsid w:val="008A1E8C"/>
    <w:rsid w:val="008A1FED"/>
    <w:rsid w:val="008A243D"/>
    <w:rsid w:val="008A2AFF"/>
    <w:rsid w:val="008A2CB1"/>
    <w:rsid w:val="008A37E0"/>
    <w:rsid w:val="008A38C2"/>
    <w:rsid w:val="008A3B59"/>
    <w:rsid w:val="008A3C25"/>
    <w:rsid w:val="008A4072"/>
    <w:rsid w:val="008A49D5"/>
    <w:rsid w:val="008A4A98"/>
    <w:rsid w:val="008A746C"/>
    <w:rsid w:val="008B0AB1"/>
    <w:rsid w:val="008B0B36"/>
    <w:rsid w:val="008B21AD"/>
    <w:rsid w:val="008B2201"/>
    <w:rsid w:val="008B2596"/>
    <w:rsid w:val="008B27C4"/>
    <w:rsid w:val="008B3DD9"/>
    <w:rsid w:val="008B5C09"/>
    <w:rsid w:val="008B5FE6"/>
    <w:rsid w:val="008B67D4"/>
    <w:rsid w:val="008C0234"/>
    <w:rsid w:val="008C04ED"/>
    <w:rsid w:val="008C0AD5"/>
    <w:rsid w:val="008C0AF4"/>
    <w:rsid w:val="008C0BE4"/>
    <w:rsid w:val="008C0C21"/>
    <w:rsid w:val="008C12DF"/>
    <w:rsid w:val="008C2273"/>
    <w:rsid w:val="008C2364"/>
    <w:rsid w:val="008C23AC"/>
    <w:rsid w:val="008C26AB"/>
    <w:rsid w:val="008C2B7C"/>
    <w:rsid w:val="008C3F9A"/>
    <w:rsid w:val="008C401D"/>
    <w:rsid w:val="008C58EA"/>
    <w:rsid w:val="008C6069"/>
    <w:rsid w:val="008C6813"/>
    <w:rsid w:val="008C6D9B"/>
    <w:rsid w:val="008C6FDA"/>
    <w:rsid w:val="008C73AB"/>
    <w:rsid w:val="008D0D9C"/>
    <w:rsid w:val="008D123A"/>
    <w:rsid w:val="008D14BC"/>
    <w:rsid w:val="008D15A5"/>
    <w:rsid w:val="008D2897"/>
    <w:rsid w:val="008D561A"/>
    <w:rsid w:val="008D5A30"/>
    <w:rsid w:val="008D6F4B"/>
    <w:rsid w:val="008D7394"/>
    <w:rsid w:val="008E01C1"/>
    <w:rsid w:val="008E0D14"/>
    <w:rsid w:val="008E13BC"/>
    <w:rsid w:val="008E16B0"/>
    <w:rsid w:val="008E1962"/>
    <w:rsid w:val="008E1A89"/>
    <w:rsid w:val="008E2890"/>
    <w:rsid w:val="008E3874"/>
    <w:rsid w:val="008E4A1C"/>
    <w:rsid w:val="008E5C30"/>
    <w:rsid w:val="008E6578"/>
    <w:rsid w:val="008E68D4"/>
    <w:rsid w:val="008E6C7F"/>
    <w:rsid w:val="008E6E16"/>
    <w:rsid w:val="008F0937"/>
    <w:rsid w:val="008F19D1"/>
    <w:rsid w:val="008F2DF2"/>
    <w:rsid w:val="008F3FF9"/>
    <w:rsid w:val="008F4C48"/>
    <w:rsid w:val="008F5482"/>
    <w:rsid w:val="008F690B"/>
    <w:rsid w:val="008F6CE3"/>
    <w:rsid w:val="008F6DAD"/>
    <w:rsid w:val="008F7000"/>
    <w:rsid w:val="008F7C17"/>
    <w:rsid w:val="008F7E7E"/>
    <w:rsid w:val="00900065"/>
    <w:rsid w:val="0090104B"/>
    <w:rsid w:val="0090117F"/>
    <w:rsid w:val="0090166D"/>
    <w:rsid w:val="00901CF1"/>
    <w:rsid w:val="00902540"/>
    <w:rsid w:val="00902720"/>
    <w:rsid w:val="009031D4"/>
    <w:rsid w:val="00903F07"/>
    <w:rsid w:val="00903F12"/>
    <w:rsid w:val="0090418B"/>
    <w:rsid w:val="0090537E"/>
    <w:rsid w:val="009053C8"/>
    <w:rsid w:val="009071AD"/>
    <w:rsid w:val="00907482"/>
    <w:rsid w:val="00911DF7"/>
    <w:rsid w:val="00912745"/>
    <w:rsid w:val="009128FA"/>
    <w:rsid w:val="009132B2"/>
    <w:rsid w:val="009134C8"/>
    <w:rsid w:val="009150ED"/>
    <w:rsid w:val="00917129"/>
    <w:rsid w:val="00917149"/>
    <w:rsid w:val="00917440"/>
    <w:rsid w:val="0092140E"/>
    <w:rsid w:val="00921EAA"/>
    <w:rsid w:val="009221D7"/>
    <w:rsid w:val="00922537"/>
    <w:rsid w:val="00923435"/>
    <w:rsid w:val="00923DD7"/>
    <w:rsid w:val="00925977"/>
    <w:rsid w:val="00925C33"/>
    <w:rsid w:val="0092607E"/>
    <w:rsid w:val="0092698D"/>
    <w:rsid w:val="00932D2D"/>
    <w:rsid w:val="00933E10"/>
    <w:rsid w:val="009341F0"/>
    <w:rsid w:val="00934530"/>
    <w:rsid w:val="009348FA"/>
    <w:rsid w:val="00934E33"/>
    <w:rsid w:val="00935539"/>
    <w:rsid w:val="00935877"/>
    <w:rsid w:val="00935B91"/>
    <w:rsid w:val="00936704"/>
    <w:rsid w:val="009368E7"/>
    <w:rsid w:val="00936905"/>
    <w:rsid w:val="009376D2"/>
    <w:rsid w:val="00937E5D"/>
    <w:rsid w:val="00937ED3"/>
    <w:rsid w:val="009405D1"/>
    <w:rsid w:val="00940837"/>
    <w:rsid w:val="00940980"/>
    <w:rsid w:val="00941E1C"/>
    <w:rsid w:val="009428DD"/>
    <w:rsid w:val="00942C19"/>
    <w:rsid w:val="00942FD9"/>
    <w:rsid w:val="0094455F"/>
    <w:rsid w:val="00944687"/>
    <w:rsid w:val="0094573B"/>
    <w:rsid w:val="00945841"/>
    <w:rsid w:val="0094669F"/>
    <w:rsid w:val="00951645"/>
    <w:rsid w:val="0095302A"/>
    <w:rsid w:val="009536B7"/>
    <w:rsid w:val="00953D4B"/>
    <w:rsid w:val="00954942"/>
    <w:rsid w:val="009561BC"/>
    <w:rsid w:val="00956A10"/>
    <w:rsid w:val="009579DF"/>
    <w:rsid w:val="009603FF"/>
    <w:rsid w:val="00960409"/>
    <w:rsid w:val="00960F2E"/>
    <w:rsid w:val="00961881"/>
    <w:rsid w:val="009618ED"/>
    <w:rsid w:val="00962FDA"/>
    <w:rsid w:val="0096397B"/>
    <w:rsid w:val="0096453F"/>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81650"/>
    <w:rsid w:val="00981F3E"/>
    <w:rsid w:val="009829BE"/>
    <w:rsid w:val="009836FE"/>
    <w:rsid w:val="00983D6F"/>
    <w:rsid w:val="0098417B"/>
    <w:rsid w:val="0098428B"/>
    <w:rsid w:val="0098470E"/>
    <w:rsid w:val="00984CD0"/>
    <w:rsid w:val="00986284"/>
    <w:rsid w:val="00986502"/>
    <w:rsid w:val="00986927"/>
    <w:rsid w:val="009879D1"/>
    <w:rsid w:val="00987A3F"/>
    <w:rsid w:val="00987AD5"/>
    <w:rsid w:val="00987C6B"/>
    <w:rsid w:val="00987C70"/>
    <w:rsid w:val="0099062D"/>
    <w:rsid w:val="009916C7"/>
    <w:rsid w:val="00991AF7"/>
    <w:rsid w:val="00992052"/>
    <w:rsid w:val="00993701"/>
    <w:rsid w:val="009946B2"/>
    <w:rsid w:val="009948C2"/>
    <w:rsid w:val="00996186"/>
    <w:rsid w:val="00996753"/>
    <w:rsid w:val="00997CC4"/>
    <w:rsid w:val="009A05DD"/>
    <w:rsid w:val="009A0B75"/>
    <w:rsid w:val="009A2123"/>
    <w:rsid w:val="009A2DB0"/>
    <w:rsid w:val="009A36A7"/>
    <w:rsid w:val="009A3D68"/>
    <w:rsid w:val="009A4117"/>
    <w:rsid w:val="009A4D4F"/>
    <w:rsid w:val="009A5888"/>
    <w:rsid w:val="009A62FD"/>
    <w:rsid w:val="009A6481"/>
    <w:rsid w:val="009A6A91"/>
    <w:rsid w:val="009A7488"/>
    <w:rsid w:val="009A7F43"/>
    <w:rsid w:val="009B0EAC"/>
    <w:rsid w:val="009B175E"/>
    <w:rsid w:val="009B1E0C"/>
    <w:rsid w:val="009B23A9"/>
    <w:rsid w:val="009B2AB6"/>
    <w:rsid w:val="009B2E31"/>
    <w:rsid w:val="009B3C64"/>
    <w:rsid w:val="009B3F1C"/>
    <w:rsid w:val="009B3F26"/>
    <w:rsid w:val="009B5838"/>
    <w:rsid w:val="009B5E49"/>
    <w:rsid w:val="009B6B8B"/>
    <w:rsid w:val="009B6EF6"/>
    <w:rsid w:val="009B70B2"/>
    <w:rsid w:val="009B7633"/>
    <w:rsid w:val="009B79FE"/>
    <w:rsid w:val="009C028B"/>
    <w:rsid w:val="009C03A7"/>
    <w:rsid w:val="009C1468"/>
    <w:rsid w:val="009C1C71"/>
    <w:rsid w:val="009C2A63"/>
    <w:rsid w:val="009C3201"/>
    <w:rsid w:val="009C45C2"/>
    <w:rsid w:val="009C4FC3"/>
    <w:rsid w:val="009C5D1C"/>
    <w:rsid w:val="009C612E"/>
    <w:rsid w:val="009C6B49"/>
    <w:rsid w:val="009C71DC"/>
    <w:rsid w:val="009C72F6"/>
    <w:rsid w:val="009C7BFA"/>
    <w:rsid w:val="009C7D37"/>
    <w:rsid w:val="009D0848"/>
    <w:rsid w:val="009D2620"/>
    <w:rsid w:val="009D3D59"/>
    <w:rsid w:val="009D4668"/>
    <w:rsid w:val="009D4F2E"/>
    <w:rsid w:val="009D70B9"/>
    <w:rsid w:val="009D798F"/>
    <w:rsid w:val="009D7EA2"/>
    <w:rsid w:val="009E0E9C"/>
    <w:rsid w:val="009E1181"/>
    <w:rsid w:val="009E1AA7"/>
    <w:rsid w:val="009E1AFC"/>
    <w:rsid w:val="009E23C6"/>
    <w:rsid w:val="009E3234"/>
    <w:rsid w:val="009E3276"/>
    <w:rsid w:val="009E4E3E"/>
    <w:rsid w:val="009E650B"/>
    <w:rsid w:val="009E7115"/>
    <w:rsid w:val="009E722C"/>
    <w:rsid w:val="009E7619"/>
    <w:rsid w:val="009E7917"/>
    <w:rsid w:val="009E7DEF"/>
    <w:rsid w:val="009E7FC2"/>
    <w:rsid w:val="009F0269"/>
    <w:rsid w:val="009F112F"/>
    <w:rsid w:val="009F215E"/>
    <w:rsid w:val="009F21F9"/>
    <w:rsid w:val="009F285C"/>
    <w:rsid w:val="009F3412"/>
    <w:rsid w:val="009F3930"/>
    <w:rsid w:val="009F4D74"/>
    <w:rsid w:val="009F5AD2"/>
    <w:rsid w:val="009F5EDB"/>
    <w:rsid w:val="009F63FE"/>
    <w:rsid w:val="009F6539"/>
    <w:rsid w:val="009F7089"/>
    <w:rsid w:val="00A008C2"/>
    <w:rsid w:val="00A00C6C"/>
    <w:rsid w:val="00A00D13"/>
    <w:rsid w:val="00A01C02"/>
    <w:rsid w:val="00A0251F"/>
    <w:rsid w:val="00A02576"/>
    <w:rsid w:val="00A0278A"/>
    <w:rsid w:val="00A03531"/>
    <w:rsid w:val="00A03C31"/>
    <w:rsid w:val="00A03E7F"/>
    <w:rsid w:val="00A0405F"/>
    <w:rsid w:val="00A047DA"/>
    <w:rsid w:val="00A05520"/>
    <w:rsid w:val="00A05ECC"/>
    <w:rsid w:val="00A0626F"/>
    <w:rsid w:val="00A06A72"/>
    <w:rsid w:val="00A07154"/>
    <w:rsid w:val="00A07688"/>
    <w:rsid w:val="00A07E79"/>
    <w:rsid w:val="00A100F9"/>
    <w:rsid w:val="00A110E3"/>
    <w:rsid w:val="00A11DFC"/>
    <w:rsid w:val="00A12861"/>
    <w:rsid w:val="00A12A8B"/>
    <w:rsid w:val="00A13672"/>
    <w:rsid w:val="00A1388B"/>
    <w:rsid w:val="00A1479E"/>
    <w:rsid w:val="00A15198"/>
    <w:rsid w:val="00A15FF1"/>
    <w:rsid w:val="00A16042"/>
    <w:rsid w:val="00A17697"/>
    <w:rsid w:val="00A21895"/>
    <w:rsid w:val="00A24082"/>
    <w:rsid w:val="00A25EC2"/>
    <w:rsid w:val="00A25F8C"/>
    <w:rsid w:val="00A26CA0"/>
    <w:rsid w:val="00A272E7"/>
    <w:rsid w:val="00A2751B"/>
    <w:rsid w:val="00A27651"/>
    <w:rsid w:val="00A277DF"/>
    <w:rsid w:val="00A27829"/>
    <w:rsid w:val="00A318E5"/>
    <w:rsid w:val="00A34279"/>
    <w:rsid w:val="00A34404"/>
    <w:rsid w:val="00A34A23"/>
    <w:rsid w:val="00A3511B"/>
    <w:rsid w:val="00A352B0"/>
    <w:rsid w:val="00A35DFA"/>
    <w:rsid w:val="00A371AB"/>
    <w:rsid w:val="00A372ED"/>
    <w:rsid w:val="00A37BD0"/>
    <w:rsid w:val="00A410F5"/>
    <w:rsid w:val="00A4120F"/>
    <w:rsid w:val="00A41AE7"/>
    <w:rsid w:val="00A42101"/>
    <w:rsid w:val="00A438C5"/>
    <w:rsid w:val="00A43BD6"/>
    <w:rsid w:val="00A44335"/>
    <w:rsid w:val="00A44DE4"/>
    <w:rsid w:val="00A44E87"/>
    <w:rsid w:val="00A45EFB"/>
    <w:rsid w:val="00A467FE"/>
    <w:rsid w:val="00A47205"/>
    <w:rsid w:val="00A472DE"/>
    <w:rsid w:val="00A477C5"/>
    <w:rsid w:val="00A47CAB"/>
    <w:rsid w:val="00A51500"/>
    <w:rsid w:val="00A520F5"/>
    <w:rsid w:val="00A52405"/>
    <w:rsid w:val="00A526A9"/>
    <w:rsid w:val="00A52939"/>
    <w:rsid w:val="00A52F0D"/>
    <w:rsid w:val="00A53E5C"/>
    <w:rsid w:val="00A53FAD"/>
    <w:rsid w:val="00A54732"/>
    <w:rsid w:val="00A55443"/>
    <w:rsid w:val="00A57CBE"/>
    <w:rsid w:val="00A60E2A"/>
    <w:rsid w:val="00A60EA1"/>
    <w:rsid w:val="00A61452"/>
    <w:rsid w:val="00A61940"/>
    <w:rsid w:val="00A61D94"/>
    <w:rsid w:val="00A62B1C"/>
    <w:rsid w:val="00A62C21"/>
    <w:rsid w:val="00A62E2C"/>
    <w:rsid w:val="00A6394B"/>
    <w:rsid w:val="00A6434A"/>
    <w:rsid w:val="00A65C85"/>
    <w:rsid w:val="00A660A0"/>
    <w:rsid w:val="00A664BF"/>
    <w:rsid w:val="00A666B2"/>
    <w:rsid w:val="00A67532"/>
    <w:rsid w:val="00A67C71"/>
    <w:rsid w:val="00A7059B"/>
    <w:rsid w:val="00A7100E"/>
    <w:rsid w:val="00A71578"/>
    <w:rsid w:val="00A72221"/>
    <w:rsid w:val="00A723F0"/>
    <w:rsid w:val="00A731BF"/>
    <w:rsid w:val="00A731F0"/>
    <w:rsid w:val="00A73E24"/>
    <w:rsid w:val="00A7531A"/>
    <w:rsid w:val="00A7554A"/>
    <w:rsid w:val="00A76310"/>
    <w:rsid w:val="00A76445"/>
    <w:rsid w:val="00A76470"/>
    <w:rsid w:val="00A77894"/>
    <w:rsid w:val="00A77902"/>
    <w:rsid w:val="00A8033E"/>
    <w:rsid w:val="00A8258D"/>
    <w:rsid w:val="00A8271C"/>
    <w:rsid w:val="00A82CD7"/>
    <w:rsid w:val="00A836D0"/>
    <w:rsid w:val="00A8382B"/>
    <w:rsid w:val="00A83C79"/>
    <w:rsid w:val="00A8469D"/>
    <w:rsid w:val="00A847A5"/>
    <w:rsid w:val="00A8513C"/>
    <w:rsid w:val="00A86C6C"/>
    <w:rsid w:val="00A86EFD"/>
    <w:rsid w:val="00A87921"/>
    <w:rsid w:val="00A87CF4"/>
    <w:rsid w:val="00A90B55"/>
    <w:rsid w:val="00A90F2F"/>
    <w:rsid w:val="00A91321"/>
    <w:rsid w:val="00A9169E"/>
    <w:rsid w:val="00A91AB4"/>
    <w:rsid w:val="00A92510"/>
    <w:rsid w:val="00A92AB5"/>
    <w:rsid w:val="00A9344D"/>
    <w:rsid w:val="00A93F07"/>
    <w:rsid w:val="00A93FC7"/>
    <w:rsid w:val="00A941C7"/>
    <w:rsid w:val="00A944F9"/>
    <w:rsid w:val="00A95A9B"/>
    <w:rsid w:val="00A95CE1"/>
    <w:rsid w:val="00A962E6"/>
    <w:rsid w:val="00A97C46"/>
    <w:rsid w:val="00AA0D9D"/>
    <w:rsid w:val="00AA1E3C"/>
    <w:rsid w:val="00AA22CF"/>
    <w:rsid w:val="00AA286E"/>
    <w:rsid w:val="00AA2CBA"/>
    <w:rsid w:val="00AA34F0"/>
    <w:rsid w:val="00AA3DA6"/>
    <w:rsid w:val="00AA42BE"/>
    <w:rsid w:val="00AA43A9"/>
    <w:rsid w:val="00AA462C"/>
    <w:rsid w:val="00AA6FBC"/>
    <w:rsid w:val="00AA7056"/>
    <w:rsid w:val="00AA72E7"/>
    <w:rsid w:val="00AA7780"/>
    <w:rsid w:val="00AB0260"/>
    <w:rsid w:val="00AB0B76"/>
    <w:rsid w:val="00AB10F7"/>
    <w:rsid w:val="00AB20A6"/>
    <w:rsid w:val="00AB2B76"/>
    <w:rsid w:val="00AB31CE"/>
    <w:rsid w:val="00AB4403"/>
    <w:rsid w:val="00AB4899"/>
    <w:rsid w:val="00AB4D59"/>
    <w:rsid w:val="00AB51BE"/>
    <w:rsid w:val="00AB5638"/>
    <w:rsid w:val="00AB5B15"/>
    <w:rsid w:val="00AB60D7"/>
    <w:rsid w:val="00AB68E4"/>
    <w:rsid w:val="00AB6E77"/>
    <w:rsid w:val="00AB717B"/>
    <w:rsid w:val="00AB78AE"/>
    <w:rsid w:val="00AC01F0"/>
    <w:rsid w:val="00AC04CE"/>
    <w:rsid w:val="00AC0833"/>
    <w:rsid w:val="00AC0893"/>
    <w:rsid w:val="00AC0FF0"/>
    <w:rsid w:val="00AC1588"/>
    <w:rsid w:val="00AC2CFC"/>
    <w:rsid w:val="00AC35CA"/>
    <w:rsid w:val="00AC40BA"/>
    <w:rsid w:val="00AC453F"/>
    <w:rsid w:val="00AC491E"/>
    <w:rsid w:val="00AC530B"/>
    <w:rsid w:val="00AC6309"/>
    <w:rsid w:val="00AC6977"/>
    <w:rsid w:val="00AC743C"/>
    <w:rsid w:val="00AC7843"/>
    <w:rsid w:val="00AC7AD0"/>
    <w:rsid w:val="00AD17DD"/>
    <w:rsid w:val="00AD366E"/>
    <w:rsid w:val="00AD37FF"/>
    <w:rsid w:val="00AD4B10"/>
    <w:rsid w:val="00AD54A0"/>
    <w:rsid w:val="00AD65B7"/>
    <w:rsid w:val="00AD67EB"/>
    <w:rsid w:val="00AD77E2"/>
    <w:rsid w:val="00AD7F06"/>
    <w:rsid w:val="00AE0107"/>
    <w:rsid w:val="00AE10F2"/>
    <w:rsid w:val="00AE167C"/>
    <w:rsid w:val="00AE1744"/>
    <w:rsid w:val="00AE1973"/>
    <w:rsid w:val="00AE1A19"/>
    <w:rsid w:val="00AE2362"/>
    <w:rsid w:val="00AE295E"/>
    <w:rsid w:val="00AE2D75"/>
    <w:rsid w:val="00AE3767"/>
    <w:rsid w:val="00AE5C78"/>
    <w:rsid w:val="00AE5EC3"/>
    <w:rsid w:val="00AE5EF4"/>
    <w:rsid w:val="00AE71AF"/>
    <w:rsid w:val="00AE75DE"/>
    <w:rsid w:val="00AE787D"/>
    <w:rsid w:val="00AF1554"/>
    <w:rsid w:val="00AF1595"/>
    <w:rsid w:val="00AF1779"/>
    <w:rsid w:val="00AF3753"/>
    <w:rsid w:val="00AF38AE"/>
    <w:rsid w:val="00AF3BFF"/>
    <w:rsid w:val="00AF3D6C"/>
    <w:rsid w:val="00AF42F9"/>
    <w:rsid w:val="00AF4633"/>
    <w:rsid w:val="00AF47A0"/>
    <w:rsid w:val="00AF4E61"/>
    <w:rsid w:val="00AF571D"/>
    <w:rsid w:val="00AF5DF7"/>
    <w:rsid w:val="00AF6B21"/>
    <w:rsid w:val="00AF783B"/>
    <w:rsid w:val="00AF7AB7"/>
    <w:rsid w:val="00B005F8"/>
    <w:rsid w:val="00B006F4"/>
    <w:rsid w:val="00B00A3E"/>
    <w:rsid w:val="00B012C1"/>
    <w:rsid w:val="00B015F3"/>
    <w:rsid w:val="00B017F8"/>
    <w:rsid w:val="00B01E5E"/>
    <w:rsid w:val="00B036A0"/>
    <w:rsid w:val="00B03F29"/>
    <w:rsid w:val="00B053C7"/>
    <w:rsid w:val="00B06B58"/>
    <w:rsid w:val="00B07FAE"/>
    <w:rsid w:val="00B10563"/>
    <w:rsid w:val="00B10667"/>
    <w:rsid w:val="00B107A4"/>
    <w:rsid w:val="00B10BE3"/>
    <w:rsid w:val="00B10C73"/>
    <w:rsid w:val="00B11BB2"/>
    <w:rsid w:val="00B1233C"/>
    <w:rsid w:val="00B1272D"/>
    <w:rsid w:val="00B12ED9"/>
    <w:rsid w:val="00B13719"/>
    <w:rsid w:val="00B138E8"/>
    <w:rsid w:val="00B13AFE"/>
    <w:rsid w:val="00B14CB0"/>
    <w:rsid w:val="00B15E69"/>
    <w:rsid w:val="00B160B5"/>
    <w:rsid w:val="00B16335"/>
    <w:rsid w:val="00B16B42"/>
    <w:rsid w:val="00B17C60"/>
    <w:rsid w:val="00B20362"/>
    <w:rsid w:val="00B21D91"/>
    <w:rsid w:val="00B22432"/>
    <w:rsid w:val="00B23B28"/>
    <w:rsid w:val="00B24375"/>
    <w:rsid w:val="00B25A1B"/>
    <w:rsid w:val="00B25A45"/>
    <w:rsid w:val="00B25CB3"/>
    <w:rsid w:val="00B27138"/>
    <w:rsid w:val="00B27232"/>
    <w:rsid w:val="00B278B4"/>
    <w:rsid w:val="00B30D7C"/>
    <w:rsid w:val="00B30FC4"/>
    <w:rsid w:val="00B311FF"/>
    <w:rsid w:val="00B32200"/>
    <w:rsid w:val="00B32BF6"/>
    <w:rsid w:val="00B3397F"/>
    <w:rsid w:val="00B34251"/>
    <w:rsid w:val="00B34340"/>
    <w:rsid w:val="00B35607"/>
    <w:rsid w:val="00B35FB9"/>
    <w:rsid w:val="00B361F6"/>
    <w:rsid w:val="00B368D6"/>
    <w:rsid w:val="00B368F0"/>
    <w:rsid w:val="00B3702C"/>
    <w:rsid w:val="00B40AC2"/>
    <w:rsid w:val="00B4119F"/>
    <w:rsid w:val="00B41550"/>
    <w:rsid w:val="00B41DF8"/>
    <w:rsid w:val="00B4241B"/>
    <w:rsid w:val="00B42E29"/>
    <w:rsid w:val="00B446E9"/>
    <w:rsid w:val="00B44D5B"/>
    <w:rsid w:val="00B45186"/>
    <w:rsid w:val="00B4548D"/>
    <w:rsid w:val="00B45E5B"/>
    <w:rsid w:val="00B461DF"/>
    <w:rsid w:val="00B46233"/>
    <w:rsid w:val="00B46483"/>
    <w:rsid w:val="00B46CDD"/>
    <w:rsid w:val="00B46F73"/>
    <w:rsid w:val="00B46FF7"/>
    <w:rsid w:val="00B47C25"/>
    <w:rsid w:val="00B505BC"/>
    <w:rsid w:val="00B50919"/>
    <w:rsid w:val="00B50EFF"/>
    <w:rsid w:val="00B51AD7"/>
    <w:rsid w:val="00B51D6F"/>
    <w:rsid w:val="00B52527"/>
    <w:rsid w:val="00B52D42"/>
    <w:rsid w:val="00B530E1"/>
    <w:rsid w:val="00B53D95"/>
    <w:rsid w:val="00B53F11"/>
    <w:rsid w:val="00B5439F"/>
    <w:rsid w:val="00B546E5"/>
    <w:rsid w:val="00B548DE"/>
    <w:rsid w:val="00B56340"/>
    <w:rsid w:val="00B567DE"/>
    <w:rsid w:val="00B5694E"/>
    <w:rsid w:val="00B569BB"/>
    <w:rsid w:val="00B573C7"/>
    <w:rsid w:val="00B57A1D"/>
    <w:rsid w:val="00B57ED1"/>
    <w:rsid w:val="00B618A7"/>
    <w:rsid w:val="00B627D4"/>
    <w:rsid w:val="00B63CE4"/>
    <w:rsid w:val="00B650E4"/>
    <w:rsid w:val="00B66639"/>
    <w:rsid w:val="00B66944"/>
    <w:rsid w:val="00B66DBA"/>
    <w:rsid w:val="00B67018"/>
    <w:rsid w:val="00B67339"/>
    <w:rsid w:val="00B70DC4"/>
    <w:rsid w:val="00B71FB4"/>
    <w:rsid w:val="00B7211A"/>
    <w:rsid w:val="00B72161"/>
    <w:rsid w:val="00B72576"/>
    <w:rsid w:val="00B728D5"/>
    <w:rsid w:val="00B72F0C"/>
    <w:rsid w:val="00B739BD"/>
    <w:rsid w:val="00B73DD2"/>
    <w:rsid w:val="00B73E96"/>
    <w:rsid w:val="00B75CFC"/>
    <w:rsid w:val="00B770D4"/>
    <w:rsid w:val="00B772EA"/>
    <w:rsid w:val="00B77854"/>
    <w:rsid w:val="00B77A1B"/>
    <w:rsid w:val="00B77B70"/>
    <w:rsid w:val="00B816C5"/>
    <w:rsid w:val="00B81D7B"/>
    <w:rsid w:val="00B81DCD"/>
    <w:rsid w:val="00B82295"/>
    <w:rsid w:val="00B830BD"/>
    <w:rsid w:val="00B843DE"/>
    <w:rsid w:val="00B848E6"/>
    <w:rsid w:val="00B849EF"/>
    <w:rsid w:val="00B85939"/>
    <w:rsid w:val="00B85A97"/>
    <w:rsid w:val="00B86D4B"/>
    <w:rsid w:val="00B86F72"/>
    <w:rsid w:val="00B87578"/>
    <w:rsid w:val="00B90A04"/>
    <w:rsid w:val="00B90BCE"/>
    <w:rsid w:val="00B914E5"/>
    <w:rsid w:val="00B921DB"/>
    <w:rsid w:val="00B9260F"/>
    <w:rsid w:val="00B92BE3"/>
    <w:rsid w:val="00B93914"/>
    <w:rsid w:val="00B9400B"/>
    <w:rsid w:val="00B953CD"/>
    <w:rsid w:val="00B96237"/>
    <w:rsid w:val="00B962EC"/>
    <w:rsid w:val="00B96465"/>
    <w:rsid w:val="00B96529"/>
    <w:rsid w:val="00B96A5C"/>
    <w:rsid w:val="00B9746A"/>
    <w:rsid w:val="00B9762C"/>
    <w:rsid w:val="00BA0529"/>
    <w:rsid w:val="00BA0E4E"/>
    <w:rsid w:val="00BA1468"/>
    <w:rsid w:val="00BA1FED"/>
    <w:rsid w:val="00BA2508"/>
    <w:rsid w:val="00BA26B4"/>
    <w:rsid w:val="00BA513F"/>
    <w:rsid w:val="00BA540E"/>
    <w:rsid w:val="00BA5894"/>
    <w:rsid w:val="00BA5B90"/>
    <w:rsid w:val="00BA7B80"/>
    <w:rsid w:val="00BB087C"/>
    <w:rsid w:val="00BB1ABB"/>
    <w:rsid w:val="00BB211E"/>
    <w:rsid w:val="00BB26F8"/>
    <w:rsid w:val="00BB279B"/>
    <w:rsid w:val="00BB4A81"/>
    <w:rsid w:val="00BB5333"/>
    <w:rsid w:val="00BB5449"/>
    <w:rsid w:val="00BB6BF3"/>
    <w:rsid w:val="00BB75D9"/>
    <w:rsid w:val="00BC3C84"/>
    <w:rsid w:val="00BC432D"/>
    <w:rsid w:val="00BC4485"/>
    <w:rsid w:val="00BC5B24"/>
    <w:rsid w:val="00BC64F6"/>
    <w:rsid w:val="00BC71FB"/>
    <w:rsid w:val="00BC7F1C"/>
    <w:rsid w:val="00BD0A28"/>
    <w:rsid w:val="00BD0D2E"/>
    <w:rsid w:val="00BD0E75"/>
    <w:rsid w:val="00BD0F47"/>
    <w:rsid w:val="00BD150A"/>
    <w:rsid w:val="00BD16F2"/>
    <w:rsid w:val="00BD216D"/>
    <w:rsid w:val="00BD26F6"/>
    <w:rsid w:val="00BD3006"/>
    <w:rsid w:val="00BD3CD3"/>
    <w:rsid w:val="00BD60CE"/>
    <w:rsid w:val="00BD7E38"/>
    <w:rsid w:val="00BE0435"/>
    <w:rsid w:val="00BE0874"/>
    <w:rsid w:val="00BE133A"/>
    <w:rsid w:val="00BE152D"/>
    <w:rsid w:val="00BE17D7"/>
    <w:rsid w:val="00BE1895"/>
    <w:rsid w:val="00BE273E"/>
    <w:rsid w:val="00BE2A05"/>
    <w:rsid w:val="00BE3A1E"/>
    <w:rsid w:val="00BE401C"/>
    <w:rsid w:val="00BE4161"/>
    <w:rsid w:val="00BE455B"/>
    <w:rsid w:val="00BE51BC"/>
    <w:rsid w:val="00BE5660"/>
    <w:rsid w:val="00BE5764"/>
    <w:rsid w:val="00BE5BFE"/>
    <w:rsid w:val="00BE5FAE"/>
    <w:rsid w:val="00BE60CD"/>
    <w:rsid w:val="00BE6A5F"/>
    <w:rsid w:val="00BE6A87"/>
    <w:rsid w:val="00BE7374"/>
    <w:rsid w:val="00BE75A2"/>
    <w:rsid w:val="00BE7E32"/>
    <w:rsid w:val="00BF0557"/>
    <w:rsid w:val="00BF059C"/>
    <w:rsid w:val="00BF0BB5"/>
    <w:rsid w:val="00BF1013"/>
    <w:rsid w:val="00BF246D"/>
    <w:rsid w:val="00BF2A3B"/>
    <w:rsid w:val="00BF2B27"/>
    <w:rsid w:val="00BF2B9A"/>
    <w:rsid w:val="00BF3AD2"/>
    <w:rsid w:val="00BF40C9"/>
    <w:rsid w:val="00BF47F7"/>
    <w:rsid w:val="00BF481A"/>
    <w:rsid w:val="00BF57FE"/>
    <w:rsid w:val="00BF5C00"/>
    <w:rsid w:val="00BF5F23"/>
    <w:rsid w:val="00BF6B03"/>
    <w:rsid w:val="00BF7A8B"/>
    <w:rsid w:val="00C00641"/>
    <w:rsid w:val="00C00AE9"/>
    <w:rsid w:val="00C00DCD"/>
    <w:rsid w:val="00C00E8A"/>
    <w:rsid w:val="00C0163A"/>
    <w:rsid w:val="00C01D73"/>
    <w:rsid w:val="00C01F74"/>
    <w:rsid w:val="00C021AC"/>
    <w:rsid w:val="00C0351B"/>
    <w:rsid w:val="00C04DED"/>
    <w:rsid w:val="00C059E8"/>
    <w:rsid w:val="00C05BBB"/>
    <w:rsid w:val="00C05D06"/>
    <w:rsid w:val="00C05E97"/>
    <w:rsid w:val="00C066B4"/>
    <w:rsid w:val="00C07284"/>
    <w:rsid w:val="00C072B8"/>
    <w:rsid w:val="00C0756C"/>
    <w:rsid w:val="00C10204"/>
    <w:rsid w:val="00C10699"/>
    <w:rsid w:val="00C11A40"/>
    <w:rsid w:val="00C11D11"/>
    <w:rsid w:val="00C11FF6"/>
    <w:rsid w:val="00C1237C"/>
    <w:rsid w:val="00C14304"/>
    <w:rsid w:val="00C14366"/>
    <w:rsid w:val="00C14A19"/>
    <w:rsid w:val="00C15342"/>
    <w:rsid w:val="00C15D59"/>
    <w:rsid w:val="00C1661A"/>
    <w:rsid w:val="00C1724E"/>
    <w:rsid w:val="00C21829"/>
    <w:rsid w:val="00C21854"/>
    <w:rsid w:val="00C22F45"/>
    <w:rsid w:val="00C238F1"/>
    <w:rsid w:val="00C23C62"/>
    <w:rsid w:val="00C23F8F"/>
    <w:rsid w:val="00C244CD"/>
    <w:rsid w:val="00C24AE9"/>
    <w:rsid w:val="00C2550E"/>
    <w:rsid w:val="00C255AA"/>
    <w:rsid w:val="00C25832"/>
    <w:rsid w:val="00C25DF6"/>
    <w:rsid w:val="00C26012"/>
    <w:rsid w:val="00C27049"/>
    <w:rsid w:val="00C27257"/>
    <w:rsid w:val="00C278B5"/>
    <w:rsid w:val="00C27CDD"/>
    <w:rsid w:val="00C30911"/>
    <w:rsid w:val="00C312AA"/>
    <w:rsid w:val="00C31351"/>
    <w:rsid w:val="00C324C6"/>
    <w:rsid w:val="00C32670"/>
    <w:rsid w:val="00C32813"/>
    <w:rsid w:val="00C32DDD"/>
    <w:rsid w:val="00C352EB"/>
    <w:rsid w:val="00C35747"/>
    <w:rsid w:val="00C3694D"/>
    <w:rsid w:val="00C3758E"/>
    <w:rsid w:val="00C409F9"/>
    <w:rsid w:val="00C40A48"/>
    <w:rsid w:val="00C40CF8"/>
    <w:rsid w:val="00C4157D"/>
    <w:rsid w:val="00C416BA"/>
    <w:rsid w:val="00C41C15"/>
    <w:rsid w:val="00C42052"/>
    <w:rsid w:val="00C42CED"/>
    <w:rsid w:val="00C434B9"/>
    <w:rsid w:val="00C436CB"/>
    <w:rsid w:val="00C4448B"/>
    <w:rsid w:val="00C44846"/>
    <w:rsid w:val="00C44C22"/>
    <w:rsid w:val="00C456E5"/>
    <w:rsid w:val="00C45E23"/>
    <w:rsid w:val="00C45FAA"/>
    <w:rsid w:val="00C461DB"/>
    <w:rsid w:val="00C46970"/>
    <w:rsid w:val="00C476C3"/>
    <w:rsid w:val="00C50592"/>
    <w:rsid w:val="00C506AB"/>
    <w:rsid w:val="00C518D7"/>
    <w:rsid w:val="00C52BCE"/>
    <w:rsid w:val="00C53FDC"/>
    <w:rsid w:val="00C544F7"/>
    <w:rsid w:val="00C5490A"/>
    <w:rsid w:val="00C556E5"/>
    <w:rsid w:val="00C55AE0"/>
    <w:rsid w:val="00C55E8A"/>
    <w:rsid w:val="00C564A3"/>
    <w:rsid w:val="00C56540"/>
    <w:rsid w:val="00C569F6"/>
    <w:rsid w:val="00C60B08"/>
    <w:rsid w:val="00C613B4"/>
    <w:rsid w:val="00C613D1"/>
    <w:rsid w:val="00C626AE"/>
    <w:rsid w:val="00C62BD7"/>
    <w:rsid w:val="00C63971"/>
    <w:rsid w:val="00C63A4C"/>
    <w:rsid w:val="00C64191"/>
    <w:rsid w:val="00C64478"/>
    <w:rsid w:val="00C65DAB"/>
    <w:rsid w:val="00C65ECD"/>
    <w:rsid w:val="00C66920"/>
    <w:rsid w:val="00C675F9"/>
    <w:rsid w:val="00C70532"/>
    <w:rsid w:val="00C721D7"/>
    <w:rsid w:val="00C72422"/>
    <w:rsid w:val="00C72F39"/>
    <w:rsid w:val="00C73677"/>
    <w:rsid w:val="00C73FAD"/>
    <w:rsid w:val="00C7444D"/>
    <w:rsid w:val="00C7459D"/>
    <w:rsid w:val="00C74ECA"/>
    <w:rsid w:val="00C75E1A"/>
    <w:rsid w:val="00C76DE5"/>
    <w:rsid w:val="00C77E94"/>
    <w:rsid w:val="00C80763"/>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907B8"/>
    <w:rsid w:val="00C90F48"/>
    <w:rsid w:val="00C916A2"/>
    <w:rsid w:val="00C918CA"/>
    <w:rsid w:val="00C939A1"/>
    <w:rsid w:val="00C93F76"/>
    <w:rsid w:val="00C94075"/>
    <w:rsid w:val="00C95B1E"/>
    <w:rsid w:val="00C96CFE"/>
    <w:rsid w:val="00C96DEF"/>
    <w:rsid w:val="00C9712A"/>
    <w:rsid w:val="00C9757B"/>
    <w:rsid w:val="00C97745"/>
    <w:rsid w:val="00CA1383"/>
    <w:rsid w:val="00CA1B54"/>
    <w:rsid w:val="00CA1CD3"/>
    <w:rsid w:val="00CA2B7B"/>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2EDE"/>
    <w:rsid w:val="00CB3AFA"/>
    <w:rsid w:val="00CB4120"/>
    <w:rsid w:val="00CB4A11"/>
    <w:rsid w:val="00CB5C55"/>
    <w:rsid w:val="00CB6161"/>
    <w:rsid w:val="00CB6F84"/>
    <w:rsid w:val="00CB7A71"/>
    <w:rsid w:val="00CC0294"/>
    <w:rsid w:val="00CC07B9"/>
    <w:rsid w:val="00CC2C8A"/>
    <w:rsid w:val="00CC3ECC"/>
    <w:rsid w:val="00CC4385"/>
    <w:rsid w:val="00CC4950"/>
    <w:rsid w:val="00CC4AD1"/>
    <w:rsid w:val="00CC5376"/>
    <w:rsid w:val="00CC6CD8"/>
    <w:rsid w:val="00CC6DFB"/>
    <w:rsid w:val="00CD06E1"/>
    <w:rsid w:val="00CD0870"/>
    <w:rsid w:val="00CD0B3B"/>
    <w:rsid w:val="00CD1AB2"/>
    <w:rsid w:val="00CD1C4A"/>
    <w:rsid w:val="00CD3056"/>
    <w:rsid w:val="00CD38F8"/>
    <w:rsid w:val="00CD3FF0"/>
    <w:rsid w:val="00CD4FAC"/>
    <w:rsid w:val="00CD5CFB"/>
    <w:rsid w:val="00CD5EB3"/>
    <w:rsid w:val="00CD7B08"/>
    <w:rsid w:val="00CD7CCD"/>
    <w:rsid w:val="00CE00A7"/>
    <w:rsid w:val="00CE1EEE"/>
    <w:rsid w:val="00CE263D"/>
    <w:rsid w:val="00CE2C88"/>
    <w:rsid w:val="00CE3109"/>
    <w:rsid w:val="00CE35EE"/>
    <w:rsid w:val="00CE39F1"/>
    <w:rsid w:val="00CE438B"/>
    <w:rsid w:val="00CE4DFF"/>
    <w:rsid w:val="00CE4F82"/>
    <w:rsid w:val="00CE5362"/>
    <w:rsid w:val="00CE6D3B"/>
    <w:rsid w:val="00CF0004"/>
    <w:rsid w:val="00CF162E"/>
    <w:rsid w:val="00CF1C14"/>
    <w:rsid w:val="00CF26E5"/>
    <w:rsid w:val="00CF2725"/>
    <w:rsid w:val="00CF2761"/>
    <w:rsid w:val="00CF2CA2"/>
    <w:rsid w:val="00CF3525"/>
    <w:rsid w:val="00CF3795"/>
    <w:rsid w:val="00CF45B2"/>
    <w:rsid w:val="00CF4F4C"/>
    <w:rsid w:val="00CF544D"/>
    <w:rsid w:val="00CF56FC"/>
    <w:rsid w:val="00CF5A56"/>
    <w:rsid w:val="00CF5D41"/>
    <w:rsid w:val="00CF66FD"/>
    <w:rsid w:val="00CF6FA4"/>
    <w:rsid w:val="00CF75C9"/>
    <w:rsid w:val="00CF7E65"/>
    <w:rsid w:val="00CF7EF1"/>
    <w:rsid w:val="00D003E9"/>
    <w:rsid w:val="00D00D0D"/>
    <w:rsid w:val="00D01789"/>
    <w:rsid w:val="00D0179D"/>
    <w:rsid w:val="00D02B5C"/>
    <w:rsid w:val="00D02F1E"/>
    <w:rsid w:val="00D03C2E"/>
    <w:rsid w:val="00D04A82"/>
    <w:rsid w:val="00D052DC"/>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4ED3"/>
    <w:rsid w:val="00D15025"/>
    <w:rsid w:val="00D1507E"/>
    <w:rsid w:val="00D162EA"/>
    <w:rsid w:val="00D16492"/>
    <w:rsid w:val="00D17289"/>
    <w:rsid w:val="00D1737D"/>
    <w:rsid w:val="00D17A58"/>
    <w:rsid w:val="00D21A0A"/>
    <w:rsid w:val="00D21CC3"/>
    <w:rsid w:val="00D21D75"/>
    <w:rsid w:val="00D22370"/>
    <w:rsid w:val="00D22396"/>
    <w:rsid w:val="00D22D15"/>
    <w:rsid w:val="00D22D96"/>
    <w:rsid w:val="00D22FE8"/>
    <w:rsid w:val="00D24FB8"/>
    <w:rsid w:val="00D25F82"/>
    <w:rsid w:val="00D26E98"/>
    <w:rsid w:val="00D27F9C"/>
    <w:rsid w:val="00D30393"/>
    <w:rsid w:val="00D31393"/>
    <w:rsid w:val="00D31595"/>
    <w:rsid w:val="00D32C6D"/>
    <w:rsid w:val="00D33A9D"/>
    <w:rsid w:val="00D34931"/>
    <w:rsid w:val="00D3495F"/>
    <w:rsid w:val="00D34E80"/>
    <w:rsid w:val="00D35464"/>
    <w:rsid w:val="00D366BC"/>
    <w:rsid w:val="00D36BEA"/>
    <w:rsid w:val="00D378EC"/>
    <w:rsid w:val="00D37FD3"/>
    <w:rsid w:val="00D4005E"/>
    <w:rsid w:val="00D40214"/>
    <w:rsid w:val="00D4337D"/>
    <w:rsid w:val="00D43F46"/>
    <w:rsid w:val="00D44480"/>
    <w:rsid w:val="00D449C4"/>
    <w:rsid w:val="00D45B8C"/>
    <w:rsid w:val="00D45BCE"/>
    <w:rsid w:val="00D4720D"/>
    <w:rsid w:val="00D47258"/>
    <w:rsid w:val="00D47468"/>
    <w:rsid w:val="00D47D36"/>
    <w:rsid w:val="00D47F8C"/>
    <w:rsid w:val="00D50B94"/>
    <w:rsid w:val="00D50BF6"/>
    <w:rsid w:val="00D513E2"/>
    <w:rsid w:val="00D515A6"/>
    <w:rsid w:val="00D51CBB"/>
    <w:rsid w:val="00D51EA6"/>
    <w:rsid w:val="00D52B84"/>
    <w:rsid w:val="00D53784"/>
    <w:rsid w:val="00D53C5A"/>
    <w:rsid w:val="00D544CA"/>
    <w:rsid w:val="00D54715"/>
    <w:rsid w:val="00D57331"/>
    <w:rsid w:val="00D60206"/>
    <w:rsid w:val="00D60616"/>
    <w:rsid w:val="00D60E5B"/>
    <w:rsid w:val="00D6150B"/>
    <w:rsid w:val="00D621B5"/>
    <w:rsid w:val="00D63376"/>
    <w:rsid w:val="00D63A01"/>
    <w:rsid w:val="00D6406A"/>
    <w:rsid w:val="00D64717"/>
    <w:rsid w:val="00D671B2"/>
    <w:rsid w:val="00D675CF"/>
    <w:rsid w:val="00D6766A"/>
    <w:rsid w:val="00D706E0"/>
    <w:rsid w:val="00D71559"/>
    <w:rsid w:val="00D71B70"/>
    <w:rsid w:val="00D7270A"/>
    <w:rsid w:val="00D73924"/>
    <w:rsid w:val="00D73A2F"/>
    <w:rsid w:val="00D740CA"/>
    <w:rsid w:val="00D7468B"/>
    <w:rsid w:val="00D74749"/>
    <w:rsid w:val="00D75429"/>
    <w:rsid w:val="00D75FA8"/>
    <w:rsid w:val="00D779E0"/>
    <w:rsid w:val="00D77C6F"/>
    <w:rsid w:val="00D8064F"/>
    <w:rsid w:val="00D809AD"/>
    <w:rsid w:val="00D80D71"/>
    <w:rsid w:val="00D813D0"/>
    <w:rsid w:val="00D82442"/>
    <w:rsid w:val="00D82586"/>
    <w:rsid w:val="00D83145"/>
    <w:rsid w:val="00D834CD"/>
    <w:rsid w:val="00D83773"/>
    <w:rsid w:val="00D84759"/>
    <w:rsid w:val="00D847F4"/>
    <w:rsid w:val="00D85063"/>
    <w:rsid w:val="00D865FE"/>
    <w:rsid w:val="00D87B11"/>
    <w:rsid w:val="00D87DAD"/>
    <w:rsid w:val="00D90150"/>
    <w:rsid w:val="00D90190"/>
    <w:rsid w:val="00D907A7"/>
    <w:rsid w:val="00D9255F"/>
    <w:rsid w:val="00D9286E"/>
    <w:rsid w:val="00D930E3"/>
    <w:rsid w:val="00D93495"/>
    <w:rsid w:val="00D939C1"/>
    <w:rsid w:val="00D94C37"/>
    <w:rsid w:val="00D951D2"/>
    <w:rsid w:val="00D95EF8"/>
    <w:rsid w:val="00D96150"/>
    <w:rsid w:val="00D96456"/>
    <w:rsid w:val="00D971FB"/>
    <w:rsid w:val="00DA0253"/>
    <w:rsid w:val="00DA051A"/>
    <w:rsid w:val="00DA0A2A"/>
    <w:rsid w:val="00DA0BFB"/>
    <w:rsid w:val="00DA1681"/>
    <w:rsid w:val="00DA2320"/>
    <w:rsid w:val="00DA2CFB"/>
    <w:rsid w:val="00DA2DAC"/>
    <w:rsid w:val="00DA3060"/>
    <w:rsid w:val="00DA46CA"/>
    <w:rsid w:val="00DA4778"/>
    <w:rsid w:val="00DA4876"/>
    <w:rsid w:val="00DA4A4F"/>
    <w:rsid w:val="00DA4C61"/>
    <w:rsid w:val="00DA4C86"/>
    <w:rsid w:val="00DA5717"/>
    <w:rsid w:val="00DA5D13"/>
    <w:rsid w:val="00DA61B8"/>
    <w:rsid w:val="00DA6367"/>
    <w:rsid w:val="00DA693E"/>
    <w:rsid w:val="00DA6CB3"/>
    <w:rsid w:val="00DA6E0E"/>
    <w:rsid w:val="00DA6EA5"/>
    <w:rsid w:val="00DB0D8F"/>
    <w:rsid w:val="00DB11BA"/>
    <w:rsid w:val="00DB13AD"/>
    <w:rsid w:val="00DB3027"/>
    <w:rsid w:val="00DB31D1"/>
    <w:rsid w:val="00DB35C8"/>
    <w:rsid w:val="00DB3752"/>
    <w:rsid w:val="00DB3C30"/>
    <w:rsid w:val="00DB3FCE"/>
    <w:rsid w:val="00DB4421"/>
    <w:rsid w:val="00DB6BFE"/>
    <w:rsid w:val="00DC0046"/>
    <w:rsid w:val="00DC050B"/>
    <w:rsid w:val="00DC0553"/>
    <w:rsid w:val="00DC16F6"/>
    <w:rsid w:val="00DC1FE4"/>
    <w:rsid w:val="00DC2081"/>
    <w:rsid w:val="00DC3110"/>
    <w:rsid w:val="00DC3246"/>
    <w:rsid w:val="00DC48EC"/>
    <w:rsid w:val="00DC4B8D"/>
    <w:rsid w:val="00DC4C0F"/>
    <w:rsid w:val="00DC514A"/>
    <w:rsid w:val="00DC517D"/>
    <w:rsid w:val="00DC6282"/>
    <w:rsid w:val="00DC706E"/>
    <w:rsid w:val="00DC7124"/>
    <w:rsid w:val="00DC7286"/>
    <w:rsid w:val="00DD0725"/>
    <w:rsid w:val="00DD2916"/>
    <w:rsid w:val="00DD30D3"/>
    <w:rsid w:val="00DD4D11"/>
    <w:rsid w:val="00DD562B"/>
    <w:rsid w:val="00DD568B"/>
    <w:rsid w:val="00DD654B"/>
    <w:rsid w:val="00DD7783"/>
    <w:rsid w:val="00DD781C"/>
    <w:rsid w:val="00DE0713"/>
    <w:rsid w:val="00DE1381"/>
    <w:rsid w:val="00DE1729"/>
    <w:rsid w:val="00DE22A7"/>
    <w:rsid w:val="00DE2881"/>
    <w:rsid w:val="00DE3F42"/>
    <w:rsid w:val="00DE43AA"/>
    <w:rsid w:val="00DE4AF3"/>
    <w:rsid w:val="00DE56CB"/>
    <w:rsid w:val="00DE5A1D"/>
    <w:rsid w:val="00DE659D"/>
    <w:rsid w:val="00DE6C82"/>
    <w:rsid w:val="00DE7800"/>
    <w:rsid w:val="00DF04F0"/>
    <w:rsid w:val="00DF14E8"/>
    <w:rsid w:val="00DF18EC"/>
    <w:rsid w:val="00DF3304"/>
    <w:rsid w:val="00DF33DE"/>
    <w:rsid w:val="00DF4308"/>
    <w:rsid w:val="00DF44F7"/>
    <w:rsid w:val="00DF4AA0"/>
    <w:rsid w:val="00DF4F39"/>
    <w:rsid w:val="00DF4FB7"/>
    <w:rsid w:val="00DF5D87"/>
    <w:rsid w:val="00DF6B88"/>
    <w:rsid w:val="00DF7556"/>
    <w:rsid w:val="00DF7AE6"/>
    <w:rsid w:val="00DF7FED"/>
    <w:rsid w:val="00E00D7F"/>
    <w:rsid w:val="00E01E3B"/>
    <w:rsid w:val="00E0333E"/>
    <w:rsid w:val="00E0359D"/>
    <w:rsid w:val="00E03863"/>
    <w:rsid w:val="00E03EF7"/>
    <w:rsid w:val="00E05AB8"/>
    <w:rsid w:val="00E064E1"/>
    <w:rsid w:val="00E07189"/>
    <w:rsid w:val="00E07996"/>
    <w:rsid w:val="00E07AC1"/>
    <w:rsid w:val="00E10B98"/>
    <w:rsid w:val="00E10F88"/>
    <w:rsid w:val="00E1148D"/>
    <w:rsid w:val="00E125BA"/>
    <w:rsid w:val="00E1281A"/>
    <w:rsid w:val="00E12C6A"/>
    <w:rsid w:val="00E12F43"/>
    <w:rsid w:val="00E13627"/>
    <w:rsid w:val="00E13885"/>
    <w:rsid w:val="00E145F9"/>
    <w:rsid w:val="00E151F4"/>
    <w:rsid w:val="00E15F43"/>
    <w:rsid w:val="00E179F6"/>
    <w:rsid w:val="00E20010"/>
    <w:rsid w:val="00E2019F"/>
    <w:rsid w:val="00E20F47"/>
    <w:rsid w:val="00E21492"/>
    <w:rsid w:val="00E21699"/>
    <w:rsid w:val="00E22362"/>
    <w:rsid w:val="00E2346B"/>
    <w:rsid w:val="00E23EF6"/>
    <w:rsid w:val="00E23FF5"/>
    <w:rsid w:val="00E242D6"/>
    <w:rsid w:val="00E24E7C"/>
    <w:rsid w:val="00E24F0A"/>
    <w:rsid w:val="00E25C89"/>
    <w:rsid w:val="00E2678F"/>
    <w:rsid w:val="00E27146"/>
    <w:rsid w:val="00E30482"/>
    <w:rsid w:val="00E3070A"/>
    <w:rsid w:val="00E3077E"/>
    <w:rsid w:val="00E30C14"/>
    <w:rsid w:val="00E30FA2"/>
    <w:rsid w:val="00E30FCD"/>
    <w:rsid w:val="00E3128A"/>
    <w:rsid w:val="00E34DAC"/>
    <w:rsid w:val="00E365AF"/>
    <w:rsid w:val="00E37134"/>
    <w:rsid w:val="00E37ADD"/>
    <w:rsid w:val="00E40257"/>
    <w:rsid w:val="00E404F2"/>
    <w:rsid w:val="00E40879"/>
    <w:rsid w:val="00E417EC"/>
    <w:rsid w:val="00E4196C"/>
    <w:rsid w:val="00E41DAC"/>
    <w:rsid w:val="00E423F4"/>
    <w:rsid w:val="00E4376D"/>
    <w:rsid w:val="00E443EF"/>
    <w:rsid w:val="00E45BF6"/>
    <w:rsid w:val="00E464FC"/>
    <w:rsid w:val="00E4781C"/>
    <w:rsid w:val="00E50240"/>
    <w:rsid w:val="00E50972"/>
    <w:rsid w:val="00E52119"/>
    <w:rsid w:val="00E52971"/>
    <w:rsid w:val="00E52BC7"/>
    <w:rsid w:val="00E52F3C"/>
    <w:rsid w:val="00E53185"/>
    <w:rsid w:val="00E5327B"/>
    <w:rsid w:val="00E536BA"/>
    <w:rsid w:val="00E53EF4"/>
    <w:rsid w:val="00E53FFE"/>
    <w:rsid w:val="00E54DC9"/>
    <w:rsid w:val="00E55E6B"/>
    <w:rsid w:val="00E56D73"/>
    <w:rsid w:val="00E5716F"/>
    <w:rsid w:val="00E6040B"/>
    <w:rsid w:val="00E60F21"/>
    <w:rsid w:val="00E615A8"/>
    <w:rsid w:val="00E61CBF"/>
    <w:rsid w:val="00E62C51"/>
    <w:rsid w:val="00E630B7"/>
    <w:rsid w:val="00E639EB"/>
    <w:rsid w:val="00E6409F"/>
    <w:rsid w:val="00E64178"/>
    <w:rsid w:val="00E64255"/>
    <w:rsid w:val="00E64548"/>
    <w:rsid w:val="00E646B1"/>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97C"/>
    <w:rsid w:val="00E77B02"/>
    <w:rsid w:val="00E77EB2"/>
    <w:rsid w:val="00E77F5A"/>
    <w:rsid w:val="00E80212"/>
    <w:rsid w:val="00E81B1A"/>
    <w:rsid w:val="00E82AE1"/>
    <w:rsid w:val="00E8345C"/>
    <w:rsid w:val="00E87A8B"/>
    <w:rsid w:val="00E87C26"/>
    <w:rsid w:val="00E90181"/>
    <w:rsid w:val="00E919E3"/>
    <w:rsid w:val="00E92B26"/>
    <w:rsid w:val="00E93298"/>
    <w:rsid w:val="00E944CE"/>
    <w:rsid w:val="00E95031"/>
    <w:rsid w:val="00E979DC"/>
    <w:rsid w:val="00E97AD8"/>
    <w:rsid w:val="00EA005B"/>
    <w:rsid w:val="00EA031C"/>
    <w:rsid w:val="00EA0331"/>
    <w:rsid w:val="00EA0730"/>
    <w:rsid w:val="00EA23EE"/>
    <w:rsid w:val="00EA3115"/>
    <w:rsid w:val="00EA31BA"/>
    <w:rsid w:val="00EA3F37"/>
    <w:rsid w:val="00EA4CA5"/>
    <w:rsid w:val="00EA4F28"/>
    <w:rsid w:val="00EA5171"/>
    <w:rsid w:val="00EA544D"/>
    <w:rsid w:val="00EA6AC0"/>
    <w:rsid w:val="00EA6D0E"/>
    <w:rsid w:val="00EB031D"/>
    <w:rsid w:val="00EB059A"/>
    <w:rsid w:val="00EB0E38"/>
    <w:rsid w:val="00EB10EE"/>
    <w:rsid w:val="00EB1BAC"/>
    <w:rsid w:val="00EB2004"/>
    <w:rsid w:val="00EB3951"/>
    <w:rsid w:val="00EB3A84"/>
    <w:rsid w:val="00EB3B37"/>
    <w:rsid w:val="00EB4DB7"/>
    <w:rsid w:val="00EB51E4"/>
    <w:rsid w:val="00EB5267"/>
    <w:rsid w:val="00EB5274"/>
    <w:rsid w:val="00EB55E8"/>
    <w:rsid w:val="00EB5847"/>
    <w:rsid w:val="00EB597B"/>
    <w:rsid w:val="00EB5E8E"/>
    <w:rsid w:val="00EB5EDE"/>
    <w:rsid w:val="00EB681F"/>
    <w:rsid w:val="00EB6C8E"/>
    <w:rsid w:val="00EB6ECF"/>
    <w:rsid w:val="00EB7849"/>
    <w:rsid w:val="00EB7BE1"/>
    <w:rsid w:val="00EC02B8"/>
    <w:rsid w:val="00EC0504"/>
    <w:rsid w:val="00EC238E"/>
    <w:rsid w:val="00EC2BF6"/>
    <w:rsid w:val="00EC3EBB"/>
    <w:rsid w:val="00EC632F"/>
    <w:rsid w:val="00EC64E6"/>
    <w:rsid w:val="00EC6910"/>
    <w:rsid w:val="00EC6B15"/>
    <w:rsid w:val="00EC6C98"/>
    <w:rsid w:val="00EC6EE3"/>
    <w:rsid w:val="00EC750F"/>
    <w:rsid w:val="00ED022E"/>
    <w:rsid w:val="00ED0E87"/>
    <w:rsid w:val="00ED0E9D"/>
    <w:rsid w:val="00ED2A90"/>
    <w:rsid w:val="00ED3494"/>
    <w:rsid w:val="00ED454C"/>
    <w:rsid w:val="00EE0DBF"/>
    <w:rsid w:val="00EE0FAB"/>
    <w:rsid w:val="00EE1E90"/>
    <w:rsid w:val="00EE1F08"/>
    <w:rsid w:val="00EE25CD"/>
    <w:rsid w:val="00EE2833"/>
    <w:rsid w:val="00EE2AC2"/>
    <w:rsid w:val="00EE3BCE"/>
    <w:rsid w:val="00EE3C32"/>
    <w:rsid w:val="00EE4939"/>
    <w:rsid w:val="00EE52BF"/>
    <w:rsid w:val="00EE5805"/>
    <w:rsid w:val="00EE63EE"/>
    <w:rsid w:val="00EE72D5"/>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66C"/>
    <w:rsid w:val="00F01A2A"/>
    <w:rsid w:val="00F0273F"/>
    <w:rsid w:val="00F02E70"/>
    <w:rsid w:val="00F03827"/>
    <w:rsid w:val="00F03FC6"/>
    <w:rsid w:val="00F045E0"/>
    <w:rsid w:val="00F06AC7"/>
    <w:rsid w:val="00F07567"/>
    <w:rsid w:val="00F078DC"/>
    <w:rsid w:val="00F07C18"/>
    <w:rsid w:val="00F07F39"/>
    <w:rsid w:val="00F10F4B"/>
    <w:rsid w:val="00F10FF4"/>
    <w:rsid w:val="00F11C70"/>
    <w:rsid w:val="00F124A7"/>
    <w:rsid w:val="00F12E86"/>
    <w:rsid w:val="00F13C43"/>
    <w:rsid w:val="00F13F01"/>
    <w:rsid w:val="00F14BB2"/>
    <w:rsid w:val="00F15330"/>
    <w:rsid w:val="00F156E6"/>
    <w:rsid w:val="00F15DED"/>
    <w:rsid w:val="00F164B0"/>
    <w:rsid w:val="00F16569"/>
    <w:rsid w:val="00F165E3"/>
    <w:rsid w:val="00F16B9C"/>
    <w:rsid w:val="00F202D6"/>
    <w:rsid w:val="00F207CC"/>
    <w:rsid w:val="00F20D1E"/>
    <w:rsid w:val="00F217D6"/>
    <w:rsid w:val="00F23053"/>
    <w:rsid w:val="00F232D5"/>
    <w:rsid w:val="00F23D7D"/>
    <w:rsid w:val="00F24544"/>
    <w:rsid w:val="00F24FFA"/>
    <w:rsid w:val="00F25A35"/>
    <w:rsid w:val="00F26363"/>
    <w:rsid w:val="00F276AF"/>
    <w:rsid w:val="00F27741"/>
    <w:rsid w:val="00F3084D"/>
    <w:rsid w:val="00F30EF2"/>
    <w:rsid w:val="00F31419"/>
    <w:rsid w:val="00F32BBC"/>
    <w:rsid w:val="00F32BD4"/>
    <w:rsid w:val="00F32E9E"/>
    <w:rsid w:val="00F32EF8"/>
    <w:rsid w:val="00F349EB"/>
    <w:rsid w:val="00F35696"/>
    <w:rsid w:val="00F35B17"/>
    <w:rsid w:val="00F36F3F"/>
    <w:rsid w:val="00F36FD7"/>
    <w:rsid w:val="00F37631"/>
    <w:rsid w:val="00F37D5C"/>
    <w:rsid w:val="00F40986"/>
    <w:rsid w:val="00F415BF"/>
    <w:rsid w:val="00F416A3"/>
    <w:rsid w:val="00F42ACB"/>
    <w:rsid w:val="00F437A4"/>
    <w:rsid w:val="00F43F28"/>
    <w:rsid w:val="00F4579D"/>
    <w:rsid w:val="00F460E9"/>
    <w:rsid w:val="00F4624D"/>
    <w:rsid w:val="00F465F3"/>
    <w:rsid w:val="00F46ED9"/>
    <w:rsid w:val="00F4748A"/>
    <w:rsid w:val="00F5062E"/>
    <w:rsid w:val="00F507B0"/>
    <w:rsid w:val="00F508E1"/>
    <w:rsid w:val="00F51624"/>
    <w:rsid w:val="00F5264A"/>
    <w:rsid w:val="00F52C6C"/>
    <w:rsid w:val="00F5495E"/>
    <w:rsid w:val="00F549F0"/>
    <w:rsid w:val="00F54D8A"/>
    <w:rsid w:val="00F5532D"/>
    <w:rsid w:val="00F555DB"/>
    <w:rsid w:val="00F57109"/>
    <w:rsid w:val="00F57604"/>
    <w:rsid w:val="00F57629"/>
    <w:rsid w:val="00F607ED"/>
    <w:rsid w:val="00F60E63"/>
    <w:rsid w:val="00F617CF"/>
    <w:rsid w:val="00F61A08"/>
    <w:rsid w:val="00F622C1"/>
    <w:rsid w:val="00F6233E"/>
    <w:rsid w:val="00F633FA"/>
    <w:rsid w:val="00F63A46"/>
    <w:rsid w:val="00F64FD7"/>
    <w:rsid w:val="00F65211"/>
    <w:rsid w:val="00F657E2"/>
    <w:rsid w:val="00F65869"/>
    <w:rsid w:val="00F658D9"/>
    <w:rsid w:val="00F66ADD"/>
    <w:rsid w:val="00F66E56"/>
    <w:rsid w:val="00F6728C"/>
    <w:rsid w:val="00F679A3"/>
    <w:rsid w:val="00F7101F"/>
    <w:rsid w:val="00F735AE"/>
    <w:rsid w:val="00F7396B"/>
    <w:rsid w:val="00F74ABF"/>
    <w:rsid w:val="00F75810"/>
    <w:rsid w:val="00F75B71"/>
    <w:rsid w:val="00F769D3"/>
    <w:rsid w:val="00F76B13"/>
    <w:rsid w:val="00F77918"/>
    <w:rsid w:val="00F77BBE"/>
    <w:rsid w:val="00F8061A"/>
    <w:rsid w:val="00F8067B"/>
    <w:rsid w:val="00F81D38"/>
    <w:rsid w:val="00F8215A"/>
    <w:rsid w:val="00F82A04"/>
    <w:rsid w:val="00F82C2D"/>
    <w:rsid w:val="00F82C50"/>
    <w:rsid w:val="00F82C59"/>
    <w:rsid w:val="00F8349B"/>
    <w:rsid w:val="00F8402E"/>
    <w:rsid w:val="00F84476"/>
    <w:rsid w:val="00F846D0"/>
    <w:rsid w:val="00F847FB"/>
    <w:rsid w:val="00F849AF"/>
    <w:rsid w:val="00F85341"/>
    <w:rsid w:val="00F8537E"/>
    <w:rsid w:val="00F85A10"/>
    <w:rsid w:val="00F85C57"/>
    <w:rsid w:val="00F871CD"/>
    <w:rsid w:val="00F87C4A"/>
    <w:rsid w:val="00F87E8F"/>
    <w:rsid w:val="00F904EB"/>
    <w:rsid w:val="00F90533"/>
    <w:rsid w:val="00F9078C"/>
    <w:rsid w:val="00F907DB"/>
    <w:rsid w:val="00F91E1F"/>
    <w:rsid w:val="00F92130"/>
    <w:rsid w:val="00F9247F"/>
    <w:rsid w:val="00F929CE"/>
    <w:rsid w:val="00F9350D"/>
    <w:rsid w:val="00F93696"/>
    <w:rsid w:val="00F938FB"/>
    <w:rsid w:val="00F93BC0"/>
    <w:rsid w:val="00F947F1"/>
    <w:rsid w:val="00F94C35"/>
    <w:rsid w:val="00F966A9"/>
    <w:rsid w:val="00F96C72"/>
    <w:rsid w:val="00FA08C9"/>
    <w:rsid w:val="00FA1D57"/>
    <w:rsid w:val="00FA2176"/>
    <w:rsid w:val="00FA2728"/>
    <w:rsid w:val="00FA2933"/>
    <w:rsid w:val="00FA4AA9"/>
    <w:rsid w:val="00FA64FA"/>
    <w:rsid w:val="00FA70D6"/>
    <w:rsid w:val="00FB04B1"/>
    <w:rsid w:val="00FB0796"/>
    <w:rsid w:val="00FB15BE"/>
    <w:rsid w:val="00FB1B18"/>
    <w:rsid w:val="00FB1C0D"/>
    <w:rsid w:val="00FB1F97"/>
    <w:rsid w:val="00FB26A7"/>
    <w:rsid w:val="00FB2A06"/>
    <w:rsid w:val="00FB2EFA"/>
    <w:rsid w:val="00FB3BDA"/>
    <w:rsid w:val="00FB3C3D"/>
    <w:rsid w:val="00FB4048"/>
    <w:rsid w:val="00FB433C"/>
    <w:rsid w:val="00FB4E8C"/>
    <w:rsid w:val="00FB608F"/>
    <w:rsid w:val="00FB609D"/>
    <w:rsid w:val="00FB672C"/>
    <w:rsid w:val="00FB7402"/>
    <w:rsid w:val="00FB769A"/>
    <w:rsid w:val="00FC01D2"/>
    <w:rsid w:val="00FC170E"/>
    <w:rsid w:val="00FC1A9C"/>
    <w:rsid w:val="00FC3AB1"/>
    <w:rsid w:val="00FC3B6D"/>
    <w:rsid w:val="00FC3C4F"/>
    <w:rsid w:val="00FC57A2"/>
    <w:rsid w:val="00FC586A"/>
    <w:rsid w:val="00FC5986"/>
    <w:rsid w:val="00FC6291"/>
    <w:rsid w:val="00FC6421"/>
    <w:rsid w:val="00FC6B8A"/>
    <w:rsid w:val="00FC71BC"/>
    <w:rsid w:val="00FD1A55"/>
    <w:rsid w:val="00FD20EE"/>
    <w:rsid w:val="00FD2E52"/>
    <w:rsid w:val="00FD35D3"/>
    <w:rsid w:val="00FD5ABE"/>
    <w:rsid w:val="00FD6793"/>
    <w:rsid w:val="00FD71AC"/>
    <w:rsid w:val="00FE1A1A"/>
    <w:rsid w:val="00FE25D5"/>
    <w:rsid w:val="00FE260C"/>
    <w:rsid w:val="00FE2B44"/>
    <w:rsid w:val="00FE2B71"/>
    <w:rsid w:val="00FE2CDB"/>
    <w:rsid w:val="00FE3089"/>
    <w:rsid w:val="00FE30A9"/>
    <w:rsid w:val="00FE44DF"/>
    <w:rsid w:val="00FE488D"/>
    <w:rsid w:val="00FE4F11"/>
    <w:rsid w:val="00FE5D12"/>
    <w:rsid w:val="00FE6151"/>
    <w:rsid w:val="00FE6742"/>
    <w:rsid w:val="00FE69CB"/>
    <w:rsid w:val="00FE6B8C"/>
    <w:rsid w:val="00FE6DC7"/>
    <w:rsid w:val="00FE7499"/>
    <w:rsid w:val="00FE7F8E"/>
    <w:rsid w:val="00FF2A22"/>
    <w:rsid w:val="00FF3C7B"/>
    <w:rsid w:val="00FF408A"/>
    <w:rsid w:val="00FF4308"/>
    <w:rsid w:val="00FF443F"/>
    <w:rsid w:val="00FF48AC"/>
    <w:rsid w:val="00FF4988"/>
    <w:rsid w:val="00FF4FE9"/>
    <w:rsid w:val="00FF603B"/>
    <w:rsid w:val="00FF664E"/>
    <w:rsid w:val="00FF7573"/>
    <w:rsid w:val="011253ED"/>
    <w:rsid w:val="01353AE6"/>
    <w:rsid w:val="013B22BF"/>
    <w:rsid w:val="014838DC"/>
    <w:rsid w:val="01883182"/>
    <w:rsid w:val="0257529A"/>
    <w:rsid w:val="02D436B7"/>
    <w:rsid w:val="03433A17"/>
    <w:rsid w:val="034D0F5A"/>
    <w:rsid w:val="03B35391"/>
    <w:rsid w:val="044C2800"/>
    <w:rsid w:val="047B6C88"/>
    <w:rsid w:val="04FE7F15"/>
    <w:rsid w:val="05AF02CF"/>
    <w:rsid w:val="05B475CC"/>
    <w:rsid w:val="05C515F4"/>
    <w:rsid w:val="060C2D53"/>
    <w:rsid w:val="062D4F46"/>
    <w:rsid w:val="06A25842"/>
    <w:rsid w:val="06AF5670"/>
    <w:rsid w:val="06E76218"/>
    <w:rsid w:val="073D0B74"/>
    <w:rsid w:val="0768045D"/>
    <w:rsid w:val="079A5979"/>
    <w:rsid w:val="07A50A58"/>
    <w:rsid w:val="07B80611"/>
    <w:rsid w:val="085631C9"/>
    <w:rsid w:val="088257A5"/>
    <w:rsid w:val="08F1113D"/>
    <w:rsid w:val="08F11A25"/>
    <w:rsid w:val="08FE2AB1"/>
    <w:rsid w:val="093E0880"/>
    <w:rsid w:val="0970461D"/>
    <w:rsid w:val="097F4AD0"/>
    <w:rsid w:val="09A0026F"/>
    <w:rsid w:val="0A545D73"/>
    <w:rsid w:val="0A6601F9"/>
    <w:rsid w:val="0A9E1C57"/>
    <w:rsid w:val="0AFC3827"/>
    <w:rsid w:val="0B1F0E32"/>
    <w:rsid w:val="0B9121BF"/>
    <w:rsid w:val="0BF95130"/>
    <w:rsid w:val="0C1A6E93"/>
    <w:rsid w:val="0C4501CE"/>
    <w:rsid w:val="0C60163F"/>
    <w:rsid w:val="0C6142E8"/>
    <w:rsid w:val="0C822C5E"/>
    <w:rsid w:val="0CDD0BB5"/>
    <w:rsid w:val="0D374AC5"/>
    <w:rsid w:val="0D4B42C1"/>
    <w:rsid w:val="0E155384"/>
    <w:rsid w:val="0E16317A"/>
    <w:rsid w:val="0E5232CD"/>
    <w:rsid w:val="0EA8373B"/>
    <w:rsid w:val="0F0D2F2C"/>
    <w:rsid w:val="0F133F84"/>
    <w:rsid w:val="0F1D3C3E"/>
    <w:rsid w:val="0F9D1F37"/>
    <w:rsid w:val="0FB660D7"/>
    <w:rsid w:val="0FD8210B"/>
    <w:rsid w:val="0FF035AC"/>
    <w:rsid w:val="0FF81642"/>
    <w:rsid w:val="10692390"/>
    <w:rsid w:val="10D21EAF"/>
    <w:rsid w:val="10F0590C"/>
    <w:rsid w:val="11397FF2"/>
    <w:rsid w:val="114A39B7"/>
    <w:rsid w:val="1167581E"/>
    <w:rsid w:val="116E2B13"/>
    <w:rsid w:val="11CF045F"/>
    <w:rsid w:val="1254505F"/>
    <w:rsid w:val="12776333"/>
    <w:rsid w:val="1280341C"/>
    <w:rsid w:val="136D5594"/>
    <w:rsid w:val="13CA2479"/>
    <w:rsid w:val="147E3368"/>
    <w:rsid w:val="14E804E7"/>
    <w:rsid w:val="151F2C18"/>
    <w:rsid w:val="15D53161"/>
    <w:rsid w:val="15F64745"/>
    <w:rsid w:val="1601481A"/>
    <w:rsid w:val="16186717"/>
    <w:rsid w:val="166C73ED"/>
    <w:rsid w:val="169522D7"/>
    <w:rsid w:val="174325C2"/>
    <w:rsid w:val="175554DF"/>
    <w:rsid w:val="175A62B6"/>
    <w:rsid w:val="17810C39"/>
    <w:rsid w:val="178B5F49"/>
    <w:rsid w:val="17B90EAB"/>
    <w:rsid w:val="17C330B1"/>
    <w:rsid w:val="17E1192A"/>
    <w:rsid w:val="17E14091"/>
    <w:rsid w:val="17FC5942"/>
    <w:rsid w:val="189C3747"/>
    <w:rsid w:val="18A64B89"/>
    <w:rsid w:val="18CD2331"/>
    <w:rsid w:val="18D06062"/>
    <w:rsid w:val="19353CD3"/>
    <w:rsid w:val="19F55F5E"/>
    <w:rsid w:val="1A104088"/>
    <w:rsid w:val="1A1D4A30"/>
    <w:rsid w:val="1A203696"/>
    <w:rsid w:val="1A4A28F5"/>
    <w:rsid w:val="1A616039"/>
    <w:rsid w:val="1B167EE4"/>
    <w:rsid w:val="1B1C7F55"/>
    <w:rsid w:val="1B474C7C"/>
    <w:rsid w:val="1B5F5A93"/>
    <w:rsid w:val="1BA34642"/>
    <w:rsid w:val="1BE015E4"/>
    <w:rsid w:val="1C504E03"/>
    <w:rsid w:val="1C7B0D9F"/>
    <w:rsid w:val="1CD67AA5"/>
    <w:rsid w:val="1D6E655D"/>
    <w:rsid w:val="1DAA2521"/>
    <w:rsid w:val="1E1E4201"/>
    <w:rsid w:val="1E280FE5"/>
    <w:rsid w:val="1E2B5DA6"/>
    <w:rsid w:val="1E796654"/>
    <w:rsid w:val="1ED513BA"/>
    <w:rsid w:val="1F1F544D"/>
    <w:rsid w:val="1F214722"/>
    <w:rsid w:val="1F3D5393"/>
    <w:rsid w:val="1F6751C9"/>
    <w:rsid w:val="1FDE13E2"/>
    <w:rsid w:val="1FE725CB"/>
    <w:rsid w:val="20224D55"/>
    <w:rsid w:val="20A06EA1"/>
    <w:rsid w:val="20D87EC1"/>
    <w:rsid w:val="21144747"/>
    <w:rsid w:val="21152AEA"/>
    <w:rsid w:val="211F6B56"/>
    <w:rsid w:val="212B5A64"/>
    <w:rsid w:val="214379DD"/>
    <w:rsid w:val="21F726B1"/>
    <w:rsid w:val="220F481B"/>
    <w:rsid w:val="224B4DCD"/>
    <w:rsid w:val="22531CF7"/>
    <w:rsid w:val="225517D6"/>
    <w:rsid w:val="226E178F"/>
    <w:rsid w:val="227B6E4F"/>
    <w:rsid w:val="22D0340F"/>
    <w:rsid w:val="2302547A"/>
    <w:rsid w:val="23313782"/>
    <w:rsid w:val="2357354F"/>
    <w:rsid w:val="23AE718D"/>
    <w:rsid w:val="23C545F4"/>
    <w:rsid w:val="23CE3F10"/>
    <w:rsid w:val="23E2718D"/>
    <w:rsid w:val="23E71222"/>
    <w:rsid w:val="23EC0881"/>
    <w:rsid w:val="24082FAE"/>
    <w:rsid w:val="24677424"/>
    <w:rsid w:val="24DE5462"/>
    <w:rsid w:val="250A129B"/>
    <w:rsid w:val="25175BEE"/>
    <w:rsid w:val="2582731D"/>
    <w:rsid w:val="25A0096A"/>
    <w:rsid w:val="26610781"/>
    <w:rsid w:val="27112EF7"/>
    <w:rsid w:val="27133AC9"/>
    <w:rsid w:val="278C10BD"/>
    <w:rsid w:val="27A750B0"/>
    <w:rsid w:val="27FF6E20"/>
    <w:rsid w:val="285940DB"/>
    <w:rsid w:val="285C5C0E"/>
    <w:rsid w:val="28800F1F"/>
    <w:rsid w:val="28C933DC"/>
    <w:rsid w:val="28D27225"/>
    <w:rsid w:val="28E54779"/>
    <w:rsid w:val="28EF3807"/>
    <w:rsid w:val="29235E38"/>
    <w:rsid w:val="29372DC9"/>
    <w:rsid w:val="294B3490"/>
    <w:rsid w:val="29516ED1"/>
    <w:rsid w:val="29783213"/>
    <w:rsid w:val="29B136FE"/>
    <w:rsid w:val="29D543D2"/>
    <w:rsid w:val="29E65834"/>
    <w:rsid w:val="2A9E7061"/>
    <w:rsid w:val="2AE40825"/>
    <w:rsid w:val="2B1C4080"/>
    <w:rsid w:val="2B2E3ACB"/>
    <w:rsid w:val="2B511252"/>
    <w:rsid w:val="2B52449D"/>
    <w:rsid w:val="2B7B0BE8"/>
    <w:rsid w:val="2BA74568"/>
    <w:rsid w:val="2BD9671E"/>
    <w:rsid w:val="2BF4630C"/>
    <w:rsid w:val="2C016FFC"/>
    <w:rsid w:val="2C1F16F1"/>
    <w:rsid w:val="2C546594"/>
    <w:rsid w:val="2CC1070D"/>
    <w:rsid w:val="2CD7666F"/>
    <w:rsid w:val="2CED0939"/>
    <w:rsid w:val="2D151291"/>
    <w:rsid w:val="2D473EB8"/>
    <w:rsid w:val="2D665AAB"/>
    <w:rsid w:val="2DF8268C"/>
    <w:rsid w:val="2E2F01FA"/>
    <w:rsid w:val="2E7344B1"/>
    <w:rsid w:val="2E8E4B4E"/>
    <w:rsid w:val="2F181BAE"/>
    <w:rsid w:val="2F181F65"/>
    <w:rsid w:val="2F4528EF"/>
    <w:rsid w:val="2F6649D2"/>
    <w:rsid w:val="2FD302BA"/>
    <w:rsid w:val="2FD85612"/>
    <w:rsid w:val="306759C0"/>
    <w:rsid w:val="30E503E0"/>
    <w:rsid w:val="31440242"/>
    <w:rsid w:val="31466EBB"/>
    <w:rsid w:val="314A64EF"/>
    <w:rsid w:val="315E0067"/>
    <w:rsid w:val="320E73B9"/>
    <w:rsid w:val="32633A3C"/>
    <w:rsid w:val="32831E3B"/>
    <w:rsid w:val="333F5C66"/>
    <w:rsid w:val="336C673E"/>
    <w:rsid w:val="33BF3586"/>
    <w:rsid w:val="33D34197"/>
    <w:rsid w:val="33DA7B3A"/>
    <w:rsid w:val="33E36CF5"/>
    <w:rsid w:val="347055A6"/>
    <w:rsid w:val="348C5706"/>
    <w:rsid w:val="34D2441F"/>
    <w:rsid w:val="34D96007"/>
    <w:rsid w:val="350C25E8"/>
    <w:rsid w:val="357C0F07"/>
    <w:rsid w:val="358926E6"/>
    <w:rsid w:val="3590148A"/>
    <w:rsid w:val="35E0728C"/>
    <w:rsid w:val="35E860DC"/>
    <w:rsid w:val="36423762"/>
    <w:rsid w:val="36826E9D"/>
    <w:rsid w:val="36D81F00"/>
    <w:rsid w:val="377F3CCF"/>
    <w:rsid w:val="37CD052A"/>
    <w:rsid w:val="3852536B"/>
    <w:rsid w:val="38A907AC"/>
    <w:rsid w:val="390E775E"/>
    <w:rsid w:val="3922119F"/>
    <w:rsid w:val="395F3AEA"/>
    <w:rsid w:val="396D605C"/>
    <w:rsid w:val="39732C58"/>
    <w:rsid w:val="399B0A74"/>
    <w:rsid w:val="39BB3F14"/>
    <w:rsid w:val="39F124B6"/>
    <w:rsid w:val="3A0F1648"/>
    <w:rsid w:val="3A1A01BF"/>
    <w:rsid w:val="3AA34D2C"/>
    <w:rsid w:val="3ACD3C53"/>
    <w:rsid w:val="3ADF778E"/>
    <w:rsid w:val="3B20302E"/>
    <w:rsid w:val="3BB970C6"/>
    <w:rsid w:val="3BCE02F2"/>
    <w:rsid w:val="3BEE6B19"/>
    <w:rsid w:val="3CAD1E92"/>
    <w:rsid w:val="3D1F5F39"/>
    <w:rsid w:val="3D2A2388"/>
    <w:rsid w:val="3E69425A"/>
    <w:rsid w:val="3FEEA4CB"/>
    <w:rsid w:val="40090163"/>
    <w:rsid w:val="40354679"/>
    <w:rsid w:val="408D14D1"/>
    <w:rsid w:val="40F167F2"/>
    <w:rsid w:val="40F26D6A"/>
    <w:rsid w:val="40F63E08"/>
    <w:rsid w:val="41C92456"/>
    <w:rsid w:val="42012B91"/>
    <w:rsid w:val="425C413F"/>
    <w:rsid w:val="427F0281"/>
    <w:rsid w:val="429D72A3"/>
    <w:rsid w:val="42BA67E7"/>
    <w:rsid w:val="44192907"/>
    <w:rsid w:val="44296A38"/>
    <w:rsid w:val="442E38B9"/>
    <w:rsid w:val="44382ADF"/>
    <w:rsid w:val="444A6D77"/>
    <w:rsid w:val="44534092"/>
    <w:rsid w:val="44894759"/>
    <w:rsid w:val="44EA2EF1"/>
    <w:rsid w:val="451C0B79"/>
    <w:rsid w:val="455A784A"/>
    <w:rsid w:val="45C269A9"/>
    <w:rsid w:val="45D47A85"/>
    <w:rsid w:val="45F51841"/>
    <w:rsid w:val="4634361B"/>
    <w:rsid w:val="4672610E"/>
    <w:rsid w:val="46BF6084"/>
    <w:rsid w:val="47340CF7"/>
    <w:rsid w:val="47EC272B"/>
    <w:rsid w:val="48695B00"/>
    <w:rsid w:val="488E737E"/>
    <w:rsid w:val="49E40AA8"/>
    <w:rsid w:val="4A226926"/>
    <w:rsid w:val="4A42444F"/>
    <w:rsid w:val="4A7C7F8F"/>
    <w:rsid w:val="4A9C3992"/>
    <w:rsid w:val="4AE235D1"/>
    <w:rsid w:val="4AF94389"/>
    <w:rsid w:val="4B15206C"/>
    <w:rsid w:val="4BCD3D4C"/>
    <w:rsid w:val="4C5A55C7"/>
    <w:rsid w:val="4C8668CB"/>
    <w:rsid w:val="4D4B2F88"/>
    <w:rsid w:val="4D7367E0"/>
    <w:rsid w:val="4DB62832"/>
    <w:rsid w:val="4DCB6A8C"/>
    <w:rsid w:val="4E5370E8"/>
    <w:rsid w:val="4E88094B"/>
    <w:rsid w:val="4E90333A"/>
    <w:rsid w:val="4EB17794"/>
    <w:rsid w:val="4EE2728B"/>
    <w:rsid w:val="4EF14FE4"/>
    <w:rsid w:val="4F3526FA"/>
    <w:rsid w:val="4F4E1791"/>
    <w:rsid w:val="4F665D03"/>
    <w:rsid w:val="4F6C4459"/>
    <w:rsid w:val="4F756840"/>
    <w:rsid w:val="4FF41947"/>
    <w:rsid w:val="500B7EA2"/>
    <w:rsid w:val="509A57EA"/>
    <w:rsid w:val="509D05C4"/>
    <w:rsid w:val="50A638B9"/>
    <w:rsid w:val="50DD1205"/>
    <w:rsid w:val="5264443D"/>
    <w:rsid w:val="52E42074"/>
    <w:rsid w:val="533A1C0F"/>
    <w:rsid w:val="535421F8"/>
    <w:rsid w:val="537D2167"/>
    <w:rsid w:val="53826A19"/>
    <w:rsid w:val="53F475A6"/>
    <w:rsid w:val="54006F56"/>
    <w:rsid w:val="547A6D00"/>
    <w:rsid w:val="54834037"/>
    <w:rsid w:val="54DA0EF3"/>
    <w:rsid w:val="54E62E5E"/>
    <w:rsid w:val="54FE5F43"/>
    <w:rsid w:val="551179C2"/>
    <w:rsid w:val="55445BD9"/>
    <w:rsid w:val="55603AEE"/>
    <w:rsid w:val="558B3FFA"/>
    <w:rsid w:val="56891F7D"/>
    <w:rsid w:val="568B723D"/>
    <w:rsid w:val="56CC7EC6"/>
    <w:rsid w:val="56CF2CD9"/>
    <w:rsid w:val="57182211"/>
    <w:rsid w:val="57212B95"/>
    <w:rsid w:val="57552BC8"/>
    <w:rsid w:val="57F8000E"/>
    <w:rsid w:val="583B1E66"/>
    <w:rsid w:val="58550366"/>
    <w:rsid w:val="58710D0E"/>
    <w:rsid w:val="58764F47"/>
    <w:rsid w:val="58A2694D"/>
    <w:rsid w:val="58B17165"/>
    <w:rsid w:val="59414BC8"/>
    <w:rsid w:val="594C1C33"/>
    <w:rsid w:val="59622AE1"/>
    <w:rsid w:val="599441A2"/>
    <w:rsid w:val="59BE1569"/>
    <w:rsid w:val="5A6B0F6B"/>
    <w:rsid w:val="5B514A88"/>
    <w:rsid w:val="5B5E7A47"/>
    <w:rsid w:val="5BD07B07"/>
    <w:rsid w:val="5BF1683C"/>
    <w:rsid w:val="5C242774"/>
    <w:rsid w:val="5C4330EC"/>
    <w:rsid w:val="5C831C73"/>
    <w:rsid w:val="5CAC13C7"/>
    <w:rsid w:val="5CBB4565"/>
    <w:rsid w:val="5D036F9A"/>
    <w:rsid w:val="5D2A024C"/>
    <w:rsid w:val="5D526412"/>
    <w:rsid w:val="5D764216"/>
    <w:rsid w:val="5DB527BD"/>
    <w:rsid w:val="5DD00244"/>
    <w:rsid w:val="5E067FE9"/>
    <w:rsid w:val="5E2749FB"/>
    <w:rsid w:val="5E3A3C2C"/>
    <w:rsid w:val="5E4E415F"/>
    <w:rsid w:val="5E7E0871"/>
    <w:rsid w:val="5E7E1DD8"/>
    <w:rsid w:val="5EBE1510"/>
    <w:rsid w:val="5ED46FEC"/>
    <w:rsid w:val="5ED526F5"/>
    <w:rsid w:val="5EE24F84"/>
    <w:rsid w:val="5F0968D9"/>
    <w:rsid w:val="5F3A558E"/>
    <w:rsid w:val="5F63244C"/>
    <w:rsid w:val="5F76718E"/>
    <w:rsid w:val="5FA1305A"/>
    <w:rsid w:val="5FAB3BB8"/>
    <w:rsid w:val="5FB15BD0"/>
    <w:rsid w:val="5FC353A5"/>
    <w:rsid w:val="5FD76A12"/>
    <w:rsid w:val="60840A34"/>
    <w:rsid w:val="60E037AB"/>
    <w:rsid w:val="61034A38"/>
    <w:rsid w:val="61063914"/>
    <w:rsid w:val="610B4254"/>
    <w:rsid w:val="615E5992"/>
    <w:rsid w:val="61E87D1B"/>
    <w:rsid w:val="623C290D"/>
    <w:rsid w:val="623F6DF9"/>
    <w:rsid w:val="62502FAC"/>
    <w:rsid w:val="6295542A"/>
    <w:rsid w:val="62AC30A7"/>
    <w:rsid w:val="62F30C4D"/>
    <w:rsid w:val="63640AD8"/>
    <w:rsid w:val="63672AD2"/>
    <w:rsid w:val="6368016D"/>
    <w:rsid w:val="639C7912"/>
    <w:rsid w:val="64E47E41"/>
    <w:rsid w:val="64FA3A2E"/>
    <w:rsid w:val="64FC55D6"/>
    <w:rsid w:val="65414E39"/>
    <w:rsid w:val="65725F92"/>
    <w:rsid w:val="657F1BC3"/>
    <w:rsid w:val="658074C8"/>
    <w:rsid w:val="65AE1260"/>
    <w:rsid w:val="65E246FB"/>
    <w:rsid w:val="6627269B"/>
    <w:rsid w:val="66556532"/>
    <w:rsid w:val="66790C73"/>
    <w:rsid w:val="67346B89"/>
    <w:rsid w:val="67505C4C"/>
    <w:rsid w:val="676F2E0B"/>
    <w:rsid w:val="677920C5"/>
    <w:rsid w:val="67F16D38"/>
    <w:rsid w:val="67F53B1D"/>
    <w:rsid w:val="67FC2632"/>
    <w:rsid w:val="67FC4FEA"/>
    <w:rsid w:val="6852735E"/>
    <w:rsid w:val="68EB0D59"/>
    <w:rsid w:val="690B73F7"/>
    <w:rsid w:val="69594E76"/>
    <w:rsid w:val="695A0EC4"/>
    <w:rsid w:val="695E7070"/>
    <w:rsid w:val="698544C9"/>
    <w:rsid w:val="69D00EF1"/>
    <w:rsid w:val="69E113F6"/>
    <w:rsid w:val="6A34211E"/>
    <w:rsid w:val="6A5621A9"/>
    <w:rsid w:val="6A8D061C"/>
    <w:rsid w:val="6AD00976"/>
    <w:rsid w:val="6B2A277C"/>
    <w:rsid w:val="6BB55E5C"/>
    <w:rsid w:val="6C413741"/>
    <w:rsid w:val="6C9440E6"/>
    <w:rsid w:val="6CA13246"/>
    <w:rsid w:val="6CBE35F6"/>
    <w:rsid w:val="6D2064EA"/>
    <w:rsid w:val="6D64021D"/>
    <w:rsid w:val="6D8E0FD5"/>
    <w:rsid w:val="6DD1348F"/>
    <w:rsid w:val="6DDB19AD"/>
    <w:rsid w:val="6DDD4DB0"/>
    <w:rsid w:val="6E281365"/>
    <w:rsid w:val="6E685168"/>
    <w:rsid w:val="6E784501"/>
    <w:rsid w:val="6E961512"/>
    <w:rsid w:val="6F010B22"/>
    <w:rsid w:val="6F337B84"/>
    <w:rsid w:val="6F43357F"/>
    <w:rsid w:val="6F8142E5"/>
    <w:rsid w:val="70022762"/>
    <w:rsid w:val="70A771A6"/>
    <w:rsid w:val="713F2A2B"/>
    <w:rsid w:val="71524DCB"/>
    <w:rsid w:val="71A37B39"/>
    <w:rsid w:val="71FE52CE"/>
    <w:rsid w:val="72190AC4"/>
    <w:rsid w:val="7241371E"/>
    <w:rsid w:val="72927AE7"/>
    <w:rsid w:val="72A82F95"/>
    <w:rsid w:val="72B02137"/>
    <w:rsid w:val="73907D5F"/>
    <w:rsid w:val="73EF2BAE"/>
    <w:rsid w:val="74EF0E42"/>
    <w:rsid w:val="750F518A"/>
    <w:rsid w:val="752D5280"/>
    <w:rsid w:val="761261C6"/>
    <w:rsid w:val="76DC3885"/>
    <w:rsid w:val="76DF550A"/>
    <w:rsid w:val="76E97F1E"/>
    <w:rsid w:val="770A460E"/>
    <w:rsid w:val="7778003E"/>
    <w:rsid w:val="779D6F26"/>
    <w:rsid w:val="780954C8"/>
    <w:rsid w:val="783D09B5"/>
    <w:rsid w:val="785F205D"/>
    <w:rsid w:val="7892370F"/>
    <w:rsid w:val="7A0568BE"/>
    <w:rsid w:val="7AB27881"/>
    <w:rsid w:val="7AC04656"/>
    <w:rsid w:val="7AC8338F"/>
    <w:rsid w:val="7ADF5D39"/>
    <w:rsid w:val="7B330D36"/>
    <w:rsid w:val="7B5D1DB2"/>
    <w:rsid w:val="7BBC6686"/>
    <w:rsid w:val="7BE26BF7"/>
    <w:rsid w:val="7C0F7305"/>
    <w:rsid w:val="7C171FF4"/>
    <w:rsid w:val="7C33293B"/>
    <w:rsid w:val="7C9B6FAA"/>
    <w:rsid w:val="7CBE5277"/>
    <w:rsid w:val="7D5C31EE"/>
    <w:rsid w:val="7D871368"/>
    <w:rsid w:val="7E2343CF"/>
    <w:rsid w:val="7E320591"/>
    <w:rsid w:val="7E5D2D91"/>
    <w:rsid w:val="7F280929"/>
    <w:rsid w:val="7F761695"/>
    <w:rsid w:val="7F7A1B6B"/>
    <w:rsid w:val="7F9164CE"/>
    <w:rsid w:val="DEEE651C"/>
    <w:rsid w:val="EFBF869B"/>
    <w:rsid w:val="FFF644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qFormat="1" w:unhideWhenUsed="0" w:uiPriority="99"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99" w:semiHidden="0" w:name="HTML Keyboard"/>
    <w:lsdException w:qFormat="1" w:unhideWhenUsed="0" w:uiPriority="0" w:semiHidden="0" w:name="HTML Preformatted"/>
    <w:lsdException w:qFormat="1" w:unhideWhenUsed="0" w:uiPriority="99"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link w:val="262"/>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514"/>
    <w:qFormat/>
    <w:uiPriority w:val="0"/>
    <w:pPr>
      <w:keepNext/>
      <w:keepLines/>
      <w:spacing w:before="260" w:after="260" w:line="416" w:lineRule="auto"/>
      <w:outlineLvl w:val="1"/>
    </w:pPr>
    <w:rPr>
      <w:rFonts w:eastAsia="仿宋" w:asciiTheme="majorHAnsi" w:hAnsiTheme="majorHAnsi" w:cstheme="majorBidi"/>
      <w:b/>
      <w:bCs/>
      <w:sz w:val="28"/>
      <w:szCs w:val="32"/>
    </w:rPr>
  </w:style>
  <w:style w:type="paragraph" w:styleId="6">
    <w:name w:val="heading 3"/>
    <w:basedOn w:val="1"/>
    <w:next w:val="1"/>
    <w:link w:val="188"/>
    <w:qFormat/>
    <w:uiPriority w:val="0"/>
    <w:pPr>
      <w:keepNext/>
      <w:keepLines/>
      <w:spacing w:before="260" w:after="260" w:line="416" w:lineRule="auto"/>
      <w:outlineLvl w:val="2"/>
    </w:pPr>
    <w:rPr>
      <w:b/>
      <w:bCs/>
      <w:sz w:val="32"/>
      <w:szCs w:val="32"/>
    </w:rPr>
  </w:style>
  <w:style w:type="paragraph" w:styleId="7">
    <w:name w:val="heading 4"/>
    <w:basedOn w:val="1"/>
    <w:next w:val="1"/>
    <w:link w:val="361"/>
    <w:qFormat/>
    <w:uiPriority w:val="0"/>
    <w:pPr>
      <w:keepNext/>
      <w:spacing w:line="440" w:lineRule="exact"/>
      <w:jc w:val="center"/>
      <w:outlineLvl w:val="3"/>
    </w:pPr>
    <w:rPr>
      <w:rFonts w:ascii="仿宋_GB2312" w:eastAsia="仿宋_GB2312"/>
      <w:sz w:val="28"/>
      <w:szCs w:val="28"/>
    </w:rPr>
  </w:style>
  <w:style w:type="paragraph" w:styleId="8">
    <w:name w:val="heading 5"/>
    <w:basedOn w:val="1"/>
    <w:next w:val="1"/>
    <w:link w:val="412"/>
    <w:qFormat/>
    <w:uiPriority w:val="0"/>
    <w:pPr>
      <w:keepNext/>
      <w:keepLines/>
      <w:spacing w:before="280" w:after="290" w:line="372" w:lineRule="auto"/>
      <w:outlineLvl w:val="4"/>
    </w:pPr>
    <w:rPr>
      <w:b/>
      <w:bCs/>
      <w:sz w:val="28"/>
      <w:szCs w:val="28"/>
    </w:rPr>
  </w:style>
  <w:style w:type="paragraph" w:styleId="9">
    <w:name w:val="heading 6"/>
    <w:basedOn w:val="1"/>
    <w:next w:val="1"/>
    <w:link w:val="135"/>
    <w:qFormat/>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10">
    <w:name w:val="heading 7"/>
    <w:basedOn w:val="1"/>
    <w:next w:val="1"/>
    <w:link w:val="86"/>
    <w:qFormat/>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11">
    <w:name w:val="heading 8"/>
    <w:basedOn w:val="1"/>
    <w:next w:val="1"/>
    <w:link w:val="417"/>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2">
    <w:name w:val="heading 9"/>
    <w:basedOn w:val="1"/>
    <w:next w:val="1"/>
    <w:link w:val="310"/>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69">
    <w:name w:val="Default Paragraph Font"/>
    <w:semiHidden/>
    <w:unhideWhenUsed/>
    <w:qFormat/>
    <w:uiPriority w:val="1"/>
  </w:style>
  <w:style w:type="table" w:default="1" w:styleId="67">
    <w:name w:val="Normal Table"/>
    <w:semiHidden/>
    <w:unhideWhenUsed/>
    <w:qFormat/>
    <w:uiPriority w:val="99"/>
    <w:tblPr>
      <w:tblCellMar>
        <w:top w:w="0" w:type="dxa"/>
        <w:left w:w="108" w:type="dxa"/>
        <w:bottom w:w="0" w:type="dxa"/>
        <w:right w:w="108" w:type="dxa"/>
      </w:tblCellMar>
    </w:tblPr>
  </w:style>
  <w:style w:type="paragraph" w:styleId="2">
    <w:name w:val="Body Text"/>
    <w:next w:val="3"/>
    <w:link w:val="503"/>
    <w:qFormat/>
    <w:uiPriority w:val="99"/>
    <w:pPr>
      <w:widowControl w:val="0"/>
      <w:spacing w:after="120"/>
      <w:jc w:val="both"/>
    </w:pPr>
    <w:rPr>
      <w:rFonts w:asciiTheme="minorHAnsi" w:hAnsiTheme="minorHAnsi" w:eastAsiaTheme="minorEastAsia" w:cstheme="minorBidi"/>
      <w:sz w:val="24"/>
      <w:szCs w:val="24"/>
      <w:lang w:val="en-US" w:eastAsia="zh-CN" w:bidi="ar-SA"/>
    </w:rPr>
  </w:style>
  <w:style w:type="paragraph" w:styleId="3">
    <w:name w:val="Date"/>
    <w:next w:val="1"/>
    <w:link w:val="168"/>
    <w:qFormat/>
    <w:uiPriority w:val="0"/>
    <w:pPr>
      <w:widowControl w:val="0"/>
      <w:ind w:left="100" w:leftChars="2500"/>
      <w:jc w:val="both"/>
    </w:pPr>
    <w:rPr>
      <w:rFonts w:ascii="宋体" w:hAnsi="Courier New" w:eastAsiaTheme="minorEastAsia" w:cstheme="minorBidi"/>
      <w:sz w:val="21"/>
      <w:szCs w:val="21"/>
      <w:lang w:val="en-US" w:eastAsia="zh-CN" w:bidi="ar-SA"/>
    </w:rPr>
  </w:style>
  <w:style w:type="paragraph" w:styleId="13">
    <w:name w:val="List 3"/>
    <w:basedOn w:val="1"/>
    <w:qFormat/>
    <w:uiPriority w:val="0"/>
    <w:pPr>
      <w:ind w:left="100" w:leftChars="400" w:hanging="200" w:hangingChars="200"/>
    </w:pPr>
  </w:style>
  <w:style w:type="paragraph" w:styleId="14">
    <w:name w:val="toc 7"/>
    <w:basedOn w:val="1"/>
    <w:next w:val="1"/>
    <w:qFormat/>
    <w:uiPriority w:val="39"/>
    <w:pPr>
      <w:ind w:left="1260"/>
      <w:jc w:val="left"/>
    </w:pPr>
    <w:rPr>
      <w:sz w:val="18"/>
      <w:szCs w:val="18"/>
    </w:rPr>
  </w:style>
  <w:style w:type="paragraph" w:styleId="15">
    <w:name w:val="List Number 2"/>
    <w:basedOn w:val="16"/>
    <w:qFormat/>
    <w:uiPriority w:val="0"/>
    <w:pPr>
      <w:tabs>
        <w:tab w:val="left" w:pos="1680"/>
      </w:tabs>
      <w:adjustRightInd w:val="0"/>
      <w:snapToGrid w:val="0"/>
      <w:spacing w:line="360" w:lineRule="auto"/>
      <w:ind w:left="1680" w:leftChars="0" w:hanging="420" w:firstLineChars="0"/>
      <w:contextualSpacing/>
    </w:pPr>
    <w:rPr>
      <w:rFonts w:ascii="宋体" w:hAnsi="宋体" w:eastAsia="宋体" w:cs="Times New Roman"/>
      <w:bCs/>
      <w:color w:val="000000"/>
      <w:sz w:val="24"/>
    </w:rPr>
  </w:style>
  <w:style w:type="paragraph" w:styleId="16">
    <w:name w:val="List 2"/>
    <w:basedOn w:val="1"/>
    <w:qFormat/>
    <w:uiPriority w:val="0"/>
    <w:pPr>
      <w:ind w:left="100" w:leftChars="200" w:hanging="200" w:hangingChars="200"/>
    </w:pPr>
  </w:style>
  <w:style w:type="paragraph" w:styleId="17">
    <w:name w:val="Note Heading"/>
    <w:basedOn w:val="1"/>
    <w:next w:val="1"/>
    <w:link w:val="567"/>
    <w:qFormat/>
    <w:uiPriority w:val="0"/>
    <w:pPr>
      <w:tabs>
        <w:tab w:val="left" w:pos="-15400"/>
        <w:tab w:val="left" w:pos="1620"/>
      </w:tabs>
      <w:adjustRightInd w:val="0"/>
      <w:snapToGrid w:val="0"/>
      <w:spacing w:before="200" w:after="200" w:line="360" w:lineRule="auto"/>
      <w:ind w:left="-15400" w:hanging="420"/>
    </w:pPr>
    <w:rPr>
      <w:rFonts w:ascii="宋体" w:hAnsi="宋体" w:eastAsia="宋体" w:cs="Times New Roman"/>
      <w:b/>
      <w:bCs/>
      <w:kern w:val="0"/>
      <w:sz w:val="24"/>
    </w:rPr>
  </w:style>
  <w:style w:type="paragraph" w:styleId="18">
    <w:name w:val="List Bullet 4"/>
    <w:basedOn w:val="1"/>
    <w:qFormat/>
    <w:uiPriority w:val="0"/>
    <w:pPr>
      <w:tabs>
        <w:tab w:val="left" w:pos="959"/>
      </w:tabs>
      <w:adjustRightInd w:val="0"/>
      <w:snapToGrid w:val="0"/>
      <w:spacing w:line="360" w:lineRule="auto"/>
      <w:ind w:left="959" w:hanging="420"/>
    </w:pPr>
    <w:rPr>
      <w:rFonts w:ascii="Times New Roman" w:hAnsi="Times New Roman" w:eastAsia="宋体" w:cs="Times New Roman"/>
      <w:sz w:val="24"/>
    </w:rPr>
  </w:style>
  <w:style w:type="paragraph" w:styleId="19">
    <w:name w:val="List Number"/>
    <w:basedOn w:val="1"/>
    <w:qFormat/>
    <w:uiPriority w:val="0"/>
    <w:pPr>
      <w:tabs>
        <w:tab w:val="left" w:pos="360"/>
      </w:tabs>
      <w:ind w:left="360" w:hanging="360"/>
    </w:pPr>
    <w:rPr>
      <w:rFonts w:ascii="Times New Roman" w:hAnsi="Times New Roman" w:eastAsia="宋体" w:cs="Times New Roman"/>
      <w:sz w:val="24"/>
      <w:szCs w:val="20"/>
    </w:rPr>
  </w:style>
  <w:style w:type="paragraph" w:styleId="20">
    <w:name w:val="Normal Indent"/>
    <w:basedOn w:val="1"/>
    <w:link w:val="169"/>
    <w:qFormat/>
    <w:uiPriority w:val="0"/>
    <w:pPr>
      <w:ind w:firstLine="420"/>
    </w:pPr>
    <w:rPr>
      <w:szCs w:val="21"/>
    </w:rPr>
  </w:style>
  <w:style w:type="paragraph" w:styleId="21">
    <w:name w:val="caption"/>
    <w:basedOn w:val="1"/>
    <w:next w:val="1"/>
    <w:link w:val="568"/>
    <w:qFormat/>
    <w:uiPriority w:val="0"/>
    <w:rPr>
      <w:rFonts w:ascii="Cambria" w:hAnsi="Cambria" w:eastAsia="黑体"/>
      <w:sz w:val="20"/>
      <w:szCs w:val="20"/>
    </w:rPr>
  </w:style>
  <w:style w:type="paragraph" w:styleId="22">
    <w:name w:val="List Bullet"/>
    <w:basedOn w:val="1"/>
    <w:qFormat/>
    <w:uiPriority w:val="0"/>
    <w:pPr>
      <w:tabs>
        <w:tab w:val="left" w:pos="851"/>
      </w:tabs>
      <w:ind w:left="851" w:hanging="431"/>
    </w:pPr>
    <w:rPr>
      <w:rFonts w:ascii="Times New Roman" w:hAnsi="Times New Roman" w:eastAsia="宋体" w:cs="Times New Roman"/>
      <w:sz w:val="24"/>
    </w:rPr>
  </w:style>
  <w:style w:type="paragraph" w:styleId="23">
    <w:name w:val="Document Map"/>
    <w:basedOn w:val="1"/>
    <w:link w:val="388"/>
    <w:qFormat/>
    <w:uiPriority w:val="0"/>
    <w:pPr>
      <w:shd w:val="clear" w:color="auto" w:fill="000080"/>
    </w:pPr>
  </w:style>
  <w:style w:type="paragraph" w:styleId="24">
    <w:name w:val="toa heading"/>
    <w:basedOn w:val="1"/>
    <w:next w:val="1"/>
    <w:qFormat/>
    <w:uiPriority w:val="0"/>
    <w:pPr>
      <w:spacing w:before="120"/>
    </w:pPr>
    <w:rPr>
      <w:rFonts w:ascii="Arial" w:hAnsi="Arial" w:eastAsia="宋体" w:cs="Arial"/>
      <w:sz w:val="24"/>
    </w:rPr>
  </w:style>
  <w:style w:type="paragraph" w:styleId="25">
    <w:name w:val="annotation text"/>
    <w:basedOn w:val="1"/>
    <w:link w:val="345"/>
    <w:qFormat/>
    <w:uiPriority w:val="0"/>
    <w:pPr>
      <w:jc w:val="left"/>
    </w:pPr>
  </w:style>
  <w:style w:type="paragraph" w:styleId="26">
    <w:name w:val="Body Text 3"/>
    <w:basedOn w:val="1"/>
    <w:link w:val="87"/>
    <w:qFormat/>
    <w:uiPriority w:val="0"/>
    <w:pPr>
      <w:spacing w:after="120"/>
    </w:pPr>
    <w:rPr>
      <w:sz w:val="16"/>
      <w:szCs w:val="16"/>
    </w:rPr>
  </w:style>
  <w:style w:type="paragraph" w:styleId="27">
    <w:name w:val="List Bullet 3"/>
    <w:basedOn w:val="1"/>
    <w:qFormat/>
    <w:uiPriority w:val="0"/>
    <w:pPr>
      <w:tabs>
        <w:tab w:val="left" w:pos="840"/>
      </w:tabs>
      <w:adjustRightInd w:val="0"/>
      <w:snapToGrid w:val="0"/>
      <w:spacing w:line="360" w:lineRule="auto"/>
      <w:ind w:left="840" w:hanging="360"/>
    </w:pPr>
    <w:rPr>
      <w:rFonts w:ascii="Times New Roman" w:hAnsi="Times New Roman" w:eastAsia="宋体" w:cs="Times New Roman"/>
      <w:sz w:val="24"/>
    </w:rPr>
  </w:style>
  <w:style w:type="paragraph" w:styleId="28">
    <w:name w:val="Body Text Indent"/>
    <w:basedOn w:val="1"/>
    <w:next w:val="29"/>
    <w:link w:val="141"/>
    <w:qFormat/>
    <w:uiPriority w:val="0"/>
    <w:pPr>
      <w:ind w:firstLine="830" w:firstLineChars="352"/>
    </w:pPr>
    <w:rPr>
      <w:rFonts w:ascii="仿宋_GB2312" w:eastAsia="仿宋_GB2312"/>
      <w:kern w:val="0"/>
      <w:sz w:val="32"/>
      <w:szCs w:val="32"/>
    </w:rPr>
  </w:style>
  <w:style w:type="paragraph" w:styleId="29">
    <w:name w:val="envelope return"/>
    <w:basedOn w:val="1"/>
    <w:qFormat/>
    <w:uiPriority w:val="0"/>
    <w:pPr>
      <w:snapToGrid w:val="0"/>
      <w:spacing w:line="360" w:lineRule="auto"/>
      <w:ind w:firstLine="200" w:firstLineChars="200"/>
    </w:pPr>
    <w:rPr>
      <w:rFonts w:ascii="Arial" w:hAnsi="Arial" w:cs="Arial"/>
      <w:sz w:val="24"/>
    </w:rPr>
  </w:style>
  <w:style w:type="paragraph" w:styleId="30">
    <w:name w:val="List Number 3"/>
    <w:basedOn w:val="1"/>
    <w:qFormat/>
    <w:uiPriority w:val="0"/>
    <w:pPr>
      <w:tabs>
        <w:tab w:val="left" w:pos="720"/>
      </w:tabs>
      <w:adjustRightInd w:val="0"/>
      <w:snapToGrid w:val="0"/>
      <w:spacing w:line="360" w:lineRule="auto"/>
      <w:ind w:left="720" w:hanging="720"/>
    </w:pPr>
    <w:rPr>
      <w:rFonts w:ascii="Times New Roman" w:hAnsi="Times New Roman" w:eastAsia="宋体" w:cs="Times New Roman"/>
      <w:sz w:val="24"/>
    </w:rPr>
  </w:style>
  <w:style w:type="paragraph" w:styleId="31">
    <w:name w:val="Block Text"/>
    <w:basedOn w:val="1"/>
    <w:link w:val="216"/>
    <w:qFormat/>
    <w:uiPriority w:val="0"/>
    <w:pPr>
      <w:autoSpaceDE w:val="0"/>
      <w:autoSpaceDN w:val="0"/>
      <w:adjustRightInd w:val="0"/>
      <w:spacing w:line="500" w:lineRule="exact"/>
      <w:ind w:left="391" w:right="246"/>
    </w:pPr>
    <w:rPr>
      <w:rFonts w:ascii="仿宋_GB2312" w:eastAsia="仿宋_GB2312"/>
      <w:kern w:val="0"/>
      <w:sz w:val="24"/>
    </w:rPr>
  </w:style>
  <w:style w:type="paragraph" w:styleId="32">
    <w:name w:val="List Bullet 2"/>
    <w:basedOn w:val="1"/>
    <w:qFormat/>
    <w:uiPriority w:val="0"/>
    <w:pPr>
      <w:tabs>
        <w:tab w:val="left" w:pos="780"/>
      </w:tabs>
      <w:spacing w:before="120" w:after="120" w:line="360" w:lineRule="auto"/>
      <w:ind w:left="780" w:hanging="360"/>
    </w:pPr>
    <w:rPr>
      <w:rFonts w:ascii="Times New Roman" w:hAnsi="Times New Roman" w:eastAsia="宋体" w:cs="Times New Roman"/>
      <w:sz w:val="24"/>
      <w:szCs w:val="20"/>
    </w:rPr>
  </w:style>
  <w:style w:type="paragraph" w:styleId="33">
    <w:name w:val="index 4"/>
    <w:basedOn w:val="1"/>
    <w:next w:val="1"/>
    <w:qFormat/>
    <w:uiPriority w:val="0"/>
    <w:pPr>
      <w:ind w:left="600" w:leftChars="600"/>
    </w:pPr>
  </w:style>
  <w:style w:type="paragraph" w:styleId="34">
    <w:name w:val="toc 5"/>
    <w:basedOn w:val="1"/>
    <w:next w:val="1"/>
    <w:qFormat/>
    <w:uiPriority w:val="39"/>
    <w:pPr>
      <w:ind w:left="1680" w:leftChars="800"/>
    </w:pPr>
  </w:style>
  <w:style w:type="paragraph" w:styleId="35">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36">
    <w:name w:val="Plain Text"/>
    <w:basedOn w:val="1"/>
    <w:link w:val="465"/>
    <w:qFormat/>
    <w:uiPriority w:val="0"/>
    <w:rPr>
      <w:rFonts w:ascii="宋体" w:hAnsi="Courier New"/>
      <w:kern w:val="0"/>
      <w:szCs w:val="21"/>
    </w:rPr>
  </w:style>
  <w:style w:type="paragraph" w:styleId="37">
    <w:name w:val="List Bullet 5"/>
    <w:basedOn w:val="1"/>
    <w:qFormat/>
    <w:uiPriority w:val="0"/>
    <w:pPr>
      <w:tabs>
        <w:tab w:val="left" w:pos="959"/>
      </w:tabs>
      <w:adjustRightInd w:val="0"/>
      <w:snapToGrid w:val="0"/>
      <w:spacing w:line="360" w:lineRule="auto"/>
      <w:ind w:left="959" w:hanging="420"/>
    </w:pPr>
    <w:rPr>
      <w:rFonts w:ascii="Times New Roman" w:hAnsi="Times New Roman" w:eastAsia="宋体" w:cs="Times New Roman"/>
      <w:sz w:val="24"/>
    </w:rPr>
  </w:style>
  <w:style w:type="paragraph" w:styleId="38">
    <w:name w:val="List Number 4"/>
    <w:basedOn w:val="1"/>
    <w:qFormat/>
    <w:uiPriority w:val="0"/>
    <w:pPr>
      <w:tabs>
        <w:tab w:val="left" w:pos="1690"/>
      </w:tabs>
      <w:ind w:left="1690" w:hanging="431"/>
    </w:pPr>
    <w:rPr>
      <w:rFonts w:ascii="Times New Roman" w:hAnsi="Times New Roman" w:eastAsia="宋体" w:cs="Times New Roman"/>
      <w:sz w:val="24"/>
      <w:szCs w:val="20"/>
    </w:rPr>
  </w:style>
  <w:style w:type="paragraph" w:styleId="39">
    <w:name w:val="toc 8"/>
    <w:basedOn w:val="1"/>
    <w:next w:val="1"/>
    <w:qFormat/>
    <w:uiPriority w:val="39"/>
    <w:pPr>
      <w:ind w:left="1470"/>
      <w:jc w:val="left"/>
    </w:pPr>
    <w:rPr>
      <w:sz w:val="18"/>
      <w:szCs w:val="18"/>
    </w:rPr>
  </w:style>
  <w:style w:type="paragraph" w:styleId="40">
    <w:name w:val="Body Text Indent 2"/>
    <w:basedOn w:val="1"/>
    <w:link w:val="282"/>
    <w:qFormat/>
    <w:uiPriority w:val="99"/>
    <w:pPr>
      <w:spacing w:after="120" w:line="480" w:lineRule="auto"/>
      <w:ind w:left="420" w:leftChars="200"/>
    </w:pPr>
    <w:rPr>
      <w:kern w:val="0"/>
      <w:sz w:val="24"/>
    </w:rPr>
  </w:style>
  <w:style w:type="paragraph" w:styleId="41">
    <w:name w:val="endnote text"/>
    <w:basedOn w:val="1"/>
    <w:link w:val="577"/>
    <w:qFormat/>
    <w:uiPriority w:val="99"/>
    <w:pPr>
      <w:snapToGrid w:val="0"/>
      <w:jc w:val="left"/>
    </w:pPr>
    <w:rPr>
      <w:rFonts w:ascii="Times New Roman" w:hAnsi="Times New Roman" w:eastAsia="宋体" w:cs="Times New Roman"/>
    </w:rPr>
  </w:style>
  <w:style w:type="paragraph" w:styleId="42">
    <w:name w:val="Balloon Text"/>
    <w:basedOn w:val="1"/>
    <w:link w:val="289"/>
    <w:qFormat/>
    <w:uiPriority w:val="0"/>
    <w:rPr>
      <w:sz w:val="18"/>
      <w:szCs w:val="18"/>
    </w:rPr>
  </w:style>
  <w:style w:type="paragraph" w:styleId="43">
    <w:name w:val="footer"/>
    <w:basedOn w:val="1"/>
    <w:link w:val="167"/>
    <w:qFormat/>
    <w:uiPriority w:val="99"/>
    <w:pPr>
      <w:tabs>
        <w:tab w:val="center" w:pos="4153"/>
        <w:tab w:val="right" w:pos="8306"/>
      </w:tabs>
      <w:snapToGrid w:val="0"/>
      <w:jc w:val="left"/>
    </w:pPr>
    <w:rPr>
      <w:sz w:val="18"/>
      <w:szCs w:val="18"/>
    </w:rPr>
  </w:style>
  <w:style w:type="paragraph" w:styleId="44">
    <w:name w:val="header"/>
    <w:basedOn w:val="1"/>
    <w:link w:val="145"/>
    <w:qFormat/>
    <w:uiPriority w:val="0"/>
    <w:pPr>
      <w:pBdr>
        <w:bottom w:val="single" w:color="auto" w:sz="6" w:space="1"/>
      </w:pBdr>
      <w:tabs>
        <w:tab w:val="center" w:pos="4153"/>
        <w:tab w:val="right" w:pos="8306"/>
      </w:tabs>
      <w:snapToGrid w:val="0"/>
      <w:jc w:val="center"/>
    </w:pPr>
    <w:rPr>
      <w:sz w:val="18"/>
      <w:szCs w:val="18"/>
    </w:rPr>
  </w:style>
  <w:style w:type="paragraph" w:styleId="45">
    <w:name w:val="toc 1"/>
    <w:basedOn w:val="1"/>
    <w:next w:val="1"/>
    <w:link w:val="581"/>
    <w:qFormat/>
    <w:uiPriority w:val="0"/>
    <w:pPr>
      <w:tabs>
        <w:tab w:val="right" w:leader="dot" w:pos="8834"/>
      </w:tabs>
      <w:spacing w:before="120" w:after="120"/>
      <w:jc w:val="left"/>
    </w:pPr>
    <w:rPr>
      <w:b/>
      <w:bCs/>
      <w:caps/>
      <w:sz w:val="28"/>
      <w:szCs w:val="28"/>
    </w:rPr>
  </w:style>
  <w:style w:type="paragraph" w:styleId="46">
    <w:name w:val="toc 4"/>
    <w:basedOn w:val="1"/>
    <w:next w:val="1"/>
    <w:qFormat/>
    <w:uiPriority w:val="39"/>
    <w:pPr>
      <w:ind w:left="630"/>
      <w:jc w:val="left"/>
    </w:pPr>
    <w:rPr>
      <w:sz w:val="18"/>
      <w:szCs w:val="18"/>
    </w:rPr>
  </w:style>
  <w:style w:type="paragraph" w:styleId="47">
    <w:name w:val="Subtitle"/>
    <w:basedOn w:val="1"/>
    <w:next w:val="1"/>
    <w:link w:val="239"/>
    <w:qFormat/>
    <w:uiPriority w:val="0"/>
    <w:pPr>
      <w:spacing w:before="240" w:after="60" w:line="312" w:lineRule="auto"/>
      <w:jc w:val="center"/>
      <w:outlineLvl w:val="1"/>
    </w:pPr>
    <w:rPr>
      <w:rFonts w:ascii="Cambria" w:hAnsi="Cambria" w:eastAsia="方正楷体简体"/>
      <w:kern w:val="28"/>
      <w:sz w:val="32"/>
      <w:szCs w:val="32"/>
    </w:rPr>
  </w:style>
  <w:style w:type="paragraph" w:styleId="48">
    <w:name w:val="List Number 5"/>
    <w:basedOn w:val="1"/>
    <w:qFormat/>
    <w:uiPriority w:val="0"/>
    <w:pPr>
      <w:tabs>
        <w:tab w:val="left" w:pos="851"/>
      </w:tabs>
      <w:adjustRightInd w:val="0"/>
      <w:snapToGrid w:val="0"/>
      <w:spacing w:line="360" w:lineRule="auto"/>
      <w:ind w:left="851" w:hanging="431"/>
    </w:pPr>
    <w:rPr>
      <w:rFonts w:ascii="Times New Roman" w:hAnsi="Times New Roman" w:eastAsia="宋体" w:cs="Times New Roman"/>
      <w:sz w:val="24"/>
    </w:rPr>
  </w:style>
  <w:style w:type="paragraph" w:styleId="49">
    <w:name w:val="List"/>
    <w:basedOn w:val="1"/>
    <w:qFormat/>
    <w:uiPriority w:val="0"/>
    <w:pPr>
      <w:ind w:left="200" w:hanging="200" w:hangingChars="200"/>
    </w:pPr>
  </w:style>
  <w:style w:type="paragraph" w:styleId="50">
    <w:name w:val="footnote text"/>
    <w:basedOn w:val="1"/>
    <w:link w:val="390"/>
    <w:qFormat/>
    <w:uiPriority w:val="0"/>
    <w:rPr>
      <w:rFonts w:ascii="Calibri" w:hAnsi="Calibri"/>
      <w:szCs w:val="22"/>
    </w:rPr>
  </w:style>
  <w:style w:type="paragraph" w:styleId="51">
    <w:name w:val="toc 6"/>
    <w:basedOn w:val="1"/>
    <w:next w:val="1"/>
    <w:qFormat/>
    <w:uiPriority w:val="39"/>
    <w:pPr>
      <w:ind w:left="1050"/>
      <w:jc w:val="left"/>
    </w:pPr>
    <w:rPr>
      <w:sz w:val="18"/>
      <w:szCs w:val="18"/>
    </w:rPr>
  </w:style>
  <w:style w:type="paragraph" w:styleId="52">
    <w:name w:val="List 5"/>
    <w:basedOn w:val="1"/>
    <w:qFormat/>
    <w:uiPriority w:val="0"/>
    <w:pPr>
      <w:ind w:left="2100" w:hanging="420"/>
    </w:pPr>
    <w:rPr>
      <w:rFonts w:ascii="Times New Roman" w:hAnsi="Times New Roman" w:eastAsia="宋体" w:cs="Times New Roman"/>
      <w:szCs w:val="20"/>
    </w:rPr>
  </w:style>
  <w:style w:type="paragraph" w:styleId="53">
    <w:name w:val="Body Text Indent 3"/>
    <w:basedOn w:val="1"/>
    <w:link w:val="156"/>
    <w:qFormat/>
    <w:uiPriority w:val="0"/>
    <w:pPr>
      <w:spacing w:after="120"/>
      <w:ind w:left="420" w:leftChars="200"/>
    </w:pPr>
    <w:rPr>
      <w:kern w:val="0"/>
      <w:sz w:val="16"/>
      <w:szCs w:val="16"/>
    </w:rPr>
  </w:style>
  <w:style w:type="paragraph" w:styleId="54">
    <w:name w:val="table of figures"/>
    <w:basedOn w:val="1"/>
    <w:next w:val="1"/>
    <w:qFormat/>
    <w:uiPriority w:val="0"/>
    <w:pPr>
      <w:ind w:left="200" w:leftChars="200" w:hanging="200" w:hangingChars="200"/>
    </w:pPr>
  </w:style>
  <w:style w:type="paragraph" w:styleId="55">
    <w:name w:val="toc 2"/>
    <w:basedOn w:val="1"/>
    <w:next w:val="1"/>
    <w:qFormat/>
    <w:uiPriority w:val="39"/>
    <w:pPr>
      <w:ind w:left="420" w:leftChars="200"/>
    </w:pPr>
    <w:rPr>
      <w:szCs w:val="21"/>
    </w:rPr>
  </w:style>
  <w:style w:type="paragraph" w:styleId="56">
    <w:name w:val="toc 9"/>
    <w:basedOn w:val="1"/>
    <w:next w:val="1"/>
    <w:qFormat/>
    <w:uiPriority w:val="39"/>
    <w:pPr>
      <w:ind w:left="1680"/>
      <w:jc w:val="left"/>
    </w:pPr>
    <w:rPr>
      <w:sz w:val="18"/>
      <w:szCs w:val="18"/>
    </w:rPr>
  </w:style>
  <w:style w:type="paragraph" w:styleId="57">
    <w:name w:val="Body Text 2"/>
    <w:basedOn w:val="1"/>
    <w:link w:val="484"/>
    <w:qFormat/>
    <w:uiPriority w:val="0"/>
    <w:pPr>
      <w:jc w:val="center"/>
    </w:pPr>
    <w:rPr>
      <w:rFonts w:ascii="Calibri" w:hAnsi="Calibri"/>
      <w:sz w:val="24"/>
      <w:szCs w:val="22"/>
    </w:rPr>
  </w:style>
  <w:style w:type="paragraph" w:styleId="58">
    <w:name w:val="List 4"/>
    <w:basedOn w:val="1"/>
    <w:qFormat/>
    <w:uiPriority w:val="0"/>
    <w:pPr>
      <w:ind w:left="100" w:leftChars="600" w:hanging="200" w:hangingChars="200"/>
    </w:pPr>
  </w:style>
  <w:style w:type="paragraph" w:styleId="59">
    <w:name w:val="List Continue 2"/>
    <w:basedOn w:val="1"/>
    <w:qFormat/>
    <w:uiPriority w:val="0"/>
    <w:pPr>
      <w:spacing w:after="120"/>
      <w:ind w:left="840" w:leftChars="400"/>
    </w:pPr>
  </w:style>
  <w:style w:type="paragraph" w:styleId="60">
    <w:name w:val="HTML Preformatted"/>
    <w:basedOn w:val="1"/>
    <w:link w:val="437"/>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61">
    <w:name w:val="Normal (Web)"/>
    <w:link w:val="522"/>
    <w:qFormat/>
    <w:uiPriority w:val="0"/>
    <w:pPr>
      <w:spacing w:before="100" w:beforeAutospacing="1" w:after="100" w:afterAutospacing="1"/>
    </w:pPr>
    <w:rPr>
      <w:rFonts w:ascii="宋体" w:hAnsi="宋体" w:cs="宋体" w:eastAsiaTheme="minorEastAsia"/>
      <w:sz w:val="24"/>
      <w:szCs w:val="24"/>
      <w:lang w:val="en-US" w:eastAsia="zh-CN" w:bidi="ar-SA"/>
    </w:rPr>
  </w:style>
  <w:style w:type="paragraph" w:styleId="62">
    <w:name w:val="index 1"/>
    <w:basedOn w:val="1"/>
    <w:next w:val="1"/>
    <w:qFormat/>
    <w:uiPriority w:val="0"/>
    <w:pPr>
      <w:jc w:val="center"/>
    </w:pPr>
    <w:rPr>
      <w:rFonts w:ascii="Times New Roman" w:hAnsi="Times New Roman" w:eastAsia="宋体" w:cs="Times New Roman"/>
      <w:b/>
      <w:color w:val="FF0000"/>
    </w:rPr>
  </w:style>
  <w:style w:type="paragraph" w:styleId="63">
    <w:name w:val="Title"/>
    <w:basedOn w:val="1"/>
    <w:next w:val="1"/>
    <w:link w:val="89"/>
    <w:qFormat/>
    <w:uiPriority w:val="0"/>
    <w:pPr>
      <w:spacing w:before="240" w:after="60"/>
      <w:jc w:val="center"/>
      <w:outlineLvl w:val="0"/>
    </w:pPr>
    <w:rPr>
      <w:rFonts w:ascii="Cambria" w:hAnsi="Cambria" w:eastAsia="方正小标宋简体"/>
      <w:b/>
      <w:bCs/>
      <w:sz w:val="32"/>
      <w:szCs w:val="32"/>
    </w:rPr>
  </w:style>
  <w:style w:type="paragraph" w:styleId="64">
    <w:name w:val="annotation subject"/>
    <w:basedOn w:val="25"/>
    <w:next w:val="25"/>
    <w:link w:val="483"/>
    <w:qFormat/>
    <w:uiPriority w:val="0"/>
    <w:rPr>
      <w:b/>
      <w:bCs/>
      <w:szCs w:val="21"/>
    </w:rPr>
  </w:style>
  <w:style w:type="paragraph" w:styleId="65">
    <w:name w:val="Body Text First Indent"/>
    <w:basedOn w:val="2"/>
    <w:link w:val="180"/>
    <w:qFormat/>
    <w:uiPriority w:val="99"/>
    <w:pPr>
      <w:spacing w:line="560" w:lineRule="exact"/>
      <w:ind w:firstLine="420" w:firstLineChars="100"/>
    </w:pPr>
    <w:rPr>
      <w:kern w:val="2"/>
      <w:sz w:val="21"/>
      <w:szCs w:val="22"/>
    </w:rPr>
  </w:style>
  <w:style w:type="paragraph" w:styleId="66">
    <w:name w:val="Body Text First Indent 2"/>
    <w:basedOn w:val="28"/>
    <w:next w:val="1"/>
    <w:link w:val="244"/>
    <w:qFormat/>
    <w:uiPriority w:val="99"/>
    <w:pPr>
      <w:spacing w:after="120"/>
      <w:ind w:left="420" w:leftChars="200" w:firstLine="420" w:firstLineChars="200"/>
    </w:pPr>
    <w:rPr>
      <w:rFonts w:ascii="Calibri" w:hAnsi="Calibri"/>
      <w:kern w:val="2"/>
      <w:sz w:val="21"/>
      <w:szCs w:val="24"/>
    </w:rPr>
  </w:style>
  <w:style w:type="table" w:styleId="68">
    <w:name w:val="Table Grid"/>
    <w:basedOn w:val="6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70">
    <w:name w:val="Strong"/>
    <w:qFormat/>
    <w:uiPriority w:val="0"/>
    <w:rPr>
      <w:b/>
      <w:bCs/>
    </w:rPr>
  </w:style>
  <w:style w:type="character" w:styleId="71">
    <w:name w:val="endnote reference"/>
    <w:qFormat/>
    <w:uiPriority w:val="0"/>
    <w:rPr>
      <w:vertAlign w:val="superscript"/>
    </w:rPr>
  </w:style>
  <w:style w:type="character" w:styleId="72">
    <w:name w:val="page number"/>
    <w:qFormat/>
    <w:uiPriority w:val="0"/>
  </w:style>
  <w:style w:type="character" w:styleId="73">
    <w:name w:val="FollowedHyperlink"/>
    <w:qFormat/>
    <w:uiPriority w:val="99"/>
    <w:rPr>
      <w:color w:val="800080"/>
      <w:u w:val="single"/>
    </w:rPr>
  </w:style>
  <w:style w:type="character" w:styleId="74">
    <w:name w:val="Emphasis"/>
    <w:qFormat/>
    <w:uiPriority w:val="0"/>
    <w:rPr>
      <w:i/>
    </w:rPr>
  </w:style>
  <w:style w:type="character" w:styleId="75">
    <w:name w:val="HTML Definition"/>
    <w:qFormat/>
    <w:uiPriority w:val="0"/>
  </w:style>
  <w:style w:type="character" w:styleId="76">
    <w:name w:val="HTML Acronym"/>
    <w:qFormat/>
    <w:uiPriority w:val="0"/>
  </w:style>
  <w:style w:type="character" w:styleId="77">
    <w:name w:val="HTML Variable"/>
    <w:qFormat/>
    <w:uiPriority w:val="0"/>
  </w:style>
  <w:style w:type="character" w:styleId="78">
    <w:name w:val="Hyperlink"/>
    <w:qFormat/>
    <w:uiPriority w:val="99"/>
    <w:rPr>
      <w:color w:val="0000FF"/>
      <w:u w:val="single"/>
    </w:rPr>
  </w:style>
  <w:style w:type="character" w:styleId="79">
    <w:name w:val="HTML Code"/>
    <w:qFormat/>
    <w:uiPriority w:val="0"/>
    <w:rPr>
      <w:rFonts w:hint="default" w:ascii="Arial" w:hAnsi="Arial" w:cs="Arial"/>
      <w:sz w:val="20"/>
    </w:rPr>
  </w:style>
  <w:style w:type="character" w:styleId="80">
    <w:name w:val="annotation reference"/>
    <w:qFormat/>
    <w:uiPriority w:val="0"/>
    <w:rPr>
      <w:sz w:val="21"/>
      <w:szCs w:val="21"/>
    </w:rPr>
  </w:style>
  <w:style w:type="character" w:styleId="81">
    <w:name w:val="HTML Cite"/>
    <w:qFormat/>
    <w:uiPriority w:val="0"/>
  </w:style>
  <w:style w:type="character" w:styleId="82">
    <w:name w:val="footnote reference"/>
    <w:qFormat/>
    <w:uiPriority w:val="0"/>
    <w:rPr>
      <w:vertAlign w:val="superscript"/>
    </w:rPr>
  </w:style>
  <w:style w:type="character" w:styleId="83">
    <w:name w:val="HTML Keyboard"/>
    <w:qFormat/>
    <w:uiPriority w:val="99"/>
    <w:rPr>
      <w:rFonts w:hint="eastAsia" w:ascii="Arial" w:hAnsi="Arial" w:cs="Arial"/>
      <w:sz w:val="20"/>
    </w:rPr>
  </w:style>
  <w:style w:type="character" w:styleId="84">
    <w:name w:val="HTML Sample"/>
    <w:qFormat/>
    <w:uiPriority w:val="99"/>
    <w:rPr>
      <w:rFonts w:hint="default" w:ascii="Arial" w:hAnsi="Arial" w:cs="Arial"/>
    </w:rPr>
  </w:style>
  <w:style w:type="character" w:customStyle="1" w:styleId="85">
    <w:name w:val="Char Char16"/>
    <w:qFormat/>
    <w:uiPriority w:val="0"/>
    <w:rPr>
      <w:rFonts w:eastAsia="宋体"/>
      <w:b/>
      <w:bCs/>
      <w:kern w:val="44"/>
      <w:sz w:val="44"/>
      <w:szCs w:val="44"/>
      <w:lang w:val="en-US" w:eastAsia="zh-CN" w:bidi="ar-SA"/>
    </w:rPr>
  </w:style>
  <w:style w:type="character" w:customStyle="1" w:styleId="86">
    <w:name w:val="标题 7 字符"/>
    <w:link w:val="10"/>
    <w:qFormat/>
    <w:uiPriority w:val="0"/>
    <w:rPr>
      <w:b/>
      <w:bCs/>
      <w:sz w:val="24"/>
      <w:szCs w:val="24"/>
    </w:rPr>
  </w:style>
  <w:style w:type="character" w:customStyle="1" w:styleId="87">
    <w:name w:val="正文文本 3 字符"/>
    <w:link w:val="26"/>
    <w:qFormat/>
    <w:uiPriority w:val="0"/>
    <w:rPr>
      <w:kern w:val="2"/>
      <w:sz w:val="16"/>
      <w:szCs w:val="16"/>
    </w:rPr>
  </w:style>
  <w:style w:type="character" w:customStyle="1" w:styleId="88">
    <w:name w:val="书籍标题2"/>
    <w:qFormat/>
    <w:uiPriority w:val="0"/>
    <w:rPr>
      <w:b/>
      <w:bCs/>
      <w:smallCaps/>
      <w:spacing w:val="5"/>
    </w:rPr>
  </w:style>
  <w:style w:type="character" w:customStyle="1" w:styleId="89">
    <w:name w:val="标题 字符"/>
    <w:link w:val="63"/>
    <w:qFormat/>
    <w:uiPriority w:val="10"/>
    <w:rPr>
      <w:rFonts w:ascii="Cambria" w:hAnsi="Cambria" w:eastAsia="方正小标宋简体"/>
      <w:b/>
      <w:bCs/>
      <w:kern w:val="2"/>
      <w:sz w:val="32"/>
      <w:szCs w:val="32"/>
    </w:rPr>
  </w:style>
  <w:style w:type="character" w:customStyle="1" w:styleId="90">
    <w:name w:val="Char Char17"/>
    <w:qFormat/>
    <w:uiPriority w:val="0"/>
    <w:rPr>
      <w:rFonts w:ascii="Cambria" w:hAnsi="Cambria" w:eastAsia="宋体" w:cs="Times New Roman"/>
      <w:b/>
      <w:bCs/>
      <w:kern w:val="2"/>
      <w:sz w:val="32"/>
      <w:szCs w:val="32"/>
    </w:rPr>
  </w:style>
  <w:style w:type="character" w:customStyle="1" w:styleId="91">
    <w:name w:val="Char Char151"/>
    <w:qFormat/>
    <w:uiPriority w:val="0"/>
    <w:rPr>
      <w:rFonts w:ascii="Arial" w:hAnsi="Arial" w:eastAsia="黑体"/>
      <w:b/>
      <w:bCs/>
      <w:kern w:val="2"/>
      <w:sz w:val="32"/>
      <w:szCs w:val="32"/>
      <w:lang w:val="en-US" w:eastAsia="zh-CN" w:bidi="ar-SA"/>
    </w:rPr>
  </w:style>
  <w:style w:type="paragraph" w:customStyle="1" w:styleId="92">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93">
    <w:name w:val="页眉 Char"/>
    <w:qFormat/>
    <w:uiPriority w:val="0"/>
    <w:rPr>
      <w:rFonts w:eastAsia="宋体"/>
      <w:kern w:val="2"/>
      <w:sz w:val="18"/>
      <w:szCs w:val="18"/>
      <w:lang w:val="en-US" w:eastAsia="zh-CN" w:bidi="ar-SA"/>
    </w:rPr>
  </w:style>
  <w:style w:type="paragraph" w:customStyle="1" w:styleId="94">
    <w:name w:val="_Style 62"/>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95">
    <w:name w:val="明显强调1"/>
    <w:qFormat/>
    <w:uiPriority w:val="0"/>
    <w:rPr>
      <w:rFonts w:cs="Times New Roman"/>
      <w:b/>
      <w:i/>
      <w:color w:val="4F81BD"/>
    </w:rPr>
  </w:style>
  <w:style w:type="paragraph" w:customStyle="1" w:styleId="96">
    <w:name w:val="Char Char Char1 Char Char Char Char Char Char Char1"/>
    <w:basedOn w:val="1"/>
    <w:qFormat/>
    <w:uiPriority w:val="0"/>
    <w:rPr>
      <w:sz w:val="28"/>
      <w:szCs w:val="28"/>
    </w:rPr>
  </w:style>
  <w:style w:type="paragraph" w:customStyle="1" w:styleId="97">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98">
    <w:name w:val="修订1"/>
    <w:qFormat/>
    <w:uiPriority w:val="0"/>
    <w:rPr>
      <w:rFonts w:asciiTheme="minorHAnsi" w:hAnsiTheme="minorHAnsi" w:eastAsiaTheme="minorEastAsia" w:cstheme="minorBidi"/>
      <w:kern w:val="2"/>
      <w:sz w:val="21"/>
      <w:szCs w:val="21"/>
      <w:lang w:val="en-US" w:eastAsia="zh-CN" w:bidi="ar-SA"/>
    </w:rPr>
  </w:style>
  <w:style w:type="paragraph" w:customStyle="1" w:styleId="99">
    <w:name w:val="0"/>
    <w:basedOn w:val="1"/>
    <w:qFormat/>
    <w:uiPriority w:val="0"/>
    <w:pPr>
      <w:widowControl/>
      <w:snapToGrid w:val="0"/>
      <w:spacing w:line="365" w:lineRule="atLeast"/>
      <w:ind w:left="1"/>
      <w:textAlignment w:val="bottom"/>
    </w:pPr>
    <w:rPr>
      <w:kern w:val="0"/>
      <w:sz w:val="20"/>
      <w:szCs w:val="20"/>
    </w:rPr>
  </w:style>
  <w:style w:type="paragraph" w:customStyle="1" w:styleId="100">
    <w:name w:val="批注主题1"/>
    <w:basedOn w:val="25"/>
    <w:next w:val="25"/>
    <w:qFormat/>
    <w:uiPriority w:val="0"/>
    <w:rPr>
      <w:rFonts w:ascii="宋体" w:hAnsi="Calibri"/>
      <w:b/>
      <w:bCs/>
      <w:kern w:val="0"/>
      <w:sz w:val="28"/>
      <w:szCs w:val="20"/>
    </w:rPr>
  </w:style>
  <w:style w:type="character" w:customStyle="1" w:styleId="101">
    <w:name w:val="标题 2李洪 Char"/>
    <w:qFormat/>
    <w:uiPriority w:val="0"/>
    <w:rPr>
      <w:rFonts w:hint="eastAsia" w:ascii="宋体" w:hAnsi="宋体" w:eastAsia="宋体"/>
      <w:kern w:val="2"/>
      <w:sz w:val="21"/>
      <w:szCs w:val="24"/>
      <w:lang w:val="en-US" w:eastAsia="zh-CN" w:bidi="ar-SA"/>
    </w:rPr>
  </w:style>
  <w:style w:type="character" w:customStyle="1" w:styleId="102">
    <w:name w:val="不明显强调1"/>
    <w:qFormat/>
    <w:uiPriority w:val="0"/>
    <w:rPr>
      <w:i/>
      <w:iCs/>
      <w:color w:val="808080"/>
    </w:rPr>
  </w:style>
  <w:style w:type="paragraph" w:customStyle="1" w:styleId="103">
    <w:name w:val="正文要点"/>
    <w:basedOn w:val="1"/>
    <w:next w:val="104"/>
    <w:link w:val="495"/>
    <w:qFormat/>
    <w:uiPriority w:val="0"/>
    <w:pPr>
      <w:tabs>
        <w:tab w:val="left" w:pos="420"/>
      </w:tabs>
      <w:spacing w:line="360" w:lineRule="auto"/>
      <w:ind w:left="840" w:hanging="420"/>
    </w:pPr>
    <w:rPr>
      <w:szCs w:val="21"/>
    </w:rPr>
  </w:style>
  <w:style w:type="paragraph" w:customStyle="1" w:styleId="104">
    <w:name w:val="正文要点内容"/>
    <w:basedOn w:val="103"/>
    <w:link w:val="369"/>
    <w:qFormat/>
    <w:uiPriority w:val="0"/>
    <w:pPr>
      <w:tabs>
        <w:tab w:val="left" w:pos="840"/>
        <w:tab w:val="clear" w:pos="420"/>
      </w:tabs>
      <w:ind w:left="400" w:leftChars="400" w:firstLine="200" w:firstLineChars="200"/>
    </w:pPr>
  </w:style>
  <w:style w:type="paragraph" w:customStyle="1" w:styleId="105">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06">
    <w:name w:val="样式 标题 1 + 黑体 三号 非加粗 居中 段前: 6 磅 段后: 6 磅 行距: 固定值 20 磅"/>
    <w:basedOn w:val="4"/>
    <w:qFormat/>
    <w:uiPriority w:val="0"/>
    <w:pPr>
      <w:spacing w:before="120" w:after="120" w:line="400" w:lineRule="exact"/>
      <w:jc w:val="center"/>
    </w:pPr>
    <w:rPr>
      <w:rFonts w:ascii="黑体" w:hAnsi="黑体" w:eastAsia="黑体" w:cs="宋体"/>
      <w:b w:val="0"/>
      <w:bCs w:val="0"/>
      <w:sz w:val="32"/>
      <w:szCs w:val="20"/>
    </w:rPr>
  </w:style>
  <w:style w:type="paragraph" w:customStyle="1" w:styleId="107">
    <w:name w:val="Char Char1 Char Char Char Char1"/>
    <w:basedOn w:val="23"/>
    <w:qFormat/>
    <w:uiPriority w:val="0"/>
    <w:rPr>
      <w:rFonts w:ascii="宋体" w:hAnsi="Calibri"/>
      <w:kern w:val="0"/>
    </w:rPr>
  </w:style>
  <w:style w:type="character" w:customStyle="1" w:styleId="108">
    <w:name w:val="标题 6 Char"/>
    <w:qFormat/>
    <w:uiPriority w:val="0"/>
    <w:rPr>
      <w:rFonts w:ascii="Arial" w:hAnsi="Arial" w:eastAsia="黑体"/>
      <w:b/>
      <w:bCs/>
      <w:sz w:val="24"/>
      <w:szCs w:val="24"/>
      <w:lang w:val="en-US" w:eastAsia="zh-CN" w:bidi="ar-SA"/>
    </w:rPr>
  </w:style>
  <w:style w:type="paragraph" w:customStyle="1" w:styleId="109">
    <w:name w:val="Char Char1 Char Char Char Char Char Char2"/>
    <w:basedOn w:val="23"/>
    <w:qFormat/>
    <w:uiPriority w:val="0"/>
    <w:rPr>
      <w:rFonts w:ascii="Calibri" w:hAnsi="Calibri"/>
      <w:szCs w:val="22"/>
    </w:rPr>
  </w:style>
  <w:style w:type="paragraph" w:customStyle="1" w:styleId="110">
    <w:name w:val="Blockquote"/>
    <w:basedOn w:val="1"/>
    <w:link w:val="261"/>
    <w:qFormat/>
    <w:uiPriority w:val="0"/>
    <w:pPr>
      <w:autoSpaceDE w:val="0"/>
      <w:autoSpaceDN w:val="0"/>
      <w:adjustRightInd w:val="0"/>
      <w:spacing w:before="100" w:after="100"/>
      <w:ind w:left="360" w:right="360"/>
      <w:jc w:val="left"/>
    </w:pPr>
    <w:rPr>
      <w:kern w:val="0"/>
      <w:sz w:val="24"/>
      <w:szCs w:val="20"/>
    </w:rPr>
  </w:style>
  <w:style w:type="paragraph" w:customStyle="1" w:styleId="111">
    <w:name w:val="无间隔1"/>
    <w:link w:val="267"/>
    <w:qFormat/>
    <w:uiPriority w:val="0"/>
    <w:rPr>
      <w:rFonts w:cs="Calibri" w:asciiTheme="minorHAnsi" w:hAnsiTheme="minorHAnsi" w:eastAsiaTheme="minorEastAsia"/>
      <w:kern w:val="2"/>
      <w:sz w:val="22"/>
      <w:szCs w:val="22"/>
      <w:lang w:val="en-US" w:eastAsia="zh-CN" w:bidi="ar-SA"/>
    </w:rPr>
  </w:style>
  <w:style w:type="character" w:customStyle="1" w:styleId="112">
    <w:name w:val="Plain Text Char"/>
    <w:qFormat/>
    <w:locked/>
    <w:uiPriority w:val="0"/>
    <w:rPr>
      <w:rFonts w:ascii="宋体" w:hAnsi="Courier New" w:cs="宋体"/>
      <w:sz w:val="21"/>
      <w:szCs w:val="21"/>
    </w:rPr>
  </w:style>
  <w:style w:type="character" w:customStyle="1" w:styleId="113">
    <w:name w:val="批注主题 Char2"/>
    <w:qFormat/>
    <w:uiPriority w:val="99"/>
    <w:rPr>
      <w:rFonts w:ascii="Times New Roman" w:hAnsi="Times New Roman" w:eastAsia="宋体" w:cs="Times New Roman"/>
      <w:b/>
      <w:bCs/>
      <w:kern w:val="2"/>
      <w:sz w:val="21"/>
      <w:szCs w:val="24"/>
    </w:rPr>
  </w:style>
  <w:style w:type="character" w:customStyle="1" w:styleId="114">
    <w:name w:val="页眉 Char2"/>
    <w:semiHidden/>
    <w:qFormat/>
    <w:uiPriority w:val="99"/>
    <w:rPr>
      <w:rFonts w:ascii="Times New Roman" w:hAnsi="Times New Roman" w:eastAsia="宋体" w:cs="Times New Roman"/>
      <w:sz w:val="18"/>
      <w:szCs w:val="18"/>
    </w:rPr>
  </w:style>
  <w:style w:type="paragraph" w:customStyle="1" w:styleId="115">
    <w:name w:val="文档结构图2"/>
    <w:basedOn w:val="1"/>
    <w:qFormat/>
    <w:uiPriority w:val="0"/>
    <w:pPr>
      <w:shd w:val="clear" w:color="auto" w:fill="000080"/>
    </w:pPr>
    <w:rPr>
      <w:kern w:val="0"/>
      <w:sz w:val="20"/>
      <w:shd w:val="clear" w:color="auto" w:fill="000080"/>
    </w:rPr>
  </w:style>
  <w:style w:type="character" w:customStyle="1" w:styleId="116">
    <w:name w:val="正文文本缩进 3 Char"/>
    <w:qFormat/>
    <w:locked/>
    <w:uiPriority w:val="0"/>
    <w:rPr>
      <w:rFonts w:eastAsia="宋体"/>
      <w:sz w:val="16"/>
      <w:szCs w:val="16"/>
    </w:rPr>
  </w:style>
  <w:style w:type="character" w:customStyle="1" w:styleId="117">
    <w:name w:val="脚注文本 Char"/>
    <w:qFormat/>
    <w:locked/>
    <w:uiPriority w:val="0"/>
    <w:rPr>
      <w:rFonts w:eastAsia="宋体"/>
    </w:rPr>
  </w:style>
  <w:style w:type="character" w:customStyle="1" w:styleId="118">
    <w:name w:val="批注框文本 Char1"/>
    <w:qFormat/>
    <w:uiPriority w:val="0"/>
    <w:rPr>
      <w:kern w:val="2"/>
      <w:sz w:val="18"/>
    </w:rPr>
  </w:style>
  <w:style w:type="character" w:customStyle="1" w:styleId="119">
    <w:name w:val="t-in"/>
    <w:qFormat/>
    <w:uiPriority w:val="0"/>
    <w:rPr>
      <w:u w:val="none"/>
    </w:rPr>
  </w:style>
  <w:style w:type="character" w:customStyle="1" w:styleId="120">
    <w:name w:val="明显强调211"/>
    <w:qFormat/>
    <w:uiPriority w:val="0"/>
    <w:rPr>
      <w:b/>
      <w:i/>
      <w:color w:val="4F81BD"/>
    </w:rPr>
  </w:style>
  <w:style w:type="character" w:customStyle="1" w:styleId="121">
    <w:name w:val="Body Text Indent 3 Char"/>
    <w:qFormat/>
    <w:locked/>
    <w:uiPriority w:val="0"/>
    <w:rPr>
      <w:rFonts w:ascii="Times New Roman" w:hAnsi="Times New Roman" w:cs="Times New Roman"/>
      <w:sz w:val="16"/>
      <w:szCs w:val="16"/>
    </w:rPr>
  </w:style>
  <w:style w:type="character" w:customStyle="1" w:styleId="122">
    <w:name w:val="正文文本 3 Char1"/>
    <w:qFormat/>
    <w:uiPriority w:val="99"/>
    <w:rPr>
      <w:rFonts w:ascii="Times New Roman" w:hAnsi="Times New Roman" w:eastAsia="宋体" w:cs="Times New Roman"/>
      <w:sz w:val="16"/>
      <w:szCs w:val="16"/>
    </w:rPr>
  </w:style>
  <w:style w:type="paragraph" w:customStyle="1" w:styleId="123">
    <w:name w:val="索引 411"/>
    <w:basedOn w:val="1"/>
    <w:next w:val="1"/>
    <w:qFormat/>
    <w:uiPriority w:val="0"/>
    <w:pPr>
      <w:ind w:left="600" w:leftChars="600"/>
    </w:pPr>
  </w:style>
  <w:style w:type="paragraph" w:customStyle="1" w:styleId="124">
    <w:name w:val="Char Char Char Char Char Char"/>
    <w:basedOn w:val="1"/>
    <w:qFormat/>
    <w:uiPriority w:val="0"/>
    <w:pPr>
      <w:ind w:firstLine="200" w:firstLineChars="200"/>
    </w:pPr>
    <w:rPr>
      <w:rFonts w:ascii="Tahoma" w:hAnsi="Tahoma"/>
      <w:sz w:val="24"/>
      <w:szCs w:val="20"/>
    </w:rPr>
  </w:style>
  <w:style w:type="character" w:customStyle="1" w:styleId="125">
    <w:name w:val="明显参考21"/>
    <w:qFormat/>
    <w:uiPriority w:val="0"/>
    <w:rPr>
      <w:b/>
      <w:bCs/>
      <w:smallCaps/>
      <w:color w:val="C0504D"/>
      <w:spacing w:val="5"/>
      <w:u w:val="single"/>
    </w:rPr>
  </w:style>
  <w:style w:type="paragraph" w:customStyle="1" w:styleId="12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character" w:customStyle="1" w:styleId="127">
    <w:name w:val="标题 1 字符"/>
    <w:qFormat/>
    <w:uiPriority w:val="0"/>
    <w:rPr>
      <w:b/>
      <w:kern w:val="44"/>
      <w:sz w:val="44"/>
    </w:rPr>
  </w:style>
  <w:style w:type="paragraph" w:customStyle="1" w:styleId="128">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character" w:customStyle="1" w:styleId="129">
    <w:name w:val="Char Char181"/>
    <w:qFormat/>
    <w:uiPriority w:val="99"/>
    <w:rPr>
      <w:b/>
      <w:bCs/>
      <w:kern w:val="44"/>
      <w:sz w:val="44"/>
      <w:szCs w:val="44"/>
    </w:rPr>
  </w:style>
  <w:style w:type="character" w:customStyle="1" w:styleId="130">
    <w:name w:val="Char Char12"/>
    <w:qFormat/>
    <w:locked/>
    <w:uiPriority w:val="0"/>
    <w:rPr>
      <w:rFonts w:ascii="Courier New" w:hAnsi="Courier New" w:eastAsia="宋体"/>
      <w:kern w:val="2"/>
      <w:sz w:val="21"/>
      <w:lang w:val="en-US" w:eastAsia="zh-CN" w:bidi="ar-SA"/>
    </w:rPr>
  </w:style>
  <w:style w:type="paragraph" w:customStyle="1" w:styleId="131">
    <w:name w:val="正文文本 31"/>
    <w:basedOn w:val="1"/>
    <w:qFormat/>
    <w:uiPriority w:val="0"/>
    <w:pPr>
      <w:spacing w:after="120"/>
    </w:pPr>
    <w:rPr>
      <w:sz w:val="16"/>
      <w:szCs w:val="16"/>
    </w:rPr>
  </w:style>
  <w:style w:type="character" w:customStyle="1" w:styleId="132">
    <w:name w:val="明显强调2"/>
    <w:qFormat/>
    <w:uiPriority w:val="0"/>
    <w:rPr>
      <w:b/>
      <w:bCs/>
      <w:i/>
      <w:iCs/>
      <w:color w:val="4F81BD"/>
    </w:rPr>
  </w:style>
  <w:style w:type="character" w:customStyle="1" w:styleId="133">
    <w:name w:val="Char Char23"/>
    <w:qFormat/>
    <w:locked/>
    <w:uiPriority w:val="0"/>
    <w:rPr>
      <w:rFonts w:eastAsia="宋体"/>
      <w:b/>
      <w:bCs/>
      <w:sz w:val="28"/>
      <w:szCs w:val="32"/>
      <w:lang w:val="en-US" w:eastAsia="zh-CN" w:bidi="ar-SA"/>
    </w:rPr>
  </w:style>
  <w:style w:type="paragraph" w:customStyle="1" w:styleId="134">
    <w:name w:val="列表段落1"/>
    <w:basedOn w:val="1"/>
    <w:qFormat/>
    <w:uiPriority w:val="99"/>
    <w:pPr>
      <w:ind w:firstLine="420" w:firstLineChars="200"/>
    </w:pPr>
    <w:rPr>
      <w:rFonts w:ascii="Calibri" w:hAnsi="Calibri"/>
      <w:szCs w:val="22"/>
    </w:rPr>
  </w:style>
  <w:style w:type="character" w:customStyle="1" w:styleId="135">
    <w:name w:val="标题 6 字符"/>
    <w:link w:val="9"/>
    <w:qFormat/>
    <w:uiPriority w:val="0"/>
    <w:rPr>
      <w:rFonts w:ascii="Arial" w:hAnsi="Arial" w:eastAsia="黑体"/>
      <w:b/>
      <w:bCs/>
      <w:sz w:val="24"/>
      <w:szCs w:val="24"/>
    </w:rPr>
  </w:style>
  <w:style w:type="character" w:customStyle="1" w:styleId="136">
    <w:name w:val="标题 2 Char Char Char Char Char Char Char Char Char Char Char Char Char Char Char Char Char Char Char Char Char"/>
    <w:qFormat/>
    <w:uiPriority w:val="0"/>
  </w:style>
  <w:style w:type="paragraph" w:customStyle="1" w:styleId="137">
    <w:name w:val="font6"/>
    <w:basedOn w:val="1"/>
    <w:qFormat/>
    <w:uiPriority w:val="0"/>
    <w:pPr>
      <w:widowControl/>
      <w:spacing w:before="100" w:beforeAutospacing="1" w:after="100" w:afterAutospacing="1"/>
      <w:jc w:val="left"/>
    </w:pPr>
    <w:rPr>
      <w:kern w:val="0"/>
      <w:szCs w:val="21"/>
    </w:rPr>
  </w:style>
  <w:style w:type="character" w:customStyle="1" w:styleId="138">
    <w:name w:val="正文缩进 Char1"/>
    <w:qFormat/>
    <w:uiPriority w:val="0"/>
    <w:rPr>
      <w:kern w:val="2"/>
      <w:sz w:val="21"/>
      <w:szCs w:val="21"/>
    </w:rPr>
  </w:style>
  <w:style w:type="paragraph" w:customStyle="1" w:styleId="139">
    <w:name w:val="Char Char Char1 Char Char Char Char Char Char Char"/>
    <w:basedOn w:val="1"/>
    <w:qFormat/>
    <w:uiPriority w:val="0"/>
    <w:rPr>
      <w:sz w:val="28"/>
      <w:szCs w:val="28"/>
    </w:rPr>
  </w:style>
  <w:style w:type="character" w:customStyle="1" w:styleId="140">
    <w:name w:val="标题 Char"/>
    <w:qFormat/>
    <w:locked/>
    <w:uiPriority w:val="0"/>
    <w:rPr>
      <w:rFonts w:ascii="Arial" w:hAnsi="Arial" w:eastAsia="宋体"/>
      <w:b/>
      <w:sz w:val="32"/>
    </w:rPr>
  </w:style>
  <w:style w:type="character" w:customStyle="1" w:styleId="141">
    <w:name w:val="正文文本缩进 字符"/>
    <w:link w:val="28"/>
    <w:qFormat/>
    <w:uiPriority w:val="0"/>
    <w:rPr>
      <w:rFonts w:ascii="仿宋_GB2312" w:eastAsia="仿宋_GB2312"/>
      <w:sz w:val="32"/>
      <w:szCs w:val="32"/>
    </w:rPr>
  </w:style>
  <w:style w:type="character" w:customStyle="1" w:styleId="142">
    <w:name w:val="正文文本 2 Char1"/>
    <w:qFormat/>
    <w:uiPriority w:val="0"/>
    <w:rPr>
      <w:rFonts w:ascii="Times New Roman" w:hAnsi="Times New Roman" w:eastAsia="宋体" w:cs="Times New Roman"/>
      <w:szCs w:val="24"/>
    </w:rPr>
  </w:style>
  <w:style w:type="paragraph" w:customStyle="1" w:styleId="143">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character" w:customStyle="1" w:styleId="144">
    <w:name w:val="纯文本 字符2"/>
    <w:qFormat/>
    <w:locked/>
    <w:uiPriority w:val="0"/>
    <w:rPr>
      <w:rFonts w:ascii="宋体" w:hAnsi="Courier New" w:eastAsia="宋体" w:cs="Times New Roman"/>
      <w:kern w:val="0"/>
      <w:szCs w:val="21"/>
    </w:rPr>
  </w:style>
  <w:style w:type="character" w:customStyle="1" w:styleId="145">
    <w:name w:val="页眉 字符"/>
    <w:link w:val="44"/>
    <w:qFormat/>
    <w:uiPriority w:val="99"/>
    <w:rPr>
      <w:kern w:val="2"/>
      <w:sz w:val="18"/>
      <w:szCs w:val="18"/>
    </w:rPr>
  </w:style>
  <w:style w:type="paragraph" w:customStyle="1" w:styleId="146">
    <w:name w:val="Char"/>
    <w:basedOn w:val="1"/>
    <w:qFormat/>
    <w:uiPriority w:val="0"/>
    <w:rPr>
      <w:szCs w:val="21"/>
    </w:rPr>
  </w:style>
  <w:style w:type="character" w:customStyle="1" w:styleId="147">
    <w:name w:val="批注主题 Char1"/>
    <w:qFormat/>
    <w:uiPriority w:val="0"/>
    <w:rPr>
      <w:b/>
      <w:bCs/>
      <w:kern w:val="2"/>
      <w:sz w:val="21"/>
      <w:szCs w:val="22"/>
    </w:rPr>
  </w:style>
  <w:style w:type="character" w:customStyle="1" w:styleId="148">
    <w:name w:val="副标题 Char2"/>
    <w:qFormat/>
    <w:uiPriority w:val="11"/>
    <w:rPr>
      <w:rFonts w:ascii="Cambria" w:hAnsi="Cambria" w:eastAsia="宋体" w:cs="Times New Roman"/>
      <w:b/>
      <w:bCs/>
      <w:kern w:val="28"/>
      <w:sz w:val="32"/>
      <w:szCs w:val="32"/>
    </w:rPr>
  </w:style>
  <w:style w:type="paragraph" w:customStyle="1" w:styleId="14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50">
    <w:name w:val="reader-word-layer reader-word-s1-4"/>
    <w:basedOn w:val="1"/>
    <w:qFormat/>
    <w:uiPriority w:val="0"/>
    <w:pPr>
      <w:widowControl/>
      <w:spacing w:before="100" w:beforeAutospacing="1" w:after="100" w:afterAutospacing="1"/>
      <w:jc w:val="left"/>
    </w:pPr>
    <w:rPr>
      <w:rFonts w:ascii="宋体" w:hAnsi="宋体" w:cs="宋体"/>
      <w:kern w:val="0"/>
      <w:sz w:val="24"/>
    </w:rPr>
  </w:style>
  <w:style w:type="character" w:customStyle="1" w:styleId="151">
    <w:name w:val="Footer Char"/>
    <w:qFormat/>
    <w:locked/>
    <w:uiPriority w:val="0"/>
    <w:rPr>
      <w:rFonts w:ascii="Times New Roman" w:hAnsi="Times New Roman" w:cs="Times New Roman"/>
      <w:sz w:val="18"/>
      <w:szCs w:val="18"/>
    </w:rPr>
  </w:style>
  <w:style w:type="paragraph" w:customStyle="1" w:styleId="152">
    <w:name w:val="正文文本 311"/>
    <w:basedOn w:val="1"/>
    <w:qFormat/>
    <w:uiPriority w:val="0"/>
    <w:pPr>
      <w:spacing w:after="120"/>
    </w:pPr>
    <w:rPr>
      <w:sz w:val="16"/>
      <w:szCs w:val="16"/>
    </w:rPr>
  </w:style>
  <w:style w:type="paragraph" w:customStyle="1" w:styleId="153">
    <w:name w:val="标题4"/>
    <w:basedOn w:val="154"/>
    <w:next w:val="33"/>
    <w:link w:val="254"/>
    <w:qFormat/>
    <w:uiPriority w:val="0"/>
    <w:pPr>
      <w:spacing w:line="413" w:lineRule="auto"/>
    </w:pPr>
  </w:style>
  <w:style w:type="paragraph" w:customStyle="1" w:styleId="154">
    <w:name w:val="xl39"/>
    <w:link w:val="311"/>
    <w:qFormat/>
    <w:uiPriority w:val="0"/>
    <w:pPr>
      <w:spacing w:before="100" w:beforeAutospacing="1" w:after="100" w:afterAutospacing="1"/>
    </w:pPr>
    <w:rPr>
      <w:rFonts w:asciiTheme="minorHAnsi" w:hAnsiTheme="minorHAnsi" w:eastAsiaTheme="minorEastAsia" w:cstheme="minorBidi"/>
      <w:lang w:val="en-US" w:eastAsia="zh-CN" w:bidi="ar-SA"/>
    </w:rPr>
  </w:style>
  <w:style w:type="character" w:customStyle="1" w:styleId="155">
    <w:name w:val="Char Char7"/>
    <w:qFormat/>
    <w:uiPriority w:val="0"/>
    <w:rPr>
      <w:rFonts w:ascii="Arial" w:hAnsi="Arial" w:eastAsia="黑体"/>
      <w:b/>
      <w:bCs/>
      <w:kern w:val="2"/>
      <w:sz w:val="32"/>
      <w:szCs w:val="32"/>
      <w:lang w:val="en-US" w:eastAsia="zh-CN" w:bidi="ar-SA"/>
    </w:rPr>
  </w:style>
  <w:style w:type="character" w:customStyle="1" w:styleId="156">
    <w:name w:val="正文文本缩进 3 字符"/>
    <w:link w:val="53"/>
    <w:qFormat/>
    <w:uiPriority w:val="0"/>
    <w:rPr>
      <w:sz w:val="16"/>
      <w:szCs w:val="16"/>
    </w:rPr>
  </w:style>
  <w:style w:type="paragraph" w:customStyle="1" w:styleId="157">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character" w:customStyle="1" w:styleId="158">
    <w:name w:val="文档结构图 Char2"/>
    <w:qFormat/>
    <w:uiPriority w:val="0"/>
    <w:rPr>
      <w:rFonts w:eastAsia="宋体"/>
      <w:szCs w:val="24"/>
      <w:shd w:val="clear" w:color="auto" w:fill="000080"/>
    </w:rPr>
  </w:style>
  <w:style w:type="paragraph" w:customStyle="1" w:styleId="159">
    <w:name w:val="Char Char 字元 字元 字元 Char Char Char Char"/>
    <w:basedOn w:val="1"/>
    <w:qFormat/>
    <w:uiPriority w:val="0"/>
    <w:pPr>
      <w:adjustRightInd w:val="0"/>
      <w:spacing w:line="360" w:lineRule="auto"/>
    </w:pPr>
    <w:rPr>
      <w:szCs w:val="20"/>
    </w:rPr>
  </w:style>
  <w:style w:type="character" w:customStyle="1" w:styleId="160">
    <w:name w:val="font71"/>
    <w:qFormat/>
    <w:uiPriority w:val="0"/>
    <w:rPr>
      <w:rFonts w:hint="default" w:ascii="Times New Roman" w:hAnsi="Times New Roman" w:cs="Times New Roman"/>
      <w:color w:val="000000"/>
      <w:sz w:val="22"/>
      <w:szCs w:val="22"/>
      <w:u w:val="none"/>
    </w:rPr>
  </w:style>
  <w:style w:type="paragraph" w:customStyle="1" w:styleId="161">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62">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3">
    <w:name w:val="TOC 标题11"/>
    <w:basedOn w:val="4"/>
    <w:next w:val="1"/>
    <w:qFormat/>
    <w:uiPriority w:val="0"/>
    <w:pPr>
      <w:spacing w:line="576" w:lineRule="auto"/>
      <w:jc w:val="center"/>
      <w:outlineLvl w:val="9"/>
    </w:pPr>
    <w:rPr>
      <w:rFonts w:ascii="Calibri" w:hAnsi="Calibri"/>
    </w:rPr>
  </w:style>
  <w:style w:type="character" w:customStyle="1" w:styleId="164">
    <w:name w:val="批注主题 Char"/>
    <w:qFormat/>
    <w:locked/>
    <w:uiPriority w:val="0"/>
    <w:rPr>
      <w:rFonts w:eastAsia="宋体"/>
      <w:b/>
      <w:bCs/>
      <w:sz w:val="24"/>
      <w:szCs w:val="24"/>
    </w:rPr>
  </w:style>
  <w:style w:type="paragraph" w:customStyle="1" w:styleId="165">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67">
    <w:name w:val="页脚 字符"/>
    <w:link w:val="43"/>
    <w:qFormat/>
    <w:uiPriority w:val="99"/>
    <w:rPr>
      <w:kern w:val="2"/>
      <w:sz w:val="18"/>
      <w:szCs w:val="18"/>
    </w:rPr>
  </w:style>
  <w:style w:type="character" w:customStyle="1" w:styleId="168">
    <w:name w:val="日期 字符"/>
    <w:link w:val="3"/>
    <w:qFormat/>
    <w:uiPriority w:val="99"/>
    <w:rPr>
      <w:rFonts w:ascii="宋体" w:hAnsi="Courier New"/>
      <w:sz w:val="21"/>
      <w:szCs w:val="21"/>
    </w:rPr>
  </w:style>
  <w:style w:type="character" w:customStyle="1" w:styleId="169">
    <w:name w:val="正文缩进 字符1"/>
    <w:link w:val="20"/>
    <w:qFormat/>
    <w:uiPriority w:val="0"/>
    <w:rPr>
      <w:kern w:val="2"/>
      <w:sz w:val="21"/>
      <w:szCs w:val="21"/>
    </w:rPr>
  </w:style>
  <w:style w:type="character" w:customStyle="1" w:styleId="170">
    <w:name w:val="HTML 预设格式 Char"/>
    <w:qFormat/>
    <w:uiPriority w:val="0"/>
    <w:rPr>
      <w:rFonts w:ascii="Arial" w:hAnsi="Arial"/>
      <w:szCs w:val="24"/>
    </w:rPr>
  </w:style>
  <w:style w:type="paragraph" w:customStyle="1" w:styleId="171">
    <w:name w:val="Char11"/>
    <w:basedOn w:val="1"/>
    <w:qFormat/>
    <w:uiPriority w:val="0"/>
    <w:pPr>
      <w:tabs>
        <w:tab w:val="left" w:pos="360"/>
      </w:tabs>
    </w:pPr>
    <w:rPr>
      <w:sz w:val="24"/>
    </w:rPr>
  </w:style>
  <w:style w:type="character" w:customStyle="1" w:styleId="172">
    <w:name w:val="纯文本 Char"/>
    <w:qFormat/>
    <w:locked/>
    <w:uiPriority w:val="0"/>
    <w:rPr>
      <w:rFonts w:ascii="Courier New" w:hAnsi="Courier New" w:eastAsia="宋体"/>
    </w:rPr>
  </w:style>
  <w:style w:type="paragraph" w:customStyle="1" w:styleId="173">
    <w:name w:val="Normal_21"/>
    <w:qFormat/>
    <w:uiPriority w:val="0"/>
    <w:pPr>
      <w:spacing w:before="120" w:after="240"/>
      <w:jc w:val="both"/>
    </w:pPr>
    <w:rPr>
      <w:rFonts w:asciiTheme="minorHAnsi" w:hAnsiTheme="minorHAnsi" w:eastAsiaTheme="minorEastAsia" w:cstheme="minorBidi"/>
      <w:kern w:val="2"/>
      <w:sz w:val="22"/>
      <w:szCs w:val="22"/>
      <w:lang w:val="en-US" w:eastAsia="en-US" w:bidi="ar-SA"/>
    </w:rPr>
  </w:style>
  <w:style w:type="paragraph" w:customStyle="1" w:styleId="174">
    <w:name w:val="样式 标题 3 + (中文) 黑体 小四 非加粗 段前: 7.8 磅 段后: 0 磅 行距: 固定值 20 磅"/>
    <w:basedOn w:val="6"/>
    <w:qFormat/>
    <w:uiPriority w:val="0"/>
    <w:pPr>
      <w:spacing w:before="0" w:after="0" w:line="400" w:lineRule="exact"/>
    </w:pPr>
    <w:rPr>
      <w:rFonts w:eastAsia="黑体" w:cs="宋体"/>
      <w:b w:val="0"/>
      <w:bCs w:val="0"/>
      <w:sz w:val="24"/>
      <w:szCs w:val="20"/>
    </w:rPr>
  </w:style>
  <w:style w:type="character" w:customStyle="1" w:styleId="175">
    <w:name w:val="书籍标题1"/>
    <w:qFormat/>
    <w:uiPriority w:val="0"/>
    <w:rPr>
      <w:b/>
      <w:bCs/>
      <w:smallCaps/>
      <w:spacing w:val="5"/>
    </w:rPr>
  </w:style>
  <w:style w:type="character" w:customStyle="1" w:styleId="176">
    <w:name w:val="标题 4 Char"/>
    <w:qFormat/>
    <w:uiPriority w:val="0"/>
    <w:rPr>
      <w:rFonts w:ascii="Arial" w:hAnsi="Arial" w:eastAsia="黑体"/>
      <w:b/>
      <w:bCs/>
      <w:kern w:val="2"/>
      <w:sz w:val="28"/>
      <w:szCs w:val="28"/>
      <w:lang w:val="en-US" w:eastAsia="zh-CN" w:bidi="ar-SA"/>
    </w:rPr>
  </w:style>
  <w:style w:type="paragraph" w:customStyle="1" w:styleId="177">
    <w:name w:val="引用11"/>
    <w:basedOn w:val="1"/>
    <w:next w:val="1"/>
    <w:qFormat/>
    <w:uiPriority w:val="0"/>
    <w:rPr>
      <w:rFonts w:ascii="Calibri" w:hAnsi="Calibri"/>
      <w:i/>
      <w:color w:val="000000"/>
      <w:kern w:val="0"/>
      <w:sz w:val="22"/>
      <w:szCs w:val="20"/>
    </w:rPr>
  </w:style>
  <w:style w:type="character" w:customStyle="1" w:styleId="178">
    <w:name w:val="正文文本缩进 Char"/>
    <w:qFormat/>
    <w:locked/>
    <w:uiPriority w:val="0"/>
    <w:rPr>
      <w:rFonts w:eastAsia="宋体"/>
      <w:szCs w:val="24"/>
    </w:rPr>
  </w:style>
  <w:style w:type="paragraph" w:customStyle="1" w:styleId="17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180">
    <w:name w:val="正文文本首行缩进 字符"/>
    <w:link w:val="65"/>
    <w:qFormat/>
    <w:uiPriority w:val="99"/>
    <w:rPr>
      <w:kern w:val="2"/>
      <w:sz w:val="21"/>
      <w:szCs w:val="22"/>
    </w:rPr>
  </w:style>
  <w:style w:type="character" w:customStyle="1" w:styleId="181">
    <w:name w:val="批注框文本 Char2"/>
    <w:qFormat/>
    <w:uiPriority w:val="99"/>
    <w:rPr>
      <w:sz w:val="18"/>
      <w:szCs w:val="18"/>
    </w:rPr>
  </w:style>
  <w:style w:type="character" w:customStyle="1" w:styleId="182">
    <w:name w:val="font21"/>
    <w:qFormat/>
    <w:uiPriority w:val="0"/>
    <w:rPr>
      <w:rFonts w:hint="eastAsia" w:ascii="宋体" w:hAnsi="宋体" w:eastAsia="宋体" w:cs="宋体"/>
      <w:color w:val="000000"/>
      <w:sz w:val="20"/>
      <w:szCs w:val="20"/>
      <w:u w:val="none"/>
    </w:rPr>
  </w:style>
  <w:style w:type="character" w:customStyle="1" w:styleId="183">
    <w:name w:val="正文缩进 字符"/>
    <w:qFormat/>
    <w:uiPriority w:val="0"/>
    <w:rPr>
      <w:kern w:val="2"/>
      <w:sz w:val="21"/>
      <w:szCs w:val="21"/>
    </w:rPr>
  </w:style>
  <w:style w:type="character" w:customStyle="1" w:styleId="184">
    <w:name w:val="文档结构图 Char Char"/>
    <w:qFormat/>
    <w:uiPriority w:val="0"/>
    <w:rPr>
      <w:szCs w:val="24"/>
      <w:shd w:val="clear" w:color="auto" w:fill="000080"/>
      <w:lang w:bidi="ar-SA"/>
    </w:rPr>
  </w:style>
  <w:style w:type="paragraph" w:customStyle="1" w:styleId="18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186">
    <w:name w:val="无间隔 字符"/>
    <w:link w:val="187"/>
    <w:qFormat/>
    <w:uiPriority w:val="0"/>
    <w:rPr>
      <w:rFonts w:cs="Calibri"/>
      <w:sz w:val="22"/>
      <w:szCs w:val="22"/>
      <w:lang w:val="en-US" w:eastAsia="zh-CN" w:bidi="ar-SA"/>
    </w:rPr>
  </w:style>
  <w:style w:type="paragraph" w:styleId="187">
    <w:name w:val="No Spacing"/>
    <w:link w:val="186"/>
    <w:qFormat/>
    <w:uiPriority w:val="0"/>
    <w:rPr>
      <w:rFonts w:cs="Calibri" w:asciiTheme="minorHAnsi" w:hAnsiTheme="minorHAnsi" w:eastAsiaTheme="minorEastAsia"/>
      <w:kern w:val="2"/>
      <w:sz w:val="22"/>
      <w:szCs w:val="22"/>
      <w:lang w:val="en-US" w:eastAsia="zh-CN" w:bidi="ar-SA"/>
    </w:rPr>
  </w:style>
  <w:style w:type="character" w:customStyle="1" w:styleId="188">
    <w:name w:val="标题 3 字符"/>
    <w:link w:val="6"/>
    <w:qFormat/>
    <w:uiPriority w:val="0"/>
    <w:rPr>
      <w:b/>
      <w:bCs/>
      <w:kern w:val="2"/>
      <w:sz w:val="32"/>
      <w:szCs w:val="32"/>
    </w:rPr>
  </w:style>
  <w:style w:type="paragraph" w:customStyle="1" w:styleId="189">
    <w:name w:val="技术规范书正文"/>
    <w:qFormat/>
    <w:uiPriority w:val="0"/>
    <w:pPr>
      <w:widowControl w:val="0"/>
      <w:snapToGrid w:val="0"/>
      <w:spacing w:line="360" w:lineRule="auto"/>
    </w:pPr>
    <w:rPr>
      <w:rFonts w:asciiTheme="minorHAnsi" w:hAnsiTheme="minorHAnsi" w:eastAsiaTheme="minorEastAsia" w:cstheme="minorBidi"/>
      <w:kern w:val="2"/>
      <w:sz w:val="24"/>
      <w:szCs w:val="22"/>
      <w:lang w:val="en-US" w:eastAsia="zh-CN" w:bidi="ar-SA"/>
    </w:rPr>
  </w:style>
  <w:style w:type="character" w:customStyle="1" w:styleId="190">
    <w:name w:val="Char Char29"/>
    <w:qFormat/>
    <w:uiPriority w:val="0"/>
    <w:rPr>
      <w:rFonts w:eastAsia="宋体"/>
      <w:b/>
      <w:bCs/>
      <w:kern w:val="2"/>
      <w:sz w:val="32"/>
      <w:szCs w:val="32"/>
      <w:lang w:val="en-US" w:eastAsia="zh-CN" w:bidi="ar-SA"/>
    </w:rPr>
  </w:style>
  <w:style w:type="paragraph" w:customStyle="1" w:styleId="191">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character" w:customStyle="1" w:styleId="192">
    <w:name w:val="Char Char30"/>
    <w:qFormat/>
    <w:uiPriority w:val="0"/>
    <w:rPr>
      <w:rFonts w:ascii="Arial" w:hAnsi="Arial" w:eastAsia="黑体"/>
      <w:b/>
      <w:bCs/>
      <w:kern w:val="2"/>
      <w:sz w:val="32"/>
      <w:szCs w:val="32"/>
      <w:lang w:val="en-US" w:eastAsia="zh-CN" w:bidi="ar-SA"/>
    </w:rPr>
  </w:style>
  <w:style w:type="paragraph" w:customStyle="1" w:styleId="193">
    <w:name w:val="图注"/>
    <w:basedOn w:val="21"/>
    <w:qFormat/>
    <w:uiPriority w:val="0"/>
    <w:pPr>
      <w:jc w:val="center"/>
    </w:pPr>
    <w:rPr>
      <w:rFonts w:ascii="Times New Roman" w:hAnsi="Times New Roman" w:eastAsia="宋体"/>
      <w:spacing w:val="20"/>
      <w:sz w:val="21"/>
    </w:rPr>
  </w:style>
  <w:style w:type="paragraph" w:customStyle="1" w:styleId="194">
    <w:name w:val="列出段落2"/>
    <w:basedOn w:val="1"/>
    <w:qFormat/>
    <w:uiPriority w:val="0"/>
    <w:pPr>
      <w:ind w:firstLine="420" w:firstLineChars="200"/>
    </w:pPr>
    <w:rPr>
      <w:rFonts w:ascii="Calibri" w:hAnsi="Calibri"/>
      <w:szCs w:val="22"/>
    </w:rPr>
  </w:style>
  <w:style w:type="paragraph" w:customStyle="1" w:styleId="195">
    <w:name w:val="Char81"/>
    <w:basedOn w:val="23"/>
    <w:qFormat/>
    <w:uiPriority w:val="0"/>
    <w:rPr>
      <w:rFonts w:ascii="Calibri" w:hAnsi="Calibri"/>
    </w:rPr>
  </w:style>
  <w:style w:type="character" w:customStyle="1" w:styleId="196">
    <w:name w:val="fontstyle01"/>
    <w:qFormat/>
    <w:uiPriority w:val="0"/>
    <w:rPr>
      <w:rFonts w:ascii="宋体" w:eastAsia="宋体"/>
      <w:color w:val="000000"/>
      <w:sz w:val="24"/>
      <w:szCs w:val="24"/>
    </w:rPr>
  </w:style>
  <w:style w:type="paragraph" w:customStyle="1" w:styleId="197">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character" w:customStyle="1" w:styleId="198">
    <w:name w:val="批注框文本 Char"/>
    <w:qFormat/>
    <w:locked/>
    <w:uiPriority w:val="99"/>
    <w:rPr>
      <w:rFonts w:eastAsia="宋体"/>
      <w:sz w:val="18"/>
      <w:szCs w:val="18"/>
    </w:rPr>
  </w:style>
  <w:style w:type="character" w:customStyle="1" w:styleId="199">
    <w:name w:val="页脚 Char"/>
    <w:qFormat/>
    <w:uiPriority w:val="0"/>
    <w:rPr>
      <w:kern w:val="2"/>
      <w:sz w:val="18"/>
      <w:szCs w:val="18"/>
    </w:rPr>
  </w:style>
  <w:style w:type="character" w:customStyle="1" w:styleId="200">
    <w:name w:val="Char Char"/>
    <w:qFormat/>
    <w:uiPriority w:val="0"/>
    <w:rPr>
      <w:rFonts w:ascii="Arial" w:hAnsi="Arial" w:eastAsia="黑体"/>
      <w:b/>
      <w:bCs/>
      <w:kern w:val="2"/>
      <w:sz w:val="32"/>
      <w:szCs w:val="32"/>
      <w:lang w:val="en-US" w:eastAsia="zh-CN" w:bidi="ar-SA"/>
    </w:rPr>
  </w:style>
  <w:style w:type="paragraph" w:customStyle="1" w:styleId="201">
    <w:name w:val="Char Char1 Char Char Char Char"/>
    <w:basedOn w:val="23"/>
    <w:qFormat/>
    <w:uiPriority w:val="0"/>
    <w:rPr>
      <w:rFonts w:ascii="Calibri" w:hAnsi="Calibri"/>
    </w:rPr>
  </w:style>
  <w:style w:type="paragraph" w:customStyle="1" w:styleId="202">
    <w:name w:val="样式4"/>
    <w:basedOn w:val="6"/>
    <w:qFormat/>
    <w:uiPriority w:val="0"/>
    <w:pPr>
      <w:spacing w:line="415" w:lineRule="auto"/>
    </w:pPr>
    <w:rPr>
      <w:rFonts w:eastAsia="Arial"/>
    </w:rPr>
  </w:style>
  <w:style w:type="paragraph" w:customStyle="1" w:styleId="203">
    <w:name w:val="普通(网站)111111"/>
    <w:basedOn w:val="1"/>
    <w:qFormat/>
    <w:uiPriority w:val="0"/>
    <w:pPr>
      <w:widowControl/>
      <w:spacing w:before="100" w:beforeAutospacing="1" w:after="100" w:afterAutospacing="1"/>
      <w:jc w:val="left"/>
    </w:pPr>
    <w:rPr>
      <w:rFonts w:ascii="宋体" w:hAnsi="宋体"/>
      <w:kern w:val="0"/>
      <w:sz w:val="24"/>
    </w:rPr>
  </w:style>
  <w:style w:type="paragraph" w:customStyle="1" w:styleId="204">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205">
    <w:name w:val="批注框文本 Char3"/>
    <w:qFormat/>
    <w:uiPriority w:val="99"/>
    <w:rPr>
      <w:rFonts w:ascii="Times New Roman" w:hAnsi="Times New Roman" w:eastAsia="宋体" w:cs="Times New Roman"/>
      <w:sz w:val="18"/>
      <w:szCs w:val="18"/>
    </w:rPr>
  </w:style>
  <w:style w:type="paragraph" w:customStyle="1" w:styleId="206">
    <w:name w:val="_Style 33"/>
    <w:basedOn w:val="23"/>
    <w:qFormat/>
    <w:uiPriority w:val="0"/>
    <w:rPr>
      <w:rFonts w:ascii="Calibri" w:hAnsi="Calibri"/>
      <w:szCs w:val="22"/>
    </w:rPr>
  </w:style>
  <w:style w:type="paragraph" w:customStyle="1" w:styleId="207">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208">
    <w:name w:val="Char Char Char1"/>
    <w:qFormat/>
    <w:locked/>
    <w:uiPriority w:val="0"/>
    <w:rPr>
      <w:rFonts w:eastAsia="宋体"/>
      <w:b/>
      <w:bCs/>
      <w:kern w:val="44"/>
      <w:sz w:val="44"/>
      <w:szCs w:val="44"/>
      <w:lang w:val="en-US" w:eastAsia="zh-CN" w:bidi="ar-SA"/>
    </w:rPr>
  </w:style>
  <w:style w:type="paragraph" w:customStyle="1" w:styleId="209">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210">
    <w:name w:val="引用1"/>
    <w:basedOn w:val="1"/>
    <w:next w:val="1"/>
    <w:link w:val="309"/>
    <w:qFormat/>
    <w:uiPriority w:val="0"/>
    <w:rPr>
      <w:i/>
      <w:color w:val="000000"/>
      <w:kern w:val="0"/>
      <w:sz w:val="22"/>
      <w:szCs w:val="20"/>
    </w:rPr>
  </w:style>
  <w:style w:type="paragraph" w:customStyle="1" w:styleId="211">
    <w:name w:val="xl81"/>
    <w:basedOn w:val="1"/>
    <w:qFormat/>
    <w:uiPriority w:val="0"/>
    <w:pPr>
      <w:widowControl/>
      <w:spacing w:before="100" w:beforeAutospacing="1" w:after="100" w:afterAutospacing="1"/>
      <w:jc w:val="left"/>
    </w:pPr>
    <w:rPr>
      <w:rFonts w:ascii="宋体" w:hAnsi="宋体" w:cs="宋体"/>
      <w:kern w:val="0"/>
      <w:szCs w:val="21"/>
    </w:rPr>
  </w:style>
  <w:style w:type="character" w:customStyle="1" w:styleId="212">
    <w:name w:val="apple-style-span"/>
    <w:qFormat/>
    <w:uiPriority w:val="0"/>
  </w:style>
  <w:style w:type="paragraph" w:customStyle="1" w:styleId="213">
    <w:name w:val="Char2"/>
    <w:basedOn w:val="23"/>
    <w:qFormat/>
    <w:uiPriority w:val="0"/>
    <w:pPr>
      <w:widowControl/>
    </w:pPr>
    <w:rPr>
      <w:rFonts w:ascii="Tahoma" w:hAnsi="Tahoma" w:cs="Tahoma"/>
      <w:kern w:val="0"/>
      <w:sz w:val="18"/>
    </w:rPr>
  </w:style>
  <w:style w:type="character" w:customStyle="1" w:styleId="214">
    <w:name w:val="Char Char291111"/>
    <w:qFormat/>
    <w:uiPriority w:val="0"/>
    <w:rPr>
      <w:rFonts w:eastAsia="宋体"/>
      <w:b/>
      <w:bCs/>
      <w:kern w:val="2"/>
      <w:sz w:val="32"/>
      <w:szCs w:val="32"/>
      <w:lang w:val="en-US" w:eastAsia="zh-CN" w:bidi="ar-SA"/>
    </w:rPr>
  </w:style>
  <w:style w:type="paragraph" w:customStyle="1" w:styleId="215">
    <w:name w:val="普通(网站)11"/>
    <w:basedOn w:val="1"/>
    <w:qFormat/>
    <w:uiPriority w:val="0"/>
    <w:pPr>
      <w:widowControl/>
      <w:spacing w:before="100" w:beforeAutospacing="1" w:after="100" w:afterAutospacing="1"/>
      <w:jc w:val="left"/>
    </w:pPr>
    <w:rPr>
      <w:rFonts w:ascii="宋体" w:hAnsi="宋体"/>
      <w:kern w:val="0"/>
      <w:sz w:val="24"/>
    </w:rPr>
  </w:style>
  <w:style w:type="character" w:customStyle="1" w:styleId="216">
    <w:name w:val="文本块 字符"/>
    <w:link w:val="31"/>
    <w:qFormat/>
    <w:uiPriority w:val="0"/>
    <w:rPr>
      <w:rFonts w:ascii="仿宋_GB2312" w:eastAsia="仿宋_GB2312" w:cs="仿宋_GB2312"/>
      <w:sz w:val="24"/>
      <w:szCs w:val="24"/>
    </w:rPr>
  </w:style>
  <w:style w:type="character" w:customStyle="1" w:styleId="217">
    <w:name w:val="Body Text Indent 2 Char"/>
    <w:qFormat/>
    <w:locked/>
    <w:uiPriority w:val="0"/>
    <w:rPr>
      <w:rFonts w:ascii="Times New Roman" w:hAnsi="Times New Roman" w:cs="Times New Roman"/>
      <w:sz w:val="24"/>
      <w:szCs w:val="24"/>
    </w:rPr>
  </w:style>
  <w:style w:type="character" w:customStyle="1" w:styleId="218">
    <w:name w:val="Date Char"/>
    <w:qFormat/>
    <w:locked/>
    <w:uiPriority w:val="0"/>
    <w:rPr>
      <w:rFonts w:ascii="宋体" w:hAnsi="Courier New" w:cs="宋体"/>
      <w:sz w:val="21"/>
      <w:szCs w:val="21"/>
    </w:rPr>
  </w:style>
  <w:style w:type="character" w:customStyle="1" w:styleId="219">
    <w:name w:val="Char Char311"/>
    <w:qFormat/>
    <w:locked/>
    <w:uiPriority w:val="0"/>
    <w:rPr>
      <w:rFonts w:ascii="Arial" w:hAnsi="Arial" w:eastAsia="黑体"/>
      <w:b/>
      <w:bCs/>
      <w:kern w:val="2"/>
      <w:sz w:val="32"/>
      <w:szCs w:val="32"/>
      <w:lang w:val="en-US" w:eastAsia="zh-CN" w:bidi="ar-SA"/>
    </w:rPr>
  </w:style>
  <w:style w:type="paragraph" w:customStyle="1" w:styleId="220">
    <w:name w:val="二级标题"/>
    <w:basedOn w:val="189"/>
    <w:qFormat/>
    <w:uiPriority w:val="0"/>
    <w:pPr>
      <w:spacing w:beforeLines="50"/>
    </w:pPr>
    <w:rPr>
      <w:b/>
      <w:sz w:val="28"/>
    </w:rPr>
  </w:style>
  <w:style w:type="paragraph" w:customStyle="1" w:styleId="221">
    <w:name w:val="Char Char Char1 Char Char Char Char Char Char Char2"/>
    <w:basedOn w:val="1"/>
    <w:qFormat/>
    <w:uiPriority w:val="0"/>
    <w:rPr>
      <w:sz w:val="28"/>
      <w:szCs w:val="28"/>
    </w:rPr>
  </w:style>
  <w:style w:type="paragraph" w:customStyle="1" w:styleId="222">
    <w:name w:val="Char Char11"/>
    <w:basedOn w:val="23"/>
    <w:qFormat/>
    <w:uiPriority w:val="0"/>
    <w:rPr>
      <w:rFonts w:ascii="宋体" w:hAnsi="Calibri"/>
      <w:kern w:val="0"/>
      <w:szCs w:val="18"/>
    </w:rPr>
  </w:style>
  <w:style w:type="character" w:customStyle="1" w:styleId="223">
    <w:name w:val="Char Char25"/>
    <w:qFormat/>
    <w:uiPriority w:val="0"/>
    <w:rPr>
      <w:rFonts w:ascii="Times New Roman" w:hAnsi="Times New Roman" w:eastAsia="宋体" w:cs="Times New Roman"/>
      <w:b/>
      <w:bCs/>
      <w:kern w:val="0"/>
      <w:sz w:val="28"/>
      <w:szCs w:val="32"/>
    </w:rPr>
  </w:style>
  <w:style w:type="paragraph" w:customStyle="1" w:styleId="224">
    <w:name w:val="无间隔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5">
    <w:name w:val="font9"/>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226">
    <w:name w:val="Default Char"/>
    <w:link w:val="227"/>
    <w:qFormat/>
    <w:locked/>
    <w:uiPriority w:val="0"/>
    <w:rPr>
      <w:rFonts w:ascii="......." w:eastAsia="......."/>
      <w:color w:val="000000"/>
      <w:sz w:val="24"/>
      <w:szCs w:val="24"/>
      <w:lang w:val="en-US" w:eastAsia="zh-CN" w:bidi="ar-SA"/>
    </w:rPr>
  </w:style>
  <w:style w:type="paragraph" w:customStyle="1" w:styleId="227">
    <w:name w:val="Default"/>
    <w:next w:val="228"/>
    <w:link w:val="226"/>
    <w:qFormat/>
    <w:uiPriority w:val="0"/>
    <w:pPr>
      <w:widowControl w:val="0"/>
      <w:autoSpaceDE w:val="0"/>
      <w:autoSpaceDN w:val="0"/>
      <w:adjustRightInd w:val="0"/>
    </w:pPr>
    <w:rPr>
      <w:rFonts w:ascii="......." w:eastAsia="......." w:hAnsiTheme="minorHAnsi" w:cstheme="minorBidi"/>
      <w:color w:val="000000"/>
      <w:kern w:val="2"/>
      <w:sz w:val="24"/>
      <w:szCs w:val="24"/>
      <w:lang w:val="en-US" w:eastAsia="zh-CN" w:bidi="ar-SA"/>
    </w:rPr>
  </w:style>
  <w:style w:type="paragraph" w:customStyle="1" w:styleId="228">
    <w:name w:val="大标题"/>
    <w:basedOn w:val="63"/>
    <w:next w:val="66"/>
    <w:qFormat/>
    <w:uiPriority w:val="0"/>
    <w:pPr>
      <w:tabs>
        <w:tab w:val="left" w:pos="795"/>
        <w:tab w:val="center" w:pos="4156"/>
      </w:tabs>
      <w:spacing w:line="360" w:lineRule="auto"/>
      <w:ind w:firstLine="200" w:firstLineChars="200"/>
    </w:pPr>
    <w:rPr>
      <w:rFonts w:ascii="宋体" w:hAnsi="宋体" w:eastAsia="宋体"/>
      <w:bCs w:val="0"/>
      <w:kern w:val="0"/>
      <w:szCs w:val="20"/>
    </w:rPr>
  </w:style>
  <w:style w:type="paragraph" w:customStyle="1" w:styleId="229">
    <w:name w:val="_Style 61"/>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230">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231">
    <w:name w:val="文档结构图11"/>
    <w:basedOn w:val="1"/>
    <w:qFormat/>
    <w:uiPriority w:val="0"/>
    <w:pPr>
      <w:shd w:val="clear" w:color="auto" w:fill="000080"/>
    </w:pPr>
    <w:rPr>
      <w:kern w:val="0"/>
      <w:sz w:val="20"/>
      <w:shd w:val="clear" w:color="auto" w:fill="000080"/>
    </w:rPr>
  </w:style>
  <w:style w:type="paragraph" w:customStyle="1" w:styleId="232">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character" w:customStyle="1" w:styleId="233">
    <w:name w:val="文档结构图 Char1"/>
    <w:qFormat/>
    <w:uiPriority w:val="0"/>
    <w:rPr>
      <w:rFonts w:ascii="宋体"/>
      <w:kern w:val="2"/>
      <w:sz w:val="18"/>
    </w:rPr>
  </w:style>
  <w:style w:type="paragraph" w:customStyle="1" w:styleId="234">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styleId="235">
    <w:name w:val="Intense Quote"/>
    <w:basedOn w:val="1"/>
    <w:next w:val="1"/>
    <w:link w:val="341"/>
    <w:qFormat/>
    <w:uiPriority w:val="0"/>
    <w:pPr>
      <w:pBdr>
        <w:bottom w:val="single" w:color="4F81BD" w:sz="4" w:space="4"/>
      </w:pBdr>
      <w:spacing w:before="200" w:after="280"/>
      <w:ind w:left="936" w:right="936"/>
    </w:pPr>
    <w:rPr>
      <w:rFonts w:ascii="Calibri" w:hAnsi="Calibri"/>
      <w:b/>
      <w:i/>
      <w:color w:val="4F81BD"/>
      <w:sz w:val="22"/>
      <w:szCs w:val="22"/>
    </w:rPr>
  </w:style>
  <w:style w:type="paragraph" w:customStyle="1" w:styleId="236">
    <w:name w:val="_Style 429"/>
    <w:basedOn w:val="1"/>
    <w:next w:val="237"/>
    <w:qFormat/>
    <w:uiPriority w:val="99"/>
    <w:pPr>
      <w:ind w:firstLine="420" w:firstLineChars="200"/>
    </w:pPr>
    <w:rPr>
      <w:rFonts w:ascii="Calibri" w:hAnsi="Calibri"/>
      <w:szCs w:val="22"/>
    </w:rPr>
  </w:style>
  <w:style w:type="paragraph" w:styleId="237">
    <w:name w:val="List Paragraph"/>
    <w:basedOn w:val="1"/>
    <w:link w:val="457"/>
    <w:qFormat/>
    <w:uiPriority w:val="34"/>
    <w:pPr>
      <w:ind w:firstLine="420" w:firstLineChars="200"/>
    </w:pPr>
    <w:rPr>
      <w:szCs w:val="21"/>
    </w:rPr>
  </w:style>
  <w:style w:type="character" w:customStyle="1" w:styleId="238">
    <w:name w:val="已访问的超链接1"/>
    <w:qFormat/>
    <w:uiPriority w:val="0"/>
    <w:rPr>
      <w:color w:val="800080"/>
      <w:u w:val="single"/>
    </w:rPr>
  </w:style>
  <w:style w:type="character" w:customStyle="1" w:styleId="239">
    <w:name w:val="副标题 字符"/>
    <w:link w:val="47"/>
    <w:qFormat/>
    <w:uiPriority w:val="11"/>
    <w:rPr>
      <w:rFonts w:ascii="Cambria" w:hAnsi="Cambria" w:eastAsia="方正楷体简体"/>
      <w:kern w:val="28"/>
      <w:sz w:val="32"/>
      <w:szCs w:val="32"/>
    </w:rPr>
  </w:style>
  <w:style w:type="paragraph" w:customStyle="1" w:styleId="240">
    <w:name w:val="TOC 标题2"/>
    <w:basedOn w:val="4"/>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241">
    <w:name w:val="批注文字 Char1"/>
    <w:qFormat/>
    <w:uiPriority w:val="99"/>
    <w:rPr>
      <w:kern w:val="2"/>
      <w:sz w:val="21"/>
      <w:szCs w:val="24"/>
    </w:rPr>
  </w:style>
  <w:style w:type="paragraph" w:customStyle="1" w:styleId="242">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243">
    <w:name w:val="表格文字"/>
    <w:basedOn w:val="1"/>
    <w:qFormat/>
    <w:uiPriority w:val="0"/>
    <w:pPr>
      <w:adjustRightInd w:val="0"/>
      <w:spacing w:line="420" w:lineRule="atLeast"/>
      <w:jc w:val="left"/>
      <w:textAlignment w:val="baseline"/>
    </w:pPr>
    <w:rPr>
      <w:kern w:val="0"/>
      <w:szCs w:val="20"/>
    </w:rPr>
  </w:style>
  <w:style w:type="character" w:customStyle="1" w:styleId="244">
    <w:name w:val="正文文本首行缩进 2 字符"/>
    <w:link w:val="66"/>
    <w:qFormat/>
    <w:uiPriority w:val="99"/>
    <w:rPr>
      <w:rFonts w:ascii="Calibri" w:hAnsi="Calibri" w:eastAsia="仿宋_GB2312"/>
      <w:kern w:val="2"/>
      <w:sz w:val="21"/>
      <w:szCs w:val="24"/>
    </w:rPr>
  </w:style>
  <w:style w:type="paragraph" w:customStyle="1" w:styleId="245">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246">
    <w:name w:val="Char Char13"/>
    <w:basedOn w:val="23"/>
    <w:qFormat/>
    <w:uiPriority w:val="0"/>
    <w:rPr>
      <w:rFonts w:ascii="Calibri" w:hAnsi="Calibri"/>
      <w:szCs w:val="22"/>
    </w:rPr>
  </w:style>
  <w:style w:type="character" w:customStyle="1" w:styleId="247">
    <w:name w:val="Char Char71"/>
    <w:qFormat/>
    <w:uiPriority w:val="0"/>
    <w:rPr>
      <w:rFonts w:ascii="Arial" w:hAnsi="Arial" w:eastAsia="黑体"/>
      <w:b/>
      <w:bCs/>
      <w:kern w:val="2"/>
      <w:sz w:val="32"/>
      <w:szCs w:val="32"/>
      <w:lang w:val="en-US" w:eastAsia="zh-CN" w:bidi="ar-SA"/>
    </w:rPr>
  </w:style>
  <w:style w:type="character" w:customStyle="1" w:styleId="248">
    <w:name w:val="标题 5 Char"/>
    <w:qFormat/>
    <w:uiPriority w:val="0"/>
    <w:rPr>
      <w:rFonts w:eastAsia="宋体"/>
      <w:b/>
      <w:kern w:val="2"/>
      <w:sz w:val="28"/>
      <w:lang w:val="en-US" w:eastAsia="zh-CN" w:bidi="ar-SA"/>
    </w:rPr>
  </w:style>
  <w:style w:type="paragraph" w:customStyle="1" w:styleId="249">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50">
    <w:name w:val="Char Char1 Char Char Char Char Char Char1"/>
    <w:basedOn w:val="23"/>
    <w:qFormat/>
    <w:uiPriority w:val="0"/>
    <w:rPr>
      <w:rFonts w:ascii="宋体" w:hAnsi="Calibri"/>
      <w:kern w:val="0"/>
      <w:szCs w:val="18"/>
    </w:rPr>
  </w:style>
  <w:style w:type="paragraph" w:customStyle="1" w:styleId="251">
    <w:name w:val="15"/>
    <w:basedOn w:val="1"/>
    <w:qFormat/>
    <w:uiPriority w:val="0"/>
    <w:pPr>
      <w:widowControl/>
      <w:snapToGrid w:val="0"/>
      <w:spacing w:before="100" w:beforeAutospacing="1" w:after="100" w:afterAutospacing="1"/>
    </w:pPr>
    <w:rPr>
      <w:kern w:val="0"/>
      <w:sz w:val="20"/>
      <w:szCs w:val="20"/>
    </w:rPr>
  </w:style>
  <w:style w:type="paragraph" w:customStyle="1" w:styleId="252">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character" w:customStyle="1" w:styleId="253">
    <w:name w:val="Char Char Char Char Char Char1111"/>
    <w:qFormat/>
    <w:uiPriority w:val="0"/>
    <w:rPr>
      <w:rFonts w:ascii="Cambria" w:hAnsi="Cambria"/>
      <w:b/>
      <w:bCs/>
      <w:kern w:val="2"/>
      <w:sz w:val="32"/>
      <w:szCs w:val="32"/>
      <w:lang w:bidi="ar-SA"/>
    </w:rPr>
  </w:style>
  <w:style w:type="character" w:customStyle="1" w:styleId="254">
    <w:name w:val="标题4 Char Char"/>
    <w:link w:val="153"/>
    <w:qFormat/>
    <w:locked/>
    <w:uiPriority w:val="0"/>
    <w:rPr>
      <w:rFonts w:ascii="Arial" w:hAnsi="Arial"/>
      <w:b/>
      <w:sz w:val="32"/>
    </w:rPr>
  </w:style>
  <w:style w:type="paragraph" w:customStyle="1" w:styleId="255">
    <w:name w:val="_Style 63"/>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256">
    <w:name w:val="明显引用 Char"/>
    <w:qFormat/>
    <w:locked/>
    <w:uiPriority w:val="0"/>
    <w:rPr>
      <w:b/>
      <w:i/>
      <w:color w:val="4F81BD"/>
      <w:sz w:val="22"/>
    </w:rPr>
  </w:style>
  <w:style w:type="paragraph" w:customStyle="1" w:styleId="257">
    <w:name w:val="文本块11"/>
    <w:basedOn w:val="1"/>
    <w:next w:val="1"/>
    <w:qFormat/>
    <w:uiPriority w:val="0"/>
    <w:rPr>
      <w:i/>
      <w:iCs/>
      <w:color w:val="000000"/>
      <w:szCs w:val="22"/>
    </w:rPr>
  </w:style>
  <w:style w:type="paragraph" w:customStyle="1" w:styleId="258">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character" w:customStyle="1" w:styleId="259">
    <w:name w:val="引用 Char1"/>
    <w:qFormat/>
    <w:uiPriority w:val="0"/>
    <w:rPr>
      <w:rFonts w:ascii="Times New Roman" w:hAnsi="Times New Roman" w:eastAsia="宋体" w:cs="Times New Roman"/>
      <w:i/>
      <w:iCs/>
      <w:color w:val="000000"/>
      <w:szCs w:val="24"/>
    </w:rPr>
  </w:style>
  <w:style w:type="paragraph" w:customStyle="1" w:styleId="260">
    <w:name w:val="xl35"/>
    <w:basedOn w:val="1"/>
    <w:qFormat/>
    <w:uiPriority w:val="0"/>
    <w:pPr>
      <w:widowControl/>
      <w:spacing w:before="100" w:beforeAutospacing="1" w:after="100" w:afterAutospacing="1"/>
      <w:jc w:val="left"/>
    </w:pPr>
    <w:rPr>
      <w:b/>
      <w:bCs/>
      <w:kern w:val="0"/>
      <w:sz w:val="24"/>
    </w:rPr>
  </w:style>
  <w:style w:type="character" w:customStyle="1" w:styleId="261">
    <w:name w:val="Blockquote Char Char"/>
    <w:link w:val="110"/>
    <w:qFormat/>
    <w:locked/>
    <w:uiPriority w:val="0"/>
    <w:rPr>
      <w:sz w:val="24"/>
    </w:rPr>
  </w:style>
  <w:style w:type="character" w:customStyle="1" w:styleId="262">
    <w:name w:val="标题 1 字符1"/>
    <w:link w:val="4"/>
    <w:qFormat/>
    <w:uiPriority w:val="0"/>
    <w:rPr>
      <w:b/>
      <w:bCs/>
      <w:kern w:val="44"/>
      <w:sz w:val="44"/>
      <w:szCs w:val="44"/>
    </w:rPr>
  </w:style>
  <w:style w:type="character" w:customStyle="1" w:styleId="263">
    <w:name w:val="样式2 字符"/>
    <w:link w:val="264"/>
    <w:qFormat/>
    <w:uiPriority w:val="0"/>
    <w:rPr>
      <w:rFonts w:ascii="楷体_GB2312" w:hAnsi="Arial" w:eastAsia="仿宋_GB2312"/>
      <w:kern w:val="2"/>
      <w:sz w:val="28"/>
      <w:szCs w:val="28"/>
    </w:rPr>
  </w:style>
  <w:style w:type="paragraph" w:customStyle="1" w:styleId="264">
    <w:name w:val="样式2"/>
    <w:basedOn w:val="1"/>
    <w:link w:val="263"/>
    <w:qFormat/>
    <w:uiPriority w:val="0"/>
    <w:pPr>
      <w:spacing w:line="560" w:lineRule="exact"/>
      <w:ind w:firstLine="561" w:firstLineChars="200"/>
    </w:pPr>
    <w:rPr>
      <w:rFonts w:ascii="楷体_GB2312" w:hAnsi="Arial" w:eastAsia="仿宋_GB2312"/>
      <w:sz w:val="28"/>
      <w:szCs w:val="28"/>
    </w:rPr>
  </w:style>
  <w:style w:type="character" w:customStyle="1" w:styleId="265">
    <w:name w:val="正文文本 2 Char"/>
    <w:qFormat/>
    <w:uiPriority w:val="0"/>
    <w:rPr>
      <w:sz w:val="24"/>
    </w:rPr>
  </w:style>
  <w:style w:type="character" w:customStyle="1" w:styleId="266">
    <w:name w:val="批注框文本 Char Char Char Char"/>
    <w:qFormat/>
    <w:uiPriority w:val="0"/>
    <w:rPr>
      <w:rFonts w:ascii="宋体"/>
      <w:sz w:val="18"/>
      <w:szCs w:val="18"/>
      <w:lang w:bidi="ar-SA"/>
    </w:rPr>
  </w:style>
  <w:style w:type="character" w:customStyle="1" w:styleId="267">
    <w:name w:val="无间隔 Char"/>
    <w:link w:val="111"/>
    <w:qFormat/>
    <w:locked/>
    <w:uiPriority w:val="0"/>
    <w:rPr>
      <w:rFonts w:cs="Calibri"/>
      <w:sz w:val="22"/>
      <w:szCs w:val="22"/>
      <w:lang w:val="en-US" w:eastAsia="zh-CN" w:bidi="ar-SA"/>
    </w:rPr>
  </w:style>
  <w:style w:type="character" w:customStyle="1" w:styleId="268">
    <w:name w:val="font81"/>
    <w:qFormat/>
    <w:uiPriority w:val="0"/>
    <w:rPr>
      <w:rFonts w:hint="default" w:ascii="Times New Roman" w:hAnsi="Times New Roman" w:cs="Times New Roman"/>
      <w:color w:val="000000"/>
      <w:sz w:val="20"/>
      <w:szCs w:val="20"/>
      <w:u w:val="none"/>
    </w:rPr>
  </w:style>
  <w:style w:type="paragraph" w:customStyle="1" w:styleId="269">
    <w:name w:val="表格"/>
    <w:basedOn w:val="1"/>
    <w:link w:val="604"/>
    <w:qFormat/>
    <w:uiPriority w:val="0"/>
    <w:pPr>
      <w:jc w:val="center"/>
      <w:textAlignment w:val="center"/>
    </w:pPr>
    <w:rPr>
      <w:rFonts w:ascii="华文细黑" w:hAnsi="华文细黑"/>
      <w:kern w:val="0"/>
      <w:szCs w:val="20"/>
    </w:rPr>
  </w:style>
  <w:style w:type="character" w:customStyle="1" w:styleId="270">
    <w:name w:val="书籍标题12"/>
    <w:qFormat/>
    <w:uiPriority w:val="0"/>
    <w:rPr>
      <w:b/>
      <w:bCs/>
      <w:smallCaps/>
      <w:spacing w:val="5"/>
    </w:rPr>
  </w:style>
  <w:style w:type="character" w:customStyle="1" w:styleId="271">
    <w:name w:val="Title Char"/>
    <w:qFormat/>
    <w:locked/>
    <w:uiPriority w:val="0"/>
    <w:rPr>
      <w:rFonts w:ascii="Cambria" w:hAnsi="Cambria" w:eastAsia="方正小标宋简体" w:cs="Cambria"/>
      <w:b/>
      <w:bCs/>
      <w:kern w:val="2"/>
      <w:sz w:val="32"/>
      <w:szCs w:val="32"/>
    </w:rPr>
  </w:style>
  <w:style w:type="paragraph" w:customStyle="1" w:styleId="272">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273">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274">
    <w:name w:val="Heading 3 Char"/>
    <w:qFormat/>
    <w:locked/>
    <w:uiPriority w:val="0"/>
    <w:rPr>
      <w:rFonts w:eastAsia="宋体"/>
      <w:b/>
      <w:bCs/>
      <w:kern w:val="2"/>
      <w:sz w:val="32"/>
      <w:szCs w:val="32"/>
      <w:lang w:val="en-US" w:eastAsia="zh-CN" w:bidi="ar-SA"/>
    </w:rPr>
  </w:style>
  <w:style w:type="character" w:customStyle="1" w:styleId="275">
    <w:name w:val="正文文本缩进 Char1"/>
    <w:qFormat/>
    <w:uiPriority w:val="99"/>
    <w:rPr>
      <w:rFonts w:ascii="Times New Roman" w:hAnsi="Times New Roman" w:eastAsia="宋体" w:cs="Times New Roman"/>
      <w:szCs w:val="24"/>
    </w:rPr>
  </w:style>
  <w:style w:type="paragraph" w:customStyle="1" w:styleId="276">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styleId="277">
    <w:name w:val="Quote"/>
    <w:basedOn w:val="1"/>
    <w:next w:val="1"/>
    <w:link w:val="482"/>
    <w:qFormat/>
    <w:uiPriority w:val="0"/>
    <w:rPr>
      <w:rFonts w:ascii="Calibri" w:hAnsi="Calibri"/>
      <w:i/>
      <w:color w:val="000000"/>
      <w:sz w:val="22"/>
      <w:szCs w:val="22"/>
    </w:rPr>
  </w:style>
  <w:style w:type="character" w:customStyle="1" w:styleId="278">
    <w:name w:val="不明显参考12"/>
    <w:qFormat/>
    <w:uiPriority w:val="0"/>
    <w:rPr>
      <w:smallCaps/>
      <w:color w:val="C0504D"/>
      <w:u w:val="single"/>
    </w:rPr>
  </w:style>
  <w:style w:type="character" w:customStyle="1" w:styleId="279">
    <w:name w:val="font91"/>
    <w:qFormat/>
    <w:uiPriority w:val="0"/>
    <w:rPr>
      <w:rFonts w:hint="eastAsia" w:ascii="宋体" w:hAnsi="宋体" w:eastAsia="宋体" w:cs="宋体"/>
      <w:color w:val="000000"/>
      <w:sz w:val="22"/>
      <w:szCs w:val="22"/>
      <w:u w:val="none"/>
    </w:rPr>
  </w:style>
  <w:style w:type="character" w:customStyle="1" w:styleId="280">
    <w:name w:val="Heading 2 Char"/>
    <w:qFormat/>
    <w:locked/>
    <w:uiPriority w:val="0"/>
    <w:rPr>
      <w:rFonts w:ascii="Arial" w:hAnsi="Arial" w:eastAsia="黑体"/>
      <w:b/>
      <w:bCs/>
      <w:kern w:val="2"/>
      <w:sz w:val="32"/>
      <w:szCs w:val="32"/>
      <w:lang w:val="en-US" w:eastAsia="zh-CN" w:bidi="ar-SA"/>
    </w:rPr>
  </w:style>
  <w:style w:type="paragraph" w:customStyle="1" w:styleId="281">
    <w:name w:val="Table Paragraph"/>
    <w:basedOn w:val="1"/>
    <w:qFormat/>
    <w:uiPriority w:val="1"/>
    <w:pPr>
      <w:autoSpaceDE w:val="0"/>
      <w:autoSpaceDN w:val="0"/>
      <w:adjustRightInd w:val="0"/>
      <w:jc w:val="left"/>
    </w:pPr>
    <w:rPr>
      <w:rFonts w:ascii="Arial Unicode MS" w:eastAsia="Arial Unicode MS" w:cs="Arial Unicode MS"/>
      <w:kern w:val="0"/>
      <w:sz w:val="24"/>
    </w:rPr>
  </w:style>
  <w:style w:type="character" w:customStyle="1" w:styleId="282">
    <w:name w:val="正文文本缩进 2 字符"/>
    <w:link w:val="40"/>
    <w:qFormat/>
    <w:uiPriority w:val="99"/>
    <w:rPr>
      <w:sz w:val="24"/>
      <w:szCs w:val="24"/>
    </w:rPr>
  </w:style>
  <w:style w:type="character" w:customStyle="1" w:styleId="283">
    <w:name w:val="正文首行缩进 2 Char"/>
    <w:qFormat/>
    <w:uiPriority w:val="0"/>
    <w:rPr>
      <w:rFonts w:ascii="Calibri" w:hAnsi="Calibri" w:eastAsia="宋体"/>
      <w:szCs w:val="24"/>
    </w:rPr>
  </w:style>
  <w:style w:type="paragraph" w:customStyle="1" w:styleId="284">
    <w:name w:val="批注主题11"/>
    <w:basedOn w:val="25"/>
    <w:next w:val="25"/>
    <w:qFormat/>
    <w:uiPriority w:val="0"/>
    <w:rPr>
      <w:rFonts w:ascii="宋体" w:hAnsi="Calibri"/>
      <w:b/>
      <w:bCs/>
      <w:kern w:val="0"/>
      <w:sz w:val="28"/>
      <w:szCs w:val="20"/>
    </w:rPr>
  </w:style>
  <w:style w:type="paragraph" w:customStyle="1" w:styleId="285">
    <w:name w:val="xl36"/>
    <w:basedOn w:val="1"/>
    <w:qFormat/>
    <w:uiPriority w:val="0"/>
    <w:pPr>
      <w:widowControl/>
      <w:spacing w:before="100" w:beforeAutospacing="1" w:after="100" w:afterAutospacing="1"/>
      <w:jc w:val="left"/>
    </w:pPr>
    <w:rPr>
      <w:rFonts w:ascii="宋体" w:hAnsi="宋体"/>
      <w:b/>
      <w:bCs/>
      <w:kern w:val="0"/>
      <w:sz w:val="24"/>
    </w:rPr>
  </w:style>
  <w:style w:type="character" w:customStyle="1" w:styleId="286">
    <w:name w:val="日期 Char"/>
    <w:qFormat/>
    <w:locked/>
    <w:uiPriority w:val="0"/>
    <w:rPr>
      <w:rFonts w:eastAsia="宋体"/>
      <w:sz w:val="24"/>
    </w:rPr>
  </w:style>
  <w:style w:type="character" w:customStyle="1" w:styleId="287">
    <w:name w:val="标题 8 Char"/>
    <w:qFormat/>
    <w:uiPriority w:val="0"/>
    <w:rPr>
      <w:rFonts w:ascii="Arial" w:hAnsi="Arial" w:eastAsia="黑体"/>
      <w:sz w:val="24"/>
      <w:szCs w:val="24"/>
      <w:lang w:val="en-US" w:eastAsia="zh-CN" w:bidi="ar-SA"/>
    </w:rPr>
  </w:style>
  <w:style w:type="character" w:customStyle="1" w:styleId="288">
    <w:name w:val="页脚 Char2"/>
    <w:semiHidden/>
    <w:qFormat/>
    <w:uiPriority w:val="99"/>
    <w:rPr>
      <w:rFonts w:ascii="Times New Roman" w:hAnsi="Times New Roman" w:eastAsia="宋体" w:cs="Times New Roman"/>
      <w:sz w:val="18"/>
      <w:szCs w:val="18"/>
    </w:rPr>
  </w:style>
  <w:style w:type="character" w:customStyle="1" w:styleId="289">
    <w:name w:val="批注框文本 字符"/>
    <w:link w:val="42"/>
    <w:qFormat/>
    <w:uiPriority w:val="0"/>
    <w:rPr>
      <w:kern w:val="2"/>
      <w:sz w:val="18"/>
      <w:szCs w:val="18"/>
    </w:rPr>
  </w:style>
  <w:style w:type="paragraph" w:customStyle="1" w:styleId="290">
    <w:name w:val="_Style 488"/>
    <w:basedOn w:val="1"/>
    <w:next w:val="237"/>
    <w:qFormat/>
    <w:uiPriority w:val="99"/>
    <w:pPr>
      <w:ind w:firstLine="420" w:firstLineChars="200"/>
    </w:pPr>
    <w:rPr>
      <w:rFonts w:ascii="Calibri" w:hAnsi="Calibri"/>
      <w:szCs w:val="22"/>
    </w:rPr>
  </w:style>
  <w:style w:type="paragraph" w:customStyle="1" w:styleId="291">
    <w:name w:val="p0"/>
    <w:basedOn w:val="1"/>
    <w:qFormat/>
    <w:uiPriority w:val="0"/>
    <w:pPr>
      <w:widowControl/>
    </w:pPr>
    <w:rPr>
      <w:kern w:val="0"/>
      <w:szCs w:val="21"/>
    </w:rPr>
  </w:style>
  <w:style w:type="character" w:customStyle="1" w:styleId="292">
    <w:name w:val="标题 2 Char1"/>
    <w:qFormat/>
    <w:uiPriority w:val="0"/>
    <w:rPr>
      <w:rFonts w:ascii="Arial" w:hAnsi="Arial"/>
      <w:b/>
      <w:bCs/>
      <w:kern w:val="2"/>
      <w:sz w:val="28"/>
      <w:szCs w:val="32"/>
    </w:rPr>
  </w:style>
  <w:style w:type="paragraph" w:customStyle="1" w:styleId="293">
    <w:name w:val="样式 标题 2 + Times New Roman 四号 非加粗 段前: 5 磅 段后: 0 磅 行距: 固定值 20..."/>
    <w:basedOn w:val="154"/>
    <w:link w:val="913"/>
    <w:qFormat/>
    <w:uiPriority w:val="0"/>
    <w:pPr>
      <w:spacing w:after="0" w:line="400" w:lineRule="exact"/>
    </w:pPr>
    <w:rPr>
      <w:rFonts w:ascii="Times New Roman" w:hAnsi="Times New Roman" w:eastAsia="黑体" w:cs="宋体"/>
      <w:sz w:val="28"/>
    </w:rPr>
  </w:style>
  <w:style w:type="paragraph" w:customStyle="1" w:styleId="294">
    <w:name w:val="BCDDE9ABABFE460AAF8A1CFF4CFA4596"/>
    <w:qFormat/>
    <w:uiPriority w:val="0"/>
    <w:pPr>
      <w:spacing w:after="200" w:line="276" w:lineRule="auto"/>
    </w:pPr>
    <w:rPr>
      <w:rFonts w:ascii="Calibri" w:hAnsi="Calibri" w:eastAsiaTheme="minorEastAsia" w:cstheme="minorBidi"/>
      <w:kern w:val="2"/>
      <w:sz w:val="22"/>
      <w:szCs w:val="22"/>
      <w:lang w:val="en-US" w:eastAsia="en-US" w:bidi="ar-SA"/>
    </w:rPr>
  </w:style>
  <w:style w:type="character" w:customStyle="1" w:styleId="295">
    <w:name w:val="明显强调2121"/>
    <w:qFormat/>
    <w:uiPriority w:val="0"/>
    <w:rPr>
      <w:b/>
      <w:bCs/>
      <w:i/>
      <w:iCs/>
      <w:color w:val="4F81BD"/>
    </w:rPr>
  </w:style>
  <w:style w:type="paragraph" w:customStyle="1" w:styleId="296">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297">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298">
    <w:name w:val="普通文字 Char"/>
    <w:qFormat/>
    <w:uiPriority w:val="0"/>
    <w:rPr>
      <w:rFonts w:ascii="宋体" w:hAnsi="Courier New" w:cs="宋体"/>
      <w:sz w:val="21"/>
      <w:szCs w:val="21"/>
    </w:rPr>
  </w:style>
  <w:style w:type="character" w:customStyle="1" w:styleId="299">
    <w:name w:val="明显参考11"/>
    <w:qFormat/>
    <w:uiPriority w:val="0"/>
    <w:rPr>
      <w:b/>
      <w:bCs/>
      <w:smallCaps/>
      <w:color w:val="C0504D"/>
      <w:spacing w:val="5"/>
      <w:u w:val="single"/>
    </w:rPr>
  </w:style>
  <w:style w:type="paragraph" w:customStyle="1" w:styleId="300">
    <w:name w:val="标题5"/>
    <w:basedOn w:val="6"/>
    <w:link w:val="398"/>
    <w:qFormat/>
    <w:uiPriority w:val="0"/>
    <w:pPr>
      <w:spacing w:line="413" w:lineRule="auto"/>
    </w:pPr>
    <w:rPr>
      <w:rFonts w:ascii="Arial" w:hAnsi="Arial"/>
      <w:bCs w:val="0"/>
      <w:kern w:val="0"/>
      <w:szCs w:val="20"/>
    </w:rPr>
  </w:style>
  <w:style w:type="paragraph" w:customStyle="1" w:styleId="301">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character" w:customStyle="1" w:styleId="302">
    <w:name w:val="标题 2 Char"/>
    <w:qFormat/>
    <w:uiPriority w:val="0"/>
    <w:rPr>
      <w:rFonts w:ascii="Arial" w:hAnsi="Arial" w:eastAsia="黑体"/>
      <w:b/>
      <w:bCs/>
      <w:kern w:val="2"/>
      <w:sz w:val="32"/>
      <w:szCs w:val="32"/>
      <w:lang w:val="en-US" w:eastAsia="zh-CN" w:bidi="ar-SA"/>
    </w:rPr>
  </w:style>
  <w:style w:type="character" w:customStyle="1" w:styleId="303">
    <w:name w:val="批注文字 Char"/>
    <w:qFormat/>
    <w:locked/>
    <w:uiPriority w:val="0"/>
    <w:rPr>
      <w:rFonts w:eastAsia="宋体"/>
      <w:sz w:val="24"/>
      <w:szCs w:val="24"/>
    </w:rPr>
  </w:style>
  <w:style w:type="character" w:customStyle="1" w:styleId="304">
    <w:name w:val="明显强调21"/>
    <w:qFormat/>
    <w:uiPriority w:val="0"/>
    <w:rPr>
      <w:b/>
      <w:bCs/>
      <w:i/>
      <w:iCs/>
      <w:color w:val="4F81BD"/>
    </w:rPr>
  </w:style>
  <w:style w:type="character" w:customStyle="1" w:styleId="305">
    <w:name w:val="t-link42"/>
    <w:qFormat/>
    <w:uiPriority w:val="0"/>
  </w:style>
  <w:style w:type="paragraph" w:customStyle="1" w:styleId="306">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307">
    <w:name w:val="标题 7 Char"/>
    <w:qFormat/>
    <w:uiPriority w:val="0"/>
    <w:rPr>
      <w:rFonts w:eastAsia="宋体"/>
      <w:b/>
      <w:bCs/>
      <w:sz w:val="24"/>
      <w:szCs w:val="24"/>
      <w:lang w:val="en-US" w:eastAsia="zh-CN" w:bidi="ar-SA"/>
    </w:rPr>
  </w:style>
  <w:style w:type="character" w:customStyle="1" w:styleId="308">
    <w:name w:val="Header Char"/>
    <w:qFormat/>
    <w:locked/>
    <w:uiPriority w:val="0"/>
    <w:rPr>
      <w:rFonts w:ascii="Times New Roman" w:hAnsi="Times New Roman" w:cs="Times New Roman"/>
      <w:sz w:val="18"/>
      <w:szCs w:val="18"/>
    </w:rPr>
  </w:style>
  <w:style w:type="character" w:customStyle="1" w:styleId="309">
    <w:name w:val="Quote Char"/>
    <w:link w:val="210"/>
    <w:qFormat/>
    <w:locked/>
    <w:uiPriority w:val="0"/>
    <w:rPr>
      <w:i/>
      <w:color w:val="000000"/>
      <w:sz w:val="22"/>
    </w:rPr>
  </w:style>
  <w:style w:type="character" w:customStyle="1" w:styleId="310">
    <w:name w:val="标题 9 字符"/>
    <w:link w:val="12"/>
    <w:qFormat/>
    <w:uiPriority w:val="9"/>
    <w:rPr>
      <w:rFonts w:ascii="Arial" w:hAnsi="Arial" w:eastAsia="黑体"/>
      <w:sz w:val="21"/>
      <w:szCs w:val="21"/>
    </w:rPr>
  </w:style>
  <w:style w:type="character" w:customStyle="1" w:styleId="311">
    <w:name w:val="标题 2 字符"/>
    <w:link w:val="154"/>
    <w:qFormat/>
    <w:uiPriority w:val="0"/>
    <w:rPr>
      <w:rFonts w:ascii="Arial" w:hAnsi="Arial" w:eastAsia="宋体"/>
      <w:b/>
      <w:bCs/>
      <w:kern w:val="2"/>
      <w:sz w:val="32"/>
      <w:szCs w:val="32"/>
      <w:lang w:val="en-US" w:eastAsia="zh-CN" w:bidi="ar-SA"/>
    </w:rPr>
  </w:style>
  <w:style w:type="character" w:customStyle="1" w:styleId="312">
    <w:name w:val="case31"/>
    <w:qFormat/>
    <w:uiPriority w:val="0"/>
    <w:rPr>
      <w:sz w:val="21"/>
      <w:szCs w:val="21"/>
    </w:rPr>
  </w:style>
  <w:style w:type="paragraph" w:customStyle="1" w:styleId="313">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314">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character" w:customStyle="1" w:styleId="315">
    <w:name w:val="引用 Char"/>
    <w:qFormat/>
    <w:locked/>
    <w:uiPriority w:val="0"/>
    <w:rPr>
      <w:i/>
      <w:color w:val="000000"/>
      <w:sz w:val="22"/>
    </w:rPr>
  </w:style>
  <w:style w:type="character" w:customStyle="1" w:styleId="316">
    <w:name w:val="正文文本 Char2"/>
    <w:qFormat/>
    <w:uiPriority w:val="99"/>
    <w:rPr>
      <w:rFonts w:ascii="Times New Roman" w:hAnsi="Times New Roman" w:eastAsia="宋体" w:cs="Times New Roman"/>
      <w:szCs w:val="24"/>
    </w:rPr>
  </w:style>
  <w:style w:type="paragraph" w:customStyle="1" w:styleId="317">
    <w:name w:val="_Style 19"/>
    <w:basedOn w:val="23"/>
    <w:qFormat/>
    <w:uiPriority w:val="0"/>
    <w:rPr>
      <w:rFonts w:ascii="Calibri" w:hAnsi="Calibri"/>
    </w:rPr>
  </w:style>
  <w:style w:type="paragraph" w:customStyle="1" w:styleId="318">
    <w:name w:val="Char1 Char Char Char"/>
    <w:basedOn w:val="1"/>
    <w:qFormat/>
    <w:uiPriority w:val="0"/>
    <w:rPr>
      <w:rFonts w:eastAsia="仿宋_GB2312"/>
      <w:sz w:val="28"/>
      <w:szCs w:val="28"/>
    </w:rPr>
  </w:style>
  <w:style w:type="character" w:customStyle="1" w:styleId="319">
    <w:name w:val="文档结构图 Char"/>
    <w:qFormat/>
    <w:locked/>
    <w:uiPriority w:val="0"/>
    <w:rPr>
      <w:rFonts w:eastAsia="宋体"/>
      <w:sz w:val="24"/>
      <w:shd w:val="clear" w:color="auto" w:fill="000080"/>
    </w:rPr>
  </w:style>
  <w:style w:type="character" w:customStyle="1" w:styleId="320">
    <w:name w:val="Block Text Char Char Char"/>
    <w:qFormat/>
    <w:uiPriority w:val="0"/>
    <w:rPr>
      <w:rFonts w:ascii="Calibri" w:hAnsi="Calibri" w:eastAsia="宋体"/>
      <w:i/>
      <w:iCs/>
      <w:color w:val="000000"/>
      <w:kern w:val="2"/>
      <w:sz w:val="22"/>
      <w:szCs w:val="22"/>
      <w:lang w:val="en-US" w:eastAsia="zh-CN" w:bidi="ar-SA"/>
    </w:rPr>
  </w:style>
  <w:style w:type="paragraph" w:customStyle="1" w:styleId="32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22">
    <w:name w:val="Char Char2"/>
    <w:qFormat/>
    <w:uiPriority w:val="0"/>
    <w:rPr>
      <w:rFonts w:eastAsia="宋体"/>
      <w:kern w:val="2"/>
      <w:sz w:val="21"/>
      <w:szCs w:val="24"/>
      <w:lang w:val="en-US" w:eastAsia="zh-CN" w:bidi="ar-SA"/>
    </w:rPr>
  </w:style>
  <w:style w:type="paragraph" w:customStyle="1" w:styleId="323">
    <w:name w:val="列出段落1"/>
    <w:basedOn w:val="1"/>
    <w:link w:val="906"/>
    <w:qFormat/>
    <w:uiPriority w:val="0"/>
    <w:pPr>
      <w:ind w:firstLine="420" w:firstLineChars="200"/>
    </w:pPr>
    <w:rPr>
      <w:szCs w:val="21"/>
    </w:rPr>
  </w:style>
  <w:style w:type="character" w:customStyle="1" w:styleId="324">
    <w:name w:val="副标题 Char"/>
    <w:qFormat/>
    <w:locked/>
    <w:uiPriority w:val="0"/>
    <w:rPr>
      <w:rFonts w:ascii="Arial" w:hAnsi="Arial" w:eastAsia="黑体"/>
      <w:b/>
      <w:bCs/>
      <w:sz w:val="32"/>
      <w:szCs w:val="32"/>
    </w:rPr>
  </w:style>
  <w:style w:type="character" w:customStyle="1" w:styleId="325">
    <w:name w:val="t-in2"/>
    <w:qFormat/>
    <w:uiPriority w:val="0"/>
  </w:style>
  <w:style w:type="character" w:customStyle="1" w:styleId="326">
    <w:name w:val="Char Char24"/>
    <w:qFormat/>
    <w:uiPriority w:val="0"/>
    <w:rPr>
      <w:rFonts w:ascii="Arial" w:hAnsi="Arial" w:eastAsia="黑体" w:cs="Times New Roman"/>
      <w:b/>
      <w:bCs/>
      <w:sz w:val="28"/>
      <w:szCs w:val="28"/>
    </w:rPr>
  </w:style>
  <w:style w:type="paragraph" w:customStyle="1" w:styleId="327">
    <w:name w:val="Char Char Char2"/>
    <w:basedOn w:val="23"/>
    <w:qFormat/>
    <w:uiPriority w:val="0"/>
    <w:rPr>
      <w:rFonts w:ascii="Calibri" w:hAnsi="Calibri"/>
      <w:szCs w:val="22"/>
    </w:rPr>
  </w:style>
  <w:style w:type="character" w:customStyle="1" w:styleId="328">
    <w:name w:val="Char Char9"/>
    <w:qFormat/>
    <w:uiPriority w:val="0"/>
    <w:rPr>
      <w:kern w:val="2"/>
      <w:sz w:val="21"/>
      <w:szCs w:val="22"/>
    </w:rPr>
  </w:style>
  <w:style w:type="character" w:customStyle="1" w:styleId="329">
    <w:name w:val="页脚 Char1"/>
    <w:qFormat/>
    <w:uiPriority w:val="99"/>
    <w:rPr>
      <w:kern w:val="2"/>
      <w:sz w:val="18"/>
      <w:szCs w:val="18"/>
    </w:rPr>
  </w:style>
  <w:style w:type="paragraph" w:customStyle="1" w:styleId="330">
    <w:name w:val="Char Char1 Char Char Char Char Char Char"/>
    <w:basedOn w:val="23"/>
    <w:qFormat/>
    <w:uiPriority w:val="0"/>
    <w:rPr>
      <w:rFonts w:ascii="Calibri" w:hAnsi="Calibri"/>
      <w:szCs w:val="22"/>
    </w:rPr>
  </w:style>
  <w:style w:type="character" w:customStyle="1" w:styleId="331">
    <w:name w:val="不明显参考11"/>
    <w:qFormat/>
    <w:uiPriority w:val="0"/>
    <w:rPr>
      <w:smallCaps/>
      <w:color w:val="C0504D"/>
      <w:u w:val="single"/>
    </w:rPr>
  </w:style>
  <w:style w:type="character" w:customStyle="1" w:styleId="332">
    <w:name w:val="Subtitle Char"/>
    <w:qFormat/>
    <w:locked/>
    <w:uiPriority w:val="0"/>
    <w:rPr>
      <w:rFonts w:ascii="Cambria" w:hAnsi="Cambria" w:eastAsia="方正楷体简体" w:cs="Cambria"/>
      <w:kern w:val="28"/>
      <w:sz w:val="32"/>
      <w:szCs w:val="32"/>
    </w:rPr>
  </w:style>
  <w:style w:type="paragraph" w:customStyle="1" w:styleId="333">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34">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character" w:customStyle="1" w:styleId="335">
    <w:name w:val="Char Char31"/>
    <w:qFormat/>
    <w:locked/>
    <w:uiPriority w:val="0"/>
    <w:rPr>
      <w:rFonts w:ascii="Arial" w:hAnsi="Arial" w:eastAsia="黑体"/>
      <w:b/>
      <w:bCs/>
      <w:kern w:val="2"/>
      <w:sz w:val="32"/>
      <w:szCs w:val="32"/>
      <w:lang w:val="en-US" w:eastAsia="zh-CN" w:bidi="ar-SA"/>
    </w:rPr>
  </w:style>
  <w:style w:type="character" w:customStyle="1" w:styleId="336">
    <w:name w:val="明显强调1111"/>
    <w:qFormat/>
    <w:uiPriority w:val="0"/>
    <w:rPr>
      <w:b/>
      <w:bCs/>
      <w:i/>
      <w:iCs/>
      <w:color w:val="4F81BD"/>
    </w:rPr>
  </w:style>
  <w:style w:type="paragraph" w:customStyle="1" w:styleId="337">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38">
    <w:name w:val="Char Char81"/>
    <w:qFormat/>
    <w:uiPriority w:val="0"/>
    <w:rPr>
      <w:rFonts w:ascii="Arial" w:hAnsi="Arial" w:eastAsia="黑体"/>
      <w:b/>
      <w:bCs/>
      <w:kern w:val="2"/>
      <w:sz w:val="32"/>
      <w:szCs w:val="32"/>
      <w:lang w:val="en-US" w:eastAsia="zh-CN" w:bidi="ar-SA"/>
    </w:rPr>
  </w:style>
  <w:style w:type="paragraph" w:customStyle="1" w:styleId="339">
    <w:name w:val="1"/>
    <w:basedOn w:val="1"/>
    <w:next w:val="1"/>
    <w:qFormat/>
    <w:uiPriority w:val="0"/>
  </w:style>
  <w:style w:type="character" w:customStyle="1" w:styleId="340">
    <w:name w:val="Char Char18"/>
    <w:qFormat/>
    <w:uiPriority w:val="0"/>
    <w:rPr>
      <w:b/>
      <w:bCs/>
      <w:kern w:val="44"/>
      <w:sz w:val="44"/>
      <w:szCs w:val="44"/>
    </w:rPr>
  </w:style>
  <w:style w:type="character" w:customStyle="1" w:styleId="341">
    <w:name w:val="明显引用 字符"/>
    <w:link w:val="235"/>
    <w:qFormat/>
    <w:uiPriority w:val="0"/>
    <w:rPr>
      <w:rFonts w:ascii="Calibri" w:hAnsi="Calibri"/>
      <w:b/>
      <w:i/>
      <w:color w:val="4F81BD"/>
      <w:kern w:val="2"/>
      <w:sz w:val="22"/>
      <w:szCs w:val="22"/>
    </w:rPr>
  </w:style>
  <w:style w:type="character" w:customStyle="1" w:styleId="342">
    <w:name w:val="正文文本 3 Char"/>
    <w:qFormat/>
    <w:locked/>
    <w:uiPriority w:val="0"/>
    <w:rPr>
      <w:rFonts w:ascii="宋体" w:eastAsia="宋体"/>
      <w:sz w:val="24"/>
    </w:rPr>
  </w:style>
  <w:style w:type="character" w:customStyle="1" w:styleId="343">
    <w:name w:val="Char Char Char"/>
    <w:qFormat/>
    <w:locked/>
    <w:uiPriority w:val="0"/>
    <w:rPr>
      <w:rFonts w:eastAsia="宋体"/>
      <w:b/>
      <w:bCs/>
      <w:kern w:val="44"/>
      <w:sz w:val="44"/>
      <w:szCs w:val="44"/>
      <w:lang w:val="en-US" w:eastAsia="zh-CN" w:bidi="ar-SA"/>
    </w:rPr>
  </w:style>
  <w:style w:type="character" w:customStyle="1" w:styleId="344">
    <w:name w:val="标题 9 Char"/>
    <w:qFormat/>
    <w:uiPriority w:val="0"/>
    <w:rPr>
      <w:rFonts w:ascii="Arial" w:hAnsi="Arial" w:eastAsia="黑体"/>
      <w:sz w:val="21"/>
      <w:szCs w:val="21"/>
      <w:lang w:val="en-US" w:eastAsia="zh-CN" w:bidi="ar-SA"/>
    </w:rPr>
  </w:style>
  <w:style w:type="character" w:customStyle="1" w:styleId="345">
    <w:name w:val="批注文字 字符"/>
    <w:link w:val="25"/>
    <w:qFormat/>
    <w:uiPriority w:val="0"/>
    <w:rPr>
      <w:kern w:val="2"/>
      <w:sz w:val="21"/>
      <w:szCs w:val="24"/>
    </w:rPr>
  </w:style>
  <w:style w:type="paragraph" w:customStyle="1" w:styleId="346">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347">
    <w:name w:val="正文首行缩进 Char1"/>
    <w:qFormat/>
    <w:uiPriority w:val="0"/>
    <w:rPr>
      <w:kern w:val="2"/>
      <w:sz w:val="21"/>
      <w:szCs w:val="24"/>
    </w:rPr>
  </w:style>
  <w:style w:type="paragraph" w:customStyle="1" w:styleId="348">
    <w:name w:val="列出段落11"/>
    <w:basedOn w:val="1"/>
    <w:qFormat/>
    <w:uiPriority w:val="34"/>
    <w:pPr>
      <w:ind w:firstLine="420" w:firstLineChars="200"/>
    </w:pPr>
    <w:rPr>
      <w:sz w:val="30"/>
      <w:szCs w:val="22"/>
    </w:rPr>
  </w:style>
  <w:style w:type="character" w:customStyle="1" w:styleId="349">
    <w:name w:val="明显参考1"/>
    <w:qFormat/>
    <w:uiPriority w:val="0"/>
    <w:rPr>
      <w:b/>
      <w:bCs/>
      <w:smallCaps/>
      <w:color w:val="C0504D"/>
      <w:spacing w:val="5"/>
      <w:u w:val="single"/>
    </w:rPr>
  </w:style>
  <w:style w:type="paragraph" w:customStyle="1" w:styleId="350">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51">
    <w:name w:val="日期1"/>
    <w:basedOn w:val="1"/>
    <w:next w:val="1"/>
    <w:qFormat/>
    <w:uiPriority w:val="0"/>
    <w:pPr>
      <w:ind w:left="100" w:leftChars="2500"/>
    </w:pPr>
    <w:rPr>
      <w:rFonts w:ascii="宋体"/>
      <w:kern w:val="0"/>
      <w:sz w:val="28"/>
      <w:szCs w:val="20"/>
    </w:rPr>
  </w:style>
  <w:style w:type="character" w:customStyle="1" w:styleId="352">
    <w:name w:val="标题 Char1"/>
    <w:qFormat/>
    <w:uiPriority w:val="10"/>
    <w:rPr>
      <w:rFonts w:ascii="Cambria" w:hAnsi="Cambria" w:cs="Times New Roman"/>
      <w:b/>
      <w:bCs/>
      <w:kern w:val="2"/>
      <w:sz w:val="32"/>
      <w:szCs w:val="32"/>
    </w:rPr>
  </w:style>
  <w:style w:type="character" w:customStyle="1" w:styleId="353">
    <w:name w:val="副标题 Char1"/>
    <w:qFormat/>
    <w:uiPriority w:val="0"/>
    <w:rPr>
      <w:rFonts w:ascii="Cambria" w:hAnsi="Cambria" w:cs="Times New Roman"/>
      <w:b/>
      <w:bCs/>
      <w:kern w:val="28"/>
      <w:sz w:val="32"/>
      <w:szCs w:val="32"/>
    </w:rPr>
  </w:style>
  <w:style w:type="paragraph" w:customStyle="1" w:styleId="354">
    <w:name w:val="正文样式"/>
    <w:basedOn w:val="1"/>
    <w:qFormat/>
    <w:uiPriority w:val="0"/>
    <w:pPr>
      <w:snapToGrid w:val="0"/>
      <w:spacing w:beforeLines="50" w:afterLines="50" w:line="312" w:lineRule="auto"/>
      <w:ind w:firstLine="480" w:firstLineChars="200"/>
    </w:pPr>
    <w:rPr>
      <w:rFonts w:ascii="Arial" w:hAnsi="Arial"/>
      <w:kern w:val="24"/>
      <w:szCs w:val="28"/>
    </w:rPr>
  </w:style>
  <w:style w:type="character" w:customStyle="1" w:styleId="355">
    <w:name w:val="书籍标题11111"/>
    <w:qFormat/>
    <w:uiPriority w:val="0"/>
    <w:rPr>
      <w:b/>
      <w:smallCaps/>
      <w:spacing w:val="5"/>
    </w:rPr>
  </w:style>
  <w:style w:type="paragraph" w:customStyle="1" w:styleId="356">
    <w:name w:val="修订2"/>
    <w:link w:val="988"/>
    <w:qFormat/>
    <w:uiPriority w:val="0"/>
    <w:rPr>
      <w:rFonts w:asciiTheme="minorHAnsi" w:hAnsiTheme="minorHAnsi" w:eastAsiaTheme="minorEastAsia" w:cstheme="minorBidi"/>
      <w:kern w:val="2"/>
      <w:sz w:val="21"/>
      <w:szCs w:val="24"/>
      <w:lang w:val="en-US" w:eastAsia="zh-CN" w:bidi="ar-SA"/>
    </w:rPr>
  </w:style>
  <w:style w:type="paragraph" w:customStyle="1" w:styleId="357">
    <w:name w:val="修订3"/>
    <w:qFormat/>
    <w:uiPriority w:val="0"/>
    <w:rPr>
      <w:rFonts w:asciiTheme="minorHAnsi" w:hAnsiTheme="minorHAnsi" w:eastAsiaTheme="minorEastAsia" w:cstheme="minorBidi"/>
      <w:kern w:val="2"/>
      <w:sz w:val="21"/>
      <w:szCs w:val="21"/>
      <w:lang w:val="en-US" w:eastAsia="zh-CN" w:bidi="ar-SA"/>
    </w:rPr>
  </w:style>
  <w:style w:type="character" w:customStyle="1" w:styleId="358">
    <w:name w:val="Char Char3"/>
    <w:qFormat/>
    <w:uiPriority w:val="0"/>
    <w:rPr>
      <w:rFonts w:ascii="Arial" w:hAnsi="Arial" w:eastAsia="黑体"/>
      <w:b/>
      <w:bCs/>
      <w:kern w:val="2"/>
      <w:sz w:val="32"/>
      <w:szCs w:val="32"/>
      <w:lang w:val="en-US" w:eastAsia="zh-CN" w:bidi="ar-SA"/>
    </w:rPr>
  </w:style>
  <w:style w:type="character" w:customStyle="1" w:styleId="359">
    <w:name w:val="明显参考2"/>
    <w:qFormat/>
    <w:uiPriority w:val="0"/>
    <w:rPr>
      <w:b/>
      <w:smallCaps/>
      <w:color w:val="C0504D"/>
      <w:spacing w:val="5"/>
      <w:u w:val="single"/>
    </w:rPr>
  </w:style>
  <w:style w:type="paragraph" w:customStyle="1" w:styleId="360">
    <w:name w:val="明显引用11"/>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361">
    <w:name w:val="标题 4 字符"/>
    <w:link w:val="7"/>
    <w:qFormat/>
    <w:uiPriority w:val="9"/>
    <w:rPr>
      <w:rFonts w:ascii="仿宋_GB2312" w:eastAsia="仿宋_GB2312" w:cs="仿宋_GB2312"/>
      <w:kern w:val="2"/>
      <w:sz w:val="28"/>
      <w:szCs w:val="28"/>
    </w:rPr>
  </w:style>
  <w:style w:type="character" w:customStyle="1" w:styleId="362">
    <w:name w:val="Char Char91"/>
    <w:qFormat/>
    <w:uiPriority w:val="0"/>
    <w:rPr>
      <w:kern w:val="2"/>
      <w:sz w:val="21"/>
      <w:szCs w:val="22"/>
    </w:rPr>
  </w:style>
  <w:style w:type="paragraph" w:customStyle="1" w:styleId="363">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364">
    <w:name w:val="font5"/>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365">
    <w:name w:val="批注框文本 Char Char Char"/>
    <w:qFormat/>
    <w:uiPriority w:val="0"/>
    <w:rPr>
      <w:rFonts w:ascii="宋体"/>
      <w:sz w:val="18"/>
      <w:szCs w:val="18"/>
    </w:rPr>
  </w:style>
  <w:style w:type="paragraph" w:customStyle="1" w:styleId="366">
    <w:name w:val="Char1"/>
    <w:basedOn w:val="23"/>
    <w:qFormat/>
    <w:uiPriority w:val="0"/>
    <w:rPr>
      <w:rFonts w:ascii="Calibri" w:hAnsi="Calibri"/>
      <w:szCs w:val="22"/>
    </w:rPr>
  </w:style>
  <w:style w:type="paragraph" w:customStyle="1" w:styleId="367">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68">
    <w:name w:val="TOC 标题1"/>
    <w:basedOn w:val="4"/>
    <w:next w:val="1"/>
    <w:qFormat/>
    <w:uiPriority w:val="0"/>
    <w:pPr>
      <w:widowControl/>
      <w:spacing w:before="480" w:after="0" w:line="276" w:lineRule="auto"/>
      <w:jc w:val="left"/>
      <w:outlineLvl w:val="9"/>
    </w:pPr>
    <w:rPr>
      <w:rFonts w:ascii="Cambria" w:hAnsi="Cambria" w:cs="Cambria"/>
      <w:color w:val="365F91"/>
      <w:kern w:val="0"/>
      <w:sz w:val="28"/>
      <w:szCs w:val="28"/>
    </w:rPr>
  </w:style>
  <w:style w:type="character" w:customStyle="1" w:styleId="369">
    <w:name w:val="正文要点内容 Char Char"/>
    <w:link w:val="104"/>
    <w:qFormat/>
    <w:locked/>
    <w:uiPriority w:val="0"/>
    <w:rPr>
      <w:kern w:val="2"/>
      <w:sz w:val="21"/>
      <w:szCs w:val="21"/>
    </w:rPr>
  </w:style>
  <w:style w:type="paragraph" w:customStyle="1" w:styleId="370">
    <w:name w:val="样式 纯文本 + 行距: 固定值 20 磅"/>
    <w:basedOn w:val="36"/>
    <w:qFormat/>
    <w:uiPriority w:val="0"/>
    <w:pPr>
      <w:spacing w:line="400" w:lineRule="exact"/>
    </w:pPr>
    <w:rPr>
      <w:rFonts w:cs="宋体"/>
      <w:kern w:val="2"/>
      <w:szCs w:val="22"/>
    </w:rPr>
  </w:style>
  <w:style w:type="character" w:customStyle="1" w:styleId="371">
    <w:name w:val="标题 1.1 Char1"/>
    <w:qFormat/>
    <w:uiPriority w:val="0"/>
    <w:rPr>
      <w:rFonts w:ascii="Arial" w:hAnsi="Arial" w:eastAsia="黑体"/>
      <w:b/>
      <w:bCs/>
      <w:kern w:val="2"/>
      <w:sz w:val="32"/>
      <w:szCs w:val="32"/>
      <w:lang w:val="en-US" w:eastAsia="zh-CN" w:bidi="ar-SA"/>
    </w:rPr>
  </w:style>
  <w:style w:type="character" w:customStyle="1" w:styleId="372">
    <w:name w:val="javascript"/>
    <w:qFormat/>
    <w:uiPriority w:val="0"/>
  </w:style>
  <w:style w:type="paragraph" w:customStyle="1" w:styleId="373">
    <w:name w:val="节标题"/>
    <w:basedOn w:val="1"/>
    <w:next w:val="1"/>
    <w:qFormat/>
    <w:uiPriority w:val="0"/>
    <w:pPr>
      <w:widowControl/>
      <w:spacing w:line="289" w:lineRule="atLeast"/>
      <w:jc w:val="center"/>
      <w:textAlignment w:val="baseline"/>
    </w:pPr>
    <w:rPr>
      <w:color w:val="000000"/>
      <w:kern w:val="0"/>
      <w:sz w:val="28"/>
      <w:szCs w:val="20"/>
      <w:u w:color="000000"/>
    </w:rPr>
  </w:style>
  <w:style w:type="paragraph" w:customStyle="1" w:styleId="374">
    <w:name w:val="reader-word-layer reader-word-s1-0"/>
    <w:basedOn w:val="1"/>
    <w:qFormat/>
    <w:uiPriority w:val="0"/>
    <w:pPr>
      <w:widowControl/>
      <w:spacing w:before="100" w:beforeAutospacing="1" w:after="100" w:afterAutospacing="1"/>
      <w:jc w:val="left"/>
    </w:pPr>
    <w:rPr>
      <w:rFonts w:ascii="宋体" w:hAnsi="宋体" w:cs="宋体"/>
      <w:kern w:val="0"/>
      <w:sz w:val="24"/>
    </w:rPr>
  </w:style>
  <w:style w:type="paragraph" w:customStyle="1" w:styleId="375">
    <w:name w:val="样式 首行缩进:  2 字符"/>
    <w:basedOn w:val="1"/>
    <w:qFormat/>
    <w:uiPriority w:val="0"/>
    <w:pPr>
      <w:ind w:firstLine="560"/>
    </w:pPr>
    <w:rPr>
      <w:rFonts w:eastAsia="仿宋_GB2312" w:cs="宋体"/>
      <w:sz w:val="24"/>
      <w:szCs w:val="22"/>
    </w:rPr>
  </w:style>
  <w:style w:type="paragraph" w:customStyle="1" w:styleId="376">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377">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78">
    <w:name w:val="批注框文本 Char Char"/>
    <w:basedOn w:val="1"/>
    <w:link w:val="385"/>
    <w:qFormat/>
    <w:uiPriority w:val="0"/>
    <w:rPr>
      <w:rFonts w:ascii="宋体"/>
      <w:kern w:val="0"/>
      <w:sz w:val="18"/>
      <w:szCs w:val="18"/>
    </w:rPr>
  </w:style>
  <w:style w:type="paragraph" w:customStyle="1" w:styleId="379">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380">
    <w:name w:val="引用 Char2"/>
    <w:qFormat/>
    <w:uiPriority w:val="29"/>
    <w:rPr>
      <w:rFonts w:ascii="Times New Roman" w:hAnsi="Times New Roman" w:eastAsia="宋体" w:cs="Times New Roman"/>
      <w:i/>
      <w:iCs/>
      <w:color w:val="000000"/>
      <w:szCs w:val="24"/>
    </w:rPr>
  </w:style>
  <w:style w:type="paragraph" w:customStyle="1" w:styleId="381">
    <w:name w:val="Char Char1"/>
    <w:basedOn w:val="23"/>
    <w:qFormat/>
    <w:uiPriority w:val="0"/>
    <w:rPr>
      <w:rFonts w:ascii="Calibri" w:hAnsi="Calibri"/>
      <w:szCs w:val="22"/>
    </w:rPr>
  </w:style>
  <w:style w:type="paragraph" w:customStyle="1" w:styleId="382">
    <w:name w:val="Char Char1 Char"/>
    <w:basedOn w:val="23"/>
    <w:qFormat/>
    <w:uiPriority w:val="0"/>
    <w:rPr>
      <w:rFonts w:ascii="Calibri" w:hAnsi="Calibri"/>
    </w:rPr>
  </w:style>
  <w:style w:type="character" w:customStyle="1" w:styleId="383">
    <w:name w:val="Char Char27"/>
    <w:qFormat/>
    <w:uiPriority w:val="0"/>
    <w:rPr>
      <w:rFonts w:ascii="Times New Roman" w:hAnsi="Times New Roman" w:eastAsia="宋体" w:cs="Times New Roman"/>
      <w:b/>
      <w:bCs/>
      <w:kern w:val="44"/>
      <w:sz w:val="44"/>
      <w:szCs w:val="44"/>
    </w:rPr>
  </w:style>
  <w:style w:type="paragraph" w:customStyle="1" w:styleId="384">
    <w:name w:val="明显引用1"/>
    <w:basedOn w:val="1"/>
    <w:next w:val="1"/>
    <w:link w:val="456"/>
    <w:qFormat/>
    <w:uiPriority w:val="0"/>
    <w:pPr>
      <w:pBdr>
        <w:bottom w:val="single" w:color="4F81BD" w:sz="4" w:space="4"/>
      </w:pBdr>
      <w:spacing w:before="200" w:after="280"/>
      <w:ind w:left="936" w:right="936"/>
    </w:pPr>
    <w:rPr>
      <w:b/>
      <w:i/>
      <w:color w:val="4F81BD"/>
      <w:kern w:val="0"/>
      <w:sz w:val="22"/>
      <w:szCs w:val="20"/>
    </w:rPr>
  </w:style>
  <w:style w:type="character" w:customStyle="1" w:styleId="385">
    <w:name w:val="批注框文本 Char Char Char Char Char"/>
    <w:link w:val="378"/>
    <w:qFormat/>
    <w:uiPriority w:val="0"/>
    <w:rPr>
      <w:rFonts w:ascii="宋体"/>
      <w:sz w:val="18"/>
      <w:szCs w:val="18"/>
    </w:rPr>
  </w:style>
  <w:style w:type="paragraph" w:customStyle="1" w:styleId="386">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387">
    <w:name w:val="Body Text Char"/>
    <w:qFormat/>
    <w:locked/>
    <w:uiPriority w:val="0"/>
    <w:rPr>
      <w:rFonts w:ascii="Times New Roman" w:hAnsi="Times New Roman" w:cs="Times New Roman"/>
      <w:sz w:val="24"/>
      <w:szCs w:val="24"/>
    </w:rPr>
  </w:style>
  <w:style w:type="character" w:customStyle="1" w:styleId="388">
    <w:name w:val="文档结构图 字符"/>
    <w:link w:val="23"/>
    <w:qFormat/>
    <w:uiPriority w:val="0"/>
    <w:rPr>
      <w:kern w:val="2"/>
      <w:sz w:val="21"/>
      <w:szCs w:val="24"/>
      <w:shd w:val="clear" w:color="auto" w:fill="000080"/>
    </w:rPr>
  </w:style>
  <w:style w:type="character" w:customStyle="1" w:styleId="389">
    <w:name w:val="Char Char171"/>
    <w:qFormat/>
    <w:uiPriority w:val="99"/>
    <w:rPr>
      <w:rFonts w:ascii="Cambria" w:hAnsi="Cambria" w:eastAsia="宋体" w:cs="Times New Roman"/>
      <w:b/>
      <w:bCs/>
      <w:kern w:val="2"/>
      <w:sz w:val="32"/>
      <w:szCs w:val="32"/>
    </w:rPr>
  </w:style>
  <w:style w:type="character" w:customStyle="1" w:styleId="390">
    <w:name w:val="脚注文本 字符"/>
    <w:link w:val="50"/>
    <w:qFormat/>
    <w:uiPriority w:val="99"/>
    <w:rPr>
      <w:rFonts w:ascii="Calibri" w:hAnsi="Calibri"/>
      <w:kern w:val="2"/>
      <w:sz w:val="21"/>
      <w:szCs w:val="22"/>
    </w:rPr>
  </w:style>
  <w:style w:type="character" w:customStyle="1" w:styleId="391">
    <w:name w:val="明显参考3"/>
    <w:qFormat/>
    <w:uiPriority w:val="0"/>
    <w:rPr>
      <w:b/>
      <w:bCs/>
      <w:smallCaps/>
      <w:color w:val="C0504D"/>
      <w:spacing w:val="5"/>
      <w:u w:val="single"/>
    </w:rPr>
  </w:style>
  <w:style w:type="character" w:customStyle="1" w:styleId="392">
    <w:name w:val="正文首行缩进 Char"/>
    <w:qFormat/>
    <w:uiPriority w:val="0"/>
    <w:rPr>
      <w:rFonts w:eastAsia="宋体"/>
      <w:szCs w:val="24"/>
    </w:rPr>
  </w:style>
  <w:style w:type="character" w:customStyle="1" w:styleId="393">
    <w:name w:val="Char Char30111"/>
    <w:qFormat/>
    <w:uiPriority w:val="99"/>
    <w:rPr>
      <w:rFonts w:ascii="Arial" w:hAnsi="Arial" w:eastAsia="黑体"/>
      <w:b/>
      <w:bCs/>
      <w:kern w:val="2"/>
      <w:sz w:val="32"/>
      <w:szCs w:val="32"/>
      <w:lang w:val="en-US" w:eastAsia="zh-CN" w:bidi="ar-SA"/>
    </w:rPr>
  </w:style>
  <w:style w:type="paragraph" w:customStyle="1" w:styleId="394">
    <w:name w:val="文本块1"/>
    <w:basedOn w:val="1"/>
    <w:next w:val="1"/>
    <w:qFormat/>
    <w:uiPriority w:val="0"/>
    <w:rPr>
      <w:i/>
      <w:iCs/>
      <w:color w:val="000000"/>
      <w:szCs w:val="22"/>
    </w:rPr>
  </w:style>
  <w:style w:type="paragraph" w:customStyle="1" w:styleId="395">
    <w:name w:val="样式3"/>
    <w:basedOn w:val="6"/>
    <w:qFormat/>
    <w:uiPriority w:val="0"/>
    <w:pPr>
      <w:spacing w:line="415" w:lineRule="auto"/>
    </w:pPr>
    <w:rPr>
      <w:rFonts w:eastAsia="Arial"/>
    </w:rPr>
  </w:style>
  <w:style w:type="character" w:customStyle="1" w:styleId="396">
    <w:name w:val="Char Char721"/>
    <w:qFormat/>
    <w:uiPriority w:val="0"/>
    <w:rPr>
      <w:rFonts w:ascii="Arial" w:hAnsi="Arial" w:eastAsia="黑体"/>
      <w:b/>
      <w:bCs/>
      <w:kern w:val="2"/>
      <w:sz w:val="32"/>
      <w:szCs w:val="32"/>
      <w:lang w:val="en-US" w:eastAsia="zh-CN" w:bidi="ar-SA"/>
    </w:rPr>
  </w:style>
  <w:style w:type="paragraph" w:customStyle="1" w:styleId="397">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character" w:customStyle="1" w:styleId="398">
    <w:name w:val="标题5 Char Char"/>
    <w:link w:val="300"/>
    <w:qFormat/>
    <w:locked/>
    <w:uiPriority w:val="0"/>
    <w:rPr>
      <w:rFonts w:ascii="Arial" w:hAnsi="Arial"/>
      <w:b/>
      <w:sz w:val="32"/>
    </w:rPr>
  </w:style>
  <w:style w:type="paragraph" w:customStyle="1" w:styleId="399">
    <w:name w:val="TOC 标题12"/>
    <w:basedOn w:val="4"/>
    <w:next w:val="1"/>
    <w:qFormat/>
    <w:uiPriority w:val="0"/>
    <w:pPr>
      <w:spacing w:before="100" w:after="100" w:line="576" w:lineRule="auto"/>
      <w:jc w:val="center"/>
      <w:outlineLvl w:val="9"/>
    </w:pPr>
    <w:rPr>
      <w:sz w:val="36"/>
    </w:rPr>
  </w:style>
  <w:style w:type="character" w:customStyle="1" w:styleId="400">
    <w:name w:val="日期 Char1"/>
    <w:qFormat/>
    <w:uiPriority w:val="0"/>
    <w:rPr>
      <w:kern w:val="2"/>
      <w:sz w:val="21"/>
      <w:szCs w:val="22"/>
    </w:rPr>
  </w:style>
  <w:style w:type="character" w:customStyle="1" w:styleId="401">
    <w:name w:val="不明显强调11"/>
    <w:qFormat/>
    <w:uiPriority w:val="0"/>
    <w:rPr>
      <w:i/>
      <w:color w:val="808080"/>
    </w:rPr>
  </w:style>
  <w:style w:type="paragraph" w:customStyle="1" w:styleId="40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403">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404">
    <w:name w:val="l-1级节标题"/>
    <w:next w:val="1"/>
    <w:qFormat/>
    <w:uiPriority w:val="0"/>
    <w:pPr>
      <w:keepNext/>
      <w:keepLines/>
      <w:numPr>
        <w:ilvl w:val="1"/>
        <w:numId w:val="1"/>
      </w:numPr>
      <w:spacing w:before="120" w:after="120" w:line="360" w:lineRule="auto"/>
      <w:outlineLvl w:val="1"/>
    </w:pPr>
    <w:rPr>
      <w:rFonts w:ascii="宋体" w:hAnsi="宋体" w:eastAsiaTheme="minorEastAsia" w:cstheme="minorBidi"/>
      <w:b/>
      <w:kern w:val="2"/>
      <w:sz w:val="30"/>
      <w:szCs w:val="28"/>
      <w:lang w:val="en-US" w:eastAsia="en-US" w:bidi="en-US"/>
    </w:rPr>
  </w:style>
  <w:style w:type="paragraph" w:customStyle="1" w:styleId="405">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406">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407">
    <w:name w:val="Char311"/>
    <w:basedOn w:val="1"/>
    <w:qFormat/>
    <w:uiPriority w:val="0"/>
    <w:pPr>
      <w:tabs>
        <w:tab w:val="left" w:pos="360"/>
      </w:tabs>
    </w:pPr>
    <w:rPr>
      <w:sz w:val="24"/>
    </w:rPr>
  </w:style>
  <w:style w:type="character" w:customStyle="1" w:styleId="408">
    <w:name w:val="页眉 Char1"/>
    <w:qFormat/>
    <w:uiPriority w:val="99"/>
    <w:rPr>
      <w:kern w:val="2"/>
      <w:sz w:val="18"/>
      <w:szCs w:val="18"/>
    </w:rPr>
  </w:style>
  <w:style w:type="paragraph" w:customStyle="1" w:styleId="409">
    <w:name w:val="批注主题2"/>
    <w:basedOn w:val="25"/>
    <w:next w:val="25"/>
    <w:qFormat/>
    <w:uiPriority w:val="0"/>
    <w:rPr>
      <w:rFonts w:ascii="宋体" w:hAnsi="Calibri"/>
      <w:b/>
      <w:bCs/>
      <w:kern w:val="0"/>
      <w:sz w:val="28"/>
      <w:szCs w:val="20"/>
    </w:rPr>
  </w:style>
  <w:style w:type="paragraph" w:customStyle="1" w:styleId="410">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411">
    <w:name w:val="TOC 标题3"/>
    <w:basedOn w:val="4"/>
    <w:next w:val="1"/>
    <w:qFormat/>
    <w:uiPriority w:val="0"/>
    <w:pPr>
      <w:widowControl/>
      <w:spacing w:before="480" w:after="0" w:line="276" w:lineRule="auto"/>
      <w:jc w:val="left"/>
      <w:outlineLvl w:val="9"/>
    </w:pPr>
    <w:rPr>
      <w:rFonts w:ascii="Cambria" w:hAnsi="Cambria" w:cs="Cambria"/>
      <w:color w:val="365F91"/>
      <w:kern w:val="0"/>
      <w:sz w:val="28"/>
      <w:szCs w:val="28"/>
    </w:rPr>
  </w:style>
  <w:style w:type="character" w:customStyle="1" w:styleId="412">
    <w:name w:val="标题 5 字符"/>
    <w:link w:val="8"/>
    <w:qFormat/>
    <w:uiPriority w:val="0"/>
    <w:rPr>
      <w:b/>
      <w:bCs/>
      <w:kern w:val="2"/>
      <w:sz w:val="28"/>
      <w:szCs w:val="28"/>
    </w:rPr>
  </w:style>
  <w:style w:type="character" w:customStyle="1" w:styleId="413">
    <w:name w:val="Char Char8"/>
    <w:qFormat/>
    <w:uiPriority w:val="0"/>
    <w:rPr>
      <w:rFonts w:ascii="Arial" w:hAnsi="Arial" w:eastAsia="黑体"/>
      <w:b/>
      <w:bCs/>
      <w:kern w:val="2"/>
      <w:sz w:val="32"/>
      <w:szCs w:val="32"/>
      <w:lang w:val="en-US" w:eastAsia="zh-CN" w:bidi="ar-SA"/>
    </w:rPr>
  </w:style>
  <w:style w:type="paragraph" w:customStyle="1" w:styleId="414">
    <w:name w:val="Char Char28"/>
    <w:basedOn w:val="23"/>
    <w:qFormat/>
    <w:uiPriority w:val="0"/>
    <w:rPr>
      <w:rFonts w:ascii="Calibri" w:hAnsi="Calibri"/>
    </w:rPr>
  </w:style>
  <w:style w:type="character" w:customStyle="1" w:styleId="415">
    <w:name w:val="不明显参考1"/>
    <w:qFormat/>
    <w:uiPriority w:val="0"/>
    <w:rPr>
      <w:smallCaps/>
      <w:color w:val="C0504D"/>
      <w:u w:val="single"/>
    </w:rPr>
  </w:style>
  <w:style w:type="paragraph" w:customStyle="1" w:styleId="416">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417">
    <w:name w:val="标题 8 字符"/>
    <w:link w:val="11"/>
    <w:qFormat/>
    <w:uiPriority w:val="0"/>
    <w:rPr>
      <w:rFonts w:ascii="Arial" w:hAnsi="Arial" w:eastAsia="黑体"/>
      <w:sz w:val="24"/>
      <w:szCs w:val="24"/>
    </w:rPr>
  </w:style>
  <w:style w:type="paragraph" w:customStyle="1" w:styleId="418">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character" w:customStyle="1" w:styleId="419">
    <w:name w:val="标题 3 Char"/>
    <w:qFormat/>
    <w:uiPriority w:val="0"/>
    <w:rPr>
      <w:rFonts w:eastAsia="宋体"/>
      <w:b/>
      <w:bCs/>
      <w:kern w:val="2"/>
      <w:sz w:val="32"/>
      <w:szCs w:val="32"/>
      <w:lang w:val="en-US" w:eastAsia="zh-CN" w:bidi="ar-SA"/>
    </w:rPr>
  </w:style>
  <w:style w:type="paragraph" w:customStyle="1" w:styleId="420">
    <w:name w:val="Char12"/>
    <w:basedOn w:val="23"/>
    <w:qFormat/>
    <w:uiPriority w:val="0"/>
    <w:rPr>
      <w:rFonts w:ascii="Calibri" w:hAnsi="Calibri"/>
      <w:szCs w:val="22"/>
    </w:rPr>
  </w:style>
  <w:style w:type="paragraph" w:customStyle="1" w:styleId="421">
    <w:name w:val="Char13"/>
    <w:basedOn w:val="23"/>
    <w:qFormat/>
    <w:uiPriority w:val="0"/>
    <w:rPr>
      <w:rFonts w:ascii="Calibri" w:hAnsi="Calibri"/>
      <w:szCs w:val="22"/>
    </w:rPr>
  </w:style>
  <w:style w:type="character" w:customStyle="1" w:styleId="422">
    <w:name w:val="Char Char1721"/>
    <w:qFormat/>
    <w:uiPriority w:val="0"/>
    <w:rPr>
      <w:rFonts w:ascii="Cambria" w:hAnsi="Cambria" w:eastAsia="宋体" w:cs="Times New Roman"/>
      <w:b/>
      <w:bCs/>
      <w:kern w:val="2"/>
      <w:sz w:val="32"/>
      <w:szCs w:val="32"/>
    </w:rPr>
  </w:style>
  <w:style w:type="character" w:customStyle="1" w:styleId="423">
    <w:name w:val="正文缩进 Char"/>
    <w:qFormat/>
    <w:uiPriority w:val="0"/>
    <w:rPr>
      <w:kern w:val="2"/>
      <w:sz w:val="21"/>
      <w:szCs w:val="21"/>
    </w:rPr>
  </w:style>
  <w:style w:type="paragraph" w:customStyle="1" w:styleId="424">
    <w:name w:val="样式 标题 3h3Level 3 HeadH3Heading 3 - oldlevel_3PIM 3BOD 0s..."/>
    <w:basedOn w:val="6"/>
    <w:qFormat/>
    <w:uiPriority w:val="0"/>
    <w:pPr>
      <w:tabs>
        <w:tab w:val="left" w:pos="0"/>
      </w:tabs>
      <w:adjustRightInd w:val="0"/>
      <w:spacing w:before="0" w:after="0" w:line="500" w:lineRule="exact"/>
      <w:textAlignment w:val="baseline"/>
    </w:pPr>
    <w:rPr>
      <w:kern w:val="0"/>
      <w:sz w:val="28"/>
      <w:szCs w:val="28"/>
    </w:rPr>
  </w:style>
  <w:style w:type="paragraph" w:customStyle="1" w:styleId="425">
    <w:name w:val="xl30"/>
    <w:basedOn w:val="1"/>
    <w:qFormat/>
    <w:uiPriority w:val="0"/>
    <w:pPr>
      <w:widowControl/>
      <w:spacing w:before="100" w:beforeAutospacing="1" w:after="100" w:afterAutospacing="1"/>
      <w:jc w:val="left"/>
    </w:pPr>
    <w:rPr>
      <w:rFonts w:ascii="黑体" w:hAnsi="宋体" w:eastAsia="黑体" w:cs="宋体"/>
      <w:b/>
      <w:bCs/>
      <w:kern w:val="0"/>
      <w:sz w:val="18"/>
      <w:szCs w:val="18"/>
    </w:rPr>
  </w:style>
  <w:style w:type="character" w:customStyle="1" w:styleId="426">
    <w:name w:val="Body Text Indent Char"/>
    <w:qFormat/>
    <w:locked/>
    <w:uiPriority w:val="0"/>
    <w:rPr>
      <w:rFonts w:ascii="仿宋_GB2312" w:hAnsi="Times New Roman" w:eastAsia="仿宋_GB2312" w:cs="仿宋_GB2312"/>
      <w:sz w:val="32"/>
      <w:szCs w:val="32"/>
    </w:rPr>
  </w:style>
  <w:style w:type="character" w:customStyle="1" w:styleId="427">
    <w:name w:val="正文文本 Char1"/>
    <w:qFormat/>
    <w:uiPriority w:val="0"/>
    <w:rPr>
      <w:kern w:val="2"/>
      <w:sz w:val="22"/>
    </w:rPr>
  </w:style>
  <w:style w:type="character" w:customStyle="1" w:styleId="428">
    <w:name w:val="脚注文本 Char1"/>
    <w:qFormat/>
    <w:uiPriority w:val="99"/>
    <w:rPr>
      <w:rFonts w:ascii="Times New Roman" w:hAnsi="Times New Roman" w:eastAsia="宋体" w:cs="Times New Roman"/>
      <w:sz w:val="18"/>
      <w:szCs w:val="18"/>
    </w:rPr>
  </w:style>
  <w:style w:type="character" w:customStyle="1" w:styleId="429">
    <w:name w:val="Char Char921"/>
    <w:qFormat/>
    <w:uiPriority w:val="99"/>
    <w:rPr>
      <w:kern w:val="2"/>
      <w:sz w:val="21"/>
      <w:szCs w:val="22"/>
    </w:rPr>
  </w:style>
  <w:style w:type="paragraph" w:customStyle="1" w:styleId="430">
    <w:name w:val="章标题"/>
    <w:basedOn w:val="1"/>
    <w:next w:val="1"/>
    <w:qFormat/>
    <w:uiPriority w:val="0"/>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431">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432">
    <w:name w:val="默认段落字体 Para Char Char Char Char Char Char Char Char Char Char"/>
    <w:basedOn w:val="1"/>
    <w:qFormat/>
    <w:uiPriority w:val="0"/>
    <w:rPr>
      <w:rFonts w:ascii="Tahoma" w:hAnsi="Tahoma" w:cs="Tahoma"/>
      <w:sz w:val="24"/>
    </w:rPr>
  </w:style>
  <w:style w:type="paragraph" w:customStyle="1" w:styleId="433">
    <w:name w:val="_Style 6"/>
    <w:basedOn w:val="4"/>
    <w:next w:val="1"/>
    <w:qFormat/>
    <w:uiPriority w:val="0"/>
    <w:pPr>
      <w:spacing w:before="100" w:after="100" w:line="576" w:lineRule="auto"/>
      <w:jc w:val="center"/>
      <w:outlineLvl w:val="9"/>
    </w:pPr>
    <w:rPr>
      <w:sz w:val="36"/>
    </w:rPr>
  </w:style>
  <w:style w:type="paragraph" w:customStyle="1" w:styleId="434">
    <w:name w:val="font11"/>
    <w:basedOn w:val="1"/>
    <w:qFormat/>
    <w:uiPriority w:val="0"/>
    <w:pPr>
      <w:widowControl/>
      <w:spacing w:before="100" w:beforeAutospacing="1" w:after="100" w:afterAutospacing="1"/>
      <w:jc w:val="left"/>
    </w:pPr>
    <w:rPr>
      <w:b/>
      <w:bCs/>
      <w:kern w:val="0"/>
      <w:sz w:val="20"/>
      <w:szCs w:val="20"/>
    </w:rPr>
  </w:style>
  <w:style w:type="character" w:customStyle="1" w:styleId="435">
    <w:name w:val="不明显强调2"/>
    <w:qFormat/>
    <w:uiPriority w:val="0"/>
    <w:rPr>
      <w:i/>
      <w:iCs/>
      <w:color w:val="808080"/>
    </w:rPr>
  </w:style>
  <w:style w:type="character" w:customStyle="1" w:styleId="436">
    <w:name w:val="正文文本缩进 2 Char"/>
    <w:qFormat/>
    <w:locked/>
    <w:uiPriority w:val="0"/>
    <w:rPr>
      <w:rFonts w:eastAsia="宋体"/>
      <w:sz w:val="28"/>
      <w:szCs w:val="24"/>
    </w:rPr>
  </w:style>
  <w:style w:type="character" w:customStyle="1" w:styleId="437">
    <w:name w:val="HTML 预设格式 字符"/>
    <w:link w:val="60"/>
    <w:qFormat/>
    <w:uiPriority w:val="99"/>
    <w:rPr>
      <w:rFonts w:ascii="Courier New" w:hAnsi="Courier New" w:cs="Courier New"/>
      <w:lang w:eastAsia="en-US"/>
    </w:rPr>
  </w:style>
  <w:style w:type="character" w:customStyle="1" w:styleId="438">
    <w:name w:val="t-link"/>
    <w:qFormat/>
    <w:uiPriority w:val="0"/>
  </w:style>
  <w:style w:type="paragraph" w:customStyle="1" w:styleId="439">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character" w:customStyle="1" w:styleId="440">
    <w:name w:val="书籍标题11"/>
    <w:qFormat/>
    <w:uiPriority w:val="0"/>
    <w:rPr>
      <w:b/>
      <w:smallCaps/>
      <w:spacing w:val="5"/>
    </w:rPr>
  </w:style>
  <w:style w:type="paragraph" w:customStyle="1" w:styleId="441">
    <w:name w:val="Char3"/>
    <w:basedOn w:val="1"/>
    <w:qFormat/>
    <w:uiPriority w:val="0"/>
    <w:pPr>
      <w:tabs>
        <w:tab w:val="left" w:pos="360"/>
      </w:tabs>
    </w:pPr>
    <w:rPr>
      <w:sz w:val="24"/>
    </w:rPr>
  </w:style>
  <w:style w:type="paragraph" w:customStyle="1" w:styleId="442">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443">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444">
    <w:name w:val="日期11"/>
    <w:basedOn w:val="1"/>
    <w:next w:val="1"/>
    <w:qFormat/>
    <w:uiPriority w:val="0"/>
    <w:pPr>
      <w:ind w:left="100" w:leftChars="2500"/>
    </w:pPr>
    <w:rPr>
      <w:rFonts w:ascii="宋体"/>
      <w:kern w:val="0"/>
      <w:sz w:val="28"/>
      <w:szCs w:val="20"/>
    </w:rPr>
  </w:style>
  <w:style w:type="character" w:customStyle="1" w:styleId="445">
    <w:name w:val="Char Char Char31"/>
    <w:qFormat/>
    <w:uiPriority w:val="0"/>
    <w:rPr>
      <w:rFonts w:eastAsia="宋体"/>
      <w:b/>
      <w:bCs/>
      <w:kern w:val="44"/>
      <w:sz w:val="44"/>
      <w:szCs w:val="44"/>
      <w:lang w:val="en-US" w:eastAsia="zh-CN" w:bidi="ar-SA"/>
    </w:rPr>
  </w:style>
  <w:style w:type="paragraph" w:customStyle="1" w:styleId="446">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47">
    <w:name w:val="明显引用12"/>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448">
    <w:name w:val="正文文本首行缩进 字符1"/>
    <w:qFormat/>
    <w:uiPriority w:val="99"/>
    <w:rPr>
      <w:kern w:val="2"/>
      <w:sz w:val="21"/>
      <w:szCs w:val="24"/>
    </w:rPr>
  </w:style>
  <w:style w:type="character" w:customStyle="1" w:styleId="449">
    <w:name w:val="不明显强调21"/>
    <w:qFormat/>
    <w:uiPriority w:val="0"/>
    <w:rPr>
      <w:i/>
      <w:color w:val="808080"/>
    </w:rPr>
  </w:style>
  <w:style w:type="paragraph" w:customStyle="1" w:styleId="450">
    <w:name w:val="修订11"/>
    <w:qFormat/>
    <w:uiPriority w:val="0"/>
    <w:rPr>
      <w:rFonts w:asciiTheme="minorHAnsi" w:hAnsiTheme="minorHAnsi" w:eastAsiaTheme="minorEastAsia" w:cstheme="minorBidi"/>
      <w:kern w:val="2"/>
      <w:sz w:val="21"/>
      <w:szCs w:val="24"/>
      <w:lang w:val="en-US" w:eastAsia="zh-CN" w:bidi="ar-SA"/>
    </w:rPr>
  </w:style>
  <w:style w:type="paragraph" w:customStyle="1" w:styleId="451">
    <w:name w:val="样式1"/>
    <w:basedOn w:val="1"/>
    <w:link w:val="502"/>
    <w:qFormat/>
    <w:uiPriority w:val="0"/>
    <w:pPr>
      <w:tabs>
        <w:tab w:val="left" w:pos="1674"/>
      </w:tabs>
      <w:adjustRightInd w:val="0"/>
      <w:ind w:left="1674" w:hanging="1125"/>
      <w:textAlignment w:val="baseline"/>
    </w:pPr>
    <w:rPr>
      <w:rFonts w:ascii="宋体" w:hAnsi="宋体"/>
      <w:kern w:val="0"/>
      <w:szCs w:val="21"/>
    </w:rPr>
  </w:style>
  <w:style w:type="character" w:customStyle="1" w:styleId="452">
    <w:name w:val="Comment Text Char"/>
    <w:qFormat/>
    <w:locked/>
    <w:uiPriority w:val="0"/>
    <w:rPr>
      <w:kern w:val="2"/>
      <w:sz w:val="22"/>
    </w:rPr>
  </w:style>
  <w:style w:type="character" w:customStyle="1" w:styleId="453">
    <w:name w:val="Char Char22"/>
    <w:qFormat/>
    <w:uiPriority w:val="0"/>
    <w:rPr>
      <w:rFonts w:ascii="Arial" w:hAnsi="Arial" w:eastAsia="黑体" w:cs="Times New Roman"/>
      <w:b/>
      <w:bCs/>
      <w:kern w:val="0"/>
      <w:sz w:val="24"/>
      <w:szCs w:val="24"/>
    </w:rPr>
  </w:style>
  <w:style w:type="character" w:customStyle="1" w:styleId="454">
    <w:name w:val="标题 1 Char"/>
    <w:qFormat/>
    <w:uiPriority w:val="0"/>
    <w:rPr>
      <w:rFonts w:eastAsia="宋体"/>
      <w:b/>
      <w:bCs/>
      <w:kern w:val="44"/>
      <w:sz w:val="44"/>
      <w:szCs w:val="44"/>
      <w:lang w:val="en-US" w:eastAsia="zh-CN" w:bidi="ar-SA"/>
    </w:rPr>
  </w:style>
  <w:style w:type="character" w:customStyle="1" w:styleId="455">
    <w:name w:val="明显引用 Char1"/>
    <w:qFormat/>
    <w:uiPriority w:val="0"/>
    <w:rPr>
      <w:rFonts w:ascii="Times New Roman" w:hAnsi="Times New Roman" w:eastAsia="宋体" w:cs="Times New Roman"/>
      <w:b/>
      <w:bCs/>
      <w:i/>
      <w:iCs/>
      <w:color w:val="4F81BD"/>
      <w:szCs w:val="24"/>
    </w:rPr>
  </w:style>
  <w:style w:type="character" w:customStyle="1" w:styleId="456">
    <w:name w:val="Intense Quote Char"/>
    <w:link w:val="384"/>
    <w:qFormat/>
    <w:locked/>
    <w:uiPriority w:val="0"/>
    <w:rPr>
      <w:b/>
      <w:i/>
      <w:color w:val="4F81BD"/>
      <w:sz w:val="22"/>
    </w:rPr>
  </w:style>
  <w:style w:type="character" w:customStyle="1" w:styleId="457">
    <w:name w:val="列表段落 字符"/>
    <w:link w:val="237"/>
    <w:qFormat/>
    <w:uiPriority w:val="0"/>
    <w:rPr>
      <w:kern w:val="2"/>
      <w:sz w:val="21"/>
      <w:szCs w:val="21"/>
    </w:rPr>
  </w:style>
  <w:style w:type="paragraph" w:customStyle="1" w:styleId="458">
    <w:name w:val="正文文字3"/>
    <w:basedOn w:val="2"/>
    <w:qFormat/>
    <w:uiPriority w:val="0"/>
    <w:pPr>
      <w:adjustRightInd w:val="0"/>
      <w:spacing w:after="0" w:line="360" w:lineRule="atLeast"/>
      <w:ind w:left="72" w:leftChars="30" w:right="72" w:rightChars="30"/>
      <w:jc w:val="center"/>
      <w:textAlignment w:val="baseline"/>
    </w:pPr>
    <w:rPr>
      <w:rFonts w:ascii="宋体" w:hAnsi="宋体"/>
      <w:color w:val="000000"/>
      <w:sz w:val="20"/>
      <w:szCs w:val="20"/>
    </w:rPr>
  </w:style>
  <w:style w:type="character" w:customStyle="1" w:styleId="459">
    <w:name w:val="批注文字 Char Char"/>
    <w:qFormat/>
    <w:uiPriority w:val="0"/>
    <w:rPr>
      <w:rFonts w:ascii="宋体" w:hAnsi="Times New Roman" w:eastAsia="宋体"/>
      <w:sz w:val="20"/>
    </w:rPr>
  </w:style>
  <w:style w:type="character" w:customStyle="1" w:styleId="460">
    <w:name w:val="正文文本缩进 3 Char1"/>
    <w:qFormat/>
    <w:uiPriority w:val="99"/>
    <w:rPr>
      <w:rFonts w:ascii="Times New Roman" w:hAnsi="Times New Roman" w:eastAsia="宋体" w:cs="Times New Roman"/>
      <w:sz w:val="16"/>
      <w:szCs w:val="16"/>
    </w:rPr>
  </w:style>
  <w:style w:type="character" w:customStyle="1" w:styleId="461">
    <w:name w:val="Char Char21"/>
    <w:qFormat/>
    <w:uiPriority w:val="0"/>
    <w:rPr>
      <w:rFonts w:eastAsia="宋体"/>
      <w:kern w:val="2"/>
      <w:sz w:val="21"/>
      <w:szCs w:val="24"/>
      <w:lang w:val="en-US" w:eastAsia="zh-CN" w:bidi="ar-SA"/>
    </w:rPr>
  </w:style>
  <w:style w:type="character" w:customStyle="1" w:styleId="462">
    <w:name w:val="批注主题 Char Char"/>
    <w:qFormat/>
    <w:uiPriority w:val="0"/>
    <w:rPr>
      <w:rFonts w:ascii="宋体"/>
      <w:b/>
      <w:bCs/>
      <w:sz w:val="28"/>
      <w:lang w:bidi="ar-SA"/>
    </w:rPr>
  </w:style>
  <w:style w:type="character" w:customStyle="1" w:styleId="463">
    <w:name w:val="正文文本 Char"/>
    <w:qFormat/>
    <w:locked/>
    <w:uiPriority w:val="0"/>
    <w:rPr>
      <w:rFonts w:eastAsia="宋体"/>
      <w:kern w:val="2"/>
      <w:sz w:val="24"/>
      <w:lang w:val="en-US" w:eastAsia="zh-CN" w:bidi="ar-SA"/>
    </w:rPr>
  </w:style>
  <w:style w:type="character" w:customStyle="1" w:styleId="464">
    <w:name w:val="明显引用 Char2"/>
    <w:qFormat/>
    <w:uiPriority w:val="30"/>
    <w:rPr>
      <w:rFonts w:ascii="Times New Roman" w:hAnsi="Times New Roman" w:eastAsia="宋体" w:cs="Times New Roman"/>
      <w:b/>
      <w:bCs/>
      <w:i/>
      <w:iCs/>
      <w:color w:val="4F81BD"/>
      <w:szCs w:val="24"/>
    </w:rPr>
  </w:style>
  <w:style w:type="character" w:customStyle="1" w:styleId="465">
    <w:name w:val="纯文本 字符"/>
    <w:link w:val="36"/>
    <w:qFormat/>
    <w:uiPriority w:val="0"/>
    <w:rPr>
      <w:rFonts w:ascii="宋体" w:hAnsi="Courier New"/>
      <w:sz w:val="21"/>
      <w:szCs w:val="21"/>
    </w:rPr>
  </w:style>
  <w:style w:type="paragraph" w:customStyle="1" w:styleId="466">
    <w:name w:val="索引 42"/>
    <w:basedOn w:val="1"/>
    <w:next w:val="1"/>
    <w:qFormat/>
    <w:uiPriority w:val="0"/>
    <w:pPr>
      <w:ind w:left="600" w:leftChars="600"/>
    </w:pPr>
  </w:style>
  <w:style w:type="paragraph" w:customStyle="1" w:styleId="467">
    <w:name w:val="修订12"/>
    <w:qFormat/>
    <w:uiPriority w:val="0"/>
    <w:rPr>
      <w:rFonts w:asciiTheme="minorHAnsi" w:hAnsiTheme="minorHAnsi" w:eastAsiaTheme="minorEastAsia" w:cstheme="minorBidi"/>
      <w:kern w:val="2"/>
      <w:sz w:val="21"/>
      <w:szCs w:val="24"/>
      <w:lang w:val="en-US" w:eastAsia="zh-CN" w:bidi="ar-SA"/>
    </w:rPr>
  </w:style>
  <w:style w:type="character" w:customStyle="1" w:styleId="468">
    <w:name w:val="Char Char15"/>
    <w:qFormat/>
    <w:uiPriority w:val="0"/>
    <w:rPr>
      <w:rFonts w:ascii="Arial" w:hAnsi="Arial" w:eastAsia="黑体"/>
      <w:b/>
      <w:bCs/>
      <w:kern w:val="2"/>
      <w:sz w:val="32"/>
      <w:szCs w:val="32"/>
      <w:lang w:val="en-US" w:eastAsia="zh-CN" w:bidi="ar-SA"/>
    </w:rPr>
  </w:style>
  <w:style w:type="paragraph" w:customStyle="1" w:styleId="469">
    <w:name w:val="！正文"/>
    <w:basedOn w:val="1"/>
    <w:qFormat/>
    <w:uiPriority w:val="0"/>
    <w:pPr>
      <w:spacing w:line="360" w:lineRule="auto"/>
      <w:ind w:firstLine="560" w:firstLineChars="200"/>
    </w:pPr>
    <w:rPr>
      <w:sz w:val="28"/>
      <w:szCs w:val="28"/>
    </w:rPr>
  </w:style>
  <w:style w:type="paragraph" w:customStyle="1" w:styleId="470">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character" w:customStyle="1" w:styleId="471">
    <w:name w:val="font161"/>
    <w:qFormat/>
    <w:uiPriority w:val="0"/>
    <w:rPr>
      <w:b/>
      <w:bCs/>
      <w:sz w:val="32"/>
      <w:szCs w:val="32"/>
    </w:rPr>
  </w:style>
  <w:style w:type="character" w:customStyle="1" w:styleId="472">
    <w:name w:val="Blockquote Char"/>
    <w:qFormat/>
    <w:locked/>
    <w:uiPriority w:val="0"/>
    <w:rPr>
      <w:sz w:val="24"/>
    </w:rPr>
  </w:style>
  <w:style w:type="character" w:customStyle="1" w:styleId="473">
    <w:name w:val="标题 2 Char Char"/>
    <w:qFormat/>
    <w:uiPriority w:val="0"/>
    <w:rPr>
      <w:rFonts w:ascii="Arial" w:hAnsi="Arial" w:eastAsia="黑体"/>
      <w:b/>
      <w:bCs/>
      <w:kern w:val="2"/>
      <w:sz w:val="32"/>
      <w:szCs w:val="32"/>
      <w:lang w:val="en-US" w:eastAsia="zh-CN" w:bidi="ar-SA"/>
    </w:rPr>
  </w:style>
  <w:style w:type="character" w:customStyle="1" w:styleId="474">
    <w:name w:val="Char Char2611"/>
    <w:qFormat/>
    <w:uiPriority w:val="0"/>
    <w:rPr>
      <w:rFonts w:eastAsia="宋体"/>
      <w:kern w:val="2"/>
      <w:sz w:val="21"/>
      <w:szCs w:val="24"/>
      <w:lang w:val="en-US" w:eastAsia="zh-CN" w:bidi="ar-SA"/>
    </w:rPr>
  </w:style>
  <w:style w:type="character" w:customStyle="1" w:styleId="475">
    <w:name w:val="不明显参考2"/>
    <w:qFormat/>
    <w:uiPriority w:val="0"/>
    <w:rPr>
      <w:smallCaps/>
      <w:color w:val="C0504D"/>
      <w:u w:val="single"/>
    </w:rPr>
  </w:style>
  <w:style w:type="paragraph" w:customStyle="1" w:styleId="476">
    <w:name w:val="Char8"/>
    <w:basedOn w:val="23"/>
    <w:qFormat/>
    <w:uiPriority w:val="0"/>
    <w:rPr>
      <w:rFonts w:ascii="Calibri" w:hAnsi="Calibri"/>
    </w:rPr>
  </w:style>
  <w:style w:type="character" w:customStyle="1" w:styleId="477">
    <w:name w:val="日期 Char2"/>
    <w:qFormat/>
    <w:uiPriority w:val="0"/>
    <w:rPr>
      <w:rFonts w:ascii="Times New Roman" w:hAnsi="Times New Roman" w:eastAsia="宋体" w:cs="Times New Roman"/>
      <w:sz w:val="24"/>
      <w:szCs w:val="20"/>
    </w:rPr>
  </w:style>
  <w:style w:type="character" w:customStyle="1" w:styleId="478">
    <w:name w:val="Char Char1821"/>
    <w:qFormat/>
    <w:uiPriority w:val="0"/>
    <w:rPr>
      <w:b/>
      <w:bCs/>
      <w:kern w:val="44"/>
      <w:sz w:val="44"/>
      <w:szCs w:val="44"/>
    </w:rPr>
  </w:style>
  <w:style w:type="character" w:customStyle="1" w:styleId="479">
    <w:name w:val="纯文本 Char2"/>
    <w:qFormat/>
    <w:uiPriority w:val="99"/>
    <w:rPr>
      <w:rFonts w:ascii="宋体" w:hAnsi="Courier New"/>
      <w:sz w:val="21"/>
      <w:szCs w:val="21"/>
    </w:rPr>
  </w:style>
  <w:style w:type="paragraph" w:customStyle="1" w:styleId="480">
    <w:name w:val="索引 41"/>
    <w:basedOn w:val="1"/>
    <w:next w:val="1"/>
    <w:qFormat/>
    <w:uiPriority w:val="0"/>
    <w:pPr>
      <w:ind w:left="600" w:leftChars="600"/>
    </w:pPr>
  </w:style>
  <w:style w:type="paragraph" w:customStyle="1" w:styleId="481">
    <w:name w:val="正文 A"/>
    <w:qFormat/>
    <w:uiPriority w:val="0"/>
    <w:pPr>
      <w:widowControl w:val="0"/>
      <w:jc w:val="both"/>
    </w:pPr>
    <w:rPr>
      <w:rFonts w:ascii="宋体" w:cs="宋体" w:hAnsiTheme="minorHAnsi" w:eastAsiaTheme="minorEastAsia"/>
      <w:color w:val="000000"/>
      <w:kern w:val="2"/>
      <w:sz w:val="21"/>
      <w:szCs w:val="21"/>
      <w:u w:color="000000"/>
      <w:lang w:val="en-US" w:eastAsia="zh-CN" w:bidi="ar-SA"/>
    </w:rPr>
  </w:style>
  <w:style w:type="character" w:customStyle="1" w:styleId="482">
    <w:name w:val="引用 字符"/>
    <w:link w:val="277"/>
    <w:qFormat/>
    <w:uiPriority w:val="0"/>
    <w:rPr>
      <w:rFonts w:ascii="Calibri" w:hAnsi="Calibri"/>
      <w:i/>
      <w:color w:val="000000"/>
      <w:kern w:val="2"/>
      <w:sz w:val="22"/>
      <w:szCs w:val="22"/>
    </w:rPr>
  </w:style>
  <w:style w:type="character" w:customStyle="1" w:styleId="483">
    <w:name w:val="批注主题 字符"/>
    <w:link w:val="64"/>
    <w:qFormat/>
    <w:uiPriority w:val="0"/>
    <w:rPr>
      <w:b/>
      <w:bCs/>
      <w:kern w:val="2"/>
      <w:sz w:val="21"/>
      <w:szCs w:val="21"/>
    </w:rPr>
  </w:style>
  <w:style w:type="character" w:customStyle="1" w:styleId="484">
    <w:name w:val="正文文本 2 字符"/>
    <w:link w:val="57"/>
    <w:qFormat/>
    <w:uiPriority w:val="99"/>
    <w:rPr>
      <w:rFonts w:ascii="Calibri" w:hAnsi="Calibri"/>
      <w:kern w:val="2"/>
      <w:sz w:val="24"/>
      <w:szCs w:val="22"/>
    </w:rPr>
  </w:style>
  <w:style w:type="character" w:customStyle="1" w:styleId="485">
    <w:name w:val="正文文本缩进 2 Char1"/>
    <w:qFormat/>
    <w:uiPriority w:val="99"/>
    <w:rPr>
      <w:kern w:val="2"/>
      <w:sz w:val="21"/>
      <w:szCs w:val="22"/>
    </w:rPr>
  </w:style>
  <w:style w:type="paragraph" w:customStyle="1" w:styleId="486">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487">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488">
    <w:name w:val="日期2"/>
    <w:basedOn w:val="1"/>
    <w:next w:val="1"/>
    <w:qFormat/>
    <w:uiPriority w:val="0"/>
    <w:pPr>
      <w:ind w:left="100" w:leftChars="2500"/>
    </w:pPr>
    <w:rPr>
      <w:rFonts w:ascii="宋体"/>
      <w:kern w:val="0"/>
      <w:sz w:val="28"/>
      <w:szCs w:val="20"/>
    </w:rPr>
  </w:style>
  <w:style w:type="paragraph" w:customStyle="1" w:styleId="489">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90">
    <w:name w:val="textcontents"/>
    <w:qFormat/>
    <w:uiPriority w:val="0"/>
  </w:style>
  <w:style w:type="character" w:customStyle="1" w:styleId="491">
    <w:name w:val="Balloon Text Char"/>
    <w:qFormat/>
    <w:uiPriority w:val="0"/>
    <w:rPr>
      <w:rFonts w:eastAsia="宋体"/>
      <w:kern w:val="2"/>
      <w:sz w:val="18"/>
      <w:szCs w:val="18"/>
      <w:lang w:val="en-US" w:eastAsia="zh-CN" w:bidi="ar-SA"/>
    </w:rPr>
  </w:style>
  <w:style w:type="paragraph" w:customStyle="1" w:styleId="492">
    <w:name w:val="xl29"/>
    <w:basedOn w:val="1"/>
    <w:qFormat/>
    <w:uiPriority w:val="0"/>
    <w:pPr>
      <w:widowControl/>
      <w:spacing w:before="100" w:beforeAutospacing="1" w:after="100" w:afterAutospacing="1"/>
      <w:jc w:val="center"/>
    </w:pPr>
    <w:rPr>
      <w:rFonts w:ascii="黑体" w:hAnsi="宋体" w:eastAsia="黑体" w:cs="宋体"/>
      <w:b/>
      <w:bCs/>
      <w:kern w:val="0"/>
      <w:sz w:val="26"/>
      <w:szCs w:val="26"/>
    </w:rPr>
  </w:style>
  <w:style w:type="paragraph" w:customStyle="1" w:styleId="493">
    <w:name w:val="默认段落字体 Para Char Char Char Char"/>
    <w:basedOn w:val="1"/>
    <w:qFormat/>
    <w:uiPriority w:val="0"/>
    <w:rPr>
      <w:szCs w:val="21"/>
    </w:rPr>
  </w:style>
  <w:style w:type="character" w:customStyle="1" w:styleId="494">
    <w:name w:val="Char Char4"/>
    <w:qFormat/>
    <w:uiPriority w:val="0"/>
    <w:rPr>
      <w:rFonts w:eastAsia="宋体"/>
      <w:b/>
      <w:bCs/>
      <w:kern w:val="44"/>
      <w:sz w:val="44"/>
      <w:szCs w:val="44"/>
      <w:lang w:val="en-US" w:eastAsia="zh-CN"/>
    </w:rPr>
  </w:style>
  <w:style w:type="character" w:customStyle="1" w:styleId="495">
    <w:name w:val="正文要点 Char Char"/>
    <w:link w:val="103"/>
    <w:qFormat/>
    <w:locked/>
    <w:uiPriority w:val="0"/>
    <w:rPr>
      <w:kern w:val="2"/>
      <w:sz w:val="21"/>
      <w:szCs w:val="21"/>
    </w:rPr>
  </w:style>
  <w:style w:type="paragraph" w:customStyle="1" w:styleId="496">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97">
    <w:name w:val="Heading 1 Char"/>
    <w:qFormat/>
    <w:locked/>
    <w:uiPriority w:val="0"/>
    <w:rPr>
      <w:rFonts w:eastAsia="宋体"/>
      <w:b/>
      <w:bCs/>
      <w:kern w:val="44"/>
      <w:sz w:val="44"/>
      <w:szCs w:val="44"/>
      <w:lang w:val="en-US" w:eastAsia="zh-CN" w:bidi="ar-SA"/>
    </w:rPr>
  </w:style>
  <w:style w:type="paragraph" w:customStyle="1" w:styleId="498">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499">
    <w:name w:val="文档结构图1"/>
    <w:basedOn w:val="1"/>
    <w:qFormat/>
    <w:uiPriority w:val="0"/>
    <w:pPr>
      <w:shd w:val="clear" w:color="auto" w:fill="000080"/>
    </w:pPr>
    <w:rPr>
      <w:kern w:val="0"/>
      <w:sz w:val="20"/>
      <w:shd w:val="clear" w:color="auto" w:fill="000080"/>
    </w:rPr>
  </w:style>
  <w:style w:type="character" w:customStyle="1" w:styleId="500">
    <w:name w:val="apple-converted-space"/>
    <w:qFormat/>
    <w:uiPriority w:val="0"/>
  </w:style>
  <w:style w:type="paragraph" w:customStyle="1" w:styleId="501">
    <w:name w:val="文本块12"/>
    <w:basedOn w:val="1"/>
    <w:next w:val="1"/>
    <w:qFormat/>
    <w:uiPriority w:val="0"/>
    <w:rPr>
      <w:i/>
      <w:iCs/>
      <w:color w:val="000000"/>
      <w:szCs w:val="22"/>
    </w:rPr>
  </w:style>
  <w:style w:type="character" w:customStyle="1" w:styleId="502">
    <w:name w:val="样式1 字符"/>
    <w:link w:val="451"/>
    <w:qFormat/>
    <w:uiPriority w:val="0"/>
    <w:rPr>
      <w:rFonts w:ascii="宋体" w:hAnsi="宋体" w:cs="宋体"/>
      <w:sz w:val="21"/>
      <w:szCs w:val="21"/>
    </w:rPr>
  </w:style>
  <w:style w:type="character" w:customStyle="1" w:styleId="503">
    <w:name w:val="正文文本 字符"/>
    <w:link w:val="2"/>
    <w:qFormat/>
    <w:uiPriority w:val="99"/>
    <w:rPr>
      <w:sz w:val="24"/>
      <w:szCs w:val="24"/>
    </w:rPr>
  </w:style>
  <w:style w:type="character" w:customStyle="1" w:styleId="504">
    <w:name w:val="Char Char511"/>
    <w:qFormat/>
    <w:uiPriority w:val="0"/>
    <w:rPr>
      <w:rFonts w:ascii="Arial" w:hAnsi="Arial" w:eastAsia="黑体"/>
      <w:b/>
      <w:bCs/>
      <w:kern w:val="2"/>
      <w:sz w:val="32"/>
      <w:szCs w:val="32"/>
      <w:lang w:val="en-US" w:eastAsia="zh-CN" w:bidi="ar-SA"/>
    </w:rPr>
  </w:style>
  <w:style w:type="character" w:customStyle="1" w:styleId="505">
    <w:name w:val="日期 Char Char"/>
    <w:qFormat/>
    <w:uiPriority w:val="0"/>
    <w:rPr>
      <w:rFonts w:ascii="宋体"/>
      <w:sz w:val="28"/>
      <w:lang w:bidi="ar-SA"/>
    </w:rPr>
  </w:style>
  <w:style w:type="paragraph" w:customStyle="1" w:styleId="506">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character" w:customStyle="1" w:styleId="507">
    <w:name w:val="Char Char161"/>
    <w:qFormat/>
    <w:uiPriority w:val="0"/>
    <w:rPr>
      <w:b/>
      <w:bCs/>
      <w:kern w:val="2"/>
      <w:sz w:val="32"/>
      <w:szCs w:val="32"/>
    </w:rPr>
  </w:style>
  <w:style w:type="character" w:customStyle="1" w:styleId="508">
    <w:name w:val="不明显强调3"/>
    <w:qFormat/>
    <w:uiPriority w:val="0"/>
    <w:rPr>
      <w:i/>
      <w:iCs/>
      <w:color w:val="808080"/>
    </w:rPr>
  </w:style>
  <w:style w:type="character" w:customStyle="1" w:styleId="509">
    <w:name w:val="Char Char26"/>
    <w:qFormat/>
    <w:uiPriority w:val="0"/>
    <w:rPr>
      <w:rFonts w:ascii="Arial" w:hAnsi="Arial" w:eastAsia="黑体" w:cs="Times New Roman"/>
      <w:b/>
      <w:bCs/>
      <w:sz w:val="32"/>
      <w:szCs w:val="32"/>
    </w:rPr>
  </w:style>
  <w:style w:type="paragraph" w:customStyle="1" w:styleId="510">
    <w:name w:val="正文文本 3121"/>
    <w:basedOn w:val="1"/>
    <w:qFormat/>
    <w:uiPriority w:val="0"/>
    <w:pPr>
      <w:spacing w:after="120"/>
    </w:pPr>
    <w:rPr>
      <w:sz w:val="16"/>
      <w:szCs w:val="16"/>
    </w:rPr>
  </w:style>
  <w:style w:type="paragraph" w:customStyle="1" w:styleId="511">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512">
    <w:name w:val="Styl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513">
    <w:name w:val="不明显参考3"/>
    <w:qFormat/>
    <w:uiPriority w:val="0"/>
    <w:rPr>
      <w:smallCaps/>
      <w:color w:val="C0504D"/>
      <w:u w:val="single"/>
    </w:rPr>
  </w:style>
  <w:style w:type="character" w:customStyle="1" w:styleId="514">
    <w:name w:val="标题 2 字符1"/>
    <w:basedOn w:val="69"/>
    <w:link w:val="5"/>
    <w:qFormat/>
    <w:uiPriority w:val="0"/>
    <w:rPr>
      <w:rFonts w:eastAsia="仿宋" w:asciiTheme="majorHAnsi" w:hAnsiTheme="majorHAnsi" w:cstheme="majorBidi"/>
      <w:b/>
      <w:bCs/>
      <w:sz w:val="28"/>
      <w:szCs w:val="32"/>
    </w:rPr>
  </w:style>
  <w:style w:type="paragraph" w:customStyle="1" w:styleId="515">
    <w:name w:val="标题 21"/>
    <w:basedOn w:val="1"/>
    <w:qFormat/>
    <w:uiPriority w:val="1"/>
    <w:pPr>
      <w:autoSpaceDE w:val="0"/>
      <w:autoSpaceDN w:val="0"/>
      <w:ind w:left="130"/>
      <w:jc w:val="left"/>
      <w:outlineLvl w:val="2"/>
    </w:pPr>
    <w:rPr>
      <w:rFonts w:ascii="黑体" w:hAnsi="黑体" w:eastAsia="黑体" w:cs="黑体"/>
      <w:kern w:val="0"/>
      <w:sz w:val="54"/>
      <w:szCs w:val="54"/>
      <w:lang w:eastAsia="en-US"/>
    </w:rPr>
  </w:style>
  <w:style w:type="paragraph" w:customStyle="1" w:styleId="516">
    <w:name w:val="msolistparagraph"/>
    <w:basedOn w:val="1"/>
    <w:qFormat/>
    <w:uiPriority w:val="0"/>
    <w:pPr>
      <w:ind w:firstLine="420" w:firstLineChars="200"/>
    </w:pPr>
    <w:rPr>
      <w:rFonts w:ascii="Calibri" w:hAnsi="Calibri" w:eastAsia="宋体" w:cs="Times New Roman"/>
      <w:szCs w:val="22"/>
    </w:rPr>
  </w:style>
  <w:style w:type="character" w:customStyle="1" w:styleId="517">
    <w:name w:val="未处理的提及1"/>
    <w:basedOn w:val="69"/>
    <w:unhideWhenUsed/>
    <w:qFormat/>
    <w:uiPriority w:val="99"/>
    <w:rPr>
      <w:color w:val="605E5C"/>
      <w:shd w:val="clear" w:color="auto" w:fill="E1DFDD"/>
    </w:rPr>
  </w:style>
  <w:style w:type="paragraph" w:customStyle="1" w:styleId="518">
    <w:name w:val="msonormal"/>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519">
    <w:name w:val="xl65"/>
    <w:basedOn w:val="1"/>
    <w:qFormat/>
    <w:uiPriority w:val="0"/>
    <w:pPr>
      <w:widowControl/>
      <w:spacing w:before="100" w:beforeAutospacing="1" w:after="100" w:afterAutospacing="1"/>
      <w:jc w:val="center"/>
    </w:pPr>
    <w:rPr>
      <w:rFonts w:ascii="宋体" w:hAnsi="宋体" w:eastAsia="宋体" w:cs="宋体"/>
      <w:b/>
      <w:bCs/>
      <w:kern w:val="0"/>
      <w:sz w:val="20"/>
      <w:szCs w:val="20"/>
    </w:rPr>
  </w:style>
  <w:style w:type="character" w:customStyle="1" w:styleId="520">
    <w:name w:val="正文缩进 字符2"/>
    <w:qFormat/>
    <w:uiPriority w:val="0"/>
    <w:rPr>
      <w:rFonts w:ascii="等线" w:hAnsi="等线" w:eastAsia="等线" w:cs="Times New Roman"/>
    </w:rPr>
  </w:style>
  <w:style w:type="character" w:customStyle="1" w:styleId="521">
    <w:name w:val="称呼 Char1"/>
    <w:basedOn w:val="69"/>
    <w:qFormat/>
    <w:uiPriority w:val="99"/>
    <w:rPr>
      <w:kern w:val="2"/>
      <w:sz w:val="21"/>
      <w:szCs w:val="24"/>
    </w:rPr>
  </w:style>
  <w:style w:type="character" w:customStyle="1" w:styleId="522">
    <w:name w:val="普通(网站) 字符"/>
    <w:link w:val="61"/>
    <w:qFormat/>
    <w:locked/>
    <w:uiPriority w:val="0"/>
    <w:rPr>
      <w:rFonts w:ascii="宋体" w:hAnsi="宋体" w:cs="宋体"/>
      <w:kern w:val="0"/>
      <w:sz w:val="24"/>
    </w:rPr>
  </w:style>
  <w:style w:type="paragraph" w:customStyle="1" w:styleId="523">
    <w:name w:val="Body text|1"/>
    <w:basedOn w:val="1"/>
    <w:autoRedefine/>
    <w:qFormat/>
    <w:uiPriority w:val="0"/>
    <w:pPr>
      <w:spacing w:line="439" w:lineRule="auto"/>
      <w:ind w:firstLine="400"/>
    </w:pPr>
    <w:rPr>
      <w:rFonts w:ascii="MingLiU" w:hAnsi="MingLiU" w:eastAsia="MingLiU" w:cs="MingLiU"/>
      <w:sz w:val="19"/>
      <w:szCs w:val="19"/>
      <w:lang w:val="zh-TW" w:eastAsia="zh-TW" w:bidi="zh-TW"/>
    </w:rPr>
  </w:style>
  <w:style w:type="paragraph" w:customStyle="1" w:styleId="524">
    <w:name w:val="正文_0_0"/>
    <w:qFormat/>
    <w:uiPriority w:val="0"/>
    <w:pPr>
      <w:widowControl w:val="0"/>
      <w:spacing w:line="360" w:lineRule="auto"/>
      <w:ind w:firstLine="412" w:firstLineChars="196"/>
    </w:pPr>
    <w:rPr>
      <w:rFonts w:ascii="Times New Roman" w:hAnsi="Times New Roman" w:eastAsia="宋体" w:cs="Times New Roman"/>
      <w:kern w:val="2"/>
      <w:sz w:val="21"/>
      <w:lang w:val="en-US" w:eastAsia="zh-CN" w:bidi="ar-SA"/>
    </w:rPr>
  </w:style>
  <w:style w:type="paragraph" w:customStyle="1" w:styleId="525">
    <w:name w:val="_Style 13"/>
    <w:qFormat/>
    <w:uiPriority w:val="0"/>
    <w:pPr>
      <w:spacing w:before="120" w:after="120" w:line="288" w:lineRule="auto"/>
    </w:pPr>
    <w:rPr>
      <w:rFonts w:ascii="Arial" w:hAnsi="Arial" w:eastAsia="等线" w:cs="Arial"/>
      <w:sz w:val="22"/>
      <w:szCs w:val="22"/>
      <w:lang w:val="en-US" w:eastAsia="zh-CN" w:bidi="ar-SA"/>
    </w:rPr>
  </w:style>
  <w:style w:type="paragraph" w:customStyle="1" w:styleId="526">
    <w:name w:val="Table of contents|1"/>
    <w:basedOn w:val="1"/>
    <w:qFormat/>
    <w:uiPriority w:val="0"/>
    <w:pPr>
      <w:spacing w:line="533" w:lineRule="exact"/>
      <w:ind w:firstLine="580"/>
    </w:pPr>
    <w:rPr>
      <w:rFonts w:ascii="宋体" w:hAnsi="宋体" w:eastAsia="宋体" w:cs="宋体"/>
      <w:sz w:val="28"/>
      <w:szCs w:val="28"/>
      <w:lang w:val="zh-TW" w:eastAsia="zh-TW" w:bidi="zh-TW"/>
    </w:rPr>
  </w:style>
  <w:style w:type="character" w:customStyle="1" w:styleId="527">
    <w:name w:val="font61"/>
    <w:basedOn w:val="69"/>
    <w:qFormat/>
    <w:uiPriority w:val="0"/>
    <w:rPr>
      <w:rFonts w:hint="eastAsia" w:ascii="宋体" w:hAnsi="宋体" w:eastAsia="宋体" w:cs="宋体"/>
      <w:b/>
      <w:bCs/>
      <w:color w:val="000000"/>
      <w:sz w:val="28"/>
      <w:szCs w:val="28"/>
      <w:u w:val="none"/>
    </w:rPr>
  </w:style>
  <w:style w:type="character" w:customStyle="1" w:styleId="528">
    <w:name w:val="font51"/>
    <w:basedOn w:val="69"/>
    <w:qFormat/>
    <w:uiPriority w:val="0"/>
    <w:rPr>
      <w:rFonts w:hint="eastAsia" w:ascii="宋体" w:hAnsi="宋体" w:eastAsia="宋体" w:cs="宋体"/>
      <w:color w:val="000000"/>
      <w:sz w:val="28"/>
      <w:szCs w:val="28"/>
      <w:u w:val="none"/>
    </w:rPr>
  </w:style>
  <w:style w:type="paragraph" w:customStyle="1" w:styleId="529">
    <w:name w:val="普通(网站)111"/>
    <w:basedOn w:val="1"/>
    <w:qFormat/>
    <w:uiPriority w:val="99"/>
    <w:pPr>
      <w:widowControl/>
      <w:spacing w:before="100" w:beforeAutospacing="1" w:after="100" w:afterAutospacing="1"/>
      <w:jc w:val="left"/>
    </w:pPr>
    <w:rPr>
      <w:rFonts w:ascii="宋体" w:hAnsi="宋体"/>
      <w:kern w:val="0"/>
      <w:sz w:val="24"/>
    </w:rPr>
  </w:style>
  <w:style w:type="character" w:customStyle="1" w:styleId="530">
    <w:name w:val="Char Char291"/>
    <w:qFormat/>
    <w:uiPriority w:val="0"/>
    <w:rPr>
      <w:rFonts w:eastAsia="宋体"/>
      <w:b/>
      <w:bCs/>
      <w:kern w:val="2"/>
      <w:sz w:val="32"/>
      <w:szCs w:val="32"/>
      <w:lang w:val="en-US" w:eastAsia="zh-CN" w:bidi="ar-SA"/>
    </w:rPr>
  </w:style>
  <w:style w:type="character" w:customStyle="1" w:styleId="531">
    <w:name w:val="Char Char Char Char Char Char1"/>
    <w:qFormat/>
    <w:uiPriority w:val="0"/>
    <w:rPr>
      <w:rFonts w:ascii="Cambria" w:hAnsi="Cambria"/>
      <w:b/>
      <w:bCs/>
      <w:kern w:val="2"/>
      <w:sz w:val="32"/>
      <w:szCs w:val="32"/>
      <w:lang w:bidi="ar-SA"/>
    </w:rPr>
  </w:style>
  <w:style w:type="character" w:customStyle="1" w:styleId="532">
    <w:name w:val="明显强调212"/>
    <w:qFormat/>
    <w:uiPriority w:val="0"/>
    <w:rPr>
      <w:b/>
      <w:bCs/>
      <w:i/>
      <w:iCs/>
      <w:color w:val="4F81BD"/>
    </w:rPr>
  </w:style>
  <w:style w:type="character" w:customStyle="1" w:styleId="533">
    <w:name w:val="明显强调11"/>
    <w:qFormat/>
    <w:uiPriority w:val="99"/>
    <w:rPr>
      <w:b/>
      <w:bCs/>
      <w:i/>
      <w:iCs/>
      <w:color w:val="4F81BD"/>
    </w:rPr>
  </w:style>
  <w:style w:type="character" w:customStyle="1" w:styleId="534">
    <w:name w:val="书籍标题111"/>
    <w:qFormat/>
    <w:uiPriority w:val="99"/>
    <w:rPr>
      <w:b/>
      <w:smallCaps/>
      <w:spacing w:val="5"/>
    </w:rPr>
  </w:style>
  <w:style w:type="paragraph" w:customStyle="1" w:styleId="535">
    <w:name w:val="修订3111"/>
    <w:qFormat/>
    <w:uiPriority w:val="0"/>
    <w:rPr>
      <w:rFonts w:asciiTheme="minorHAnsi" w:hAnsiTheme="minorHAnsi" w:eastAsiaTheme="minorEastAsia" w:cstheme="minorBidi"/>
      <w:kern w:val="2"/>
      <w:sz w:val="21"/>
      <w:szCs w:val="21"/>
      <w:lang w:val="en-US" w:eastAsia="zh-CN" w:bidi="ar-SA"/>
    </w:rPr>
  </w:style>
  <w:style w:type="character" w:customStyle="1" w:styleId="536">
    <w:name w:val="明显参考31111"/>
    <w:qFormat/>
    <w:uiPriority w:val="0"/>
    <w:rPr>
      <w:b/>
      <w:bCs/>
      <w:smallCaps/>
      <w:color w:val="C0504D"/>
      <w:spacing w:val="5"/>
      <w:u w:val="single"/>
    </w:rPr>
  </w:style>
  <w:style w:type="character" w:customStyle="1" w:styleId="537">
    <w:name w:val="Char Char301"/>
    <w:qFormat/>
    <w:uiPriority w:val="0"/>
    <w:rPr>
      <w:rFonts w:ascii="Arial" w:hAnsi="Arial" w:eastAsia="黑体"/>
      <w:b/>
      <w:bCs/>
      <w:kern w:val="2"/>
      <w:sz w:val="32"/>
      <w:szCs w:val="32"/>
      <w:lang w:val="en-US" w:eastAsia="zh-CN" w:bidi="ar-SA"/>
    </w:rPr>
  </w:style>
  <w:style w:type="character" w:customStyle="1" w:styleId="538">
    <w:name w:val="Char Char72"/>
    <w:qFormat/>
    <w:uiPriority w:val="0"/>
    <w:rPr>
      <w:rFonts w:ascii="Arial" w:hAnsi="Arial" w:eastAsia="黑体"/>
      <w:b/>
      <w:bCs/>
      <w:kern w:val="2"/>
      <w:sz w:val="32"/>
      <w:szCs w:val="32"/>
      <w:lang w:val="en-US" w:eastAsia="zh-CN" w:bidi="ar-SA"/>
    </w:rPr>
  </w:style>
  <w:style w:type="paragraph" w:customStyle="1" w:styleId="539">
    <w:name w:val="Char31"/>
    <w:basedOn w:val="1"/>
    <w:qFormat/>
    <w:uiPriority w:val="0"/>
    <w:pPr>
      <w:tabs>
        <w:tab w:val="left" w:pos="360"/>
      </w:tabs>
    </w:pPr>
    <w:rPr>
      <w:sz w:val="24"/>
    </w:rPr>
  </w:style>
  <w:style w:type="paragraph" w:customStyle="1" w:styleId="540">
    <w:name w:val="TOC 标题3111"/>
    <w:basedOn w:val="4"/>
    <w:next w:val="1"/>
    <w:qFormat/>
    <w:uiPriority w:val="0"/>
    <w:pPr>
      <w:widowControl/>
      <w:spacing w:before="480" w:after="0" w:line="276" w:lineRule="auto"/>
      <w:outlineLvl w:val="9"/>
    </w:pPr>
    <w:rPr>
      <w:rFonts w:ascii="Cambria" w:hAnsi="Cambria" w:cs="Cambria"/>
      <w:color w:val="365F91"/>
      <w:kern w:val="0"/>
      <w:sz w:val="28"/>
      <w:szCs w:val="28"/>
    </w:rPr>
  </w:style>
  <w:style w:type="character" w:customStyle="1" w:styleId="541">
    <w:name w:val="Char Char172"/>
    <w:qFormat/>
    <w:uiPriority w:val="0"/>
    <w:rPr>
      <w:rFonts w:ascii="Cambria" w:hAnsi="Cambria" w:eastAsia="宋体" w:cs="Times New Roman"/>
      <w:b/>
      <w:bCs/>
      <w:kern w:val="2"/>
      <w:sz w:val="32"/>
      <w:szCs w:val="32"/>
    </w:rPr>
  </w:style>
  <w:style w:type="character" w:customStyle="1" w:styleId="542">
    <w:name w:val="Char Char92"/>
    <w:qFormat/>
    <w:uiPriority w:val="0"/>
    <w:rPr>
      <w:kern w:val="2"/>
      <w:sz w:val="21"/>
      <w:szCs w:val="22"/>
    </w:rPr>
  </w:style>
  <w:style w:type="character" w:customStyle="1" w:styleId="543">
    <w:name w:val="Char Char Char3"/>
    <w:qFormat/>
    <w:uiPriority w:val="0"/>
    <w:rPr>
      <w:rFonts w:eastAsia="宋体"/>
      <w:b/>
      <w:bCs/>
      <w:kern w:val="44"/>
      <w:sz w:val="44"/>
      <w:szCs w:val="44"/>
      <w:lang w:val="en-US" w:eastAsia="zh-CN" w:bidi="ar-SA"/>
    </w:rPr>
  </w:style>
  <w:style w:type="character" w:customStyle="1" w:styleId="544">
    <w:name w:val="Char Char261"/>
    <w:qFormat/>
    <w:uiPriority w:val="0"/>
    <w:rPr>
      <w:rFonts w:eastAsia="宋体"/>
      <w:kern w:val="2"/>
      <w:sz w:val="21"/>
      <w:szCs w:val="24"/>
      <w:lang w:val="en-US" w:eastAsia="zh-CN" w:bidi="ar-SA"/>
    </w:rPr>
  </w:style>
  <w:style w:type="character" w:customStyle="1" w:styleId="545">
    <w:name w:val="Char Char182"/>
    <w:qFormat/>
    <w:uiPriority w:val="0"/>
    <w:rPr>
      <w:b/>
      <w:bCs/>
      <w:kern w:val="44"/>
      <w:sz w:val="44"/>
      <w:szCs w:val="44"/>
    </w:rPr>
  </w:style>
  <w:style w:type="character" w:customStyle="1" w:styleId="546">
    <w:name w:val="Char Char5"/>
    <w:qFormat/>
    <w:uiPriority w:val="0"/>
    <w:rPr>
      <w:rFonts w:ascii="Arial" w:hAnsi="Arial" w:eastAsia="黑体"/>
      <w:b/>
      <w:bCs/>
      <w:kern w:val="2"/>
      <w:sz w:val="32"/>
      <w:szCs w:val="32"/>
      <w:lang w:val="en-US" w:eastAsia="zh-CN" w:bidi="ar-SA"/>
    </w:rPr>
  </w:style>
  <w:style w:type="character" w:customStyle="1" w:styleId="547">
    <w:name w:val="不明显强调3111"/>
    <w:qFormat/>
    <w:uiPriority w:val="0"/>
    <w:rPr>
      <w:i/>
      <w:iCs/>
      <w:color w:val="808080"/>
    </w:rPr>
  </w:style>
  <w:style w:type="paragraph" w:customStyle="1" w:styleId="548">
    <w:name w:val="正文文本 312"/>
    <w:basedOn w:val="1"/>
    <w:qFormat/>
    <w:uiPriority w:val="0"/>
    <w:pPr>
      <w:spacing w:after="120"/>
    </w:pPr>
    <w:rPr>
      <w:sz w:val="16"/>
      <w:szCs w:val="16"/>
    </w:rPr>
  </w:style>
  <w:style w:type="character" w:customStyle="1" w:styleId="549">
    <w:name w:val="不明显参考31"/>
    <w:qFormat/>
    <w:uiPriority w:val="0"/>
    <w:rPr>
      <w:smallCaps/>
      <w:color w:val="C0504D"/>
      <w:u w:val="single"/>
    </w:rPr>
  </w:style>
  <w:style w:type="character" w:customStyle="1" w:styleId="550">
    <w:name w:val="ask-title"/>
    <w:qFormat/>
    <w:uiPriority w:val="0"/>
  </w:style>
  <w:style w:type="paragraph" w:customStyle="1" w:styleId="551">
    <w:name w:val="修订4"/>
    <w:unhideWhenUsed/>
    <w:qFormat/>
    <w:uiPriority w:val="0"/>
    <w:rPr>
      <w:rFonts w:ascii="Times New Roman" w:hAnsi="Times New Roman" w:eastAsia="宋体" w:cs="Times New Roman"/>
      <w:kern w:val="2"/>
      <w:sz w:val="21"/>
      <w:szCs w:val="24"/>
      <w:lang w:val="en-US" w:eastAsia="zh-CN" w:bidi="ar-SA"/>
    </w:rPr>
  </w:style>
  <w:style w:type="character" w:customStyle="1" w:styleId="552">
    <w:name w:val="a-desc"/>
    <w:qFormat/>
    <w:uiPriority w:val="0"/>
    <w:rPr>
      <w:color w:val="315EFB"/>
    </w:rPr>
  </w:style>
  <w:style w:type="character" w:customStyle="1" w:styleId="553">
    <w:name w:val="font31"/>
    <w:qFormat/>
    <w:uiPriority w:val="0"/>
    <w:rPr>
      <w:rFonts w:hint="eastAsia" w:ascii="微软雅黑" w:hAnsi="微软雅黑" w:eastAsia="微软雅黑" w:cs="微软雅黑"/>
      <w:b/>
      <w:bCs/>
      <w:color w:val="000000"/>
      <w:sz w:val="20"/>
      <w:szCs w:val="20"/>
      <w:u w:val="none"/>
    </w:rPr>
  </w:style>
  <w:style w:type="character" w:customStyle="1" w:styleId="554">
    <w:name w:val="font41"/>
    <w:qFormat/>
    <w:uiPriority w:val="0"/>
    <w:rPr>
      <w:rFonts w:hint="eastAsia" w:ascii="微软雅黑" w:hAnsi="微软雅黑" w:eastAsia="微软雅黑" w:cs="微软雅黑"/>
      <w:color w:val="000000"/>
      <w:sz w:val="20"/>
      <w:szCs w:val="20"/>
      <w:u w:val="none"/>
    </w:rPr>
  </w:style>
  <w:style w:type="character" w:customStyle="1" w:styleId="555">
    <w:name w:val="正文缩进 Char2"/>
    <w:qFormat/>
    <w:uiPriority w:val="0"/>
    <w:rPr>
      <w:kern w:val="2"/>
      <w:sz w:val="21"/>
      <w:szCs w:val="21"/>
    </w:rPr>
  </w:style>
  <w:style w:type="character" w:customStyle="1" w:styleId="556">
    <w:name w:val="HTML 预设格式 字符3"/>
    <w:qFormat/>
    <w:uiPriority w:val="0"/>
    <w:rPr>
      <w:rFonts w:ascii="宋体" w:hAnsi="宋体" w:eastAsia="宋体" w:cs="Times New Roman"/>
      <w:sz w:val="24"/>
      <w:szCs w:val="24"/>
    </w:rPr>
  </w:style>
  <w:style w:type="character" w:customStyle="1" w:styleId="557">
    <w:name w:val="标题 1 字符2"/>
    <w:qFormat/>
    <w:uiPriority w:val="0"/>
    <w:rPr>
      <w:rFonts w:ascii="Times New Roman" w:hAnsi="Times New Roman" w:eastAsia="宋体" w:cs="Times New Roman"/>
      <w:b/>
      <w:bCs/>
      <w:kern w:val="44"/>
      <w:sz w:val="44"/>
      <w:szCs w:val="44"/>
      <w:lang w:val="en-US" w:eastAsia="zh-CN" w:bidi="ar-SA"/>
    </w:rPr>
  </w:style>
  <w:style w:type="character" w:customStyle="1" w:styleId="558">
    <w:name w:val="标题 2 字符2"/>
    <w:qFormat/>
    <w:uiPriority w:val="0"/>
    <w:rPr>
      <w:rFonts w:ascii="Arial" w:hAnsi="Arial" w:eastAsia="黑体" w:cs="Times New Roman"/>
      <w:b/>
      <w:bCs/>
      <w:kern w:val="2"/>
      <w:sz w:val="32"/>
      <w:szCs w:val="32"/>
      <w:lang w:val="en-US" w:eastAsia="zh-CN" w:bidi="ar-SA"/>
    </w:rPr>
  </w:style>
  <w:style w:type="character" w:customStyle="1" w:styleId="559">
    <w:name w:val="标题 3 字符2"/>
    <w:qFormat/>
    <w:uiPriority w:val="0"/>
    <w:rPr>
      <w:rFonts w:ascii="Times New Roman" w:hAnsi="Times New Roman" w:eastAsia="宋体" w:cs="Times New Roman"/>
      <w:b/>
      <w:bCs/>
      <w:sz w:val="28"/>
      <w:szCs w:val="32"/>
      <w:lang w:val="en-US" w:eastAsia="zh-CN" w:bidi="ar-SA"/>
    </w:rPr>
  </w:style>
  <w:style w:type="character" w:customStyle="1" w:styleId="560">
    <w:name w:val="标题 4 字符2"/>
    <w:qFormat/>
    <w:uiPriority w:val="0"/>
    <w:rPr>
      <w:rFonts w:ascii="Arial" w:hAnsi="Arial" w:eastAsia="黑体" w:cs="Times New Roman"/>
      <w:b/>
      <w:bCs/>
      <w:kern w:val="2"/>
      <w:sz w:val="28"/>
      <w:szCs w:val="28"/>
      <w:lang w:val="en-US" w:eastAsia="zh-CN" w:bidi="ar-SA"/>
    </w:rPr>
  </w:style>
  <w:style w:type="character" w:customStyle="1" w:styleId="561">
    <w:name w:val="标题 5 字符2"/>
    <w:qFormat/>
    <w:uiPriority w:val="0"/>
    <w:rPr>
      <w:rFonts w:ascii="Times New Roman" w:hAnsi="Times New Roman" w:eastAsia="宋体" w:cs="Times New Roman"/>
      <w:b/>
      <w:bCs/>
      <w:kern w:val="2"/>
      <w:sz w:val="28"/>
      <w:szCs w:val="28"/>
      <w:lang w:val="en-US" w:eastAsia="zh-CN" w:bidi="ar-SA"/>
    </w:rPr>
  </w:style>
  <w:style w:type="character" w:customStyle="1" w:styleId="562">
    <w:name w:val="标题 6 字符2"/>
    <w:qFormat/>
    <w:uiPriority w:val="0"/>
    <w:rPr>
      <w:rFonts w:ascii="Arial" w:hAnsi="Arial" w:eastAsia="黑体" w:cs="Times New Roman"/>
      <w:b/>
      <w:bCs/>
      <w:sz w:val="24"/>
      <w:szCs w:val="24"/>
      <w:lang w:val="en-US" w:eastAsia="zh-CN" w:bidi="ar-SA"/>
    </w:rPr>
  </w:style>
  <w:style w:type="character" w:customStyle="1" w:styleId="563">
    <w:name w:val="标题 7 字符2"/>
    <w:qFormat/>
    <w:uiPriority w:val="0"/>
    <w:rPr>
      <w:rFonts w:ascii="Times New Roman" w:hAnsi="Times New Roman" w:eastAsia="宋体" w:cs="Times New Roman"/>
      <w:b/>
      <w:bCs/>
      <w:sz w:val="24"/>
      <w:szCs w:val="24"/>
      <w:lang w:val="en-US" w:eastAsia="zh-CN" w:bidi="ar-SA"/>
    </w:rPr>
  </w:style>
  <w:style w:type="character" w:customStyle="1" w:styleId="564">
    <w:name w:val="标题 8 字符2"/>
    <w:qFormat/>
    <w:uiPriority w:val="0"/>
    <w:rPr>
      <w:rFonts w:ascii="Arial" w:hAnsi="Arial" w:eastAsia="黑体" w:cs="Times New Roman"/>
      <w:sz w:val="24"/>
      <w:szCs w:val="24"/>
      <w:lang w:val="en-US" w:eastAsia="zh-CN" w:bidi="ar-SA"/>
    </w:rPr>
  </w:style>
  <w:style w:type="character" w:customStyle="1" w:styleId="565">
    <w:name w:val="标题 9 字符2"/>
    <w:qFormat/>
    <w:uiPriority w:val="0"/>
    <w:rPr>
      <w:rFonts w:ascii="Arial" w:hAnsi="Arial" w:eastAsia="黑体" w:cs="Times New Roman"/>
      <w:sz w:val="21"/>
      <w:szCs w:val="21"/>
      <w:lang w:val="en-US" w:eastAsia="zh-CN" w:bidi="ar-SA"/>
    </w:rPr>
  </w:style>
  <w:style w:type="character" w:customStyle="1" w:styleId="566">
    <w:name w:val="注释标题 字符"/>
    <w:basedOn w:val="69"/>
    <w:qFormat/>
    <w:uiPriority w:val="99"/>
  </w:style>
  <w:style w:type="character" w:customStyle="1" w:styleId="567">
    <w:name w:val="注释标题 字符2"/>
    <w:link w:val="17"/>
    <w:qFormat/>
    <w:uiPriority w:val="0"/>
    <w:rPr>
      <w:rFonts w:ascii="宋体" w:hAnsi="宋体" w:eastAsia="宋体" w:cs="Times New Roman"/>
      <w:b/>
      <w:bCs/>
      <w:kern w:val="0"/>
      <w:sz w:val="24"/>
    </w:rPr>
  </w:style>
  <w:style w:type="character" w:customStyle="1" w:styleId="568">
    <w:name w:val="题注 字符"/>
    <w:link w:val="21"/>
    <w:qFormat/>
    <w:uiPriority w:val="0"/>
    <w:rPr>
      <w:rFonts w:ascii="Cambria" w:hAnsi="Cambria" w:eastAsia="黑体"/>
      <w:sz w:val="20"/>
      <w:szCs w:val="20"/>
    </w:rPr>
  </w:style>
  <w:style w:type="character" w:customStyle="1" w:styleId="569">
    <w:name w:val="文档结构图 字符2"/>
    <w:qFormat/>
    <w:uiPriority w:val="0"/>
    <w:rPr>
      <w:rFonts w:ascii="Times New Roman" w:hAnsi="Times New Roman" w:eastAsia="宋体" w:cs="Times New Roman"/>
      <w:kern w:val="2"/>
      <w:sz w:val="24"/>
      <w:lang w:val="en-US" w:eastAsia="zh-CN" w:bidi="ar-SA"/>
    </w:rPr>
  </w:style>
  <w:style w:type="character" w:customStyle="1" w:styleId="570">
    <w:name w:val="批注文字 字符3"/>
    <w:qFormat/>
    <w:uiPriority w:val="0"/>
    <w:rPr>
      <w:rFonts w:ascii="Times New Roman" w:hAnsi="Times New Roman" w:eastAsia="宋体" w:cs="Times New Roman"/>
      <w:kern w:val="2"/>
      <w:sz w:val="24"/>
      <w:szCs w:val="24"/>
      <w:lang w:val="en-US" w:eastAsia="zh-CN" w:bidi="ar-SA"/>
    </w:rPr>
  </w:style>
  <w:style w:type="character" w:customStyle="1" w:styleId="571">
    <w:name w:val="正文文本 3 字符2"/>
    <w:qFormat/>
    <w:uiPriority w:val="0"/>
    <w:rPr>
      <w:rFonts w:ascii="宋体" w:hAnsi="Times New Roman" w:eastAsia="宋体" w:cs="Times New Roman"/>
      <w:kern w:val="2"/>
      <w:sz w:val="24"/>
      <w:lang w:val="en-US" w:eastAsia="zh-CN" w:bidi="ar-SA"/>
    </w:rPr>
  </w:style>
  <w:style w:type="character" w:customStyle="1" w:styleId="572">
    <w:name w:val="正文文本 字符2"/>
    <w:qFormat/>
    <w:uiPriority w:val="0"/>
    <w:rPr>
      <w:rFonts w:ascii="Times New Roman" w:hAnsi="Times New Roman" w:eastAsia="宋体" w:cs="Times New Roman"/>
      <w:kern w:val="2"/>
      <w:sz w:val="24"/>
      <w:lang w:val="en-US" w:eastAsia="zh-CN" w:bidi="ar-SA"/>
    </w:rPr>
  </w:style>
  <w:style w:type="character" w:customStyle="1" w:styleId="573">
    <w:name w:val="正文文本缩进 字符2"/>
    <w:qFormat/>
    <w:uiPriority w:val="0"/>
    <w:rPr>
      <w:rFonts w:ascii="Times New Roman" w:hAnsi="Times New Roman" w:eastAsia="宋体" w:cs="Times New Roman"/>
      <w:kern w:val="2"/>
      <w:sz w:val="21"/>
      <w:szCs w:val="24"/>
      <w:lang w:val="en-US" w:eastAsia="zh-CN" w:bidi="ar-SA"/>
    </w:rPr>
  </w:style>
  <w:style w:type="character" w:customStyle="1" w:styleId="574">
    <w:name w:val="文本块 字符2"/>
    <w:qFormat/>
    <w:uiPriority w:val="0"/>
    <w:rPr>
      <w:rFonts w:ascii="宋体" w:hAnsi="Times New Roman" w:eastAsia="宋体" w:cs="Times New Roman"/>
      <w:kern w:val="2"/>
      <w:sz w:val="28"/>
    </w:rPr>
  </w:style>
  <w:style w:type="character" w:customStyle="1" w:styleId="575">
    <w:name w:val="日期 字符2"/>
    <w:qFormat/>
    <w:uiPriority w:val="0"/>
    <w:rPr>
      <w:rFonts w:ascii="Times New Roman" w:hAnsi="Times New Roman" w:eastAsia="宋体" w:cs="Times New Roman"/>
      <w:kern w:val="2"/>
      <w:sz w:val="24"/>
      <w:lang w:val="en-US" w:eastAsia="zh-CN" w:bidi="ar-SA"/>
    </w:rPr>
  </w:style>
  <w:style w:type="character" w:customStyle="1" w:styleId="576">
    <w:name w:val="正文文本缩进 2 字符2"/>
    <w:qFormat/>
    <w:uiPriority w:val="0"/>
    <w:rPr>
      <w:rFonts w:ascii="Times New Roman" w:hAnsi="Times New Roman" w:eastAsia="宋体" w:cs="Times New Roman"/>
      <w:kern w:val="2"/>
      <w:sz w:val="28"/>
      <w:szCs w:val="24"/>
      <w:lang w:val="en-US" w:eastAsia="zh-CN" w:bidi="ar-SA"/>
    </w:rPr>
  </w:style>
  <w:style w:type="character" w:customStyle="1" w:styleId="577">
    <w:name w:val="尾注文本 字符"/>
    <w:basedOn w:val="69"/>
    <w:link w:val="41"/>
    <w:qFormat/>
    <w:uiPriority w:val="99"/>
    <w:rPr>
      <w:rFonts w:ascii="Times New Roman" w:hAnsi="Times New Roman" w:eastAsia="宋体" w:cs="Times New Roman"/>
    </w:rPr>
  </w:style>
  <w:style w:type="character" w:customStyle="1" w:styleId="578">
    <w:name w:val="批注框文本 字符2"/>
    <w:qFormat/>
    <w:uiPriority w:val="0"/>
    <w:rPr>
      <w:rFonts w:ascii="Times New Roman" w:hAnsi="Times New Roman" w:eastAsia="宋体" w:cs="Times New Roman"/>
      <w:kern w:val="2"/>
      <w:sz w:val="18"/>
      <w:szCs w:val="18"/>
      <w:lang w:val="en-US" w:eastAsia="zh-CN" w:bidi="ar-SA"/>
    </w:rPr>
  </w:style>
  <w:style w:type="character" w:customStyle="1" w:styleId="579">
    <w:name w:val="页脚 字符2"/>
    <w:qFormat/>
    <w:uiPriority w:val="99"/>
    <w:rPr>
      <w:rFonts w:ascii="Times New Roman" w:hAnsi="Times New Roman" w:eastAsia="宋体" w:cs="Times New Roman"/>
      <w:kern w:val="2"/>
      <w:sz w:val="18"/>
      <w:szCs w:val="18"/>
      <w:lang w:val="en-US" w:eastAsia="zh-CN" w:bidi="ar-SA"/>
    </w:rPr>
  </w:style>
  <w:style w:type="character" w:customStyle="1" w:styleId="580">
    <w:name w:val="页眉 字符2"/>
    <w:qFormat/>
    <w:uiPriority w:val="0"/>
    <w:rPr>
      <w:rFonts w:ascii="Times New Roman" w:hAnsi="Times New Roman" w:eastAsia="宋体" w:cs="Times New Roman"/>
      <w:kern w:val="2"/>
      <w:sz w:val="18"/>
      <w:lang w:val="en-US" w:eastAsia="zh-CN" w:bidi="ar-SA"/>
    </w:rPr>
  </w:style>
  <w:style w:type="character" w:customStyle="1" w:styleId="581">
    <w:name w:val="TOC 1 字符1"/>
    <w:link w:val="45"/>
    <w:qFormat/>
    <w:uiPriority w:val="39"/>
    <w:rPr>
      <w:b/>
      <w:bCs/>
      <w:caps/>
      <w:sz w:val="28"/>
      <w:szCs w:val="28"/>
    </w:rPr>
  </w:style>
  <w:style w:type="character" w:customStyle="1" w:styleId="582">
    <w:name w:val="副标题 字符2"/>
    <w:qFormat/>
    <w:uiPriority w:val="0"/>
    <w:rPr>
      <w:rFonts w:ascii="Arial" w:hAnsi="Arial" w:eastAsia="黑体" w:cs="Times New Roman"/>
      <w:b/>
      <w:bCs/>
      <w:kern w:val="2"/>
      <w:sz w:val="32"/>
      <w:szCs w:val="32"/>
      <w:lang w:val="en-US" w:eastAsia="zh-CN" w:bidi="ar-SA"/>
    </w:rPr>
  </w:style>
  <w:style w:type="character" w:customStyle="1" w:styleId="583">
    <w:name w:val="脚注文本 字符2"/>
    <w:qFormat/>
    <w:uiPriority w:val="0"/>
    <w:rPr>
      <w:rFonts w:ascii="Times New Roman" w:hAnsi="Times New Roman" w:eastAsia="宋体" w:cs="Times New Roman"/>
      <w:kern w:val="2"/>
      <w:lang w:val="en-US" w:eastAsia="zh-CN" w:bidi="ar-SA"/>
    </w:rPr>
  </w:style>
  <w:style w:type="character" w:customStyle="1" w:styleId="584">
    <w:name w:val="正文文本缩进 3 字符2"/>
    <w:qFormat/>
    <w:uiPriority w:val="0"/>
    <w:rPr>
      <w:rFonts w:ascii="Times New Roman" w:hAnsi="Times New Roman" w:eastAsia="宋体" w:cs="Times New Roman"/>
      <w:kern w:val="2"/>
      <w:sz w:val="16"/>
      <w:szCs w:val="16"/>
      <w:lang w:val="en-US" w:eastAsia="zh-CN" w:bidi="ar-SA"/>
    </w:rPr>
  </w:style>
  <w:style w:type="character" w:customStyle="1" w:styleId="585">
    <w:name w:val="正文文本 2 字符2"/>
    <w:qFormat/>
    <w:uiPriority w:val="0"/>
    <w:rPr>
      <w:rFonts w:ascii="Times New Roman" w:hAnsi="Times New Roman" w:eastAsia="宋体" w:cs="Times New Roman"/>
      <w:kern w:val="2"/>
      <w:sz w:val="24"/>
    </w:rPr>
  </w:style>
  <w:style w:type="character" w:customStyle="1" w:styleId="586">
    <w:name w:val="标题 字符2"/>
    <w:qFormat/>
    <w:uiPriority w:val="0"/>
    <w:rPr>
      <w:rFonts w:ascii="Arial" w:hAnsi="Arial" w:eastAsia="宋体" w:cs="Times New Roman"/>
      <w:b/>
      <w:sz w:val="32"/>
      <w:lang w:val="en-US" w:eastAsia="zh-CN" w:bidi="ar-SA"/>
    </w:rPr>
  </w:style>
  <w:style w:type="character" w:customStyle="1" w:styleId="587">
    <w:name w:val="批注主题 字符2"/>
    <w:qFormat/>
    <w:uiPriority w:val="0"/>
    <w:rPr>
      <w:rFonts w:ascii="Times New Roman" w:hAnsi="Times New Roman" w:eastAsia="宋体" w:cs="Times New Roman"/>
      <w:b/>
      <w:bCs/>
      <w:kern w:val="2"/>
      <w:sz w:val="24"/>
      <w:szCs w:val="24"/>
      <w:lang w:val="en-US" w:eastAsia="zh-CN" w:bidi="ar-SA"/>
    </w:rPr>
  </w:style>
  <w:style w:type="character" w:customStyle="1" w:styleId="588">
    <w:name w:val="正文文本首行缩进 字符2"/>
    <w:qFormat/>
    <w:uiPriority w:val="99"/>
    <w:rPr>
      <w:rFonts w:ascii="Times New Roman" w:hAnsi="Times New Roman" w:eastAsia="宋体" w:cs="Times New Roman"/>
      <w:kern w:val="2"/>
      <w:sz w:val="21"/>
      <w:szCs w:val="24"/>
      <w:lang w:val="en-US" w:eastAsia="zh-CN" w:bidi="ar-SA"/>
    </w:rPr>
  </w:style>
  <w:style w:type="character" w:customStyle="1" w:styleId="589">
    <w:name w:val="正文文本首行缩进 2 字符2"/>
    <w:qFormat/>
    <w:uiPriority w:val="99"/>
    <w:rPr>
      <w:rFonts w:ascii="Times New Roman" w:hAnsi="Times New Roman" w:eastAsia="宋体" w:cs="Times New Roman"/>
      <w:kern w:val="2"/>
      <w:sz w:val="21"/>
      <w:szCs w:val="24"/>
      <w:lang w:val="en-US" w:eastAsia="zh-CN" w:bidi="ar-SA"/>
    </w:rPr>
  </w:style>
  <w:style w:type="character" w:customStyle="1" w:styleId="590">
    <w:name w:val="段 Char"/>
    <w:link w:val="591"/>
    <w:qFormat/>
    <w:uiPriority w:val="0"/>
    <w:rPr>
      <w:rFonts w:ascii="宋体" w:hAnsi="Calibri" w:eastAsia="Times New Roman"/>
      <w:szCs w:val="22"/>
    </w:rPr>
  </w:style>
  <w:style w:type="paragraph" w:customStyle="1" w:styleId="591">
    <w:name w:val="段"/>
    <w:link w:val="590"/>
    <w:qFormat/>
    <w:uiPriority w:val="0"/>
    <w:pPr>
      <w:tabs>
        <w:tab w:val="center" w:pos="4201"/>
        <w:tab w:val="right" w:leader="dot" w:pos="9298"/>
      </w:tabs>
      <w:autoSpaceDE w:val="0"/>
      <w:autoSpaceDN w:val="0"/>
      <w:ind w:firstLine="420" w:firstLineChars="200"/>
      <w:jc w:val="both"/>
    </w:pPr>
    <w:rPr>
      <w:rFonts w:ascii="宋体" w:hAnsi="Calibri" w:eastAsia="Times New Roman" w:cstheme="minorBidi"/>
      <w:kern w:val="2"/>
      <w:sz w:val="21"/>
      <w:szCs w:val="22"/>
      <w:lang w:val="en-US" w:eastAsia="zh-CN" w:bidi="ar-SA"/>
    </w:rPr>
  </w:style>
  <w:style w:type="character" w:customStyle="1" w:styleId="592">
    <w:name w:val="ca-7"/>
    <w:qFormat/>
    <w:uiPriority w:val="0"/>
  </w:style>
  <w:style w:type="character" w:customStyle="1" w:styleId="593">
    <w:name w:val="页脚 Char3"/>
    <w:qFormat/>
    <w:uiPriority w:val="99"/>
    <w:rPr>
      <w:rFonts w:ascii="Times New Roman" w:hAnsi="Times New Roman" w:eastAsia="宋体" w:cs="Times New Roman"/>
      <w:sz w:val="18"/>
      <w:szCs w:val="18"/>
    </w:rPr>
  </w:style>
  <w:style w:type="character" w:customStyle="1" w:styleId="594">
    <w:name w:val="文章正文 Char"/>
    <w:link w:val="595"/>
    <w:qFormat/>
    <w:uiPriority w:val="0"/>
    <w:rPr>
      <w:rFonts w:ascii="Arial" w:hAnsi="Arial"/>
      <w:sz w:val="24"/>
      <w:szCs w:val="21"/>
    </w:rPr>
  </w:style>
  <w:style w:type="paragraph" w:customStyle="1" w:styleId="595">
    <w:name w:val="文章正文"/>
    <w:basedOn w:val="1"/>
    <w:link w:val="594"/>
    <w:qFormat/>
    <w:uiPriority w:val="0"/>
    <w:pPr>
      <w:adjustRightInd w:val="0"/>
      <w:snapToGrid w:val="0"/>
      <w:spacing w:line="360" w:lineRule="auto"/>
      <w:ind w:firstLine="420" w:firstLineChars="200"/>
    </w:pPr>
    <w:rPr>
      <w:rFonts w:ascii="Arial" w:hAnsi="Arial"/>
      <w:sz w:val="24"/>
      <w:szCs w:val="21"/>
    </w:rPr>
  </w:style>
  <w:style w:type="character" w:customStyle="1" w:styleId="596">
    <w:name w:val="标题 1.1 Char2"/>
    <w:qFormat/>
    <w:uiPriority w:val="0"/>
    <w:rPr>
      <w:rFonts w:ascii="Arial" w:hAnsi="Arial" w:eastAsia="黑体" w:cs="Times New Roman"/>
      <w:b/>
      <w:bCs/>
      <w:kern w:val="2"/>
      <w:sz w:val="32"/>
      <w:szCs w:val="32"/>
      <w:lang w:val="en-US" w:eastAsia="zh-CN" w:bidi="ar-SA"/>
    </w:rPr>
  </w:style>
  <w:style w:type="character" w:customStyle="1" w:styleId="597">
    <w:name w:val="title_black_141"/>
    <w:qFormat/>
    <w:uiPriority w:val="0"/>
    <w:rPr>
      <w:rFonts w:cs="Times New Roman"/>
      <w:color w:val="000000"/>
      <w:sz w:val="21"/>
      <w:szCs w:val="21"/>
      <w:u w:val="none"/>
    </w:rPr>
  </w:style>
  <w:style w:type="character" w:customStyle="1" w:styleId="598">
    <w:name w:val="style11"/>
    <w:qFormat/>
    <w:uiPriority w:val="0"/>
    <w:rPr>
      <w:sz w:val="18"/>
      <w:szCs w:val="18"/>
    </w:rPr>
  </w:style>
  <w:style w:type="character" w:customStyle="1" w:styleId="599">
    <w:name w:val="纯文本 Char Char Char1"/>
    <w:qFormat/>
    <w:uiPriority w:val="0"/>
    <w:rPr>
      <w:rFonts w:ascii="宋体" w:hAnsi="Courier New" w:eastAsia="宋体"/>
      <w:kern w:val="2"/>
      <w:sz w:val="21"/>
      <w:lang w:val="en-US" w:eastAsia="zh-CN" w:bidi="ar-SA"/>
    </w:rPr>
  </w:style>
  <w:style w:type="character" w:customStyle="1" w:styleId="600">
    <w:name w:val="text1"/>
    <w:qFormat/>
    <w:uiPriority w:val="0"/>
    <w:rPr>
      <w:sz w:val="21"/>
      <w:szCs w:val="21"/>
    </w:rPr>
  </w:style>
  <w:style w:type="character" w:customStyle="1" w:styleId="601">
    <w:name w:val="Char Char20"/>
    <w:qFormat/>
    <w:uiPriority w:val="0"/>
    <w:rPr>
      <w:rFonts w:eastAsia="宋体"/>
      <w:b/>
      <w:bCs/>
      <w:kern w:val="2"/>
      <w:sz w:val="32"/>
      <w:szCs w:val="32"/>
      <w:lang w:val="en-US" w:eastAsia="zh-CN" w:bidi="ar-SA"/>
    </w:rPr>
  </w:style>
  <w:style w:type="character" w:customStyle="1" w:styleId="602">
    <w:name w:val="first-child"/>
    <w:qFormat/>
    <w:uiPriority w:val="0"/>
  </w:style>
  <w:style w:type="character" w:customStyle="1" w:styleId="603">
    <w:name w:val="正文文本 Char3"/>
    <w:qFormat/>
    <w:uiPriority w:val="0"/>
    <w:rPr>
      <w:rFonts w:ascii="Times New Roman" w:hAnsi="Times New Roman" w:eastAsia="宋体" w:cs="Times New Roman"/>
      <w:szCs w:val="24"/>
    </w:rPr>
  </w:style>
  <w:style w:type="character" w:customStyle="1" w:styleId="604">
    <w:name w:val="表格 Char Char"/>
    <w:link w:val="269"/>
    <w:qFormat/>
    <w:uiPriority w:val="0"/>
    <w:rPr>
      <w:rFonts w:ascii="华文细黑" w:hAnsi="华文细黑"/>
      <w:kern w:val="0"/>
      <w:szCs w:val="20"/>
    </w:rPr>
  </w:style>
  <w:style w:type="character" w:customStyle="1" w:styleId="605">
    <w:name w:val="明显引用 Char4"/>
    <w:qFormat/>
    <w:uiPriority w:val="30"/>
    <w:rPr>
      <w:b/>
      <w:bCs/>
      <w:i/>
      <w:iCs/>
      <w:color w:val="4F81BD"/>
      <w:kern w:val="2"/>
      <w:sz w:val="21"/>
      <w:szCs w:val="24"/>
    </w:rPr>
  </w:style>
  <w:style w:type="character" w:customStyle="1" w:styleId="606">
    <w:name w:val="文章正文 Char Char"/>
    <w:qFormat/>
    <w:uiPriority w:val="0"/>
    <w:rPr>
      <w:rFonts w:ascii="Arial" w:hAnsi="Arial" w:eastAsia="宋体" w:cs="Arial"/>
      <w:kern w:val="2"/>
      <w:sz w:val="21"/>
      <w:szCs w:val="21"/>
      <w:lang w:val="en-US" w:eastAsia="zh-CN" w:bidi="ar-SA"/>
    </w:rPr>
  </w:style>
  <w:style w:type="character" w:customStyle="1" w:styleId="607">
    <w:name w:val="样式1 Char Char"/>
    <w:qFormat/>
    <w:uiPriority w:val="0"/>
    <w:rPr>
      <w:rFonts w:eastAsia="Arial"/>
      <w:b/>
      <w:bCs/>
      <w:kern w:val="2"/>
      <w:sz w:val="32"/>
      <w:szCs w:val="32"/>
    </w:rPr>
  </w:style>
  <w:style w:type="character" w:customStyle="1" w:styleId="608">
    <w:name w:val="纯文本 Char3"/>
    <w:semiHidden/>
    <w:qFormat/>
    <w:locked/>
    <w:uiPriority w:val="99"/>
    <w:rPr>
      <w:rFonts w:ascii="Courier New" w:hAnsi="Courier New"/>
      <w:kern w:val="2"/>
      <w:sz w:val="21"/>
    </w:rPr>
  </w:style>
  <w:style w:type="character" w:customStyle="1" w:styleId="609">
    <w:name w:val="脚注文本 Char3"/>
    <w:semiHidden/>
    <w:qFormat/>
    <w:uiPriority w:val="99"/>
    <w:rPr>
      <w:kern w:val="2"/>
      <w:sz w:val="18"/>
      <w:szCs w:val="18"/>
    </w:rPr>
  </w:style>
  <w:style w:type="character" w:customStyle="1" w:styleId="610">
    <w:name w:val="正文文本缩进 Char3"/>
    <w:semiHidden/>
    <w:qFormat/>
    <w:uiPriority w:val="99"/>
    <w:rPr>
      <w:kern w:val="2"/>
      <w:sz w:val="21"/>
      <w:szCs w:val="24"/>
    </w:rPr>
  </w:style>
  <w:style w:type="character" w:customStyle="1" w:styleId="611">
    <w:name w:val="Body Text 3 Char1"/>
    <w:semiHidden/>
    <w:qFormat/>
    <w:uiPriority w:val="99"/>
    <w:rPr>
      <w:sz w:val="16"/>
      <w:szCs w:val="16"/>
    </w:rPr>
  </w:style>
  <w:style w:type="character" w:customStyle="1" w:styleId="612">
    <w:name w:val="A13"/>
    <w:qFormat/>
    <w:uiPriority w:val="0"/>
    <w:rPr>
      <w:rFonts w:ascii="HYShuSongYiJ" w:eastAsia="HYShuSongYiJ" w:cs="HYShuSongYiJ"/>
      <w:color w:val="000000"/>
      <w:sz w:val="16"/>
      <w:szCs w:val="16"/>
    </w:rPr>
  </w:style>
  <w:style w:type="character" w:customStyle="1" w:styleId="613">
    <w:name w:val="hei12b1"/>
    <w:qFormat/>
    <w:uiPriority w:val="0"/>
    <w:rPr>
      <w:b/>
      <w:bCs/>
      <w:color w:val="000000"/>
      <w:sz w:val="18"/>
      <w:szCs w:val="18"/>
    </w:rPr>
  </w:style>
  <w:style w:type="character" w:customStyle="1" w:styleId="614">
    <w:name w:val="引用 Char3"/>
    <w:qFormat/>
    <w:uiPriority w:val="29"/>
    <w:rPr>
      <w:rFonts w:ascii="Times New Roman" w:hAnsi="Times New Roman" w:eastAsia="宋体" w:cs="Times New Roman"/>
      <w:i/>
      <w:iCs/>
      <w:color w:val="404040"/>
      <w:szCs w:val="24"/>
    </w:rPr>
  </w:style>
  <w:style w:type="character" w:customStyle="1" w:styleId="615">
    <w:name w:val="Comment Subject Char1"/>
    <w:semiHidden/>
    <w:qFormat/>
    <w:uiPriority w:val="99"/>
    <w:rPr>
      <w:rFonts w:eastAsia="宋体"/>
      <w:b/>
      <w:bCs/>
      <w:sz w:val="24"/>
    </w:rPr>
  </w:style>
  <w:style w:type="character" w:customStyle="1" w:styleId="616">
    <w:name w:val="Quote Char2"/>
    <w:qFormat/>
    <w:uiPriority w:val="29"/>
    <w:rPr>
      <w:i/>
      <w:iCs/>
      <w:color w:val="000000"/>
    </w:rPr>
  </w:style>
  <w:style w:type="character" w:customStyle="1" w:styleId="617">
    <w:name w:val="文档结构图 Char4"/>
    <w:semiHidden/>
    <w:qFormat/>
    <w:uiPriority w:val="99"/>
    <w:rPr>
      <w:rFonts w:hint="eastAsia" w:ascii="宋体" w:hAnsi="宋体" w:eastAsia="宋体"/>
      <w:kern w:val="2"/>
      <w:sz w:val="18"/>
      <w:szCs w:val="18"/>
    </w:rPr>
  </w:style>
  <w:style w:type="character" w:customStyle="1" w:styleId="618">
    <w:name w:val="正文文本缩进 3 Char3"/>
    <w:semiHidden/>
    <w:qFormat/>
    <w:uiPriority w:val="99"/>
    <w:rPr>
      <w:kern w:val="2"/>
      <w:sz w:val="16"/>
      <w:szCs w:val="16"/>
    </w:rPr>
  </w:style>
  <w:style w:type="character" w:customStyle="1" w:styleId="619">
    <w:name w:val="sub_title1"/>
    <w:qFormat/>
    <w:uiPriority w:val="0"/>
  </w:style>
  <w:style w:type="character" w:customStyle="1" w:styleId="620">
    <w:name w:val="标题 Char3"/>
    <w:qFormat/>
    <w:uiPriority w:val="10"/>
    <w:rPr>
      <w:rFonts w:hint="default" w:ascii="Cambria" w:hAnsi="Cambria" w:cs="Times New Roman"/>
      <w:b/>
      <w:bCs/>
      <w:kern w:val="2"/>
      <w:sz w:val="32"/>
      <w:szCs w:val="32"/>
    </w:rPr>
  </w:style>
  <w:style w:type="character" w:customStyle="1" w:styleId="621">
    <w:name w:val="f10b"/>
    <w:qFormat/>
    <w:uiPriority w:val="0"/>
  </w:style>
  <w:style w:type="character" w:customStyle="1" w:styleId="622">
    <w:name w:val="Date Char1"/>
    <w:semiHidden/>
    <w:qFormat/>
    <w:uiPriority w:val="99"/>
  </w:style>
  <w:style w:type="character" w:customStyle="1" w:styleId="623">
    <w:name w:val="Subtitle Char1"/>
    <w:qFormat/>
    <w:uiPriority w:val="11"/>
    <w:rPr>
      <w:rFonts w:ascii="Cambria" w:hAnsi="Cambria" w:cs="Times New Roman"/>
      <w:b/>
      <w:bCs/>
      <w:kern w:val="28"/>
      <w:sz w:val="32"/>
      <w:szCs w:val="32"/>
    </w:rPr>
  </w:style>
  <w:style w:type="character" w:customStyle="1" w:styleId="624">
    <w:name w:val="Style 正文（首行缩进）2 + First line:  2 ch Char"/>
    <w:link w:val="625"/>
    <w:qFormat/>
    <w:uiPriority w:val="0"/>
    <w:rPr>
      <w:rFonts w:ascii="Arial" w:hAnsi="Arial"/>
      <w:sz w:val="24"/>
    </w:rPr>
  </w:style>
  <w:style w:type="paragraph" w:customStyle="1" w:styleId="625">
    <w:name w:val="Style 正文（首行缩进）2 + First line:  2 ch"/>
    <w:basedOn w:val="1"/>
    <w:link w:val="624"/>
    <w:qFormat/>
    <w:uiPriority w:val="0"/>
    <w:pPr>
      <w:widowControl/>
      <w:spacing w:before="100" w:beforeAutospacing="1" w:after="100" w:afterAutospacing="1" w:line="300" w:lineRule="auto"/>
      <w:ind w:firstLine="480" w:firstLineChars="200"/>
      <w:jc w:val="left"/>
    </w:pPr>
    <w:rPr>
      <w:rFonts w:ascii="Arial" w:hAnsi="Arial"/>
      <w:sz w:val="24"/>
    </w:rPr>
  </w:style>
  <w:style w:type="character" w:customStyle="1" w:styleId="626">
    <w:name w:val="Footnote Text Char1"/>
    <w:semiHidden/>
    <w:qFormat/>
    <w:uiPriority w:val="99"/>
    <w:rPr>
      <w:sz w:val="18"/>
      <w:szCs w:val="18"/>
    </w:rPr>
  </w:style>
  <w:style w:type="character" w:customStyle="1" w:styleId="627">
    <w:name w:val="副标题 Char4"/>
    <w:qFormat/>
    <w:uiPriority w:val="11"/>
    <w:rPr>
      <w:rFonts w:hint="default" w:ascii="Cambria" w:hAnsi="Cambria" w:cs="Times New Roman"/>
      <w:b/>
      <w:bCs/>
      <w:kern w:val="28"/>
      <w:sz w:val="32"/>
      <w:szCs w:val="32"/>
    </w:rPr>
  </w:style>
  <w:style w:type="character" w:customStyle="1" w:styleId="628">
    <w:name w:val="Balloon Text Char1"/>
    <w:semiHidden/>
    <w:qFormat/>
    <w:uiPriority w:val="99"/>
    <w:rPr>
      <w:sz w:val="16"/>
      <w:szCs w:val="0"/>
    </w:rPr>
  </w:style>
  <w:style w:type="character" w:customStyle="1" w:styleId="629">
    <w:name w:val="dash6b63-6587--char"/>
    <w:qFormat/>
    <w:uiPriority w:val="0"/>
  </w:style>
  <w:style w:type="character" w:customStyle="1" w:styleId="630">
    <w:name w:val="页眉 Char3"/>
    <w:semiHidden/>
    <w:qFormat/>
    <w:uiPriority w:val="99"/>
    <w:rPr>
      <w:rFonts w:ascii="Times New Roman" w:hAnsi="Times New Roman" w:eastAsia="宋体" w:cs="Times New Roman"/>
      <w:sz w:val="18"/>
      <w:szCs w:val="18"/>
    </w:rPr>
  </w:style>
  <w:style w:type="character" w:customStyle="1" w:styleId="631">
    <w:name w:val="e1"/>
    <w:qFormat/>
    <w:uiPriority w:val="0"/>
  </w:style>
  <w:style w:type="character" w:customStyle="1" w:styleId="632">
    <w:name w:val="style1"/>
    <w:qFormat/>
    <w:uiPriority w:val="0"/>
  </w:style>
  <w:style w:type="character" w:customStyle="1" w:styleId="633">
    <w:name w:val="_Style 56"/>
    <w:qFormat/>
    <w:uiPriority w:val="0"/>
    <w:rPr>
      <w:i/>
      <w:iCs/>
      <w:color w:val="808080"/>
    </w:rPr>
  </w:style>
  <w:style w:type="character" w:customStyle="1" w:styleId="634">
    <w:name w:val="_Style 58"/>
    <w:qFormat/>
    <w:uiPriority w:val="0"/>
    <w:rPr>
      <w:b/>
      <w:bCs/>
      <w:smallCaps/>
      <w:spacing w:val="5"/>
    </w:rPr>
  </w:style>
  <w:style w:type="character" w:customStyle="1" w:styleId="635">
    <w:name w:val="Char Char2921"/>
    <w:qFormat/>
    <w:uiPriority w:val="0"/>
    <w:rPr>
      <w:rFonts w:eastAsia="宋体"/>
      <w:b/>
      <w:bCs/>
      <w:kern w:val="2"/>
      <w:sz w:val="32"/>
      <w:szCs w:val="32"/>
      <w:lang w:val="en-US" w:eastAsia="zh-CN" w:bidi="ar-SA"/>
    </w:rPr>
  </w:style>
  <w:style w:type="character" w:customStyle="1" w:styleId="636">
    <w:name w:val="titlel2black2"/>
    <w:qFormat/>
    <w:uiPriority w:val="0"/>
  </w:style>
  <w:style w:type="character" w:customStyle="1" w:styleId="637">
    <w:name w:val="NormalCharacter"/>
    <w:qFormat/>
    <w:uiPriority w:val="0"/>
  </w:style>
  <w:style w:type="character" w:customStyle="1" w:styleId="638">
    <w:name w:val="样式1 Char"/>
    <w:qFormat/>
    <w:uiPriority w:val="0"/>
    <w:rPr>
      <w:rFonts w:ascii="宋体" w:eastAsia="宋体"/>
      <w:b/>
      <w:color w:val="0000FF"/>
      <w:kern w:val="2"/>
      <w:sz w:val="21"/>
      <w:lang w:val="en-US" w:eastAsia="zh-CN" w:bidi="ar-SA"/>
    </w:rPr>
  </w:style>
  <w:style w:type="character" w:customStyle="1" w:styleId="639">
    <w:name w:val="H4 Char"/>
    <w:qFormat/>
    <w:uiPriority w:val="0"/>
    <w:rPr>
      <w:rFonts w:ascii="Arial" w:hAnsi="Arial" w:eastAsia="黑体"/>
      <w:b/>
      <w:bCs/>
      <w:kern w:val="2"/>
      <w:sz w:val="28"/>
      <w:szCs w:val="28"/>
    </w:rPr>
  </w:style>
  <w:style w:type="character" w:customStyle="1" w:styleId="640">
    <w:name w:val="style961"/>
    <w:qFormat/>
    <w:uiPriority w:val="0"/>
    <w:rPr>
      <w:b/>
      <w:bCs/>
      <w:color w:val="FFFFFF"/>
      <w:sz w:val="20"/>
      <w:szCs w:val="20"/>
    </w:rPr>
  </w:style>
  <w:style w:type="character" w:customStyle="1" w:styleId="641">
    <w:name w:val="L7 Char"/>
    <w:qFormat/>
    <w:uiPriority w:val="0"/>
    <w:rPr>
      <w:rFonts w:ascii="Arial" w:hAnsi="Arial" w:eastAsia="黑体"/>
      <w:bCs/>
      <w:kern w:val="2"/>
      <w:sz w:val="24"/>
      <w:szCs w:val="24"/>
    </w:rPr>
  </w:style>
  <w:style w:type="character" w:customStyle="1" w:styleId="642">
    <w:name w:val="style1101"/>
    <w:qFormat/>
    <w:uiPriority w:val="0"/>
    <w:rPr>
      <w:color w:val="000000"/>
    </w:rPr>
  </w:style>
  <w:style w:type="character" w:customStyle="1" w:styleId="643">
    <w:name w:val="huh Char"/>
    <w:qFormat/>
    <w:uiPriority w:val="0"/>
    <w:rPr>
      <w:rFonts w:ascii="Arial" w:hAnsi="Arial" w:eastAsia="黑体"/>
      <w:kern w:val="2"/>
      <w:sz w:val="24"/>
      <w:szCs w:val="24"/>
    </w:rPr>
  </w:style>
  <w:style w:type="character" w:customStyle="1" w:styleId="644">
    <w:name w:val="文章样式1 Char"/>
    <w:link w:val="645"/>
    <w:qFormat/>
    <w:uiPriority w:val="0"/>
    <w:rPr>
      <w:rFonts w:ascii="宋体" w:hAnsi="宋体" w:eastAsia="Times New Roman"/>
      <w:b/>
    </w:rPr>
  </w:style>
  <w:style w:type="paragraph" w:customStyle="1" w:styleId="645">
    <w:name w:val="文章样式1"/>
    <w:link w:val="644"/>
    <w:qFormat/>
    <w:uiPriority w:val="0"/>
    <w:pPr>
      <w:tabs>
        <w:tab w:val="left" w:pos="0"/>
      </w:tabs>
      <w:spacing w:line="360" w:lineRule="auto"/>
    </w:pPr>
    <w:rPr>
      <w:rFonts w:ascii="宋体" w:hAnsi="宋体" w:eastAsia="Times New Roman" w:cstheme="minorBidi"/>
      <w:b/>
      <w:kern w:val="2"/>
      <w:sz w:val="21"/>
      <w:szCs w:val="24"/>
      <w:lang w:val="en-US" w:eastAsia="zh-CN" w:bidi="ar-SA"/>
    </w:rPr>
  </w:style>
  <w:style w:type="character" w:customStyle="1" w:styleId="646">
    <w:name w:val="1.2.1 环境（标准） Char"/>
    <w:link w:val="647"/>
    <w:qFormat/>
    <w:uiPriority w:val="0"/>
    <w:rPr>
      <w:rFonts w:ascii="宋体" w:hAnsi="Arial"/>
      <w:spacing w:val="1"/>
      <w:sz w:val="24"/>
    </w:rPr>
  </w:style>
  <w:style w:type="paragraph" w:customStyle="1" w:styleId="647">
    <w:name w:val="1.2.1 环境（标准）"/>
    <w:basedOn w:val="1"/>
    <w:link w:val="646"/>
    <w:qFormat/>
    <w:uiPriority w:val="0"/>
    <w:pPr>
      <w:spacing w:before="200" w:after="200" w:line="360" w:lineRule="auto"/>
      <w:ind w:left="1260" w:hanging="420"/>
      <w:outlineLvl w:val="2"/>
    </w:pPr>
    <w:rPr>
      <w:rFonts w:ascii="宋体" w:hAnsi="Arial"/>
      <w:spacing w:val="1"/>
      <w:sz w:val="24"/>
    </w:rPr>
  </w:style>
  <w:style w:type="character" w:customStyle="1" w:styleId="648">
    <w:name w:val="标书正文格式 Char1"/>
    <w:link w:val="649"/>
    <w:qFormat/>
    <w:uiPriority w:val="0"/>
    <w:rPr>
      <w:sz w:val="24"/>
    </w:rPr>
  </w:style>
  <w:style w:type="paragraph" w:customStyle="1" w:styleId="649">
    <w:name w:val="标书正文格式"/>
    <w:link w:val="648"/>
    <w:qFormat/>
    <w:uiPriority w:val="0"/>
    <w:pPr>
      <w:ind w:firstLine="200" w:firstLineChars="200"/>
    </w:pPr>
    <w:rPr>
      <w:rFonts w:asciiTheme="minorHAnsi" w:hAnsiTheme="minorHAnsi" w:eastAsiaTheme="minorEastAsia" w:cstheme="minorBidi"/>
      <w:kern w:val="2"/>
      <w:sz w:val="24"/>
      <w:szCs w:val="24"/>
      <w:lang w:val="en-US" w:eastAsia="zh-CN" w:bidi="ar-SA"/>
    </w:rPr>
  </w:style>
  <w:style w:type="character" w:customStyle="1" w:styleId="650">
    <w:name w:val="A5"/>
    <w:qFormat/>
    <w:uiPriority w:val="0"/>
    <w:rPr>
      <w:color w:val="000000"/>
      <w:sz w:val="10"/>
    </w:rPr>
  </w:style>
  <w:style w:type="character" w:customStyle="1" w:styleId="651">
    <w:name w:val="表格非标题文字 Char"/>
    <w:link w:val="652"/>
    <w:qFormat/>
    <w:uiPriority w:val="0"/>
    <w:rPr>
      <w:rFonts w:ascii="Arial" w:hAnsi="Arial" w:eastAsia="华文细黑"/>
      <w:color w:val="505050"/>
      <w:sz w:val="13"/>
      <w:szCs w:val="13"/>
    </w:rPr>
  </w:style>
  <w:style w:type="paragraph" w:customStyle="1" w:styleId="652">
    <w:name w:val="表格非标题文字"/>
    <w:basedOn w:val="1"/>
    <w:link w:val="651"/>
    <w:qFormat/>
    <w:uiPriority w:val="0"/>
    <w:pPr>
      <w:spacing w:before="40" w:after="40" w:line="220" w:lineRule="exact"/>
      <w:jc w:val="left"/>
    </w:pPr>
    <w:rPr>
      <w:rFonts w:ascii="Arial" w:hAnsi="Arial" w:eastAsia="华文细黑"/>
      <w:color w:val="505050"/>
      <w:sz w:val="13"/>
      <w:szCs w:val="13"/>
    </w:rPr>
  </w:style>
  <w:style w:type="character" w:customStyle="1" w:styleId="653">
    <w:name w:val="正文首缩两字 Char"/>
    <w:link w:val="654"/>
    <w:qFormat/>
    <w:uiPriority w:val="0"/>
    <w:rPr>
      <w:rFonts w:ascii="Verdana" w:hAnsi="Verdana"/>
      <w:sz w:val="24"/>
    </w:rPr>
  </w:style>
  <w:style w:type="paragraph" w:customStyle="1" w:styleId="654">
    <w:name w:val="正文首缩两字"/>
    <w:basedOn w:val="1"/>
    <w:link w:val="653"/>
    <w:qFormat/>
    <w:uiPriority w:val="0"/>
    <w:pPr>
      <w:spacing w:line="360" w:lineRule="auto"/>
      <w:ind w:firstLine="200" w:firstLineChars="200"/>
    </w:pPr>
    <w:rPr>
      <w:rFonts w:ascii="Verdana" w:hAnsi="Verdana"/>
      <w:sz w:val="24"/>
    </w:rPr>
  </w:style>
  <w:style w:type="character" w:customStyle="1" w:styleId="655">
    <w:name w:val="样式9 Char Char"/>
    <w:qFormat/>
    <w:uiPriority w:val="0"/>
    <w:rPr>
      <w:spacing w:val="6"/>
      <w:sz w:val="24"/>
    </w:rPr>
  </w:style>
  <w:style w:type="character" w:customStyle="1" w:styleId="656">
    <w:name w:val="列出段落 字符"/>
    <w:qFormat/>
    <w:locked/>
    <w:uiPriority w:val="0"/>
    <w:rPr>
      <w:rFonts w:ascii="Times New Roman" w:hAnsi="Times New Roman" w:eastAsia="宋体" w:cs="Times New Roman"/>
      <w:szCs w:val="20"/>
    </w:rPr>
  </w:style>
  <w:style w:type="character" w:customStyle="1" w:styleId="657">
    <w:name w:val="A6"/>
    <w:qFormat/>
    <w:uiPriority w:val="0"/>
    <w:rPr>
      <w:rFonts w:cs="HYZhongDengXianJ"/>
      <w:color w:val="000000"/>
      <w:sz w:val="20"/>
      <w:szCs w:val="20"/>
    </w:rPr>
  </w:style>
  <w:style w:type="character" w:customStyle="1" w:styleId="658">
    <w:name w:val="huei12b1"/>
    <w:qFormat/>
    <w:uiPriority w:val="0"/>
    <w:rPr>
      <w:b/>
      <w:bCs/>
      <w:color w:val="333333"/>
      <w:sz w:val="18"/>
      <w:szCs w:val="18"/>
    </w:rPr>
  </w:style>
  <w:style w:type="character" w:customStyle="1" w:styleId="659">
    <w:name w:val="up"/>
    <w:qFormat/>
    <w:uiPriority w:val="0"/>
  </w:style>
  <w:style w:type="character" w:customStyle="1" w:styleId="660">
    <w:name w:val="样式9 Char Char Char"/>
    <w:link w:val="661"/>
    <w:qFormat/>
    <w:uiPriority w:val="0"/>
    <w:rPr>
      <w:rFonts w:ascii="Calibri" w:hAnsi="Calibri"/>
      <w:spacing w:val="6"/>
      <w:sz w:val="24"/>
    </w:rPr>
  </w:style>
  <w:style w:type="paragraph" w:customStyle="1" w:styleId="661">
    <w:name w:val="样式9 Char"/>
    <w:basedOn w:val="1"/>
    <w:link w:val="660"/>
    <w:qFormat/>
    <w:uiPriority w:val="0"/>
    <w:pPr>
      <w:widowControl/>
      <w:spacing w:line="440" w:lineRule="exact"/>
      <w:ind w:firstLine="200" w:firstLineChars="200"/>
      <w:jc w:val="left"/>
    </w:pPr>
    <w:rPr>
      <w:rFonts w:ascii="Calibri" w:hAnsi="Calibri"/>
      <w:spacing w:val="6"/>
      <w:sz w:val="24"/>
    </w:rPr>
  </w:style>
  <w:style w:type="character" w:customStyle="1" w:styleId="662">
    <w:name w:val="z-窗体顶端 Char"/>
    <w:link w:val="663"/>
    <w:qFormat/>
    <w:uiPriority w:val="0"/>
    <w:rPr>
      <w:rFonts w:ascii="Arial" w:hAnsi="Arial"/>
      <w:vanish/>
      <w:sz w:val="16"/>
      <w:szCs w:val="16"/>
    </w:rPr>
  </w:style>
  <w:style w:type="paragraph" w:customStyle="1" w:styleId="663">
    <w:name w:val="z-窗体顶端1"/>
    <w:basedOn w:val="1"/>
    <w:next w:val="1"/>
    <w:link w:val="662"/>
    <w:unhideWhenUsed/>
    <w:qFormat/>
    <w:uiPriority w:val="0"/>
    <w:pPr>
      <w:widowControl/>
      <w:pBdr>
        <w:bottom w:val="single" w:color="auto" w:sz="6" w:space="1"/>
      </w:pBdr>
      <w:jc w:val="center"/>
    </w:pPr>
    <w:rPr>
      <w:rFonts w:ascii="Arial" w:hAnsi="Arial"/>
      <w:vanish/>
      <w:sz w:val="16"/>
      <w:szCs w:val="16"/>
    </w:rPr>
  </w:style>
  <w:style w:type="character" w:customStyle="1" w:styleId="664">
    <w:name w:val="GW-标题3 Char"/>
    <w:link w:val="665"/>
    <w:qFormat/>
    <w:uiPriority w:val="0"/>
    <w:rPr>
      <w:rFonts w:ascii="仿宋_GB2312" w:hAnsi="Calibri"/>
      <w:b/>
      <w:bCs/>
      <w:kern w:val="44"/>
      <w:sz w:val="32"/>
    </w:rPr>
  </w:style>
  <w:style w:type="paragraph" w:customStyle="1" w:styleId="665">
    <w:name w:val="GW-标题3"/>
    <w:basedOn w:val="666"/>
    <w:link w:val="664"/>
    <w:qFormat/>
    <w:uiPriority w:val="0"/>
    <w:pPr>
      <w:spacing w:beforeLines="50" w:afterLines="50"/>
      <w:outlineLvl w:val="2"/>
    </w:pPr>
    <w:rPr>
      <w:rFonts w:ascii="仿宋_GB2312" w:eastAsiaTheme="minorEastAsia" w:cstheme="minorBidi"/>
      <w:sz w:val="32"/>
      <w:szCs w:val="24"/>
    </w:rPr>
  </w:style>
  <w:style w:type="paragraph" w:customStyle="1" w:styleId="666">
    <w:name w:val="GW-标题2"/>
    <w:basedOn w:val="667"/>
    <w:qFormat/>
    <w:uiPriority w:val="0"/>
    <w:pPr>
      <w:outlineLvl w:val="1"/>
    </w:pPr>
    <w:rPr>
      <w:sz w:val="36"/>
    </w:rPr>
  </w:style>
  <w:style w:type="paragraph" w:customStyle="1" w:styleId="667">
    <w:name w:val="GW-标题1"/>
    <w:basedOn w:val="4"/>
    <w:next w:val="1"/>
    <w:qFormat/>
    <w:uiPriority w:val="0"/>
    <w:pPr>
      <w:spacing w:beforeLines="100" w:afterLines="100" w:line="360" w:lineRule="auto"/>
      <w:ind w:left="420" w:hanging="420"/>
    </w:pPr>
    <w:rPr>
      <w:rFonts w:ascii="Calibri" w:hAnsi="Calibri" w:eastAsia="宋体" w:cs="Times New Roman"/>
    </w:rPr>
  </w:style>
  <w:style w:type="character" w:customStyle="1" w:styleId="668">
    <w:name w:val="hang1"/>
    <w:qFormat/>
    <w:uiPriority w:val="0"/>
  </w:style>
  <w:style w:type="character" w:customStyle="1" w:styleId="669">
    <w:name w:val="小点说明 Char"/>
    <w:qFormat/>
    <w:uiPriority w:val="0"/>
    <w:rPr>
      <w:rFonts w:eastAsia="宋体"/>
      <w:kern w:val="2"/>
      <w:sz w:val="21"/>
      <w:szCs w:val="24"/>
      <w:lang w:val="en-US" w:eastAsia="zh-CN" w:bidi="ar-SA"/>
    </w:rPr>
  </w:style>
  <w:style w:type="character" w:customStyle="1" w:styleId="670">
    <w:name w:val="小黑点符号 Char"/>
    <w:qFormat/>
    <w:uiPriority w:val="0"/>
    <w:rPr>
      <w:rFonts w:eastAsia="宋体"/>
      <w:kern w:val="2"/>
      <w:sz w:val="28"/>
      <w:szCs w:val="24"/>
      <w:lang w:val="en-US" w:eastAsia="zh-CN" w:bidi="ar-SA"/>
    </w:rPr>
  </w:style>
  <w:style w:type="character" w:customStyle="1" w:styleId="671">
    <w:name w:val="标题 2 Char Char Char"/>
    <w:qFormat/>
    <w:uiPriority w:val="0"/>
    <w:rPr>
      <w:rFonts w:ascii="Arial" w:hAnsi="Arial" w:eastAsia="黑体"/>
      <w:b/>
      <w:bCs/>
      <w:kern w:val="2"/>
      <w:sz w:val="32"/>
      <w:szCs w:val="32"/>
      <w:lang w:val="en-US" w:eastAsia="zh-CN" w:bidi="ar-SA"/>
    </w:rPr>
  </w:style>
  <w:style w:type="character" w:customStyle="1" w:styleId="672">
    <w:name w:val="附录一级条标题 Char"/>
    <w:link w:val="673"/>
    <w:qFormat/>
    <w:uiPriority w:val="0"/>
  </w:style>
  <w:style w:type="paragraph" w:customStyle="1" w:styleId="673">
    <w:name w:val="附录一级条标题"/>
    <w:basedOn w:val="674"/>
    <w:next w:val="591"/>
    <w:link w:val="672"/>
    <w:qFormat/>
    <w:uiPriority w:val="0"/>
    <w:pPr>
      <w:tabs>
        <w:tab w:val="left" w:pos="360"/>
        <w:tab w:val="left" w:pos="709"/>
      </w:tabs>
      <w:autoSpaceDN w:val="0"/>
      <w:spacing w:beforeLines="50" w:afterLines="50"/>
      <w:ind w:left="709" w:hanging="709"/>
      <w:outlineLvl w:val="2"/>
    </w:pPr>
    <w:rPr>
      <w:rFonts w:asciiTheme="minorHAnsi" w:hAnsiTheme="minorHAnsi" w:eastAsiaTheme="minorEastAsia" w:cstheme="minorBidi"/>
      <w:kern w:val="2"/>
      <w:sz w:val="21"/>
      <w:szCs w:val="24"/>
    </w:rPr>
  </w:style>
  <w:style w:type="paragraph" w:customStyle="1" w:styleId="674">
    <w:name w:val="附录章标题"/>
    <w:next w:val="591"/>
    <w:link w:val="675"/>
    <w:qFormat/>
    <w:uiPriority w:val="0"/>
    <w:p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lang w:val="en-US" w:eastAsia="zh-CN" w:bidi="ar-SA"/>
    </w:rPr>
  </w:style>
  <w:style w:type="character" w:customStyle="1" w:styleId="675">
    <w:name w:val="附录章标题 Char"/>
    <w:link w:val="674"/>
    <w:qFormat/>
    <w:uiPriority w:val="0"/>
    <w:rPr>
      <w:rFonts w:ascii="黑体" w:hAnsi="Times New Roman" w:eastAsia="黑体" w:cs="Times New Roman"/>
      <w:kern w:val="21"/>
      <w:sz w:val="20"/>
      <w:szCs w:val="20"/>
    </w:rPr>
  </w:style>
  <w:style w:type="character" w:customStyle="1" w:styleId="676">
    <w:name w:val="样式 样式 样式 正文缩进正文（首行缩进两字）正文不缩进表正文正文非缩进特点二段1首行缩进正文缩进 Char特点 Cha...2... Char"/>
    <w:link w:val="677"/>
    <w:qFormat/>
    <w:uiPriority w:val="0"/>
    <w:rPr>
      <w:rFonts w:ascii="宋体"/>
      <w:sz w:val="24"/>
    </w:rPr>
  </w:style>
  <w:style w:type="paragraph" w:customStyle="1" w:styleId="677">
    <w:name w:val="样式 样式 样式 正文缩进正文（首行缩进两字）正文不缩进表正文正文非缩进特点二段1首行缩进正文缩进 Char特点 Cha...2..."/>
    <w:basedOn w:val="1"/>
    <w:link w:val="676"/>
    <w:qFormat/>
    <w:uiPriority w:val="0"/>
    <w:pPr>
      <w:adjustRightInd w:val="0"/>
      <w:snapToGrid w:val="0"/>
      <w:spacing w:line="360" w:lineRule="auto"/>
      <w:ind w:firstLine="200" w:firstLineChars="200"/>
    </w:pPr>
    <w:rPr>
      <w:rFonts w:ascii="宋体"/>
      <w:sz w:val="24"/>
    </w:rPr>
  </w:style>
  <w:style w:type="character" w:customStyle="1" w:styleId="678">
    <w:name w:val="ca-92"/>
    <w:qFormat/>
    <w:uiPriority w:val="0"/>
  </w:style>
  <w:style w:type="character" w:customStyle="1" w:styleId="679">
    <w:name w:val="正文文本 2 Char Char"/>
    <w:qFormat/>
    <w:uiPriority w:val="0"/>
    <w:rPr>
      <w:rFonts w:eastAsia="宋体"/>
      <w:kern w:val="2"/>
      <w:sz w:val="24"/>
      <w:lang w:val="en-US" w:eastAsia="zh-CN" w:bidi="ar-SA"/>
    </w:rPr>
  </w:style>
  <w:style w:type="character" w:customStyle="1" w:styleId="680">
    <w:name w:val="f101"/>
    <w:qFormat/>
    <w:uiPriority w:val="0"/>
    <w:rPr>
      <w:sz w:val="20"/>
      <w:szCs w:val="20"/>
    </w:rPr>
  </w:style>
  <w:style w:type="character" w:customStyle="1" w:styleId="681">
    <w:name w:val="页脚 字符1"/>
    <w:qFormat/>
    <w:uiPriority w:val="0"/>
    <w:rPr>
      <w:rFonts w:ascii="Times New Roman" w:hAnsi="Times New Roman" w:eastAsia="宋体" w:cs="Times New Roman"/>
      <w:kern w:val="2"/>
      <w:sz w:val="18"/>
      <w:szCs w:val="18"/>
      <w:lang w:val="en-US" w:eastAsia="zh-CN" w:bidi="ar-SA"/>
    </w:rPr>
  </w:style>
  <w:style w:type="character" w:customStyle="1" w:styleId="682">
    <w:name w:val="正文文本缩进 2 字符1"/>
    <w:qFormat/>
    <w:uiPriority w:val="99"/>
    <w:rPr>
      <w:rFonts w:ascii="Times New Roman" w:hAnsi="Times New Roman" w:eastAsia="宋体" w:cs="Times New Roman"/>
      <w:kern w:val="2"/>
      <w:sz w:val="28"/>
      <w:szCs w:val="24"/>
      <w:lang w:val="en-US" w:eastAsia="zh-CN" w:bidi="ar-SA"/>
    </w:rPr>
  </w:style>
  <w:style w:type="character" w:customStyle="1" w:styleId="683">
    <w:name w:val="纯文本 字符1"/>
    <w:qFormat/>
    <w:uiPriority w:val="0"/>
    <w:rPr>
      <w:rFonts w:ascii="Courier New" w:hAnsi="Courier New" w:eastAsia="宋体" w:cs="Times New Roman"/>
      <w:kern w:val="2"/>
      <w:sz w:val="21"/>
      <w:lang w:val="en-US" w:eastAsia="zh-CN" w:bidi="ar-SA"/>
    </w:rPr>
  </w:style>
  <w:style w:type="character" w:customStyle="1" w:styleId="684">
    <w:name w:val="正文文本缩进 字符1"/>
    <w:qFormat/>
    <w:uiPriority w:val="0"/>
    <w:rPr>
      <w:rFonts w:ascii="Times New Roman" w:hAnsi="Times New Roman" w:eastAsia="宋体" w:cs="Times New Roman"/>
      <w:kern w:val="2"/>
      <w:sz w:val="21"/>
      <w:szCs w:val="24"/>
      <w:lang w:val="en-US" w:eastAsia="zh-CN" w:bidi="ar-SA"/>
    </w:rPr>
  </w:style>
  <w:style w:type="character" w:customStyle="1" w:styleId="685">
    <w:name w:val="Char Char131111"/>
    <w:qFormat/>
    <w:uiPriority w:val="0"/>
    <w:rPr>
      <w:rFonts w:ascii="宋体" w:hAnsi="Courier New" w:eastAsia="宋体"/>
      <w:kern w:val="2"/>
      <w:sz w:val="21"/>
      <w:lang w:val="en-US" w:eastAsia="zh-CN" w:bidi="ar-SA"/>
    </w:rPr>
  </w:style>
  <w:style w:type="character" w:customStyle="1" w:styleId="686">
    <w:name w:val="表头 Char Char"/>
    <w:link w:val="687"/>
    <w:qFormat/>
    <w:uiPriority w:val="0"/>
    <w:rPr>
      <w:rFonts w:eastAsia="黑体"/>
    </w:rPr>
  </w:style>
  <w:style w:type="paragraph" w:customStyle="1" w:styleId="687">
    <w:name w:val="表头"/>
    <w:basedOn w:val="1"/>
    <w:link w:val="686"/>
    <w:qFormat/>
    <w:uiPriority w:val="0"/>
    <w:pPr>
      <w:topLinePunct/>
      <w:spacing w:before="160" w:after="60"/>
      <w:jc w:val="center"/>
    </w:pPr>
    <w:rPr>
      <w:rFonts w:eastAsia="黑体"/>
    </w:rPr>
  </w:style>
  <w:style w:type="character" w:customStyle="1" w:styleId="688">
    <w:name w:val="style141"/>
    <w:qFormat/>
    <w:uiPriority w:val="0"/>
    <w:rPr>
      <w:color w:val="1F1F1F"/>
      <w:sz w:val="24"/>
      <w:szCs w:val="24"/>
    </w:rPr>
  </w:style>
  <w:style w:type="character" w:customStyle="1" w:styleId="689">
    <w:name w:val="样式 正文缩进 + 首行缩进:  2 字符 Char Char"/>
    <w:qFormat/>
    <w:uiPriority w:val="0"/>
    <w:rPr>
      <w:sz w:val="24"/>
    </w:rPr>
  </w:style>
  <w:style w:type="character" w:customStyle="1" w:styleId="690">
    <w:name w:val="明显引用 Char Char"/>
    <w:qFormat/>
    <w:uiPriority w:val="0"/>
    <w:rPr>
      <w:b/>
      <w:bCs/>
      <w:i/>
      <w:iCs/>
      <w:color w:val="4F81BD"/>
      <w:kern w:val="2"/>
      <w:sz w:val="21"/>
      <w:szCs w:val="22"/>
      <w:lang w:bidi="ar-SA"/>
    </w:rPr>
  </w:style>
  <w:style w:type="character" w:customStyle="1" w:styleId="691">
    <w:name w:val="明显强调5"/>
    <w:qFormat/>
    <w:uiPriority w:val="0"/>
    <w:rPr>
      <w:rFonts w:ascii="Times New Roman" w:hAnsi="Times New Roman" w:eastAsia="宋体" w:cs="Times New Roman"/>
      <w:b/>
      <w:i/>
      <w:color w:val="4F81BD"/>
    </w:rPr>
  </w:style>
  <w:style w:type="character" w:customStyle="1" w:styleId="692">
    <w:name w:val="不明显参考5"/>
    <w:qFormat/>
    <w:uiPriority w:val="0"/>
    <w:rPr>
      <w:rFonts w:ascii="Times New Roman" w:hAnsi="Times New Roman" w:eastAsia="宋体" w:cs="Times New Roman"/>
      <w:smallCaps/>
      <w:color w:val="C0504D"/>
      <w:u w:val="single"/>
    </w:rPr>
  </w:style>
  <w:style w:type="character" w:customStyle="1" w:styleId="693">
    <w:name w:val="书籍标题3"/>
    <w:qFormat/>
    <w:uiPriority w:val="0"/>
    <w:rPr>
      <w:rFonts w:ascii="Times New Roman" w:hAnsi="Times New Roman" w:eastAsia="宋体" w:cs="Times New Roman"/>
      <w:b/>
      <w:smallCaps/>
      <w:spacing w:val="5"/>
    </w:rPr>
  </w:style>
  <w:style w:type="character" w:customStyle="1" w:styleId="694">
    <w:name w:val="批注文字 字符1"/>
    <w:qFormat/>
    <w:uiPriority w:val="0"/>
    <w:rPr>
      <w:rFonts w:ascii="Times New Roman" w:hAnsi="Times New Roman" w:eastAsia="宋体" w:cs="Times New Roman"/>
      <w:kern w:val="2"/>
      <w:sz w:val="24"/>
      <w:szCs w:val="24"/>
      <w:lang w:val="en-US" w:eastAsia="zh-CN" w:bidi="ar-SA"/>
    </w:rPr>
  </w:style>
  <w:style w:type="character" w:customStyle="1" w:styleId="695">
    <w:name w:val="中等深浅网格 3 - 强调文字颜色 61"/>
    <w:qFormat/>
    <w:uiPriority w:val="0"/>
    <w:rPr>
      <w:b/>
      <w:bCs/>
      <w:smallCaps/>
      <w:spacing w:val="5"/>
    </w:rPr>
  </w:style>
  <w:style w:type="character" w:customStyle="1" w:styleId="696">
    <w:name w:val="中等深浅列表 2 - 强调文字颜色 61"/>
    <w:qFormat/>
    <w:uiPriority w:val="0"/>
    <w:rPr>
      <w:b/>
      <w:bCs/>
      <w:i/>
      <w:iCs/>
      <w:color w:val="4F81BD"/>
    </w:rPr>
  </w:style>
  <w:style w:type="character" w:customStyle="1" w:styleId="697">
    <w:name w:val="H6 Char"/>
    <w:qFormat/>
    <w:uiPriority w:val="0"/>
    <w:rPr>
      <w:rFonts w:ascii="Arial" w:hAnsi="Arial" w:eastAsia="黑体"/>
      <w:bCs/>
      <w:kern w:val="2"/>
      <w:sz w:val="24"/>
      <w:szCs w:val="24"/>
    </w:rPr>
  </w:style>
  <w:style w:type="character" w:customStyle="1" w:styleId="698">
    <w:name w:val="Char Char41"/>
    <w:qFormat/>
    <w:uiPriority w:val="0"/>
    <w:rPr>
      <w:rFonts w:ascii="Times New Roman" w:hAnsi="Times New Roman" w:eastAsia="宋体" w:cs="Times New Roman"/>
      <w:b/>
      <w:bCs/>
      <w:kern w:val="44"/>
      <w:sz w:val="44"/>
      <w:szCs w:val="44"/>
      <w:lang w:val="en-US" w:eastAsia="zh-CN" w:bidi="ar-SA"/>
    </w:rPr>
  </w:style>
  <w:style w:type="character" w:customStyle="1" w:styleId="699">
    <w:name w:val="批注文字 字符2"/>
    <w:qFormat/>
    <w:uiPriority w:val="0"/>
    <w:rPr>
      <w:rFonts w:ascii="Times New Roman" w:hAnsi="Times New Roman" w:eastAsia="宋体" w:cs="Times New Roman"/>
      <w:kern w:val="2"/>
      <w:sz w:val="24"/>
      <w:szCs w:val="24"/>
      <w:lang w:val="en-US" w:eastAsia="zh-CN" w:bidi="ar-SA"/>
    </w:rPr>
  </w:style>
  <w:style w:type="character" w:customStyle="1" w:styleId="700">
    <w:name w:val="Char Char121"/>
    <w:qFormat/>
    <w:uiPriority w:val="0"/>
    <w:rPr>
      <w:rFonts w:ascii="Arial" w:hAnsi="Arial" w:eastAsia="黑体"/>
      <w:sz w:val="21"/>
      <w:szCs w:val="21"/>
      <w:lang w:val="en-US" w:eastAsia="zh-CN" w:bidi="ar-SA"/>
    </w:rPr>
  </w:style>
  <w:style w:type="character" w:customStyle="1" w:styleId="701">
    <w:name w:val="Char Char131"/>
    <w:qFormat/>
    <w:uiPriority w:val="0"/>
    <w:rPr>
      <w:rFonts w:ascii="宋体" w:hAnsi="Courier New" w:eastAsia="宋体"/>
      <w:kern w:val="2"/>
      <w:sz w:val="21"/>
      <w:lang w:val="en-US" w:eastAsia="zh-CN" w:bidi="ar-SA"/>
    </w:rPr>
  </w:style>
  <w:style w:type="character" w:customStyle="1" w:styleId="702">
    <w:name w:val="正文首行缩进 Char2"/>
    <w:qFormat/>
    <w:uiPriority w:val="99"/>
    <w:rPr>
      <w:rFonts w:ascii="Times New Roman" w:hAnsi="Times New Roman" w:eastAsia="宋体" w:cs="Times New Roman"/>
      <w:kern w:val="2"/>
      <w:sz w:val="24"/>
      <w:szCs w:val="24"/>
      <w:lang w:val="en-US" w:eastAsia="zh-CN" w:bidi="ar-SA"/>
    </w:rPr>
  </w:style>
  <w:style w:type="character" w:customStyle="1" w:styleId="703">
    <w:name w:val="正文首行缩进 2 Char2"/>
    <w:qFormat/>
    <w:uiPriority w:val="99"/>
  </w:style>
  <w:style w:type="character" w:customStyle="1" w:styleId="704">
    <w:name w:val="标题 3 字符1"/>
    <w:qFormat/>
    <w:uiPriority w:val="0"/>
    <w:rPr>
      <w:rFonts w:ascii="Times New Roman" w:hAnsi="Times New Roman" w:eastAsia="宋体" w:cs="Times New Roman"/>
      <w:b/>
      <w:bCs/>
      <w:sz w:val="28"/>
      <w:szCs w:val="32"/>
      <w:lang w:val="en-US" w:eastAsia="zh-CN" w:bidi="ar-SA"/>
    </w:rPr>
  </w:style>
  <w:style w:type="character" w:customStyle="1" w:styleId="705">
    <w:name w:val="标题 6 字符1"/>
    <w:qFormat/>
    <w:uiPriority w:val="0"/>
    <w:rPr>
      <w:rFonts w:ascii="Arial" w:hAnsi="Arial" w:eastAsia="黑体" w:cs="Times New Roman"/>
      <w:b/>
      <w:bCs/>
      <w:sz w:val="24"/>
      <w:szCs w:val="24"/>
      <w:lang w:val="en-US" w:eastAsia="zh-CN" w:bidi="ar-SA"/>
    </w:rPr>
  </w:style>
  <w:style w:type="character" w:customStyle="1" w:styleId="706">
    <w:name w:val="标题 5 字符1"/>
    <w:qFormat/>
    <w:uiPriority w:val="0"/>
    <w:rPr>
      <w:rFonts w:ascii="Times New Roman" w:hAnsi="Times New Roman" w:eastAsia="宋体" w:cs="Times New Roman"/>
      <w:b/>
      <w:bCs/>
      <w:kern w:val="2"/>
      <w:sz w:val="28"/>
      <w:szCs w:val="28"/>
      <w:lang w:val="en-US" w:eastAsia="zh-CN" w:bidi="ar-SA"/>
    </w:rPr>
  </w:style>
  <w:style w:type="character" w:customStyle="1" w:styleId="707">
    <w:name w:val="注释标题 字符1"/>
    <w:qFormat/>
    <w:uiPriority w:val="0"/>
    <w:rPr>
      <w:rFonts w:ascii="宋体" w:hAnsi="宋体" w:eastAsia="宋体" w:cs="Times New Roman"/>
      <w:b/>
      <w:bCs/>
      <w:sz w:val="24"/>
      <w:szCs w:val="24"/>
    </w:rPr>
  </w:style>
  <w:style w:type="character" w:customStyle="1" w:styleId="708">
    <w:name w:val="脚注文本 字符1"/>
    <w:qFormat/>
    <w:uiPriority w:val="0"/>
    <w:rPr>
      <w:rFonts w:ascii="Times New Roman" w:hAnsi="Times New Roman" w:eastAsia="宋体" w:cs="Times New Roman"/>
      <w:kern w:val="2"/>
      <w:lang w:val="en-US" w:eastAsia="zh-CN" w:bidi="ar-SA"/>
    </w:rPr>
  </w:style>
  <w:style w:type="character" w:customStyle="1" w:styleId="709">
    <w:name w:val="正文文本缩进 3 字符1"/>
    <w:qFormat/>
    <w:uiPriority w:val="0"/>
    <w:rPr>
      <w:rFonts w:ascii="Times New Roman" w:hAnsi="Times New Roman" w:eastAsia="宋体" w:cs="Times New Roman"/>
      <w:kern w:val="2"/>
      <w:sz w:val="16"/>
      <w:szCs w:val="16"/>
      <w:lang w:val="en-US" w:eastAsia="zh-CN" w:bidi="ar-SA"/>
    </w:rPr>
  </w:style>
  <w:style w:type="character" w:customStyle="1" w:styleId="710">
    <w:name w:val="HTML 预设格式 字符2"/>
    <w:qFormat/>
    <w:uiPriority w:val="0"/>
    <w:rPr>
      <w:rFonts w:ascii="宋体" w:hAnsi="宋体" w:eastAsia="宋体" w:cs="Times New Roman"/>
      <w:sz w:val="24"/>
      <w:szCs w:val="24"/>
    </w:rPr>
  </w:style>
  <w:style w:type="character" w:customStyle="1" w:styleId="711">
    <w:name w:val="正文文本首行缩进 2 字符1"/>
    <w:qFormat/>
    <w:uiPriority w:val="99"/>
    <w:rPr>
      <w:rFonts w:ascii="Times New Roman" w:hAnsi="Times New Roman" w:eastAsia="宋体" w:cs="Times New Roman"/>
      <w:kern w:val="2"/>
      <w:sz w:val="21"/>
      <w:szCs w:val="24"/>
      <w:lang w:val="en-US" w:eastAsia="zh-CN" w:bidi="ar-SA"/>
    </w:rPr>
  </w:style>
  <w:style w:type="character" w:customStyle="1" w:styleId="712">
    <w:name w:val="明显引用 字符1"/>
    <w:qFormat/>
    <w:uiPriority w:val="0"/>
    <w:rPr>
      <w:rFonts w:ascii="Times New Roman" w:hAnsi="Times New Roman" w:eastAsia="宋体" w:cs="Times New Roman"/>
      <w:b/>
      <w:i/>
      <w:color w:val="4F81BD"/>
      <w:kern w:val="2"/>
      <w:sz w:val="22"/>
      <w:lang w:bidi="ar-SA"/>
    </w:rPr>
  </w:style>
  <w:style w:type="character" w:customStyle="1" w:styleId="713">
    <w:name w:val="UserStyle_43"/>
    <w:link w:val="714"/>
    <w:qFormat/>
    <w:uiPriority w:val="0"/>
    <w:rPr>
      <w:sz w:val="16"/>
      <w:szCs w:val="16"/>
    </w:rPr>
  </w:style>
  <w:style w:type="paragraph" w:customStyle="1" w:styleId="714">
    <w:name w:val="BodyTextIndent3"/>
    <w:basedOn w:val="1"/>
    <w:link w:val="713"/>
    <w:qFormat/>
    <w:uiPriority w:val="0"/>
    <w:pPr>
      <w:widowControl/>
      <w:spacing w:after="120"/>
      <w:ind w:left="420" w:leftChars="200"/>
    </w:pPr>
    <w:rPr>
      <w:sz w:val="16"/>
      <w:szCs w:val="16"/>
    </w:rPr>
  </w:style>
  <w:style w:type="character" w:customStyle="1" w:styleId="715">
    <w:name w:val="标题 7 Char1"/>
    <w:qFormat/>
    <w:uiPriority w:val="0"/>
    <w:rPr>
      <w:rFonts w:eastAsia="宋体"/>
      <w:b/>
      <w:bCs/>
      <w:sz w:val="24"/>
      <w:szCs w:val="24"/>
      <w:lang w:val="en-US" w:eastAsia="zh-CN" w:bidi="ar-SA"/>
    </w:rPr>
  </w:style>
  <w:style w:type="paragraph" w:customStyle="1" w:styleId="716">
    <w:name w:val="引用2"/>
    <w:basedOn w:val="1"/>
    <w:next w:val="1"/>
    <w:qFormat/>
    <w:uiPriority w:val="0"/>
    <w:rPr>
      <w:rFonts w:ascii="Times New Roman" w:hAnsi="Times New Roman" w:eastAsia="宋体" w:cs="Times New Roman"/>
      <w:i/>
      <w:color w:val="000000"/>
      <w:sz w:val="22"/>
      <w:szCs w:val="20"/>
    </w:rPr>
  </w:style>
  <w:style w:type="character" w:customStyle="1" w:styleId="717">
    <w:name w:val="标题 9 Char1"/>
    <w:qFormat/>
    <w:uiPriority w:val="0"/>
    <w:rPr>
      <w:rFonts w:ascii="Arial" w:hAnsi="Arial" w:eastAsia="黑体"/>
      <w:sz w:val="21"/>
      <w:szCs w:val="21"/>
      <w:lang w:val="en-US" w:eastAsia="zh-CN" w:bidi="ar-SA"/>
    </w:rPr>
  </w:style>
  <w:style w:type="character" w:customStyle="1" w:styleId="718">
    <w:name w:val="Char Char1831"/>
    <w:qFormat/>
    <w:uiPriority w:val="0"/>
    <w:rPr>
      <w:rFonts w:ascii="Times New Roman" w:hAnsi="Times New Roman" w:eastAsia="宋体" w:cs="Times New Roman"/>
      <w:b/>
      <w:bCs/>
      <w:kern w:val="44"/>
      <w:sz w:val="44"/>
      <w:szCs w:val="44"/>
    </w:rPr>
  </w:style>
  <w:style w:type="character" w:customStyle="1" w:styleId="719">
    <w:name w:val="t-link41"/>
    <w:qFormat/>
    <w:uiPriority w:val="0"/>
  </w:style>
  <w:style w:type="character" w:customStyle="1" w:styleId="720">
    <w:name w:val="标题 6 Char1"/>
    <w:qFormat/>
    <w:uiPriority w:val="0"/>
    <w:rPr>
      <w:rFonts w:ascii="Arial" w:hAnsi="Arial" w:eastAsia="黑体"/>
      <w:b/>
      <w:bCs/>
      <w:sz w:val="24"/>
      <w:szCs w:val="24"/>
      <w:lang w:val="en-US" w:eastAsia="zh-CN" w:bidi="ar-SA"/>
    </w:rPr>
  </w:style>
  <w:style w:type="character" w:customStyle="1" w:styleId="721">
    <w:name w:val="批注文字 Char2"/>
    <w:qFormat/>
    <w:uiPriority w:val="0"/>
    <w:rPr>
      <w:rFonts w:ascii="Times New Roman" w:hAnsi="Times New Roman" w:eastAsia="宋体" w:cs="Times New Roman"/>
      <w:kern w:val="2"/>
      <w:sz w:val="21"/>
      <w:szCs w:val="24"/>
    </w:rPr>
  </w:style>
  <w:style w:type="character" w:customStyle="1" w:styleId="722">
    <w:name w:val="明显引用 Char3"/>
    <w:qFormat/>
    <w:uiPriority w:val="30"/>
    <w:rPr>
      <w:rFonts w:ascii="Times New Roman" w:hAnsi="Times New Roman" w:eastAsia="宋体" w:cs="Times New Roman"/>
      <w:i/>
      <w:iCs/>
      <w:color w:val="5B9BD5"/>
      <w:szCs w:val="24"/>
    </w:rPr>
  </w:style>
  <w:style w:type="character" w:customStyle="1" w:styleId="723">
    <w:name w:val="Char Char1731"/>
    <w:qFormat/>
    <w:uiPriority w:val="0"/>
    <w:rPr>
      <w:rFonts w:ascii="Cambria" w:hAnsi="Cambria" w:eastAsia="宋体" w:cs="Times New Roman"/>
      <w:b/>
      <w:bCs/>
      <w:kern w:val="2"/>
      <w:sz w:val="32"/>
      <w:szCs w:val="32"/>
    </w:rPr>
  </w:style>
  <w:style w:type="character" w:customStyle="1" w:styleId="724">
    <w:name w:val="普通文字 Char Char Char1"/>
    <w:qFormat/>
    <w:uiPriority w:val="0"/>
    <w:rPr>
      <w:rFonts w:ascii="Courier New" w:hAnsi="Courier New" w:eastAsia="宋体" w:cs="Times New Roman"/>
      <w:kern w:val="2"/>
      <w:sz w:val="21"/>
    </w:rPr>
  </w:style>
  <w:style w:type="character" w:customStyle="1" w:styleId="725">
    <w:name w:val="Char Char61"/>
    <w:qFormat/>
    <w:uiPriority w:val="0"/>
    <w:rPr>
      <w:rFonts w:ascii="Arial" w:hAnsi="Arial" w:eastAsia="黑体" w:cs="Times New Roman"/>
      <w:b/>
      <w:bCs/>
      <w:kern w:val="2"/>
      <w:sz w:val="32"/>
      <w:szCs w:val="32"/>
      <w:lang w:val="en-US" w:eastAsia="zh-CN" w:bidi="ar-SA"/>
    </w:rPr>
  </w:style>
  <w:style w:type="character" w:customStyle="1" w:styleId="726">
    <w:name w:val="访问过的超链接1"/>
    <w:unhideWhenUsed/>
    <w:qFormat/>
    <w:uiPriority w:val="99"/>
    <w:rPr>
      <w:color w:val="954F72"/>
      <w:u w:val="single"/>
    </w:rPr>
  </w:style>
  <w:style w:type="character" w:customStyle="1" w:styleId="727">
    <w:name w:val="标题 4 Char1"/>
    <w:qFormat/>
    <w:uiPriority w:val="0"/>
    <w:rPr>
      <w:rFonts w:ascii="Arial" w:hAnsi="Arial" w:eastAsia="黑体"/>
      <w:b/>
      <w:bCs/>
      <w:kern w:val="2"/>
      <w:sz w:val="28"/>
      <w:szCs w:val="28"/>
      <w:lang w:val="en-US" w:eastAsia="zh-CN" w:bidi="ar-SA"/>
    </w:rPr>
  </w:style>
  <w:style w:type="character" w:customStyle="1" w:styleId="728">
    <w:name w:val="Char Char3121"/>
    <w:qFormat/>
    <w:uiPriority w:val="0"/>
    <w:rPr>
      <w:rFonts w:ascii="Arial" w:hAnsi="Arial" w:eastAsia="黑体" w:cs="Times New Roman"/>
      <w:b/>
      <w:bCs/>
      <w:kern w:val="2"/>
      <w:sz w:val="32"/>
      <w:szCs w:val="32"/>
      <w:lang w:val="en-US" w:eastAsia="zh-CN" w:bidi="ar-SA"/>
    </w:rPr>
  </w:style>
  <w:style w:type="character" w:customStyle="1" w:styleId="729">
    <w:name w:val="批注主题 Char3"/>
    <w:qFormat/>
    <w:uiPriority w:val="99"/>
    <w:rPr>
      <w:rFonts w:ascii="Times New Roman" w:hAnsi="Times New Roman" w:eastAsia="宋体" w:cs="Times New Roman"/>
      <w:b/>
      <w:bCs/>
      <w:kern w:val="2"/>
      <w:sz w:val="21"/>
      <w:szCs w:val="24"/>
    </w:rPr>
  </w:style>
  <w:style w:type="character" w:customStyle="1" w:styleId="730">
    <w:name w:val="脚注文本 Char2"/>
    <w:semiHidden/>
    <w:qFormat/>
    <w:uiPriority w:val="99"/>
    <w:rPr>
      <w:rFonts w:ascii="Times New Roman" w:hAnsi="Times New Roman" w:eastAsia="宋体" w:cs="Times New Roman"/>
      <w:sz w:val="18"/>
      <w:szCs w:val="18"/>
    </w:rPr>
  </w:style>
  <w:style w:type="character" w:customStyle="1" w:styleId="731">
    <w:name w:val="副标题 Char3"/>
    <w:qFormat/>
    <w:uiPriority w:val="11"/>
    <w:rPr>
      <w:rFonts w:ascii="Calibri Light" w:hAnsi="Calibri Light" w:eastAsia="宋体" w:cs="Times New Roman"/>
      <w:b/>
      <w:bCs/>
      <w:kern w:val="28"/>
      <w:sz w:val="32"/>
      <w:szCs w:val="32"/>
    </w:rPr>
  </w:style>
  <w:style w:type="character" w:customStyle="1" w:styleId="732">
    <w:name w:val="Char Char Char Char Char Char21"/>
    <w:qFormat/>
    <w:uiPriority w:val="0"/>
    <w:rPr>
      <w:rFonts w:ascii="Cambria" w:hAnsi="Cambria" w:eastAsia="宋体" w:cs="Times New Roman"/>
      <w:b/>
      <w:bCs/>
      <w:kern w:val="2"/>
      <w:sz w:val="32"/>
      <w:szCs w:val="32"/>
      <w:lang w:bidi="ar-SA"/>
    </w:rPr>
  </w:style>
  <w:style w:type="character" w:customStyle="1" w:styleId="733">
    <w:name w:val="Char Char931"/>
    <w:qFormat/>
    <w:uiPriority w:val="0"/>
    <w:rPr>
      <w:rFonts w:ascii="Times New Roman" w:hAnsi="Times New Roman" w:eastAsia="宋体" w:cs="Times New Roman"/>
      <w:kern w:val="2"/>
      <w:sz w:val="21"/>
      <w:szCs w:val="22"/>
    </w:rPr>
  </w:style>
  <w:style w:type="character" w:customStyle="1" w:styleId="734">
    <w:name w:val="HTML 预设格式 Char1"/>
    <w:qFormat/>
    <w:uiPriority w:val="0"/>
    <w:rPr>
      <w:rFonts w:ascii="Courier New" w:hAnsi="Courier New" w:eastAsia="宋体" w:cs="Courier New"/>
      <w:sz w:val="20"/>
      <w:szCs w:val="20"/>
    </w:rPr>
  </w:style>
  <w:style w:type="paragraph" w:customStyle="1" w:styleId="735">
    <w:name w:val="明显引用2"/>
    <w:basedOn w:val="1"/>
    <w:next w:val="1"/>
    <w:qFormat/>
    <w:uiPriority w:val="0"/>
    <w:pPr>
      <w:pBdr>
        <w:bottom w:val="single" w:color="4F81BD" w:sz="4" w:space="4"/>
      </w:pBdr>
      <w:spacing w:before="200" w:after="280"/>
      <w:ind w:left="936" w:right="936"/>
    </w:pPr>
    <w:rPr>
      <w:rFonts w:ascii="Times New Roman" w:hAnsi="Times New Roman" w:eastAsia="宋体" w:cs="Times New Roman"/>
      <w:b/>
      <w:i/>
      <w:color w:val="4F81BD"/>
      <w:sz w:val="22"/>
      <w:szCs w:val="20"/>
    </w:rPr>
  </w:style>
  <w:style w:type="character" w:customStyle="1" w:styleId="736">
    <w:name w:val="No Spacing Char"/>
    <w:qFormat/>
    <w:uiPriority w:val="0"/>
    <w:rPr>
      <w:rFonts w:ascii="Calibri" w:hAnsi="Calibri"/>
      <w:kern w:val="2"/>
      <w:sz w:val="21"/>
      <w:szCs w:val="22"/>
    </w:rPr>
  </w:style>
  <w:style w:type="character" w:customStyle="1" w:styleId="737">
    <w:name w:val="正文文本 3 Char3"/>
    <w:semiHidden/>
    <w:qFormat/>
    <w:uiPriority w:val="99"/>
    <w:rPr>
      <w:kern w:val="2"/>
      <w:sz w:val="16"/>
      <w:szCs w:val="16"/>
    </w:rPr>
  </w:style>
  <w:style w:type="character" w:customStyle="1" w:styleId="738">
    <w:name w:val="（A） Char"/>
    <w:qFormat/>
    <w:uiPriority w:val="0"/>
    <w:rPr>
      <w:rFonts w:ascii="Arial" w:hAnsi="Arial" w:eastAsia="黑体"/>
      <w:kern w:val="2"/>
      <w:sz w:val="24"/>
      <w:szCs w:val="24"/>
    </w:rPr>
  </w:style>
  <w:style w:type="character" w:customStyle="1" w:styleId="739">
    <w:name w:val="文字 Char"/>
    <w:link w:val="740"/>
    <w:qFormat/>
    <w:locked/>
    <w:uiPriority w:val="0"/>
    <w:rPr>
      <w:rFonts w:ascii="宋体" w:hAnsi="宋体"/>
      <w:sz w:val="28"/>
    </w:rPr>
  </w:style>
  <w:style w:type="paragraph" w:customStyle="1" w:styleId="740">
    <w:name w:val="文字"/>
    <w:basedOn w:val="1"/>
    <w:link w:val="739"/>
    <w:qFormat/>
    <w:uiPriority w:val="0"/>
    <w:pPr>
      <w:tabs>
        <w:tab w:val="left" w:pos="8520"/>
      </w:tabs>
      <w:spacing w:line="312" w:lineRule="auto"/>
      <w:ind w:right="-210" w:firstLine="556"/>
    </w:pPr>
    <w:rPr>
      <w:rFonts w:ascii="宋体" w:hAnsi="宋体"/>
      <w:sz w:val="28"/>
    </w:rPr>
  </w:style>
  <w:style w:type="character" w:customStyle="1" w:styleId="741">
    <w:name w:val="Table Text Char"/>
    <w:link w:val="742"/>
    <w:qFormat/>
    <w:uiPriority w:val="0"/>
    <w:rPr>
      <w:rFonts w:ascii="Arial" w:hAnsi="Arial"/>
      <w:sz w:val="18"/>
      <w:szCs w:val="18"/>
    </w:rPr>
  </w:style>
  <w:style w:type="paragraph" w:customStyle="1" w:styleId="742">
    <w:name w:val="Table Text"/>
    <w:link w:val="741"/>
    <w:qFormat/>
    <w:uiPriority w:val="0"/>
    <w:pPr>
      <w:snapToGrid w:val="0"/>
      <w:spacing w:before="80" w:after="80"/>
    </w:pPr>
    <w:rPr>
      <w:rFonts w:ascii="Arial" w:hAnsi="Arial" w:eastAsiaTheme="minorEastAsia" w:cstheme="minorBidi"/>
      <w:kern w:val="2"/>
      <w:sz w:val="18"/>
      <w:szCs w:val="18"/>
      <w:lang w:val="en-US" w:eastAsia="zh-CN" w:bidi="ar-SA"/>
    </w:rPr>
  </w:style>
  <w:style w:type="character" w:customStyle="1" w:styleId="743">
    <w:name w:val="ft3151"/>
    <w:qFormat/>
    <w:uiPriority w:val="0"/>
    <w:rPr>
      <w:rFonts w:hint="default" w:ascii="Times" w:hAnsi="Times"/>
      <w:color w:val="000000"/>
      <w:spacing w:val="19"/>
      <w:sz w:val="17"/>
      <w:szCs w:val="17"/>
    </w:rPr>
  </w:style>
  <w:style w:type="character" w:customStyle="1" w:styleId="744">
    <w:name w:val="Char Char14"/>
    <w:qFormat/>
    <w:uiPriority w:val="0"/>
    <w:rPr>
      <w:rFonts w:ascii="Arial" w:hAnsi="Arial" w:eastAsia="黑体"/>
      <w:b/>
      <w:bCs/>
      <w:kern w:val="2"/>
      <w:sz w:val="28"/>
      <w:szCs w:val="28"/>
      <w:lang w:val="en-US" w:eastAsia="zh-CN" w:bidi="ar-SA"/>
    </w:rPr>
  </w:style>
  <w:style w:type="character" w:customStyle="1" w:styleId="745">
    <w:name w:val="列出段落 Char"/>
    <w:link w:val="746"/>
    <w:qFormat/>
    <w:locked/>
    <w:uiPriority w:val="0"/>
    <w:rPr>
      <w:rFonts w:ascii="Calibri" w:hAnsi="Calibri"/>
      <w:sz w:val="24"/>
    </w:rPr>
  </w:style>
  <w:style w:type="paragraph" w:customStyle="1" w:styleId="746">
    <w:name w:val="列出段落3"/>
    <w:basedOn w:val="1"/>
    <w:link w:val="745"/>
    <w:qFormat/>
    <w:uiPriority w:val="0"/>
    <w:pPr>
      <w:spacing w:line="360" w:lineRule="auto"/>
      <w:ind w:firstLine="420" w:firstLineChars="200"/>
    </w:pPr>
    <w:rPr>
      <w:rFonts w:ascii="Calibri" w:hAnsi="Calibri"/>
      <w:sz w:val="24"/>
    </w:rPr>
  </w:style>
  <w:style w:type="character" w:customStyle="1" w:styleId="747">
    <w:name w:val="font01"/>
    <w:qFormat/>
    <w:uiPriority w:val="0"/>
    <w:rPr>
      <w:rFonts w:hint="eastAsia" w:ascii="宋体" w:hAnsi="宋体" w:eastAsia="宋体" w:cs="宋体"/>
      <w:color w:val="000000"/>
      <w:sz w:val="21"/>
      <w:szCs w:val="21"/>
    </w:rPr>
  </w:style>
  <w:style w:type="character" w:customStyle="1" w:styleId="748">
    <w:name w:val="样式 正文缩进 + 首行缩进:  2 字符 Char"/>
    <w:link w:val="749"/>
    <w:qFormat/>
    <w:uiPriority w:val="0"/>
    <w:rPr>
      <w:sz w:val="24"/>
    </w:rPr>
  </w:style>
  <w:style w:type="paragraph" w:customStyle="1" w:styleId="749">
    <w:name w:val="样式 正文缩进 + 首行缩进:  2 字符"/>
    <w:basedOn w:val="20"/>
    <w:link w:val="748"/>
    <w:qFormat/>
    <w:uiPriority w:val="0"/>
    <w:pPr>
      <w:spacing w:line="360" w:lineRule="auto"/>
      <w:ind w:firstLine="480" w:firstLineChars="200"/>
    </w:pPr>
    <w:rPr>
      <w:sz w:val="24"/>
      <w:szCs w:val="24"/>
    </w:rPr>
  </w:style>
  <w:style w:type="character" w:customStyle="1" w:styleId="750">
    <w:name w:val="footerlink"/>
    <w:qFormat/>
    <w:uiPriority w:val="0"/>
  </w:style>
  <w:style w:type="character" w:customStyle="1" w:styleId="751">
    <w:name w:val="style921"/>
    <w:qFormat/>
    <w:uiPriority w:val="0"/>
    <w:rPr>
      <w:b/>
      <w:bCs/>
      <w:color w:val="FFFFFF"/>
      <w:sz w:val="18"/>
      <w:szCs w:val="18"/>
    </w:rPr>
  </w:style>
  <w:style w:type="character" w:customStyle="1" w:styleId="752">
    <w:name w:val="Normal CH Char"/>
    <w:link w:val="753"/>
    <w:qFormat/>
    <w:uiPriority w:val="0"/>
    <w:rPr>
      <w:rFonts w:ascii="Arial" w:hAnsi="Arial"/>
    </w:rPr>
  </w:style>
  <w:style w:type="paragraph" w:customStyle="1" w:styleId="753">
    <w:name w:val="Normal CH"/>
    <w:basedOn w:val="1"/>
    <w:link w:val="752"/>
    <w:qFormat/>
    <w:uiPriority w:val="0"/>
    <w:pPr>
      <w:widowControl/>
      <w:spacing w:before="60" w:after="60"/>
      <w:ind w:firstLine="213" w:firstLineChars="213"/>
      <w:jc w:val="left"/>
    </w:pPr>
    <w:rPr>
      <w:rFonts w:ascii="Arial" w:hAnsi="Arial"/>
    </w:rPr>
  </w:style>
  <w:style w:type="character" w:customStyle="1" w:styleId="754">
    <w:name w:val="彩色列表 - 强调文字颜色 1 Char"/>
    <w:link w:val="755"/>
    <w:qFormat/>
    <w:uiPriority w:val="0"/>
    <w:rPr>
      <w:rFonts w:ascii="Calibri" w:hAnsi="Calibri"/>
    </w:rPr>
  </w:style>
  <w:style w:type="paragraph" w:customStyle="1" w:styleId="755">
    <w:name w:val="彩色列表 - 强调文字颜色 11"/>
    <w:basedOn w:val="1"/>
    <w:link w:val="754"/>
    <w:qFormat/>
    <w:uiPriority w:val="0"/>
    <w:pPr>
      <w:ind w:firstLine="420" w:firstLineChars="200"/>
    </w:pPr>
    <w:rPr>
      <w:rFonts w:ascii="Calibri" w:hAnsi="Calibri"/>
    </w:rPr>
  </w:style>
  <w:style w:type="character" w:customStyle="1" w:styleId="756">
    <w:name w:val="style1051"/>
    <w:qFormat/>
    <w:uiPriority w:val="0"/>
    <w:rPr>
      <w:color w:val="660099"/>
    </w:rPr>
  </w:style>
  <w:style w:type="character" w:customStyle="1" w:styleId="757">
    <w:name w:val="文章标题3级 Char Char"/>
    <w:link w:val="758"/>
    <w:qFormat/>
    <w:uiPriority w:val="0"/>
    <w:rPr>
      <w:rFonts w:ascii="宋体" w:hAnsi="宋体"/>
      <w:b/>
      <w:bCs/>
      <w:caps/>
      <w:sz w:val="24"/>
    </w:rPr>
  </w:style>
  <w:style w:type="paragraph" w:customStyle="1" w:styleId="758">
    <w:name w:val="文章标题3级"/>
    <w:basedOn w:val="1"/>
    <w:next w:val="1"/>
    <w:link w:val="757"/>
    <w:qFormat/>
    <w:uiPriority w:val="0"/>
    <w:pPr>
      <w:widowControl/>
      <w:spacing w:beforeLines="50" w:afterLines="50" w:line="360" w:lineRule="auto"/>
      <w:outlineLvl w:val="2"/>
    </w:pPr>
    <w:rPr>
      <w:rFonts w:ascii="宋体" w:hAnsi="宋体"/>
      <w:b/>
      <w:bCs/>
      <w:caps/>
      <w:sz w:val="24"/>
    </w:rPr>
  </w:style>
  <w:style w:type="character" w:customStyle="1" w:styleId="759">
    <w:name w:val="Body Char"/>
    <w:link w:val="760"/>
    <w:qFormat/>
    <w:locked/>
    <w:uiPriority w:val="0"/>
    <w:rPr>
      <w:rFonts w:ascii="宋体" w:hAnsi="宋体"/>
      <w:b/>
      <w:sz w:val="28"/>
      <w:szCs w:val="28"/>
    </w:rPr>
  </w:style>
  <w:style w:type="paragraph" w:customStyle="1" w:styleId="760">
    <w:name w:val="Body"/>
    <w:basedOn w:val="1"/>
    <w:link w:val="759"/>
    <w:qFormat/>
    <w:uiPriority w:val="0"/>
    <w:pPr>
      <w:widowControl/>
      <w:tabs>
        <w:tab w:val="left" w:pos="9356"/>
      </w:tabs>
      <w:spacing w:line="360" w:lineRule="auto"/>
      <w:ind w:firstLine="562" w:firstLineChars="200"/>
    </w:pPr>
    <w:rPr>
      <w:rFonts w:ascii="宋体" w:hAnsi="宋体"/>
      <w:b/>
      <w:sz w:val="28"/>
      <w:szCs w:val="28"/>
    </w:rPr>
  </w:style>
  <w:style w:type="character" w:customStyle="1" w:styleId="761">
    <w:name w:val="list1"/>
    <w:qFormat/>
    <w:uiPriority w:val="0"/>
    <w:rPr>
      <w:color w:val="21303A"/>
      <w:u w:val="none"/>
    </w:rPr>
  </w:style>
  <w:style w:type="character" w:customStyle="1" w:styleId="762">
    <w:name w:val="首行缩进 Char Char"/>
    <w:qFormat/>
    <w:uiPriority w:val="0"/>
    <w:rPr>
      <w:rFonts w:ascii="宋体" w:hAnsi="宋体" w:eastAsia="宋体"/>
      <w:kern w:val="2"/>
      <w:sz w:val="21"/>
      <w:szCs w:val="24"/>
      <w:lang w:val="en-US" w:eastAsia="zh-CN" w:bidi="ar-SA"/>
    </w:rPr>
  </w:style>
  <w:style w:type="character" w:customStyle="1" w:styleId="763">
    <w:name w:val="style1071"/>
    <w:qFormat/>
    <w:uiPriority w:val="0"/>
    <w:rPr>
      <w:color w:val="000000"/>
      <w:sz w:val="20"/>
      <w:szCs w:val="20"/>
    </w:rPr>
  </w:style>
  <w:style w:type="character" w:customStyle="1" w:styleId="764">
    <w:name w:val="页码1"/>
    <w:qFormat/>
    <w:uiPriority w:val="0"/>
  </w:style>
  <w:style w:type="character" w:customStyle="1" w:styleId="765">
    <w:name w:val="A8"/>
    <w:qFormat/>
    <w:uiPriority w:val="0"/>
    <w:rPr>
      <w:color w:val="000000"/>
      <w:sz w:val="18"/>
    </w:rPr>
  </w:style>
  <w:style w:type="character" w:customStyle="1" w:styleId="766">
    <w:name w:val="ca-22"/>
    <w:qFormat/>
    <w:uiPriority w:val="0"/>
  </w:style>
  <w:style w:type="character" w:customStyle="1" w:styleId="767">
    <w:name w:val="项目编号A Char"/>
    <w:link w:val="768"/>
    <w:qFormat/>
    <w:uiPriority w:val="0"/>
    <w:rPr>
      <w:rFonts w:ascii="Arial" w:hAnsi="Arial"/>
      <w:sz w:val="24"/>
    </w:rPr>
  </w:style>
  <w:style w:type="paragraph" w:customStyle="1" w:styleId="768">
    <w:name w:val="项目编号A"/>
    <w:basedOn w:val="1"/>
    <w:link w:val="767"/>
    <w:qFormat/>
    <w:uiPriority w:val="0"/>
    <w:pPr>
      <w:tabs>
        <w:tab w:val="left" w:pos="454"/>
      </w:tabs>
      <w:spacing w:line="360" w:lineRule="auto"/>
      <w:ind w:left="454" w:hanging="454"/>
      <w:jc w:val="left"/>
    </w:pPr>
    <w:rPr>
      <w:rFonts w:ascii="Arial" w:hAnsi="Arial"/>
      <w:sz w:val="24"/>
    </w:rPr>
  </w:style>
  <w:style w:type="character" w:customStyle="1" w:styleId="769">
    <w:name w:val="style121"/>
    <w:qFormat/>
    <w:uiPriority w:val="0"/>
    <w:rPr>
      <w:b/>
      <w:bCs/>
      <w:color w:val="000000"/>
    </w:rPr>
  </w:style>
  <w:style w:type="character" w:customStyle="1" w:styleId="770">
    <w:name w:val="dw41"/>
    <w:qFormat/>
    <w:uiPriority w:val="0"/>
    <w:rPr>
      <w:color w:val="FFFFFF"/>
      <w:sz w:val="18"/>
      <w:szCs w:val="18"/>
      <w:u w:val="none"/>
    </w:rPr>
  </w:style>
  <w:style w:type="character" w:customStyle="1" w:styleId="771">
    <w:name w:val="span_paramvalue"/>
    <w:qFormat/>
    <w:uiPriority w:val="0"/>
  </w:style>
  <w:style w:type="character" w:customStyle="1" w:styleId="772">
    <w:name w:val="批注框文本 字符1"/>
    <w:qFormat/>
    <w:uiPriority w:val="0"/>
    <w:rPr>
      <w:rFonts w:ascii="Times New Roman" w:hAnsi="Times New Roman" w:eastAsia="宋体" w:cs="Times New Roman"/>
      <w:kern w:val="2"/>
      <w:sz w:val="18"/>
      <w:szCs w:val="18"/>
      <w:lang w:val="en-US" w:eastAsia="zh-CN" w:bidi="ar-SA"/>
    </w:rPr>
  </w:style>
  <w:style w:type="character" w:customStyle="1" w:styleId="773">
    <w:name w:val="日期 字符1"/>
    <w:qFormat/>
    <w:uiPriority w:val="0"/>
    <w:rPr>
      <w:rFonts w:ascii="Times New Roman" w:hAnsi="Times New Roman" w:eastAsia="宋体" w:cs="Times New Roman"/>
      <w:kern w:val="2"/>
      <w:sz w:val="24"/>
      <w:lang w:val="en-US" w:eastAsia="zh-CN" w:bidi="ar-SA"/>
    </w:rPr>
  </w:style>
  <w:style w:type="character" w:customStyle="1" w:styleId="774">
    <w:name w:val="正文文本 字符1"/>
    <w:qFormat/>
    <w:uiPriority w:val="0"/>
    <w:rPr>
      <w:rFonts w:ascii="Times New Roman" w:hAnsi="Times New Roman" w:eastAsia="宋体" w:cs="Times New Roman"/>
      <w:kern w:val="2"/>
      <w:sz w:val="24"/>
      <w:lang w:val="en-US" w:eastAsia="zh-CN" w:bidi="ar-SA"/>
    </w:rPr>
  </w:style>
  <w:style w:type="character" w:customStyle="1" w:styleId="775">
    <w:name w:val="段 Char Char"/>
    <w:qFormat/>
    <w:uiPriority w:val="0"/>
    <w:rPr>
      <w:rFonts w:ascii="宋体"/>
      <w:sz w:val="21"/>
      <w:lang w:val="en-US" w:eastAsia="zh-CN" w:bidi="ar-SA"/>
    </w:rPr>
  </w:style>
  <w:style w:type="character" w:customStyle="1" w:styleId="776">
    <w:name w:val="样式 标题 4 + 五号 Char"/>
    <w:link w:val="777"/>
    <w:qFormat/>
    <w:uiPriority w:val="0"/>
    <w:rPr>
      <w:rFonts w:ascii="Arial" w:hAnsi="Arial" w:eastAsia="黑体"/>
      <w:b/>
      <w:bCs/>
      <w:szCs w:val="28"/>
    </w:rPr>
  </w:style>
  <w:style w:type="paragraph" w:customStyle="1" w:styleId="777">
    <w:name w:val="样式 标题 4 + 五号"/>
    <w:basedOn w:val="7"/>
    <w:link w:val="776"/>
    <w:qFormat/>
    <w:uiPriority w:val="0"/>
    <w:pPr>
      <w:keepLines/>
      <w:spacing w:line="374" w:lineRule="auto"/>
      <w:jc w:val="both"/>
    </w:pPr>
    <w:rPr>
      <w:rFonts w:ascii="Arial" w:hAnsi="Arial" w:eastAsia="黑体"/>
      <w:b/>
      <w:bCs/>
      <w:sz w:val="21"/>
    </w:rPr>
  </w:style>
  <w:style w:type="character" w:customStyle="1" w:styleId="778">
    <w:name w:val="明显强调3"/>
    <w:qFormat/>
    <w:uiPriority w:val="0"/>
    <w:rPr>
      <w:b/>
      <w:bCs/>
      <w:i/>
      <w:iCs/>
      <w:color w:val="4F81BD"/>
    </w:rPr>
  </w:style>
  <w:style w:type="character" w:customStyle="1" w:styleId="779">
    <w:name w:val="标题 3 Char Char"/>
    <w:qFormat/>
    <w:uiPriority w:val="0"/>
    <w:rPr>
      <w:rFonts w:eastAsia="宋体"/>
      <w:b/>
      <w:bCs/>
      <w:kern w:val="2"/>
      <w:sz w:val="28"/>
      <w:szCs w:val="32"/>
      <w:lang w:val="en-US" w:eastAsia="zh-CN" w:bidi="ar-SA"/>
    </w:rPr>
  </w:style>
  <w:style w:type="character" w:customStyle="1" w:styleId="780">
    <w:name w:val="不明显强调4"/>
    <w:qFormat/>
    <w:uiPriority w:val="0"/>
    <w:rPr>
      <w:rFonts w:ascii="Times New Roman" w:hAnsi="Times New Roman" w:eastAsia="宋体" w:cs="Times New Roman"/>
      <w:i/>
      <w:color w:val="808080"/>
    </w:rPr>
  </w:style>
  <w:style w:type="paragraph" w:customStyle="1" w:styleId="781">
    <w:name w:val="_Style 1167"/>
    <w:basedOn w:val="1"/>
    <w:next w:val="237"/>
    <w:qFormat/>
    <w:uiPriority w:val="0"/>
    <w:pPr>
      <w:ind w:firstLine="420" w:firstLineChars="200"/>
    </w:pPr>
    <w:rPr>
      <w:rFonts w:ascii="Times New Roman" w:hAnsi="Times New Roman" w:eastAsia="宋体" w:cs="Times New Roman"/>
    </w:rPr>
  </w:style>
  <w:style w:type="character" w:customStyle="1" w:styleId="782">
    <w:name w:val="首行缩进 Char"/>
    <w:qFormat/>
    <w:uiPriority w:val="0"/>
    <w:rPr>
      <w:rFonts w:ascii="宋体" w:hAnsi="宋体" w:eastAsia="宋体"/>
      <w:kern w:val="2"/>
      <w:sz w:val="21"/>
      <w:szCs w:val="24"/>
      <w:lang w:val="en-US" w:eastAsia="zh-CN" w:bidi="ar-SA"/>
    </w:rPr>
  </w:style>
  <w:style w:type="character" w:customStyle="1" w:styleId="783">
    <w:name w:val="Table Text Char1 Char Char"/>
    <w:link w:val="784"/>
    <w:qFormat/>
    <w:uiPriority w:val="0"/>
    <w:rPr>
      <w:rFonts w:ascii="Arial" w:hAnsi="Arial"/>
      <w:sz w:val="18"/>
      <w:szCs w:val="18"/>
    </w:rPr>
  </w:style>
  <w:style w:type="paragraph" w:customStyle="1" w:styleId="784">
    <w:name w:val="Table Text Char1 Char"/>
    <w:link w:val="783"/>
    <w:qFormat/>
    <w:uiPriority w:val="0"/>
    <w:pPr>
      <w:snapToGrid w:val="0"/>
      <w:spacing w:before="80" w:after="80"/>
    </w:pPr>
    <w:rPr>
      <w:rFonts w:ascii="Arial" w:hAnsi="Arial" w:eastAsiaTheme="minorEastAsia" w:cstheme="minorBidi"/>
      <w:kern w:val="2"/>
      <w:sz w:val="18"/>
      <w:szCs w:val="18"/>
      <w:lang w:val="en-US" w:eastAsia="zh-CN" w:bidi="ar-SA"/>
    </w:rPr>
  </w:style>
  <w:style w:type="character" w:customStyle="1" w:styleId="785">
    <w:name w:val="文本块 Char"/>
    <w:qFormat/>
    <w:uiPriority w:val="0"/>
    <w:rPr>
      <w:rFonts w:ascii="宋体" w:hAnsi="Times New Roman" w:eastAsia="宋体" w:cs="Times New Roman"/>
      <w:kern w:val="2"/>
      <w:sz w:val="28"/>
    </w:rPr>
  </w:style>
  <w:style w:type="character" w:customStyle="1" w:styleId="786">
    <w:name w:val="中等深浅网格 1 - 强调文字颜色 61"/>
    <w:qFormat/>
    <w:uiPriority w:val="0"/>
    <w:rPr>
      <w:smallCaps/>
      <w:color w:val="C0504D"/>
      <w:u w:val="single"/>
    </w:rPr>
  </w:style>
  <w:style w:type="character" w:customStyle="1" w:styleId="787">
    <w:name w:val="彩色网格字符"/>
    <w:link w:val="788"/>
    <w:qFormat/>
    <w:uiPriority w:val="0"/>
    <w:rPr>
      <w:i/>
      <w:iCs/>
      <w:color w:val="000000"/>
      <w:szCs w:val="22"/>
    </w:rPr>
  </w:style>
  <w:style w:type="paragraph" w:customStyle="1" w:styleId="788">
    <w:name w:val="彩色网格1"/>
    <w:basedOn w:val="1"/>
    <w:next w:val="1"/>
    <w:link w:val="787"/>
    <w:qFormat/>
    <w:uiPriority w:val="0"/>
    <w:rPr>
      <w:i/>
      <w:iCs/>
      <w:color w:val="000000"/>
      <w:szCs w:val="22"/>
    </w:rPr>
  </w:style>
  <w:style w:type="character" w:customStyle="1" w:styleId="789">
    <w:name w:val="t-link29"/>
    <w:qFormat/>
    <w:uiPriority w:val="0"/>
  </w:style>
  <w:style w:type="character" w:customStyle="1" w:styleId="790">
    <w:name w:val="不明显参考111"/>
    <w:qFormat/>
    <w:uiPriority w:val="99"/>
    <w:rPr>
      <w:rFonts w:ascii="Times New Roman" w:hAnsi="Times New Roman" w:eastAsia="宋体" w:cs="Times New Roman"/>
      <w:smallCaps/>
      <w:color w:val="C0504D"/>
      <w:u w:val="single"/>
    </w:rPr>
  </w:style>
  <w:style w:type="character" w:customStyle="1" w:styleId="791">
    <w:name w:val="不明显参考21"/>
    <w:qFormat/>
    <w:uiPriority w:val="0"/>
    <w:rPr>
      <w:smallCaps/>
      <w:color w:val="C0504D"/>
      <w:u w:val="single"/>
    </w:rPr>
  </w:style>
  <w:style w:type="character" w:customStyle="1" w:styleId="792">
    <w:name w:val="Char Char281"/>
    <w:qFormat/>
    <w:uiPriority w:val="0"/>
    <w:rPr>
      <w:rFonts w:ascii="Calibri Light" w:hAnsi="Calibri Light" w:eastAsia="宋体" w:cs="Times New Roman"/>
      <w:b/>
      <w:bCs/>
      <w:sz w:val="32"/>
      <w:szCs w:val="32"/>
    </w:rPr>
  </w:style>
  <w:style w:type="character" w:customStyle="1" w:styleId="793">
    <w:name w:val="标题 7 字符1"/>
    <w:qFormat/>
    <w:uiPriority w:val="0"/>
    <w:rPr>
      <w:rFonts w:ascii="Times New Roman" w:hAnsi="Times New Roman" w:eastAsia="宋体" w:cs="Times New Roman"/>
      <w:b/>
      <w:bCs/>
      <w:sz w:val="24"/>
      <w:szCs w:val="24"/>
      <w:lang w:val="en-US" w:eastAsia="zh-CN" w:bidi="ar-SA"/>
    </w:rPr>
  </w:style>
  <w:style w:type="character" w:customStyle="1" w:styleId="794">
    <w:name w:val="不明显强调31"/>
    <w:qFormat/>
    <w:uiPriority w:val="0"/>
    <w:rPr>
      <w:i/>
      <w:color w:val="808080"/>
    </w:rPr>
  </w:style>
  <w:style w:type="character" w:customStyle="1" w:styleId="795">
    <w:name w:val="文档结构图 字符1"/>
    <w:qFormat/>
    <w:uiPriority w:val="0"/>
    <w:rPr>
      <w:rFonts w:ascii="Times New Roman" w:hAnsi="Times New Roman" w:eastAsia="宋体" w:cs="Times New Roman"/>
      <w:kern w:val="2"/>
      <w:sz w:val="24"/>
      <w:lang w:val="en-US" w:eastAsia="zh-CN" w:bidi="ar-SA"/>
    </w:rPr>
  </w:style>
  <w:style w:type="character" w:customStyle="1" w:styleId="796">
    <w:name w:val="副标题 字符1"/>
    <w:qFormat/>
    <w:uiPriority w:val="0"/>
    <w:rPr>
      <w:rFonts w:ascii="Arial" w:hAnsi="Arial" w:eastAsia="黑体" w:cs="Times New Roman"/>
      <w:b/>
      <w:bCs/>
      <w:kern w:val="2"/>
      <w:sz w:val="32"/>
      <w:szCs w:val="32"/>
      <w:lang w:val="en-US" w:eastAsia="zh-CN" w:bidi="ar-SA"/>
    </w:rPr>
  </w:style>
  <w:style w:type="character" w:customStyle="1" w:styleId="797">
    <w:name w:val="正文文本 2 字符1"/>
    <w:qFormat/>
    <w:uiPriority w:val="0"/>
    <w:rPr>
      <w:rFonts w:ascii="Times New Roman" w:hAnsi="Times New Roman" w:eastAsia="宋体" w:cs="Times New Roman"/>
      <w:kern w:val="2"/>
      <w:sz w:val="24"/>
    </w:rPr>
  </w:style>
  <w:style w:type="character" w:customStyle="1" w:styleId="798">
    <w:name w:val="UserStyle_54"/>
    <w:semiHidden/>
    <w:qFormat/>
    <w:uiPriority w:val="0"/>
    <w:rPr>
      <w:kern w:val="2"/>
      <w:sz w:val="21"/>
      <w:szCs w:val="22"/>
    </w:rPr>
  </w:style>
  <w:style w:type="character" w:customStyle="1" w:styleId="799">
    <w:name w:val="无间隔 字符1"/>
    <w:qFormat/>
    <w:uiPriority w:val="0"/>
    <w:rPr>
      <w:rFonts w:ascii="Calibri" w:hAnsi="Calibri"/>
      <w:sz w:val="22"/>
      <w:szCs w:val="22"/>
      <w:lang w:val="en-US" w:eastAsia="zh-CN" w:bidi="ar-SA"/>
    </w:rPr>
  </w:style>
  <w:style w:type="character" w:customStyle="1" w:styleId="800">
    <w:name w:val="标题 Char2"/>
    <w:qFormat/>
    <w:uiPriority w:val="10"/>
    <w:rPr>
      <w:rFonts w:ascii="Calibri Light" w:hAnsi="Calibri Light" w:eastAsia="宋体" w:cs="Times New Roman"/>
      <w:b/>
      <w:bCs/>
      <w:sz w:val="32"/>
      <w:szCs w:val="32"/>
    </w:rPr>
  </w:style>
  <w:style w:type="character" w:customStyle="1" w:styleId="801">
    <w:name w:val="文档结构图 Char3"/>
    <w:qFormat/>
    <w:uiPriority w:val="99"/>
    <w:rPr>
      <w:rFonts w:ascii="Microsoft YaHei UI" w:hAnsi="Times New Roman" w:eastAsia="Microsoft YaHei UI" w:cs="Times New Roman"/>
      <w:kern w:val="2"/>
      <w:sz w:val="18"/>
      <w:szCs w:val="18"/>
    </w:rPr>
  </w:style>
  <w:style w:type="character" w:customStyle="1" w:styleId="802">
    <w:name w:val="日期 Char3"/>
    <w:qFormat/>
    <w:uiPriority w:val="99"/>
    <w:rPr>
      <w:rFonts w:ascii="Times New Roman" w:hAnsi="Times New Roman" w:eastAsia="宋体" w:cs="Times New Roman"/>
      <w:kern w:val="2"/>
      <w:sz w:val="21"/>
      <w:szCs w:val="24"/>
    </w:rPr>
  </w:style>
  <w:style w:type="character" w:customStyle="1" w:styleId="803">
    <w:name w:val="标题 1 Char1"/>
    <w:qFormat/>
    <w:uiPriority w:val="0"/>
    <w:rPr>
      <w:rFonts w:eastAsia="宋体"/>
      <w:b/>
      <w:bCs/>
      <w:kern w:val="44"/>
      <w:sz w:val="44"/>
      <w:szCs w:val="44"/>
      <w:lang w:val="en-US" w:eastAsia="zh-CN" w:bidi="ar-SA"/>
    </w:rPr>
  </w:style>
  <w:style w:type="character" w:customStyle="1" w:styleId="804">
    <w:name w:val="Char Char19"/>
    <w:qFormat/>
    <w:uiPriority w:val="0"/>
    <w:rPr>
      <w:rFonts w:ascii="Arial" w:hAnsi="Arial" w:eastAsia="黑体"/>
      <w:b/>
      <w:bCs/>
      <w:kern w:val="2"/>
      <w:sz w:val="32"/>
      <w:szCs w:val="32"/>
      <w:lang w:val="en-US" w:eastAsia="zh-CN" w:bidi="ar-SA"/>
    </w:rPr>
  </w:style>
  <w:style w:type="character" w:customStyle="1" w:styleId="805">
    <w:name w:val="正文文本 3 Char2"/>
    <w:qFormat/>
    <w:uiPriority w:val="99"/>
    <w:rPr>
      <w:rFonts w:ascii="Times New Roman" w:hAnsi="Times New Roman" w:eastAsia="宋体" w:cs="Times New Roman"/>
      <w:sz w:val="16"/>
      <w:szCs w:val="16"/>
    </w:rPr>
  </w:style>
  <w:style w:type="character" w:customStyle="1" w:styleId="806">
    <w:name w:val="标题 3 Char1"/>
    <w:qFormat/>
    <w:uiPriority w:val="0"/>
    <w:rPr>
      <w:rFonts w:eastAsia="宋体"/>
      <w:b/>
      <w:bCs/>
      <w:kern w:val="2"/>
      <w:sz w:val="32"/>
      <w:szCs w:val="32"/>
      <w:lang w:val="en-US" w:eastAsia="zh-CN" w:bidi="ar-SA"/>
    </w:rPr>
  </w:style>
  <w:style w:type="character" w:customStyle="1" w:styleId="807">
    <w:name w:val="明显强调4"/>
    <w:qFormat/>
    <w:uiPriority w:val="0"/>
    <w:rPr>
      <w:rFonts w:ascii="Times New Roman" w:hAnsi="Times New Roman" w:eastAsia="宋体" w:cs="Times New Roman"/>
      <w:b/>
      <w:i/>
      <w:color w:val="4F81BD"/>
    </w:rPr>
  </w:style>
  <w:style w:type="character" w:customStyle="1" w:styleId="808">
    <w:name w:val="标题 8 Char1"/>
    <w:qFormat/>
    <w:uiPriority w:val="0"/>
    <w:rPr>
      <w:rFonts w:ascii="Arial" w:hAnsi="Arial" w:eastAsia="黑体"/>
      <w:sz w:val="24"/>
      <w:szCs w:val="24"/>
      <w:lang w:val="en-US" w:eastAsia="zh-CN" w:bidi="ar-SA"/>
    </w:rPr>
  </w:style>
  <w:style w:type="character" w:customStyle="1" w:styleId="809">
    <w:name w:val="明显引用 字符2"/>
    <w:qFormat/>
    <w:uiPriority w:val="0"/>
    <w:rPr>
      <w:rFonts w:ascii="Times New Roman" w:hAnsi="Times New Roman" w:eastAsia="宋体" w:cs="Times New Roman"/>
      <w:b/>
      <w:i/>
      <w:color w:val="4F81BD"/>
      <w:kern w:val="2"/>
      <w:sz w:val="22"/>
      <w:lang w:bidi="ar-SA"/>
    </w:rPr>
  </w:style>
  <w:style w:type="character" w:customStyle="1" w:styleId="810">
    <w:name w:val="明显参考4"/>
    <w:qFormat/>
    <w:uiPriority w:val="0"/>
    <w:rPr>
      <w:rFonts w:ascii="Times New Roman" w:hAnsi="Times New Roman" w:eastAsia="宋体" w:cs="Times New Roman"/>
      <w:b/>
      <w:smallCaps/>
      <w:color w:val="C0504D"/>
      <w:spacing w:val="5"/>
      <w:u w:val="single"/>
    </w:rPr>
  </w:style>
  <w:style w:type="character" w:customStyle="1" w:styleId="811">
    <w:name w:val="引用 字符2"/>
    <w:qFormat/>
    <w:uiPriority w:val="0"/>
    <w:rPr>
      <w:rFonts w:ascii="Times New Roman" w:hAnsi="Times New Roman" w:eastAsia="宋体" w:cs="Times New Roman"/>
      <w:i/>
      <w:color w:val="000000"/>
      <w:kern w:val="2"/>
      <w:sz w:val="22"/>
      <w:lang w:bidi="ar-SA"/>
    </w:rPr>
  </w:style>
  <w:style w:type="character" w:customStyle="1" w:styleId="812">
    <w:name w:val="Char Char1621"/>
    <w:qFormat/>
    <w:uiPriority w:val="0"/>
    <w:rPr>
      <w:rFonts w:ascii="Times New Roman" w:hAnsi="Times New Roman" w:eastAsia="宋体" w:cs="Times New Roman"/>
      <w:b/>
      <w:bCs/>
      <w:kern w:val="44"/>
      <w:sz w:val="44"/>
      <w:szCs w:val="44"/>
      <w:lang w:val="en-US" w:eastAsia="zh-CN" w:bidi="ar-SA"/>
    </w:rPr>
  </w:style>
  <w:style w:type="character" w:customStyle="1" w:styleId="813">
    <w:name w:val="书籍标题4"/>
    <w:qFormat/>
    <w:uiPriority w:val="0"/>
    <w:rPr>
      <w:rFonts w:ascii="Times New Roman" w:hAnsi="Times New Roman" w:eastAsia="宋体" w:cs="Times New Roman"/>
      <w:b/>
      <w:smallCaps/>
      <w:spacing w:val="5"/>
    </w:rPr>
  </w:style>
  <w:style w:type="character" w:customStyle="1" w:styleId="814">
    <w:name w:val="不明显参考4"/>
    <w:qFormat/>
    <w:uiPriority w:val="0"/>
    <w:rPr>
      <w:rFonts w:ascii="Times New Roman" w:hAnsi="Times New Roman" w:eastAsia="宋体" w:cs="Times New Roman"/>
      <w:smallCaps/>
      <w:color w:val="C0504D"/>
      <w:u w:val="single"/>
    </w:rPr>
  </w:style>
  <w:style w:type="character" w:customStyle="1" w:styleId="815">
    <w:name w:val="不明显强调5"/>
    <w:qFormat/>
    <w:uiPriority w:val="0"/>
    <w:rPr>
      <w:rFonts w:ascii="Times New Roman" w:hAnsi="Times New Roman" w:eastAsia="宋体" w:cs="Times New Roman"/>
      <w:i/>
      <w:color w:val="808080"/>
    </w:rPr>
  </w:style>
  <w:style w:type="character" w:customStyle="1" w:styleId="816">
    <w:name w:val="Char Char821"/>
    <w:qFormat/>
    <w:uiPriority w:val="0"/>
    <w:rPr>
      <w:rFonts w:ascii="Arial" w:hAnsi="Arial" w:eastAsia="黑体" w:cs="Times New Roman"/>
      <w:b/>
      <w:bCs/>
      <w:kern w:val="2"/>
      <w:sz w:val="32"/>
      <w:szCs w:val="32"/>
      <w:lang w:val="en-US" w:eastAsia="zh-CN" w:bidi="ar-SA"/>
    </w:rPr>
  </w:style>
  <w:style w:type="character" w:customStyle="1" w:styleId="817">
    <w:name w:val="正文文本缩进 2 Char2"/>
    <w:qFormat/>
    <w:uiPriority w:val="99"/>
    <w:rPr>
      <w:rFonts w:ascii="Times New Roman" w:hAnsi="Times New Roman" w:eastAsia="宋体" w:cs="Times New Roman"/>
      <w:szCs w:val="24"/>
    </w:rPr>
  </w:style>
  <w:style w:type="character" w:customStyle="1" w:styleId="818">
    <w:name w:val="正文文本 2 Char2"/>
    <w:qFormat/>
    <w:uiPriority w:val="99"/>
    <w:rPr>
      <w:rFonts w:ascii="Times New Roman" w:hAnsi="Times New Roman" w:eastAsia="宋体" w:cs="Times New Roman"/>
      <w:szCs w:val="24"/>
    </w:rPr>
  </w:style>
  <w:style w:type="character" w:customStyle="1" w:styleId="819">
    <w:name w:val="Char Char1521"/>
    <w:qFormat/>
    <w:uiPriority w:val="0"/>
    <w:rPr>
      <w:rFonts w:ascii="Arial" w:hAnsi="Arial" w:eastAsia="黑体" w:cs="Times New Roman"/>
      <w:b/>
      <w:bCs/>
      <w:kern w:val="2"/>
      <w:sz w:val="32"/>
      <w:szCs w:val="32"/>
      <w:lang w:val="en-US" w:eastAsia="zh-CN" w:bidi="ar-SA"/>
    </w:rPr>
  </w:style>
  <w:style w:type="character" w:customStyle="1" w:styleId="820">
    <w:name w:val="Char Char421"/>
    <w:qFormat/>
    <w:uiPriority w:val="0"/>
    <w:rPr>
      <w:rFonts w:ascii="Times New Roman" w:hAnsi="Times New Roman" w:eastAsia="宋体" w:cs="Times New Roman"/>
      <w:b/>
      <w:bCs/>
      <w:kern w:val="44"/>
      <w:sz w:val="44"/>
      <w:szCs w:val="44"/>
      <w:lang w:val="en-US" w:eastAsia="zh-CN" w:bidi="ar-SA"/>
    </w:rPr>
  </w:style>
  <w:style w:type="character" w:customStyle="1" w:styleId="821">
    <w:name w:val="Char Char731"/>
    <w:qFormat/>
    <w:uiPriority w:val="0"/>
    <w:rPr>
      <w:rFonts w:ascii="Arial" w:hAnsi="Arial" w:eastAsia="黑体" w:cs="Times New Roman"/>
      <w:b/>
      <w:bCs/>
      <w:kern w:val="2"/>
      <w:sz w:val="32"/>
      <w:szCs w:val="32"/>
      <w:lang w:val="en-US" w:eastAsia="zh-CN" w:bidi="ar-SA"/>
    </w:rPr>
  </w:style>
  <w:style w:type="character" w:customStyle="1" w:styleId="822">
    <w:name w:val="正文文本缩进 Char2"/>
    <w:semiHidden/>
    <w:qFormat/>
    <w:uiPriority w:val="99"/>
    <w:rPr>
      <w:rFonts w:ascii="Times New Roman" w:hAnsi="Times New Roman" w:eastAsia="宋体" w:cs="Times New Roman"/>
      <w:szCs w:val="24"/>
    </w:rPr>
  </w:style>
  <w:style w:type="character" w:customStyle="1" w:styleId="823">
    <w:name w:val="标题 5 Char1"/>
    <w:qFormat/>
    <w:uiPriority w:val="0"/>
    <w:rPr>
      <w:rFonts w:eastAsia="宋体"/>
      <w:b/>
      <w:kern w:val="2"/>
      <w:sz w:val="28"/>
      <w:lang w:val="en-US" w:eastAsia="zh-CN" w:bidi="ar-SA"/>
    </w:rPr>
  </w:style>
  <w:style w:type="character" w:customStyle="1" w:styleId="824">
    <w:name w:val="正文文本缩进 3 Char2"/>
    <w:qFormat/>
    <w:uiPriority w:val="99"/>
    <w:rPr>
      <w:rFonts w:ascii="Times New Roman" w:hAnsi="Times New Roman" w:eastAsia="宋体" w:cs="Times New Roman"/>
      <w:sz w:val="16"/>
      <w:szCs w:val="16"/>
    </w:rPr>
  </w:style>
  <w:style w:type="character" w:customStyle="1" w:styleId="825">
    <w:name w:val="Char Char2101"/>
    <w:qFormat/>
    <w:uiPriority w:val="0"/>
    <w:rPr>
      <w:rFonts w:ascii="Times New Roman" w:hAnsi="Times New Roman" w:eastAsia="宋体" w:cs="Times New Roman"/>
      <w:kern w:val="2"/>
      <w:sz w:val="21"/>
      <w:szCs w:val="24"/>
      <w:lang w:val="en-US" w:eastAsia="zh-CN" w:bidi="ar-SA"/>
    </w:rPr>
  </w:style>
  <w:style w:type="character" w:customStyle="1" w:styleId="826">
    <w:name w:val="无间隔 字符2"/>
    <w:qFormat/>
    <w:uiPriority w:val="0"/>
    <w:rPr>
      <w:rFonts w:ascii="Calibri" w:hAnsi="Calibri"/>
      <w:sz w:val="22"/>
      <w:szCs w:val="22"/>
      <w:lang w:val="en-US" w:eastAsia="zh-CN" w:bidi="ar-SA"/>
    </w:rPr>
  </w:style>
  <w:style w:type="character" w:customStyle="1" w:styleId="827">
    <w:name w:val="样式2 Char"/>
    <w:qFormat/>
    <w:uiPriority w:val="0"/>
    <w:rPr>
      <w:b/>
      <w:bCs/>
      <w:kern w:val="2"/>
      <w:sz w:val="32"/>
      <w:szCs w:val="32"/>
    </w:rPr>
  </w:style>
  <w:style w:type="character" w:customStyle="1" w:styleId="828">
    <w:name w:val="标题 1.1 Char"/>
    <w:qFormat/>
    <w:uiPriority w:val="0"/>
    <w:rPr>
      <w:rFonts w:ascii="Arial" w:hAnsi="Arial" w:eastAsia="黑体"/>
      <w:b/>
      <w:bCs/>
      <w:kern w:val="2"/>
      <w:sz w:val="32"/>
      <w:szCs w:val="32"/>
      <w:lang w:val="en-US" w:eastAsia="zh-CN" w:bidi="ar-SA"/>
    </w:rPr>
  </w:style>
  <w:style w:type="character" w:customStyle="1" w:styleId="829">
    <w:name w:val="Body Text 2 Char1"/>
    <w:semiHidden/>
    <w:qFormat/>
    <w:uiPriority w:val="99"/>
  </w:style>
  <w:style w:type="character" w:customStyle="1" w:styleId="830">
    <w:name w:val="批注文字 Char3"/>
    <w:qFormat/>
    <w:uiPriority w:val="99"/>
    <w:rPr>
      <w:kern w:val="2"/>
      <w:sz w:val="21"/>
      <w:szCs w:val="24"/>
    </w:rPr>
  </w:style>
  <w:style w:type="character" w:customStyle="1" w:styleId="831">
    <w:name w:val="Body Text Indent 3 Char1"/>
    <w:semiHidden/>
    <w:qFormat/>
    <w:uiPriority w:val="99"/>
    <w:rPr>
      <w:sz w:val="16"/>
      <w:szCs w:val="16"/>
    </w:rPr>
  </w:style>
  <w:style w:type="character" w:customStyle="1" w:styleId="832">
    <w:name w:val="Document Map Char1"/>
    <w:semiHidden/>
    <w:qFormat/>
    <w:uiPriority w:val="99"/>
    <w:rPr>
      <w:rFonts w:ascii="Times New Roman" w:hAnsi="Times New Roman"/>
      <w:sz w:val="16"/>
      <w:szCs w:val="0"/>
    </w:rPr>
  </w:style>
  <w:style w:type="character" w:customStyle="1" w:styleId="833">
    <w:name w:val="引用 Char4"/>
    <w:qFormat/>
    <w:uiPriority w:val="29"/>
    <w:rPr>
      <w:i/>
      <w:iCs/>
      <w:color w:val="000000"/>
      <w:kern w:val="2"/>
      <w:sz w:val="21"/>
      <w:szCs w:val="24"/>
    </w:rPr>
  </w:style>
  <w:style w:type="character" w:customStyle="1" w:styleId="834">
    <w:name w:val="Plain Text Char1"/>
    <w:semiHidden/>
    <w:qFormat/>
    <w:uiPriority w:val="99"/>
    <w:rPr>
      <w:rFonts w:ascii="宋体" w:hAnsi="Courier New" w:cs="Courier New"/>
      <w:szCs w:val="21"/>
    </w:rPr>
  </w:style>
  <w:style w:type="character" w:customStyle="1" w:styleId="835">
    <w:name w:val="Body Text Char1"/>
    <w:semiHidden/>
    <w:qFormat/>
    <w:uiPriority w:val="99"/>
  </w:style>
  <w:style w:type="character" w:customStyle="1" w:styleId="836">
    <w:name w:val="日期 Char4"/>
    <w:semiHidden/>
    <w:qFormat/>
    <w:uiPriority w:val="99"/>
    <w:rPr>
      <w:kern w:val="2"/>
      <w:sz w:val="21"/>
      <w:szCs w:val="24"/>
    </w:rPr>
  </w:style>
  <w:style w:type="character" w:customStyle="1" w:styleId="837">
    <w:name w:val="正文文本 2 Char3"/>
    <w:semiHidden/>
    <w:qFormat/>
    <w:uiPriority w:val="99"/>
    <w:rPr>
      <w:kern w:val="2"/>
      <w:sz w:val="21"/>
      <w:szCs w:val="24"/>
    </w:rPr>
  </w:style>
  <w:style w:type="character" w:customStyle="1" w:styleId="838">
    <w:name w:val="Title Char1"/>
    <w:qFormat/>
    <w:uiPriority w:val="10"/>
    <w:rPr>
      <w:rFonts w:ascii="Cambria" w:hAnsi="Cambria" w:cs="Times New Roman"/>
      <w:b/>
      <w:bCs/>
      <w:sz w:val="32"/>
      <w:szCs w:val="32"/>
    </w:rPr>
  </w:style>
  <w:style w:type="character" w:customStyle="1" w:styleId="839">
    <w:name w:val="Body Text Indent Char1"/>
    <w:semiHidden/>
    <w:qFormat/>
    <w:uiPriority w:val="99"/>
  </w:style>
  <w:style w:type="character" w:customStyle="1" w:styleId="840">
    <w:name w:val="批注主题 Char4"/>
    <w:semiHidden/>
    <w:qFormat/>
    <w:uiPriority w:val="99"/>
    <w:rPr>
      <w:b/>
      <w:bCs/>
      <w:kern w:val="2"/>
      <w:sz w:val="21"/>
      <w:szCs w:val="24"/>
    </w:rPr>
  </w:style>
  <w:style w:type="character" w:customStyle="1" w:styleId="841">
    <w:name w:val="Comment Text Char2"/>
    <w:semiHidden/>
    <w:qFormat/>
    <w:uiPriority w:val="99"/>
  </w:style>
  <w:style w:type="character" w:customStyle="1" w:styleId="842">
    <w:name w:val="正文文本缩进 2 Char3"/>
    <w:semiHidden/>
    <w:qFormat/>
    <w:uiPriority w:val="99"/>
    <w:rPr>
      <w:kern w:val="2"/>
      <w:sz w:val="21"/>
      <w:szCs w:val="24"/>
    </w:rPr>
  </w:style>
  <w:style w:type="character" w:customStyle="1" w:styleId="843">
    <w:name w:val="Body Text Indent 2 Char1"/>
    <w:semiHidden/>
    <w:qFormat/>
    <w:uiPriority w:val="99"/>
  </w:style>
  <w:style w:type="character" w:customStyle="1" w:styleId="844">
    <w:name w:val="批注框文本 Char4"/>
    <w:qFormat/>
    <w:uiPriority w:val="99"/>
    <w:rPr>
      <w:rFonts w:ascii="Times New Roman" w:hAnsi="Times New Roman" w:eastAsia="宋体" w:cs="Times New Roman"/>
      <w:sz w:val="18"/>
      <w:szCs w:val="18"/>
    </w:rPr>
  </w:style>
  <w:style w:type="character" w:customStyle="1" w:styleId="845">
    <w:name w:val="正文首行缩进 2 Char1"/>
    <w:qFormat/>
    <w:uiPriority w:val="99"/>
  </w:style>
  <w:style w:type="character" w:customStyle="1" w:styleId="846">
    <w:name w:val="_Style 53"/>
    <w:qFormat/>
    <w:uiPriority w:val="0"/>
    <w:rPr>
      <w:b/>
      <w:bCs/>
      <w:smallCaps/>
      <w:color w:val="C0504D"/>
      <w:spacing w:val="5"/>
      <w:u w:val="single"/>
    </w:rPr>
  </w:style>
  <w:style w:type="character" w:customStyle="1" w:styleId="847">
    <w:name w:val="_Style 84"/>
    <w:qFormat/>
    <w:uiPriority w:val="0"/>
    <w:rPr>
      <w:smallCaps/>
      <w:color w:val="C0504D"/>
      <w:u w:val="single"/>
    </w:rPr>
  </w:style>
  <w:style w:type="character" w:customStyle="1" w:styleId="848">
    <w:name w:val="Char Char3021"/>
    <w:qFormat/>
    <w:uiPriority w:val="0"/>
    <w:rPr>
      <w:rFonts w:ascii="Arial" w:hAnsi="Arial" w:eastAsia="黑体"/>
      <w:b/>
      <w:bCs/>
      <w:kern w:val="2"/>
      <w:sz w:val="32"/>
      <w:szCs w:val="32"/>
      <w:lang w:val="en-US" w:eastAsia="zh-CN" w:bidi="ar-SA"/>
    </w:rPr>
  </w:style>
  <w:style w:type="character" w:customStyle="1" w:styleId="849">
    <w:name w:val="layui-this"/>
    <w:qFormat/>
    <w:uiPriority w:val="0"/>
    <w:rPr>
      <w:bdr w:val="single" w:color="EEEEEE" w:sz="6" w:space="0"/>
      <w:shd w:val="clear" w:color="auto" w:fill="FFFFFF"/>
    </w:rPr>
  </w:style>
  <w:style w:type="character" w:customStyle="1" w:styleId="850">
    <w:name w:val="z-窗体底端 Char"/>
    <w:link w:val="851"/>
    <w:qFormat/>
    <w:uiPriority w:val="0"/>
    <w:rPr>
      <w:rFonts w:ascii="Calibri" w:hAnsi="Calibri"/>
    </w:rPr>
  </w:style>
  <w:style w:type="paragraph" w:customStyle="1" w:styleId="851">
    <w:name w:val="z-窗体底端1"/>
    <w:basedOn w:val="1"/>
    <w:next w:val="1"/>
    <w:link w:val="850"/>
    <w:unhideWhenUsed/>
    <w:qFormat/>
    <w:uiPriority w:val="0"/>
    <w:pPr>
      <w:widowControl/>
      <w:pBdr>
        <w:top w:val="single" w:color="auto" w:sz="6" w:space="1"/>
      </w:pBdr>
      <w:jc w:val="center"/>
    </w:pPr>
    <w:rPr>
      <w:rFonts w:ascii="Calibri" w:hAnsi="Calibri"/>
    </w:rPr>
  </w:style>
  <w:style w:type="character" w:customStyle="1" w:styleId="852">
    <w:name w:val="H3 Char"/>
    <w:qFormat/>
    <w:uiPriority w:val="0"/>
    <w:rPr>
      <w:rFonts w:ascii="Times New Roman" w:hAnsi="Times New Roman"/>
      <w:b/>
      <w:bCs/>
      <w:kern w:val="2"/>
      <w:sz w:val="32"/>
      <w:szCs w:val="32"/>
    </w:rPr>
  </w:style>
  <w:style w:type="character" w:customStyle="1" w:styleId="853">
    <w:name w:val="口 Char"/>
    <w:qFormat/>
    <w:uiPriority w:val="0"/>
    <w:rPr>
      <w:rFonts w:ascii="Times New Roman" w:hAnsi="Times New Roman"/>
      <w:b/>
      <w:bCs/>
      <w:kern w:val="2"/>
      <w:sz w:val="28"/>
      <w:szCs w:val="28"/>
    </w:rPr>
  </w:style>
  <w:style w:type="character" w:customStyle="1" w:styleId="854">
    <w:name w:val="标书正文 Char"/>
    <w:link w:val="855"/>
    <w:semiHidden/>
    <w:qFormat/>
    <w:uiPriority w:val="0"/>
    <w:rPr>
      <w:spacing w:val="1"/>
      <w:sz w:val="24"/>
    </w:rPr>
  </w:style>
  <w:style w:type="paragraph" w:customStyle="1" w:styleId="855">
    <w:name w:val="标书正文"/>
    <w:basedOn w:val="1"/>
    <w:link w:val="854"/>
    <w:semiHidden/>
    <w:qFormat/>
    <w:uiPriority w:val="0"/>
    <w:pPr>
      <w:spacing w:line="360" w:lineRule="auto"/>
      <w:ind w:firstLine="200" w:firstLineChars="200"/>
    </w:pPr>
    <w:rPr>
      <w:spacing w:val="1"/>
      <w:sz w:val="24"/>
    </w:rPr>
  </w:style>
  <w:style w:type="character" w:customStyle="1" w:styleId="856">
    <w:name w:val="sfont"/>
    <w:qFormat/>
    <w:uiPriority w:val="0"/>
  </w:style>
  <w:style w:type="character" w:customStyle="1" w:styleId="857">
    <w:name w:val="style1061"/>
    <w:qFormat/>
    <w:uiPriority w:val="0"/>
    <w:rPr>
      <w:color w:val="000000"/>
    </w:rPr>
  </w:style>
  <w:style w:type="character" w:customStyle="1" w:styleId="858">
    <w:name w:val="h Char"/>
    <w:qFormat/>
    <w:uiPriority w:val="0"/>
    <w:rPr>
      <w:rFonts w:eastAsia="宋体"/>
      <w:kern w:val="2"/>
      <w:sz w:val="18"/>
      <w:szCs w:val="18"/>
      <w:lang w:val="en-US" w:eastAsia="zh-CN" w:bidi="ar-SA"/>
    </w:rPr>
  </w:style>
  <w:style w:type="character" w:customStyle="1" w:styleId="859">
    <w:name w:val="标签 Char"/>
    <w:link w:val="860"/>
    <w:qFormat/>
    <w:uiPriority w:val="0"/>
    <w:rPr>
      <w:rFonts w:ascii="宋体"/>
    </w:rPr>
  </w:style>
  <w:style w:type="paragraph" w:customStyle="1" w:styleId="860">
    <w:name w:val="标签"/>
    <w:basedOn w:val="1"/>
    <w:link w:val="859"/>
    <w:qFormat/>
    <w:uiPriority w:val="0"/>
    <w:pPr>
      <w:keepNext/>
      <w:adjustRightInd w:val="0"/>
      <w:snapToGrid w:val="0"/>
      <w:spacing w:line="200" w:lineRule="atLeast"/>
      <w:jc w:val="left"/>
    </w:pPr>
    <w:rPr>
      <w:rFonts w:ascii="宋体"/>
    </w:rPr>
  </w:style>
  <w:style w:type="character" w:customStyle="1" w:styleId="861">
    <w:name w:val="t_tag"/>
    <w:qFormat/>
    <w:uiPriority w:val="0"/>
  </w:style>
  <w:style w:type="character" w:customStyle="1" w:styleId="862">
    <w:name w:val="style31"/>
    <w:qFormat/>
    <w:uiPriority w:val="0"/>
    <w:rPr>
      <w:sz w:val="20"/>
      <w:szCs w:val="20"/>
    </w:rPr>
  </w:style>
  <w:style w:type="character" w:customStyle="1" w:styleId="863">
    <w:name w:val="s91"/>
    <w:qFormat/>
    <w:uiPriority w:val="0"/>
    <w:rPr>
      <w:rFonts w:hint="eastAsia" w:ascii="宋体" w:hAnsi="宋体" w:eastAsia="宋体"/>
      <w:color w:val="000000"/>
      <w:sz w:val="18"/>
      <w:szCs w:val="18"/>
    </w:rPr>
  </w:style>
  <w:style w:type="character" w:customStyle="1" w:styleId="864">
    <w:name w:val="subcateg_text1"/>
    <w:qFormat/>
    <w:uiPriority w:val="0"/>
    <w:rPr>
      <w:b/>
      <w:bCs/>
      <w:color w:val="FF9900"/>
    </w:rPr>
  </w:style>
  <w:style w:type="character" w:customStyle="1" w:styleId="865">
    <w:name w:val="headline-content2"/>
    <w:qFormat/>
    <w:uiPriority w:val="0"/>
  </w:style>
  <w:style w:type="character" w:customStyle="1" w:styleId="866">
    <w:name w:val="unnamed11"/>
    <w:qFormat/>
    <w:uiPriority w:val="0"/>
    <w:rPr>
      <w:sz w:val="18"/>
      <w:szCs w:val="18"/>
    </w:rPr>
  </w:style>
  <w:style w:type="character" w:customStyle="1" w:styleId="867">
    <w:name w:val="gray_91"/>
    <w:qFormat/>
    <w:uiPriority w:val="0"/>
    <w:rPr>
      <w:rFonts w:hint="default" w:ascii="ˎ̥" w:hAnsi="ˎ̥"/>
      <w:color w:val="666666"/>
      <w:sz w:val="18"/>
      <w:szCs w:val="18"/>
    </w:rPr>
  </w:style>
  <w:style w:type="character" w:customStyle="1" w:styleId="868">
    <w:name w:val="fontstyle21"/>
    <w:qFormat/>
    <w:uiPriority w:val="0"/>
    <w:rPr>
      <w:rFonts w:hint="default" w:ascii="TimesNewRomanPSMT" w:hAnsi="TimesNewRomanPSMT"/>
      <w:color w:val="000000"/>
      <w:sz w:val="22"/>
      <w:szCs w:val="22"/>
    </w:rPr>
  </w:style>
  <w:style w:type="character" w:customStyle="1" w:styleId="869">
    <w:name w:val="style201"/>
    <w:qFormat/>
    <w:uiPriority w:val="0"/>
    <w:rPr>
      <w:sz w:val="27"/>
      <w:szCs w:val="27"/>
    </w:rPr>
  </w:style>
  <w:style w:type="character" w:customStyle="1" w:styleId="870">
    <w:name w:val="条款样式 Char"/>
    <w:link w:val="871"/>
    <w:qFormat/>
    <w:locked/>
    <w:uiPriority w:val="0"/>
    <w:rPr>
      <w:rFonts w:ascii="Calibri" w:hAnsi="Calibri"/>
    </w:rPr>
  </w:style>
  <w:style w:type="paragraph" w:customStyle="1" w:styleId="871">
    <w:name w:val="条款样式"/>
    <w:basedOn w:val="1"/>
    <w:link w:val="870"/>
    <w:qFormat/>
    <w:uiPriority w:val="0"/>
    <w:pPr>
      <w:tabs>
        <w:tab w:val="left" w:pos="770"/>
      </w:tabs>
      <w:spacing w:line="440" w:lineRule="exact"/>
      <w:ind w:left="770" w:hanging="770"/>
      <w:jc w:val="left"/>
    </w:pPr>
    <w:rPr>
      <w:rFonts w:ascii="Calibri" w:hAnsi="Calibri"/>
    </w:rPr>
  </w:style>
  <w:style w:type="character" w:customStyle="1" w:styleId="872">
    <w:name w:val="t-link37"/>
    <w:qFormat/>
    <w:uiPriority w:val="0"/>
  </w:style>
  <w:style w:type="character" w:customStyle="1" w:styleId="873">
    <w:name w:val="引用 Char Char"/>
    <w:qFormat/>
    <w:uiPriority w:val="0"/>
    <w:rPr>
      <w:i/>
      <w:iCs/>
      <w:color w:val="000000"/>
      <w:kern w:val="2"/>
      <w:sz w:val="21"/>
      <w:szCs w:val="22"/>
      <w:lang w:bidi="ar-SA"/>
    </w:rPr>
  </w:style>
  <w:style w:type="character" w:customStyle="1" w:styleId="874">
    <w:name w:val="Char Char211"/>
    <w:qFormat/>
    <w:uiPriority w:val="0"/>
    <w:rPr>
      <w:rFonts w:ascii="Arial" w:hAnsi="Arial" w:eastAsia="黑体"/>
      <w:b/>
      <w:bCs/>
      <w:kern w:val="2"/>
      <w:sz w:val="32"/>
      <w:szCs w:val="32"/>
      <w:lang w:val="en-US" w:eastAsia="zh-CN" w:bidi="ar-SA"/>
    </w:rPr>
  </w:style>
  <w:style w:type="character" w:customStyle="1" w:styleId="875">
    <w:name w:val="不明显参考41"/>
    <w:qFormat/>
    <w:uiPriority w:val="0"/>
    <w:rPr>
      <w:smallCaps/>
      <w:color w:val="C0504D"/>
      <w:u w:val="single"/>
    </w:rPr>
  </w:style>
  <w:style w:type="character" w:customStyle="1" w:styleId="876">
    <w:name w:val="明显强调41"/>
    <w:qFormat/>
    <w:uiPriority w:val="0"/>
    <w:rPr>
      <w:b/>
      <w:i/>
      <w:color w:val="4F81BD"/>
    </w:rPr>
  </w:style>
  <w:style w:type="character" w:customStyle="1" w:styleId="877">
    <w:name w:val="明显参考41"/>
    <w:qFormat/>
    <w:uiPriority w:val="0"/>
    <w:rPr>
      <w:rFonts w:ascii="Times New Roman" w:hAnsi="Times New Roman" w:eastAsia="宋体" w:cs="Times New Roman"/>
      <w:b/>
      <w:smallCaps/>
      <w:color w:val="C0504D"/>
      <w:spacing w:val="5"/>
      <w:u w:val="single"/>
    </w:rPr>
  </w:style>
  <w:style w:type="character" w:customStyle="1" w:styleId="878">
    <w:name w:val="UserStyle_60"/>
    <w:link w:val="879"/>
    <w:qFormat/>
    <w:uiPriority w:val="0"/>
    <w:rPr>
      <w:rFonts w:ascii="Arial" w:hAnsi="Arial" w:eastAsia="黑体"/>
      <w:b/>
      <w:bCs/>
      <w:sz w:val="32"/>
      <w:szCs w:val="32"/>
    </w:rPr>
  </w:style>
  <w:style w:type="paragraph" w:customStyle="1" w:styleId="879">
    <w:name w:val="Heading2"/>
    <w:basedOn w:val="1"/>
    <w:next w:val="1"/>
    <w:link w:val="878"/>
    <w:qFormat/>
    <w:uiPriority w:val="0"/>
    <w:pPr>
      <w:keepNext/>
      <w:keepLines/>
      <w:spacing w:before="260" w:after="260" w:line="415" w:lineRule="auto"/>
    </w:pPr>
    <w:rPr>
      <w:rFonts w:ascii="Arial" w:hAnsi="Arial" w:eastAsia="黑体"/>
      <w:b/>
      <w:bCs/>
      <w:sz w:val="32"/>
      <w:szCs w:val="32"/>
    </w:rPr>
  </w:style>
  <w:style w:type="character" w:customStyle="1" w:styleId="880">
    <w:name w:val="中等深浅列表 1 - 强调文字颜色 61"/>
    <w:qFormat/>
    <w:uiPriority w:val="0"/>
    <w:rPr>
      <w:i/>
      <w:iCs/>
      <w:color w:val="808080"/>
    </w:rPr>
  </w:style>
  <w:style w:type="character" w:customStyle="1" w:styleId="881">
    <w:name w:val="浅色底纹 - 强调文字颜色 1字符"/>
    <w:link w:val="882"/>
    <w:qFormat/>
    <w:uiPriority w:val="0"/>
    <w:rPr>
      <w:b/>
      <w:bCs/>
      <w:i/>
      <w:iCs/>
      <w:color w:val="4F81BD"/>
      <w:szCs w:val="22"/>
    </w:rPr>
  </w:style>
  <w:style w:type="paragraph" w:customStyle="1" w:styleId="882">
    <w:name w:val="浅色底纹 - 强调文字颜色 11"/>
    <w:basedOn w:val="1"/>
    <w:next w:val="1"/>
    <w:link w:val="881"/>
    <w:qFormat/>
    <w:uiPriority w:val="0"/>
    <w:pPr>
      <w:pBdr>
        <w:bottom w:val="single" w:color="4F81BD" w:sz="4" w:space="4"/>
      </w:pBdr>
      <w:spacing w:before="200" w:after="280"/>
      <w:ind w:left="936" w:right="936"/>
    </w:pPr>
    <w:rPr>
      <w:b/>
      <w:bCs/>
      <w:i/>
      <w:iCs/>
      <w:color w:val="4F81BD"/>
      <w:szCs w:val="22"/>
    </w:rPr>
  </w:style>
  <w:style w:type="character" w:customStyle="1" w:styleId="883">
    <w:name w:val="中等深浅网格 2 - 强调文字颜色 61"/>
    <w:qFormat/>
    <w:uiPriority w:val="0"/>
    <w:rPr>
      <w:b/>
      <w:bCs/>
      <w:smallCaps/>
      <w:color w:val="C0504D"/>
      <w:spacing w:val="5"/>
      <w:u w:val="single"/>
    </w:rPr>
  </w:style>
  <w:style w:type="character" w:customStyle="1" w:styleId="884">
    <w:name w:val="HTML 预设格式 字符1"/>
    <w:qFormat/>
    <w:uiPriority w:val="0"/>
    <w:rPr>
      <w:rFonts w:ascii="宋体" w:hAnsi="宋体"/>
      <w:sz w:val="24"/>
      <w:szCs w:val="24"/>
    </w:rPr>
  </w:style>
  <w:style w:type="character" w:customStyle="1" w:styleId="885">
    <w:name w:val="注释标题 Char"/>
    <w:qFormat/>
    <w:uiPriority w:val="0"/>
    <w:rPr>
      <w:rFonts w:ascii="宋体" w:hAnsi="宋体" w:eastAsia="宋体" w:cs="Times New Roman"/>
      <w:b/>
      <w:bCs/>
      <w:sz w:val="24"/>
      <w:szCs w:val="24"/>
    </w:rPr>
  </w:style>
  <w:style w:type="character" w:customStyle="1" w:styleId="886">
    <w:name w:val="Char Char711"/>
    <w:qFormat/>
    <w:uiPriority w:val="99"/>
    <w:rPr>
      <w:rFonts w:ascii="Arial" w:hAnsi="Arial" w:eastAsia="黑体" w:cs="Times New Roman"/>
      <w:b/>
      <w:bCs/>
      <w:kern w:val="2"/>
      <w:sz w:val="32"/>
      <w:szCs w:val="32"/>
      <w:lang w:val="en-US" w:eastAsia="zh-CN" w:bidi="ar-SA"/>
    </w:rPr>
  </w:style>
  <w:style w:type="character" w:customStyle="1" w:styleId="887">
    <w:name w:val="书籍标题21"/>
    <w:qFormat/>
    <w:uiPriority w:val="0"/>
    <w:rPr>
      <w:b/>
      <w:smallCaps/>
      <w:spacing w:val="5"/>
    </w:rPr>
  </w:style>
  <w:style w:type="character" w:customStyle="1" w:styleId="888">
    <w:name w:val="明显参考31"/>
    <w:qFormat/>
    <w:uiPriority w:val="0"/>
    <w:rPr>
      <w:b/>
      <w:smallCaps/>
      <w:color w:val="C0504D"/>
      <w:spacing w:val="5"/>
      <w:u w:val="single"/>
    </w:rPr>
  </w:style>
  <w:style w:type="character" w:customStyle="1" w:styleId="889">
    <w:name w:val="标题 4 字符1"/>
    <w:qFormat/>
    <w:uiPriority w:val="0"/>
    <w:rPr>
      <w:rFonts w:ascii="Arial" w:hAnsi="Arial" w:eastAsia="黑体" w:cs="Times New Roman"/>
      <w:b/>
      <w:bCs/>
      <w:kern w:val="2"/>
      <w:sz w:val="28"/>
      <w:szCs w:val="28"/>
      <w:lang w:val="en-US" w:eastAsia="zh-CN" w:bidi="ar-SA"/>
    </w:rPr>
  </w:style>
  <w:style w:type="character" w:customStyle="1" w:styleId="890">
    <w:name w:val="标题 8 字符1"/>
    <w:qFormat/>
    <w:uiPriority w:val="0"/>
    <w:rPr>
      <w:rFonts w:ascii="Arial" w:hAnsi="Arial" w:eastAsia="黑体" w:cs="Times New Roman"/>
      <w:sz w:val="24"/>
      <w:szCs w:val="24"/>
      <w:lang w:val="en-US" w:eastAsia="zh-CN" w:bidi="ar-SA"/>
    </w:rPr>
  </w:style>
  <w:style w:type="character" w:customStyle="1" w:styleId="891">
    <w:name w:val="标题 9 字符1"/>
    <w:qFormat/>
    <w:uiPriority w:val="0"/>
    <w:rPr>
      <w:rFonts w:ascii="Arial" w:hAnsi="Arial" w:eastAsia="黑体" w:cs="Times New Roman"/>
      <w:sz w:val="21"/>
      <w:szCs w:val="21"/>
      <w:lang w:val="en-US" w:eastAsia="zh-CN" w:bidi="ar-SA"/>
    </w:rPr>
  </w:style>
  <w:style w:type="character" w:customStyle="1" w:styleId="892">
    <w:name w:val="正文文本 3 字符1"/>
    <w:qFormat/>
    <w:uiPriority w:val="0"/>
    <w:rPr>
      <w:rFonts w:ascii="宋体" w:hAnsi="Times New Roman" w:eastAsia="宋体" w:cs="Times New Roman"/>
      <w:kern w:val="2"/>
      <w:sz w:val="24"/>
      <w:lang w:val="en-US" w:eastAsia="zh-CN" w:bidi="ar-SA"/>
    </w:rPr>
  </w:style>
  <w:style w:type="character" w:customStyle="1" w:styleId="893">
    <w:name w:val="文本块 字符1"/>
    <w:qFormat/>
    <w:uiPriority w:val="0"/>
    <w:rPr>
      <w:rFonts w:ascii="宋体" w:hAnsi="Times New Roman" w:eastAsia="宋体" w:cs="Times New Roman"/>
      <w:kern w:val="2"/>
      <w:sz w:val="28"/>
    </w:rPr>
  </w:style>
  <w:style w:type="character" w:customStyle="1" w:styleId="894">
    <w:name w:val="页眉 字符1"/>
    <w:qFormat/>
    <w:uiPriority w:val="0"/>
    <w:rPr>
      <w:rFonts w:ascii="Times New Roman" w:hAnsi="Times New Roman" w:eastAsia="宋体" w:cs="Times New Roman"/>
      <w:kern w:val="2"/>
      <w:sz w:val="18"/>
      <w:lang w:val="en-US" w:eastAsia="zh-CN" w:bidi="ar-SA"/>
    </w:rPr>
  </w:style>
  <w:style w:type="character" w:customStyle="1" w:styleId="895">
    <w:name w:val="标题 字符1"/>
    <w:qFormat/>
    <w:uiPriority w:val="0"/>
    <w:rPr>
      <w:rFonts w:ascii="Arial" w:hAnsi="Arial" w:eastAsia="宋体" w:cs="Times New Roman"/>
      <w:b/>
      <w:sz w:val="32"/>
      <w:lang w:val="en-US" w:eastAsia="zh-CN" w:bidi="ar-SA"/>
    </w:rPr>
  </w:style>
  <w:style w:type="character" w:customStyle="1" w:styleId="896">
    <w:name w:val="批注主题 字符1"/>
    <w:qFormat/>
    <w:uiPriority w:val="0"/>
    <w:rPr>
      <w:rFonts w:ascii="Times New Roman" w:hAnsi="Times New Roman" w:eastAsia="宋体" w:cs="Times New Roman"/>
      <w:b/>
      <w:bCs/>
      <w:kern w:val="2"/>
      <w:sz w:val="24"/>
      <w:szCs w:val="24"/>
      <w:lang w:val="en-US" w:eastAsia="zh-CN" w:bidi="ar-SA"/>
    </w:rPr>
  </w:style>
  <w:style w:type="character" w:customStyle="1" w:styleId="897">
    <w:name w:val="引用 字符1"/>
    <w:qFormat/>
    <w:uiPriority w:val="0"/>
    <w:rPr>
      <w:rFonts w:ascii="Times New Roman" w:hAnsi="Times New Roman" w:eastAsia="宋体" w:cs="Times New Roman"/>
      <w:i/>
      <w:color w:val="000000"/>
      <w:kern w:val="2"/>
      <w:sz w:val="22"/>
      <w:lang w:bidi="ar-SA"/>
    </w:rPr>
  </w:style>
  <w:style w:type="paragraph" w:customStyle="1" w:styleId="898">
    <w:name w:val="Char8211"/>
    <w:basedOn w:val="23"/>
    <w:qFormat/>
    <w:uiPriority w:val="0"/>
    <w:rPr>
      <w:rFonts w:ascii="Times New Roman" w:hAnsi="Times New Roman" w:eastAsia="宋体" w:cs="Times New Roman"/>
    </w:rPr>
  </w:style>
  <w:style w:type="paragraph" w:customStyle="1" w:styleId="899">
    <w:name w:val="文本块2"/>
    <w:basedOn w:val="1"/>
    <w:next w:val="1"/>
    <w:qFormat/>
    <w:uiPriority w:val="0"/>
    <w:rPr>
      <w:rFonts w:ascii="Times New Roman" w:hAnsi="Times New Roman" w:eastAsia="宋体" w:cs="Times New Roman"/>
      <w:i/>
      <w:iCs/>
      <w:color w:val="000000"/>
      <w:szCs w:val="22"/>
    </w:rPr>
  </w:style>
  <w:style w:type="paragraph" w:customStyle="1" w:styleId="900">
    <w:name w:val="reader-word-layer reader-word-s2-22"/>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01">
    <w:name w:val="批注主题3"/>
    <w:basedOn w:val="25"/>
    <w:next w:val="25"/>
    <w:qFormat/>
    <w:uiPriority w:val="0"/>
    <w:rPr>
      <w:rFonts w:ascii="宋体" w:hAnsi="Times New Roman" w:eastAsia="宋体" w:cs="Times New Roman"/>
      <w:b/>
      <w:bCs/>
      <w:kern w:val="0"/>
      <w:sz w:val="28"/>
      <w:szCs w:val="20"/>
    </w:rPr>
  </w:style>
  <w:style w:type="paragraph" w:customStyle="1" w:styleId="902">
    <w:name w:val="标题 31"/>
    <w:basedOn w:val="1"/>
    <w:qFormat/>
    <w:uiPriority w:val="1"/>
    <w:pPr>
      <w:autoSpaceDE w:val="0"/>
      <w:autoSpaceDN w:val="0"/>
      <w:adjustRightInd w:val="0"/>
      <w:ind w:left="697"/>
      <w:jc w:val="left"/>
      <w:outlineLvl w:val="2"/>
    </w:pPr>
    <w:rPr>
      <w:rFonts w:ascii="宋体" w:hAnsi="Times New Roman" w:eastAsia="宋体" w:cs="宋体"/>
      <w:b/>
      <w:kern w:val="0"/>
      <w:sz w:val="28"/>
      <w:szCs w:val="28"/>
    </w:rPr>
  </w:style>
  <w:style w:type="paragraph" w:customStyle="1" w:styleId="903">
    <w:name w:val="Char Char Char1 Char Char Char Char Char Char Char31"/>
    <w:basedOn w:val="1"/>
    <w:qFormat/>
    <w:uiPriority w:val="0"/>
    <w:rPr>
      <w:rFonts w:ascii="Times New Roman" w:hAnsi="Times New Roman" w:eastAsia="宋体" w:cs="Times New Roman"/>
      <w:sz w:val="28"/>
      <w:szCs w:val="28"/>
    </w:rPr>
  </w:style>
  <w:style w:type="paragraph" w:customStyle="1" w:styleId="904">
    <w:name w:val="Char Char1 Char1111"/>
    <w:basedOn w:val="23"/>
    <w:qFormat/>
    <w:uiPriority w:val="0"/>
    <w:rPr>
      <w:rFonts w:ascii="Times New Roman" w:hAnsi="Times New Roman" w:eastAsia="宋体" w:cs="Times New Roman"/>
    </w:rPr>
  </w:style>
  <w:style w:type="paragraph" w:customStyle="1" w:styleId="905">
    <w:name w:val="Char141"/>
    <w:basedOn w:val="23"/>
    <w:qFormat/>
    <w:uiPriority w:val="0"/>
    <w:rPr>
      <w:rFonts w:ascii="Times New Roman" w:hAnsi="Times New Roman" w:eastAsia="宋体" w:cs="Times New Roman"/>
      <w:szCs w:val="20"/>
    </w:rPr>
  </w:style>
  <w:style w:type="character" w:customStyle="1" w:styleId="906">
    <w:name w:val="列出段落字符"/>
    <w:link w:val="323"/>
    <w:qFormat/>
    <w:locked/>
    <w:uiPriority w:val="0"/>
    <w:rPr>
      <w:szCs w:val="21"/>
    </w:rPr>
  </w:style>
  <w:style w:type="paragraph" w:customStyle="1" w:styleId="907">
    <w:name w:val="标题 41"/>
    <w:basedOn w:val="1"/>
    <w:qFormat/>
    <w:uiPriority w:val="1"/>
    <w:pPr>
      <w:autoSpaceDE w:val="0"/>
      <w:autoSpaceDN w:val="0"/>
      <w:adjustRightInd w:val="0"/>
      <w:spacing w:before="115"/>
      <w:ind w:left="1040" w:hanging="420"/>
      <w:jc w:val="left"/>
      <w:outlineLvl w:val="3"/>
    </w:pPr>
    <w:rPr>
      <w:rFonts w:ascii="黑体" w:hAnsi="Times New Roman" w:eastAsia="黑体" w:cs="黑体"/>
      <w:b/>
      <w:bCs/>
      <w:kern w:val="0"/>
      <w:sz w:val="24"/>
    </w:rPr>
  </w:style>
  <w:style w:type="paragraph" w:customStyle="1" w:styleId="908">
    <w:name w:val="索引 43"/>
    <w:basedOn w:val="1"/>
    <w:next w:val="1"/>
    <w:qFormat/>
    <w:uiPriority w:val="0"/>
    <w:pPr>
      <w:ind w:left="600" w:leftChars="600"/>
    </w:pPr>
    <w:rPr>
      <w:rFonts w:ascii="Times New Roman" w:hAnsi="Times New Roman" w:eastAsia="宋体" w:cs="Times New Roman"/>
    </w:rPr>
  </w:style>
  <w:style w:type="paragraph" w:customStyle="1" w:styleId="909">
    <w:name w:val="标题 11"/>
    <w:basedOn w:val="1"/>
    <w:qFormat/>
    <w:uiPriority w:val="0"/>
    <w:pPr>
      <w:autoSpaceDE w:val="0"/>
      <w:autoSpaceDN w:val="0"/>
      <w:adjustRightInd w:val="0"/>
      <w:ind w:left="683"/>
      <w:jc w:val="center"/>
      <w:outlineLvl w:val="0"/>
    </w:pPr>
    <w:rPr>
      <w:rFonts w:ascii="黑体" w:hAnsi="Times New Roman" w:eastAsia="黑体" w:cs="黑体"/>
      <w:b/>
      <w:bCs/>
      <w:kern w:val="0"/>
      <w:sz w:val="32"/>
      <w:szCs w:val="32"/>
    </w:rPr>
  </w:style>
  <w:style w:type="paragraph" w:customStyle="1" w:styleId="910">
    <w:name w:val="无间隔2"/>
    <w:qFormat/>
    <w:uiPriority w:val="0"/>
    <w:pPr>
      <w:widowControl w:val="0"/>
      <w:jc w:val="both"/>
    </w:pPr>
    <w:rPr>
      <w:rFonts w:ascii="Calibri" w:hAnsi="Calibri" w:eastAsia="宋体" w:cs="Times New Roman"/>
      <w:kern w:val="2"/>
      <w:sz w:val="21"/>
      <w:szCs w:val="22"/>
      <w:lang w:val="en-US" w:eastAsia="zh-CN" w:bidi="ar-SA"/>
    </w:rPr>
  </w:style>
  <w:style w:type="paragraph" w:customStyle="1" w:styleId="911">
    <w:name w:val="Char Char1101"/>
    <w:basedOn w:val="23"/>
    <w:qFormat/>
    <w:uiPriority w:val="0"/>
    <w:rPr>
      <w:rFonts w:ascii="Times New Roman" w:hAnsi="Times New Roman" w:eastAsia="宋体" w:cs="Times New Roman"/>
      <w:szCs w:val="20"/>
    </w:rPr>
  </w:style>
  <w:style w:type="paragraph" w:customStyle="1" w:styleId="912">
    <w:name w:val="reader-word-layer reader-word-s3-1"/>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913">
    <w:name w:val="样式 标题 2 + Times New Roman 四号 非加粗 段前: 5 磅 段后: 0 磅 行距: 固定值 20... Char"/>
    <w:link w:val="293"/>
    <w:qFormat/>
    <w:locked/>
    <w:uiPriority w:val="0"/>
    <w:rPr>
      <w:rFonts w:ascii="Times New Roman" w:hAnsi="Times New Roman" w:eastAsia="黑体" w:cs="宋体"/>
      <w:kern w:val="0"/>
      <w:sz w:val="28"/>
      <w:szCs w:val="20"/>
    </w:rPr>
  </w:style>
  <w:style w:type="paragraph" w:customStyle="1" w:styleId="914">
    <w:name w:val="普通(网站)2"/>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915">
    <w:name w:val="GCEBStyles0"/>
    <w:basedOn w:val="1"/>
    <w:qFormat/>
    <w:uiPriority w:val="0"/>
    <w:pPr>
      <w:jc w:val="left"/>
      <w:outlineLvl w:val="0"/>
    </w:pPr>
    <w:rPr>
      <w:rFonts w:ascii="宋体" w:hAnsi="宋体" w:eastAsia="宋体" w:cs="Times New Roman"/>
      <w:b/>
      <w:bCs/>
      <w:kern w:val="0"/>
      <w:sz w:val="44"/>
    </w:rPr>
  </w:style>
  <w:style w:type="paragraph" w:customStyle="1" w:styleId="916">
    <w:name w:val="reader-word-layer reader-word-s2-4"/>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17">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918">
    <w:name w:val="Char Char Char41"/>
    <w:basedOn w:val="23"/>
    <w:qFormat/>
    <w:uiPriority w:val="0"/>
    <w:rPr>
      <w:rFonts w:ascii="Times New Roman" w:hAnsi="Times New Roman" w:eastAsia="宋体" w:cs="Times New Roman"/>
      <w:szCs w:val="20"/>
    </w:rPr>
  </w:style>
  <w:style w:type="paragraph" w:customStyle="1" w:styleId="919">
    <w:name w:val="reader-word-layer reader-word-s2-1"/>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20">
    <w:name w:val="_Style 67"/>
    <w:basedOn w:val="1"/>
    <w:qFormat/>
    <w:uiPriority w:val="0"/>
    <w:pPr>
      <w:widowControl/>
      <w:spacing w:line="360" w:lineRule="exact"/>
      <w:ind w:firstLine="200" w:firstLineChars="200"/>
    </w:pPr>
    <w:rPr>
      <w:rFonts w:ascii="Times New Roman" w:hAnsi="Times New Roman" w:eastAsia="宋体" w:cs="Times New Roman"/>
      <w:sz w:val="28"/>
      <w:szCs w:val="28"/>
    </w:rPr>
  </w:style>
  <w:style w:type="paragraph" w:customStyle="1" w:styleId="921">
    <w:name w:val="reader-word-layer reader-word-s3-3"/>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22">
    <w:name w:val="reader-word-layer reader-word-s2-20"/>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23">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924">
    <w:name w:val="reader-word-layer reader-word-s2-19"/>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25">
    <w:name w:val="_Style 191"/>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26">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927">
    <w:name w:val="TOC 标题4"/>
    <w:basedOn w:val="4"/>
    <w:next w:val="1"/>
    <w:qFormat/>
    <w:uiPriority w:val="0"/>
    <w:pPr>
      <w:spacing w:line="576" w:lineRule="auto"/>
      <w:outlineLvl w:val="9"/>
    </w:pPr>
    <w:rPr>
      <w:rFonts w:ascii="Calibri" w:hAnsi="Calibri" w:eastAsia="宋体" w:cs="Times New Roman"/>
    </w:rPr>
  </w:style>
  <w:style w:type="paragraph" w:customStyle="1" w:styleId="928">
    <w:name w:val="列表段落2"/>
    <w:basedOn w:val="1"/>
    <w:qFormat/>
    <w:uiPriority w:val="0"/>
    <w:pPr>
      <w:ind w:firstLine="420" w:firstLineChars="200"/>
    </w:pPr>
    <w:rPr>
      <w:rFonts w:ascii="Calibri" w:hAnsi="Calibri" w:eastAsia="宋体" w:cs="Times New Roman"/>
      <w:szCs w:val="22"/>
    </w:rPr>
  </w:style>
  <w:style w:type="paragraph" w:customStyle="1" w:styleId="929">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930">
    <w:name w:val="_Style 19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31">
    <w:name w:val="Char Char1 Char Char Char Char21"/>
    <w:basedOn w:val="23"/>
    <w:qFormat/>
    <w:uiPriority w:val="0"/>
    <w:rPr>
      <w:rFonts w:ascii="Times New Roman" w:hAnsi="Times New Roman" w:eastAsia="宋体" w:cs="Times New Roman"/>
    </w:rPr>
  </w:style>
  <w:style w:type="paragraph" w:customStyle="1" w:styleId="932">
    <w:name w:val="修订5"/>
    <w:qFormat/>
    <w:uiPriority w:val="0"/>
    <w:rPr>
      <w:rFonts w:ascii="Times New Roman" w:hAnsi="Times New Roman" w:eastAsia="宋体" w:cs="Times New Roman"/>
      <w:kern w:val="2"/>
      <w:sz w:val="21"/>
      <w:szCs w:val="24"/>
      <w:lang w:val="en-US" w:eastAsia="zh-CN" w:bidi="ar-SA"/>
    </w:rPr>
  </w:style>
  <w:style w:type="paragraph" w:customStyle="1" w:styleId="933">
    <w:name w:val="Char41"/>
    <w:basedOn w:val="1"/>
    <w:qFormat/>
    <w:uiPriority w:val="0"/>
    <w:pPr>
      <w:tabs>
        <w:tab w:val="left" w:pos="360"/>
      </w:tabs>
    </w:pPr>
    <w:rPr>
      <w:rFonts w:ascii="Times New Roman" w:hAnsi="Times New Roman" w:eastAsia="宋体" w:cs="Times New Roman"/>
      <w:sz w:val="24"/>
    </w:rPr>
  </w:style>
  <w:style w:type="paragraph" w:customStyle="1" w:styleId="934">
    <w:name w:val="普通(网站)211"/>
    <w:basedOn w:val="1"/>
    <w:qFormat/>
    <w:uiPriority w:val="0"/>
    <w:pPr>
      <w:widowControl/>
      <w:spacing w:before="100" w:beforeAutospacing="1" w:after="100" w:afterAutospacing="1" w:line="360" w:lineRule="exact"/>
      <w:ind w:firstLine="200" w:firstLineChars="200"/>
      <w:jc w:val="left"/>
    </w:pPr>
    <w:rPr>
      <w:rFonts w:ascii="宋体" w:hAnsi="宋体" w:eastAsia="宋体" w:cs="Times New Roman"/>
      <w:kern w:val="0"/>
      <w:sz w:val="24"/>
    </w:rPr>
  </w:style>
  <w:style w:type="paragraph" w:customStyle="1" w:styleId="935">
    <w:name w:val="标题 51"/>
    <w:basedOn w:val="1"/>
    <w:qFormat/>
    <w:uiPriority w:val="1"/>
    <w:pPr>
      <w:autoSpaceDE w:val="0"/>
      <w:autoSpaceDN w:val="0"/>
      <w:adjustRightInd w:val="0"/>
      <w:ind w:left="560"/>
      <w:jc w:val="left"/>
      <w:outlineLvl w:val="4"/>
    </w:pPr>
    <w:rPr>
      <w:rFonts w:ascii="宋体" w:hAnsi="Times New Roman" w:eastAsia="宋体" w:cs="宋体"/>
      <w:b/>
      <w:bCs/>
      <w:kern w:val="0"/>
      <w:szCs w:val="21"/>
    </w:rPr>
  </w:style>
  <w:style w:type="paragraph" w:customStyle="1" w:styleId="936">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937">
    <w:name w:val="正文文本 32"/>
    <w:basedOn w:val="1"/>
    <w:qFormat/>
    <w:uiPriority w:val="0"/>
    <w:pPr>
      <w:spacing w:after="120"/>
    </w:pPr>
    <w:rPr>
      <w:rFonts w:ascii="Times New Roman" w:hAnsi="Times New Roman" w:eastAsia="宋体" w:cs="Times New Roman"/>
      <w:sz w:val="16"/>
      <w:szCs w:val="16"/>
    </w:rPr>
  </w:style>
  <w:style w:type="paragraph" w:customStyle="1" w:styleId="938">
    <w:name w:val="Char Char 字元 字元 字元 Char Char Char Char12111"/>
    <w:basedOn w:val="1"/>
    <w:qFormat/>
    <w:uiPriority w:val="0"/>
    <w:pPr>
      <w:adjustRightInd w:val="0"/>
      <w:spacing w:line="360" w:lineRule="auto"/>
    </w:pPr>
    <w:rPr>
      <w:rFonts w:ascii="Times New Roman" w:hAnsi="Times New Roman" w:eastAsia="宋体" w:cs="Times New Roman"/>
      <w:szCs w:val="20"/>
    </w:rPr>
  </w:style>
  <w:style w:type="paragraph" w:customStyle="1" w:styleId="939">
    <w:name w:val="图片标注"/>
    <w:basedOn w:val="940"/>
    <w:qFormat/>
    <w:uiPriority w:val="0"/>
    <w:pPr>
      <w:tabs>
        <w:tab w:val="left" w:pos="312"/>
      </w:tabs>
    </w:pPr>
  </w:style>
  <w:style w:type="paragraph" w:customStyle="1" w:styleId="940">
    <w:name w:val="图片"/>
    <w:basedOn w:val="1"/>
    <w:qFormat/>
    <w:uiPriority w:val="0"/>
    <w:pPr>
      <w:spacing w:before="80" w:after="40"/>
      <w:jc w:val="center"/>
    </w:pPr>
    <w:rPr>
      <w:rFonts w:ascii="Arial" w:hAnsi="Arial" w:eastAsia="宋体" w:cs="Times New Roman"/>
      <w:sz w:val="18"/>
      <w:szCs w:val="21"/>
    </w:rPr>
  </w:style>
  <w:style w:type="paragraph" w:customStyle="1" w:styleId="941">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942">
    <w:name w:val="Char Char1 Char Char Char Char Char Char31"/>
    <w:basedOn w:val="23"/>
    <w:qFormat/>
    <w:uiPriority w:val="0"/>
    <w:rPr>
      <w:rFonts w:ascii="Times New Roman" w:hAnsi="Times New Roman" w:eastAsia="宋体" w:cs="Times New Roman"/>
      <w:szCs w:val="20"/>
    </w:rPr>
  </w:style>
  <w:style w:type="paragraph" w:customStyle="1" w:styleId="943">
    <w:name w:val="xl1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eastAsia="宋体" w:cs="宋体"/>
      <w:kern w:val="0"/>
      <w:sz w:val="20"/>
      <w:szCs w:val="20"/>
    </w:rPr>
  </w:style>
  <w:style w:type="paragraph" w:customStyle="1" w:styleId="944">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945">
    <w:name w:val="文档结构图3"/>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946">
    <w:name w:val="CM7"/>
    <w:basedOn w:val="227"/>
    <w:next w:val="227"/>
    <w:qFormat/>
    <w:uiPriority w:val="0"/>
    <w:pPr>
      <w:spacing w:line="468" w:lineRule="atLeast"/>
    </w:pPr>
    <w:rPr>
      <w:rFonts w:ascii=".." w:hAnsi="Times New Roman" w:eastAsia=".." w:cs="Times New Roman"/>
      <w:color w:val="auto"/>
      <w:kern w:val="0"/>
      <w:sz w:val="20"/>
    </w:rPr>
  </w:style>
  <w:style w:type="paragraph" w:customStyle="1" w:styleId="947">
    <w:name w:val="_Style 47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48">
    <w:name w:val="标题 81"/>
    <w:basedOn w:val="1"/>
    <w:qFormat/>
    <w:uiPriority w:val="1"/>
    <w:pPr>
      <w:spacing w:before="24"/>
      <w:ind w:left="3225"/>
      <w:jc w:val="left"/>
      <w:outlineLvl w:val="8"/>
    </w:pPr>
    <w:rPr>
      <w:rFonts w:ascii="宋体" w:hAnsi="宋体" w:eastAsia="宋体" w:cs="Times New Roman"/>
      <w:kern w:val="0"/>
      <w:sz w:val="18"/>
      <w:szCs w:val="18"/>
      <w:lang w:eastAsia="en-US"/>
    </w:rPr>
  </w:style>
  <w:style w:type="paragraph" w:customStyle="1" w:styleId="949">
    <w:name w:val="GW-标题9"/>
    <w:basedOn w:val="950"/>
    <w:qFormat/>
    <w:uiPriority w:val="0"/>
    <w:pPr>
      <w:tabs>
        <w:tab w:val="left" w:pos="851"/>
        <w:tab w:val="left" w:pos="992"/>
        <w:tab w:val="left" w:pos="1134"/>
        <w:tab w:val="left" w:pos="1276"/>
        <w:tab w:val="left" w:pos="1418"/>
        <w:tab w:val="left" w:pos="1559"/>
      </w:tabs>
      <w:ind w:left="1559" w:hanging="1559"/>
    </w:pPr>
  </w:style>
  <w:style w:type="paragraph" w:customStyle="1" w:styleId="950">
    <w:name w:val="GW-标题8"/>
    <w:basedOn w:val="951"/>
    <w:qFormat/>
    <w:uiPriority w:val="0"/>
    <w:pPr>
      <w:tabs>
        <w:tab w:val="left" w:pos="851"/>
        <w:tab w:val="left" w:pos="992"/>
        <w:tab w:val="left" w:pos="1134"/>
        <w:tab w:val="left" w:pos="1276"/>
        <w:tab w:val="left" w:pos="1418"/>
      </w:tabs>
      <w:ind w:left="1418" w:hanging="1418"/>
    </w:pPr>
    <w:rPr>
      <w:b w:val="0"/>
    </w:rPr>
  </w:style>
  <w:style w:type="paragraph" w:customStyle="1" w:styleId="951">
    <w:name w:val="GW-标题7"/>
    <w:basedOn w:val="952"/>
    <w:qFormat/>
    <w:uiPriority w:val="0"/>
    <w:pPr>
      <w:tabs>
        <w:tab w:val="left" w:pos="851"/>
        <w:tab w:val="left" w:pos="992"/>
        <w:tab w:val="left" w:pos="1134"/>
        <w:tab w:val="left" w:pos="1276"/>
      </w:tabs>
      <w:ind w:left="1276" w:hanging="1276"/>
      <w:outlineLvl w:val="6"/>
    </w:pPr>
    <w:rPr>
      <w:sz w:val="21"/>
    </w:rPr>
  </w:style>
  <w:style w:type="paragraph" w:customStyle="1" w:styleId="952">
    <w:name w:val="GW-标题6"/>
    <w:basedOn w:val="953"/>
    <w:qFormat/>
    <w:uiPriority w:val="0"/>
    <w:pPr>
      <w:tabs>
        <w:tab w:val="left" w:pos="851"/>
        <w:tab w:val="left" w:pos="992"/>
        <w:tab w:val="left" w:pos="1134"/>
      </w:tabs>
      <w:spacing w:before="50" w:after="50"/>
      <w:ind w:left="1134" w:hanging="1134"/>
      <w:outlineLvl w:val="5"/>
    </w:pPr>
    <w:rPr>
      <w:sz w:val="24"/>
    </w:rPr>
  </w:style>
  <w:style w:type="paragraph" w:customStyle="1" w:styleId="953">
    <w:name w:val="GW-标题5"/>
    <w:basedOn w:val="954"/>
    <w:qFormat/>
    <w:uiPriority w:val="0"/>
    <w:pPr>
      <w:tabs>
        <w:tab w:val="left" w:pos="851"/>
        <w:tab w:val="left" w:pos="992"/>
      </w:tabs>
      <w:ind w:left="992" w:hanging="992"/>
      <w:outlineLvl w:val="4"/>
    </w:pPr>
    <w:rPr>
      <w:sz w:val="28"/>
    </w:rPr>
  </w:style>
  <w:style w:type="paragraph" w:customStyle="1" w:styleId="954">
    <w:name w:val="GW-标题4"/>
    <w:basedOn w:val="665"/>
    <w:qFormat/>
    <w:uiPriority w:val="0"/>
    <w:pPr>
      <w:tabs>
        <w:tab w:val="left" w:pos="851"/>
      </w:tabs>
      <w:spacing w:before="120" w:after="120"/>
      <w:ind w:left="851" w:hanging="851"/>
      <w:outlineLvl w:val="3"/>
    </w:pPr>
    <w:rPr>
      <w:sz w:val="30"/>
    </w:rPr>
  </w:style>
  <w:style w:type="paragraph" w:customStyle="1" w:styleId="955">
    <w:name w:val="xl356"/>
    <w:basedOn w:val="1"/>
    <w:qFormat/>
    <w:uiPriority w:val="0"/>
    <w:pPr>
      <w:widowControl/>
      <w:pBdr>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956">
    <w:name w:val="Char2 Char Char Char Char Char Char"/>
    <w:basedOn w:val="1"/>
    <w:qFormat/>
    <w:uiPriority w:val="0"/>
    <w:pPr>
      <w:widowControl/>
      <w:spacing w:after="160" w:line="240" w:lineRule="exact"/>
      <w:jc w:val="left"/>
    </w:pPr>
    <w:rPr>
      <w:rFonts w:ascii="Calibri" w:hAnsi="Calibri" w:eastAsia="宋体" w:cs="Times New Roman"/>
      <w:sz w:val="24"/>
    </w:rPr>
  </w:style>
  <w:style w:type="paragraph" w:customStyle="1" w:styleId="957">
    <w:name w:val="xl55"/>
    <w:basedOn w:val="1"/>
    <w:qFormat/>
    <w:uiPriority w:val="0"/>
    <w:pPr>
      <w:widowControl/>
      <w:spacing w:before="100" w:beforeAutospacing="1" w:after="100" w:afterAutospacing="1"/>
      <w:jc w:val="center"/>
    </w:pPr>
    <w:rPr>
      <w:rFonts w:ascii="宋体" w:hAnsi="宋体" w:eastAsia="宋体" w:cs="宋体"/>
      <w:kern w:val="0"/>
      <w:sz w:val="20"/>
      <w:szCs w:val="20"/>
    </w:rPr>
  </w:style>
  <w:style w:type="paragraph" w:customStyle="1" w:styleId="958">
    <w:name w:val="日期3"/>
    <w:basedOn w:val="1"/>
    <w:next w:val="1"/>
    <w:qFormat/>
    <w:uiPriority w:val="0"/>
    <w:pPr>
      <w:ind w:left="100" w:leftChars="2500"/>
    </w:pPr>
    <w:rPr>
      <w:rFonts w:ascii="宋体" w:hAnsi="Times New Roman" w:eastAsia="宋体" w:cs="Times New Roman"/>
      <w:kern w:val="0"/>
      <w:sz w:val="28"/>
      <w:szCs w:val="20"/>
    </w:rPr>
  </w:style>
  <w:style w:type="paragraph" w:customStyle="1" w:styleId="959">
    <w:name w:val="正文-段落"/>
    <w:qFormat/>
    <w:uiPriority w:val="0"/>
    <w:pPr>
      <w:spacing w:line="360" w:lineRule="auto"/>
      <w:ind w:firstLine="200" w:firstLineChars="200"/>
    </w:pPr>
    <w:rPr>
      <w:rFonts w:ascii="Calibri" w:hAnsi="Calibri" w:eastAsia="宋体" w:cs="宋体"/>
      <w:sz w:val="24"/>
      <w:szCs w:val="24"/>
      <w:lang w:val="en-US" w:eastAsia="zh-CN" w:bidi="ar-SA"/>
    </w:rPr>
  </w:style>
  <w:style w:type="paragraph" w:customStyle="1" w:styleId="960">
    <w:name w:val="HTML Preformatted1"/>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宋体" w:cs="Times New Roman"/>
      <w:sz w:val="20"/>
      <w:szCs w:val="20"/>
    </w:rPr>
  </w:style>
  <w:style w:type="paragraph" w:customStyle="1" w:styleId="961">
    <w:name w:val="正文文本 3211111"/>
    <w:basedOn w:val="1"/>
    <w:qFormat/>
    <w:uiPriority w:val="0"/>
    <w:pPr>
      <w:widowControl/>
      <w:spacing w:after="120" w:line="360" w:lineRule="exact"/>
      <w:ind w:firstLine="200" w:firstLineChars="200"/>
    </w:pPr>
    <w:rPr>
      <w:rFonts w:ascii="Times New Roman" w:hAnsi="Times New Roman" w:eastAsia="宋体" w:cs="Times New Roman"/>
      <w:sz w:val="16"/>
      <w:szCs w:val="16"/>
    </w:rPr>
  </w:style>
  <w:style w:type="paragraph" w:customStyle="1" w:styleId="962">
    <w:name w:val="GP正文(首行缩进)"/>
    <w:next w:val="1"/>
    <w:unhideWhenUsed/>
    <w:qFormat/>
    <w:uiPriority w:val="0"/>
    <w:pPr>
      <w:spacing w:line="360" w:lineRule="auto"/>
      <w:ind w:firstLine="200" w:firstLineChars="200"/>
    </w:pPr>
    <w:rPr>
      <w:rFonts w:ascii="宋体" w:hAnsi="宋体" w:eastAsia="宋体" w:cs="Times New Roman"/>
      <w:kern w:val="2"/>
      <w:sz w:val="24"/>
      <w:lang w:val="en-US" w:eastAsia="zh-CN" w:bidi="ar-SA"/>
    </w:rPr>
  </w:style>
  <w:style w:type="paragraph" w:customStyle="1" w:styleId="963">
    <w:name w:val="默认段落字体 Para Char Char Char Char Char Char Char Char Char Char Char Char Char Char Char Char"/>
    <w:basedOn w:val="1"/>
    <w:qFormat/>
    <w:uiPriority w:val="0"/>
    <w:rPr>
      <w:rFonts w:ascii="Tahoma" w:hAnsi="Tahoma" w:eastAsia="宋体" w:cs="Times New Roman"/>
      <w:sz w:val="24"/>
      <w:szCs w:val="20"/>
    </w:rPr>
  </w:style>
  <w:style w:type="paragraph" w:customStyle="1" w:styleId="964">
    <w:name w:val="_Style 178"/>
    <w:next w:val="1"/>
    <w:unhideWhenUsed/>
    <w:qFormat/>
    <w:uiPriority w:val="99"/>
    <w:pPr>
      <w:widowControl w:val="0"/>
      <w:jc w:val="both"/>
    </w:pPr>
    <w:rPr>
      <w:rFonts w:ascii="Calibri" w:hAnsi="Calibri" w:eastAsia="宋体" w:cs="Times New Roman"/>
      <w:kern w:val="2"/>
      <w:sz w:val="21"/>
      <w:szCs w:val="22"/>
      <w:lang w:val="en-US" w:eastAsia="zh-CN" w:bidi="ar-SA"/>
    </w:rPr>
  </w:style>
  <w:style w:type="paragraph" w:customStyle="1" w:styleId="965">
    <w:name w:val="_Style 1911"/>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66">
    <w:name w:val="三级节标题"/>
    <w:basedOn w:val="1"/>
    <w:next w:val="1"/>
    <w:qFormat/>
    <w:uiPriority w:val="0"/>
    <w:pPr>
      <w:keepNext/>
      <w:keepLines/>
      <w:widowControl/>
      <w:spacing w:before="100" w:after="120" w:line="400" w:lineRule="exact"/>
      <w:ind w:firstLine="200" w:firstLineChars="200"/>
      <w:jc w:val="left"/>
      <w:outlineLvl w:val="3"/>
    </w:pPr>
    <w:rPr>
      <w:rFonts w:ascii="黑体" w:hAnsi="黑体" w:eastAsia="黑体" w:cs="Times New Roman"/>
      <w:kern w:val="0"/>
      <w:sz w:val="24"/>
      <w:szCs w:val="22"/>
      <w:lang w:eastAsia="en-US" w:bidi="en-US"/>
    </w:rPr>
  </w:style>
  <w:style w:type="paragraph" w:customStyle="1" w:styleId="96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968">
    <w:name w:val="a0"/>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69">
    <w:name w:val="本文項目"/>
    <w:basedOn w:val="1"/>
    <w:qFormat/>
    <w:uiPriority w:val="0"/>
    <w:pPr>
      <w:tabs>
        <w:tab w:val="left" w:pos="425"/>
        <w:tab w:val="left" w:pos="1140"/>
      </w:tabs>
      <w:autoSpaceDE w:val="0"/>
      <w:autoSpaceDN w:val="0"/>
      <w:adjustRightInd w:val="0"/>
      <w:spacing w:beforeLines="50" w:afterLines="50" w:line="360" w:lineRule="auto"/>
      <w:textAlignment w:val="baseline"/>
    </w:pPr>
    <w:rPr>
      <w:rFonts w:ascii="Times New Roman" w:hAnsi="Times New Roman" w:eastAsia="宋体" w:cs="Times New Roman"/>
      <w:b/>
      <w:kern w:val="0"/>
      <w:sz w:val="24"/>
      <w:szCs w:val="20"/>
    </w:rPr>
  </w:style>
  <w:style w:type="paragraph" w:customStyle="1" w:styleId="970">
    <w:name w:val="itemlistintable"/>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71">
    <w:name w:val="标题 52"/>
    <w:basedOn w:val="1"/>
    <w:qFormat/>
    <w:uiPriority w:val="1"/>
    <w:pPr>
      <w:autoSpaceDE w:val="0"/>
      <w:autoSpaceDN w:val="0"/>
      <w:ind w:left="726" w:hanging="489"/>
      <w:jc w:val="left"/>
      <w:outlineLvl w:val="5"/>
    </w:pPr>
    <w:rPr>
      <w:rFonts w:ascii="宋体" w:hAnsi="宋体" w:eastAsia="宋体" w:cs="宋体"/>
      <w:kern w:val="0"/>
      <w:sz w:val="28"/>
      <w:szCs w:val="28"/>
      <w:lang w:eastAsia="en-US"/>
    </w:rPr>
  </w:style>
  <w:style w:type="paragraph" w:customStyle="1" w:styleId="972">
    <w:name w:val="+正文"/>
    <w:basedOn w:val="1"/>
    <w:qFormat/>
    <w:uiPriority w:val="0"/>
    <w:pPr>
      <w:spacing w:line="360" w:lineRule="auto"/>
      <w:ind w:firstLine="200" w:firstLineChars="200"/>
    </w:pPr>
    <w:rPr>
      <w:rFonts w:ascii="等线" w:hAnsi="等线" w:eastAsia="Calibri" w:cs="Times New Roman"/>
      <w:sz w:val="24"/>
      <w:szCs w:val="28"/>
    </w:rPr>
  </w:style>
  <w:style w:type="paragraph" w:customStyle="1" w:styleId="973">
    <w:name w:val="_Style 40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74">
    <w:name w:val="_Style 2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75">
    <w:name w:val="表格标题文字"/>
    <w:basedOn w:val="1"/>
    <w:next w:val="1"/>
    <w:qFormat/>
    <w:uiPriority w:val="0"/>
    <w:pPr>
      <w:spacing w:before="40" w:after="60" w:line="220" w:lineRule="exact"/>
      <w:jc w:val="left"/>
    </w:pPr>
    <w:rPr>
      <w:rFonts w:ascii="Arial" w:hAnsi="Arial" w:eastAsia="华文细黑" w:cs="Times New Roman"/>
      <w:color w:val="007CA8"/>
      <w:kern w:val="0"/>
      <w:sz w:val="13"/>
      <w:szCs w:val="13"/>
    </w:rPr>
  </w:style>
  <w:style w:type="paragraph" w:customStyle="1" w:styleId="976">
    <w:name w:val="ql-align-center"/>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77">
    <w:name w:val="font23"/>
    <w:basedOn w:val="1"/>
    <w:qFormat/>
    <w:uiPriority w:val="0"/>
    <w:pPr>
      <w:widowControl/>
      <w:spacing w:before="100" w:beforeAutospacing="1" w:after="100" w:afterAutospacing="1"/>
      <w:jc w:val="left"/>
    </w:pPr>
    <w:rPr>
      <w:rFonts w:ascii="宋体" w:hAnsi="宋体" w:eastAsia="宋体" w:cs="宋体"/>
      <w:color w:val="000000"/>
      <w:kern w:val="0"/>
      <w:sz w:val="20"/>
      <w:szCs w:val="20"/>
    </w:rPr>
  </w:style>
  <w:style w:type="paragraph" w:customStyle="1" w:styleId="978">
    <w:name w:val="Normal (Web)1"/>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979">
    <w:name w:val="font24"/>
    <w:basedOn w:val="1"/>
    <w:qFormat/>
    <w:uiPriority w:val="0"/>
    <w:pPr>
      <w:widowControl/>
      <w:spacing w:before="100" w:beforeAutospacing="1" w:after="100" w:afterAutospacing="1"/>
      <w:jc w:val="left"/>
    </w:pPr>
    <w:rPr>
      <w:rFonts w:ascii="宋体" w:hAnsi="宋体" w:eastAsia="宋体" w:cs="宋体"/>
      <w:b/>
      <w:bCs/>
      <w:color w:val="213B54"/>
      <w:kern w:val="0"/>
      <w:sz w:val="18"/>
      <w:szCs w:val="18"/>
    </w:rPr>
  </w:style>
  <w:style w:type="paragraph" w:customStyle="1" w:styleId="980">
    <w:name w:val="Char Char Char Char Char Char1 Char"/>
    <w:basedOn w:val="1"/>
    <w:qFormat/>
    <w:uiPriority w:val="0"/>
    <w:pPr>
      <w:widowControl/>
      <w:spacing w:after="160" w:line="240" w:lineRule="exact"/>
      <w:jc w:val="left"/>
    </w:pPr>
    <w:rPr>
      <w:rFonts w:ascii="Verdana" w:hAnsi="Verdana" w:eastAsia="宋体" w:cs="Times New Roman"/>
      <w:kern w:val="0"/>
      <w:szCs w:val="20"/>
      <w:lang w:eastAsia="en-US"/>
    </w:rPr>
  </w:style>
  <w:style w:type="paragraph" w:customStyle="1" w:styleId="981">
    <w:name w:val="font25"/>
    <w:basedOn w:val="1"/>
    <w:qFormat/>
    <w:uiPriority w:val="0"/>
    <w:pPr>
      <w:widowControl/>
      <w:spacing w:before="100" w:beforeAutospacing="1" w:after="100" w:afterAutospacing="1"/>
      <w:jc w:val="left"/>
    </w:pPr>
    <w:rPr>
      <w:rFonts w:ascii="宋体" w:hAnsi="宋体" w:eastAsia="宋体" w:cs="宋体"/>
      <w:color w:val="213B54"/>
      <w:kern w:val="0"/>
      <w:sz w:val="18"/>
      <w:szCs w:val="18"/>
    </w:rPr>
  </w:style>
  <w:style w:type="paragraph" w:customStyle="1" w:styleId="982">
    <w:name w:val="List Paragraph1"/>
    <w:basedOn w:val="1"/>
    <w:qFormat/>
    <w:uiPriority w:val="0"/>
    <w:pPr>
      <w:ind w:firstLine="420" w:firstLineChars="200"/>
    </w:pPr>
    <w:rPr>
      <w:rFonts w:ascii="Calibri" w:hAnsi="Calibri" w:eastAsia="宋体" w:cs="Times New Roman"/>
      <w:szCs w:val="22"/>
    </w:rPr>
  </w:style>
  <w:style w:type="paragraph" w:customStyle="1" w:styleId="983">
    <w:name w:val="font26"/>
    <w:basedOn w:val="1"/>
    <w:qFormat/>
    <w:uiPriority w:val="0"/>
    <w:pPr>
      <w:widowControl/>
      <w:spacing w:before="100" w:beforeAutospacing="1" w:after="100" w:afterAutospacing="1"/>
      <w:jc w:val="left"/>
    </w:pPr>
    <w:rPr>
      <w:rFonts w:ascii="宋体" w:hAnsi="宋体" w:eastAsia="宋体" w:cs="宋体"/>
      <w:color w:val="000000"/>
      <w:kern w:val="0"/>
      <w:sz w:val="20"/>
      <w:szCs w:val="20"/>
    </w:rPr>
  </w:style>
  <w:style w:type="paragraph" w:customStyle="1" w:styleId="984">
    <w:name w:val="正文缩进一"/>
    <w:basedOn w:val="1"/>
    <w:next w:val="1"/>
    <w:qFormat/>
    <w:uiPriority w:val="0"/>
    <w:pPr>
      <w:widowControl/>
      <w:adjustRightInd w:val="0"/>
      <w:snapToGrid w:val="0"/>
      <w:spacing w:line="360" w:lineRule="auto"/>
      <w:textAlignment w:val="bottom"/>
    </w:pPr>
    <w:rPr>
      <w:rFonts w:ascii="宋体" w:hAnsi="宋体" w:eastAsia="宋体" w:cs="Times New Roman"/>
      <w:spacing w:val="8"/>
      <w:kern w:val="0"/>
      <w:sz w:val="28"/>
      <w:szCs w:val="20"/>
    </w:rPr>
  </w:style>
  <w:style w:type="paragraph" w:customStyle="1" w:styleId="985">
    <w:name w:val="字元 字元"/>
    <w:basedOn w:val="1"/>
    <w:qFormat/>
    <w:uiPriority w:val="0"/>
    <w:rPr>
      <w:rFonts w:ascii="仿宋_GB2312" w:hAnsi="Times New Roman" w:eastAsia="仿宋_GB2312" w:cs="Times New Roman"/>
      <w:b/>
      <w:sz w:val="32"/>
      <w:szCs w:val="32"/>
    </w:rPr>
  </w:style>
  <w:style w:type="paragraph" w:customStyle="1" w:styleId="986">
    <w:name w:val="tabletext"/>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87">
    <w:name w:val="样式 正文（首行缩进两字） + 左侧:  2.04 厘米"/>
    <w:basedOn w:val="1"/>
    <w:qFormat/>
    <w:uiPriority w:val="0"/>
    <w:pPr>
      <w:autoSpaceDE w:val="0"/>
      <w:autoSpaceDN w:val="0"/>
      <w:adjustRightInd w:val="0"/>
      <w:snapToGrid w:val="0"/>
      <w:spacing w:before="120" w:after="120" w:line="360" w:lineRule="auto"/>
      <w:ind w:left="1134"/>
    </w:pPr>
    <w:rPr>
      <w:rFonts w:ascii="宋体" w:hAnsi="宋体" w:eastAsia="宋体" w:cs="Times New Roman"/>
      <w:color w:val="000000"/>
      <w:kern w:val="0"/>
      <w:szCs w:val="21"/>
    </w:rPr>
  </w:style>
  <w:style w:type="character" w:customStyle="1" w:styleId="988">
    <w:name w:val="修订 字符"/>
    <w:link w:val="356"/>
    <w:qFormat/>
    <w:uiPriority w:val="0"/>
  </w:style>
  <w:style w:type="paragraph" w:customStyle="1" w:styleId="989">
    <w:name w:val="_Style 31"/>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90">
    <w:name w:val="Style Normal Indent特点表正文正文非缩进四号段1缩进ALT+Z标题4正文不缩进水上软件正文缩进..."/>
    <w:basedOn w:val="20"/>
    <w:qFormat/>
    <w:uiPriority w:val="0"/>
    <w:pPr>
      <w:spacing w:after="100" w:afterAutospacing="1" w:line="360" w:lineRule="auto"/>
      <w:ind w:firstLine="482"/>
    </w:pPr>
    <w:rPr>
      <w:rFonts w:ascii="Arial" w:hAnsi="Arial" w:eastAsia="宋体" w:cs="Times New Roman"/>
      <w:kern w:val="0"/>
      <w:sz w:val="24"/>
      <w:szCs w:val="20"/>
    </w:rPr>
  </w:style>
  <w:style w:type="paragraph" w:customStyle="1" w:styleId="991">
    <w:name w:val="样式 首行缩进:  0 字符"/>
    <w:basedOn w:val="1"/>
    <w:qFormat/>
    <w:uiPriority w:val="0"/>
    <w:pPr>
      <w:spacing w:line="360" w:lineRule="auto"/>
      <w:ind w:firstLine="200" w:firstLineChars="200"/>
    </w:pPr>
    <w:rPr>
      <w:rFonts w:ascii="Arial" w:hAnsi="Arial" w:eastAsia="宋体" w:cs="宋体"/>
      <w:sz w:val="24"/>
      <w:szCs w:val="20"/>
    </w:rPr>
  </w:style>
  <w:style w:type="paragraph" w:customStyle="1" w:styleId="992">
    <w:name w:val="xl52"/>
    <w:basedOn w:val="1"/>
    <w:qFormat/>
    <w:uiPriority w:val="0"/>
    <w:pPr>
      <w:widowControl/>
      <w:spacing w:before="100" w:beforeAutospacing="1" w:after="100" w:afterAutospacing="1"/>
      <w:jc w:val="center"/>
      <w:textAlignment w:val="center"/>
    </w:pPr>
    <w:rPr>
      <w:rFonts w:ascii="宋体" w:hAnsi="宋体" w:eastAsia="宋体" w:cs="宋体"/>
      <w:kern w:val="0"/>
      <w:sz w:val="20"/>
      <w:szCs w:val="20"/>
    </w:rPr>
  </w:style>
  <w:style w:type="paragraph" w:customStyle="1" w:styleId="993">
    <w:name w:val="文本块2111"/>
    <w:basedOn w:val="1"/>
    <w:next w:val="1"/>
    <w:qFormat/>
    <w:uiPriority w:val="0"/>
    <w:rPr>
      <w:rFonts w:ascii="Times New Roman" w:hAnsi="Times New Roman" w:eastAsia="宋体" w:cs="Times New Roman"/>
      <w:i/>
      <w:iCs/>
      <w:color w:val="000000"/>
      <w:szCs w:val="22"/>
    </w:rPr>
  </w:style>
  <w:style w:type="paragraph" w:customStyle="1" w:styleId="994">
    <w:name w:val="xl1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995">
    <w:name w:val="xl53"/>
    <w:basedOn w:val="1"/>
    <w:qFormat/>
    <w:uiPriority w:val="0"/>
    <w:pPr>
      <w:widowControl/>
      <w:spacing w:before="100" w:beforeAutospacing="1" w:after="100" w:afterAutospacing="1"/>
      <w:jc w:val="left"/>
      <w:textAlignment w:val="center"/>
    </w:pPr>
    <w:rPr>
      <w:rFonts w:ascii="宋体" w:hAnsi="宋体" w:eastAsia="宋体" w:cs="宋体"/>
      <w:kern w:val="0"/>
      <w:sz w:val="20"/>
      <w:szCs w:val="20"/>
    </w:rPr>
  </w:style>
  <w:style w:type="paragraph" w:customStyle="1" w:styleId="996">
    <w:name w:val="文章正文（F5)"/>
    <w:basedOn w:val="1"/>
    <w:qFormat/>
    <w:uiPriority w:val="0"/>
    <w:pPr>
      <w:adjustRightInd w:val="0"/>
      <w:snapToGrid w:val="0"/>
      <w:spacing w:line="360" w:lineRule="auto"/>
      <w:ind w:firstLine="200" w:firstLineChars="200"/>
      <w:jc w:val="left"/>
    </w:pPr>
    <w:rPr>
      <w:rFonts w:ascii="Calibri" w:hAnsi="Calibri" w:eastAsia="宋体" w:cs="Times New Roman"/>
      <w:sz w:val="24"/>
      <w:szCs w:val="22"/>
    </w:rPr>
  </w:style>
  <w:style w:type="paragraph" w:customStyle="1" w:styleId="997">
    <w:name w:val="_Style 1"/>
    <w:basedOn w:val="1"/>
    <w:qFormat/>
    <w:uiPriority w:val="0"/>
    <w:pPr>
      <w:spacing w:line="360" w:lineRule="auto"/>
      <w:ind w:firstLine="420" w:firstLineChars="200"/>
    </w:pPr>
    <w:rPr>
      <w:rFonts w:ascii="Calibri" w:hAnsi="Calibri" w:eastAsia="宋体" w:cs="Times New Roman"/>
      <w:sz w:val="24"/>
      <w:szCs w:val="22"/>
    </w:rPr>
  </w:style>
  <w:style w:type="paragraph" w:customStyle="1" w:styleId="998">
    <w:name w:val="xl54"/>
    <w:basedOn w:val="1"/>
    <w:qFormat/>
    <w:uiPriority w:val="0"/>
    <w:pPr>
      <w:widowControl/>
      <w:spacing w:before="100" w:beforeAutospacing="1" w:after="100" w:afterAutospacing="1"/>
      <w:jc w:val="left"/>
      <w:textAlignment w:val="center"/>
    </w:pPr>
    <w:rPr>
      <w:rFonts w:ascii="宋体" w:hAnsi="宋体" w:eastAsia="宋体" w:cs="宋体"/>
      <w:kern w:val="0"/>
      <w:sz w:val="20"/>
      <w:szCs w:val="20"/>
    </w:rPr>
  </w:style>
  <w:style w:type="paragraph" w:customStyle="1" w:styleId="999">
    <w:name w:val="xl2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000">
    <w:name w:val="xl56"/>
    <w:basedOn w:val="1"/>
    <w:qFormat/>
    <w:uiPriority w:val="0"/>
    <w:pPr>
      <w:widowControl/>
      <w:spacing w:before="100" w:beforeAutospacing="1" w:after="100" w:afterAutospacing="1"/>
      <w:jc w:val="center"/>
      <w:textAlignment w:val="center"/>
    </w:pPr>
    <w:rPr>
      <w:rFonts w:ascii="宋体" w:hAnsi="宋体" w:eastAsia="宋体" w:cs="宋体"/>
      <w:kern w:val="0"/>
      <w:sz w:val="20"/>
      <w:szCs w:val="20"/>
    </w:rPr>
  </w:style>
  <w:style w:type="paragraph" w:customStyle="1" w:styleId="1001">
    <w:name w:val="标书正文(0.3 缩进两字)"/>
    <w:basedOn w:val="1"/>
    <w:qFormat/>
    <w:uiPriority w:val="0"/>
    <w:pPr>
      <w:spacing w:line="360" w:lineRule="auto"/>
      <w:ind w:firstLine="504" w:firstLineChars="200"/>
    </w:pPr>
    <w:rPr>
      <w:rFonts w:ascii="宋体" w:hAnsi="Times New Roman" w:eastAsia="宋体" w:cs="宋体"/>
      <w:spacing w:val="6"/>
      <w:kern w:val="0"/>
      <w:sz w:val="24"/>
      <w:szCs w:val="20"/>
    </w:rPr>
  </w:style>
  <w:style w:type="paragraph" w:customStyle="1" w:styleId="1002">
    <w:name w:val="文档结构图31111"/>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1003">
    <w:name w:val="xl23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004">
    <w:name w:val="编号，小四"/>
    <w:basedOn w:val="1"/>
    <w:qFormat/>
    <w:uiPriority w:val="0"/>
    <w:pPr>
      <w:spacing w:line="360" w:lineRule="auto"/>
      <w:ind w:left="568" w:firstLine="200" w:firstLineChars="200"/>
    </w:pPr>
    <w:rPr>
      <w:rFonts w:ascii="Arial" w:hAnsi="Arial" w:eastAsia="宋体" w:cs="宋体"/>
      <w:sz w:val="24"/>
      <w:szCs w:val="20"/>
    </w:rPr>
  </w:style>
  <w:style w:type="paragraph" w:customStyle="1" w:styleId="1005">
    <w:name w:val="xl57"/>
    <w:basedOn w:val="1"/>
    <w:qFormat/>
    <w:uiPriority w:val="0"/>
    <w:pPr>
      <w:widowControl/>
      <w:spacing w:before="100" w:beforeAutospacing="1" w:after="100" w:afterAutospacing="1"/>
      <w:jc w:val="center"/>
      <w:textAlignment w:val="center"/>
    </w:pPr>
    <w:rPr>
      <w:rFonts w:ascii="宋体" w:hAnsi="宋体" w:eastAsia="宋体" w:cs="宋体"/>
      <w:b/>
      <w:bCs/>
      <w:color w:val="000000"/>
      <w:kern w:val="0"/>
      <w:sz w:val="20"/>
      <w:szCs w:val="20"/>
    </w:rPr>
  </w:style>
  <w:style w:type="paragraph" w:customStyle="1" w:styleId="1006">
    <w:name w:val="样式9"/>
    <w:basedOn w:val="1"/>
    <w:qFormat/>
    <w:uiPriority w:val="0"/>
    <w:pPr>
      <w:spacing w:line="440" w:lineRule="exact"/>
      <w:ind w:firstLine="200" w:firstLineChars="200"/>
    </w:pPr>
    <w:rPr>
      <w:rFonts w:ascii="Times New Roman" w:hAnsi="Times New Roman" w:eastAsia="宋体" w:cs="Times New Roman"/>
      <w:spacing w:val="6"/>
      <w:sz w:val="24"/>
      <w:szCs w:val="20"/>
    </w:rPr>
  </w:style>
  <w:style w:type="paragraph" w:customStyle="1" w:styleId="1007">
    <w:name w:val="日期31111"/>
    <w:basedOn w:val="1"/>
    <w:next w:val="1"/>
    <w:qFormat/>
    <w:uiPriority w:val="0"/>
    <w:pPr>
      <w:ind w:left="100" w:leftChars="2500"/>
    </w:pPr>
    <w:rPr>
      <w:rFonts w:ascii="宋体" w:hAnsi="Times New Roman" w:eastAsia="宋体" w:cs="Times New Roman"/>
      <w:kern w:val="0"/>
      <w:sz w:val="28"/>
      <w:szCs w:val="20"/>
    </w:rPr>
  </w:style>
  <w:style w:type="paragraph" w:customStyle="1" w:styleId="1008">
    <w:name w:val="_Style 40"/>
    <w:basedOn w:val="4"/>
    <w:next w:val="1"/>
    <w:qFormat/>
    <w:uiPriority w:val="0"/>
    <w:pPr>
      <w:spacing w:line="576" w:lineRule="auto"/>
      <w:outlineLvl w:val="9"/>
    </w:pPr>
    <w:rPr>
      <w:rFonts w:ascii="Times New Roman" w:hAnsi="Times New Roman" w:eastAsia="宋体" w:cs="Times New Roman"/>
    </w:rPr>
  </w:style>
  <w:style w:type="paragraph" w:customStyle="1" w:styleId="1009">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24"/>
    </w:rPr>
  </w:style>
  <w:style w:type="paragraph" w:customStyle="1" w:styleId="1010">
    <w:name w:val="l-2级节标题"/>
    <w:next w:val="1"/>
    <w:qFormat/>
    <w:uiPriority w:val="0"/>
    <w:pPr>
      <w:keepNext/>
      <w:keepLines/>
      <w:spacing w:before="120" w:after="120"/>
      <w:outlineLvl w:val="2"/>
    </w:pPr>
    <w:rPr>
      <w:rFonts w:ascii="宋体" w:hAnsi="宋体" w:eastAsia="宋体" w:cs="Times New Roman"/>
      <w:b/>
      <w:sz w:val="28"/>
      <w:szCs w:val="26"/>
      <w:lang w:val="en-US" w:eastAsia="en-US" w:bidi="en-US"/>
    </w:rPr>
  </w:style>
  <w:style w:type="paragraph" w:customStyle="1" w:styleId="1011">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FF0000"/>
      <w:kern w:val="0"/>
      <w:sz w:val="20"/>
      <w:szCs w:val="20"/>
    </w:rPr>
  </w:style>
  <w:style w:type="paragraph" w:customStyle="1" w:styleId="1012">
    <w:name w:val="样式19"/>
    <w:basedOn w:val="1"/>
    <w:qFormat/>
    <w:uiPriority w:val="0"/>
    <w:pPr>
      <w:spacing w:beforeLines="50" w:line="440" w:lineRule="exact"/>
      <w:ind w:firstLine="200" w:firstLineChars="200"/>
    </w:pPr>
    <w:rPr>
      <w:rFonts w:ascii="Arial" w:hAnsi="Arial" w:eastAsia="黑体" w:cs="Times New Roman"/>
      <w:spacing w:val="6"/>
      <w:sz w:val="24"/>
      <w:szCs w:val="20"/>
    </w:rPr>
  </w:style>
  <w:style w:type="paragraph" w:customStyle="1" w:styleId="1013">
    <w:name w:val="普通(网站) Char"/>
    <w:basedOn w:val="1"/>
    <w:qFormat/>
    <w:uiPriority w:val="0"/>
    <w:pPr>
      <w:spacing w:before="100" w:beforeAutospacing="1" w:after="100" w:afterAutospacing="1" w:line="360" w:lineRule="auto"/>
      <w:jc w:val="left"/>
    </w:pPr>
    <w:rPr>
      <w:rFonts w:hint="eastAsia" w:ascii="宋体" w:hAnsi="宋体" w:eastAsia="宋体" w:cs="Times New Roman"/>
      <w:kern w:val="0"/>
      <w:sz w:val="24"/>
    </w:rPr>
  </w:style>
  <w:style w:type="paragraph" w:customStyle="1" w:styleId="1014">
    <w:name w:val="l-0章标题"/>
    <w:next w:val="1"/>
    <w:qFormat/>
    <w:uiPriority w:val="0"/>
    <w:pPr>
      <w:keepNext/>
      <w:keepLines/>
      <w:spacing w:before="240" w:after="240" w:line="360" w:lineRule="auto"/>
      <w:jc w:val="center"/>
      <w:outlineLvl w:val="0"/>
    </w:pPr>
    <w:rPr>
      <w:rFonts w:ascii="宋体" w:hAnsi="宋体" w:eastAsia="宋体" w:cs="Times New Roman"/>
      <w:b/>
      <w:sz w:val="32"/>
      <w:szCs w:val="30"/>
      <w:lang w:val="en-US" w:eastAsia="en-US" w:bidi="en-US"/>
    </w:rPr>
  </w:style>
  <w:style w:type="paragraph" w:customStyle="1" w:styleId="1015">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1016">
    <w:name w:val="_Style 49"/>
    <w:qFormat/>
    <w:uiPriority w:val="0"/>
    <w:rPr>
      <w:rFonts w:ascii="Times New Roman" w:hAnsi="Times New Roman" w:eastAsia="宋体" w:cs="Times New Roman"/>
      <w:kern w:val="2"/>
      <w:sz w:val="21"/>
      <w:szCs w:val="24"/>
      <w:lang w:val="en-US" w:eastAsia="zh-CN" w:bidi="ar-SA"/>
    </w:rPr>
  </w:style>
  <w:style w:type="paragraph" w:customStyle="1" w:styleId="1017">
    <w:name w:val="xl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color w:val="000000"/>
      <w:kern w:val="0"/>
      <w:sz w:val="20"/>
      <w:szCs w:val="20"/>
    </w:rPr>
  </w:style>
  <w:style w:type="paragraph" w:customStyle="1" w:styleId="1018">
    <w:name w:val="正文-带编号1)"/>
    <w:basedOn w:val="1"/>
    <w:qFormat/>
    <w:uiPriority w:val="0"/>
    <w:pPr>
      <w:spacing w:line="400" w:lineRule="exact"/>
      <w:ind w:left="420" w:hanging="420"/>
    </w:pPr>
    <w:rPr>
      <w:rFonts w:ascii="Arial" w:hAnsi="Arial" w:eastAsia="宋体" w:cs="Times New Roman"/>
    </w:rPr>
  </w:style>
  <w:style w:type="paragraph" w:customStyle="1" w:styleId="1019">
    <w:name w:val="WPSOffice手动目录 1"/>
    <w:qFormat/>
    <w:uiPriority w:val="0"/>
    <w:rPr>
      <w:rFonts w:ascii="Times New Roman" w:hAnsi="Times New Roman" w:eastAsia="宋体" w:cs="Times New Roman"/>
      <w:lang w:val="en-US" w:eastAsia="zh-CN" w:bidi="ar-SA"/>
    </w:rPr>
  </w:style>
  <w:style w:type="paragraph" w:customStyle="1" w:styleId="1020">
    <w:name w:val="_Style 1951"/>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1">
    <w:name w:val="l-表"/>
    <w:basedOn w:val="1022"/>
    <w:next w:val="1"/>
    <w:qFormat/>
    <w:uiPriority w:val="0"/>
    <w:pPr>
      <w:ind w:firstLine="0" w:firstLineChars="0"/>
    </w:pPr>
  </w:style>
  <w:style w:type="paragraph" w:customStyle="1" w:styleId="1022">
    <w:name w:val="表题与图题"/>
    <w:basedOn w:val="1"/>
    <w:next w:val="1"/>
    <w:qFormat/>
    <w:uiPriority w:val="0"/>
    <w:pPr>
      <w:widowControl/>
      <w:spacing w:before="120" w:after="120" w:line="400" w:lineRule="exact"/>
      <w:ind w:firstLine="200" w:firstLineChars="200"/>
      <w:jc w:val="center"/>
    </w:pPr>
    <w:rPr>
      <w:rFonts w:ascii="Calibri" w:hAnsi="Calibri" w:eastAsia="宋体" w:cs="Times New Roman"/>
      <w:kern w:val="0"/>
      <w:sz w:val="22"/>
      <w:szCs w:val="20"/>
      <w:lang w:eastAsia="en-US" w:bidi="en-US"/>
    </w:rPr>
  </w:style>
  <w:style w:type="paragraph" w:customStyle="1" w:styleId="1023">
    <w:name w:val="a6"/>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024">
    <w:name w:val="标题 32"/>
    <w:basedOn w:val="1"/>
    <w:qFormat/>
    <w:uiPriority w:val="1"/>
    <w:pPr>
      <w:autoSpaceDE w:val="0"/>
      <w:autoSpaceDN w:val="0"/>
      <w:ind w:left="501" w:hanging="401"/>
      <w:jc w:val="left"/>
      <w:outlineLvl w:val="3"/>
    </w:pPr>
    <w:rPr>
      <w:rFonts w:ascii="Microsoft JhengHei" w:hAnsi="Microsoft JhengHei" w:eastAsia="Microsoft JhengHei" w:cs="Microsoft JhengHei"/>
      <w:b/>
      <w:bCs/>
      <w:kern w:val="0"/>
      <w:sz w:val="32"/>
      <w:szCs w:val="32"/>
      <w:lang w:eastAsia="en-US"/>
    </w:rPr>
  </w:style>
  <w:style w:type="paragraph" w:customStyle="1" w:styleId="1025">
    <w:name w:val="font22"/>
    <w:basedOn w:val="1"/>
    <w:qFormat/>
    <w:uiPriority w:val="0"/>
    <w:pPr>
      <w:widowControl/>
      <w:spacing w:before="100" w:beforeAutospacing="1" w:after="100" w:afterAutospacing="1"/>
      <w:jc w:val="left"/>
    </w:pPr>
    <w:rPr>
      <w:rFonts w:ascii="宋体" w:hAnsi="宋体" w:eastAsia="宋体" w:cs="宋体"/>
      <w:color w:val="000000"/>
      <w:kern w:val="0"/>
      <w:sz w:val="20"/>
      <w:szCs w:val="20"/>
    </w:rPr>
  </w:style>
  <w:style w:type="paragraph" w:customStyle="1" w:styleId="1026">
    <w:name w:val="列出段落4"/>
    <w:basedOn w:val="1"/>
    <w:qFormat/>
    <w:uiPriority w:val="0"/>
    <w:pPr>
      <w:ind w:firstLine="420" w:firstLineChars="200"/>
    </w:pPr>
    <w:rPr>
      <w:rFonts w:ascii="Calibri" w:hAnsi="Calibri" w:eastAsia="宋体" w:cs="Times New Roman"/>
      <w:szCs w:val="22"/>
    </w:rPr>
  </w:style>
  <w:style w:type="paragraph" w:customStyle="1" w:styleId="1027">
    <w:name w:val="Char Char Char Char"/>
    <w:basedOn w:val="23"/>
    <w:qFormat/>
    <w:uiPriority w:val="0"/>
    <w:rPr>
      <w:rFonts w:ascii="Calibri" w:hAnsi="Calibri" w:eastAsia="宋体" w:cs="Times New Roman"/>
      <w:szCs w:val="22"/>
    </w:rPr>
  </w:style>
  <w:style w:type="paragraph" w:customStyle="1" w:styleId="1028">
    <w:name w:val="Char Char Char Char Char Char Char Char Char Char"/>
    <w:basedOn w:val="1"/>
    <w:qFormat/>
    <w:uiPriority w:val="0"/>
    <w:pPr>
      <w:adjustRightInd w:val="0"/>
      <w:spacing w:line="360" w:lineRule="auto"/>
      <w:textAlignment w:val="center"/>
    </w:pPr>
    <w:rPr>
      <w:rFonts w:ascii="Times New Roman" w:hAnsi="Times New Roman" w:eastAsia="宋体" w:cs="Times New Roman"/>
      <w:kern w:val="0"/>
      <w:sz w:val="24"/>
      <w:szCs w:val="20"/>
    </w:rPr>
  </w:style>
  <w:style w:type="paragraph" w:customStyle="1" w:styleId="1029">
    <w:name w:val="样式 正文缩进正文（首行缩进两字）特点ALT+Z表正文正文非缩进四号段1Normal Indent Char2...4"/>
    <w:basedOn w:val="28"/>
    <w:qFormat/>
    <w:uiPriority w:val="0"/>
    <w:pPr>
      <w:widowControl/>
      <w:tabs>
        <w:tab w:val="left" w:pos="510"/>
      </w:tabs>
      <w:spacing w:line="300" w:lineRule="auto"/>
      <w:ind w:firstLine="420" w:firstLineChars="0"/>
    </w:pPr>
    <w:rPr>
      <w:rFonts w:ascii="宋体" w:hAnsi="宋体" w:eastAsia="宋体" w:cs="Times New Roman"/>
      <w:color w:val="000000"/>
      <w:kern w:val="2"/>
      <w:sz w:val="24"/>
      <w:szCs w:val="20"/>
    </w:rPr>
  </w:style>
  <w:style w:type="paragraph" w:customStyle="1" w:styleId="1030">
    <w:name w:val="技术报告正文"/>
    <w:qFormat/>
    <w:uiPriority w:val="0"/>
    <w:pPr>
      <w:adjustRightInd w:val="0"/>
      <w:snapToGrid w:val="0"/>
      <w:spacing w:line="400" w:lineRule="exact"/>
      <w:ind w:firstLine="480" w:firstLineChars="200"/>
      <w:jc w:val="both"/>
    </w:pPr>
    <w:rPr>
      <w:rFonts w:ascii="Times New Roman" w:hAnsi="Times New Roman" w:eastAsia="宋体" w:cs="Arial"/>
      <w:kern w:val="2"/>
      <w:sz w:val="24"/>
      <w:szCs w:val="24"/>
      <w:lang w:val="en-US" w:eastAsia="zh-CN" w:bidi="ar-SA"/>
    </w:rPr>
  </w:style>
  <w:style w:type="paragraph" w:customStyle="1" w:styleId="1031">
    <w:name w:val="font16"/>
    <w:basedOn w:val="1"/>
    <w:qFormat/>
    <w:uiPriority w:val="0"/>
    <w:pPr>
      <w:widowControl/>
      <w:spacing w:before="100" w:beforeAutospacing="1" w:after="100" w:afterAutospacing="1"/>
      <w:jc w:val="left"/>
    </w:pPr>
    <w:rPr>
      <w:rFonts w:ascii="Arial" w:hAnsi="Arial" w:eastAsia="宋体" w:cs="Arial"/>
      <w:kern w:val="0"/>
      <w:sz w:val="16"/>
      <w:szCs w:val="16"/>
    </w:rPr>
  </w:style>
  <w:style w:type="paragraph" w:customStyle="1" w:styleId="1032">
    <w:name w:val="默认段落字体 Para Char Char Char Char Char Char Char Char Char"/>
    <w:basedOn w:val="1"/>
    <w:qFormat/>
    <w:uiPriority w:val="0"/>
    <w:rPr>
      <w:rFonts w:ascii="Tahoma" w:hAnsi="Tahoma" w:eastAsia="宋体" w:cs="Times New Roman"/>
      <w:sz w:val="24"/>
      <w:szCs w:val="20"/>
    </w:rPr>
  </w:style>
  <w:style w:type="paragraph" w:customStyle="1" w:styleId="1033">
    <w:name w:val="xl341"/>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034">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color w:val="FF0000"/>
      <w:kern w:val="0"/>
      <w:sz w:val="20"/>
      <w:szCs w:val="20"/>
    </w:rPr>
  </w:style>
  <w:style w:type="paragraph" w:customStyle="1" w:styleId="1035">
    <w:name w:val="Item Step in Table"/>
    <w:qFormat/>
    <w:uiPriority w:val="0"/>
    <w:pPr>
      <w:tabs>
        <w:tab w:val="left" w:pos="397"/>
      </w:tabs>
      <w:spacing w:before="40" w:after="40"/>
      <w:jc w:val="both"/>
    </w:pPr>
    <w:rPr>
      <w:rFonts w:ascii="Arial" w:hAnsi="Arial" w:eastAsia="宋体" w:cs="Arial"/>
      <w:sz w:val="18"/>
      <w:szCs w:val="18"/>
      <w:lang w:val="en-US" w:eastAsia="zh-CN" w:bidi="ar-SA"/>
    </w:rPr>
  </w:style>
  <w:style w:type="paragraph" w:customStyle="1" w:styleId="1036">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1037">
    <w:name w:val="tableheading"/>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038">
    <w:name w:val="font19"/>
    <w:basedOn w:val="1"/>
    <w:qFormat/>
    <w:uiPriority w:val="0"/>
    <w:pPr>
      <w:widowControl/>
      <w:spacing w:before="100" w:beforeAutospacing="1" w:after="100" w:afterAutospacing="1"/>
      <w:jc w:val="left"/>
    </w:pPr>
    <w:rPr>
      <w:rFonts w:ascii="宋体" w:hAnsi="宋体" w:eastAsia="宋体" w:cs="宋体"/>
      <w:color w:val="000000"/>
      <w:kern w:val="0"/>
      <w:sz w:val="20"/>
      <w:szCs w:val="20"/>
    </w:rPr>
  </w:style>
  <w:style w:type="paragraph" w:customStyle="1" w:styleId="1039">
    <w:name w:val="Table Heading"/>
    <w:qFormat/>
    <w:uiPriority w:val="0"/>
    <w:pPr>
      <w:keepNext/>
      <w:snapToGrid w:val="0"/>
      <w:spacing w:before="80" w:after="80"/>
      <w:jc w:val="center"/>
    </w:pPr>
    <w:rPr>
      <w:rFonts w:ascii="Arial" w:hAnsi="Arial" w:eastAsia="黑体" w:cs="Arial"/>
      <w:sz w:val="18"/>
      <w:szCs w:val="18"/>
      <w:lang w:val="en-US" w:eastAsia="zh-CN" w:bidi="ar-SA"/>
    </w:rPr>
  </w:style>
  <w:style w:type="paragraph" w:customStyle="1" w:styleId="1040">
    <w:name w:val="Item List in Table"/>
    <w:qFormat/>
    <w:uiPriority w:val="0"/>
    <w:pPr>
      <w:tabs>
        <w:tab w:val="left" w:pos="284"/>
      </w:tabs>
      <w:spacing w:before="40" w:after="40"/>
      <w:jc w:val="both"/>
    </w:pPr>
    <w:rPr>
      <w:rFonts w:ascii="Arial" w:hAnsi="Arial" w:eastAsia="宋体" w:cs="Arial"/>
      <w:sz w:val="18"/>
      <w:szCs w:val="18"/>
      <w:lang w:val="en-US" w:eastAsia="zh-CN" w:bidi="ar-SA"/>
    </w:rPr>
  </w:style>
  <w:style w:type="paragraph" w:customStyle="1" w:styleId="1041">
    <w:name w:val="font27"/>
    <w:basedOn w:val="1"/>
    <w:qFormat/>
    <w:uiPriority w:val="0"/>
    <w:pPr>
      <w:widowControl/>
      <w:spacing w:before="100" w:beforeAutospacing="1" w:after="100" w:afterAutospacing="1"/>
      <w:jc w:val="left"/>
    </w:pPr>
    <w:rPr>
      <w:rFonts w:ascii="宋体" w:hAnsi="宋体" w:eastAsia="宋体" w:cs="宋体"/>
      <w:color w:val="000000"/>
      <w:kern w:val="0"/>
      <w:sz w:val="20"/>
      <w:szCs w:val="20"/>
    </w:rPr>
  </w:style>
  <w:style w:type="paragraph" w:customStyle="1" w:styleId="1042">
    <w:name w:val="标准段落"/>
    <w:basedOn w:val="1"/>
    <w:qFormat/>
    <w:uiPriority w:val="0"/>
    <w:pPr>
      <w:topLinePunct/>
      <w:autoSpaceDE w:val="0"/>
      <w:autoSpaceDN w:val="0"/>
      <w:spacing w:line="480" w:lineRule="exact"/>
      <w:ind w:left="540" w:firstLine="453"/>
    </w:pPr>
    <w:rPr>
      <w:rFonts w:ascii="Times New Roman" w:hAnsi="Times New Roman" w:eastAsia="宋体" w:cs="Times New Roman"/>
      <w:sz w:val="24"/>
    </w:rPr>
  </w:style>
  <w:style w:type="paragraph" w:customStyle="1" w:styleId="1043">
    <w:name w:val="font13"/>
    <w:basedOn w:val="1"/>
    <w:qFormat/>
    <w:uiPriority w:val="0"/>
    <w:pPr>
      <w:widowControl/>
      <w:spacing w:before="100" w:beforeAutospacing="1" w:after="100" w:afterAutospacing="1"/>
      <w:jc w:val="left"/>
    </w:pPr>
    <w:rPr>
      <w:rFonts w:ascii="宋体" w:hAnsi="宋体" w:eastAsia="宋体" w:cs="宋体"/>
      <w:b/>
      <w:bCs/>
      <w:i/>
      <w:iCs/>
      <w:kern w:val="0"/>
      <w:sz w:val="20"/>
      <w:szCs w:val="20"/>
    </w:rPr>
  </w:style>
  <w:style w:type="paragraph" w:customStyle="1" w:styleId="1044">
    <w:name w:val="font28"/>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045">
    <w:name w:val="a2"/>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046">
    <w:name w:val="font14"/>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1047">
    <w:name w:val="xl369"/>
    <w:basedOn w:val="1"/>
    <w:qFormat/>
    <w:uiPriority w:val="0"/>
    <w:pPr>
      <w:widowControl/>
      <w:pBdr>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048">
    <w:name w:val="样式 标题 2标题 1.1H2Heading 2 HiddenHeading 2 CCBSheading 2第一章 ...2"/>
    <w:basedOn w:val="5"/>
    <w:qFormat/>
    <w:uiPriority w:val="0"/>
    <w:pPr>
      <w:keepNext w:val="0"/>
      <w:keepLines w:val="0"/>
      <w:autoSpaceDE w:val="0"/>
      <w:autoSpaceDN w:val="0"/>
      <w:adjustRightInd w:val="0"/>
      <w:spacing w:before="0" w:after="0" w:line="360" w:lineRule="auto"/>
      <w:ind w:firstLine="557" w:firstLineChars="198"/>
      <w:jc w:val="left"/>
    </w:pPr>
    <w:rPr>
      <w:rFonts w:ascii="宋体" w:hAnsi="宋体" w:eastAsia="宋体" w:cs="宋体"/>
      <w:color w:val="000000"/>
      <w:kern w:val="0"/>
      <w:sz w:val="30"/>
      <w:szCs w:val="20"/>
    </w:rPr>
  </w:style>
  <w:style w:type="paragraph" w:customStyle="1" w:styleId="1049">
    <w:name w:val="font15"/>
    <w:basedOn w:val="1"/>
    <w:qFormat/>
    <w:uiPriority w:val="0"/>
    <w:pPr>
      <w:widowControl/>
      <w:spacing w:before="100" w:beforeAutospacing="1" w:after="100" w:afterAutospacing="1"/>
      <w:jc w:val="left"/>
    </w:pPr>
    <w:rPr>
      <w:rFonts w:ascii="Times New Roman" w:hAnsi="Times New Roman" w:eastAsia="宋体" w:cs="Times New Roman"/>
      <w:kern w:val="0"/>
      <w:sz w:val="20"/>
      <w:szCs w:val="20"/>
    </w:rPr>
  </w:style>
  <w:style w:type="paragraph" w:customStyle="1" w:styleId="1050">
    <w:name w:val="xl340"/>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051">
    <w:name w:val="文档正文"/>
    <w:basedOn w:val="1"/>
    <w:qFormat/>
    <w:uiPriority w:val="0"/>
    <w:pPr>
      <w:adjustRightInd w:val="0"/>
      <w:spacing w:line="312" w:lineRule="atLeast"/>
      <w:ind w:firstLine="567"/>
      <w:textAlignment w:val="baseline"/>
    </w:pPr>
    <w:rPr>
      <w:rFonts w:ascii="长城仿宋" w:hAnsi="Times New Roman" w:eastAsia="长城仿宋" w:cs="Times New Roman"/>
      <w:kern w:val="0"/>
      <w:sz w:val="28"/>
      <w:szCs w:val="20"/>
    </w:rPr>
  </w:style>
  <w:style w:type="paragraph" w:customStyle="1" w:styleId="1052">
    <w:name w:val="font17"/>
    <w:basedOn w:val="1"/>
    <w:qFormat/>
    <w:uiPriority w:val="0"/>
    <w:pPr>
      <w:widowControl/>
      <w:spacing w:before="100" w:beforeAutospacing="1" w:after="100" w:afterAutospacing="1"/>
      <w:jc w:val="left"/>
    </w:pPr>
    <w:rPr>
      <w:rFonts w:ascii="Arial" w:hAnsi="Arial" w:eastAsia="宋体" w:cs="Arial"/>
      <w:color w:val="000000"/>
      <w:kern w:val="0"/>
      <w:sz w:val="20"/>
      <w:szCs w:val="20"/>
    </w:rPr>
  </w:style>
  <w:style w:type="paragraph" w:customStyle="1" w:styleId="1053">
    <w:name w:val="xl314"/>
    <w:basedOn w:val="1"/>
    <w:qFormat/>
    <w:uiPriority w:val="0"/>
    <w:pPr>
      <w:widowControl/>
      <w:pBdr>
        <w:top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054">
    <w:name w:val="Item List"/>
    <w:basedOn w:val="1"/>
    <w:link w:val="1055"/>
    <w:qFormat/>
    <w:uiPriority w:val="0"/>
    <w:pPr>
      <w:spacing w:before="120" w:after="40"/>
      <w:ind w:left="420" w:hanging="420"/>
      <w:jc w:val="left"/>
    </w:pPr>
    <w:rPr>
      <w:rFonts w:ascii="Arial" w:hAnsi="Arial" w:eastAsia="宋体" w:cs="Times New Roman"/>
      <w:kern w:val="0"/>
      <w:sz w:val="18"/>
      <w:szCs w:val="13"/>
    </w:rPr>
  </w:style>
  <w:style w:type="character" w:customStyle="1" w:styleId="1055">
    <w:name w:val="Item List Char"/>
    <w:link w:val="1054"/>
    <w:qFormat/>
    <w:uiPriority w:val="0"/>
    <w:rPr>
      <w:rFonts w:ascii="Arial" w:hAnsi="Arial" w:eastAsia="宋体" w:cs="Times New Roman"/>
      <w:kern w:val="0"/>
      <w:sz w:val="18"/>
      <w:szCs w:val="13"/>
    </w:rPr>
  </w:style>
  <w:style w:type="paragraph" w:customStyle="1" w:styleId="1056">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1057">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1058">
    <w:name w:val="font18"/>
    <w:basedOn w:val="1"/>
    <w:qFormat/>
    <w:uiPriority w:val="0"/>
    <w:pPr>
      <w:widowControl/>
      <w:spacing w:before="100" w:beforeAutospacing="1" w:after="100" w:afterAutospacing="1"/>
      <w:jc w:val="left"/>
    </w:pPr>
    <w:rPr>
      <w:rFonts w:ascii="宋体" w:hAnsi="宋体" w:eastAsia="宋体" w:cs="宋体"/>
      <w:color w:val="000000"/>
      <w:kern w:val="0"/>
      <w:sz w:val="20"/>
      <w:szCs w:val="20"/>
    </w:rPr>
  </w:style>
  <w:style w:type="paragraph" w:customStyle="1" w:styleId="1059">
    <w:name w:val="font20"/>
    <w:basedOn w:val="1"/>
    <w:qFormat/>
    <w:uiPriority w:val="0"/>
    <w:pPr>
      <w:widowControl/>
      <w:spacing w:before="100" w:beforeAutospacing="1" w:after="100" w:afterAutospacing="1"/>
      <w:jc w:val="left"/>
    </w:pPr>
    <w:rPr>
      <w:rFonts w:ascii="宋体" w:hAnsi="宋体" w:eastAsia="宋体" w:cs="宋体"/>
      <w:color w:val="000000"/>
      <w:kern w:val="0"/>
      <w:sz w:val="20"/>
      <w:szCs w:val="20"/>
    </w:rPr>
  </w:style>
  <w:style w:type="paragraph" w:customStyle="1" w:styleId="1060">
    <w:name w:val="xl366"/>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061">
    <w:name w:val="xl24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062">
    <w:name w:val="xl1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063">
    <w:name w:val="样式11"/>
    <w:basedOn w:val="5"/>
    <w:qFormat/>
    <w:uiPriority w:val="0"/>
    <w:pPr>
      <w:spacing w:before="0" w:after="0" w:line="500" w:lineRule="exact"/>
    </w:pPr>
    <w:rPr>
      <w:rFonts w:ascii="宋体" w:hAnsi="宋体" w:eastAsia="黑体" w:cs="Times New Roman"/>
      <w:b w:val="0"/>
      <w:bCs w:val="0"/>
      <w:sz w:val="24"/>
      <w:szCs w:val="24"/>
    </w:rPr>
  </w:style>
  <w:style w:type="paragraph" w:customStyle="1" w:styleId="1064">
    <w:name w:val="xl267"/>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eastAsia="宋体" w:cs="宋体"/>
      <w:b/>
      <w:bCs/>
      <w:kern w:val="0"/>
      <w:sz w:val="24"/>
    </w:rPr>
  </w:style>
  <w:style w:type="paragraph" w:customStyle="1" w:styleId="1065">
    <w:name w:val="文章样式2"/>
    <w:basedOn w:val="1"/>
    <w:qFormat/>
    <w:uiPriority w:val="0"/>
    <w:pPr>
      <w:widowControl/>
      <w:adjustRightInd w:val="0"/>
      <w:snapToGrid w:val="0"/>
      <w:spacing w:line="360" w:lineRule="auto"/>
      <w:ind w:firstLine="151" w:firstLineChars="72"/>
    </w:pPr>
    <w:rPr>
      <w:rFonts w:ascii="Arial" w:hAnsi="Arial" w:eastAsia="宋体" w:cs="Arial"/>
      <w:sz w:val="24"/>
      <w:szCs w:val="21"/>
    </w:rPr>
  </w:style>
  <w:style w:type="paragraph" w:customStyle="1" w:styleId="1066">
    <w:name w:val="xl286"/>
    <w:basedOn w:val="1"/>
    <w:qFormat/>
    <w:uiPriority w:val="0"/>
    <w:pPr>
      <w:widowControl/>
      <w:spacing w:before="100" w:beforeAutospacing="1" w:after="100" w:afterAutospacing="1"/>
      <w:jc w:val="center"/>
    </w:pPr>
    <w:rPr>
      <w:rFonts w:ascii="宋体" w:hAnsi="宋体" w:eastAsia="宋体" w:cs="宋体"/>
      <w:b/>
      <w:bCs/>
      <w:kern w:val="0"/>
      <w:sz w:val="20"/>
      <w:szCs w:val="20"/>
    </w:rPr>
  </w:style>
  <w:style w:type="paragraph" w:customStyle="1" w:styleId="1067">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068">
    <w:name w:val="xl316"/>
    <w:basedOn w:val="1"/>
    <w:qFormat/>
    <w:uiPriority w:val="0"/>
    <w:pPr>
      <w:widowControl/>
      <w:pBdr>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069">
    <w:name w:val="xl16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070">
    <w:name w:val="样式 四号 加粗 段前: 7.8 磅 段后: 7.8 磅 行距: 1.5 倍行距1"/>
    <w:basedOn w:val="1"/>
    <w:qFormat/>
    <w:uiPriority w:val="0"/>
    <w:pPr>
      <w:spacing w:beforeLines="50" w:afterLines="50" w:line="360" w:lineRule="auto"/>
      <w:outlineLvl w:val="0"/>
    </w:pPr>
    <w:rPr>
      <w:rFonts w:ascii="Times New Roman" w:hAnsi="Times New Roman" w:eastAsia="宋体" w:cs="宋体"/>
      <w:b/>
      <w:bCs/>
      <w:sz w:val="28"/>
    </w:rPr>
  </w:style>
  <w:style w:type="paragraph" w:customStyle="1" w:styleId="1071">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072">
    <w:name w:val="xl321"/>
    <w:basedOn w:val="1"/>
    <w:qFormat/>
    <w:uiPriority w:val="0"/>
    <w:pPr>
      <w:widowControl/>
      <w:pBdr>
        <w:right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1073">
    <w:name w:val="正文段"/>
    <w:basedOn w:val="1"/>
    <w:qFormat/>
    <w:uiPriority w:val="0"/>
    <w:pPr>
      <w:autoSpaceDE w:val="0"/>
      <w:autoSpaceDN w:val="0"/>
      <w:adjustRightInd w:val="0"/>
      <w:spacing w:after="240" w:line="360" w:lineRule="atLeast"/>
      <w:ind w:firstLine="454"/>
      <w:textAlignment w:val="baseline"/>
    </w:pPr>
    <w:rPr>
      <w:rFonts w:ascii="宋体" w:hAnsi="Tms Rmn" w:eastAsia="宋体" w:cs="Times New Roman"/>
      <w:kern w:val="0"/>
      <w:sz w:val="24"/>
      <w:szCs w:val="20"/>
    </w:rPr>
  </w:style>
  <w:style w:type="paragraph" w:customStyle="1" w:styleId="1074">
    <w:name w:val="样式 首行缩进:  0.74 厘米"/>
    <w:basedOn w:val="1"/>
    <w:qFormat/>
    <w:uiPriority w:val="0"/>
    <w:pPr>
      <w:spacing w:before="120" w:after="120" w:line="360" w:lineRule="auto"/>
      <w:ind w:firstLine="420"/>
    </w:pPr>
    <w:rPr>
      <w:rFonts w:ascii="Times New Roman" w:hAnsi="Times New Roman" w:eastAsia="宋体" w:cs="宋体"/>
      <w:sz w:val="24"/>
      <w:szCs w:val="20"/>
    </w:rPr>
  </w:style>
  <w:style w:type="paragraph" w:customStyle="1" w:styleId="1075">
    <w:name w:val="Char Char2 Char"/>
    <w:basedOn w:val="1"/>
    <w:qFormat/>
    <w:uiPriority w:val="0"/>
    <w:pPr>
      <w:keepNext/>
      <w:keepLines/>
      <w:pageBreakBefore/>
      <w:tabs>
        <w:tab w:val="left" w:pos="845"/>
      </w:tabs>
      <w:ind w:left="845" w:hanging="420"/>
    </w:pPr>
    <w:rPr>
      <w:rFonts w:ascii="Tahoma" w:hAnsi="Tahoma" w:eastAsia="宋体" w:cs="Times New Roman"/>
      <w:sz w:val="24"/>
      <w:szCs w:val="20"/>
    </w:rPr>
  </w:style>
  <w:style w:type="paragraph" w:customStyle="1" w:styleId="1076">
    <w:name w:val="xl214"/>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077">
    <w:name w:val="xl283"/>
    <w:basedOn w:val="1"/>
    <w:qFormat/>
    <w:uiPriority w:val="0"/>
    <w:pPr>
      <w:widowControl/>
      <w:spacing w:before="100" w:beforeAutospacing="1" w:after="100" w:afterAutospacing="1"/>
      <w:jc w:val="center"/>
    </w:pPr>
    <w:rPr>
      <w:rFonts w:ascii="宋体" w:hAnsi="宋体" w:eastAsia="宋体" w:cs="宋体"/>
      <w:b/>
      <w:bCs/>
      <w:kern w:val="0"/>
      <w:sz w:val="20"/>
      <w:szCs w:val="20"/>
    </w:rPr>
  </w:style>
  <w:style w:type="paragraph" w:customStyle="1" w:styleId="1078">
    <w:name w:val="xl153"/>
    <w:basedOn w:val="1"/>
    <w:qFormat/>
    <w:uiPriority w:val="0"/>
    <w:pPr>
      <w:widowControl/>
      <w:pBdr>
        <w:lef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079">
    <w:name w:val="xl2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080">
    <w:name w:val="样式 标题 1第*部分第A章H1H11H12H111H13H112TITRE1合同标题卷标题项目标题h..."/>
    <w:basedOn w:val="1"/>
    <w:qFormat/>
    <w:uiPriority w:val="0"/>
    <w:pPr>
      <w:tabs>
        <w:tab w:val="left" w:pos="425"/>
      </w:tabs>
      <w:adjustRightInd w:val="0"/>
      <w:snapToGrid w:val="0"/>
      <w:ind w:left="425" w:hanging="425"/>
    </w:pPr>
    <w:rPr>
      <w:rFonts w:ascii="Times New Roman" w:hAnsi="Times New Roman" w:eastAsia="宋体" w:cs="Times New Roman"/>
      <w:sz w:val="24"/>
    </w:rPr>
  </w:style>
  <w:style w:type="paragraph" w:customStyle="1" w:styleId="1081">
    <w:name w:val="xl2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082">
    <w:name w:val="xl19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083">
    <w:name w:val="xl33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084">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085">
    <w:name w:val="xl16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086">
    <w:name w:val="样式 样式 样式1 + 段前: 0.5 行 段后: 0.5 行 + 段前: 0.5 行 段后: 0.5 行"/>
    <w:basedOn w:val="1"/>
    <w:qFormat/>
    <w:uiPriority w:val="0"/>
    <w:pPr>
      <w:tabs>
        <w:tab w:val="left" w:pos="1051"/>
      </w:tabs>
      <w:spacing w:before="156" w:after="156" w:line="360" w:lineRule="auto"/>
      <w:outlineLvl w:val="3"/>
    </w:pPr>
    <w:rPr>
      <w:rFonts w:ascii="Calibri" w:hAnsi="Calibri" w:eastAsia="宋体" w:cs="宋体"/>
      <w:b/>
      <w:bCs/>
      <w:sz w:val="24"/>
    </w:rPr>
  </w:style>
  <w:style w:type="paragraph" w:customStyle="1" w:styleId="1087">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1088">
    <w:name w:val="Char1 Char Char Char Char Char Char"/>
    <w:basedOn w:val="1"/>
    <w:qFormat/>
    <w:uiPriority w:val="0"/>
    <w:rPr>
      <w:rFonts w:ascii="Tahoma" w:hAnsi="Tahoma" w:eastAsia="宋体" w:cs="Times New Roman"/>
      <w:sz w:val="24"/>
      <w:szCs w:val="20"/>
    </w:rPr>
  </w:style>
  <w:style w:type="paragraph" w:customStyle="1" w:styleId="1089">
    <w:name w:val="xl149"/>
    <w:basedOn w:val="1"/>
    <w:qFormat/>
    <w:uiPriority w:val="0"/>
    <w:pPr>
      <w:widowControl/>
      <w:spacing w:before="100" w:beforeAutospacing="1" w:after="100" w:afterAutospacing="1"/>
      <w:jc w:val="center"/>
    </w:pPr>
    <w:rPr>
      <w:rFonts w:ascii="宋体" w:hAnsi="宋体" w:eastAsia="宋体" w:cs="宋体"/>
      <w:kern w:val="0"/>
      <w:sz w:val="20"/>
      <w:szCs w:val="20"/>
    </w:rPr>
  </w:style>
  <w:style w:type="paragraph" w:customStyle="1" w:styleId="1090">
    <w:name w:val="xl1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091">
    <w:name w:val="xl24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092">
    <w:name w:val="xl20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093">
    <w:name w:val="xl307"/>
    <w:basedOn w:val="1"/>
    <w:qFormat/>
    <w:uiPriority w:val="0"/>
    <w:pPr>
      <w:widowControl/>
      <w:pBdr>
        <w:bottom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094">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095">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096">
    <w:name w:val="xl218"/>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097">
    <w:name w:val="xl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098">
    <w:name w:val="样式 首行缩进 + 宋体 首行缩进:  2 字符"/>
    <w:basedOn w:val="1"/>
    <w:qFormat/>
    <w:uiPriority w:val="0"/>
    <w:pPr>
      <w:spacing w:line="360" w:lineRule="auto"/>
      <w:ind w:firstLine="422" w:firstLineChars="200"/>
      <w:jc w:val="left"/>
    </w:pPr>
    <w:rPr>
      <w:rFonts w:ascii="宋体" w:hAnsi="宋体" w:eastAsia="宋体" w:cs="宋体"/>
      <w:b/>
      <w:sz w:val="24"/>
      <w:szCs w:val="21"/>
    </w:rPr>
  </w:style>
  <w:style w:type="paragraph" w:customStyle="1" w:styleId="1099">
    <w:name w:val="样式 标题 2 + 段前: 13 磅 段后: 13 磅 行距: 多倍行距 1.73 字行"/>
    <w:basedOn w:val="5"/>
    <w:qFormat/>
    <w:uiPriority w:val="99"/>
    <w:pPr>
      <w:spacing w:before="100" w:after="0" w:line="360" w:lineRule="auto"/>
      <w:ind w:left="992" w:hanging="567"/>
    </w:pPr>
    <w:rPr>
      <w:rFonts w:ascii="Arial" w:hAnsi="Arial" w:eastAsia="黑体" w:cs="宋体"/>
      <w:sz w:val="32"/>
      <w:szCs w:val="20"/>
    </w:rPr>
  </w:style>
  <w:style w:type="paragraph" w:customStyle="1" w:styleId="1100">
    <w:name w:val="CM10"/>
    <w:basedOn w:val="227"/>
    <w:next w:val="227"/>
    <w:qFormat/>
    <w:uiPriority w:val="0"/>
    <w:pPr>
      <w:spacing w:line="468" w:lineRule="atLeast"/>
    </w:pPr>
    <w:rPr>
      <w:rFonts w:ascii=".." w:hAnsi="Times New Roman" w:eastAsia=".." w:cs="Times New Roman"/>
      <w:color w:val="auto"/>
      <w:kern w:val="0"/>
      <w:sz w:val="20"/>
    </w:rPr>
  </w:style>
  <w:style w:type="paragraph" w:customStyle="1" w:styleId="1101">
    <w:name w:val="xl30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102">
    <w:name w:val="_Style 1039"/>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103">
    <w:name w:val="ptdl"/>
    <w:basedOn w:val="1"/>
    <w:qFormat/>
    <w:uiPriority w:val="0"/>
    <w:pPr>
      <w:spacing w:after="156"/>
      <w:ind w:firstLine="480"/>
    </w:pPr>
    <w:rPr>
      <w:rFonts w:ascii="Times New Roman" w:hAnsi="Times New Roman" w:eastAsia="宋体" w:cs="Times New Roman"/>
      <w:sz w:val="24"/>
      <w:szCs w:val="20"/>
    </w:rPr>
  </w:style>
  <w:style w:type="paragraph" w:customStyle="1" w:styleId="1104">
    <w:name w:val="xl1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05">
    <w:name w:val="xl232"/>
    <w:basedOn w:val="1"/>
    <w:qFormat/>
    <w:uiPriority w:val="0"/>
    <w:pPr>
      <w:widowControl/>
      <w:pBdr>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06">
    <w:name w:val="xl322"/>
    <w:basedOn w:val="1"/>
    <w:qFormat/>
    <w:uiPriority w:val="0"/>
    <w:pPr>
      <w:widowControl/>
      <w:pBdr>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107">
    <w:name w:val="xl2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08">
    <w:name w:val="xl2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109">
    <w:name w:val="xl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10">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111">
    <w:name w:val="xl2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12">
    <w:name w:val="xl1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13">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114">
    <w:name w:val="样式 仿宋_GB2312 四号 行距: 1.5 倍行距1"/>
    <w:basedOn w:val="1"/>
    <w:qFormat/>
    <w:uiPriority w:val="0"/>
    <w:pPr>
      <w:spacing w:line="360" w:lineRule="auto"/>
      <w:ind w:firstLine="196" w:firstLineChars="196"/>
    </w:pPr>
    <w:rPr>
      <w:rFonts w:ascii="仿宋_GB2312" w:hAnsi="宋体" w:eastAsia="仿宋_GB2312" w:cs="宋体"/>
      <w:kern w:val="0"/>
      <w:sz w:val="28"/>
      <w:szCs w:val="20"/>
    </w:rPr>
  </w:style>
  <w:style w:type="paragraph" w:customStyle="1" w:styleId="1115">
    <w:name w:val="xl37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116">
    <w:name w:val="xl319"/>
    <w:basedOn w:val="1"/>
    <w:qFormat/>
    <w:uiPriority w:val="0"/>
    <w:pPr>
      <w:widowControl/>
      <w:pBdr>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117">
    <w:name w:val="Aufzählung"/>
    <w:basedOn w:val="1"/>
    <w:next w:val="1"/>
    <w:qFormat/>
    <w:uiPriority w:val="0"/>
    <w:pPr>
      <w:keepLines/>
      <w:widowControl/>
      <w:tabs>
        <w:tab w:val="left" w:pos="113"/>
        <w:tab w:val="left" w:pos="360"/>
      </w:tabs>
      <w:spacing w:line="228" w:lineRule="exact"/>
      <w:jc w:val="left"/>
    </w:pPr>
    <w:rPr>
      <w:rFonts w:ascii="MetaPlusLF" w:hAnsi="MetaPlusLF" w:eastAsia="宋体" w:cs="Times New Roman"/>
      <w:kern w:val="0"/>
      <w:sz w:val="15"/>
      <w:szCs w:val="20"/>
      <w:lang w:val="de-DE" w:eastAsia="de-DE"/>
    </w:rPr>
  </w:style>
  <w:style w:type="paragraph" w:customStyle="1" w:styleId="1118">
    <w:name w:val="xl358"/>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119">
    <w:name w:val="CM12"/>
    <w:basedOn w:val="227"/>
    <w:next w:val="227"/>
    <w:qFormat/>
    <w:uiPriority w:val="0"/>
    <w:pPr>
      <w:spacing w:line="468" w:lineRule="atLeast"/>
    </w:pPr>
    <w:rPr>
      <w:rFonts w:ascii=".." w:hAnsi="Times New Roman" w:eastAsia=".." w:cs="Times New Roman"/>
      <w:color w:val="auto"/>
      <w:kern w:val="0"/>
      <w:sz w:val="20"/>
    </w:rPr>
  </w:style>
  <w:style w:type="paragraph" w:customStyle="1" w:styleId="1120">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121">
    <w:name w:val="xl293"/>
    <w:basedOn w:val="1"/>
    <w:qFormat/>
    <w:uiPriority w:val="0"/>
    <w:pPr>
      <w:widowControl/>
      <w:spacing w:before="100" w:beforeAutospacing="1" w:after="100" w:afterAutospacing="1"/>
      <w:jc w:val="center"/>
    </w:pPr>
    <w:rPr>
      <w:rFonts w:ascii="宋体" w:hAnsi="宋体" w:eastAsia="宋体" w:cs="宋体"/>
      <w:kern w:val="0"/>
      <w:sz w:val="18"/>
      <w:szCs w:val="18"/>
    </w:rPr>
  </w:style>
  <w:style w:type="paragraph" w:customStyle="1" w:styleId="1122">
    <w:name w:val="Style Normal CH + First line:  2.13 ch"/>
    <w:basedOn w:val="753"/>
    <w:qFormat/>
    <w:uiPriority w:val="0"/>
    <w:rPr>
      <w:szCs w:val="20"/>
    </w:rPr>
  </w:style>
  <w:style w:type="paragraph" w:customStyle="1" w:styleId="1123">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124">
    <w:name w:val="xl296"/>
    <w:basedOn w:val="1"/>
    <w:qFormat/>
    <w:uiPriority w:val="0"/>
    <w:pPr>
      <w:widowControl/>
      <w:spacing w:before="100" w:beforeAutospacing="1" w:after="100" w:afterAutospacing="1"/>
      <w:jc w:val="center"/>
    </w:pPr>
    <w:rPr>
      <w:rFonts w:ascii="宋体" w:hAnsi="宋体" w:eastAsia="宋体" w:cs="宋体"/>
      <w:kern w:val="0"/>
      <w:sz w:val="20"/>
      <w:szCs w:val="20"/>
    </w:rPr>
  </w:style>
  <w:style w:type="paragraph" w:customStyle="1" w:styleId="1125">
    <w:name w:val="正文1"/>
    <w:basedOn w:val="1"/>
    <w:qFormat/>
    <w:uiPriority w:val="0"/>
    <w:pPr>
      <w:adjustRightInd w:val="0"/>
      <w:spacing w:line="410" w:lineRule="atLeast"/>
      <w:textAlignment w:val="baseline"/>
    </w:pPr>
    <w:rPr>
      <w:rFonts w:ascii="宋体" w:hAnsi="华文楷体" w:eastAsia="华文楷体" w:cs="Times New Roman"/>
      <w:b/>
      <w:kern w:val="0"/>
      <w:sz w:val="24"/>
      <w:szCs w:val="20"/>
    </w:rPr>
  </w:style>
  <w:style w:type="paragraph" w:customStyle="1" w:styleId="1126">
    <w:name w:val="xl36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b/>
      <w:bCs/>
      <w:kern w:val="0"/>
      <w:sz w:val="24"/>
    </w:rPr>
  </w:style>
  <w:style w:type="paragraph" w:customStyle="1" w:styleId="1127">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eastAsia="宋体" w:cs="宋体"/>
      <w:kern w:val="0"/>
      <w:sz w:val="24"/>
    </w:rPr>
  </w:style>
  <w:style w:type="paragraph" w:customStyle="1" w:styleId="1128">
    <w:name w:val="xl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29">
    <w:name w:val="xl331"/>
    <w:basedOn w:val="1"/>
    <w:qFormat/>
    <w:uiPriority w:val="0"/>
    <w:pPr>
      <w:widowControl/>
      <w:pBdr>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130">
    <w:name w:val="xl1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131">
    <w:name w:val="xl308"/>
    <w:basedOn w:val="1"/>
    <w:qFormat/>
    <w:uiPriority w:val="0"/>
    <w:pPr>
      <w:widowControl/>
      <w:pBdr>
        <w:bottom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132">
    <w:name w:val="xl1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133">
    <w:name w:val="xl313"/>
    <w:basedOn w:val="1"/>
    <w:qFormat/>
    <w:uiPriority w:val="0"/>
    <w:pPr>
      <w:widowControl/>
      <w:pBdr>
        <w:top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134">
    <w:name w:val="xl1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135">
    <w:name w:val="xl320"/>
    <w:basedOn w:val="1"/>
    <w:qFormat/>
    <w:uiPriority w:val="0"/>
    <w:pPr>
      <w:widowControl/>
      <w:pBdr>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136">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137">
    <w:name w:val="xl19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38">
    <w:name w:val="xl346"/>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eastAsia="宋体" w:cs="宋体"/>
      <w:kern w:val="0"/>
      <w:sz w:val="20"/>
      <w:szCs w:val="20"/>
    </w:rPr>
  </w:style>
  <w:style w:type="paragraph" w:customStyle="1" w:styleId="1139">
    <w:name w:val="xl2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140">
    <w:name w:val="xl3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141">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42">
    <w:name w:val="xl223"/>
    <w:basedOn w:val="1"/>
    <w:qFormat/>
    <w:uiPriority w:val="0"/>
    <w:pPr>
      <w:widowControl/>
      <w:spacing w:before="100" w:beforeAutospacing="1" w:after="100" w:afterAutospacing="1"/>
      <w:jc w:val="left"/>
      <w:textAlignment w:val="bottom"/>
    </w:pPr>
    <w:rPr>
      <w:rFonts w:ascii="宋体" w:hAnsi="宋体" w:eastAsia="宋体" w:cs="宋体"/>
      <w:kern w:val="0"/>
      <w:sz w:val="24"/>
    </w:rPr>
  </w:style>
  <w:style w:type="paragraph" w:customStyle="1" w:styleId="1143">
    <w:name w:val="xl312"/>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144">
    <w:name w:val="text_text"/>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145">
    <w:name w:val="xl284"/>
    <w:basedOn w:val="1"/>
    <w:qFormat/>
    <w:uiPriority w:val="0"/>
    <w:pPr>
      <w:widowControl/>
      <w:spacing w:before="100" w:beforeAutospacing="1" w:after="100" w:afterAutospacing="1"/>
      <w:jc w:val="center"/>
    </w:pPr>
    <w:rPr>
      <w:rFonts w:ascii="宋体" w:hAnsi="宋体" w:eastAsia="宋体" w:cs="宋体"/>
      <w:b/>
      <w:bCs/>
      <w:kern w:val="0"/>
      <w:sz w:val="20"/>
      <w:szCs w:val="20"/>
    </w:rPr>
  </w:style>
  <w:style w:type="paragraph" w:customStyle="1" w:styleId="1146">
    <w:name w:val="xl2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47">
    <w:name w:val="一级条标题"/>
    <w:next w:val="1"/>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1148">
    <w:name w:val="xl323"/>
    <w:basedOn w:val="1"/>
    <w:qFormat/>
    <w:uiPriority w:val="0"/>
    <w:pPr>
      <w:widowControl/>
      <w:pBdr>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149">
    <w:name w:val="Char3 Char Char Char"/>
    <w:basedOn w:val="1"/>
    <w:qFormat/>
    <w:uiPriority w:val="0"/>
    <w:rPr>
      <w:rFonts w:ascii="仿宋_GB2312" w:hAnsi="Times New Roman" w:eastAsia="仿宋_GB2312" w:cs="Times New Roman"/>
      <w:b/>
      <w:sz w:val="32"/>
      <w:szCs w:val="32"/>
    </w:rPr>
  </w:style>
  <w:style w:type="paragraph" w:customStyle="1" w:styleId="1150">
    <w:name w:val="xl1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151">
    <w:name w:val="样式 样式 样式 样式 样式 样式 小四 加粗 段前: 7.8 磅 段后: 7.8 磅 行距: 1.5 倍行距 + 段前: 0...."/>
    <w:basedOn w:val="1"/>
    <w:qFormat/>
    <w:uiPriority w:val="0"/>
    <w:pPr>
      <w:tabs>
        <w:tab w:val="left" w:pos="1352"/>
      </w:tabs>
      <w:spacing w:before="120" w:after="120" w:line="360" w:lineRule="auto"/>
      <w:outlineLvl w:val="4"/>
    </w:pPr>
    <w:rPr>
      <w:rFonts w:ascii="Times New Roman" w:hAnsi="Times New Roman" w:eastAsia="宋体" w:cs="宋体"/>
      <w:b/>
      <w:bCs/>
      <w:sz w:val="24"/>
      <w:szCs w:val="21"/>
    </w:rPr>
  </w:style>
  <w:style w:type="paragraph" w:customStyle="1" w:styleId="1152">
    <w:name w:val="无间隔2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53">
    <w:name w:val="xl324"/>
    <w:basedOn w:val="1"/>
    <w:qFormat/>
    <w:uiPriority w:val="0"/>
    <w:pPr>
      <w:widowControl/>
      <w:pBdr>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154">
    <w:name w:val="xl33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155">
    <w:name w:val="明显引用21"/>
    <w:basedOn w:val="1"/>
    <w:next w:val="1"/>
    <w:qFormat/>
    <w:uiPriority w:val="0"/>
    <w:pPr>
      <w:pBdr>
        <w:bottom w:val="single" w:color="4F81BD" w:sz="4" w:space="4"/>
      </w:pBdr>
      <w:spacing w:before="200" w:after="280"/>
      <w:ind w:left="936" w:right="936"/>
    </w:pPr>
    <w:rPr>
      <w:rFonts w:ascii="Times New Roman" w:hAnsi="Times New Roman" w:eastAsia="宋体" w:cs="Times New Roman"/>
      <w:b/>
      <w:i/>
      <w:color w:val="4F81BD"/>
      <w:sz w:val="22"/>
      <w:szCs w:val="20"/>
    </w:rPr>
  </w:style>
  <w:style w:type="paragraph" w:customStyle="1" w:styleId="1156">
    <w:name w:val="xl1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57">
    <w:name w:val="字元 字元2"/>
    <w:basedOn w:val="1"/>
    <w:qFormat/>
    <w:uiPriority w:val="0"/>
    <w:rPr>
      <w:rFonts w:ascii="Times New Roman" w:hAnsi="Times New Roman" w:eastAsia="宋体" w:cs="Times New Roman"/>
      <w:sz w:val="24"/>
      <w:szCs w:val="20"/>
    </w:rPr>
  </w:style>
  <w:style w:type="paragraph" w:customStyle="1" w:styleId="1158">
    <w:name w:val="xl362"/>
    <w:basedOn w:val="1"/>
    <w:qFormat/>
    <w:uiPriority w:val="0"/>
    <w:pPr>
      <w:widowControl/>
      <w:pBdr>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159">
    <w:name w:val="系统集成正文"/>
    <w:basedOn w:val="1"/>
    <w:qFormat/>
    <w:uiPriority w:val="0"/>
    <w:pPr>
      <w:widowControl/>
      <w:spacing w:beforeLines="50" w:afterLines="50" w:line="360" w:lineRule="auto"/>
      <w:ind w:firstLine="480" w:firstLineChars="200"/>
    </w:pPr>
    <w:rPr>
      <w:rFonts w:ascii="Arial" w:hAnsi="Arial" w:eastAsia="宋体" w:cs="Arial"/>
      <w:color w:val="000000"/>
      <w:kern w:val="0"/>
      <w:sz w:val="24"/>
      <w:szCs w:val="18"/>
    </w:rPr>
  </w:style>
  <w:style w:type="paragraph" w:customStyle="1" w:styleId="1160">
    <w:name w:val="xl19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61">
    <w:name w:val="Char Char Char Char Char Char Char Char Char Char1"/>
    <w:basedOn w:val="1"/>
    <w:qFormat/>
    <w:uiPriority w:val="0"/>
    <w:pPr>
      <w:tabs>
        <w:tab w:val="left" w:pos="360"/>
      </w:tabs>
      <w:ind w:left="360" w:hanging="360" w:hangingChars="200"/>
    </w:pPr>
    <w:rPr>
      <w:rFonts w:ascii="Times New Roman" w:hAnsi="Times New Roman" w:eastAsia="宋体" w:cs="Times New Roman"/>
      <w:sz w:val="24"/>
    </w:rPr>
  </w:style>
  <w:style w:type="paragraph" w:customStyle="1" w:styleId="1162">
    <w:name w:val="xl1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6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eastAsia="宋体" w:cs="Times New Roman"/>
      <w:kern w:val="0"/>
      <w:sz w:val="20"/>
      <w:szCs w:val="20"/>
    </w:rPr>
  </w:style>
  <w:style w:type="paragraph" w:customStyle="1" w:styleId="1164">
    <w:name w:val="附录三级条标题"/>
    <w:basedOn w:val="1165"/>
    <w:next w:val="591"/>
    <w:qFormat/>
    <w:uiPriority w:val="0"/>
    <w:pPr>
      <w:tabs>
        <w:tab w:val="left" w:pos="360"/>
      </w:tabs>
      <w:outlineLvl w:val="4"/>
    </w:pPr>
  </w:style>
  <w:style w:type="paragraph" w:customStyle="1" w:styleId="1165">
    <w:name w:val="附录二级条标题"/>
    <w:basedOn w:val="1"/>
    <w:next w:val="591"/>
    <w:qFormat/>
    <w:uiPriority w:val="0"/>
    <w:pPr>
      <w:widowControl/>
      <w:tabs>
        <w:tab w:val="left" w:pos="360"/>
      </w:tabs>
      <w:wordWrap w:val="0"/>
      <w:overflowPunct w:val="0"/>
      <w:autoSpaceDE w:val="0"/>
      <w:autoSpaceDN w:val="0"/>
      <w:spacing w:beforeLines="50" w:afterLines="50"/>
      <w:textAlignment w:val="baseline"/>
      <w:outlineLvl w:val="3"/>
    </w:pPr>
    <w:rPr>
      <w:rFonts w:ascii="黑体" w:hAnsi="Times New Roman" w:eastAsia="黑体" w:cs="Times New Roman"/>
      <w:kern w:val="21"/>
      <w:szCs w:val="20"/>
    </w:rPr>
  </w:style>
  <w:style w:type="paragraph" w:customStyle="1" w:styleId="1166">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167">
    <w:name w:val="xl31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168">
    <w:name w:val="xl297"/>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1169">
    <w:name w:val="xl1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17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71">
    <w:name w:val="xl317"/>
    <w:basedOn w:val="1"/>
    <w:qFormat/>
    <w:uiPriority w:val="0"/>
    <w:pPr>
      <w:widowControl/>
      <w:pBdr>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172">
    <w:name w:val="普通(网站)6"/>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173">
    <w:name w:val="xl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174">
    <w:name w:val="xl258"/>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eastAsia="宋体" w:cs="宋体"/>
      <w:kern w:val="0"/>
      <w:sz w:val="24"/>
    </w:rPr>
  </w:style>
  <w:style w:type="paragraph" w:customStyle="1" w:styleId="1175">
    <w:name w:val="xl363"/>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176">
    <w:name w:val="xl1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177">
    <w:name w:val="样式5 列表步骤"/>
    <w:qFormat/>
    <w:uiPriority w:val="0"/>
    <w:pPr>
      <w:widowControl w:val="0"/>
      <w:tabs>
        <w:tab w:val="left" w:pos="0"/>
      </w:tabs>
      <w:spacing w:line="320" w:lineRule="atLeast"/>
      <w:textAlignment w:val="center"/>
    </w:pPr>
    <w:rPr>
      <w:rFonts w:ascii="Arial" w:hAnsi="Arial" w:eastAsia="宋体" w:cs="Times New Roman"/>
      <w:kern w:val="21"/>
      <w:sz w:val="21"/>
      <w:lang w:val="en-US" w:eastAsia="zh-CN" w:bidi="ar-SA"/>
    </w:rPr>
  </w:style>
  <w:style w:type="paragraph" w:customStyle="1" w:styleId="1178">
    <w:name w:val="xl2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79">
    <w:name w:val="xl353"/>
    <w:basedOn w:val="1"/>
    <w:qFormat/>
    <w:uiPriority w:val="0"/>
    <w:pPr>
      <w:widowControl/>
      <w:pBdr>
        <w:left w:val="single" w:color="auto" w:sz="4" w:space="0"/>
        <w:bottom w:val="single" w:color="auto" w:sz="4" w:space="0"/>
        <w:right w:val="single" w:color="auto" w:sz="4" w:space="0"/>
      </w:pBdr>
      <w:spacing w:before="100" w:beforeAutospacing="1" w:after="100" w:afterAutospacing="1"/>
      <w:jc w:val="right"/>
    </w:pPr>
    <w:rPr>
      <w:rFonts w:ascii="宋体" w:hAnsi="宋体" w:eastAsia="宋体" w:cs="宋体"/>
      <w:kern w:val="0"/>
      <w:sz w:val="20"/>
      <w:szCs w:val="20"/>
    </w:rPr>
  </w:style>
  <w:style w:type="paragraph" w:customStyle="1" w:styleId="1180">
    <w:name w:val="xl2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181">
    <w:name w:val="Pa9"/>
    <w:basedOn w:val="227"/>
    <w:next w:val="227"/>
    <w:qFormat/>
    <w:uiPriority w:val="0"/>
    <w:pPr>
      <w:spacing w:line="201" w:lineRule="atLeast"/>
    </w:pPr>
    <w:rPr>
      <w:rFonts w:ascii="文鼎....." w:hAnsi="Calibri" w:eastAsia="文鼎....." w:cs="Times New Roman"/>
      <w:color w:val="auto"/>
      <w:kern w:val="0"/>
    </w:rPr>
  </w:style>
  <w:style w:type="paragraph" w:customStyle="1" w:styleId="1182">
    <w:name w:val="标准正文"/>
    <w:basedOn w:val="28"/>
    <w:qFormat/>
    <w:uiPriority w:val="0"/>
    <w:pPr>
      <w:spacing w:before="60" w:after="60" w:line="360" w:lineRule="auto"/>
      <w:ind w:firstLine="482" w:firstLineChars="0"/>
    </w:pPr>
    <w:rPr>
      <w:rFonts w:ascii="Arial" w:hAnsi="Arial" w:eastAsia="宋体" w:cs="Times New Roman"/>
      <w:kern w:val="2"/>
      <w:sz w:val="24"/>
      <w:szCs w:val="20"/>
    </w:rPr>
  </w:style>
  <w:style w:type="paragraph" w:customStyle="1" w:styleId="1183">
    <w:name w:val="xl266"/>
    <w:basedOn w:val="1"/>
    <w:qFormat/>
    <w:uiPriority w:val="0"/>
    <w:pPr>
      <w:widowControl/>
      <w:pBdr>
        <w:top w:val="single" w:color="auto" w:sz="4" w:space="0"/>
      </w:pBdr>
      <w:spacing w:before="100" w:beforeAutospacing="1" w:after="100" w:afterAutospacing="1"/>
      <w:jc w:val="left"/>
    </w:pPr>
    <w:rPr>
      <w:rFonts w:ascii="宋体" w:hAnsi="宋体" w:eastAsia="宋体" w:cs="宋体"/>
      <w:b/>
      <w:bCs/>
      <w:kern w:val="0"/>
      <w:sz w:val="24"/>
    </w:rPr>
  </w:style>
  <w:style w:type="paragraph" w:customStyle="1" w:styleId="1184">
    <w:name w:val="合同文件"/>
    <w:basedOn w:val="1"/>
    <w:qFormat/>
    <w:uiPriority w:val="0"/>
    <w:pPr>
      <w:tabs>
        <w:tab w:val="left" w:pos="253"/>
        <w:tab w:val="left" w:pos="720"/>
      </w:tabs>
      <w:spacing w:before="156" w:beforeLines="50" w:line="400" w:lineRule="exact"/>
      <w:ind w:left="253" w:hanging="360"/>
    </w:pPr>
    <w:rPr>
      <w:rFonts w:ascii="Times New Roman" w:hAnsi="Times New Roman" w:eastAsia="宋体" w:cs="Times New Roman"/>
      <w:b/>
      <w:sz w:val="24"/>
      <w:szCs w:val="20"/>
    </w:rPr>
  </w:style>
  <w:style w:type="paragraph" w:customStyle="1" w:styleId="1185">
    <w:name w:val="textindent1"/>
    <w:basedOn w:val="1"/>
    <w:qFormat/>
    <w:uiPriority w:val="0"/>
    <w:pPr>
      <w:widowControl/>
      <w:spacing w:after="120" w:line="405" w:lineRule="atLeast"/>
      <w:ind w:firstLine="375"/>
      <w:jc w:val="left"/>
    </w:pPr>
    <w:rPr>
      <w:rFonts w:ascii="ˎ̥" w:hAnsi="ˎ̥" w:eastAsia="宋体" w:cs="Arial"/>
      <w:color w:val="828282"/>
      <w:kern w:val="0"/>
      <w:sz w:val="18"/>
      <w:szCs w:val="18"/>
    </w:rPr>
  </w:style>
  <w:style w:type="paragraph" w:customStyle="1" w:styleId="1186">
    <w:name w:val="dash6b63-6587"/>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187">
    <w:name w:val="表格内容"/>
    <w:basedOn w:val="1"/>
    <w:next w:val="1"/>
    <w:link w:val="1188"/>
    <w:qFormat/>
    <w:uiPriority w:val="0"/>
    <w:pPr>
      <w:tabs>
        <w:tab w:val="left" w:pos="1260"/>
      </w:tabs>
      <w:spacing w:line="312" w:lineRule="auto"/>
    </w:pPr>
    <w:rPr>
      <w:rFonts w:ascii="宋体" w:hAnsi="Times New Roman" w:eastAsia="宋体" w:cs="Times New Roman"/>
      <w:sz w:val="24"/>
      <w:szCs w:val="20"/>
    </w:rPr>
  </w:style>
  <w:style w:type="character" w:customStyle="1" w:styleId="1188">
    <w:name w:val="表格内容 Char"/>
    <w:link w:val="1187"/>
    <w:uiPriority w:val="0"/>
    <w:rPr>
      <w:rFonts w:ascii="宋体" w:hAnsi="Times New Roman" w:eastAsia="宋体" w:cs="Times New Roman"/>
      <w:sz w:val="24"/>
      <w:szCs w:val="20"/>
    </w:rPr>
  </w:style>
  <w:style w:type="paragraph" w:customStyle="1" w:styleId="1189">
    <w:name w:val="xl3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190">
    <w:name w:val="正文表标题"/>
    <w:next w:val="1"/>
    <w:qFormat/>
    <w:uiPriority w:val="0"/>
    <w:pPr>
      <w:ind w:left="420" w:hanging="420"/>
      <w:jc w:val="center"/>
    </w:pPr>
    <w:rPr>
      <w:rFonts w:ascii="黑体" w:hAnsi="Times New Roman" w:eastAsia="黑体" w:cs="Times New Roman"/>
      <w:sz w:val="21"/>
      <w:lang w:val="en-US" w:eastAsia="zh-CN" w:bidi="ar-SA"/>
    </w:rPr>
  </w:style>
  <w:style w:type="paragraph" w:customStyle="1" w:styleId="1191">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192">
    <w:name w:val="标题 332"/>
    <w:basedOn w:val="1"/>
    <w:qFormat/>
    <w:uiPriority w:val="0"/>
    <w:pPr>
      <w:widowControl/>
      <w:jc w:val="left"/>
      <w:outlineLvl w:val="3"/>
    </w:pPr>
    <w:rPr>
      <w:rFonts w:ascii="宋体" w:hAnsi="宋体" w:eastAsia="宋体" w:cs="宋体"/>
      <w:b/>
      <w:bCs/>
      <w:color w:val="666666"/>
      <w:kern w:val="0"/>
      <w:sz w:val="24"/>
    </w:rPr>
  </w:style>
  <w:style w:type="paragraph" w:customStyle="1" w:styleId="1193">
    <w:name w:val="xl1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194">
    <w:name w:val="xl1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20"/>
      <w:szCs w:val="20"/>
    </w:rPr>
  </w:style>
  <w:style w:type="paragraph" w:customStyle="1" w:styleId="1195">
    <w:name w:val="xl19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96">
    <w:name w:val="Char Char212"/>
    <w:basedOn w:val="23"/>
    <w:qFormat/>
    <w:uiPriority w:val="0"/>
    <w:rPr>
      <w:rFonts w:ascii="Calibri" w:hAnsi="Calibri" w:eastAsia="宋体" w:cs="Times New Roman"/>
    </w:rPr>
  </w:style>
  <w:style w:type="paragraph" w:customStyle="1" w:styleId="1197">
    <w:name w:val="xl1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198">
    <w:name w:val="段落正文 Char Char"/>
    <w:basedOn w:val="1"/>
    <w:qFormat/>
    <w:uiPriority w:val="0"/>
    <w:pPr>
      <w:spacing w:line="360" w:lineRule="auto"/>
      <w:ind w:firstLine="461" w:firstLineChars="192"/>
    </w:pPr>
    <w:rPr>
      <w:rFonts w:ascii="宋体" w:hAnsi="宋体" w:eastAsia="宋体" w:cs="Times New Roman"/>
      <w:sz w:val="24"/>
    </w:rPr>
  </w:style>
  <w:style w:type="paragraph" w:customStyle="1" w:styleId="1199">
    <w:name w:val="xl26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200">
    <w:name w:val="CM17"/>
    <w:basedOn w:val="1"/>
    <w:next w:val="1"/>
    <w:qFormat/>
    <w:uiPriority w:val="0"/>
    <w:pPr>
      <w:autoSpaceDE w:val="0"/>
      <w:autoSpaceDN w:val="0"/>
      <w:adjustRightInd w:val="0"/>
      <w:spacing w:line="468" w:lineRule="atLeast"/>
      <w:jc w:val="left"/>
    </w:pPr>
    <w:rPr>
      <w:rFonts w:ascii="宋体" w:hAnsi="Times New Roman" w:eastAsia="宋体" w:cs="Times New Roman"/>
      <w:kern w:val="0"/>
      <w:sz w:val="24"/>
    </w:rPr>
  </w:style>
  <w:style w:type="paragraph" w:customStyle="1" w:styleId="1201">
    <w:name w:val="正文文本 321"/>
    <w:basedOn w:val="1"/>
    <w:qFormat/>
    <w:uiPriority w:val="0"/>
    <w:pPr>
      <w:spacing w:after="120"/>
    </w:pPr>
    <w:rPr>
      <w:rFonts w:ascii="Times New Roman" w:hAnsi="Times New Roman" w:eastAsia="宋体" w:cs="Times New Roman"/>
      <w:sz w:val="16"/>
      <w:szCs w:val="16"/>
    </w:rPr>
  </w:style>
  <w:style w:type="paragraph" w:customStyle="1" w:styleId="1202">
    <w:name w:val="xl1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203">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204">
    <w:name w:val="样式 五号 首行缩进:  2 字符"/>
    <w:basedOn w:val="1"/>
    <w:qFormat/>
    <w:uiPriority w:val="0"/>
    <w:pPr>
      <w:ind w:firstLine="50" w:firstLineChars="50"/>
    </w:pPr>
    <w:rPr>
      <w:rFonts w:ascii="Times New Roman" w:hAnsi="Times New Roman" w:eastAsia="宋体" w:cs="宋体"/>
      <w:kern w:val="0"/>
      <w:szCs w:val="20"/>
    </w:rPr>
  </w:style>
  <w:style w:type="paragraph" w:customStyle="1" w:styleId="1205">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206">
    <w:name w:val="HTML 预设格式1"/>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宋体" w:cs="Times New Roman"/>
      <w:sz w:val="20"/>
      <w:szCs w:val="20"/>
    </w:rPr>
  </w:style>
  <w:style w:type="paragraph" w:customStyle="1" w:styleId="1207">
    <w:name w:val="xl357"/>
    <w:basedOn w:val="1"/>
    <w:qFormat/>
    <w:uiPriority w:val="0"/>
    <w:pPr>
      <w:widowControl/>
      <w:pBdr>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208">
    <w:name w:val="CM8"/>
    <w:basedOn w:val="227"/>
    <w:next w:val="227"/>
    <w:qFormat/>
    <w:uiPriority w:val="0"/>
    <w:pPr>
      <w:spacing w:line="468" w:lineRule="atLeast"/>
    </w:pPr>
    <w:rPr>
      <w:rFonts w:ascii=".." w:hAnsi="Times New Roman" w:eastAsia=".." w:cs="Times New Roman"/>
      <w:color w:val="auto"/>
      <w:kern w:val="0"/>
      <w:sz w:val="20"/>
    </w:rPr>
  </w:style>
  <w:style w:type="paragraph" w:customStyle="1" w:styleId="1209">
    <w:name w:val="HTML 预设格式2"/>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宋体" w:cs="Times New Roman"/>
      <w:sz w:val="20"/>
      <w:szCs w:val="20"/>
    </w:rPr>
  </w:style>
  <w:style w:type="paragraph" w:customStyle="1" w:styleId="1210">
    <w:name w:val="xl3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211">
    <w:name w:val="xl270"/>
    <w:basedOn w:val="1"/>
    <w:qFormat/>
    <w:uiPriority w:val="0"/>
    <w:pPr>
      <w:widowControl/>
      <w:spacing w:before="100" w:beforeAutospacing="1" w:after="100" w:afterAutospacing="1"/>
      <w:jc w:val="center"/>
    </w:pPr>
    <w:rPr>
      <w:rFonts w:ascii="宋体" w:hAnsi="宋体" w:eastAsia="宋体" w:cs="宋体"/>
      <w:b/>
      <w:bCs/>
      <w:kern w:val="0"/>
      <w:sz w:val="20"/>
      <w:szCs w:val="20"/>
    </w:rPr>
  </w:style>
  <w:style w:type="paragraph" w:customStyle="1" w:styleId="1212">
    <w:name w:val="_Style 136"/>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3">
    <w:name w:val="xl1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214">
    <w:name w:val="xl368"/>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215">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216">
    <w:name w:val="明显引用3"/>
    <w:basedOn w:val="1"/>
    <w:next w:val="1"/>
    <w:qFormat/>
    <w:uiPriority w:val="0"/>
    <w:pPr>
      <w:pBdr>
        <w:bottom w:val="single" w:color="4F81BD" w:sz="4" w:space="4"/>
      </w:pBdr>
      <w:spacing w:before="200" w:after="280"/>
      <w:ind w:left="936" w:right="936"/>
    </w:pPr>
    <w:rPr>
      <w:rFonts w:ascii="Times New Roman" w:hAnsi="Times New Roman" w:eastAsia="宋体" w:cs="Times New Roman"/>
      <w:b/>
      <w:i/>
      <w:color w:val="4F81BD"/>
      <w:sz w:val="22"/>
      <w:szCs w:val="22"/>
    </w:rPr>
  </w:style>
  <w:style w:type="paragraph" w:customStyle="1" w:styleId="1217">
    <w:name w:val="xl33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218">
    <w:name w:val="xl2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kern w:val="0"/>
      <w:sz w:val="24"/>
    </w:rPr>
  </w:style>
  <w:style w:type="paragraph" w:customStyle="1" w:styleId="1219">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220">
    <w:name w:val="xl1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221">
    <w:name w:val="无间隔3"/>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22">
    <w:name w:val="小点说明"/>
    <w:basedOn w:val="1"/>
    <w:qFormat/>
    <w:uiPriority w:val="0"/>
    <w:pPr>
      <w:adjustRightInd w:val="0"/>
      <w:snapToGrid w:val="0"/>
      <w:spacing w:line="360" w:lineRule="auto"/>
      <w:ind w:firstLine="761" w:firstLineChars="317"/>
    </w:pPr>
    <w:rPr>
      <w:rFonts w:ascii="宋体" w:hAnsi="Arial" w:eastAsia="宋体" w:cs="Times New Roman"/>
      <w:kern w:val="0"/>
      <w:sz w:val="24"/>
      <w:szCs w:val="20"/>
    </w:rPr>
  </w:style>
  <w:style w:type="paragraph" w:customStyle="1" w:styleId="1223">
    <w:name w:val="特点反白字"/>
    <w:qFormat/>
    <w:uiPriority w:val="0"/>
    <w:pPr>
      <w:autoSpaceDE w:val="0"/>
      <w:autoSpaceDN w:val="0"/>
      <w:adjustRightInd w:val="0"/>
      <w:ind w:left="198"/>
      <w:jc w:val="both"/>
    </w:pPr>
    <w:rPr>
      <w:rFonts w:ascii="汉鼎简中等线Arial" w:hAnsi="Times New Roman" w:eastAsia="汉鼎简中等线Arial" w:cs="Times New Roman"/>
      <w:color w:val="FFFFFF"/>
      <w:sz w:val="16"/>
      <w:szCs w:val="16"/>
      <w:lang w:val="en-US" w:eastAsia="en-US" w:bidi="ar-SA"/>
    </w:rPr>
  </w:style>
  <w:style w:type="paragraph" w:customStyle="1" w:styleId="1224">
    <w:name w:val="xl360"/>
    <w:basedOn w:val="1"/>
    <w:qFormat/>
    <w:uiPriority w:val="0"/>
    <w:pPr>
      <w:widowControl/>
      <w:pBdr>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225">
    <w:name w:val="Pa10"/>
    <w:basedOn w:val="227"/>
    <w:next w:val="227"/>
    <w:qFormat/>
    <w:uiPriority w:val="0"/>
    <w:pPr>
      <w:spacing w:line="181" w:lineRule="atLeast"/>
    </w:pPr>
    <w:rPr>
      <w:rFonts w:ascii="FrutigerNext LT Light" w:hAnsi="Calibri" w:eastAsia="FrutigerNext LT Light" w:cs="Times New Roman"/>
      <w:color w:val="auto"/>
      <w:kern w:val="0"/>
    </w:rPr>
  </w:style>
  <w:style w:type="paragraph" w:customStyle="1" w:styleId="1226">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227">
    <w:name w:val="文章标题编号（F6）"/>
    <w:next w:val="996"/>
    <w:qFormat/>
    <w:uiPriority w:val="0"/>
    <w:pPr>
      <w:adjustRightInd w:val="0"/>
      <w:snapToGrid w:val="0"/>
      <w:spacing w:line="360" w:lineRule="auto"/>
      <w:outlineLvl w:val="4"/>
    </w:pPr>
    <w:rPr>
      <w:rFonts w:ascii="Calibri" w:hAnsi="Calibri" w:eastAsia="宋体" w:cs="Times New Roman"/>
      <w:b/>
      <w:kern w:val="2"/>
      <w:sz w:val="24"/>
      <w:szCs w:val="21"/>
      <w:lang w:val="en-US" w:eastAsia="zh-CN" w:bidi="ar-SA"/>
    </w:rPr>
  </w:style>
  <w:style w:type="paragraph" w:customStyle="1" w:styleId="1228">
    <w:name w:val="xl148"/>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1229">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230">
    <w:name w:val="xl361"/>
    <w:basedOn w:val="1"/>
    <w:qFormat/>
    <w:uiPriority w:val="0"/>
    <w:pPr>
      <w:widowControl/>
      <w:pBdr>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231">
    <w:name w:val="xl2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232">
    <w:name w:val="xl3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233">
    <w:name w:val="xl262"/>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24"/>
    </w:rPr>
  </w:style>
  <w:style w:type="paragraph" w:customStyle="1" w:styleId="1234">
    <w:name w:val="xl31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235">
    <w:name w:val="样式 宋体 首行缩进:  0.85 厘米"/>
    <w:basedOn w:val="1"/>
    <w:qFormat/>
    <w:uiPriority w:val="0"/>
    <w:pPr>
      <w:spacing w:before="120" w:after="120" w:line="360" w:lineRule="auto"/>
      <w:ind w:firstLine="482"/>
    </w:pPr>
    <w:rPr>
      <w:rFonts w:ascii="宋体" w:hAnsi="宋体" w:eastAsia="宋体" w:cs="宋体"/>
      <w:sz w:val="24"/>
      <w:szCs w:val="20"/>
    </w:rPr>
  </w:style>
  <w:style w:type="paragraph" w:customStyle="1" w:styleId="1236">
    <w:name w:val="xl34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237">
    <w:name w:val="框内白字"/>
    <w:qFormat/>
    <w:uiPriority w:val="0"/>
    <w:pPr>
      <w:autoSpaceDE w:val="0"/>
      <w:autoSpaceDN w:val="0"/>
      <w:adjustRightInd w:val="0"/>
      <w:jc w:val="center"/>
    </w:pPr>
    <w:rPr>
      <w:rFonts w:ascii="汉鼎简中等线Arial" w:hAnsi="Times New Roman" w:eastAsia="汉鼎简中等线Arial" w:cs="Times New Roman"/>
      <w:color w:val="FFFFFF"/>
      <w:sz w:val="18"/>
      <w:szCs w:val="18"/>
      <w:lang w:val="en-US" w:eastAsia="en-US" w:bidi="ar-SA"/>
    </w:rPr>
  </w:style>
  <w:style w:type="paragraph" w:customStyle="1" w:styleId="1238">
    <w:name w:val="xl2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239">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240">
    <w:name w:val="xl244"/>
    <w:basedOn w:val="1"/>
    <w:qFormat/>
    <w:uiPriority w:val="0"/>
    <w:pPr>
      <w:widowControl/>
      <w:spacing w:before="100" w:beforeAutospacing="1" w:after="100" w:afterAutospacing="1"/>
      <w:jc w:val="center"/>
    </w:pPr>
    <w:rPr>
      <w:rFonts w:ascii="宋体" w:hAnsi="宋体" w:eastAsia="宋体" w:cs="宋体"/>
      <w:b/>
      <w:bCs/>
      <w:kern w:val="0"/>
      <w:sz w:val="24"/>
    </w:rPr>
  </w:style>
  <w:style w:type="paragraph" w:customStyle="1" w:styleId="1241">
    <w:name w:val="CM6"/>
    <w:basedOn w:val="227"/>
    <w:next w:val="227"/>
    <w:qFormat/>
    <w:uiPriority w:val="0"/>
    <w:pPr>
      <w:spacing w:line="468" w:lineRule="atLeast"/>
    </w:pPr>
    <w:rPr>
      <w:rFonts w:ascii=".." w:hAnsi="Times New Roman" w:eastAsia=".." w:cs="Times New Roman"/>
      <w:color w:val="auto"/>
      <w:kern w:val="0"/>
      <w:sz w:val="20"/>
    </w:rPr>
  </w:style>
  <w:style w:type="paragraph" w:customStyle="1" w:styleId="1242">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243">
    <w:name w:val="xl265"/>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eastAsia="宋体" w:cs="宋体"/>
      <w:b/>
      <w:bCs/>
      <w:kern w:val="0"/>
      <w:sz w:val="24"/>
    </w:rPr>
  </w:style>
  <w:style w:type="paragraph" w:customStyle="1" w:styleId="1244">
    <w:name w:val="Style 宋体 12 pt Line spacing:  1.5 lines"/>
    <w:basedOn w:val="1"/>
    <w:qFormat/>
    <w:uiPriority w:val="0"/>
    <w:pPr>
      <w:spacing w:line="360" w:lineRule="auto"/>
      <w:ind w:firstLine="480" w:firstLineChars="200"/>
    </w:pPr>
    <w:rPr>
      <w:rFonts w:ascii="宋体" w:hAnsi="宋体" w:eastAsia="宋体" w:cs="Times New Roman"/>
      <w:sz w:val="24"/>
      <w:szCs w:val="20"/>
    </w:rPr>
  </w:style>
  <w:style w:type="paragraph" w:customStyle="1" w:styleId="1245">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246">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247">
    <w:name w:val="纯文本1"/>
    <w:basedOn w:val="1"/>
    <w:qFormat/>
    <w:uiPriority w:val="0"/>
    <w:rPr>
      <w:rFonts w:ascii="宋体" w:hAnsi="Courier New" w:eastAsia="Times New Roman" w:cs="Times New Roman"/>
      <w:szCs w:val="21"/>
    </w:rPr>
  </w:style>
  <w:style w:type="paragraph" w:customStyle="1" w:styleId="1248">
    <w:name w:val="样式 SINOPEC-0"/>
    <w:basedOn w:val="1"/>
    <w:qFormat/>
    <w:uiPriority w:val="0"/>
    <w:pPr>
      <w:spacing w:line="360" w:lineRule="auto"/>
      <w:ind w:firstLine="200" w:firstLineChars="200"/>
    </w:pPr>
    <w:rPr>
      <w:rFonts w:ascii="Arial" w:hAnsi="Arial" w:eastAsia="宋体" w:cs="宋体"/>
      <w:sz w:val="24"/>
    </w:rPr>
  </w:style>
  <w:style w:type="paragraph" w:customStyle="1" w:styleId="1249">
    <w:name w:val="xl1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250">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251">
    <w:name w:val="_Style 1224"/>
    <w:basedOn w:val="1"/>
    <w:next w:val="237"/>
    <w:qFormat/>
    <w:uiPriority w:val="0"/>
    <w:pPr>
      <w:ind w:firstLine="420" w:firstLineChars="200"/>
    </w:pPr>
    <w:rPr>
      <w:rFonts w:ascii="Calibri" w:hAnsi="Calibri" w:eastAsia="宋体" w:cs="Times New Roman"/>
      <w:szCs w:val="22"/>
    </w:rPr>
  </w:style>
  <w:style w:type="paragraph" w:customStyle="1" w:styleId="1252">
    <w:name w:val="xl33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253">
    <w:name w:val="xl26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b/>
      <w:bCs/>
      <w:kern w:val="0"/>
      <w:sz w:val="24"/>
    </w:rPr>
  </w:style>
  <w:style w:type="paragraph" w:customStyle="1" w:styleId="1254">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255">
    <w:name w:val="文章标题3级（F3)"/>
    <w:basedOn w:val="1"/>
    <w:next w:val="1"/>
    <w:qFormat/>
    <w:uiPriority w:val="0"/>
    <w:pPr>
      <w:adjustRightInd w:val="0"/>
      <w:snapToGrid w:val="0"/>
      <w:spacing w:beforeLines="50" w:afterLines="50" w:line="360" w:lineRule="auto"/>
      <w:jc w:val="left"/>
    </w:pPr>
    <w:rPr>
      <w:rFonts w:ascii="宋体" w:hAnsi="宋体" w:eastAsia="宋体" w:cs="Times New Roman"/>
      <w:b/>
      <w:szCs w:val="22"/>
    </w:rPr>
  </w:style>
  <w:style w:type="paragraph" w:customStyle="1" w:styleId="1256">
    <w:name w:val="xl263"/>
    <w:basedOn w:val="1"/>
    <w:qFormat/>
    <w:uiPriority w:val="0"/>
    <w:pPr>
      <w:widowControl/>
      <w:spacing w:before="100" w:beforeAutospacing="1" w:after="100" w:afterAutospacing="1"/>
      <w:jc w:val="center"/>
    </w:pPr>
    <w:rPr>
      <w:rFonts w:ascii="宋体" w:hAnsi="宋体" w:eastAsia="宋体" w:cs="宋体"/>
      <w:b/>
      <w:bCs/>
      <w:kern w:val="0"/>
      <w:sz w:val="36"/>
      <w:szCs w:val="36"/>
    </w:rPr>
  </w:style>
  <w:style w:type="paragraph" w:customStyle="1" w:styleId="1257">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258">
    <w:name w:val="xl22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kern w:val="0"/>
      <w:sz w:val="24"/>
    </w:rPr>
  </w:style>
  <w:style w:type="paragraph" w:customStyle="1" w:styleId="1259">
    <w:name w:val="xl352"/>
    <w:basedOn w:val="1"/>
    <w:qFormat/>
    <w:uiPriority w:val="0"/>
    <w:pPr>
      <w:widowControl/>
      <w:pBdr>
        <w:top w:val="single" w:color="auto" w:sz="4" w:space="0"/>
        <w:left w:val="single" w:color="auto" w:sz="4" w:space="0"/>
        <w:right w:val="single" w:color="auto" w:sz="4" w:space="0"/>
      </w:pBdr>
      <w:spacing w:before="100" w:beforeAutospacing="1" w:after="100" w:afterAutospacing="1"/>
      <w:jc w:val="right"/>
    </w:pPr>
    <w:rPr>
      <w:rFonts w:ascii="宋体" w:hAnsi="宋体" w:eastAsia="宋体" w:cs="宋体"/>
      <w:kern w:val="0"/>
      <w:sz w:val="20"/>
      <w:szCs w:val="20"/>
    </w:rPr>
  </w:style>
  <w:style w:type="paragraph" w:customStyle="1" w:styleId="1260">
    <w:name w:val="xl34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261">
    <w:name w:val="样式 标题 4 + (西文) 宋体 小四 非加粗"/>
    <w:basedOn w:val="7"/>
    <w:qFormat/>
    <w:uiPriority w:val="0"/>
    <w:pPr>
      <w:keepLines/>
      <w:spacing w:line="376" w:lineRule="auto"/>
      <w:ind w:hanging="420"/>
      <w:jc w:val="both"/>
    </w:pPr>
    <w:rPr>
      <w:rFonts w:ascii="宋体" w:hAnsi="宋体" w:eastAsia="黑体" w:cs="Times New Roman"/>
      <w:b/>
      <w:sz w:val="24"/>
    </w:rPr>
  </w:style>
  <w:style w:type="paragraph" w:customStyle="1" w:styleId="1262">
    <w:name w:val="xl3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20"/>
      <w:szCs w:val="20"/>
    </w:rPr>
  </w:style>
  <w:style w:type="paragraph" w:customStyle="1" w:styleId="1263">
    <w:name w:val="3"/>
    <w:basedOn w:val="1"/>
    <w:qFormat/>
    <w:uiPriority w:val="99"/>
    <w:rPr>
      <w:rFonts w:ascii="Tahoma" w:hAnsi="Tahoma" w:eastAsia="宋体" w:cs="Times New Roman"/>
      <w:sz w:val="24"/>
      <w:szCs w:val="20"/>
    </w:rPr>
  </w:style>
  <w:style w:type="paragraph" w:customStyle="1" w:styleId="1264">
    <w:name w:val="Char82"/>
    <w:basedOn w:val="23"/>
    <w:qFormat/>
    <w:uiPriority w:val="0"/>
    <w:rPr>
      <w:rFonts w:ascii="Times New Roman" w:hAnsi="Times New Roman" w:eastAsia="宋体" w:cs="Times New Roman"/>
    </w:rPr>
  </w:style>
  <w:style w:type="paragraph" w:customStyle="1" w:styleId="1265">
    <w:name w:val="xl1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266">
    <w:name w:val="xl3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267">
    <w:name w:val="xl33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268">
    <w:name w:val="xl2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269">
    <w:name w:val="Table Entry"/>
    <w:basedOn w:val="1"/>
    <w:qFormat/>
    <w:uiPriority w:val="0"/>
    <w:pPr>
      <w:widowControl/>
      <w:tabs>
        <w:tab w:val="right" w:pos="3960"/>
      </w:tabs>
      <w:spacing w:before="40" w:after="40"/>
    </w:pPr>
    <w:rPr>
      <w:rFonts w:ascii="Times New Roman" w:hAnsi="Times New Roman" w:eastAsia="宋体" w:cs="Times New Roman"/>
      <w:kern w:val="0"/>
      <w:sz w:val="20"/>
      <w:szCs w:val="20"/>
      <w:lang w:val="en-AU"/>
    </w:rPr>
  </w:style>
  <w:style w:type="paragraph" w:customStyle="1" w:styleId="1270">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271">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272">
    <w:name w:val="xl2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273">
    <w:name w:val="TOC 标题21"/>
    <w:basedOn w:val="4"/>
    <w:next w:val="1"/>
    <w:qFormat/>
    <w:uiPriority w:val="0"/>
    <w:pPr>
      <w:spacing w:line="576" w:lineRule="auto"/>
      <w:outlineLvl w:val="9"/>
    </w:pPr>
    <w:rPr>
      <w:rFonts w:ascii="Calibri" w:hAnsi="Calibri" w:eastAsia="宋体" w:cs="Times New Roman"/>
    </w:rPr>
  </w:style>
  <w:style w:type="paragraph" w:customStyle="1" w:styleId="1274">
    <w:name w:val="xl1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275">
    <w:name w:val="文本块21"/>
    <w:basedOn w:val="1"/>
    <w:next w:val="1"/>
    <w:qFormat/>
    <w:uiPriority w:val="0"/>
    <w:rPr>
      <w:rFonts w:ascii="Times New Roman" w:hAnsi="Times New Roman" w:eastAsia="宋体" w:cs="Times New Roman"/>
      <w:i/>
      <w:iCs/>
      <w:color w:val="000000"/>
      <w:szCs w:val="22"/>
    </w:rPr>
  </w:style>
  <w:style w:type="paragraph" w:customStyle="1" w:styleId="1276">
    <w:name w:val="xl19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277">
    <w:name w:val="批注主题21"/>
    <w:basedOn w:val="25"/>
    <w:next w:val="25"/>
    <w:qFormat/>
    <w:uiPriority w:val="0"/>
    <w:rPr>
      <w:rFonts w:ascii="宋体" w:hAnsi="Times New Roman" w:eastAsia="宋体" w:cs="Times New Roman"/>
      <w:b/>
      <w:bCs/>
      <w:kern w:val="0"/>
      <w:sz w:val="28"/>
      <w:szCs w:val="20"/>
    </w:rPr>
  </w:style>
  <w:style w:type="paragraph" w:customStyle="1" w:styleId="1278">
    <w:name w:val="xl305"/>
    <w:basedOn w:val="1"/>
    <w:qFormat/>
    <w:uiPriority w:val="0"/>
    <w:pPr>
      <w:widowControl/>
      <w:pBdr>
        <w:bottom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279">
    <w:name w:val="索引 421"/>
    <w:basedOn w:val="1"/>
    <w:next w:val="1"/>
    <w:qFormat/>
    <w:uiPriority w:val="0"/>
    <w:pPr>
      <w:ind w:left="600" w:leftChars="600"/>
    </w:pPr>
    <w:rPr>
      <w:rFonts w:ascii="Times New Roman" w:hAnsi="Times New Roman" w:eastAsia="宋体" w:cs="Times New Roman"/>
    </w:rPr>
  </w:style>
  <w:style w:type="paragraph" w:customStyle="1" w:styleId="1280">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281">
    <w:name w:val="Pa6"/>
    <w:basedOn w:val="227"/>
    <w:next w:val="227"/>
    <w:qFormat/>
    <w:uiPriority w:val="0"/>
    <w:pPr>
      <w:spacing w:line="201" w:lineRule="atLeast"/>
    </w:pPr>
    <w:rPr>
      <w:rFonts w:ascii="FrutigerNext LT Light" w:hAnsi="Calibri" w:eastAsia="FrutigerNext LT Light" w:cs="Times New Roman"/>
      <w:color w:val="auto"/>
      <w:kern w:val="0"/>
    </w:rPr>
  </w:style>
  <w:style w:type="paragraph" w:customStyle="1" w:styleId="1282">
    <w:name w:val="文档结构图31"/>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1283">
    <w:name w:val="xl24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284">
    <w:name w:val="正文缩进11"/>
    <w:basedOn w:val="1"/>
    <w:qFormat/>
    <w:uiPriority w:val="0"/>
    <w:pPr>
      <w:spacing w:afterLines="50" w:line="312" w:lineRule="auto"/>
      <w:ind w:firstLine="200" w:firstLineChars="200"/>
    </w:pPr>
    <w:rPr>
      <w:rFonts w:ascii="Times New Roman" w:hAnsi="Times New Roman" w:eastAsia="宋体" w:cs="Times New Roman"/>
      <w:sz w:val="24"/>
      <w:szCs w:val="20"/>
    </w:rPr>
  </w:style>
  <w:style w:type="paragraph" w:customStyle="1" w:styleId="1285">
    <w:name w:val="Char Char Char Char Char Char1 Char Char Char Char Char Char1 Char"/>
    <w:basedOn w:val="1"/>
    <w:qFormat/>
    <w:uiPriority w:val="0"/>
    <w:rPr>
      <w:rFonts w:ascii="Tahoma" w:hAnsi="Tahoma" w:eastAsia="宋体" w:cs="Times New Roman"/>
      <w:sz w:val="24"/>
      <w:szCs w:val="20"/>
    </w:rPr>
  </w:style>
  <w:style w:type="paragraph" w:customStyle="1" w:styleId="1286">
    <w:name w:val="xl2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287">
    <w:name w:val="xl174"/>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1288">
    <w:name w:val="xl1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289">
    <w:name w:val="Char Char Char Char1"/>
    <w:basedOn w:val="1"/>
    <w:qFormat/>
    <w:uiPriority w:val="0"/>
    <w:rPr>
      <w:rFonts w:ascii="Tahoma" w:hAnsi="Tahoma" w:eastAsia="宋体" w:cs="Times New Roman"/>
      <w:sz w:val="24"/>
      <w:szCs w:val="20"/>
    </w:rPr>
  </w:style>
  <w:style w:type="paragraph" w:customStyle="1" w:styleId="1290">
    <w:name w:val="xl34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291">
    <w:name w:val="xl282"/>
    <w:basedOn w:val="1"/>
    <w:qFormat/>
    <w:uiPriority w:val="0"/>
    <w:pPr>
      <w:widowControl/>
      <w:pBdr>
        <w:lef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292">
    <w:name w:val="修订31"/>
    <w:qFormat/>
    <w:uiPriority w:val="0"/>
    <w:rPr>
      <w:rFonts w:ascii="Times New Roman" w:hAnsi="Times New Roman" w:eastAsia="宋体" w:cs="Times New Roman"/>
      <w:kern w:val="2"/>
      <w:sz w:val="21"/>
      <w:szCs w:val="24"/>
      <w:lang w:val="en-US" w:eastAsia="zh-CN" w:bidi="ar-SA"/>
    </w:rPr>
  </w:style>
  <w:style w:type="paragraph" w:customStyle="1" w:styleId="1293">
    <w:name w:val="xl327"/>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294">
    <w:name w:val="标题 321"/>
    <w:basedOn w:val="1"/>
    <w:qFormat/>
    <w:uiPriority w:val="1"/>
    <w:pPr>
      <w:autoSpaceDE w:val="0"/>
      <w:autoSpaceDN w:val="0"/>
      <w:ind w:left="501" w:hanging="401"/>
      <w:jc w:val="left"/>
      <w:outlineLvl w:val="3"/>
    </w:pPr>
    <w:rPr>
      <w:rFonts w:ascii="Microsoft JhengHei" w:hAnsi="Microsoft JhengHei" w:eastAsia="Microsoft JhengHei" w:cs="Microsoft JhengHei"/>
      <w:b/>
      <w:bCs/>
      <w:kern w:val="0"/>
      <w:sz w:val="32"/>
      <w:szCs w:val="32"/>
      <w:lang w:eastAsia="en-US"/>
    </w:rPr>
  </w:style>
  <w:style w:type="paragraph" w:customStyle="1" w:styleId="1295">
    <w:name w:val="p16"/>
    <w:basedOn w:val="1"/>
    <w:qFormat/>
    <w:uiPriority w:val="0"/>
    <w:pPr>
      <w:widowControl/>
      <w:spacing w:before="120" w:after="120" w:line="360" w:lineRule="auto"/>
      <w:ind w:firstLine="482"/>
    </w:pPr>
    <w:rPr>
      <w:rFonts w:ascii="宋体" w:hAnsi="宋体" w:eastAsia="宋体" w:cs="宋体"/>
      <w:kern w:val="0"/>
      <w:sz w:val="24"/>
    </w:rPr>
  </w:style>
  <w:style w:type="paragraph" w:customStyle="1" w:styleId="1296">
    <w:name w:val="xl2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297">
    <w:name w:val="xl231"/>
    <w:basedOn w:val="1"/>
    <w:qFormat/>
    <w:uiPriority w:val="0"/>
    <w:pPr>
      <w:widowControl/>
      <w:spacing w:before="100" w:beforeAutospacing="1" w:after="100" w:afterAutospacing="1"/>
      <w:jc w:val="center"/>
    </w:pPr>
    <w:rPr>
      <w:rFonts w:ascii="宋体" w:hAnsi="宋体" w:eastAsia="宋体" w:cs="宋体"/>
      <w:kern w:val="0"/>
      <w:sz w:val="24"/>
    </w:rPr>
  </w:style>
  <w:style w:type="paragraph" w:customStyle="1" w:styleId="1298">
    <w:name w:val="标题 521"/>
    <w:basedOn w:val="1"/>
    <w:qFormat/>
    <w:uiPriority w:val="1"/>
    <w:pPr>
      <w:autoSpaceDE w:val="0"/>
      <w:autoSpaceDN w:val="0"/>
      <w:ind w:left="726" w:hanging="489"/>
      <w:jc w:val="left"/>
      <w:outlineLvl w:val="5"/>
    </w:pPr>
    <w:rPr>
      <w:rFonts w:ascii="宋体" w:hAnsi="宋体" w:eastAsia="宋体" w:cs="宋体"/>
      <w:kern w:val="0"/>
      <w:sz w:val="28"/>
      <w:szCs w:val="28"/>
      <w:lang w:eastAsia="en-US"/>
    </w:rPr>
  </w:style>
  <w:style w:type="paragraph" w:customStyle="1" w:styleId="1299">
    <w:name w:val="xl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300">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301">
    <w:name w:val="xl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18"/>
      <w:szCs w:val="18"/>
    </w:rPr>
  </w:style>
  <w:style w:type="paragraph" w:customStyle="1" w:styleId="1302">
    <w:name w:val="Default Paragraph Font Para Char Char Char Char Char 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1303">
    <w:name w:val="xl1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304">
    <w:name w:val="03"/>
    <w:basedOn w:val="1"/>
    <w:qFormat/>
    <w:uiPriority w:val="0"/>
    <w:pPr>
      <w:spacing w:line="500" w:lineRule="exact"/>
      <w:ind w:firstLine="567"/>
    </w:pPr>
    <w:rPr>
      <w:rFonts w:ascii="Times New Roman" w:hAnsi="Times New Roman" w:eastAsia="宋体" w:cs="Times New Roman"/>
      <w:spacing w:val="20"/>
      <w:sz w:val="28"/>
      <w:szCs w:val="20"/>
    </w:rPr>
  </w:style>
  <w:style w:type="paragraph" w:customStyle="1" w:styleId="1305">
    <w:name w:val="xl335"/>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eastAsia="宋体" w:cs="宋体"/>
      <w:kern w:val="0"/>
      <w:sz w:val="20"/>
      <w:szCs w:val="20"/>
    </w:rPr>
  </w:style>
  <w:style w:type="paragraph" w:customStyle="1" w:styleId="1306">
    <w:name w:val="xl2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307">
    <w:name w:val="xl3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308">
    <w:name w:val="xl3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309">
    <w:name w:val="xl25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310">
    <w:name w:val="xl154"/>
    <w:basedOn w:val="1"/>
    <w:qFormat/>
    <w:uiPriority w:val="0"/>
    <w:pPr>
      <w:widowControl/>
      <w:spacing w:before="100" w:beforeAutospacing="1" w:after="100" w:afterAutospacing="1"/>
      <w:jc w:val="center"/>
    </w:pPr>
    <w:rPr>
      <w:rFonts w:ascii="宋体" w:hAnsi="宋体" w:eastAsia="宋体" w:cs="宋体"/>
      <w:kern w:val="0"/>
      <w:sz w:val="20"/>
      <w:szCs w:val="20"/>
    </w:rPr>
  </w:style>
  <w:style w:type="paragraph" w:customStyle="1" w:styleId="1311">
    <w:name w:val="xl2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312">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313">
    <w:name w:val="xl3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314">
    <w:name w:val="xl367"/>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315">
    <w:name w:val="formlabel"/>
    <w:basedOn w:val="1"/>
    <w:qFormat/>
    <w:uiPriority w:val="0"/>
    <w:pPr>
      <w:widowControl/>
      <w:shd w:val="clear" w:color="auto" w:fill="F7F3F7"/>
      <w:spacing w:before="100" w:beforeAutospacing="1" w:after="100" w:afterAutospacing="1"/>
      <w:jc w:val="left"/>
    </w:pPr>
    <w:rPr>
      <w:rFonts w:ascii="Arial Unicode MS" w:hAnsi="Arial Unicode MS" w:eastAsia="Arial Unicode MS" w:cs="Times New Roman"/>
      <w:kern w:val="0"/>
      <w:sz w:val="24"/>
    </w:rPr>
  </w:style>
  <w:style w:type="paragraph" w:customStyle="1" w:styleId="1316">
    <w:name w:val="xl34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317">
    <w:name w:val="xl2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318">
    <w:name w:val="样式 宋体"/>
    <w:basedOn w:val="1"/>
    <w:qFormat/>
    <w:uiPriority w:val="0"/>
    <w:pPr>
      <w:spacing w:line="360" w:lineRule="auto"/>
      <w:ind w:firstLine="200" w:firstLineChars="200"/>
    </w:pPr>
    <w:rPr>
      <w:rFonts w:ascii="宋体" w:hAnsi="宋体" w:eastAsia="宋体" w:cs="宋体"/>
      <w:szCs w:val="20"/>
    </w:rPr>
  </w:style>
  <w:style w:type="paragraph" w:customStyle="1" w:styleId="1319">
    <w:name w:val="xl3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320">
    <w:name w:val="xl36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321">
    <w:name w:val="xl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322">
    <w:name w:val="xl1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323">
    <w:name w:val="xl25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324">
    <w:name w:val="xl300"/>
    <w:basedOn w:val="1"/>
    <w:qFormat/>
    <w:uiPriority w:val="0"/>
    <w:pPr>
      <w:widowControl/>
      <w:pBdr>
        <w:bottom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325">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326">
    <w:name w:val="xl194"/>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327">
    <w:name w:val="xl1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rPr>
  </w:style>
  <w:style w:type="paragraph" w:customStyle="1" w:styleId="1328">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329">
    <w:name w:val="xl261"/>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eastAsia="宋体" w:cs="宋体"/>
      <w:b/>
      <w:bCs/>
      <w:kern w:val="0"/>
      <w:sz w:val="24"/>
    </w:rPr>
  </w:style>
  <w:style w:type="paragraph" w:customStyle="1" w:styleId="1330">
    <w:name w:val="字母编号列项（一级）"/>
    <w:qFormat/>
    <w:uiPriority w:val="0"/>
    <w:pPr>
      <w:tabs>
        <w:tab w:val="left" w:pos="900"/>
        <w:tab w:val="left" w:pos="2085"/>
      </w:tabs>
      <w:spacing w:line="360" w:lineRule="auto"/>
      <w:ind w:left="420" w:leftChars="200" w:firstLine="720" w:firstLineChars="300"/>
      <w:jc w:val="both"/>
    </w:pPr>
    <w:rPr>
      <w:rFonts w:ascii="宋体" w:hAnsi="宋体" w:eastAsia="宋体" w:cs="Times New Roman"/>
      <w:sz w:val="24"/>
      <w:lang w:val="en-US" w:eastAsia="zh-CN" w:bidi="ar-SA"/>
    </w:rPr>
  </w:style>
  <w:style w:type="paragraph" w:customStyle="1" w:styleId="1331">
    <w:name w:val="样式 标题 4Titre4H41.1.1heading 4 + Indent: Left 0.5 in章sect 1..."/>
    <w:basedOn w:val="7"/>
    <w:qFormat/>
    <w:uiPriority w:val="0"/>
    <w:pPr>
      <w:keepLines/>
      <w:tabs>
        <w:tab w:val="left" w:pos="720"/>
      </w:tabs>
      <w:adjustRightInd w:val="0"/>
      <w:snapToGrid w:val="0"/>
      <w:spacing w:line="360" w:lineRule="auto"/>
      <w:ind w:hanging="420"/>
      <w:jc w:val="both"/>
    </w:pPr>
    <w:rPr>
      <w:rFonts w:ascii="宋体" w:hAnsi="宋体" w:eastAsia="宋体" w:cs="Times New Roman"/>
      <w:kern w:val="0"/>
      <w:sz w:val="24"/>
    </w:rPr>
  </w:style>
  <w:style w:type="paragraph" w:customStyle="1" w:styleId="1332">
    <w:name w:val="xl234"/>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eastAsia="宋体" w:cs="宋体"/>
      <w:kern w:val="0"/>
      <w:sz w:val="24"/>
    </w:rPr>
  </w:style>
  <w:style w:type="paragraph" w:customStyle="1" w:styleId="1333">
    <w:name w:val="xl339"/>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334">
    <w:name w:val="Char Char1 Char Char Char"/>
    <w:basedOn w:val="1"/>
    <w:qFormat/>
    <w:uiPriority w:val="0"/>
    <w:rPr>
      <w:rFonts w:ascii="Times New Roman" w:hAnsi="Times New Roman" w:eastAsia="宋体" w:cs="Times New Roman"/>
      <w:kern w:val="0"/>
      <w:sz w:val="20"/>
      <w:szCs w:val="20"/>
    </w:rPr>
  </w:style>
  <w:style w:type="paragraph" w:customStyle="1" w:styleId="1335">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336">
    <w:name w:val="xl330"/>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337">
    <w:name w:val="CM9"/>
    <w:basedOn w:val="227"/>
    <w:next w:val="227"/>
    <w:qFormat/>
    <w:uiPriority w:val="0"/>
    <w:pPr>
      <w:spacing w:line="468" w:lineRule="atLeast"/>
    </w:pPr>
    <w:rPr>
      <w:rFonts w:ascii=".." w:hAnsi="Times New Roman" w:eastAsia=".." w:cs="Times New Roman"/>
      <w:color w:val="auto"/>
      <w:kern w:val="0"/>
      <w:sz w:val="20"/>
    </w:rPr>
  </w:style>
  <w:style w:type="paragraph" w:customStyle="1" w:styleId="1338">
    <w:name w:val="xl32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339">
    <w:name w:val="中等深浅网格 1 - 强调文字颜色 21"/>
    <w:basedOn w:val="1"/>
    <w:qFormat/>
    <w:uiPriority w:val="0"/>
    <w:pPr>
      <w:ind w:firstLine="420" w:firstLineChars="200"/>
    </w:pPr>
    <w:rPr>
      <w:rFonts w:ascii="Calibri" w:hAnsi="Calibri" w:eastAsia="宋体" w:cs="Times New Roman"/>
      <w:szCs w:val="22"/>
    </w:rPr>
  </w:style>
  <w:style w:type="paragraph" w:customStyle="1" w:styleId="1340">
    <w:name w:val="xl1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341">
    <w:name w:val="xl22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342">
    <w:name w:val="附录五级条标题"/>
    <w:basedOn w:val="1343"/>
    <w:next w:val="591"/>
    <w:qFormat/>
    <w:uiPriority w:val="0"/>
    <w:pPr>
      <w:outlineLvl w:val="6"/>
    </w:pPr>
  </w:style>
  <w:style w:type="paragraph" w:customStyle="1" w:styleId="1343">
    <w:name w:val="附录四级条标题"/>
    <w:basedOn w:val="1164"/>
    <w:next w:val="591"/>
    <w:qFormat/>
    <w:uiPriority w:val="0"/>
    <w:pPr>
      <w:tabs>
        <w:tab w:val="clear" w:pos="360"/>
      </w:tabs>
      <w:outlineLvl w:val="5"/>
    </w:pPr>
  </w:style>
  <w:style w:type="paragraph" w:customStyle="1" w:styleId="1344">
    <w:name w:val="xl162"/>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345">
    <w:name w:val="xl359"/>
    <w:basedOn w:val="1"/>
    <w:qFormat/>
    <w:uiPriority w:val="0"/>
    <w:pPr>
      <w:widowControl/>
      <w:pBdr>
        <w:right w:val="single" w:color="auto" w:sz="4" w:space="0"/>
      </w:pBdr>
      <w:spacing w:before="100" w:beforeAutospacing="1" w:after="100" w:afterAutospacing="1"/>
      <w:jc w:val="center"/>
    </w:pPr>
    <w:rPr>
      <w:rFonts w:ascii="宋体" w:hAnsi="宋体" w:eastAsia="宋体" w:cs="宋体"/>
      <w:b/>
      <w:bCs/>
      <w:kern w:val="0"/>
      <w:sz w:val="18"/>
      <w:szCs w:val="18"/>
    </w:rPr>
  </w:style>
  <w:style w:type="paragraph" w:customStyle="1" w:styleId="1346">
    <w:name w:val="样式5"/>
    <w:basedOn w:val="1"/>
    <w:qFormat/>
    <w:uiPriority w:val="0"/>
    <w:pPr>
      <w:tabs>
        <w:tab w:val="left" w:pos="720"/>
      </w:tabs>
      <w:ind w:left="720" w:hanging="720"/>
    </w:pPr>
    <w:rPr>
      <w:rFonts w:ascii="Times New Roman" w:hAnsi="Times New Roman" w:eastAsia="宋体" w:cs="Times New Roman"/>
    </w:rPr>
  </w:style>
  <w:style w:type="paragraph" w:customStyle="1" w:styleId="1347">
    <w:name w:val="xl329"/>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348">
    <w:name w:val="正文文本 21"/>
    <w:basedOn w:val="1"/>
    <w:qFormat/>
    <w:uiPriority w:val="0"/>
    <w:pPr>
      <w:adjustRightInd w:val="0"/>
      <w:snapToGrid w:val="0"/>
      <w:spacing w:line="240" w:lineRule="atLeast"/>
      <w:ind w:firstLine="200" w:firstLineChars="200"/>
      <w:jc w:val="left"/>
      <w:textAlignment w:val="baseline"/>
    </w:pPr>
    <w:rPr>
      <w:rFonts w:ascii="宋体" w:hAnsi="MS Sans Serif" w:eastAsia="Times New Roman" w:cs="Times New Roman"/>
      <w:kern w:val="0"/>
      <w:sz w:val="24"/>
      <w:szCs w:val="20"/>
    </w:rPr>
  </w:style>
  <w:style w:type="paragraph" w:customStyle="1" w:styleId="1349">
    <w:name w:val="xl25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350">
    <w:name w:val="文章标题编号（F8）"/>
    <w:qFormat/>
    <w:uiPriority w:val="0"/>
    <w:pPr>
      <w:adjustRightInd w:val="0"/>
      <w:snapToGrid w:val="0"/>
      <w:spacing w:line="360" w:lineRule="auto"/>
      <w:ind w:left="420" w:hanging="420"/>
    </w:pPr>
    <w:rPr>
      <w:rFonts w:ascii="Calibri" w:hAnsi="Calibri" w:eastAsia="宋体" w:cs="Times New Roman"/>
      <w:kern w:val="2"/>
      <w:sz w:val="24"/>
      <w:szCs w:val="21"/>
      <w:lang w:val="en-US" w:eastAsia="zh-CN" w:bidi="ar-SA"/>
    </w:rPr>
  </w:style>
  <w:style w:type="paragraph" w:customStyle="1" w:styleId="1351">
    <w:name w:val="xl229"/>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kern w:val="0"/>
      <w:sz w:val="24"/>
    </w:rPr>
  </w:style>
  <w:style w:type="paragraph" w:customStyle="1" w:styleId="1352">
    <w:name w:val="xl228"/>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eastAsia="宋体" w:cs="宋体"/>
      <w:kern w:val="0"/>
      <w:sz w:val="24"/>
    </w:rPr>
  </w:style>
  <w:style w:type="paragraph" w:customStyle="1" w:styleId="1353">
    <w:name w:val="xl2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354">
    <w:name w:val="unnamed2"/>
    <w:basedOn w:val="1"/>
    <w:qFormat/>
    <w:uiPriority w:val="0"/>
    <w:pPr>
      <w:widowControl/>
      <w:spacing w:before="100" w:beforeAutospacing="1" w:after="100" w:afterAutospacing="1"/>
      <w:jc w:val="left"/>
    </w:pPr>
    <w:rPr>
      <w:rFonts w:ascii="Arial" w:hAnsi="Arial" w:eastAsia="宋体" w:cs="Arial"/>
      <w:kern w:val="0"/>
      <w:sz w:val="18"/>
      <w:szCs w:val="18"/>
    </w:rPr>
  </w:style>
  <w:style w:type="paragraph" w:customStyle="1" w:styleId="1355">
    <w:name w:val="xl328"/>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1356">
    <w:name w:val="附录标识"/>
    <w:basedOn w:val="1"/>
    <w:next w:val="591"/>
    <w:qFormat/>
    <w:uiPriority w:val="0"/>
    <w:pPr>
      <w:keepNext/>
      <w:widowControl/>
      <w:shd w:val="clear" w:color="FFFFFF" w:fill="FFFFFF"/>
      <w:tabs>
        <w:tab w:val="left" w:pos="360"/>
        <w:tab w:val="left" w:pos="6405"/>
      </w:tabs>
      <w:spacing w:before="640" w:after="280"/>
      <w:jc w:val="center"/>
      <w:outlineLvl w:val="0"/>
    </w:pPr>
    <w:rPr>
      <w:rFonts w:ascii="黑体" w:hAnsi="Times New Roman" w:eastAsia="黑体" w:cs="Times New Roman"/>
      <w:kern w:val="0"/>
      <w:szCs w:val="20"/>
    </w:rPr>
  </w:style>
  <w:style w:type="paragraph" w:customStyle="1" w:styleId="1357">
    <w:name w:val="xl226"/>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358">
    <w:name w:val="xl2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359">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360">
    <w:name w:val="Char Char Char Char Char Char Char Char Char Char Char Char Char Char Char Char"/>
    <w:basedOn w:val="1"/>
    <w:qFormat/>
    <w:uiPriority w:val="0"/>
    <w:pPr>
      <w:tabs>
        <w:tab w:val="left" w:pos="360"/>
      </w:tabs>
      <w:spacing w:line="360" w:lineRule="auto"/>
      <w:ind w:left="482" w:firstLine="200" w:firstLineChars="200"/>
    </w:pPr>
    <w:rPr>
      <w:rFonts w:ascii="Times New Roman" w:hAnsi="Times New Roman" w:eastAsia="宋体" w:cs="Times New Roman"/>
      <w:szCs w:val="20"/>
    </w:rPr>
  </w:style>
  <w:style w:type="paragraph" w:customStyle="1" w:styleId="1361">
    <w:name w:val="正文文本缩进1"/>
    <w:basedOn w:val="1"/>
    <w:qFormat/>
    <w:uiPriority w:val="0"/>
    <w:pPr>
      <w:ind w:firstLine="420"/>
    </w:pPr>
    <w:rPr>
      <w:rFonts w:ascii="Times New Roman" w:hAnsi="Times New Roman" w:eastAsia="宋体" w:cs="Times New Roman"/>
      <w:sz w:val="24"/>
      <w:szCs w:val="20"/>
    </w:rPr>
  </w:style>
  <w:style w:type="paragraph" w:customStyle="1" w:styleId="1362">
    <w:name w:val="xl165"/>
    <w:basedOn w:val="1"/>
    <w:qFormat/>
    <w:uiPriority w:val="0"/>
    <w:pPr>
      <w:widowControl/>
      <w:pBdr>
        <w:top w:val="single" w:color="auto" w:sz="4" w:space="0"/>
        <w:left w:val="single" w:color="auto" w:sz="4" w:space="0"/>
        <w:bottom w:val="single" w:color="auto" w:sz="4" w:space="0"/>
      </w:pBdr>
      <w:spacing w:before="100" w:beforeAutospacing="1" w:after="100" w:afterAutospacing="1"/>
      <w:jc w:val="right"/>
    </w:pPr>
    <w:rPr>
      <w:rFonts w:ascii="宋体" w:hAnsi="宋体" w:eastAsia="宋体" w:cs="宋体"/>
      <w:b/>
      <w:bCs/>
      <w:kern w:val="0"/>
      <w:sz w:val="20"/>
      <w:szCs w:val="20"/>
    </w:rPr>
  </w:style>
  <w:style w:type="paragraph" w:customStyle="1" w:styleId="1363">
    <w:name w:val="xl3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1364">
    <w:name w:val="xl20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365">
    <w:name w:val="次小点说明"/>
    <w:basedOn w:val="1"/>
    <w:qFormat/>
    <w:uiPriority w:val="0"/>
    <w:pPr>
      <w:tabs>
        <w:tab w:val="left" w:pos="-632"/>
      </w:tabs>
      <w:adjustRightInd w:val="0"/>
      <w:snapToGrid w:val="0"/>
      <w:spacing w:line="360" w:lineRule="auto"/>
      <w:ind w:left="-632" w:hanging="420"/>
    </w:pPr>
    <w:rPr>
      <w:rFonts w:ascii="Times New Roman" w:hAnsi="Times New Roman" w:eastAsia="宋体" w:cs="Times New Roman"/>
      <w:sz w:val="24"/>
    </w:rPr>
  </w:style>
  <w:style w:type="paragraph" w:customStyle="1" w:styleId="1366">
    <w:name w:val="xl225"/>
    <w:basedOn w:val="1"/>
    <w:qFormat/>
    <w:uiPriority w:val="0"/>
    <w:pPr>
      <w:widowControl/>
      <w:spacing w:before="100" w:beforeAutospacing="1" w:after="100" w:afterAutospacing="1"/>
      <w:jc w:val="center"/>
    </w:pPr>
    <w:rPr>
      <w:rFonts w:ascii="宋体" w:hAnsi="宋体" w:eastAsia="宋体" w:cs="宋体"/>
      <w:kern w:val="0"/>
      <w:sz w:val="20"/>
      <w:szCs w:val="20"/>
    </w:rPr>
  </w:style>
  <w:style w:type="paragraph" w:customStyle="1" w:styleId="1367">
    <w:name w:val="次小点说明 Char"/>
    <w:basedOn w:val="1"/>
    <w:qFormat/>
    <w:uiPriority w:val="0"/>
    <w:pPr>
      <w:tabs>
        <w:tab w:val="left" w:pos="-15400"/>
      </w:tabs>
      <w:adjustRightInd w:val="0"/>
      <w:snapToGrid w:val="0"/>
      <w:spacing w:line="360" w:lineRule="auto"/>
      <w:ind w:left="-15400" w:hanging="420"/>
    </w:pPr>
    <w:rPr>
      <w:rFonts w:ascii="Times New Roman" w:hAnsi="Times New Roman" w:eastAsia="宋体" w:cs="Times New Roman"/>
      <w:sz w:val="24"/>
    </w:rPr>
  </w:style>
  <w:style w:type="paragraph" w:customStyle="1" w:styleId="1368">
    <w:name w:val="xl3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369">
    <w:name w:val="xl34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20"/>
      <w:szCs w:val="20"/>
    </w:rPr>
  </w:style>
  <w:style w:type="paragraph" w:customStyle="1" w:styleId="1370">
    <w:name w:val="xl21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1371">
    <w:name w:val="unnamed1"/>
    <w:basedOn w:val="1"/>
    <w:qFormat/>
    <w:uiPriority w:val="0"/>
    <w:pPr>
      <w:widowControl/>
      <w:spacing w:before="45" w:after="45"/>
      <w:ind w:firstLine="400"/>
    </w:pPr>
    <w:rPr>
      <w:rFonts w:ascii="宋体" w:hAnsi="宋体" w:eastAsia="宋体" w:cs="宋体"/>
      <w:color w:val="0099FF"/>
      <w:kern w:val="0"/>
      <w:sz w:val="18"/>
      <w:szCs w:val="18"/>
    </w:rPr>
  </w:style>
  <w:style w:type="paragraph" w:customStyle="1" w:styleId="1372">
    <w:name w:val="xl285"/>
    <w:basedOn w:val="1"/>
    <w:qFormat/>
    <w:uiPriority w:val="0"/>
    <w:pPr>
      <w:widowControl/>
      <w:spacing w:before="100" w:beforeAutospacing="1" w:after="100" w:afterAutospacing="1"/>
      <w:jc w:val="left"/>
    </w:pPr>
    <w:rPr>
      <w:rFonts w:ascii="宋体" w:hAnsi="宋体" w:eastAsia="宋体" w:cs="宋体"/>
      <w:b/>
      <w:bCs/>
      <w:kern w:val="0"/>
      <w:sz w:val="20"/>
      <w:szCs w:val="20"/>
    </w:rPr>
  </w:style>
  <w:style w:type="paragraph" w:customStyle="1" w:styleId="1373">
    <w:name w:val="xl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374">
    <w:name w:val="xl243"/>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1375">
    <w:name w:val="xl1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376">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377">
    <w:name w:val="xl326"/>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eastAsia="宋体" w:cs="宋体"/>
      <w:b/>
      <w:bCs/>
      <w:kern w:val="0"/>
      <w:sz w:val="24"/>
    </w:rPr>
  </w:style>
  <w:style w:type="paragraph" w:customStyle="1" w:styleId="1378">
    <w:name w:val="列表3"/>
    <w:basedOn w:val="49"/>
    <w:next w:val="1"/>
    <w:qFormat/>
    <w:uiPriority w:val="0"/>
    <w:pPr>
      <w:widowControl/>
      <w:tabs>
        <w:tab w:val="left" w:pos="0"/>
      </w:tabs>
      <w:ind w:left="0" w:firstLine="1474" w:firstLineChars="0"/>
      <w:jc w:val="left"/>
    </w:pPr>
    <w:rPr>
      <w:rFonts w:ascii="Times New Roman" w:hAnsi="Times New Roman" w:eastAsia="宋体" w:cs="Times New Roman"/>
      <w:bCs/>
      <w:kern w:val="0"/>
      <w:sz w:val="24"/>
      <w:szCs w:val="20"/>
    </w:rPr>
  </w:style>
  <w:style w:type="paragraph" w:customStyle="1" w:styleId="1379">
    <w:name w:val="样式 正文缩进正文（首行缩进两字）特点ALT+Z表正文正文非缩进四号段1Normal Indent Char2...2"/>
    <w:basedOn w:val="6"/>
    <w:qFormat/>
    <w:uiPriority w:val="0"/>
    <w:pPr>
      <w:tabs>
        <w:tab w:val="left" w:pos="2160"/>
      </w:tabs>
      <w:adjustRightInd w:val="0"/>
      <w:spacing w:before="360" w:after="120" w:line="360" w:lineRule="auto"/>
      <w:ind w:left="2160" w:hanging="360"/>
      <w:jc w:val="center"/>
      <w:textAlignment w:val="baseline"/>
    </w:pPr>
    <w:rPr>
      <w:rFonts w:ascii="宋体" w:hAnsi="宋体" w:eastAsia="宋体" w:cs="Times New Roman"/>
      <w:bCs w:val="0"/>
      <w:kern w:val="0"/>
      <w:sz w:val="28"/>
      <w:szCs w:val="20"/>
    </w:rPr>
  </w:style>
  <w:style w:type="paragraph" w:customStyle="1" w:styleId="1380">
    <w:name w:val="xl354"/>
    <w:basedOn w:val="1"/>
    <w:qFormat/>
    <w:uiPriority w:val="0"/>
    <w:pPr>
      <w:widowControl/>
      <w:pBdr>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1381">
    <w:name w:val="xl3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382">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rPr>
  </w:style>
  <w:style w:type="paragraph" w:customStyle="1" w:styleId="1383">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ˎ̥" w:hAnsi="ˎ̥" w:eastAsia="宋体" w:cs="宋体"/>
      <w:kern w:val="0"/>
      <w:sz w:val="18"/>
      <w:szCs w:val="18"/>
    </w:rPr>
  </w:style>
  <w:style w:type="paragraph" w:customStyle="1" w:styleId="1384">
    <w:name w:val="xl2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385">
    <w:name w:val="_Style 5"/>
    <w:basedOn w:val="1"/>
    <w:qFormat/>
    <w:uiPriority w:val="0"/>
    <w:rPr>
      <w:rFonts w:ascii="Times New Roman" w:hAnsi="Times New Roman" w:eastAsia="宋体" w:cs="Times New Roman"/>
    </w:rPr>
  </w:style>
  <w:style w:type="paragraph" w:customStyle="1" w:styleId="1386">
    <w:name w:val="Pa7"/>
    <w:basedOn w:val="227"/>
    <w:next w:val="227"/>
    <w:qFormat/>
    <w:uiPriority w:val="0"/>
    <w:pPr>
      <w:spacing w:line="181" w:lineRule="atLeast"/>
    </w:pPr>
    <w:rPr>
      <w:rFonts w:ascii="FrutigerNext LT Light" w:hAnsi="Calibri" w:eastAsia="FrutigerNext LT Light" w:cs="Times New Roman"/>
      <w:color w:val="auto"/>
      <w:kern w:val="0"/>
    </w:rPr>
  </w:style>
  <w:style w:type="paragraph" w:customStyle="1" w:styleId="1387">
    <w:name w:val="引用21"/>
    <w:basedOn w:val="1"/>
    <w:next w:val="1"/>
    <w:qFormat/>
    <w:uiPriority w:val="0"/>
    <w:rPr>
      <w:rFonts w:ascii="Times New Roman" w:hAnsi="Times New Roman" w:eastAsia="宋体" w:cs="Times New Roman"/>
      <w:i/>
      <w:color w:val="000000"/>
      <w:sz w:val="22"/>
      <w:szCs w:val="20"/>
    </w:rPr>
  </w:style>
  <w:style w:type="paragraph" w:customStyle="1" w:styleId="1388">
    <w:name w:val="Char2 Char Char Char"/>
    <w:basedOn w:val="1"/>
    <w:qFormat/>
    <w:uiPriority w:val="0"/>
    <w:pPr>
      <w:adjustRightInd w:val="0"/>
    </w:pPr>
    <w:rPr>
      <w:rFonts w:ascii="Times New Roman" w:hAnsi="Times New Roman" w:eastAsia="宋体" w:cs="Times New Roman"/>
      <w:szCs w:val="20"/>
    </w:rPr>
  </w:style>
  <w:style w:type="paragraph" w:customStyle="1" w:styleId="1389">
    <w:name w:val="列表内容"/>
    <w:basedOn w:val="1"/>
    <w:next w:val="1"/>
    <w:qFormat/>
    <w:uiPriority w:val="0"/>
    <w:pPr>
      <w:widowControl/>
      <w:tabs>
        <w:tab w:val="left" w:pos="840"/>
      </w:tabs>
      <w:jc w:val="left"/>
    </w:pPr>
    <w:rPr>
      <w:rFonts w:ascii="Times New Roman" w:hAnsi="Times New Roman" w:eastAsia="宋体" w:cs="Times New Roman"/>
      <w:kern w:val="0"/>
      <w:sz w:val="18"/>
    </w:rPr>
  </w:style>
  <w:style w:type="paragraph" w:customStyle="1" w:styleId="1390">
    <w:name w:val="Char1 Char Char Char1111"/>
    <w:basedOn w:val="1"/>
    <w:qFormat/>
    <w:uiPriority w:val="0"/>
    <w:pPr>
      <w:spacing w:line="360" w:lineRule="auto"/>
    </w:pPr>
    <w:rPr>
      <w:rFonts w:ascii="Tahoma" w:hAnsi="Tahoma" w:eastAsia="宋体" w:cs="Times New Roman"/>
      <w:sz w:val="24"/>
      <w:szCs w:val="20"/>
    </w:rPr>
  </w:style>
  <w:style w:type="paragraph" w:customStyle="1" w:styleId="1391">
    <w:name w:val="pit正文"/>
    <w:basedOn w:val="1"/>
    <w:qFormat/>
    <w:uiPriority w:val="0"/>
    <w:pPr>
      <w:spacing w:line="400" w:lineRule="exact"/>
    </w:pPr>
    <w:rPr>
      <w:rFonts w:ascii="Times New Roman" w:hAnsi="Times New Roman" w:eastAsia="宋体" w:cs="Times New Roman"/>
      <w:spacing w:val="20"/>
      <w:sz w:val="24"/>
      <w:szCs w:val="20"/>
    </w:rPr>
  </w:style>
  <w:style w:type="paragraph" w:customStyle="1" w:styleId="1392">
    <w:name w:val="Char Char Char1 Char Char Char Char Char Char Char Char Char Char Char Char Char"/>
    <w:basedOn w:val="23"/>
    <w:qFormat/>
    <w:uiPriority w:val="0"/>
    <w:rPr>
      <w:rFonts w:ascii="Calibri" w:hAnsi="Calibri" w:eastAsia="宋体" w:cs="Times New Roman"/>
      <w:szCs w:val="22"/>
      <w:shd w:val="clear" w:color="auto" w:fill="000080"/>
    </w:rPr>
  </w:style>
  <w:style w:type="paragraph" w:customStyle="1" w:styleId="1393">
    <w:name w:val="Char2 Char Char Char1111"/>
    <w:basedOn w:val="1"/>
    <w:qFormat/>
    <w:uiPriority w:val="0"/>
    <w:pPr>
      <w:adjustRightInd w:val="0"/>
    </w:pPr>
    <w:rPr>
      <w:rFonts w:ascii="Times New Roman" w:hAnsi="Times New Roman" w:eastAsia="宋体" w:cs="Times New Roman"/>
      <w:szCs w:val="20"/>
    </w:rPr>
  </w:style>
  <w:style w:type="paragraph" w:customStyle="1" w:styleId="1394">
    <w:name w:val="ParaAttribute15"/>
    <w:qFormat/>
    <w:uiPriority w:val="99"/>
    <w:pPr>
      <w:widowControl w:val="0"/>
      <w:wordWrap w:val="0"/>
      <w:ind w:left="709"/>
      <w:jc w:val="both"/>
    </w:pPr>
    <w:rPr>
      <w:rFonts w:ascii="Times New Roman" w:hAnsi="Times New Roman" w:eastAsia="宋体" w:cs="Times New Roman"/>
      <w:sz w:val="21"/>
      <w:szCs w:val="22"/>
      <w:lang w:val="en-US" w:eastAsia="zh-CN" w:bidi="ar-SA"/>
    </w:rPr>
  </w:style>
  <w:style w:type="paragraph" w:customStyle="1" w:styleId="1395">
    <w:name w:val="样式29"/>
    <w:basedOn w:val="1"/>
    <w:qFormat/>
    <w:uiPriority w:val="0"/>
    <w:pPr>
      <w:widowControl/>
      <w:spacing w:line="440" w:lineRule="exact"/>
      <w:ind w:firstLine="200" w:firstLineChars="200"/>
      <w:jc w:val="left"/>
    </w:pPr>
    <w:rPr>
      <w:rFonts w:ascii="Times New Roman" w:hAnsi="Times New Roman" w:eastAsia="楷体_GB2312" w:cs="Times New Roman"/>
      <w:spacing w:val="6"/>
      <w:kern w:val="0"/>
      <w:sz w:val="24"/>
      <w:szCs w:val="20"/>
    </w:rPr>
  </w:style>
  <w:style w:type="paragraph" w:customStyle="1" w:styleId="1396">
    <w:name w:val="Char Char Char Char21"/>
    <w:basedOn w:val="1"/>
    <w:qFormat/>
    <w:uiPriority w:val="0"/>
    <w:rPr>
      <w:rFonts w:ascii="Tahoma" w:hAnsi="Tahoma" w:eastAsia="宋体" w:cs="Times New Roman"/>
      <w:sz w:val="24"/>
      <w:szCs w:val="20"/>
    </w:rPr>
  </w:style>
  <w:style w:type="paragraph" w:customStyle="1" w:styleId="1397">
    <w:name w:val="菲页1"/>
    <w:basedOn w:val="5"/>
    <w:qFormat/>
    <w:uiPriority w:val="0"/>
    <w:pPr>
      <w:widowControl/>
      <w:jc w:val="center"/>
    </w:pPr>
    <w:rPr>
      <w:rFonts w:ascii="黑体" w:hAnsi="宋体" w:eastAsia="黑体" w:cs="Times New Roman"/>
      <w:b w:val="0"/>
      <w:bCs w:val="0"/>
      <w:kern w:val="0"/>
      <w:sz w:val="52"/>
      <w:szCs w:val="20"/>
    </w:rPr>
  </w:style>
  <w:style w:type="paragraph" w:customStyle="1" w:styleId="1398">
    <w:name w:val="正文缩进2"/>
    <w:basedOn w:val="1"/>
    <w:qFormat/>
    <w:uiPriority w:val="0"/>
    <w:pPr>
      <w:spacing w:after="156" w:afterLines="50" w:line="312" w:lineRule="auto"/>
      <w:ind w:firstLine="200" w:firstLineChars="200"/>
    </w:pPr>
    <w:rPr>
      <w:rFonts w:ascii="Times New Roman" w:hAnsi="Times New Roman" w:eastAsia="宋体" w:cs="Times New Roman"/>
      <w:sz w:val="24"/>
      <w:szCs w:val="20"/>
    </w:rPr>
  </w:style>
  <w:style w:type="paragraph" w:customStyle="1" w:styleId="1399">
    <w:name w:val="默认段落字体 Para Char Char Char Char Char Char Char Char Char Char Char Char Char Char Char1 Char Char Char Char"/>
    <w:basedOn w:val="23"/>
    <w:qFormat/>
    <w:uiPriority w:val="0"/>
    <w:pPr>
      <w:adjustRightInd w:val="0"/>
      <w:spacing w:line="436" w:lineRule="exact"/>
      <w:ind w:left="357"/>
      <w:jc w:val="left"/>
      <w:outlineLvl w:val="3"/>
    </w:pPr>
    <w:rPr>
      <w:rFonts w:ascii="Tahoma" w:hAnsi="Tahoma" w:eastAsia="宋体" w:cs="Times New Roman"/>
      <w:b/>
      <w:sz w:val="24"/>
    </w:rPr>
  </w:style>
  <w:style w:type="paragraph" w:customStyle="1" w:styleId="1400">
    <w:name w:val="表头A"/>
    <w:basedOn w:val="687"/>
    <w:qFormat/>
    <w:uiPriority w:val="0"/>
    <w:pPr>
      <w:topLinePunct w:val="0"/>
      <w:spacing w:line="312" w:lineRule="exact"/>
    </w:pPr>
    <w:rPr>
      <w:rFonts w:ascii="EU-F1"/>
      <w:kern w:val="21"/>
    </w:rPr>
  </w:style>
  <w:style w:type="paragraph" w:customStyle="1" w:styleId="1401">
    <w:name w:val="卫星及有限电视系统"/>
    <w:basedOn w:val="20"/>
    <w:qFormat/>
    <w:uiPriority w:val="0"/>
    <w:pPr>
      <w:spacing w:line="360" w:lineRule="auto"/>
      <w:ind w:firstLine="480" w:firstLineChars="200"/>
    </w:pPr>
    <w:rPr>
      <w:rFonts w:ascii="宋体" w:hAnsi="宋体" w:eastAsia="宋体" w:cs="Times New Roman"/>
      <w:sz w:val="24"/>
      <w:szCs w:val="24"/>
    </w:rPr>
  </w:style>
  <w:style w:type="paragraph" w:customStyle="1" w:styleId="1402">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1403">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 w:val="18"/>
      <w:szCs w:val="18"/>
    </w:rPr>
  </w:style>
  <w:style w:type="paragraph" w:customStyle="1" w:styleId="1404">
    <w:name w:val="xl106"/>
    <w:basedOn w:val="1"/>
    <w:qFormat/>
    <w:uiPriority w:val="0"/>
    <w:pPr>
      <w:widowControl/>
      <w:spacing w:before="100" w:beforeAutospacing="1" w:after="100" w:afterAutospacing="1"/>
      <w:jc w:val="center"/>
    </w:pPr>
    <w:rPr>
      <w:rFonts w:ascii="宋体" w:hAnsi="宋体" w:eastAsia="宋体" w:cs="宋体"/>
      <w:b/>
      <w:bCs/>
      <w:kern w:val="0"/>
      <w:sz w:val="40"/>
      <w:szCs w:val="40"/>
    </w:rPr>
  </w:style>
  <w:style w:type="paragraph" w:customStyle="1" w:styleId="1405">
    <w:name w:val="xl107"/>
    <w:basedOn w:val="1"/>
    <w:qFormat/>
    <w:uiPriority w:val="0"/>
    <w:pPr>
      <w:widowControl/>
      <w:spacing w:before="100" w:beforeAutospacing="1" w:after="100" w:afterAutospacing="1"/>
      <w:jc w:val="left"/>
    </w:pPr>
    <w:rPr>
      <w:rFonts w:ascii="黑体" w:hAnsi="黑体" w:eastAsia="黑体" w:cs="宋体"/>
      <w:b/>
      <w:bCs/>
      <w:kern w:val="0"/>
      <w:sz w:val="18"/>
      <w:szCs w:val="18"/>
    </w:rPr>
  </w:style>
  <w:style w:type="paragraph" w:customStyle="1" w:styleId="1406">
    <w:name w:val="_Style 2"/>
    <w:basedOn w:val="1"/>
    <w:qFormat/>
    <w:uiPriority w:val="0"/>
    <w:pPr>
      <w:autoSpaceDE w:val="0"/>
      <w:autoSpaceDN w:val="0"/>
      <w:adjustRightInd w:val="0"/>
      <w:ind w:firstLine="420" w:firstLineChars="200"/>
      <w:jc w:val="left"/>
    </w:pPr>
    <w:rPr>
      <w:rFonts w:ascii="Calibri" w:hAnsi="Calibri" w:eastAsia="宋体" w:cs="Times New Roman"/>
      <w:kern w:val="0"/>
      <w:sz w:val="24"/>
    </w:rPr>
  </w:style>
  <w:style w:type="paragraph" w:customStyle="1" w:styleId="1407">
    <w:name w:val="_Style 1038"/>
    <w:basedOn w:val="1"/>
    <w:next w:val="237"/>
    <w:qFormat/>
    <w:uiPriority w:val="0"/>
    <w:pPr>
      <w:ind w:firstLine="420" w:firstLineChars="200"/>
    </w:pPr>
    <w:rPr>
      <w:rFonts w:ascii="Calibri" w:hAnsi="Calibri" w:eastAsia="宋体" w:cs="Times New Roman"/>
      <w:szCs w:val="22"/>
    </w:rPr>
  </w:style>
  <w:style w:type="paragraph" w:customStyle="1" w:styleId="1408">
    <w:name w:val="普通(网站)3"/>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409">
    <w:name w:val="Char Char 字元 字元 字元 Char Char Char Char11"/>
    <w:basedOn w:val="1"/>
    <w:qFormat/>
    <w:uiPriority w:val="0"/>
    <w:pPr>
      <w:adjustRightInd w:val="0"/>
      <w:spacing w:line="360" w:lineRule="auto"/>
    </w:pPr>
    <w:rPr>
      <w:rFonts w:ascii="Times New Roman" w:hAnsi="Times New Roman" w:eastAsia="宋体" w:cs="Times New Roman"/>
      <w:szCs w:val="20"/>
    </w:rPr>
  </w:style>
  <w:style w:type="paragraph" w:customStyle="1" w:styleId="1410">
    <w:name w:val="Char Char 字元 字元 字元 Char Char Char Char1"/>
    <w:basedOn w:val="1"/>
    <w:qFormat/>
    <w:uiPriority w:val="0"/>
    <w:pPr>
      <w:adjustRightInd w:val="0"/>
      <w:spacing w:line="360" w:lineRule="auto"/>
    </w:pPr>
    <w:rPr>
      <w:rFonts w:ascii="Times New Roman" w:hAnsi="Times New Roman" w:eastAsia="宋体" w:cs="Times New Roman"/>
      <w:szCs w:val="20"/>
    </w:rPr>
  </w:style>
  <w:style w:type="paragraph" w:customStyle="1" w:styleId="1411">
    <w:name w:val="普通(网站)4"/>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412">
    <w:name w:val="HTML 预设格式3"/>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宋体" w:cs="Times New Roman"/>
      <w:sz w:val="20"/>
      <w:szCs w:val="20"/>
    </w:rPr>
  </w:style>
  <w:style w:type="paragraph" w:customStyle="1" w:styleId="1413">
    <w:name w:val="普通(网站)5"/>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414">
    <w:name w:val="正文文本 33"/>
    <w:basedOn w:val="1"/>
    <w:qFormat/>
    <w:uiPriority w:val="0"/>
    <w:pPr>
      <w:spacing w:after="120"/>
    </w:pPr>
    <w:rPr>
      <w:rFonts w:ascii="Times New Roman" w:hAnsi="Times New Roman" w:eastAsia="宋体" w:cs="Times New Roman"/>
      <w:sz w:val="16"/>
      <w:szCs w:val="16"/>
    </w:rPr>
  </w:style>
  <w:style w:type="paragraph" w:customStyle="1" w:styleId="1415">
    <w:name w:val="引用3"/>
    <w:basedOn w:val="1"/>
    <w:next w:val="1"/>
    <w:qFormat/>
    <w:uiPriority w:val="0"/>
    <w:rPr>
      <w:rFonts w:ascii="Times New Roman" w:hAnsi="Times New Roman" w:eastAsia="宋体" w:cs="Times New Roman"/>
      <w:i/>
      <w:color w:val="000000"/>
      <w:sz w:val="22"/>
      <w:szCs w:val="22"/>
    </w:rPr>
  </w:style>
  <w:style w:type="paragraph" w:customStyle="1" w:styleId="1416">
    <w:name w:val="TOC 标题41"/>
    <w:basedOn w:val="4"/>
    <w:next w:val="1"/>
    <w:qFormat/>
    <w:uiPriority w:val="0"/>
    <w:pPr>
      <w:spacing w:line="576" w:lineRule="auto"/>
      <w:outlineLvl w:val="9"/>
    </w:pPr>
    <w:rPr>
      <w:rFonts w:ascii="Calibri" w:hAnsi="Calibri" w:eastAsia="宋体" w:cs="Times New Roman"/>
    </w:rPr>
  </w:style>
  <w:style w:type="paragraph" w:customStyle="1" w:styleId="1417">
    <w:name w:val="文本块3"/>
    <w:basedOn w:val="1"/>
    <w:next w:val="1"/>
    <w:qFormat/>
    <w:uiPriority w:val="0"/>
    <w:rPr>
      <w:rFonts w:ascii="Times New Roman" w:hAnsi="Times New Roman" w:eastAsia="宋体" w:cs="Times New Roman"/>
      <w:i/>
      <w:iCs/>
      <w:color w:val="000000"/>
      <w:szCs w:val="22"/>
    </w:rPr>
  </w:style>
  <w:style w:type="paragraph" w:customStyle="1" w:styleId="1418">
    <w:name w:val="正文文本 34"/>
    <w:basedOn w:val="1"/>
    <w:qFormat/>
    <w:uiPriority w:val="0"/>
    <w:pPr>
      <w:spacing w:after="120"/>
    </w:pPr>
    <w:rPr>
      <w:rFonts w:ascii="Times New Roman" w:hAnsi="Times New Roman" w:eastAsia="宋体" w:cs="Times New Roman"/>
      <w:sz w:val="16"/>
      <w:szCs w:val="16"/>
    </w:rPr>
  </w:style>
  <w:style w:type="paragraph" w:customStyle="1" w:styleId="1419">
    <w:name w:val="标题 5221"/>
    <w:basedOn w:val="1"/>
    <w:qFormat/>
    <w:uiPriority w:val="1"/>
    <w:pPr>
      <w:autoSpaceDE w:val="0"/>
      <w:autoSpaceDN w:val="0"/>
      <w:ind w:left="726" w:hanging="489"/>
      <w:jc w:val="left"/>
      <w:outlineLvl w:val="5"/>
    </w:pPr>
    <w:rPr>
      <w:rFonts w:ascii="宋体" w:hAnsi="宋体" w:eastAsia="宋体" w:cs="宋体"/>
      <w:kern w:val="0"/>
      <w:sz w:val="28"/>
      <w:szCs w:val="28"/>
      <w:lang w:eastAsia="en-US"/>
    </w:rPr>
  </w:style>
  <w:style w:type="paragraph" w:customStyle="1" w:styleId="1420">
    <w:name w:val="索引 431"/>
    <w:basedOn w:val="1"/>
    <w:next w:val="1"/>
    <w:qFormat/>
    <w:uiPriority w:val="0"/>
    <w:pPr>
      <w:ind w:left="600" w:leftChars="600"/>
    </w:pPr>
    <w:rPr>
      <w:rFonts w:ascii="Times New Roman" w:hAnsi="Times New Roman" w:eastAsia="宋体" w:cs="Times New Roman"/>
    </w:rPr>
  </w:style>
  <w:style w:type="paragraph" w:customStyle="1" w:styleId="1421">
    <w:name w:val="文档结构图4"/>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1422">
    <w:name w:val="标题 3221"/>
    <w:basedOn w:val="1"/>
    <w:qFormat/>
    <w:uiPriority w:val="1"/>
    <w:pPr>
      <w:autoSpaceDE w:val="0"/>
      <w:autoSpaceDN w:val="0"/>
      <w:ind w:left="501" w:hanging="401"/>
      <w:jc w:val="left"/>
      <w:outlineLvl w:val="3"/>
    </w:pPr>
    <w:rPr>
      <w:rFonts w:ascii="Microsoft JhengHei" w:hAnsi="Microsoft JhengHei" w:eastAsia="Microsoft JhengHei" w:cs="Microsoft JhengHei"/>
      <w:b/>
      <w:bCs/>
      <w:kern w:val="0"/>
      <w:sz w:val="32"/>
      <w:szCs w:val="32"/>
      <w:lang w:eastAsia="en-US"/>
    </w:rPr>
  </w:style>
  <w:style w:type="paragraph" w:customStyle="1" w:styleId="1423">
    <w:name w:val="_Style 474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24">
    <w:name w:val="_Style 116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2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26">
    <w:name w:val="Heading3"/>
    <w:basedOn w:val="1"/>
    <w:next w:val="1"/>
    <w:qFormat/>
    <w:uiPriority w:val="0"/>
    <w:pPr>
      <w:keepNext/>
      <w:keepLines/>
      <w:spacing w:before="260" w:after="260" w:line="415" w:lineRule="auto"/>
    </w:pPr>
    <w:rPr>
      <w:rFonts w:ascii="Times New Roman" w:hAnsi="Times New Roman" w:eastAsia="宋体" w:cs="Times New Roman"/>
      <w:b/>
      <w:bCs/>
      <w:sz w:val="32"/>
      <w:szCs w:val="32"/>
    </w:rPr>
  </w:style>
  <w:style w:type="paragraph" w:customStyle="1" w:styleId="1427">
    <w:name w:val="彩色列表1"/>
    <w:basedOn w:val="1"/>
    <w:qFormat/>
    <w:uiPriority w:val="0"/>
    <w:pPr>
      <w:ind w:firstLine="420" w:firstLineChars="200"/>
    </w:pPr>
    <w:rPr>
      <w:rFonts w:ascii="Calibri" w:hAnsi="Calibri" w:eastAsia="宋体" w:cs="Times New Roman"/>
      <w:szCs w:val="22"/>
    </w:rPr>
  </w:style>
  <w:style w:type="paragraph" w:customStyle="1" w:styleId="1428">
    <w:name w:val="彩色底纹1"/>
    <w:qFormat/>
    <w:uiPriority w:val="0"/>
    <w:rPr>
      <w:rFonts w:ascii="Times New Roman" w:hAnsi="Times New Roman" w:eastAsia="宋体" w:cs="Times New Roman"/>
      <w:kern w:val="2"/>
      <w:sz w:val="21"/>
      <w:szCs w:val="24"/>
      <w:lang w:val="en-US" w:eastAsia="zh-CN" w:bidi="ar-SA"/>
    </w:rPr>
  </w:style>
  <w:style w:type="paragraph" w:customStyle="1" w:styleId="142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30">
    <w:name w:val="彩色底纹 - 强调文字颜色 61"/>
    <w:basedOn w:val="4"/>
    <w:next w:val="1"/>
    <w:qFormat/>
    <w:uiPriority w:val="0"/>
    <w:pPr>
      <w:spacing w:line="576" w:lineRule="auto"/>
      <w:outlineLvl w:val="9"/>
    </w:pPr>
    <w:rPr>
      <w:rFonts w:ascii="Calibri" w:hAnsi="Calibri" w:eastAsia="宋体" w:cs="Times New Roman"/>
    </w:rPr>
  </w:style>
  <w:style w:type="paragraph" w:customStyle="1" w:styleId="1431">
    <w:name w:val="_Style 33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32">
    <w:name w:val="_Style 34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33">
    <w:name w:val="_Style 4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34">
    <w:name w:val="TOC1"/>
    <w:basedOn w:val="1"/>
    <w:next w:val="1"/>
    <w:qFormat/>
    <w:locked/>
    <w:uiPriority w:val="0"/>
    <w:pPr>
      <w:tabs>
        <w:tab w:val="right" w:leader="dot" w:pos="8985"/>
      </w:tabs>
      <w:snapToGrid w:val="0"/>
      <w:spacing w:before="120" w:after="120" w:line="360" w:lineRule="auto"/>
      <w:jc w:val="center"/>
    </w:pPr>
    <w:rPr>
      <w:rFonts w:ascii="Times New Roman" w:hAnsi="Times New Roman" w:eastAsia="宋体" w:cs="Times New Roman"/>
      <w:sz w:val="32"/>
      <w:szCs w:val="32"/>
    </w:rPr>
  </w:style>
  <w:style w:type="paragraph" w:customStyle="1" w:styleId="1435">
    <w:name w:val="无间隔11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436">
    <w:name w:val="Char121"/>
    <w:basedOn w:val="1"/>
    <w:qFormat/>
    <w:uiPriority w:val="0"/>
    <w:pPr>
      <w:tabs>
        <w:tab w:val="left" w:pos="360"/>
      </w:tabs>
    </w:pPr>
    <w:rPr>
      <w:rFonts w:ascii="Times New Roman" w:hAnsi="Times New Roman" w:eastAsia="宋体" w:cs="Times New Roman"/>
      <w:sz w:val="24"/>
    </w:rPr>
  </w:style>
  <w:style w:type="paragraph" w:customStyle="1" w:styleId="1437">
    <w:name w:val="Char Char Char1 Char Char Char Char Char Char Char21"/>
    <w:basedOn w:val="1"/>
    <w:qFormat/>
    <w:uiPriority w:val="0"/>
    <w:rPr>
      <w:rFonts w:ascii="Times New Roman" w:hAnsi="Times New Roman" w:eastAsia="宋体" w:cs="Times New Roman"/>
      <w:sz w:val="28"/>
      <w:szCs w:val="28"/>
    </w:rPr>
  </w:style>
  <w:style w:type="paragraph" w:customStyle="1" w:styleId="1438">
    <w:name w:val="明显引用111"/>
    <w:basedOn w:val="1"/>
    <w:next w:val="1"/>
    <w:qFormat/>
    <w:uiPriority w:val="0"/>
    <w:pPr>
      <w:pBdr>
        <w:bottom w:val="single" w:color="4F81BD" w:sz="4" w:space="4"/>
      </w:pBdr>
      <w:spacing w:before="200" w:after="280"/>
      <w:ind w:left="936" w:right="936"/>
    </w:pPr>
    <w:rPr>
      <w:rFonts w:ascii="Times New Roman" w:hAnsi="Times New Roman" w:eastAsia="宋体" w:cs="Times New Roman"/>
      <w:b/>
      <w:bCs/>
      <w:i/>
      <w:iCs/>
      <w:color w:val="4F81BD"/>
      <w:szCs w:val="22"/>
    </w:rPr>
  </w:style>
  <w:style w:type="paragraph" w:customStyle="1" w:styleId="1439">
    <w:name w:val="Char Char111"/>
    <w:basedOn w:val="23"/>
    <w:qFormat/>
    <w:uiPriority w:val="0"/>
    <w:rPr>
      <w:rFonts w:ascii="Times New Roman" w:hAnsi="Times New Roman" w:eastAsia="宋体" w:cs="Times New Roman"/>
      <w:szCs w:val="20"/>
    </w:rPr>
  </w:style>
  <w:style w:type="paragraph" w:customStyle="1" w:styleId="1440">
    <w:name w:val="Char Char1 Char1"/>
    <w:basedOn w:val="23"/>
    <w:qFormat/>
    <w:uiPriority w:val="0"/>
    <w:rPr>
      <w:rFonts w:ascii="Times New Roman" w:hAnsi="Times New Roman" w:eastAsia="宋体" w:cs="Times New Roman"/>
    </w:rPr>
  </w:style>
  <w:style w:type="paragraph" w:customStyle="1" w:styleId="1441">
    <w:name w:val="正文文本 3211"/>
    <w:basedOn w:val="1"/>
    <w:qFormat/>
    <w:uiPriority w:val="0"/>
    <w:pPr>
      <w:widowControl/>
      <w:spacing w:after="120" w:line="360" w:lineRule="exact"/>
      <w:ind w:firstLine="200" w:firstLineChars="200"/>
    </w:pPr>
    <w:rPr>
      <w:rFonts w:ascii="Times New Roman" w:hAnsi="Times New Roman" w:eastAsia="宋体" w:cs="Times New Roman"/>
      <w:sz w:val="16"/>
      <w:szCs w:val="16"/>
    </w:rPr>
  </w:style>
  <w:style w:type="paragraph" w:customStyle="1" w:styleId="1442">
    <w:name w:val="修订21"/>
    <w:qFormat/>
    <w:uiPriority w:val="0"/>
    <w:rPr>
      <w:rFonts w:ascii="Times New Roman" w:hAnsi="Times New Roman" w:eastAsia="宋体" w:cs="Times New Roman"/>
      <w:kern w:val="2"/>
      <w:sz w:val="21"/>
      <w:szCs w:val="24"/>
      <w:lang w:val="en-US" w:eastAsia="zh-CN" w:bidi="ar-SA"/>
    </w:rPr>
  </w:style>
  <w:style w:type="paragraph" w:customStyle="1" w:styleId="1443">
    <w:name w:val="_Style 311"/>
    <w:next w:val="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444">
    <w:name w:val="Char Char 字元 字元 字元 Char Char Char Char12"/>
    <w:basedOn w:val="1"/>
    <w:qFormat/>
    <w:uiPriority w:val="0"/>
    <w:pPr>
      <w:adjustRightInd w:val="0"/>
      <w:spacing w:line="360" w:lineRule="auto"/>
    </w:pPr>
    <w:rPr>
      <w:rFonts w:ascii="Times New Roman" w:hAnsi="Times New Roman" w:eastAsia="宋体" w:cs="Times New Roman"/>
      <w:szCs w:val="20"/>
    </w:rPr>
  </w:style>
  <w:style w:type="paragraph" w:customStyle="1" w:styleId="1445">
    <w:name w:val="日期31"/>
    <w:basedOn w:val="1"/>
    <w:next w:val="1"/>
    <w:qFormat/>
    <w:uiPriority w:val="0"/>
    <w:pPr>
      <w:ind w:left="100" w:leftChars="2500"/>
    </w:pPr>
    <w:rPr>
      <w:rFonts w:ascii="宋体" w:hAnsi="Times New Roman" w:eastAsia="宋体" w:cs="Times New Roman"/>
      <w:kern w:val="0"/>
      <w:sz w:val="28"/>
      <w:szCs w:val="20"/>
    </w:rPr>
  </w:style>
  <w:style w:type="paragraph" w:customStyle="1" w:styleId="1446">
    <w:name w:val="Char1 Char Char Char1"/>
    <w:basedOn w:val="1"/>
    <w:qFormat/>
    <w:uiPriority w:val="0"/>
    <w:pPr>
      <w:spacing w:line="360" w:lineRule="auto"/>
    </w:pPr>
    <w:rPr>
      <w:rFonts w:ascii="Tahoma" w:hAnsi="Tahoma" w:eastAsia="宋体" w:cs="Times New Roman"/>
      <w:sz w:val="24"/>
      <w:szCs w:val="20"/>
    </w:rPr>
  </w:style>
  <w:style w:type="paragraph" w:customStyle="1" w:styleId="1447">
    <w:name w:val="Char2 Char Char Char1"/>
    <w:basedOn w:val="1"/>
    <w:qFormat/>
    <w:uiPriority w:val="0"/>
    <w:pPr>
      <w:adjustRightInd w:val="0"/>
    </w:pPr>
    <w:rPr>
      <w:rFonts w:ascii="Times New Roman" w:hAnsi="Times New Roman" w:eastAsia="宋体" w:cs="Times New Roman"/>
      <w:szCs w:val="20"/>
    </w:rPr>
  </w:style>
  <w:style w:type="paragraph" w:customStyle="1" w:styleId="1448">
    <w:name w:val="TOC 标题31"/>
    <w:basedOn w:val="4"/>
    <w:next w:val="1"/>
    <w:qFormat/>
    <w:uiPriority w:val="0"/>
    <w:pPr>
      <w:spacing w:line="576" w:lineRule="auto"/>
      <w:outlineLvl w:val="9"/>
    </w:pPr>
    <w:rPr>
      <w:rFonts w:ascii="Calibri" w:hAnsi="Calibri" w:eastAsia="宋体" w:cs="Times New Roman"/>
    </w:rPr>
  </w:style>
  <w:style w:type="paragraph" w:customStyle="1" w:styleId="1449">
    <w:name w:val="列表段落11"/>
    <w:basedOn w:val="1"/>
    <w:qFormat/>
    <w:uiPriority w:val="0"/>
    <w:pPr>
      <w:ind w:firstLine="420" w:firstLineChars="200"/>
    </w:pPr>
    <w:rPr>
      <w:rFonts w:ascii="Calibri" w:hAnsi="Calibri" w:eastAsia="宋体" w:cs="Times New Roman"/>
      <w:szCs w:val="22"/>
    </w:rPr>
  </w:style>
  <w:style w:type="table" w:customStyle="1" w:styleId="1450">
    <w:name w:val="Table Normal"/>
    <w:unhideWhenUsed/>
    <w:qFormat/>
    <w:uiPriority w:val="2"/>
    <w:pPr>
      <w:widowControl w:val="0"/>
    </w:pPr>
    <w:rPr>
      <w:rFonts w:ascii="Calibri" w:hAnsi="Calibri" w:eastAsia="宋体" w:cs="Times New Roman"/>
      <w:sz w:val="22"/>
      <w:lang w:eastAsia="en-US"/>
    </w:rPr>
    <w:tblPr>
      <w:tblCellMar>
        <w:top w:w="0" w:type="dxa"/>
        <w:left w:w="0" w:type="dxa"/>
        <w:bottom w:w="0" w:type="dxa"/>
        <w:right w:w="0" w:type="dxa"/>
      </w:tblCellMar>
    </w:tblPr>
  </w:style>
  <w:style w:type="character" w:customStyle="1" w:styleId="1451">
    <w:name w:val="未处理的提及2"/>
    <w:unhideWhenUsed/>
    <w:qFormat/>
    <w:uiPriority w:val="99"/>
    <w:rPr>
      <w:rFonts w:ascii="Times New Roman" w:hAnsi="Times New Roman" w:eastAsia="宋体" w:cs="Times New Roman"/>
      <w:color w:val="605E5C"/>
      <w:shd w:val="clear" w:color="auto" w:fill="E1DFDD"/>
    </w:rPr>
  </w:style>
  <w:style w:type="character" w:customStyle="1" w:styleId="1452">
    <w:name w:val="HTML 预设格式 Char2"/>
    <w:qFormat/>
    <w:uiPriority w:val="0"/>
    <w:rPr>
      <w:rFonts w:ascii="宋体" w:hAnsi="宋体" w:eastAsia="宋体" w:cs="Times New Roman"/>
      <w:sz w:val="24"/>
      <w:szCs w:val="24"/>
    </w:rPr>
  </w:style>
  <w:style w:type="paragraph" w:customStyle="1" w:styleId="1453">
    <w:name w:val="_Style 38"/>
    <w:basedOn w:val="1"/>
    <w:next w:val="237"/>
    <w:link w:val="1454"/>
    <w:qFormat/>
    <w:uiPriority w:val="0"/>
    <w:pPr>
      <w:ind w:firstLine="420" w:firstLineChars="200"/>
    </w:pPr>
    <w:rPr>
      <w:rFonts w:ascii="Times New Roman" w:hAnsi="Times New Roman" w:eastAsia="宋体" w:cs="Times New Roman"/>
    </w:rPr>
  </w:style>
  <w:style w:type="character" w:customStyle="1" w:styleId="1454">
    <w:name w:val="正文首行缩进 2 Char3"/>
    <w:link w:val="1453"/>
    <w:qFormat/>
    <w:uiPriority w:val="0"/>
    <w:rPr>
      <w:rFonts w:ascii="Times New Roman" w:hAnsi="Times New Roman" w:eastAsia="宋体" w:cs="Times New Roman"/>
    </w:rPr>
  </w:style>
  <w:style w:type="character" w:customStyle="1" w:styleId="1455">
    <w:name w:val="页脚 Char4"/>
    <w:qFormat/>
    <w:uiPriority w:val="0"/>
    <w:rPr>
      <w:kern w:val="2"/>
      <w:sz w:val="18"/>
      <w:szCs w:val="18"/>
    </w:rPr>
  </w:style>
  <w:style w:type="character" w:customStyle="1" w:styleId="1456">
    <w:name w:val="页眉 Char4"/>
    <w:qFormat/>
    <w:uiPriority w:val="0"/>
    <w:rPr>
      <w:kern w:val="2"/>
      <w:sz w:val="18"/>
    </w:rPr>
  </w:style>
  <w:style w:type="character" w:customStyle="1" w:styleId="1457">
    <w:name w:val="正文首行缩进 Char3"/>
    <w:qFormat/>
    <w:uiPriority w:val="0"/>
    <w:rPr>
      <w:rFonts w:ascii="Times New Roman" w:hAnsi="Times New Roman" w:eastAsia="宋体" w:cs="Times New Roman"/>
      <w:kern w:val="2"/>
      <w:sz w:val="21"/>
      <w:szCs w:val="24"/>
      <w:lang w:val="en-US" w:eastAsia="zh-CN" w:bidi="ar-SA"/>
    </w:rPr>
  </w:style>
  <w:style w:type="character" w:customStyle="1" w:styleId="1458">
    <w:name w:val="Char Char1611"/>
    <w:qFormat/>
    <w:uiPriority w:val="0"/>
    <w:rPr>
      <w:rFonts w:ascii="Times New Roman" w:hAnsi="Times New Roman" w:eastAsia="宋体" w:cs="Times New Roman"/>
      <w:b/>
      <w:bCs/>
      <w:kern w:val="44"/>
      <w:sz w:val="44"/>
      <w:szCs w:val="44"/>
      <w:lang w:val="en-US" w:eastAsia="zh-CN" w:bidi="ar-SA"/>
    </w:rPr>
  </w:style>
  <w:style w:type="character" w:customStyle="1" w:styleId="1459">
    <w:name w:val="Char Char1811"/>
    <w:qFormat/>
    <w:uiPriority w:val="0"/>
    <w:rPr>
      <w:rFonts w:ascii="Times New Roman" w:hAnsi="Times New Roman" w:eastAsia="宋体" w:cs="Times New Roman"/>
      <w:b/>
      <w:bCs/>
      <w:kern w:val="44"/>
      <w:sz w:val="44"/>
      <w:szCs w:val="44"/>
    </w:rPr>
  </w:style>
  <w:style w:type="character" w:customStyle="1" w:styleId="1460">
    <w:name w:val="不明显参考1111"/>
    <w:qFormat/>
    <w:uiPriority w:val="0"/>
    <w:rPr>
      <w:rFonts w:ascii="Times New Roman" w:hAnsi="Times New Roman" w:eastAsia="宋体" w:cs="Times New Roman"/>
      <w:smallCaps/>
      <w:color w:val="C0504D"/>
      <w:u w:val="single"/>
    </w:rPr>
  </w:style>
  <w:style w:type="character" w:customStyle="1" w:styleId="1461">
    <w:name w:val="书籍标题1111"/>
    <w:qFormat/>
    <w:uiPriority w:val="0"/>
    <w:rPr>
      <w:rFonts w:ascii="Times New Roman" w:hAnsi="Times New Roman" w:eastAsia="宋体" w:cs="Times New Roman"/>
      <w:b/>
      <w:smallCaps/>
      <w:spacing w:val="5"/>
    </w:rPr>
  </w:style>
  <w:style w:type="character" w:customStyle="1" w:styleId="1462">
    <w:name w:val="Char Char811"/>
    <w:qFormat/>
    <w:uiPriority w:val="0"/>
    <w:rPr>
      <w:rFonts w:ascii="Arial" w:hAnsi="Arial" w:eastAsia="黑体" w:cs="Times New Roman"/>
      <w:b/>
      <w:bCs/>
      <w:kern w:val="2"/>
      <w:sz w:val="32"/>
      <w:szCs w:val="32"/>
      <w:lang w:val="en-US" w:eastAsia="zh-CN" w:bidi="ar-SA"/>
    </w:rPr>
  </w:style>
  <w:style w:type="character" w:customStyle="1" w:styleId="1463">
    <w:name w:val="Char Char1511"/>
    <w:qFormat/>
    <w:uiPriority w:val="0"/>
    <w:rPr>
      <w:rFonts w:ascii="Arial" w:hAnsi="Arial" w:eastAsia="黑体" w:cs="Times New Roman"/>
      <w:b/>
      <w:bCs/>
      <w:kern w:val="2"/>
      <w:sz w:val="32"/>
      <w:szCs w:val="32"/>
      <w:lang w:val="en-US" w:eastAsia="zh-CN" w:bidi="ar-SA"/>
    </w:rPr>
  </w:style>
  <w:style w:type="character" w:customStyle="1" w:styleId="1464">
    <w:name w:val="Char Char3111"/>
    <w:qFormat/>
    <w:uiPriority w:val="0"/>
    <w:rPr>
      <w:rFonts w:ascii="Arial" w:hAnsi="Arial" w:eastAsia="黑体" w:cs="Times New Roman"/>
      <w:b/>
      <w:bCs/>
      <w:kern w:val="2"/>
      <w:sz w:val="32"/>
      <w:szCs w:val="32"/>
      <w:lang w:val="en-US" w:eastAsia="zh-CN" w:bidi="ar-SA"/>
    </w:rPr>
  </w:style>
  <w:style w:type="character" w:customStyle="1" w:styleId="1465">
    <w:name w:val="Char Char411"/>
    <w:qFormat/>
    <w:uiPriority w:val="0"/>
    <w:rPr>
      <w:rFonts w:ascii="Times New Roman" w:hAnsi="Times New Roman" w:eastAsia="宋体" w:cs="Times New Roman"/>
      <w:b/>
      <w:bCs/>
      <w:kern w:val="44"/>
      <w:sz w:val="44"/>
      <w:szCs w:val="44"/>
      <w:lang w:val="en-US" w:eastAsia="zh-CN" w:bidi="ar-SA"/>
    </w:rPr>
  </w:style>
  <w:style w:type="character" w:customStyle="1" w:styleId="1466">
    <w:name w:val="Char Char1711"/>
    <w:qFormat/>
    <w:uiPriority w:val="0"/>
    <w:rPr>
      <w:rFonts w:ascii="Cambria" w:hAnsi="Cambria" w:eastAsia="宋体" w:cs="Times New Roman"/>
      <w:b/>
      <w:bCs/>
      <w:kern w:val="2"/>
      <w:sz w:val="32"/>
      <w:szCs w:val="32"/>
    </w:rPr>
  </w:style>
  <w:style w:type="character" w:customStyle="1" w:styleId="1467">
    <w:name w:val="Char Char7111"/>
    <w:qFormat/>
    <w:uiPriority w:val="0"/>
    <w:rPr>
      <w:rFonts w:ascii="Arial" w:hAnsi="Arial" w:eastAsia="黑体" w:cs="Times New Roman"/>
      <w:b/>
      <w:bCs/>
      <w:kern w:val="2"/>
      <w:sz w:val="32"/>
      <w:szCs w:val="32"/>
      <w:lang w:val="en-US" w:eastAsia="zh-CN" w:bidi="ar-SA"/>
    </w:rPr>
  </w:style>
  <w:style w:type="character" w:customStyle="1" w:styleId="1468">
    <w:name w:val="明显强调111"/>
    <w:qFormat/>
    <w:uiPriority w:val="0"/>
    <w:rPr>
      <w:rFonts w:ascii="Times New Roman" w:hAnsi="Times New Roman" w:eastAsia="宋体" w:cs="Times New Roman"/>
      <w:b/>
      <w:i/>
      <w:color w:val="4F81BD"/>
    </w:rPr>
  </w:style>
  <w:style w:type="character" w:customStyle="1" w:styleId="1469">
    <w:name w:val="Char Char911"/>
    <w:qFormat/>
    <w:uiPriority w:val="0"/>
    <w:rPr>
      <w:rFonts w:ascii="Times New Roman" w:hAnsi="Times New Roman" w:eastAsia="宋体" w:cs="Times New Roman"/>
      <w:kern w:val="2"/>
      <w:sz w:val="21"/>
      <w:szCs w:val="22"/>
    </w:rPr>
  </w:style>
  <w:style w:type="character" w:customStyle="1" w:styleId="1470">
    <w:name w:val="Char Char Char Char Char Char11"/>
    <w:qFormat/>
    <w:uiPriority w:val="0"/>
    <w:rPr>
      <w:rFonts w:ascii="Cambria" w:hAnsi="Cambria" w:eastAsia="宋体" w:cs="Times New Roman"/>
      <w:b/>
      <w:bCs/>
      <w:kern w:val="2"/>
      <w:sz w:val="32"/>
      <w:szCs w:val="32"/>
      <w:lang w:bidi="ar-SA"/>
    </w:rPr>
  </w:style>
  <w:style w:type="paragraph" w:customStyle="1" w:styleId="1471">
    <w:name w:val="无间隔111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72">
    <w:name w:val="Char1211"/>
    <w:basedOn w:val="1"/>
    <w:qFormat/>
    <w:uiPriority w:val="0"/>
    <w:pPr>
      <w:tabs>
        <w:tab w:val="left" w:pos="360"/>
      </w:tabs>
    </w:pPr>
    <w:rPr>
      <w:rFonts w:ascii="Times New Roman" w:hAnsi="Times New Roman" w:eastAsia="宋体" w:cs="Times New Roman"/>
      <w:sz w:val="24"/>
    </w:rPr>
  </w:style>
  <w:style w:type="paragraph" w:customStyle="1" w:styleId="1473">
    <w:name w:val="Char Char Char21"/>
    <w:basedOn w:val="23"/>
    <w:qFormat/>
    <w:uiPriority w:val="0"/>
    <w:rPr>
      <w:rFonts w:ascii="Times New Roman" w:hAnsi="Times New Roman" w:eastAsia="宋体" w:cs="Times New Roman"/>
      <w:szCs w:val="20"/>
    </w:rPr>
  </w:style>
  <w:style w:type="paragraph" w:customStyle="1" w:styleId="1474">
    <w:name w:val="Char Char Char1 Char Char Char Char Char Char Char211"/>
    <w:basedOn w:val="1"/>
    <w:qFormat/>
    <w:uiPriority w:val="0"/>
    <w:rPr>
      <w:rFonts w:ascii="Times New Roman" w:hAnsi="Times New Roman" w:eastAsia="宋体" w:cs="Times New Roman"/>
      <w:sz w:val="28"/>
      <w:szCs w:val="28"/>
    </w:rPr>
  </w:style>
  <w:style w:type="paragraph" w:customStyle="1" w:styleId="1475">
    <w:name w:val="明显引用1111"/>
    <w:basedOn w:val="1"/>
    <w:next w:val="1"/>
    <w:qFormat/>
    <w:uiPriority w:val="0"/>
    <w:pPr>
      <w:pBdr>
        <w:bottom w:val="single" w:color="4F81BD" w:sz="4" w:space="4"/>
      </w:pBdr>
      <w:spacing w:before="200" w:after="280"/>
      <w:ind w:left="936" w:right="936"/>
    </w:pPr>
    <w:rPr>
      <w:rFonts w:ascii="Times New Roman" w:hAnsi="Times New Roman" w:eastAsia="宋体" w:cs="Times New Roman"/>
      <w:b/>
      <w:bCs/>
      <w:i/>
      <w:iCs/>
      <w:color w:val="4F81BD"/>
      <w:szCs w:val="22"/>
    </w:rPr>
  </w:style>
  <w:style w:type="paragraph" w:customStyle="1" w:styleId="1476">
    <w:name w:val="Char Char1111"/>
    <w:basedOn w:val="23"/>
    <w:qFormat/>
    <w:uiPriority w:val="0"/>
    <w:rPr>
      <w:rFonts w:ascii="Times New Roman" w:hAnsi="Times New Roman" w:eastAsia="宋体" w:cs="Times New Roman"/>
      <w:szCs w:val="20"/>
    </w:rPr>
  </w:style>
  <w:style w:type="paragraph" w:customStyle="1" w:styleId="1477">
    <w:name w:val="Char Char1 Char11"/>
    <w:basedOn w:val="23"/>
    <w:qFormat/>
    <w:uiPriority w:val="0"/>
    <w:rPr>
      <w:rFonts w:ascii="Times New Roman" w:hAnsi="Times New Roman" w:eastAsia="宋体" w:cs="Times New Roman"/>
    </w:rPr>
  </w:style>
  <w:style w:type="paragraph" w:customStyle="1" w:styleId="1478">
    <w:name w:val="引用111"/>
    <w:basedOn w:val="1"/>
    <w:next w:val="1"/>
    <w:qFormat/>
    <w:uiPriority w:val="0"/>
    <w:rPr>
      <w:rFonts w:ascii="Calibri" w:hAnsi="Calibri" w:eastAsia="宋体" w:cs="Times New Roman"/>
      <w:i/>
      <w:color w:val="000000"/>
      <w:kern w:val="0"/>
      <w:sz w:val="22"/>
      <w:szCs w:val="20"/>
    </w:rPr>
  </w:style>
  <w:style w:type="paragraph" w:customStyle="1" w:styleId="1479">
    <w:name w:val="Char821"/>
    <w:basedOn w:val="23"/>
    <w:qFormat/>
    <w:uiPriority w:val="0"/>
    <w:rPr>
      <w:rFonts w:ascii="Times New Roman" w:hAnsi="Times New Roman" w:eastAsia="宋体" w:cs="Times New Roman"/>
    </w:rPr>
  </w:style>
  <w:style w:type="paragraph" w:customStyle="1" w:styleId="1480">
    <w:name w:val="Char131"/>
    <w:basedOn w:val="23"/>
    <w:qFormat/>
    <w:uiPriority w:val="0"/>
    <w:rPr>
      <w:rFonts w:ascii="Times New Roman" w:hAnsi="Times New Roman" w:eastAsia="宋体" w:cs="Times New Roman"/>
      <w:szCs w:val="20"/>
    </w:rPr>
  </w:style>
  <w:style w:type="paragraph" w:customStyle="1" w:styleId="1481">
    <w:name w:val="Char Char1 Char Char Char Char11"/>
    <w:basedOn w:val="23"/>
    <w:qFormat/>
    <w:uiPriority w:val="0"/>
    <w:rPr>
      <w:rFonts w:ascii="Calibri" w:hAnsi="Calibri" w:eastAsia="宋体" w:cs="Times New Roman"/>
      <w:kern w:val="0"/>
      <w:sz w:val="20"/>
    </w:rPr>
  </w:style>
  <w:style w:type="paragraph" w:customStyle="1" w:styleId="1482">
    <w:name w:val="普通(网站)1111"/>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483">
    <w:name w:val="Char Char1 Char Char Char Char Char Char21"/>
    <w:basedOn w:val="23"/>
    <w:qFormat/>
    <w:uiPriority w:val="0"/>
    <w:rPr>
      <w:rFonts w:ascii="Times New Roman" w:hAnsi="Times New Roman" w:eastAsia="宋体" w:cs="Times New Roman"/>
      <w:szCs w:val="20"/>
    </w:rPr>
  </w:style>
  <w:style w:type="paragraph" w:customStyle="1" w:styleId="1484">
    <w:name w:val="正文文本 32111"/>
    <w:basedOn w:val="1"/>
    <w:qFormat/>
    <w:uiPriority w:val="0"/>
    <w:pPr>
      <w:widowControl/>
      <w:spacing w:after="120" w:line="360" w:lineRule="exact"/>
      <w:ind w:firstLine="200" w:firstLineChars="200"/>
    </w:pPr>
    <w:rPr>
      <w:rFonts w:ascii="Times New Roman" w:hAnsi="Times New Roman" w:eastAsia="宋体" w:cs="Times New Roman"/>
      <w:sz w:val="16"/>
      <w:szCs w:val="16"/>
    </w:rPr>
  </w:style>
  <w:style w:type="character" w:customStyle="1" w:styleId="1485">
    <w:name w:val="明显参考211"/>
    <w:qFormat/>
    <w:uiPriority w:val="0"/>
    <w:rPr>
      <w:b/>
      <w:smallCaps/>
      <w:color w:val="C0504D"/>
      <w:spacing w:val="5"/>
      <w:u w:val="single"/>
    </w:rPr>
  </w:style>
  <w:style w:type="character" w:customStyle="1" w:styleId="1486">
    <w:name w:val="书籍标题211"/>
    <w:qFormat/>
    <w:uiPriority w:val="0"/>
    <w:rPr>
      <w:b/>
      <w:smallCaps/>
      <w:spacing w:val="5"/>
    </w:rPr>
  </w:style>
  <w:style w:type="character" w:customStyle="1" w:styleId="1487">
    <w:name w:val="不明显强调211"/>
    <w:qFormat/>
    <w:uiPriority w:val="0"/>
    <w:rPr>
      <w:i/>
      <w:color w:val="808080"/>
    </w:rPr>
  </w:style>
  <w:style w:type="character" w:customStyle="1" w:styleId="1488">
    <w:name w:val="不明显参考211"/>
    <w:qFormat/>
    <w:uiPriority w:val="0"/>
    <w:rPr>
      <w:smallCaps/>
      <w:color w:val="C0504D"/>
      <w:u w:val="single"/>
    </w:rPr>
  </w:style>
  <w:style w:type="paragraph" w:customStyle="1" w:styleId="1489">
    <w:name w:val="修订211"/>
    <w:qFormat/>
    <w:uiPriority w:val="0"/>
    <w:rPr>
      <w:rFonts w:ascii="Times New Roman" w:hAnsi="Times New Roman" w:eastAsia="宋体" w:cs="Times New Roman"/>
      <w:kern w:val="2"/>
      <w:sz w:val="21"/>
      <w:szCs w:val="24"/>
      <w:lang w:val="en-US" w:eastAsia="zh-CN" w:bidi="ar-SA"/>
    </w:rPr>
  </w:style>
  <w:style w:type="paragraph" w:customStyle="1" w:styleId="1490">
    <w:name w:val="Char Char 字元 字元 字元 Char Char Char Char121"/>
    <w:basedOn w:val="1"/>
    <w:qFormat/>
    <w:uiPriority w:val="0"/>
    <w:pPr>
      <w:adjustRightInd w:val="0"/>
      <w:spacing w:line="360" w:lineRule="auto"/>
    </w:pPr>
    <w:rPr>
      <w:rFonts w:ascii="Times New Roman" w:hAnsi="Times New Roman" w:eastAsia="宋体" w:cs="Times New Roman"/>
      <w:szCs w:val="20"/>
    </w:rPr>
  </w:style>
  <w:style w:type="paragraph" w:customStyle="1" w:styleId="1491">
    <w:name w:val="TOC 标题211"/>
    <w:basedOn w:val="4"/>
    <w:next w:val="1"/>
    <w:qFormat/>
    <w:uiPriority w:val="0"/>
    <w:pPr>
      <w:spacing w:line="576" w:lineRule="auto"/>
      <w:outlineLvl w:val="9"/>
    </w:pPr>
    <w:rPr>
      <w:rFonts w:ascii="Calibri" w:hAnsi="Calibri" w:eastAsia="宋体" w:cs="Times New Roman"/>
    </w:rPr>
  </w:style>
  <w:style w:type="paragraph" w:customStyle="1" w:styleId="1492">
    <w:name w:val="文本块211"/>
    <w:basedOn w:val="1"/>
    <w:next w:val="1"/>
    <w:qFormat/>
    <w:uiPriority w:val="0"/>
    <w:rPr>
      <w:rFonts w:ascii="Times New Roman" w:hAnsi="Times New Roman" w:eastAsia="宋体" w:cs="Times New Roman"/>
      <w:i/>
      <w:iCs/>
      <w:color w:val="000000"/>
      <w:szCs w:val="22"/>
    </w:rPr>
  </w:style>
  <w:style w:type="paragraph" w:customStyle="1" w:styleId="1493">
    <w:name w:val="批注主题211"/>
    <w:basedOn w:val="25"/>
    <w:next w:val="25"/>
    <w:qFormat/>
    <w:uiPriority w:val="0"/>
    <w:rPr>
      <w:rFonts w:ascii="宋体" w:hAnsi="Times New Roman" w:eastAsia="宋体" w:cs="Times New Roman"/>
      <w:b/>
      <w:bCs/>
      <w:kern w:val="0"/>
      <w:sz w:val="28"/>
      <w:szCs w:val="20"/>
    </w:rPr>
  </w:style>
  <w:style w:type="paragraph" w:customStyle="1" w:styleId="1494">
    <w:name w:val="索引 4211"/>
    <w:basedOn w:val="1"/>
    <w:next w:val="1"/>
    <w:qFormat/>
    <w:uiPriority w:val="0"/>
    <w:pPr>
      <w:ind w:left="600" w:leftChars="600"/>
    </w:pPr>
    <w:rPr>
      <w:rFonts w:ascii="Times New Roman" w:hAnsi="Times New Roman" w:eastAsia="宋体" w:cs="Times New Roman"/>
    </w:rPr>
  </w:style>
  <w:style w:type="paragraph" w:customStyle="1" w:styleId="1495">
    <w:name w:val="文档结构图311"/>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1496">
    <w:name w:val="日期311"/>
    <w:basedOn w:val="1"/>
    <w:next w:val="1"/>
    <w:qFormat/>
    <w:uiPriority w:val="0"/>
    <w:pPr>
      <w:ind w:left="100" w:leftChars="2500"/>
    </w:pPr>
    <w:rPr>
      <w:rFonts w:ascii="宋体" w:hAnsi="Times New Roman" w:eastAsia="宋体" w:cs="Times New Roman"/>
      <w:kern w:val="0"/>
      <w:sz w:val="28"/>
      <w:szCs w:val="20"/>
    </w:rPr>
  </w:style>
  <w:style w:type="character" w:customStyle="1" w:styleId="1497">
    <w:name w:val="Char Char2911"/>
    <w:qFormat/>
    <w:uiPriority w:val="0"/>
    <w:rPr>
      <w:rFonts w:eastAsia="宋体"/>
      <w:b/>
      <w:bCs/>
      <w:kern w:val="2"/>
      <w:sz w:val="32"/>
      <w:szCs w:val="32"/>
      <w:lang w:val="en-US" w:eastAsia="zh-CN" w:bidi="ar-SA"/>
    </w:rPr>
  </w:style>
  <w:style w:type="character" w:customStyle="1" w:styleId="1498">
    <w:name w:val="Char Char3011"/>
    <w:qFormat/>
    <w:uiPriority w:val="0"/>
    <w:rPr>
      <w:rFonts w:ascii="Arial" w:hAnsi="Arial" w:eastAsia="黑体"/>
      <w:b/>
      <w:bCs/>
      <w:kern w:val="2"/>
      <w:sz w:val="32"/>
      <w:szCs w:val="32"/>
      <w:lang w:val="en-US" w:eastAsia="zh-CN" w:bidi="ar-SA"/>
    </w:rPr>
  </w:style>
  <w:style w:type="character" w:customStyle="1" w:styleId="1499">
    <w:name w:val="Char Char1211"/>
    <w:qFormat/>
    <w:uiPriority w:val="0"/>
    <w:rPr>
      <w:rFonts w:ascii="Arial" w:hAnsi="Arial" w:eastAsia="黑体"/>
      <w:sz w:val="21"/>
      <w:szCs w:val="21"/>
      <w:lang w:val="en-US" w:eastAsia="zh-CN" w:bidi="ar-SA"/>
    </w:rPr>
  </w:style>
  <w:style w:type="character" w:customStyle="1" w:styleId="1500">
    <w:name w:val="Char Char2811"/>
    <w:qFormat/>
    <w:uiPriority w:val="0"/>
    <w:rPr>
      <w:rFonts w:ascii="Calibri Light" w:hAnsi="Calibri Light" w:eastAsia="宋体" w:cs="Times New Roman"/>
      <w:b/>
      <w:bCs/>
      <w:sz w:val="32"/>
      <w:szCs w:val="32"/>
    </w:rPr>
  </w:style>
  <w:style w:type="paragraph" w:customStyle="1" w:styleId="1501">
    <w:name w:val="Char Char Char Char Char Char Char Char Char Char11"/>
    <w:basedOn w:val="1"/>
    <w:qFormat/>
    <w:uiPriority w:val="0"/>
    <w:pPr>
      <w:tabs>
        <w:tab w:val="left" w:pos="360"/>
      </w:tabs>
      <w:ind w:left="360" w:hanging="360" w:hangingChars="200"/>
    </w:pPr>
    <w:rPr>
      <w:rFonts w:ascii="Times New Roman" w:hAnsi="Times New Roman" w:eastAsia="宋体" w:cs="Times New Roman"/>
      <w:sz w:val="24"/>
    </w:rPr>
  </w:style>
  <w:style w:type="paragraph" w:customStyle="1" w:styleId="1502">
    <w:name w:val="Char1 Char Char Char11"/>
    <w:basedOn w:val="1"/>
    <w:qFormat/>
    <w:uiPriority w:val="0"/>
    <w:pPr>
      <w:spacing w:line="360" w:lineRule="auto"/>
    </w:pPr>
    <w:rPr>
      <w:rFonts w:ascii="Tahoma" w:hAnsi="Tahoma" w:eastAsia="宋体" w:cs="Times New Roman"/>
      <w:sz w:val="24"/>
      <w:szCs w:val="20"/>
    </w:rPr>
  </w:style>
  <w:style w:type="paragraph" w:customStyle="1" w:styleId="1503">
    <w:name w:val="Char2 Char Char Char11"/>
    <w:basedOn w:val="1"/>
    <w:qFormat/>
    <w:uiPriority w:val="0"/>
    <w:pPr>
      <w:adjustRightInd w:val="0"/>
    </w:pPr>
    <w:rPr>
      <w:rFonts w:ascii="Times New Roman" w:hAnsi="Times New Roman" w:eastAsia="宋体" w:cs="Times New Roman"/>
      <w:szCs w:val="20"/>
    </w:rPr>
  </w:style>
  <w:style w:type="paragraph" w:customStyle="1" w:styleId="1504">
    <w:name w:val="Char Char Char Char11"/>
    <w:basedOn w:val="1"/>
    <w:qFormat/>
    <w:uiPriority w:val="0"/>
    <w:rPr>
      <w:rFonts w:ascii="Tahoma" w:hAnsi="Tahoma" w:eastAsia="宋体" w:cs="Times New Roman"/>
      <w:sz w:val="24"/>
      <w:szCs w:val="20"/>
    </w:rPr>
  </w:style>
  <w:style w:type="character" w:customStyle="1" w:styleId="1505">
    <w:name w:val="Char Char1311"/>
    <w:qFormat/>
    <w:uiPriority w:val="0"/>
    <w:rPr>
      <w:rFonts w:ascii="宋体" w:hAnsi="Courier New" w:eastAsia="宋体"/>
      <w:kern w:val="2"/>
      <w:sz w:val="21"/>
      <w:lang w:val="en-US" w:eastAsia="zh-CN" w:bidi="ar-SA"/>
    </w:rPr>
  </w:style>
  <w:style w:type="paragraph" w:customStyle="1" w:styleId="1506">
    <w:name w:val="正文缩进111"/>
    <w:basedOn w:val="1"/>
    <w:qFormat/>
    <w:uiPriority w:val="0"/>
    <w:pPr>
      <w:spacing w:afterLines="50" w:line="312" w:lineRule="auto"/>
      <w:ind w:firstLine="200" w:firstLineChars="200"/>
    </w:pPr>
    <w:rPr>
      <w:rFonts w:ascii="Times New Roman" w:hAnsi="Times New Roman" w:eastAsia="宋体" w:cs="Times New Roman"/>
      <w:sz w:val="24"/>
      <w:szCs w:val="20"/>
    </w:rPr>
  </w:style>
  <w:style w:type="character" w:customStyle="1" w:styleId="1507">
    <w:name w:val="不明显强调311"/>
    <w:qFormat/>
    <w:uiPriority w:val="0"/>
    <w:rPr>
      <w:i/>
      <w:color w:val="808080"/>
    </w:rPr>
  </w:style>
  <w:style w:type="character" w:customStyle="1" w:styleId="1508">
    <w:name w:val="明显参考311"/>
    <w:qFormat/>
    <w:uiPriority w:val="0"/>
    <w:rPr>
      <w:b/>
      <w:smallCaps/>
      <w:color w:val="C0504D"/>
      <w:spacing w:val="5"/>
      <w:u w:val="single"/>
    </w:rPr>
  </w:style>
  <w:style w:type="paragraph" w:customStyle="1" w:styleId="1509">
    <w:name w:val="修订311"/>
    <w:qFormat/>
    <w:uiPriority w:val="0"/>
    <w:rPr>
      <w:rFonts w:ascii="Times New Roman" w:hAnsi="Times New Roman" w:eastAsia="宋体" w:cs="Times New Roman"/>
      <w:kern w:val="2"/>
      <w:sz w:val="21"/>
      <w:szCs w:val="24"/>
      <w:lang w:val="en-US" w:eastAsia="zh-CN" w:bidi="ar-SA"/>
    </w:rPr>
  </w:style>
  <w:style w:type="paragraph" w:customStyle="1" w:styleId="1510">
    <w:name w:val="TOC 标题311"/>
    <w:basedOn w:val="4"/>
    <w:next w:val="1"/>
    <w:qFormat/>
    <w:uiPriority w:val="0"/>
    <w:pPr>
      <w:spacing w:line="576" w:lineRule="auto"/>
      <w:outlineLvl w:val="9"/>
    </w:pPr>
    <w:rPr>
      <w:rFonts w:ascii="Calibri" w:hAnsi="Calibri" w:eastAsia="宋体" w:cs="Times New Roman"/>
    </w:rPr>
  </w:style>
  <w:style w:type="paragraph" w:customStyle="1" w:styleId="1511">
    <w:name w:val="列表段落111"/>
    <w:basedOn w:val="1"/>
    <w:qFormat/>
    <w:uiPriority w:val="0"/>
    <w:pPr>
      <w:ind w:firstLine="420" w:firstLineChars="200"/>
    </w:pPr>
    <w:rPr>
      <w:rFonts w:ascii="Calibri" w:hAnsi="Calibri" w:eastAsia="宋体" w:cs="Times New Roman"/>
      <w:szCs w:val="22"/>
    </w:rPr>
  </w:style>
  <w:style w:type="paragraph" w:customStyle="1" w:styleId="1512">
    <w:name w:val="标题 3211"/>
    <w:basedOn w:val="1"/>
    <w:qFormat/>
    <w:uiPriority w:val="1"/>
    <w:pPr>
      <w:autoSpaceDE w:val="0"/>
      <w:autoSpaceDN w:val="0"/>
      <w:ind w:left="501" w:hanging="401"/>
      <w:jc w:val="left"/>
      <w:outlineLvl w:val="3"/>
    </w:pPr>
    <w:rPr>
      <w:rFonts w:ascii="Microsoft JhengHei" w:hAnsi="Microsoft JhengHei" w:eastAsia="Microsoft JhengHei" w:cs="Microsoft JhengHei"/>
      <w:b/>
      <w:bCs/>
      <w:kern w:val="0"/>
      <w:sz w:val="32"/>
      <w:szCs w:val="32"/>
      <w:lang w:eastAsia="en-US"/>
    </w:rPr>
  </w:style>
  <w:style w:type="paragraph" w:customStyle="1" w:styleId="1513">
    <w:name w:val="标题 5211"/>
    <w:basedOn w:val="1"/>
    <w:qFormat/>
    <w:uiPriority w:val="1"/>
    <w:pPr>
      <w:autoSpaceDE w:val="0"/>
      <w:autoSpaceDN w:val="0"/>
      <w:ind w:left="726" w:hanging="489"/>
      <w:jc w:val="left"/>
      <w:outlineLvl w:val="5"/>
    </w:pPr>
    <w:rPr>
      <w:rFonts w:ascii="宋体" w:hAnsi="宋体" w:eastAsia="宋体" w:cs="宋体"/>
      <w:kern w:val="0"/>
      <w:sz w:val="28"/>
      <w:szCs w:val="28"/>
      <w:lang w:eastAsia="en-US"/>
    </w:rPr>
  </w:style>
  <w:style w:type="paragraph" w:customStyle="1" w:styleId="1514">
    <w:name w:val="_Style 1424"/>
    <w:basedOn w:val="1"/>
    <w:next w:val="1"/>
    <w:qFormat/>
    <w:uiPriority w:val="39"/>
    <w:pPr>
      <w:ind w:left="840"/>
      <w:jc w:val="left"/>
    </w:pPr>
    <w:rPr>
      <w:rFonts w:ascii="Times New Roman" w:hAnsi="Times New Roman" w:eastAsia="宋体" w:cs="Times New Roman"/>
      <w:sz w:val="18"/>
      <w:szCs w:val="18"/>
    </w:rPr>
  </w:style>
  <w:style w:type="character" w:customStyle="1" w:styleId="1515">
    <w:name w:val="纯文本 Char4"/>
    <w:qFormat/>
    <w:uiPriority w:val="0"/>
    <w:rPr>
      <w:rFonts w:ascii="Courier New" w:hAnsi="Courier New" w:eastAsia="宋体" w:cs="Times New Roman"/>
      <w:kern w:val="2"/>
      <w:sz w:val="21"/>
      <w:lang w:val="en-US" w:eastAsia="zh-CN" w:bidi="ar-SA"/>
    </w:rPr>
  </w:style>
  <w:style w:type="paragraph" w:customStyle="1" w:styleId="1516">
    <w:name w:val="_Style 142411"/>
    <w:basedOn w:val="1"/>
    <w:next w:val="1"/>
    <w:qFormat/>
    <w:uiPriority w:val="39"/>
    <w:pPr>
      <w:ind w:left="840"/>
      <w:jc w:val="left"/>
    </w:pPr>
    <w:rPr>
      <w:rFonts w:ascii="Times New Roman" w:hAnsi="Times New Roman" w:eastAsia="宋体" w:cs="Times New Roman"/>
      <w:sz w:val="18"/>
      <w:szCs w:val="18"/>
    </w:rPr>
  </w:style>
  <w:style w:type="character" w:customStyle="1" w:styleId="1517">
    <w:name w:val="标题 3 Char2"/>
    <w:qFormat/>
    <w:uiPriority w:val="0"/>
    <w:rPr>
      <w:rFonts w:ascii="Times New Roman" w:hAnsi="Times New Roman" w:eastAsia="宋体" w:cs="Times New Roman"/>
      <w:b/>
      <w:bCs/>
      <w:sz w:val="28"/>
      <w:szCs w:val="32"/>
      <w:lang w:val="en-US" w:eastAsia="zh-CN" w:bidi="ar-SA"/>
    </w:rPr>
  </w:style>
  <w:style w:type="character" w:customStyle="1" w:styleId="1518">
    <w:name w:val="明显强调6"/>
    <w:qFormat/>
    <w:uiPriority w:val="0"/>
    <w:rPr>
      <w:rFonts w:ascii="Times New Roman" w:hAnsi="Times New Roman" w:eastAsia="宋体" w:cs="Times New Roman"/>
      <w:b/>
      <w:i/>
      <w:color w:val="4F81BD"/>
    </w:rPr>
  </w:style>
  <w:style w:type="character" w:customStyle="1" w:styleId="1519">
    <w:name w:val="Char Char210"/>
    <w:qFormat/>
    <w:uiPriority w:val="0"/>
    <w:rPr>
      <w:rFonts w:ascii="Times New Roman" w:hAnsi="Times New Roman" w:eastAsia="宋体" w:cs="Times New Roman"/>
      <w:kern w:val="2"/>
      <w:sz w:val="21"/>
      <w:szCs w:val="24"/>
      <w:lang w:val="en-US" w:eastAsia="zh-CN" w:bidi="ar-SA"/>
    </w:rPr>
  </w:style>
  <w:style w:type="character" w:customStyle="1" w:styleId="1520">
    <w:name w:val="Char Char73"/>
    <w:qFormat/>
    <w:uiPriority w:val="0"/>
    <w:rPr>
      <w:rFonts w:ascii="Arial" w:hAnsi="Arial" w:eastAsia="黑体" w:cs="Times New Roman"/>
      <w:b/>
      <w:bCs/>
      <w:kern w:val="2"/>
      <w:sz w:val="32"/>
      <w:szCs w:val="32"/>
      <w:lang w:val="en-US" w:eastAsia="zh-CN" w:bidi="ar-SA"/>
    </w:rPr>
  </w:style>
  <w:style w:type="character" w:customStyle="1" w:styleId="1521">
    <w:name w:val="Char Char162"/>
    <w:qFormat/>
    <w:uiPriority w:val="0"/>
    <w:rPr>
      <w:rFonts w:ascii="Times New Roman" w:hAnsi="Times New Roman" w:eastAsia="宋体" w:cs="Times New Roman"/>
      <w:b/>
      <w:bCs/>
      <w:kern w:val="44"/>
      <w:sz w:val="44"/>
      <w:szCs w:val="44"/>
      <w:lang w:val="en-US" w:eastAsia="zh-CN" w:bidi="ar-SA"/>
    </w:rPr>
  </w:style>
  <w:style w:type="character" w:customStyle="1" w:styleId="1522">
    <w:name w:val="明显参考5"/>
    <w:qFormat/>
    <w:uiPriority w:val="0"/>
    <w:rPr>
      <w:rFonts w:ascii="Times New Roman" w:hAnsi="Times New Roman" w:eastAsia="宋体" w:cs="Times New Roman"/>
      <w:b/>
      <w:smallCaps/>
      <w:color w:val="C0504D"/>
      <w:spacing w:val="5"/>
      <w:u w:val="single"/>
    </w:rPr>
  </w:style>
  <w:style w:type="character" w:customStyle="1" w:styleId="1523">
    <w:name w:val="Char Char152"/>
    <w:qFormat/>
    <w:uiPriority w:val="0"/>
    <w:rPr>
      <w:rFonts w:ascii="Arial" w:hAnsi="Arial" w:eastAsia="黑体" w:cs="Times New Roman"/>
      <w:b/>
      <w:bCs/>
      <w:kern w:val="2"/>
      <w:sz w:val="32"/>
      <w:szCs w:val="32"/>
      <w:lang w:val="en-US" w:eastAsia="zh-CN" w:bidi="ar-SA"/>
    </w:rPr>
  </w:style>
  <w:style w:type="character" w:customStyle="1" w:styleId="1524">
    <w:name w:val="Char Char312"/>
    <w:qFormat/>
    <w:uiPriority w:val="0"/>
    <w:rPr>
      <w:rFonts w:ascii="Arial" w:hAnsi="Arial" w:eastAsia="黑体" w:cs="Times New Roman"/>
      <w:b/>
      <w:bCs/>
      <w:kern w:val="2"/>
      <w:sz w:val="32"/>
      <w:szCs w:val="32"/>
      <w:lang w:val="en-US" w:eastAsia="zh-CN" w:bidi="ar-SA"/>
    </w:rPr>
  </w:style>
  <w:style w:type="character" w:customStyle="1" w:styleId="1525">
    <w:name w:val="Char Char42"/>
    <w:qFormat/>
    <w:uiPriority w:val="0"/>
    <w:rPr>
      <w:rFonts w:ascii="Times New Roman" w:hAnsi="Times New Roman" w:eastAsia="宋体" w:cs="Times New Roman"/>
      <w:b/>
      <w:bCs/>
      <w:kern w:val="44"/>
      <w:sz w:val="44"/>
      <w:szCs w:val="44"/>
      <w:lang w:val="en-US" w:eastAsia="zh-CN" w:bidi="ar-SA"/>
    </w:rPr>
  </w:style>
  <w:style w:type="character" w:customStyle="1" w:styleId="1526">
    <w:name w:val="不明显参考6"/>
    <w:qFormat/>
    <w:uiPriority w:val="0"/>
    <w:rPr>
      <w:rFonts w:ascii="Times New Roman" w:hAnsi="Times New Roman" w:eastAsia="宋体" w:cs="Times New Roman"/>
      <w:smallCaps/>
      <w:color w:val="C0504D"/>
      <w:u w:val="single"/>
    </w:rPr>
  </w:style>
  <w:style w:type="character" w:customStyle="1" w:styleId="1527">
    <w:name w:val="书籍标题41"/>
    <w:qFormat/>
    <w:uiPriority w:val="0"/>
    <w:rPr>
      <w:rFonts w:ascii="Times New Roman" w:hAnsi="Times New Roman" w:eastAsia="宋体" w:cs="Times New Roman"/>
      <w:b/>
      <w:smallCaps/>
      <w:spacing w:val="5"/>
    </w:rPr>
  </w:style>
  <w:style w:type="character" w:customStyle="1" w:styleId="1528">
    <w:name w:val="Char Char Char Char Char Char2"/>
    <w:qFormat/>
    <w:uiPriority w:val="0"/>
    <w:rPr>
      <w:rFonts w:ascii="Cambria" w:hAnsi="Cambria" w:eastAsia="宋体" w:cs="Times New Roman"/>
      <w:b/>
      <w:bCs/>
      <w:kern w:val="2"/>
      <w:sz w:val="32"/>
      <w:szCs w:val="32"/>
      <w:lang w:bidi="ar-SA"/>
    </w:rPr>
  </w:style>
  <w:style w:type="character" w:customStyle="1" w:styleId="1529">
    <w:name w:val="不明显强调51"/>
    <w:qFormat/>
    <w:uiPriority w:val="0"/>
    <w:rPr>
      <w:rFonts w:ascii="Times New Roman" w:hAnsi="Times New Roman" w:eastAsia="宋体" w:cs="Times New Roman"/>
      <w:i/>
      <w:color w:val="808080"/>
    </w:rPr>
  </w:style>
  <w:style w:type="character" w:customStyle="1" w:styleId="1530">
    <w:name w:val="Char Char82"/>
    <w:qFormat/>
    <w:uiPriority w:val="0"/>
    <w:rPr>
      <w:rFonts w:ascii="Arial" w:hAnsi="Arial" w:eastAsia="黑体" w:cs="Times New Roman"/>
      <w:b/>
      <w:bCs/>
      <w:kern w:val="2"/>
      <w:sz w:val="32"/>
      <w:szCs w:val="32"/>
      <w:lang w:val="en-US" w:eastAsia="zh-CN" w:bidi="ar-SA"/>
    </w:rPr>
  </w:style>
  <w:style w:type="paragraph" w:customStyle="1" w:styleId="1531">
    <w:name w:val="TOC 标题5"/>
    <w:basedOn w:val="4"/>
    <w:next w:val="1"/>
    <w:qFormat/>
    <w:uiPriority w:val="0"/>
    <w:pPr>
      <w:spacing w:line="576" w:lineRule="auto"/>
      <w:outlineLvl w:val="9"/>
    </w:pPr>
    <w:rPr>
      <w:rFonts w:ascii="Calibri" w:hAnsi="Calibri" w:eastAsia="宋体" w:cs="Times New Roman"/>
    </w:rPr>
  </w:style>
  <w:style w:type="paragraph" w:customStyle="1" w:styleId="1532">
    <w:name w:val="Char83"/>
    <w:basedOn w:val="23"/>
    <w:qFormat/>
    <w:uiPriority w:val="0"/>
    <w:rPr>
      <w:rFonts w:ascii="Times New Roman" w:hAnsi="Times New Roman" w:eastAsia="宋体" w:cs="Times New Roman"/>
    </w:rPr>
  </w:style>
  <w:style w:type="paragraph" w:customStyle="1" w:styleId="1533">
    <w:name w:val="日期4"/>
    <w:basedOn w:val="1"/>
    <w:next w:val="1"/>
    <w:qFormat/>
    <w:uiPriority w:val="0"/>
    <w:pPr>
      <w:ind w:left="100" w:leftChars="2500"/>
    </w:pPr>
    <w:rPr>
      <w:rFonts w:ascii="宋体" w:hAnsi="Times New Roman" w:eastAsia="宋体" w:cs="Times New Roman"/>
      <w:kern w:val="0"/>
      <w:sz w:val="28"/>
      <w:szCs w:val="20"/>
    </w:rPr>
  </w:style>
  <w:style w:type="paragraph" w:customStyle="1" w:styleId="1534">
    <w:name w:val="Char Char1 Char Char Char Char Char Char3"/>
    <w:basedOn w:val="23"/>
    <w:qFormat/>
    <w:uiPriority w:val="0"/>
    <w:rPr>
      <w:rFonts w:ascii="Times New Roman" w:hAnsi="Times New Roman" w:eastAsia="宋体" w:cs="Times New Roman"/>
      <w:szCs w:val="20"/>
    </w:rPr>
  </w:style>
  <w:style w:type="paragraph" w:customStyle="1" w:styleId="1535">
    <w:name w:val="Char Char1 Char Char Char Char2"/>
    <w:basedOn w:val="23"/>
    <w:qFormat/>
    <w:uiPriority w:val="0"/>
    <w:rPr>
      <w:rFonts w:ascii="Times New Roman" w:hAnsi="Times New Roman" w:eastAsia="宋体" w:cs="Times New Roman"/>
    </w:rPr>
  </w:style>
  <w:style w:type="paragraph" w:customStyle="1" w:styleId="1536">
    <w:name w:val="正文文本 35"/>
    <w:basedOn w:val="1"/>
    <w:qFormat/>
    <w:uiPriority w:val="0"/>
    <w:pPr>
      <w:spacing w:after="120"/>
    </w:pPr>
    <w:rPr>
      <w:rFonts w:ascii="Times New Roman" w:hAnsi="Times New Roman" w:eastAsia="宋体" w:cs="Times New Roman"/>
      <w:sz w:val="16"/>
      <w:szCs w:val="16"/>
    </w:rPr>
  </w:style>
  <w:style w:type="paragraph" w:customStyle="1" w:styleId="1537">
    <w:name w:val="修订51"/>
    <w:qFormat/>
    <w:uiPriority w:val="0"/>
    <w:rPr>
      <w:rFonts w:ascii="Times New Roman" w:hAnsi="Times New Roman" w:eastAsia="宋体" w:cs="Times New Roman"/>
      <w:kern w:val="2"/>
      <w:sz w:val="21"/>
      <w:szCs w:val="24"/>
      <w:lang w:val="en-US" w:eastAsia="zh-CN" w:bidi="ar-SA"/>
    </w:rPr>
  </w:style>
  <w:style w:type="paragraph" w:customStyle="1" w:styleId="1538">
    <w:name w:val="明显引用4"/>
    <w:basedOn w:val="1"/>
    <w:next w:val="1"/>
    <w:qFormat/>
    <w:uiPriority w:val="0"/>
    <w:pPr>
      <w:pBdr>
        <w:bottom w:val="single" w:color="4F81BD" w:sz="4" w:space="4"/>
      </w:pBdr>
      <w:spacing w:before="200" w:after="280"/>
      <w:ind w:left="936" w:right="936"/>
    </w:pPr>
    <w:rPr>
      <w:rFonts w:ascii="Times New Roman" w:hAnsi="Times New Roman" w:eastAsia="宋体" w:cs="Times New Roman"/>
      <w:b/>
      <w:i/>
      <w:color w:val="4F81BD"/>
      <w:sz w:val="22"/>
      <w:szCs w:val="20"/>
      <w:lang w:val="zh-CN"/>
    </w:rPr>
  </w:style>
  <w:style w:type="paragraph" w:customStyle="1" w:styleId="1539">
    <w:name w:val="引用4"/>
    <w:basedOn w:val="1"/>
    <w:next w:val="1"/>
    <w:qFormat/>
    <w:uiPriority w:val="0"/>
    <w:rPr>
      <w:rFonts w:ascii="Times New Roman" w:hAnsi="Times New Roman" w:eastAsia="宋体" w:cs="Times New Roman"/>
      <w:i/>
      <w:color w:val="000000"/>
      <w:sz w:val="22"/>
      <w:szCs w:val="20"/>
      <w:lang w:val="zh-CN"/>
    </w:rPr>
  </w:style>
  <w:style w:type="paragraph" w:customStyle="1" w:styleId="1540">
    <w:name w:val="无间隔4"/>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41">
    <w:name w:val="文本块4"/>
    <w:basedOn w:val="1"/>
    <w:next w:val="1"/>
    <w:qFormat/>
    <w:uiPriority w:val="0"/>
    <w:rPr>
      <w:rFonts w:ascii="Times New Roman" w:hAnsi="Times New Roman" w:eastAsia="宋体" w:cs="Times New Roman"/>
      <w:i/>
      <w:iCs/>
      <w:color w:val="000000"/>
      <w:szCs w:val="22"/>
    </w:rPr>
  </w:style>
  <w:style w:type="paragraph" w:customStyle="1" w:styleId="1542">
    <w:name w:val="Char Char Char1 Char Char Char Char Char Char Char3"/>
    <w:basedOn w:val="1"/>
    <w:qFormat/>
    <w:uiPriority w:val="0"/>
    <w:rPr>
      <w:rFonts w:ascii="Times New Roman" w:hAnsi="Times New Roman" w:eastAsia="宋体" w:cs="Times New Roman"/>
      <w:sz w:val="28"/>
      <w:szCs w:val="28"/>
    </w:rPr>
  </w:style>
  <w:style w:type="paragraph" w:customStyle="1" w:styleId="1543">
    <w:name w:val="Char14"/>
    <w:basedOn w:val="23"/>
    <w:qFormat/>
    <w:uiPriority w:val="0"/>
    <w:rPr>
      <w:rFonts w:ascii="Times New Roman" w:hAnsi="Times New Roman" w:eastAsia="宋体" w:cs="Times New Roman"/>
      <w:szCs w:val="20"/>
    </w:rPr>
  </w:style>
  <w:style w:type="paragraph" w:customStyle="1" w:styleId="1544">
    <w:name w:val="列表段落21"/>
    <w:basedOn w:val="1"/>
    <w:qFormat/>
    <w:uiPriority w:val="0"/>
    <w:pPr>
      <w:ind w:firstLine="420" w:firstLineChars="200"/>
    </w:pPr>
    <w:rPr>
      <w:rFonts w:ascii="Calibri" w:hAnsi="Calibri" w:eastAsia="宋体" w:cs="Times New Roman"/>
      <w:szCs w:val="22"/>
    </w:rPr>
  </w:style>
  <w:style w:type="paragraph" w:customStyle="1" w:styleId="1545">
    <w:name w:val="Char Char1 Char2"/>
    <w:basedOn w:val="23"/>
    <w:qFormat/>
    <w:uiPriority w:val="0"/>
    <w:rPr>
      <w:rFonts w:ascii="Times New Roman" w:hAnsi="Times New Roman" w:eastAsia="宋体" w:cs="Times New Roman"/>
    </w:rPr>
  </w:style>
  <w:style w:type="paragraph" w:customStyle="1" w:styleId="1546">
    <w:name w:val="文档结构图5"/>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1547">
    <w:name w:val="索引 44"/>
    <w:basedOn w:val="1"/>
    <w:next w:val="1"/>
    <w:qFormat/>
    <w:uiPriority w:val="0"/>
    <w:pPr>
      <w:ind w:left="600" w:leftChars="600"/>
    </w:pPr>
    <w:rPr>
      <w:rFonts w:ascii="Times New Roman" w:hAnsi="Times New Roman" w:eastAsia="宋体" w:cs="Times New Roman"/>
    </w:rPr>
  </w:style>
  <w:style w:type="paragraph" w:customStyle="1" w:styleId="1548">
    <w:name w:val="批注主题31"/>
    <w:basedOn w:val="25"/>
    <w:next w:val="25"/>
    <w:qFormat/>
    <w:uiPriority w:val="0"/>
    <w:rPr>
      <w:rFonts w:ascii="宋体" w:hAnsi="Times New Roman" w:eastAsia="宋体" w:cs="Times New Roman"/>
      <w:b/>
      <w:bCs/>
      <w:kern w:val="0"/>
      <w:sz w:val="28"/>
      <w:szCs w:val="20"/>
    </w:rPr>
  </w:style>
  <w:style w:type="paragraph" w:customStyle="1" w:styleId="1549">
    <w:name w:val="普通(网站)7"/>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550">
    <w:name w:val="Char Char110"/>
    <w:basedOn w:val="23"/>
    <w:qFormat/>
    <w:uiPriority w:val="0"/>
    <w:rPr>
      <w:rFonts w:ascii="Times New Roman" w:hAnsi="Times New Roman" w:eastAsia="宋体" w:cs="Times New Roman"/>
      <w:szCs w:val="20"/>
    </w:rPr>
  </w:style>
  <w:style w:type="character" w:customStyle="1" w:styleId="1551">
    <w:name w:val="明显强调7"/>
    <w:qFormat/>
    <w:uiPriority w:val="0"/>
    <w:rPr>
      <w:rFonts w:ascii="Times New Roman" w:hAnsi="Times New Roman" w:eastAsia="宋体" w:cs="Times New Roman"/>
      <w:b/>
      <w:i/>
      <w:color w:val="4F81BD"/>
    </w:rPr>
  </w:style>
  <w:style w:type="character" w:customStyle="1" w:styleId="1552">
    <w:name w:val="Char Char213"/>
    <w:qFormat/>
    <w:uiPriority w:val="0"/>
    <w:rPr>
      <w:rFonts w:ascii="Times New Roman" w:hAnsi="Times New Roman" w:eastAsia="宋体" w:cs="Times New Roman"/>
      <w:kern w:val="2"/>
      <w:sz w:val="21"/>
      <w:szCs w:val="24"/>
      <w:lang w:val="en-US" w:eastAsia="zh-CN" w:bidi="ar-SA"/>
    </w:rPr>
  </w:style>
  <w:style w:type="character" w:customStyle="1" w:styleId="1553">
    <w:name w:val="Char Char74"/>
    <w:qFormat/>
    <w:uiPriority w:val="99"/>
    <w:rPr>
      <w:rFonts w:ascii="Arial" w:hAnsi="Arial" w:eastAsia="黑体" w:cs="Times New Roman"/>
      <w:b/>
      <w:bCs/>
      <w:kern w:val="2"/>
      <w:sz w:val="32"/>
      <w:szCs w:val="32"/>
      <w:lang w:val="en-US" w:eastAsia="zh-CN" w:bidi="ar-SA"/>
    </w:rPr>
  </w:style>
  <w:style w:type="character" w:customStyle="1" w:styleId="1554">
    <w:name w:val="Char Char163"/>
    <w:qFormat/>
    <w:uiPriority w:val="0"/>
    <w:rPr>
      <w:rFonts w:ascii="Times New Roman" w:hAnsi="Times New Roman" w:eastAsia="宋体" w:cs="Times New Roman"/>
      <w:b/>
      <w:bCs/>
      <w:kern w:val="44"/>
      <w:sz w:val="44"/>
      <w:szCs w:val="44"/>
      <w:lang w:val="en-US" w:eastAsia="zh-CN" w:bidi="ar-SA"/>
    </w:rPr>
  </w:style>
  <w:style w:type="character" w:customStyle="1" w:styleId="1555">
    <w:name w:val="明显参考6"/>
    <w:qFormat/>
    <w:uiPriority w:val="0"/>
    <w:rPr>
      <w:rFonts w:ascii="Times New Roman" w:hAnsi="Times New Roman" w:eastAsia="宋体" w:cs="Times New Roman"/>
      <w:b/>
      <w:smallCaps/>
      <w:color w:val="C0504D"/>
      <w:spacing w:val="5"/>
      <w:u w:val="single"/>
    </w:rPr>
  </w:style>
  <w:style w:type="character" w:customStyle="1" w:styleId="1556">
    <w:name w:val="Char Char153"/>
    <w:qFormat/>
    <w:uiPriority w:val="0"/>
    <w:rPr>
      <w:rFonts w:ascii="Arial" w:hAnsi="Arial" w:eastAsia="黑体" w:cs="Times New Roman"/>
      <w:b/>
      <w:bCs/>
      <w:kern w:val="2"/>
      <w:sz w:val="32"/>
      <w:szCs w:val="32"/>
      <w:lang w:val="en-US" w:eastAsia="zh-CN" w:bidi="ar-SA"/>
    </w:rPr>
  </w:style>
  <w:style w:type="character" w:customStyle="1" w:styleId="1557">
    <w:name w:val="Char Char313"/>
    <w:qFormat/>
    <w:uiPriority w:val="0"/>
    <w:rPr>
      <w:rFonts w:ascii="Arial" w:hAnsi="Arial" w:eastAsia="黑体" w:cs="Times New Roman"/>
      <w:b/>
      <w:bCs/>
      <w:kern w:val="2"/>
      <w:sz w:val="32"/>
      <w:szCs w:val="32"/>
      <w:lang w:val="en-US" w:eastAsia="zh-CN" w:bidi="ar-SA"/>
    </w:rPr>
  </w:style>
  <w:style w:type="character" w:customStyle="1" w:styleId="1558">
    <w:name w:val="Char Char173"/>
    <w:qFormat/>
    <w:uiPriority w:val="0"/>
    <w:rPr>
      <w:rFonts w:ascii="Cambria" w:hAnsi="Cambria" w:eastAsia="宋体" w:cs="Times New Roman"/>
      <w:b/>
      <w:bCs/>
      <w:kern w:val="2"/>
      <w:sz w:val="32"/>
      <w:szCs w:val="32"/>
    </w:rPr>
  </w:style>
  <w:style w:type="character" w:customStyle="1" w:styleId="1559">
    <w:name w:val="Char Char93"/>
    <w:qFormat/>
    <w:uiPriority w:val="0"/>
    <w:rPr>
      <w:rFonts w:ascii="Times New Roman" w:hAnsi="Times New Roman" w:eastAsia="宋体" w:cs="Times New Roman"/>
      <w:kern w:val="2"/>
      <w:sz w:val="21"/>
      <w:szCs w:val="22"/>
    </w:rPr>
  </w:style>
  <w:style w:type="character" w:customStyle="1" w:styleId="1560">
    <w:name w:val="Char Char43"/>
    <w:qFormat/>
    <w:uiPriority w:val="0"/>
    <w:rPr>
      <w:rFonts w:ascii="Times New Roman" w:hAnsi="Times New Roman" w:eastAsia="宋体" w:cs="Times New Roman"/>
      <w:b/>
      <w:bCs/>
      <w:kern w:val="44"/>
      <w:sz w:val="44"/>
      <w:szCs w:val="44"/>
      <w:lang w:val="en-US" w:eastAsia="zh-CN" w:bidi="ar-SA"/>
    </w:rPr>
  </w:style>
  <w:style w:type="character" w:customStyle="1" w:styleId="1561">
    <w:name w:val="Char Char6"/>
    <w:qFormat/>
    <w:uiPriority w:val="0"/>
    <w:rPr>
      <w:rFonts w:ascii="Arial" w:hAnsi="Arial" w:eastAsia="黑体" w:cs="Times New Roman"/>
      <w:b/>
      <w:bCs/>
      <w:kern w:val="2"/>
      <w:sz w:val="32"/>
      <w:szCs w:val="32"/>
      <w:lang w:val="en-US" w:eastAsia="zh-CN" w:bidi="ar-SA"/>
    </w:rPr>
  </w:style>
  <w:style w:type="character" w:customStyle="1" w:styleId="1562">
    <w:name w:val="不明显参考7"/>
    <w:qFormat/>
    <w:uiPriority w:val="0"/>
    <w:rPr>
      <w:rFonts w:ascii="Times New Roman" w:hAnsi="Times New Roman" w:eastAsia="宋体" w:cs="Times New Roman"/>
      <w:smallCaps/>
      <w:color w:val="C0504D"/>
      <w:u w:val="single"/>
    </w:rPr>
  </w:style>
  <w:style w:type="character" w:customStyle="1" w:styleId="1563">
    <w:name w:val="书籍标题5"/>
    <w:qFormat/>
    <w:uiPriority w:val="0"/>
    <w:rPr>
      <w:rFonts w:ascii="Times New Roman" w:hAnsi="Times New Roman" w:eastAsia="宋体" w:cs="Times New Roman"/>
      <w:b/>
      <w:smallCaps/>
      <w:spacing w:val="5"/>
    </w:rPr>
  </w:style>
  <w:style w:type="character" w:customStyle="1" w:styleId="1564">
    <w:name w:val="Char Char Char Char Char Char3"/>
    <w:qFormat/>
    <w:uiPriority w:val="0"/>
    <w:rPr>
      <w:rFonts w:ascii="Cambria" w:hAnsi="Cambria" w:eastAsia="宋体" w:cs="Times New Roman"/>
      <w:b/>
      <w:bCs/>
      <w:kern w:val="2"/>
      <w:sz w:val="32"/>
      <w:szCs w:val="32"/>
      <w:lang w:bidi="ar-SA"/>
    </w:rPr>
  </w:style>
  <w:style w:type="character" w:customStyle="1" w:styleId="1565">
    <w:name w:val="Char Char183"/>
    <w:qFormat/>
    <w:uiPriority w:val="0"/>
    <w:rPr>
      <w:rFonts w:ascii="Times New Roman" w:hAnsi="Times New Roman" w:eastAsia="宋体" w:cs="Times New Roman"/>
      <w:b/>
      <w:bCs/>
      <w:kern w:val="44"/>
      <w:sz w:val="44"/>
      <w:szCs w:val="44"/>
    </w:rPr>
  </w:style>
  <w:style w:type="character" w:customStyle="1" w:styleId="1566">
    <w:name w:val="不明显强调6"/>
    <w:qFormat/>
    <w:uiPriority w:val="0"/>
    <w:rPr>
      <w:rFonts w:ascii="Times New Roman" w:hAnsi="Times New Roman" w:eastAsia="宋体" w:cs="Times New Roman"/>
      <w:i/>
      <w:color w:val="808080"/>
    </w:rPr>
  </w:style>
  <w:style w:type="character" w:customStyle="1" w:styleId="1567">
    <w:name w:val="Char Char83"/>
    <w:qFormat/>
    <w:uiPriority w:val="0"/>
    <w:rPr>
      <w:rFonts w:ascii="Arial" w:hAnsi="Arial" w:eastAsia="黑体" w:cs="Times New Roman"/>
      <w:b/>
      <w:bCs/>
      <w:kern w:val="2"/>
      <w:sz w:val="32"/>
      <w:szCs w:val="32"/>
      <w:lang w:val="en-US" w:eastAsia="zh-CN" w:bidi="ar-SA"/>
    </w:rPr>
  </w:style>
  <w:style w:type="paragraph" w:customStyle="1" w:styleId="1568">
    <w:name w:val="TOC 标题6"/>
    <w:basedOn w:val="4"/>
    <w:next w:val="1"/>
    <w:qFormat/>
    <w:uiPriority w:val="0"/>
    <w:pPr>
      <w:spacing w:line="576" w:lineRule="auto"/>
      <w:outlineLvl w:val="9"/>
    </w:pPr>
    <w:rPr>
      <w:rFonts w:ascii="Calibri" w:hAnsi="Calibri" w:eastAsia="宋体" w:cs="Times New Roman"/>
    </w:rPr>
  </w:style>
  <w:style w:type="paragraph" w:customStyle="1" w:styleId="1569">
    <w:name w:val="Char Char Char4"/>
    <w:basedOn w:val="23"/>
    <w:qFormat/>
    <w:uiPriority w:val="0"/>
    <w:rPr>
      <w:rFonts w:ascii="Times New Roman" w:hAnsi="Times New Roman" w:eastAsia="宋体" w:cs="Times New Roman"/>
      <w:szCs w:val="20"/>
    </w:rPr>
  </w:style>
  <w:style w:type="paragraph" w:customStyle="1" w:styleId="1570">
    <w:name w:val="Char84"/>
    <w:basedOn w:val="23"/>
    <w:qFormat/>
    <w:uiPriority w:val="0"/>
    <w:rPr>
      <w:rFonts w:ascii="Times New Roman" w:hAnsi="Times New Roman" w:eastAsia="宋体" w:cs="Times New Roman"/>
    </w:rPr>
  </w:style>
  <w:style w:type="paragraph" w:customStyle="1" w:styleId="1571">
    <w:name w:val="日期5"/>
    <w:basedOn w:val="1"/>
    <w:next w:val="1"/>
    <w:qFormat/>
    <w:uiPriority w:val="0"/>
    <w:pPr>
      <w:ind w:left="100" w:leftChars="2500"/>
    </w:pPr>
    <w:rPr>
      <w:rFonts w:ascii="宋体" w:hAnsi="Times New Roman" w:eastAsia="宋体" w:cs="Times New Roman"/>
      <w:kern w:val="0"/>
      <w:sz w:val="28"/>
      <w:szCs w:val="20"/>
    </w:rPr>
  </w:style>
  <w:style w:type="paragraph" w:customStyle="1" w:styleId="1572">
    <w:name w:val="Char Char1 Char Char Char Char Char Char4"/>
    <w:basedOn w:val="23"/>
    <w:qFormat/>
    <w:uiPriority w:val="0"/>
    <w:rPr>
      <w:rFonts w:ascii="Times New Roman" w:hAnsi="Times New Roman" w:eastAsia="宋体" w:cs="Times New Roman"/>
      <w:szCs w:val="20"/>
    </w:rPr>
  </w:style>
  <w:style w:type="paragraph" w:customStyle="1" w:styleId="1573">
    <w:name w:val="Char Char1 Char Char Char Char3"/>
    <w:basedOn w:val="23"/>
    <w:qFormat/>
    <w:uiPriority w:val="0"/>
    <w:rPr>
      <w:rFonts w:ascii="Times New Roman" w:hAnsi="Times New Roman" w:eastAsia="宋体" w:cs="Times New Roman"/>
    </w:rPr>
  </w:style>
  <w:style w:type="paragraph" w:customStyle="1" w:styleId="1574">
    <w:name w:val="正文文本 36"/>
    <w:basedOn w:val="1"/>
    <w:qFormat/>
    <w:uiPriority w:val="0"/>
    <w:pPr>
      <w:spacing w:after="120"/>
    </w:pPr>
    <w:rPr>
      <w:rFonts w:ascii="Times New Roman" w:hAnsi="Times New Roman" w:eastAsia="宋体" w:cs="Times New Roman"/>
      <w:sz w:val="16"/>
      <w:szCs w:val="16"/>
    </w:rPr>
  </w:style>
  <w:style w:type="paragraph" w:customStyle="1" w:styleId="1575">
    <w:name w:val="修订6"/>
    <w:qFormat/>
    <w:uiPriority w:val="0"/>
    <w:rPr>
      <w:rFonts w:ascii="Times New Roman" w:hAnsi="Times New Roman" w:eastAsia="宋体" w:cs="Times New Roman"/>
      <w:kern w:val="2"/>
      <w:sz w:val="21"/>
      <w:szCs w:val="24"/>
      <w:lang w:val="en-US" w:eastAsia="zh-CN" w:bidi="ar-SA"/>
    </w:rPr>
  </w:style>
  <w:style w:type="paragraph" w:customStyle="1" w:styleId="1576">
    <w:name w:val="明显引用5"/>
    <w:basedOn w:val="1"/>
    <w:next w:val="1"/>
    <w:qFormat/>
    <w:uiPriority w:val="0"/>
    <w:pPr>
      <w:pBdr>
        <w:bottom w:val="single" w:color="4F81BD" w:sz="4" w:space="4"/>
      </w:pBdr>
      <w:spacing w:before="200" w:after="280"/>
      <w:ind w:left="936" w:right="936"/>
    </w:pPr>
    <w:rPr>
      <w:rFonts w:ascii="Times New Roman" w:hAnsi="Times New Roman" w:eastAsia="宋体" w:cs="Times New Roman"/>
      <w:b/>
      <w:i/>
      <w:color w:val="4F81BD"/>
      <w:sz w:val="22"/>
      <w:szCs w:val="20"/>
      <w:lang w:val="zh-CN"/>
    </w:rPr>
  </w:style>
  <w:style w:type="paragraph" w:customStyle="1" w:styleId="1577">
    <w:name w:val="Char4"/>
    <w:basedOn w:val="1"/>
    <w:qFormat/>
    <w:uiPriority w:val="0"/>
    <w:pPr>
      <w:tabs>
        <w:tab w:val="left" w:pos="360"/>
      </w:tabs>
    </w:pPr>
    <w:rPr>
      <w:rFonts w:ascii="Times New Roman" w:hAnsi="Times New Roman" w:eastAsia="宋体" w:cs="Times New Roman"/>
      <w:sz w:val="24"/>
    </w:rPr>
  </w:style>
  <w:style w:type="paragraph" w:customStyle="1" w:styleId="1578">
    <w:name w:val="引用5"/>
    <w:basedOn w:val="1"/>
    <w:next w:val="1"/>
    <w:qFormat/>
    <w:uiPriority w:val="0"/>
    <w:rPr>
      <w:rFonts w:ascii="Times New Roman" w:hAnsi="Times New Roman" w:eastAsia="宋体" w:cs="Times New Roman"/>
      <w:i/>
      <w:color w:val="000000"/>
      <w:sz w:val="22"/>
      <w:szCs w:val="20"/>
      <w:lang w:val="zh-CN"/>
    </w:rPr>
  </w:style>
  <w:style w:type="paragraph" w:customStyle="1" w:styleId="1579">
    <w:name w:val="无间隔5"/>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80">
    <w:name w:val="文本块5"/>
    <w:basedOn w:val="1"/>
    <w:next w:val="1"/>
    <w:qFormat/>
    <w:uiPriority w:val="0"/>
    <w:rPr>
      <w:rFonts w:ascii="Times New Roman" w:hAnsi="Times New Roman" w:eastAsia="宋体" w:cs="Times New Roman"/>
      <w:i/>
      <w:iCs/>
      <w:color w:val="000000"/>
      <w:szCs w:val="22"/>
    </w:rPr>
  </w:style>
  <w:style w:type="paragraph" w:customStyle="1" w:styleId="1581">
    <w:name w:val="Char Char Char1 Char Char Char Char Char Char Char4"/>
    <w:basedOn w:val="1"/>
    <w:qFormat/>
    <w:uiPriority w:val="0"/>
    <w:rPr>
      <w:rFonts w:ascii="Times New Roman" w:hAnsi="Times New Roman" w:eastAsia="宋体" w:cs="Times New Roman"/>
      <w:sz w:val="28"/>
      <w:szCs w:val="28"/>
    </w:rPr>
  </w:style>
  <w:style w:type="paragraph" w:customStyle="1" w:styleId="1582">
    <w:name w:val="Char15"/>
    <w:basedOn w:val="23"/>
    <w:qFormat/>
    <w:uiPriority w:val="0"/>
    <w:rPr>
      <w:rFonts w:ascii="Times New Roman" w:hAnsi="Times New Roman" w:eastAsia="宋体" w:cs="Times New Roman"/>
      <w:szCs w:val="20"/>
    </w:rPr>
  </w:style>
  <w:style w:type="paragraph" w:customStyle="1" w:styleId="1583">
    <w:name w:val="列表段落3"/>
    <w:basedOn w:val="1"/>
    <w:qFormat/>
    <w:uiPriority w:val="0"/>
    <w:pPr>
      <w:ind w:firstLine="420" w:firstLineChars="200"/>
    </w:pPr>
    <w:rPr>
      <w:rFonts w:ascii="Calibri" w:hAnsi="Calibri" w:eastAsia="宋体" w:cs="Times New Roman"/>
      <w:szCs w:val="22"/>
    </w:rPr>
  </w:style>
  <w:style w:type="paragraph" w:customStyle="1" w:styleId="1584">
    <w:name w:val="Char Char1 Char3"/>
    <w:basedOn w:val="23"/>
    <w:qFormat/>
    <w:uiPriority w:val="0"/>
    <w:rPr>
      <w:rFonts w:ascii="Times New Roman" w:hAnsi="Times New Roman" w:eastAsia="宋体" w:cs="Times New Roman"/>
    </w:rPr>
  </w:style>
  <w:style w:type="paragraph" w:customStyle="1" w:styleId="1585">
    <w:name w:val="文档结构图6"/>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1586">
    <w:name w:val="索引 45"/>
    <w:basedOn w:val="1"/>
    <w:next w:val="1"/>
    <w:qFormat/>
    <w:uiPriority w:val="0"/>
    <w:pPr>
      <w:ind w:left="600" w:leftChars="600"/>
    </w:pPr>
    <w:rPr>
      <w:rFonts w:ascii="Times New Roman" w:hAnsi="Times New Roman" w:eastAsia="宋体" w:cs="Times New Roman"/>
    </w:rPr>
  </w:style>
  <w:style w:type="paragraph" w:customStyle="1" w:styleId="1587">
    <w:name w:val="批注主题4"/>
    <w:basedOn w:val="25"/>
    <w:next w:val="25"/>
    <w:qFormat/>
    <w:uiPriority w:val="0"/>
    <w:rPr>
      <w:rFonts w:ascii="宋体" w:hAnsi="Times New Roman" w:eastAsia="宋体" w:cs="Times New Roman"/>
      <w:b/>
      <w:bCs/>
      <w:kern w:val="0"/>
      <w:sz w:val="28"/>
      <w:szCs w:val="20"/>
    </w:rPr>
  </w:style>
  <w:style w:type="paragraph" w:customStyle="1" w:styleId="1588">
    <w:name w:val="普通(网站)8"/>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589">
    <w:name w:val="Char Char112"/>
    <w:basedOn w:val="23"/>
    <w:qFormat/>
    <w:uiPriority w:val="0"/>
    <w:rPr>
      <w:rFonts w:ascii="Times New Roman" w:hAnsi="Times New Roman" w:eastAsia="宋体" w:cs="Times New Roman"/>
      <w:szCs w:val="20"/>
    </w:rPr>
  </w:style>
  <w:style w:type="character" w:customStyle="1" w:styleId="1590">
    <w:name w:val="明显强调8"/>
    <w:qFormat/>
    <w:uiPriority w:val="0"/>
    <w:rPr>
      <w:rFonts w:ascii="Times New Roman" w:hAnsi="Times New Roman" w:eastAsia="宋体" w:cs="Times New Roman"/>
      <w:b/>
      <w:i/>
      <w:color w:val="4F81BD"/>
    </w:rPr>
  </w:style>
  <w:style w:type="character" w:customStyle="1" w:styleId="1591">
    <w:name w:val="Char Char214"/>
    <w:qFormat/>
    <w:uiPriority w:val="0"/>
    <w:rPr>
      <w:rFonts w:ascii="Times New Roman" w:hAnsi="Times New Roman" w:eastAsia="宋体" w:cs="Times New Roman"/>
      <w:kern w:val="2"/>
      <w:sz w:val="21"/>
      <w:szCs w:val="24"/>
      <w:lang w:val="en-US" w:eastAsia="zh-CN" w:bidi="ar-SA"/>
    </w:rPr>
  </w:style>
  <w:style w:type="character" w:customStyle="1" w:styleId="1592">
    <w:name w:val="Char Char75"/>
    <w:qFormat/>
    <w:uiPriority w:val="99"/>
    <w:rPr>
      <w:rFonts w:ascii="Arial" w:hAnsi="Arial" w:eastAsia="黑体" w:cs="Times New Roman"/>
      <w:b/>
      <w:bCs/>
      <w:kern w:val="2"/>
      <w:sz w:val="32"/>
      <w:szCs w:val="32"/>
      <w:lang w:val="en-US" w:eastAsia="zh-CN" w:bidi="ar-SA"/>
    </w:rPr>
  </w:style>
  <w:style w:type="character" w:customStyle="1" w:styleId="1593">
    <w:name w:val="Char Char164"/>
    <w:qFormat/>
    <w:uiPriority w:val="0"/>
    <w:rPr>
      <w:rFonts w:ascii="Times New Roman" w:hAnsi="Times New Roman" w:eastAsia="宋体" w:cs="Times New Roman"/>
      <w:b/>
      <w:bCs/>
      <w:kern w:val="44"/>
      <w:sz w:val="44"/>
      <w:szCs w:val="44"/>
      <w:lang w:val="en-US" w:eastAsia="zh-CN" w:bidi="ar-SA"/>
    </w:rPr>
  </w:style>
  <w:style w:type="character" w:customStyle="1" w:styleId="1594">
    <w:name w:val="明显参考7"/>
    <w:qFormat/>
    <w:uiPriority w:val="0"/>
    <w:rPr>
      <w:rFonts w:ascii="Times New Roman" w:hAnsi="Times New Roman" w:eastAsia="宋体" w:cs="Times New Roman"/>
      <w:b/>
      <w:smallCaps/>
      <w:color w:val="C0504D"/>
      <w:spacing w:val="5"/>
      <w:u w:val="single"/>
    </w:rPr>
  </w:style>
  <w:style w:type="character" w:customStyle="1" w:styleId="1595">
    <w:name w:val="Char Char154"/>
    <w:qFormat/>
    <w:uiPriority w:val="0"/>
    <w:rPr>
      <w:rFonts w:ascii="Arial" w:hAnsi="Arial" w:eastAsia="黑体" w:cs="Times New Roman"/>
      <w:b/>
      <w:bCs/>
      <w:kern w:val="2"/>
      <w:sz w:val="32"/>
      <w:szCs w:val="32"/>
      <w:lang w:val="en-US" w:eastAsia="zh-CN" w:bidi="ar-SA"/>
    </w:rPr>
  </w:style>
  <w:style w:type="character" w:customStyle="1" w:styleId="1596">
    <w:name w:val="Char Char314"/>
    <w:qFormat/>
    <w:uiPriority w:val="0"/>
    <w:rPr>
      <w:rFonts w:ascii="Arial" w:hAnsi="Arial" w:eastAsia="黑体" w:cs="Times New Roman"/>
      <w:b/>
      <w:bCs/>
      <w:kern w:val="2"/>
      <w:sz w:val="32"/>
      <w:szCs w:val="32"/>
      <w:lang w:val="en-US" w:eastAsia="zh-CN" w:bidi="ar-SA"/>
    </w:rPr>
  </w:style>
  <w:style w:type="character" w:customStyle="1" w:styleId="1597">
    <w:name w:val="Char Char174"/>
    <w:qFormat/>
    <w:uiPriority w:val="99"/>
    <w:rPr>
      <w:rFonts w:ascii="Cambria" w:hAnsi="Cambria" w:eastAsia="宋体" w:cs="Times New Roman"/>
      <w:b/>
      <w:bCs/>
      <w:kern w:val="2"/>
      <w:sz w:val="32"/>
      <w:szCs w:val="32"/>
    </w:rPr>
  </w:style>
  <w:style w:type="character" w:customStyle="1" w:styleId="1598">
    <w:name w:val="Char Char94"/>
    <w:qFormat/>
    <w:uiPriority w:val="99"/>
    <w:rPr>
      <w:rFonts w:ascii="Times New Roman" w:hAnsi="Times New Roman" w:eastAsia="宋体" w:cs="Times New Roman"/>
      <w:kern w:val="2"/>
      <w:sz w:val="21"/>
      <w:szCs w:val="22"/>
    </w:rPr>
  </w:style>
  <w:style w:type="character" w:customStyle="1" w:styleId="1599">
    <w:name w:val="Char Char44"/>
    <w:qFormat/>
    <w:uiPriority w:val="0"/>
    <w:rPr>
      <w:rFonts w:ascii="Times New Roman" w:hAnsi="Times New Roman" w:eastAsia="宋体" w:cs="Times New Roman"/>
      <w:b/>
      <w:bCs/>
      <w:kern w:val="44"/>
      <w:sz w:val="44"/>
      <w:szCs w:val="44"/>
      <w:lang w:val="en-US" w:eastAsia="zh-CN" w:bidi="ar-SA"/>
    </w:rPr>
  </w:style>
  <w:style w:type="character" w:customStyle="1" w:styleId="1600">
    <w:name w:val="Char Char10"/>
    <w:qFormat/>
    <w:uiPriority w:val="0"/>
    <w:rPr>
      <w:rFonts w:ascii="Arial" w:hAnsi="Arial" w:eastAsia="黑体" w:cs="Times New Roman"/>
      <w:b/>
      <w:bCs/>
      <w:kern w:val="2"/>
      <w:sz w:val="32"/>
      <w:szCs w:val="32"/>
      <w:lang w:val="en-US" w:eastAsia="zh-CN" w:bidi="ar-SA"/>
    </w:rPr>
  </w:style>
  <w:style w:type="character" w:customStyle="1" w:styleId="1601">
    <w:name w:val="不明显参考8"/>
    <w:qFormat/>
    <w:uiPriority w:val="0"/>
    <w:rPr>
      <w:rFonts w:ascii="Times New Roman" w:hAnsi="Times New Roman" w:eastAsia="宋体" w:cs="Times New Roman"/>
      <w:smallCaps/>
      <w:color w:val="C0504D"/>
      <w:u w:val="single"/>
    </w:rPr>
  </w:style>
  <w:style w:type="character" w:customStyle="1" w:styleId="1602">
    <w:name w:val="书籍标题6"/>
    <w:qFormat/>
    <w:uiPriority w:val="0"/>
    <w:rPr>
      <w:rFonts w:ascii="Times New Roman" w:hAnsi="Times New Roman" w:eastAsia="宋体" w:cs="Times New Roman"/>
      <w:b/>
      <w:smallCaps/>
      <w:spacing w:val="5"/>
    </w:rPr>
  </w:style>
  <w:style w:type="character" w:customStyle="1" w:styleId="1603">
    <w:name w:val="Char Char Char Char Char Char4"/>
    <w:qFormat/>
    <w:uiPriority w:val="0"/>
    <w:rPr>
      <w:rFonts w:ascii="Cambria" w:hAnsi="Cambria" w:eastAsia="宋体" w:cs="Times New Roman"/>
      <w:b/>
      <w:bCs/>
      <w:kern w:val="2"/>
      <w:sz w:val="32"/>
      <w:szCs w:val="32"/>
      <w:lang w:bidi="ar-SA"/>
    </w:rPr>
  </w:style>
  <w:style w:type="character" w:customStyle="1" w:styleId="1604">
    <w:name w:val="Char Char184"/>
    <w:qFormat/>
    <w:uiPriority w:val="99"/>
    <w:rPr>
      <w:rFonts w:ascii="Times New Roman" w:hAnsi="Times New Roman" w:eastAsia="宋体" w:cs="Times New Roman"/>
      <w:b/>
      <w:bCs/>
      <w:kern w:val="44"/>
      <w:sz w:val="44"/>
      <w:szCs w:val="44"/>
    </w:rPr>
  </w:style>
  <w:style w:type="character" w:customStyle="1" w:styleId="1605">
    <w:name w:val="不明显强调7"/>
    <w:qFormat/>
    <w:uiPriority w:val="0"/>
    <w:rPr>
      <w:rFonts w:ascii="Times New Roman" w:hAnsi="Times New Roman" w:eastAsia="宋体" w:cs="Times New Roman"/>
      <w:i/>
      <w:color w:val="808080"/>
    </w:rPr>
  </w:style>
  <w:style w:type="character" w:customStyle="1" w:styleId="1606">
    <w:name w:val="Char Char84"/>
    <w:qFormat/>
    <w:uiPriority w:val="0"/>
    <w:rPr>
      <w:rFonts w:ascii="Arial" w:hAnsi="Arial" w:eastAsia="黑体" w:cs="Times New Roman"/>
      <w:b/>
      <w:bCs/>
      <w:kern w:val="2"/>
      <w:sz w:val="32"/>
      <w:szCs w:val="32"/>
      <w:lang w:val="en-US" w:eastAsia="zh-CN" w:bidi="ar-SA"/>
    </w:rPr>
  </w:style>
  <w:style w:type="paragraph" w:customStyle="1" w:styleId="1607">
    <w:name w:val="TOC 标题7"/>
    <w:basedOn w:val="4"/>
    <w:next w:val="1"/>
    <w:qFormat/>
    <w:uiPriority w:val="0"/>
    <w:pPr>
      <w:spacing w:line="576" w:lineRule="auto"/>
      <w:outlineLvl w:val="9"/>
    </w:pPr>
    <w:rPr>
      <w:rFonts w:ascii="Calibri" w:hAnsi="Calibri" w:eastAsia="宋体" w:cs="Times New Roman"/>
    </w:rPr>
  </w:style>
  <w:style w:type="paragraph" w:customStyle="1" w:styleId="1608">
    <w:name w:val="Char Char Char5"/>
    <w:basedOn w:val="23"/>
    <w:qFormat/>
    <w:uiPriority w:val="0"/>
    <w:rPr>
      <w:rFonts w:ascii="Times New Roman" w:hAnsi="Times New Roman" w:eastAsia="宋体" w:cs="Times New Roman"/>
      <w:szCs w:val="20"/>
    </w:rPr>
  </w:style>
  <w:style w:type="paragraph" w:customStyle="1" w:styleId="1609">
    <w:name w:val="Char85"/>
    <w:basedOn w:val="23"/>
    <w:qFormat/>
    <w:uiPriority w:val="0"/>
    <w:rPr>
      <w:rFonts w:ascii="Times New Roman" w:hAnsi="Times New Roman" w:eastAsia="宋体" w:cs="Times New Roman"/>
    </w:rPr>
  </w:style>
  <w:style w:type="paragraph" w:customStyle="1" w:styleId="1610">
    <w:name w:val="日期6"/>
    <w:basedOn w:val="1"/>
    <w:next w:val="1"/>
    <w:qFormat/>
    <w:uiPriority w:val="0"/>
    <w:pPr>
      <w:ind w:left="100" w:leftChars="2500"/>
    </w:pPr>
    <w:rPr>
      <w:rFonts w:ascii="宋体" w:hAnsi="Times New Roman" w:eastAsia="宋体" w:cs="Times New Roman"/>
      <w:kern w:val="0"/>
      <w:sz w:val="28"/>
      <w:szCs w:val="20"/>
    </w:rPr>
  </w:style>
  <w:style w:type="paragraph" w:customStyle="1" w:styleId="1611">
    <w:name w:val="Char Char1 Char Char Char Char Char Char5"/>
    <w:basedOn w:val="23"/>
    <w:qFormat/>
    <w:uiPriority w:val="0"/>
    <w:rPr>
      <w:rFonts w:ascii="Times New Roman" w:hAnsi="Times New Roman" w:eastAsia="宋体" w:cs="Times New Roman"/>
      <w:szCs w:val="20"/>
    </w:rPr>
  </w:style>
  <w:style w:type="paragraph" w:customStyle="1" w:styleId="1612">
    <w:name w:val="Char Char1 Char Char Char Char4"/>
    <w:basedOn w:val="23"/>
    <w:qFormat/>
    <w:uiPriority w:val="0"/>
    <w:rPr>
      <w:rFonts w:ascii="Times New Roman" w:hAnsi="Times New Roman" w:eastAsia="宋体" w:cs="Times New Roman"/>
    </w:rPr>
  </w:style>
  <w:style w:type="paragraph" w:customStyle="1" w:styleId="1613">
    <w:name w:val="正文文本 37"/>
    <w:basedOn w:val="1"/>
    <w:qFormat/>
    <w:uiPriority w:val="0"/>
    <w:pPr>
      <w:spacing w:after="120"/>
    </w:pPr>
    <w:rPr>
      <w:rFonts w:ascii="Times New Roman" w:hAnsi="Times New Roman" w:eastAsia="宋体" w:cs="Times New Roman"/>
      <w:sz w:val="16"/>
      <w:szCs w:val="16"/>
    </w:rPr>
  </w:style>
  <w:style w:type="paragraph" w:customStyle="1" w:styleId="1614">
    <w:name w:val="修订7"/>
    <w:qFormat/>
    <w:uiPriority w:val="0"/>
    <w:rPr>
      <w:rFonts w:ascii="Times New Roman" w:hAnsi="Times New Roman" w:eastAsia="宋体" w:cs="Times New Roman"/>
      <w:kern w:val="2"/>
      <w:sz w:val="21"/>
      <w:szCs w:val="24"/>
      <w:lang w:val="en-US" w:eastAsia="zh-CN" w:bidi="ar-SA"/>
    </w:rPr>
  </w:style>
  <w:style w:type="paragraph" w:customStyle="1" w:styleId="1615">
    <w:name w:val="明显引用6"/>
    <w:basedOn w:val="1"/>
    <w:next w:val="1"/>
    <w:qFormat/>
    <w:uiPriority w:val="0"/>
    <w:pPr>
      <w:pBdr>
        <w:bottom w:val="single" w:color="4F81BD" w:sz="4" w:space="4"/>
      </w:pBdr>
      <w:spacing w:before="200" w:after="280"/>
      <w:ind w:left="936" w:right="936"/>
    </w:pPr>
    <w:rPr>
      <w:rFonts w:ascii="Times New Roman" w:hAnsi="Times New Roman" w:eastAsia="宋体" w:cs="Times New Roman"/>
      <w:b/>
      <w:i/>
      <w:color w:val="4F81BD"/>
      <w:sz w:val="22"/>
      <w:szCs w:val="20"/>
      <w:lang w:val="zh-CN"/>
    </w:rPr>
  </w:style>
  <w:style w:type="paragraph" w:customStyle="1" w:styleId="1616">
    <w:name w:val="Char5"/>
    <w:basedOn w:val="1"/>
    <w:qFormat/>
    <w:uiPriority w:val="0"/>
    <w:pPr>
      <w:tabs>
        <w:tab w:val="left" w:pos="360"/>
      </w:tabs>
    </w:pPr>
    <w:rPr>
      <w:rFonts w:ascii="Times New Roman" w:hAnsi="Times New Roman" w:eastAsia="宋体" w:cs="Times New Roman"/>
      <w:sz w:val="24"/>
    </w:rPr>
  </w:style>
  <w:style w:type="paragraph" w:customStyle="1" w:styleId="1617">
    <w:name w:val="引用6"/>
    <w:basedOn w:val="1"/>
    <w:next w:val="1"/>
    <w:qFormat/>
    <w:uiPriority w:val="0"/>
    <w:rPr>
      <w:rFonts w:ascii="Times New Roman" w:hAnsi="Times New Roman" w:eastAsia="宋体" w:cs="Times New Roman"/>
      <w:i/>
      <w:color w:val="000000"/>
      <w:sz w:val="22"/>
      <w:szCs w:val="20"/>
      <w:lang w:val="zh-CN"/>
    </w:rPr>
  </w:style>
  <w:style w:type="paragraph" w:customStyle="1" w:styleId="1618">
    <w:name w:val="无间隔6"/>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19">
    <w:name w:val="文本块6"/>
    <w:basedOn w:val="1"/>
    <w:next w:val="1"/>
    <w:qFormat/>
    <w:uiPriority w:val="0"/>
    <w:rPr>
      <w:rFonts w:ascii="Times New Roman" w:hAnsi="Times New Roman" w:eastAsia="宋体" w:cs="Times New Roman"/>
      <w:i/>
      <w:iCs/>
      <w:color w:val="000000"/>
      <w:szCs w:val="22"/>
    </w:rPr>
  </w:style>
  <w:style w:type="paragraph" w:customStyle="1" w:styleId="1620">
    <w:name w:val="Char Char Char1 Char Char Char Char Char Char Char5"/>
    <w:basedOn w:val="1"/>
    <w:qFormat/>
    <w:uiPriority w:val="0"/>
    <w:rPr>
      <w:rFonts w:ascii="Times New Roman" w:hAnsi="Times New Roman" w:eastAsia="宋体" w:cs="Times New Roman"/>
      <w:sz w:val="28"/>
      <w:szCs w:val="28"/>
    </w:rPr>
  </w:style>
  <w:style w:type="paragraph" w:customStyle="1" w:styleId="1621">
    <w:name w:val="Char16"/>
    <w:basedOn w:val="23"/>
    <w:qFormat/>
    <w:uiPriority w:val="0"/>
    <w:rPr>
      <w:rFonts w:ascii="Times New Roman" w:hAnsi="Times New Roman" w:eastAsia="宋体" w:cs="Times New Roman"/>
      <w:szCs w:val="20"/>
    </w:rPr>
  </w:style>
  <w:style w:type="paragraph" w:customStyle="1" w:styleId="1622">
    <w:name w:val="列表段落4"/>
    <w:basedOn w:val="1"/>
    <w:qFormat/>
    <w:uiPriority w:val="0"/>
    <w:pPr>
      <w:ind w:firstLine="420" w:firstLineChars="200"/>
    </w:pPr>
    <w:rPr>
      <w:rFonts w:ascii="Calibri" w:hAnsi="Calibri" w:eastAsia="宋体" w:cs="Times New Roman"/>
      <w:szCs w:val="22"/>
    </w:rPr>
  </w:style>
  <w:style w:type="paragraph" w:customStyle="1" w:styleId="1623">
    <w:name w:val="Char Char1 Char4"/>
    <w:basedOn w:val="23"/>
    <w:qFormat/>
    <w:uiPriority w:val="0"/>
    <w:rPr>
      <w:rFonts w:ascii="Times New Roman" w:hAnsi="Times New Roman" w:eastAsia="宋体" w:cs="Times New Roman"/>
    </w:rPr>
  </w:style>
  <w:style w:type="paragraph" w:customStyle="1" w:styleId="1624">
    <w:name w:val="文档结构图7"/>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1625">
    <w:name w:val="索引 46"/>
    <w:basedOn w:val="1"/>
    <w:next w:val="1"/>
    <w:qFormat/>
    <w:uiPriority w:val="0"/>
    <w:pPr>
      <w:ind w:left="600" w:leftChars="600"/>
    </w:pPr>
    <w:rPr>
      <w:rFonts w:ascii="Times New Roman" w:hAnsi="Times New Roman" w:eastAsia="宋体" w:cs="Times New Roman"/>
    </w:rPr>
  </w:style>
  <w:style w:type="paragraph" w:customStyle="1" w:styleId="1626">
    <w:name w:val="批注主题5"/>
    <w:basedOn w:val="25"/>
    <w:next w:val="25"/>
    <w:qFormat/>
    <w:uiPriority w:val="0"/>
    <w:rPr>
      <w:rFonts w:ascii="宋体" w:hAnsi="Times New Roman" w:eastAsia="宋体" w:cs="Times New Roman"/>
      <w:b/>
      <w:bCs/>
      <w:kern w:val="0"/>
      <w:sz w:val="28"/>
      <w:szCs w:val="20"/>
    </w:rPr>
  </w:style>
  <w:style w:type="paragraph" w:customStyle="1" w:styleId="1627">
    <w:name w:val="普通(网站)9"/>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628">
    <w:name w:val="Char Char113"/>
    <w:basedOn w:val="23"/>
    <w:qFormat/>
    <w:uiPriority w:val="0"/>
    <w:rPr>
      <w:rFonts w:ascii="Times New Roman" w:hAnsi="Times New Roman" w:eastAsia="宋体" w:cs="Times New Roman"/>
      <w:szCs w:val="20"/>
    </w:rPr>
  </w:style>
  <w:style w:type="character" w:customStyle="1" w:styleId="1629">
    <w:name w:val="明显强调9"/>
    <w:qFormat/>
    <w:uiPriority w:val="0"/>
    <w:rPr>
      <w:rFonts w:ascii="Times New Roman" w:hAnsi="Times New Roman" w:eastAsia="宋体" w:cs="Times New Roman"/>
      <w:b/>
      <w:i/>
      <w:color w:val="4F81BD"/>
    </w:rPr>
  </w:style>
  <w:style w:type="character" w:customStyle="1" w:styleId="1630">
    <w:name w:val="Char Char215"/>
    <w:qFormat/>
    <w:uiPriority w:val="0"/>
    <w:rPr>
      <w:rFonts w:ascii="Times New Roman" w:hAnsi="Times New Roman" w:eastAsia="宋体" w:cs="Times New Roman"/>
      <w:kern w:val="2"/>
      <w:sz w:val="21"/>
      <w:szCs w:val="24"/>
      <w:lang w:val="en-US" w:eastAsia="zh-CN" w:bidi="ar-SA"/>
    </w:rPr>
  </w:style>
  <w:style w:type="character" w:customStyle="1" w:styleId="1631">
    <w:name w:val="Char Char76"/>
    <w:qFormat/>
    <w:uiPriority w:val="0"/>
    <w:rPr>
      <w:rFonts w:ascii="Arial" w:hAnsi="Arial" w:eastAsia="黑体" w:cs="Times New Roman"/>
      <w:b/>
      <w:bCs/>
      <w:kern w:val="2"/>
      <w:sz w:val="32"/>
      <w:szCs w:val="32"/>
      <w:lang w:val="en-US" w:eastAsia="zh-CN" w:bidi="ar-SA"/>
    </w:rPr>
  </w:style>
  <w:style w:type="character" w:customStyle="1" w:styleId="1632">
    <w:name w:val="Char Char165"/>
    <w:qFormat/>
    <w:uiPriority w:val="0"/>
    <w:rPr>
      <w:rFonts w:ascii="Times New Roman" w:hAnsi="Times New Roman" w:eastAsia="宋体" w:cs="Times New Roman"/>
      <w:b/>
      <w:bCs/>
      <w:kern w:val="44"/>
      <w:sz w:val="44"/>
      <w:szCs w:val="44"/>
      <w:lang w:val="en-US" w:eastAsia="zh-CN" w:bidi="ar-SA"/>
    </w:rPr>
  </w:style>
  <w:style w:type="character" w:customStyle="1" w:styleId="1633">
    <w:name w:val="明显参考8"/>
    <w:qFormat/>
    <w:uiPriority w:val="0"/>
    <w:rPr>
      <w:rFonts w:ascii="Times New Roman" w:hAnsi="Times New Roman" w:eastAsia="宋体" w:cs="Times New Roman"/>
      <w:b/>
      <w:smallCaps/>
      <w:color w:val="C0504D"/>
      <w:spacing w:val="5"/>
      <w:u w:val="single"/>
    </w:rPr>
  </w:style>
  <w:style w:type="character" w:customStyle="1" w:styleId="1634">
    <w:name w:val="Char Char155"/>
    <w:qFormat/>
    <w:uiPriority w:val="0"/>
    <w:rPr>
      <w:rFonts w:ascii="Arial" w:hAnsi="Arial" w:eastAsia="黑体" w:cs="Times New Roman"/>
      <w:b/>
      <w:bCs/>
      <w:kern w:val="2"/>
      <w:sz w:val="32"/>
      <w:szCs w:val="32"/>
      <w:lang w:val="en-US" w:eastAsia="zh-CN" w:bidi="ar-SA"/>
    </w:rPr>
  </w:style>
  <w:style w:type="character" w:customStyle="1" w:styleId="1635">
    <w:name w:val="Char Char315"/>
    <w:qFormat/>
    <w:uiPriority w:val="0"/>
    <w:rPr>
      <w:rFonts w:ascii="Arial" w:hAnsi="Arial" w:eastAsia="黑体" w:cs="Times New Roman"/>
      <w:b/>
      <w:bCs/>
      <w:kern w:val="2"/>
      <w:sz w:val="32"/>
      <w:szCs w:val="32"/>
      <w:lang w:val="en-US" w:eastAsia="zh-CN" w:bidi="ar-SA"/>
    </w:rPr>
  </w:style>
  <w:style w:type="character" w:customStyle="1" w:styleId="1636">
    <w:name w:val="Char Char175"/>
    <w:qFormat/>
    <w:uiPriority w:val="0"/>
    <w:rPr>
      <w:rFonts w:ascii="Cambria" w:hAnsi="Cambria" w:eastAsia="宋体" w:cs="Times New Roman"/>
      <w:b/>
      <w:bCs/>
      <w:kern w:val="2"/>
      <w:sz w:val="32"/>
      <w:szCs w:val="32"/>
    </w:rPr>
  </w:style>
  <w:style w:type="character" w:customStyle="1" w:styleId="1637">
    <w:name w:val="Char Char95"/>
    <w:qFormat/>
    <w:uiPriority w:val="0"/>
    <w:rPr>
      <w:rFonts w:ascii="Times New Roman" w:hAnsi="Times New Roman" w:eastAsia="宋体" w:cs="Times New Roman"/>
      <w:kern w:val="2"/>
      <w:sz w:val="21"/>
      <w:szCs w:val="22"/>
    </w:rPr>
  </w:style>
  <w:style w:type="character" w:customStyle="1" w:styleId="1638">
    <w:name w:val="Char Char45"/>
    <w:qFormat/>
    <w:uiPriority w:val="0"/>
    <w:rPr>
      <w:rFonts w:ascii="Times New Roman" w:hAnsi="Times New Roman" w:eastAsia="宋体" w:cs="Times New Roman"/>
      <w:b/>
      <w:bCs/>
      <w:kern w:val="44"/>
      <w:sz w:val="44"/>
      <w:szCs w:val="44"/>
      <w:lang w:val="en-US" w:eastAsia="zh-CN" w:bidi="ar-SA"/>
    </w:rPr>
  </w:style>
  <w:style w:type="character" w:customStyle="1" w:styleId="1639">
    <w:name w:val="Char Char32"/>
    <w:qFormat/>
    <w:uiPriority w:val="0"/>
    <w:rPr>
      <w:rFonts w:ascii="Arial" w:hAnsi="Arial" w:eastAsia="黑体" w:cs="Times New Roman"/>
      <w:b/>
      <w:bCs/>
      <w:kern w:val="2"/>
      <w:sz w:val="32"/>
      <w:szCs w:val="32"/>
      <w:lang w:val="en-US" w:eastAsia="zh-CN" w:bidi="ar-SA"/>
    </w:rPr>
  </w:style>
  <w:style w:type="character" w:customStyle="1" w:styleId="1640">
    <w:name w:val="不明显参考9"/>
    <w:qFormat/>
    <w:uiPriority w:val="0"/>
    <w:rPr>
      <w:rFonts w:ascii="Times New Roman" w:hAnsi="Times New Roman" w:eastAsia="宋体" w:cs="Times New Roman"/>
      <w:smallCaps/>
      <w:color w:val="C0504D"/>
      <w:u w:val="single"/>
    </w:rPr>
  </w:style>
  <w:style w:type="character" w:customStyle="1" w:styleId="1641">
    <w:name w:val="书籍标题7"/>
    <w:qFormat/>
    <w:uiPriority w:val="0"/>
    <w:rPr>
      <w:rFonts w:ascii="Times New Roman" w:hAnsi="Times New Roman" w:eastAsia="宋体" w:cs="Times New Roman"/>
      <w:b/>
      <w:smallCaps/>
      <w:spacing w:val="5"/>
    </w:rPr>
  </w:style>
  <w:style w:type="character" w:customStyle="1" w:styleId="1642">
    <w:name w:val="Char Char Char Char Char Char5"/>
    <w:qFormat/>
    <w:uiPriority w:val="0"/>
    <w:rPr>
      <w:rFonts w:ascii="Cambria" w:hAnsi="Cambria" w:eastAsia="宋体" w:cs="Times New Roman"/>
      <w:b/>
      <w:bCs/>
      <w:kern w:val="2"/>
      <w:sz w:val="32"/>
      <w:szCs w:val="32"/>
      <w:lang w:bidi="ar-SA"/>
    </w:rPr>
  </w:style>
  <w:style w:type="character" w:customStyle="1" w:styleId="1643">
    <w:name w:val="Char Char185"/>
    <w:qFormat/>
    <w:uiPriority w:val="0"/>
    <w:rPr>
      <w:rFonts w:ascii="Times New Roman" w:hAnsi="Times New Roman" w:eastAsia="宋体" w:cs="Times New Roman"/>
      <w:b/>
      <w:bCs/>
      <w:kern w:val="44"/>
      <w:sz w:val="44"/>
      <w:szCs w:val="44"/>
    </w:rPr>
  </w:style>
  <w:style w:type="character" w:customStyle="1" w:styleId="1644">
    <w:name w:val="不明显强调8"/>
    <w:qFormat/>
    <w:uiPriority w:val="0"/>
    <w:rPr>
      <w:rFonts w:ascii="Times New Roman" w:hAnsi="Times New Roman" w:eastAsia="宋体" w:cs="Times New Roman"/>
      <w:i/>
      <w:color w:val="808080"/>
    </w:rPr>
  </w:style>
  <w:style w:type="character" w:customStyle="1" w:styleId="1645">
    <w:name w:val="Char Char85"/>
    <w:qFormat/>
    <w:uiPriority w:val="0"/>
    <w:rPr>
      <w:rFonts w:ascii="Arial" w:hAnsi="Arial" w:eastAsia="黑体" w:cs="Times New Roman"/>
      <w:b/>
      <w:bCs/>
      <w:kern w:val="2"/>
      <w:sz w:val="32"/>
      <w:szCs w:val="32"/>
      <w:lang w:val="en-US" w:eastAsia="zh-CN" w:bidi="ar-SA"/>
    </w:rPr>
  </w:style>
  <w:style w:type="paragraph" w:customStyle="1" w:styleId="1646">
    <w:name w:val="TOC 标题8"/>
    <w:basedOn w:val="4"/>
    <w:next w:val="1"/>
    <w:qFormat/>
    <w:uiPriority w:val="0"/>
    <w:pPr>
      <w:spacing w:line="576" w:lineRule="auto"/>
      <w:outlineLvl w:val="9"/>
    </w:pPr>
    <w:rPr>
      <w:rFonts w:ascii="Calibri" w:hAnsi="Calibri" w:eastAsia="宋体" w:cs="Times New Roman"/>
    </w:rPr>
  </w:style>
  <w:style w:type="paragraph" w:customStyle="1" w:styleId="1647">
    <w:name w:val="Char Char Char6"/>
    <w:basedOn w:val="23"/>
    <w:qFormat/>
    <w:uiPriority w:val="0"/>
    <w:rPr>
      <w:rFonts w:ascii="Times New Roman" w:hAnsi="Times New Roman" w:eastAsia="宋体" w:cs="Times New Roman"/>
      <w:szCs w:val="20"/>
    </w:rPr>
  </w:style>
  <w:style w:type="paragraph" w:customStyle="1" w:styleId="1648">
    <w:name w:val="Char86"/>
    <w:basedOn w:val="23"/>
    <w:qFormat/>
    <w:uiPriority w:val="0"/>
    <w:rPr>
      <w:rFonts w:ascii="Times New Roman" w:hAnsi="Times New Roman" w:eastAsia="宋体" w:cs="Times New Roman"/>
    </w:rPr>
  </w:style>
  <w:style w:type="paragraph" w:customStyle="1" w:styleId="1649">
    <w:name w:val="日期7"/>
    <w:basedOn w:val="1"/>
    <w:next w:val="1"/>
    <w:qFormat/>
    <w:uiPriority w:val="0"/>
    <w:pPr>
      <w:ind w:left="100" w:leftChars="2500"/>
    </w:pPr>
    <w:rPr>
      <w:rFonts w:ascii="宋体" w:hAnsi="Times New Roman" w:eastAsia="宋体" w:cs="Times New Roman"/>
      <w:kern w:val="0"/>
      <w:sz w:val="28"/>
      <w:szCs w:val="20"/>
    </w:rPr>
  </w:style>
  <w:style w:type="paragraph" w:customStyle="1" w:styleId="1650">
    <w:name w:val="Char Char1 Char Char Char Char Char Char6"/>
    <w:basedOn w:val="23"/>
    <w:qFormat/>
    <w:uiPriority w:val="0"/>
    <w:rPr>
      <w:rFonts w:ascii="Times New Roman" w:hAnsi="Times New Roman" w:eastAsia="宋体" w:cs="Times New Roman"/>
      <w:szCs w:val="20"/>
    </w:rPr>
  </w:style>
  <w:style w:type="paragraph" w:customStyle="1" w:styleId="1651">
    <w:name w:val="Char Char1 Char Char Char Char5"/>
    <w:basedOn w:val="23"/>
    <w:qFormat/>
    <w:uiPriority w:val="0"/>
    <w:rPr>
      <w:rFonts w:ascii="Times New Roman" w:hAnsi="Times New Roman" w:eastAsia="宋体" w:cs="Times New Roman"/>
    </w:rPr>
  </w:style>
  <w:style w:type="paragraph" w:customStyle="1" w:styleId="1652">
    <w:name w:val="正文文本 38"/>
    <w:basedOn w:val="1"/>
    <w:qFormat/>
    <w:uiPriority w:val="0"/>
    <w:pPr>
      <w:spacing w:after="120"/>
    </w:pPr>
    <w:rPr>
      <w:rFonts w:ascii="Times New Roman" w:hAnsi="Times New Roman" w:eastAsia="宋体" w:cs="Times New Roman"/>
      <w:sz w:val="16"/>
      <w:szCs w:val="16"/>
    </w:rPr>
  </w:style>
  <w:style w:type="paragraph" w:customStyle="1" w:styleId="1653">
    <w:name w:val="修订8"/>
    <w:qFormat/>
    <w:uiPriority w:val="0"/>
    <w:rPr>
      <w:rFonts w:ascii="Times New Roman" w:hAnsi="Times New Roman" w:eastAsia="宋体" w:cs="Times New Roman"/>
      <w:kern w:val="2"/>
      <w:sz w:val="21"/>
      <w:szCs w:val="24"/>
      <w:lang w:val="en-US" w:eastAsia="zh-CN" w:bidi="ar-SA"/>
    </w:rPr>
  </w:style>
  <w:style w:type="paragraph" w:customStyle="1" w:styleId="1654">
    <w:name w:val="明显引用7"/>
    <w:basedOn w:val="1"/>
    <w:next w:val="1"/>
    <w:qFormat/>
    <w:uiPriority w:val="0"/>
    <w:pPr>
      <w:pBdr>
        <w:bottom w:val="single" w:color="4F81BD" w:sz="4" w:space="4"/>
      </w:pBdr>
      <w:spacing w:before="200" w:after="280"/>
      <w:ind w:left="936" w:right="936"/>
    </w:pPr>
    <w:rPr>
      <w:rFonts w:ascii="Times New Roman" w:hAnsi="Times New Roman" w:eastAsia="宋体" w:cs="Times New Roman"/>
      <w:b/>
      <w:i/>
      <w:color w:val="4F81BD"/>
      <w:sz w:val="22"/>
      <w:szCs w:val="20"/>
      <w:lang w:val="zh-CN"/>
    </w:rPr>
  </w:style>
  <w:style w:type="paragraph" w:customStyle="1" w:styleId="1655">
    <w:name w:val="Char6"/>
    <w:basedOn w:val="1"/>
    <w:qFormat/>
    <w:uiPriority w:val="0"/>
    <w:pPr>
      <w:tabs>
        <w:tab w:val="left" w:pos="360"/>
      </w:tabs>
    </w:pPr>
    <w:rPr>
      <w:rFonts w:ascii="Times New Roman" w:hAnsi="Times New Roman" w:eastAsia="宋体" w:cs="Times New Roman"/>
      <w:sz w:val="24"/>
    </w:rPr>
  </w:style>
  <w:style w:type="paragraph" w:customStyle="1" w:styleId="1656">
    <w:name w:val="引用7"/>
    <w:basedOn w:val="1"/>
    <w:next w:val="1"/>
    <w:qFormat/>
    <w:uiPriority w:val="0"/>
    <w:rPr>
      <w:rFonts w:ascii="Times New Roman" w:hAnsi="Times New Roman" w:eastAsia="宋体" w:cs="Times New Roman"/>
      <w:i/>
      <w:color w:val="000000"/>
      <w:sz w:val="22"/>
      <w:szCs w:val="20"/>
      <w:lang w:val="zh-CN"/>
    </w:rPr>
  </w:style>
  <w:style w:type="paragraph" w:customStyle="1" w:styleId="1657">
    <w:name w:val="无间隔7"/>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58">
    <w:name w:val="文本块7"/>
    <w:basedOn w:val="1"/>
    <w:next w:val="1"/>
    <w:qFormat/>
    <w:uiPriority w:val="0"/>
    <w:rPr>
      <w:rFonts w:ascii="Times New Roman" w:hAnsi="Times New Roman" w:eastAsia="宋体" w:cs="Times New Roman"/>
      <w:i/>
      <w:iCs/>
      <w:color w:val="000000"/>
      <w:szCs w:val="22"/>
    </w:rPr>
  </w:style>
  <w:style w:type="paragraph" w:customStyle="1" w:styleId="1659">
    <w:name w:val="Char Char Char1 Char Char Char Char Char Char Char6"/>
    <w:basedOn w:val="1"/>
    <w:qFormat/>
    <w:uiPriority w:val="0"/>
    <w:rPr>
      <w:rFonts w:ascii="Times New Roman" w:hAnsi="Times New Roman" w:eastAsia="宋体" w:cs="Times New Roman"/>
      <w:sz w:val="28"/>
      <w:szCs w:val="28"/>
    </w:rPr>
  </w:style>
  <w:style w:type="paragraph" w:customStyle="1" w:styleId="1660">
    <w:name w:val="Char17"/>
    <w:basedOn w:val="23"/>
    <w:qFormat/>
    <w:uiPriority w:val="0"/>
    <w:rPr>
      <w:rFonts w:ascii="Times New Roman" w:hAnsi="Times New Roman" w:eastAsia="宋体" w:cs="Times New Roman"/>
      <w:szCs w:val="20"/>
    </w:rPr>
  </w:style>
  <w:style w:type="paragraph" w:customStyle="1" w:styleId="1661">
    <w:name w:val="列表段落5"/>
    <w:basedOn w:val="1"/>
    <w:qFormat/>
    <w:uiPriority w:val="0"/>
    <w:pPr>
      <w:ind w:firstLine="420" w:firstLineChars="200"/>
    </w:pPr>
    <w:rPr>
      <w:rFonts w:ascii="Calibri" w:hAnsi="Calibri" w:eastAsia="宋体" w:cs="Times New Roman"/>
      <w:szCs w:val="22"/>
    </w:rPr>
  </w:style>
  <w:style w:type="paragraph" w:customStyle="1" w:styleId="1662">
    <w:name w:val="Char Char1 Char5"/>
    <w:basedOn w:val="23"/>
    <w:qFormat/>
    <w:uiPriority w:val="0"/>
    <w:rPr>
      <w:rFonts w:ascii="Times New Roman" w:hAnsi="Times New Roman" w:eastAsia="宋体" w:cs="Times New Roman"/>
    </w:rPr>
  </w:style>
  <w:style w:type="paragraph" w:customStyle="1" w:styleId="1663">
    <w:name w:val="文档结构图8"/>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1664">
    <w:name w:val="索引 47"/>
    <w:basedOn w:val="1"/>
    <w:next w:val="1"/>
    <w:qFormat/>
    <w:uiPriority w:val="0"/>
    <w:pPr>
      <w:ind w:left="600" w:leftChars="600"/>
    </w:pPr>
    <w:rPr>
      <w:rFonts w:ascii="Times New Roman" w:hAnsi="Times New Roman" w:eastAsia="宋体" w:cs="Times New Roman"/>
    </w:rPr>
  </w:style>
  <w:style w:type="paragraph" w:customStyle="1" w:styleId="1665">
    <w:name w:val="批注主题6"/>
    <w:basedOn w:val="25"/>
    <w:next w:val="25"/>
    <w:qFormat/>
    <w:uiPriority w:val="0"/>
    <w:rPr>
      <w:rFonts w:ascii="宋体" w:hAnsi="Times New Roman" w:eastAsia="宋体" w:cs="Times New Roman"/>
      <w:b/>
      <w:bCs/>
      <w:kern w:val="0"/>
      <w:sz w:val="28"/>
      <w:szCs w:val="20"/>
    </w:rPr>
  </w:style>
  <w:style w:type="paragraph" w:customStyle="1" w:styleId="1666">
    <w:name w:val="普通(网站)10"/>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667">
    <w:name w:val="Char Char114"/>
    <w:basedOn w:val="23"/>
    <w:qFormat/>
    <w:uiPriority w:val="0"/>
    <w:rPr>
      <w:rFonts w:ascii="Times New Roman" w:hAnsi="Times New Roman" w:eastAsia="宋体" w:cs="Times New Roman"/>
      <w:szCs w:val="20"/>
    </w:rPr>
  </w:style>
  <w:style w:type="character" w:customStyle="1" w:styleId="1668">
    <w:name w:val="明显强调10"/>
    <w:qFormat/>
    <w:uiPriority w:val="0"/>
    <w:rPr>
      <w:rFonts w:ascii="Times New Roman" w:hAnsi="Times New Roman" w:eastAsia="宋体" w:cs="Times New Roman"/>
      <w:b/>
      <w:i/>
      <w:color w:val="4F81BD"/>
    </w:rPr>
  </w:style>
  <w:style w:type="character" w:customStyle="1" w:styleId="1669">
    <w:name w:val="明显参考9"/>
    <w:qFormat/>
    <w:uiPriority w:val="0"/>
    <w:rPr>
      <w:rFonts w:ascii="Times New Roman" w:hAnsi="Times New Roman" w:eastAsia="宋体" w:cs="Times New Roman"/>
      <w:b/>
      <w:smallCaps/>
      <w:color w:val="C0504D"/>
      <w:spacing w:val="5"/>
      <w:u w:val="single"/>
    </w:rPr>
  </w:style>
  <w:style w:type="paragraph" w:customStyle="1" w:styleId="1670">
    <w:name w:val="明显引用8"/>
    <w:basedOn w:val="1"/>
    <w:next w:val="1"/>
    <w:qFormat/>
    <w:uiPriority w:val="0"/>
    <w:pPr>
      <w:pBdr>
        <w:bottom w:val="single" w:color="4F81BD" w:sz="4" w:space="4"/>
      </w:pBdr>
      <w:spacing w:before="200" w:after="280"/>
      <w:ind w:left="936" w:right="936"/>
    </w:pPr>
    <w:rPr>
      <w:rFonts w:ascii="Times New Roman" w:hAnsi="Times New Roman" w:eastAsia="宋体" w:cs="Times New Roman"/>
      <w:b/>
      <w:i/>
      <w:color w:val="4F81BD"/>
      <w:sz w:val="22"/>
      <w:szCs w:val="20"/>
    </w:rPr>
  </w:style>
  <w:style w:type="paragraph" w:customStyle="1" w:styleId="1671">
    <w:name w:val="引用8"/>
    <w:basedOn w:val="1"/>
    <w:next w:val="1"/>
    <w:qFormat/>
    <w:uiPriority w:val="0"/>
    <w:rPr>
      <w:rFonts w:ascii="Times New Roman" w:hAnsi="Times New Roman" w:eastAsia="宋体" w:cs="Times New Roman"/>
      <w:i/>
      <w:color w:val="000000"/>
      <w:sz w:val="22"/>
      <w:szCs w:val="20"/>
    </w:rPr>
  </w:style>
  <w:style w:type="character" w:customStyle="1" w:styleId="1672">
    <w:name w:val="不明显参考10"/>
    <w:qFormat/>
    <w:uiPriority w:val="0"/>
    <w:rPr>
      <w:rFonts w:ascii="Times New Roman" w:hAnsi="Times New Roman" w:eastAsia="宋体" w:cs="Times New Roman"/>
      <w:smallCaps/>
      <w:color w:val="C0504D"/>
      <w:u w:val="single"/>
    </w:rPr>
  </w:style>
  <w:style w:type="character" w:customStyle="1" w:styleId="1673">
    <w:name w:val="书籍标题8"/>
    <w:qFormat/>
    <w:uiPriority w:val="0"/>
    <w:rPr>
      <w:rFonts w:ascii="Times New Roman" w:hAnsi="Times New Roman" w:eastAsia="宋体" w:cs="Times New Roman"/>
      <w:b/>
      <w:smallCaps/>
      <w:spacing w:val="5"/>
    </w:rPr>
  </w:style>
  <w:style w:type="character" w:customStyle="1" w:styleId="1674">
    <w:name w:val="不明显强调9"/>
    <w:qFormat/>
    <w:uiPriority w:val="0"/>
    <w:rPr>
      <w:rFonts w:ascii="Times New Roman" w:hAnsi="Times New Roman" w:eastAsia="宋体" w:cs="Times New Roman"/>
      <w:i/>
      <w:color w:val="808080"/>
    </w:rPr>
  </w:style>
  <w:style w:type="paragraph" w:customStyle="1" w:styleId="1675">
    <w:name w:val="TOC 标题9"/>
    <w:basedOn w:val="4"/>
    <w:next w:val="1"/>
    <w:qFormat/>
    <w:uiPriority w:val="0"/>
    <w:pPr>
      <w:spacing w:line="576" w:lineRule="auto"/>
      <w:outlineLvl w:val="9"/>
    </w:pPr>
    <w:rPr>
      <w:rFonts w:ascii="Calibri" w:hAnsi="Calibri" w:eastAsia="宋体" w:cs="Times New Roman"/>
    </w:rPr>
  </w:style>
  <w:style w:type="paragraph" w:customStyle="1" w:styleId="1676">
    <w:name w:val="日期8"/>
    <w:basedOn w:val="1"/>
    <w:next w:val="1"/>
    <w:qFormat/>
    <w:uiPriority w:val="0"/>
    <w:pPr>
      <w:ind w:left="100" w:leftChars="2500"/>
    </w:pPr>
    <w:rPr>
      <w:rFonts w:ascii="宋体" w:hAnsi="Times New Roman" w:eastAsia="宋体" w:cs="Times New Roman"/>
      <w:kern w:val="0"/>
      <w:sz w:val="28"/>
      <w:szCs w:val="20"/>
    </w:rPr>
  </w:style>
  <w:style w:type="paragraph" w:customStyle="1" w:styleId="1677">
    <w:name w:val="正文文本 39"/>
    <w:basedOn w:val="1"/>
    <w:qFormat/>
    <w:uiPriority w:val="0"/>
    <w:pPr>
      <w:spacing w:after="120"/>
    </w:pPr>
    <w:rPr>
      <w:rFonts w:ascii="Times New Roman" w:hAnsi="Times New Roman" w:eastAsia="宋体" w:cs="Times New Roman"/>
      <w:sz w:val="16"/>
      <w:szCs w:val="16"/>
    </w:rPr>
  </w:style>
  <w:style w:type="paragraph" w:customStyle="1" w:styleId="1678">
    <w:name w:val="修订9"/>
    <w:qFormat/>
    <w:uiPriority w:val="0"/>
    <w:rPr>
      <w:rFonts w:ascii="Times New Roman" w:hAnsi="Times New Roman" w:eastAsia="宋体" w:cs="Times New Roman"/>
      <w:kern w:val="2"/>
      <w:sz w:val="21"/>
      <w:szCs w:val="24"/>
      <w:lang w:val="en-US" w:eastAsia="zh-CN" w:bidi="ar-SA"/>
    </w:rPr>
  </w:style>
  <w:style w:type="paragraph" w:customStyle="1" w:styleId="1679">
    <w:name w:val="无间隔8"/>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80">
    <w:name w:val="文本块8"/>
    <w:basedOn w:val="1"/>
    <w:next w:val="1"/>
    <w:qFormat/>
    <w:uiPriority w:val="0"/>
    <w:rPr>
      <w:rFonts w:ascii="Times New Roman" w:hAnsi="Times New Roman" w:eastAsia="宋体" w:cs="Times New Roman"/>
      <w:i/>
      <w:iCs/>
      <w:color w:val="000000"/>
      <w:szCs w:val="22"/>
    </w:rPr>
  </w:style>
  <w:style w:type="paragraph" w:customStyle="1" w:styleId="1681">
    <w:name w:val="列出段落5"/>
    <w:basedOn w:val="1"/>
    <w:qFormat/>
    <w:uiPriority w:val="0"/>
    <w:pPr>
      <w:ind w:firstLine="420" w:firstLineChars="200"/>
    </w:pPr>
    <w:rPr>
      <w:rFonts w:ascii="Calibri" w:hAnsi="Calibri" w:eastAsia="宋体" w:cs="Times New Roman"/>
      <w:szCs w:val="22"/>
    </w:rPr>
  </w:style>
  <w:style w:type="paragraph" w:customStyle="1" w:styleId="1682">
    <w:name w:val="文档结构图9"/>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1683">
    <w:name w:val="索引 48"/>
    <w:basedOn w:val="1"/>
    <w:next w:val="1"/>
    <w:qFormat/>
    <w:uiPriority w:val="0"/>
    <w:pPr>
      <w:ind w:left="600" w:leftChars="600"/>
    </w:pPr>
    <w:rPr>
      <w:rFonts w:ascii="Times New Roman" w:hAnsi="Times New Roman" w:eastAsia="宋体" w:cs="Times New Roman"/>
    </w:rPr>
  </w:style>
  <w:style w:type="paragraph" w:customStyle="1" w:styleId="1684">
    <w:name w:val="批注主题7"/>
    <w:basedOn w:val="25"/>
    <w:next w:val="25"/>
    <w:qFormat/>
    <w:uiPriority w:val="0"/>
    <w:rPr>
      <w:rFonts w:ascii="宋体" w:hAnsi="Times New Roman" w:eastAsia="宋体" w:cs="Times New Roman"/>
      <w:b/>
      <w:bCs/>
      <w:kern w:val="0"/>
      <w:sz w:val="28"/>
      <w:szCs w:val="20"/>
    </w:rPr>
  </w:style>
  <w:style w:type="paragraph" w:customStyle="1" w:styleId="1685">
    <w:name w:val="普通(网站)12"/>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686">
    <w:name w:val="HTML 预设格式4"/>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宋体" w:cs="Times New Roman"/>
      <w:sz w:val="20"/>
      <w:szCs w:val="20"/>
    </w:rPr>
  </w:style>
  <w:style w:type="paragraph" w:customStyle="1" w:styleId="1687">
    <w:name w:val="_Style 14241"/>
    <w:basedOn w:val="1"/>
    <w:next w:val="1"/>
    <w:qFormat/>
    <w:uiPriority w:val="39"/>
    <w:pPr>
      <w:ind w:left="840"/>
      <w:jc w:val="left"/>
    </w:pPr>
    <w:rPr>
      <w:rFonts w:ascii="Times New Roman" w:hAnsi="Times New Roman" w:eastAsia="宋体" w:cs="Times New Roman"/>
      <w:sz w:val="18"/>
      <w:szCs w:val="18"/>
    </w:rPr>
  </w:style>
  <w:style w:type="paragraph" w:customStyle="1" w:styleId="1688">
    <w:name w:val="Quote1"/>
    <w:basedOn w:val="1"/>
    <w:next w:val="1"/>
    <w:qFormat/>
    <w:uiPriority w:val="0"/>
    <w:rPr>
      <w:rFonts w:ascii="Times New Roman" w:hAnsi="Times New Roman" w:eastAsia="宋体" w:cs="Times New Roman"/>
      <w:i/>
      <w:color w:val="000000"/>
      <w:sz w:val="22"/>
      <w:szCs w:val="22"/>
    </w:rPr>
  </w:style>
  <w:style w:type="paragraph" w:customStyle="1" w:styleId="1689">
    <w:name w:val="Intense Quote1"/>
    <w:basedOn w:val="1"/>
    <w:next w:val="1"/>
    <w:qFormat/>
    <w:uiPriority w:val="0"/>
    <w:pPr>
      <w:pBdr>
        <w:bottom w:val="single" w:color="4F81BD" w:sz="4" w:space="4"/>
      </w:pBdr>
      <w:spacing w:before="200" w:after="280"/>
      <w:ind w:left="936" w:right="936"/>
    </w:pPr>
    <w:rPr>
      <w:rFonts w:ascii="Times New Roman" w:hAnsi="Times New Roman" w:eastAsia="宋体" w:cs="Times New Roman"/>
      <w:b/>
      <w:i/>
      <w:color w:val="4F81BD"/>
      <w:sz w:val="22"/>
      <w:szCs w:val="22"/>
    </w:rPr>
  </w:style>
  <w:style w:type="character" w:customStyle="1" w:styleId="1690">
    <w:name w:val="Intense Emphasis1"/>
    <w:qFormat/>
    <w:uiPriority w:val="0"/>
    <w:rPr>
      <w:rFonts w:ascii="Times New Roman" w:hAnsi="Times New Roman" w:eastAsia="宋体" w:cs="Times New Roman"/>
      <w:b/>
      <w:i/>
      <w:color w:val="4F81BD"/>
    </w:rPr>
  </w:style>
  <w:style w:type="character" w:customStyle="1" w:styleId="1691">
    <w:name w:val="Intense Reference1"/>
    <w:qFormat/>
    <w:uiPriority w:val="0"/>
    <w:rPr>
      <w:rFonts w:ascii="Times New Roman" w:hAnsi="Times New Roman" w:eastAsia="宋体" w:cs="Times New Roman"/>
      <w:b/>
      <w:smallCaps/>
      <w:color w:val="C0504D"/>
      <w:spacing w:val="5"/>
      <w:u w:val="single"/>
    </w:rPr>
  </w:style>
  <w:style w:type="character" w:customStyle="1" w:styleId="1692">
    <w:name w:val="Book Title1"/>
    <w:qFormat/>
    <w:uiPriority w:val="0"/>
    <w:rPr>
      <w:rFonts w:ascii="Times New Roman" w:hAnsi="Times New Roman" w:eastAsia="宋体" w:cs="Times New Roman"/>
      <w:b/>
      <w:smallCaps/>
      <w:spacing w:val="5"/>
    </w:rPr>
  </w:style>
  <w:style w:type="character" w:customStyle="1" w:styleId="1693">
    <w:name w:val="Subtle Emphasis1"/>
    <w:qFormat/>
    <w:uiPriority w:val="0"/>
    <w:rPr>
      <w:rFonts w:ascii="Times New Roman" w:hAnsi="Times New Roman" w:eastAsia="宋体" w:cs="Times New Roman"/>
      <w:i/>
      <w:color w:val="808080"/>
    </w:rPr>
  </w:style>
  <w:style w:type="character" w:customStyle="1" w:styleId="1694">
    <w:name w:val="Subtle Reference1"/>
    <w:qFormat/>
    <w:uiPriority w:val="0"/>
    <w:rPr>
      <w:rFonts w:ascii="Times New Roman" w:hAnsi="Times New Roman" w:eastAsia="宋体" w:cs="Times New Roman"/>
      <w:smallCaps/>
      <w:color w:val="C0504D"/>
      <w:u w:val="single"/>
    </w:rPr>
  </w:style>
  <w:style w:type="paragraph" w:customStyle="1" w:styleId="1695">
    <w:name w:val="No Spacing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96">
    <w:name w:val="TOC Heading1"/>
    <w:basedOn w:val="4"/>
    <w:next w:val="1"/>
    <w:qFormat/>
    <w:uiPriority w:val="0"/>
    <w:pPr>
      <w:spacing w:line="576" w:lineRule="auto"/>
      <w:outlineLvl w:val="9"/>
    </w:pPr>
    <w:rPr>
      <w:rFonts w:ascii="Calibri" w:hAnsi="Calibri" w:eastAsia="宋体" w:cs="Times New Roman"/>
    </w:rPr>
  </w:style>
  <w:style w:type="paragraph" w:customStyle="1" w:styleId="1697">
    <w:name w:val="List Paragraph11"/>
    <w:basedOn w:val="1"/>
    <w:qFormat/>
    <w:uiPriority w:val="0"/>
    <w:pPr>
      <w:ind w:firstLine="420" w:firstLineChars="200"/>
    </w:pPr>
    <w:rPr>
      <w:rFonts w:ascii="Calibri" w:hAnsi="Calibri" w:eastAsia="宋体" w:cs="Times New Roman"/>
      <w:szCs w:val="22"/>
    </w:rPr>
  </w:style>
  <w:style w:type="paragraph" w:customStyle="1" w:styleId="1698">
    <w:name w:val="Revision1"/>
    <w:qFormat/>
    <w:uiPriority w:val="0"/>
    <w:rPr>
      <w:rFonts w:ascii="Times New Roman" w:hAnsi="Times New Roman" w:eastAsia="宋体" w:cs="Times New Roman"/>
      <w:kern w:val="2"/>
      <w:sz w:val="21"/>
      <w:szCs w:val="24"/>
      <w:lang w:val="en-US" w:eastAsia="zh-CN" w:bidi="ar-SA"/>
    </w:rPr>
  </w:style>
  <w:style w:type="character" w:customStyle="1" w:styleId="1699">
    <w:name w:val="Char Char13111"/>
    <w:qFormat/>
    <w:uiPriority w:val="0"/>
    <w:rPr>
      <w:rFonts w:ascii="宋体" w:hAnsi="Courier New" w:eastAsia="宋体"/>
      <w:kern w:val="2"/>
      <w:sz w:val="21"/>
      <w:lang w:val="en-US" w:eastAsia="zh-CN" w:bidi="ar-SA"/>
    </w:rPr>
  </w:style>
  <w:style w:type="character" w:customStyle="1" w:styleId="1700">
    <w:name w:val="Char Char29111"/>
    <w:qFormat/>
    <w:uiPriority w:val="99"/>
    <w:rPr>
      <w:rFonts w:ascii="Times New Roman" w:hAnsi="Times New Roman" w:eastAsia="宋体" w:cs="Times New Roman"/>
      <w:b/>
      <w:bCs/>
      <w:kern w:val="2"/>
      <w:sz w:val="32"/>
      <w:szCs w:val="32"/>
      <w:lang w:val="en-US" w:eastAsia="zh-CN"/>
    </w:rPr>
  </w:style>
  <w:style w:type="character" w:customStyle="1" w:styleId="1701">
    <w:name w:val="Char Char18111"/>
    <w:qFormat/>
    <w:uiPriority w:val="0"/>
    <w:rPr>
      <w:rFonts w:ascii="Times New Roman" w:hAnsi="Times New Roman" w:eastAsia="宋体" w:cs="Times New Roman"/>
      <w:b/>
      <w:bCs/>
      <w:kern w:val="44"/>
      <w:sz w:val="44"/>
      <w:szCs w:val="44"/>
    </w:rPr>
  </w:style>
  <w:style w:type="character" w:customStyle="1" w:styleId="1702">
    <w:name w:val="明显强调12"/>
    <w:qFormat/>
    <w:uiPriority w:val="0"/>
    <w:rPr>
      <w:rFonts w:ascii="Times New Roman" w:hAnsi="Times New Roman" w:eastAsia="宋体" w:cs="Times New Roman"/>
      <w:b/>
      <w:i/>
      <w:color w:val="4F81BD"/>
    </w:rPr>
  </w:style>
  <w:style w:type="character" w:customStyle="1" w:styleId="1703">
    <w:name w:val="Char Char Char Char Char Char111"/>
    <w:qFormat/>
    <w:uiPriority w:val="0"/>
    <w:rPr>
      <w:rFonts w:ascii="Cambria" w:hAnsi="Cambria" w:eastAsia="宋体" w:cs="Times New Roman"/>
      <w:b/>
      <w:bCs/>
      <w:kern w:val="2"/>
      <w:sz w:val="32"/>
      <w:szCs w:val="32"/>
      <w:lang w:bidi="ar-SA"/>
    </w:rPr>
  </w:style>
  <w:style w:type="character" w:customStyle="1" w:styleId="1704">
    <w:name w:val="明显参考3111"/>
    <w:qFormat/>
    <w:uiPriority w:val="0"/>
    <w:rPr>
      <w:b/>
      <w:smallCaps/>
      <w:color w:val="C0504D"/>
      <w:spacing w:val="5"/>
      <w:u w:val="single"/>
    </w:rPr>
  </w:style>
  <w:style w:type="character" w:customStyle="1" w:styleId="1705">
    <w:name w:val="不明显强调41"/>
    <w:qFormat/>
    <w:uiPriority w:val="0"/>
    <w:rPr>
      <w:rFonts w:ascii="Times New Roman" w:hAnsi="Times New Roman" w:eastAsia="宋体" w:cs="Times New Roman"/>
      <w:i/>
      <w:color w:val="808080"/>
    </w:rPr>
  </w:style>
  <w:style w:type="character" w:customStyle="1" w:styleId="1706">
    <w:name w:val="Char Char15111"/>
    <w:qFormat/>
    <w:uiPriority w:val="0"/>
    <w:rPr>
      <w:rFonts w:ascii="Arial" w:hAnsi="Arial" w:eastAsia="黑体" w:cs="Times New Roman"/>
      <w:b/>
      <w:bCs/>
      <w:kern w:val="2"/>
      <w:sz w:val="32"/>
      <w:szCs w:val="32"/>
      <w:lang w:val="en-US" w:eastAsia="zh-CN" w:bidi="ar-SA"/>
    </w:rPr>
  </w:style>
  <w:style w:type="character" w:customStyle="1" w:styleId="1707">
    <w:name w:val="书籍标题2111"/>
    <w:qFormat/>
    <w:uiPriority w:val="0"/>
    <w:rPr>
      <w:b/>
      <w:smallCaps/>
      <w:spacing w:val="5"/>
    </w:rPr>
  </w:style>
  <w:style w:type="character" w:customStyle="1" w:styleId="1708">
    <w:name w:val="Char Char302"/>
    <w:qFormat/>
    <w:uiPriority w:val="0"/>
    <w:rPr>
      <w:rFonts w:ascii="Arial" w:hAnsi="Arial" w:eastAsia="黑体"/>
      <w:b/>
      <w:bCs/>
      <w:kern w:val="2"/>
      <w:sz w:val="32"/>
      <w:szCs w:val="32"/>
      <w:lang w:val="en-US" w:eastAsia="zh-CN" w:bidi="ar-SA"/>
    </w:rPr>
  </w:style>
  <w:style w:type="paragraph" w:customStyle="1" w:styleId="1709">
    <w:name w:val="Char Char11111"/>
    <w:basedOn w:val="23"/>
    <w:qFormat/>
    <w:uiPriority w:val="0"/>
    <w:rPr>
      <w:rFonts w:ascii="Times New Roman" w:hAnsi="Times New Roman" w:eastAsia="宋体" w:cs="Times New Roman"/>
      <w:szCs w:val="20"/>
    </w:rPr>
  </w:style>
  <w:style w:type="paragraph" w:customStyle="1" w:styleId="1710">
    <w:name w:val="文本块111"/>
    <w:basedOn w:val="1"/>
    <w:next w:val="1"/>
    <w:qFormat/>
    <w:uiPriority w:val="0"/>
    <w:rPr>
      <w:rFonts w:ascii="Times New Roman" w:hAnsi="Times New Roman" w:eastAsia="宋体" w:cs="Times New Roman"/>
      <w:i/>
      <w:iCs/>
      <w:color w:val="000000"/>
      <w:szCs w:val="22"/>
    </w:rPr>
  </w:style>
  <w:style w:type="paragraph" w:customStyle="1" w:styleId="1711">
    <w:name w:val="Char Char Char1 Char Char Char Char Char Char Char2111"/>
    <w:basedOn w:val="1"/>
    <w:qFormat/>
    <w:uiPriority w:val="0"/>
    <w:rPr>
      <w:rFonts w:ascii="Times New Roman" w:hAnsi="Times New Roman" w:eastAsia="宋体" w:cs="Times New Roman"/>
      <w:sz w:val="28"/>
      <w:szCs w:val="28"/>
    </w:rPr>
  </w:style>
  <w:style w:type="paragraph" w:customStyle="1" w:styleId="1712">
    <w:name w:val="Char111"/>
    <w:basedOn w:val="23"/>
    <w:qFormat/>
    <w:uiPriority w:val="0"/>
    <w:rPr>
      <w:rFonts w:ascii="Times New Roman" w:hAnsi="Times New Roman" w:eastAsia="宋体" w:cs="Times New Roman"/>
      <w:szCs w:val="20"/>
    </w:rPr>
  </w:style>
  <w:style w:type="paragraph" w:customStyle="1" w:styleId="1713">
    <w:name w:val="修订111"/>
    <w:qFormat/>
    <w:uiPriority w:val="99"/>
    <w:rPr>
      <w:rFonts w:ascii="Times New Roman" w:hAnsi="Times New Roman" w:eastAsia="宋体" w:cs="Times New Roman"/>
      <w:kern w:val="2"/>
      <w:sz w:val="21"/>
      <w:szCs w:val="24"/>
      <w:lang w:val="en-US" w:eastAsia="zh-CN" w:bidi="ar-SA"/>
    </w:rPr>
  </w:style>
  <w:style w:type="paragraph" w:customStyle="1" w:styleId="1714">
    <w:name w:val="Char Char Char11"/>
    <w:basedOn w:val="23"/>
    <w:qFormat/>
    <w:uiPriority w:val="0"/>
    <w:rPr>
      <w:rFonts w:ascii="Times New Roman" w:hAnsi="Times New Roman" w:eastAsia="宋体" w:cs="Times New Roman"/>
      <w:szCs w:val="20"/>
    </w:rPr>
  </w:style>
  <w:style w:type="paragraph" w:customStyle="1" w:styleId="1715">
    <w:name w:val="Char Char1 Char111"/>
    <w:basedOn w:val="23"/>
    <w:qFormat/>
    <w:uiPriority w:val="0"/>
    <w:rPr>
      <w:rFonts w:ascii="Times New Roman" w:hAnsi="Times New Roman" w:eastAsia="宋体" w:cs="Times New Roman"/>
    </w:rPr>
  </w:style>
  <w:style w:type="paragraph" w:customStyle="1" w:styleId="1716">
    <w:name w:val="TOC 标题111"/>
    <w:basedOn w:val="4"/>
    <w:next w:val="1"/>
    <w:qFormat/>
    <w:uiPriority w:val="99"/>
    <w:pPr>
      <w:spacing w:line="576" w:lineRule="auto"/>
      <w:outlineLvl w:val="9"/>
    </w:pPr>
    <w:rPr>
      <w:rFonts w:ascii="Calibri" w:hAnsi="Calibri" w:eastAsia="宋体" w:cs="Times New Roman"/>
    </w:rPr>
  </w:style>
  <w:style w:type="paragraph" w:customStyle="1" w:styleId="1717">
    <w:name w:val="Char811"/>
    <w:basedOn w:val="23"/>
    <w:qFormat/>
    <w:uiPriority w:val="0"/>
    <w:rPr>
      <w:rFonts w:ascii="Times New Roman" w:hAnsi="Times New Roman" w:eastAsia="宋体" w:cs="Times New Roman"/>
    </w:rPr>
  </w:style>
  <w:style w:type="paragraph" w:customStyle="1" w:styleId="1718">
    <w:name w:val="批注主题12"/>
    <w:basedOn w:val="25"/>
    <w:next w:val="25"/>
    <w:qFormat/>
    <w:uiPriority w:val="0"/>
    <w:rPr>
      <w:rFonts w:ascii="宋体" w:hAnsi="Times New Roman" w:eastAsia="宋体" w:cs="Times New Roman"/>
      <w:b/>
      <w:bCs/>
      <w:kern w:val="0"/>
      <w:sz w:val="28"/>
      <w:szCs w:val="20"/>
    </w:rPr>
  </w:style>
  <w:style w:type="paragraph" w:customStyle="1" w:styleId="1719">
    <w:name w:val="Char Char1 Char Char Char Char111"/>
    <w:basedOn w:val="23"/>
    <w:qFormat/>
    <w:uiPriority w:val="0"/>
    <w:rPr>
      <w:rFonts w:ascii="Calibri" w:hAnsi="Calibri" w:eastAsia="宋体" w:cs="Times New Roman"/>
      <w:kern w:val="0"/>
      <w:sz w:val="20"/>
    </w:rPr>
  </w:style>
  <w:style w:type="paragraph" w:customStyle="1" w:styleId="1720">
    <w:name w:val="Char Char 字元 字元 字元 Char Char Char Char1211"/>
    <w:basedOn w:val="1"/>
    <w:qFormat/>
    <w:uiPriority w:val="0"/>
    <w:pPr>
      <w:adjustRightInd w:val="0"/>
      <w:spacing w:line="360" w:lineRule="auto"/>
    </w:pPr>
    <w:rPr>
      <w:rFonts w:ascii="Times New Roman" w:hAnsi="Times New Roman" w:eastAsia="宋体" w:cs="Times New Roman"/>
      <w:szCs w:val="20"/>
    </w:rPr>
  </w:style>
  <w:style w:type="paragraph" w:customStyle="1" w:styleId="1721">
    <w:name w:val="普通(网站)11111"/>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1722">
    <w:name w:val="Char Char1 Char Char Char Char Char Char211"/>
    <w:basedOn w:val="23"/>
    <w:qFormat/>
    <w:uiPriority w:val="0"/>
    <w:rPr>
      <w:rFonts w:ascii="Times New Roman" w:hAnsi="Times New Roman" w:eastAsia="宋体" w:cs="Times New Roman"/>
      <w:szCs w:val="20"/>
    </w:rPr>
  </w:style>
  <w:style w:type="paragraph" w:customStyle="1" w:styleId="1723">
    <w:name w:val="索引 42111"/>
    <w:basedOn w:val="1"/>
    <w:next w:val="1"/>
    <w:qFormat/>
    <w:uiPriority w:val="0"/>
    <w:pPr>
      <w:ind w:left="600" w:leftChars="600"/>
    </w:pPr>
    <w:rPr>
      <w:rFonts w:ascii="Times New Roman" w:hAnsi="Times New Roman" w:eastAsia="宋体" w:cs="Times New Roman"/>
    </w:rPr>
  </w:style>
  <w:style w:type="paragraph" w:customStyle="1" w:styleId="1724">
    <w:name w:val="正文文本 321111"/>
    <w:basedOn w:val="1"/>
    <w:qFormat/>
    <w:uiPriority w:val="0"/>
    <w:pPr>
      <w:widowControl/>
      <w:spacing w:after="120" w:line="360" w:lineRule="exact"/>
      <w:ind w:firstLine="200" w:firstLineChars="200"/>
    </w:pPr>
    <w:rPr>
      <w:rFonts w:ascii="Times New Roman" w:hAnsi="Times New Roman" w:eastAsia="宋体" w:cs="Times New Roman"/>
      <w:sz w:val="16"/>
      <w:szCs w:val="16"/>
    </w:rPr>
  </w:style>
  <w:style w:type="paragraph" w:customStyle="1" w:styleId="1725">
    <w:name w:val="文档结构图3111"/>
    <w:basedOn w:val="1"/>
    <w:qFormat/>
    <w:uiPriority w:val="0"/>
    <w:pPr>
      <w:shd w:val="clear" w:color="auto" w:fill="000080"/>
    </w:pPr>
    <w:rPr>
      <w:rFonts w:ascii="Times New Roman" w:hAnsi="Times New Roman" w:eastAsia="宋体" w:cs="Times New Roman"/>
      <w:kern w:val="0"/>
      <w:sz w:val="20"/>
      <w:shd w:val="clear" w:color="auto" w:fill="000080"/>
    </w:rPr>
  </w:style>
  <w:style w:type="paragraph" w:customStyle="1" w:styleId="1726">
    <w:name w:val="日期3111"/>
    <w:basedOn w:val="1"/>
    <w:next w:val="1"/>
    <w:qFormat/>
    <w:uiPriority w:val="0"/>
    <w:pPr>
      <w:ind w:left="100" w:leftChars="2500"/>
    </w:pPr>
    <w:rPr>
      <w:rFonts w:ascii="宋体" w:hAnsi="Times New Roman" w:eastAsia="宋体" w:cs="Times New Roman"/>
      <w:kern w:val="0"/>
      <w:sz w:val="28"/>
      <w:szCs w:val="20"/>
    </w:rPr>
  </w:style>
  <w:style w:type="paragraph" w:customStyle="1" w:styleId="1727">
    <w:name w:val="Char Char Char Char Char Char Char Char Char Char111"/>
    <w:basedOn w:val="1"/>
    <w:qFormat/>
    <w:uiPriority w:val="0"/>
    <w:pPr>
      <w:tabs>
        <w:tab w:val="left" w:pos="360"/>
      </w:tabs>
      <w:ind w:left="360" w:hanging="360" w:hangingChars="200"/>
    </w:pPr>
    <w:rPr>
      <w:rFonts w:ascii="Times New Roman" w:hAnsi="Times New Roman" w:eastAsia="宋体" w:cs="Times New Roman"/>
      <w:sz w:val="24"/>
    </w:rPr>
  </w:style>
  <w:style w:type="paragraph" w:customStyle="1" w:styleId="1728">
    <w:name w:val="Char1 Char Char Char111"/>
    <w:basedOn w:val="1"/>
    <w:qFormat/>
    <w:uiPriority w:val="0"/>
    <w:pPr>
      <w:spacing w:line="360" w:lineRule="auto"/>
    </w:pPr>
    <w:rPr>
      <w:rFonts w:ascii="Tahoma" w:hAnsi="Tahoma" w:eastAsia="宋体" w:cs="Times New Roman"/>
      <w:sz w:val="24"/>
      <w:szCs w:val="20"/>
    </w:rPr>
  </w:style>
  <w:style w:type="paragraph" w:customStyle="1" w:styleId="1729">
    <w:name w:val="Char2 Char Char Char111"/>
    <w:basedOn w:val="1"/>
    <w:qFormat/>
    <w:uiPriority w:val="0"/>
    <w:pPr>
      <w:adjustRightInd w:val="0"/>
    </w:pPr>
    <w:rPr>
      <w:rFonts w:ascii="Times New Roman" w:hAnsi="Times New Roman" w:eastAsia="宋体" w:cs="Times New Roman"/>
      <w:szCs w:val="20"/>
    </w:rPr>
  </w:style>
  <w:style w:type="paragraph" w:customStyle="1" w:styleId="1730">
    <w:name w:val="Char Char Char Char2"/>
    <w:basedOn w:val="1"/>
    <w:qFormat/>
    <w:uiPriority w:val="0"/>
    <w:rPr>
      <w:rFonts w:ascii="Tahoma" w:hAnsi="Tahoma" w:eastAsia="宋体" w:cs="Times New Roman"/>
      <w:sz w:val="24"/>
      <w:szCs w:val="20"/>
    </w:rPr>
  </w:style>
  <w:style w:type="paragraph" w:customStyle="1" w:styleId="1731">
    <w:name w:val="正文缩进12"/>
    <w:basedOn w:val="1"/>
    <w:qFormat/>
    <w:uiPriority w:val="0"/>
    <w:pPr>
      <w:spacing w:afterLines="50" w:line="312" w:lineRule="auto"/>
      <w:ind w:firstLine="200" w:firstLineChars="200"/>
    </w:pPr>
    <w:rPr>
      <w:rFonts w:ascii="Times New Roman" w:hAnsi="Times New Roman" w:eastAsia="宋体" w:cs="Times New Roman"/>
      <w:sz w:val="24"/>
      <w:szCs w:val="20"/>
    </w:rPr>
  </w:style>
  <w:style w:type="paragraph" w:customStyle="1" w:styleId="1732">
    <w:name w:val="标题 522"/>
    <w:basedOn w:val="1"/>
    <w:qFormat/>
    <w:uiPriority w:val="1"/>
    <w:pPr>
      <w:autoSpaceDE w:val="0"/>
      <w:autoSpaceDN w:val="0"/>
      <w:ind w:left="726" w:hanging="489"/>
      <w:jc w:val="left"/>
      <w:outlineLvl w:val="5"/>
    </w:pPr>
    <w:rPr>
      <w:rFonts w:ascii="宋体" w:hAnsi="宋体" w:eastAsia="宋体" w:cs="宋体"/>
      <w:kern w:val="0"/>
      <w:sz w:val="28"/>
      <w:szCs w:val="28"/>
      <w:lang w:eastAsia="en-US"/>
    </w:rPr>
  </w:style>
  <w:style w:type="paragraph" w:customStyle="1" w:styleId="1733">
    <w:name w:val="标题 322"/>
    <w:basedOn w:val="1"/>
    <w:qFormat/>
    <w:uiPriority w:val="1"/>
    <w:pPr>
      <w:autoSpaceDE w:val="0"/>
      <w:autoSpaceDN w:val="0"/>
      <w:ind w:left="501" w:hanging="401"/>
      <w:jc w:val="left"/>
      <w:outlineLvl w:val="3"/>
    </w:pPr>
    <w:rPr>
      <w:rFonts w:ascii="Microsoft JhengHei" w:hAnsi="Microsoft JhengHei" w:eastAsia="Microsoft JhengHei" w:cs="Microsoft JhengHei"/>
      <w:b/>
      <w:bCs/>
      <w:kern w:val="0"/>
      <w:sz w:val="32"/>
      <w:szCs w:val="32"/>
      <w:lang w:eastAsia="en-US"/>
    </w:rPr>
  </w:style>
  <w:style w:type="paragraph" w:customStyle="1" w:styleId="1734">
    <w:name w:val="Normal_35_0"/>
    <w:qFormat/>
    <w:uiPriority w:val="0"/>
    <w:pPr>
      <w:spacing w:before="120" w:after="240"/>
      <w:jc w:val="both"/>
    </w:pPr>
    <w:rPr>
      <w:rFonts w:ascii="Calibri" w:hAnsi="Calibri" w:eastAsia="宋体" w:cs="Times New Roman"/>
      <w:sz w:val="22"/>
      <w:szCs w:val="22"/>
      <w:lang w:val="en-US" w:eastAsia="en-US" w:bidi="ar-SA"/>
    </w:rPr>
  </w:style>
  <w:style w:type="character" w:customStyle="1" w:styleId="1735">
    <w:name w:val="标题 1 字符3"/>
    <w:qFormat/>
    <w:uiPriority w:val="0"/>
    <w:rPr>
      <w:rFonts w:ascii="Times New Roman" w:hAnsi="Times New Roman" w:eastAsia="宋体" w:cs="Times New Roman"/>
      <w:b/>
      <w:bCs/>
      <w:kern w:val="44"/>
      <w:sz w:val="44"/>
      <w:szCs w:val="44"/>
      <w:lang w:val="en-US" w:eastAsia="zh-CN" w:bidi="ar-SA"/>
    </w:rPr>
  </w:style>
  <w:style w:type="character" w:customStyle="1" w:styleId="1736">
    <w:name w:val="标题 2 字符3"/>
    <w:qFormat/>
    <w:uiPriority w:val="0"/>
    <w:rPr>
      <w:rFonts w:ascii="Arial" w:hAnsi="Arial" w:eastAsia="黑体" w:cs="Times New Roman"/>
      <w:b/>
      <w:bCs/>
      <w:kern w:val="2"/>
      <w:sz w:val="32"/>
      <w:szCs w:val="32"/>
      <w:lang w:val="en-US" w:eastAsia="zh-CN" w:bidi="ar-SA"/>
    </w:rPr>
  </w:style>
  <w:style w:type="character" w:customStyle="1" w:styleId="1737">
    <w:name w:val="标题 3 字符3"/>
    <w:qFormat/>
    <w:uiPriority w:val="0"/>
    <w:rPr>
      <w:rFonts w:ascii="Times New Roman" w:hAnsi="Times New Roman" w:eastAsia="宋体" w:cs="Times New Roman"/>
      <w:b/>
      <w:bCs/>
      <w:sz w:val="28"/>
      <w:szCs w:val="32"/>
      <w:lang w:val="en-US" w:eastAsia="zh-CN" w:bidi="ar-SA"/>
    </w:rPr>
  </w:style>
  <w:style w:type="paragraph" w:customStyle="1" w:styleId="1738">
    <w:name w:val="_Style 1657"/>
    <w:basedOn w:val="1"/>
    <w:next w:val="237"/>
    <w:link w:val="1739"/>
    <w:qFormat/>
    <w:uiPriority w:val="0"/>
    <w:pPr>
      <w:ind w:firstLine="420" w:firstLineChars="200"/>
    </w:pPr>
    <w:rPr>
      <w:rFonts w:ascii="Times New Roman" w:hAnsi="Times New Roman" w:eastAsia="宋体" w:cs="Times New Roman"/>
    </w:rPr>
  </w:style>
  <w:style w:type="character" w:customStyle="1" w:styleId="1739">
    <w:name w:val="正文首行缩进 2 字符1"/>
    <w:link w:val="1738"/>
    <w:qFormat/>
    <w:uiPriority w:val="0"/>
    <w:rPr>
      <w:rFonts w:ascii="Times New Roman" w:hAnsi="Times New Roman" w:eastAsia="宋体" w:cs="Times New Roman"/>
    </w:rPr>
  </w:style>
  <w:style w:type="character" w:customStyle="1" w:styleId="1740">
    <w:name w:val="文档结构图 字符3"/>
    <w:qFormat/>
    <w:uiPriority w:val="0"/>
    <w:rPr>
      <w:rFonts w:ascii="Times New Roman" w:hAnsi="Times New Roman" w:eastAsia="宋体" w:cs="Times New Roman"/>
      <w:kern w:val="2"/>
      <w:sz w:val="24"/>
      <w:lang w:val="en-US" w:eastAsia="zh-CN" w:bidi="ar-SA"/>
    </w:rPr>
  </w:style>
  <w:style w:type="character" w:customStyle="1" w:styleId="1741">
    <w:name w:val="正文文本 字符3"/>
    <w:qFormat/>
    <w:uiPriority w:val="0"/>
    <w:rPr>
      <w:rFonts w:ascii="Times New Roman" w:hAnsi="Times New Roman" w:eastAsia="宋体" w:cs="Times New Roman"/>
      <w:kern w:val="2"/>
      <w:sz w:val="24"/>
      <w:lang w:val="en-US" w:eastAsia="zh-CN" w:bidi="ar-SA"/>
    </w:rPr>
  </w:style>
  <w:style w:type="character" w:customStyle="1" w:styleId="1742">
    <w:name w:val="正文文本缩进 字符3"/>
    <w:qFormat/>
    <w:uiPriority w:val="0"/>
    <w:rPr>
      <w:rFonts w:ascii="Times New Roman" w:hAnsi="Times New Roman" w:eastAsia="宋体" w:cs="Times New Roman"/>
      <w:kern w:val="2"/>
      <w:sz w:val="21"/>
      <w:szCs w:val="24"/>
      <w:lang w:val="en-US" w:eastAsia="zh-CN" w:bidi="ar-SA"/>
    </w:rPr>
  </w:style>
  <w:style w:type="character" w:customStyle="1" w:styleId="1743">
    <w:name w:val="纯文本 字符3"/>
    <w:qFormat/>
    <w:uiPriority w:val="99"/>
    <w:rPr>
      <w:rFonts w:ascii="Courier New" w:hAnsi="Courier New" w:eastAsia="宋体" w:cs="Times New Roman"/>
      <w:kern w:val="2"/>
      <w:sz w:val="21"/>
      <w:lang w:val="en-US" w:eastAsia="zh-CN" w:bidi="ar-SA"/>
    </w:rPr>
  </w:style>
  <w:style w:type="character" w:customStyle="1" w:styleId="1744">
    <w:name w:val="批注框文本 字符3"/>
    <w:qFormat/>
    <w:uiPriority w:val="0"/>
    <w:rPr>
      <w:rFonts w:ascii="Times New Roman" w:hAnsi="Times New Roman" w:eastAsia="宋体" w:cs="Times New Roman"/>
      <w:kern w:val="2"/>
      <w:sz w:val="18"/>
      <w:szCs w:val="18"/>
      <w:lang w:val="en-US" w:eastAsia="zh-CN" w:bidi="ar-SA"/>
    </w:rPr>
  </w:style>
  <w:style w:type="character" w:customStyle="1" w:styleId="1745">
    <w:name w:val="页脚 字符3"/>
    <w:qFormat/>
    <w:uiPriority w:val="99"/>
    <w:rPr>
      <w:rFonts w:ascii="Times New Roman" w:hAnsi="Times New Roman" w:eastAsia="宋体" w:cs="Times New Roman"/>
      <w:kern w:val="2"/>
      <w:sz w:val="18"/>
      <w:szCs w:val="18"/>
      <w:lang w:val="en-US" w:eastAsia="zh-CN" w:bidi="ar-SA"/>
    </w:rPr>
  </w:style>
  <w:style w:type="character" w:customStyle="1" w:styleId="1746">
    <w:name w:val="批注主题 字符3"/>
    <w:qFormat/>
    <w:uiPriority w:val="0"/>
    <w:rPr>
      <w:rFonts w:ascii="Times New Roman" w:hAnsi="Times New Roman" w:eastAsia="宋体" w:cs="Times New Roman"/>
      <w:b/>
      <w:bCs/>
      <w:kern w:val="2"/>
      <w:sz w:val="24"/>
      <w:szCs w:val="24"/>
      <w:lang w:val="en-US" w:eastAsia="zh-CN" w:bidi="ar-SA"/>
    </w:rPr>
  </w:style>
  <w:style w:type="character" w:customStyle="1" w:styleId="1747">
    <w:name w:val="正文首行缩进 字符"/>
    <w:qFormat/>
    <w:uiPriority w:val="0"/>
    <w:rPr>
      <w:rFonts w:ascii="Times New Roman" w:hAnsi="Times New Roman" w:eastAsia="宋体" w:cs="Times New Roman"/>
      <w:kern w:val="2"/>
      <w:sz w:val="21"/>
      <w:szCs w:val="24"/>
      <w:lang w:val="en-US" w:eastAsia="zh-CN" w:bidi="ar-SA"/>
    </w:rPr>
  </w:style>
  <w:style w:type="paragraph" w:customStyle="1" w:styleId="1748">
    <w:name w:val="表文"/>
    <w:basedOn w:val="1"/>
    <w:qFormat/>
    <w:uiPriority w:val="0"/>
    <w:pPr>
      <w:spacing w:before="40" w:after="40"/>
    </w:pPr>
    <w:rPr>
      <w:rFonts w:ascii="Calibri" w:hAnsi="Calibri" w:eastAsia="宋体" w:cs="Times New Roman"/>
      <w:sz w:val="18"/>
      <w:szCs w:val="15"/>
    </w:rPr>
  </w:style>
  <w:style w:type="table" w:customStyle="1" w:styleId="1749">
    <w:name w:val="网格型浅色1"/>
    <w:basedOn w:val="67"/>
    <w:qFormat/>
    <w:uiPriority w:val="40"/>
    <w:rPr>
      <w:rFonts w:ascii="Times New Roman" w:hAnsi="Times New Roman" w:eastAsia="宋体" w:cs="Times New Roma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customStyle="1" w:styleId="1750">
    <w:name w:val="段落正文 Char"/>
    <w:link w:val="1751"/>
    <w:qFormat/>
    <w:uiPriority w:val="0"/>
    <w:rPr>
      <w:rFonts w:ascii="宋体" w:hAnsi="Cambria" w:eastAsia="等线"/>
    </w:rPr>
  </w:style>
  <w:style w:type="paragraph" w:customStyle="1" w:styleId="1751">
    <w:name w:val="段落正文"/>
    <w:basedOn w:val="1"/>
    <w:link w:val="1750"/>
    <w:qFormat/>
    <w:uiPriority w:val="0"/>
    <w:pPr>
      <w:ind w:firstLine="480" w:firstLineChars="200"/>
    </w:pPr>
    <w:rPr>
      <w:rFonts w:ascii="宋体" w:hAnsi="Cambria" w:eastAsia="等线"/>
    </w:rPr>
  </w:style>
  <w:style w:type="character" w:customStyle="1" w:styleId="1752">
    <w:name w:val="10"/>
    <w:qFormat/>
    <w:uiPriority w:val="0"/>
    <w:rPr>
      <w:rFonts w:hint="default" w:ascii="Times New Roman" w:hAnsi="Times New Roman" w:cs="Times New Roman"/>
    </w:rPr>
  </w:style>
  <w:style w:type="character" w:customStyle="1" w:styleId="1753">
    <w:name w:val="name"/>
    <w:qFormat/>
    <w:uiPriority w:val="0"/>
  </w:style>
  <w:style w:type="character" w:customStyle="1" w:styleId="1754">
    <w:name w:val="正文文本 (18)1"/>
    <w:qFormat/>
    <w:uiPriority w:val="0"/>
    <w:rPr>
      <w:rFonts w:ascii="MingLiU" w:hAnsi="MingLiU" w:eastAsia="MingLiU" w:cs="Times New Roman"/>
      <w:sz w:val="26"/>
    </w:rPr>
  </w:style>
  <w:style w:type="character" w:customStyle="1" w:styleId="1755">
    <w:name w:val="列表段落 字符1"/>
    <w:qFormat/>
    <w:uiPriority w:val="0"/>
  </w:style>
  <w:style w:type="character" w:customStyle="1" w:styleId="1756">
    <w:name w:val="3级 Char"/>
    <w:qFormat/>
    <w:uiPriority w:val="0"/>
    <w:rPr>
      <w:rFonts w:ascii="宋体" w:hAnsi="宋体" w:eastAsia="宋体" w:cs="Times New Roman"/>
      <w:color w:val="000000"/>
      <w:szCs w:val="21"/>
    </w:rPr>
  </w:style>
  <w:style w:type="character" w:customStyle="1" w:styleId="1757">
    <w:name w:val="fontbold"/>
    <w:qFormat/>
    <w:uiPriority w:val="0"/>
    <w:rPr>
      <w:rFonts w:ascii="Tahoma" w:hAnsi="Tahoma" w:eastAsia="宋体" w:cs="宋体"/>
      <w:sz w:val="24"/>
      <w:lang w:val="en-US" w:eastAsia="zh-CN" w:bidi="ar-SA"/>
    </w:rPr>
  </w:style>
  <w:style w:type="character" w:customStyle="1" w:styleId="1758">
    <w:name w:val="tpc_content1"/>
    <w:qFormat/>
    <w:uiPriority w:val="0"/>
    <w:rPr>
      <w:sz w:val="20"/>
      <w:szCs w:val="20"/>
    </w:rPr>
  </w:style>
  <w:style w:type="character" w:customStyle="1" w:styleId="1759">
    <w:name w:val="正文（首行缩进两字） Char"/>
    <w:qFormat/>
    <w:uiPriority w:val="0"/>
    <w:rPr>
      <w:rFonts w:eastAsia="宋体"/>
      <w:kern w:val="2"/>
      <w:sz w:val="21"/>
      <w:lang w:val="en-US" w:eastAsia="zh-CN" w:bidi="ar-SA"/>
    </w:rPr>
  </w:style>
  <w:style w:type="character" w:customStyle="1" w:styleId="1760">
    <w:name w:val="样式 正文首行缩进 + (符号) 宋体1 Char"/>
    <w:link w:val="1761"/>
    <w:qFormat/>
    <w:uiPriority w:val="0"/>
    <w:rPr>
      <w:sz w:val="24"/>
    </w:rPr>
  </w:style>
  <w:style w:type="paragraph" w:customStyle="1" w:styleId="1761">
    <w:name w:val="样式 正文首行缩进 + (符号) 宋体1"/>
    <w:basedOn w:val="65"/>
    <w:link w:val="1760"/>
    <w:qFormat/>
    <w:uiPriority w:val="0"/>
    <w:pPr>
      <w:widowControl/>
      <w:tabs>
        <w:tab w:val="left" w:pos="420"/>
      </w:tabs>
      <w:spacing w:line="360" w:lineRule="auto"/>
      <w:ind w:left="840" w:firstLine="200" w:firstLineChars="200"/>
      <w:jc w:val="left"/>
    </w:pPr>
    <w:rPr>
      <w:sz w:val="24"/>
      <w:szCs w:val="24"/>
    </w:rPr>
  </w:style>
  <w:style w:type="paragraph" w:customStyle="1" w:styleId="1762">
    <w:name w:val="正文文本缩进 Char Char"/>
    <w:basedOn w:val="1"/>
    <w:qFormat/>
    <w:uiPriority w:val="0"/>
    <w:pPr>
      <w:widowControl/>
      <w:spacing w:after="120"/>
      <w:ind w:left="420" w:leftChars="200"/>
      <w:jc w:val="left"/>
    </w:pPr>
    <w:rPr>
      <w:rFonts w:ascii="Calibri" w:hAnsi="Calibri" w:eastAsia="宋体" w:cs="Times New Roman"/>
      <w:kern w:val="0"/>
      <w:sz w:val="24"/>
      <w:szCs w:val="20"/>
    </w:rPr>
  </w:style>
  <w:style w:type="character" w:customStyle="1" w:styleId="1763">
    <w:name w:val="普通文字 Char4"/>
    <w:qFormat/>
    <w:uiPriority w:val="0"/>
    <w:rPr>
      <w:rFonts w:ascii="宋体" w:hAnsi="Courier New" w:eastAsia="宋体"/>
      <w:kern w:val="2"/>
      <w:sz w:val="21"/>
      <w:lang w:val="en-US" w:eastAsia="zh-CN" w:bidi="ar-SA"/>
    </w:rPr>
  </w:style>
  <w:style w:type="character" w:customStyle="1" w:styleId="1764">
    <w:name w:val="ca-8"/>
    <w:qFormat/>
    <w:uiPriority w:val="0"/>
  </w:style>
  <w:style w:type="character" w:customStyle="1" w:styleId="1765">
    <w:name w:val="op-map-singlepoint-info-right1"/>
    <w:qFormat/>
    <w:uiPriority w:val="0"/>
  </w:style>
  <w:style w:type="character" w:customStyle="1" w:styleId="1766">
    <w:name w:val="2级 Char"/>
    <w:qFormat/>
    <w:uiPriority w:val="0"/>
    <w:rPr>
      <w:rFonts w:ascii="Calibri" w:hAnsi="Calibri" w:eastAsia="宋体" w:cs="Times New Roman"/>
      <w:b/>
      <w:szCs w:val="21"/>
    </w:rPr>
  </w:style>
  <w:style w:type="character" w:customStyle="1" w:styleId="1767">
    <w:name w:val="ca-11"/>
    <w:qFormat/>
    <w:uiPriority w:val="0"/>
  </w:style>
  <w:style w:type="character" w:customStyle="1" w:styleId="1768">
    <w:name w:val="无间隔 Char1"/>
    <w:qFormat/>
    <w:uiPriority w:val="0"/>
    <w:rPr>
      <w:rFonts w:ascii="Calibri" w:hAnsi="Calibri" w:eastAsia="宋体" w:cs="Times New Roman"/>
      <w:kern w:val="0"/>
      <w:sz w:val="22"/>
      <w:lang w:eastAsia="en-US" w:bidi="en-US"/>
    </w:rPr>
  </w:style>
  <w:style w:type="character" w:customStyle="1" w:styleId="1769">
    <w:name w:val="z-窗体底端 字符"/>
    <w:link w:val="1770"/>
    <w:qFormat/>
    <w:uiPriority w:val="0"/>
    <w:rPr>
      <w:rFonts w:ascii="Arial" w:hAnsi="Arial" w:cs="Arial"/>
      <w:vanish/>
      <w:sz w:val="16"/>
      <w:szCs w:val="16"/>
    </w:rPr>
  </w:style>
  <w:style w:type="paragraph" w:customStyle="1" w:styleId="1770">
    <w:name w:val="z-窗体底端11"/>
    <w:basedOn w:val="1"/>
    <w:next w:val="1"/>
    <w:link w:val="1769"/>
    <w:unhideWhenUsed/>
    <w:qFormat/>
    <w:uiPriority w:val="0"/>
    <w:pPr>
      <w:pBdr>
        <w:top w:val="single" w:color="auto" w:sz="6" w:space="1"/>
      </w:pBdr>
      <w:jc w:val="center"/>
    </w:pPr>
    <w:rPr>
      <w:rFonts w:ascii="Arial" w:hAnsi="Arial" w:cs="Arial"/>
      <w:vanish/>
      <w:sz w:val="16"/>
      <w:szCs w:val="16"/>
    </w:rPr>
  </w:style>
  <w:style w:type="character" w:customStyle="1" w:styleId="1771">
    <w:name w:val="en1"/>
    <w:qFormat/>
    <w:uiPriority w:val="0"/>
    <w:rPr>
      <w:rFonts w:hint="default" w:ascii="Arial" w:hAnsi="Arial" w:cs="Arial"/>
      <w:sz w:val="20"/>
      <w:szCs w:val="20"/>
    </w:rPr>
  </w:style>
  <w:style w:type="character" w:customStyle="1" w:styleId="1772">
    <w:name w:val="B Char"/>
    <w:link w:val="1773"/>
    <w:qFormat/>
    <w:uiPriority w:val="0"/>
    <w:rPr>
      <w:rFonts w:ascii="E-F1" w:eastAsia="黑体"/>
      <w:szCs w:val="21"/>
    </w:rPr>
  </w:style>
  <w:style w:type="paragraph" w:customStyle="1" w:styleId="1773">
    <w:name w:val="B"/>
    <w:basedOn w:val="687"/>
    <w:link w:val="1772"/>
    <w:qFormat/>
    <w:uiPriority w:val="0"/>
    <w:pPr>
      <w:tabs>
        <w:tab w:val="center" w:pos="4706"/>
        <w:tab w:val="right" w:pos="9044"/>
      </w:tabs>
      <w:spacing w:line="312" w:lineRule="exact"/>
    </w:pPr>
    <w:rPr>
      <w:rFonts w:ascii="E-F1"/>
      <w:szCs w:val="21"/>
    </w:rPr>
  </w:style>
  <w:style w:type="character" w:customStyle="1" w:styleId="1774">
    <w:name w:val="样式 仿宋"/>
    <w:qFormat/>
    <w:uiPriority w:val="0"/>
    <w:rPr>
      <w:rFonts w:ascii="仿宋" w:hAnsi="仿宋" w:eastAsia="仿宋"/>
      <w:kern w:val="1"/>
    </w:rPr>
  </w:style>
  <w:style w:type="character" w:customStyle="1" w:styleId="1775">
    <w:name w:val="（符号）邀请函中一、"/>
    <w:qFormat/>
    <w:uiPriority w:val="0"/>
    <w:rPr>
      <w:rFonts w:ascii="黑体" w:hAnsi="黑体" w:eastAsia="黑体"/>
      <w:b/>
      <w:sz w:val="24"/>
    </w:rPr>
  </w:style>
  <w:style w:type="character" w:customStyle="1" w:styleId="1776">
    <w:name w:val="a14baihang201"/>
    <w:qFormat/>
    <w:uiPriority w:val="0"/>
    <w:rPr>
      <w:color w:val="000000"/>
      <w:sz w:val="23"/>
      <w:szCs w:val="23"/>
    </w:rPr>
  </w:style>
  <w:style w:type="character" w:customStyle="1" w:styleId="1777">
    <w:name w:val="title1"/>
    <w:qFormat/>
    <w:uiPriority w:val="0"/>
    <w:rPr>
      <w:b/>
      <w:bCs/>
      <w:color w:val="FFFFFF"/>
      <w:sz w:val="24"/>
      <w:szCs w:val="24"/>
    </w:rPr>
  </w:style>
  <w:style w:type="character" w:customStyle="1" w:styleId="1778">
    <w:name w:val="普通文字 Char3"/>
    <w:qFormat/>
    <w:uiPriority w:val="0"/>
    <w:rPr>
      <w:rFonts w:ascii="宋体" w:hAnsi="Courier New" w:eastAsia="宋体"/>
      <w:kern w:val="2"/>
      <w:sz w:val="21"/>
      <w:lang w:val="en-US" w:eastAsia="zh-CN" w:bidi="ar-SA"/>
    </w:rPr>
  </w:style>
  <w:style w:type="character" w:customStyle="1" w:styleId="1779">
    <w:name w:val="16"/>
    <w:qFormat/>
    <w:uiPriority w:val="0"/>
    <w:rPr>
      <w:rFonts w:hint="default" w:ascii="Times New Roman" w:hAnsi="Times New Roman" w:cs="Times New Roman"/>
    </w:rPr>
  </w:style>
  <w:style w:type="character" w:customStyle="1" w:styleId="1780">
    <w:name w:val="jason.dong"/>
    <w:qFormat/>
    <w:uiPriority w:val="0"/>
    <w:rPr>
      <w:rFonts w:hint="default" w:ascii="Arial" w:hAnsi="Arial" w:cs="Arial"/>
      <w:color w:val="0000FF"/>
      <w:sz w:val="20"/>
      <w:szCs w:val="20"/>
    </w:rPr>
  </w:style>
  <w:style w:type="character" w:customStyle="1" w:styleId="1781">
    <w:name w:val="Texte Helvética 9"/>
    <w:qFormat/>
    <w:uiPriority w:val="0"/>
    <w:rPr>
      <w:rFonts w:ascii="Helvetica" w:hAnsi="Helvetica" w:cs="Helvetica"/>
      <w:sz w:val="18"/>
      <w:szCs w:val="18"/>
      <w:lang w:bidi="ar-SA"/>
    </w:rPr>
  </w:style>
  <w:style w:type="character" w:customStyle="1" w:styleId="1782">
    <w:name w:val="bar_info2"/>
    <w:qFormat/>
    <w:uiPriority w:val="0"/>
  </w:style>
  <w:style w:type="character" w:customStyle="1" w:styleId="1783">
    <w:name w:val="Normal Indent Char"/>
    <w:qFormat/>
    <w:locked/>
    <w:uiPriority w:val="0"/>
    <w:rPr>
      <w:rFonts w:ascii="Times New Roman" w:hAnsi="Times New Roman" w:eastAsia="宋体"/>
      <w:sz w:val="24"/>
    </w:rPr>
  </w:style>
  <w:style w:type="character" w:customStyle="1" w:styleId="1784">
    <w:name w:val="font121"/>
    <w:qFormat/>
    <w:uiPriority w:val="0"/>
    <w:rPr>
      <w:rFonts w:hint="eastAsia" w:ascii="宋体" w:hAnsi="宋体" w:eastAsia="宋体" w:cs="宋体"/>
      <w:color w:val="000000"/>
      <w:sz w:val="36"/>
      <w:szCs w:val="36"/>
      <w:u w:val="none"/>
    </w:rPr>
  </w:style>
  <w:style w:type="character" w:customStyle="1" w:styleId="1785">
    <w:name w:val="1级 Char"/>
    <w:link w:val="1786"/>
    <w:qFormat/>
    <w:uiPriority w:val="0"/>
    <w:rPr>
      <w:rFonts w:ascii="Calibri" w:hAnsi="Calibri" w:eastAsia="等线"/>
    </w:rPr>
  </w:style>
  <w:style w:type="paragraph" w:customStyle="1" w:styleId="1786">
    <w:name w:val="1级"/>
    <w:basedOn w:val="20"/>
    <w:link w:val="1785"/>
    <w:qFormat/>
    <w:uiPriority w:val="0"/>
    <w:pPr>
      <w:tabs>
        <w:tab w:val="left" w:pos="312"/>
        <w:tab w:val="left" w:pos="720"/>
      </w:tabs>
      <w:ind w:firstLine="0"/>
      <w:outlineLvl w:val="0"/>
    </w:pPr>
    <w:rPr>
      <w:rFonts w:ascii="Calibri" w:hAnsi="Calibri" w:eastAsia="等线"/>
      <w:szCs w:val="24"/>
    </w:rPr>
  </w:style>
  <w:style w:type="character" w:customStyle="1" w:styleId="1787">
    <w:name w:val="font101"/>
    <w:qFormat/>
    <w:uiPriority w:val="0"/>
    <w:rPr>
      <w:rFonts w:hint="eastAsia" w:ascii="宋体" w:hAnsi="宋体" w:eastAsia="宋体" w:cs="宋体"/>
      <w:color w:val="000000"/>
      <w:sz w:val="22"/>
      <w:szCs w:val="22"/>
      <w:u w:val="none"/>
    </w:rPr>
  </w:style>
  <w:style w:type="paragraph" w:customStyle="1" w:styleId="1788">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789">
    <w:name w:val="样式 Arial 9 + 两端对齐 段前: 2 磅 行距: 1.5 倍行距"/>
    <w:basedOn w:val="1790"/>
    <w:qFormat/>
    <w:uiPriority w:val="0"/>
    <w:pPr>
      <w:autoSpaceDE w:val="0"/>
      <w:autoSpaceDN w:val="0"/>
      <w:spacing w:before="40" w:line="360" w:lineRule="auto"/>
      <w:ind w:left="1133" w:leftChars="1133"/>
    </w:pPr>
    <w:rPr>
      <w:rFonts w:cs="宋体"/>
      <w:szCs w:val="20"/>
    </w:rPr>
  </w:style>
  <w:style w:type="paragraph" w:customStyle="1" w:styleId="1790">
    <w:name w:val="Arial 9"/>
    <w:basedOn w:val="1"/>
    <w:qFormat/>
    <w:uiPriority w:val="0"/>
    <w:rPr>
      <w:rFonts w:ascii="Arial" w:hAnsi="Arial" w:eastAsia="宋体" w:cs="Arial"/>
      <w:sz w:val="18"/>
      <w:szCs w:val="18"/>
      <w:lang w:val="fr-FR" w:eastAsia="fr-FR"/>
    </w:rPr>
  </w:style>
  <w:style w:type="paragraph" w:customStyle="1" w:styleId="1791">
    <w:name w:val="RD Bullet1"/>
    <w:basedOn w:val="1"/>
    <w:qFormat/>
    <w:uiPriority w:val="0"/>
    <w:pPr>
      <w:widowControl/>
      <w:tabs>
        <w:tab w:val="left" w:pos="840"/>
      </w:tabs>
      <w:jc w:val="left"/>
    </w:pPr>
    <w:rPr>
      <w:rFonts w:ascii="Calibri" w:hAnsi="Calibri" w:eastAsia="宋体" w:cs="Calibri"/>
      <w:color w:val="000000"/>
      <w:kern w:val="0"/>
      <w:sz w:val="24"/>
      <w:lang w:eastAsia="en-US"/>
    </w:rPr>
  </w:style>
  <w:style w:type="paragraph" w:customStyle="1" w:styleId="1792">
    <w:name w:val="_Style 16"/>
    <w:basedOn w:val="1"/>
    <w:qFormat/>
    <w:uiPriority w:val="0"/>
    <w:pPr>
      <w:spacing w:line="360" w:lineRule="auto"/>
      <w:ind w:firstLine="200" w:firstLineChars="200"/>
    </w:pPr>
    <w:rPr>
      <w:rFonts w:ascii="宋体" w:hAnsi="宋体" w:eastAsia="宋体" w:cs="宋体"/>
      <w:sz w:val="24"/>
    </w:rPr>
  </w:style>
  <w:style w:type="paragraph" w:customStyle="1" w:styleId="1793">
    <w:name w:val="Char Char Char Char Char Char Char Char Char Char Char Char Char Char Char Char Char Char Char1"/>
    <w:basedOn w:val="1"/>
    <w:qFormat/>
    <w:uiPriority w:val="0"/>
    <w:pPr>
      <w:widowControl/>
      <w:spacing w:after="160" w:line="240" w:lineRule="exact"/>
      <w:jc w:val="left"/>
    </w:pPr>
    <w:rPr>
      <w:rFonts w:ascii="Calibri" w:hAnsi="Calibri" w:eastAsia="宋体" w:cs="Times New Roman"/>
    </w:rPr>
  </w:style>
  <w:style w:type="paragraph" w:customStyle="1" w:styleId="1794">
    <w:name w:val="正文标题"/>
    <w:basedOn w:val="1"/>
    <w:next w:val="1"/>
    <w:qFormat/>
    <w:uiPriority w:val="0"/>
    <w:pPr>
      <w:spacing w:before="160" w:after="160"/>
    </w:pPr>
    <w:rPr>
      <w:rFonts w:ascii="Arial" w:hAnsi="Arial" w:eastAsia="黑体" w:cs="Times New Roman"/>
      <w:b/>
      <w:szCs w:val="20"/>
    </w:rPr>
  </w:style>
  <w:style w:type="paragraph" w:customStyle="1" w:styleId="1795">
    <w:name w:val="_Style 65"/>
    <w:basedOn w:val="1"/>
    <w:next w:val="1"/>
    <w:qFormat/>
    <w:uiPriority w:val="0"/>
    <w:pPr>
      <w:ind w:firstLine="200" w:firstLineChars="200"/>
    </w:pPr>
    <w:rPr>
      <w:rFonts w:ascii="Calibri" w:hAnsi="Calibri" w:eastAsia="宋体" w:cs="Times New Roman"/>
      <w:sz w:val="28"/>
      <w:szCs w:val="20"/>
    </w:rPr>
  </w:style>
  <w:style w:type="paragraph" w:customStyle="1" w:styleId="1796">
    <w:name w:val="pa-8"/>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797">
    <w:name w:val="样式 A2-texte + 加粗"/>
    <w:basedOn w:val="1798"/>
    <w:qFormat/>
    <w:uiPriority w:val="0"/>
    <w:pPr>
      <w:autoSpaceDE w:val="0"/>
      <w:autoSpaceDN w:val="0"/>
    </w:pPr>
    <w:rPr>
      <w:rFonts w:ascii="黑体" w:eastAsia="黑体"/>
      <w:bCs/>
      <w:lang w:val="zh-CN" w:eastAsia="zh-CN"/>
    </w:rPr>
  </w:style>
  <w:style w:type="paragraph" w:customStyle="1" w:styleId="1798">
    <w:name w:val="A2-texte"/>
    <w:basedOn w:val="1"/>
    <w:qFormat/>
    <w:uiPriority w:val="0"/>
    <w:pPr>
      <w:spacing w:before="1" w:after="1"/>
      <w:ind w:left="1134"/>
    </w:pPr>
    <w:rPr>
      <w:rFonts w:ascii="Arial" w:hAnsi="Arial" w:eastAsia="宋体" w:cs="Arial"/>
      <w:color w:val="000000"/>
      <w:sz w:val="18"/>
      <w:szCs w:val="18"/>
      <w:lang w:val="fr-FR" w:eastAsia="fr-FR"/>
    </w:rPr>
  </w:style>
  <w:style w:type="paragraph" w:customStyle="1" w:styleId="1799">
    <w:name w:val="表格列样式"/>
    <w:basedOn w:val="1"/>
    <w:qFormat/>
    <w:uiPriority w:val="0"/>
    <w:pPr>
      <w:spacing w:line="360" w:lineRule="auto"/>
      <w:jc w:val="left"/>
    </w:pPr>
    <w:rPr>
      <w:rFonts w:ascii="宋体" w:hAnsi="宋体" w:eastAsia="宋体" w:cs="Times New Roman"/>
      <w:color w:val="000000"/>
      <w:sz w:val="24"/>
      <w:szCs w:val="21"/>
    </w:rPr>
  </w:style>
  <w:style w:type="paragraph" w:customStyle="1" w:styleId="1800">
    <w:name w:val="样式 样式 样式 标题 2 + 宋体 五号 非加粗 黑色 + 段前: 6 磅 段后: 0 磅 行距: 单倍行距 + 段前: 12..."/>
    <w:basedOn w:val="1"/>
    <w:qFormat/>
    <w:uiPriority w:val="0"/>
    <w:pPr>
      <w:keepNext/>
      <w:keepLines/>
      <w:tabs>
        <w:tab w:val="left" w:pos="312"/>
        <w:tab w:val="left" w:pos="425"/>
        <w:tab w:val="left" w:pos="1680"/>
        <w:tab w:val="left" w:pos="2100"/>
      </w:tabs>
      <w:adjustRightInd w:val="0"/>
      <w:spacing w:before="240"/>
      <w:jc w:val="left"/>
      <w:textAlignment w:val="baseline"/>
      <w:outlineLvl w:val="1"/>
    </w:pPr>
    <w:rPr>
      <w:rFonts w:ascii="宋体" w:hAnsi="宋体" w:eastAsia="宋体" w:cs="宋体"/>
      <w:color w:val="000000"/>
      <w:kern w:val="0"/>
      <w:szCs w:val="20"/>
    </w:rPr>
  </w:style>
  <w:style w:type="paragraph" w:customStyle="1" w:styleId="1801">
    <w:name w:val="List Paragraph2"/>
    <w:basedOn w:val="1"/>
    <w:qFormat/>
    <w:uiPriority w:val="0"/>
    <w:pPr>
      <w:widowControl/>
      <w:ind w:firstLine="420" w:firstLineChars="200"/>
      <w:jc w:val="left"/>
    </w:pPr>
    <w:rPr>
      <w:rFonts w:ascii="Calibri" w:hAnsi="Calibri" w:eastAsia="宋体" w:cs="Times New Roman"/>
      <w:kern w:val="0"/>
      <w:sz w:val="20"/>
      <w:szCs w:val="20"/>
    </w:rPr>
  </w:style>
  <w:style w:type="paragraph" w:customStyle="1" w:styleId="1802">
    <w:name w:val="style9"/>
    <w:basedOn w:val="1"/>
    <w:qFormat/>
    <w:uiPriority w:val="0"/>
    <w:pPr>
      <w:widowControl/>
      <w:spacing w:before="100" w:beforeAutospacing="1" w:after="100" w:afterAutospacing="1"/>
      <w:jc w:val="left"/>
    </w:pPr>
    <w:rPr>
      <w:rFonts w:ascii="宋体" w:hAnsi="Calibri" w:eastAsia="宋体" w:cs="Times New Roman"/>
      <w:color w:val="666666"/>
      <w:kern w:val="0"/>
      <w:sz w:val="24"/>
    </w:rPr>
  </w:style>
  <w:style w:type="paragraph" w:customStyle="1" w:styleId="1803">
    <w:name w:val="样式 A2-texte + 左侧:  4 厘米 段前: 0 磅 段后: 0 磅 行距: 1.5 倍行距"/>
    <w:basedOn w:val="1798"/>
    <w:qFormat/>
    <w:uiPriority w:val="0"/>
    <w:pPr>
      <w:autoSpaceDE w:val="0"/>
      <w:autoSpaceDN w:val="0"/>
      <w:spacing w:before="0" w:after="0" w:line="360" w:lineRule="auto"/>
      <w:ind w:left="2268"/>
    </w:pPr>
    <w:rPr>
      <w:rFonts w:cs="宋体"/>
      <w:szCs w:val="20"/>
    </w:rPr>
  </w:style>
  <w:style w:type="paragraph" w:customStyle="1" w:styleId="1804">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1805">
    <w:name w:val="页脚1"/>
    <w:basedOn w:val="1"/>
    <w:next w:val="43"/>
    <w:qFormat/>
    <w:uiPriority w:val="99"/>
    <w:pPr>
      <w:tabs>
        <w:tab w:val="center" w:pos="4153"/>
        <w:tab w:val="right" w:pos="8306"/>
      </w:tabs>
      <w:snapToGrid w:val="0"/>
      <w:jc w:val="left"/>
    </w:pPr>
    <w:rPr>
      <w:rFonts w:ascii="Calibri" w:hAnsi="Calibri" w:eastAsia="宋体" w:cs="Times New Roman"/>
      <w:sz w:val="18"/>
      <w:szCs w:val="18"/>
    </w:rPr>
  </w:style>
  <w:style w:type="paragraph" w:customStyle="1" w:styleId="1806">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1807">
    <w:name w:val="Arial corps 9"/>
    <w:basedOn w:val="1804"/>
    <w:qFormat/>
    <w:uiPriority w:val="0"/>
    <w:pPr>
      <w:widowControl w:val="0"/>
      <w:ind w:left="0" w:right="0" w:firstLine="0"/>
    </w:pPr>
    <w:rPr>
      <w:rFonts w:ascii="Arial" w:hAnsi="Arial" w:cs="Arial"/>
    </w:rPr>
  </w:style>
  <w:style w:type="paragraph" w:customStyle="1" w:styleId="1808">
    <w:name w:val="ZGY电动机表格2中"/>
    <w:qFormat/>
    <w:uiPriority w:val="0"/>
    <w:pPr>
      <w:keepNext/>
      <w:widowControl w:val="0"/>
      <w:spacing w:line="300" w:lineRule="auto"/>
      <w:ind w:left="85" w:right="85"/>
      <w:jc w:val="center"/>
    </w:pPr>
    <w:rPr>
      <w:rFonts w:ascii="宋体" w:hAnsi="宋体" w:eastAsia="宋体" w:cs="Courier New"/>
      <w:kern w:val="2"/>
      <w:sz w:val="21"/>
      <w:szCs w:val="21"/>
      <w:lang w:val="en-US" w:eastAsia="zh-CN" w:bidi="ar-SA"/>
    </w:rPr>
  </w:style>
  <w:style w:type="paragraph" w:customStyle="1" w:styleId="1809">
    <w:name w:val="Arial 9 texte"/>
    <w:basedOn w:val="1"/>
    <w:qFormat/>
    <w:uiPriority w:val="0"/>
    <w:rPr>
      <w:rFonts w:ascii="Arial" w:hAnsi="Arial" w:eastAsia="宋体" w:cs="Arial"/>
      <w:sz w:val="18"/>
      <w:szCs w:val="18"/>
      <w:lang w:val="fr-FR" w:eastAsia="fr-FR"/>
    </w:rPr>
  </w:style>
  <w:style w:type="paragraph" w:customStyle="1" w:styleId="1810">
    <w:name w:val="(1)"/>
    <w:basedOn w:val="1"/>
    <w:qFormat/>
    <w:uiPriority w:val="0"/>
    <w:pPr>
      <w:adjustRightInd w:val="0"/>
      <w:spacing w:line="400" w:lineRule="exact"/>
      <w:textAlignment w:val="baseline"/>
    </w:pPr>
    <w:rPr>
      <w:rFonts w:ascii="楷体_GB2312" w:hAnsi="Arial" w:eastAsia="楷体_GB2312" w:cs="Times New Roman"/>
      <w:kern w:val="44"/>
      <w:sz w:val="24"/>
    </w:rPr>
  </w:style>
  <w:style w:type="paragraph" w:customStyle="1" w:styleId="1811">
    <w:name w:val="Char Char Char Char Char Char Char"/>
    <w:basedOn w:val="1"/>
    <w:qFormat/>
    <w:uiPriority w:val="0"/>
    <w:rPr>
      <w:rFonts w:ascii="Calibri" w:hAnsi="Calibri" w:eastAsia="宋体" w:cs="Times New Roman"/>
    </w:rPr>
  </w:style>
  <w:style w:type="paragraph" w:customStyle="1" w:styleId="1812">
    <w:name w:val="3级"/>
    <w:basedOn w:val="20"/>
    <w:qFormat/>
    <w:uiPriority w:val="0"/>
    <w:pPr>
      <w:tabs>
        <w:tab w:val="left" w:pos="720"/>
      </w:tabs>
      <w:ind w:left="720" w:hanging="720"/>
      <w:outlineLvl w:val="2"/>
    </w:pPr>
    <w:rPr>
      <w:rFonts w:ascii="宋体" w:hAnsi="宋体" w:eastAsia="等线" w:cs="Times New Roman"/>
      <w:color w:val="000000"/>
      <w:kern w:val="0"/>
      <w:sz w:val="20"/>
      <w:szCs w:val="20"/>
    </w:rPr>
  </w:style>
  <w:style w:type="paragraph" w:customStyle="1" w:styleId="1813">
    <w:name w:val="style10"/>
    <w:basedOn w:val="1"/>
    <w:qFormat/>
    <w:uiPriority w:val="0"/>
    <w:pPr>
      <w:widowControl/>
      <w:spacing w:before="100" w:beforeAutospacing="1" w:after="100" w:afterAutospacing="1"/>
      <w:jc w:val="left"/>
    </w:pPr>
    <w:rPr>
      <w:rFonts w:ascii="宋体" w:hAnsi="Calibri" w:eastAsia="宋体" w:cs="Times New Roman"/>
      <w:b/>
      <w:bCs/>
      <w:color w:val="339966"/>
      <w:kern w:val="0"/>
      <w:sz w:val="24"/>
    </w:rPr>
  </w:style>
  <w:style w:type="paragraph" w:customStyle="1" w:styleId="1814">
    <w:name w:val="_Style 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815">
    <w:name w:val="Heading Left"/>
    <w:basedOn w:val="1"/>
    <w:qFormat/>
    <w:uiPriority w:val="0"/>
    <w:pPr>
      <w:widowControl/>
      <w:tabs>
        <w:tab w:val="center" w:pos="4820"/>
        <w:tab w:val="right" w:pos="9639"/>
      </w:tabs>
      <w:spacing w:before="120" w:after="120"/>
      <w:jc w:val="left"/>
    </w:pPr>
    <w:rPr>
      <w:rFonts w:ascii="Arial" w:hAnsi="Arial" w:eastAsia="宋体" w:cs="Times New Roman"/>
      <w:b/>
      <w:caps/>
      <w:kern w:val="0"/>
      <w:sz w:val="24"/>
      <w:szCs w:val="20"/>
      <w:lang w:val="en-GB" w:eastAsia="en-US"/>
    </w:rPr>
  </w:style>
  <w:style w:type="paragraph" w:customStyle="1" w:styleId="1816">
    <w:name w:val="midtext"/>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817">
    <w:name w:val="本文正文"/>
    <w:basedOn w:val="1"/>
    <w:qFormat/>
    <w:uiPriority w:val="0"/>
    <w:pPr>
      <w:spacing w:line="360" w:lineRule="auto"/>
      <w:ind w:firstLine="480" w:firstLineChars="200"/>
    </w:pPr>
    <w:rPr>
      <w:rFonts w:ascii="宋体" w:hAnsi="Calibri" w:eastAsia="宋体" w:cs="Times New Roman"/>
      <w:bCs/>
      <w:sz w:val="24"/>
    </w:rPr>
  </w:style>
  <w:style w:type="paragraph" w:customStyle="1" w:styleId="1818">
    <w:name w:val="表 靠左"/>
    <w:basedOn w:val="1"/>
    <w:qFormat/>
    <w:uiPriority w:val="0"/>
    <w:pPr>
      <w:jc w:val="left"/>
    </w:pPr>
    <w:rPr>
      <w:rFonts w:ascii="宋体" w:hAnsi="宋体" w:eastAsia="宋体" w:cs="Times New Roman"/>
    </w:rPr>
  </w:style>
  <w:style w:type="paragraph" w:customStyle="1" w:styleId="1819">
    <w:name w:val="ZJ Paragraph"/>
    <w:basedOn w:val="1"/>
    <w:qFormat/>
    <w:uiPriority w:val="0"/>
    <w:pPr>
      <w:spacing w:before="120" w:after="120"/>
      <w:ind w:firstLine="420"/>
    </w:pPr>
    <w:rPr>
      <w:rFonts w:ascii="华文仿宋" w:hAnsi="华文仿宋" w:eastAsia="华文仿宋" w:cs="Times New Roman"/>
      <w:sz w:val="28"/>
    </w:rPr>
  </w:style>
  <w:style w:type="paragraph" w:customStyle="1" w:styleId="1820">
    <w:name w:val="列项——（一级）"/>
    <w:qFormat/>
    <w:uiPriority w:val="0"/>
    <w:pPr>
      <w:widowControl w:val="0"/>
      <w:tabs>
        <w:tab w:val="left" w:pos="854"/>
      </w:tabs>
      <w:ind w:left="200" w:leftChars="200" w:hanging="200" w:hangingChars="200"/>
      <w:jc w:val="both"/>
    </w:pPr>
    <w:rPr>
      <w:rFonts w:ascii="宋体" w:hAnsi="Calibri" w:eastAsia="宋体" w:cs="Times New Roman"/>
      <w:sz w:val="21"/>
      <w:lang w:val="en-US" w:eastAsia="zh-CN" w:bidi="ar-SA"/>
    </w:rPr>
  </w:style>
  <w:style w:type="paragraph" w:customStyle="1" w:styleId="1821">
    <w:name w:val="正文首行缩进两字符"/>
    <w:basedOn w:val="1"/>
    <w:qFormat/>
    <w:uiPriority w:val="0"/>
    <w:pPr>
      <w:spacing w:line="360" w:lineRule="auto"/>
      <w:ind w:firstLine="200" w:firstLineChars="200"/>
    </w:pPr>
    <w:rPr>
      <w:rFonts w:ascii="Calibri" w:hAnsi="Calibri" w:eastAsia="宋体" w:cs="Times New Roman"/>
    </w:rPr>
  </w:style>
  <w:style w:type="paragraph" w:customStyle="1" w:styleId="1822">
    <w:name w:val="_Style 14"/>
    <w:basedOn w:val="1"/>
    <w:next w:val="36"/>
    <w:qFormat/>
    <w:uiPriority w:val="0"/>
    <w:rPr>
      <w:rFonts w:ascii="宋体" w:hAnsi="Courier New" w:eastAsia="宋体" w:cs="Times New Roman"/>
      <w:szCs w:val="20"/>
    </w:rPr>
  </w:style>
  <w:style w:type="paragraph" w:customStyle="1" w:styleId="1823">
    <w:name w:val="Title1"/>
    <w:basedOn w:val="1"/>
    <w:qFormat/>
    <w:uiPriority w:val="0"/>
    <w:pPr>
      <w:adjustRightInd w:val="0"/>
      <w:spacing w:beforeLines="50" w:afterLines="50" w:line="500" w:lineRule="atLeast"/>
      <w:jc w:val="left"/>
      <w:textAlignment w:val="baseline"/>
    </w:pPr>
    <w:rPr>
      <w:rFonts w:ascii="宋体" w:hAnsi="宋体" w:eastAsia="宋体" w:cs="Arial"/>
      <w:bCs/>
      <w:color w:val="000000"/>
      <w:kern w:val="0"/>
      <w:sz w:val="24"/>
      <w:szCs w:val="20"/>
    </w:rPr>
  </w:style>
  <w:style w:type="paragraph" w:customStyle="1" w:styleId="1824">
    <w:name w:val="UP正文"/>
    <w:basedOn w:val="1"/>
    <w:qFormat/>
    <w:uiPriority w:val="0"/>
    <w:pPr>
      <w:spacing w:line="360" w:lineRule="auto"/>
      <w:ind w:left="200" w:leftChars="200" w:firstLine="200" w:firstLineChars="200"/>
    </w:pPr>
    <w:rPr>
      <w:rFonts w:ascii="Tahoma" w:hAnsi="Tahoma" w:eastAsia="宋体" w:cs="宋体"/>
      <w:szCs w:val="20"/>
    </w:rPr>
  </w:style>
  <w:style w:type="paragraph" w:customStyle="1" w:styleId="1825">
    <w:name w:val="样式 宋体 小四 黑色 行距: 1.5 倍行距"/>
    <w:basedOn w:val="1"/>
    <w:qFormat/>
    <w:uiPriority w:val="0"/>
    <w:pPr>
      <w:spacing w:before="30" w:beforeLines="30" w:after="30" w:afterLines="30" w:line="360" w:lineRule="auto"/>
      <w:ind w:firstLine="200" w:firstLineChars="200"/>
    </w:pPr>
    <w:rPr>
      <w:rFonts w:ascii="宋体" w:hAnsi="宋体" w:eastAsia="宋体" w:cs="宋体"/>
      <w:color w:val="000000"/>
      <w:spacing w:val="12"/>
      <w:sz w:val="24"/>
      <w:szCs w:val="20"/>
    </w:rPr>
  </w:style>
  <w:style w:type="paragraph" w:customStyle="1" w:styleId="1826">
    <w:name w:val="正文(首行缩进)"/>
    <w:basedOn w:val="1"/>
    <w:qFormat/>
    <w:uiPriority w:val="0"/>
    <w:pPr>
      <w:ind w:firstLine="200" w:firstLineChars="200"/>
    </w:pPr>
    <w:rPr>
      <w:rFonts w:ascii="Arial Narrow" w:hAnsi="Arial Narrow" w:eastAsia="宋体" w:cs="Times New Roman"/>
      <w:szCs w:val="20"/>
    </w:rPr>
  </w:style>
  <w:style w:type="paragraph" w:customStyle="1" w:styleId="1827">
    <w:name w:val="ZGY电动机表格1左"/>
    <w:qFormat/>
    <w:uiPriority w:val="0"/>
    <w:pPr>
      <w:keepNext/>
      <w:widowControl w:val="0"/>
      <w:spacing w:line="300" w:lineRule="auto"/>
      <w:ind w:left="85" w:right="85"/>
      <w:jc w:val="both"/>
    </w:pPr>
    <w:rPr>
      <w:rFonts w:ascii="宋体" w:hAnsi="宋体" w:eastAsia="宋体" w:cs="Courier New"/>
      <w:kern w:val="2"/>
      <w:sz w:val="21"/>
      <w:szCs w:val="21"/>
      <w:lang w:val="en-US" w:eastAsia="zh-CN" w:bidi="ar-SA"/>
    </w:rPr>
  </w:style>
  <w:style w:type="paragraph" w:customStyle="1" w:styleId="1828">
    <w:name w:val="样式 正文首行缩进 + 宋体 首行缩进:  2 字符"/>
    <w:basedOn w:val="65"/>
    <w:qFormat/>
    <w:uiPriority w:val="0"/>
    <w:pPr>
      <w:widowControl/>
      <w:tabs>
        <w:tab w:val="left" w:pos="420"/>
      </w:tabs>
      <w:spacing w:line="360" w:lineRule="auto"/>
      <w:ind w:left="840" w:firstLine="200" w:firstLineChars="200"/>
      <w:jc w:val="left"/>
    </w:pPr>
    <w:rPr>
      <w:rFonts w:ascii="宋体" w:hAnsi="宋体" w:eastAsia="宋体" w:cs="宋体"/>
      <w:kern w:val="0"/>
      <w:sz w:val="24"/>
      <w:szCs w:val="20"/>
    </w:rPr>
  </w:style>
  <w:style w:type="paragraph" w:customStyle="1" w:styleId="1829">
    <w:name w:val="普通"/>
    <w:qFormat/>
    <w:uiPriority w:val="0"/>
    <w:rPr>
      <w:rFonts w:ascii="Arial" w:hAnsi="Arial" w:eastAsia="仿宋_GB2312" w:cs="Times New Roman"/>
      <w:bCs/>
      <w:kern w:val="2"/>
      <w:sz w:val="28"/>
      <w:szCs w:val="28"/>
      <w:lang w:val="en-US" w:eastAsia="zh-CN" w:bidi="ar-SA"/>
    </w:rPr>
  </w:style>
  <w:style w:type="paragraph" w:customStyle="1" w:styleId="1830">
    <w:name w:val="_Style 7"/>
    <w:basedOn w:val="1"/>
    <w:qFormat/>
    <w:uiPriority w:val="0"/>
    <w:pPr>
      <w:widowControl/>
      <w:jc w:val="left"/>
    </w:pPr>
    <w:rPr>
      <w:rFonts w:ascii="Calibri" w:hAnsi="Calibri" w:eastAsia="宋体" w:cs="Calibri"/>
      <w:kern w:val="0"/>
      <w:sz w:val="24"/>
      <w:lang w:eastAsia="en-US"/>
    </w:rPr>
  </w:style>
  <w:style w:type="paragraph" w:customStyle="1" w:styleId="1831">
    <w:name w:val="正文空两格"/>
    <w:basedOn w:val="1"/>
    <w:qFormat/>
    <w:uiPriority w:val="0"/>
    <w:pPr>
      <w:widowControl/>
      <w:spacing w:before="120" w:line="300" w:lineRule="auto"/>
      <w:ind w:left="1440" w:hanging="480"/>
    </w:pPr>
    <w:rPr>
      <w:rFonts w:ascii="宋体" w:hAnsi="Calibri" w:eastAsia="宋体" w:cs="Times New Roman"/>
      <w:sz w:val="24"/>
      <w:szCs w:val="21"/>
    </w:rPr>
  </w:style>
  <w:style w:type="paragraph" w:customStyle="1" w:styleId="1832">
    <w:name w:val="pa-11"/>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833">
    <w:name w:val="soustitre"/>
    <w:basedOn w:val="1"/>
    <w:qFormat/>
    <w:uiPriority w:val="0"/>
    <w:pPr>
      <w:widowControl/>
      <w:tabs>
        <w:tab w:val="left" w:pos="525"/>
      </w:tabs>
      <w:overflowPunct w:val="0"/>
      <w:autoSpaceDE w:val="0"/>
      <w:autoSpaceDN w:val="0"/>
      <w:adjustRightInd w:val="0"/>
      <w:spacing w:line="400" w:lineRule="exact"/>
      <w:jc w:val="center"/>
      <w:textAlignment w:val="baseline"/>
    </w:pPr>
    <w:rPr>
      <w:rFonts w:ascii="New York" w:hAnsi="New York" w:eastAsia="楷体_GB2312" w:cs="Times New Roman"/>
      <w:kern w:val="0"/>
      <w:position w:val="-6"/>
      <w:sz w:val="24"/>
      <w:szCs w:val="20"/>
      <w:lang w:val="fr-FR"/>
    </w:rPr>
  </w:style>
  <w:style w:type="paragraph" w:customStyle="1" w:styleId="1834">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eastAsia="宋体" w:cs="宋体"/>
      <w:kern w:val="0"/>
      <w:sz w:val="24"/>
      <w:szCs w:val="20"/>
    </w:rPr>
  </w:style>
  <w:style w:type="paragraph" w:customStyle="1" w:styleId="1835">
    <w:name w:val="样式 正文首行缩进 + 首行缩进:  2 字符1"/>
    <w:basedOn w:val="65"/>
    <w:qFormat/>
    <w:uiPriority w:val="0"/>
    <w:pPr>
      <w:widowControl/>
      <w:tabs>
        <w:tab w:val="left" w:pos="420"/>
      </w:tabs>
      <w:spacing w:line="360" w:lineRule="auto"/>
      <w:ind w:left="840" w:firstLine="200" w:firstLineChars="200"/>
      <w:jc w:val="left"/>
    </w:pPr>
    <w:rPr>
      <w:rFonts w:ascii="Times New Roman" w:hAnsi="Times New Roman" w:eastAsia="宋体" w:cs="宋体"/>
      <w:kern w:val="0"/>
      <w:sz w:val="24"/>
      <w:szCs w:val="20"/>
    </w:rPr>
  </w:style>
  <w:style w:type="paragraph" w:customStyle="1" w:styleId="1836">
    <w:name w:val="条2"/>
    <w:basedOn w:val="1"/>
    <w:next w:val="1"/>
    <w:qFormat/>
    <w:uiPriority w:val="0"/>
    <w:pPr>
      <w:ind w:left="1040"/>
      <w:outlineLvl w:val="1"/>
    </w:pPr>
    <w:rPr>
      <w:rFonts w:ascii="黑体" w:hAnsi="Calibri" w:eastAsia="黑体" w:cs="Times New Roman"/>
      <w:kern w:val="21"/>
      <w:szCs w:val="20"/>
    </w:rPr>
  </w:style>
  <w:style w:type="paragraph" w:customStyle="1" w:styleId="1837">
    <w:name w:val="09正文_wh"/>
    <w:qFormat/>
    <w:uiPriority w:val="0"/>
    <w:pPr>
      <w:spacing w:line="300" w:lineRule="auto"/>
      <w:ind w:firstLine="200" w:firstLineChars="200"/>
      <w:jc w:val="both"/>
    </w:pPr>
    <w:rPr>
      <w:rFonts w:ascii="Calibri" w:hAnsi="Calibri" w:eastAsia="宋体" w:cs="Times New Roman"/>
      <w:kern w:val="2"/>
      <w:sz w:val="28"/>
      <w:szCs w:val="24"/>
      <w:lang w:val="en-US" w:eastAsia="zh-CN" w:bidi="ar-SA"/>
    </w:rPr>
  </w:style>
  <w:style w:type="paragraph" w:customStyle="1" w:styleId="1838">
    <w:name w:val="方案文档"/>
    <w:basedOn w:val="1"/>
    <w:qFormat/>
    <w:uiPriority w:val="0"/>
    <w:pPr>
      <w:spacing w:before="120" w:after="120" w:line="360" w:lineRule="auto"/>
      <w:ind w:firstLine="567"/>
    </w:pPr>
    <w:rPr>
      <w:rFonts w:ascii="Arial" w:hAnsi="Arial" w:eastAsia="宋体" w:cs="Times New Roman"/>
      <w:sz w:val="24"/>
      <w:szCs w:val="20"/>
    </w:rPr>
  </w:style>
  <w:style w:type="paragraph" w:customStyle="1" w:styleId="1839">
    <w:name w:val="pa-6"/>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840">
    <w:name w:val="Plain Text1"/>
    <w:basedOn w:val="1"/>
    <w:qFormat/>
    <w:uiPriority w:val="0"/>
    <w:pPr>
      <w:overflowPunct w:val="0"/>
      <w:autoSpaceDE w:val="0"/>
      <w:autoSpaceDN w:val="0"/>
      <w:adjustRightInd w:val="0"/>
      <w:textAlignment w:val="baseline"/>
    </w:pPr>
    <w:rPr>
      <w:rFonts w:ascii="宋体" w:hAnsi="Calibri" w:eastAsia="宋体" w:cs="Arial"/>
      <w:kern w:val="0"/>
      <w:sz w:val="28"/>
      <w:szCs w:val="20"/>
    </w:rPr>
  </w:style>
  <w:style w:type="paragraph" w:customStyle="1" w:styleId="1841">
    <w:name w:val="QB正文"/>
    <w:basedOn w:val="1"/>
    <w:qFormat/>
    <w:uiPriority w:val="0"/>
    <w:pPr>
      <w:widowControl/>
      <w:autoSpaceDE w:val="0"/>
      <w:autoSpaceDN w:val="0"/>
      <w:ind w:firstLine="200" w:firstLineChars="200"/>
    </w:pPr>
    <w:rPr>
      <w:rFonts w:ascii="宋体" w:hAnsi="Calibri" w:eastAsia="宋体" w:cs="Times New Roman"/>
      <w:kern w:val="0"/>
      <w:szCs w:val="20"/>
    </w:rPr>
  </w:style>
  <w:style w:type="paragraph" w:customStyle="1" w:styleId="1842">
    <w:name w:val="4端"/>
    <w:basedOn w:val="7"/>
    <w:qFormat/>
    <w:uiPriority w:val="0"/>
    <w:pPr>
      <w:keepLines/>
      <w:tabs>
        <w:tab w:val="left" w:pos="360"/>
      </w:tabs>
      <w:spacing w:before="60" w:after="60" w:line="360" w:lineRule="auto"/>
      <w:ind w:left="630" w:leftChars="300" w:hanging="113"/>
      <w:jc w:val="left"/>
    </w:pPr>
    <w:rPr>
      <w:rFonts w:ascii="宋体" w:hAnsi="宋体" w:cs="宋体"/>
      <w:b/>
      <w:bCs/>
      <w:kern w:val="0"/>
    </w:rPr>
  </w:style>
  <w:style w:type="paragraph" w:customStyle="1" w:styleId="1843">
    <w:name w:val="pa-13"/>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844">
    <w:name w:val="UserStyle_1"/>
    <w:basedOn w:val="1"/>
    <w:qFormat/>
    <w:uiPriority w:val="0"/>
    <w:pPr>
      <w:widowControl/>
      <w:ind w:firstLine="420" w:firstLineChars="200"/>
    </w:pPr>
    <w:rPr>
      <w:rFonts w:ascii="Verdana" w:hAnsi="Verdana" w:eastAsia="宋体" w:cs="Times New Roman"/>
      <w:kern w:val="0"/>
      <w:sz w:val="18"/>
      <w:szCs w:val="20"/>
      <w:lang w:eastAsia="en-US"/>
    </w:rPr>
  </w:style>
  <w:style w:type="paragraph" w:customStyle="1" w:styleId="1845">
    <w:name w:val="默认段落字体 Para Char Char Char Char Char Char Char"/>
    <w:basedOn w:val="1"/>
    <w:next w:val="1"/>
    <w:qFormat/>
    <w:uiPriority w:val="0"/>
    <w:rPr>
      <w:rFonts w:ascii="Tahoma" w:hAnsi="Tahoma" w:eastAsia="宋体" w:cs="Times New Roman"/>
      <w:sz w:val="24"/>
      <w:szCs w:val="20"/>
    </w:rPr>
  </w:style>
  <w:style w:type="paragraph" w:customStyle="1" w:styleId="1846">
    <w:name w:val="2级"/>
    <w:basedOn w:val="20"/>
    <w:qFormat/>
    <w:uiPriority w:val="0"/>
    <w:pPr>
      <w:tabs>
        <w:tab w:val="left" w:pos="720"/>
      </w:tabs>
      <w:ind w:left="422" w:hanging="422" w:hangingChars="200"/>
      <w:outlineLvl w:val="1"/>
    </w:pPr>
    <w:rPr>
      <w:rFonts w:ascii="Calibri" w:hAnsi="Calibri" w:eastAsia="等线" w:cs="Times New Roman"/>
      <w:b/>
      <w:kern w:val="0"/>
      <w:sz w:val="20"/>
      <w:szCs w:val="20"/>
    </w:rPr>
  </w:style>
  <w:style w:type="paragraph" w:customStyle="1" w:styleId="1847">
    <w:name w:val="论文正文"/>
    <w:basedOn w:val="1"/>
    <w:qFormat/>
    <w:uiPriority w:val="0"/>
    <w:pPr>
      <w:spacing w:line="360" w:lineRule="auto"/>
      <w:ind w:firstLine="540" w:firstLineChars="192"/>
    </w:pPr>
    <w:rPr>
      <w:rFonts w:ascii="宋体" w:hAnsi="宋体" w:eastAsia="宋体" w:cs="Times New Roman"/>
      <w:b/>
      <w:bCs/>
      <w:color w:val="000000"/>
      <w:sz w:val="28"/>
      <w:szCs w:val="28"/>
    </w:rPr>
  </w:style>
  <w:style w:type="paragraph" w:customStyle="1" w:styleId="1848">
    <w:name w:val="ZB8"/>
    <w:next w:val="26"/>
    <w:qFormat/>
    <w:uiPriority w:val="0"/>
    <w:pPr>
      <w:widowControl w:val="0"/>
      <w:spacing w:line="340" w:lineRule="atLeast"/>
      <w:jc w:val="both"/>
    </w:pPr>
    <w:rPr>
      <w:rFonts w:ascii="Consolas" w:hAnsi="Consolas" w:eastAsia="方正中等线简体" w:cs="Times New Roman"/>
      <w:sz w:val="21"/>
      <w:lang w:val="en-US" w:eastAsia="zh-CN" w:bidi="ar-SA"/>
    </w:rPr>
  </w:style>
  <w:style w:type="paragraph" w:customStyle="1" w:styleId="1849">
    <w:name w:val="Char Char Char Char Char Char Char Char Char Char Char Char Char Char Char Char Char Char Char"/>
    <w:basedOn w:val="1"/>
    <w:qFormat/>
    <w:uiPriority w:val="0"/>
    <w:pPr>
      <w:widowControl/>
      <w:spacing w:after="160" w:line="240" w:lineRule="exact"/>
      <w:jc w:val="left"/>
    </w:pPr>
    <w:rPr>
      <w:rFonts w:ascii="Calibri" w:hAnsi="Calibri" w:eastAsia="宋体" w:cs="Times New Roman"/>
    </w:rPr>
  </w:style>
  <w:style w:type="paragraph" w:customStyle="1" w:styleId="1850">
    <w:name w:val="10-sinobest-标注（3）"/>
    <w:basedOn w:val="1"/>
    <w:qFormat/>
    <w:uiPriority w:val="0"/>
    <w:pPr>
      <w:tabs>
        <w:tab w:val="left" w:pos="840"/>
      </w:tabs>
      <w:spacing w:line="360" w:lineRule="auto"/>
      <w:ind w:left="501" w:hanging="360"/>
    </w:pPr>
    <w:rPr>
      <w:rFonts w:ascii="Calibri" w:hAnsi="Calibri" w:eastAsia="宋体" w:cs="Times New Roman"/>
      <w:sz w:val="24"/>
    </w:rPr>
  </w:style>
  <w:style w:type="paragraph" w:customStyle="1" w:styleId="1851">
    <w:name w:val="Text"/>
    <w:basedOn w:val="1"/>
    <w:qFormat/>
    <w:uiPriority w:val="0"/>
    <w:pPr>
      <w:widowControl/>
      <w:spacing w:before="120"/>
    </w:pPr>
    <w:rPr>
      <w:rFonts w:ascii="Calibri" w:hAnsi="Calibri" w:eastAsia="宋体" w:cs="Times New Roman"/>
      <w:kern w:val="0"/>
      <w:sz w:val="24"/>
      <w:szCs w:val="20"/>
      <w:lang w:eastAsia="en-US"/>
    </w:rPr>
  </w:style>
  <w:style w:type="paragraph" w:customStyle="1" w:styleId="1852">
    <w:name w:val="MM Topic 8"/>
    <w:basedOn w:val="11"/>
    <w:next w:val="595"/>
    <w:qFormat/>
    <w:uiPriority w:val="0"/>
    <w:pPr>
      <w:widowControl w:val="0"/>
      <w:tabs>
        <w:tab w:val="left" w:pos="4394"/>
        <w:tab w:val="clear" w:pos="1440"/>
      </w:tabs>
      <w:spacing w:line="320" w:lineRule="auto"/>
      <w:ind w:left="0" w:firstLine="0"/>
      <w:jc w:val="both"/>
    </w:pPr>
    <w:rPr>
      <w:rFonts w:cs="Times New Roman"/>
    </w:rPr>
  </w:style>
  <w:style w:type="paragraph" w:customStyle="1" w:styleId="1853">
    <w:name w:val="_Style 448"/>
    <w:qFormat/>
    <w:uiPriority w:val="99"/>
    <w:pPr>
      <w:widowControl w:val="0"/>
      <w:jc w:val="both"/>
    </w:pPr>
    <w:rPr>
      <w:rFonts w:ascii="Calibri" w:hAnsi="Calibri" w:eastAsia="宋体" w:cs="Times New Roman"/>
      <w:kern w:val="2"/>
      <w:sz w:val="21"/>
      <w:szCs w:val="24"/>
      <w:lang w:val="en-US" w:eastAsia="zh-CN" w:bidi="ar-SA"/>
    </w:rPr>
  </w:style>
  <w:style w:type="paragraph" w:customStyle="1" w:styleId="1854">
    <w:name w:val="_Style 1341"/>
    <w:basedOn w:val="1"/>
    <w:next w:val="237"/>
    <w:qFormat/>
    <w:uiPriority w:val="0"/>
    <w:pPr>
      <w:widowControl/>
      <w:ind w:left="720"/>
      <w:contextualSpacing/>
      <w:jc w:val="left"/>
    </w:pPr>
    <w:rPr>
      <w:rFonts w:ascii="宋体" w:hAnsi="宋体" w:eastAsia="等线" w:cs="Times New Roman"/>
      <w:sz w:val="28"/>
    </w:rPr>
  </w:style>
  <w:style w:type="character" w:customStyle="1" w:styleId="1855">
    <w:name w:val="TOC 1 字符"/>
    <w:qFormat/>
    <w:uiPriority w:val="0"/>
    <w:rPr>
      <w:rFonts w:ascii="Times New Roman" w:hAnsi="Times New Roman"/>
      <w:b/>
      <w:bCs/>
      <w:caps/>
      <w:sz w:val="28"/>
      <w:szCs w:val="28"/>
    </w:rPr>
  </w:style>
  <w:style w:type="paragraph" w:customStyle="1" w:styleId="1856">
    <w:name w:val="_Style 102"/>
    <w:qFormat/>
    <w:uiPriority w:val="99"/>
    <w:pPr>
      <w:widowControl w:val="0"/>
      <w:jc w:val="both"/>
    </w:pPr>
    <w:rPr>
      <w:rFonts w:ascii="Calibri" w:hAnsi="Calibri" w:eastAsia="宋体" w:cs="Times New Roman"/>
      <w:kern w:val="2"/>
      <w:sz w:val="21"/>
      <w:szCs w:val="22"/>
      <w:lang w:val="en-US" w:eastAsia="zh-CN" w:bidi="ar-SA"/>
    </w:rPr>
  </w:style>
  <w:style w:type="character" w:customStyle="1" w:styleId="1857">
    <w:name w:val="表格 Char"/>
    <w:qFormat/>
    <w:uiPriority w:val="0"/>
    <w:rPr>
      <w:kern w:val="2"/>
      <w:sz w:val="24"/>
      <w:szCs w:val="24"/>
    </w:rPr>
  </w:style>
  <w:style w:type="character" w:customStyle="1" w:styleId="1858">
    <w:name w:val="5正文 Char"/>
    <w:link w:val="1859"/>
    <w:qFormat/>
    <w:locked/>
    <w:uiPriority w:val="0"/>
    <w:rPr>
      <w:rFonts w:ascii="仿宋_GB2312" w:eastAsia="仿宋_GB2312"/>
      <w:sz w:val="28"/>
      <w:szCs w:val="21"/>
    </w:rPr>
  </w:style>
  <w:style w:type="paragraph" w:customStyle="1" w:styleId="1859">
    <w:name w:val="5正文"/>
    <w:link w:val="1858"/>
    <w:qFormat/>
    <w:uiPriority w:val="0"/>
    <w:pPr>
      <w:spacing w:after="200"/>
      <w:ind w:left="703" w:leftChars="250" w:right="281" w:rightChars="100" w:firstLine="560" w:firstLineChars="200"/>
    </w:pPr>
    <w:rPr>
      <w:rFonts w:ascii="仿宋_GB2312" w:eastAsia="仿宋_GB2312" w:hAnsiTheme="minorHAnsi" w:cstheme="minorBidi"/>
      <w:kern w:val="2"/>
      <w:sz w:val="28"/>
      <w:szCs w:val="21"/>
      <w:lang w:val="en-US" w:eastAsia="zh-CN" w:bidi="ar-SA"/>
    </w:rPr>
  </w:style>
  <w:style w:type="character" w:customStyle="1" w:styleId="1860">
    <w:name w:val="GB术语 Char"/>
    <w:link w:val="1861"/>
    <w:qFormat/>
    <w:uiPriority w:val="0"/>
    <w:rPr>
      <w:rFonts w:ascii="黑体" w:hAnsi="黑体" w:eastAsia="黑体" w:cs="Arial"/>
      <w:b/>
      <w:bCs/>
    </w:rPr>
  </w:style>
  <w:style w:type="paragraph" w:customStyle="1" w:styleId="1861">
    <w:name w:val="GB术语"/>
    <w:basedOn w:val="1"/>
    <w:link w:val="1860"/>
    <w:qFormat/>
    <w:uiPriority w:val="0"/>
    <w:pPr>
      <w:widowControl/>
      <w:spacing w:before="240" w:line="312" w:lineRule="auto"/>
      <w:ind w:firstLine="482" w:firstLineChars="200"/>
      <w:jc w:val="left"/>
      <w:outlineLvl w:val="2"/>
    </w:pPr>
    <w:rPr>
      <w:rFonts w:ascii="黑体" w:hAnsi="黑体" w:eastAsia="黑体" w:cs="Arial"/>
      <w:b/>
      <w:bCs/>
    </w:rPr>
  </w:style>
  <w:style w:type="character" w:customStyle="1" w:styleId="1862">
    <w:name w:val="样式2aaaa Char"/>
    <w:link w:val="1863"/>
    <w:qFormat/>
    <w:uiPriority w:val="0"/>
    <w:rPr>
      <w:rFonts w:ascii="微软雅黑" w:hAnsi="微软雅黑" w:eastAsia="仿宋"/>
      <w:b/>
      <w:kern w:val="44"/>
      <w:sz w:val="30"/>
      <w:szCs w:val="32"/>
    </w:rPr>
  </w:style>
  <w:style w:type="paragraph" w:customStyle="1" w:styleId="1863">
    <w:name w:val="样式2aaaa"/>
    <w:basedOn w:val="5"/>
    <w:link w:val="1862"/>
    <w:qFormat/>
    <w:uiPriority w:val="0"/>
    <w:pPr>
      <w:widowControl/>
      <w:spacing w:before="0" w:beforeLines="100" w:after="0" w:afterLines="100" w:line="360" w:lineRule="auto"/>
      <w:ind w:left="846" w:hanging="420"/>
      <w:jc w:val="left"/>
    </w:pPr>
    <w:rPr>
      <w:rFonts w:ascii="微软雅黑" w:hAnsi="微软雅黑" w:cstheme="minorBidi"/>
      <w:bCs w:val="0"/>
      <w:kern w:val="44"/>
      <w:sz w:val="30"/>
    </w:rPr>
  </w:style>
  <w:style w:type="character" w:customStyle="1" w:styleId="1864">
    <w:name w:val="GB图名 Char"/>
    <w:link w:val="1865"/>
    <w:qFormat/>
    <w:uiPriority w:val="0"/>
    <w:rPr>
      <w:rFonts w:ascii="黑体" w:hAnsi="黑体" w:eastAsia="黑体"/>
      <w:b/>
    </w:rPr>
  </w:style>
  <w:style w:type="paragraph" w:customStyle="1" w:styleId="1865">
    <w:name w:val="GB图名"/>
    <w:link w:val="1864"/>
    <w:qFormat/>
    <w:uiPriority w:val="0"/>
    <w:pPr>
      <w:spacing w:beforeLines="50" w:afterLines="50"/>
      <w:ind w:left="420" w:hanging="420"/>
      <w:jc w:val="center"/>
    </w:pPr>
    <w:rPr>
      <w:rFonts w:ascii="黑体" w:hAnsi="黑体" w:eastAsia="黑体" w:cstheme="minorBidi"/>
      <w:b/>
      <w:kern w:val="2"/>
      <w:sz w:val="21"/>
      <w:szCs w:val="24"/>
      <w:lang w:val="en-US" w:eastAsia="zh-CN" w:bidi="ar-SA"/>
    </w:rPr>
  </w:style>
  <w:style w:type="character" w:customStyle="1" w:styleId="1866">
    <w:name w:val="number"/>
    <w:qFormat/>
    <w:uiPriority w:val="0"/>
    <w:rPr>
      <w:rFonts w:ascii="Tahoma" w:hAnsi="Tahoma"/>
      <w:b/>
      <w:color w:val="555555"/>
      <w:sz w:val="14"/>
      <w:szCs w:val="14"/>
    </w:rPr>
  </w:style>
  <w:style w:type="character" w:customStyle="1" w:styleId="1867">
    <w:name w:val="GB附录A.1 Char"/>
    <w:link w:val="1868"/>
    <w:qFormat/>
    <w:uiPriority w:val="0"/>
    <w:rPr>
      <w:rFonts w:ascii="黑体" w:hAnsi="黑体" w:eastAsia="黑体"/>
      <w:b/>
      <w:kern w:val="44"/>
    </w:rPr>
  </w:style>
  <w:style w:type="paragraph" w:customStyle="1" w:styleId="1868">
    <w:name w:val="GB附录A.1"/>
    <w:link w:val="1867"/>
    <w:qFormat/>
    <w:uiPriority w:val="0"/>
    <w:pPr>
      <w:spacing w:beforeLines="50" w:afterLines="50"/>
      <w:ind w:left="426" w:hanging="420"/>
      <w:outlineLvl w:val="1"/>
    </w:pPr>
    <w:rPr>
      <w:rFonts w:ascii="黑体" w:hAnsi="黑体" w:eastAsia="黑体" w:cstheme="minorBidi"/>
      <w:b/>
      <w:kern w:val="44"/>
      <w:sz w:val="21"/>
      <w:szCs w:val="24"/>
      <w:lang w:val="en-US" w:eastAsia="zh-CN" w:bidi="ar-SA"/>
    </w:rPr>
  </w:style>
  <w:style w:type="character" w:customStyle="1" w:styleId="1869">
    <w:name w:val="GB黑体居中 Char"/>
    <w:link w:val="1870"/>
    <w:qFormat/>
    <w:uiPriority w:val="0"/>
    <w:rPr>
      <w:rFonts w:ascii="黑体" w:hAnsi="黑体" w:eastAsia="黑体"/>
      <w:b/>
      <w:szCs w:val="21"/>
    </w:rPr>
  </w:style>
  <w:style w:type="paragraph" w:customStyle="1" w:styleId="1870">
    <w:name w:val="GB黑体居中"/>
    <w:link w:val="1869"/>
    <w:qFormat/>
    <w:uiPriority w:val="0"/>
    <w:pPr>
      <w:spacing w:beforeLines="50" w:afterLines="50"/>
      <w:jc w:val="center"/>
    </w:pPr>
    <w:rPr>
      <w:rFonts w:ascii="黑体" w:hAnsi="黑体" w:eastAsia="黑体" w:cstheme="minorBidi"/>
      <w:b/>
      <w:kern w:val="2"/>
      <w:sz w:val="21"/>
      <w:szCs w:val="21"/>
      <w:lang w:val="en-US" w:eastAsia="zh-CN" w:bidi="ar-SA"/>
    </w:rPr>
  </w:style>
  <w:style w:type="character" w:customStyle="1" w:styleId="1871">
    <w:name w:val="GB表格内容 Char"/>
    <w:link w:val="1872"/>
    <w:qFormat/>
    <w:uiPriority w:val="0"/>
    <w:rPr>
      <w:sz w:val="18"/>
      <w:szCs w:val="21"/>
    </w:rPr>
  </w:style>
  <w:style w:type="paragraph" w:customStyle="1" w:styleId="1872">
    <w:name w:val="GB表格内容"/>
    <w:basedOn w:val="1"/>
    <w:link w:val="1871"/>
    <w:qFormat/>
    <w:uiPriority w:val="0"/>
    <w:pPr>
      <w:widowControl/>
      <w:jc w:val="left"/>
    </w:pPr>
    <w:rPr>
      <w:sz w:val="18"/>
      <w:szCs w:val="21"/>
    </w:rPr>
  </w:style>
  <w:style w:type="character" w:customStyle="1" w:styleId="1873">
    <w:name w:val="GB表格标题 Char"/>
    <w:link w:val="1874"/>
    <w:qFormat/>
    <w:uiPriority w:val="0"/>
    <w:rPr>
      <w:sz w:val="18"/>
      <w:szCs w:val="21"/>
    </w:rPr>
  </w:style>
  <w:style w:type="paragraph" w:customStyle="1" w:styleId="1874">
    <w:name w:val="GB表格标题"/>
    <w:basedOn w:val="1"/>
    <w:link w:val="1873"/>
    <w:qFormat/>
    <w:uiPriority w:val="0"/>
    <w:pPr>
      <w:widowControl/>
      <w:jc w:val="center"/>
    </w:pPr>
    <w:rPr>
      <w:sz w:val="18"/>
      <w:szCs w:val="21"/>
    </w:rPr>
  </w:style>
  <w:style w:type="character" w:customStyle="1" w:styleId="1875">
    <w:name w:val="GB附表A Char"/>
    <w:link w:val="1876"/>
    <w:qFormat/>
    <w:uiPriority w:val="0"/>
    <w:rPr>
      <w:rFonts w:ascii="黑体" w:hAnsi="黑体" w:eastAsia="黑体"/>
      <w:b/>
    </w:rPr>
  </w:style>
  <w:style w:type="paragraph" w:customStyle="1" w:styleId="1876">
    <w:name w:val="GB附表A"/>
    <w:link w:val="1875"/>
    <w:qFormat/>
    <w:uiPriority w:val="0"/>
    <w:pPr>
      <w:spacing w:beforeLines="50" w:afterLines="50"/>
      <w:ind w:left="420" w:hanging="420"/>
      <w:jc w:val="center"/>
    </w:pPr>
    <w:rPr>
      <w:rFonts w:ascii="黑体" w:hAnsi="黑体" w:eastAsia="黑体" w:cstheme="minorBidi"/>
      <w:b/>
      <w:kern w:val="2"/>
      <w:sz w:val="21"/>
      <w:szCs w:val="24"/>
      <w:lang w:val="en-US" w:eastAsia="zh-CN" w:bidi="ar-SA"/>
    </w:rPr>
  </w:style>
  <w:style w:type="character" w:customStyle="1" w:styleId="1877">
    <w:name w:val="表格new Char"/>
    <w:link w:val="1878"/>
    <w:qFormat/>
    <w:uiPriority w:val="0"/>
    <w:rPr>
      <w:rFonts w:ascii="仿宋" w:hAnsi="Yu Gothic UI" w:eastAsia="仿宋" w:cs="宋体"/>
      <w:color w:val="000000"/>
      <w:sz w:val="24"/>
      <w:szCs w:val="16"/>
    </w:rPr>
  </w:style>
  <w:style w:type="paragraph" w:customStyle="1" w:styleId="1878">
    <w:name w:val="表格new"/>
    <w:basedOn w:val="1"/>
    <w:link w:val="1877"/>
    <w:qFormat/>
    <w:uiPriority w:val="0"/>
    <w:pPr>
      <w:widowControl/>
      <w:jc w:val="left"/>
    </w:pPr>
    <w:rPr>
      <w:rFonts w:ascii="仿宋" w:hAnsi="Yu Gothic UI" w:eastAsia="仿宋" w:cs="宋体"/>
      <w:color w:val="000000"/>
      <w:sz w:val="24"/>
      <w:szCs w:val="16"/>
    </w:rPr>
  </w:style>
  <w:style w:type="character" w:customStyle="1" w:styleId="1879">
    <w:name w:val="编号（new) Char"/>
    <w:link w:val="1880"/>
    <w:qFormat/>
    <w:uiPriority w:val="0"/>
    <w:rPr>
      <w:rFonts w:ascii="仿宋" w:eastAsia="仿宋"/>
      <w:sz w:val="28"/>
      <w:szCs w:val="21"/>
    </w:rPr>
  </w:style>
  <w:style w:type="paragraph" w:customStyle="1" w:styleId="1880">
    <w:name w:val="编号（new)"/>
    <w:basedOn w:val="1"/>
    <w:link w:val="1879"/>
    <w:qFormat/>
    <w:uiPriority w:val="0"/>
    <w:pPr>
      <w:widowControl/>
      <w:spacing w:before="240" w:line="312" w:lineRule="auto"/>
      <w:ind w:left="1483"/>
      <w:jc w:val="left"/>
    </w:pPr>
    <w:rPr>
      <w:rFonts w:ascii="仿宋" w:eastAsia="仿宋"/>
      <w:sz w:val="28"/>
      <w:szCs w:val="21"/>
    </w:rPr>
  </w:style>
  <w:style w:type="character" w:customStyle="1" w:styleId="1881">
    <w:name w:val="GB目次 Char"/>
    <w:link w:val="1882"/>
    <w:qFormat/>
    <w:uiPriority w:val="0"/>
    <w:rPr>
      <w:rFonts w:ascii="黑体" w:hAnsi="黑体" w:eastAsia="黑体"/>
      <w:b/>
      <w:sz w:val="32"/>
      <w:szCs w:val="21"/>
    </w:rPr>
  </w:style>
  <w:style w:type="paragraph" w:customStyle="1" w:styleId="1882">
    <w:name w:val="GB目次"/>
    <w:basedOn w:val="1883"/>
    <w:link w:val="1881"/>
    <w:qFormat/>
    <w:uiPriority w:val="0"/>
    <w:pPr>
      <w:outlineLvl w:val="9"/>
    </w:pPr>
    <w:rPr>
      <w:b/>
    </w:rPr>
  </w:style>
  <w:style w:type="paragraph" w:customStyle="1" w:styleId="1883">
    <w:name w:val="GB前言"/>
    <w:basedOn w:val="1870"/>
    <w:link w:val="1884"/>
    <w:qFormat/>
    <w:uiPriority w:val="0"/>
    <w:pPr>
      <w:pageBreakBefore/>
      <w:outlineLvl w:val="0"/>
    </w:pPr>
    <w:rPr>
      <w:b w:val="0"/>
      <w:sz w:val="32"/>
    </w:rPr>
  </w:style>
  <w:style w:type="character" w:customStyle="1" w:styleId="1884">
    <w:name w:val="GB前言 Char"/>
    <w:link w:val="1883"/>
    <w:qFormat/>
    <w:uiPriority w:val="0"/>
    <w:rPr>
      <w:rFonts w:ascii="黑体" w:hAnsi="黑体" w:eastAsia="黑体"/>
      <w:sz w:val="32"/>
      <w:szCs w:val="21"/>
    </w:rPr>
  </w:style>
  <w:style w:type="character" w:customStyle="1" w:styleId="1885">
    <w:name w:val="font112"/>
    <w:qFormat/>
    <w:uiPriority w:val="0"/>
    <w:rPr>
      <w:rFonts w:hint="eastAsia" w:ascii="宋体" w:hAnsi="宋体" w:eastAsia="宋体" w:cs="宋体"/>
      <w:b/>
      <w:color w:val="FF0000"/>
      <w:sz w:val="18"/>
      <w:szCs w:val="18"/>
      <w:u w:val="none"/>
    </w:rPr>
  </w:style>
  <w:style w:type="character" w:customStyle="1" w:styleId="1886">
    <w:name w:val="amt"/>
    <w:qFormat/>
    <w:uiPriority w:val="0"/>
    <w:rPr>
      <w:rFonts w:ascii="Tahoma" w:hAnsi="Tahoma"/>
      <w:b/>
      <w:color w:val="555555"/>
      <w:sz w:val="14"/>
      <w:szCs w:val="14"/>
    </w:rPr>
  </w:style>
  <w:style w:type="character" w:customStyle="1" w:styleId="1887">
    <w:name w:val="GB表名 Char"/>
    <w:link w:val="1888"/>
    <w:qFormat/>
    <w:uiPriority w:val="0"/>
    <w:rPr>
      <w:rFonts w:ascii="黑体" w:hAnsi="黑体" w:eastAsia="黑体"/>
      <w:b/>
    </w:rPr>
  </w:style>
  <w:style w:type="paragraph" w:customStyle="1" w:styleId="1888">
    <w:name w:val="GB表名"/>
    <w:link w:val="1887"/>
    <w:qFormat/>
    <w:uiPriority w:val="0"/>
    <w:pPr>
      <w:spacing w:beforeLines="50" w:afterLines="50"/>
      <w:ind w:left="1260" w:hanging="420"/>
      <w:jc w:val="center"/>
    </w:pPr>
    <w:rPr>
      <w:rFonts w:ascii="黑体" w:hAnsi="黑体" w:eastAsia="黑体" w:cstheme="minorBidi"/>
      <w:b/>
      <w:kern w:val="2"/>
      <w:sz w:val="21"/>
      <w:szCs w:val="24"/>
      <w:lang w:val="en-US" w:eastAsia="zh-CN" w:bidi="ar-SA"/>
    </w:rPr>
  </w:style>
  <w:style w:type="character" w:customStyle="1" w:styleId="1889">
    <w:name w:val="GB注 Char"/>
    <w:link w:val="1890"/>
    <w:qFormat/>
    <w:uiPriority w:val="0"/>
    <w:rPr>
      <w:sz w:val="18"/>
      <w:szCs w:val="21"/>
    </w:rPr>
  </w:style>
  <w:style w:type="paragraph" w:customStyle="1" w:styleId="1890">
    <w:name w:val="GB注"/>
    <w:link w:val="1889"/>
    <w:qFormat/>
    <w:uiPriority w:val="0"/>
    <w:pPr>
      <w:ind w:firstLine="200" w:firstLineChars="200"/>
    </w:pPr>
    <w:rPr>
      <w:rFonts w:asciiTheme="minorHAnsi" w:hAnsiTheme="minorHAnsi" w:eastAsiaTheme="minorEastAsia" w:cstheme="minorBidi"/>
      <w:kern w:val="2"/>
      <w:sz w:val="18"/>
      <w:szCs w:val="21"/>
      <w:lang w:val="en-US" w:eastAsia="zh-CN" w:bidi="ar-SA"/>
    </w:rPr>
  </w:style>
  <w:style w:type="character" w:customStyle="1" w:styleId="1891">
    <w:name w:val="font132"/>
    <w:qFormat/>
    <w:uiPriority w:val="0"/>
    <w:rPr>
      <w:rFonts w:hint="eastAsia" w:ascii="宋体" w:hAnsi="宋体" w:eastAsia="宋体" w:cs="宋体"/>
      <w:b/>
      <w:color w:val="FF0000"/>
      <w:sz w:val="22"/>
      <w:szCs w:val="22"/>
      <w:u w:val="none"/>
    </w:rPr>
  </w:style>
  <w:style w:type="character" w:customStyle="1" w:styleId="1892">
    <w:name w:val="图 Char"/>
    <w:link w:val="1893"/>
    <w:qFormat/>
    <w:uiPriority w:val="0"/>
    <w:rPr>
      <w:rFonts w:ascii="宋体" w:hAnsi="宋体"/>
      <w:sz w:val="24"/>
      <w:szCs w:val="21"/>
    </w:rPr>
  </w:style>
  <w:style w:type="paragraph" w:customStyle="1" w:styleId="1893">
    <w:name w:val="图"/>
    <w:basedOn w:val="1"/>
    <w:next w:val="1"/>
    <w:link w:val="1892"/>
    <w:qFormat/>
    <w:uiPriority w:val="0"/>
    <w:pPr>
      <w:topLinePunct/>
      <w:adjustRightInd w:val="0"/>
      <w:snapToGrid w:val="0"/>
      <w:spacing w:before="240" w:afterLines="50" w:line="312" w:lineRule="auto"/>
      <w:ind w:firstLine="200" w:firstLineChars="200"/>
      <w:jc w:val="center"/>
    </w:pPr>
    <w:rPr>
      <w:rFonts w:ascii="宋体" w:hAnsi="宋体"/>
      <w:sz w:val="24"/>
      <w:szCs w:val="21"/>
    </w:rPr>
  </w:style>
  <w:style w:type="character" w:customStyle="1" w:styleId="1894">
    <w:name w:val="GB表（续） Char"/>
    <w:link w:val="1895"/>
    <w:qFormat/>
    <w:uiPriority w:val="0"/>
    <w:rPr>
      <w:rFonts w:ascii="黑体" w:hAnsi="黑体" w:eastAsia="黑体"/>
      <w:b/>
    </w:rPr>
  </w:style>
  <w:style w:type="paragraph" w:customStyle="1" w:styleId="1895">
    <w:name w:val="GB表（续）"/>
    <w:link w:val="1894"/>
    <w:qFormat/>
    <w:uiPriority w:val="0"/>
    <w:pPr>
      <w:jc w:val="center"/>
    </w:pPr>
    <w:rPr>
      <w:rFonts w:ascii="黑体" w:hAnsi="黑体" w:eastAsia="黑体" w:cstheme="minorBidi"/>
      <w:b/>
      <w:kern w:val="2"/>
      <w:sz w:val="21"/>
      <w:szCs w:val="24"/>
      <w:lang w:val="en-US" w:eastAsia="zh-CN" w:bidi="ar-SA"/>
    </w:rPr>
  </w:style>
  <w:style w:type="character" w:customStyle="1" w:styleId="1896">
    <w:name w:val="biaotisi Char"/>
    <w:link w:val="1897"/>
    <w:qFormat/>
    <w:uiPriority w:val="0"/>
    <w:rPr>
      <w:rFonts w:ascii="仿宋" w:hAnsi="仿宋" w:eastAsia="仿宋"/>
      <w:b/>
      <w:bCs/>
      <w:sz w:val="28"/>
    </w:rPr>
  </w:style>
  <w:style w:type="paragraph" w:customStyle="1" w:styleId="1897">
    <w:name w:val="biaotisi"/>
    <w:basedOn w:val="7"/>
    <w:link w:val="1896"/>
    <w:qFormat/>
    <w:uiPriority w:val="0"/>
    <w:pPr>
      <w:keepLines/>
      <w:widowControl/>
      <w:spacing w:before="280" w:beforeLines="100" w:after="290" w:afterLines="100" w:line="312" w:lineRule="auto"/>
      <w:ind w:left="864"/>
      <w:jc w:val="left"/>
    </w:pPr>
    <w:rPr>
      <w:rFonts w:ascii="仿宋" w:hAnsi="仿宋" w:eastAsia="仿宋"/>
      <w:b/>
      <w:bCs/>
      <w:szCs w:val="24"/>
    </w:rPr>
  </w:style>
  <w:style w:type="character" w:customStyle="1" w:styleId="1898">
    <w:name w:val="GB会话内容 Char"/>
    <w:link w:val="1899"/>
    <w:qFormat/>
    <w:uiPriority w:val="0"/>
  </w:style>
  <w:style w:type="paragraph" w:customStyle="1" w:styleId="1899">
    <w:name w:val="GB会话内容"/>
    <w:link w:val="1898"/>
    <w:qFormat/>
    <w:uiPriority w:val="0"/>
    <w:pPr>
      <w:spacing w:line="360" w:lineRule="auto"/>
    </w:pPr>
    <w:rPr>
      <w:rFonts w:asciiTheme="minorHAnsi" w:hAnsiTheme="minorHAnsi" w:eastAsiaTheme="minorEastAsia" w:cstheme="minorBidi"/>
      <w:kern w:val="2"/>
      <w:sz w:val="21"/>
      <w:szCs w:val="24"/>
      <w:lang w:val="en-US" w:eastAsia="zh-CN" w:bidi="ar-SA"/>
    </w:rPr>
  </w:style>
  <w:style w:type="character" w:customStyle="1" w:styleId="1900">
    <w:name w:val="style51"/>
    <w:qFormat/>
    <w:uiPriority w:val="0"/>
    <w:rPr>
      <w:rFonts w:ascii="Tahoma" w:hAnsi="Tahoma"/>
      <w:sz w:val="21"/>
      <w:szCs w:val="21"/>
    </w:rPr>
  </w:style>
  <w:style w:type="character" w:customStyle="1" w:styleId="1901">
    <w:name w:val="GB附表B Char"/>
    <w:link w:val="1902"/>
    <w:qFormat/>
    <w:uiPriority w:val="0"/>
    <w:rPr>
      <w:rFonts w:ascii="黑体" w:hAnsi="黑体" w:eastAsia="黑体"/>
      <w:b/>
    </w:rPr>
  </w:style>
  <w:style w:type="paragraph" w:customStyle="1" w:styleId="1902">
    <w:name w:val="GB附表B"/>
    <w:basedOn w:val="1876"/>
    <w:link w:val="1901"/>
    <w:qFormat/>
    <w:uiPriority w:val="0"/>
  </w:style>
  <w:style w:type="character" w:customStyle="1" w:styleId="1903">
    <w:name w:val="2章节 Char"/>
    <w:link w:val="1904"/>
    <w:qFormat/>
    <w:locked/>
    <w:uiPriority w:val="0"/>
    <w:rPr>
      <w:rFonts w:ascii="仿宋_GB2312" w:eastAsia="仿宋_GB2312"/>
      <w:b/>
      <w:sz w:val="28"/>
    </w:rPr>
  </w:style>
  <w:style w:type="paragraph" w:customStyle="1" w:styleId="1904">
    <w:name w:val="2章节"/>
    <w:basedOn w:val="1"/>
    <w:link w:val="1903"/>
    <w:qFormat/>
    <w:uiPriority w:val="0"/>
    <w:pPr>
      <w:spacing w:line="360" w:lineRule="auto"/>
      <w:ind w:left="300" w:right="240" w:rightChars="100" w:firstLine="200" w:firstLineChars="200"/>
    </w:pPr>
    <w:rPr>
      <w:rFonts w:ascii="仿宋_GB2312" w:eastAsia="仿宋_GB2312"/>
      <w:b/>
      <w:sz w:val="28"/>
    </w:rPr>
  </w:style>
  <w:style w:type="character" w:customStyle="1" w:styleId="1905">
    <w:name w:val="GB附录大纲 Char"/>
    <w:link w:val="1906"/>
    <w:qFormat/>
    <w:uiPriority w:val="0"/>
    <w:rPr>
      <w:rFonts w:ascii="黑体" w:hAnsi="黑体" w:eastAsia="黑体"/>
      <w:b/>
      <w:szCs w:val="21"/>
    </w:rPr>
  </w:style>
  <w:style w:type="paragraph" w:customStyle="1" w:styleId="1906">
    <w:name w:val="GB附录大纲"/>
    <w:basedOn w:val="1"/>
    <w:link w:val="1905"/>
    <w:qFormat/>
    <w:uiPriority w:val="0"/>
    <w:pPr>
      <w:pageBreakBefore/>
      <w:widowControl/>
      <w:spacing w:before="240" w:line="312" w:lineRule="auto"/>
      <w:ind w:firstLine="200" w:firstLineChars="200"/>
      <w:jc w:val="center"/>
      <w:outlineLvl w:val="0"/>
    </w:pPr>
    <w:rPr>
      <w:rFonts w:ascii="黑体" w:hAnsi="黑体" w:eastAsia="黑体"/>
      <w:b/>
      <w:szCs w:val="21"/>
    </w:rPr>
  </w:style>
  <w:style w:type="character" w:customStyle="1" w:styleId="1907">
    <w:name w:val="font141"/>
    <w:qFormat/>
    <w:uiPriority w:val="0"/>
    <w:rPr>
      <w:rFonts w:hint="eastAsia" w:ascii="宋体" w:hAnsi="宋体" w:eastAsia="宋体" w:cs="宋体"/>
      <w:b/>
      <w:color w:val="000000"/>
      <w:sz w:val="22"/>
      <w:szCs w:val="22"/>
      <w:u w:val="none"/>
    </w:rPr>
  </w:style>
  <w:style w:type="character" w:customStyle="1" w:styleId="1908">
    <w:name w:val="GB列表 Char"/>
    <w:link w:val="1909"/>
    <w:qFormat/>
    <w:uiPriority w:val="0"/>
  </w:style>
  <w:style w:type="paragraph" w:customStyle="1" w:styleId="1909">
    <w:name w:val="GB列表"/>
    <w:link w:val="1908"/>
    <w:qFormat/>
    <w:uiPriority w:val="0"/>
    <w:pPr>
      <w:spacing w:line="360" w:lineRule="auto"/>
    </w:pPr>
    <w:rPr>
      <w:rFonts w:asciiTheme="minorHAnsi" w:hAnsiTheme="minorHAnsi" w:eastAsiaTheme="minorEastAsia" w:cstheme="minorBidi"/>
      <w:kern w:val="2"/>
      <w:sz w:val="21"/>
      <w:szCs w:val="24"/>
      <w:lang w:val="en-US" w:eastAsia="zh-CN" w:bidi="ar-SA"/>
    </w:rPr>
  </w:style>
  <w:style w:type="character" w:customStyle="1" w:styleId="1910">
    <w:name w:val="正常 Char Char"/>
    <w:link w:val="1911"/>
    <w:qFormat/>
    <w:uiPriority w:val="0"/>
    <w:rPr>
      <w:rFonts w:eastAsia="Calibri" w:cs="Calibri"/>
      <w:color w:val="000000"/>
      <w:u w:color="000000"/>
    </w:rPr>
  </w:style>
  <w:style w:type="paragraph" w:customStyle="1" w:styleId="1911">
    <w:name w:val="正常"/>
    <w:link w:val="1910"/>
    <w:qFormat/>
    <w:uiPriority w:val="0"/>
    <w:pPr>
      <w:spacing w:after="200" w:line="276" w:lineRule="auto"/>
    </w:pPr>
    <w:rPr>
      <w:rFonts w:eastAsia="Calibri" w:cs="Calibri" w:asciiTheme="minorHAnsi" w:hAnsiTheme="minorHAnsi"/>
      <w:color w:val="000000"/>
      <w:kern w:val="2"/>
      <w:sz w:val="21"/>
      <w:szCs w:val="24"/>
      <w:u w:color="000000"/>
      <w:lang w:val="en-US" w:eastAsia="zh-CN" w:bidi="ar-SA"/>
    </w:rPr>
  </w:style>
  <w:style w:type="character" w:customStyle="1" w:styleId="1912">
    <w:name w:val="GB无缩进列表 Char"/>
    <w:link w:val="1913"/>
    <w:qFormat/>
    <w:uiPriority w:val="0"/>
    <w:rPr>
      <w:sz w:val="18"/>
    </w:rPr>
  </w:style>
  <w:style w:type="paragraph" w:customStyle="1" w:styleId="1913">
    <w:name w:val="GB无缩进列表"/>
    <w:link w:val="1912"/>
    <w:qFormat/>
    <w:uiPriority w:val="0"/>
    <w:pPr>
      <w:ind w:left="420" w:hanging="420"/>
    </w:pPr>
    <w:rPr>
      <w:rFonts w:asciiTheme="minorHAnsi" w:hAnsiTheme="minorHAnsi" w:eastAsiaTheme="minorEastAsia" w:cstheme="minorBidi"/>
      <w:kern w:val="2"/>
      <w:sz w:val="18"/>
      <w:szCs w:val="24"/>
      <w:lang w:val="en-US" w:eastAsia="zh-CN" w:bidi="ar-SA"/>
    </w:rPr>
  </w:style>
  <w:style w:type="character" w:customStyle="1" w:styleId="1914">
    <w:name w:val="发布"/>
    <w:qFormat/>
    <w:uiPriority w:val="0"/>
    <w:rPr>
      <w:rFonts w:ascii="黑体" w:eastAsia="黑体"/>
      <w:spacing w:val="22"/>
      <w:w w:val="100"/>
      <w:position w:val="3"/>
      <w:sz w:val="28"/>
    </w:rPr>
  </w:style>
  <w:style w:type="character" w:customStyle="1" w:styleId="1915">
    <w:name w:val="GB项目 Char"/>
    <w:link w:val="1916"/>
    <w:qFormat/>
    <w:uiPriority w:val="0"/>
    <w:rPr>
      <w:szCs w:val="21"/>
    </w:rPr>
  </w:style>
  <w:style w:type="paragraph" w:customStyle="1" w:styleId="1916">
    <w:name w:val="GB项目"/>
    <w:link w:val="1915"/>
    <w:qFormat/>
    <w:uiPriority w:val="0"/>
    <w:pPr>
      <w:ind w:left="840" w:hanging="420"/>
    </w:pPr>
    <w:rPr>
      <w:rFonts w:asciiTheme="minorHAnsi" w:hAnsiTheme="minorHAnsi" w:eastAsiaTheme="minorEastAsia" w:cstheme="minorBidi"/>
      <w:kern w:val="2"/>
      <w:sz w:val="21"/>
      <w:szCs w:val="21"/>
      <w:lang w:val="en-US" w:eastAsia="zh-CN" w:bidi="ar-SA"/>
    </w:rPr>
  </w:style>
  <w:style w:type="character" w:customStyle="1" w:styleId="1917">
    <w:name w:val="正文new Char"/>
    <w:link w:val="1918"/>
    <w:qFormat/>
    <w:uiPriority w:val="0"/>
    <w:rPr>
      <w:rFonts w:ascii="仿宋" w:hAnsi="仿宋" w:eastAsia="仿宋"/>
      <w:sz w:val="24"/>
      <w:lang w:val="zh-CN"/>
    </w:rPr>
  </w:style>
  <w:style w:type="paragraph" w:customStyle="1" w:styleId="1918">
    <w:name w:val="正文new"/>
    <w:basedOn w:val="1"/>
    <w:link w:val="1917"/>
    <w:qFormat/>
    <w:uiPriority w:val="0"/>
    <w:pPr>
      <w:widowControl/>
      <w:spacing w:line="360" w:lineRule="auto"/>
      <w:ind w:firstLine="200" w:firstLineChars="200"/>
      <w:jc w:val="left"/>
    </w:pPr>
    <w:rPr>
      <w:rFonts w:ascii="仿宋" w:hAnsi="仿宋" w:eastAsia="仿宋"/>
      <w:sz w:val="24"/>
      <w:lang w:val="zh-CN"/>
    </w:rPr>
  </w:style>
  <w:style w:type="paragraph" w:customStyle="1" w:styleId="1919">
    <w:name w:val="正文 1"/>
    <w:basedOn w:val="1"/>
    <w:qFormat/>
    <w:uiPriority w:val="0"/>
    <w:pPr>
      <w:widowControl/>
      <w:tabs>
        <w:tab w:val="left" w:pos="1080"/>
      </w:tabs>
      <w:spacing w:beforeLines="50" w:line="312" w:lineRule="auto"/>
      <w:ind w:left="425" w:firstLine="425" w:firstLineChars="200"/>
      <w:jc w:val="left"/>
    </w:pPr>
    <w:rPr>
      <w:rFonts w:ascii="仿宋" w:hAnsi="Times New Roman" w:eastAsia="楷体_GB2312" w:cs="Times New Roman"/>
      <w:kern w:val="0"/>
      <w:sz w:val="28"/>
      <w:szCs w:val="20"/>
    </w:rPr>
  </w:style>
  <w:style w:type="paragraph" w:customStyle="1" w:styleId="1920">
    <w:name w:val="样式 正文文本"/>
    <w:basedOn w:val="2"/>
    <w:qFormat/>
    <w:uiPriority w:val="0"/>
    <w:pPr>
      <w:widowControl/>
      <w:spacing w:after="0"/>
      <w:ind w:firstLine="420"/>
      <w:jc w:val="left"/>
    </w:pPr>
    <w:rPr>
      <w:rFonts w:ascii="Times New Roman" w:hAnsi="Times New Roman" w:eastAsia="宋体" w:cs="宋体"/>
      <w:sz w:val="20"/>
      <w:szCs w:val="20"/>
    </w:rPr>
  </w:style>
  <w:style w:type="paragraph" w:customStyle="1" w:styleId="1921">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1922">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923">
    <w:name w:val="3级标题"/>
    <w:basedOn w:val="6"/>
    <w:qFormat/>
    <w:uiPriority w:val="0"/>
    <w:pPr>
      <w:spacing w:before="240" w:after="0" w:line="360" w:lineRule="auto"/>
      <w:ind w:right="280" w:rightChars="100"/>
    </w:pPr>
    <w:rPr>
      <w:rFonts w:ascii="黑体" w:hAnsi="Calibri" w:eastAsia="黑体" w:cs="Times New Roman"/>
      <w:sz w:val="24"/>
    </w:rPr>
  </w:style>
  <w:style w:type="paragraph" w:customStyle="1" w:styleId="1924">
    <w:name w:val="样式 目录 2 + 首行缩进:  2 字符"/>
    <w:basedOn w:val="55"/>
    <w:qFormat/>
    <w:uiPriority w:val="0"/>
    <w:pPr>
      <w:widowControl/>
      <w:tabs>
        <w:tab w:val="right" w:leader="dot" w:pos="8296"/>
      </w:tabs>
      <w:spacing w:line="400" w:lineRule="exact"/>
      <w:ind w:left="0" w:leftChars="0"/>
      <w:jc w:val="left"/>
    </w:pPr>
    <w:rPr>
      <w:rFonts w:ascii="仿宋" w:hAnsi="Times New Roman" w:eastAsia="仿宋" w:cs="宋体"/>
      <w:smallCaps/>
      <w:sz w:val="28"/>
      <w:szCs w:val="20"/>
    </w:rPr>
  </w:style>
  <w:style w:type="paragraph" w:customStyle="1" w:styleId="1925">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仿宋" w:hAnsi="仿宋" w:eastAsia="仿宋" w:cs="宋体"/>
      <w:b/>
      <w:bCs/>
      <w:kern w:val="0"/>
      <w:sz w:val="24"/>
    </w:rPr>
  </w:style>
  <w:style w:type="paragraph" w:customStyle="1" w:styleId="1926">
    <w:name w:val="4级标题"/>
    <w:basedOn w:val="7"/>
    <w:qFormat/>
    <w:uiPriority w:val="0"/>
    <w:pPr>
      <w:keepLines/>
      <w:spacing w:before="240" w:line="360" w:lineRule="auto"/>
      <w:jc w:val="both"/>
    </w:pPr>
    <w:rPr>
      <w:rFonts w:ascii="黑体" w:hAnsi="Cambria" w:eastAsia="黑体" w:cs="Times New Roman"/>
      <w:b/>
      <w:bCs/>
      <w:sz w:val="24"/>
    </w:rPr>
  </w:style>
  <w:style w:type="paragraph" w:customStyle="1" w:styleId="1927">
    <w:name w:val="工可正文"/>
    <w:basedOn w:val="1"/>
    <w:next w:val="1"/>
    <w:qFormat/>
    <w:uiPriority w:val="0"/>
    <w:pPr>
      <w:ind w:firstLine="200" w:firstLineChars="200"/>
    </w:pPr>
    <w:rPr>
      <w:rFonts w:ascii="Times New Roman" w:hAnsi="Times New Roman" w:eastAsia="宋体" w:cs="Times New Roman"/>
      <w:kern w:val="0"/>
      <w:sz w:val="28"/>
      <w:szCs w:val="20"/>
    </w:rPr>
  </w:style>
  <w:style w:type="paragraph" w:customStyle="1" w:styleId="1928">
    <w:name w:val="5级标题"/>
    <w:basedOn w:val="8"/>
    <w:qFormat/>
    <w:uiPriority w:val="0"/>
    <w:pPr>
      <w:adjustRightInd w:val="0"/>
      <w:spacing w:before="240" w:after="0" w:line="360" w:lineRule="auto"/>
    </w:pPr>
    <w:rPr>
      <w:rFonts w:ascii="仿宋" w:hAnsi="Calibri" w:eastAsia="仿宋" w:cs="Times New Roman"/>
      <w:sz w:val="24"/>
      <w:szCs w:val="24"/>
    </w:rPr>
  </w:style>
  <w:style w:type="paragraph" w:customStyle="1" w:styleId="1929">
    <w:name w:val="xl10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仿宋" w:hAnsi="仿宋" w:eastAsia="仿宋" w:cs="宋体"/>
      <w:b/>
      <w:bCs/>
      <w:kern w:val="0"/>
      <w:sz w:val="24"/>
    </w:rPr>
  </w:style>
  <w:style w:type="paragraph" w:customStyle="1" w:styleId="1930">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1931">
    <w:name w:val="二级条标题"/>
    <w:basedOn w:val="1147"/>
    <w:next w:val="1"/>
    <w:qFormat/>
    <w:uiPriority w:val="0"/>
    <w:pPr>
      <w:tabs>
        <w:tab w:val="left" w:pos="0"/>
      </w:tabs>
      <w:spacing w:beforeLines="0" w:afterLines="0"/>
      <w:ind w:left="180"/>
      <w:jc w:val="both"/>
      <w:outlineLvl w:val="3"/>
    </w:pPr>
    <w:rPr>
      <w:szCs w:val="20"/>
    </w:rPr>
  </w:style>
  <w:style w:type="paragraph" w:customStyle="1" w:styleId="1932">
    <w:name w:val="样式 GB附录A.1 + 段前: 0.5 行 段后: 0.5 行1"/>
    <w:basedOn w:val="1868"/>
    <w:qFormat/>
    <w:uiPriority w:val="0"/>
    <w:pPr>
      <w:ind w:left="0" w:hanging="200" w:hangingChars="200"/>
    </w:pPr>
    <w:rPr>
      <w:rFonts w:cs="宋体"/>
      <w:bCs/>
      <w:szCs w:val="20"/>
    </w:rPr>
  </w:style>
  <w:style w:type="paragraph" w:customStyle="1" w:styleId="1933">
    <w:name w:val="列项——"/>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1934">
    <w:name w:val="样式 标题1"/>
    <w:basedOn w:val="1"/>
    <w:qFormat/>
    <w:uiPriority w:val="0"/>
    <w:pPr>
      <w:keepNext/>
      <w:keepLines/>
      <w:widowControl/>
      <w:spacing w:line="312" w:lineRule="auto"/>
      <w:jc w:val="left"/>
      <w:outlineLvl w:val="0"/>
    </w:pPr>
    <w:rPr>
      <w:rFonts w:ascii="仿宋" w:hAnsi="Times New Roman" w:eastAsia="仿宋" w:cs="Times New Roman"/>
      <w:b/>
      <w:bCs/>
      <w:sz w:val="24"/>
    </w:rPr>
  </w:style>
  <w:style w:type="paragraph" w:customStyle="1" w:styleId="1935">
    <w:name w:val="GB图内文字"/>
    <w:qFormat/>
    <w:uiPriority w:val="0"/>
    <w:rPr>
      <w:rFonts w:ascii="Times New Roman" w:hAnsi="Times New Roman" w:eastAsia="宋体" w:cs="Times New Roman"/>
      <w:kern w:val="2"/>
      <w:sz w:val="15"/>
      <w:szCs w:val="24"/>
      <w:lang w:val="en-US" w:eastAsia="zh-CN" w:bidi="ar-SA"/>
    </w:rPr>
  </w:style>
  <w:style w:type="paragraph" w:customStyle="1" w:styleId="1936">
    <w:name w:val="招标文件表格"/>
    <w:basedOn w:val="1"/>
    <w:qFormat/>
    <w:uiPriority w:val="0"/>
    <w:pPr>
      <w:spacing w:line="440" w:lineRule="exact"/>
      <w:jc w:val="center"/>
    </w:pPr>
    <w:rPr>
      <w:rFonts w:ascii="Times New Roman" w:hAnsi="Times New Roman" w:eastAsia="仿宋_GB2312" w:cs="Times New Roman"/>
      <w:sz w:val="24"/>
    </w:rPr>
  </w:style>
  <w:style w:type="paragraph" w:customStyle="1" w:styleId="1937">
    <w:name w:val="表格 - 正文"/>
    <w:basedOn w:val="1"/>
    <w:qFormat/>
    <w:uiPriority w:val="0"/>
    <w:pPr>
      <w:widowControl/>
      <w:tabs>
        <w:tab w:val="left" w:pos="420"/>
      </w:tabs>
      <w:spacing w:before="240" w:line="312" w:lineRule="auto"/>
      <w:ind w:firstLine="200" w:firstLineChars="200"/>
      <w:jc w:val="left"/>
    </w:pPr>
    <w:rPr>
      <w:rFonts w:ascii="仿宋" w:hAnsi="Times New Roman" w:eastAsia="新宋体" w:cs="Times New Roman"/>
      <w:kern w:val="0"/>
      <w:sz w:val="28"/>
      <w:szCs w:val="20"/>
    </w:rPr>
  </w:style>
  <w:style w:type="paragraph" w:customStyle="1" w:styleId="1938">
    <w:name w:val="此正文"/>
    <w:basedOn w:val="1"/>
    <w:qFormat/>
    <w:uiPriority w:val="0"/>
    <w:pPr>
      <w:spacing w:line="360" w:lineRule="auto"/>
      <w:ind w:firstLine="200" w:firstLineChars="200"/>
    </w:pPr>
    <w:rPr>
      <w:rFonts w:ascii="Times New Roman" w:hAnsi="Times New Roman" w:eastAsia="宋体" w:cs="Times New Roman"/>
      <w:sz w:val="24"/>
    </w:rPr>
  </w:style>
  <w:style w:type="paragraph" w:customStyle="1" w:styleId="1939">
    <w:name w:val="标准书眉一"/>
    <w:qFormat/>
    <w:uiPriority w:val="0"/>
    <w:pPr>
      <w:jc w:val="both"/>
    </w:pPr>
    <w:rPr>
      <w:rFonts w:ascii="Times New Roman" w:hAnsi="Times New Roman" w:eastAsia="宋体" w:cs="Times New Roman"/>
      <w:lang w:val="en-US" w:eastAsia="zh-CN" w:bidi="ar-SA"/>
    </w:rPr>
  </w:style>
  <w:style w:type="paragraph" w:customStyle="1" w:styleId="1940">
    <w:name w:val="封面标准号2"/>
    <w:basedOn w:val="1"/>
    <w:qFormat/>
    <w:uiPriority w:val="0"/>
    <w:pPr>
      <w:framePr w:w="9138" w:h="1244" w:hRule="exact" w:wrap="around" w:vAnchor="page" w:hAnchor="margin" w:y="2908" w:anchorLock="1"/>
      <w:widowControl/>
      <w:kinsoku w:val="0"/>
      <w:overflowPunct w:val="0"/>
      <w:autoSpaceDE w:val="0"/>
      <w:autoSpaceDN w:val="0"/>
      <w:adjustRightInd w:val="0"/>
      <w:spacing w:beforeLines="50" w:line="280" w:lineRule="exact"/>
      <w:ind w:firstLine="200" w:firstLineChars="200"/>
      <w:jc w:val="right"/>
      <w:textAlignment w:val="center"/>
    </w:pPr>
    <w:rPr>
      <w:rFonts w:ascii="仿宋" w:hAnsi="Times New Roman" w:eastAsia="仿宋" w:cs="Times New Roman"/>
      <w:kern w:val="0"/>
      <w:sz w:val="28"/>
      <w:szCs w:val="20"/>
    </w:rPr>
  </w:style>
  <w:style w:type="paragraph" w:customStyle="1" w:styleId="1941">
    <w:name w:val="6级标题"/>
    <w:basedOn w:val="9"/>
    <w:qFormat/>
    <w:uiPriority w:val="0"/>
    <w:pPr>
      <w:widowControl w:val="0"/>
      <w:tabs>
        <w:tab w:val="clear" w:pos="1440"/>
      </w:tabs>
      <w:spacing w:before="0" w:after="0" w:line="360" w:lineRule="auto"/>
      <w:ind w:left="0" w:firstLine="0"/>
      <w:jc w:val="both"/>
    </w:pPr>
    <w:rPr>
      <w:rFonts w:ascii="黑体" w:hAnsi="Cambria" w:cs="Times New Roman"/>
      <w:kern w:val="2"/>
    </w:rPr>
  </w:style>
  <w:style w:type="paragraph" w:customStyle="1" w:styleId="1942">
    <w:name w:val="1级标题"/>
    <w:basedOn w:val="4"/>
    <w:qFormat/>
    <w:uiPriority w:val="99"/>
    <w:pPr>
      <w:spacing w:beforeLines="50" w:afterLines="100" w:line="520" w:lineRule="atLeast"/>
    </w:pPr>
    <w:rPr>
      <w:rFonts w:ascii="黑体" w:hAnsi="Calibri" w:eastAsia="黑体" w:cs="Times New Roman"/>
      <w:sz w:val="30"/>
    </w:rPr>
  </w:style>
  <w:style w:type="paragraph" w:customStyle="1" w:styleId="1943">
    <w:name w:val="页脚 New"/>
    <w:basedOn w:val="1"/>
    <w:qFormat/>
    <w:uiPriority w:val="0"/>
    <w:pPr>
      <w:tabs>
        <w:tab w:val="center" w:pos="4153"/>
        <w:tab w:val="right" w:pos="8306"/>
      </w:tabs>
      <w:snapToGrid w:val="0"/>
      <w:jc w:val="left"/>
    </w:pPr>
    <w:rPr>
      <w:rFonts w:ascii="Times New Roman" w:hAnsi="Times New Roman" w:eastAsia="宋体" w:cs="Times New Roman"/>
      <w:sz w:val="18"/>
      <w:szCs w:val="20"/>
    </w:rPr>
  </w:style>
  <w:style w:type="paragraph" w:customStyle="1" w:styleId="1944">
    <w:name w:val="页眉 New New"/>
    <w:basedOn w:val="1"/>
    <w:qFormat/>
    <w:uiPriority w:val="0"/>
    <w:pPr>
      <w:tabs>
        <w:tab w:val="center" w:pos="4153"/>
        <w:tab w:val="right" w:pos="8306"/>
      </w:tabs>
      <w:snapToGrid w:val="0"/>
    </w:pPr>
    <w:rPr>
      <w:rFonts w:ascii="Times New Roman" w:hAnsi="Times New Roman" w:eastAsia="宋体" w:cs="Times New Roman"/>
      <w:sz w:val="18"/>
      <w:szCs w:val="20"/>
    </w:rPr>
  </w:style>
  <w:style w:type="paragraph" w:customStyle="1" w:styleId="1945">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 w:hAnsi="仿宋" w:eastAsia="仿宋" w:cs="宋体"/>
      <w:kern w:val="0"/>
      <w:sz w:val="24"/>
    </w:rPr>
  </w:style>
  <w:style w:type="paragraph" w:customStyle="1" w:styleId="194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94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948">
    <w:name w:val="xl110"/>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仿宋" w:hAnsi="仿宋" w:eastAsia="仿宋" w:cs="宋体"/>
      <w:b/>
      <w:bCs/>
      <w:kern w:val="0"/>
      <w:sz w:val="24"/>
    </w:rPr>
  </w:style>
  <w:style w:type="paragraph" w:customStyle="1" w:styleId="1949">
    <w:name w:val="样式 GB附录A.1 + 段前: 0.5 行 段后: 0.5 行"/>
    <w:basedOn w:val="1868"/>
    <w:qFormat/>
    <w:uiPriority w:val="0"/>
    <w:pPr>
      <w:ind w:left="0" w:firstLine="0"/>
    </w:pPr>
    <w:rPr>
      <w:rFonts w:cs="宋体"/>
      <w:bCs/>
      <w:szCs w:val="20"/>
    </w:rPr>
  </w:style>
  <w:style w:type="paragraph" w:customStyle="1" w:styleId="1950">
    <w:name w:val="zw1"/>
    <w:basedOn w:val="1"/>
    <w:qFormat/>
    <w:uiPriority w:val="0"/>
    <w:pPr>
      <w:widowControl/>
      <w:spacing w:line="360" w:lineRule="auto"/>
      <w:jc w:val="left"/>
    </w:pPr>
    <w:rPr>
      <w:rFonts w:ascii="宋体" w:hAnsi="Times New Roman" w:eastAsia="宋体" w:cs="Times New Roman"/>
      <w:sz w:val="28"/>
      <w:szCs w:val="28"/>
    </w:rPr>
  </w:style>
  <w:style w:type="paragraph" w:customStyle="1" w:styleId="1951">
    <w:name w:val="首行缩进正文"/>
    <w:basedOn w:val="1"/>
    <w:qFormat/>
    <w:uiPriority w:val="0"/>
    <w:pPr>
      <w:widowControl/>
      <w:spacing w:beforeLines="50" w:line="312" w:lineRule="auto"/>
      <w:ind w:firstLine="420"/>
      <w:jc w:val="left"/>
    </w:pPr>
    <w:rPr>
      <w:rFonts w:ascii="仿宋" w:hAnsi="Times New Roman" w:eastAsia="仿宋" w:cs="宋体"/>
      <w:sz w:val="28"/>
      <w:szCs w:val="20"/>
    </w:rPr>
  </w:style>
  <w:style w:type="paragraph" w:customStyle="1" w:styleId="1952">
    <w:name w:val="2级标题"/>
    <w:basedOn w:val="5"/>
    <w:qFormat/>
    <w:uiPriority w:val="0"/>
    <w:pPr>
      <w:tabs>
        <w:tab w:val="left" w:pos="420"/>
      </w:tabs>
      <w:spacing w:before="0" w:beforeLines="50" w:after="0" w:afterLines="100" w:line="520" w:lineRule="atLeast"/>
      <w:jc w:val="left"/>
    </w:pPr>
    <w:rPr>
      <w:rFonts w:ascii="黑体" w:hAnsi="宋体" w:eastAsia="黑体" w:cs="Times New Roman"/>
    </w:rPr>
  </w:style>
  <w:style w:type="paragraph" w:customStyle="1" w:styleId="1953">
    <w:name w:val="实施日期"/>
    <w:basedOn w:val="1954"/>
    <w:qFormat/>
    <w:uiPriority w:val="0"/>
    <w:pPr>
      <w:framePr w:hSpace="0" w:wrap="around" w:hAnchor="text" w:xAlign="right"/>
      <w:jc w:val="right"/>
    </w:pPr>
  </w:style>
  <w:style w:type="paragraph" w:customStyle="1" w:styleId="195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955">
    <w:name w:val="样式 样式 标题 3 + 宋体 小四 + 黑体 五号 非加粗"/>
    <w:basedOn w:val="6"/>
    <w:qFormat/>
    <w:uiPriority w:val="0"/>
    <w:pPr>
      <w:widowControl/>
      <w:tabs>
        <w:tab w:val="left" w:pos="709"/>
      </w:tabs>
      <w:snapToGrid w:val="0"/>
      <w:spacing w:beforeLines="100" w:afterLines="100" w:line="415" w:lineRule="auto"/>
      <w:ind w:left="709" w:right="280" w:rightChars="100" w:hanging="709"/>
      <w:jc w:val="left"/>
    </w:pPr>
    <w:rPr>
      <w:rFonts w:ascii="黑体" w:hAnsi="黑体" w:eastAsia="仿宋" w:cs="Times New Roman"/>
      <w:kern w:val="0"/>
      <w:sz w:val="28"/>
      <w:szCs w:val="24"/>
    </w:rPr>
  </w:style>
  <w:style w:type="paragraph" w:customStyle="1" w:styleId="1956">
    <w:name w:val="三级标题黑五号"/>
    <w:basedOn w:val="1"/>
    <w:qFormat/>
    <w:uiPriority w:val="0"/>
    <w:pPr>
      <w:keepNext/>
      <w:keepLines/>
      <w:widowControl/>
      <w:tabs>
        <w:tab w:val="left" w:pos="1680"/>
      </w:tabs>
      <w:adjustRightInd w:val="0"/>
      <w:spacing w:before="240" w:line="312" w:lineRule="auto"/>
      <w:ind w:left="1680" w:firstLine="200" w:firstLineChars="200"/>
      <w:jc w:val="left"/>
      <w:textAlignment w:val="baseline"/>
      <w:outlineLvl w:val="2"/>
    </w:pPr>
    <w:rPr>
      <w:rFonts w:ascii="黑体" w:hAnsi="黑体" w:eastAsia="黑体" w:cs="Times New Roman"/>
      <w:b/>
      <w:kern w:val="0"/>
      <w:sz w:val="28"/>
      <w:szCs w:val="20"/>
    </w:rPr>
  </w:style>
  <w:style w:type="paragraph" w:customStyle="1" w:styleId="1957">
    <w:name w:val="Acronyms"/>
    <w:basedOn w:val="1"/>
    <w:qFormat/>
    <w:uiPriority w:val="0"/>
    <w:pPr>
      <w:widowControl/>
      <w:tabs>
        <w:tab w:val="left" w:pos="1440"/>
      </w:tabs>
      <w:spacing w:beforeLines="50" w:line="312" w:lineRule="auto"/>
      <w:ind w:left="1440" w:hanging="1440"/>
      <w:jc w:val="left"/>
    </w:pPr>
    <w:rPr>
      <w:rFonts w:ascii="仿宋" w:hAnsi="Times New Roman" w:eastAsia="仿宋" w:cs="Times New Roman"/>
      <w:kern w:val="0"/>
      <w:sz w:val="20"/>
      <w:szCs w:val="20"/>
      <w:lang w:eastAsia="en-US"/>
    </w:rPr>
  </w:style>
  <w:style w:type="paragraph" w:customStyle="1" w:styleId="1958">
    <w:name w:val="样式 GB表名 + (西文) 新宋体"/>
    <w:basedOn w:val="1888"/>
    <w:qFormat/>
    <w:uiPriority w:val="0"/>
  </w:style>
  <w:style w:type="paragraph" w:customStyle="1" w:styleId="1959">
    <w:name w:val="技术方案正文样式"/>
    <w:basedOn w:val="1"/>
    <w:qFormat/>
    <w:uiPriority w:val="0"/>
    <w:pPr>
      <w:autoSpaceDE w:val="0"/>
      <w:autoSpaceDN w:val="0"/>
      <w:adjustRightInd w:val="0"/>
      <w:spacing w:line="400" w:lineRule="exact"/>
      <w:ind w:firstLine="200" w:firstLineChars="200"/>
    </w:pPr>
    <w:rPr>
      <w:rFonts w:ascii="宋体" w:hAnsi="Times New Roman" w:eastAsia="宋体" w:cs="宋体"/>
      <w:sz w:val="24"/>
      <w:szCs w:val="21"/>
    </w:rPr>
  </w:style>
  <w:style w:type="paragraph" w:customStyle="1" w:styleId="1960">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961">
    <w:name w:val="发布部门"/>
    <w:next w:val="1"/>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1962">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963">
    <w:name w:val="封面标准代替信息"/>
    <w:basedOn w:val="1940"/>
    <w:qFormat/>
    <w:uiPriority w:val="0"/>
    <w:pPr>
      <w:framePr w:wrap="around"/>
    </w:pPr>
    <w:rPr>
      <w:rFonts w:ascii="宋体"/>
      <w:sz w:val="21"/>
    </w:rPr>
  </w:style>
  <w:style w:type="paragraph" w:customStyle="1" w:styleId="1964">
    <w:name w:val="封面正文"/>
    <w:qFormat/>
    <w:uiPriority w:val="0"/>
    <w:pPr>
      <w:jc w:val="both"/>
    </w:pPr>
    <w:rPr>
      <w:rFonts w:ascii="Times New Roman" w:hAnsi="Times New Roman" w:eastAsia="宋体" w:cs="Times New Roman"/>
      <w:lang w:val="en-US" w:eastAsia="zh-CN" w:bidi="ar-SA"/>
    </w:rPr>
  </w:style>
  <w:style w:type="paragraph" w:customStyle="1" w:styleId="1965">
    <w:name w:val="标准正文一"/>
    <w:basedOn w:val="1"/>
    <w:qFormat/>
    <w:uiPriority w:val="0"/>
    <w:pPr>
      <w:widowControl/>
      <w:spacing w:before="240" w:line="480" w:lineRule="atLeast"/>
      <w:ind w:firstLine="540" w:firstLineChars="225"/>
      <w:jc w:val="left"/>
    </w:pPr>
    <w:rPr>
      <w:rFonts w:ascii="仿宋" w:hAnsi="Times New Roman" w:eastAsia="仿宋" w:cs="Times New Roman"/>
      <w:sz w:val="28"/>
      <w:szCs w:val="20"/>
    </w:rPr>
  </w:style>
  <w:style w:type="paragraph" w:customStyle="1" w:styleId="1966">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1967">
    <w:name w:val="表格 - 列头"/>
    <w:basedOn w:val="1"/>
    <w:qFormat/>
    <w:uiPriority w:val="0"/>
    <w:pPr>
      <w:keepNext/>
      <w:widowControl/>
      <w:tabs>
        <w:tab w:val="left" w:pos="420"/>
      </w:tabs>
      <w:spacing w:beforeLines="50" w:afterLines="50" w:line="312" w:lineRule="auto"/>
      <w:ind w:firstLine="200" w:firstLineChars="200"/>
      <w:jc w:val="left"/>
    </w:pPr>
    <w:rPr>
      <w:rFonts w:ascii="Arial" w:hAnsi="Arial" w:eastAsia="新宋体" w:cs="Times New Roman"/>
      <w:b/>
      <w:kern w:val="0"/>
      <w:sz w:val="28"/>
      <w:szCs w:val="20"/>
      <w:lang w:eastAsia="en-US"/>
    </w:rPr>
  </w:style>
  <w:style w:type="paragraph" w:customStyle="1" w:styleId="1968">
    <w:name w:val="样式 GB表格内容 + (中文) 新宋体 两端对齐"/>
    <w:basedOn w:val="1872"/>
    <w:qFormat/>
    <w:uiPriority w:val="0"/>
    <w:rPr>
      <w:rFonts w:cs="宋体"/>
      <w:szCs w:val="20"/>
    </w:rPr>
  </w:style>
  <w:style w:type="paragraph" w:customStyle="1" w:styleId="1969">
    <w:name w:val="正文本"/>
    <w:basedOn w:val="1"/>
    <w:qFormat/>
    <w:uiPriority w:val="99"/>
    <w:pPr>
      <w:spacing w:line="360" w:lineRule="auto"/>
      <w:ind w:firstLine="200" w:firstLineChars="200"/>
    </w:pPr>
    <w:rPr>
      <w:rFonts w:ascii="宋体" w:hAnsi="Times New Roman" w:eastAsia="宋体" w:cs="Times New Roman"/>
      <w:sz w:val="24"/>
    </w:rPr>
  </w:style>
  <w:style w:type="paragraph" w:customStyle="1" w:styleId="1970">
    <w:name w:val="Code_ASN"/>
    <w:basedOn w:val="1"/>
    <w:qFormat/>
    <w:uiPriority w:val="0"/>
    <w:pPr>
      <w:keepLines/>
      <w:widowControl/>
      <w:spacing w:before="240" w:line="312" w:lineRule="auto"/>
      <w:jc w:val="left"/>
    </w:pPr>
    <w:rPr>
      <w:rFonts w:ascii="Courier New" w:hAnsi="Courier New" w:eastAsia="仿宋" w:cs="Times New Roman"/>
      <w:kern w:val="0"/>
      <w:sz w:val="16"/>
      <w:szCs w:val="20"/>
      <w:lang w:eastAsia="en-US"/>
    </w:rPr>
  </w:style>
  <w:style w:type="paragraph" w:customStyle="1" w:styleId="1971">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972">
    <w:name w:val="图内文字"/>
    <w:qFormat/>
    <w:uiPriority w:val="0"/>
    <w:rPr>
      <w:rFonts w:ascii="Times New Roman" w:hAnsi="Times New Roman" w:eastAsia="宋体" w:cs="Times New Roman"/>
      <w:kern w:val="2"/>
      <w:sz w:val="21"/>
      <w:szCs w:val="24"/>
      <w:lang w:val="en-US" w:eastAsia="zh-CN" w:bidi="ar-SA"/>
    </w:rPr>
  </w:style>
  <w:style w:type="paragraph" w:customStyle="1" w:styleId="197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974">
    <w:name w:val="样式 左侧:  0.26 厘米 首行缩进:  2 字符"/>
    <w:basedOn w:val="1"/>
    <w:qFormat/>
    <w:uiPriority w:val="0"/>
    <w:pPr>
      <w:widowControl/>
      <w:spacing w:before="240" w:line="312" w:lineRule="auto"/>
      <w:ind w:firstLine="200" w:firstLineChars="200"/>
      <w:jc w:val="left"/>
    </w:pPr>
    <w:rPr>
      <w:rFonts w:ascii="仿宋" w:hAnsi="Times New Roman" w:eastAsia="仿宋" w:cs="宋体"/>
      <w:sz w:val="28"/>
      <w:szCs w:val="20"/>
    </w:rPr>
  </w:style>
  <w:style w:type="paragraph" w:customStyle="1" w:styleId="1975">
    <w:name w:val="_Style 44"/>
    <w:basedOn w:val="23"/>
    <w:qFormat/>
    <w:uiPriority w:val="0"/>
    <w:pPr>
      <w:widowControl/>
    </w:pPr>
    <w:rPr>
      <w:rFonts w:ascii="Tahoma" w:hAnsi="Tahoma" w:eastAsia="宋体" w:cs="Times New Roman"/>
      <w:sz w:val="24"/>
    </w:rPr>
  </w:style>
  <w:style w:type="paragraph" w:customStyle="1" w:styleId="1976">
    <w:name w:val="标准书脚_偶数页"/>
    <w:qFormat/>
    <w:uiPriority w:val="0"/>
    <w:pPr>
      <w:spacing w:before="120"/>
    </w:pPr>
    <w:rPr>
      <w:rFonts w:ascii="Times New Roman" w:hAnsi="Times New Roman" w:eastAsia="宋体" w:cs="Times New Roman"/>
      <w:sz w:val="18"/>
      <w:lang w:val="en-US" w:eastAsia="zh-CN" w:bidi="ar-SA"/>
    </w:rPr>
  </w:style>
  <w:style w:type="table" w:customStyle="1" w:styleId="1977">
    <w:name w:val="网格型1"/>
    <w:basedOn w:val="67"/>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78">
    <w:name w:val="正文缩进{858D7CFB-ED40-4347-BF05-701D383B685F}{858D7CFB-ED40-4347-BF05-701D383B685F}"/>
    <w:basedOn w:val="1"/>
    <w:qFormat/>
    <w:uiPriority w:val="0"/>
    <w:pPr>
      <w:autoSpaceDE w:val="0"/>
      <w:autoSpaceDN w:val="0"/>
      <w:spacing w:line="315" w:lineRule="atLeast"/>
      <w:ind w:firstLine="420"/>
      <w:jc w:val="left"/>
    </w:pPr>
    <w:rPr>
      <w:rFonts w:hint="eastAsia" w:ascii="楷体_GB2312" w:hAnsi="Times New Roman" w:eastAsia="楷体_GB2312" w:cs="Times New Roman"/>
      <w:kern w:val="0"/>
      <w:sz w:val="28"/>
    </w:rPr>
  </w:style>
  <w:style w:type="paragraph" w:customStyle="1" w:styleId="1979">
    <w:name w:val="Char Char Char Char Char Char Char2"/>
    <w:basedOn w:val="1"/>
    <w:qFormat/>
    <w:uiPriority w:val="0"/>
    <w:rPr>
      <w:rFonts w:ascii="Calibri" w:hAnsi="Calibri" w:eastAsia="宋体" w:cs="Times New Roman"/>
    </w:rPr>
  </w:style>
  <w:style w:type="paragraph" w:customStyle="1" w:styleId="1980">
    <w:name w:val="普通(网站)21"/>
    <w:basedOn w:val="1"/>
    <w:qFormat/>
    <w:uiPriority w:val="0"/>
    <w:pPr>
      <w:widowControl/>
      <w:spacing w:before="100" w:beforeAutospacing="1" w:after="100" w:afterAutospacing="1"/>
      <w:jc w:val="left"/>
    </w:pPr>
    <w:rPr>
      <w:rFonts w:ascii="宋体" w:hAnsi="宋体" w:eastAsia="宋体" w:cs="Times New Roman"/>
      <w:kern w:val="0"/>
      <w:sz w:val="24"/>
    </w:rPr>
  </w:style>
  <w:style w:type="character" w:customStyle="1" w:styleId="1981">
    <w:name w:val="标题1 Char"/>
    <w:qFormat/>
    <w:uiPriority w:val="0"/>
    <w:rPr>
      <w:rFonts w:ascii="Times New Roman" w:hAnsi="Times New Roman"/>
      <w:b/>
      <w:bCs/>
      <w:kern w:val="44"/>
      <w:sz w:val="44"/>
      <w:szCs w:val="44"/>
    </w:rPr>
  </w:style>
  <w:style w:type="character" w:customStyle="1" w:styleId="1982">
    <w:name w:val="title-text"/>
    <w:qFormat/>
    <w:uiPriority w:val="0"/>
  </w:style>
  <w:style w:type="character" w:customStyle="1" w:styleId="1983">
    <w:name w:val="Char Char2011"/>
    <w:qFormat/>
    <w:uiPriority w:val="0"/>
    <w:rPr>
      <w:rFonts w:eastAsia="宋体"/>
      <w:b/>
      <w:bCs/>
      <w:kern w:val="2"/>
      <w:sz w:val="32"/>
      <w:szCs w:val="32"/>
      <w:lang w:val="en-US" w:eastAsia="zh-CN" w:bidi="ar-SA"/>
    </w:rPr>
  </w:style>
  <w:style w:type="character" w:customStyle="1" w:styleId="1984">
    <w:name w:val="Char Char2161"/>
    <w:qFormat/>
    <w:uiPriority w:val="0"/>
    <w:rPr>
      <w:rFonts w:ascii="Arial" w:hAnsi="Arial" w:eastAsia="黑体"/>
      <w:b/>
      <w:bCs/>
      <w:kern w:val="2"/>
      <w:sz w:val="32"/>
      <w:szCs w:val="32"/>
      <w:lang w:val="en-US" w:eastAsia="zh-CN" w:bidi="ar-SA"/>
    </w:rPr>
  </w:style>
  <w:style w:type="character" w:customStyle="1" w:styleId="1985">
    <w:name w:val="注释标题 Char1"/>
    <w:semiHidden/>
    <w:qFormat/>
    <w:uiPriority w:val="0"/>
    <w:rPr>
      <w:rFonts w:ascii="Times New Roman" w:hAnsi="Times New Roman" w:eastAsia="宋体" w:cs="Times New Roman"/>
      <w:szCs w:val="24"/>
    </w:rPr>
  </w:style>
  <w:style w:type="character" w:customStyle="1" w:styleId="1986">
    <w:name w:val="z-窗体底端 Char1"/>
    <w:qFormat/>
    <w:uiPriority w:val="99"/>
    <w:rPr>
      <w:rFonts w:ascii="Arial" w:hAnsi="Arial" w:cs="Arial"/>
      <w:vanish/>
      <w:kern w:val="2"/>
      <w:sz w:val="16"/>
      <w:szCs w:val="16"/>
    </w:rPr>
  </w:style>
  <w:style w:type="character" w:customStyle="1" w:styleId="1987">
    <w:name w:val="标准段落正文 Char1"/>
    <w:link w:val="1988"/>
    <w:qFormat/>
    <w:uiPriority w:val="0"/>
    <w:rPr>
      <w:rFonts w:cs="宋体"/>
      <w:sz w:val="24"/>
    </w:rPr>
  </w:style>
  <w:style w:type="paragraph" w:customStyle="1" w:styleId="1988">
    <w:name w:val="标准段落正文"/>
    <w:basedOn w:val="1"/>
    <w:link w:val="1987"/>
    <w:qFormat/>
    <w:uiPriority w:val="0"/>
    <w:pPr>
      <w:spacing w:line="312" w:lineRule="auto"/>
      <w:ind w:firstLine="480"/>
    </w:pPr>
    <w:rPr>
      <w:rFonts w:cs="宋体"/>
      <w:sz w:val="24"/>
    </w:rPr>
  </w:style>
  <w:style w:type="character" w:customStyle="1" w:styleId="1989">
    <w:name w:val="Char Char191"/>
    <w:qFormat/>
    <w:uiPriority w:val="0"/>
    <w:rPr>
      <w:rFonts w:ascii="Arial" w:hAnsi="Arial" w:eastAsia="黑体"/>
      <w:b/>
      <w:bCs/>
      <w:kern w:val="2"/>
      <w:sz w:val="32"/>
      <w:szCs w:val="32"/>
      <w:lang w:val="en-US" w:eastAsia="zh-CN" w:bidi="ar-SA"/>
    </w:rPr>
  </w:style>
  <w:style w:type="paragraph" w:customStyle="1" w:styleId="1990">
    <w:name w:val="z-窗体顶端2"/>
    <w:basedOn w:val="1"/>
    <w:next w:val="1"/>
    <w:link w:val="1991"/>
    <w:unhideWhenUsed/>
    <w:qFormat/>
    <w:uiPriority w:val="0"/>
    <w:pPr>
      <w:widowControl/>
      <w:pBdr>
        <w:bottom w:val="single" w:color="auto" w:sz="6" w:space="1"/>
      </w:pBdr>
      <w:jc w:val="center"/>
    </w:pPr>
    <w:rPr>
      <w:rFonts w:ascii="Arial" w:hAnsi="Arial" w:eastAsia="宋体" w:cs="Times New Roman"/>
      <w:vanish/>
      <w:kern w:val="0"/>
      <w:sz w:val="16"/>
      <w:szCs w:val="16"/>
    </w:rPr>
  </w:style>
  <w:style w:type="character" w:customStyle="1" w:styleId="1991">
    <w:name w:val="z-窗体顶端 字符"/>
    <w:basedOn w:val="69"/>
    <w:link w:val="1990"/>
    <w:qFormat/>
    <w:uiPriority w:val="0"/>
    <w:rPr>
      <w:rFonts w:ascii="Arial" w:hAnsi="Arial" w:eastAsia="宋体" w:cs="Times New Roman"/>
      <w:vanish/>
      <w:kern w:val="0"/>
      <w:sz w:val="16"/>
      <w:szCs w:val="16"/>
    </w:rPr>
  </w:style>
  <w:style w:type="character" w:customStyle="1" w:styleId="1992">
    <w:name w:val="z-窗体顶端 Char1"/>
    <w:semiHidden/>
    <w:qFormat/>
    <w:uiPriority w:val="99"/>
    <w:rPr>
      <w:rFonts w:ascii="Arial" w:hAnsi="Arial" w:eastAsia="宋体" w:cs="Arial"/>
      <w:vanish/>
      <w:kern w:val="2"/>
      <w:sz w:val="16"/>
      <w:szCs w:val="16"/>
    </w:rPr>
  </w:style>
  <w:style w:type="paragraph" w:customStyle="1" w:styleId="1993">
    <w:name w:val="z-窗体顶端11"/>
    <w:basedOn w:val="1"/>
    <w:next w:val="1"/>
    <w:unhideWhenUsed/>
    <w:qFormat/>
    <w:uiPriority w:val="0"/>
    <w:pPr>
      <w:pBdr>
        <w:bottom w:val="single" w:color="auto" w:sz="6" w:space="1"/>
      </w:pBdr>
      <w:jc w:val="center"/>
    </w:pPr>
    <w:rPr>
      <w:rFonts w:ascii="Arial" w:hAnsi="Arial" w:eastAsia="宋体" w:cs="Times New Roman"/>
      <w:vanish/>
      <w:sz w:val="16"/>
      <w:szCs w:val="16"/>
    </w:rPr>
  </w:style>
  <w:style w:type="paragraph" w:customStyle="1" w:styleId="1994">
    <w:name w:val="z-窗体底端2"/>
    <w:basedOn w:val="1"/>
    <w:next w:val="1"/>
    <w:link w:val="1995"/>
    <w:unhideWhenUsed/>
    <w:qFormat/>
    <w:uiPriority w:val="0"/>
    <w:pPr>
      <w:widowControl/>
      <w:pBdr>
        <w:top w:val="single" w:color="auto" w:sz="6" w:space="1"/>
      </w:pBdr>
      <w:jc w:val="center"/>
    </w:pPr>
    <w:rPr>
      <w:rFonts w:ascii="Calibri" w:hAnsi="Calibri" w:eastAsia="宋体" w:cs="Times New Roman"/>
      <w:szCs w:val="22"/>
    </w:rPr>
  </w:style>
  <w:style w:type="character" w:customStyle="1" w:styleId="1995">
    <w:name w:val="z-窗体底端 字符1"/>
    <w:basedOn w:val="69"/>
    <w:link w:val="1994"/>
    <w:qFormat/>
    <w:uiPriority w:val="0"/>
    <w:rPr>
      <w:rFonts w:ascii="Calibri" w:hAnsi="Calibri" w:eastAsia="宋体" w:cs="Times New Roman"/>
      <w:szCs w:val="22"/>
    </w:rPr>
  </w:style>
  <w:style w:type="character" w:customStyle="1" w:styleId="1996">
    <w:name w:val="z-窗体底端 Char2"/>
    <w:semiHidden/>
    <w:qFormat/>
    <w:uiPriority w:val="99"/>
    <w:rPr>
      <w:rFonts w:ascii="Arial" w:hAnsi="Arial" w:eastAsia="宋体" w:cs="Arial"/>
      <w:vanish/>
      <w:kern w:val="2"/>
      <w:sz w:val="16"/>
      <w:szCs w:val="16"/>
    </w:rPr>
  </w:style>
  <w:style w:type="paragraph" w:customStyle="1" w:styleId="1997">
    <w:name w:val="中等深浅列表 2 - 强调文字颜色 21"/>
    <w:semiHidden/>
    <w:qFormat/>
    <w:uiPriority w:val="0"/>
    <w:rPr>
      <w:rFonts w:ascii="Calibri" w:hAnsi="Calibri" w:eastAsia="宋体" w:cs="Times New Roman"/>
      <w:kern w:val="2"/>
      <w:sz w:val="21"/>
      <w:szCs w:val="22"/>
      <w:lang w:val="en-US" w:eastAsia="zh-CN" w:bidi="ar-SA"/>
    </w:rPr>
  </w:style>
  <w:style w:type="paragraph" w:customStyle="1" w:styleId="1998">
    <w:name w:val="正文缩进2字 Char"/>
    <w:qFormat/>
    <w:uiPriority w:val="0"/>
    <w:pPr>
      <w:snapToGrid w:val="0"/>
      <w:spacing w:beforeLines="50" w:line="360" w:lineRule="auto"/>
      <w:ind w:firstLine="200" w:firstLineChars="200"/>
    </w:pPr>
    <w:rPr>
      <w:rFonts w:ascii="Times New Roman" w:hAnsi="Times New Roman" w:eastAsia="宋体" w:cs="Times New Roman"/>
      <w:lang w:val="en-US" w:eastAsia="zh-CN" w:bidi="ar-SA"/>
    </w:rPr>
  </w:style>
  <w:style w:type="paragraph" w:customStyle="1" w:styleId="1999">
    <w:name w:val="列出段落31"/>
    <w:basedOn w:val="1"/>
    <w:qFormat/>
    <w:uiPriority w:val="34"/>
    <w:pPr>
      <w:ind w:firstLine="420" w:firstLineChars="200"/>
    </w:pPr>
    <w:rPr>
      <w:rFonts w:ascii="Times New Roman" w:hAnsi="Times New Roman" w:eastAsia="宋体" w:cs="Times New Roman"/>
      <w:szCs w:val="20"/>
    </w:rPr>
  </w:style>
  <w:style w:type="table" w:customStyle="1" w:styleId="2000">
    <w:name w:val="Table"/>
    <w:basedOn w:val="68"/>
    <w:qFormat/>
    <w:uiPriority w:val="0"/>
    <w:pPr>
      <w:widowControl w:val="0"/>
      <w:snapToGrid w:val="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character" w:customStyle="1" w:styleId="2001">
    <w:name w:val="正文首行缩进 2 字符"/>
    <w:qFormat/>
    <w:uiPriority w:val="0"/>
  </w:style>
  <w:style w:type="paragraph" w:customStyle="1" w:styleId="2002">
    <w:name w:val="_Style 1554"/>
    <w:basedOn w:val="1"/>
    <w:next w:val="237"/>
    <w:qFormat/>
    <w:uiPriority w:val="34"/>
    <w:pPr>
      <w:widowControl/>
      <w:ind w:left="720"/>
      <w:contextualSpacing/>
      <w:jc w:val="left"/>
    </w:pPr>
    <w:rPr>
      <w:rFonts w:ascii="Calibri" w:hAnsi="Calibri" w:eastAsia="Times New Roman" w:cs="Times New Roman"/>
      <w:kern w:val="0"/>
      <w:sz w:val="24"/>
    </w:rPr>
  </w:style>
  <w:style w:type="paragraph" w:customStyle="1" w:styleId="2003">
    <w:name w:val="_Style 174"/>
    <w:qFormat/>
    <w:uiPriority w:val="99"/>
    <w:pPr>
      <w:widowControl w:val="0"/>
      <w:jc w:val="both"/>
    </w:pPr>
    <w:rPr>
      <w:rFonts w:ascii="Calibri" w:hAnsi="Calibri" w:eastAsia="宋体" w:cs="Times New Roman"/>
      <w:kern w:val="2"/>
      <w:sz w:val="21"/>
      <w:szCs w:val="24"/>
      <w:lang w:val="en-US" w:eastAsia="zh-CN" w:bidi="ar-SA"/>
    </w:rPr>
  </w:style>
  <w:style w:type="paragraph" w:customStyle="1" w:styleId="2004">
    <w:name w:val="Char21"/>
    <w:basedOn w:val="1"/>
    <w:qFormat/>
    <w:uiPriority w:val="0"/>
    <w:pPr>
      <w:tabs>
        <w:tab w:val="left" w:pos="360"/>
      </w:tabs>
    </w:pPr>
    <w:rPr>
      <w:rFonts w:ascii="Times New Roman" w:hAnsi="Times New Roman" w:eastAsia="宋体" w:cs="Times New Roman"/>
      <w:sz w:val="24"/>
    </w:rPr>
  </w:style>
  <w:style w:type="paragraph" w:customStyle="1" w:styleId="2005">
    <w:name w:val="_Style 188"/>
    <w:unhideWhenUsed/>
    <w:qFormat/>
    <w:uiPriority w:val="99"/>
    <w:pPr>
      <w:widowControl w:val="0"/>
      <w:jc w:val="both"/>
    </w:pPr>
    <w:rPr>
      <w:rFonts w:ascii="Calibri" w:hAnsi="Calibri" w:eastAsia="宋体" w:cs="Times New Roman"/>
      <w:kern w:val="2"/>
      <w:sz w:val="21"/>
      <w:szCs w:val="24"/>
      <w:lang w:val="en-US" w:eastAsia="zh-CN" w:bidi="ar-SA"/>
    </w:rPr>
  </w:style>
  <w:style w:type="character" w:customStyle="1" w:styleId="2006">
    <w:name w:val="Char Char292"/>
    <w:qFormat/>
    <w:uiPriority w:val="0"/>
    <w:rPr>
      <w:rFonts w:hint="eastAsia" w:ascii="宋体" w:hAnsi="宋体" w:eastAsia="宋体"/>
      <w:b/>
      <w:bCs/>
      <w:kern w:val="2"/>
      <w:sz w:val="32"/>
      <w:szCs w:val="32"/>
      <w:lang w:val="en-US" w:eastAsia="zh-CN" w:bidi="ar-SA"/>
    </w:rPr>
  </w:style>
  <w:style w:type="character" w:customStyle="1" w:styleId="2007">
    <w:name w:val="尾注文本 Char"/>
    <w:qFormat/>
    <w:uiPriority w:val="99"/>
    <w:rPr>
      <w:rFonts w:ascii="Times New Roman" w:hAnsi="Times New Roman" w:eastAsia="宋体" w:cs="Times New Roman"/>
      <w:kern w:val="2"/>
      <w:sz w:val="21"/>
      <w:szCs w:val="24"/>
    </w:rPr>
  </w:style>
  <w:style w:type="paragraph" w:customStyle="1" w:styleId="2008">
    <w:name w:val="_Style 1583"/>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2009">
    <w:name w:val="z-窗体顶端 字符1"/>
    <w:qFormat/>
    <w:uiPriority w:val="0"/>
    <w:rPr>
      <w:rFonts w:ascii="Arial" w:hAnsi="Arial" w:cs="Arial"/>
      <w:vanish/>
      <w:sz w:val="16"/>
      <w:szCs w:val="16"/>
    </w:rPr>
  </w:style>
  <w:style w:type="character" w:customStyle="1" w:styleId="2010">
    <w:name w:val="Char Char47"/>
    <w:qFormat/>
    <w:uiPriority w:val="99"/>
    <w:rPr>
      <w:rFonts w:ascii="Arial" w:hAnsi="Arial" w:eastAsia="黑体" w:cs="Arial"/>
      <w:b/>
      <w:kern w:val="2"/>
      <w:sz w:val="32"/>
      <w:szCs w:val="32"/>
      <w:lang w:val="en-US" w:eastAsia="zh-CN"/>
    </w:rPr>
  </w:style>
  <w:style w:type="character" w:customStyle="1" w:styleId="2011">
    <w:name w:val="current"/>
    <w:qFormat/>
    <w:uiPriority w:val="0"/>
    <w:rPr>
      <w:b/>
      <w:color w:val="FFFFFF"/>
      <w:bdr w:val="single" w:color="000099" w:sz="6" w:space="0"/>
      <w:shd w:val="clear" w:color="auto" w:fill="000099"/>
    </w:rPr>
  </w:style>
  <w:style w:type="character" w:customStyle="1" w:styleId="2012">
    <w:name w:val="Heading 9 Char"/>
    <w:qFormat/>
    <w:uiPriority w:val="0"/>
    <w:rPr>
      <w:rFonts w:ascii="Arial" w:hAnsi="Arial" w:eastAsia="黑体"/>
      <w:sz w:val="21"/>
      <w:szCs w:val="21"/>
      <w:lang w:val="en-US" w:eastAsia="zh-CN" w:bidi="ar-SA"/>
    </w:rPr>
  </w:style>
  <w:style w:type="character" w:customStyle="1" w:styleId="2013">
    <w:name w:val="lemmatitleh1"/>
    <w:qFormat/>
    <w:uiPriority w:val="99"/>
  </w:style>
  <w:style w:type="character" w:customStyle="1" w:styleId="2014">
    <w:name w:val="Char Char102"/>
    <w:qFormat/>
    <w:uiPriority w:val="0"/>
    <w:rPr>
      <w:b/>
      <w:kern w:val="44"/>
      <w:sz w:val="44"/>
    </w:rPr>
  </w:style>
  <w:style w:type="character" w:customStyle="1" w:styleId="2015">
    <w:name w:val="Char Char471"/>
    <w:qFormat/>
    <w:uiPriority w:val="0"/>
    <w:rPr>
      <w:rFonts w:ascii="Arial" w:hAnsi="Arial" w:eastAsia="黑体"/>
      <w:b/>
      <w:bCs/>
      <w:kern w:val="2"/>
      <w:sz w:val="32"/>
      <w:szCs w:val="32"/>
      <w:lang w:val="en-US" w:eastAsia="zh-CN" w:bidi="ar-SA"/>
    </w:rPr>
  </w:style>
  <w:style w:type="character" w:customStyle="1" w:styleId="2016">
    <w:name w:val="标题3 Char"/>
    <w:link w:val="2017"/>
    <w:qFormat/>
    <w:uiPriority w:val="0"/>
    <w:rPr>
      <w:b/>
      <w:bCs/>
      <w:sz w:val="28"/>
      <w:szCs w:val="28"/>
    </w:rPr>
  </w:style>
  <w:style w:type="paragraph" w:customStyle="1" w:styleId="2017">
    <w:name w:val="标题3"/>
    <w:basedOn w:val="6"/>
    <w:link w:val="2016"/>
    <w:qFormat/>
    <w:uiPriority w:val="0"/>
    <w:pPr>
      <w:tabs>
        <w:tab w:val="left" w:pos="720"/>
      </w:tabs>
      <w:spacing w:before="0" w:after="0" w:line="480" w:lineRule="exact"/>
      <w:ind w:left="720" w:hanging="432"/>
      <w:jc w:val="left"/>
    </w:pPr>
    <w:rPr>
      <w:sz w:val="28"/>
      <w:szCs w:val="28"/>
    </w:rPr>
  </w:style>
  <w:style w:type="character" w:customStyle="1" w:styleId="2018">
    <w:name w:val="select-info"/>
    <w:qFormat/>
    <w:uiPriority w:val="0"/>
  </w:style>
  <w:style w:type="character" w:customStyle="1" w:styleId="2019">
    <w:name w:val="正文首行缩进 2 Char4"/>
    <w:qFormat/>
    <w:uiPriority w:val="99"/>
    <w:rPr>
      <w:rFonts w:ascii="宋体" w:hAnsi="宋体"/>
      <w:kern w:val="2"/>
      <w:sz w:val="21"/>
      <w:szCs w:val="24"/>
    </w:rPr>
  </w:style>
  <w:style w:type="character" w:customStyle="1" w:styleId="2020">
    <w:name w:val="Char Char481"/>
    <w:qFormat/>
    <w:uiPriority w:val="0"/>
    <w:rPr>
      <w:rFonts w:eastAsia="宋体"/>
      <w:b/>
      <w:bCs/>
      <w:kern w:val="44"/>
      <w:sz w:val="44"/>
      <w:szCs w:val="44"/>
      <w:lang w:val="en-US" w:eastAsia="zh-CN" w:bidi="ar-SA"/>
    </w:rPr>
  </w:style>
  <w:style w:type="character" w:customStyle="1" w:styleId="2021">
    <w:name w:val="disabled"/>
    <w:qFormat/>
    <w:uiPriority w:val="0"/>
    <w:rPr>
      <w:color w:val="DDDDDD"/>
      <w:bdr w:val="single" w:color="EEEEEE" w:sz="6" w:space="0"/>
    </w:rPr>
  </w:style>
  <w:style w:type="character" w:customStyle="1" w:styleId="2022">
    <w:name w:val="Heading 6 Char"/>
    <w:qFormat/>
    <w:uiPriority w:val="0"/>
    <w:rPr>
      <w:rFonts w:ascii="Arial" w:hAnsi="Arial" w:eastAsia="黑体"/>
      <w:b/>
      <w:bCs/>
      <w:sz w:val="24"/>
      <w:szCs w:val="24"/>
      <w:lang w:val="en-US" w:eastAsia="zh-CN" w:bidi="ar-SA"/>
    </w:rPr>
  </w:style>
  <w:style w:type="character" w:customStyle="1" w:styleId="2023">
    <w:name w:val="Char Char101"/>
    <w:qFormat/>
    <w:uiPriority w:val="0"/>
    <w:rPr>
      <w:b/>
      <w:kern w:val="44"/>
      <w:sz w:val="44"/>
    </w:rPr>
  </w:style>
  <w:style w:type="character" w:customStyle="1" w:styleId="2024">
    <w:name w:val="hover14"/>
    <w:qFormat/>
    <w:uiPriority w:val="0"/>
    <w:rPr>
      <w:shd w:val="clear" w:color="auto" w:fill="EEEEEE"/>
    </w:rPr>
  </w:style>
  <w:style w:type="character" w:customStyle="1" w:styleId="2025">
    <w:name w:val="尾注文本 Char1"/>
    <w:qFormat/>
    <w:uiPriority w:val="99"/>
    <w:rPr>
      <w:kern w:val="2"/>
      <w:sz w:val="21"/>
      <w:szCs w:val="24"/>
    </w:rPr>
  </w:style>
  <w:style w:type="character" w:customStyle="1" w:styleId="2026">
    <w:name w:val="Char Char201"/>
    <w:qFormat/>
    <w:uiPriority w:val="0"/>
    <w:rPr>
      <w:rFonts w:ascii="Times New Roman" w:hAnsi="Times New Roman" w:eastAsia="宋体"/>
      <w:b/>
      <w:bCs/>
      <w:sz w:val="28"/>
      <w:szCs w:val="32"/>
    </w:rPr>
  </w:style>
  <w:style w:type="character" w:customStyle="1" w:styleId="2027">
    <w:name w:val="skype_pnh_text_span"/>
    <w:qFormat/>
    <w:uiPriority w:val="0"/>
    <w:rPr>
      <w:rFonts w:cs="Times New Roman"/>
    </w:rPr>
  </w:style>
  <w:style w:type="character" w:customStyle="1" w:styleId="2028">
    <w:name w:val="Document Map Char"/>
    <w:qFormat/>
    <w:uiPriority w:val="0"/>
    <w:rPr>
      <w:rFonts w:eastAsia="宋体"/>
      <w:kern w:val="2"/>
      <w:sz w:val="21"/>
      <w:szCs w:val="24"/>
      <w:lang w:val="en-US" w:eastAsia="zh-CN" w:bidi="ar-SA"/>
    </w:rPr>
  </w:style>
  <w:style w:type="character" w:customStyle="1" w:styleId="2029">
    <w:name w:val="Char Char262"/>
    <w:qFormat/>
    <w:uiPriority w:val="0"/>
    <w:rPr>
      <w:rFonts w:ascii="Arial" w:hAnsi="Arial" w:eastAsia="黑体"/>
      <w:b/>
      <w:bCs/>
      <w:sz w:val="24"/>
      <w:szCs w:val="24"/>
      <w:lang w:val="en-US" w:eastAsia="zh-CN" w:bidi="ar-SA"/>
    </w:rPr>
  </w:style>
  <w:style w:type="character" w:customStyle="1" w:styleId="2030">
    <w:name w:val="批注主题 Char5"/>
    <w:semiHidden/>
    <w:qFormat/>
    <w:uiPriority w:val="99"/>
    <w:rPr>
      <w:rFonts w:ascii="宋体" w:hAnsi="Times New Roman" w:cs="宋体"/>
      <w:b/>
      <w:bCs/>
      <w:sz w:val="22"/>
      <w:szCs w:val="22"/>
    </w:rPr>
  </w:style>
  <w:style w:type="character" w:customStyle="1" w:styleId="2031">
    <w:name w:val="Heading 7 Char"/>
    <w:qFormat/>
    <w:uiPriority w:val="0"/>
    <w:rPr>
      <w:rFonts w:eastAsia="宋体"/>
      <w:b/>
      <w:bCs/>
      <w:sz w:val="24"/>
      <w:szCs w:val="24"/>
      <w:lang w:val="en-US" w:eastAsia="zh-CN" w:bidi="ar-SA"/>
    </w:rPr>
  </w:style>
  <w:style w:type="character" w:customStyle="1" w:styleId="2032">
    <w:name w:val="Char Char2411"/>
    <w:qFormat/>
    <w:uiPriority w:val="0"/>
    <w:rPr>
      <w:rFonts w:ascii="Arial" w:hAnsi="Arial" w:eastAsia="黑体"/>
      <w:sz w:val="24"/>
      <w:szCs w:val="24"/>
      <w:lang w:val="en-US" w:eastAsia="zh-CN" w:bidi="ar-SA"/>
    </w:rPr>
  </w:style>
  <w:style w:type="character" w:customStyle="1" w:styleId="2033">
    <w:name w:val="skype_pnh_left_span"/>
    <w:qFormat/>
    <w:uiPriority w:val="0"/>
    <w:rPr>
      <w:rFonts w:cs="Times New Roman"/>
    </w:rPr>
  </w:style>
  <w:style w:type="character" w:customStyle="1" w:styleId="2034">
    <w:name w:val="skype_pnh_container"/>
    <w:qFormat/>
    <w:uiPriority w:val="0"/>
    <w:rPr>
      <w:rFonts w:cs="Times New Roman"/>
    </w:rPr>
  </w:style>
  <w:style w:type="character" w:customStyle="1" w:styleId="2035">
    <w:name w:val="Body Text 2 Char"/>
    <w:qFormat/>
    <w:uiPriority w:val="0"/>
    <w:rPr>
      <w:rFonts w:eastAsia="宋体"/>
      <w:kern w:val="2"/>
      <w:sz w:val="24"/>
      <w:lang w:val="en-US" w:eastAsia="zh-CN" w:bidi="ar-SA"/>
    </w:rPr>
  </w:style>
  <w:style w:type="character" w:customStyle="1" w:styleId="2036">
    <w:name w:val="标题1"/>
    <w:qFormat/>
    <w:uiPriority w:val="0"/>
  </w:style>
  <w:style w:type="character" w:customStyle="1" w:styleId="2037">
    <w:name w:val="Heading 5 Char"/>
    <w:qFormat/>
    <w:uiPriority w:val="0"/>
    <w:rPr>
      <w:rFonts w:eastAsia="宋体"/>
      <w:b/>
      <w:bCs/>
      <w:kern w:val="2"/>
      <w:sz w:val="28"/>
      <w:szCs w:val="28"/>
      <w:lang w:val="en-US" w:eastAsia="zh-CN" w:bidi="ar-SA"/>
    </w:rPr>
  </w:style>
  <w:style w:type="character" w:customStyle="1" w:styleId="2038">
    <w:name w:val="SMW Heading 2 字元"/>
    <w:link w:val="2039"/>
    <w:qFormat/>
    <w:uiPriority w:val="0"/>
    <w:rPr>
      <w:rFonts w:eastAsia="PMingLiU"/>
      <w:b/>
      <w:sz w:val="24"/>
      <w:lang w:eastAsia="en-US"/>
    </w:rPr>
  </w:style>
  <w:style w:type="paragraph" w:customStyle="1" w:styleId="2039">
    <w:name w:val="SMW Heading 2"/>
    <w:basedOn w:val="1"/>
    <w:next w:val="2040"/>
    <w:link w:val="2038"/>
    <w:qFormat/>
    <w:uiPriority w:val="0"/>
    <w:pPr>
      <w:keepNext/>
      <w:widowControl/>
      <w:spacing w:after="240"/>
      <w:outlineLvl w:val="1"/>
    </w:pPr>
    <w:rPr>
      <w:rFonts w:eastAsia="PMingLiU"/>
      <w:b/>
      <w:sz w:val="24"/>
      <w:lang w:eastAsia="en-US"/>
    </w:rPr>
  </w:style>
  <w:style w:type="paragraph" w:customStyle="1" w:styleId="2040">
    <w:name w:val="Normal w/ Space after"/>
    <w:basedOn w:val="1"/>
    <w:qFormat/>
    <w:uiPriority w:val="0"/>
    <w:pPr>
      <w:widowControl/>
      <w:spacing w:after="240"/>
    </w:pPr>
    <w:rPr>
      <w:rFonts w:ascii="Times New Roman" w:hAnsi="Times New Roman" w:eastAsia="PMingLiU" w:cs="Times New Roman"/>
      <w:kern w:val="0"/>
      <w:sz w:val="24"/>
      <w:szCs w:val="20"/>
      <w:lang w:eastAsia="en-US"/>
    </w:rPr>
  </w:style>
  <w:style w:type="character" w:customStyle="1" w:styleId="2041">
    <w:name w:val="Comment Subject Char"/>
    <w:qFormat/>
    <w:uiPriority w:val="0"/>
    <w:rPr>
      <w:rFonts w:eastAsia="宋体"/>
      <w:b/>
      <w:bCs/>
      <w:kern w:val="2"/>
      <w:sz w:val="24"/>
      <w:szCs w:val="24"/>
      <w:lang w:val="en-US" w:eastAsia="zh-CN" w:bidi="ar-SA"/>
    </w:rPr>
  </w:style>
  <w:style w:type="character" w:customStyle="1" w:styleId="2042">
    <w:name w:val="引用 Char5"/>
    <w:qFormat/>
    <w:uiPriority w:val="29"/>
    <w:rPr>
      <w:rFonts w:ascii="宋体" w:hAnsi="Times New Roman" w:cs="宋体"/>
      <w:i/>
      <w:iCs/>
      <w:color w:val="000000"/>
      <w:sz w:val="22"/>
      <w:szCs w:val="22"/>
    </w:rPr>
  </w:style>
  <w:style w:type="character" w:customStyle="1" w:styleId="2043">
    <w:name w:val="Heading 4 Char"/>
    <w:qFormat/>
    <w:uiPriority w:val="0"/>
    <w:rPr>
      <w:rFonts w:ascii="Arial" w:hAnsi="Arial" w:eastAsia="黑体"/>
      <w:b/>
      <w:bCs/>
      <w:kern w:val="2"/>
      <w:sz w:val="28"/>
      <w:szCs w:val="28"/>
      <w:lang w:val="en-US" w:eastAsia="zh-CN" w:bidi="ar-SA"/>
    </w:rPr>
  </w:style>
  <w:style w:type="character" w:customStyle="1" w:styleId="2044">
    <w:name w:val="skype_pnh_dropart_span"/>
    <w:qFormat/>
    <w:uiPriority w:val="0"/>
    <w:rPr>
      <w:rFonts w:cs="Times New Roman"/>
    </w:rPr>
  </w:style>
  <w:style w:type="character" w:customStyle="1" w:styleId="2045">
    <w:name w:val="skype_pnh_dropart_flag_span"/>
    <w:qFormat/>
    <w:uiPriority w:val="0"/>
    <w:rPr>
      <w:rFonts w:cs="Times New Roman"/>
    </w:rPr>
  </w:style>
  <w:style w:type="character" w:customStyle="1" w:styleId="2046">
    <w:name w:val="明显强调112"/>
    <w:qFormat/>
    <w:uiPriority w:val="0"/>
    <w:rPr>
      <w:rFonts w:hint="default" w:ascii="Times New Roman" w:hAnsi="Times New Roman" w:cs="Times New Roman"/>
      <w:b/>
      <w:i/>
      <w:color w:val="4F81BD"/>
    </w:rPr>
  </w:style>
  <w:style w:type="character" w:customStyle="1" w:styleId="2047">
    <w:name w:val="Char Char2311"/>
    <w:qFormat/>
    <w:uiPriority w:val="0"/>
    <w:rPr>
      <w:rFonts w:ascii="Arial" w:hAnsi="Arial" w:eastAsia="黑体"/>
      <w:sz w:val="21"/>
      <w:szCs w:val="21"/>
      <w:lang w:val="en-US" w:eastAsia="zh-CN" w:bidi="ar-SA"/>
    </w:rPr>
  </w:style>
  <w:style w:type="character" w:customStyle="1" w:styleId="2048">
    <w:name w:val="Intense Quote Char1"/>
    <w:qFormat/>
    <w:uiPriority w:val="0"/>
    <w:rPr>
      <w:rFonts w:cs="Times New Roman"/>
      <w:b/>
      <w:bCs/>
      <w:i/>
      <w:iCs/>
      <w:color w:val="4F81BD"/>
      <w:sz w:val="24"/>
      <w:szCs w:val="24"/>
    </w:rPr>
  </w:style>
  <w:style w:type="character" w:customStyle="1" w:styleId="2049">
    <w:name w:val="浅色底纹 - 强调文字颜色 2 Char"/>
    <w:link w:val="2050"/>
    <w:qFormat/>
    <w:uiPriority w:val="0"/>
    <w:rPr>
      <w:b/>
      <w:bCs/>
      <w:i/>
      <w:iCs/>
      <w:color w:val="4F81BD"/>
    </w:rPr>
  </w:style>
  <w:style w:type="paragraph" w:customStyle="1" w:styleId="2050">
    <w:name w:val="浅色底纹 - 强调文字颜色 21"/>
    <w:basedOn w:val="1"/>
    <w:next w:val="1"/>
    <w:link w:val="2049"/>
    <w:qFormat/>
    <w:uiPriority w:val="0"/>
    <w:pPr>
      <w:pBdr>
        <w:bottom w:val="single" w:color="4F81BD" w:sz="4" w:space="4"/>
      </w:pBdr>
      <w:spacing w:before="200" w:after="280"/>
      <w:ind w:left="936" w:right="936"/>
    </w:pPr>
    <w:rPr>
      <w:b/>
      <w:bCs/>
      <w:i/>
      <w:iCs/>
      <w:color w:val="4F81BD"/>
    </w:rPr>
  </w:style>
  <w:style w:type="character" w:customStyle="1" w:styleId="2051">
    <w:name w:val="Char Char2711"/>
    <w:qFormat/>
    <w:uiPriority w:val="0"/>
    <w:rPr>
      <w:rFonts w:eastAsia="宋体"/>
      <w:b/>
      <w:kern w:val="2"/>
      <w:sz w:val="28"/>
      <w:lang w:val="en-US" w:eastAsia="zh-CN" w:bidi="ar-SA"/>
    </w:rPr>
  </w:style>
  <w:style w:type="character" w:customStyle="1" w:styleId="2052">
    <w:name w:val="skype_pnh_mark"/>
    <w:qFormat/>
    <w:uiPriority w:val="0"/>
    <w:rPr>
      <w:rFonts w:cs="Times New Roman"/>
      <w:vanish/>
    </w:rPr>
  </w:style>
  <w:style w:type="character" w:customStyle="1" w:styleId="2053">
    <w:name w:val="Body Text 3 Char"/>
    <w:qFormat/>
    <w:uiPriority w:val="0"/>
    <w:rPr>
      <w:rFonts w:ascii="宋体" w:eastAsia="宋体"/>
      <w:kern w:val="2"/>
      <w:sz w:val="24"/>
      <w:lang w:val="en-US" w:eastAsia="zh-CN" w:bidi="ar-SA"/>
    </w:rPr>
  </w:style>
  <w:style w:type="character" w:customStyle="1" w:styleId="2054">
    <w:name w:val="彩色网格 - 强调文字颜色 1 Char"/>
    <w:link w:val="2055"/>
    <w:qFormat/>
    <w:uiPriority w:val="0"/>
    <w:rPr>
      <w:i/>
      <w:iCs/>
      <w:color w:val="000000"/>
    </w:rPr>
  </w:style>
  <w:style w:type="paragraph" w:customStyle="1" w:styleId="2055">
    <w:name w:val="彩色网格 - 强调文字颜色 11"/>
    <w:basedOn w:val="1"/>
    <w:next w:val="1"/>
    <w:link w:val="2054"/>
    <w:qFormat/>
    <w:uiPriority w:val="0"/>
    <w:rPr>
      <w:i/>
      <w:iCs/>
      <w:color w:val="000000"/>
    </w:rPr>
  </w:style>
  <w:style w:type="character" w:customStyle="1" w:styleId="2056">
    <w:name w:val="skype_pnh_print_container"/>
    <w:qFormat/>
    <w:uiPriority w:val="0"/>
    <w:rPr>
      <w:rFonts w:cs="Times New Roman"/>
    </w:rPr>
  </w:style>
  <w:style w:type="character" w:customStyle="1" w:styleId="2057">
    <w:name w:val="称呼 Char"/>
    <w:link w:val="2058"/>
    <w:qFormat/>
    <w:uiPriority w:val="0"/>
    <w:rPr>
      <w:rFonts w:ascii="宋体" w:hAnsi="宋体"/>
      <w:sz w:val="24"/>
    </w:rPr>
  </w:style>
  <w:style w:type="paragraph" w:customStyle="1" w:styleId="2058">
    <w:name w:val="称呼1"/>
    <w:basedOn w:val="1"/>
    <w:next w:val="1"/>
    <w:link w:val="2057"/>
    <w:qFormat/>
    <w:uiPriority w:val="0"/>
    <w:pPr>
      <w:ind w:firstLine="200" w:firstLineChars="200"/>
    </w:pPr>
    <w:rPr>
      <w:rFonts w:ascii="宋体" w:hAnsi="宋体"/>
      <w:sz w:val="24"/>
    </w:rPr>
  </w:style>
  <w:style w:type="character" w:customStyle="1" w:styleId="2059">
    <w:name w:val="Char Char2511"/>
    <w:qFormat/>
    <w:uiPriority w:val="0"/>
    <w:rPr>
      <w:rFonts w:eastAsia="宋体"/>
      <w:b/>
      <w:bCs/>
      <w:sz w:val="24"/>
      <w:szCs w:val="24"/>
      <w:lang w:val="en-US" w:eastAsia="zh-CN" w:bidi="ar-SA"/>
    </w:rPr>
  </w:style>
  <w:style w:type="character" w:customStyle="1" w:styleId="2060">
    <w:name w:val="Heading 8 Char"/>
    <w:qFormat/>
    <w:uiPriority w:val="0"/>
    <w:rPr>
      <w:rFonts w:ascii="Arial" w:hAnsi="Arial" w:eastAsia="黑体"/>
      <w:sz w:val="24"/>
      <w:szCs w:val="24"/>
      <w:lang w:val="en-US" w:eastAsia="zh-CN" w:bidi="ar-SA"/>
    </w:rPr>
  </w:style>
  <w:style w:type="character" w:customStyle="1" w:styleId="2061">
    <w:name w:val="Quote Char1"/>
    <w:qFormat/>
    <w:uiPriority w:val="0"/>
    <w:rPr>
      <w:rFonts w:cs="Times New Roman"/>
      <w:i/>
      <w:iCs/>
      <w:color w:val="000000"/>
      <w:sz w:val="24"/>
      <w:szCs w:val="24"/>
    </w:rPr>
  </w:style>
  <w:style w:type="character" w:customStyle="1" w:styleId="2062">
    <w:name w:val="Char Char282"/>
    <w:qFormat/>
    <w:uiPriority w:val="0"/>
    <w:rPr>
      <w:rFonts w:ascii="Arial" w:hAnsi="Arial" w:eastAsia="黑体"/>
      <w:b/>
      <w:bCs/>
      <w:kern w:val="2"/>
      <w:sz w:val="28"/>
      <w:szCs w:val="28"/>
      <w:lang w:val="en-US" w:eastAsia="zh-CN" w:bidi="ar-SA"/>
    </w:rPr>
  </w:style>
  <w:style w:type="character" w:customStyle="1" w:styleId="2063">
    <w:name w:val="skype_pnh_right_span"/>
    <w:qFormat/>
    <w:uiPriority w:val="0"/>
    <w:rPr>
      <w:rFonts w:cs="Times New Roman"/>
    </w:rPr>
  </w:style>
  <w:style w:type="character" w:customStyle="1" w:styleId="2064">
    <w:name w:val="标题2"/>
    <w:qFormat/>
    <w:uiPriority w:val="0"/>
  </w:style>
  <w:style w:type="character" w:customStyle="1" w:styleId="2065">
    <w:name w:val="明显引用 Char5"/>
    <w:qFormat/>
    <w:uiPriority w:val="30"/>
    <w:rPr>
      <w:rFonts w:ascii="宋体" w:hAnsi="Times New Roman" w:cs="宋体"/>
      <w:b/>
      <w:bCs/>
      <w:i/>
      <w:iCs/>
      <w:color w:val="4F81BD"/>
      <w:sz w:val="22"/>
      <w:szCs w:val="22"/>
    </w:rPr>
  </w:style>
  <w:style w:type="character" w:customStyle="1" w:styleId="2066">
    <w:name w:val="s1"/>
    <w:qFormat/>
    <w:uiPriority w:val="0"/>
    <w:rPr>
      <w:sz w:val="18"/>
      <w:szCs w:val="18"/>
    </w:rPr>
  </w:style>
  <w:style w:type="character" w:customStyle="1" w:styleId="2067">
    <w:name w:val="Char Char2211"/>
    <w:qFormat/>
    <w:uiPriority w:val="0"/>
    <w:rPr>
      <w:rFonts w:eastAsia="宋体"/>
      <w:b/>
      <w:bCs/>
      <w:kern w:val="44"/>
      <w:sz w:val="44"/>
      <w:szCs w:val="44"/>
      <w:lang w:val="en-US" w:eastAsia="zh-CN" w:bidi="ar-SA"/>
    </w:rPr>
  </w:style>
  <w:style w:type="character" w:customStyle="1" w:styleId="2068">
    <w:name w:val="批注文字 Char4"/>
    <w:semiHidden/>
    <w:qFormat/>
    <w:uiPriority w:val="99"/>
    <w:rPr>
      <w:rFonts w:ascii="宋体" w:hAnsi="Times New Roman" w:cs="宋体"/>
      <w:sz w:val="22"/>
      <w:szCs w:val="22"/>
    </w:rPr>
  </w:style>
  <w:style w:type="character" w:customStyle="1" w:styleId="2069">
    <w:name w:val="t-link30"/>
    <w:qFormat/>
    <w:uiPriority w:val="0"/>
  </w:style>
  <w:style w:type="character" w:customStyle="1" w:styleId="2070">
    <w:name w:val="Heading 1 Char1"/>
    <w:qFormat/>
    <w:uiPriority w:val="0"/>
    <w:rPr>
      <w:rFonts w:eastAsia="宋体"/>
      <w:b/>
      <w:bCs/>
      <w:kern w:val="44"/>
      <w:sz w:val="44"/>
      <w:szCs w:val="44"/>
      <w:lang w:val="en-US" w:eastAsia="zh-CN" w:bidi="ar-SA"/>
    </w:rPr>
  </w:style>
  <w:style w:type="character" w:customStyle="1" w:styleId="2071">
    <w:name w:val="Footnote Text Char"/>
    <w:qFormat/>
    <w:uiPriority w:val="0"/>
    <w:rPr>
      <w:rFonts w:eastAsia="宋体"/>
      <w:kern w:val="2"/>
      <w:lang w:val="en-US" w:eastAsia="zh-CN" w:bidi="ar-SA"/>
    </w:rPr>
  </w:style>
  <w:style w:type="character" w:customStyle="1" w:styleId="2072">
    <w:name w:val="明显参考112"/>
    <w:qFormat/>
    <w:uiPriority w:val="0"/>
    <w:rPr>
      <w:rFonts w:hint="default" w:ascii="Times New Roman" w:hAnsi="Times New Roman" w:cs="Times New Roman"/>
      <w:b/>
      <w:smallCaps/>
      <w:color w:val="C0504D"/>
      <w:spacing w:val="5"/>
      <w:u w:val="single"/>
    </w:rPr>
  </w:style>
  <w:style w:type="character" w:customStyle="1" w:styleId="2073">
    <w:name w:val="正文首行缩进 Char4"/>
    <w:qFormat/>
    <w:uiPriority w:val="99"/>
    <w:rPr>
      <w:rFonts w:ascii="宋体" w:hAnsi="宋体"/>
      <w:kern w:val="2"/>
      <w:sz w:val="21"/>
      <w:szCs w:val="24"/>
    </w:rPr>
  </w:style>
  <w:style w:type="character" w:customStyle="1" w:styleId="2074">
    <w:name w:val="明显参考111"/>
    <w:qFormat/>
    <w:uiPriority w:val="0"/>
    <w:rPr>
      <w:rFonts w:hint="default" w:ascii="Times New Roman" w:hAnsi="Times New Roman" w:cs="Times New Roman"/>
      <w:b/>
      <w:smallCaps/>
      <w:color w:val="C0504D"/>
      <w:spacing w:val="5"/>
      <w:u w:val="single"/>
    </w:rPr>
  </w:style>
  <w:style w:type="character" w:customStyle="1" w:styleId="2075">
    <w:name w:val="HTML Markup"/>
    <w:qFormat/>
    <w:uiPriority w:val="0"/>
    <w:rPr>
      <w:vanish/>
      <w:color w:val="FF0000"/>
    </w:rPr>
  </w:style>
  <w:style w:type="character" w:customStyle="1" w:styleId="2076">
    <w:name w:val="mail_session_title_tail"/>
    <w:qFormat/>
    <w:uiPriority w:val="99"/>
  </w:style>
  <w:style w:type="character" w:customStyle="1" w:styleId="2077">
    <w:name w:val="Char Char48"/>
    <w:qFormat/>
    <w:uiPriority w:val="99"/>
    <w:rPr>
      <w:rFonts w:ascii="宋体" w:hAnsi="宋体" w:eastAsia="宋体" w:cs="宋体"/>
      <w:b/>
      <w:kern w:val="44"/>
      <w:sz w:val="44"/>
      <w:szCs w:val="44"/>
      <w:lang w:val="en-US" w:eastAsia="zh-CN"/>
    </w:rPr>
  </w:style>
  <w:style w:type="character" w:customStyle="1" w:styleId="2078">
    <w:name w:val="hour_pm"/>
    <w:qFormat/>
    <w:uiPriority w:val="0"/>
  </w:style>
  <w:style w:type="character" w:customStyle="1" w:styleId="2079">
    <w:name w:val="Char Char221"/>
    <w:qFormat/>
    <w:uiPriority w:val="0"/>
    <w:rPr>
      <w:rFonts w:ascii="Arial" w:hAnsi="Arial" w:eastAsia="黑体"/>
      <w:sz w:val="24"/>
      <w:szCs w:val="24"/>
    </w:rPr>
  </w:style>
  <w:style w:type="character" w:customStyle="1" w:styleId="2080">
    <w:name w:val="so-ask-best"/>
    <w:qFormat/>
    <w:uiPriority w:val="0"/>
  </w:style>
  <w:style w:type="character" w:customStyle="1" w:styleId="2081">
    <w:name w:val="hover10"/>
    <w:qFormat/>
    <w:uiPriority w:val="0"/>
    <w:rPr>
      <w:color w:val="999999"/>
      <w:shd w:val="clear" w:color="auto" w:fill="EEEEEE"/>
    </w:rPr>
  </w:style>
  <w:style w:type="character" w:customStyle="1" w:styleId="2082">
    <w:name w:val="Char Char251"/>
    <w:qFormat/>
    <w:uiPriority w:val="0"/>
    <w:rPr>
      <w:b/>
      <w:bCs/>
      <w:kern w:val="2"/>
      <w:sz w:val="28"/>
      <w:szCs w:val="28"/>
    </w:rPr>
  </w:style>
  <w:style w:type="character" w:customStyle="1" w:styleId="2083">
    <w:name w:val="Char Char271"/>
    <w:qFormat/>
    <w:uiPriority w:val="0"/>
    <w:rPr>
      <w:b/>
      <w:bCs/>
      <w:kern w:val="2"/>
      <w:sz w:val="24"/>
      <w:szCs w:val="32"/>
    </w:rPr>
  </w:style>
  <w:style w:type="character" w:customStyle="1" w:styleId="2084">
    <w:name w:val="样式LD Char"/>
    <w:link w:val="2085"/>
    <w:qFormat/>
    <w:locked/>
    <w:uiPriority w:val="0"/>
    <w:rPr>
      <w:rFonts w:ascii="宋体" w:hAnsi="宋体"/>
      <w:sz w:val="24"/>
    </w:rPr>
  </w:style>
  <w:style w:type="paragraph" w:customStyle="1" w:styleId="2085">
    <w:name w:val="样式LD"/>
    <w:basedOn w:val="1"/>
    <w:link w:val="2084"/>
    <w:qFormat/>
    <w:uiPriority w:val="0"/>
    <w:pPr>
      <w:spacing w:line="360" w:lineRule="auto"/>
      <w:ind w:left="424" w:leftChars="202"/>
    </w:pPr>
    <w:rPr>
      <w:rFonts w:ascii="宋体" w:hAnsi="宋体"/>
      <w:sz w:val="24"/>
    </w:rPr>
  </w:style>
  <w:style w:type="character" w:customStyle="1" w:styleId="2086">
    <w:name w:val="Char Char51"/>
    <w:qFormat/>
    <w:uiPriority w:val="0"/>
    <w:rPr>
      <w:rFonts w:ascii="Arial" w:hAnsi="Arial" w:eastAsia="黑体"/>
      <w:b/>
      <w:bCs/>
      <w:kern w:val="2"/>
      <w:sz w:val="32"/>
      <w:szCs w:val="32"/>
    </w:rPr>
  </w:style>
  <w:style w:type="character" w:customStyle="1" w:styleId="2087">
    <w:name w:val="mail_session_title_main"/>
    <w:qFormat/>
    <w:uiPriority w:val="99"/>
  </w:style>
  <w:style w:type="character" w:customStyle="1" w:styleId="2088">
    <w:name w:val="bidbd"/>
    <w:qFormat/>
    <w:uiPriority w:val="0"/>
    <w:rPr>
      <w:b/>
      <w:sz w:val="18"/>
      <w:szCs w:val="18"/>
      <w:bdr w:val="single" w:color="009933" w:sz="6" w:space="0"/>
      <w:shd w:val="clear" w:color="auto" w:fill="DDFFE8"/>
    </w:rPr>
  </w:style>
  <w:style w:type="character" w:customStyle="1" w:styleId="2089">
    <w:name w:val="Char Char46"/>
    <w:qFormat/>
    <w:uiPriority w:val="99"/>
    <w:rPr>
      <w:rFonts w:ascii="宋体" w:hAnsi="宋体" w:eastAsia="宋体" w:cs="宋体"/>
      <w:b/>
      <w:kern w:val="2"/>
      <w:sz w:val="32"/>
      <w:szCs w:val="32"/>
      <w:lang w:val="en-US" w:eastAsia="zh-CN"/>
    </w:rPr>
  </w:style>
  <w:style w:type="character" w:customStyle="1" w:styleId="2090">
    <w:name w:val="Char Char241"/>
    <w:qFormat/>
    <w:uiPriority w:val="0"/>
    <w:rPr>
      <w:rFonts w:ascii="Arial" w:hAnsi="Arial" w:eastAsia="黑体"/>
      <w:b/>
      <w:bCs/>
      <w:sz w:val="24"/>
      <w:szCs w:val="24"/>
    </w:rPr>
  </w:style>
  <w:style w:type="character" w:customStyle="1" w:styleId="2091">
    <w:name w:val="Char Char461"/>
    <w:qFormat/>
    <w:locked/>
    <w:uiPriority w:val="0"/>
    <w:rPr>
      <w:rFonts w:eastAsia="宋体"/>
      <w:b/>
      <w:bCs/>
      <w:kern w:val="2"/>
      <w:sz w:val="32"/>
      <w:szCs w:val="32"/>
      <w:lang w:val="en-US" w:eastAsia="zh-CN" w:bidi="ar-SA"/>
    </w:rPr>
  </w:style>
  <w:style w:type="character" w:customStyle="1" w:styleId="2092">
    <w:name w:val="hover12"/>
    <w:qFormat/>
    <w:uiPriority w:val="0"/>
    <w:rPr>
      <w:shd w:val="clear" w:color="auto" w:fill="EEEEEE"/>
    </w:rPr>
  </w:style>
  <w:style w:type="character" w:customStyle="1" w:styleId="2093">
    <w:name w:val="Char Char231"/>
    <w:qFormat/>
    <w:uiPriority w:val="0"/>
    <w:rPr>
      <w:b/>
      <w:bCs/>
      <w:sz w:val="24"/>
      <w:szCs w:val="24"/>
    </w:rPr>
  </w:style>
  <w:style w:type="character" w:customStyle="1" w:styleId="2094">
    <w:name w:val="样式ld1 Char"/>
    <w:link w:val="2095"/>
    <w:qFormat/>
    <w:locked/>
    <w:uiPriority w:val="0"/>
    <w:rPr>
      <w:b/>
      <w:color w:val="000000"/>
      <w:sz w:val="28"/>
      <w:szCs w:val="28"/>
    </w:rPr>
  </w:style>
  <w:style w:type="paragraph" w:customStyle="1" w:styleId="2095">
    <w:name w:val="样式ld1"/>
    <w:basedOn w:val="1"/>
    <w:link w:val="2094"/>
    <w:qFormat/>
    <w:uiPriority w:val="0"/>
    <w:pPr>
      <w:spacing w:line="360" w:lineRule="auto"/>
      <w:ind w:left="-426" w:leftChars="-203"/>
    </w:pPr>
    <w:rPr>
      <w:b/>
      <w:color w:val="000000"/>
      <w:sz w:val="28"/>
      <w:szCs w:val="28"/>
    </w:rPr>
  </w:style>
  <w:style w:type="character" w:customStyle="1" w:styleId="2096">
    <w:name w:val="select-item"/>
    <w:qFormat/>
    <w:uiPriority w:val="0"/>
  </w:style>
  <w:style w:type="character" w:customStyle="1" w:styleId="2097">
    <w:name w:val="hover9"/>
    <w:qFormat/>
    <w:uiPriority w:val="0"/>
    <w:rPr>
      <w:shd w:val="clear" w:color="auto" w:fill="EEEEEE"/>
    </w:rPr>
  </w:style>
  <w:style w:type="character" w:customStyle="1" w:styleId="2098">
    <w:name w:val="hour_am"/>
    <w:qFormat/>
    <w:uiPriority w:val="0"/>
  </w:style>
  <w:style w:type="character" w:customStyle="1" w:styleId="2099">
    <w:name w:val="old"/>
    <w:qFormat/>
    <w:uiPriority w:val="0"/>
    <w:rPr>
      <w:color w:val="999999"/>
    </w:rPr>
  </w:style>
  <w:style w:type="character" w:customStyle="1" w:styleId="2100">
    <w:name w:val="current2"/>
    <w:qFormat/>
    <w:uiPriority w:val="0"/>
    <w:rPr>
      <w:b/>
      <w:color w:val="FFFFFF"/>
      <w:bdr w:val="single" w:color="000099" w:sz="6" w:space="0"/>
      <w:shd w:val="clear" w:color="auto" w:fill="000099"/>
    </w:rPr>
  </w:style>
  <w:style w:type="character" w:customStyle="1" w:styleId="2101">
    <w:name w:val="样式ld2 Char"/>
    <w:link w:val="2102"/>
    <w:qFormat/>
    <w:locked/>
    <w:uiPriority w:val="0"/>
    <w:rPr>
      <w:color w:val="000000"/>
      <w:sz w:val="28"/>
      <w:szCs w:val="28"/>
    </w:rPr>
  </w:style>
  <w:style w:type="paragraph" w:customStyle="1" w:styleId="2102">
    <w:name w:val="样式ld2"/>
    <w:basedOn w:val="1"/>
    <w:link w:val="2101"/>
    <w:qFormat/>
    <w:uiPriority w:val="0"/>
    <w:pPr>
      <w:spacing w:line="360" w:lineRule="auto"/>
      <w:ind w:left="-424" w:leftChars="-202"/>
    </w:pPr>
    <w:rPr>
      <w:color w:val="000000"/>
      <w:sz w:val="28"/>
      <w:szCs w:val="28"/>
    </w:rPr>
  </w:style>
  <w:style w:type="character" w:customStyle="1" w:styleId="2103">
    <w:name w:val="正文 + 宋体 Char"/>
    <w:link w:val="2104"/>
    <w:qFormat/>
    <w:uiPriority w:val="0"/>
    <w:rPr>
      <w:rFonts w:ascii="宋体" w:hAnsi="宋体"/>
      <w:sz w:val="28"/>
      <w:szCs w:val="28"/>
    </w:rPr>
  </w:style>
  <w:style w:type="paragraph" w:customStyle="1" w:styleId="2104">
    <w:name w:val="正文 + 宋体"/>
    <w:basedOn w:val="1"/>
    <w:link w:val="2103"/>
    <w:qFormat/>
    <w:uiPriority w:val="0"/>
    <w:pPr>
      <w:tabs>
        <w:tab w:val="left" w:pos="9484"/>
      </w:tabs>
      <w:spacing w:line="360" w:lineRule="auto"/>
    </w:pPr>
    <w:rPr>
      <w:rFonts w:ascii="宋体" w:hAnsi="宋体"/>
      <w:sz w:val="28"/>
      <w:szCs w:val="28"/>
    </w:rPr>
  </w:style>
  <w:style w:type="character" w:customStyle="1" w:styleId="2105">
    <w:name w:val="new"/>
    <w:qFormat/>
    <w:uiPriority w:val="0"/>
    <w:rPr>
      <w:color w:val="999999"/>
    </w:rPr>
  </w:style>
  <w:style w:type="character" w:customStyle="1" w:styleId="2106">
    <w:name w:val="old1"/>
    <w:qFormat/>
    <w:uiPriority w:val="0"/>
    <w:rPr>
      <w:color w:val="999999"/>
    </w:rPr>
  </w:style>
  <w:style w:type="character" w:customStyle="1" w:styleId="2107">
    <w:name w:val="hover13"/>
    <w:qFormat/>
    <w:uiPriority w:val="0"/>
    <w:rPr>
      <w:shd w:val="clear" w:color="auto" w:fill="EEEEEE"/>
    </w:rPr>
  </w:style>
  <w:style w:type="character" w:customStyle="1" w:styleId="2108">
    <w:name w:val="标题2 Char"/>
    <w:link w:val="2109"/>
    <w:qFormat/>
    <w:uiPriority w:val="0"/>
    <w:rPr>
      <w:rFonts w:ascii="黑体" w:hAnsi="Cambria" w:eastAsia="黑体"/>
      <w:b/>
      <w:bCs/>
      <w:sz w:val="28"/>
      <w:szCs w:val="28"/>
    </w:rPr>
  </w:style>
  <w:style w:type="paragraph" w:customStyle="1" w:styleId="2109">
    <w:name w:val="标题21"/>
    <w:basedOn w:val="5"/>
    <w:next w:val="1"/>
    <w:link w:val="2108"/>
    <w:qFormat/>
    <w:uiPriority w:val="0"/>
    <w:pPr>
      <w:tabs>
        <w:tab w:val="left" w:pos="720"/>
      </w:tabs>
      <w:spacing w:before="0" w:after="0" w:line="420" w:lineRule="exact"/>
      <w:jc w:val="left"/>
    </w:pPr>
    <w:rPr>
      <w:rFonts w:ascii="黑体" w:hAnsi="Cambria" w:eastAsia="黑体" w:cstheme="minorBidi"/>
      <w:szCs w:val="28"/>
    </w:rPr>
  </w:style>
  <w:style w:type="character" w:customStyle="1" w:styleId="2110">
    <w:name w:val="soon2"/>
    <w:qFormat/>
    <w:uiPriority w:val="0"/>
    <w:rPr>
      <w:vanish/>
    </w:rPr>
  </w:style>
  <w:style w:type="character" w:customStyle="1" w:styleId="2111">
    <w:name w:val="尾注文本 Char2"/>
    <w:qFormat/>
    <w:uiPriority w:val="99"/>
    <w:rPr>
      <w:kern w:val="2"/>
      <w:sz w:val="21"/>
      <w:szCs w:val="24"/>
    </w:rPr>
  </w:style>
  <w:style w:type="character" w:customStyle="1" w:styleId="2112">
    <w:name w:val="bid"/>
    <w:qFormat/>
    <w:uiPriority w:val="0"/>
    <w:rPr>
      <w:b/>
      <w:sz w:val="18"/>
      <w:szCs w:val="18"/>
      <w:bdr w:val="single" w:color="FF9900" w:sz="6" w:space="0"/>
      <w:shd w:val="clear" w:color="auto" w:fill="FFE7C1"/>
    </w:rPr>
  </w:style>
  <w:style w:type="paragraph" w:customStyle="1" w:styleId="2113">
    <w:name w:val="et23"/>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14">
    <w:name w:val="简单回函地址"/>
    <w:basedOn w:val="1"/>
    <w:qFormat/>
    <w:uiPriority w:val="0"/>
    <w:rPr>
      <w:rFonts w:ascii="Times New Roman" w:hAnsi="Times New Roman" w:eastAsia="宋体" w:cs="Times New Roman"/>
    </w:rPr>
  </w:style>
  <w:style w:type="paragraph" w:customStyle="1" w:styleId="2115">
    <w:name w:val="H2"/>
    <w:qFormat/>
    <w:uiPriority w:val="0"/>
    <w:pPr>
      <w:widowControl w:val="0"/>
      <w:adjustRightInd w:val="0"/>
      <w:spacing w:after="240" w:line="0" w:lineRule="atLeast"/>
      <w:textAlignment w:val="baseline"/>
    </w:pPr>
    <w:rPr>
      <w:rFonts w:ascii="Times New Roman" w:hAnsi="Times New Roman" w:eastAsia="全真中明體" w:cs="Times New Roman"/>
      <w:b/>
      <w:spacing w:val="20"/>
      <w:sz w:val="24"/>
      <w:lang w:val="en-GB" w:eastAsia="zh-TW" w:bidi="ar-SA"/>
    </w:rPr>
  </w:style>
  <w:style w:type="paragraph" w:customStyle="1" w:styleId="2116">
    <w:name w:val="H1"/>
    <w:qFormat/>
    <w:uiPriority w:val="0"/>
    <w:pPr>
      <w:widowControl w:val="0"/>
      <w:adjustRightInd w:val="0"/>
      <w:spacing w:after="240" w:line="0" w:lineRule="atLeast"/>
      <w:textAlignment w:val="baseline"/>
    </w:pPr>
    <w:rPr>
      <w:rFonts w:ascii="Times New Roman" w:hAnsi="Times New Roman" w:eastAsia="全真中明體" w:cs="Times New Roman"/>
      <w:b/>
      <w:caps/>
      <w:spacing w:val="30"/>
      <w:sz w:val="24"/>
      <w:lang w:val="en-GB" w:eastAsia="zh-TW" w:bidi="ar-SA"/>
    </w:rPr>
  </w:style>
  <w:style w:type="paragraph" w:customStyle="1" w:styleId="2117">
    <w:name w:val="et16"/>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18">
    <w:name w:val="4级正文"/>
    <w:basedOn w:val="2119"/>
    <w:qFormat/>
    <w:uiPriority w:val="99"/>
    <w:pPr>
      <w:tabs>
        <w:tab w:val="left" w:pos="360"/>
        <w:tab w:val="left" w:pos="851"/>
        <w:tab w:val="left" w:pos="1036"/>
        <w:tab w:val="left" w:pos="1418"/>
      </w:tabs>
      <w:ind w:left="1191" w:hanging="340"/>
      <w:outlineLvl w:val="3"/>
    </w:pPr>
  </w:style>
  <w:style w:type="paragraph" w:customStyle="1" w:styleId="2119">
    <w:name w:val="3级正文"/>
    <w:basedOn w:val="1"/>
    <w:qFormat/>
    <w:uiPriority w:val="99"/>
    <w:pPr>
      <w:tabs>
        <w:tab w:val="left" w:pos="360"/>
        <w:tab w:val="left" w:pos="1036"/>
        <w:tab w:val="left" w:pos="1418"/>
      </w:tabs>
      <w:spacing w:line="360" w:lineRule="auto"/>
      <w:ind w:left="113" w:hanging="113"/>
      <w:textAlignment w:val="baseline"/>
      <w:outlineLvl w:val="2"/>
    </w:pPr>
    <w:rPr>
      <w:rFonts w:ascii="Calibri" w:hAnsi="宋体" w:eastAsia="宋体" w:cs="Times New Roman"/>
      <w:kern w:val="0"/>
      <w:sz w:val="28"/>
      <w:szCs w:val="20"/>
    </w:rPr>
  </w:style>
  <w:style w:type="paragraph" w:customStyle="1" w:styleId="2120">
    <w:name w:val="tabletextcharchar"/>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2121">
    <w:name w:val="GCEBStyles8"/>
    <w:basedOn w:val="1"/>
    <w:qFormat/>
    <w:uiPriority w:val="0"/>
    <w:pPr>
      <w:jc w:val="left"/>
      <w:outlineLvl w:val="8"/>
    </w:pPr>
    <w:rPr>
      <w:rFonts w:ascii="黑体" w:hAnsi="宋体" w:eastAsia="黑体" w:cs="Times New Roman"/>
      <w:bCs/>
      <w:kern w:val="0"/>
    </w:rPr>
  </w:style>
  <w:style w:type="paragraph" w:customStyle="1" w:styleId="2122">
    <w:name w:val="et41"/>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23">
    <w:name w:val="特点黄标"/>
    <w:basedOn w:val="1"/>
    <w:qFormat/>
    <w:uiPriority w:val="0"/>
    <w:pPr>
      <w:widowControl/>
      <w:autoSpaceDE w:val="0"/>
      <w:autoSpaceDN w:val="0"/>
      <w:adjustRightInd w:val="0"/>
    </w:pPr>
    <w:rPr>
      <w:rFonts w:ascii="汉鼎简大黑Arial Black" w:hAnsi="Times New Roman" w:eastAsia="汉鼎简大黑Arial Black" w:cs="Times New Roman"/>
      <w:color w:val="FFD80E"/>
      <w:kern w:val="0"/>
      <w:sz w:val="20"/>
      <w:lang w:eastAsia="en-US"/>
    </w:rPr>
  </w:style>
  <w:style w:type="paragraph" w:customStyle="1" w:styleId="2124">
    <w:name w:val="P2"/>
    <w:qFormat/>
    <w:uiPriority w:val="0"/>
    <w:pPr>
      <w:widowControl w:val="0"/>
      <w:adjustRightInd w:val="0"/>
      <w:spacing w:after="240" w:line="0" w:lineRule="atLeast"/>
      <w:ind w:left="1728"/>
      <w:jc w:val="both"/>
      <w:textAlignment w:val="baseline"/>
    </w:pPr>
    <w:rPr>
      <w:rFonts w:ascii="Times New Roman" w:hAnsi="Times New Roman" w:eastAsia="全真中明體" w:cs="Times New Roman"/>
      <w:spacing w:val="20"/>
      <w:sz w:val="24"/>
      <w:lang w:val="en-GB" w:eastAsia="zh-TW" w:bidi="ar-SA"/>
    </w:rPr>
  </w:style>
  <w:style w:type="paragraph" w:customStyle="1" w:styleId="2125">
    <w:name w:val="Char Char Char1 Char Char Char1 Char Char Char 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2126">
    <w:name w:val="GCEBStyles1"/>
    <w:basedOn w:val="1"/>
    <w:qFormat/>
    <w:uiPriority w:val="0"/>
    <w:pPr>
      <w:jc w:val="left"/>
      <w:outlineLvl w:val="1"/>
    </w:pPr>
    <w:rPr>
      <w:rFonts w:ascii="黑体" w:hAnsi="宋体" w:eastAsia="黑体" w:cs="Times New Roman"/>
      <w:b/>
      <w:bCs/>
      <w:kern w:val="0"/>
      <w:sz w:val="32"/>
    </w:rPr>
  </w:style>
  <w:style w:type="paragraph" w:customStyle="1" w:styleId="2127">
    <w:name w:val="et9"/>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28">
    <w:name w:val="et31"/>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29">
    <w:name w:val="_Style 8"/>
    <w:basedOn w:val="23"/>
    <w:qFormat/>
    <w:uiPriority w:val="0"/>
    <w:rPr>
      <w:rFonts w:ascii="Times New Roman" w:hAnsi="Times New Roman" w:eastAsia="宋体" w:cs="Times New Roman"/>
      <w:kern w:val="0"/>
      <w:sz w:val="20"/>
      <w:shd w:val="clear" w:color="auto" w:fill="000080"/>
    </w:rPr>
  </w:style>
  <w:style w:type="paragraph" w:customStyle="1" w:styleId="2130">
    <w:name w:val="et55"/>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31">
    <w:name w:val="P5"/>
    <w:qFormat/>
    <w:uiPriority w:val="0"/>
    <w:pPr>
      <w:widowControl w:val="0"/>
      <w:adjustRightInd w:val="0"/>
      <w:spacing w:after="240"/>
      <w:ind w:left="2304"/>
      <w:jc w:val="both"/>
      <w:textAlignment w:val="baseline"/>
    </w:pPr>
    <w:rPr>
      <w:rFonts w:ascii="全真中明體" w:hAnsi="Times New Roman" w:eastAsia="全真中明體" w:cs="Times New Roman"/>
      <w:spacing w:val="30"/>
      <w:sz w:val="24"/>
      <w:lang w:val="en-GB" w:eastAsia="zh-TW" w:bidi="ar-SA"/>
    </w:rPr>
  </w:style>
  <w:style w:type="paragraph" w:customStyle="1" w:styleId="2132">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2133">
    <w:name w:val="et11"/>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34">
    <w:name w:val="xl117"/>
    <w:basedOn w:val="1"/>
    <w:qFormat/>
    <w:uiPriority w:val="0"/>
    <w:pPr>
      <w:widowControl/>
      <w:pBdr>
        <w:left w:val="single" w:color="000000" w:sz="4" w:space="0"/>
        <w:bottom w:val="single" w:color="000000" w:sz="4"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2135">
    <w:name w:val="标题 42"/>
    <w:basedOn w:val="1"/>
    <w:qFormat/>
    <w:uiPriority w:val="1"/>
    <w:pPr>
      <w:autoSpaceDE w:val="0"/>
      <w:autoSpaceDN w:val="0"/>
      <w:adjustRightInd w:val="0"/>
      <w:ind w:left="1378"/>
      <w:jc w:val="left"/>
      <w:outlineLvl w:val="3"/>
    </w:pPr>
    <w:rPr>
      <w:rFonts w:ascii="宋体" w:hAnsi="Times New Roman" w:eastAsia="宋体" w:cs="宋体"/>
      <w:kern w:val="0"/>
      <w:sz w:val="28"/>
      <w:szCs w:val="28"/>
    </w:rPr>
  </w:style>
  <w:style w:type="paragraph" w:customStyle="1" w:styleId="2136">
    <w:name w:val="et6"/>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37">
    <w:name w:val="et52"/>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38">
    <w:name w:val="GCEBStyles5"/>
    <w:basedOn w:val="1"/>
    <w:qFormat/>
    <w:uiPriority w:val="0"/>
    <w:pPr>
      <w:jc w:val="left"/>
      <w:outlineLvl w:val="5"/>
    </w:pPr>
    <w:rPr>
      <w:rFonts w:ascii="黑体" w:hAnsi="宋体" w:eastAsia="黑体" w:cs="Times New Roman"/>
      <w:b/>
      <w:bCs/>
      <w:kern w:val="0"/>
      <w:sz w:val="24"/>
    </w:rPr>
  </w:style>
  <w:style w:type="paragraph" w:customStyle="1" w:styleId="2139">
    <w:name w:val="et44"/>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40">
    <w:name w:val="et36"/>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41">
    <w:name w:val="正文 + 楷体_GB2312"/>
    <w:basedOn w:val="1"/>
    <w:qFormat/>
    <w:uiPriority w:val="0"/>
    <w:pPr>
      <w:snapToGrid w:val="0"/>
      <w:spacing w:line="480" w:lineRule="exact"/>
      <w:ind w:firstLine="480" w:firstLineChars="200"/>
    </w:pPr>
    <w:rPr>
      <w:rFonts w:ascii="楷体_GB2312" w:hAnsi="Times New Roman" w:eastAsia="楷体_GB2312" w:cs="Times New Roman"/>
      <w:sz w:val="24"/>
    </w:rPr>
  </w:style>
  <w:style w:type="paragraph" w:customStyle="1" w:styleId="2142">
    <w:name w:val="标题 82"/>
    <w:basedOn w:val="1"/>
    <w:qFormat/>
    <w:uiPriority w:val="1"/>
    <w:pPr>
      <w:autoSpaceDE w:val="0"/>
      <w:autoSpaceDN w:val="0"/>
      <w:adjustRightInd w:val="0"/>
      <w:ind w:left="1800" w:hanging="422"/>
      <w:jc w:val="left"/>
      <w:outlineLvl w:val="7"/>
    </w:pPr>
    <w:rPr>
      <w:rFonts w:ascii="宋体" w:hAnsi="Times New Roman" w:eastAsia="宋体" w:cs="宋体"/>
      <w:b/>
      <w:bCs/>
      <w:kern w:val="0"/>
      <w:szCs w:val="21"/>
    </w:rPr>
  </w:style>
  <w:style w:type="paragraph" w:customStyle="1" w:styleId="2143">
    <w:name w:val="Normal w/ Space After"/>
    <w:basedOn w:val="1"/>
    <w:qFormat/>
    <w:uiPriority w:val="0"/>
    <w:pPr>
      <w:widowControl/>
      <w:spacing w:after="240"/>
    </w:pPr>
    <w:rPr>
      <w:rFonts w:ascii="Times New Roman" w:hAnsi="Times New Roman" w:eastAsia="PMingLiU" w:cs="Times New Roman"/>
      <w:kern w:val="0"/>
      <w:sz w:val="24"/>
      <w:szCs w:val="20"/>
      <w:lang w:eastAsia="en-US"/>
    </w:rPr>
  </w:style>
  <w:style w:type="paragraph" w:customStyle="1" w:styleId="2144">
    <w:name w:val="et25"/>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45">
    <w:name w:val="书目11"/>
    <w:basedOn w:val="1"/>
    <w:next w:val="1"/>
    <w:unhideWhenUsed/>
    <w:qFormat/>
    <w:uiPriority w:val="37"/>
    <w:rPr>
      <w:rFonts w:ascii="Times New Roman" w:hAnsi="Times New Roman" w:eastAsia="宋体" w:cs="Times New Roman"/>
    </w:rPr>
  </w:style>
  <w:style w:type="paragraph" w:customStyle="1" w:styleId="2146">
    <w:name w:val="et38"/>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47">
    <w:name w:val="中文正文"/>
    <w:basedOn w:val="1"/>
    <w:qFormat/>
    <w:uiPriority w:val="0"/>
    <w:pPr>
      <w:adjustRightInd w:val="0"/>
      <w:snapToGrid w:val="0"/>
      <w:spacing w:before="120" w:line="360" w:lineRule="auto"/>
      <w:ind w:left="1134"/>
      <w:jc w:val="left"/>
    </w:pPr>
    <w:rPr>
      <w:rFonts w:ascii="Times New Roman" w:hAnsi="Times New Roman" w:eastAsia="宋体" w:cs="Times New Roman"/>
      <w:sz w:val="24"/>
    </w:rPr>
  </w:style>
  <w:style w:type="paragraph" w:customStyle="1" w:styleId="2148">
    <w:name w:val="Char Char 字元 字元 Char Char Char Char Char Char Char"/>
    <w:basedOn w:val="1"/>
    <w:qFormat/>
    <w:uiPriority w:val="0"/>
    <w:pPr>
      <w:spacing w:line="360" w:lineRule="auto"/>
      <w:ind w:firstLine="200" w:firstLineChars="200"/>
    </w:pPr>
    <w:rPr>
      <w:rFonts w:ascii="Times New Roman" w:hAnsi="Times New Roman" w:eastAsia="宋体" w:cs="Times New Roman"/>
      <w:szCs w:val="20"/>
    </w:rPr>
  </w:style>
  <w:style w:type="paragraph" w:customStyle="1" w:styleId="2149">
    <w:name w:val="样式 标题 5 + 宋体 五号 非加粗 段前: 0 磅 段后: 0 磅 行距: 固定值 16 磅"/>
    <w:basedOn w:val="8"/>
    <w:qFormat/>
    <w:uiPriority w:val="0"/>
    <w:pPr>
      <w:spacing w:before="0" w:after="0" w:line="320" w:lineRule="exact"/>
      <w:ind w:firstLine="420" w:firstLineChars="200"/>
    </w:pPr>
    <w:rPr>
      <w:rFonts w:ascii="宋体" w:hAnsi="宋体" w:eastAsia="宋体" w:cs="宋体"/>
      <w:b w:val="0"/>
      <w:bCs w:val="0"/>
      <w:kern w:val="0"/>
      <w:sz w:val="18"/>
      <w:szCs w:val="20"/>
    </w:rPr>
  </w:style>
  <w:style w:type="paragraph" w:customStyle="1" w:styleId="2150">
    <w:name w:val="et47"/>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51">
    <w:name w:val="P7"/>
    <w:qFormat/>
    <w:uiPriority w:val="0"/>
    <w:pPr>
      <w:widowControl w:val="0"/>
      <w:tabs>
        <w:tab w:val="left" w:pos="576"/>
      </w:tabs>
      <w:adjustRightInd w:val="0"/>
      <w:spacing w:after="240" w:line="0" w:lineRule="atLeast"/>
      <w:ind w:left="1728" w:hanging="1728"/>
      <w:jc w:val="both"/>
      <w:textAlignment w:val="baseline"/>
    </w:pPr>
    <w:rPr>
      <w:rFonts w:ascii="Times New Roman" w:hAnsi="Times New Roman" w:eastAsia="全真中明體" w:cs="Times New Roman"/>
      <w:spacing w:val="20"/>
      <w:sz w:val="24"/>
      <w:lang w:val="en-GB" w:eastAsia="zh-TW" w:bidi="ar-SA"/>
    </w:rPr>
  </w:style>
  <w:style w:type="paragraph" w:customStyle="1" w:styleId="2152">
    <w:name w:val="标题 22"/>
    <w:basedOn w:val="1"/>
    <w:qFormat/>
    <w:uiPriority w:val="1"/>
    <w:pPr>
      <w:autoSpaceDE w:val="0"/>
      <w:autoSpaceDN w:val="0"/>
      <w:adjustRightInd w:val="0"/>
      <w:ind w:left="1920"/>
      <w:jc w:val="left"/>
      <w:outlineLvl w:val="1"/>
    </w:pPr>
    <w:rPr>
      <w:rFonts w:ascii="宋体" w:hAnsi="Times New Roman" w:eastAsia="宋体" w:cs="宋体"/>
      <w:kern w:val="0"/>
      <w:sz w:val="36"/>
      <w:szCs w:val="36"/>
    </w:rPr>
  </w:style>
  <w:style w:type="paragraph" w:customStyle="1" w:styleId="2153">
    <w:name w:val="et20"/>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54">
    <w:name w:val="GCEBStyles6"/>
    <w:basedOn w:val="1"/>
    <w:qFormat/>
    <w:uiPriority w:val="0"/>
    <w:pPr>
      <w:jc w:val="left"/>
      <w:outlineLvl w:val="6"/>
    </w:pPr>
    <w:rPr>
      <w:rFonts w:ascii="宋体" w:hAnsi="宋体" w:eastAsia="宋体" w:cs="Times New Roman"/>
      <w:b/>
      <w:bCs/>
      <w:kern w:val="0"/>
      <w:sz w:val="24"/>
    </w:rPr>
  </w:style>
  <w:style w:type="paragraph" w:customStyle="1" w:styleId="2155">
    <w:name w:val="et57"/>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56">
    <w:name w:val="et27"/>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57">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2158">
    <w:name w:val="et33"/>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59">
    <w:name w:val="et40"/>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60">
    <w:name w:val="et39"/>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61">
    <w:name w:val="et59"/>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62">
    <w:name w:val="et60"/>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63">
    <w:name w:val="et17"/>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64">
    <w:name w:val="Char Char Char1 Char"/>
    <w:basedOn w:val="1"/>
    <w:qFormat/>
    <w:uiPriority w:val="0"/>
    <w:pPr>
      <w:spacing w:line="360" w:lineRule="auto"/>
    </w:pPr>
    <w:rPr>
      <w:rFonts w:ascii="宋体" w:hAnsi="宋体" w:eastAsia="宋体" w:cs="Courier New"/>
      <w:sz w:val="32"/>
      <w:szCs w:val="32"/>
    </w:rPr>
  </w:style>
  <w:style w:type="paragraph" w:customStyle="1" w:styleId="2165">
    <w:name w:val="GCEBStyles2"/>
    <w:basedOn w:val="1"/>
    <w:qFormat/>
    <w:uiPriority w:val="0"/>
    <w:pPr>
      <w:jc w:val="left"/>
      <w:outlineLvl w:val="2"/>
    </w:pPr>
    <w:rPr>
      <w:rFonts w:ascii="宋体" w:hAnsi="宋体" w:eastAsia="宋体" w:cs="Times New Roman"/>
      <w:b/>
      <w:bCs/>
      <w:kern w:val="0"/>
      <w:sz w:val="32"/>
    </w:rPr>
  </w:style>
  <w:style w:type="paragraph" w:customStyle="1" w:styleId="2166">
    <w:name w:val="页眉与页脚"/>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paragraph" w:customStyle="1" w:styleId="2167">
    <w:name w:val="et10"/>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68">
    <w:name w:val="无间距"/>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169">
    <w:name w:val="et35"/>
    <w:basedOn w:val="1"/>
    <w:qFormat/>
    <w:uiPriority w:val="0"/>
    <w:pPr>
      <w:widowControl/>
      <w:spacing w:before="100" w:beforeAutospacing="1" w:after="100" w:afterAutospacing="1"/>
      <w:jc w:val="left"/>
      <w:textAlignment w:val="bottom"/>
    </w:pPr>
    <w:rPr>
      <w:rFonts w:ascii="宋体" w:hAnsi="宋体" w:eastAsia="宋体" w:cs="宋体"/>
      <w:color w:val="0000FF"/>
      <w:kern w:val="0"/>
      <w:sz w:val="24"/>
      <w:u w:val="single"/>
    </w:rPr>
  </w:style>
  <w:style w:type="paragraph" w:customStyle="1" w:styleId="2170">
    <w:name w:val="Normal_25"/>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2171">
    <w:name w:val="txt"/>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2172">
    <w:name w:val="et28"/>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73">
    <w:name w:val="默认段落字体 Para Char Char Char Char Char Char Char Char Char1 Char Char Char Char Char Char Char"/>
    <w:basedOn w:val="23"/>
    <w:qFormat/>
    <w:uiPriority w:val="0"/>
    <w:rPr>
      <w:rFonts w:ascii="Tahoma" w:hAnsi="Tahoma" w:eastAsia="宋体" w:cs="Times New Roman"/>
      <w:kern w:val="0"/>
      <w:sz w:val="24"/>
    </w:rPr>
  </w:style>
  <w:style w:type="paragraph" w:customStyle="1" w:styleId="2174">
    <w:name w:val="xl114"/>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2175">
    <w:name w:val="条文"/>
    <w:qFormat/>
    <w:uiPriority w:val="0"/>
    <w:pPr>
      <w:tabs>
        <w:tab w:val="left" w:pos="312"/>
        <w:tab w:val="left" w:pos="360"/>
      </w:tabs>
      <w:spacing w:before="120" w:line="360" w:lineRule="auto"/>
      <w:outlineLvl w:val="0"/>
    </w:pPr>
    <w:rPr>
      <w:rFonts w:ascii="Times New Roman" w:hAnsi="Times New Roman" w:eastAsia="宋体" w:cs="Times New Roman"/>
      <w:sz w:val="21"/>
      <w:lang w:val="en-US" w:eastAsia="zh-CN" w:bidi="ar-SA"/>
    </w:rPr>
  </w:style>
  <w:style w:type="paragraph" w:customStyle="1" w:styleId="2176">
    <w:name w:val="List Paragraph3"/>
    <w:basedOn w:val="1"/>
    <w:qFormat/>
    <w:uiPriority w:val="99"/>
    <w:pPr>
      <w:ind w:firstLine="420" w:firstLineChars="200"/>
    </w:pPr>
    <w:rPr>
      <w:rFonts w:ascii="Calibri" w:hAnsi="Calibri" w:eastAsia="宋体" w:cs="Times New Roman"/>
      <w:szCs w:val="21"/>
    </w:rPr>
  </w:style>
  <w:style w:type="paragraph" w:customStyle="1" w:styleId="2177">
    <w:name w:val="P1"/>
    <w:qFormat/>
    <w:uiPriority w:val="0"/>
    <w:pPr>
      <w:widowControl w:val="0"/>
      <w:adjustRightInd w:val="0"/>
      <w:spacing w:after="240" w:line="0" w:lineRule="atLeast"/>
      <w:ind w:left="2304" w:hanging="576"/>
      <w:jc w:val="both"/>
      <w:textAlignment w:val="baseline"/>
    </w:pPr>
    <w:rPr>
      <w:rFonts w:ascii="Times New Roman" w:hAnsi="Times New Roman" w:eastAsia="全真中明體" w:cs="Times New Roman"/>
      <w:spacing w:val="20"/>
      <w:sz w:val="24"/>
      <w:lang w:val="en-GB" w:eastAsia="zh-TW" w:bidi="ar-SA"/>
    </w:rPr>
  </w:style>
  <w:style w:type="paragraph" w:customStyle="1" w:styleId="2178">
    <w:name w:val="标题 61"/>
    <w:basedOn w:val="1"/>
    <w:qFormat/>
    <w:uiPriority w:val="1"/>
    <w:pPr>
      <w:autoSpaceDE w:val="0"/>
      <w:autoSpaceDN w:val="0"/>
      <w:adjustRightInd w:val="0"/>
      <w:spacing w:before="66"/>
      <w:jc w:val="left"/>
      <w:outlineLvl w:val="5"/>
    </w:pPr>
    <w:rPr>
      <w:rFonts w:ascii="宋体" w:hAnsi="Times New Roman" w:eastAsia="宋体" w:cs="宋体"/>
      <w:b/>
      <w:bCs/>
      <w:kern w:val="0"/>
      <w:sz w:val="24"/>
    </w:rPr>
  </w:style>
  <w:style w:type="paragraph" w:customStyle="1" w:styleId="2179">
    <w:name w:val="GCEBStyles3"/>
    <w:basedOn w:val="1"/>
    <w:qFormat/>
    <w:uiPriority w:val="0"/>
    <w:pPr>
      <w:jc w:val="left"/>
      <w:outlineLvl w:val="3"/>
    </w:pPr>
    <w:rPr>
      <w:rFonts w:ascii="黑体" w:hAnsi="宋体" w:eastAsia="黑体" w:cs="Times New Roman"/>
      <w:b/>
      <w:bCs/>
      <w:kern w:val="0"/>
      <w:sz w:val="28"/>
    </w:rPr>
  </w:style>
  <w:style w:type="paragraph" w:customStyle="1" w:styleId="2180">
    <w:name w:val="et34"/>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81">
    <w:name w:val="P3"/>
    <w:qFormat/>
    <w:uiPriority w:val="0"/>
    <w:pPr>
      <w:widowControl w:val="0"/>
      <w:adjustRightInd w:val="0"/>
      <w:spacing w:after="240"/>
      <w:ind w:left="2880"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2182">
    <w:name w:val="Normal_26"/>
    <w:qFormat/>
    <w:uiPriority w:val="0"/>
    <w:pPr>
      <w:spacing w:before="120" w:after="240"/>
      <w:jc w:val="both"/>
    </w:pPr>
    <w:rPr>
      <w:rFonts w:ascii="Times New Roman" w:hAnsi="Times New Roman" w:eastAsia="Times New Roman" w:cs="Times New Roman"/>
      <w:sz w:val="22"/>
      <w:szCs w:val="22"/>
      <w:lang w:val="en-US" w:eastAsia="en-US" w:bidi="ar-SA"/>
    </w:rPr>
  </w:style>
  <w:style w:type="paragraph" w:customStyle="1" w:styleId="2183">
    <w:name w:val="et54"/>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84">
    <w:name w:val="p15"/>
    <w:basedOn w:val="1"/>
    <w:qFormat/>
    <w:uiPriority w:val="0"/>
    <w:pPr>
      <w:widowControl/>
      <w:spacing w:after="120"/>
      <w:ind w:left="420"/>
    </w:pPr>
    <w:rPr>
      <w:rFonts w:ascii="宋体" w:hAnsi="宋体" w:eastAsia="宋体" w:cs="宋体"/>
      <w:kern w:val="0"/>
      <w:sz w:val="20"/>
      <w:szCs w:val="20"/>
    </w:rPr>
  </w:style>
  <w:style w:type="paragraph" w:customStyle="1" w:styleId="2185">
    <w:name w:val="et56"/>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86">
    <w:name w:val="et32"/>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87">
    <w:name w:val="et26"/>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88">
    <w:name w:val="CM37"/>
    <w:basedOn w:val="227"/>
    <w:next w:val="227"/>
    <w:qFormat/>
    <w:uiPriority w:val="99"/>
    <w:rPr>
      <w:rFonts w:ascii="Times New Roman" w:hAnsi="Times New Roman" w:eastAsia="宋体" w:cs="Times New Roman"/>
      <w:color w:val="auto"/>
      <w:kern w:val="0"/>
    </w:rPr>
  </w:style>
  <w:style w:type="paragraph" w:customStyle="1" w:styleId="2189">
    <w:name w:val="et22"/>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90">
    <w:name w:val="CM60"/>
    <w:basedOn w:val="227"/>
    <w:next w:val="227"/>
    <w:qFormat/>
    <w:uiPriority w:val="99"/>
    <w:rPr>
      <w:rFonts w:ascii="Times New Roman" w:hAnsi="Times New Roman" w:eastAsia="宋体" w:cs="Times New Roman"/>
      <w:color w:val="auto"/>
      <w:kern w:val="0"/>
    </w:rPr>
  </w:style>
  <w:style w:type="paragraph" w:customStyle="1" w:styleId="2191">
    <w:name w:val="GCEBStyles9"/>
    <w:basedOn w:val="1"/>
    <w:qFormat/>
    <w:uiPriority w:val="0"/>
    <w:pPr>
      <w:jc w:val="left"/>
    </w:pPr>
    <w:rPr>
      <w:rFonts w:ascii="黑体" w:hAnsi="宋体" w:eastAsia="黑体" w:cs="Times New Roman"/>
      <w:bCs/>
      <w:kern w:val="0"/>
    </w:rPr>
  </w:style>
  <w:style w:type="paragraph" w:customStyle="1" w:styleId="2192">
    <w:name w:val="et49"/>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93">
    <w:name w:val="标题 71"/>
    <w:basedOn w:val="1"/>
    <w:qFormat/>
    <w:uiPriority w:val="1"/>
    <w:pPr>
      <w:autoSpaceDE w:val="0"/>
      <w:autoSpaceDN w:val="0"/>
      <w:adjustRightInd w:val="0"/>
      <w:ind w:left="1378"/>
      <w:jc w:val="left"/>
      <w:outlineLvl w:val="6"/>
    </w:pPr>
    <w:rPr>
      <w:rFonts w:ascii="宋体" w:hAnsi="Times New Roman" w:eastAsia="宋体" w:cs="宋体"/>
      <w:kern w:val="0"/>
      <w:sz w:val="24"/>
    </w:rPr>
  </w:style>
  <w:style w:type="paragraph" w:customStyle="1" w:styleId="2194">
    <w:name w:val="_Style 9"/>
    <w:basedOn w:val="1"/>
    <w:qFormat/>
    <w:uiPriority w:val="0"/>
    <w:pPr>
      <w:ind w:firstLine="200" w:firstLineChars="200"/>
    </w:pPr>
    <w:rPr>
      <w:rFonts w:ascii="Times New Roman" w:hAnsi="Times New Roman" w:eastAsia="宋体" w:cs="Times New Roman"/>
    </w:rPr>
  </w:style>
  <w:style w:type="paragraph" w:customStyle="1" w:styleId="2195">
    <w:name w:val="et13"/>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96">
    <w:name w:val="et30"/>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97">
    <w:name w:val="et8"/>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198">
    <w:name w:val="正文－项目编号"/>
    <w:basedOn w:val="1"/>
    <w:qFormat/>
    <w:uiPriority w:val="0"/>
    <w:pPr>
      <w:tabs>
        <w:tab w:val="left" w:pos="312"/>
        <w:tab w:val="left" w:pos="360"/>
        <w:tab w:val="left" w:pos="2280"/>
      </w:tabs>
      <w:adjustRightInd w:val="0"/>
      <w:snapToGrid w:val="0"/>
      <w:spacing w:line="336" w:lineRule="auto"/>
      <w:jc w:val="left"/>
      <w:textAlignment w:val="baseline"/>
    </w:pPr>
    <w:rPr>
      <w:rFonts w:ascii="宋体" w:hAnsi="Times New Roman" w:eastAsia="宋体" w:cs="Times New Roman"/>
      <w:kern w:val="0"/>
      <w:sz w:val="24"/>
    </w:rPr>
  </w:style>
  <w:style w:type="paragraph" w:customStyle="1" w:styleId="2199">
    <w:name w:val="et29"/>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00">
    <w:name w:val="标题 12"/>
    <w:basedOn w:val="1"/>
    <w:qFormat/>
    <w:uiPriority w:val="1"/>
    <w:pPr>
      <w:autoSpaceDE w:val="0"/>
      <w:autoSpaceDN w:val="0"/>
      <w:adjustRightInd w:val="0"/>
      <w:spacing w:before="45"/>
      <w:jc w:val="left"/>
      <w:outlineLvl w:val="0"/>
    </w:pPr>
    <w:rPr>
      <w:rFonts w:ascii="宋体" w:hAnsi="Times New Roman" w:eastAsia="宋体" w:cs="宋体"/>
      <w:b/>
      <w:bCs/>
      <w:kern w:val="0"/>
      <w:sz w:val="40"/>
      <w:szCs w:val="40"/>
    </w:rPr>
  </w:style>
  <w:style w:type="paragraph" w:customStyle="1" w:styleId="2201">
    <w:name w:val="样式6"/>
    <w:basedOn w:val="45"/>
    <w:qFormat/>
    <w:uiPriority w:val="0"/>
    <w:pPr>
      <w:tabs>
        <w:tab w:val="right" w:leader="dot" w:pos="8296"/>
        <w:tab w:val="clear" w:pos="8834"/>
      </w:tabs>
    </w:pPr>
    <w:rPr>
      <w:rFonts w:ascii="Times New Roman" w:hAnsi="Times New Roman" w:eastAsia="宋体" w:cs="Times New Roman"/>
      <w:sz w:val="20"/>
      <w:szCs w:val="20"/>
    </w:rPr>
  </w:style>
  <w:style w:type="paragraph" w:customStyle="1" w:styleId="2202">
    <w:name w:val="GCEBStyles4"/>
    <w:basedOn w:val="1"/>
    <w:qFormat/>
    <w:uiPriority w:val="0"/>
    <w:pPr>
      <w:jc w:val="left"/>
      <w:outlineLvl w:val="4"/>
    </w:pPr>
    <w:rPr>
      <w:rFonts w:ascii="宋体" w:hAnsi="宋体" w:eastAsia="宋体" w:cs="Times New Roman"/>
      <w:b/>
      <w:bCs/>
      <w:kern w:val="0"/>
      <w:sz w:val="28"/>
    </w:rPr>
  </w:style>
  <w:style w:type="paragraph" w:customStyle="1" w:styleId="2203">
    <w:name w:val="et19"/>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04">
    <w:name w:val="et42"/>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05">
    <w:name w:val="et37"/>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06">
    <w:name w:val="字元 Char Char 字元2"/>
    <w:basedOn w:val="1"/>
    <w:qFormat/>
    <w:uiPriority w:val="0"/>
    <w:pPr>
      <w:tabs>
        <w:tab w:val="left" w:pos="4665"/>
        <w:tab w:val="left" w:pos="8970"/>
      </w:tabs>
      <w:ind w:firstLine="400"/>
    </w:pPr>
    <w:rPr>
      <w:rFonts w:ascii="Tahoma" w:hAnsi="Tahoma" w:eastAsia="宋体" w:cs="Times New Roman"/>
      <w:sz w:val="24"/>
      <w:szCs w:val="20"/>
    </w:rPr>
  </w:style>
  <w:style w:type="paragraph" w:customStyle="1" w:styleId="2207">
    <w:name w:val="SMW Header"/>
    <w:basedOn w:val="44"/>
    <w:qFormat/>
    <w:uiPriority w:val="0"/>
    <w:pPr>
      <w:widowControl/>
      <w:pBdr>
        <w:bottom w:val="none" w:color="auto" w:sz="0" w:space="0"/>
      </w:pBdr>
      <w:tabs>
        <w:tab w:val="center" w:pos="4320"/>
        <w:tab w:val="right" w:pos="8640"/>
        <w:tab w:val="clear" w:pos="4153"/>
        <w:tab w:val="clear" w:pos="8306"/>
      </w:tabs>
      <w:snapToGrid/>
      <w:jc w:val="right"/>
    </w:pPr>
    <w:rPr>
      <w:rFonts w:ascii="Calibri" w:hAnsi="Calibri" w:eastAsia="PMingLiU" w:cs="Times New Roman"/>
      <w:kern w:val="0"/>
      <w:sz w:val="24"/>
      <w:szCs w:val="20"/>
      <w:lang w:eastAsia="en-US"/>
    </w:rPr>
  </w:style>
  <w:style w:type="paragraph" w:customStyle="1" w:styleId="2208">
    <w:name w:val="普通 (Web)"/>
    <w:basedOn w:val="1"/>
    <w:qFormat/>
    <w:uiPriority w:val="99"/>
    <w:pPr>
      <w:widowControl/>
      <w:spacing w:before="100" w:beforeAutospacing="1" w:after="100" w:afterAutospacing="1"/>
      <w:jc w:val="left"/>
    </w:pPr>
    <w:rPr>
      <w:rFonts w:ascii="宋体" w:hAnsi="宋体" w:eastAsia="宋体" w:cs="宋体"/>
      <w:kern w:val="0"/>
      <w:sz w:val="24"/>
    </w:rPr>
  </w:style>
  <w:style w:type="paragraph" w:customStyle="1" w:styleId="2209">
    <w:name w:val="xl123"/>
    <w:basedOn w:val="1"/>
    <w:qFormat/>
    <w:uiPriority w:val="0"/>
    <w:pPr>
      <w:widowControl/>
      <w:spacing w:before="100" w:beforeAutospacing="1" w:after="100" w:afterAutospacing="1"/>
      <w:jc w:val="left"/>
      <w:textAlignment w:val="center"/>
    </w:pPr>
    <w:rPr>
      <w:rFonts w:ascii="宋体" w:hAnsi="宋体" w:eastAsia="宋体" w:cs="宋体"/>
      <w:kern w:val="0"/>
      <w:sz w:val="18"/>
      <w:szCs w:val="18"/>
    </w:rPr>
  </w:style>
  <w:style w:type="paragraph" w:customStyle="1" w:styleId="2210">
    <w:name w:val="et51"/>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11">
    <w:name w:val="et15"/>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12">
    <w:name w:val="P6"/>
    <w:qFormat/>
    <w:uiPriority w:val="0"/>
    <w:pPr>
      <w:widowControl w:val="0"/>
      <w:adjustRightInd w:val="0"/>
      <w:spacing w:after="240"/>
      <w:ind w:left="3456" w:hanging="576"/>
      <w:jc w:val="both"/>
      <w:textAlignment w:val="baseline"/>
    </w:pPr>
    <w:rPr>
      <w:rFonts w:ascii="Times New Roman" w:hAnsi="Times New Roman" w:eastAsia="全真中明體" w:cs="Times New Roman"/>
      <w:spacing w:val="30"/>
      <w:sz w:val="24"/>
      <w:lang w:val="en-GB" w:eastAsia="zh-TW" w:bidi="ar-SA"/>
    </w:rPr>
  </w:style>
  <w:style w:type="paragraph" w:customStyle="1" w:styleId="2213">
    <w:name w:val="et21"/>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14">
    <w:name w:val="et46"/>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15">
    <w:name w:val="GCEBStyles7"/>
    <w:basedOn w:val="1"/>
    <w:qFormat/>
    <w:uiPriority w:val="0"/>
    <w:pPr>
      <w:jc w:val="left"/>
      <w:outlineLvl w:val="7"/>
    </w:pPr>
    <w:rPr>
      <w:rFonts w:ascii="黑体" w:hAnsi="宋体" w:eastAsia="黑体" w:cs="Times New Roman"/>
      <w:bCs/>
      <w:kern w:val="0"/>
      <w:sz w:val="24"/>
    </w:rPr>
  </w:style>
  <w:style w:type="paragraph" w:customStyle="1" w:styleId="2216">
    <w:name w:val="tabletextchar"/>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2217">
    <w:name w:val="Char Char 字元 字元 Char Char Char Char Char Char Char1"/>
    <w:basedOn w:val="1"/>
    <w:qFormat/>
    <w:uiPriority w:val="0"/>
    <w:pPr>
      <w:spacing w:line="360" w:lineRule="auto"/>
      <w:ind w:firstLine="200" w:firstLineChars="200"/>
    </w:pPr>
    <w:rPr>
      <w:rFonts w:ascii="Times New Roman" w:hAnsi="Times New Roman" w:eastAsia="宋体" w:cs="Times New Roman"/>
      <w:szCs w:val="20"/>
    </w:rPr>
  </w:style>
  <w:style w:type="paragraph" w:customStyle="1" w:styleId="2218">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rPr>
  </w:style>
  <w:style w:type="paragraph" w:customStyle="1" w:styleId="2219">
    <w:name w:val="et58"/>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20">
    <w:name w:val="et48"/>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21">
    <w:name w:val="et12"/>
    <w:basedOn w:val="1"/>
    <w:qFormat/>
    <w:uiPriority w:val="0"/>
    <w:pPr>
      <w:widowControl/>
      <w:spacing w:before="100" w:beforeAutospacing="1" w:after="100" w:afterAutospacing="1"/>
      <w:jc w:val="left"/>
      <w:textAlignment w:val="bottom"/>
    </w:pPr>
    <w:rPr>
      <w:rFonts w:ascii="宋体" w:hAnsi="宋体" w:eastAsia="宋体" w:cs="宋体"/>
      <w:color w:val="000000"/>
      <w:kern w:val="0"/>
      <w:sz w:val="24"/>
    </w:rPr>
  </w:style>
  <w:style w:type="paragraph" w:customStyle="1" w:styleId="2222">
    <w:name w:val="CM2"/>
    <w:basedOn w:val="227"/>
    <w:next w:val="227"/>
    <w:qFormat/>
    <w:uiPriority w:val="99"/>
    <w:pPr>
      <w:spacing w:line="188" w:lineRule="atLeast"/>
    </w:pPr>
    <w:rPr>
      <w:rFonts w:ascii="Times New Roman" w:hAnsi="Times New Roman" w:eastAsia="宋体" w:cs="Times New Roman"/>
      <w:color w:val="auto"/>
      <w:kern w:val="0"/>
    </w:rPr>
  </w:style>
  <w:style w:type="paragraph" w:customStyle="1" w:styleId="2223">
    <w:name w:val="xl12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2224">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2225">
    <w:name w:val="p17"/>
    <w:basedOn w:val="1"/>
    <w:qFormat/>
    <w:uiPriority w:val="99"/>
    <w:pPr>
      <w:widowControl/>
      <w:spacing w:after="120"/>
    </w:pPr>
    <w:rPr>
      <w:rFonts w:ascii="Calibri" w:hAnsi="Calibri" w:eastAsia="宋体" w:cs="Times New Roman"/>
      <w:kern w:val="0"/>
      <w:szCs w:val="21"/>
    </w:rPr>
  </w:style>
  <w:style w:type="paragraph" w:customStyle="1" w:styleId="2226">
    <w:name w:val="Section #"/>
    <w:next w:val="1"/>
    <w:qFormat/>
    <w:uiPriority w:val="99"/>
    <w:pPr>
      <w:tabs>
        <w:tab w:val="left" w:pos="2636"/>
        <w:tab w:val="left" w:pos="3090"/>
      </w:tabs>
      <w:overflowPunct w:val="0"/>
      <w:autoSpaceDE w:val="0"/>
      <w:autoSpaceDN w:val="0"/>
      <w:adjustRightInd w:val="0"/>
      <w:spacing w:after="113" w:line="340" w:lineRule="atLeast"/>
      <w:jc w:val="center"/>
      <w:textAlignment w:val="baseline"/>
    </w:pPr>
    <w:rPr>
      <w:rFonts w:ascii="Optima" w:hAnsi="Optima" w:eastAsia="宋体" w:cs="Optima"/>
      <w:b/>
      <w:bCs/>
      <w:sz w:val="30"/>
      <w:szCs w:val="30"/>
      <w:lang w:val="en-US" w:eastAsia="zh-CN" w:bidi="ar-SA"/>
    </w:rPr>
  </w:style>
  <w:style w:type="paragraph" w:customStyle="1" w:styleId="2227">
    <w:name w:val="书目1"/>
    <w:basedOn w:val="1"/>
    <w:next w:val="1"/>
    <w:unhideWhenUsed/>
    <w:qFormat/>
    <w:uiPriority w:val="37"/>
    <w:rPr>
      <w:rFonts w:ascii="Times New Roman" w:hAnsi="Times New Roman" w:eastAsia="宋体" w:cs="Times New Roman"/>
    </w:rPr>
  </w:style>
  <w:style w:type="paragraph" w:customStyle="1" w:styleId="2228">
    <w:name w:val="Char Char Char Char Char Char Char Char Char Char Char Char Char"/>
    <w:basedOn w:val="1"/>
    <w:qFormat/>
    <w:uiPriority w:val="0"/>
    <w:rPr>
      <w:rFonts w:ascii="Times New Roman" w:hAnsi="Times New Roman" w:eastAsia="宋体" w:cs="Times New Roman"/>
      <w:szCs w:val="20"/>
    </w:rPr>
  </w:style>
  <w:style w:type="paragraph" w:customStyle="1" w:styleId="2229">
    <w:name w:val="字元 Char Char 字元1"/>
    <w:basedOn w:val="1"/>
    <w:qFormat/>
    <w:uiPriority w:val="0"/>
    <w:pPr>
      <w:tabs>
        <w:tab w:val="left" w:pos="4665"/>
        <w:tab w:val="left" w:pos="8970"/>
      </w:tabs>
      <w:ind w:firstLine="400"/>
    </w:pPr>
    <w:rPr>
      <w:rFonts w:ascii="Tahoma" w:hAnsi="Tahoma" w:eastAsia="宋体" w:cs="Times New Roman"/>
      <w:sz w:val="24"/>
      <w:szCs w:val="20"/>
    </w:rPr>
  </w:style>
  <w:style w:type="paragraph" w:customStyle="1" w:styleId="2230">
    <w:name w:val="xl115"/>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eastAsia="宋体" w:cs="宋体"/>
      <w:kern w:val="0"/>
      <w:sz w:val="18"/>
      <w:szCs w:val="18"/>
    </w:rPr>
  </w:style>
  <w:style w:type="paragraph" w:customStyle="1" w:styleId="2231">
    <w:name w:val="msonospacing"/>
    <w:qFormat/>
    <w:uiPriority w:val="0"/>
    <w:rPr>
      <w:rFonts w:ascii="Times New Roman" w:hAnsi="Times New Roman" w:eastAsia="宋体" w:cs="Times New Roman"/>
      <w:sz w:val="22"/>
      <w:szCs w:val="22"/>
      <w:lang w:val="en-US" w:eastAsia="zh-CN" w:bidi="ar-SA"/>
    </w:rPr>
  </w:style>
  <w:style w:type="paragraph" w:customStyle="1" w:styleId="2232">
    <w:name w:val="xl124"/>
    <w:basedOn w:val="1"/>
    <w:qFormat/>
    <w:uiPriority w:val="0"/>
    <w:pPr>
      <w:widowControl/>
      <w:spacing w:before="100" w:beforeAutospacing="1" w:after="100" w:afterAutospacing="1"/>
      <w:jc w:val="left"/>
      <w:textAlignment w:val="center"/>
    </w:pPr>
    <w:rPr>
      <w:rFonts w:ascii="宋体" w:hAnsi="宋体" w:eastAsia="宋体" w:cs="宋体"/>
      <w:kern w:val="0"/>
      <w:sz w:val="18"/>
      <w:szCs w:val="18"/>
    </w:rPr>
  </w:style>
  <w:style w:type="paragraph" w:customStyle="1" w:styleId="2233">
    <w:name w:val="xl122"/>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eastAsia="宋体" w:cs="宋体"/>
      <w:kern w:val="0"/>
      <w:sz w:val="18"/>
      <w:szCs w:val="18"/>
    </w:rPr>
  </w:style>
  <w:style w:type="paragraph" w:customStyle="1" w:styleId="2234">
    <w:name w:val="章"/>
    <w:basedOn w:val="1"/>
    <w:qFormat/>
    <w:uiPriority w:val="0"/>
    <w:pPr>
      <w:adjustRightInd w:val="0"/>
      <w:spacing w:before="120" w:after="240"/>
      <w:jc w:val="center"/>
      <w:textAlignment w:val="baseline"/>
    </w:pPr>
    <w:rPr>
      <w:rFonts w:ascii="宋体" w:hAnsi="Times New Roman" w:eastAsia="宋体" w:cs="Times New Roman"/>
      <w:b/>
      <w:spacing w:val="5"/>
      <w:kern w:val="0"/>
      <w:sz w:val="28"/>
      <w:szCs w:val="20"/>
    </w:rPr>
  </w:style>
  <w:style w:type="paragraph" w:customStyle="1" w:styleId="2235">
    <w:name w:val="xl116"/>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eastAsia="宋体" w:cs="宋体"/>
      <w:kern w:val="0"/>
      <w:sz w:val="18"/>
      <w:szCs w:val="18"/>
    </w:rPr>
  </w:style>
  <w:style w:type="paragraph" w:customStyle="1" w:styleId="2236">
    <w:name w:val="CM56"/>
    <w:basedOn w:val="227"/>
    <w:next w:val="227"/>
    <w:qFormat/>
    <w:uiPriority w:val="99"/>
    <w:rPr>
      <w:rFonts w:ascii="Times New Roman" w:hAnsi="Times New Roman" w:eastAsia="宋体" w:cs="Times New Roman"/>
      <w:color w:val="auto"/>
      <w:kern w:val="0"/>
    </w:rPr>
  </w:style>
  <w:style w:type="paragraph" w:customStyle="1" w:styleId="2237">
    <w:name w:val="CM3"/>
    <w:basedOn w:val="227"/>
    <w:next w:val="227"/>
    <w:qFormat/>
    <w:uiPriority w:val="99"/>
    <w:rPr>
      <w:rFonts w:ascii="Times New Roman" w:hAnsi="Times New Roman" w:eastAsia="宋体" w:cs="Times New Roman"/>
      <w:color w:val="auto"/>
      <w:kern w:val="0"/>
    </w:rPr>
  </w:style>
  <w:style w:type="paragraph" w:customStyle="1" w:styleId="2238">
    <w:name w:val="CM57"/>
    <w:basedOn w:val="227"/>
    <w:next w:val="227"/>
    <w:qFormat/>
    <w:uiPriority w:val="99"/>
    <w:rPr>
      <w:rFonts w:ascii="Times New Roman" w:hAnsi="Times New Roman" w:eastAsia="宋体" w:cs="Times New Roman"/>
      <w:color w:val="auto"/>
      <w:kern w:val="0"/>
    </w:rPr>
  </w:style>
  <w:style w:type="paragraph" w:customStyle="1" w:styleId="2239">
    <w:name w:val="reader-word-layer reader-word-s9-11"/>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2240">
    <w:name w:val="xl121"/>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right"/>
      <w:textAlignment w:val="center"/>
    </w:pPr>
    <w:rPr>
      <w:rFonts w:ascii="宋体" w:hAnsi="宋体" w:eastAsia="宋体" w:cs="宋体"/>
      <w:kern w:val="0"/>
      <w:sz w:val="18"/>
      <w:szCs w:val="18"/>
    </w:rPr>
  </w:style>
  <w:style w:type="paragraph" w:customStyle="1" w:styleId="2241">
    <w:name w:val="附件标题-1"/>
    <w:basedOn w:val="1"/>
    <w:qFormat/>
    <w:uiPriority w:val="99"/>
    <w:pPr>
      <w:spacing w:beforeLines="50" w:afterLines="50"/>
      <w:jc w:val="center"/>
    </w:pPr>
    <w:rPr>
      <w:rFonts w:ascii="Calibri" w:hAnsi="Calibri" w:eastAsia="黑体" w:cs="Times New Roman"/>
      <w:sz w:val="32"/>
      <w:szCs w:val="32"/>
    </w:rPr>
  </w:style>
  <w:style w:type="paragraph" w:customStyle="1" w:styleId="2242">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18"/>
      <w:szCs w:val="18"/>
    </w:rPr>
  </w:style>
  <w:style w:type="paragraph" w:customStyle="1" w:styleId="2243">
    <w:name w:val="字元 Char Char 字元"/>
    <w:basedOn w:val="1"/>
    <w:qFormat/>
    <w:uiPriority w:val="0"/>
    <w:pPr>
      <w:tabs>
        <w:tab w:val="left" w:pos="4665"/>
        <w:tab w:val="left" w:pos="8970"/>
      </w:tabs>
      <w:ind w:firstLine="400"/>
    </w:pPr>
    <w:rPr>
      <w:rFonts w:ascii="Tahoma" w:hAnsi="Tahoma" w:eastAsia="宋体" w:cs="Times New Roman"/>
      <w:sz w:val="24"/>
      <w:szCs w:val="20"/>
    </w:rPr>
  </w:style>
  <w:style w:type="paragraph" w:customStyle="1" w:styleId="2244">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rPr>
  </w:style>
  <w:style w:type="paragraph" w:customStyle="1" w:styleId="2245">
    <w:name w:val="Char Char Char1 Char1"/>
    <w:basedOn w:val="23"/>
    <w:qFormat/>
    <w:uiPriority w:val="0"/>
    <w:rPr>
      <w:rFonts w:ascii="Tahoma" w:hAnsi="Tahoma" w:eastAsia="宋体" w:cs="Times New Roman"/>
      <w:sz w:val="24"/>
    </w:rPr>
  </w:style>
  <w:style w:type="paragraph" w:customStyle="1" w:styleId="2246">
    <w:name w:val="CM5"/>
    <w:basedOn w:val="227"/>
    <w:next w:val="227"/>
    <w:qFormat/>
    <w:uiPriority w:val="99"/>
    <w:pPr>
      <w:spacing w:line="180" w:lineRule="atLeast"/>
    </w:pPr>
    <w:rPr>
      <w:rFonts w:ascii="Times New Roman" w:hAnsi="Times New Roman" w:eastAsia="宋体" w:cs="Times New Roman"/>
      <w:color w:val="auto"/>
      <w:kern w:val="0"/>
    </w:rPr>
  </w:style>
  <w:style w:type="paragraph" w:customStyle="1" w:styleId="2247">
    <w:name w:val="reader-word-layer reader-word-s9-14"/>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2248">
    <w:name w:val="_Style 291"/>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249">
    <w:name w:val="xl120"/>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eastAsia="宋体" w:cs="宋体"/>
      <w:kern w:val="0"/>
      <w:sz w:val="18"/>
      <w:szCs w:val="18"/>
    </w:rPr>
  </w:style>
  <w:style w:type="paragraph" w:customStyle="1" w:styleId="2250">
    <w:name w:val="xl126"/>
    <w:basedOn w:val="1"/>
    <w:qFormat/>
    <w:uiPriority w:val="0"/>
    <w:pPr>
      <w:widowControl/>
      <w:spacing w:before="100" w:beforeAutospacing="1" w:after="100" w:afterAutospacing="1"/>
      <w:jc w:val="left"/>
      <w:textAlignment w:val="center"/>
    </w:pPr>
    <w:rPr>
      <w:rFonts w:ascii="宋体" w:hAnsi="宋体" w:eastAsia="宋体" w:cs="宋体"/>
      <w:kern w:val="0"/>
      <w:sz w:val="18"/>
      <w:szCs w:val="18"/>
    </w:rPr>
  </w:style>
  <w:style w:type="paragraph" w:customStyle="1" w:styleId="2251">
    <w:name w:val="2级-无编号"/>
    <w:basedOn w:val="2252"/>
    <w:qFormat/>
    <w:uiPriority w:val="99"/>
    <w:pPr>
      <w:tabs>
        <w:tab w:val="left" w:pos="1036"/>
        <w:tab w:val="left" w:pos="1418"/>
      </w:tabs>
      <w:ind w:left="851"/>
    </w:pPr>
  </w:style>
  <w:style w:type="paragraph" w:customStyle="1" w:styleId="2252">
    <w:name w:val="3级正文-无编号"/>
    <w:basedOn w:val="2119"/>
    <w:qFormat/>
    <w:uiPriority w:val="99"/>
    <w:pPr>
      <w:tabs>
        <w:tab w:val="clear" w:pos="360"/>
      </w:tabs>
      <w:ind w:left="1134" w:firstLine="566" w:firstLineChars="202"/>
    </w:pPr>
    <w:rPr>
      <w:szCs w:val="28"/>
    </w:rPr>
  </w:style>
  <w:style w:type="paragraph" w:customStyle="1" w:styleId="2253">
    <w:name w:val="xl119"/>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2254">
    <w:name w:val="xl127"/>
    <w:basedOn w:val="1"/>
    <w:qFormat/>
    <w:uiPriority w:val="0"/>
    <w:pPr>
      <w:widowControl/>
      <w:spacing w:before="100" w:beforeAutospacing="1" w:after="100" w:afterAutospacing="1"/>
      <w:jc w:val="left"/>
      <w:textAlignment w:val="center"/>
    </w:pPr>
    <w:rPr>
      <w:rFonts w:ascii="宋体" w:hAnsi="宋体" w:eastAsia="宋体" w:cs="宋体"/>
      <w:kern w:val="0"/>
      <w:sz w:val="18"/>
      <w:szCs w:val="18"/>
    </w:rPr>
  </w:style>
  <w:style w:type="paragraph" w:customStyle="1" w:styleId="2255">
    <w:name w:val="正文 A A"/>
    <w:qFormat/>
    <w:uiPriority w:val="0"/>
    <w:pPr>
      <w:widowControl w:val="0"/>
      <w:jc w:val="both"/>
    </w:pPr>
    <w:rPr>
      <w:rFonts w:ascii="Arial Unicode MS" w:hAnsi="Arial Unicode MS" w:eastAsia="Arial Unicode MS" w:cs="Arial Unicode MS"/>
      <w:color w:val="000000"/>
      <w:kern w:val="2"/>
      <w:sz w:val="30"/>
      <w:szCs w:val="30"/>
      <w:u w:color="000000"/>
      <w:lang w:val="en-US" w:eastAsia="zh-CN" w:bidi="ar-SA"/>
    </w:rPr>
  </w:style>
  <w:style w:type="paragraph" w:customStyle="1" w:styleId="2256">
    <w:name w:val="Normal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257">
    <w:name w:val="默认"/>
    <w:qFormat/>
    <w:uiPriority w:val="0"/>
    <w:rPr>
      <w:rFonts w:ascii="Helvetica Neue" w:hAnsi="Helvetica Neue" w:eastAsia="Helvetica Neue" w:cs="Helvetica Neue"/>
      <w:color w:val="000000"/>
      <w:sz w:val="22"/>
      <w:szCs w:val="22"/>
      <w:lang w:val="en-US" w:eastAsia="zh-CN" w:bidi="ar-SA"/>
    </w:rPr>
  </w:style>
  <w:style w:type="paragraph" w:customStyle="1" w:styleId="2258">
    <w:name w:val="xl118"/>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center"/>
    </w:pPr>
    <w:rPr>
      <w:rFonts w:ascii="宋体" w:hAnsi="宋体" w:eastAsia="宋体" w:cs="宋体"/>
      <w:kern w:val="0"/>
      <w:sz w:val="18"/>
      <w:szCs w:val="18"/>
    </w:rPr>
  </w:style>
  <w:style w:type="paragraph" w:customStyle="1" w:styleId="2259">
    <w:name w:val="xl128"/>
    <w:basedOn w:val="1"/>
    <w:qFormat/>
    <w:uiPriority w:val="0"/>
    <w:pPr>
      <w:widowControl/>
      <w:spacing w:before="100" w:beforeAutospacing="1" w:after="100" w:afterAutospacing="1"/>
      <w:jc w:val="center"/>
      <w:textAlignment w:val="center"/>
    </w:pPr>
    <w:rPr>
      <w:rFonts w:ascii="宋体" w:hAnsi="宋体" w:eastAsia="宋体" w:cs="宋体"/>
      <w:b/>
      <w:bCs/>
      <w:kern w:val="0"/>
      <w:sz w:val="24"/>
    </w:rPr>
  </w:style>
  <w:style w:type="paragraph" w:customStyle="1" w:styleId="2260">
    <w:name w:val="_Style 1892"/>
    <w:basedOn w:val="1"/>
    <w:next w:val="237"/>
    <w:qFormat/>
    <w:uiPriority w:val="0"/>
    <w:pPr>
      <w:ind w:firstLine="420" w:firstLineChars="200"/>
    </w:pPr>
    <w:rPr>
      <w:rFonts w:ascii="Times New Roman" w:hAnsi="Times New Roman" w:eastAsia="宋体" w:cs="Times New Roman"/>
    </w:rPr>
  </w:style>
  <w:style w:type="character" w:customStyle="1" w:styleId="2261">
    <w:name w:val="Char Char Char7"/>
    <w:qFormat/>
    <w:uiPriority w:val="0"/>
    <w:rPr>
      <w:rFonts w:hint="default" w:ascii="Times New Roman" w:hAnsi="Times New Roman" w:eastAsia="宋体" w:cs="Times New Roman"/>
      <w:b/>
      <w:bCs/>
      <w:kern w:val="44"/>
      <w:sz w:val="44"/>
      <w:szCs w:val="44"/>
      <w:lang w:val="en-US" w:eastAsia="zh-CN" w:bidi="ar-SA"/>
    </w:rPr>
  </w:style>
  <w:style w:type="character" w:customStyle="1" w:styleId="2262">
    <w:name w:val="Char Char216"/>
    <w:qFormat/>
    <w:uiPriority w:val="0"/>
    <w:rPr>
      <w:rFonts w:hint="default" w:ascii="Arial" w:hAnsi="Arial" w:eastAsia="黑体" w:cs="Arial"/>
      <w:b/>
      <w:bCs/>
      <w:kern w:val="2"/>
      <w:sz w:val="32"/>
      <w:szCs w:val="32"/>
      <w:lang w:val="en-US" w:eastAsia="zh-CN" w:bidi="ar-SA"/>
    </w:rPr>
  </w:style>
  <w:style w:type="paragraph" w:customStyle="1" w:styleId="2263">
    <w:name w:val="列表段落6"/>
    <w:basedOn w:val="1"/>
    <w:qFormat/>
    <w:uiPriority w:val="0"/>
    <w:pPr>
      <w:widowControl/>
      <w:ind w:left="720"/>
      <w:contextualSpacing/>
      <w:jc w:val="left"/>
    </w:pPr>
    <w:rPr>
      <w:rFonts w:ascii="Calibri" w:hAnsi="Calibri" w:eastAsia="Times New Roman" w:cs="Arial"/>
      <w:kern w:val="0"/>
      <w:sz w:val="24"/>
    </w:rPr>
  </w:style>
  <w:style w:type="paragraph" w:customStyle="1" w:styleId="2264">
    <w:name w:val="日期9"/>
    <w:basedOn w:val="1"/>
    <w:next w:val="1"/>
    <w:qFormat/>
    <w:uiPriority w:val="0"/>
    <w:pPr>
      <w:adjustRightInd w:val="0"/>
      <w:spacing w:line="360" w:lineRule="atLeast"/>
    </w:pPr>
    <w:rPr>
      <w:rFonts w:ascii="宋体" w:hAnsi="Calibri" w:eastAsia="Wingdings" w:cs="Arial"/>
      <w:kern w:val="0"/>
      <w:sz w:val="24"/>
      <w:szCs w:val="20"/>
    </w:rPr>
  </w:style>
  <w:style w:type="paragraph" w:customStyle="1" w:styleId="2265">
    <w:name w:val="普通(网站)13"/>
    <w:basedOn w:val="1"/>
    <w:qFormat/>
    <w:uiPriority w:val="0"/>
    <w:pPr>
      <w:widowControl/>
      <w:spacing w:before="100" w:beforeAutospacing="1" w:after="100" w:afterAutospacing="1"/>
      <w:jc w:val="left"/>
    </w:pPr>
    <w:rPr>
      <w:rFonts w:ascii="宋体" w:hAnsi="宋体" w:eastAsia="宋体" w:cs="Times New Roman"/>
      <w:kern w:val="0"/>
      <w:sz w:val="24"/>
    </w:rPr>
  </w:style>
  <w:style w:type="paragraph" w:customStyle="1" w:styleId="2266">
    <w:name w:val="正文文本 310"/>
    <w:basedOn w:val="1"/>
    <w:qFormat/>
    <w:uiPriority w:val="0"/>
    <w:pPr>
      <w:spacing w:after="120"/>
    </w:pPr>
    <w:rPr>
      <w:rFonts w:ascii="Times New Roman" w:hAnsi="Times New Roman" w:eastAsia="宋体" w:cs="Times New Roman"/>
      <w:sz w:val="16"/>
      <w:szCs w:val="16"/>
    </w:rPr>
  </w:style>
  <w:style w:type="paragraph" w:customStyle="1" w:styleId="2267">
    <w:name w:val="标题 33"/>
    <w:basedOn w:val="1"/>
    <w:qFormat/>
    <w:uiPriority w:val="1"/>
    <w:pPr>
      <w:ind w:left="501" w:hanging="401"/>
      <w:outlineLvl w:val="3"/>
    </w:pPr>
    <w:rPr>
      <w:rFonts w:ascii="Microsoft JhengHei" w:hAnsi="Microsoft JhengHei" w:eastAsia="Microsoft JhengHei" w:cs="Microsoft JhengHei"/>
      <w:b/>
      <w:bCs/>
      <w:sz w:val="32"/>
      <w:szCs w:val="32"/>
    </w:rPr>
  </w:style>
  <w:style w:type="table" w:customStyle="1" w:styleId="2268">
    <w:name w:val="网格型2"/>
    <w:qFormat/>
    <w:uiPriority w:val="0"/>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table" w:customStyle="1" w:styleId="2269">
    <w:name w:val="网格型11"/>
    <w:basedOn w:val="6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网格型21"/>
    <w:basedOn w:val="6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1"/>
    <w:basedOn w:val="68"/>
    <w:qFormat/>
    <w:uiPriority w:val="0"/>
    <w:pPr>
      <w:widowControl w:val="0"/>
      <w:snapToGrid w:val="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D7480-0569-4233-95CC-A52F6DA438F6}">
  <ds:schemaRefs/>
</ds:datastoreItem>
</file>

<file path=docProps/app.xml><?xml version="1.0" encoding="utf-8"?>
<Properties xmlns="http://schemas.openxmlformats.org/officeDocument/2006/extended-properties" xmlns:vt="http://schemas.openxmlformats.org/officeDocument/2006/docPropsVTypes">
  <Template>Normal.dotm</Template>
  <Pages>127</Pages>
  <Words>24361</Words>
  <Characters>25941</Characters>
  <Lines>510</Lines>
  <Paragraphs>143</Paragraphs>
  <TotalTime>387</TotalTime>
  <ScaleCrop>false</ScaleCrop>
  <LinksUpToDate>false</LinksUpToDate>
  <CharactersWithSpaces>26070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2026-02-28T00:13:00Z</dcterms:created>
  <dc:creator>admin</dc:creator>
  <cp:lastModifiedBy>不忘初心</cp:lastModifiedBy>
  <cp:lastPrinted>2025-10-09T03:08:00Z</cp:lastPrinted>
  <dcterms:modified xsi:type="dcterms:W3CDTF">2026-05-27T12:42:19Z</dcterms:modified>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eyJoZGlkIjoiZjgyZTg0ZWQyMmE1NDI2OWFmZWVlNDYyZjkxODUyNjUiLCJ1c2VySWQiOiIyNTMwNzM2NjgifQ==</vt:lpwstr>
  </property>
  <property fmtid="{D5CDD505-2E9C-101B-9397-08002B2CF9AE}" pid="3" name="KSOProductBuildVer">
    <vt:lpwstr>2052-12.1.0.25865</vt:lpwstr>
  </property>
  <property fmtid="{D5CDD505-2E9C-101B-9397-08002B2CF9AE}" pid="4" name="ICV">
    <vt:lpwstr>2ADC477FCCF34D56B58403E47C3AA394_12</vt:lpwstr>
  </property>
</Properties>
</file>