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102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94"/>
      </w:tblGrid>
      <w:tr w14:paraId="3AB8B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87" w:hRule="atLeast"/>
        </w:trPr>
        <w:tc>
          <w:tcPr>
            <w:tcW w:w="10294" w:type="dxa"/>
          </w:tcPr>
          <w:p w14:paraId="6D93273E">
            <w:pPr>
              <w:keepNext w:val="0"/>
              <w:keepLines w:val="0"/>
              <w:suppressLineNumbers w:val="0"/>
              <w:spacing w:before="0" w:beforeAutospacing="0" w:after="0" w:afterAutospacing="0" w:line="460" w:lineRule="exact"/>
              <w:ind w:left="0" w:right="0" w:firstLine="494" w:firstLineChars="206"/>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一、报价人须知</w:t>
            </w:r>
          </w:p>
          <w:p w14:paraId="0A39520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（一）应按工程量清单及其计价格式规定的内容进行编制、填写、签字、盖章。</w:t>
            </w:r>
          </w:p>
          <w:p w14:paraId="1987C0E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（二）工程量清单及其计价格式中的任何内容不得随意删除或涂改。</w:t>
            </w:r>
          </w:p>
          <w:p w14:paraId="0C5C169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（三）工程量清单计价格式中列明的所有需要填报的单价和合价，投标单位均应填报，未填报的单价和合价，视为此项费用已包含在工程量清单的其他单价和合价内。</w:t>
            </w:r>
          </w:p>
          <w:p w14:paraId="108337B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（四）清单项目中凡注明“以下、以内、小于”字样者，均包括本身；注明“以上、以外、大于”字样者，均不包括本身。</w:t>
            </w:r>
          </w:p>
          <w:p w14:paraId="5D44EEE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（五）金额（价格）均以人民币表示。</w:t>
            </w:r>
          </w:p>
          <w:p w14:paraId="2B7F37F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二、工程名称：</w:t>
            </w:r>
            <w:r>
              <w:rPr>
                <w:rFonts w:hint="eastAsia" w:ascii="宋体" w:hAnsi="宋体" w:eastAsia="宋体" w:cs="宋体"/>
                <w:sz w:val="24"/>
                <w:szCs w:val="24"/>
              </w:rPr>
              <w:t>临港职业技能培训中心项目铝合金门窗工程</w:t>
            </w:r>
            <w:r>
              <w:rPr>
                <w:rFonts w:hint="eastAsia" w:ascii="宋体" w:hAnsi="宋体" w:eastAsia="宋体" w:cs="宋体"/>
                <w:sz w:val="24"/>
                <w:szCs w:val="24"/>
                <w:highlight w:val="none"/>
                <w:lang w:val="en-US" w:eastAsia="zh-CN"/>
              </w:rPr>
              <w:t>。</w:t>
            </w:r>
          </w:p>
          <w:p w14:paraId="3DA6CA4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lang w:val="en-US" w:eastAsia="zh-CN"/>
              </w:rPr>
            </w:pPr>
            <w:r>
              <w:rPr>
                <w:rFonts w:hint="eastAsia" w:ascii="宋体" w:hAnsi="宋体" w:eastAsia="宋体" w:cs="宋体"/>
                <w:sz w:val="24"/>
                <w:szCs w:val="24"/>
                <w:highlight w:val="none"/>
                <w:lang w:val="en-US" w:eastAsia="zh-CN"/>
              </w:rPr>
              <w:t>三、</w:t>
            </w:r>
            <w:r>
              <w:rPr>
                <w:rFonts w:hint="eastAsia" w:ascii="宋体" w:hAnsi="宋体" w:eastAsia="宋体" w:cs="宋体"/>
                <w:sz w:val="24"/>
                <w:szCs w:val="24"/>
                <w:lang w:val="en-US" w:eastAsia="zh-CN"/>
              </w:rPr>
              <w:t>工程规模：</w:t>
            </w:r>
            <w:r>
              <w:rPr>
                <w:rFonts w:hint="eastAsia" w:ascii="宋体" w:hAnsi="宋体" w:eastAsia="宋体" w:cs="宋体"/>
                <w:sz w:val="24"/>
                <w:lang w:val="en-US" w:eastAsia="zh-CN"/>
              </w:rPr>
              <w:t>本项目总建筑面积9119.14m2，包括1#培训楼、2#体育馆及餐厅、门卫。其中1#培训楼建筑面积5179.10m2，为多层公建，地上4层，建筑高度17.7m，结构类型为框架结构；2#体育馆及餐厅建筑面积3901.99m2，为多层公建，地上2层，建筑高度14.3m，结构类型为钢框架结构；门卫建筑面积38.05m2，地上1层，建筑高度3.3m，结构类型为框架结构。</w:t>
            </w:r>
          </w:p>
          <w:p w14:paraId="3C42B707">
            <w:pPr>
              <w:keepNext w:val="0"/>
              <w:keepLines w:val="0"/>
              <w:suppressLineNumbers w:val="0"/>
              <w:spacing w:before="0" w:beforeAutospacing="0" w:after="0" w:afterAutospacing="0" w:line="460" w:lineRule="exact"/>
              <w:ind w:left="0" w:right="0" w:firstLine="494" w:firstLineChars="206"/>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四、工程招标范围</w:t>
            </w:r>
          </w:p>
          <w:p w14:paraId="6CB4760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0" w:lineRule="exact"/>
              <w:ind w:left="479" w:leftChars="228" w:right="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lang w:val="en-US" w:eastAsia="zh-CN"/>
              </w:rPr>
              <w:t>设计图纸范围内的铝合金门窗工程，</w:t>
            </w:r>
            <w:r>
              <w:rPr>
                <w:rFonts w:hint="eastAsia" w:ascii="宋体" w:hAnsi="宋体" w:eastAsia="宋体" w:cs="宋体"/>
                <w:sz w:val="24"/>
                <w:szCs w:val="24"/>
                <w:highlight w:val="none"/>
                <w:lang w:val="en-US" w:eastAsia="zh-CN"/>
              </w:rPr>
              <w:t>具体以工程量清单为准。</w:t>
            </w:r>
          </w:p>
          <w:p w14:paraId="12D3A5E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五、工程质量：达到国家验收规范合格标准。</w:t>
            </w:r>
          </w:p>
          <w:p w14:paraId="26F4BD3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六、编制依据</w:t>
            </w:r>
          </w:p>
          <w:p w14:paraId="606A17F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lang w:eastAsia="zh-CN"/>
              </w:rPr>
            </w:pPr>
            <w:r>
              <w:rPr>
                <w:rFonts w:hint="eastAsia" w:ascii="宋体" w:hAnsi="宋体" w:cs="宋体"/>
                <w:sz w:val="24"/>
                <w:szCs w:val="24"/>
                <w:highlight w:val="none"/>
                <w:lang w:eastAsia="zh-CN"/>
              </w:rPr>
              <w:t>（一）</w:t>
            </w:r>
            <w:r>
              <w:rPr>
                <w:rFonts w:hint="eastAsia" w:ascii="宋体" w:hAnsi="宋体" w:eastAsia="宋体" w:cs="宋体"/>
                <w:sz w:val="24"/>
                <w:szCs w:val="24"/>
                <w:highlight w:val="none"/>
              </w:rPr>
              <w:t>招标人提供的施工图纸及相关设计答疑等资料</w:t>
            </w:r>
            <w:r>
              <w:rPr>
                <w:rFonts w:hint="eastAsia" w:ascii="宋体" w:hAnsi="宋体" w:cs="宋体"/>
                <w:sz w:val="24"/>
                <w:szCs w:val="24"/>
                <w:highlight w:val="none"/>
                <w:lang w:eastAsia="zh-CN"/>
              </w:rPr>
              <w:t>。</w:t>
            </w:r>
          </w:p>
          <w:p w14:paraId="0351005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lang w:eastAsia="zh-CN"/>
              </w:rPr>
            </w:pPr>
            <w:r>
              <w:rPr>
                <w:rFonts w:hint="eastAsia" w:ascii="宋体" w:hAnsi="宋体" w:cs="宋体"/>
                <w:sz w:val="24"/>
                <w:szCs w:val="24"/>
                <w:highlight w:val="none"/>
                <w:lang w:val="en-US" w:eastAsia="zh-CN"/>
              </w:rPr>
              <w:t>（二）</w:t>
            </w:r>
            <w:r>
              <w:rPr>
                <w:rFonts w:hint="eastAsia" w:ascii="宋体" w:hAnsi="宋体" w:eastAsia="宋体" w:cs="宋体"/>
                <w:sz w:val="24"/>
                <w:szCs w:val="24"/>
                <w:highlight w:val="none"/>
              </w:rPr>
              <w:t>省和市建设主管部门颁发的计价定额和计价管理办法及有关计价要求</w:t>
            </w:r>
            <w:r>
              <w:rPr>
                <w:rFonts w:hint="eastAsia" w:ascii="宋体" w:hAnsi="宋体" w:cs="宋体"/>
                <w:sz w:val="24"/>
                <w:szCs w:val="24"/>
                <w:highlight w:val="none"/>
                <w:lang w:eastAsia="zh-CN"/>
              </w:rPr>
              <w:t>。</w:t>
            </w:r>
          </w:p>
          <w:p w14:paraId="4189682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lang w:eastAsia="zh-CN"/>
              </w:rPr>
            </w:pPr>
            <w:r>
              <w:rPr>
                <w:rFonts w:hint="eastAsia" w:ascii="宋体" w:hAnsi="宋体" w:cs="宋体"/>
                <w:sz w:val="24"/>
                <w:szCs w:val="24"/>
                <w:highlight w:val="none"/>
                <w:lang w:val="en-US" w:eastAsia="zh-CN"/>
              </w:rPr>
              <w:t>（三）</w:t>
            </w:r>
            <w:r>
              <w:rPr>
                <w:rFonts w:hint="eastAsia" w:ascii="宋体" w:hAnsi="宋体" w:eastAsia="宋体" w:cs="宋体"/>
                <w:sz w:val="24"/>
                <w:szCs w:val="24"/>
                <w:highlight w:val="none"/>
              </w:rPr>
              <w:t>与建设项目相关的标准设计图集、规范、技术资料等</w:t>
            </w:r>
            <w:r>
              <w:rPr>
                <w:rFonts w:hint="eastAsia" w:ascii="宋体" w:hAnsi="宋体" w:cs="宋体"/>
                <w:sz w:val="24"/>
                <w:szCs w:val="24"/>
                <w:highlight w:val="none"/>
                <w:lang w:eastAsia="zh-CN"/>
              </w:rPr>
              <w:t>。</w:t>
            </w:r>
          </w:p>
          <w:p w14:paraId="5E932AE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eastAsia="宋体"/>
                <w:lang w:val="en-US" w:eastAsia="zh-CN"/>
              </w:rPr>
            </w:pPr>
            <w:r>
              <w:rPr>
                <w:rFonts w:hint="eastAsia" w:ascii="宋体" w:hAnsi="宋体" w:cs="宋体"/>
                <w:sz w:val="24"/>
                <w:szCs w:val="24"/>
                <w:highlight w:val="none"/>
                <w:lang w:val="en-US" w:eastAsia="zh-CN"/>
              </w:rPr>
              <w:t>（四）</w:t>
            </w:r>
            <w:r>
              <w:rPr>
                <w:rFonts w:hint="eastAsia" w:ascii="宋体" w:hAnsi="宋体" w:cs="宋体"/>
                <w:sz w:val="24"/>
                <w:szCs w:val="24"/>
                <w:highlight w:val="none"/>
                <w:lang w:eastAsia="zh-CN"/>
              </w:rPr>
              <w:t>建筑市场情况</w:t>
            </w:r>
            <w:r>
              <w:rPr>
                <w:rFonts w:hint="eastAsia" w:ascii="宋体" w:hAnsi="宋体" w:eastAsia="宋体" w:cs="宋体"/>
                <w:sz w:val="24"/>
                <w:szCs w:val="24"/>
                <w:highlight w:val="none"/>
              </w:rPr>
              <w:t>等</w:t>
            </w:r>
            <w:r>
              <w:rPr>
                <w:rFonts w:hint="eastAsia" w:ascii="宋体" w:hAnsi="宋体" w:cs="宋体"/>
                <w:sz w:val="24"/>
                <w:szCs w:val="24"/>
                <w:highlight w:val="none"/>
                <w:lang w:eastAsia="zh-CN"/>
              </w:rPr>
              <w:t>。</w:t>
            </w:r>
          </w:p>
          <w:p w14:paraId="22A0DD5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eastAsia="zh-CN"/>
              </w:rPr>
              <w:t>七</w:t>
            </w:r>
            <w:r>
              <w:rPr>
                <w:rFonts w:hint="eastAsia" w:ascii="宋体" w:hAnsi="宋体" w:eastAsia="宋体" w:cs="宋体"/>
                <w:sz w:val="24"/>
                <w:szCs w:val="24"/>
                <w:highlight w:val="none"/>
              </w:rPr>
              <w:t>、投标单位参与投标视为已考察工程现场、对现场情况（包括工地位置情况、道路、存贮空间、装运限制及任何其他足以影响报价的情况）已较为了解和充分预计，并能根据已了解情况合理组织完成施工，现场原有工程的实际情况（包括与其他专业施工单位交接过程中的各种因素）视为在报价中已充分考虑，任何因忽视或误解工地情况而导致的索赔或工期延长将不被批准。</w:t>
            </w:r>
          </w:p>
          <w:p w14:paraId="467CCBD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eastAsia="zh-CN"/>
              </w:rPr>
              <w:t>八</w:t>
            </w:r>
            <w:r>
              <w:rPr>
                <w:rFonts w:hint="eastAsia" w:ascii="宋体" w:hAnsi="宋体" w:eastAsia="宋体" w:cs="宋体"/>
                <w:sz w:val="24"/>
                <w:szCs w:val="24"/>
                <w:highlight w:val="none"/>
              </w:rPr>
              <w:t>、</w:t>
            </w:r>
            <w:r>
              <w:rPr>
                <w:rFonts w:hint="eastAsia" w:ascii="宋体" w:hAnsi="宋体" w:cs="宋体"/>
                <w:color w:val="auto"/>
                <w:sz w:val="24"/>
                <w:highlight w:val="none"/>
              </w:rPr>
              <w:t>投标单位在投标报价时，应根据现场条件、招标文件要求，本清单说明及子目规定的计算规则，结合施工方案、技术规范、技术装备、技术能力、施工管理经验及市场行情等规定综合分析及测算，在保证成本且有适当利润的前提下填报</w:t>
            </w:r>
            <w:r>
              <w:rPr>
                <w:rFonts w:hint="eastAsia" w:ascii="宋体" w:hAnsi="宋体" w:eastAsia="宋体" w:cs="宋体"/>
                <w:sz w:val="24"/>
                <w:szCs w:val="24"/>
                <w:highlight w:val="none"/>
              </w:rPr>
              <w:t>。</w:t>
            </w:r>
          </w:p>
          <w:p w14:paraId="5366E3C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eastAsia="zh-CN"/>
              </w:rPr>
              <w:t>九</w:t>
            </w:r>
            <w:r>
              <w:rPr>
                <w:rFonts w:hint="eastAsia" w:ascii="宋体" w:hAnsi="宋体" w:eastAsia="宋体" w:cs="宋体"/>
                <w:sz w:val="24"/>
                <w:szCs w:val="24"/>
                <w:highlight w:val="none"/>
              </w:rPr>
              <w:t>、投标单位在投标报价时，应考虑本工程的招标范围、工期要求与承包方式、以及不同专业交叉作业影响，并将与此有关的可能产生的费用考虑在相应的投标报价中。</w:t>
            </w:r>
          </w:p>
          <w:p w14:paraId="5A94783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十、投标单位在投标报价时，应根据企业自身实力结合市场信息，充分考虑市场竞争因素和市场风险进行自主报价。</w:t>
            </w:r>
            <w:r>
              <w:rPr>
                <w:rFonts w:hint="eastAsia" w:ascii="宋体" w:hAnsi="宋体" w:cs="宋体"/>
                <w:sz w:val="24"/>
                <w:szCs w:val="24"/>
                <w:highlight w:val="none"/>
                <w:lang w:eastAsia="zh-CN"/>
              </w:rPr>
              <w:t>全费用综合单价</w:t>
            </w:r>
            <w:r>
              <w:rPr>
                <w:rFonts w:hint="eastAsia" w:ascii="宋体" w:hAnsi="宋体" w:eastAsia="宋体" w:cs="宋体"/>
                <w:sz w:val="24"/>
                <w:szCs w:val="24"/>
                <w:highlight w:val="none"/>
              </w:rPr>
              <w:t>应包括完成本项目（清单子目）内容所需的人工费、材料费、机械使用费、制作费、运输费、安装费、管理费、利润、检验试验费、采保费、损耗、成品保护费</w:t>
            </w:r>
            <w:r>
              <w:rPr>
                <w:rFonts w:hint="eastAsia" w:ascii="宋体" w:hAnsi="宋体" w:cs="宋体"/>
                <w:sz w:val="24"/>
                <w:szCs w:val="24"/>
                <w:highlight w:val="none"/>
                <w:lang w:eastAsia="zh-CN"/>
              </w:rPr>
              <w:t>、规费、税金</w:t>
            </w:r>
            <w:r>
              <w:rPr>
                <w:rFonts w:hint="eastAsia" w:ascii="宋体" w:hAnsi="宋体" w:eastAsia="宋体" w:cs="宋体"/>
                <w:sz w:val="24"/>
                <w:szCs w:val="24"/>
                <w:highlight w:val="none"/>
              </w:rPr>
              <w:t>等，并考虑风险因素，以及为完成本工程项目（清单子目）的施工所发生于该工程施工前和施工过程中技术、生活、安全等方面的非工程实体项目费用，以及招标文件和合同中明确的其他责任和义务。</w:t>
            </w:r>
          </w:p>
          <w:p w14:paraId="479F025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十</w:t>
            </w:r>
            <w:r>
              <w:rPr>
                <w:rFonts w:hint="eastAsia" w:ascii="宋体" w:hAnsi="宋体" w:eastAsia="宋体" w:cs="宋体"/>
                <w:sz w:val="24"/>
                <w:szCs w:val="24"/>
                <w:highlight w:val="none"/>
                <w:lang w:eastAsia="zh-CN"/>
              </w:rPr>
              <w:t>一</w:t>
            </w:r>
            <w:r>
              <w:rPr>
                <w:rFonts w:hint="eastAsia" w:ascii="宋体" w:hAnsi="宋体" w:eastAsia="宋体" w:cs="宋体"/>
                <w:sz w:val="24"/>
                <w:szCs w:val="24"/>
                <w:highlight w:val="none"/>
              </w:rPr>
              <w:t>、投标单位在投标时应按清单给定的统一格式，提供</w:t>
            </w:r>
            <w:r>
              <w:rPr>
                <w:rFonts w:hint="eastAsia" w:ascii="宋体" w:hAnsi="宋体" w:cs="宋体"/>
                <w:sz w:val="24"/>
                <w:szCs w:val="24"/>
                <w:highlight w:val="none"/>
                <w:lang w:eastAsia="zh-CN"/>
              </w:rPr>
              <w:t>“工程项目费用汇总表</w:t>
            </w:r>
            <w:r>
              <w:rPr>
                <w:rFonts w:hint="eastAsia" w:ascii="宋体" w:hAnsi="宋体" w:eastAsia="宋体" w:cs="宋体"/>
                <w:sz w:val="24"/>
                <w:szCs w:val="24"/>
                <w:highlight w:val="none"/>
                <w:lang w:eastAsia="zh-CN"/>
              </w:rPr>
              <w:t>”</w:t>
            </w:r>
            <w:r>
              <w:rPr>
                <w:rFonts w:hint="eastAsia" w:ascii="宋体" w:hAnsi="宋体" w:cs="宋体"/>
                <w:sz w:val="24"/>
                <w:szCs w:val="24"/>
                <w:highlight w:val="none"/>
                <w:lang w:eastAsia="zh-CN"/>
              </w:rPr>
              <w:t>、“工程量清单计价表</w:t>
            </w:r>
            <w:r>
              <w:rPr>
                <w:rFonts w:hint="eastAsia" w:ascii="宋体" w:hAnsi="宋体" w:eastAsia="宋体" w:cs="宋体"/>
                <w:sz w:val="24"/>
                <w:szCs w:val="24"/>
                <w:highlight w:val="none"/>
                <w:lang w:eastAsia="zh-CN"/>
              </w:rPr>
              <w:t>”</w:t>
            </w:r>
            <w:r>
              <w:rPr>
                <w:rFonts w:hint="eastAsia" w:ascii="宋体" w:hAnsi="宋体" w:cs="宋体"/>
                <w:sz w:val="24"/>
                <w:szCs w:val="24"/>
                <w:highlight w:val="none"/>
                <w:lang w:eastAsia="zh-CN"/>
              </w:rPr>
              <w:t>、“主要材料报价</w:t>
            </w:r>
            <w:r>
              <w:rPr>
                <w:rFonts w:hint="eastAsia" w:ascii="宋体" w:hAnsi="宋体" w:eastAsia="宋体" w:cs="宋体"/>
                <w:sz w:val="24"/>
                <w:szCs w:val="24"/>
                <w:highlight w:val="none"/>
                <w:lang w:eastAsia="zh-CN"/>
              </w:rPr>
              <w:t>表”</w:t>
            </w:r>
            <w:r>
              <w:rPr>
                <w:rFonts w:hint="eastAsia" w:ascii="宋体" w:hAnsi="宋体" w:eastAsia="宋体" w:cs="宋体"/>
                <w:sz w:val="24"/>
                <w:szCs w:val="24"/>
                <w:highlight w:val="none"/>
              </w:rPr>
              <w:t>等，并按其规定内容填写，若有疑问按规定提出答疑。</w:t>
            </w:r>
          </w:p>
          <w:p w14:paraId="5F1486F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十</w:t>
            </w:r>
            <w:r>
              <w:rPr>
                <w:rFonts w:hint="eastAsia" w:ascii="宋体" w:hAnsi="宋体" w:cs="宋体"/>
                <w:sz w:val="24"/>
                <w:szCs w:val="24"/>
                <w:highlight w:val="none"/>
                <w:lang w:eastAsia="zh-CN"/>
              </w:rPr>
              <w:t>二</w:t>
            </w:r>
            <w:r>
              <w:rPr>
                <w:rFonts w:hint="eastAsia" w:ascii="宋体" w:hAnsi="宋体" w:eastAsia="宋体" w:cs="宋体"/>
                <w:sz w:val="24"/>
                <w:szCs w:val="24"/>
                <w:highlight w:val="none"/>
              </w:rPr>
              <w:t>、投标单位应详细填写</w:t>
            </w:r>
            <w:r>
              <w:rPr>
                <w:rFonts w:hint="eastAsia" w:ascii="宋体" w:hAnsi="宋体" w:cs="宋体"/>
                <w:sz w:val="24"/>
                <w:szCs w:val="24"/>
                <w:highlight w:val="none"/>
                <w:lang w:eastAsia="zh-CN"/>
              </w:rPr>
              <w:t>“投标报价明细</w:t>
            </w:r>
            <w:r>
              <w:rPr>
                <w:rFonts w:hint="eastAsia" w:ascii="宋体" w:hAnsi="宋体" w:eastAsia="宋体" w:cs="宋体"/>
                <w:sz w:val="24"/>
                <w:szCs w:val="24"/>
                <w:highlight w:val="none"/>
              </w:rPr>
              <w:t>表</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中的每一项</w:t>
            </w:r>
            <w:r>
              <w:rPr>
                <w:rFonts w:hint="eastAsia" w:ascii="宋体" w:hAnsi="宋体" w:cs="宋体"/>
                <w:sz w:val="24"/>
                <w:szCs w:val="24"/>
                <w:highlight w:val="none"/>
                <w:lang w:eastAsia="zh-CN"/>
              </w:rPr>
              <w:t>全费用综合单价</w:t>
            </w:r>
            <w:r>
              <w:rPr>
                <w:rFonts w:hint="eastAsia" w:ascii="宋体" w:hAnsi="宋体" w:eastAsia="宋体" w:cs="宋体"/>
                <w:sz w:val="24"/>
                <w:szCs w:val="24"/>
                <w:highlight w:val="none"/>
              </w:rPr>
              <w:t>及合价，如某一项没有填写视为已包括在其它项目清单的</w:t>
            </w:r>
            <w:r>
              <w:rPr>
                <w:rFonts w:hint="eastAsia" w:ascii="宋体" w:hAnsi="宋体" w:cs="宋体"/>
                <w:sz w:val="24"/>
                <w:szCs w:val="24"/>
                <w:highlight w:val="none"/>
                <w:lang w:eastAsia="zh-CN"/>
              </w:rPr>
              <w:t>全费用综合单价</w:t>
            </w:r>
            <w:r>
              <w:rPr>
                <w:rFonts w:hint="eastAsia" w:ascii="宋体" w:hAnsi="宋体" w:eastAsia="宋体" w:cs="宋体"/>
                <w:sz w:val="24"/>
                <w:szCs w:val="24"/>
                <w:highlight w:val="none"/>
              </w:rPr>
              <w:t>及总价内。</w:t>
            </w:r>
          </w:p>
          <w:p w14:paraId="63ACD50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十</w:t>
            </w:r>
            <w:r>
              <w:rPr>
                <w:rFonts w:hint="eastAsia" w:ascii="宋体" w:hAnsi="宋体" w:cs="宋体"/>
                <w:sz w:val="24"/>
                <w:szCs w:val="24"/>
                <w:highlight w:val="none"/>
                <w:lang w:eastAsia="zh-CN"/>
              </w:rPr>
              <w:t>三</w:t>
            </w:r>
            <w:r>
              <w:rPr>
                <w:rFonts w:hint="eastAsia" w:ascii="宋体" w:hAnsi="宋体" w:eastAsia="宋体" w:cs="宋体"/>
                <w:sz w:val="24"/>
                <w:szCs w:val="24"/>
                <w:highlight w:val="none"/>
              </w:rPr>
              <w:t>、投标单位按照本清单填报的</w:t>
            </w:r>
            <w:r>
              <w:rPr>
                <w:rFonts w:hint="eastAsia" w:ascii="宋体" w:hAnsi="宋体" w:cs="宋体"/>
                <w:sz w:val="24"/>
                <w:szCs w:val="24"/>
                <w:highlight w:val="none"/>
                <w:lang w:eastAsia="zh-CN"/>
              </w:rPr>
              <w:t>全费用综合单价</w:t>
            </w:r>
            <w:r>
              <w:rPr>
                <w:rFonts w:hint="eastAsia" w:ascii="宋体" w:hAnsi="宋体" w:eastAsia="宋体" w:cs="宋体"/>
                <w:sz w:val="24"/>
                <w:szCs w:val="24"/>
                <w:highlight w:val="none"/>
              </w:rPr>
              <w:t>，严禁不平衡报价，不得恶意降低报价扰乱市场，评标委员会有权对不合理报价进行质疑，投标单位应给予合理的答复。否则，经评标委员会评定为不合理报价的投标文件将否决其投标。如中标人编制的部分工程量清单单价与市场价偏离较大，招标人有权要求中标单位在签订合同时调整至合理价格。</w:t>
            </w:r>
          </w:p>
          <w:p w14:paraId="3EA5F45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十</w:t>
            </w:r>
            <w:r>
              <w:rPr>
                <w:rFonts w:hint="eastAsia" w:ascii="宋体" w:hAnsi="宋体" w:cs="宋体"/>
                <w:sz w:val="24"/>
                <w:szCs w:val="24"/>
                <w:highlight w:val="none"/>
                <w:lang w:eastAsia="zh-CN"/>
              </w:rPr>
              <w:t>四</w:t>
            </w:r>
            <w:r>
              <w:rPr>
                <w:rFonts w:hint="eastAsia" w:ascii="宋体" w:hAnsi="宋体" w:eastAsia="宋体" w:cs="宋体"/>
                <w:sz w:val="24"/>
                <w:szCs w:val="24"/>
                <w:highlight w:val="none"/>
              </w:rPr>
              <w:t>、投标单位必须完成所有按国家相关法律法规、行业规范等文件要求的检验、检测和验收工作</w:t>
            </w:r>
            <w:r>
              <w:rPr>
                <w:rFonts w:hint="eastAsia" w:ascii="宋体" w:hAnsi="宋体" w:cs="宋体"/>
                <w:sz w:val="24"/>
                <w:szCs w:val="24"/>
                <w:highlight w:val="none"/>
                <w:lang w:eastAsia="zh-CN"/>
              </w:rPr>
              <w:t>；本工程承包范围内竣工验收所有的检验检测费用（外窗喷淋除外）在报价时须综合考虑，</w:t>
            </w:r>
            <w:r>
              <w:rPr>
                <w:rFonts w:hint="eastAsia" w:ascii="宋体" w:hAnsi="宋体" w:eastAsia="宋体" w:cs="宋体"/>
                <w:sz w:val="24"/>
                <w:szCs w:val="24"/>
                <w:highlight w:val="none"/>
              </w:rPr>
              <w:t>结算时不增加此部分费用。</w:t>
            </w:r>
          </w:p>
          <w:p w14:paraId="2D77E49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eastAsia="zh-CN"/>
              </w:rPr>
              <w:t>十五、</w:t>
            </w:r>
            <w:r>
              <w:rPr>
                <w:rFonts w:hint="eastAsia" w:ascii="宋体" w:hAnsi="宋体" w:eastAsia="宋体" w:cs="宋体"/>
                <w:sz w:val="24"/>
                <w:szCs w:val="24"/>
                <w:highlight w:val="none"/>
              </w:rPr>
              <w:t>所有材料均应选用符合国标的产品，</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规定品牌的材料要在</w:t>
            </w:r>
            <w:r>
              <w:rPr>
                <w:rFonts w:hint="eastAsia" w:ascii="宋体" w:hAnsi="宋体" w:cs="宋体"/>
                <w:sz w:val="24"/>
                <w:szCs w:val="24"/>
                <w:highlight w:val="none"/>
                <w:lang w:eastAsia="zh-CN"/>
              </w:rPr>
              <w:t>主要材料报价表</w:t>
            </w:r>
            <w:r>
              <w:rPr>
                <w:rFonts w:hint="eastAsia" w:ascii="宋体" w:hAnsi="宋体" w:eastAsia="宋体" w:cs="宋体"/>
                <w:sz w:val="24"/>
                <w:szCs w:val="24"/>
                <w:highlight w:val="none"/>
              </w:rPr>
              <w:t>中注明选用材料的品牌，所有由投标单位自主报价的材料，采购前中标单位均须提供样品，经招标人同意后方可使用。若中标单位提供的样品或因其它的原因达不到招标人的要求，招标人有权指定供应商，一切费用由中标单位承担。</w:t>
            </w:r>
          </w:p>
          <w:p w14:paraId="234C59B0">
            <w:pPr>
              <w:keepNext w:val="0"/>
              <w:keepLines w:val="0"/>
              <w:suppressLineNumbers w:val="0"/>
              <w:spacing w:before="0" w:beforeAutospacing="0" w:after="0" w:afterAutospacing="0" w:line="460" w:lineRule="exact"/>
              <w:ind w:left="67" w:leftChars="32" w:right="0" w:firstLine="427" w:firstLineChars="178"/>
              <w:rPr>
                <w:rFonts w:hint="eastAsia" w:ascii="宋体" w:hAnsi="宋体" w:cs="宋体"/>
                <w:b/>
                <w:bCs/>
                <w:sz w:val="24"/>
                <w:szCs w:val="24"/>
                <w:highlight w:val="none"/>
              </w:rPr>
            </w:pPr>
            <w:r>
              <w:rPr>
                <w:rFonts w:hint="eastAsia" w:ascii="宋体" w:hAnsi="宋体" w:eastAsia="宋体" w:cs="宋体"/>
                <w:sz w:val="24"/>
                <w:szCs w:val="24"/>
                <w:highlight w:val="none"/>
              </w:rPr>
              <w:t>十</w:t>
            </w:r>
            <w:r>
              <w:rPr>
                <w:rFonts w:hint="eastAsia" w:ascii="宋体" w:hAnsi="宋体" w:cs="宋体"/>
                <w:sz w:val="24"/>
                <w:szCs w:val="24"/>
                <w:highlight w:val="none"/>
                <w:lang w:eastAsia="zh-CN"/>
              </w:rPr>
              <w:t>六</w:t>
            </w:r>
            <w:r>
              <w:rPr>
                <w:rFonts w:hint="eastAsia" w:ascii="宋体" w:hAnsi="宋体" w:eastAsia="宋体" w:cs="宋体"/>
                <w:sz w:val="24"/>
                <w:szCs w:val="24"/>
                <w:highlight w:val="none"/>
              </w:rPr>
              <w:t>、</w:t>
            </w:r>
            <w:r>
              <w:rPr>
                <w:rFonts w:hint="eastAsia" w:ascii="宋体" w:hAnsi="宋体" w:cs="宋体"/>
                <w:b/>
                <w:bCs/>
                <w:sz w:val="24"/>
                <w:szCs w:val="24"/>
                <w:highlight w:val="none"/>
              </w:rPr>
              <w:t>投标单位在投标报价时，按照一般计税法</w:t>
            </w:r>
            <w:r>
              <w:rPr>
                <w:rFonts w:hint="eastAsia" w:ascii="宋体" w:hAnsi="宋体" w:cs="宋体"/>
                <w:b/>
                <w:bCs/>
                <w:sz w:val="24"/>
                <w:szCs w:val="24"/>
                <w:highlight w:val="none"/>
                <w:lang w:eastAsia="zh-CN"/>
              </w:rPr>
              <w:t>，</w:t>
            </w:r>
            <w:r>
              <w:rPr>
                <w:rFonts w:hint="eastAsia" w:ascii="宋体" w:hAnsi="宋体" w:cs="宋体"/>
                <w:b/>
                <w:bCs/>
                <w:sz w:val="24"/>
                <w:szCs w:val="24"/>
                <w:highlight w:val="none"/>
                <w:lang w:val="en-US" w:eastAsia="zh-CN"/>
              </w:rPr>
              <w:t>税率9%</w:t>
            </w:r>
            <w:r>
              <w:rPr>
                <w:rFonts w:hint="eastAsia" w:ascii="宋体" w:hAnsi="宋体" w:cs="宋体"/>
                <w:b/>
                <w:bCs/>
                <w:sz w:val="24"/>
                <w:szCs w:val="24"/>
                <w:highlight w:val="none"/>
              </w:rPr>
              <w:t>进行报价。中标后需按规定开具增值税专用发票。若后期出现政策性税率调整，</w:t>
            </w:r>
            <w:r>
              <w:rPr>
                <w:rFonts w:hint="eastAsia" w:ascii="宋体" w:hAnsi="宋体" w:cs="宋体"/>
                <w:b/>
                <w:bCs/>
                <w:sz w:val="24"/>
                <w:szCs w:val="24"/>
                <w:highlight w:val="none"/>
                <w:lang w:eastAsia="zh-CN"/>
              </w:rPr>
              <w:t>或</w:t>
            </w:r>
            <w:r>
              <w:rPr>
                <w:rFonts w:hint="eastAsia" w:ascii="宋体" w:hAnsi="宋体" w:cs="宋体"/>
                <w:b/>
                <w:bCs/>
                <w:sz w:val="24"/>
                <w:szCs w:val="24"/>
                <w:highlight w:val="none"/>
              </w:rPr>
              <w:t>因中标单位纳税资格所开具的增值税专用发票税率与投标税率不一致的情况，最终结算时税率按照中标单位实际开具的增值税专用发票税率计取。</w:t>
            </w:r>
          </w:p>
          <w:p w14:paraId="6277BF2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cs="宋体"/>
                <w:sz w:val="24"/>
                <w:szCs w:val="24"/>
                <w:highlight w:val="none"/>
                <w:lang w:eastAsia="zh-CN"/>
              </w:rPr>
            </w:pPr>
            <w:r>
              <w:rPr>
                <w:rFonts w:hint="eastAsia" w:ascii="宋体" w:hAnsi="宋体"/>
                <w:sz w:val="24"/>
                <w:szCs w:val="24"/>
                <w:highlight w:val="none"/>
                <w:lang w:eastAsia="zh-CN"/>
              </w:rPr>
              <w:t>十七</w:t>
            </w:r>
            <w:r>
              <w:rPr>
                <w:rFonts w:hint="eastAsia" w:ascii="宋体" w:hAnsi="宋体"/>
                <w:sz w:val="24"/>
                <w:szCs w:val="24"/>
                <w:highlight w:val="none"/>
              </w:rPr>
              <w:t>、</w:t>
            </w:r>
            <w:r>
              <w:rPr>
                <w:rFonts w:hint="eastAsia" w:ascii="宋体" w:hAnsi="宋体"/>
                <w:sz w:val="24"/>
                <w:szCs w:val="24"/>
                <w:highlight w:val="none"/>
                <w:lang w:eastAsia="zh-CN"/>
              </w:rPr>
              <w:t>本次报价应包含</w:t>
            </w:r>
            <w:r>
              <w:rPr>
                <w:rFonts w:hint="eastAsia" w:ascii="宋体" w:hAnsi="宋体" w:eastAsia="宋体" w:cs="宋体"/>
                <w:sz w:val="24"/>
                <w:szCs w:val="24"/>
                <w:highlight w:val="none"/>
              </w:rPr>
              <w:t>在建设过程中发生的诸如市场物价浮动和政策性调价等因素</w:t>
            </w:r>
            <w:r>
              <w:rPr>
                <w:rFonts w:hint="eastAsia" w:ascii="宋体" w:hAnsi="宋体" w:cs="宋体"/>
                <w:sz w:val="24"/>
                <w:szCs w:val="24"/>
                <w:highlight w:val="none"/>
                <w:lang w:eastAsia="zh-CN"/>
              </w:rPr>
              <w:t>而可能产生的风险因素，结算时单价不会因此而调整</w:t>
            </w:r>
            <w:r>
              <w:rPr>
                <w:rFonts w:hint="eastAsia" w:ascii="宋体" w:hAnsi="宋体" w:cs="宋体"/>
                <w:b/>
                <w:bCs/>
                <w:sz w:val="24"/>
                <w:szCs w:val="24"/>
                <w:highlight w:val="none"/>
                <w:lang w:eastAsia="zh-CN"/>
              </w:rPr>
              <w:t>（清单和</w:t>
            </w:r>
            <w:r>
              <w:rPr>
                <w:rFonts w:hint="eastAsia" w:ascii="宋体" w:hAnsi="宋体" w:eastAsia="宋体" w:cs="宋体"/>
                <w:b/>
                <w:bCs/>
                <w:sz w:val="24"/>
                <w:szCs w:val="24"/>
                <w:highlight w:val="none"/>
              </w:rPr>
              <w:t>招标文件另有</w:t>
            </w:r>
            <w:r>
              <w:rPr>
                <w:rFonts w:hint="eastAsia" w:ascii="宋体" w:hAnsi="宋体" w:cs="宋体"/>
                <w:b/>
                <w:bCs/>
                <w:sz w:val="24"/>
                <w:szCs w:val="24"/>
                <w:highlight w:val="none"/>
                <w:lang w:eastAsia="zh-CN"/>
              </w:rPr>
              <w:t>约</w:t>
            </w:r>
            <w:r>
              <w:rPr>
                <w:rFonts w:hint="eastAsia" w:ascii="宋体" w:hAnsi="宋体" w:eastAsia="宋体" w:cs="宋体"/>
                <w:b/>
                <w:bCs/>
                <w:sz w:val="24"/>
                <w:szCs w:val="24"/>
                <w:highlight w:val="none"/>
              </w:rPr>
              <w:t>定的除外</w:t>
            </w:r>
            <w:r>
              <w:rPr>
                <w:rFonts w:hint="eastAsia" w:ascii="宋体" w:hAnsi="宋体" w:cs="宋体"/>
                <w:b/>
                <w:bCs/>
                <w:sz w:val="24"/>
                <w:szCs w:val="24"/>
                <w:highlight w:val="none"/>
                <w:lang w:eastAsia="zh-CN"/>
              </w:rPr>
              <w:t>）</w:t>
            </w:r>
            <w:r>
              <w:rPr>
                <w:rFonts w:hint="eastAsia" w:ascii="宋体" w:hAnsi="宋体" w:cs="宋体"/>
                <w:sz w:val="24"/>
                <w:szCs w:val="24"/>
                <w:highlight w:val="none"/>
                <w:lang w:eastAsia="zh-CN"/>
              </w:rPr>
              <w:t>。</w:t>
            </w:r>
          </w:p>
          <w:p w14:paraId="7BA6976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sz w:val="24"/>
                <w:szCs w:val="24"/>
                <w:highlight w:val="none"/>
              </w:rPr>
            </w:pPr>
            <w:r>
              <w:rPr>
                <w:rFonts w:hint="eastAsia" w:ascii="宋体" w:hAnsi="宋体" w:eastAsia="宋体" w:cs="宋体"/>
                <w:sz w:val="24"/>
                <w:szCs w:val="24"/>
                <w:highlight w:val="none"/>
                <w:lang w:eastAsia="zh-CN"/>
              </w:rPr>
              <w:t>十</w:t>
            </w:r>
            <w:r>
              <w:rPr>
                <w:rFonts w:hint="eastAsia" w:ascii="宋体" w:hAnsi="宋体" w:cs="宋体"/>
                <w:sz w:val="24"/>
                <w:szCs w:val="24"/>
                <w:highlight w:val="none"/>
                <w:lang w:eastAsia="zh-CN"/>
              </w:rPr>
              <w:t>八</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投标单位在投标报价</w:t>
            </w:r>
            <w:r>
              <w:rPr>
                <w:rFonts w:hint="eastAsia" w:ascii="宋体" w:hAnsi="宋体"/>
                <w:sz w:val="24"/>
                <w:szCs w:val="24"/>
                <w:highlight w:val="none"/>
              </w:rPr>
              <w:t>时，应综合考虑以下费用:</w:t>
            </w:r>
          </w:p>
          <w:p w14:paraId="2945957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（一）</w:t>
            </w:r>
            <w:r>
              <w:rPr>
                <w:rFonts w:hint="eastAsia" w:ascii="宋体" w:hAnsi="宋体" w:eastAsia="宋体" w:cs="宋体"/>
                <w:sz w:val="24"/>
                <w:szCs w:val="24"/>
                <w:highlight w:val="none"/>
              </w:rPr>
              <w:t>图纸与清单不符的以清单为准，清单未注明的以图纸为准。</w:t>
            </w:r>
          </w:p>
          <w:p w14:paraId="7730DE2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（二）</w:t>
            </w:r>
            <w:r>
              <w:rPr>
                <w:rFonts w:hint="eastAsia" w:ascii="宋体" w:hAnsi="宋体" w:eastAsia="宋体" w:cs="宋体"/>
                <w:sz w:val="24"/>
                <w:szCs w:val="24"/>
                <w:highlight w:val="none"/>
              </w:rPr>
              <w:t>工程量清单中的工作内容和项目特征描述，均为分部分项清单项目的主要内容。若有未列全的其他内容由投标单位按照招标文件、设计图纸、规范等资料要求综合考虑。设计及规范等资料未明确的由投标单位根据现场考察、施工经验和相关资料综合考虑。或于答疑前书面提出，在答疑时统一解决。所有分部分项工程量清单均以完成该清单项目的所有内容为准考虑到综合报价中，结算时不予调整。结算时对清单特征描述中未施工的部分予以相应的扣除。</w:t>
            </w:r>
          </w:p>
          <w:p w14:paraId="0345BD8D">
            <w:pPr>
              <w:keepNext w:val="0"/>
              <w:keepLines w:val="0"/>
              <w:pageBreakBefore w:val="0"/>
              <w:widowControl w:val="0"/>
              <w:numPr>
                <w:ilvl w:val="0"/>
                <w:numId w:val="0"/>
              </w:numPr>
              <w:suppressLineNumbers w:val="0"/>
              <w:kinsoku/>
              <w:wordWrap/>
              <w:overflowPunct/>
              <w:topLinePunct w:val="0"/>
              <w:autoSpaceDE/>
              <w:autoSpaceDN/>
              <w:bidi w:val="0"/>
              <w:adjustRightInd/>
              <w:spacing w:before="0" w:beforeAutospacing="0" w:after="0" w:afterAutospacing="0" w:line="500" w:lineRule="exact"/>
              <w:ind w:left="0" w:right="0"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（三）</w:t>
            </w:r>
            <w:r>
              <w:rPr>
                <w:rFonts w:hint="eastAsia" w:ascii="宋体" w:hAnsi="宋体"/>
                <w:sz w:val="24"/>
                <w:highlight w:val="none"/>
              </w:rPr>
              <w:t>本工程主要材料</w:t>
            </w:r>
            <w:r>
              <w:rPr>
                <w:rFonts w:hint="eastAsia" w:ascii="宋体" w:hAnsi="宋体"/>
                <w:sz w:val="24"/>
                <w:highlight w:val="none"/>
                <w:lang w:eastAsia="zh-CN"/>
              </w:rPr>
              <w:t>的品牌填报在“主要材料报价表”中。</w:t>
            </w:r>
            <w:r>
              <w:rPr>
                <w:rFonts w:hint="eastAsia" w:ascii="宋体" w:hAnsi="宋体"/>
                <w:sz w:val="24"/>
                <w:highlight w:val="none"/>
              </w:rPr>
              <w:t>主要材料价格应包含材料费、采保费、检验试验费、损耗、运输费、装卸费等</w:t>
            </w:r>
            <w:r>
              <w:rPr>
                <w:rFonts w:hint="eastAsia" w:ascii="宋体" w:hAnsi="宋体"/>
                <w:sz w:val="24"/>
                <w:highlight w:val="none"/>
                <w:lang w:eastAsia="zh-CN"/>
              </w:rPr>
              <w:t>及</w:t>
            </w:r>
            <w:r>
              <w:rPr>
                <w:rFonts w:hint="eastAsia" w:ascii="宋体" w:hAnsi="宋体"/>
                <w:sz w:val="24"/>
                <w:highlight w:val="none"/>
              </w:rPr>
              <w:t>购买、运输至现场卸车的费用等。主要材料及相关配件应在“</w:t>
            </w:r>
            <w:r>
              <w:rPr>
                <w:rFonts w:hint="eastAsia" w:ascii="宋体" w:hAnsi="宋体"/>
                <w:sz w:val="24"/>
                <w:highlight w:val="none"/>
                <w:lang w:eastAsia="zh-CN"/>
              </w:rPr>
              <w:t>主要材料报价</w:t>
            </w:r>
            <w:r>
              <w:rPr>
                <w:rFonts w:hint="eastAsia" w:ascii="宋体" w:hAnsi="宋体"/>
                <w:sz w:val="24"/>
                <w:highlight w:val="none"/>
              </w:rPr>
              <w:t>表”中详细列明品牌。施工过程中要以投标报价时所报品牌入场。因</w:t>
            </w:r>
            <w:r>
              <w:rPr>
                <w:rFonts w:hint="eastAsia" w:ascii="宋体" w:hAnsi="宋体"/>
                <w:sz w:val="24"/>
                <w:highlight w:val="none"/>
                <w:lang w:eastAsia="zh-CN"/>
              </w:rPr>
              <w:t>建设单位</w:t>
            </w:r>
            <w:r>
              <w:rPr>
                <w:rFonts w:hint="eastAsia" w:ascii="宋体" w:hAnsi="宋体"/>
                <w:sz w:val="24"/>
                <w:highlight w:val="none"/>
              </w:rPr>
              <w:t>提出材料变更导致材料产生差价</w:t>
            </w:r>
            <w:r>
              <w:rPr>
                <w:rFonts w:hint="eastAsia" w:ascii="宋体" w:hAnsi="宋体"/>
                <w:sz w:val="24"/>
                <w:highlight w:val="none"/>
                <w:lang w:eastAsia="zh-CN"/>
              </w:rPr>
              <w:t>招标人</w:t>
            </w:r>
            <w:r>
              <w:rPr>
                <w:rFonts w:hint="eastAsia" w:ascii="宋体" w:hAnsi="宋体"/>
                <w:sz w:val="24"/>
                <w:highlight w:val="none"/>
              </w:rPr>
              <w:t>给予找补差价，但差价不再参与取费,只计取税金。</w:t>
            </w:r>
          </w:p>
          <w:p w14:paraId="01FD838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（四）所有投标报价材料均应包括其采购保管费用，运输费、施工现场内外搬运费、二次倒</w:t>
            </w:r>
          </w:p>
          <w:p w14:paraId="4E72E7E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right="0"/>
              <w:textAlignment w:val="auto"/>
              <w:rPr>
                <w:rFonts w:hint="eastAsia" w:ascii="宋体" w:hAnsi="宋体" w:cs="宋体"/>
                <w:sz w:val="24"/>
              </w:rPr>
            </w:pPr>
            <w:r>
              <w:rPr>
                <w:rFonts w:hint="eastAsia" w:ascii="宋体" w:hAnsi="宋体" w:eastAsia="宋体" w:cs="宋体"/>
                <w:sz w:val="24"/>
                <w:szCs w:val="24"/>
                <w:highlight w:val="none"/>
                <w:lang w:eastAsia="zh-CN"/>
              </w:rPr>
              <w:t>运费、检验试验费等所有费用，并根据实际情况考虑材料的损耗率，在结算中，不再考虑损耗及运距等因素而调整单价。报价内均应考虑材料半成品构件、成品构件的吊装、运输、拼装等所有工序。实际施工中无论采用何种运输、吊装方式结算时均不做任何调整。</w:t>
            </w:r>
          </w:p>
          <w:p w14:paraId="76700EF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eastAsia="zh-CN"/>
              </w:rPr>
              <w:t>（五）</w:t>
            </w:r>
            <w:r>
              <w:rPr>
                <w:rFonts w:hint="eastAsia" w:ascii="宋体" w:hAnsi="宋体" w:eastAsia="宋体" w:cs="宋体"/>
                <w:sz w:val="24"/>
                <w:szCs w:val="24"/>
                <w:highlight w:val="none"/>
              </w:rPr>
              <w:t>施工现场临时场地、临时水、电已开通至建筑红线内，红线内的所有用水费用(包括施工单位利用地下水的费用）、用电费用由投标单位自行解决。水源电源接入点至施工场地内由中标单位实施，管线的规格、数量、平面走向等投标单位自行确定，所需费用全部包含在相应的投标报价中，结算时不增加此部分费用。</w:t>
            </w:r>
          </w:p>
          <w:p w14:paraId="2F375BD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eastAsia="zh-CN"/>
              </w:rPr>
              <w:t>（六）</w:t>
            </w:r>
            <w:r>
              <w:rPr>
                <w:rFonts w:hint="eastAsia" w:ascii="宋体" w:hAnsi="宋体" w:eastAsia="宋体" w:cs="宋体"/>
                <w:sz w:val="24"/>
                <w:szCs w:val="24"/>
                <w:highlight w:val="none"/>
              </w:rPr>
              <w:t>在施工过程中可能产生的扬尘、噪音、车辆进出等因素，不得对周围居民的安全、财产及正常生活等造成影响，需采取的措施及费用均需考虑在投标报价当中。若因此引起纠纷及损失，均由投标单位自行解决。其中施工扬尘治理应达到威住建通字[2017]9号、威住建通字[2017]38号文的要求、《2019年全市建筑施工扬尘治理提升行动工作方案》的要求。</w:t>
            </w:r>
          </w:p>
          <w:p w14:paraId="69D4FC4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eastAsia="zh-CN"/>
              </w:rPr>
              <w:t>（七）</w:t>
            </w:r>
            <w:r>
              <w:rPr>
                <w:rFonts w:hint="eastAsia" w:ascii="宋体" w:hAnsi="宋体" w:eastAsia="宋体" w:cs="宋体"/>
                <w:sz w:val="24"/>
                <w:szCs w:val="24"/>
                <w:highlight w:val="none"/>
              </w:rPr>
              <w:t>中标单位为本工程提供的各类车辆及机械设备费用，包括机械设备的进出场、装卸、拼装、交通标示牌、警示牌等所有费用，应包括在投标报价中，投标单位应充分考虑施工过程中发生的各种机械的多次进出场和机械停滞的费用及风险费用，结算时不增加此部分费用。</w:t>
            </w:r>
          </w:p>
          <w:p w14:paraId="7DE159D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cs="宋体"/>
                <w:sz w:val="24"/>
                <w:szCs w:val="24"/>
                <w:highlight w:val="none"/>
                <w:lang w:eastAsia="zh-CN"/>
              </w:rPr>
            </w:pPr>
            <w:r>
              <w:rPr>
                <w:rFonts w:hint="eastAsia" w:ascii="宋体" w:hAnsi="宋体" w:cs="宋体"/>
                <w:sz w:val="24"/>
                <w:szCs w:val="24"/>
                <w:highlight w:val="none"/>
                <w:lang w:eastAsia="zh-CN"/>
              </w:rPr>
              <w:t>（八）</w:t>
            </w:r>
            <w:r>
              <w:rPr>
                <w:rFonts w:hint="eastAsia" w:ascii="宋体" w:hAnsi="宋体" w:eastAsia="宋体" w:cs="宋体"/>
                <w:sz w:val="24"/>
                <w:szCs w:val="24"/>
                <w:highlight w:val="none"/>
              </w:rPr>
              <w:t>投标单位对措施费用的投标报价，应根据招标文件、补充招标文件的要求及自身拟订的本工程施工组织设计、施工方案以及工程现场的实际情况和投标单位的施工经验、投标单位本企业的实际情况等</w:t>
            </w:r>
            <w:r>
              <w:rPr>
                <w:rFonts w:hint="eastAsia" w:ascii="宋体" w:hAnsi="宋体" w:cs="宋体"/>
                <w:sz w:val="24"/>
                <w:szCs w:val="24"/>
                <w:highlight w:val="none"/>
                <w:lang w:eastAsia="zh-CN"/>
              </w:rPr>
              <w:t>自主</w:t>
            </w:r>
            <w:r>
              <w:rPr>
                <w:rFonts w:hint="eastAsia" w:ascii="宋体" w:hAnsi="宋体" w:eastAsia="宋体" w:cs="宋体"/>
                <w:sz w:val="24"/>
                <w:szCs w:val="24"/>
                <w:highlight w:val="none"/>
              </w:rPr>
              <w:t>报价，</w:t>
            </w:r>
            <w:r>
              <w:rPr>
                <w:rFonts w:hint="eastAsia" w:ascii="宋体" w:hAnsi="宋体" w:cs="宋体"/>
                <w:sz w:val="24"/>
                <w:szCs w:val="24"/>
                <w:highlight w:val="none"/>
                <w:lang w:eastAsia="zh-CN"/>
              </w:rPr>
              <w:t>计入全费用综合单价中，结算不再调整。</w:t>
            </w:r>
          </w:p>
          <w:p w14:paraId="087D500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eastAsia="zh-CN"/>
              </w:rPr>
              <w:t>（九）</w:t>
            </w:r>
            <w:r>
              <w:rPr>
                <w:rFonts w:hint="eastAsia" w:ascii="宋体" w:hAnsi="宋体" w:eastAsia="宋体" w:cs="宋体"/>
                <w:sz w:val="24"/>
                <w:szCs w:val="24"/>
                <w:highlight w:val="none"/>
              </w:rPr>
              <w:t>投标报价要充分考虑施工过程中不可避免的赶工期增加费，结算不予调整。</w:t>
            </w:r>
          </w:p>
          <w:p w14:paraId="0687970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cs="宋体"/>
                <w:b/>
                <w:bCs/>
                <w:sz w:val="24"/>
                <w:szCs w:val="24"/>
                <w:highlight w:val="none"/>
                <w:lang w:eastAsia="zh-CN"/>
              </w:rPr>
            </w:pPr>
            <w:r>
              <w:rPr>
                <w:rFonts w:hint="eastAsia" w:ascii="宋体" w:hAnsi="宋体" w:cs="宋体"/>
                <w:sz w:val="24"/>
                <w:szCs w:val="24"/>
                <w:highlight w:val="none"/>
                <w:lang w:eastAsia="zh-CN"/>
              </w:rPr>
              <w:t>（十）</w:t>
            </w:r>
            <w:r>
              <w:rPr>
                <w:rFonts w:hint="eastAsia" w:ascii="宋体" w:hAnsi="宋体" w:cs="宋体"/>
                <w:b/>
                <w:bCs/>
                <w:sz w:val="24"/>
                <w:szCs w:val="24"/>
                <w:highlight w:val="none"/>
                <w:lang w:eastAsia="zh-CN"/>
              </w:rPr>
              <w:t>总包服务费由投标单位综合考虑在各项清单全费用综合单价内，中标后由中标人和总承包单位自行结算缴纳，结算中不再单独考虑。</w:t>
            </w:r>
          </w:p>
          <w:p w14:paraId="114C413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eastAsia="zh-CN"/>
              </w:rPr>
              <w:t>（十一）</w:t>
            </w:r>
            <w:r>
              <w:rPr>
                <w:rFonts w:hint="eastAsia" w:ascii="宋体" w:hAnsi="宋体" w:eastAsia="宋体" w:cs="宋体"/>
                <w:sz w:val="24"/>
                <w:szCs w:val="24"/>
                <w:highlight w:val="none"/>
              </w:rPr>
              <w:t>投标单位应根据现场实际情况，自行考虑临时设施的搭设位置，但必须符合规定。无论场内场外，结算时不再增加此部分费用。</w:t>
            </w:r>
          </w:p>
          <w:p w14:paraId="0C5023B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（十二）</w:t>
            </w:r>
            <w:r>
              <w:rPr>
                <w:rFonts w:hint="eastAsia" w:ascii="宋体" w:hAnsi="宋体" w:eastAsia="宋体" w:cs="宋体"/>
                <w:sz w:val="24"/>
                <w:szCs w:val="24"/>
                <w:highlight w:val="none"/>
              </w:rPr>
              <w:t>招标人有权对进场的铝合金门窗进行现场随机抽检，包括锯开横截面检查，若抽检结果不合格，则认定该批次门窗不合格，由中标人承担检测费用及由此造成的全部责任和损失；若抽检结果合格，由招标人承担检测费用。</w:t>
            </w:r>
          </w:p>
          <w:p w14:paraId="0D17CB4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（十三）</w:t>
            </w:r>
            <w:r>
              <w:rPr>
                <w:rFonts w:hint="eastAsia" w:ascii="宋体" w:hAnsi="宋体" w:eastAsia="宋体" w:cs="宋体"/>
                <w:sz w:val="24"/>
                <w:szCs w:val="24"/>
                <w:highlight w:val="none"/>
                <w:lang w:val="en-US" w:eastAsia="zh-CN"/>
              </w:rPr>
              <w:t>中标人应对自身产品进行必要和足够的保护，并及时以书面形式通知招标人和监理，寻求配合和监督。如因保护不当而造成的成品、半成品损坏，由中标人自行承担，招标人不支持中标人的任何索赔。</w:t>
            </w:r>
          </w:p>
          <w:p w14:paraId="5472A2D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（十四）</w:t>
            </w:r>
            <w:r>
              <w:rPr>
                <w:rFonts w:hint="eastAsia" w:ascii="宋体" w:hAnsi="宋体" w:eastAsia="宋体" w:cs="宋体"/>
                <w:sz w:val="24"/>
                <w:szCs w:val="24"/>
                <w:highlight w:val="none"/>
              </w:rPr>
              <w:t>所有用于该工程的铝合金型材</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各种钢材表面处理不低于图纸设计及招标文件要求，</w:t>
            </w:r>
          </w:p>
          <w:p w14:paraId="0DF24F5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right="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超过</w:t>
            </w:r>
            <w:r>
              <w:rPr>
                <w:rFonts w:hint="eastAsia" w:ascii="宋体" w:hAnsi="宋体" w:eastAsia="宋体" w:cs="宋体"/>
                <w:sz w:val="24"/>
                <w:szCs w:val="24"/>
                <w:highlight w:val="none"/>
                <w:lang w:eastAsia="zh-CN"/>
              </w:rPr>
              <w:t>设计</w:t>
            </w:r>
            <w:r>
              <w:rPr>
                <w:rFonts w:hint="eastAsia" w:ascii="宋体" w:hAnsi="宋体" w:eastAsia="宋体" w:cs="宋体"/>
                <w:sz w:val="24"/>
                <w:szCs w:val="24"/>
                <w:highlight w:val="none"/>
              </w:rPr>
              <w:t>及招标文件要求产生的增加费不另计算。</w:t>
            </w:r>
            <w:r>
              <w:rPr>
                <w:rFonts w:hint="eastAsia" w:ascii="宋体" w:hAnsi="宋体" w:eastAsia="宋体" w:cs="宋体"/>
                <w:sz w:val="24"/>
                <w:szCs w:val="24"/>
                <w:highlight w:val="none"/>
                <w:lang w:eastAsia="zh-CN"/>
              </w:rPr>
              <w:t>型材、</w:t>
            </w:r>
            <w:r>
              <w:rPr>
                <w:rFonts w:hint="eastAsia" w:ascii="宋体" w:hAnsi="宋体" w:eastAsia="宋体" w:cs="宋体"/>
                <w:sz w:val="24"/>
                <w:szCs w:val="24"/>
                <w:highlight w:val="none"/>
              </w:rPr>
              <w:t>铝合金型材表面处理的费用计入材料单价内。</w:t>
            </w:r>
          </w:p>
          <w:p w14:paraId="413ADD8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eastAsia="zh-CN"/>
              </w:rPr>
              <w:t>（十五）</w:t>
            </w:r>
            <w:r>
              <w:rPr>
                <w:rFonts w:hint="eastAsia" w:ascii="宋体" w:hAnsi="宋体" w:eastAsia="宋体" w:cs="宋体"/>
                <w:sz w:val="24"/>
                <w:szCs w:val="24"/>
                <w:highlight w:val="none"/>
              </w:rPr>
              <w:t>所有钢构件除锈、防腐、喷涂及防火涂料，投标单位报价时应按清单中规定的要求及完成该工作所需的所有内容填报，结算时不再增加此类项目。各技术标准不低于图纸设计标注，但超过部分产生的增加费不另计算。</w:t>
            </w:r>
          </w:p>
          <w:p w14:paraId="05DACF0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（十六）</w:t>
            </w:r>
            <w:r>
              <w:rPr>
                <w:rFonts w:hint="eastAsia" w:ascii="宋体" w:hAnsi="宋体" w:eastAsia="宋体" w:cs="宋体"/>
                <w:sz w:val="24"/>
                <w:szCs w:val="24"/>
                <w:highlight w:val="none"/>
              </w:rPr>
              <w:t>用于本工程的所有玻璃材料要求原厂原片，玻璃钢化的位置</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钢化要求</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防火要求</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安全玻璃的使用等应符合相关规范、图纸设计要求及招标技术要求。本工程的玻璃必须为原厂生产</w:t>
            </w:r>
            <w:r>
              <w:rPr>
                <w:rFonts w:hint="eastAsia" w:ascii="宋体" w:hAnsi="宋体" w:eastAsia="宋体" w:cs="宋体"/>
                <w:sz w:val="24"/>
                <w:szCs w:val="24"/>
                <w:highlight w:val="none"/>
                <w:lang w:eastAsia="zh-CN"/>
              </w:rPr>
              <w:t>的</w:t>
            </w:r>
            <w:r>
              <w:rPr>
                <w:rFonts w:hint="eastAsia" w:ascii="宋体" w:hAnsi="宋体" w:eastAsia="宋体" w:cs="宋体"/>
                <w:sz w:val="24"/>
                <w:szCs w:val="24"/>
                <w:highlight w:val="none"/>
              </w:rPr>
              <w:t>优等品，玻璃的磨边、开缺、打孔等所有价格等均包含在</w:t>
            </w:r>
            <w:r>
              <w:rPr>
                <w:rFonts w:hint="eastAsia" w:ascii="宋体" w:hAnsi="宋体" w:cs="宋体"/>
                <w:sz w:val="24"/>
                <w:szCs w:val="24"/>
                <w:highlight w:val="none"/>
                <w:lang w:eastAsia="zh-CN"/>
              </w:rPr>
              <w:t>全费用综合单价</w:t>
            </w:r>
            <w:r>
              <w:rPr>
                <w:rFonts w:hint="eastAsia" w:ascii="宋体" w:hAnsi="宋体" w:eastAsia="宋体" w:cs="宋体"/>
                <w:sz w:val="24"/>
                <w:szCs w:val="24"/>
                <w:highlight w:val="none"/>
              </w:rPr>
              <w:t>内不另行计算，玻璃的钢化、防火等要求也均包含在</w:t>
            </w:r>
            <w:r>
              <w:rPr>
                <w:rFonts w:hint="eastAsia" w:ascii="宋体" w:hAnsi="宋体" w:cs="宋体"/>
                <w:sz w:val="24"/>
                <w:szCs w:val="24"/>
                <w:highlight w:val="none"/>
                <w:lang w:eastAsia="zh-CN"/>
              </w:rPr>
              <w:t>全费用综合单价</w:t>
            </w:r>
            <w:r>
              <w:rPr>
                <w:rFonts w:hint="eastAsia" w:ascii="宋体" w:hAnsi="宋体" w:eastAsia="宋体" w:cs="宋体"/>
                <w:sz w:val="24"/>
                <w:szCs w:val="24"/>
                <w:highlight w:val="none"/>
              </w:rPr>
              <w:t>内不另行计算。</w:t>
            </w:r>
          </w:p>
          <w:p w14:paraId="1CB56ED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（十七）投标单位中标后必须配合招标人，负责收集整理中标范围内的工程施工资料并在规定的时间内移交招标人，相应发生的费用也应充分考虑在投标报价中。</w:t>
            </w:r>
          </w:p>
          <w:p w14:paraId="4594D68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（十八）门窗等在制造、检查、验收、使用、包装、运输、安装等过程中应符合或等同于或高于现行国家标准。</w:t>
            </w:r>
          </w:p>
          <w:p w14:paraId="01CF7F8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eastAsia="zh-CN"/>
              </w:rPr>
              <w:t>十九</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投标人在报价时应注意：</w:t>
            </w:r>
          </w:p>
          <w:p w14:paraId="56C7AE1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（一）</w:t>
            </w:r>
            <w:r>
              <w:rPr>
                <w:rFonts w:hint="eastAsia" w:ascii="宋体" w:hAnsi="宋体" w:eastAsia="宋体" w:cs="宋体"/>
                <w:b/>
                <w:bCs/>
                <w:sz w:val="24"/>
                <w:szCs w:val="24"/>
                <w:highlight w:val="none"/>
              </w:rPr>
              <w:t>各种门窗工程量</w:t>
            </w:r>
            <w:r>
              <w:rPr>
                <w:rFonts w:hint="eastAsia" w:ascii="宋体" w:hAnsi="宋体" w:eastAsia="宋体" w:cs="宋体"/>
                <w:b/>
                <w:bCs/>
                <w:sz w:val="24"/>
                <w:szCs w:val="24"/>
                <w:highlight w:val="none"/>
                <w:lang w:eastAsia="zh-CN"/>
              </w:rPr>
              <w:t>的</w:t>
            </w:r>
            <w:r>
              <w:rPr>
                <w:rFonts w:hint="eastAsia" w:ascii="宋体" w:hAnsi="宋体" w:eastAsia="宋体" w:cs="宋体"/>
                <w:b/>
                <w:bCs/>
                <w:sz w:val="24"/>
                <w:szCs w:val="24"/>
                <w:highlight w:val="none"/>
              </w:rPr>
              <w:t>计算</w:t>
            </w:r>
            <w:r>
              <w:rPr>
                <w:rFonts w:hint="eastAsia" w:ascii="宋体" w:hAnsi="宋体" w:eastAsia="宋体" w:cs="宋体"/>
                <w:b/>
                <w:bCs/>
                <w:sz w:val="24"/>
                <w:szCs w:val="24"/>
                <w:highlight w:val="none"/>
                <w:lang w:eastAsia="zh-CN"/>
              </w:rPr>
              <w:t>：按门窗框的框外围面积计算</w:t>
            </w:r>
            <w:r>
              <w:rPr>
                <w:rFonts w:hint="eastAsia" w:ascii="宋体" w:hAnsi="宋体" w:eastAsia="宋体" w:cs="宋体"/>
                <w:b/>
                <w:bCs/>
                <w:sz w:val="24"/>
                <w:szCs w:val="24"/>
                <w:highlight w:val="none"/>
              </w:rPr>
              <w:t>。</w:t>
            </w:r>
            <w:r>
              <w:rPr>
                <w:rFonts w:hint="eastAsia" w:ascii="宋体" w:hAnsi="宋体" w:eastAsia="宋体" w:cs="宋体"/>
                <w:sz w:val="24"/>
                <w:szCs w:val="24"/>
                <w:highlight w:val="none"/>
              </w:rPr>
              <w:t>铝合金型材</w:t>
            </w:r>
            <w:r>
              <w:rPr>
                <w:rFonts w:hint="eastAsia" w:ascii="宋体" w:hAnsi="宋体" w:eastAsia="宋体" w:cs="宋体"/>
                <w:sz w:val="24"/>
                <w:szCs w:val="24"/>
                <w:highlight w:val="none"/>
                <w:lang w:eastAsia="zh-CN"/>
              </w:rPr>
              <w:t>、扣线、</w:t>
            </w:r>
            <w:r>
              <w:rPr>
                <w:rFonts w:hint="eastAsia" w:ascii="宋体" w:hAnsi="宋体" w:eastAsia="宋体" w:cs="宋体"/>
                <w:sz w:val="24"/>
                <w:szCs w:val="24"/>
                <w:highlight w:val="none"/>
              </w:rPr>
              <w:t>各种</w:t>
            </w:r>
            <w:r>
              <w:rPr>
                <w:rFonts w:hint="eastAsia" w:ascii="宋体" w:hAnsi="宋体" w:eastAsia="宋体" w:cs="宋体"/>
                <w:sz w:val="24"/>
                <w:szCs w:val="24"/>
                <w:highlight w:val="none"/>
                <w:lang w:eastAsia="zh-CN"/>
              </w:rPr>
              <w:t>加强中梃</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预埋铁件及合页、</w:t>
            </w:r>
            <w:r>
              <w:rPr>
                <w:rFonts w:hint="eastAsia" w:ascii="宋体" w:hAnsi="宋体" w:eastAsia="宋体" w:cs="宋体"/>
                <w:sz w:val="24"/>
                <w:szCs w:val="24"/>
                <w:highlight w:val="none"/>
              </w:rPr>
              <w:t>执手、拉手、铰链、锁具、螺栓、螺钉等所有五金配件</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边框与相邻构件间的嵌缝</w:t>
            </w:r>
            <w:r>
              <w:rPr>
                <w:rFonts w:hint="eastAsia" w:ascii="宋体" w:hAnsi="宋体" w:eastAsia="宋体" w:cs="宋体"/>
                <w:sz w:val="24"/>
                <w:szCs w:val="24"/>
                <w:highlight w:val="none"/>
                <w:lang w:eastAsia="zh-CN"/>
              </w:rPr>
              <w:t>材料以及其他相关辅材等费用均应</w:t>
            </w:r>
            <w:r>
              <w:rPr>
                <w:rFonts w:hint="eastAsia" w:ascii="宋体" w:hAnsi="宋体" w:eastAsia="宋体" w:cs="宋体"/>
                <w:sz w:val="24"/>
                <w:szCs w:val="24"/>
                <w:highlight w:val="none"/>
              </w:rPr>
              <w:t>考虑到相应的</w:t>
            </w:r>
            <w:r>
              <w:rPr>
                <w:rFonts w:hint="eastAsia" w:ascii="宋体" w:hAnsi="宋体" w:cs="宋体"/>
                <w:sz w:val="24"/>
                <w:szCs w:val="24"/>
                <w:highlight w:val="none"/>
                <w:lang w:eastAsia="zh-CN"/>
              </w:rPr>
              <w:t>全费用综合单价</w:t>
            </w:r>
            <w:r>
              <w:rPr>
                <w:rFonts w:hint="eastAsia" w:ascii="宋体" w:hAnsi="宋体" w:eastAsia="宋体" w:cs="宋体"/>
                <w:sz w:val="24"/>
                <w:szCs w:val="24"/>
                <w:highlight w:val="none"/>
              </w:rPr>
              <w:t>中，结算时不另外调整。</w:t>
            </w:r>
          </w:p>
          <w:p w14:paraId="0D8675E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eastAsia="zh-CN"/>
              </w:rPr>
              <w:t>（二）</w:t>
            </w:r>
            <w:r>
              <w:rPr>
                <w:rFonts w:hint="eastAsia" w:ascii="宋体" w:hAnsi="宋体" w:eastAsia="宋体" w:cs="宋体"/>
                <w:sz w:val="24"/>
                <w:szCs w:val="24"/>
                <w:highlight w:val="none"/>
              </w:rPr>
              <w:t>材料品种有变化时，结算时只调整清单子目中的材料差价，人工费、机械费等其他费</w:t>
            </w:r>
          </w:p>
          <w:p w14:paraId="327501D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right="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用不再调整，差价仅计取税金。</w:t>
            </w:r>
          </w:p>
          <w:p w14:paraId="07BE4D5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eastAsia="zh-CN"/>
              </w:rPr>
              <w:t>（三）</w:t>
            </w:r>
            <w:r>
              <w:rPr>
                <w:rFonts w:hint="eastAsia" w:ascii="宋体" w:hAnsi="宋体" w:eastAsia="宋体" w:cs="宋体"/>
                <w:sz w:val="24"/>
                <w:szCs w:val="24"/>
                <w:highlight w:val="none"/>
              </w:rPr>
              <w:t>玻璃、型材等因规格、排版方案等原因引起人材机消耗量的变化应考虑到报价中，结</w:t>
            </w:r>
          </w:p>
          <w:p w14:paraId="0FC8B46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right="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算时不另外调整。</w:t>
            </w:r>
          </w:p>
          <w:p w14:paraId="05685EA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bookmarkStart w:id="0" w:name="_GoBack"/>
            <w:bookmarkEnd w:id="0"/>
            <w:r>
              <w:rPr>
                <w:rFonts w:hint="eastAsia" w:ascii="宋体" w:hAnsi="宋体" w:eastAsia="宋体" w:cs="宋体"/>
                <w:sz w:val="24"/>
                <w:szCs w:val="24"/>
                <w:highlight w:val="none"/>
              </w:rPr>
              <w:t>二十、以下材料和设备及相关配件应在投标文件中列明品牌。所选用的产品性能档次须相当于或优于以下品牌中档及以上档次的性能标准，如未注明，以招标人要求为准：</w:t>
            </w:r>
          </w:p>
          <w:p w14:paraId="5443D03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eastAsia="zh-CN"/>
              </w:rPr>
              <w:t>（一）</w:t>
            </w:r>
            <w:r>
              <w:rPr>
                <w:rFonts w:hint="eastAsia" w:ascii="宋体" w:hAnsi="宋体" w:eastAsia="宋体" w:cs="宋体"/>
                <w:sz w:val="24"/>
                <w:szCs w:val="24"/>
                <w:highlight w:val="none"/>
              </w:rPr>
              <w:t>铝合金门窗型材选用断桥铝合金型材：山东伟业（山一牌）、华建铝业</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华一铝业、华强铝业；</w:t>
            </w:r>
          </w:p>
          <w:p w14:paraId="41F2211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（二）</w:t>
            </w:r>
            <w:r>
              <w:rPr>
                <w:rFonts w:hint="eastAsia" w:ascii="宋体" w:hAnsi="宋体" w:eastAsia="宋体" w:cs="宋体"/>
                <w:sz w:val="24"/>
                <w:szCs w:val="24"/>
                <w:highlight w:val="none"/>
                <w:lang w:val="en-US" w:eastAsia="zh-CN"/>
              </w:rPr>
              <w:t>玻璃：蓝星原片，深加工单位：威海润丰、威海星达、威海东明；</w:t>
            </w:r>
          </w:p>
          <w:p w14:paraId="118EA07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（三）</w:t>
            </w:r>
            <w:r>
              <w:rPr>
                <w:rFonts w:hint="eastAsia" w:ascii="宋体" w:hAnsi="宋体" w:eastAsia="宋体" w:cs="宋体"/>
                <w:sz w:val="24"/>
                <w:szCs w:val="24"/>
                <w:highlight w:val="none"/>
                <w:lang w:val="en-US" w:eastAsia="zh-CN"/>
              </w:rPr>
              <w:t>门窗五金配件：青岛杨氏立兴、广东坚朗、</w:t>
            </w:r>
            <w:r>
              <w:rPr>
                <w:rFonts w:hint="eastAsia" w:ascii="宋体" w:hAnsi="宋体" w:cs="宋体"/>
                <w:sz w:val="24"/>
                <w:szCs w:val="24"/>
                <w:highlight w:val="none"/>
                <w:lang w:val="en-US" w:eastAsia="zh-CN"/>
              </w:rPr>
              <w:t>广东合和</w:t>
            </w:r>
            <w:r>
              <w:rPr>
                <w:rFonts w:hint="eastAsia" w:ascii="宋体" w:hAnsi="宋体" w:eastAsia="宋体" w:cs="宋体"/>
                <w:sz w:val="24"/>
                <w:szCs w:val="24"/>
                <w:highlight w:val="none"/>
                <w:lang w:val="en-US" w:eastAsia="zh-CN"/>
              </w:rPr>
              <w:t>；</w:t>
            </w:r>
          </w:p>
          <w:p w14:paraId="5F5D501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（四）</w:t>
            </w:r>
            <w:r>
              <w:rPr>
                <w:rFonts w:hint="eastAsia" w:ascii="宋体" w:hAnsi="宋体" w:eastAsia="宋体" w:cs="宋体"/>
                <w:sz w:val="24"/>
                <w:szCs w:val="24"/>
                <w:highlight w:val="none"/>
                <w:lang w:val="en-US" w:eastAsia="zh-CN"/>
              </w:rPr>
              <w:t>密封胶采用：临朐永安、广州白云、杭州之江中性耐候硅酮密封胶，不得</w:t>
            </w:r>
            <w:r>
              <w:rPr>
                <w:rFonts w:hint="eastAsia" w:ascii="宋体" w:hAnsi="宋体" w:eastAsia="宋体" w:cs="宋体"/>
                <w:sz w:val="24"/>
                <w:szCs w:val="24"/>
                <w:highlight w:val="none"/>
              </w:rPr>
              <w:t>采用酸性密封胶，保证防水效果；</w:t>
            </w:r>
          </w:p>
          <w:p w14:paraId="0B4E509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（五）</w:t>
            </w:r>
            <w:r>
              <w:rPr>
                <w:rFonts w:hint="eastAsia" w:ascii="宋体" w:hAnsi="宋体" w:eastAsia="宋体" w:cs="宋体"/>
                <w:sz w:val="24"/>
                <w:szCs w:val="24"/>
                <w:highlight w:val="none"/>
              </w:rPr>
              <w:t>发泡剂：天津固诺、临朐永安、比利时速的奥</w:t>
            </w:r>
            <w:r>
              <w:rPr>
                <w:rFonts w:hint="eastAsia" w:ascii="宋体" w:hAnsi="宋体" w:eastAsia="宋体" w:cs="宋体"/>
                <w:sz w:val="24"/>
                <w:szCs w:val="24"/>
                <w:highlight w:val="none"/>
                <w:lang w:eastAsia="zh-CN"/>
              </w:rPr>
              <w:t>；</w:t>
            </w:r>
          </w:p>
          <w:p w14:paraId="05032AF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lang w:eastAsia="zh-CN"/>
              </w:rPr>
            </w:pPr>
            <w:r>
              <w:rPr>
                <w:rFonts w:hint="eastAsia" w:ascii="宋体" w:hAnsi="宋体" w:cs="宋体"/>
                <w:sz w:val="24"/>
                <w:szCs w:val="24"/>
                <w:highlight w:val="none"/>
                <w:lang w:val="en-US" w:eastAsia="zh-CN"/>
              </w:rPr>
              <w:t>（六）</w:t>
            </w:r>
            <w:r>
              <w:rPr>
                <w:rFonts w:hint="eastAsia" w:ascii="宋体" w:hAnsi="宋体" w:eastAsia="宋体" w:cs="宋体"/>
                <w:sz w:val="24"/>
                <w:szCs w:val="24"/>
                <w:highlight w:val="none"/>
              </w:rPr>
              <w:t>密封胶条</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临朐瑞星、沈阳瑞德、烟台强瑞三元乙丙胶条</w:t>
            </w:r>
            <w:r>
              <w:rPr>
                <w:rFonts w:hint="eastAsia" w:ascii="宋体" w:hAnsi="宋体" w:eastAsia="宋体" w:cs="宋体"/>
                <w:sz w:val="24"/>
                <w:szCs w:val="24"/>
                <w:highlight w:val="none"/>
                <w:lang w:eastAsia="zh-CN"/>
              </w:rPr>
              <w:t>；</w:t>
            </w:r>
          </w:p>
          <w:p w14:paraId="3093A3A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lang w:eastAsia="zh-CN"/>
              </w:rPr>
            </w:pPr>
            <w:r>
              <w:rPr>
                <w:rFonts w:hint="eastAsia" w:ascii="宋体" w:hAnsi="宋体" w:cs="宋体"/>
                <w:sz w:val="24"/>
                <w:szCs w:val="24"/>
                <w:highlight w:val="none"/>
                <w:lang w:val="en-US" w:eastAsia="zh-CN"/>
              </w:rPr>
              <w:t>（七）</w:t>
            </w:r>
            <w:r>
              <w:rPr>
                <w:rFonts w:hint="eastAsia" w:ascii="宋体" w:hAnsi="宋体" w:eastAsia="宋体" w:cs="宋体"/>
                <w:sz w:val="24"/>
                <w:szCs w:val="24"/>
                <w:highlight w:val="none"/>
              </w:rPr>
              <w:t>双组份组角及断面胶：德国卫仕、德国全能、美国麦仕（均为原装进口）</w:t>
            </w:r>
            <w:r>
              <w:rPr>
                <w:rFonts w:hint="eastAsia" w:ascii="宋体" w:hAnsi="宋体" w:eastAsia="宋体" w:cs="宋体"/>
                <w:sz w:val="24"/>
                <w:szCs w:val="24"/>
                <w:highlight w:val="none"/>
                <w:lang w:eastAsia="zh-CN"/>
              </w:rPr>
              <w:t>；</w:t>
            </w:r>
          </w:p>
          <w:p w14:paraId="5F5FF1D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lang w:eastAsia="zh-CN"/>
              </w:rPr>
            </w:pPr>
            <w:r>
              <w:rPr>
                <w:rFonts w:hint="eastAsia" w:ascii="宋体" w:hAnsi="宋体" w:cs="宋体"/>
                <w:sz w:val="24"/>
                <w:szCs w:val="24"/>
                <w:highlight w:val="none"/>
                <w:lang w:val="en-US" w:eastAsia="zh-CN"/>
              </w:rPr>
              <w:t>（八）</w:t>
            </w:r>
            <w:r>
              <w:rPr>
                <w:rFonts w:hint="eastAsia" w:ascii="宋体" w:hAnsi="宋体" w:eastAsia="宋体" w:cs="宋体"/>
                <w:sz w:val="24"/>
                <w:szCs w:val="24"/>
                <w:highlight w:val="none"/>
              </w:rPr>
              <w:t>铝合金隔热条：上海优泰</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泰诺风、广州白云</w:t>
            </w:r>
            <w:r>
              <w:rPr>
                <w:rFonts w:hint="eastAsia" w:ascii="宋体" w:hAnsi="宋体" w:eastAsia="宋体" w:cs="宋体"/>
                <w:sz w:val="24"/>
                <w:szCs w:val="24"/>
                <w:highlight w:val="none"/>
                <w:lang w:eastAsia="zh-CN"/>
              </w:rPr>
              <w:t>；</w:t>
            </w:r>
          </w:p>
          <w:p w14:paraId="1AAAB73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（九）</w:t>
            </w:r>
            <w:r>
              <w:rPr>
                <w:rFonts w:hint="eastAsia" w:ascii="宋体" w:hAnsi="宋体" w:eastAsia="宋体" w:cs="宋体"/>
                <w:sz w:val="24"/>
                <w:szCs w:val="24"/>
                <w:highlight w:val="none"/>
              </w:rPr>
              <w:t>各种材料的技术等级、光泽度、外观质量应符合设计图纸、招标方要求及国家现行行业标准优等品要求。</w:t>
            </w:r>
          </w:p>
          <w:p w14:paraId="750E018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二十</w:t>
            </w:r>
            <w:r>
              <w:rPr>
                <w:rFonts w:hint="eastAsia" w:ascii="宋体" w:hAnsi="宋体" w:cs="宋体"/>
                <w:sz w:val="24"/>
                <w:szCs w:val="24"/>
                <w:highlight w:val="none"/>
                <w:lang w:eastAsia="zh-CN"/>
              </w:rPr>
              <w:t>一</w:t>
            </w:r>
            <w:r>
              <w:rPr>
                <w:rFonts w:hint="eastAsia" w:ascii="宋体" w:hAnsi="宋体" w:eastAsia="宋体" w:cs="宋体"/>
                <w:sz w:val="24"/>
                <w:szCs w:val="24"/>
                <w:highlight w:val="none"/>
              </w:rPr>
              <w:t>、特别说明：</w:t>
            </w:r>
          </w:p>
          <w:p w14:paraId="1D61B5F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right="0"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eastAsia="zh-CN"/>
              </w:rPr>
              <w:t>（一）</w:t>
            </w:r>
            <w:r>
              <w:rPr>
                <w:rFonts w:hint="eastAsia" w:ascii="宋体" w:hAnsi="宋体" w:eastAsia="宋体" w:cs="宋体"/>
                <w:sz w:val="24"/>
                <w:szCs w:val="24"/>
                <w:highlight w:val="none"/>
              </w:rPr>
              <w:t>各投标单位必须严格按照</w:t>
            </w:r>
            <w:r>
              <w:rPr>
                <w:rFonts w:hint="eastAsia" w:ascii="宋体" w:hAnsi="宋体" w:eastAsia="宋体" w:cs="宋体"/>
                <w:sz w:val="24"/>
                <w:szCs w:val="24"/>
                <w:highlight w:val="none"/>
                <w:lang w:eastAsia="zh-CN"/>
              </w:rPr>
              <w:t>提供清单样表</w:t>
            </w:r>
            <w:r>
              <w:rPr>
                <w:rFonts w:hint="eastAsia" w:ascii="宋体" w:hAnsi="宋体" w:eastAsia="宋体" w:cs="宋体"/>
                <w:sz w:val="24"/>
                <w:szCs w:val="24"/>
                <w:highlight w:val="none"/>
              </w:rPr>
              <w:t>要求报价，若有疑问按规定提出答疑。</w:t>
            </w:r>
          </w:p>
          <w:p w14:paraId="79B984A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560" w:firstLineChars="200"/>
              <w:textAlignment w:val="auto"/>
              <w:rPr>
                <w:rFonts w:hint="eastAsia" w:ascii="宋体" w:hAnsi="宋体" w:eastAsia="宋体" w:cs="宋体"/>
                <w:sz w:val="28"/>
                <w:szCs w:val="28"/>
                <w:highlight w:val="none"/>
              </w:rPr>
            </w:pPr>
          </w:p>
        </w:tc>
      </w:tr>
    </w:tbl>
    <w:p w14:paraId="68C51F73"/>
    <w:sectPr>
      <w:headerReference r:id="rId3" w:type="default"/>
      <w:pgSz w:w="11906" w:h="16838"/>
      <w:pgMar w:top="1043" w:right="1134" w:bottom="1100" w:left="124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555F11">
    <w:pPr>
      <w:jc w:val="center"/>
      <w:rPr>
        <w:rFonts w:ascii="宋体" w:hAnsi="宋体"/>
        <w:b/>
        <w:sz w:val="44"/>
        <w:szCs w:val="44"/>
      </w:rPr>
    </w:pPr>
    <w:r>
      <w:rPr>
        <w:rFonts w:hint="eastAsia" w:ascii="宋体" w:hAnsi="宋体"/>
        <w:b/>
        <w:sz w:val="44"/>
        <w:szCs w:val="44"/>
      </w:rPr>
      <w:t>总  说  明</w:t>
    </w:r>
  </w:p>
  <w:p w14:paraId="48CE4947">
    <w:pPr>
      <w:pStyle w:val="6"/>
      <w:keepNext w:val="0"/>
      <w:keepLines w:val="0"/>
      <w:widowControl/>
      <w:suppressLineNumbers w:val="0"/>
      <w:spacing w:before="0" w:beforeAutospacing="0" w:after="0" w:afterAutospacing="0"/>
      <w:ind w:left="0" w:right="0" w:firstLine="0"/>
    </w:pPr>
    <w:r>
      <w:rPr>
        <w:sz w:val="44"/>
      </w:rPr>
      <mc:AlternateContent>
        <mc:Choice Requires="wps">
          <w:drawing>
            <wp:anchor distT="0" distB="0" distL="114300" distR="114300" simplePos="0" relativeHeight="251659264" behindDoc="0" locked="0" layoutInCell="1" allowOverlap="1">
              <wp:simplePos x="0" y="0"/>
              <wp:positionH relativeFrom="margin">
                <wp:posOffset>5216525</wp:posOffset>
              </wp:positionH>
              <wp:positionV relativeFrom="paragraph">
                <wp:posOffset>25400</wp:posOffset>
              </wp:positionV>
              <wp:extent cx="963295" cy="167005"/>
              <wp:effectExtent l="0" t="0" r="0" b="0"/>
              <wp:wrapNone/>
              <wp:docPr id="1" name="文本框 3"/>
              <wp:cNvGraphicFramePr/>
              <a:graphic xmlns:a="http://schemas.openxmlformats.org/drawingml/2006/main">
                <a:graphicData uri="http://schemas.microsoft.com/office/word/2010/wordprocessingShape">
                  <wps:wsp>
                    <wps:cNvSpPr txBox="1"/>
                    <wps:spPr>
                      <a:xfrm>
                        <a:off x="0" y="0"/>
                        <a:ext cx="963295" cy="167005"/>
                      </a:xfrm>
                      <a:prstGeom prst="rect">
                        <a:avLst/>
                      </a:prstGeom>
                      <a:noFill/>
                      <a:ln w="9525">
                        <a:noFill/>
                      </a:ln>
                      <a:effectLst/>
                    </wps:spPr>
                    <wps:txbx>
                      <w:txbxContent>
                        <w:p w14:paraId="7D10CAC4">
                          <w:pPr>
                            <w:pStyle w:val="5"/>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r>
                            <w:rPr>
                              <w:rFonts w:hint="eastAsia"/>
                            </w:rPr>
                            <w:t xml:space="preserve"> 页 共 </w:t>
                          </w:r>
                          <w:r>
                            <w:fldChar w:fldCharType="begin"/>
                          </w:r>
                          <w:r>
                            <w:instrText xml:space="preserve"> NUMPAGES  \* MERGEFORMAT </w:instrText>
                          </w:r>
                          <w:r>
                            <w:fldChar w:fldCharType="separate"/>
                          </w:r>
                          <w:r>
                            <w:t>1</w:t>
                          </w:r>
                          <w:r>
                            <w:fldChar w:fldCharType="end"/>
                          </w:r>
                          <w:r>
                            <w:rPr>
                              <w:rFonts w:hint="eastAsia"/>
                            </w:rPr>
                            <w:t xml:space="preserve"> 页</w:t>
                          </w:r>
                        </w:p>
                      </w:txbxContent>
                    </wps:txbx>
                    <wps:bodyPr wrap="square" lIns="0" tIns="0" rIns="0" bIns="0" upright="1">
                      <a:noAutofit/>
                    </wps:bodyPr>
                  </wps:wsp>
                </a:graphicData>
              </a:graphic>
            </wp:anchor>
          </w:drawing>
        </mc:Choice>
        <mc:Fallback>
          <w:pict>
            <v:shape id="文本框 3" o:spid="_x0000_s1026" o:spt="202" type="#_x0000_t202" style="position:absolute;left:0pt;margin-left:410.75pt;margin-top:2pt;height:13.15pt;width:75.85pt;mso-position-horizontal-relative:margin;z-index:251659264;mso-width-relative:page;mso-height-relative:page;" filled="f" stroked="f" coordsize="21600,21600" o:gfxdata="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Q4imz2AAAAAgBAAAPAAAA&#10;AAAAAAEAIAAAACIAAABkcnMvZG93bnJldi54bWxQSwECFAAUAAAACACHTuJAi5lZR9wBAACwAwAA&#10;DgAAAAAAAAABACAAAAAnAQAAZHJzL2Uyb0RvYy54bWxQSwUGAAAAAAYABgBZAQAAdQUAAAAA&#10;">
              <v:fill on="f" focussize="0,0"/>
              <v:stroke on="f"/>
              <v:imagedata o:title=""/>
              <o:lock v:ext="edit" aspectratio="f"/>
              <v:textbox inset="0mm,0mm,0mm,0mm">
                <w:txbxContent>
                  <w:p w14:paraId="7D10CAC4">
                    <w:pPr>
                      <w:pStyle w:val="5"/>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r>
                      <w:rPr>
                        <w:rFonts w:hint="eastAsia"/>
                      </w:rPr>
                      <w:t xml:space="preserve"> 页 共 </w:t>
                    </w:r>
                    <w:r>
                      <w:fldChar w:fldCharType="begin"/>
                    </w:r>
                    <w:r>
                      <w:instrText xml:space="preserve"> NUMPAGES  \* MERGEFORMAT </w:instrText>
                    </w:r>
                    <w:r>
                      <w:fldChar w:fldCharType="separate"/>
                    </w:r>
                    <w:r>
                      <w:t>1</w:t>
                    </w:r>
                    <w:r>
                      <w:fldChar w:fldCharType="end"/>
                    </w:r>
                    <w:r>
                      <w:rPr>
                        <w:rFonts w:hint="eastAsia"/>
                      </w:rPr>
                      <w:t xml:space="preserve"> 页</w:t>
                    </w:r>
                  </w:p>
                </w:txbxContent>
              </v:textbox>
            </v:shape>
          </w:pict>
        </mc:Fallback>
      </mc:AlternateContent>
    </w:r>
    <w:r>
      <w:rPr>
        <w:rFonts w:hint="eastAsia" w:ascii="宋体" w:hAnsi="宋体"/>
        <w:sz w:val="24"/>
      </w:rPr>
      <w:t>工程名称：</w:t>
    </w:r>
    <w:r>
      <w:rPr>
        <w:rFonts w:hint="eastAsia" w:ascii="宋体" w:hAnsi="宋体" w:eastAsia="宋体" w:cs="宋体"/>
        <w:sz w:val="24"/>
        <w:szCs w:val="24"/>
      </w:rPr>
      <w:t>临港职业技能培训中心项目铝合金门窗工程</w:t>
    </w:r>
    <w:r>
      <w:rPr>
        <w:rFonts w:hint="eastAsia" w:ascii="宋体" w:hAnsi="宋体" w:cs="宋体"/>
        <w:sz w:val="24"/>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I5ODhlY2ZjYTQwYmJlMWIzMzBiYWZkZWEyYWU3ZGIifQ=="/>
  </w:docVars>
  <w:rsids>
    <w:rsidRoot w:val="4F336E3C"/>
    <w:rsid w:val="00027BFA"/>
    <w:rsid w:val="00094ABF"/>
    <w:rsid w:val="000A4F75"/>
    <w:rsid w:val="000A54A2"/>
    <w:rsid w:val="000A6FE5"/>
    <w:rsid w:val="000B19D8"/>
    <w:rsid w:val="000B558B"/>
    <w:rsid w:val="000E6311"/>
    <w:rsid w:val="0011264E"/>
    <w:rsid w:val="00141099"/>
    <w:rsid w:val="0014356A"/>
    <w:rsid w:val="00152DBA"/>
    <w:rsid w:val="0015565E"/>
    <w:rsid w:val="00181D01"/>
    <w:rsid w:val="00187E5A"/>
    <w:rsid w:val="00190DB9"/>
    <w:rsid w:val="001C430B"/>
    <w:rsid w:val="001C6997"/>
    <w:rsid w:val="001E5B00"/>
    <w:rsid w:val="001F2AE4"/>
    <w:rsid w:val="002016E5"/>
    <w:rsid w:val="00222A90"/>
    <w:rsid w:val="0023350E"/>
    <w:rsid w:val="00237EAB"/>
    <w:rsid w:val="00261364"/>
    <w:rsid w:val="002A38F0"/>
    <w:rsid w:val="002D06B3"/>
    <w:rsid w:val="002E2699"/>
    <w:rsid w:val="002F67F5"/>
    <w:rsid w:val="002F6D07"/>
    <w:rsid w:val="00334051"/>
    <w:rsid w:val="00353A9C"/>
    <w:rsid w:val="0035650C"/>
    <w:rsid w:val="0036090D"/>
    <w:rsid w:val="003669DA"/>
    <w:rsid w:val="00367AD5"/>
    <w:rsid w:val="00387425"/>
    <w:rsid w:val="003915C9"/>
    <w:rsid w:val="003B14E9"/>
    <w:rsid w:val="003B7394"/>
    <w:rsid w:val="003C3505"/>
    <w:rsid w:val="003D7C04"/>
    <w:rsid w:val="003F3EBA"/>
    <w:rsid w:val="003F56B9"/>
    <w:rsid w:val="0040145C"/>
    <w:rsid w:val="0040245C"/>
    <w:rsid w:val="00412C43"/>
    <w:rsid w:val="00443D21"/>
    <w:rsid w:val="00444F07"/>
    <w:rsid w:val="00475759"/>
    <w:rsid w:val="00480B26"/>
    <w:rsid w:val="004B786F"/>
    <w:rsid w:val="004C151D"/>
    <w:rsid w:val="004D2EC0"/>
    <w:rsid w:val="004E0D5A"/>
    <w:rsid w:val="004F11AE"/>
    <w:rsid w:val="004F1735"/>
    <w:rsid w:val="00511520"/>
    <w:rsid w:val="00524A32"/>
    <w:rsid w:val="00530E44"/>
    <w:rsid w:val="00533CE4"/>
    <w:rsid w:val="00541773"/>
    <w:rsid w:val="0054434A"/>
    <w:rsid w:val="00560AFC"/>
    <w:rsid w:val="00580514"/>
    <w:rsid w:val="00590242"/>
    <w:rsid w:val="005D147E"/>
    <w:rsid w:val="006029A2"/>
    <w:rsid w:val="006029D8"/>
    <w:rsid w:val="00615DFC"/>
    <w:rsid w:val="00664EE8"/>
    <w:rsid w:val="006A303B"/>
    <w:rsid w:val="006A3E03"/>
    <w:rsid w:val="006A672B"/>
    <w:rsid w:val="006A72C7"/>
    <w:rsid w:val="006C3623"/>
    <w:rsid w:val="006D68BC"/>
    <w:rsid w:val="006F3462"/>
    <w:rsid w:val="006F7C81"/>
    <w:rsid w:val="007016F6"/>
    <w:rsid w:val="00772367"/>
    <w:rsid w:val="007A21D9"/>
    <w:rsid w:val="0080289B"/>
    <w:rsid w:val="00805854"/>
    <w:rsid w:val="0086544B"/>
    <w:rsid w:val="00883EAB"/>
    <w:rsid w:val="00891D72"/>
    <w:rsid w:val="00895DE6"/>
    <w:rsid w:val="008966A0"/>
    <w:rsid w:val="008A2305"/>
    <w:rsid w:val="008A5BB5"/>
    <w:rsid w:val="008B30A9"/>
    <w:rsid w:val="008D6922"/>
    <w:rsid w:val="008F4F6A"/>
    <w:rsid w:val="009047CE"/>
    <w:rsid w:val="009112A2"/>
    <w:rsid w:val="0093015E"/>
    <w:rsid w:val="00937210"/>
    <w:rsid w:val="00942308"/>
    <w:rsid w:val="00944A5D"/>
    <w:rsid w:val="009510BC"/>
    <w:rsid w:val="009533A7"/>
    <w:rsid w:val="00956477"/>
    <w:rsid w:val="009643A5"/>
    <w:rsid w:val="009733D0"/>
    <w:rsid w:val="00981A6D"/>
    <w:rsid w:val="00986A3C"/>
    <w:rsid w:val="009B289E"/>
    <w:rsid w:val="009C1FF1"/>
    <w:rsid w:val="009D325D"/>
    <w:rsid w:val="009F025E"/>
    <w:rsid w:val="00A0747F"/>
    <w:rsid w:val="00A07683"/>
    <w:rsid w:val="00A250C0"/>
    <w:rsid w:val="00A369DB"/>
    <w:rsid w:val="00A53EF2"/>
    <w:rsid w:val="00A56190"/>
    <w:rsid w:val="00A741D8"/>
    <w:rsid w:val="00A76E3F"/>
    <w:rsid w:val="00A84285"/>
    <w:rsid w:val="00A93F99"/>
    <w:rsid w:val="00AC296F"/>
    <w:rsid w:val="00AC6963"/>
    <w:rsid w:val="00AD25F1"/>
    <w:rsid w:val="00AE4E67"/>
    <w:rsid w:val="00AF1398"/>
    <w:rsid w:val="00B22A05"/>
    <w:rsid w:val="00B2578B"/>
    <w:rsid w:val="00B735ED"/>
    <w:rsid w:val="00B804BF"/>
    <w:rsid w:val="00BA45AD"/>
    <w:rsid w:val="00BA59A5"/>
    <w:rsid w:val="00BF69AE"/>
    <w:rsid w:val="00C001C4"/>
    <w:rsid w:val="00C03310"/>
    <w:rsid w:val="00C17395"/>
    <w:rsid w:val="00C322FC"/>
    <w:rsid w:val="00C33B44"/>
    <w:rsid w:val="00C70B2F"/>
    <w:rsid w:val="00C95791"/>
    <w:rsid w:val="00CC11AD"/>
    <w:rsid w:val="00CD2E93"/>
    <w:rsid w:val="00CD688C"/>
    <w:rsid w:val="00CE5AA1"/>
    <w:rsid w:val="00CF311F"/>
    <w:rsid w:val="00D554DA"/>
    <w:rsid w:val="00D720B4"/>
    <w:rsid w:val="00D878A5"/>
    <w:rsid w:val="00D921E8"/>
    <w:rsid w:val="00DC0781"/>
    <w:rsid w:val="00DC5CAF"/>
    <w:rsid w:val="00DC6374"/>
    <w:rsid w:val="00DE0071"/>
    <w:rsid w:val="00DE11C9"/>
    <w:rsid w:val="00DE6AE5"/>
    <w:rsid w:val="00E0452B"/>
    <w:rsid w:val="00E33726"/>
    <w:rsid w:val="00E42BF2"/>
    <w:rsid w:val="00E43C84"/>
    <w:rsid w:val="00E654D2"/>
    <w:rsid w:val="00E7253E"/>
    <w:rsid w:val="00E97C82"/>
    <w:rsid w:val="00EA3980"/>
    <w:rsid w:val="00EA53C1"/>
    <w:rsid w:val="00EB151D"/>
    <w:rsid w:val="00ED4C4D"/>
    <w:rsid w:val="00EE0B12"/>
    <w:rsid w:val="00F05A71"/>
    <w:rsid w:val="00F136C2"/>
    <w:rsid w:val="00F13ED6"/>
    <w:rsid w:val="00F24A80"/>
    <w:rsid w:val="00F253C9"/>
    <w:rsid w:val="00F37DEA"/>
    <w:rsid w:val="00F657DC"/>
    <w:rsid w:val="00F735A5"/>
    <w:rsid w:val="00F95485"/>
    <w:rsid w:val="00FC61B3"/>
    <w:rsid w:val="00FE4EF6"/>
    <w:rsid w:val="00FE5271"/>
    <w:rsid w:val="01165D26"/>
    <w:rsid w:val="013F509B"/>
    <w:rsid w:val="014A6AE4"/>
    <w:rsid w:val="01520B08"/>
    <w:rsid w:val="01A66B90"/>
    <w:rsid w:val="02664B5D"/>
    <w:rsid w:val="02AE0D8F"/>
    <w:rsid w:val="02D97593"/>
    <w:rsid w:val="02E1304E"/>
    <w:rsid w:val="02ED5B73"/>
    <w:rsid w:val="03235901"/>
    <w:rsid w:val="03470A66"/>
    <w:rsid w:val="03514599"/>
    <w:rsid w:val="03625FBA"/>
    <w:rsid w:val="036D4820"/>
    <w:rsid w:val="039E4008"/>
    <w:rsid w:val="03AE0D1C"/>
    <w:rsid w:val="03FA10A6"/>
    <w:rsid w:val="043B5984"/>
    <w:rsid w:val="04670727"/>
    <w:rsid w:val="047D2CCC"/>
    <w:rsid w:val="049D1E28"/>
    <w:rsid w:val="04A557F4"/>
    <w:rsid w:val="04BD29A3"/>
    <w:rsid w:val="04E23620"/>
    <w:rsid w:val="04EA1B9E"/>
    <w:rsid w:val="053733FD"/>
    <w:rsid w:val="05712C97"/>
    <w:rsid w:val="061752E9"/>
    <w:rsid w:val="062F41D5"/>
    <w:rsid w:val="066B4E7E"/>
    <w:rsid w:val="06DF63DC"/>
    <w:rsid w:val="06EC6E8D"/>
    <w:rsid w:val="07030DD2"/>
    <w:rsid w:val="0721697F"/>
    <w:rsid w:val="072616CC"/>
    <w:rsid w:val="07390969"/>
    <w:rsid w:val="07BA51E4"/>
    <w:rsid w:val="07DC0D92"/>
    <w:rsid w:val="08126C09"/>
    <w:rsid w:val="08162C7E"/>
    <w:rsid w:val="0833785E"/>
    <w:rsid w:val="085F059B"/>
    <w:rsid w:val="08611EA6"/>
    <w:rsid w:val="08707492"/>
    <w:rsid w:val="088B691A"/>
    <w:rsid w:val="092D578C"/>
    <w:rsid w:val="094F489A"/>
    <w:rsid w:val="098614EC"/>
    <w:rsid w:val="098C5886"/>
    <w:rsid w:val="09A709D1"/>
    <w:rsid w:val="09E758D8"/>
    <w:rsid w:val="09EE0207"/>
    <w:rsid w:val="0A184539"/>
    <w:rsid w:val="0A262D6D"/>
    <w:rsid w:val="0A3403BE"/>
    <w:rsid w:val="0A7C782E"/>
    <w:rsid w:val="0A8B2416"/>
    <w:rsid w:val="0A957F7B"/>
    <w:rsid w:val="0AB84E97"/>
    <w:rsid w:val="0B4C288C"/>
    <w:rsid w:val="0B705C84"/>
    <w:rsid w:val="0BBC29AD"/>
    <w:rsid w:val="0BDA1FC5"/>
    <w:rsid w:val="0BDE71B0"/>
    <w:rsid w:val="0BDE7929"/>
    <w:rsid w:val="0BF33C73"/>
    <w:rsid w:val="0BFE1921"/>
    <w:rsid w:val="0C4072B2"/>
    <w:rsid w:val="0C785A50"/>
    <w:rsid w:val="0C860598"/>
    <w:rsid w:val="0CDD0B35"/>
    <w:rsid w:val="0D264FB8"/>
    <w:rsid w:val="0D2D7E24"/>
    <w:rsid w:val="0DA23814"/>
    <w:rsid w:val="0E1179AC"/>
    <w:rsid w:val="0E2F78AF"/>
    <w:rsid w:val="0E343608"/>
    <w:rsid w:val="0E636391"/>
    <w:rsid w:val="0E7D0045"/>
    <w:rsid w:val="0E7D6CF8"/>
    <w:rsid w:val="0ECD7B9B"/>
    <w:rsid w:val="0F224D4B"/>
    <w:rsid w:val="0F3871AE"/>
    <w:rsid w:val="0F4F48CE"/>
    <w:rsid w:val="0F5C6675"/>
    <w:rsid w:val="0F602DAA"/>
    <w:rsid w:val="0FC429DC"/>
    <w:rsid w:val="0FC5213C"/>
    <w:rsid w:val="100351C0"/>
    <w:rsid w:val="100B338C"/>
    <w:rsid w:val="10302EB4"/>
    <w:rsid w:val="10477D1A"/>
    <w:rsid w:val="10741386"/>
    <w:rsid w:val="10B55B26"/>
    <w:rsid w:val="10EB1D11"/>
    <w:rsid w:val="11274F38"/>
    <w:rsid w:val="113B78FB"/>
    <w:rsid w:val="1167172A"/>
    <w:rsid w:val="116F1EF0"/>
    <w:rsid w:val="11706FC5"/>
    <w:rsid w:val="11EB76E5"/>
    <w:rsid w:val="121F4D90"/>
    <w:rsid w:val="122D09D6"/>
    <w:rsid w:val="1231245E"/>
    <w:rsid w:val="124A1166"/>
    <w:rsid w:val="12526363"/>
    <w:rsid w:val="125943D2"/>
    <w:rsid w:val="127A31B9"/>
    <w:rsid w:val="135648E5"/>
    <w:rsid w:val="1398312C"/>
    <w:rsid w:val="13AC024E"/>
    <w:rsid w:val="13C16B85"/>
    <w:rsid w:val="13D854CF"/>
    <w:rsid w:val="13EB3B33"/>
    <w:rsid w:val="14091310"/>
    <w:rsid w:val="144B7F8B"/>
    <w:rsid w:val="144D027A"/>
    <w:rsid w:val="14E27EA8"/>
    <w:rsid w:val="152836C1"/>
    <w:rsid w:val="153D7F1F"/>
    <w:rsid w:val="15532EB7"/>
    <w:rsid w:val="156D5B23"/>
    <w:rsid w:val="15FF3A53"/>
    <w:rsid w:val="16590FA7"/>
    <w:rsid w:val="166F4FD4"/>
    <w:rsid w:val="16A93834"/>
    <w:rsid w:val="17035E6F"/>
    <w:rsid w:val="174D7B9F"/>
    <w:rsid w:val="177464F2"/>
    <w:rsid w:val="17AB3457"/>
    <w:rsid w:val="17C30514"/>
    <w:rsid w:val="17D43780"/>
    <w:rsid w:val="17DE2DEA"/>
    <w:rsid w:val="18071B4C"/>
    <w:rsid w:val="1839223B"/>
    <w:rsid w:val="184501E3"/>
    <w:rsid w:val="18713CBF"/>
    <w:rsid w:val="18887969"/>
    <w:rsid w:val="18A13DCC"/>
    <w:rsid w:val="18A248A5"/>
    <w:rsid w:val="18B91CF0"/>
    <w:rsid w:val="18D272C1"/>
    <w:rsid w:val="18D52EBD"/>
    <w:rsid w:val="18E32D1F"/>
    <w:rsid w:val="19E5756F"/>
    <w:rsid w:val="19FC2AD9"/>
    <w:rsid w:val="1A357594"/>
    <w:rsid w:val="1AAA406A"/>
    <w:rsid w:val="1AB460A5"/>
    <w:rsid w:val="1ACC6D76"/>
    <w:rsid w:val="1AE80089"/>
    <w:rsid w:val="1B133761"/>
    <w:rsid w:val="1B4F231A"/>
    <w:rsid w:val="1B5B7A3D"/>
    <w:rsid w:val="1B5E16E6"/>
    <w:rsid w:val="1B7B21C3"/>
    <w:rsid w:val="1B83474F"/>
    <w:rsid w:val="1B8D411E"/>
    <w:rsid w:val="1BA37088"/>
    <w:rsid w:val="1C5E3887"/>
    <w:rsid w:val="1C692F88"/>
    <w:rsid w:val="1CAE4512"/>
    <w:rsid w:val="1CEB7F1C"/>
    <w:rsid w:val="1D240302"/>
    <w:rsid w:val="1D381874"/>
    <w:rsid w:val="1DE00B14"/>
    <w:rsid w:val="1E09262E"/>
    <w:rsid w:val="1E130D48"/>
    <w:rsid w:val="1E254DD5"/>
    <w:rsid w:val="1EAE0919"/>
    <w:rsid w:val="1EC04BA4"/>
    <w:rsid w:val="1EDD50C5"/>
    <w:rsid w:val="1EE90A4C"/>
    <w:rsid w:val="1F097BB0"/>
    <w:rsid w:val="1F0E3776"/>
    <w:rsid w:val="1F7E1038"/>
    <w:rsid w:val="1F997315"/>
    <w:rsid w:val="1FD0233B"/>
    <w:rsid w:val="1FF4119A"/>
    <w:rsid w:val="20534DBB"/>
    <w:rsid w:val="20C57765"/>
    <w:rsid w:val="21362230"/>
    <w:rsid w:val="21461C37"/>
    <w:rsid w:val="21524ED3"/>
    <w:rsid w:val="2153266F"/>
    <w:rsid w:val="216210F4"/>
    <w:rsid w:val="21623520"/>
    <w:rsid w:val="216A7612"/>
    <w:rsid w:val="21A01CBB"/>
    <w:rsid w:val="21EA6550"/>
    <w:rsid w:val="22394382"/>
    <w:rsid w:val="224D747B"/>
    <w:rsid w:val="225504C3"/>
    <w:rsid w:val="2258292C"/>
    <w:rsid w:val="227759B5"/>
    <w:rsid w:val="228A08FD"/>
    <w:rsid w:val="22964C58"/>
    <w:rsid w:val="229E630E"/>
    <w:rsid w:val="22CB791F"/>
    <w:rsid w:val="234D2803"/>
    <w:rsid w:val="236C4C74"/>
    <w:rsid w:val="23B85F4A"/>
    <w:rsid w:val="23C27F4D"/>
    <w:rsid w:val="23E96BBC"/>
    <w:rsid w:val="24515B58"/>
    <w:rsid w:val="24B61744"/>
    <w:rsid w:val="24E40053"/>
    <w:rsid w:val="25261673"/>
    <w:rsid w:val="253A3610"/>
    <w:rsid w:val="253F77A6"/>
    <w:rsid w:val="254C0C4A"/>
    <w:rsid w:val="258E68CC"/>
    <w:rsid w:val="25B5416D"/>
    <w:rsid w:val="260C15B6"/>
    <w:rsid w:val="264A51F6"/>
    <w:rsid w:val="268D2477"/>
    <w:rsid w:val="26E83F6D"/>
    <w:rsid w:val="275E5D0F"/>
    <w:rsid w:val="27BF5359"/>
    <w:rsid w:val="27D01BFF"/>
    <w:rsid w:val="28594A28"/>
    <w:rsid w:val="28925FBC"/>
    <w:rsid w:val="28C31515"/>
    <w:rsid w:val="29151B5B"/>
    <w:rsid w:val="293D2A84"/>
    <w:rsid w:val="29405AB2"/>
    <w:rsid w:val="296D6C72"/>
    <w:rsid w:val="29780223"/>
    <w:rsid w:val="29A064E8"/>
    <w:rsid w:val="29C62DD3"/>
    <w:rsid w:val="29EE7652"/>
    <w:rsid w:val="2A0612AA"/>
    <w:rsid w:val="2A100B24"/>
    <w:rsid w:val="2A4121AA"/>
    <w:rsid w:val="2A507EA2"/>
    <w:rsid w:val="2A510138"/>
    <w:rsid w:val="2A5A011A"/>
    <w:rsid w:val="2AB01CBF"/>
    <w:rsid w:val="2ABA5365"/>
    <w:rsid w:val="2ABE78F8"/>
    <w:rsid w:val="2B1745A6"/>
    <w:rsid w:val="2BE70756"/>
    <w:rsid w:val="2C302D8F"/>
    <w:rsid w:val="2CF21157"/>
    <w:rsid w:val="2CF35CBA"/>
    <w:rsid w:val="2D795138"/>
    <w:rsid w:val="2DB4786B"/>
    <w:rsid w:val="2E127560"/>
    <w:rsid w:val="2E751113"/>
    <w:rsid w:val="2ED97A85"/>
    <w:rsid w:val="2F2013F9"/>
    <w:rsid w:val="2F3E2FB3"/>
    <w:rsid w:val="2F4B493D"/>
    <w:rsid w:val="2F5E6388"/>
    <w:rsid w:val="2F7F74D1"/>
    <w:rsid w:val="2F960DA8"/>
    <w:rsid w:val="2F9677DA"/>
    <w:rsid w:val="2FD6556D"/>
    <w:rsid w:val="2FE67878"/>
    <w:rsid w:val="2FF43C43"/>
    <w:rsid w:val="30301380"/>
    <w:rsid w:val="305478ED"/>
    <w:rsid w:val="307B0A10"/>
    <w:rsid w:val="307B3C4B"/>
    <w:rsid w:val="307F02F3"/>
    <w:rsid w:val="30887536"/>
    <w:rsid w:val="30912DC1"/>
    <w:rsid w:val="309471A9"/>
    <w:rsid w:val="30CB6DD6"/>
    <w:rsid w:val="30EF51A4"/>
    <w:rsid w:val="31E55B9F"/>
    <w:rsid w:val="320E4C6B"/>
    <w:rsid w:val="32232993"/>
    <w:rsid w:val="32464464"/>
    <w:rsid w:val="327A29B8"/>
    <w:rsid w:val="327A795F"/>
    <w:rsid w:val="328F03E4"/>
    <w:rsid w:val="329437E6"/>
    <w:rsid w:val="329A2708"/>
    <w:rsid w:val="32A00762"/>
    <w:rsid w:val="32A97926"/>
    <w:rsid w:val="32CC6762"/>
    <w:rsid w:val="3339620F"/>
    <w:rsid w:val="338B0B00"/>
    <w:rsid w:val="339003C9"/>
    <w:rsid w:val="33C46DDA"/>
    <w:rsid w:val="33CD39AB"/>
    <w:rsid w:val="34256CE3"/>
    <w:rsid w:val="3495423E"/>
    <w:rsid w:val="34AC4957"/>
    <w:rsid w:val="35420A98"/>
    <w:rsid w:val="355C033E"/>
    <w:rsid w:val="357C3122"/>
    <w:rsid w:val="35816985"/>
    <w:rsid w:val="358A541D"/>
    <w:rsid w:val="35952602"/>
    <w:rsid w:val="35AE6170"/>
    <w:rsid w:val="35CE1971"/>
    <w:rsid w:val="35D17ECC"/>
    <w:rsid w:val="35E42620"/>
    <w:rsid w:val="35ED32FF"/>
    <w:rsid w:val="362848B8"/>
    <w:rsid w:val="362D2FFE"/>
    <w:rsid w:val="36C055B8"/>
    <w:rsid w:val="36C87429"/>
    <w:rsid w:val="36FF219F"/>
    <w:rsid w:val="37056723"/>
    <w:rsid w:val="370C22E3"/>
    <w:rsid w:val="37133783"/>
    <w:rsid w:val="378C2740"/>
    <w:rsid w:val="37A839F0"/>
    <w:rsid w:val="37BA5DFD"/>
    <w:rsid w:val="37D97C26"/>
    <w:rsid w:val="37E148D1"/>
    <w:rsid w:val="37F83717"/>
    <w:rsid w:val="380D37B8"/>
    <w:rsid w:val="38293DC6"/>
    <w:rsid w:val="384A0603"/>
    <w:rsid w:val="385C2479"/>
    <w:rsid w:val="38C00B76"/>
    <w:rsid w:val="39147A73"/>
    <w:rsid w:val="39171404"/>
    <w:rsid w:val="399E1B89"/>
    <w:rsid w:val="39B05532"/>
    <w:rsid w:val="39CB52D2"/>
    <w:rsid w:val="39CC496A"/>
    <w:rsid w:val="3A17580E"/>
    <w:rsid w:val="3A342C2A"/>
    <w:rsid w:val="3A784CBD"/>
    <w:rsid w:val="3ABA6C94"/>
    <w:rsid w:val="3B2B4908"/>
    <w:rsid w:val="3B3E03A8"/>
    <w:rsid w:val="3B3F6BCF"/>
    <w:rsid w:val="3B436CFE"/>
    <w:rsid w:val="3BAA4281"/>
    <w:rsid w:val="3BEE482F"/>
    <w:rsid w:val="3C1A6E02"/>
    <w:rsid w:val="3C484462"/>
    <w:rsid w:val="3C795E53"/>
    <w:rsid w:val="3C980A5F"/>
    <w:rsid w:val="3CB514FE"/>
    <w:rsid w:val="3D452F77"/>
    <w:rsid w:val="3D491322"/>
    <w:rsid w:val="3D8561A7"/>
    <w:rsid w:val="3D8805D8"/>
    <w:rsid w:val="3D911C13"/>
    <w:rsid w:val="3DCA1F9B"/>
    <w:rsid w:val="3DCB0F38"/>
    <w:rsid w:val="3DD27E91"/>
    <w:rsid w:val="3E1C31D9"/>
    <w:rsid w:val="3E500F0D"/>
    <w:rsid w:val="3E67050A"/>
    <w:rsid w:val="3E8D3BAA"/>
    <w:rsid w:val="3EC000E1"/>
    <w:rsid w:val="3EC76AA6"/>
    <w:rsid w:val="3F510FF8"/>
    <w:rsid w:val="3F7C1824"/>
    <w:rsid w:val="3F8D2F59"/>
    <w:rsid w:val="401F2ECA"/>
    <w:rsid w:val="403168AD"/>
    <w:rsid w:val="403D5B2C"/>
    <w:rsid w:val="40CB0263"/>
    <w:rsid w:val="40D67913"/>
    <w:rsid w:val="412142FF"/>
    <w:rsid w:val="41F146AB"/>
    <w:rsid w:val="421204AA"/>
    <w:rsid w:val="427C39CF"/>
    <w:rsid w:val="42D05144"/>
    <w:rsid w:val="42F07CC8"/>
    <w:rsid w:val="430E1956"/>
    <w:rsid w:val="4414513E"/>
    <w:rsid w:val="441D7912"/>
    <w:rsid w:val="44486BB8"/>
    <w:rsid w:val="449C1C7C"/>
    <w:rsid w:val="456045C0"/>
    <w:rsid w:val="456F5912"/>
    <w:rsid w:val="45A25FA2"/>
    <w:rsid w:val="45B81F55"/>
    <w:rsid w:val="45D852AB"/>
    <w:rsid w:val="45DC30F5"/>
    <w:rsid w:val="46232DE3"/>
    <w:rsid w:val="463604FF"/>
    <w:rsid w:val="464B0F4B"/>
    <w:rsid w:val="46BF534C"/>
    <w:rsid w:val="46C874E8"/>
    <w:rsid w:val="46E748D9"/>
    <w:rsid w:val="46FB6DB7"/>
    <w:rsid w:val="4711008A"/>
    <w:rsid w:val="477E24BD"/>
    <w:rsid w:val="4796575B"/>
    <w:rsid w:val="47D562E1"/>
    <w:rsid w:val="47E36062"/>
    <w:rsid w:val="487B1654"/>
    <w:rsid w:val="48C55AA6"/>
    <w:rsid w:val="48F574D4"/>
    <w:rsid w:val="4962322A"/>
    <w:rsid w:val="49852828"/>
    <w:rsid w:val="49A403AD"/>
    <w:rsid w:val="49CA3130"/>
    <w:rsid w:val="49CD6BC9"/>
    <w:rsid w:val="49E576E1"/>
    <w:rsid w:val="4A0209FF"/>
    <w:rsid w:val="4A0D4676"/>
    <w:rsid w:val="4A585140"/>
    <w:rsid w:val="4A6E7AE4"/>
    <w:rsid w:val="4B287DD0"/>
    <w:rsid w:val="4B611696"/>
    <w:rsid w:val="4B716B7D"/>
    <w:rsid w:val="4BD57DC1"/>
    <w:rsid w:val="4BE7146D"/>
    <w:rsid w:val="4C727866"/>
    <w:rsid w:val="4C9F04B6"/>
    <w:rsid w:val="4CB07E81"/>
    <w:rsid w:val="4CC1775F"/>
    <w:rsid w:val="4D2D66F2"/>
    <w:rsid w:val="4D5A157C"/>
    <w:rsid w:val="4D6F45E4"/>
    <w:rsid w:val="4D932079"/>
    <w:rsid w:val="4DCF6FBA"/>
    <w:rsid w:val="4DD94602"/>
    <w:rsid w:val="4E167E86"/>
    <w:rsid w:val="4E2A1E24"/>
    <w:rsid w:val="4E2A75ED"/>
    <w:rsid w:val="4E4B2C8F"/>
    <w:rsid w:val="4E5C0475"/>
    <w:rsid w:val="4EDF00AD"/>
    <w:rsid w:val="4EE35842"/>
    <w:rsid w:val="4F336E3C"/>
    <w:rsid w:val="4F3E7C93"/>
    <w:rsid w:val="4F545416"/>
    <w:rsid w:val="4FE87659"/>
    <w:rsid w:val="50166955"/>
    <w:rsid w:val="50320181"/>
    <w:rsid w:val="50C007EA"/>
    <w:rsid w:val="51014520"/>
    <w:rsid w:val="510167FA"/>
    <w:rsid w:val="510179DE"/>
    <w:rsid w:val="512947D3"/>
    <w:rsid w:val="512E1FB3"/>
    <w:rsid w:val="51320B05"/>
    <w:rsid w:val="516C3A15"/>
    <w:rsid w:val="51920E45"/>
    <w:rsid w:val="51E87C2F"/>
    <w:rsid w:val="52323E50"/>
    <w:rsid w:val="529B26EB"/>
    <w:rsid w:val="5304357D"/>
    <w:rsid w:val="531442E2"/>
    <w:rsid w:val="533B277C"/>
    <w:rsid w:val="534963CD"/>
    <w:rsid w:val="53644165"/>
    <w:rsid w:val="539603BB"/>
    <w:rsid w:val="539A650E"/>
    <w:rsid w:val="53D46757"/>
    <w:rsid w:val="53DA4F34"/>
    <w:rsid w:val="53FC3DF4"/>
    <w:rsid w:val="540E61EF"/>
    <w:rsid w:val="54107A70"/>
    <w:rsid w:val="54241B73"/>
    <w:rsid w:val="549D6597"/>
    <w:rsid w:val="55295FE6"/>
    <w:rsid w:val="5532100D"/>
    <w:rsid w:val="55770F00"/>
    <w:rsid w:val="55797199"/>
    <w:rsid w:val="55AB06A5"/>
    <w:rsid w:val="55B56D20"/>
    <w:rsid w:val="56145195"/>
    <w:rsid w:val="56C12838"/>
    <w:rsid w:val="57321FFA"/>
    <w:rsid w:val="57373118"/>
    <w:rsid w:val="57B11DED"/>
    <w:rsid w:val="57B86272"/>
    <w:rsid w:val="57C71FEE"/>
    <w:rsid w:val="580F187B"/>
    <w:rsid w:val="584510FB"/>
    <w:rsid w:val="584E7903"/>
    <w:rsid w:val="58875F10"/>
    <w:rsid w:val="591362E9"/>
    <w:rsid w:val="59156270"/>
    <w:rsid w:val="5921297F"/>
    <w:rsid w:val="59227861"/>
    <w:rsid w:val="5928592B"/>
    <w:rsid w:val="59482EB8"/>
    <w:rsid w:val="5972651C"/>
    <w:rsid w:val="5A12459D"/>
    <w:rsid w:val="5A260132"/>
    <w:rsid w:val="5A2E5601"/>
    <w:rsid w:val="5A51347D"/>
    <w:rsid w:val="5AAB7053"/>
    <w:rsid w:val="5AC2738F"/>
    <w:rsid w:val="5AFC0649"/>
    <w:rsid w:val="5B201B97"/>
    <w:rsid w:val="5B5C0CEB"/>
    <w:rsid w:val="5C17597B"/>
    <w:rsid w:val="5C1A73B7"/>
    <w:rsid w:val="5C2029DC"/>
    <w:rsid w:val="5C5A531E"/>
    <w:rsid w:val="5CE04AB7"/>
    <w:rsid w:val="5CED5434"/>
    <w:rsid w:val="5D0A755D"/>
    <w:rsid w:val="5D19796F"/>
    <w:rsid w:val="5D247304"/>
    <w:rsid w:val="5DA07AED"/>
    <w:rsid w:val="5DAF3B9C"/>
    <w:rsid w:val="5E0F64A9"/>
    <w:rsid w:val="5E226AE4"/>
    <w:rsid w:val="5E862605"/>
    <w:rsid w:val="5E9E2D60"/>
    <w:rsid w:val="5F036C38"/>
    <w:rsid w:val="5F2E08DA"/>
    <w:rsid w:val="5F57773F"/>
    <w:rsid w:val="5F590D88"/>
    <w:rsid w:val="5F865A75"/>
    <w:rsid w:val="5FBE29D8"/>
    <w:rsid w:val="5FE86344"/>
    <w:rsid w:val="60174BE7"/>
    <w:rsid w:val="607413BF"/>
    <w:rsid w:val="60BC53EF"/>
    <w:rsid w:val="61027780"/>
    <w:rsid w:val="612605D2"/>
    <w:rsid w:val="61FB7015"/>
    <w:rsid w:val="625866C8"/>
    <w:rsid w:val="627129F7"/>
    <w:rsid w:val="62DB6F30"/>
    <w:rsid w:val="632867AF"/>
    <w:rsid w:val="6370708C"/>
    <w:rsid w:val="638953F4"/>
    <w:rsid w:val="638F6B6A"/>
    <w:rsid w:val="63B41A8E"/>
    <w:rsid w:val="63D64007"/>
    <w:rsid w:val="63F44DD9"/>
    <w:rsid w:val="63FF5D32"/>
    <w:rsid w:val="640A4280"/>
    <w:rsid w:val="642A61F7"/>
    <w:rsid w:val="64367C04"/>
    <w:rsid w:val="64463637"/>
    <w:rsid w:val="64782998"/>
    <w:rsid w:val="653E6B5C"/>
    <w:rsid w:val="65891B36"/>
    <w:rsid w:val="658D6C7E"/>
    <w:rsid w:val="65DB5FF1"/>
    <w:rsid w:val="66002BEC"/>
    <w:rsid w:val="66216C98"/>
    <w:rsid w:val="662777EB"/>
    <w:rsid w:val="66A767BE"/>
    <w:rsid w:val="67255E3B"/>
    <w:rsid w:val="673A0337"/>
    <w:rsid w:val="67441728"/>
    <w:rsid w:val="678E5122"/>
    <w:rsid w:val="67971486"/>
    <w:rsid w:val="67AB74CF"/>
    <w:rsid w:val="67C92C74"/>
    <w:rsid w:val="67D166B0"/>
    <w:rsid w:val="68070F03"/>
    <w:rsid w:val="685C72BD"/>
    <w:rsid w:val="688A0EA2"/>
    <w:rsid w:val="68C61C38"/>
    <w:rsid w:val="6960453B"/>
    <w:rsid w:val="6A1B62E6"/>
    <w:rsid w:val="6A292A3B"/>
    <w:rsid w:val="6A574ACC"/>
    <w:rsid w:val="6B8C22D2"/>
    <w:rsid w:val="6BED2C94"/>
    <w:rsid w:val="6C052523"/>
    <w:rsid w:val="6C93129E"/>
    <w:rsid w:val="6CB84779"/>
    <w:rsid w:val="6D2E4AE7"/>
    <w:rsid w:val="6D2E5AED"/>
    <w:rsid w:val="6D5D2899"/>
    <w:rsid w:val="6D6D5CF4"/>
    <w:rsid w:val="6D8F6582"/>
    <w:rsid w:val="6DBB323B"/>
    <w:rsid w:val="6DC352E1"/>
    <w:rsid w:val="6DCC5B35"/>
    <w:rsid w:val="6E0B6EAB"/>
    <w:rsid w:val="6E28521A"/>
    <w:rsid w:val="6E2F277D"/>
    <w:rsid w:val="6E3D1684"/>
    <w:rsid w:val="6E796718"/>
    <w:rsid w:val="6E7D5E48"/>
    <w:rsid w:val="6ED11FEA"/>
    <w:rsid w:val="6F9B519C"/>
    <w:rsid w:val="6FCB7439"/>
    <w:rsid w:val="6FE46719"/>
    <w:rsid w:val="7028421F"/>
    <w:rsid w:val="702D0976"/>
    <w:rsid w:val="704A5291"/>
    <w:rsid w:val="709C3544"/>
    <w:rsid w:val="70B8552E"/>
    <w:rsid w:val="70CF5FCF"/>
    <w:rsid w:val="71323AC1"/>
    <w:rsid w:val="716867B6"/>
    <w:rsid w:val="71C92C92"/>
    <w:rsid w:val="71D63BD6"/>
    <w:rsid w:val="720B4A94"/>
    <w:rsid w:val="720E6C5C"/>
    <w:rsid w:val="723F7DCE"/>
    <w:rsid w:val="728C2411"/>
    <w:rsid w:val="72D549D0"/>
    <w:rsid w:val="72EE6B94"/>
    <w:rsid w:val="72F963B7"/>
    <w:rsid w:val="73136812"/>
    <w:rsid w:val="73857890"/>
    <w:rsid w:val="73AE0024"/>
    <w:rsid w:val="73E81037"/>
    <w:rsid w:val="74286040"/>
    <w:rsid w:val="745A0FD6"/>
    <w:rsid w:val="747D3DA5"/>
    <w:rsid w:val="74CA42EA"/>
    <w:rsid w:val="74EB372F"/>
    <w:rsid w:val="7515477F"/>
    <w:rsid w:val="75521280"/>
    <w:rsid w:val="75930CBE"/>
    <w:rsid w:val="759D7C99"/>
    <w:rsid w:val="75BC66C7"/>
    <w:rsid w:val="760D1E9B"/>
    <w:rsid w:val="76E235E7"/>
    <w:rsid w:val="77271244"/>
    <w:rsid w:val="773B7ACF"/>
    <w:rsid w:val="77A51B0F"/>
    <w:rsid w:val="77A674CC"/>
    <w:rsid w:val="77CB5856"/>
    <w:rsid w:val="78147E3D"/>
    <w:rsid w:val="78366D12"/>
    <w:rsid w:val="7884311C"/>
    <w:rsid w:val="78A97DDB"/>
    <w:rsid w:val="791F191E"/>
    <w:rsid w:val="79341367"/>
    <w:rsid w:val="7964654D"/>
    <w:rsid w:val="79752883"/>
    <w:rsid w:val="79DC2269"/>
    <w:rsid w:val="79DE4292"/>
    <w:rsid w:val="79F72F38"/>
    <w:rsid w:val="7A5D1B2F"/>
    <w:rsid w:val="7A8B6304"/>
    <w:rsid w:val="7B110498"/>
    <w:rsid w:val="7B160AD2"/>
    <w:rsid w:val="7B2A2BFA"/>
    <w:rsid w:val="7B6575B7"/>
    <w:rsid w:val="7BD613B0"/>
    <w:rsid w:val="7C3C384A"/>
    <w:rsid w:val="7C5851D6"/>
    <w:rsid w:val="7C5A337F"/>
    <w:rsid w:val="7C6646DB"/>
    <w:rsid w:val="7C6B73DC"/>
    <w:rsid w:val="7CC14990"/>
    <w:rsid w:val="7DAB1326"/>
    <w:rsid w:val="7E04602F"/>
    <w:rsid w:val="7E487AAD"/>
    <w:rsid w:val="7E6A0F0A"/>
    <w:rsid w:val="7EB61DB2"/>
    <w:rsid w:val="7ED36FE9"/>
    <w:rsid w:val="7F312AF8"/>
    <w:rsid w:val="7F781342"/>
    <w:rsid w:val="7F817663"/>
    <w:rsid w:val="7FB32C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HTML Preformatted"/>
    <w:basedOn w:val="1"/>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Autospacing="1" w:afterAutospacing="1"/>
      <w:jc w:val="left"/>
    </w:pPr>
    <w:rPr>
      <w:kern w:val="0"/>
      <w:sz w:val="24"/>
    </w:rPr>
  </w:style>
  <w:style w:type="paragraph" w:styleId="9">
    <w:name w:val="List Paragraph"/>
    <w:basedOn w:val="1"/>
    <w:next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BC728B-B9FA-4D0A-8BF8-C060692087B2}">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6</Pages>
  <Words>4489</Words>
  <Characters>4551</Characters>
  <Lines>108</Lines>
  <Paragraphs>30</Paragraphs>
  <TotalTime>5</TotalTime>
  <ScaleCrop>false</ScaleCrop>
  <LinksUpToDate>false</LinksUpToDate>
  <CharactersWithSpaces>4551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2021-09-09T06:05:00Z</dcterms:created>
  <dc:creator>~天空湛蓝~</dc:creator>
  <cp:lastModifiedBy>WPS_1173301452</cp:lastModifiedBy>
  <cp:lastPrinted>2022-01-12T00:47:00Z</cp:lastPrinted>
  <dcterms:modified xsi:type="dcterms:W3CDTF">2026-05-13T03:02:19Z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7A723252B39642749571EA0436E79756_13</vt:lpwstr>
  </property>
  <property fmtid="{D5CDD505-2E9C-101B-9397-08002B2CF9AE}" pid="4" name="KSOTemplateDocerSaveRecord">
    <vt:lpwstr>eyJoZGlkIjoiNDY2YzYzMDMyZTExZjE4ZjQ1MDVlMGFiMmVkYzVjOTgiLCJ1c2VySWQiOiIxMTczMzAxNDUyIn0=</vt:lpwstr>
  </property>
</Properties>
</file>