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3"/>
        <w:tblpPr w:leftFromText="180" w:rightFromText="180" w:vertAnchor="text" w:horzAnchor="page" w:tblpX="1182" w:tblpY="55"/>
        <w:tblOverlap w:val="never"/>
        <w:tblW w:w="9740" w:type="dxa"/>
        <w:tblInd w:w="0" w:type="dxa"/>
        <w:tblLayout w:type="fixed"/>
        <w:tblCellMar>
          <w:top w:w="0" w:type="dxa"/>
          <w:left w:w="108" w:type="dxa"/>
          <w:bottom w:w="0" w:type="dxa"/>
          <w:right w:w="108" w:type="dxa"/>
        </w:tblCellMar>
      </w:tblPr>
      <w:tblGrid>
        <w:gridCol w:w="9740"/>
      </w:tblGrid>
      <w:tr>
        <w:tblPrEx>
          <w:tblLayout w:type="fixed"/>
          <w:tblCellMar>
            <w:top w:w="0" w:type="dxa"/>
            <w:left w:w="108" w:type="dxa"/>
            <w:bottom w:w="0" w:type="dxa"/>
            <w:right w:w="108" w:type="dxa"/>
          </w:tblCellMar>
        </w:tblPrEx>
        <w:trPr>
          <w:trHeight w:val="13212" w:hRule="atLeast"/>
        </w:trPr>
        <w:tc>
          <w:tcPr>
            <w:tcW w:w="9740" w:type="dxa"/>
            <w:tcBorders>
              <w:top w:val="single" w:color="auto" w:sz="4" w:space="0"/>
              <w:left w:val="single" w:color="auto" w:sz="4" w:space="0"/>
              <w:bottom w:val="single" w:color="auto" w:sz="4" w:space="0"/>
              <w:right w:val="single" w:color="auto" w:sz="4" w:space="0"/>
            </w:tcBorders>
          </w:tcPr>
          <w:p>
            <w:pPr>
              <w:numPr>
                <w:ilvl w:val="0"/>
                <w:numId w:val="1"/>
              </w:numPr>
              <w:snapToGrid w:val="0"/>
              <w:spacing w:line="360" w:lineRule="auto"/>
              <w:rPr>
                <w:rFonts w:hint="eastAsia" w:ascii="宋体" w:hAnsi="宋体"/>
                <w:color w:val="000000"/>
                <w:sz w:val="24"/>
                <w:highlight w:val="none"/>
              </w:rPr>
            </w:pPr>
            <w:r>
              <w:rPr>
                <w:rFonts w:hint="eastAsia" w:ascii="宋体" w:hAnsi="宋体"/>
                <w:color w:val="000000"/>
                <w:sz w:val="24"/>
                <w:highlight w:val="none"/>
              </w:rPr>
              <w:t>报价人须知:</w:t>
            </w:r>
          </w:p>
          <w:p>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1.应按工程量清单及其计价格式规定的内容进行编制、填写、签字、盖章。</w:t>
            </w:r>
          </w:p>
          <w:p>
            <w:pPr>
              <w:adjustRightInd w:val="0"/>
              <w:snapToGrid w:val="0"/>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2.工程量清单及其计价格式中的任何内容不得随意删除或涂改。</w:t>
            </w:r>
          </w:p>
          <w:p>
            <w:pPr>
              <w:adjustRightInd w:val="0"/>
              <w:snapToGrid w:val="0"/>
              <w:spacing w:line="360" w:lineRule="auto"/>
              <w:ind w:left="719" w:leftChars="228" w:hanging="240" w:hangingChars="100"/>
              <w:rPr>
                <w:rFonts w:hint="eastAsia" w:ascii="宋体" w:hAnsi="宋体"/>
                <w:color w:val="000000"/>
                <w:sz w:val="24"/>
                <w:highlight w:val="none"/>
              </w:rPr>
            </w:pPr>
            <w:r>
              <w:rPr>
                <w:rFonts w:hint="eastAsia" w:ascii="宋体" w:hAnsi="宋体"/>
                <w:color w:val="000000"/>
                <w:sz w:val="24"/>
                <w:highlight w:val="none"/>
              </w:rPr>
              <w:t>3.工程量清单计价格式中列明的所有需要填报的单价和合价,投标单位均应填报,未填报的单价和合价,视为此项费用已包含在工程量清单的其他单价和合价内。</w:t>
            </w:r>
          </w:p>
          <w:p>
            <w:pPr>
              <w:adjustRightInd w:val="0"/>
              <w:snapToGrid w:val="0"/>
              <w:spacing w:line="360" w:lineRule="auto"/>
              <w:ind w:firstLine="480" w:firstLineChars="200"/>
              <w:rPr>
                <w:rFonts w:hint="eastAsia" w:ascii="宋体" w:hAnsi="宋体"/>
                <w:sz w:val="24"/>
                <w:highlight w:val="none"/>
              </w:rPr>
            </w:pPr>
            <w:r>
              <w:rPr>
                <w:rFonts w:hint="eastAsia" w:ascii="宋体" w:hAnsi="宋体"/>
                <w:sz w:val="24"/>
                <w:highlight w:val="none"/>
              </w:rPr>
              <w:t>4.金额（价格）均以人民币表示。</w:t>
            </w:r>
          </w:p>
          <w:p>
            <w:pPr>
              <w:adjustRightInd w:val="0"/>
              <w:snapToGrid w:val="0"/>
              <w:spacing w:line="360" w:lineRule="auto"/>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二、工程名称：</w:t>
            </w:r>
            <w:r>
              <w:rPr>
                <w:rFonts w:hint="eastAsia" w:ascii="宋体" w:hAnsi="宋体" w:eastAsia="宋体" w:cs="Times New Roman"/>
                <w:color w:val="000000"/>
                <w:sz w:val="24"/>
                <w:highlight w:val="none"/>
                <w:lang w:val="en-US" w:eastAsia="zh-CN"/>
              </w:rPr>
              <w:t>智慧水利高端仪器仪表制造项目土方平整工程</w:t>
            </w:r>
          </w:p>
          <w:p>
            <w:pPr>
              <w:adjustRightInd w:val="0"/>
              <w:snapToGrid w:val="0"/>
              <w:spacing w:line="360" w:lineRule="auto"/>
              <w:ind w:left="480" w:hanging="480" w:hangingChars="200"/>
              <w:rPr>
                <w:rFonts w:hint="eastAsia" w:ascii="宋体" w:hAnsi="宋体"/>
                <w:sz w:val="24"/>
                <w:highlight w:val="none"/>
              </w:rPr>
            </w:pPr>
            <w:r>
              <w:rPr>
                <w:rFonts w:hint="eastAsia" w:ascii="宋体" w:hAnsi="宋体" w:eastAsia="宋体" w:cs="Times New Roman"/>
                <w:color w:val="000000"/>
                <w:sz w:val="24"/>
                <w:highlight w:val="none"/>
                <w:lang w:val="en-US" w:eastAsia="zh-CN"/>
              </w:rPr>
              <w:t>三、</w:t>
            </w:r>
            <w:r>
              <w:rPr>
                <w:rFonts w:hint="eastAsia" w:ascii="宋体" w:hAnsi="宋体" w:eastAsia="宋体" w:cs="Times New Roman"/>
                <w:color w:val="000000"/>
                <w:sz w:val="24"/>
                <w:highlight w:val="none"/>
              </w:rPr>
              <w:t>工程概况:</w:t>
            </w:r>
            <w:r>
              <w:rPr>
                <w:rFonts w:hint="eastAsia" w:ascii="宋体" w:hAnsi="宋体" w:eastAsia="宋体" w:cs="Times New Roman"/>
                <w:color w:val="000000"/>
                <w:sz w:val="24"/>
                <w:highlight w:val="none"/>
                <w:lang w:val="en-US" w:eastAsia="zh-CN"/>
              </w:rPr>
              <w:t>本工程为智慧水利高端仪器仪表制造项目土方平整工程，位于威海经区九龙</w:t>
            </w:r>
            <w:r>
              <w:rPr>
                <w:rFonts w:hint="eastAsia" w:ascii="宋体" w:hAnsi="宋体" w:eastAsia="宋体" w:cs="Times New Roman"/>
                <w:sz w:val="24"/>
                <w:highlight w:val="none"/>
                <w:lang w:val="en-US" w:eastAsia="zh-CN"/>
              </w:rPr>
              <w:t>路。主要内容包括挖运土方、回填土、石方开挖以及石方爆破等工程。</w:t>
            </w:r>
          </w:p>
          <w:p>
            <w:pPr>
              <w:numPr>
                <w:ilvl w:val="0"/>
                <w:numId w:val="0"/>
              </w:numPr>
              <w:snapToGrid w:val="0"/>
              <w:spacing w:line="360" w:lineRule="auto"/>
              <w:ind w:leftChars="0"/>
              <w:rPr>
                <w:rFonts w:hint="default" w:ascii="宋体" w:hAnsi="宋体" w:eastAsia="宋体"/>
                <w:color w:val="000000"/>
                <w:sz w:val="24"/>
                <w:highlight w:val="none"/>
                <w:lang w:val="en-US" w:eastAsia="zh-CN"/>
              </w:rPr>
            </w:pPr>
            <w:r>
              <w:rPr>
                <w:rFonts w:hint="eastAsia" w:ascii="宋体" w:hAnsi="宋体"/>
                <w:color w:val="000000"/>
                <w:sz w:val="24"/>
                <w:highlight w:val="none"/>
                <w:lang w:val="en-US" w:eastAsia="zh-CN"/>
              </w:rPr>
              <w:t>四、</w:t>
            </w:r>
            <w:r>
              <w:rPr>
                <w:rFonts w:hint="eastAsia" w:ascii="宋体" w:hAnsi="宋体"/>
                <w:color w:val="000000"/>
                <w:sz w:val="24"/>
                <w:highlight w:val="none"/>
              </w:rPr>
              <w:t>工程招标范围:</w:t>
            </w:r>
            <w:r>
              <w:rPr>
                <w:rFonts w:hint="eastAsia" w:ascii="宋体" w:hAnsi="宋体" w:cs="宋体"/>
                <w:sz w:val="24"/>
                <w:highlight w:val="none"/>
                <w:lang w:val="en-US" w:eastAsia="zh-CN"/>
              </w:rPr>
              <w:t>具</w:t>
            </w:r>
            <w:r>
              <w:rPr>
                <w:rFonts w:hint="eastAsia" w:ascii="宋体" w:hAnsi="宋体" w:cs="宋体"/>
                <w:sz w:val="24"/>
                <w:highlight w:val="none"/>
              </w:rPr>
              <w:t>体内容以工程量清单为准。</w:t>
            </w:r>
          </w:p>
          <w:p>
            <w:pPr>
              <w:snapToGrid w:val="0"/>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五</w:t>
            </w:r>
            <w:r>
              <w:rPr>
                <w:rFonts w:hint="eastAsia" w:ascii="宋体" w:hAnsi="宋体"/>
                <w:color w:val="000000"/>
                <w:sz w:val="24"/>
                <w:highlight w:val="none"/>
              </w:rPr>
              <w:t>、工程质量:达到国家验收规范合格标准。</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六</w:t>
            </w:r>
            <w:r>
              <w:rPr>
                <w:rFonts w:hint="eastAsia" w:ascii="宋体" w:hAnsi="宋体"/>
                <w:color w:val="000000"/>
                <w:sz w:val="24"/>
                <w:highlight w:val="none"/>
              </w:rPr>
              <w:t>、编制依据:</w:t>
            </w:r>
          </w:p>
          <w:p>
            <w:pPr>
              <w:snapToGrid w:val="0"/>
              <w:spacing w:line="360" w:lineRule="auto"/>
              <w:ind w:left="719" w:leftChars="228" w:hanging="240" w:hangingChars="100"/>
              <w:rPr>
                <w:rFonts w:hint="eastAsia" w:ascii="宋体" w:hAnsi="宋体"/>
                <w:color w:val="000000"/>
                <w:sz w:val="24"/>
                <w:highlight w:val="none"/>
              </w:rPr>
            </w:pPr>
            <w:r>
              <w:rPr>
                <w:rFonts w:hint="eastAsia" w:ascii="宋体" w:hAnsi="宋体"/>
                <w:color w:val="000000"/>
                <w:sz w:val="24"/>
                <w:highlight w:val="none"/>
              </w:rPr>
              <w:t>1.建设部《建设工程工程量清单计价规范》(GB50500-2008)。</w:t>
            </w:r>
          </w:p>
          <w:p>
            <w:pPr>
              <w:snapToGrid w:val="0"/>
              <w:spacing w:line="360" w:lineRule="auto"/>
              <w:ind w:left="719" w:leftChars="228" w:hanging="240" w:hangingChars="100"/>
              <w:rPr>
                <w:rFonts w:hint="eastAsia" w:ascii="宋体" w:hAnsi="宋体"/>
                <w:color w:val="000000"/>
                <w:sz w:val="24"/>
                <w:highlight w:val="none"/>
              </w:rPr>
            </w:pPr>
            <w:r>
              <w:rPr>
                <w:rFonts w:hint="eastAsia" w:ascii="宋体" w:hAnsi="宋体"/>
                <w:color w:val="000000"/>
                <w:sz w:val="24"/>
                <w:highlight w:val="none"/>
              </w:rPr>
              <w:t>2.《山东省建设工程工程量清单计价规则》（2011）、《山东省建设工程费用项目组成及计算规则》(2011)。</w:t>
            </w:r>
          </w:p>
          <w:p>
            <w:pPr>
              <w:snapToGrid w:val="0"/>
              <w:spacing w:line="360" w:lineRule="auto"/>
              <w:ind w:left="479" w:leftChars="228"/>
              <w:rPr>
                <w:rFonts w:hint="eastAsia" w:ascii="宋体" w:hAnsi="宋体"/>
                <w:color w:val="000000"/>
                <w:sz w:val="24"/>
                <w:highlight w:val="none"/>
              </w:rPr>
            </w:pPr>
            <w:r>
              <w:rPr>
                <w:rFonts w:hint="eastAsia" w:ascii="宋体" w:hAnsi="宋体"/>
                <w:color w:val="000000"/>
                <w:sz w:val="24"/>
                <w:highlight w:val="none"/>
              </w:rPr>
              <w:t>3.省和市建设主管部门颁发的计价定额和计价管理办法及有关计价要求。</w:t>
            </w:r>
          </w:p>
          <w:p>
            <w:pPr>
              <w:snapToGrid w:val="0"/>
              <w:spacing w:line="360" w:lineRule="auto"/>
              <w:ind w:left="479" w:leftChars="228"/>
              <w:rPr>
                <w:rFonts w:hint="eastAsia" w:ascii="宋体" w:hAnsi="宋体"/>
                <w:color w:val="000000"/>
                <w:sz w:val="24"/>
                <w:highlight w:val="none"/>
              </w:rPr>
            </w:pPr>
            <w:r>
              <w:rPr>
                <w:rFonts w:hint="eastAsia" w:ascii="宋体" w:hAnsi="宋体"/>
                <w:color w:val="000000"/>
                <w:sz w:val="24"/>
                <w:highlight w:val="none"/>
              </w:rPr>
              <w:t>4.建设单位提供的图纸、问题答复等。</w:t>
            </w:r>
          </w:p>
          <w:p>
            <w:pPr>
              <w:snapToGrid w:val="0"/>
              <w:spacing w:line="360" w:lineRule="auto"/>
              <w:ind w:left="477" w:leftChars="227"/>
              <w:rPr>
                <w:rFonts w:hint="eastAsia" w:ascii="宋体" w:hAnsi="宋体"/>
                <w:color w:val="000000"/>
                <w:sz w:val="24"/>
                <w:highlight w:val="none"/>
              </w:rPr>
            </w:pPr>
            <w:r>
              <w:rPr>
                <w:rFonts w:hint="eastAsia" w:ascii="宋体" w:hAnsi="宋体"/>
                <w:sz w:val="24"/>
                <w:highlight w:val="none"/>
              </w:rPr>
              <w:t>6.施工现场情况、工程特点及常规施工方案。</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七</w:t>
            </w:r>
            <w:r>
              <w:rPr>
                <w:rFonts w:hint="eastAsia" w:ascii="宋体" w:hAnsi="宋体"/>
                <w:color w:val="000000"/>
                <w:sz w:val="24"/>
                <w:highlight w:val="none"/>
              </w:rPr>
              <w:t>、清单项目中凡注明“以下、以内、小于”字样者,均包括本身；注明“以上、以外、大于”字样者,均不包括本身。</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八</w:t>
            </w:r>
            <w:r>
              <w:rPr>
                <w:rFonts w:hint="eastAsia" w:ascii="宋体" w:hAnsi="宋体"/>
                <w:color w:val="000000"/>
                <w:sz w:val="24"/>
                <w:highlight w:val="none"/>
              </w:rPr>
              <w:t>、投标单位参与投标视为已考察工程现场,对现场情况（包括</w:t>
            </w:r>
            <w:r>
              <w:rPr>
                <w:rFonts w:ascii="宋体" w:hAnsi="宋体"/>
                <w:color w:val="000000"/>
                <w:sz w:val="24"/>
                <w:highlight w:val="none"/>
              </w:rPr>
              <w:t>工地位置情况、道路、存贮空间、装运限制及任何其他足以影响</w:t>
            </w:r>
            <w:r>
              <w:rPr>
                <w:rFonts w:hint="eastAsia" w:ascii="宋体" w:hAnsi="宋体"/>
                <w:color w:val="000000"/>
                <w:sz w:val="24"/>
                <w:highlight w:val="none"/>
              </w:rPr>
              <w:t>报</w:t>
            </w:r>
            <w:r>
              <w:rPr>
                <w:rFonts w:ascii="宋体" w:hAnsi="宋体"/>
                <w:color w:val="000000"/>
                <w:sz w:val="24"/>
                <w:highlight w:val="none"/>
              </w:rPr>
              <w:t>价的情况</w:t>
            </w:r>
            <w:r>
              <w:rPr>
                <w:rFonts w:hint="eastAsia" w:ascii="宋体" w:hAnsi="宋体"/>
                <w:color w:val="000000"/>
                <w:sz w:val="24"/>
                <w:highlight w:val="none"/>
              </w:rPr>
              <w:t>）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九</w:t>
            </w:r>
            <w:r>
              <w:rPr>
                <w:rFonts w:hint="eastAsia" w:ascii="宋体" w:hAnsi="宋体"/>
                <w:color w:val="000000"/>
                <w:sz w:val="24"/>
                <w:highlight w:val="none"/>
              </w:rPr>
              <w:t>、投标单位在投标报价时,应根据现场条件、招标文件要求,按照《建设工程工程量清单计价规范》、《山东省建设工程工程量清单计价规则》、本清单说明及子目规定的计算规则,结合施工方案、技术规范、技术装备、技术能力、施工管理经验及市场行情等规定综合分析及测算,在保证成本且有适当利润的前提下填报。</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十</w:t>
            </w:r>
            <w:r>
              <w:rPr>
                <w:rFonts w:hint="eastAsia" w:ascii="宋体" w:hAnsi="宋体"/>
                <w:color w:val="000000"/>
                <w:sz w:val="24"/>
                <w:highlight w:val="none"/>
              </w:rPr>
              <w:t>、投标单位在投标报价时,应考虑本工程的招标范围、工期要求与承包方式、以及不同专业交叉作业影响,并将与此有关的可能产生的费用考虑在相应的投标报价中。</w:t>
            </w:r>
          </w:p>
          <w:p>
            <w:pPr>
              <w:snapToGrid w:val="0"/>
              <w:spacing w:line="360" w:lineRule="auto"/>
              <w:ind w:left="497" w:leftChars="8" w:hanging="480" w:hangingChars="200"/>
              <w:rPr>
                <w:rFonts w:ascii="宋体" w:hAnsi="宋体"/>
                <w:color w:val="000000"/>
                <w:sz w:val="24"/>
                <w:highlight w:val="none"/>
              </w:rPr>
            </w:pPr>
            <w:r>
              <w:rPr>
                <w:rFonts w:hint="eastAsia" w:ascii="宋体" w:hAnsi="宋体"/>
                <w:color w:val="000000"/>
                <w:sz w:val="24"/>
                <w:highlight w:val="none"/>
              </w:rPr>
              <w:t>十</w:t>
            </w:r>
            <w:r>
              <w:rPr>
                <w:rFonts w:hint="eastAsia" w:ascii="宋体" w:hAnsi="宋体"/>
                <w:color w:val="000000"/>
                <w:sz w:val="24"/>
                <w:highlight w:val="none"/>
                <w:lang w:val="en-US" w:eastAsia="zh-CN"/>
              </w:rPr>
              <w:t>一</w:t>
            </w:r>
            <w:r>
              <w:rPr>
                <w:rFonts w:hint="eastAsia" w:ascii="宋体" w:hAnsi="宋体"/>
                <w:color w:val="000000"/>
                <w:sz w:val="24"/>
                <w:highlight w:val="none"/>
              </w:rPr>
              <w:t>、投标单位在投标报价时,应根据企业自身实力结合市场信息,充分考虑市场竞争因素和市场风险进行自主报价。工程量清单计价表中的综合单价应包括完成本项目（清单子目）内容所需的人工费、机械使用费、运输费、管理费、利润等,并考虑风险因素,以及为完成本工程项目（清单子目）的施工所发生于该工程施工前和施工过程中技术、生活、安全等方面的非工程实体项目费用,以及招标文件和合同中明确的其他责任和义务。</w:t>
            </w:r>
          </w:p>
          <w:p>
            <w:pPr>
              <w:snapToGrid w:val="0"/>
              <w:spacing w:line="360" w:lineRule="auto"/>
              <w:ind w:left="497" w:leftChars="8" w:hanging="480" w:hangingChars="200"/>
              <w:rPr>
                <w:rFonts w:hint="eastAsia" w:ascii="宋体" w:hAnsi="宋体"/>
                <w:color w:val="000000"/>
                <w:sz w:val="24"/>
                <w:highlight w:val="none"/>
              </w:rPr>
            </w:pPr>
            <w:r>
              <w:rPr>
                <w:rFonts w:hint="eastAsia" w:ascii="宋体" w:hAnsi="宋体"/>
                <w:color w:val="000000"/>
                <w:sz w:val="24"/>
                <w:highlight w:val="none"/>
              </w:rPr>
              <w:t>十</w:t>
            </w:r>
            <w:r>
              <w:rPr>
                <w:rFonts w:hint="eastAsia" w:ascii="宋体" w:hAnsi="宋体"/>
                <w:color w:val="000000"/>
                <w:sz w:val="24"/>
                <w:highlight w:val="none"/>
                <w:lang w:val="en-US" w:eastAsia="zh-CN"/>
              </w:rPr>
              <w:t>二</w:t>
            </w:r>
            <w:r>
              <w:rPr>
                <w:rFonts w:hint="eastAsia" w:ascii="宋体" w:hAnsi="宋体"/>
                <w:color w:val="000000"/>
                <w:sz w:val="24"/>
                <w:highlight w:val="none"/>
              </w:rPr>
              <w:t>、综合单价所含工作内容应细化到清单所含子项要求,投标单位在投标时应按清单给定的统一格式,提供“单位工程汇总表”、“分部分项工程量清单计价表”、“工程量清单综合单价分析表”、“措施项目清单与计价表”等,投标单位应按其规定内容填写。</w:t>
            </w:r>
          </w:p>
          <w:p>
            <w:pPr>
              <w:snapToGrid w:val="0"/>
              <w:spacing w:line="360" w:lineRule="auto"/>
              <w:ind w:left="497" w:leftChars="8" w:hanging="480" w:hangingChars="200"/>
              <w:rPr>
                <w:rFonts w:hint="eastAsia" w:ascii="宋体" w:hAnsi="宋体"/>
                <w:color w:val="000000"/>
                <w:sz w:val="24"/>
                <w:highlight w:val="none"/>
              </w:rPr>
            </w:pPr>
            <w:r>
              <w:rPr>
                <w:rFonts w:hint="eastAsia" w:ascii="宋体" w:hAnsi="宋体"/>
                <w:color w:val="000000"/>
                <w:sz w:val="24"/>
                <w:highlight w:val="none"/>
              </w:rPr>
              <w:t>十三、投标单位应详细填写工程量清单计价表中的每一项综合单价及合价,如某一项没有填写视为已包括在其它项目清单的综合单价及总价内。</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rPr>
              <w:t>十四、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或结算时调整至合理价格。</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rPr>
              <w:t>十</w:t>
            </w:r>
            <w:r>
              <w:rPr>
                <w:rFonts w:hint="eastAsia" w:ascii="宋体" w:hAnsi="宋体"/>
                <w:color w:val="000000"/>
                <w:sz w:val="24"/>
                <w:highlight w:val="none"/>
                <w:lang w:val="en-US" w:eastAsia="zh-CN"/>
              </w:rPr>
              <w:t>五</w:t>
            </w:r>
            <w:r>
              <w:rPr>
                <w:rFonts w:hint="eastAsia" w:ascii="宋体" w:hAnsi="宋体"/>
                <w:color w:val="000000"/>
                <w:sz w:val="24"/>
                <w:highlight w:val="none"/>
              </w:rPr>
              <w:t>、投标单位在投标报价时须按营改增后的计价依据执行，投标报价时税金均按不含税造价的9%计取，中标后需按此税率开具增值税发票。若出现因中标单位纳税资格所开具的增值税发票税率与投标税率不一致的情况，最终结算时税率按照中标单位实际开具的增值税发票税率计取。</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rPr>
              <w:t>十</w:t>
            </w:r>
            <w:r>
              <w:rPr>
                <w:rFonts w:hint="eastAsia" w:ascii="宋体" w:hAnsi="宋体"/>
                <w:color w:val="000000"/>
                <w:sz w:val="24"/>
                <w:highlight w:val="none"/>
                <w:lang w:val="en-US" w:eastAsia="zh-CN"/>
              </w:rPr>
              <w:t>六</w:t>
            </w:r>
            <w:r>
              <w:rPr>
                <w:rFonts w:hint="eastAsia" w:ascii="宋体" w:hAnsi="宋体"/>
                <w:color w:val="000000"/>
                <w:sz w:val="24"/>
                <w:highlight w:val="none"/>
              </w:rPr>
              <w:t>、规费和税金费率按鲁建办字【2016】20号文执行，其中社会保障费依据鲁标定字【2016】33号文规定的增值税一般计</w:t>
            </w:r>
            <w:bookmarkStart w:id="0" w:name="_GoBack"/>
            <w:bookmarkEnd w:id="0"/>
            <w:r>
              <w:rPr>
                <w:rFonts w:hint="eastAsia" w:ascii="宋体" w:hAnsi="宋体"/>
                <w:color w:val="000000"/>
                <w:sz w:val="24"/>
                <w:highlight w:val="none"/>
              </w:rPr>
              <w:t>税法费率1.52%计取，最终竣工结算审计时，社会保障费根据相关文件规定的费率标准结算。投标单位在投标报价中，对上述费用足额计取，取费基数须按规定计取不得调整，否则按否决投标处理。</w:t>
            </w:r>
          </w:p>
          <w:p>
            <w:pPr>
              <w:snapToGrid w:val="0"/>
              <w:spacing w:line="360" w:lineRule="auto"/>
              <w:ind w:left="480" w:hanging="480" w:hangingChars="200"/>
              <w:rPr>
                <w:rFonts w:hint="eastAsia" w:ascii="宋体" w:hAnsi="宋体"/>
                <w:color w:val="000000"/>
                <w:sz w:val="24"/>
                <w:highlight w:val="none"/>
              </w:rPr>
            </w:pPr>
            <w:r>
              <w:rPr>
                <w:rFonts w:hint="eastAsia" w:ascii="宋体" w:hAnsi="宋体"/>
                <w:color w:val="000000"/>
                <w:sz w:val="24"/>
                <w:highlight w:val="none"/>
                <w:lang w:val="en-US" w:eastAsia="zh-CN"/>
              </w:rPr>
              <w:t>十七</w:t>
            </w:r>
            <w:r>
              <w:rPr>
                <w:rFonts w:hint="eastAsia" w:ascii="宋体" w:hAnsi="宋体"/>
                <w:color w:val="000000"/>
                <w:sz w:val="24"/>
                <w:highlight w:val="none"/>
              </w:rPr>
              <w:t>、投标单位在投标报价时,应综合考虑以下费用:</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rPr>
              <w:t>1.图纸与清单不符的以清单为准,清单未注明的以图纸为准。</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rPr>
              <w:t>2.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对清单特征描述中未施工的部分予以相应的扣除。</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施工现场临时场地、临时水电及施工过程中用水(包括施工单位利用地下水的费用）、用电费用、机械使用及施工配合费用由投标单位自行解决，并且根据水源电源接入点及平面布置，不到位的管线等所需费用全部包含在相应的投标报价中，结算时不增加此部分费用。</w:t>
            </w:r>
          </w:p>
          <w:p>
            <w:pPr>
              <w:snapToGrid w:val="0"/>
              <w:spacing w:line="360" w:lineRule="auto"/>
              <w:ind w:left="480"/>
              <w:rPr>
                <w:rFonts w:hint="eastAsia" w:ascii="宋体" w:hAnsi="宋体"/>
                <w:sz w:val="24"/>
                <w:highlight w:val="none"/>
              </w:rPr>
            </w:pPr>
            <w:r>
              <w:rPr>
                <w:rFonts w:hint="eastAsia" w:ascii="宋体" w:hAnsi="宋体"/>
                <w:color w:val="000000"/>
                <w:sz w:val="24"/>
                <w:highlight w:val="none"/>
                <w:lang w:val="en-US" w:eastAsia="zh-CN"/>
              </w:rPr>
              <w:t>4</w:t>
            </w:r>
            <w:r>
              <w:rPr>
                <w:rFonts w:hint="eastAsia" w:ascii="宋体" w:hAnsi="宋体"/>
                <w:color w:val="000000"/>
                <w:sz w:val="24"/>
                <w:highlight w:val="none"/>
              </w:rPr>
              <w:t>.在施工过程中可能产生的扬尘、噪音、车辆进出等因素,不得对周围居民的安全、财产及正常生活等造成影响,需采取的措施及费用均需考虑在投标报价当中；若因此引起纠纷及损失,均由投标单位自行解决。其中施工扬尘治理应达到威住建通字【2017】9</w:t>
            </w:r>
            <w:r>
              <w:rPr>
                <w:rFonts w:hint="eastAsia" w:ascii="宋体" w:hAnsi="宋体"/>
                <w:sz w:val="24"/>
                <w:highlight w:val="none"/>
              </w:rPr>
              <w:t>号、威住建通字【2017】38号文的要求。</w:t>
            </w:r>
          </w:p>
          <w:p>
            <w:pPr>
              <w:snapToGrid w:val="0"/>
              <w:spacing w:line="360" w:lineRule="auto"/>
              <w:ind w:left="480"/>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.中标单位为本工程提供的各类机械费用,包括机械设备的安拆、进出场、装卸、拼装、交通标示牌、警示牌等所有费用,应包括在清单报价中。</w:t>
            </w:r>
          </w:p>
          <w:p>
            <w:pPr>
              <w:snapToGrid w:val="0"/>
              <w:spacing w:line="360" w:lineRule="auto"/>
              <w:ind w:left="480"/>
              <w:rPr>
                <w:rFonts w:hint="eastAsia" w:ascii="宋体" w:hAnsi="宋体"/>
                <w:sz w:val="24"/>
                <w:highlight w:val="none"/>
              </w:rPr>
            </w:pPr>
            <w:r>
              <w:rPr>
                <w:rFonts w:hint="eastAsia" w:ascii="宋体" w:hAnsi="宋体"/>
                <w:sz w:val="24"/>
                <w:highlight w:val="none"/>
                <w:lang w:val="en-US" w:eastAsia="zh-CN"/>
              </w:rPr>
              <w:t>6</w:t>
            </w:r>
            <w:r>
              <w:rPr>
                <w:rFonts w:hint="eastAsia" w:ascii="宋体" w:hAnsi="宋体"/>
                <w:sz w:val="24"/>
                <w:highlight w:val="none"/>
              </w:rPr>
              <w:t>.投标报价要充分考虑施工过程中不可避免的赶工期增加费，结算不予调整。</w:t>
            </w:r>
          </w:p>
          <w:p>
            <w:pPr>
              <w:snapToGrid w:val="0"/>
              <w:spacing w:line="360" w:lineRule="auto"/>
              <w:ind w:left="480"/>
              <w:rPr>
                <w:rFonts w:ascii="宋体" w:hAnsi="宋体"/>
                <w:color w:val="000000"/>
                <w:sz w:val="24"/>
                <w:highlight w:val="none"/>
              </w:rPr>
            </w:pPr>
            <w:r>
              <w:rPr>
                <w:rFonts w:hint="eastAsia" w:ascii="宋体" w:hAnsi="宋体"/>
                <w:color w:val="000000"/>
                <w:sz w:val="24"/>
                <w:highlight w:val="none"/>
                <w:lang w:val="en-US" w:eastAsia="zh-CN"/>
              </w:rPr>
              <w:t>7</w:t>
            </w:r>
            <w:r>
              <w:rPr>
                <w:rFonts w:hint="eastAsia" w:ascii="宋体" w:hAnsi="宋体"/>
                <w:color w:val="000000"/>
                <w:sz w:val="24"/>
                <w:highlight w:val="none"/>
              </w:rPr>
              <w:t>.投标单位应根据现场实际情况，自行考虑临时设施的搭设位置，但必须符合规定。无论场内场外，结算时不再增加此部分费用。</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lang w:val="en-US" w:eastAsia="zh-CN"/>
              </w:rPr>
              <w:t>8</w:t>
            </w:r>
            <w:r>
              <w:rPr>
                <w:rFonts w:hint="eastAsia" w:ascii="宋体" w:hAnsi="宋体"/>
                <w:color w:val="000000"/>
                <w:sz w:val="24"/>
                <w:highlight w:val="none"/>
              </w:rPr>
              <w:t>.投标单位在报价时,均应充分考虑土方外运过程,场地出入口运输车辆的清洗费用、车顶覆盖费用、运输过程中的洒水降尘保洁费用。</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lang w:val="en-US" w:eastAsia="zh-CN"/>
              </w:rPr>
              <w:t>9</w:t>
            </w:r>
            <w:r>
              <w:rPr>
                <w:rFonts w:hint="eastAsia" w:ascii="宋体" w:hAnsi="宋体"/>
                <w:color w:val="000000"/>
                <w:sz w:val="24"/>
                <w:highlight w:val="none"/>
              </w:rPr>
              <w:t>.报价单位依据项目的工程特点、现场实际情况、主管部门安全文明施工要求、批准的施工组织设计等综合考虑现场道路硬化（含砼、石子道路）、修建观摩道路、厂内宣传栏板、场地绿化、覆盖、围挡外侧绿化或盆栽等所有安全文明施工费和临时施设费用，结算不予另计。</w:t>
            </w:r>
          </w:p>
          <w:p>
            <w:pPr>
              <w:snapToGrid w:val="0"/>
              <w:spacing w:line="360" w:lineRule="auto"/>
              <w:ind w:left="480"/>
              <w:rPr>
                <w:rFonts w:hint="eastAsia" w:ascii="宋体" w:hAnsi="宋体"/>
                <w:color w:val="000000"/>
                <w:sz w:val="24"/>
                <w:highlight w:val="none"/>
              </w:rPr>
            </w:pPr>
            <w:r>
              <w:rPr>
                <w:rFonts w:hint="eastAsia" w:ascii="宋体" w:hAnsi="宋体"/>
                <w:color w:val="000000"/>
                <w:sz w:val="24"/>
                <w:highlight w:val="none"/>
              </w:rPr>
              <w:t>1</w:t>
            </w:r>
            <w:r>
              <w:rPr>
                <w:rFonts w:hint="eastAsia" w:ascii="宋体" w:hAnsi="宋体"/>
                <w:color w:val="000000"/>
                <w:sz w:val="24"/>
                <w:highlight w:val="none"/>
                <w:lang w:val="en-US" w:eastAsia="zh-CN"/>
              </w:rPr>
              <w:t>0</w:t>
            </w:r>
            <w:r>
              <w:rPr>
                <w:rFonts w:hint="eastAsia" w:ascii="宋体" w:hAnsi="宋体"/>
                <w:color w:val="000000"/>
                <w:sz w:val="24"/>
                <w:highlight w:val="none"/>
              </w:rPr>
              <w:t>.本工程措施费项目包含措施项目（一）和措施项目（二）</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措施费包干</w:t>
            </w:r>
            <w:r>
              <w:rPr>
                <w:rFonts w:hint="eastAsia" w:ascii="宋体" w:hAnsi="宋体"/>
                <w:color w:val="000000"/>
                <w:sz w:val="24"/>
                <w:highlight w:val="none"/>
              </w:rPr>
              <w:t>。</w:t>
            </w:r>
          </w:p>
          <w:p>
            <w:pPr>
              <w:snapToGrid w:val="0"/>
              <w:spacing w:line="360" w:lineRule="auto"/>
              <w:ind w:left="480"/>
              <w:rPr>
                <w:rFonts w:hint="eastAsia" w:ascii="宋体" w:hAnsi="宋体"/>
                <w:sz w:val="24"/>
                <w:highlight w:val="none"/>
              </w:rPr>
            </w:pPr>
            <w:r>
              <w:rPr>
                <w:rFonts w:hint="eastAsia" w:ascii="宋体" w:hAnsi="宋体"/>
                <w:color w:val="000000"/>
                <w:sz w:val="24"/>
                <w:highlight w:val="none"/>
              </w:rPr>
              <w:t>1</w:t>
            </w:r>
            <w:r>
              <w:rPr>
                <w:rFonts w:hint="eastAsia" w:ascii="宋体" w:hAnsi="宋体"/>
                <w:color w:val="000000"/>
                <w:sz w:val="24"/>
                <w:highlight w:val="none"/>
                <w:lang w:val="en-US" w:eastAsia="zh-CN"/>
              </w:rPr>
              <w:t>1</w:t>
            </w:r>
            <w:r>
              <w:rPr>
                <w:rFonts w:hint="eastAsia" w:ascii="宋体" w:hAnsi="宋体"/>
                <w:color w:val="000000"/>
                <w:sz w:val="24"/>
                <w:highlight w:val="none"/>
              </w:rPr>
              <w:t>.</w:t>
            </w:r>
            <w:r>
              <w:rPr>
                <w:rFonts w:hint="eastAsia" w:ascii="宋体" w:hAnsi="宋体"/>
                <w:sz w:val="24"/>
                <w:highlight w:val="none"/>
              </w:rPr>
              <w:t>投标单位作为总承包单位,必须负责收集整理总承包范围内所有项目（包括各分包单位）的符合城建档案馆要求的竣工资料并归档,相应发生的费用也应充分考虑在投标报价中。</w:t>
            </w:r>
          </w:p>
          <w:p>
            <w:pPr>
              <w:spacing w:line="360" w:lineRule="auto"/>
              <w:rPr>
                <w:rFonts w:hint="eastAsia" w:ascii="宋体" w:hAnsi="宋体"/>
                <w:sz w:val="24"/>
                <w:highlight w:val="none"/>
              </w:rPr>
            </w:pPr>
            <w:r>
              <w:rPr>
                <w:rFonts w:hint="eastAsia" w:ascii="宋体" w:hAnsi="宋体"/>
                <w:sz w:val="24"/>
                <w:highlight w:val="none"/>
                <w:lang w:val="en-US" w:eastAsia="zh-CN"/>
              </w:rPr>
              <w:t>十八</w:t>
            </w:r>
            <w:r>
              <w:rPr>
                <w:rFonts w:hint="eastAsia" w:ascii="宋体" w:hAnsi="宋体"/>
                <w:sz w:val="24"/>
                <w:highlight w:val="none"/>
              </w:rPr>
              <w:t>、清单报价时,投标单位应注意:</w:t>
            </w:r>
          </w:p>
          <w:p>
            <w:pPr>
              <w:snapToGrid w:val="0"/>
              <w:spacing w:line="360" w:lineRule="auto"/>
              <w:ind w:left="479" w:leftChars="228"/>
              <w:rPr>
                <w:rFonts w:hint="eastAsia" w:ascii="宋体" w:hAnsi="宋体"/>
                <w:sz w:val="24"/>
                <w:highlight w:val="none"/>
              </w:rPr>
            </w:pPr>
            <w:r>
              <w:rPr>
                <w:rFonts w:hint="eastAsia" w:ascii="宋体" w:hAnsi="宋体"/>
                <w:sz w:val="24"/>
                <w:highlight w:val="none"/>
                <w:lang w:val="en-US" w:eastAsia="zh-CN"/>
              </w:rPr>
              <w:t>1</w:t>
            </w:r>
            <w:r>
              <w:rPr>
                <w:rFonts w:hint="eastAsia" w:ascii="宋体" w:hAnsi="宋体"/>
                <w:sz w:val="24"/>
                <w:highlight w:val="none"/>
              </w:rPr>
              <w:t>.土石方在挖、运、弃土的过程中,所有裸露的土石方、现场运输道路均要符合威海市土石方开挖、运输的要求,该部分费用包含在投标报价中。</w:t>
            </w:r>
          </w:p>
          <w:p>
            <w:pPr>
              <w:snapToGrid w:val="0"/>
              <w:spacing w:line="360" w:lineRule="auto"/>
              <w:ind w:left="479" w:leftChars="228"/>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.土石方开挖工程量应按天然密实体积计算；土石方回填工程量，应按碾压或夯实后的实方体积计算。</w:t>
            </w:r>
          </w:p>
          <w:p>
            <w:pPr>
              <w:snapToGrid w:val="0"/>
              <w:spacing w:line="360" w:lineRule="auto"/>
              <w:ind w:left="479" w:leftChars="228"/>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3.挖土（石）方时，超挖量应控制在允许范围内，超过允许范围的部分不予结算，因此引起的相关费用由中标单位承担。投标人投标报价内应充分考虑土方开挖、装车外运、人工清理等费用。石方破碎项投标单位自行考虑破碎方式及使用机具及边坡修整所有相关费用均综合考虑到相应的报价中，结算时不予调整。</w:t>
            </w:r>
          </w:p>
          <w:p>
            <w:pPr>
              <w:snapToGrid w:val="0"/>
              <w:spacing w:line="360" w:lineRule="auto"/>
              <w:ind w:left="479" w:leftChars="228"/>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3.土石方回填子目报价应包含场区内的堆放、倒运的费用，根据施工组织设计并结合现场实际情况综合考虑运输距离、运输方式及回填方式等相关因素，回填土源采用场内预留土方。</w:t>
            </w:r>
          </w:p>
          <w:p>
            <w:pPr>
              <w:spacing w:line="460" w:lineRule="exact"/>
              <w:jc w:val="left"/>
              <w:rPr>
                <w:rFonts w:hint="eastAsia" w:ascii="宋体" w:hAnsi="宋体" w:eastAsia="宋体" w:cs="宋体"/>
                <w:sz w:val="24"/>
              </w:rPr>
            </w:pPr>
            <w:r>
              <w:rPr>
                <w:rFonts w:hint="eastAsia" w:ascii="宋体" w:hAnsi="宋体" w:eastAsia="宋体" w:cs="宋体"/>
                <w:sz w:val="24"/>
              </w:rPr>
              <w:t>十</w:t>
            </w:r>
            <w:r>
              <w:rPr>
                <w:rFonts w:hint="eastAsia" w:ascii="宋体" w:hAnsi="宋体" w:cs="宋体"/>
                <w:sz w:val="24"/>
                <w:lang w:val="en-US" w:eastAsia="zh-CN"/>
              </w:rPr>
              <w:t>九</w:t>
            </w:r>
            <w:r>
              <w:rPr>
                <w:rFonts w:hint="eastAsia" w:ascii="宋体" w:hAnsi="宋体" w:eastAsia="宋体" w:cs="宋体"/>
                <w:sz w:val="24"/>
              </w:rPr>
              <w:t>、特别说明：</w:t>
            </w:r>
          </w:p>
          <w:p>
            <w:pPr>
              <w:snapToGrid w:val="0"/>
              <w:spacing w:line="360" w:lineRule="auto"/>
              <w:ind w:left="479" w:leftChars="228"/>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1.投标单位必须严格按照投标报价表样顺序逐一填报,若有疑问按规定提出答疑。</w:t>
            </w:r>
          </w:p>
          <w:p>
            <w:pPr>
              <w:snapToGrid w:val="0"/>
              <w:spacing w:line="360" w:lineRule="auto"/>
              <w:ind w:left="479" w:leftChars="228"/>
              <w:rPr>
                <w:rFonts w:hint="eastAsia" w:ascii="宋体" w:hAnsi="宋体"/>
                <w:b/>
                <w:bCs/>
                <w:color w:val="000000"/>
                <w:sz w:val="24"/>
                <w:highlight w:val="none"/>
                <w:lang w:eastAsia="zh-CN"/>
              </w:rPr>
            </w:pPr>
            <w:r>
              <w:rPr>
                <w:rFonts w:hint="eastAsia" w:ascii="宋体" w:hAnsi="宋体" w:eastAsia="宋体" w:cs="Times New Roman"/>
                <w:b/>
                <w:bCs/>
                <w:color w:val="000000"/>
                <w:sz w:val="24"/>
                <w:highlight w:val="none"/>
                <w:lang w:val="en-US" w:eastAsia="zh-CN"/>
              </w:rPr>
              <w:t>2.投标单位</w:t>
            </w:r>
            <w:r>
              <w:rPr>
                <w:rFonts w:hint="eastAsia" w:ascii="宋体" w:hAnsi="宋体" w:eastAsia="宋体" w:cs="Times New Roman"/>
                <w:b/>
                <w:bCs/>
                <w:color w:val="000000"/>
                <w:sz w:val="24"/>
                <w:highlight w:val="none"/>
              </w:rPr>
              <w:t>须</w:t>
            </w:r>
            <w:r>
              <w:rPr>
                <w:rFonts w:hint="eastAsia" w:ascii="宋体" w:hAnsi="宋体"/>
                <w:b/>
                <w:bCs/>
                <w:color w:val="000000"/>
                <w:sz w:val="24"/>
                <w:highlight w:val="none"/>
              </w:rPr>
              <w:t>按给定的暂列金额进行投标报价，不得更改，并按相关规定计取规费、税金</w:t>
            </w:r>
            <w:r>
              <w:rPr>
                <w:rFonts w:hint="eastAsia" w:ascii="宋体" w:hAnsi="宋体"/>
                <w:b/>
                <w:bCs/>
                <w:color w:val="000000"/>
                <w:sz w:val="24"/>
                <w:highlight w:val="none"/>
                <w:lang w:eastAsia="zh-CN"/>
              </w:rPr>
              <w:t>。</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tc>
      </w:tr>
    </w:tbl>
    <w:p>
      <w:pPr>
        <w:rPr>
          <w:rFonts w:hint="eastAsia" w:ascii="宋体" w:hAnsi="宋体"/>
          <w:sz w:val="20"/>
          <w:szCs w:val="20"/>
        </w:rPr>
      </w:pPr>
    </w:p>
    <w:sectPr>
      <w:headerReference r:id="rId3" w:type="default"/>
      <w:footerReference r:id="rId4" w:type="default"/>
      <w:pgSz w:w="11906" w:h="16838"/>
      <w:pgMar w:top="1134" w:right="1247" w:bottom="1134" w:left="1247"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文星简小标宋">
    <w:altName w:val="宋体"/>
    <w:panose1 w:val="02010609000101010101"/>
    <w:charset w:val="86"/>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4025" w:firstLineChars="1750"/>
      <w:jc w:val="both"/>
      <w:rPr>
        <w:sz w:val="23"/>
        <w:szCs w:val="23"/>
      </w:rPr>
    </w:pPr>
    <w:r>
      <w:rPr>
        <w:sz w:val="23"/>
      </w:rPr>
      <w:pict>
        <v:shape id="文本框 2053"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en-US" w:eastAsia="zh-CN"/>
                  </w:rPr>
                  <w:t>9</w:t>
                </w:r>
                <w:r>
                  <w:rPr>
                    <w:rFonts w:hint="eastAsia"/>
                  </w:rPr>
                  <w:fldChar w:fldCharType="end"/>
                </w:r>
                <w:r>
                  <w:rPr>
                    <w:rFonts w:hint="eastAsia"/>
                  </w:rPr>
                  <w:t xml:space="preserve"> 页 共 </w:t>
                </w:r>
                <w:r>
                  <w:rPr>
                    <w:rFonts w:hint="eastAsia"/>
                    <w:lang w:val="en-US" w:eastAsia="zh-CN"/>
                  </w:rPr>
                  <w:t>4</w:t>
                </w:r>
                <w:r>
                  <w:rPr>
                    <w:rFonts w:hint="eastAsia"/>
                  </w:rPr>
                  <w:t xml:space="preserve"> 页</w:t>
                </w:r>
              </w:p>
            </w:txbxContent>
          </v:textbox>
        </v:shape>
      </w:pict>
    </w:r>
    <w:r>
      <w:rPr>
        <w:sz w:val="23"/>
      </w:rPr>
      <w:pict>
        <v:shape id="文本框 2049" o:spid="_x0000_s4098" o:spt="202" type="#_x0000_t202" style="position:absolute;left:0pt;margin-top:0pt;height:14.9pt;width:490.05pt;mso-position-horizontal:left;mso-position-horizontal-relative:margin;z-index:251659264;mso-width-relative:page;mso-height-relative:page;" filled="f" stroked="f" coordsize="21600,21600">
          <v:path/>
          <v:fill on="f" focussize="0,0"/>
          <v:stroke on="f" weight="1.25pt" joinstyle="miter"/>
          <v:imagedata o:title=""/>
          <o:lock v:ext="edit"/>
          <v:textbox inset="0mm,0mm,0mm,0mm" style="mso-fit-shape-to-text:t;">
            <w:txbxContent>
              <w:p>
                <w:pPr>
                  <w:pStyle w:val="7"/>
                  <w:pBdr>
                    <w:bottom w:val="none" w:color="auto" w:sz="0" w:space="0"/>
                  </w:pBdr>
                  <w:ind w:firstLine="3150" w:firstLineChars="1750"/>
                  <w:jc w:val="both"/>
                  <w:rPr>
                    <w:rFonts w:hint="eastAsia"/>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rPr>
        <w:rFonts w:hint="eastAsia" w:ascii="文星简小标宋" w:eastAsia="文星简小标宋"/>
        <w:sz w:val="42"/>
        <w:szCs w:val="42"/>
      </w:rPr>
    </w:pPr>
    <w:r>
      <w:rPr>
        <w:rFonts w:hint="eastAsia" w:ascii="文星简小标宋" w:eastAsia="文星简小标宋"/>
        <w:sz w:val="42"/>
        <w:szCs w:val="42"/>
      </w:rPr>
      <w:t>清  单  总  说  明</w:t>
    </w:r>
  </w:p>
  <w:p>
    <w:pPr>
      <w:pStyle w:val="7"/>
      <w:pBdr>
        <w:bottom w:val="none" w:color="auto" w:sz="0" w:space="0"/>
      </w:pBdr>
      <w:jc w:val="both"/>
      <w:rPr>
        <w:rFonts w:hint="eastAsia"/>
        <w:sz w:val="23"/>
        <w:szCs w:val="23"/>
      </w:rPr>
    </w:pPr>
  </w:p>
  <w:p>
    <w:pPr>
      <w:pStyle w:val="10"/>
      <w:keepNext w:val="0"/>
      <w:keepLines w:val="0"/>
      <w:widowControl/>
      <w:suppressLineNumbers w:val="0"/>
      <w:spacing w:before="0" w:beforeAutospacing="0" w:after="0" w:afterAutospacing="0"/>
      <w:ind w:left="0" w:right="0" w:firstLine="0"/>
      <w:rPr>
        <w:rFonts w:hint="eastAsia"/>
        <w:sz w:val="23"/>
        <w:szCs w:val="23"/>
      </w:rPr>
    </w:pPr>
    <w:r>
      <w:rPr>
        <w:rFonts w:hint="eastAsia"/>
        <w:sz w:val="23"/>
        <w:szCs w:val="23"/>
      </w:rPr>
      <w:t>工程名称:</w:t>
    </w:r>
    <w:r>
      <w:rPr>
        <w:rFonts w:hint="eastAsia"/>
      </w:rPr>
      <w:t xml:space="preserve"> </w:t>
    </w:r>
    <w:r>
      <w:rPr>
        <w:rFonts w:hint="eastAsia" w:ascii="宋体" w:hAnsi="宋体" w:eastAsia="宋体" w:cs="Times New Roman"/>
        <w:color w:val="000000"/>
        <w:sz w:val="24"/>
        <w:highlight w:val="none"/>
        <w:lang w:val="en-US" w:eastAsia="zh-CN"/>
      </w:rPr>
      <w:t>智慧水利高端仪器仪表制造项目土方平整工程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japaneseCounting"/>
      <w:lvlText w:val="%1、"/>
      <w:lvlJc w:val="left"/>
      <w:pPr>
        <w:tabs>
          <w:tab w:val="left" w:pos="480"/>
        </w:tabs>
        <w:ind w:left="480" w:hanging="480"/>
      </w:pPr>
      <w:rPr>
        <w:rFonts w:hint="eastAsia"/>
      </w:rPr>
    </w:lvl>
    <w:lvl w:ilvl="1" w:tentative="0">
      <w:start w:val="1"/>
      <w:numFmt w:val="decimal"/>
      <w:lvlText w:val="%2."/>
      <w:lvlJc w:val="left"/>
      <w:pPr>
        <w:tabs>
          <w:tab w:val="left" w:pos="780"/>
        </w:tabs>
        <w:ind w:left="780" w:hanging="360"/>
      </w:pPr>
      <w:rPr>
        <w:rFonts w:hint="eastAsia"/>
        <w:color w:val="auto"/>
      </w:rPr>
    </w:lvl>
    <w:lvl w:ilvl="2" w:tentative="0">
      <w:start w:val="1"/>
      <w:numFmt w:val="decimal"/>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2M3MWQ3ZjI2ZDk5MGY2MzM0ODkzMDcyN2E0NDc1ZjMifQ=="/>
  </w:docVars>
  <w:rsids>
    <w:rsidRoot w:val="00172A27"/>
    <w:rsid w:val="000000E7"/>
    <w:rsid w:val="000030DC"/>
    <w:rsid w:val="00003F67"/>
    <w:rsid w:val="00004745"/>
    <w:rsid w:val="0001187E"/>
    <w:rsid w:val="0001204A"/>
    <w:rsid w:val="000123A9"/>
    <w:rsid w:val="00012CC4"/>
    <w:rsid w:val="00012CD5"/>
    <w:rsid w:val="000147B3"/>
    <w:rsid w:val="00014DFE"/>
    <w:rsid w:val="000249F3"/>
    <w:rsid w:val="000273E3"/>
    <w:rsid w:val="00027F23"/>
    <w:rsid w:val="000353F1"/>
    <w:rsid w:val="00044076"/>
    <w:rsid w:val="00050D7B"/>
    <w:rsid w:val="00051434"/>
    <w:rsid w:val="00052787"/>
    <w:rsid w:val="00052E2A"/>
    <w:rsid w:val="00054F7A"/>
    <w:rsid w:val="00057BF8"/>
    <w:rsid w:val="00064823"/>
    <w:rsid w:val="00064A0C"/>
    <w:rsid w:val="000659B2"/>
    <w:rsid w:val="00065F8B"/>
    <w:rsid w:val="000664A2"/>
    <w:rsid w:val="00067543"/>
    <w:rsid w:val="000702CB"/>
    <w:rsid w:val="00075529"/>
    <w:rsid w:val="000774A6"/>
    <w:rsid w:val="00080F29"/>
    <w:rsid w:val="000815FA"/>
    <w:rsid w:val="00082617"/>
    <w:rsid w:val="000826AC"/>
    <w:rsid w:val="00082A4E"/>
    <w:rsid w:val="000834F3"/>
    <w:rsid w:val="00090655"/>
    <w:rsid w:val="0009119A"/>
    <w:rsid w:val="000944D2"/>
    <w:rsid w:val="000A06BF"/>
    <w:rsid w:val="000A0FD4"/>
    <w:rsid w:val="000A173A"/>
    <w:rsid w:val="000A280F"/>
    <w:rsid w:val="000A55B6"/>
    <w:rsid w:val="000B0690"/>
    <w:rsid w:val="000B4047"/>
    <w:rsid w:val="000B6FAC"/>
    <w:rsid w:val="000C0EC9"/>
    <w:rsid w:val="000C10CB"/>
    <w:rsid w:val="000C11FA"/>
    <w:rsid w:val="000C12B5"/>
    <w:rsid w:val="000C35E4"/>
    <w:rsid w:val="000C3EF9"/>
    <w:rsid w:val="000C407E"/>
    <w:rsid w:val="000C566D"/>
    <w:rsid w:val="000D07B8"/>
    <w:rsid w:val="000D197C"/>
    <w:rsid w:val="000D3316"/>
    <w:rsid w:val="000D37E0"/>
    <w:rsid w:val="000D41E1"/>
    <w:rsid w:val="000D5EB2"/>
    <w:rsid w:val="000D65D8"/>
    <w:rsid w:val="000D6DA2"/>
    <w:rsid w:val="000D795D"/>
    <w:rsid w:val="000E0A16"/>
    <w:rsid w:val="000E0E11"/>
    <w:rsid w:val="000E1CA0"/>
    <w:rsid w:val="000E3BF3"/>
    <w:rsid w:val="000E469D"/>
    <w:rsid w:val="000E4B37"/>
    <w:rsid w:val="000E544F"/>
    <w:rsid w:val="000E645A"/>
    <w:rsid w:val="000F077C"/>
    <w:rsid w:val="000F1670"/>
    <w:rsid w:val="000F48E6"/>
    <w:rsid w:val="000F4C76"/>
    <w:rsid w:val="001067C7"/>
    <w:rsid w:val="001076E2"/>
    <w:rsid w:val="00107CCD"/>
    <w:rsid w:val="00112F66"/>
    <w:rsid w:val="0012073A"/>
    <w:rsid w:val="001216C5"/>
    <w:rsid w:val="00124DB8"/>
    <w:rsid w:val="00125C4D"/>
    <w:rsid w:val="001271F5"/>
    <w:rsid w:val="0012785A"/>
    <w:rsid w:val="001308EE"/>
    <w:rsid w:val="00131E1E"/>
    <w:rsid w:val="001320AB"/>
    <w:rsid w:val="001401DC"/>
    <w:rsid w:val="00140418"/>
    <w:rsid w:val="00142908"/>
    <w:rsid w:val="001437A7"/>
    <w:rsid w:val="001463BA"/>
    <w:rsid w:val="001474BB"/>
    <w:rsid w:val="00147A3D"/>
    <w:rsid w:val="00153949"/>
    <w:rsid w:val="00155589"/>
    <w:rsid w:val="0016184B"/>
    <w:rsid w:val="00163D8D"/>
    <w:rsid w:val="001665D9"/>
    <w:rsid w:val="0016731A"/>
    <w:rsid w:val="00167FCE"/>
    <w:rsid w:val="001703EA"/>
    <w:rsid w:val="00170656"/>
    <w:rsid w:val="00171767"/>
    <w:rsid w:val="00172FD7"/>
    <w:rsid w:val="001735BF"/>
    <w:rsid w:val="00182877"/>
    <w:rsid w:val="00186570"/>
    <w:rsid w:val="00186C98"/>
    <w:rsid w:val="00192A8A"/>
    <w:rsid w:val="00197487"/>
    <w:rsid w:val="00197C72"/>
    <w:rsid w:val="00197F2B"/>
    <w:rsid w:val="001A0065"/>
    <w:rsid w:val="001A140C"/>
    <w:rsid w:val="001A285D"/>
    <w:rsid w:val="001A2B44"/>
    <w:rsid w:val="001A301F"/>
    <w:rsid w:val="001A31BA"/>
    <w:rsid w:val="001A4FA1"/>
    <w:rsid w:val="001A5B26"/>
    <w:rsid w:val="001A7F13"/>
    <w:rsid w:val="001B257E"/>
    <w:rsid w:val="001B5641"/>
    <w:rsid w:val="001B7CDB"/>
    <w:rsid w:val="001B7F52"/>
    <w:rsid w:val="001C0433"/>
    <w:rsid w:val="001C237A"/>
    <w:rsid w:val="001C5386"/>
    <w:rsid w:val="001C5B36"/>
    <w:rsid w:val="001C60EF"/>
    <w:rsid w:val="001C7AC7"/>
    <w:rsid w:val="001D1729"/>
    <w:rsid w:val="001D6610"/>
    <w:rsid w:val="001E166F"/>
    <w:rsid w:val="001E363A"/>
    <w:rsid w:val="001E4205"/>
    <w:rsid w:val="001E5D26"/>
    <w:rsid w:val="001E7346"/>
    <w:rsid w:val="001F3246"/>
    <w:rsid w:val="001F7FF9"/>
    <w:rsid w:val="00200D84"/>
    <w:rsid w:val="00201FB0"/>
    <w:rsid w:val="00202525"/>
    <w:rsid w:val="00202FD4"/>
    <w:rsid w:val="00204493"/>
    <w:rsid w:val="00207E52"/>
    <w:rsid w:val="00211130"/>
    <w:rsid w:val="00223200"/>
    <w:rsid w:val="002244CC"/>
    <w:rsid w:val="00224850"/>
    <w:rsid w:val="00225E4F"/>
    <w:rsid w:val="00226054"/>
    <w:rsid w:val="00226FD0"/>
    <w:rsid w:val="00227650"/>
    <w:rsid w:val="00235D02"/>
    <w:rsid w:val="00235D32"/>
    <w:rsid w:val="00236F20"/>
    <w:rsid w:val="002371F7"/>
    <w:rsid w:val="002437D7"/>
    <w:rsid w:val="00243CC9"/>
    <w:rsid w:val="00244B05"/>
    <w:rsid w:val="00245F5A"/>
    <w:rsid w:val="00246DAB"/>
    <w:rsid w:val="002470F3"/>
    <w:rsid w:val="002509C5"/>
    <w:rsid w:val="00251AD3"/>
    <w:rsid w:val="002531FD"/>
    <w:rsid w:val="0025380D"/>
    <w:rsid w:val="00253A70"/>
    <w:rsid w:val="00253ECC"/>
    <w:rsid w:val="00254033"/>
    <w:rsid w:val="002632EC"/>
    <w:rsid w:val="002650AF"/>
    <w:rsid w:val="00267DE6"/>
    <w:rsid w:val="00270674"/>
    <w:rsid w:val="002721C3"/>
    <w:rsid w:val="00272CEF"/>
    <w:rsid w:val="00273D30"/>
    <w:rsid w:val="0027419B"/>
    <w:rsid w:val="00274CC6"/>
    <w:rsid w:val="00275A86"/>
    <w:rsid w:val="00276B40"/>
    <w:rsid w:val="00284736"/>
    <w:rsid w:val="0028698B"/>
    <w:rsid w:val="002876C6"/>
    <w:rsid w:val="002900BF"/>
    <w:rsid w:val="00290E65"/>
    <w:rsid w:val="00296F24"/>
    <w:rsid w:val="002A0AA5"/>
    <w:rsid w:val="002A0B12"/>
    <w:rsid w:val="002A19DF"/>
    <w:rsid w:val="002A3B62"/>
    <w:rsid w:val="002B07CE"/>
    <w:rsid w:val="002B4050"/>
    <w:rsid w:val="002B53FA"/>
    <w:rsid w:val="002B7309"/>
    <w:rsid w:val="002C13E7"/>
    <w:rsid w:val="002C182B"/>
    <w:rsid w:val="002C1CAC"/>
    <w:rsid w:val="002C3573"/>
    <w:rsid w:val="002C3853"/>
    <w:rsid w:val="002C427B"/>
    <w:rsid w:val="002C57D7"/>
    <w:rsid w:val="002C6B2C"/>
    <w:rsid w:val="002D1DDB"/>
    <w:rsid w:val="002D4EF4"/>
    <w:rsid w:val="002D6F21"/>
    <w:rsid w:val="002E134A"/>
    <w:rsid w:val="002E482A"/>
    <w:rsid w:val="002F598B"/>
    <w:rsid w:val="00300D7F"/>
    <w:rsid w:val="00300E01"/>
    <w:rsid w:val="003062DB"/>
    <w:rsid w:val="00317938"/>
    <w:rsid w:val="003202A3"/>
    <w:rsid w:val="0032435F"/>
    <w:rsid w:val="00324B20"/>
    <w:rsid w:val="00324FAD"/>
    <w:rsid w:val="003255E9"/>
    <w:rsid w:val="00326616"/>
    <w:rsid w:val="003276BC"/>
    <w:rsid w:val="003320E2"/>
    <w:rsid w:val="003336DB"/>
    <w:rsid w:val="00336D4E"/>
    <w:rsid w:val="00337A76"/>
    <w:rsid w:val="00344205"/>
    <w:rsid w:val="0034596A"/>
    <w:rsid w:val="00347CF3"/>
    <w:rsid w:val="003506D2"/>
    <w:rsid w:val="00350D5F"/>
    <w:rsid w:val="00350F1D"/>
    <w:rsid w:val="00351AF4"/>
    <w:rsid w:val="00357017"/>
    <w:rsid w:val="003604CD"/>
    <w:rsid w:val="00360E70"/>
    <w:rsid w:val="0036119C"/>
    <w:rsid w:val="0036159B"/>
    <w:rsid w:val="00363FF7"/>
    <w:rsid w:val="00364B4B"/>
    <w:rsid w:val="003666CB"/>
    <w:rsid w:val="003671B1"/>
    <w:rsid w:val="00370391"/>
    <w:rsid w:val="0037196D"/>
    <w:rsid w:val="00375559"/>
    <w:rsid w:val="0037789B"/>
    <w:rsid w:val="003779AF"/>
    <w:rsid w:val="003805B4"/>
    <w:rsid w:val="00380FA1"/>
    <w:rsid w:val="003812F6"/>
    <w:rsid w:val="0038154D"/>
    <w:rsid w:val="0038178C"/>
    <w:rsid w:val="0038223D"/>
    <w:rsid w:val="00385511"/>
    <w:rsid w:val="00385515"/>
    <w:rsid w:val="0038586A"/>
    <w:rsid w:val="00386C73"/>
    <w:rsid w:val="003902EB"/>
    <w:rsid w:val="003918CE"/>
    <w:rsid w:val="00391A65"/>
    <w:rsid w:val="00392F13"/>
    <w:rsid w:val="00393887"/>
    <w:rsid w:val="00394629"/>
    <w:rsid w:val="003A65E3"/>
    <w:rsid w:val="003A6680"/>
    <w:rsid w:val="003B19CF"/>
    <w:rsid w:val="003B1C0A"/>
    <w:rsid w:val="003B36FB"/>
    <w:rsid w:val="003B6A35"/>
    <w:rsid w:val="003B7C08"/>
    <w:rsid w:val="003C1BAD"/>
    <w:rsid w:val="003C49E7"/>
    <w:rsid w:val="003D103C"/>
    <w:rsid w:val="003D2535"/>
    <w:rsid w:val="003D50BE"/>
    <w:rsid w:val="003D627D"/>
    <w:rsid w:val="003D7496"/>
    <w:rsid w:val="003E1104"/>
    <w:rsid w:val="003E1B23"/>
    <w:rsid w:val="003E23C7"/>
    <w:rsid w:val="003E3600"/>
    <w:rsid w:val="003E3623"/>
    <w:rsid w:val="003E4116"/>
    <w:rsid w:val="003E4DD9"/>
    <w:rsid w:val="003E5E6A"/>
    <w:rsid w:val="003E6194"/>
    <w:rsid w:val="003E75B6"/>
    <w:rsid w:val="003F5B06"/>
    <w:rsid w:val="003F63E8"/>
    <w:rsid w:val="0040162C"/>
    <w:rsid w:val="00401EB1"/>
    <w:rsid w:val="00402820"/>
    <w:rsid w:val="00403B39"/>
    <w:rsid w:val="00410AFB"/>
    <w:rsid w:val="00410B71"/>
    <w:rsid w:val="00410D49"/>
    <w:rsid w:val="0041228A"/>
    <w:rsid w:val="00413B9D"/>
    <w:rsid w:val="00414BEF"/>
    <w:rsid w:val="00415778"/>
    <w:rsid w:val="004175C0"/>
    <w:rsid w:val="00420BB2"/>
    <w:rsid w:val="00420BE5"/>
    <w:rsid w:val="004216B1"/>
    <w:rsid w:val="00426B0B"/>
    <w:rsid w:val="004306A2"/>
    <w:rsid w:val="00443028"/>
    <w:rsid w:val="0044330F"/>
    <w:rsid w:val="0044592A"/>
    <w:rsid w:val="0044770C"/>
    <w:rsid w:val="0045121C"/>
    <w:rsid w:val="00451E93"/>
    <w:rsid w:val="004531A6"/>
    <w:rsid w:val="00453B34"/>
    <w:rsid w:val="00455E79"/>
    <w:rsid w:val="0045711C"/>
    <w:rsid w:val="0045731F"/>
    <w:rsid w:val="0046422E"/>
    <w:rsid w:val="00465BA7"/>
    <w:rsid w:val="00467E65"/>
    <w:rsid w:val="00474F1E"/>
    <w:rsid w:val="00475B78"/>
    <w:rsid w:val="0047773A"/>
    <w:rsid w:val="00477D4E"/>
    <w:rsid w:val="004805B0"/>
    <w:rsid w:val="00483F87"/>
    <w:rsid w:val="00487B49"/>
    <w:rsid w:val="00493FF8"/>
    <w:rsid w:val="004949CA"/>
    <w:rsid w:val="00494D76"/>
    <w:rsid w:val="00496726"/>
    <w:rsid w:val="004A3C04"/>
    <w:rsid w:val="004A40B5"/>
    <w:rsid w:val="004A4289"/>
    <w:rsid w:val="004A4C26"/>
    <w:rsid w:val="004A51FB"/>
    <w:rsid w:val="004A64F4"/>
    <w:rsid w:val="004B09A9"/>
    <w:rsid w:val="004C00EF"/>
    <w:rsid w:val="004C17BA"/>
    <w:rsid w:val="004C2819"/>
    <w:rsid w:val="004C3859"/>
    <w:rsid w:val="004C6EF6"/>
    <w:rsid w:val="004D01B1"/>
    <w:rsid w:val="004D3087"/>
    <w:rsid w:val="004D4288"/>
    <w:rsid w:val="004D642F"/>
    <w:rsid w:val="004D66D6"/>
    <w:rsid w:val="004D77B6"/>
    <w:rsid w:val="004E2EEA"/>
    <w:rsid w:val="004E31C1"/>
    <w:rsid w:val="004E3A85"/>
    <w:rsid w:val="004E459B"/>
    <w:rsid w:val="004E7D94"/>
    <w:rsid w:val="004F2C98"/>
    <w:rsid w:val="004F5F04"/>
    <w:rsid w:val="004F5FB8"/>
    <w:rsid w:val="004F6A61"/>
    <w:rsid w:val="004F70AC"/>
    <w:rsid w:val="00500C12"/>
    <w:rsid w:val="00500C6C"/>
    <w:rsid w:val="00501629"/>
    <w:rsid w:val="00504A2F"/>
    <w:rsid w:val="00511A58"/>
    <w:rsid w:val="00514A25"/>
    <w:rsid w:val="00515A5D"/>
    <w:rsid w:val="005201CF"/>
    <w:rsid w:val="00521D42"/>
    <w:rsid w:val="00522A44"/>
    <w:rsid w:val="00522E60"/>
    <w:rsid w:val="0052409E"/>
    <w:rsid w:val="00525BE4"/>
    <w:rsid w:val="00526718"/>
    <w:rsid w:val="00527C62"/>
    <w:rsid w:val="00527CD3"/>
    <w:rsid w:val="00530502"/>
    <w:rsid w:val="00530D05"/>
    <w:rsid w:val="005317A0"/>
    <w:rsid w:val="00532573"/>
    <w:rsid w:val="00533146"/>
    <w:rsid w:val="00537C28"/>
    <w:rsid w:val="005429FB"/>
    <w:rsid w:val="00544D58"/>
    <w:rsid w:val="00546C1D"/>
    <w:rsid w:val="0054712F"/>
    <w:rsid w:val="00547974"/>
    <w:rsid w:val="0055076D"/>
    <w:rsid w:val="00550BB3"/>
    <w:rsid w:val="00552918"/>
    <w:rsid w:val="00554A34"/>
    <w:rsid w:val="00560D4D"/>
    <w:rsid w:val="00562F05"/>
    <w:rsid w:val="0056348C"/>
    <w:rsid w:val="00563C27"/>
    <w:rsid w:val="005644BA"/>
    <w:rsid w:val="00564A3D"/>
    <w:rsid w:val="00565F01"/>
    <w:rsid w:val="00567173"/>
    <w:rsid w:val="00570F47"/>
    <w:rsid w:val="00571461"/>
    <w:rsid w:val="00571CAB"/>
    <w:rsid w:val="0057254A"/>
    <w:rsid w:val="005773FF"/>
    <w:rsid w:val="00577A86"/>
    <w:rsid w:val="00577B01"/>
    <w:rsid w:val="0058252B"/>
    <w:rsid w:val="00582536"/>
    <w:rsid w:val="005826B3"/>
    <w:rsid w:val="00584886"/>
    <w:rsid w:val="00584D4A"/>
    <w:rsid w:val="00585984"/>
    <w:rsid w:val="00593169"/>
    <w:rsid w:val="0059616D"/>
    <w:rsid w:val="0059776B"/>
    <w:rsid w:val="00597BD7"/>
    <w:rsid w:val="005A1F93"/>
    <w:rsid w:val="005A2250"/>
    <w:rsid w:val="005A2B10"/>
    <w:rsid w:val="005A52A4"/>
    <w:rsid w:val="005A617F"/>
    <w:rsid w:val="005A69F8"/>
    <w:rsid w:val="005B0803"/>
    <w:rsid w:val="005B193C"/>
    <w:rsid w:val="005B41D0"/>
    <w:rsid w:val="005B6E98"/>
    <w:rsid w:val="005B7186"/>
    <w:rsid w:val="005B79CD"/>
    <w:rsid w:val="005C0D84"/>
    <w:rsid w:val="005C201D"/>
    <w:rsid w:val="005C2482"/>
    <w:rsid w:val="005C3F35"/>
    <w:rsid w:val="005C4DA2"/>
    <w:rsid w:val="005D2439"/>
    <w:rsid w:val="005D3200"/>
    <w:rsid w:val="005D3CB8"/>
    <w:rsid w:val="005D6044"/>
    <w:rsid w:val="005D6680"/>
    <w:rsid w:val="005D694C"/>
    <w:rsid w:val="005D6EDC"/>
    <w:rsid w:val="005D6F85"/>
    <w:rsid w:val="005E15DE"/>
    <w:rsid w:val="005E2F42"/>
    <w:rsid w:val="005E328E"/>
    <w:rsid w:val="005E33B3"/>
    <w:rsid w:val="005E4A79"/>
    <w:rsid w:val="005E509D"/>
    <w:rsid w:val="005E65A2"/>
    <w:rsid w:val="005E6952"/>
    <w:rsid w:val="005F137B"/>
    <w:rsid w:val="005F1C63"/>
    <w:rsid w:val="005F675E"/>
    <w:rsid w:val="005F718E"/>
    <w:rsid w:val="006003DB"/>
    <w:rsid w:val="0060280C"/>
    <w:rsid w:val="0060519D"/>
    <w:rsid w:val="00607F3E"/>
    <w:rsid w:val="00610CF6"/>
    <w:rsid w:val="00615A4B"/>
    <w:rsid w:val="00616434"/>
    <w:rsid w:val="0062067D"/>
    <w:rsid w:val="0062091C"/>
    <w:rsid w:val="00621D26"/>
    <w:rsid w:val="00621F8A"/>
    <w:rsid w:val="006221A1"/>
    <w:rsid w:val="006261A7"/>
    <w:rsid w:val="00626829"/>
    <w:rsid w:val="00630066"/>
    <w:rsid w:val="00630DCE"/>
    <w:rsid w:val="0063144C"/>
    <w:rsid w:val="00632702"/>
    <w:rsid w:val="00636888"/>
    <w:rsid w:val="00637D23"/>
    <w:rsid w:val="00637E39"/>
    <w:rsid w:val="00640A2C"/>
    <w:rsid w:val="00643869"/>
    <w:rsid w:val="00643972"/>
    <w:rsid w:val="00643DDF"/>
    <w:rsid w:val="00643F3A"/>
    <w:rsid w:val="00645548"/>
    <w:rsid w:val="00645DBE"/>
    <w:rsid w:val="00646251"/>
    <w:rsid w:val="006468F6"/>
    <w:rsid w:val="00646B92"/>
    <w:rsid w:val="0065141B"/>
    <w:rsid w:val="00652999"/>
    <w:rsid w:val="006540FB"/>
    <w:rsid w:val="006544CF"/>
    <w:rsid w:val="00656213"/>
    <w:rsid w:val="006600C1"/>
    <w:rsid w:val="00660CCE"/>
    <w:rsid w:val="00664721"/>
    <w:rsid w:val="00664DA8"/>
    <w:rsid w:val="00665BAC"/>
    <w:rsid w:val="006668C3"/>
    <w:rsid w:val="00667182"/>
    <w:rsid w:val="00670E01"/>
    <w:rsid w:val="00671023"/>
    <w:rsid w:val="00673345"/>
    <w:rsid w:val="00674012"/>
    <w:rsid w:val="00674B36"/>
    <w:rsid w:val="00677CA9"/>
    <w:rsid w:val="00682054"/>
    <w:rsid w:val="00682397"/>
    <w:rsid w:val="00683D36"/>
    <w:rsid w:val="0068605D"/>
    <w:rsid w:val="00691660"/>
    <w:rsid w:val="00691DCF"/>
    <w:rsid w:val="00694044"/>
    <w:rsid w:val="006A0966"/>
    <w:rsid w:val="006A11C8"/>
    <w:rsid w:val="006A33CA"/>
    <w:rsid w:val="006A6365"/>
    <w:rsid w:val="006A7F84"/>
    <w:rsid w:val="006B0B7C"/>
    <w:rsid w:val="006B1518"/>
    <w:rsid w:val="006B298D"/>
    <w:rsid w:val="006B2AF3"/>
    <w:rsid w:val="006B636D"/>
    <w:rsid w:val="006B768A"/>
    <w:rsid w:val="006C1507"/>
    <w:rsid w:val="006C3B46"/>
    <w:rsid w:val="006C5248"/>
    <w:rsid w:val="006C6E49"/>
    <w:rsid w:val="006D5FB5"/>
    <w:rsid w:val="006D607E"/>
    <w:rsid w:val="006D6B65"/>
    <w:rsid w:val="006D758B"/>
    <w:rsid w:val="006E1A6C"/>
    <w:rsid w:val="006E2418"/>
    <w:rsid w:val="006E3D57"/>
    <w:rsid w:val="006E478D"/>
    <w:rsid w:val="006F2D36"/>
    <w:rsid w:val="006F2D48"/>
    <w:rsid w:val="006F43A9"/>
    <w:rsid w:val="007027CA"/>
    <w:rsid w:val="007039A4"/>
    <w:rsid w:val="00704A20"/>
    <w:rsid w:val="00712791"/>
    <w:rsid w:val="007130C9"/>
    <w:rsid w:val="00715346"/>
    <w:rsid w:val="007158DA"/>
    <w:rsid w:val="00716077"/>
    <w:rsid w:val="0072542A"/>
    <w:rsid w:val="0072652E"/>
    <w:rsid w:val="00727559"/>
    <w:rsid w:val="007316B0"/>
    <w:rsid w:val="007337D8"/>
    <w:rsid w:val="0073443C"/>
    <w:rsid w:val="00740585"/>
    <w:rsid w:val="007416A3"/>
    <w:rsid w:val="0074365A"/>
    <w:rsid w:val="007455A7"/>
    <w:rsid w:val="007458CA"/>
    <w:rsid w:val="007464D9"/>
    <w:rsid w:val="00746C24"/>
    <w:rsid w:val="00751A6B"/>
    <w:rsid w:val="00754533"/>
    <w:rsid w:val="00755CA2"/>
    <w:rsid w:val="0075756B"/>
    <w:rsid w:val="0076180F"/>
    <w:rsid w:val="00762D09"/>
    <w:rsid w:val="00762F03"/>
    <w:rsid w:val="00763D5E"/>
    <w:rsid w:val="00766FF7"/>
    <w:rsid w:val="007679F4"/>
    <w:rsid w:val="00770EB5"/>
    <w:rsid w:val="00771ACC"/>
    <w:rsid w:val="00772133"/>
    <w:rsid w:val="0077505C"/>
    <w:rsid w:val="0077692E"/>
    <w:rsid w:val="007821A2"/>
    <w:rsid w:val="0078249B"/>
    <w:rsid w:val="00784595"/>
    <w:rsid w:val="00785EC4"/>
    <w:rsid w:val="00787CC6"/>
    <w:rsid w:val="00791A83"/>
    <w:rsid w:val="00793639"/>
    <w:rsid w:val="00797953"/>
    <w:rsid w:val="007A064E"/>
    <w:rsid w:val="007A2EE4"/>
    <w:rsid w:val="007A4B64"/>
    <w:rsid w:val="007A629F"/>
    <w:rsid w:val="007A7206"/>
    <w:rsid w:val="007B1DFE"/>
    <w:rsid w:val="007B2F92"/>
    <w:rsid w:val="007B4532"/>
    <w:rsid w:val="007B53F7"/>
    <w:rsid w:val="007B5721"/>
    <w:rsid w:val="007B5735"/>
    <w:rsid w:val="007C0F86"/>
    <w:rsid w:val="007C1D35"/>
    <w:rsid w:val="007C4238"/>
    <w:rsid w:val="007D12B7"/>
    <w:rsid w:val="007D267A"/>
    <w:rsid w:val="007D4FFE"/>
    <w:rsid w:val="007D5D11"/>
    <w:rsid w:val="007D5DD0"/>
    <w:rsid w:val="007D6B22"/>
    <w:rsid w:val="007D7CBE"/>
    <w:rsid w:val="007E1F95"/>
    <w:rsid w:val="007E3640"/>
    <w:rsid w:val="007E3FDA"/>
    <w:rsid w:val="007E69F3"/>
    <w:rsid w:val="007E704E"/>
    <w:rsid w:val="007E7C28"/>
    <w:rsid w:val="007F1ED3"/>
    <w:rsid w:val="007F23EF"/>
    <w:rsid w:val="007F5772"/>
    <w:rsid w:val="007F58F0"/>
    <w:rsid w:val="007F5CC0"/>
    <w:rsid w:val="007F5D19"/>
    <w:rsid w:val="00801AA8"/>
    <w:rsid w:val="00803FE5"/>
    <w:rsid w:val="008048EF"/>
    <w:rsid w:val="008062AE"/>
    <w:rsid w:val="008124BA"/>
    <w:rsid w:val="00812B56"/>
    <w:rsid w:val="008200F2"/>
    <w:rsid w:val="00822BF3"/>
    <w:rsid w:val="00827432"/>
    <w:rsid w:val="0083185C"/>
    <w:rsid w:val="008320C1"/>
    <w:rsid w:val="00832CB6"/>
    <w:rsid w:val="00835364"/>
    <w:rsid w:val="008402FB"/>
    <w:rsid w:val="00843866"/>
    <w:rsid w:val="0084474E"/>
    <w:rsid w:val="00845016"/>
    <w:rsid w:val="00847964"/>
    <w:rsid w:val="0085031F"/>
    <w:rsid w:val="008504B0"/>
    <w:rsid w:val="00853238"/>
    <w:rsid w:val="00875778"/>
    <w:rsid w:val="00875DBC"/>
    <w:rsid w:val="008762AD"/>
    <w:rsid w:val="00877B18"/>
    <w:rsid w:val="00880E38"/>
    <w:rsid w:val="00881286"/>
    <w:rsid w:val="00884449"/>
    <w:rsid w:val="00885EA0"/>
    <w:rsid w:val="00891B99"/>
    <w:rsid w:val="00892DDC"/>
    <w:rsid w:val="00895409"/>
    <w:rsid w:val="008966A2"/>
    <w:rsid w:val="0089682E"/>
    <w:rsid w:val="00897AF1"/>
    <w:rsid w:val="008A1684"/>
    <w:rsid w:val="008A4A76"/>
    <w:rsid w:val="008A6DE5"/>
    <w:rsid w:val="008B0593"/>
    <w:rsid w:val="008B1219"/>
    <w:rsid w:val="008B558D"/>
    <w:rsid w:val="008B704A"/>
    <w:rsid w:val="008B7442"/>
    <w:rsid w:val="008C4F89"/>
    <w:rsid w:val="008D0501"/>
    <w:rsid w:val="008D08EA"/>
    <w:rsid w:val="008D15F3"/>
    <w:rsid w:val="008D30DF"/>
    <w:rsid w:val="008D3259"/>
    <w:rsid w:val="008E0FBB"/>
    <w:rsid w:val="008E1CE6"/>
    <w:rsid w:val="008E1F97"/>
    <w:rsid w:val="008E26EF"/>
    <w:rsid w:val="008E3708"/>
    <w:rsid w:val="008E3D27"/>
    <w:rsid w:val="008E5888"/>
    <w:rsid w:val="008E7AAA"/>
    <w:rsid w:val="008F1D01"/>
    <w:rsid w:val="008F1D36"/>
    <w:rsid w:val="008F2A69"/>
    <w:rsid w:val="008F4239"/>
    <w:rsid w:val="008F575B"/>
    <w:rsid w:val="008F6B01"/>
    <w:rsid w:val="008F7384"/>
    <w:rsid w:val="008F7B87"/>
    <w:rsid w:val="008F7D98"/>
    <w:rsid w:val="009014D6"/>
    <w:rsid w:val="0091066A"/>
    <w:rsid w:val="009150E2"/>
    <w:rsid w:val="009237E7"/>
    <w:rsid w:val="00923CD8"/>
    <w:rsid w:val="00923E52"/>
    <w:rsid w:val="009262CA"/>
    <w:rsid w:val="009265D0"/>
    <w:rsid w:val="00931A7C"/>
    <w:rsid w:val="00932C99"/>
    <w:rsid w:val="00932DA0"/>
    <w:rsid w:val="00934797"/>
    <w:rsid w:val="00936F26"/>
    <w:rsid w:val="0094095C"/>
    <w:rsid w:val="00942E82"/>
    <w:rsid w:val="00943170"/>
    <w:rsid w:val="00944F17"/>
    <w:rsid w:val="009470AC"/>
    <w:rsid w:val="00947BA8"/>
    <w:rsid w:val="0095268E"/>
    <w:rsid w:val="009541BC"/>
    <w:rsid w:val="009634A8"/>
    <w:rsid w:val="009639DD"/>
    <w:rsid w:val="009649FE"/>
    <w:rsid w:val="00966C13"/>
    <w:rsid w:val="0097058B"/>
    <w:rsid w:val="009707F9"/>
    <w:rsid w:val="00971F7D"/>
    <w:rsid w:val="009721D7"/>
    <w:rsid w:val="00975A25"/>
    <w:rsid w:val="00975A78"/>
    <w:rsid w:val="009765A8"/>
    <w:rsid w:val="00976D89"/>
    <w:rsid w:val="00977987"/>
    <w:rsid w:val="00981E10"/>
    <w:rsid w:val="00981E19"/>
    <w:rsid w:val="009838B3"/>
    <w:rsid w:val="009839BA"/>
    <w:rsid w:val="00983E3B"/>
    <w:rsid w:val="00983FEF"/>
    <w:rsid w:val="009860E2"/>
    <w:rsid w:val="009866E8"/>
    <w:rsid w:val="009869C0"/>
    <w:rsid w:val="009869EE"/>
    <w:rsid w:val="00990AB2"/>
    <w:rsid w:val="00990FE9"/>
    <w:rsid w:val="009926BB"/>
    <w:rsid w:val="009949AA"/>
    <w:rsid w:val="00994EE9"/>
    <w:rsid w:val="00995EB3"/>
    <w:rsid w:val="00997732"/>
    <w:rsid w:val="009A24FB"/>
    <w:rsid w:val="009A3A07"/>
    <w:rsid w:val="009A3AB9"/>
    <w:rsid w:val="009A55AE"/>
    <w:rsid w:val="009B3A04"/>
    <w:rsid w:val="009B4080"/>
    <w:rsid w:val="009B7061"/>
    <w:rsid w:val="009C1732"/>
    <w:rsid w:val="009C2421"/>
    <w:rsid w:val="009C3171"/>
    <w:rsid w:val="009C6FF1"/>
    <w:rsid w:val="009C75E3"/>
    <w:rsid w:val="009C796D"/>
    <w:rsid w:val="009D01C0"/>
    <w:rsid w:val="009D0995"/>
    <w:rsid w:val="009D27B5"/>
    <w:rsid w:val="009D2F26"/>
    <w:rsid w:val="009D38DC"/>
    <w:rsid w:val="009D5677"/>
    <w:rsid w:val="009E0588"/>
    <w:rsid w:val="009E20B4"/>
    <w:rsid w:val="009E3D11"/>
    <w:rsid w:val="009E4DAF"/>
    <w:rsid w:val="009E5052"/>
    <w:rsid w:val="009F0AF3"/>
    <w:rsid w:val="009F575E"/>
    <w:rsid w:val="009F7B0D"/>
    <w:rsid w:val="00A02BB9"/>
    <w:rsid w:val="00A0343B"/>
    <w:rsid w:val="00A04554"/>
    <w:rsid w:val="00A06ACF"/>
    <w:rsid w:val="00A110CE"/>
    <w:rsid w:val="00A1217D"/>
    <w:rsid w:val="00A1430B"/>
    <w:rsid w:val="00A15EFC"/>
    <w:rsid w:val="00A200FD"/>
    <w:rsid w:val="00A20385"/>
    <w:rsid w:val="00A228DC"/>
    <w:rsid w:val="00A24AB7"/>
    <w:rsid w:val="00A25C2A"/>
    <w:rsid w:val="00A25F2B"/>
    <w:rsid w:val="00A27C7F"/>
    <w:rsid w:val="00A30EDC"/>
    <w:rsid w:val="00A31FE9"/>
    <w:rsid w:val="00A34078"/>
    <w:rsid w:val="00A35787"/>
    <w:rsid w:val="00A36309"/>
    <w:rsid w:val="00A373EE"/>
    <w:rsid w:val="00A40115"/>
    <w:rsid w:val="00A405E4"/>
    <w:rsid w:val="00A41802"/>
    <w:rsid w:val="00A42796"/>
    <w:rsid w:val="00A45BDC"/>
    <w:rsid w:val="00A47271"/>
    <w:rsid w:val="00A50BFE"/>
    <w:rsid w:val="00A5279D"/>
    <w:rsid w:val="00A53EA8"/>
    <w:rsid w:val="00A54482"/>
    <w:rsid w:val="00A54DC6"/>
    <w:rsid w:val="00A57F80"/>
    <w:rsid w:val="00A61874"/>
    <w:rsid w:val="00A6307F"/>
    <w:rsid w:val="00A700C5"/>
    <w:rsid w:val="00A70788"/>
    <w:rsid w:val="00A7169B"/>
    <w:rsid w:val="00A73661"/>
    <w:rsid w:val="00A737A7"/>
    <w:rsid w:val="00A751A7"/>
    <w:rsid w:val="00A7564F"/>
    <w:rsid w:val="00A75872"/>
    <w:rsid w:val="00A75D68"/>
    <w:rsid w:val="00A76721"/>
    <w:rsid w:val="00A8374D"/>
    <w:rsid w:val="00A84246"/>
    <w:rsid w:val="00A843C2"/>
    <w:rsid w:val="00A850A6"/>
    <w:rsid w:val="00A87D37"/>
    <w:rsid w:val="00A90460"/>
    <w:rsid w:val="00A90626"/>
    <w:rsid w:val="00A906EB"/>
    <w:rsid w:val="00A93060"/>
    <w:rsid w:val="00A94621"/>
    <w:rsid w:val="00A94854"/>
    <w:rsid w:val="00AA0A57"/>
    <w:rsid w:val="00AA0D85"/>
    <w:rsid w:val="00AA1196"/>
    <w:rsid w:val="00AA4B6E"/>
    <w:rsid w:val="00AA573E"/>
    <w:rsid w:val="00AA5B36"/>
    <w:rsid w:val="00AA63BB"/>
    <w:rsid w:val="00AA7934"/>
    <w:rsid w:val="00AB1521"/>
    <w:rsid w:val="00AB61C2"/>
    <w:rsid w:val="00AB6403"/>
    <w:rsid w:val="00AC1C45"/>
    <w:rsid w:val="00AC6CCE"/>
    <w:rsid w:val="00AC7B4E"/>
    <w:rsid w:val="00AD1EB5"/>
    <w:rsid w:val="00AD46AB"/>
    <w:rsid w:val="00AD52C8"/>
    <w:rsid w:val="00AD76FA"/>
    <w:rsid w:val="00AD7CCC"/>
    <w:rsid w:val="00AE28C7"/>
    <w:rsid w:val="00AE29C4"/>
    <w:rsid w:val="00AE5F68"/>
    <w:rsid w:val="00AE7D2C"/>
    <w:rsid w:val="00AF04F5"/>
    <w:rsid w:val="00AF084D"/>
    <w:rsid w:val="00AF0C86"/>
    <w:rsid w:val="00AF27CE"/>
    <w:rsid w:val="00AF2E14"/>
    <w:rsid w:val="00B01737"/>
    <w:rsid w:val="00B02335"/>
    <w:rsid w:val="00B05AFF"/>
    <w:rsid w:val="00B07B05"/>
    <w:rsid w:val="00B10492"/>
    <w:rsid w:val="00B1092F"/>
    <w:rsid w:val="00B116CE"/>
    <w:rsid w:val="00B139DF"/>
    <w:rsid w:val="00B142D6"/>
    <w:rsid w:val="00B15078"/>
    <w:rsid w:val="00B16A9F"/>
    <w:rsid w:val="00B21AFD"/>
    <w:rsid w:val="00B25C55"/>
    <w:rsid w:val="00B3033B"/>
    <w:rsid w:val="00B31CE6"/>
    <w:rsid w:val="00B32908"/>
    <w:rsid w:val="00B32C6D"/>
    <w:rsid w:val="00B377D4"/>
    <w:rsid w:val="00B40AD2"/>
    <w:rsid w:val="00B43D97"/>
    <w:rsid w:val="00B45619"/>
    <w:rsid w:val="00B46B36"/>
    <w:rsid w:val="00B50985"/>
    <w:rsid w:val="00B5319D"/>
    <w:rsid w:val="00B53C4C"/>
    <w:rsid w:val="00B53E28"/>
    <w:rsid w:val="00B54141"/>
    <w:rsid w:val="00B54F2E"/>
    <w:rsid w:val="00B62232"/>
    <w:rsid w:val="00B63662"/>
    <w:rsid w:val="00B64671"/>
    <w:rsid w:val="00B66A23"/>
    <w:rsid w:val="00B678FA"/>
    <w:rsid w:val="00B67D88"/>
    <w:rsid w:val="00B73249"/>
    <w:rsid w:val="00B75B97"/>
    <w:rsid w:val="00B7708E"/>
    <w:rsid w:val="00B806C9"/>
    <w:rsid w:val="00B80A54"/>
    <w:rsid w:val="00B8169D"/>
    <w:rsid w:val="00B81D49"/>
    <w:rsid w:val="00B82588"/>
    <w:rsid w:val="00B85E76"/>
    <w:rsid w:val="00B86268"/>
    <w:rsid w:val="00B87407"/>
    <w:rsid w:val="00B879E5"/>
    <w:rsid w:val="00B9055D"/>
    <w:rsid w:val="00B91610"/>
    <w:rsid w:val="00B928CB"/>
    <w:rsid w:val="00B94B51"/>
    <w:rsid w:val="00BA1631"/>
    <w:rsid w:val="00BA261D"/>
    <w:rsid w:val="00BA3474"/>
    <w:rsid w:val="00BA3CE6"/>
    <w:rsid w:val="00BA6323"/>
    <w:rsid w:val="00BA6498"/>
    <w:rsid w:val="00BA6E53"/>
    <w:rsid w:val="00BA6EDB"/>
    <w:rsid w:val="00BB09F6"/>
    <w:rsid w:val="00BB3ADA"/>
    <w:rsid w:val="00BB3E69"/>
    <w:rsid w:val="00BC070C"/>
    <w:rsid w:val="00BC1534"/>
    <w:rsid w:val="00BC1627"/>
    <w:rsid w:val="00BC2147"/>
    <w:rsid w:val="00BC4CCE"/>
    <w:rsid w:val="00BC787D"/>
    <w:rsid w:val="00BC78D1"/>
    <w:rsid w:val="00BC7A1F"/>
    <w:rsid w:val="00BD1370"/>
    <w:rsid w:val="00BD1EB9"/>
    <w:rsid w:val="00BD26ED"/>
    <w:rsid w:val="00BD29BA"/>
    <w:rsid w:val="00BD2BE0"/>
    <w:rsid w:val="00BD3501"/>
    <w:rsid w:val="00BD5290"/>
    <w:rsid w:val="00BE0702"/>
    <w:rsid w:val="00BE1360"/>
    <w:rsid w:val="00BE4097"/>
    <w:rsid w:val="00BE6719"/>
    <w:rsid w:val="00BF0B3F"/>
    <w:rsid w:val="00BF15DE"/>
    <w:rsid w:val="00BF2402"/>
    <w:rsid w:val="00BF2FAB"/>
    <w:rsid w:val="00BF4B9B"/>
    <w:rsid w:val="00BF6ACA"/>
    <w:rsid w:val="00BF77BE"/>
    <w:rsid w:val="00C03723"/>
    <w:rsid w:val="00C05737"/>
    <w:rsid w:val="00C11663"/>
    <w:rsid w:val="00C1184E"/>
    <w:rsid w:val="00C140A9"/>
    <w:rsid w:val="00C170C5"/>
    <w:rsid w:val="00C20D24"/>
    <w:rsid w:val="00C23DBE"/>
    <w:rsid w:val="00C24E86"/>
    <w:rsid w:val="00C27D55"/>
    <w:rsid w:val="00C300BF"/>
    <w:rsid w:val="00C30CB1"/>
    <w:rsid w:val="00C31710"/>
    <w:rsid w:val="00C31A22"/>
    <w:rsid w:val="00C33775"/>
    <w:rsid w:val="00C350FC"/>
    <w:rsid w:val="00C36EB7"/>
    <w:rsid w:val="00C37681"/>
    <w:rsid w:val="00C40676"/>
    <w:rsid w:val="00C41486"/>
    <w:rsid w:val="00C416C0"/>
    <w:rsid w:val="00C4453A"/>
    <w:rsid w:val="00C45358"/>
    <w:rsid w:val="00C472F0"/>
    <w:rsid w:val="00C47B29"/>
    <w:rsid w:val="00C52788"/>
    <w:rsid w:val="00C52854"/>
    <w:rsid w:val="00C576DC"/>
    <w:rsid w:val="00C605D3"/>
    <w:rsid w:val="00C61142"/>
    <w:rsid w:val="00C61792"/>
    <w:rsid w:val="00C65358"/>
    <w:rsid w:val="00C66AD7"/>
    <w:rsid w:val="00C71455"/>
    <w:rsid w:val="00C71FE3"/>
    <w:rsid w:val="00C72802"/>
    <w:rsid w:val="00C74193"/>
    <w:rsid w:val="00C74ACF"/>
    <w:rsid w:val="00C7711F"/>
    <w:rsid w:val="00C7750E"/>
    <w:rsid w:val="00C77980"/>
    <w:rsid w:val="00C80DAC"/>
    <w:rsid w:val="00C82268"/>
    <w:rsid w:val="00C82C0D"/>
    <w:rsid w:val="00C874F2"/>
    <w:rsid w:val="00C904DD"/>
    <w:rsid w:val="00C91B55"/>
    <w:rsid w:val="00C91BC8"/>
    <w:rsid w:val="00CA49CE"/>
    <w:rsid w:val="00CA558F"/>
    <w:rsid w:val="00CA6350"/>
    <w:rsid w:val="00CA7995"/>
    <w:rsid w:val="00CB0D70"/>
    <w:rsid w:val="00CB2F12"/>
    <w:rsid w:val="00CB3CDC"/>
    <w:rsid w:val="00CB6796"/>
    <w:rsid w:val="00CB7459"/>
    <w:rsid w:val="00CC0401"/>
    <w:rsid w:val="00CC1DCD"/>
    <w:rsid w:val="00CC1F0A"/>
    <w:rsid w:val="00CC611B"/>
    <w:rsid w:val="00CD00E3"/>
    <w:rsid w:val="00CD36D9"/>
    <w:rsid w:val="00CD3E99"/>
    <w:rsid w:val="00CD4B23"/>
    <w:rsid w:val="00CD68C0"/>
    <w:rsid w:val="00CD6EDF"/>
    <w:rsid w:val="00CE10CD"/>
    <w:rsid w:val="00CE44BA"/>
    <w:rsid w:val="00CE7B46"/>
    <w:rsid w:val="00CF31A2"/>
    <w:rsid w:val="00CF5B46"/>
    <w:rsid w:val="00CF7201"/>
    <w:rsid w:val="00D01051"/>
    <w:rsid w:val="00D046DA"/>
    <w:rsid w:val="00D059E1"/>
    <w:rsid w:val="00D10C3C"/>
    <w:rsid w:val="00D14E39"/>
    <w:rsid w:val="00D2035E"/>
    <w:rsid w:val="00D2254B"/>
    <w:rsid w:val="00D23040"/>
    <w:rsid w:val="00D24A05"/>
    <w:rsid w:val="00D25BF4"/>
    <w:rsid w:val="00D3091B"/>
    <w:rsid w:val="00D32766"/>
    <w:rsid w:val="00D34DE3"/>
    <w:rsid w:val="00D36A80"/>
    <w:rsid w:val="00D41267"/>
    <w:rsid w:val="00D44DA2"/>
    <w:rsid w:val="00D46536"/>
    <w:rsid w:val="00D46EE2"/>
    <w:rsid w:val="00D51D92"/>
    <w:rsid w:val="00D60F30"/>
    <w:rsid w:val="00D6116D"/>
    <w:rsid w:val="00D61AAC"/>
    <w:rsid w:val="00D61B13"/>
    <w:rsid w:val="00D627C3"/>
    <w:rsid w:val="00D62E42"/>
    <w:rsid w:val="00D64B4C"/>
    <w:rsid w:val="00D660BB"/>
    <w:rsid w:val="00D70FDA"/>
    <w:rsid w:val="00D72039"/>
    <w:rsid w:val="00D72367"/>
    <w:rsid w:val="00D73436"/>
    <w:rsid w:val="00D73913"/>
    <w:rsid w:val="00D770FE"/>
    <w:rsid w:val="00D77303"/>
    <w:rsid w:val="00D87F02"/>
    <w:rsid w:val="00D90E82"/>
    <w:rsid w:val="00D93B48"/>
    <w:rsid w:val="00D95776"/>
    <w:rsid w:val="00D9593C"/>
    <w:rsid w:val="00DA5393"/>
    <w:rsid w:val="00DA5E77"/>
    <w:rsid w:val="00DA6FE2"/>
    <w:rsid w:val="00DC1D01"/>
    <w:rsid w:val="00DC6DC8"/>
    <w:rsid w:val="00DD1373"/>
    <w:rsid w:val="00DD5B44"/>
    <w:rsid w:val="00DD60CC"/>
    <w:rsid w:val="00DE171E"/>
    <w:rsid w:val="00DE5E12"/>
    <w:rsid w:val="00DE7A33"/>
    <w:rsid w:val="00DF0087"/>
    <w:rsid w:val="00DF2000"/>
    <w:rsid w:val="00DF6464"/>
    <w:rsid w:val="00DF7C71"/>
    <w:rsid w:val="00E01164"/>
    <w:rsid w:val="00E02B46"/>
    <w:rsid w:val="00E06EDB"/>
    <w:rsid w:val="00E07061"/>
    <w:rsid w:val="00E1045A"/>
    <w:rsid w:val="00E108F6"/>
    <w:rsid w:val="00E138AC"/>
    <w:rsid w:val="00E13997"/>
    <w:rsid w:val="00E15A71"/>
    <w:rsid w:val="00E16AF9"/>
    <w:rsid w:val="00E17CEF"/>
    <w:rsid w:val="00E23042"/>
    <w:rsid w:val="00E244A4"/>
    <w:rsid w:val="00E258FD"/>
    <w:rsid w:val="00E3201D"/>
    <w:rsid w:val="00E34700"/>
    <w:rsid w:val="00E35A5D"/>
    <w:rsid w:val="00E36215"/>
    <w:rsid w:val="00E41C34"/>
    <w:rsid w:val="00E41E69"/>
    <w:rsid w:val="00E42070"/>
    <w:rsid w:val="00E429B7"/>
    <w:rsid w:val="00E43080"/>
    <w:rsid w:val="00E47986"/>
    <w:rsid w:val="00E537EC"/>
    <w:rsid w:val="00E56B66"/>
    <w:rsid w:val="00E56C7C"/>
    <w:rsid w:val="00E63867"/>
    <w:rsid w:val="00E64FFE"/>
    <w:rsid w:val="00E67390"/>
    <w:rsid w:val="00E7208A"/>
    <w:rsid w:val="00E7246F"/>
    <w:rsid w:val="00E72B02"/>
    <w:rsid w:val="00E75194"/>
    <w:rsid w:val="00E764BA"/>
    <w:rsid w:val="00E77103"/>
    <w:rsid w:val="00E806B2"/>
    <w:rsid w:val="00E83D7F"/>
    <w:rsid w:val="00E841B7"/>
    <w:rsid w:val="00E84352"/>
    <w:rsid w:val="00E87F76"/>
    <w:rsid w:val="00E95A2E"/>
    <w:rsid w:val="00E96145"/>
    <w:rsid w:val="00E9647F"/>
    <w:rsid w:val="00E97C03"/>
    <w:rsid w:val="00EA0E7E"/>
    <w:rsid w:val="00EA1A6F"/>
    <w:rsid w:val="00EA21A2"/>
    <w:rsid w:val="00EA4502"/>
    <w:rsid w:val="00EA76AD"/>
    <w:rsid w:val="00EA7B49"/>
    <w:rsid w:val="00EA7FDC"/>
    <w:rsid w:val="00EB0BCC"/>
    <w:rsid w:val="00EB16A9"/>
    <w:rsid w:val="00EB1E79"/>
    <w:rsid w:val="00EB2D21"/>
    <w:rsid w:val="00EB3E6D"/>
    <w:rsid w:val="00EB3FD2"/>
    <w:rsid w:val="00EB5AC7"/>
    <w:rsid w:val="00EB7BA5"/>
    <w:rsid w:val="00EC1CCD"/>
    <w:rsid w:val="00EC53B6"/>
    <w:rsid w:val="00EC5A3E"/>
    <w:rsid w:val="00ED01D9"/>
    <w:rsid w:val="00ED33F2"/>
    <w:rsid w:val="00ED5E99"/>
    <w:rsid w:val="00ED78F2"/>
    <w:rsid w:val="00EE0423"/>
    <w:rsid w:val="00EE1CBC"/>
    <w:rsid w:val="00EE2E60"/>
    <w:rsid w:val="00EE592F"/>
    <w:rsid w:val="00EE5A12"/>
    <w:rsid w:val="00EE6778"/>
    <w:rsid w:val="00EF09FA"/>
    <w:rsid w:val="00EF0F7D"/>
    <w:rsid w:val="00EF1D62"/>
    <w:rsid w:val="00EF271E"/>
    <w:rsid w:val="00EF2900"/>
    <w:rsid w:val="00EF43E4"/>
    <w:rsid w:val="00F06546"/>
    <w:rsid w:val="00F06F5B"/>
    <w:rsid w:val="00F1248B"/>
    <w:rsid w:val="00F14371"/>
    <w:rsid w:val="00F17707"/>
    <w:rsid w:val="00F23EFC"/>
    <w:rsid w:val="00F311F5"/>
    <w:rsid w:val="00F32C2D"/>
    <w:rsid w:val="00F33FC9"/>
    <w:rsid w:val="00F35A3B"/>
    <w:rsid w:val="00F35A58"/>
    <w:rsid w:val="00F369DE"/>
    <w:rsid w:val="00F427A8"/>
    <w:rsid w:val="00F440B1"/>
    <w:rsid w:val="00F50136"/>
    <w:rsid w:val="00F524B9"/>
    <w:rsid w:val="00F5329B"/>
    <w:rsid w:val="00F53E7D"/>
    <w:rsid w:val="00F566F1"/>
    <w:rsid w:val="00F61C94"/>
    <w:rsid w:val="00F64C80"/>
    <w:rsid w:val="00F677EA"/>
    <w:rsid w:val="00F67BC0"/>
    <w:rsid w:val="00F71F66"/>
    <w:rsid w:val="00F7382D"/>
    <w:rsid w:val="00F75630"/>
    <w:rsid w:val="00F80844"/>
    <w:rsid w:val="00F80D5C"/>
    <w:rsid w:val="00F81D3B"/>
    <w:rsid w:val="00F83C56"/>
    <w:rsid w:val="00F83CA9"/>
    <w:rsid w:val="00F84DE4"/>
    <w:rsid w:val="00F874E8"/>
    <w:rsid w:val="00F94CAD"/>
    <w:rsid w:val="00F97A2A"/>
    <w:rsid w:val="00FA5904"/>
    <w:rsid w:val="00FA63B7"/>
    <w:rsid w:val="00FA6CEA"/>
    <w:rsid w:val="00FA7208"/>
    <w:rsid w:val="00FA76CC"/>
    <w:rsid w:val="00FB1580"/>
    <w:rsid w:val="00FB1732"/>
    <w:rsid w:val="00FB4C5A"/>
    <w:rsid w:val="00FB6521"/>
    <w:rsid w:val="00FC12D5"/>
    <w:rsid w:val="00FC24B9"/>
    <w:rsid w:val="00FC2E16"/>
    <w:rsid w:val="00FC377C"/>
    <w:rsid w:val="00FC5708"/>
    <w:rsid w:val="00FD0BDC"/>
    <w:rsid w:val="00FD1657"/>
    <w:rsid w:val="00FD30DD"/>
    <w:rsid w:val="00FD63FE"/>
    <w:rsid w:val="00FE01EC"/>
    <w:rsid w:val="00FE13DD"/>
    <w:rsid w:val="00FE228E"/>
    <w:rsid w:val="00FE2A72"/>
    <w:rsid w:val="00FE2EA1"/>
    <w:rsid w:val="00FE3597"/>
    <w:rsid w:val="00FE476B"/>
    <w:rsid w:val="00FE4A7C"/>
    <w:rsid w:val="00FE4E2B"/>
    <w:rsid w:val="00FE65BC"/>
    <w:rsid w:val="00FF1B9F"/>
    <w:rsid w:val="00FF272A"/>
    <w:rsid w:val="00FF550D"/>
    <w:rsid w:val="00FF7FAF"/>
    <w:rsid w:val="01121D66"/>
    <w:rsid w:val="01277613"/>
    <w:rsid w:val="01740C17"/>
    <w:rsid w:val="0175745B"/>
    <w:rsid w:val="01AA7DB2"/>
    <w:rsid w:val="01B51B63"/>
    <w:rsid w:val="01C045EF"/>
    <w:rsid w:val="01D6458C"/>
    <w:rsid w:val="01E2095D"/>
    <w:rsid w:val="021D5EFE"/>
    <w:rsid w:val="024C2E46"/>
    <w:rsid w:val="02B06CC5"/>
    <w:rsid w:val="02B13F8C"/>
    <w:rsid w:val="02B7288E"/>
    <w:rsid w:val="02B84A9A"/>
    <w:rsid w:val="02C42B62"/>
    <w:rsid w:val="02DF4F8D"/>
    <w:rsid w:val="02E52181"/>
    <w:rsid w:val="03013824"/>
    <w:rsid w:val="033C1019"/>
    <w:rsid w:val="034C491A"/>
    <w:rsid w:val="035C1DC2"/>
    <w:rsid w:val="03967093"/>
    <w:rsid w:val="03B91787"/>
    <w:rsid w:val="03B93726"/>
    <w:rsid w:val="03C50E3C"/>
    <w:rsid w:val="03D05661"/>
    <w:rsid w:val="03D97123"/>
    <w:rsid w:val="0447069E"/>
    <w:rsid w:val="04910DB0"/>
    <w:rsid w:val="04992CCD"/>
    <w:rsid w:val="04AF6B89"/>
    <w:rsid w:val="04B672DD"/>
    <w:rsid w:val="04CD61FB"/>
    <w:rsid w:val="04DD2CCE"/>
    <w:rsid w:val="04DD3CD5"/>
    <w:rsid w:val="050413AA"/>
    <w:rsid w:val="058314FA"/>
    <w:rsid w:val="05946ED3"/>
    <w:rsid w:val="05BA7BB5"/>
    <w:rsid w:val="05D74F5A"/>
    <w:rsid w:val="05F84B30"/>
    <w:rsid w:val="06286916"/>
    <w:rsid w:val="068830B4"/>
    <w:rsid w:val="06AB0752"/>
    <w:rsid w:val="06D41AE0"/>
    <w:rsid w:val="07257B48"/>
    <w:rsid w:val="07277542"/>
    <w:rsid w:val="07392551"/>
    <w:rsid w:val="074645ED"/>
    <w:rsid w:val="075262C1"/>
    <w:rsid w:val="07743201"/>
    <w:rsid w:val="077961C6"/>
    <w:rsid w:val="078E6639"/>
    <w:rsid w:val="07A538D1"/>
    <w:rsid w:val="07B46AE0"/>
    <w:rsid w:val="07C050B4"/>
    <w:rsid w:val="07C8222E"/>
    <w:rsid w:val="07E87680"/>
    <w:rsid w:val="07F1412C"/>
    <w:rsid w:val="07FE473A"/>
    <w:rsid w:val="08265488"/>
    <w:rsid w:val="08337C85"/>
    <w:rsid w:val="085F586E"/>
    <w:rsid w:val="08886C4D"/>
    <w:rsid w:val="08C854C2"/>
    <w:rsid w:val="08CA5031"/>
    <w:rsid w:val="0934327F"/>
    <w:rsid w:val="09382EF1"/>
    <w:rsid w:val="094D64A6"/>
    <w:rsid w:val="09786A3F"/>
    <w:rsid w:val="099D2522"/>
    <w:rsid w:val="09A35FE2"/>
    <w:rsid w:val="09AF5A92"/>
    <w:rsid w:val="09CF5FA6"/>
    <w:rsid w:val="09D87B2A"/>
    <w:rsid w:val="09E574FA"/>
    <w:rsid w:val="09F93096"/>
    <w:rsid w:val="0A1918FA"/>
    <w:rsid w:val="0A5B2AD2"/>
    <w:rsid w:val="0A6D62E8"/>
    <w:rsid w:val="0A907601"/>
    <w:rsid w:val="0A9D7C1C"/>
    <w:rsid w:val="0AB5339C"/>
    <w:rsid w:val="0AB84417"/>
    <w:rsid w:val="0AC419A1"/>
    <w:rsid w:val="0AC85BBA"/>
    <w:rsid w:val="0AEB73DB"/>
    <w:rsid w:val="0AF311C3"/>
    <w:rsid w:val="0AFB47A7"/>
    <w:rsid w:val="0AFF4C34"/>
    <w:rsid w:val="0B0C26BA"/>
    <w:rsid w:val="0B2C4B75"/>
    <w:rsid w:val="0B2E1BFB"/>
    <w:rsid w:val="0B30453F"/>
    <w:rsid w:val="0B320E12"/>
    <w:rsid w:val="0B335231"/>
    <w:rsid w:val="0B41762C"/>
    <w:rsid w:val="0B7A250D"/>
    <w:rsid w:val="0BA96BBD"/>
    <w:rsid w:val="0BC167A1"/>
    <w:rsid w:val="0BDA3BA8"/>
    <w:rsid w:val="0C015AD0"/>
    <w:rsid w:val="0C3A2DA0"/>
    <w:rsid w:val="0C3D4000"/>
    <w:rsid w:val="0C403388"/>
    <w:rsid w:val="0C5F6E14"/>
    <w:rsid w:val="0C7A00DF"/>
    <w:rsid w:val="0C862F55"/>
    <w:rsid w:val="0CA85A37"/>
    <w:rsid w:val="0CAF1789"/>
    <w:rsid w:val="0CEB41B4"/>
    <w:rsid w:val="0D2B3062"/>
    <w:rsid w:val="0D2C7EC2"/>
    <w:rsid w:val="0D2F0CCE"/>
    <w:rsid w:val="0D7C3E79"/>
    <w:rsid w:val="0D804246"/>
    <w:rsid w:val="0D8F2B25"/>
    <w:rsid w:val="0DAE0CBC"/>
    <w:rsid w:val="0DE22E49"/>
    <w:rsid w:val="0DE2568A"/>
    <w:rsid w:val="0E053201"/>
    <w:rsid w:val="0E563B14"/>
    <w:rsid w:val="0E5D50CF"/>
    <w:rsid w:val="0E61504D"/>
    <w:rsid w:val="0E762E5F"/>
    <w:rsid w:val="0E951166"/>
    <w:rsid w:val="0E9C3AB5"/>
    <w:rsid w:val="0EE16BAC"/>
    <w:rsid w:val="0EE44280"/>
    <w:rsid w:val="0EF01FBC"/>
    <w:rsid w:val="0F0E3698"/>
    <w:rsid w:val="0F684062"/>
    <w:rsid w:val="0F936226"/>
    <w:rsid w:val="0F9F722F"/>
    <w:rsid w:val="0FBE41D3"/>
    <w:rsid w:val="0FEB7632"/>
    <w:rsid w:val="0FEC5F5A"/>
    <w:rsid w:val="0FFD00EF"/>
    <w:rsid w:val="101A3530"/>
    <w:rsid w:val="10237919"/>
    <w:rsid w:val="1069496C"/>
    <w:rsid w:val="10705040"/>
    <w:rsid w:val="10874000"/>
    <w:rsid w:val="109E3656"/>
    <w:rsid w:val="10C44FA5"/>
    <w:rsid w:val="10CF72E7"/>
    <w:rsid w:val="10E1067F"/>
    <w:rsid w:val="10F601B5"/>
    <w:rsid w:val="10FD3522"/>
    <w:rsid w:val="11060478"/>
    <w:rsid w:val="11547FB0"/>
    <w:rsid w:val="11643A78"/>
    <w:rsid w:val="117453F4"/>
    <w:rsid w:val="1179623B"/>
    <w:rsid w:val="11BC1BA1"/>
    <w:rsid w:val="11C512B8"/>
    <w:rsid w:val="1204448D"/>
    <w:rsid w:val="120A5B05"/>
    <w:rsid w:val="1233384F"/>
    <w:rsid w:val="12363A8C"/>
    <w:rsid w:val="12367F25"/>
    <w:rsid w:val="1259354B"/>
    <w:rsid w:val="12E70F9E"/>
    <w:rsid w:val="12E8509C"/>
    <w:rsid w:val="130D737F"/>
    <w:rsid w:val="131F5B3B"/>
    <w:rsid w:val="1335696F"/>
    <w:rsid w:val="13636839"/>
    <w:rsid w:val="136E6DFB"/>
    <w:rsid w:val="137A4415"/>
    <w:rsid w:val="139457FE"/>
    <w:rsid w:val="13A73E82"/>
    <w:rsid w:val="13B900DF"/>
    <w:rsid w:val="13C7236E"/>
    <w:rsid w:val="13CC3064"/>
    <w:rsid w:val="13D33ABA"/>
    <w:rsid w:val="14197498"/>
    <w:rsid w:val="14504752"/>
    <w:rsid w:val="146C20EE"/>
    <w:rsid w:val="148D152C"/>
    <w:rsid w:val="14AD3FDB"/>
    <w:rsid w:val="14B86983"/>
    <w:rsid w:val="14CA1691"/>
    <w:rsid w:val="14EA1914"/>
    <w:rsid w:val="151269E8"/>
    <w:rsid w:val="151766BD"/>
    <w:rsid w:val="15266946"/>
    <w:rsid w:val="153E0A4F"/>
    <w:rsid w:val="1540358A"/>
    <w:rsid w:val="15425452"/>
    <w:rsid w:val="157757A3"/>
    <w:rsid w:val="15792DFB"/>
    <w:rsid w:val="158255C4"/>
    <w:rsid w:val="1587296F"/>
    <w:rsid w:val="15A769B2"/>
    <w:rsid w:val="15BD03CA"/>
    <w:rsid w:val="15C1207D"/>
    <w:rsid w:val="15D838F6"/>
    <w:rsid w:val="15E6363C"/>
    <w:rsid w:val="15F34710"/>
    <w:rsid w:val="15FC3BD4"/>
    <w:rsid w:val="15FD4466"/>
    <w:rsid w:val="161A5018"/>
    <w:rsid w:val="16283D65"/>
    <w:rsid w:val="1652042A"/>
    <w:rsid w:val="168455F5"/>
    <w:rsid w:val="16AA4EC8"/>
    <w:rsid w:val="16C723C0"/>
    <w:rsid w:val="16D04CA1"/>
    <w:rsid w:val="16DB2198"/>
    <w:rsid w:val="16E30696"/>
    <w:rsid w:val="17020B66"/>
    <w:rsid w:val="1715594A"/>
    <w:rsid w:val="177760FF"/>
    <w:rsid w:val="179D1A5D"/>
    <w:rsid w:val="179F2630"/>
    <w:rsid w:val="17A62660"/>
    <w:rsid w:val="17AE2FFB"/>
    <w:rsid w:val="17D5522C"/>
    <w:rsid w:val="17D90222"/>
    <w:rsid w:val="186675CD"/>
    <w:rsid w:val="1868168C"/>
    <w:rsid w:val="187D6E7E"/>
    <w:rsid w:val="187F7C70"/>
    <w:rsid w:val="18E04C20"/>
    <w:rsid w:val="18E20B40"/>
    <w:rsid w:val="18EA7B7C"/>
    <w:rsid w:val="19036BB6"/>
    <w:rsid w:val="190A25F2"/>
    <w:rsid w:val="19263CD4"/>
    <w:rsid w:val="193B4A53"/>
    <w:rsid w:val="19657228"/>
    <w:rsid w:val="196B51B4"/>
    <w:rsid w:val="197E7BD6"/>
    <w:rsid w:val="199E5348"/>
    <w:rsid w:val="19B9198B"/>
    <w:rsid w:val="19D439CD"/>
    <w:rsid w:val="1A15037A"/>
    <w:rsid w:val="1A2C72A2"/>
    <w:rsid w:val="1A4C5B66"/>
    <w:rsid w:val="1A792118"/>
    <w:rsid w:val="1A8E422C"/>
    <w:rsid w:val="1AA31D15"/>
    <w:rsid w:val="1AB35F40"/>
    <w:rsid w:val="1AC0012B"/>
    <w:rsid w:val="1AF14584"/>
    <w:rsid w:val="1B085F2B"/>
    <w:rsid w:val="1B0F3409"/>
    <w:rsid w:val="1B83264D"/>
    <w:rsid w:val="1B943177"/>
    <w:rsid w:val="1BC221F4"/>
    <w:rsid w:val="1BCE33A3"/>
    <w:rsid w:val="1BD1227F"/>
    <w:rsid w:val="1BE955B9"/>
    <w:rsid w:val="1BFE3890"/>
    <w:rsid w:val="1C242396"/>
    <w:rsid w:val="1C7C356E"/>
    <w:rsid w:val="1C7D730B"/>
    <w:rsid w:val="1C924076"/>
    <w:rsid w:val="1CB57A9B"/>
    <w:rsid w:val="1CC00C9A"/>
    <w:rsid w:val="1CDC1085"/>
    <w:rsid w:val="1D1F1897"/>
    <w:rsid w:val="1D2F3F57"/>
    <w:rsid w:val="1D527BD8"/>
    <w:rsid w:val="1D594C7E"/>
    <w:rsid w:val="1D8E4656"/>
    <w:rsid w:val="1D984ECE"/>
    <w:rsid w:val="1DCE2042"/>
    <w:rsid w:val="1DE31918"/>
    <w:rsid w:val="1DF126BD"/>
    <w:rsid w:val="1DF46EF1"/>
    <w:rsid w:val="1DF554A1"/>
    <w:rsid w:val="1E0111C4"/>
    <w:rsid w:val="1E36453A"/>
    <w:rsid w:val="1E731576"/>
    <w:rsid w:val="1E747864"/>
    <w:rsid w:val="1E7A51A3"/>
    <w:rsid w:val="1EB47C64"/>
    <w:rsid w:val="1ECC023A"/>
    <w:rsid w:val="1F483197"/>
    <w:rsid w:val="1F521BCA"/>
    <w:rsid w:val="1F6117A5"/>
    <w:rsid w:val="1F9313E5"/>
    <w:rsid w:val="1F9847B3"/>
    <w:rsid w:val="1FA61CD6"/>
    <w:rsid w:val="1FDA25B6"/>
    <w:rsid w:val="1FEC768E"/>
    <w:rsid w:val="204F2DCA"/>
    <w:rsid w:val="20906D8D"/>
    <w:rsid w:val="20A52BEB"/>
    <w:rsid w:val="20AE3D3C"/>
    <w:rsid w:val="20D4313E"/>
    <w:rsid w:val="20EA7221"/>
    <w:rsid w:val="20F30476"/>
    <w:rsid w:val="21C74E54"/>
    <w:rsid w:val="225D1690"/>
    <w:rsid w:val="22687DFE"/>
    <w:rsid w:val="22805E33"/>
    <w:rsid w:val="2281445F"/>
    <w:rsid w:val="228C4EB1"/>
    <w:rsid w:val="2296228E"/>
    <w:rsid w:val="229871FA"/>
    <w:rsid w:val="22C22B23"/>
    <w:rsid w:val="22ED4407"/>
    <w:rsid w:val="232E459D"/>
    <w:rsid w:val="23343065"/>
    <w:rsid w:val="23834996"/>
    <w:rsid w:val="238D04D5"/>
    <w:rsid w:val="23941115"/>
    <w:rsid w:val="23B2416F"/>
    <w:rsid w:val="23B3551E"/>
    <w:rsid w:val="23CF55B4"/>
    <w:rsid w:val="23DD1CA3"/>
    <w:rsid w:val="24204A33"/>
    <w:rsid w:val="2457016A"/>
    <w:rsid w:val="24675E50"/>
    <w:rsid w:val="246811B2"/>
    <w:rsid w:val="246D34B1"/>
    <w:rsid w:val="248B76DF"/>
    <w:rsid w:val="24A34BEB"/>
    <w:rsid w:val="24D72380"/>
    <w:rsid w:val="24DF3B49"/>
    <w:rsid w:val="250950BA"/>
    <w:rsid w:val="251A5E85"/>
    <w:rsid w:val="252642A9"/>
    <w:rsid w:val="25314340"/>
    <w:rsid w:val="254950EA"/>
    <w:rsid w:val="255B154F"/>
    <w:rsid w:val="25664512"/>
    <w:rsid w:val="2568692E"/>
    <w:rsid w:val="256C0BF5"/>
    <w:rsid w:val="25A55AF9"/>
    <w:rsid w:val="25AE27E0"/>
    <w:rsid w:val="26141908"/>
    <w:rsid w:val="26184CB3"/>
    <w:rsid w:val="261D4C81"/>
    <w:rsid w:val="262A528C"/>
    <w:rsid w:val="2633752A"/>
    <w:rsid w:val="266876DA"/>
    <w:rsid w:val="267A0B3D"/>
    <w:rsid w:val="267B7212"/>
    <w:rsid w:val="26994BFF"/>
    <w:rsid w:val="269D5D0E"/>
    <w:rsid w:val="26A52E56"/>
    <w:rsid w:val="26B45A3B"/>
    <w:rsid w:val="26BC0E0A"/>
    <w:rsid w:val="26F26BDB"/>
    <w:rsid w:val="27024D41"/>
    <w:rsid w:val="27121EDD"/>
    <w:rsid w:val="27170959"/>
    <w:rsid w:val="27183B2D"/>
    <w:rsid w:val="2738782E"/>
    <w:rsid w:val="27822732"/>
    <w:rsid w:val="27B0525D"/>
    <w:rsid w:val="27B25F91"/>
    <w:rsid w:val="27DC7D2E"/>
    <w:rsid w:val="27EB00FA"/>
    <w:rsid w:val="27F725A9"/>
    <w:rsid w:val="27FB40DE"/>
    <w:rsid w:val="280B765E"/>
    <w:rsid w:val="280D61FF"/>
    <w:rsid w:val="28125E42"/>
    <w:rsid w:val="282B1F7D"/>
    <w:rsid w:val="289C671F"/>
    <w:rsid w:val="28A02420"/>
    <w:rsid w:val="28B87205"/>
    <w:rsid w:val="28C246DD"/>
    <w:rsid w:val="28CD1AAE"/>
    <w:rsid w:val="28E3747E"/>
    <w:rsid w:val="29395D15"/>
    <w:rsid w:val="29784198"/>
    <w:rsid w:val="298661C9"/>
    <w:rsid w:val="29B430F5"/>
    <w:rsid w:val="29BE19E5"/>
    <w:rsid w:val="2A1F1E01"/>
    <w:rsid w:val="2A384F91"/>
    <w:rsid w:val="2A3C24FB"/>
    <w:rsid w:val="2A4A1A0C"/>
    <w:rsid w:val="2A9F1CAA"/>
    <w:rsid w:val="2ACB1591"/>
    <w:rsid w:val="2AE46C5E"/>
    <w:rsid w:val="2B3A7668"/>
    <w:rsid w:val="2B40148D"/>
    <w:rsid w:val="2B5911D8"/>
    <w:rsid w:val="2B622ED2"/>
    <w:rsid w:val="2B62393B"/>
    <w:rsid w:val="2B992AD9"/>
    <w:rsid w:val="2BE436DB"/>
    <w:rsid w:val="2C187B3C"/>
    <w:rsid w:val="2C232C8F"/>
    <w:rsid w:val="2C273FEA"/>
    <w:rsid w:val="2C5752F5"/>
    <w:rsid w:val="2C660D32"/>
    <w:rsid w:val="2C692294"/>
    <w:rsid w:val="2C781E88"/>
    <w:rsid w:val="2C86177B"/>
    <w:rsid w:val="2C883FB9"/>
    <w:rsid w:val="2CA15E9B"/>
    <w:rsid w:val="2CA40ACB"/>
    <w:rsid w:val="2CB07E94"/>
    <w:rsid w:val="2CBA752B"/>
    <w:rsid w:val="2CF31806"/>
    <w:rsid w:val="2D041C95"/>
    <w:rsid w:val="2D0D2D04"/>
    <w:rsid w:val="2D1527F8"/>
    <w:rsid w:val="2D2361D6"/>
    <w:rsid w:val="2D304410"/>
    <w:rsid w:val="2D385638"/>
    <w:rsid w:val="2D5D1D40"/>
    <w:rsid w:val="2D7F09C1"/>
    <w:rsid w:val="2DB167C2"/>
    <w:rsid w:val="2DF67CC1"/>
    <w:rsid w:val="2DF9173F"/>
    <w:rsid w:val="2E0C4281"/>
    <w:rsid w:val="2E586321"/>
    <w:rsid w:val="2E6822BC"/>
    <w:rsid w:val="2EA96AE1"/>
    <w:rsid w:val="2ECA54E9"/>
    <w:rsid w:val="2ECC5315"/>
    <w:rsid w:val="2F125046"/>
    <w:rsid w:val="2FA047B9"/>
    <w:rsid w:val="2FA12F4E"/>
    <w:rsid w:val="2FB231B6"/>
    <w:rsid w:val="3002666E"/>
    <w:rsid w:val="300859EE"/>
    <w:rsid w:val="304E25A1"/>
    <w:rsid w:val="3058586A"/>
    <w:rsid w:val="30776D2D"/>
    <w:rsid w:val="307964E1"/>
    <w:rsid w:val="30896827"/>
    <w:rsid w:val="30A807BF"/>
    <w:rsid w:val="30A87FEA"/>
    <w:rsid w:val="30AC0511"/>
    <w:rsid w:val="30B951FD"/>
    <w:rsid w:val="30BD4C48"/>
    <w:rsid w:val="31074084"/>
    <w:rsid w:val="31342339"/>
    <w:rsid w:val="31371952"/>
    <w:rsid w:val="31525D0D"/>
    <w:rsid w:val="31627A8E"/>
    <w:rsid w:val="31960EE2"/>
    <w:rsid w:val="31A11966"/>
    <w:rsid w:val="31B42A09"/>
    <w:rsid w:val="31BE6FCE"/>
    <w:rsid w:val="31F65BD4"/>
    <w:rsid w:val="321B438E"/>
    <w:rsid w:val="324622B6"/>
    <w:rsid w:val="32557B6A"/>
    <w:rsid w:val="3257591E"/>
    <w:rsid w:val="32A471B5"/>
    <w:rsid w:val="32B61A27"/>
    <w:rsid w:val="32EB3CFC"/>
    <w:rsid w:val="32EE4077"/>
    <w:rsid w:val="33024BC4"/>
    <w:rsid w:val="330B6E49"/>
    <w:rsid w:val="33127620"/>
    <w:rsid w:val="33497C8B"/>
    <w:rsid w:val="337F2A6B"/>
    <w:rsid w:val="33A264FC"/>
    <w:rsid w:val="33B91E54"/>
    <w:rsid w:val="33CC343C"/>
    <w:rsid w:val="33EB7B08"/>
    <w:rsid w:val="33F0562E"/>
    <w:rsid w:val="33F10B50"/>
    <w:rsid w:val="33F24DCA"/>
    <w:rsid w:val="33F2711E"/>
    <w:rsid w:val="340C310A"/>
    <w:rsid w:val="342D45B5"/>
    <w:rsid w:val="34420DC7"/>
    <w:rsid w:val="345535B9"/>
    <w:rsid w:val="3456501B"/>
    <w:rsid w:val="345D7529"/>
    <w:rsid w:val="349F1074"/>
    <w:rsid w:val="34A61A3F"/>
    <w:rsid w:val="34AA4BC6"/>
    <w:rsid w:val="35271604"/>
    <w:rsid w:val="35272171"/>
    <w:rsid w:val="35724C88"/>
    <w:rsid w:val="35847D17"/>
    <w:rsid w:val="35A95EB8"/>
    <w:rsid w:val="35B5240B"/>
    <w:rsid w:val="35B767CC"/>
    <w:rsid w:val="35B87F9A"/>
    <w:rsid w:val="35FE60FD"/>
    <w:rsid w:val="360C751B"/>
    <w:rsid w:val="3613729B"/>
    <w:rsid w:val="36175668"/>
    <w:rsid w:val="36206570"/>
    <w:rsid w:val="365877FB"/>
    <w:rsid w:val="36694170"/>
    <w:rsid w:val="366F02F6"/>
    <w:rsid w:val="367C4ADB"/>
    <w:rsid w:val="367F579B"/>
    <w:rsid w:val="368B50BF"/>
    <w:rsid w:val="36A56C28"/>
    <w:rsid w:val="36B359C3"/>
    <w:rsid w:val="36C62EF4"/>
    <w:rsid w:val="37317FBD"/>
    <w:rsid w:val="374109FB"/>
    <w:rsid w:val="375312E0"/>
    <w:rsid w:val="376C463B"/>
    <w:rsid w:val="376D5CC9"/>
    <w:rsid w:val="37771346"/>
    <w:rsid w:val="37990053"/>
    <w:rsid w:val="379F30EC"/>
    <w:rsid w:val="37A2530C"/>
    <w:rsid w:val="37F62967"/>
    <w:rsid w:val="37FE1626"/>
    <w:rsid w:val="380B4369"/>
    <w:rsid w:val="38706695"/>
    <w:rsid w:val="38805E0B"/>
    <w:rsid w:val="38AA2CC7"/>
    <w:rsid w:val="38BB33B7"/>
    <w:rsid w:val="38D668B4"/>
    <w:rsid w:val="38DF2176"/>
    <w:rsid w:val="38E321EA"/>
    <w:rsid w:val="38F82B3F"/>
    <w:rsid w:val="39454E7F"/>
    <w:rsid w:val="3969571D"/>
    <w:rsid w:val="39793ECB"/>
    <w:rsid w:val="39980EE9"/>
    <w:rsid w:val="399E40B8"/>
    <w:rsid w:val="39D2681B"/>
    <w:rsid w:val="39D91F92"/>
    <w:rsid w:val="39E04555"/>
    <w:rsid w:val="39F840B7"/>
    <w:rsid w:val="3A002846"/>
    <w:rsid w:val="3A063F42"/>
    <w:rsid w:val="3A5B15D7"/>
    <w:rsid w:val="3A5C3EBE"/>
    <w:rsid w:val="3A74486A"/>
    <w:rsid w:val="3A8F1F18"/>
    <w:rsid w:val="3A9D48C9"/>
    <w:rsid w:val="3A9F43F8"/>
    <w:rsid w:val="3AC20598"/>
    <w:rsid w:val="3ADB398E"/>
    <w:rsid w:val="3B0033DD"/>
    <w:rsid w:val="3B03118E"/>
    <w:rsid w:val="3B1C39B2"/>
    <w:rsid w:val="3B1D5FD2"/>
    <w:rsid w:val="3B3F52DA"/>
    <w:rsid w:val="3B5D6A05"/>
    <w:rsid w:val="3B910CCB"/>
    <w:rsid w:val="3B962395"/>
    <w:rsid w:val="3BB14418"/>
    <w:rsid w:val="3BC0694F"/>
    <w:rsid w:val="3BC9489B"/>
    <w:rsid w:val="3BDE363A"/>
    <w:rsid w:val="3BE0175F"/>
    <w:rsid w:val="3BED31CB"/>
    <w:rsid w:val="3BEE43AE"/>
    <w:rsid w:val="3BF96DF6"/>
    <w:rsid w:val="3C405F39"/>
    <w:rsid w:val="3C596209"/>
    <w:rsid w:val="3C666964"/>
    <w:rsid w:val="3C881459"/>
    <w:rsid w:val="3C933D13"/>
    <w:rsid w:val="3CDF6524"/>
    <w:rsid w:val="3CED366C"/>
    <w:rsid w:val="3D007E97"/>
    <w:rsid w:val="3D146D9F"/>
    <w:rsid w:val="3D29739B"/>
    <w:rsid w:val="3D302E02"/>
    <w:rsid w:val="3D424F5F"/>
    <w:rsid w:val="3D64608E"/>
    <w:rsid w:val="3D8E6318"/>
    <w:rsid w:val="3D9B1564"/>
    <w:rsid w:val="3DB60B84"/>
    <w:rsid w:val="3DE95449"/>
    <w:rsid w:val="3DEB7007"/>
    <w:rsid w:val="3E2157D3"/>
    <w:rsid w:val="3E335FBD"/>
    <w:rsid w:val="3E376F74"/>
    <w:rsid w:val="3E4469F6"/>
    <w:rsid w:val="3E4C62F6"/>
    <w:rsid w:val="3E5E6B1B"/>
    <w:rsid w:val="3EAA759D"/>
    <w:rsid w:val="3ED4282F"/>
    <w:rsid w:val="3F06075A"/>
    <w:rsid w:val="3F1027C5"/>
    <w:rsid w:val="3F5800A3"/>
    <w:rsid w:val="3F7271F0"/>
    <w:rsid w:val="3F732D2E"/>
    <w:rsid w:val="3F93160A"/>
    <w:rsid w:val="3F99068F"/>
    <w:rsid w:val="400C7181"/>
    <w:rsid w:val="401225D0"/>
    <w:rsid w:val="401C42BC"/>
    <w:rsid w:val="404F651E"/>
    <w:rsid w:val="407B6C7C"/>
    <w:rsid w:val="407C2035"/>
    <w:rsid w:val="40947206"/>
    <w:rsid w:val="40AB29ED"/>
    <w:rsid w:val="40BA3875"/>
    <w:rsid w:val="40C93058"/>
    <w:rsid w:val="40ED5CD0"/>
    <w:rsid w:val="416F689C"/>
    <w:rsid w:val="418E277D"/>
    <w:rsid w:val="419455B7"/>
    <w:rsid w:val="41946D60"/>
    <w:rsid w:val="41A35487"/>
    <w:rsid w:val="41E07603"/>
    <w:rsid w:val="41FA3EF7"/>
    <w:rsid w:val="41FA5DAB"/>
    <w:rsid w:val="423645FE"/>
    <w:rsid w:val="4246550E"/>
    <w:rsid w:val="42561D32"/>
    <w:rsid w:val="42607F23"/>
    <w:rsid w:val="42634214"/>
    <w:rsid w:val="426D00FA"/>
    <w:rsid w:val="429741B8"/>
    <w:rsid w:val="429B74B0"/>
    <w:rsid w:val="42BA20C1"/>
    <w:rsid w:val="430749E9"/>
    <w:rsid w:val="43615F9F"/>
    <w:rsid w:val="43785307"/>
    <w:rsid w:val="437F45FC"/>
    <w:rsid w:val="43896F7B"/>
    <w:rsid w:val="439C0D29"/>
    <w:rsid w:val="43B37098"/>
    <w:rsid w:val="43BB71D6"/>
    <w:rsid w:val="43C80E1B"/>
    <w:rsid w:val="43D56C4E"/>
    <w:rsid w:val="43D80603"/>
    <w:rsid w:val="43F87B41"/>
    <w:rsid w:val="43FF0D9D"/>
    <w:rsid w:val="440102AC"/>
    <w:rsid w:val="44247625"/>
    <w:rsid w:val="443400CD"/>
    <w:rsid w:val="443F302E"/>
    <w:rsid w:val="444A6691"/>
    <w:rsid w:val="445B6C69"/>
    <w:rsid w:val="4468046F"/>
    <w:rsid w:val="44A93A85"/>
    <w:rsid w:val="44BC07C4"/>
    <w:rsid w:val="44DB351C"/>
    <w:rsid w:val="45240818"/>
    <w:rsid w:val="45277EFD"/>
    <w:rsid w:val="452B50B9"/>
    <w:rsid w:val="45533119"/>
    <w:rsid w:val="45575FC2"/>
    <w:rsid w:val="455B7A78"/>
    <w:rsid w:val="45695774"/>
    <w:rsid w:val="456D32F4"/>
    <w:rsid w:val="459B3BD9"/>
    <w:rsid w:val="459D6FD2"/>
    <w:rsid w:val="45C83FC9"/>
    <w:rsid w:val="45FD66D4"/>
    <w:rsid w:val="460F78FE"/>
    <w:rsid w:val="46412CCC"/>
    <w:rsid w:val="46984E3B"/>
    <w:rsid w:val="46BF54CA"/>
    <w:rsid w:val="46C6723B"/>
    <w:rsid w:val="46DF3C07"/>
    <w:rsid w:val="46ED2F62"/>
    <w:rsid w:val="46EF2029"/>
    <w:rsid w:val="47070305"/>
    <w:rsid w:val="470A0423"/>
    <w:rsid w:val="474358CD"/>
    <w:rsid w:val="47454061"/>
    <w:rsid w:val="47930BC8"/>
    <w:rsid w:val="479C322F"/>
    <w:rsid w:val="47D564E5"/>
    <w:rsid w:val="47D91D8D"/>
    <w:rsid w:val="48060436"/>
    <w:rsid w:val="48385D95"/>
    <w:rsid w:val="487E1A53"/>
    <w:rsid w:val="48857C03"/>
    <w:rsid w:val="48AE3572"/>
    <w:rsid w:val="48B119DA"/>
    <w:rsid w:val="48CA20C4"/>
    <w:rsid w:val="48D763B3"/>
    <w:rsid w:val="48D84354"/>
    <w:rsid w:val="48EC2100"/>
    <w:rsid w:val="48F115B9"/>
    <w:rsid w:val="491276D3"/>
    <w:rsid w:val="496F5EDF"/>
    <w:rsid w:val="497A6158"/>
    <w:rsid w:val="49873DAC"/>
    <w:rsid w:val="49B45118"/>
    <w:rsid w:val="49C771AE"/>
    <w:rsid w:val="49E71EFF"/>
    <w:rsid w:val="4A1E58EE"/>
    <w:rsid w:val="4A2A5512"/>
    <w:rsid w:val="4A400FB2"/>
    <w:rsid w:val="4A8E2226"/>
    <w:rsid w:val="4A91694F"/>
    <w:rsid w:val="4AC401CB"/>
    <w:rsid w:val="4AE3214A"/>
    <w:rsid w:val="4AEA7CC7"/>
    <w:rsid w:val="4AF65B4E"/>
    <w:rsid w:val="4B0729A6"/>
    <w:rsid w:val="4B3D4200"/>
    <w:rsid w:val="4B4035BB"/>
    <w:rsid w:val="4B5648C8"/>
    <w:rsid w:val="4B617B4D"/>
    <w:rsid w:val="4B78363C"/>
    <w:rsid w:val="4BB27D65"/>
    <w:rsid w:val="4BC1057D"/>
    <w:rsid w:val="4BCC33BB"/>
    <w:rsid w:val="4C1742AD"/>
    <w:rsid w:val="4C3B76EF"/>
    <w:rsid w:val="4C57677E"/>
    <w:rsid w:val="4C5B64FE"/>
    <w:rsid w:val="4C862A08"/>
    <w:rsid w:val="4C8D5D99"/>
    <w:rsid w:val="4CE7087F"/>
    <w:rsid w:val="4CE7702E"/>
    <w:rsid w:val="4D0C1258"/>
    <w:rsid w:val="4D186DC8"/>
    <w:rsid w:val="4D2B5230"/>
    <w:rsid w:val="4D5E3736"/>
    <w:rsid w:val="4D6045AF"/>
    <w:rsid w:val="4D8D708C"/>
    <w:rsid w:val="4D926205"/>
    <w:rsid w:val="4DB36189"/>
    <w:rsid w:val="4DBB182D"/>
    <w:rsid w:val="4DC804F0"/>
    <w:rsid w:val="4DC9292F"/>
    <w:rsid w:val="4E054343"/>
    <w:rsid w:val="4E074D95"/>
    <w:rsid w:val="4E2B47CD"/>
    <w:rsid w:val="4E9D699A"/>
    <w:rsid w:val="4EA86068"/>
    <w:rsid w:val="4EA93131"/>
    <w:rsid w:val="4EB86BA1"/>
    <w:rsid w:val="4EE76726"/>
    <w:rsid w:val="4EF2538D"/>
    <w:rsid w:val="4F0A5AA9"/>
    <w:rsid w:val="4F0B5EEF"/>
    <w:rsid w:val="4F327EB3"/>
    <w:rsid w:val="4F413448"/>
    <w:rsid w:val="4F5D0778"/>
    <w:rsid w:val="4F7A69B9"/>
    <w:rsid w:val="4F7C5E20"/>
    <w:rsid w:val="4FA4310C"/>
    <w:rsid w:val="4FCC7E74"/>
    <w:rsid w:val="4FCF7837"/>
    <w:rsid w:val="4FE628A9"/>
    <w:rsid w:val="4FE70536"/>
    <w:rsid w:val="4FEC4FFC"/>
    <w:rsid w:val="4FF9413F"/>
    <w:rsid w:val="50132795"/>
    <w:rsid w:val="501504A2"/>
    <w:rsid w:val="501E3F64"/>
    <w:rsid w:val="504E0E29"/>
    <w:rsid w:val="505670BD"/>
    <w:rsid w:val="50675188"/>
    <w:rsid w:val="50AC7655"/>
    <w:rsid w:val="50C10910"/>
    <w:rsid w:val="50F1639A"/>
    <w:rsid w:val="50F253E3"/>
    <w:rsid w:val="50F72EC1"/>
    <w:rsid w:val="5101402E"/>
    <w:rsid w:val="510920AF"/>
    <w:rsid w:val="51482C8A"/>
    <w:rsid w:val="51694C1F"/>
    <w:rsid w:val="516B4AAC"/>
    <w:rsid w:val="5177534B"/>
    <w:rsid w:val="51850A68"/>
    <w:rsid w:val="51946F61"/>
    <w:rsid w:val="51E247D8"/>
    <w:rsid w:val="51E45A45"/>
    <w:rsid w:val="51FB66EB"/>
    <w:rsid w:val="52324A9C"/>
    <w:rsid w:val="52544083"/>
    <w:rsid w:val="525A2D05"/>
    <w:rsid w:val="52FC4D08"/>
    <w:rsid w:val="53101A03"/>
    <w:rsid w:val="53572549"/>
    <w:rsid w:val="53585C4D"/>
    <w:rsid w:val="53610E3C"/>
    <w:rsid w:val="53D80582"/>
    <w:rsid w:val="53E17455"/>
    <w:rsid w:val="53F51D20"/>
    <w:rsid w:val="53FD052F"/>
    <w:rsid w:val="54521591"/>
    <w:rsid w:val="54542166"/>
    <w:rsid w:val="546F4697"/>
    <w:rsid w:val="5476377D"/>
    <w:rsid w:val="54A06261"/>
    <w:rsid w:val="54A45D2D"/>
    <w:rsid w:val="54B472C5"/>
    <w:rsid w:val="54F5481E"/>
    <w:rsid w:val="552E533D"/>
    <w:rsid w:val="55415F10"/>
    <w:rsid w:val="554F1823"/>
    <w:rsid w:val="55521A94"/>
    <w:rsid w:val="55B90BAE"/>
    <w:rsid w:val="55C31F51"/>
    <w:rsid w:val="55C92A97"/>
    <w:rsid w:val="55E63982"/>
    <w:rsid w:val="55FC0481"/>
    <w:rsid w:val="55FF2D4A"/>
    <w:rsid w:val="560A4C65"/>
    <w:rsid w:val="563E282D"/>
    <w:rsid w:val="564D0D9A"/>
    <w:rsid w:val="566E5582"/>
    <w:rsid w:val="568A5C42"/>
    <w:rsid w:val="56971F88"/>
    <w:rsid w:val="56A2657B"/>
    <w:rsid w:val="56AC5463"/>
    <w:rsid w:val="56EF1C50"/>
    <w:rsid w:val="5700380F"/>
    <w:rsid w:val="570738F0"/>
    <w:rsid w:val="572B4CD4"/>
    <w:rsid w:val="57335AF8"/>
    <w:rsid w:val="574E6437"/>
    <w:rsid w:val="576E6CC5"/>
    <w:rsid w:val="577B62EE"/>
    <w:rsid w:val="57884245"/>
    <w:rsid w:val="578F64F1"/>
    <w:rsid w:val="57943D5F"/>
    <w:rsid w:val="57B138FC"/>
    <w:rsid w:val="57B823F5"/>
    <w:rsid w:val="57B91CEF"/>
    <w:rsid w:val="57BC5305"/>
    <w:rsid w:val="57C32ED2"/>
    <w:rsid w:val="57D8526C"/>
    <w:rsid w:val="57FB5EA8"/>
    <w:rsid w:val="58247F65"/>
    <w:rsid w:val="58273A14"/>
    <w:rsid w:val="582E7A73"/>
    <w:rsid w:val="584D38ED"/>
    <w:rsid w:val="586F50B7"/>
    <w:rsid w:val="5873474B"/>
    <w:rsid w:val="587648FB"/>
    <w:rsid w:val="587A08DB"/>
    <w:rsid w:val="58AF332A"/>
    <w:rsid w:val="58F048F5"/>
    <w:rsid w:val="590B4AAF"/>
    <w:rsid w:val="59116590"/>
    <w:rsid w:val="592014E2"/>
    <w:rsid w:val="592E6BA5"/>
    <w:rsid w:val="59445A05"/>
    <w:rsid w:val="59480479"/>
    <w:rsid w:val="598512F7"/>
    <w:rsid w:val="599A232F"/>
    <w:rsid w:val="59A67BE8"/>
    <w:rsid w:val="59AA0257"/>
    <w:rsid w:val="59CA7B6A"/>
    <w:rsid w:val="59DB256C"/>
    <w:rsid w:val="5A085C40"/>
    <w:rsid w:val="5A1D2AD3"/>
    <w:rsid w:val="5A2744D5"/>
    <w:rsid w:val="5A383DD3"/>
    <w:rsid w:val="5A45352D"/>
    <w:rsid w:val="5A4B6E38"/>
    <w:rsid w:val="5A85457B"/>
    <w:rsid w:val="5A8C52DC"/>
    <w:rsid w:val="5AAA6D99"/>
    <w:rsid w:val="5AAA7076"/>
    <w:rsid w:val="5AF019B5"/>
    <w:rsid w:val="5AF2006B"/>
    <w:rsid w:val="5B0626E5"/>
    <w:rsid w:val="5B4B1891"/>
    <w:rsid w:val="5B8B37C3"/>
    <w:rsid w:val="5BA23EAC"/>
    <w:rsid w:val="5BAF2570"/>
    <w:rsid w:val="5BD41D0B"/>
    <w:rsid w:val="5C2400DA"/>
    <w:rsid w:val="5C253412"/>
    <w:rsid w:val="5C524C20"/>
    <w:rsid w:val="5C582AB4"/>
    <w:rsid w:val="5C8E4A8E"/>
    <w:rsid w:val="5CB23C94"/>
    <w:rsid w:val="5CBD1EFA"/>
    <w:rsid w:val="5CFC40FC"/>
    <w:rsid w:val="5D017D2D"/>
    <w:rsid w:val="5D150C40"/>
    <w:rsid w:val="5D153B93"/>
    <w:rsid w:val="5D195A5F"/>
    <w:rsid w:val="5D1B5DD0"/>
    <w:rsid w:val="5D1C654D"/>
    <w:rsid w:val="5D614362"/>
    <w:rsid w:val="5D7F4F83"/>
    <w:rsid w:val="5D812972"/>
    <w:rsid w:val="5DAA6AF1"/>
    <w:rsid w:val="5DAC03F3"/>
    <w:rsid w:val="5DC32ECD"/>
    <w:rsid w:val="5DD53DD8"/>
    <w:rsid w:val="5DE12737"/>
    <w:rsid w:val="5DF010A5"/>
    <w:rsid w:val="5E205824"/>
    <w:rsid w:val="5E6C4478"/>
    <w:rsid w:val="5E74494A"/>
    <w:rsid w:val="5E7C3A87"/>
    <w:rsid w:val="5E863EAE"/>
    <w:rsid w:val="5EC61975"/>
    <w:rsid w:val="5ED82947"/>
    <w:rsid w:val="5F1A242E"/>
    <w:rsid w:val="5F2A73F7"/>
    <w:rsid w:val="5F2C04B3"/>
    <w:rsid w:val="5F3265CA"/>
    <w:rsid w:val="5F3C6BB0"/>
    <w:rsid w:val="5F436516"/>
    <w:rsid w:val="5F45114C"/>
    <w:rsid w:val="5F664848"/>
    <w:rsid w:val="5F8163C5"/>
    <w:rsid w:val="5F832317"/>
    <w:rsid w:val="5F8663B4"/>
    <w:rsid w:val="5FB400EB"/>
    <w:rsid w:val="5FBD3574"/>
    <w:rsid w:val="5FBD7245"/>
    <w:rsid w:val="5FC53279"/>
    <w:rsid w:val="603279B6"/>
    <w:rsid w:val="60B15ACE"/>
    <w:rsid w:val="60BF2859"/>
    <w:rsid w:val="60D97F43"/>
    <w:rsid w:val="60F87162"/>
    <w:rsid w:val="61273712"/>
    <w:rsid w:val="61572583"/>
    <w:rsid w:val="617F3992"/>
    <w:rsid w:val="619E66EB"/>
    <w:rsid w:val="61A44E0C"/>
    <w:rsid w:val="61C05A51"/>
    <w:rsid w:val="61D25FEF"/>
    <w:rsid w:val="61F07CE7"/>
    <w:rsid w:val="6202587C"/>
    <w:rsid w:val="629A42FC"/>
    <w:rsid w:val="62A6697C"/>
    <w:rsid w:val="62F76352"/>
    <w:rsid w:val="63283B91"/>
    <w:rsid w:val="633A5433"/>
    <w:rsid w:val="636D4C9D"/>
    <w:rsid w:val="637C1CAA"/>
    <w:rsid w:val="63866F22"/>
    <w:rsid w:val="6395415B"/>
    <w:rsid w:val="63B970A8"/>
    <w:rsid w:val="63D3100F"/>
    <w:rsid w:val="63E239A5"/>
    <w:rsid w:val="64265D27"/>
    <w:rsid w:val="643E149E"/>
    <w:rsid w:val="646255E0"/>
    <w:rsid w:val="648258C2"/>
    <w:rsid w:val="64923F9E"/>
    <w:rsid w:val="64954FA1"/>
    <w:rsid w:val="6496635A"/>
    <w:rsid w:val="64C02927"/>
    <w:rsid w:val="64E50DB0"/>
    <w:rsid w:val="65302A51"/>
    <w:rsid w:val="65341F3D"/>
    <w:rsid w:val="65BC19F1"/>
    <w:rsid w:val="66086E18"/>
    <w:rsid w:val="6686712D"/>
    <w:rsid w:val="6689132A"/>
    <w:rsid w:val="669A392D"/>
    <w:rsid w:val="66F16159"/>
    <w:rsid w:val="6707474C"/>
    <w:rsid w:val="67325317"/>
    <w:rsid w:val="67441964"/>
    <w:rsid w:val="674634E9"/>
    <w:rsid w:val="67522226"/>
    <w:rsid w:val="6769289B"/>
    <w:rsid w:val="678C1E84"/>
    <w:rsid w:val="679F13B8"/>
    <w:rsid w:val="67A62E3A"/>
    <w:rsid w:val="67A7415C"/>
    <w:rsid w:val="68266E0D"/>
    <w:rsid w:val="686A1DE0"/>
    <w:rsid w:val="687A51E0"/>
    <w:rsid w:val="68A273BC"/>
    <w:rsid w:val="68A5758B"/>
    <w:rsid w:val="68B41E77"/>
    <w:rsid w:val="68FB65D2"/>
    <w:rsid w:val="69206221"/>
    <w:rsid w:val="69715F07"/>
    <w:rsid w:val="697224BE"/>
    <w:rsid w:val="69805429"/>
    <w:rsid w:val="69897533"/>
    <w:rsid w:val="69B6182A"/>
    <w:rsid w:val="69C67B32"/>
    <w:rsid w:val="6A51196F"/>
    <w:rsid w:val="6A5E2214"/>
    <w:rsid w:val="6A705A35"/>
    <w:rsid w:val="6ADA3053"/>
    <w:rsid w:val="6ADC2F90"/>
    <w:rsid w:val="6AE15353"/>
    <w:rsid w:val="6AE76C73"/>
    <w:rsid w:val="6B2545F6"/>
    <w:rsid w:val="6B2A4259"/>
    <w:rsid w:val="6B2F7D93"/>
    <w:rsid w:val="6B3420BE"/>
    <w:rsid w:val="6B433856"/>
    <w:rsid w:val="6B7C326E"/>
    <w:rsid w:val="6B814853"/>
    <w:rsid w:val="6B826895"/>
    <w:rsid w:val="6B8759FD"/>
    <w:rsid w:val="6B8F37E2"/>
    <w:rsid w:val="6B9C02D7"/>
    <w:rsid w:val="6BEE0272"/>
    <w:rsid w:val="6C097A41"/>
    <w:rsid w:val="6C101592"/>
    <w:rsid w:val="6C1A44FE"/>
    <w:rsid w:val="6C2757C4"/>
    <w:rsid w:val="6C2B36B4"/>
    <w:rsid w:val="6C397308"/>
    <w:rsid w:val="6C3E7615"/>
    <w:rsid w:val="6C77771D"/>
    <w:rsid w:val="6C8416BE"/>
    <w:rsid w:val="6C8B36D8"/>
    <w:rsid w:val="6C9E24FB"/>
    <w:rsid w:val="6D0E2E61"/>
    <w:rsid w:val="6D2466D3"/>
    <w:rsid w:val="6D2E042E"/>
    <w:rsid w:val="6D377D61"/>
    <w:rsid w:val="6D7579D6"/>
    <w:rsid w:val="6DC704AC"/>
    <w:rsid w:val="6DF619BB"/>
    <w:rsid w:val="6E05302D"/>
    <w:rsid w:val="6E1C61EB"/>
    <w:rsid w:val="6E2C5DD5"/>
    <w:rsid w:val="6E3802F8"/>
    <w:rsid w:val="6E8248A7"/>
    <w:rsid w:val="6E8B1784"/>
    <w:rsid w:val="6ECA7B7F"/>
    <w:rsid w:val="6EE43C15"/>
    <w:rsid w:val="6EE90321"/>
    <w:rsid w:val="6F1A3D9C"/>
    <w:rsid w:val="6F2136AA"/>
    <w:rsid w:val="6F6C556D"/>
    <w:rsid w:val="6F7A6F12"/>
    <w:rsid w:val="6F7E779A"/>
    <w:rsid w:val="6F9F2BA1"/>
    <w:rsid w:val="6FAD7341"/>
    <w:rsid w:val="6FB022C7"/>
    <w:rsid w:val="6FB124D0"/>
    <w:rsid w:val="6FBE3083"/>
    <w:rsid w:val="6FC93B58"/>
    <w:rsid w:val="6FF04D1B"/>
    <w:rsid w:val="70042391"/>
    <w:rsid w:val="703B1A44"/>
    <w:rsid w:val="704764CE"/>
    <w:rsid w:val="70AB6C84"/>
    <w:rsid w:val="70EC2CC0"/>
    <w:rsid w:val="710F6684"/>
    <w:rsid w:val="711343F4"/>
    <w:rsid w:val="713D7C76"/>
    <w:rsid w:val="714F7DE3"/>
    <w:rsid w:val="71534483"/>
    <w:rsid w:val="71B97EE8"/>
    <w:rsid w:val="71BA27E7"/>
    <w:rsid w:val="71BB2766"/>
    <w:rsid w:val="71C07997"/>
    <w:rsid w:val="71CF59F3"/>
    <w:rsid w:val="71DB6535"/>
    <w:rsid w:val="72575EA6"/>
    <w:rsid w:val="72650606"/>
    <w:rsid w:val="72654B07"/>
    <w:rsid w:val="72991419"/>
    <w:rsid w:val="72A9433C"/>
    <w:rsid w:val="72B56515"/>
    <w:rsid w:val="72F307DB"/>
    <w:rsid w:val="730D1804"/>
    <w:rsid w:val="73101A99"/>
    <w:rsid w:val="73131662"/>
    <w:rsid w:val="732F7A35"/>
    <w:rsid w:val="734E36AD"/>
    <w:rsid w:val="736055F8"/>
    <w:rsid w:val="7382534F"/>
    <w:rsid w:val="73A60ED7"/>
    <w:rsid w:val="73CF374E"/>
    <w:rsid w:val="73ED0696"/>
    <w:rsid w:val="73FC02C5"/>
    <w:rsid w:val="74237C75"/>
    <w:rsid w:val="742D7762"/>
    <w:rsid w:val="745441E7"/>
    <w:rsid w:val="7480340D"/>
    <w:rsid w:val="74930D23"/>
    <w:rsid w:val="74CC0E20"/>
    <w:rsid w:val="74EF0C3D"/>
    <w:rsid w:val="75113ADF"/>
    <w:rsid w:val="751362E4"/>
    <w:rsid w:val="75265D63"/>
    <w:rsid w:val="754B253D"/>
    <w:rsid w:val="756D3472"/>
    <w:rsid w:val="75702109"/>
    <w:rsid w:val="75D116DD"/>
    <w:rsid w:val="75D42844"/>
    <w:rsid w:val="75F514FD"/>
    <w:rsid w:val="761530B9"/>
    <w:rsid w:val="7626262B"/>
    <w:rsid w:val="76263376"/>
    <w:rsid w:val="7669377D"/>
    <w:rsid w:val="76A47502"/>
    <w:rsid w:val="76AF13DF"/>
    <w:rsid w:val="770B26F9"/>
    <w:rsid w:val="77486906"/>
    <w:rsid w:val="777D2E9A"/>
    <w:rsid w:val="779E6E2B"/>
    <w:rsid w:val="77B1595E"/>
    <w:rsid w:val="77C6701E"/>
    <w:rsid w:val="77E71F76"/>
    <w:rsid w:val="77EC0D6F"/>
    <w:rsid w:val="781D104B"/>
    <w:rsid w:val="78321DB8"/>
    <w:rsid w:val="784C20E8"/>
    <w:rsid w:val="78646C76"/>
    <w:rsid w:val="789054E7"/>
    <w:rsid w:val="789319E2"/>
    <w:rsid w:val="78BB5C06"/>
    <w:rsid w:val="78E2638B"/>
    <w:rsid w:val="790E2066"/>
    <w:rsid w:val="794B223C"/>
    <w:rsid w:val="79556565"/>
    <w:rsid w:val="796A09B6"/>
    <w:rsid w:val="79762AD8"/>
    <w:rsid w:val="797658C5"/>
    <w:rsid w:val="79846D57"/>
    <w:rsid w:val="79CA3D40"/>
    <w:rsid w:val="79E463C2"/>
    <w:rsid w:val="7A011179"/>
    <w:rsid w:val="7A131BA1"/>
    <w:rsid w:val="7A260C76"/>
    <w:rsid w:val="7A2866D6"/>
    <w:rsid w:val="7A3F63A5"/>
    <w:rsid w:val="7A735363"/>
    <w:rsid w:val="7A813F86"/>
    <w:rsid w:val="7AA15D29"/>
    <w:rsid w:val="7AAE0103"/>
    <w:rsid w:val="7B000E72"/>
    <w:rsid w:val="7BC2581A"/>
    <w:rsid w:val="7C081CC5"/>
    <w:rsid w:val="7C2A1597"/>
    <w:rsid w:val="7C397DD3"/>
    <w:rsid w:val="7C776D9C"/>
    <w:rsid w:val="7CB302CB"/>
    <w:rsid w:val="7CB4524E"/>
    <w:rsid w:val="7CB505EB"/>
    <w:rsid w:val="7CBA1E32"/>
    <w:rsid w:val="7CC51E9E"/>
    <w:rsid w:val="7CF36D67"/>
    <w:rsid w:val="7CFD2FF1"/>
    <w:rsid w:val="7D215E01"/>
    <w:rsid w:val="7D3E51EF"/>
    <w:rsid w:val="7D5511C2"/>
    <w:rsid w:val="7D74671C"/>
    <w:rsid w:val="7DA572DF"/>
    <w:rsid w:val="7DED048B"/>
    <w:rsid w:val="7E021A16"/>
    <w:rsid w:val="7E031CF2"/>
    <w:rsid w:val="7E064841"/>
    <w:rsid w:val="7E154E00"/>
    <w:rsid w:val="7E193A9C"/>
    <w:rsid w:val="7E765088"/>
    <w:rsid w:val="7E7C5D4C"/>
    <w:rsid w:val="7E8A5FC2"/>
    <w:rsid w:val="7EC67602"/>
    <w:rsid w:val="7EDE2CF8"/>
    <w:rsid w:val="7EE73979"/>
    <w:rsid w:val="7F4655AA"/>
    <w:rsid w:val="7FA93806"/>
    <w:rsid w:val="7FBE3E12"/>
    <w:rsid w:val="7FC13A1A"/>
    <w:rsid w:val="7FCA124C"/>
    <w:rsid w:val="7FE32DE1"/>
    <w:rsid w:val="7FED4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4">
    <w:name w:val="Default Paragraph Font"/>
    <w:qFormat/>
    <w:uiPriority w:val="0"/>
  </w:style>
  <w:style w:type="table" w:default="1" w:styleId="13">
    <w:name w:val="Normal Table"/>
    <w:unhideWhenUsed/>
    <w:qFormat/>
    <w:uiPriority w:val="99"/>
    <w:rPr>
      <w:rFonts w:ascii="Calibri" w:hAnsi="Calibri" w:cs="Calibri"/>
    </w:rPr>
    <w:tblPr>
      <w:tblLayout w:type="fixed"/>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qFormat/>
    <w:uiPriority w:val="0"/>
    <w:rPr>
      <w:sz w:val="24"/>
      <w:szCs w:val="30"/>
    </w:rPr>
  </w:style>
  <w:style w:type="paragraph" w:styleId="5">
    <w:name w:val="Balloon Text"/>
    <w:basedOn w:val="1"/>
    <w:qFormat/>
    <w:uiPriority w:val="0"/>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22"/>
    <w:qFormat/>
    <w:uiPriority w:val="0"/>
    <w:pPr>
      <w:spacing w:before="240" w:after="60" w:line="312" w:lineRule="auto"/>
      <w:jc w:val="center"/>
      <w:outlineLvl w:val="1"/>
    </w:pPr>
    <w:rPr>
      <w:rFonts w:ascii="Cambria" w:hAnsi="Cambria"/>
      <w:b/>
      <w:bCs/>
      <w:kern w:val="28"/>
      <w:sz w:val="32"/>
      <w:szCs w:val="32"/>
    </w:rPr>
  </w:style>
  <w:style w:type="paragraph" w:styleId="9">
    <w:name w:val="Body Text Indent 3"/>
    <w:basedOn w:val="1"/>
    <w:qFormat/>
    <w:uiPriority w:val="0"/>
    <w:pPr>
      <w:spacing w:after="120"/>
      <w:ind w:left="420" w:leftChars="200"/>
    </w:pPr>
    <w:rPr>
      <w:sz w:val="16"/>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Title"/>
    <w:basedOn w:val="1"/>
    <w:next w:val="1"/>
    <w:link w:val="23"/>
    <w:qFormat/>
    <w:uiPriority w:val="0"/>
    <w:pPr>
      <w:spacing w:before="240" w:after="60"/>
      <w:jc w:val="center"/>
      <w:outlineLvl w:val="0"/>
    </w:pPr>
    <w:rPr>
      <w:rFonts w:ascii="Cambria" w:hAnsi="Cambria"/>
      <w:b/>
      <w:bCs/>
      <w:sz w:val="32"/>
      <w:szCs w:val="32"/>
    </w:rPr>
  </w:style>
  <w:style w:type="paragraph" w:styleId="12">
    <w:name w:val="annotation subject"/>
    <w:basedOn w:val="3"/>
    <w:next w:val="3"/>
    <w:semiHidden/>
    <w:qFormat/>
    <w:uiPriority w:val="0"/>
    <w:rPr>
      <w:b/>
      <w:bCs/>
    </w:rPr>
  </w:style>
  <w:style w:type="character" w:styleId="15">
    <w:name w:val="Strong"/>
    <w:qFormat/>
    <w:uiPriority w:val="0"/>
    <w:rPr>
      <w:b/>
      <w:bCs/>
    </w:rPr>
  </w:style>
  <w:style w:type="character" w:styleId="16">
    <w:name w:val="page number"/>
    <w:basedOn w:val="14"/>
    <w:qFormat/>
    <w:uiPriority w:val="0"/>
  </w:style>
  <w:style w:type="character" w:styleId="17">
    <w:name w:val="Emphasis"/>
    <w:qFormat/>
    <w:uiPriority w:val="0"/>
    <w:rPr>
      <w:i/>
      <w:iCs/>
    </w:rPr>
  </w:style>
  <w:style w:type="character" w:styleId="18">
    <w:name w:val="annotation reference"/>
    <w:semiHidden/>
    <w:qFormat/>
    <w:uiPriority w:val="0"/>
    <w:rPr>
      <w:sz w:val="21"/>
      <w:szCs w:val="21"/>
    </w:rPr>
  </w:style>
  <w:style w:type="character" w:customStyle="1" w:styleId="19">
    <w:name w:val="标题 1 Char"/>
    <w:link w:val="2"/>
    <w:qFormat/>
    <w:uiPriority w:val="0"/>
    <w:rPr>
      <w:b/>
      <w:bCs/>
      <w:kern w:val="44"/>
      <w:sz w:val="44"/>
      <w:szCs w:val="44"/>
    </w:rPr>
  </w:style>
  <w:style w:type="character" w:customStyle="1" w:styleId="20">
    <w:name w:val="页脚 Char"/>
    <w:link w:val="6"/>
    <w:qFormat/>
    <w:uiPriority w:val="99"/>
    <w:rPr>
      <w:kern w:val="2"/>
      <w:sz w:val="18"/>
      <w:szCs w:val="18"/>
    </w:rPr>
  </w:style>
  <w:style w:type="character" w:customStyle="1" w:styleId="21">
    <w:name w:val="页眉 Char"/>
    <w:link w:val="7"/>
    <w:qFormat/>
    <w:uiPriority w:val="0"/>
    <w:rPr>
      <w:kern w:val="2"/>
      <w:sz w:val="18"/>
      <w:szCs w:val="18"/>
    </w:rPr>
  </w:style>
  <w:style w:type="character" w:customStyle="1" w:styleId="22">
    <w:name w:val="副标题 Char"/>
    <w:link w:val="8"/>
    <w:qFormat/>
    <w:uiPriority w:val="0"/>
    <w:rPr>
      <w:rFonts w:ascii="Cambria" w:hAnsi="Cambria" w:cs="Times New Roman"/>
      <w:b/>
      <w:bCs/>
      <w:kern w:val="28"/>
      <w:sz w:val="32"/>
      <w:szCs w:val="32"/>
    </w:rPr>
  </w:style>
  <w:style w:type="character" w:customStyle="1" w:styleId="23">
    <w:name w:val="标题 Char"/>
    <w:link w:val="11"/>
    <w:qFormat/>
    <w:uiPriority w:val="0"/>
    <w:rPr>
      <w:rFonts w:ascii="Cambria" w:hAnsi="Cambria" w:cs="Times New Roman"/>
      <w:b/>
      <w:bCs/>
      <w:kern w:val="2"/>
      <w:sz w:val="32"/>
      <w:szCs w:val="32"/>
    </w:rPr>
  </w:style>
  <w:style w:type="character" w:customStyle="1" w:styleId="24">
    <w:name w:val="javascript"/>
    <w:basedOn w:val="14"/>
    <w:qFormat/>
    <w:uiPriority w:val="0"/>
  </w:style>
  <w:style w:type="paragraph" w:customStyle="1" w:styleId="25">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3355</Words>
  <Characters>3425</Characters>
  <Lines>68</Lines>
  <Paragraphs>19</Paragraphs>
  <TotalTime>22</TotalTime>
  <ScaleCrop>false</ScaleCrop>
  <LinksUpToDate>false</LinksUpToDate>
  <CharactersWithSpaces>3425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2023-03-17T07:58:00Z</dcterms:created>
  <dc:creator>李永伟</dc:creator>
  <cp:lastModifiedBy>末</cp:lastModifiedBy>
  <cp:lastPrinted>2025-07-31T08:12:00Z</cp:lastPrinted>
  <dcterms:modified xsi:type="dcterms:W3CDTF">2026-05-28T08:06:58Z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231027230D9B4838BF975FD243A46FE0</vt:lpwstr>
  </property>
  <property fmtid="{D5CDD505-2E9C-101B-9397-08002B2CF9AE}" pid="4" name="KSOTemplateDocerSaveRecord">
    <vt:lpwstr>eyJoZGlkIjoiMzY4ZjdmMTUxMDgzYTU4MDU5MTcxYjVhZTg2MjU2NjQiLCJ1c2VySWQiOiI0MzMxMTQ1NjEifQ==</vt:lpwstr>
  </property>
</Properties>
</file>