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方正小标宋简体" w:hAnsi="黑体" w:eastAsia="方正小标宋简体" w:cs="方正小标宋简体"/>
          <w:color w:val="auto"/>
          <w:kern w:val="0"/>
          <w:sz w:val="56"/>
          <w:szCs w:val="56"/>
          <w:highlight w:val="none"/>
        </w:rPr>
      </w:pPr>
      <w:bookmarkStart w:id="18" w:name="_GoBack"/>
      <w:bookmarkEnd w:id="18"/>
    </w:p>
    <w:p w14:paraId="19E087C9">
      <w:pPr>
        <w:shd w:val="clear"/>
        <w:snapToGrid w:val="0"/>
        <w:jc w:val="center"/>
        <w:rPr>
          <w:rFonts w:hint="eastAsia" w:ascii="方正小标宋简体" w:hAnsi="黑体" w:eastAsia="方正小标宋简体" w:cs="方正小标宋简体"/>
          <w:color w:val="auto"/>
          <w:kern w:val="0"/>
          <w:sz w:val="56"/>
          <w:szCs w:val="56"/>
          <w:highlight w:val="none"/>
        </w:rPr>
      </w:pPr>
    </w:p>
    <w:p w14:paraId="420A9EE1">
      <w:pPr>
        <w:shd w:val="clear"/>
        <w:snapToGrid w:val="0"/>
        <w:jc w:val="center"/>
        <w:rPr>
          <w:rFonts w:hint="eastAsia" w:ascii="方正小标宋简体" w:hAnsi="黑体" w:eastAsia="方正小标宋简体" w:cs="方正小标宋简体"/>
          <w:color w:val="auto"/>
          <w:kern w:val="0"/>
          <w:sz w:val="56"/>
          <w:szCs w:val="56"/>
          <w:highlight w:val="none"/>
        </w:rPr>
      </w:pPr>
    </w:p>
    <w:p w14:paraId="16F868A6">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威海粮油发展有限公司</w:t>
      </w:r>
    </w:p>
    <w:p w14:paraId="24F08515">
      <w:pPr>
        <w:shd w:val="clear"/>
        <w:snapToGrid w:val="0"/>
        <w:jc w:val="center"/>
        <w:rPr>
          <w:rFonts w:hint="eastAsia" w:ascii="方正小标宋简体" w:hAnsi="黑体" w:eastAsia="方正小标宋简体" w:cs="方正小标宋简体"/>
          <w:color w:val="auto"/>
          <w:kern w:val="0"/>
          <w:sz w:val="72"/>
          <w:szCs w:val="52"/>
          <w:highlight w:val="none"/>
        </w:rPr>
      </w:pPr>
    </w:p>
    <w:p w14:paraId="30C413D7">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9"/>
        <w:rPr>
          <w:rFonts w:hint="eastAsia"/>
          <w:highlight w:val="none"/>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威海粮油发展有限公司常年法律顾问服务单位项目</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WHZCZB2026-096</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9"/>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2026年9</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59AFBC5F">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64CCA07B">
      <w:pPr>
        <w:shd w:val="clear"/>
        <w:spacing w:line="720" w:lineRule="exact"/>
        <w:ind w:firstLine="562" w:firstLineChars="200"/>
        <w:jc w:val="left"/>
        <w:rPr>
          <w:rFonts w:hint="eastAsia" w:ascii="仿宋" w:hAnsi="仿宋" w:eastAsia="仿宋" w:cs="仿宋"/>
          <w:b/>
          <w:bCs/>
          <w:caps/>
          <w:color w:val="auto"/>
          <w:sz w:val="28"/>
          <w:szCs w:val="28"/>
          <w:highlight w:val="none"/>
        </w:rPr>
      </w:pPr>
    </w:p>
    <w:p w14:paraId="66251D64">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C3B06A0">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30F63D4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41E0E4BD">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0B5B2BAB">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24E38B67">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625B62ED">
      <w:pPr>
        <w:shd w:val="clear"/>
        <w:spacing w:line="560" w:lineRule="exact"/>
        <w:ind w:firstLine="424" w:firstLineChars="151"/>
        <w:jc w:val="left"/>
        <w:rPr>
          <w:rFonts w:hint="eastAsia" w:ascii="仿宋" w:hAnsi="仿宋" w:eastAsia="仿宋" w:cs="仿宋"/>
          <w:b/>
          <w:bCs/>
          <w:caps/>
          <w:color w:val="auto"/>
          <w:sz w:val="28"/>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34A8E14B">
      <w:pPr>
        <w:pStyle w:val="26"/>
        <w:numPr>
          <w:ilvl w:val="0"/>
          <w:numId w:val="0"/>
        </w:numPr>
        <w:shd w:val="clear"/>
        <w:spacing w:before="100" w:beforeAutospacing="1" w:after="100" w:afterAutospacing="1" w:line="415" w:lineRule="auto"/>
        <w:ind w:left="1440" w:leftChars="0" w:hanging="1440" w:firstLineChars="0"/>
        <w:rPr>
          <w:rFonts w:ascii="宋体" w:hAnsi="宋体" w:eastAsia="宋体" w:cs="宋体"/>
          <w:color w:val="auto"/>
          <w:sz w:val="44"/>
          <w:szCs w:val="44"/>
          <w:highlight w:val="none"/>
        </w:rPr>
      </w:pPr>
      <w:bookmarkStart w:id="0" w:name="_Toc253045125"/>
      <w:bookmarkStart w:id="1" w:name="_Toc266431116"/>
      <w:r>
        <w:rPr>
          <w:rFonts w:hint="eastAsia" w:ascii="楷体_GB2312" w:hAnsi="宋体" w:eastAsia="楷体_GB2312" w:cs="宋体"/>
          <w:b/>
          <w:bCs/>
          <w:color w:val="auto"/>
          <w:kern w:val="2"/>
          <w:sz w:val="44"/>
          <w:szCs w:val="44"/>
          <w:highlight w:val="none"/>
          <w:lang w:val="en-US" w:eastAsia="zh-CN" w:bidi="ar-SA"/>
        </w:rPr>
        <w:t>第一章</w:t>
      </w:r>
      <w:r>
        <w:rPr>
          <w:rFonts w:hint="eastAsia" w:ascii="楷体_GB2312" w:hAnsi="宋体" w:eastAsia="楷体_GB2312" w:cs="宋体"/>
          <w:color w:val="auto"/>
          <w:sz w:val="44"/>
          <w:szCs w:val="44"/>
          <w:highlight w:val="none"/>
        </w:rPr>
        <w:t xml:space="preserve">  招标公告</w:t>
      </w:r>
    </w:p>
    <w:p w14:paraId="41A59B78">
      <w:pPr>
        <w:shd w:val="clear"/>
        <w:rPr>
          <w:color w:val="auto"/>
          <w:highlight w:val="none"/>
        </w:rPr>
      </w:pPr>
    </w:p>
    <w:p w14:paraId="21B10035">
      <w:pPr>
        <w:shd w:val="clear"/>
        <w:rPr>
          <w:color w:val="auto"/>
          <w:highlight w:val="none"/>
        </w:rPr>
        <w:sectPr>
          <w:headerReference r:id="rId10" w:type="first"/>
          <w:footerReference r:id="rId12" w:type="first"/>
          <w:footerReference r:id="rId11" w:type="default"/>
          <w:headerReference r:id="rId9" w:type="even"/>
          <w:pgSz w:w="11906" w:h="16838"/>
          <w:pgMar w:top="1440" w:right="1083" w:bottom="1440" w:left="1083" w:header="851" w:footer="992" w:gutter="0"/>
          <w:pgNumType w:fmt="decimal" w:start="1"/>
          <w:cols w:space="0" w:num="1"/>
          <w:rtlGutter w:val="0"/>
          <w:docGrid w:type="lines" w:linePitch="312" w:charSpace="0"/>
        </w:sectPr>
      </w:pP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ascii="方正小标宋简体" w:eastAsia="方正小标宋简体"/>
          <w:b/>
          <w:color w:val="auto"/>
          <w:sz w:val="30"/>
          <w:szCs w:val="30"/>
          <w:highlight w:val="none"/>
        </w:rPr>
      </w:pPr>
      <w:bookmarkStart w:id="2" w:name="_Toc382129899"/>
      <w:bookmarkStart w:id="3" w:name="_Toc413596381"/>
      <w:r>
        <w:rPr>
          <w:rFonts w:hint="eastAsia" w:ascii="方正小标宋简体" w:eastAsia="方正小标宋简体"/>
          <w:b/>
          <w:color w:val="auto"/>
          <w:sz w:val="30"/>
          <w:szCs w:val="30"/>
          <w:highlight w:val="none"/>
          <w:lang w:eastAsia="zh-CN"/>
        </w:rPr>
        <w:t>威海粮油发展有限公司常年法律顾问服务单位项目</w:t>
      </w:r>
      <w:r>
        <w:rPr>
          <w:rFonts w:hint="eastAsia" w:ascii="方正小标宋简体" w:eastAsia="方正小标宋简体"/>
          <w:b/>
          <w:color w:val="auto"/>
          <w:sz w:val="30"/>
          <w:szCs w:val="30"/>
          <w:highlight w:val="none"/>
        </w:rPr>
        <w:t>公开招标公告</w:t>
      </w:r>
    </w:p>
    <w:p w14:paraId="32E5AE1A">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9月10日9</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04"/>
        <w:gridCol w:w="795"/>
        <w:gridCol w:w="1544"/>
        <w:gridCol w:w="1530"/>
        <w:gridCol w:w="1335"/>
        <w:gridCol w:w="138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432"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257"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99"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75"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768"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9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432"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257"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威海粮油发展有限公司常年法律顾问服务单位项目</w:t>
            </w:r>
          </w:p>
        </w:tc>
        <w:tc>
          <w:tcPr>
            <w:tcW w:w="399"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宗</w:t>
            </w:r>
          </w:p>
        </w:tc>
        <w:tc>
          <w:tcPr>
            <w:tcW w:w="775"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300000.00</w:t>
            </w:r>
          </w:p>
        </w:tc>
        <w:tc>
          <w:tcPr>
            <w:tcW w:w="768"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300000.00</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9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43E3D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参与投标的，须提供</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授权且每个</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只能有一个</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w:t>
      </w:r>
      <w:r>
        <w:rPr>
          <w:rFonts w:hint="eastAsia" w:ascii="仿宋" w:hAnsi="仿宋" w:eastAsia="仿宋" w:cs="仿宋"/>
          <w:color w:val="auto"/>
          <w:sz w:val="28"/>
          <w:szCs w:val="28"/>
          <w:highlight w:val="none"/>
          <w:lang w:val="en-US" w:eastAsia="zh-CN"/>
        </w:rPr>
        <w:t>且</w:t>
      </w:r>
      <w:r>
        <w:rPr>
          <w:rFonts w:hint="eastAsia" w:ascii="仿宋" w:hAnsi="仿宋" w:eastAsia="仿宋" w:cs="仿宋"/>
          <w:color w:val="auto"/>
          <w:sz w:val="28"/>
          <w:szCs w:val="28"/>
          <w:highlight w:val="none"/>
          <w:lang w:eastAsia="zh-CN"/>
        </w:rPr>
        <w:t>具有年度考核合格的《律师事务所执业许可证》或《律师事务所分所执业许可证》</w:t>
      </w:r>
      <w:r>
        <w:rPr>
          <w:rFonts w:hint="eastAsia" w:ascii="仿宋" w:hAnsi="仿宋" w:eastAsia="仿宋" w:cs="仿宋"/>
          <w:color w:val="auto"/>
          <w:sz w:val="28"/>
          <w:szCs w:val="28"/>
          <w:highlight w:val="none"/>
        </w:rPr>
        <w:t>；</w:t>
      </w:r>
    </w:p>
    <w:p w14:paraId="5CC2E07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0AA1D74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rPr>
        <w:t>；</w:t>
      </w:r>
    </w:p>
    <w:p w14:paraId="713F04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7DB302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在经营活动中没有重大违法记录，且投标人及其法定代表人/单位负责人、项目负责人未受到司法行政机关行政处罚、未遭受律师协会行业处分、无行贿犯罪记录；</w:t>
      </w:r>
    </w:p>
    <w:p w14:paraId="5D4A6AE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、被授权人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lang w:eastAsia="zh-CN"/>
        </w:rPr>
        <w:t>未被最高人民法院列为失信被执行人</w:t>
      </w:r>
      <w:r>
        <w:rPr>
          <w:rFonts w:hint="eastAsia" w:ascii="仿宋" w:hAnsi="仿宋" w:eastAsia="仿宋" w:cs="仿宋"/>
          <w:color w:val="auto"/>
          <w:sz w:val="28"/>
          <w:szCs w:val="28"/>
          <w:highlight w:val="none"/>
        </w:rPr>
        <w:t>；</w:t>
      </w:r>
    </w:p>
    <w:p w14:paraId="0487EAB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7.投标人近一年在“信用中国”或“信用中国（山东）”无严重失信记录；</w:t>
      </w:r>
    </w:p>
    <w:p w14:paraId="7BD0776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法律、行政法规及招标文件规定的其他要求。</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val="en-US"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投标人提前熟悉交易系统（新版威海市国有企业阳光采购服务平台供应商用户手册网址：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称：威海粮油发展有限公司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址：山东省威海市临港经济技术开发区汪疃镇威浩路3号</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联系人：宋贝贝</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联系方式：0631-8561801</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537922F5">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项目联系人：张佳惠、赵洪斌</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第二章  投标须知</w:t>
      </w:r>
    </w:p>
    <w:p w14:paraId="6429C4E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06B7935A">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WHZCZB2026-096</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威海粮油发展有限公司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山东省威海市临港经济技术开发区汪疃镇威浩路3号</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宋贝贝</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0631-8561801</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张佳惠、赵洪斌</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4D57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9月1日19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9月10日9</w:t>
            </w:r>
            <w:r>
              <w:rPr>
                <w:rFonts w:hint="eastAsia" w:ascii="仿宋" w:hAnsi="仿宋" w:eastAsia="仿宋" w:cs="仿宋"/>
                <w:color w:val="auto"/>
                <w:spacing w:val="8"/>
                <w:kern w:val="0"/>
                <w:sz w:val="28"/>
                <w:szCs w:val="28"/>
                <w:highlight w:val="none"/>
                <w:lang w:eastAsia="zh-CN"/>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七</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1A0159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按年支付。乙方开具税率为6%的增值税专用发票，甲方在收到合规发票后30个工作日内支付第一年服务费；后续每下一年度服务费于上一年服务期满前30个工作日内支付。</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服务期</w:t>
            </w:r>
          </w:p>
        </w:tc>
        <w:tc>
          <w:tcPr>
            <w:tcW w:w="6309" w:type="dxa"/>
            <w:tcBorders>
              <w:top w:val="single" w:color="auto" w:sz="4" w:space="0"/>
              <w:left w:val="single" w:color="auto" w:sz="4" w:space="0"/>
              <w:bottom w:val="single" w:color="auto" w:sz="4" w:space="0"/>
            </w:tcBorders>
            <w:noWrap w:val="0"/>
            <w:vAlign w:val="center"/>
          </w:tcPr>
          <w:p w14:paraId="71587BA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3年。双方若无异议，合同期满自动延续1年，总服务期不超过4年。</w:t>
            </w:r>
          </w:p>
        </w:tc>
      </w:tr>
      <w:tr w14:paraId="56311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5FA310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DE85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61BAC87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606EA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724B28D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9323D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7950C41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1EB19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27211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1013A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03655F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eastAsia="zh-CN"/>
              </w:rPr>
              <w:t>服务类</w:t>
            </w:r>
            <w:r>
              <w:rPr>
                <w:rFonts w:hint="eastAsia" w:ascii="仿宋" w:hAnsi="仿宋" w:eastAsia="仿宋" w:cs="仿宋"/>
                <w:color w:val="auto"/>
                <w:sz w:val="28"/>
                <w:szCs w:val="28"/>
                <w:highlight w:val="none"/>
              </w:rPr>
              <w:t>以公开</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实施采购</w:t>
            </w:r>
          </w:p>
        </w:tc>
      </w:tr>
      <w:tr w14:paraId="75A03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9033E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C4A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14FE101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本项目代理服务费参照原国家发展计划委员会规定标准（《招标代理服务收费管理暂行办法》计价格［2002］1980号）的60%收取，单个项目低于2000元，按2000元收取</w:t>
            </w:r>
            <w:r>
              <w:rPr>
                <w:rFonts w:hint="eastAsia" w:ascii="仿宋" w:hAnsi="仿宋" w:eastAsia="仿宋" w:cs="仿宋"/>
                <w:color w:val="auto"/>
                <w:sz w:val="28"/>
                <w:szCs w:val="28"/>
                <w:highlight w:val="none"/>
              </w:rPr>
              <w:t>。</w:t>
            </w:r>
          </w:p>
          <w:p w14:paraId="56F62E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2F4845D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1D73D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43872AB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4259E2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2764A3A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在收到中标通知书前</w:t>
            </w:r>
            <w:r>
              <w:rPr>
                <w:rFonts w:hint="eastAsia" w:ascii="仿宋" w:hAnsi="仿宋" w:eastAsia="仿宋" w:cs="仿宋"/>
                <w:color w:val="auto"/>
                <w:sz w:val="28"/>
                <w:szCs w:val="28"/>
                <w:highlight w:val="none"/>
                <w:lang w:val="en-US" w:eastAsia="zh-CN"/>
              </w:rPr>
              <w:t>按实</w:t>
            </w:r>
            <w:r>
              <w:rPr>
                <w:rFonts w:hint="eastAsia" w:ascii="仿宋" w:hAnsi="仿宋" w:eastAsia="仿宋" w:cs="仿宋"/>
                <w:color w:val="auto"/>
                <w:sz w:val="28"/>
                <w:szCs w:val="28"/>
                <w:highlight w:val="none"/>
              </w:rPr>
              <w:t>缴纳。</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bl>
    <w:p w14:paraId="7B8D4A82">
      <w:pPr>
        <w:shd w:val="clear"/>
        <w:spacing w:line="560" w:lineRule="exact"/>
        <w:ind w:firstLine="643" w:firstLineChars="201"/>
        <w:jc w:val="center"/>
        <w:rPr>
          <w:rFonts w:eastAsia="黑体"/>
          <w:color w:val="auto"/>
          <w:sz w:val="32"/>
          <w:szCs w:val="32"/>
          <w:highlight w:val="none"/>
        </w:rPr>
      </w:pPr>
    </w:p>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eastAsia="黑体"/>
          <w:color w:val="auto"/>
          <w:sz w:val="32"/>
          <w:szCs w:val="32"/>
          <w:highlight w:val="none"/>
        </w:rPr>
      </w:pPr>
      <w:r>
        <w:rPr>
          <w:rFonts w:hint="eastAsia" w:eastAsia="黑体"/>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0CC9771B">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有效的</w:t>
            </w:r>
            <w:r>
              <w:rPr>
                <w:rFonts w:hint="eastAsia" w:ascii="仿宋" w:hAnsi="仿宋" w:eastAsia="仿宋" w:cs="仿宋"/>
                <w:color w:val="auto"/>
                <w:spacing w:val="8"/>
                <w:kern w:val="0"/>
                <w:sz w:val="28"/>
                <w:szCs w:val="28"/>
                <w:highlight w:val="none"/>
                <w:lang w:eastAsia="zh-CN"/>
              </w:rPr>
              <w:t>年度考核合格的《律师事务所执业许可证》或《律师事务所分所执业许可证》</w:t>
            </w:r>
            <w:r>
              <w:rPr>
                <w:rFonts w:hint="eastAsia" w:ascii="仿宋" w:hAnsi="仿宋" w:eastAsia="仿宋" w:cs="仿宋"/>
                <w:color w:val="auto"/>
                <w:spacing w:val="8"/>
                <w:kern w:val="0"/>
                <w:sz w:val="28"/>
                <w:szCs w:val="28"/>
                <w:highlight w:val="none"/>
                <w:lang w:val="en-US" w:eastAsia="zh-CN"/>
              </w:rPr>
              <w:t>扫描件或其他能证明具有独立承担民事责任的能力的证明材料扫描件；分所参与投标的，须提供总所授权且每个总所只能有一个分所参与投标</w:t>
            </w:r>
            <w:r>
              <w:rPr>
                <w:rFonts w:hint="eastAsia" w:ascii="仿宋" w:hAnsi="仿宋" w:eastAsia="仿宋" w:cs="仿宋"/>
                <w:color w:val="auto"/>
                <w:spacing w:val="8"/>
                <w:kern w:val="0"/>
                <w:sz w:val="28"/>
                <w:szCs w:val="28"/>
                <w:highlight w:val="none"/>
              </w:rPr>
              <w:t>；</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2.法定代表人/单位负责人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开标前6个月内任意月份的依法缴纳税收和社会保障资金</w:t>
            </w:r>
            <w:r>
              <w:rPr>
                <w:rFonts w:hint="eastAsia" w:ascii="仿宋" w:hAnsi="仿宋" w:eastAsia="仿宋" w:cs="仿宋"/>
                <w:color w:val="auto"/>
                <w:spacing w:val="8"/>
                <w:kern w:val="0"/>
                <w:sz w:val="28"/>
                <w:szCs w:val="28"/>
                <w:highlight w:val="none"/>
              </w:rPr>
              <w:t>的证明材料</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.无重大违法记录</w:t>
            </w:r>
            <w:r>
              <w:rPr>
                <w:rFonts w:hint="eastAsia" w:ascii="仿宋" w:hAnsi="仿宋" w:eastAsia="仿宋" w:cs="仿宋"/>
                <w:color w:val="auto"/>
                <w:spacing w:val="8"/>
                <w:kern w:val="0"/>
                <w:sz w:val="28"/>
                <w:szCs w:val="28"/>
                <w:highlight w:val="none"/>
                <w:lang w:val="en-US" w:eastAsia="zh-CN"/>
              </w:rPr>
              <w:t>等</w:t>
            </w:r>
            <w:r>
              <w:rPr>
                <w:rFonts w:hint="eastAsia" w:ascii="仿宋" w:hAnsi="仿宋" w:eastAsia="仿宋" w:cs="仿宋"/>
                <w:color w:val="auto"/>
                <w:spacing w:val="8"/>
                <w:kern w:val="0"/>
                <w:sz w:val="28"/>
                <w:szCs w:val="28"/>
                <w:highlight w:val="none"/>
              </w:rPr>
              <w:t>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投标人及其法定代表人/单位负责人、被授权人、项目负责人未被最高人民法院列为失信被执行人网站查询结果截图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声明（固定格式）</w:t>
            </w:r>
            <w:r>
              <w:rPr>
                <w:rFonts w:hint="eastAsia" w:ascii="仿宋" w:hAnsi="仿宋" w:eastAsia="仿宋" w:cs="仿宋"/>
                <w:color w:val="auto"/>
                <w:spacing w:val="8"/>
                <w:kern w:val="0"/>
                <w:sz w:val="28"/>
                <w:szCs w:val="28"/>
                <w:highlight w:val="none"/>
              </w:rPr>
              <w:t>；</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w:t>
            </w:r>
            <w:r>
              <w:rPr>
                <w:rFonts w:hint="eastAsia" w:ascii="仿宋" w:hAnsi="仿宋" w:eastAsia="仿宋" w:cs="仿宋"/>
                <w:color w:val="auto"/>
                <w:spacing w:val="8"/>
                <w:kern w:val="0"/>
                <w:sz w:val="28"/>
                <w:szCs w:val="28"/>
                <w:highlight w:val="none"/>
                <w:lang w:val="en-US" w:eastAsia="zh-CN"/>
              </w:rPr>
              <w:t>服务期、“★”条款、</w:t>
            </w:r>
            <w:r>
              <w:rPr>
                <w:rFonts w:hint="eastAsia" w:ascii="仿宋" w:hAnsi="仿宋" w:eastAsia="仿宋" w:cs="仿宋"/>
                <w:color w:val="auto"/>
                <w:spacing w:val="8"/>
                <w:kern w:val="0"/>
                <w:sz w:val="28"/>
                <w:szCs w:val="28"/>
                <w:highlight w:val="none"/>
              </w:rPr>
              <w:t>付款方式满足招标文件要求；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0"/>
    <w:bookmarkEnd w:id="1"/>
    <w:bookmarkEnd w:id="2"/>
    <w:bookmarkEnd w:id="3"/>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0BE7B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248BEC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6F5486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692BA6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报价明细表</w:t>
      </w:r>
      <w:r>
        <w:rPr>
          <w:rFonts w:hint="eastAsia" w:ascii="仿宋" w:hAnsi="仿宋" w:eastAsia="仿宋" w:cs="仿宋"/>
          <w:color w:val="auto"/>
          <w:sz w:val="28"/>
          <w:szCs w:val="28"/>
          <w:highlight w:val="none"/>
          <w:lang w:eastAsia="zh-CN"/>
        </w:rPr>
        <w:t>（格式见本文件第五章）</w:t>
      </w:r>
    </w:p>
    <w:p w14:paraId="79A8B9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14:paraId="3916C9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有效的年度考核合格的《律师事务所执业许可证》或《律师事务所分所执业许可证》扫描件或其他能证明具有独立承担民事责任的能力的证明材料扫描件；分所参与投标的，须提供总所授权（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333AB9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②法定代表人/单位负责人身份证明书（格式见本文件第五章）</w:t>
      </w:r>
      <w:r>
        <w:rPr>
          <w:rFonts w:hint="eastAsia" w:ascii="仿宋" w:hAnsi="仿宋" w:eastAsia="仿宋" w:cs="仿宋"/>
          <w:color w:val="auto"/>
          <w:sz w:val="28"/>
          <w:szCs w:val="28"/>
          <w:highlight w:val="none"/>
          <w:lang w:eastAsia="zh-CN"/>
        </w:rPr>
        <w:t>；</w:t>
      </w:r>
    </w:p>
    <w:p w14:paraId="2D1B05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③法人授权委托书（格式见本文件第五章）、被授权人身份证扫描件；</w:t>
      </w:r>
    </w:p>
    <w:p w14:paraId="61D3AC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highlight w:val="none"/>
          <w:lang w:eastAsia="zh-CN"/>
        </w:rPr>
        <w:t>；</w:t>
      </w:r>
    </w:p>
    <w:p w14:paraId="0F190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4C2E1E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w:t>
      </w:r>
      <w:r>
        <w:rPr>
          <w:rFonts w:hint="eastAsia" w:ascii="仿宋" w:hAnsi="仿宋" w:eastAsia="仿宋" w:cs="仿宋"/>
          <w:color w:val="auto"/>
          <w:sz w:val="28"/>
          <w:szCs w:val="28"/>
          <w:highlight w:val="none"/>
          <w:lang w:eastAsia="zh-CN"/>
        </w:rPr>
        <w:t>投标人具有履行合同所必需的设备和专业技术能力声明（格式见本文件第五章）</w:t>
      </w:r>
      <w:r>
        <w:rPr>
          <w:rFonts w:hint="eastAsia" w:ascii="仿宋" w:hAnsi="仿宋" w:eastAsia="仿宋" w:cs="仿宋"/>
          <w:color w:val="auto"/>
          <w:sz w:val="28"/>
          <w:szCs w:val="28"/>
          <w:highlight w:val="none"/>
        </w:rPr>
        <w:t>；</w:t>
      </w:r>
    </w:p>
    <w:p w14:paraId="2DD640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⑥投标人的依法缴纳税收和社会保障资金的声明（格式见本文件第五章）及开标前6个月内任意月份的依法缴纳税收和社会保障资金的证明材料；</w:t>
      </w:r>
    </w:p>
    <w:p w14:paraId="646AF9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⑦无重大违法记录等声明（格式见本文件第五章）；</w:t>
      </w:r>
    </w:p>
    <w:p w14:paraId="7CBDF1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⑧投标人及其法定代表人/单位负责人、被授权人、项目负责人未被最高人民法院列为失信被执行人网站查询结果截图（查询路径见投标须知前附表）；</w:t>
      </w:r>
    </w:p>
    <w:p w14:paraId="33065E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⑨投标人近一年在“信用中国”或“信用中国（山东）”无严重失信记录声明（格式见本文件第五章）；</w:t>
      </w:r>
    </w:p>
    <w:p w14:paraId="19991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⑩</w:t>
      </w:r>
      <w:r>
        <w:rPr>
          <w:rFonts w:hint="eastAsia" w:ascii="仿宋" w:hAnsi="仿宋" w:eastAsia="仿宋" w:cs="仿宋"/>
          <w:color w:val="auto"/>
          <w:sz w:val="28"/>
          <w:szCs w:val="28"/>
          <w:highlight w:val="none"/>
        </w:rPr>
        <w:t>投标人认为需要提供的其他资质资格证明文件。</w:t>
      </w:r>
    </w:p>
    <w:p w14:paraId="0F1BDB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3DB5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（6）符合性审查表</w:t>
      </w:r>
      <w:r>
        <w:rPr>
          <w:rFonts w:hint="eastAsia" w:ascii="仿宋" w:hAnsi="仿宋" w:eastAsia="仿宋" w:cs="仿宋"/>
          <w:color w:val="auto"/>
          <w:sz w:val="28"/>
          <w:szCs w:val="28"/>
          <w:highlight w:val="none"/>
          <w:lang w:eastAsia="zh-CN"/>
        </w:rPr>
        <w:t>（格式见本文件第五章）</w:t>
      </w:r>
    </w:p>
    <w:p w14:paraId="64AE67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rPr>
        <w:t>（格式见本文件第五章）</w:t>
      </w:r>
    </w:p>
    <w:p w14:paraId="35F1F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同类项目业绩表（格式见本文件第五章）</w:t>
      </w:r>
    </w:p>
    <w:p w14:paraId="78E9EA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）项目负责人及拟派主要人员情况表（格式见本文件第五章）</w:t>
      </w:r>
    </w:p>
    <w:p w14:paraId="373CA2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1B3F88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服务方案；</w:t>
      </w:r>
    </w:p>
    <w:p w14:paraId="3FB2E1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②质量保证措施；</w:t>
      </w:r>
    </w:p>
    <w:p w14:paraId="563746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③服务承诺；</w:t>
      </w:r>
    </w:p>
    <w:p w14:paraId="2D282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20BF6B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C8F40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5C38CB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1）单位负责人为同一人或者存在控股、管理关系的不同</w:t>
      </w:r>
      <w:r>
        <w:rPr>
          <w:rFonts w:hint="eastAsia" w:ascii="仿宋" w:hAnsi="仿宋" w:eastAsia="仿宋" w:cs="仿宋"/>
          <w:color w:val="auto"/>
          <w:sz w:val="28"/>
          <w:szCs w:val="28"/>
          <w:highlight w:val="none"/>
          <w:lang w:val="en-US" w:eastAsia="zh-CN"/>
        </w:rPr>
        <w:t>投标人的；</w:t>
      </w:r>
    </w:p>
    <w:p w14:paraId="6DBBC4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1D1EE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2FE365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554904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B8A69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177FD9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七、结果公示及公告</w:t>
      </w:r>
    </w:p>
    <w:p w14:paraId="0451F6F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30.结果公示</w:t>
      </w:r>
    </w:p>
    <w:p w14:paraId="0026DE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公示期3日。由评标委员会直接定标的项目不需要公示中标候选人。</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33.质疑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投标人认为招标文件、采购过程、中标结果使自己的权益受到损害的，应于10个工作日内以书面形式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34.仲裁或起诉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3"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第三章  采购内容与要求</w:t>
      </w:r>
    </w:p>
    <w:p w14:paraId="2C2EF3AE">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19B463F3">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56A977CB">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09CD2546">
      <w:pPr>
        <w:pStyle w:val="4"/>
        <w:shd w:val="clear"/>
        <w:rPr>
          <w:color w:val="auto"/>
          <w:highlight w:val="none"/>
        </w:rPr>
      </w:pPr>
    </w:p>
    <w:p w14:paraId="4763F91E">
      <w:pPr>
        <w:shd w:val="clear"/>
        <w:snapToGrid w:val="0"/>
        <w:spacing w:line="560" w:lineRule="exact"/>
        <w:ind w:firstLine="562" w:firstLineChars="201"/>
        <w:rPr>
          <w:rFonts w:ascii="仿宋_GB2312" w:hAnsi="宋体" w:eastAsia="仿宋_GB2312"/>
          <w:color w:val="auto"/>
          <w:sz w:val="28"/>
          <w:szCs w:val="28"/>
          <w:highlight w:val="none"/>
        </w:rPr>
        <w:sectPr>
          <w:footerReference r:id="rId14" w:type="default"/>
          <w:pgSz w:w="11906" w:h="16838"/>
          <w:pgMar w:top="1440" w:right="1083" w:bottom="1440" w:left="1083" w:header="851" w:footer="992" w:gutter="0"/>
          <w:pgNumType w:fmt="decimal"/>
          <w:cols w:space="0" w:num="1"/>
          <w:rtlGutter w:val="0"/>
          <w:docGrid w:type="lines" w:linePitch="312" w:charSpace="0"/>
        </w:sectPr>
      </w:pPr>
    </w:p>
    <w:p w14:paraId="7E621C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本项目拟选定1家法律顾问服务单位，为威海粮油发展有限公司及3家下属全资子公司提供法律方面相关服务。</w:t>
      </w:r>
    </w:p>
    <w:p w14:paraId="3C4D58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一、服务内容及要求</w:t>
      </w:r>
    </w:p>
    <w:p w14:paraId="53FEC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w:t>
      </w:r>
    </w:p>
    <w:p w14:paraId="7A21C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法律顾问服务单位应为采购人提供全面、及时、高效的法律顾问服务，包括但不限于下列内容。</w:t>
      </w:r>
    </w:p>
    <w:p w14:paraId="7EC9EA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诉讼与仲裁代理：代表采购人处理诉讼、仲裁等全部应诉事宜，负责系统整理与保管所有庭审资料，并于案件所有法律程序终结后10个工作日内完成归档移交；同时，须每月定期向采购人书面汇报在办案件进展及后续工作计划。</w:t>
      </w:r>
    </w:p>
    <w:p w14:paraId="7263B5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合同文书审查与管理：按照采购人要求起草、拟订、审查合同协议等相关法律文书，常规合同审核应在两个工作日内完成并签署意见及盖章；每季度整理合同常见问题并出具书面改进建议；根据采购人要求制作、修订并更新合同范本。</w:t>
      </w:r>
    </w:p>
    <w:p w14:paraId="4C8BD7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3.日常咨询与项目支持：为采购人生产、经营决策等提供法律咨询服务；参加重大的项目谈判；解答采购人提出的相关法律问题，包括但不限于出具法律意见书，进行法律分析和论证，提供电话咨询服务。</w:t>
      </w:r>
    </w:p>
    <w:p w14:paraId="247B5A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4.专题法律研究：根据采购人需求，在双方商定合理期限内（一般不超过15个工作日）完成专题研究并出具书面报告，内容应涵盖专题背景、法律法规梳理、法律分析与结论建议；必要时进行实地调研。</w:t>
      </w:r>
    </w:p>
    <w:p w14:paraId="722A89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5.专项非诉业务：处理采购人在经营管理中涉及的各种专项非诉讼业务，包括但不限于公司设立、转制、并购、重组、增资扩股、股权转让、投资项目谈判及相关法律文书起草与审查等。</w:t>
      </w:r>
    </w:p>
    <w:p w14:paraId="5BE9DE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6.案例管理与风险防控：代理期内对采购人诉讼及仲裁案件进行梳理分析，编撰至少一期《典型案例汇编》，对每个案例进行法律评述，并提炼出具体的风险防范建议。</w:t>
      </w:r>
    </w:p>
    <w:p w14:paraId="69F8D23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7.争议纠纷处理：为未进入诉讼阶段的争议纠纷提供法律意见，协助处理重大投诉或上访事件。</w:t>
      </w:r>
    </w:p>
    <w:p w14:paraId="64CE36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8.律师函业务：根据采购人需求出具并发送律师函，法律顾问服务单位应在收到服务需求后24小时内发出，需要送达的应提供有效送达凭证。</w:t>
      </w:r>
    </w:p>
    <w:p w14:paraId="210BF3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9.采购人交办的其他法律事务。</w:t>
      </w:r>
    </w:p>
    <w:p w14:paraId="04E95B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（二）律师代理案件费用</w:t>
      </w:r>
    </w:p>
    <w:p w14:paraId="6C238B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法律顾问服务单位代理采购人诉讼（含一审、二审、执行程序）、仲裁、劳动争议、重大非诉业务案件的，代理费的收取标准届时由双方一案一议。</w:t>
      </w:r>
    </w:p>
    <w:p w14:paraId="5CF4D5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法律顾问服务单位代采购人应诉的，除上述费用外，采购人不再支付其他法律服务费用。对于外地（威海市外）应诉案件，采购人仅承担差旅费与食宿费。</w:t>
      </w:r>
    </w:p>
    <w:p w14:paraId="169E88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本条涉及的服务费按照上述标准约定，不包括在本次报价中。</w:t>
      </w:r>
    </w:p>
    <w:p w14:paraId="4F85D9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（三）服务团队</w:t>
      </w:r>
    </w:p>
    <w:p w14:paraId="7F8182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★要求不少于2名专职律师（具有律师执业证，投标文件中附有效证件扫描件）提供服务，并指派其中一位作为项目负责人。项目负责人需执业满5年。不满足上述要求的，其投标无效。</w:t>
      </w:r>
    </w:p>
    <w:p w14:paraId="67F174E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上述人员在服务期内的任何更换，都必须事先获得采购人的书面批准。</w:t>
      </w:r>
    </w:p>
    <w:p w14:paraId="0ABFA76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（四）服务响应与考核</w:t>
      </w:r>
    </w:p>
    <w:p w14:paraId="143092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★1.响应时效：</w:t>
      </w:r>
    </w:p>
    <w:p w14:paraId="20897A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（1）常规法律咨询应在24小时内回应。</w:t>
      </w:r>
    </w:p>
    <w:p w14:paraId="7BD0FB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（2）常规合同审查应在2个工作日内完成；法律意见书等综合性书面文件应在3个工作日内交付。</w:t>
      </w:r>
    </w:p>
    <w:p w14:paraId="4B184C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（3）人力资源专项文件（含劳动合同、员工手册、规章制度等）审核应在3个工作日内完成。</w:t>
      </w:r>
    </w:p>
    <w:p w14:paraId="34906D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（4）对于采购人标识为“特殊紧急”的事务，法律顾问服务单位应按其要求时限完成。</w:t>
      </w:r>
    </w:p>
    <w:p w14:paraId="2DF532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（5）采购人提出现场支持要求的，法律顾问服务单位应按时派员响应。对于诉讼、仲裁（含劳动仲裁）、调解等程序性事务，必须确保律师按时出席。</w:t>
      </w:r>
    </w:p>
    <w:p w14:paraId="5C7E87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投标人应在投标文件中对上述内容作出承诺（格式自拟），不满足上述要求的或未作出承诺的，其投标无效。</w:t>
      </w:r>
    </w:p>
    <w:p w14:paraId="24F5E8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2.服务质量保障：</w:t>
      </w:r>
    </w:p>
    <w:p w14:paraId="328DF8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（1）所有正式法律文件均通过采购人指定方式发送存档；</w:t>
      </w:r>
    </w:p>
    <w:p w14:paraId="7CDDE48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（2）每半年召开工作例会汇报服务情况；</w:t>
      </w:r>
    </w:p>
    <w:p w14:paraId="7648EC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（3）采购人每年对服务质量进行评估，法律顾问服务单位需根据评估结果改进服务；</w:t>
      </w:r>
    </w:p>
    <w:p w14:paraId="604C26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（4）出现重大执业过错的，采购人有权单方解除合同并追究责任。</w:t>
      </w:r>
    </w:p>
    <w:p w14:paraId="500CC5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二、服务期</w:t>
      </w:r>
    </w:p>
    <w:p w14:paraId="41D372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3年。双方若无异议，合同期满自动延续1年，总服务期不超过4年。</w:t>
      </w:r>
    </w:p>
    <w:p w14:paraId="180EE3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三、付款方式</w:t>
      </w:r>
    </w:p>
    <w:p w14:paraId="7264D7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按年支付。乙方开具税率为6%的增值税专用发票，甲方在收到合规发票后30个工作日内支付第一年服务费；后续每下一年度服务费于上一年服务期满前30个工作日内支付。</w:t>
      </w:r>
    </w:p>
    <w:p w14:paraId="7279DD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四、最高限价</w:t>
      </w:r>
    </w:p>
    <w:p w14:paraId="032043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人民币300000.00元。</w:t>
      </w:r>
    </w:p>
    <w:p w14:paraId="273FA8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p>
    <w:p w14:paraId="59FE7408">
      <w:pPr>
        <w:pStyle w:val="26"/>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第四章  评标原则、程序与方法</w:t>
      </w:r>
    </w:p>
    <w:p w14:paraId="392C6DA8">
      <w:pPr>
        <w:shd w:val="clear"/>
        <w:spacing w:line="720" w:lineRule="auto"/>
        <w:ind w:firstLine="562" w:firstLineChars="200"/>
        <w:rPr>
          <w:rFonts w:ascii="楷体_GB2312" w:eastAsia="楷体_GB2312"/>
          <w:b/>
          <w:color w:val="auto"/>
          <w:sz w:val="28"/>
          <w:szCs w:val="28"/>
          <w:highlight w:val="none"/>
        </w:rPr>
      </w:pPr>
    </w:p>
    <w:p w14:paraId="75BBD585">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0" w:num="1"/>
          <w:rtlGutter w:val="0"/>
          <w:docGrid w:type="lines" w:linePitch="312" w:charSpace="0"/>
        </w:sectPr>
      </w:pPr>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4"/>
        <w:gridCol w:w="1215"/>
        <w:gridCol w:w="6113"/>
        <w:gridCol w:w="863"/>
        <w:gridCol w:w="713"/>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shd w:val="clear" w:color="auto" w:fill="D9D9D9"/>
            <w:noWrap w:val="0"/>
            <w:vAlign w:val="center"/>
          </w:tcPr>
          <w:p w14:paraId="09DA949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7" w:type="pct"/>
            <w:shd w:val="clear" w:color="auto" w:fill="D9D9D9"/>
            <w:noWrap w:val="0"/>
            <w:vAlign w:val="center"/>
          </w:tcPr>
          <w:p w14:paraId="76A820F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3" w:type="pct"/>
            <w:shd w:val="clear" w:color="auto" w:fill="D9D9D9"/>
            <w:noWrap w:val="0"/>
            <w:vAlign w:val="center"/>
          </w:tcPr>
          <w:p w14:paraId="62421B4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88DDD8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7" w:type="pct"/>
            <w:noWrap w:val="0"/>
            <w:vAlign w:val="center"/>
          </w:tcPr>
          <w:p w14:paraId="030A50E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103" w:type="pct"/>
            <w:noWrap w:val="0"/>
            <w:vAlign w:val="center"/>
          </w:tcPr>
          <w:p w14:paraId="35F20752">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基准价计算方法：当0≤有效投标人个数≤6时，评标基准价=所有有效标书的投标报价的算术平均值；当7≤有效投标人个数≤9时，评标基准价=所有有效标书的投标报价去掉1个最高价、1个最低价后的算术平均值；当10≤有效投标人个数≤∞时，评标基准价=所有有效标书的投标报价去掉2个最高价、2个最低价后的算术平均值。</w:t>
            </w:r>
          </w:p>
          <w:p w14:paraId="75904A85">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投标报价与评标基准价进行比较，相同得满分；每高于评标基准价1%，扣减0.5分，扣完为止；每低于评标基准价1%，扣减0.25分，扣完为止；偏离不足1%时，按照插入法计算得分，分数保留两位小数。</w:t>
            </w:r>
          </w:p>
        </w:tc>
        <w:tc>
          <w:tcPr>
            <w:tcW w:w="438" w:type="pct"/>
            <w:noWrap w:val="0"/>
            <w:vAlign w:val="center"/>
          </w:tcPr>
          <w:p w14:paraId="15C4570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3" w:type="pct"/>
            <w:noWrap w:val="0"/>
            <w:vAlign w:val="center"/>
          </w:tcPr>
          <w:p w14:paraId="1995713B">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投标人2023年1月1日至今（以合同签订时间为准）承揽的同类项目（指为法人或非法人组织提供法律顾问服务）业绩，每有一个得2分，本项最高得10分。</w:t>
            </w:r>
          </w:p>
          <w:p w14:paraId="2643A0C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注：投标文件中附合同主要条款页扫描件，不提供或提供的不满足要求不计分。</w:t>
            </w:r>
          </w:p>
        </w:tc>
        <w:tc>
          <w:tcPr>
            <w:tcW w:w="438" w:type="pct"/>
            <w:noWrap w:val="0"/>
            <w:vAlign w:val="center"/>
          </w:tcPr>
          <w:p w14:paraId="2F5FC49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项目负责人经验</w:t>
            </w:r>
          </w:p>
        </w:tc>
        <w:tc>
          <w:tcPr>
            <w:tcW w:w="3103" w:type="pct"/>
            <w:noWrap w:val="0"/>
            <w:vAlign w:val="center"/>
          </w:tcPr>
          <w:p w14:paraId="5C0EA0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拟派项目负责人2023年1月1日至今（以合同签订时间为准）作为项目负责人为法人或非法人组织提供法律顾问服务的，每有一个得2分，本项最高得4分。</w:t>
            </w:r>
          </w:p>
          <w:p w14:paraId="25E4B83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注：投标文件中附合同主要条款页扫描件，合同内容无法体现项目负责人的还应提供其他证明材料，不提供或提供的不满足要求不计分。</w:t>
            </w:r>
          </w:p>
        </w:tc>
        <w:tc>
          <w:tcPr>
            <w:tcW w:w="438" w:type="pct"/>
            <w:noWrap w:val="0"/>
            <w:vAlign w:val="center"/>
          </w:tcPr>
          <w:p w14:paraId="7BC4C910">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2C33439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服务方案</w:t>
            </w:r>
          </w:p>
        </w:tc>
        <w:tc>
          <w:tcPr>
            <w:tcW w:w="3103" w:type="pct"/>
            <w:noWrap w:val="0"/>
            <w:vAlign w:val="center"/>
          </w:tcPr>
          <w:p w14:paraId="797C9E03">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szCs w:val="24"/>
                <w:highlight w:val="none"/>
                <w:lang w:val="en-US" w:eastAsia="zh-CN"/>
              </w:rPr>
              <w:t>服务方案内容全面，对项目理解准确深入，能够紧密结合采购人实际需求，提出具有针对性、可操作性的法律服务措施。（10分）</w:t>
            </w:r>
          </w:p>
          <w:p w14:paraId="212E2B2D">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服务流程清晰合理，工作方法科学高效，能够根据项目特点灵活调整服务策略，确保法律服务响应及时、处置得当。（10分）</w:t>
            </w:r>
          </w:p>
          <w:p w14:paraId="00DCE8C1">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对常见法律风险的预判与处置方案具体可行，能够结合采购人业务特点及过往类似项目经验，针对项目服务过程中所有可能出现的问题考虑周全、阐释清晰，并针对性地提出前置性防控措施和分级响应机制。（10分）</w:t>
            </w:r>
          </w:p>
          <w:p w14:paraId="4143B216">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eastAsia="宋体"/>
                <w:lang w:val="en-US" w:eastAsia="zh-CN"/>
              </w:rPr>
            </w:pPr>
            <w:r>
              <w:rPr>
                <w:rFonts w:hint="eastAsia" w:ascii="仿宋" w:hAnsi="仿宋" w:eastAsia="仿宋" w:cs="仿宋"/>
                <w:b w:val="0"/>
                <w:bCs w:val="0"/>
                <w:color w:val="auto"/>
                <w:kern w:val="2"/>
                <w:sz w:val="24"/>
                <w:szCs w:val="24"/>
                <w:lang w:val="en-US" w:eastAsia="zh-CN" w:bidi="ar-SA"/>
              </w:rPr>
              <w:t>4.突发情况处置预案详细完善，可操作性强，对突发事件能够做到及时应急响应。（6分）</w:t>
            </w:r>
          </w:p>
          <w:p w14:paraId="5A9338E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w:t>
            </w:r>
            <w:r>
              <w:rPr>
                <w:rFonts w:hint="default" w:ascii="仿宋" w:hAnsi="仿宋" w:eastAsia="仿宋" w:cs="仿宋"/>
                <w:b w:val="0"/>
                <w:bCs w:val="0"/>
                <w:color w:val="auto"/>
                <w:sz w:val="24"/>
                <w:szCs w:val="24"/>
                <w:highlight w:val="none"/>
                <w:lang w:val="en-US" w:eastAsia="zh-CN"/>
              </w:rPr>
              <w:t>.与相关部门的协调机制</w:t>
            </w:r>
            <w:r>
              <w:rPr>
                <w:rFonts w:hint="eastAsia" w:ascii="仿宋" w:hAnsi="仿宋" w:eastAsia="仿宋" w:cs="仿宋"/>
                <w:b w:val="0"/>
                <w:bCs w:val="0"/>
                <w:color w:val="auto"/>
                <w:sz w:val="24"/>
                <w:szCs w:val="24"/>
                <w:highlight w:val="none"/>
                <w:lang w:val="en-US" w:eastAsia="zh-CN"/>
              </w:rPr>
              <w:t>健全高效。（6分）</w:t>
            </w:r>
          </w:p>
          <w:p w14:paraId="6727359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以上共计42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w:t>
            </w:r>
          </w:p>
        </w:tc>
      </w:tr>
      <w:tr w14:paraId="63249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688CB8F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26FC2AC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质量保证措施</w:t>
            </w:r>
          </w:p>
        </w:tc>
        <w:tc>
          <w:tcPr>
            <w:tcW w:w="3103" w:type="pct"/>
            <w:noWrap w:val="0"/>
            <w:vAlign w:val="center"/>
          </w:tcPr>
          <w:p w14:paraId="3CDE1FA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内控制度完整规范，内部质量管控举措严谨周密，可切实保障法律服务全流程的合规性与专业性，保证各项服务环节权责清晰、过程可控、结果可查。</w:t>
            </w:r>
          </w:p>
          <w:p w14:paraId="76355D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3E0235CA">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0BA3D17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r>
      <w:tr w14:paraId="619A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0F88EC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617" w:type="pct"/>
            <w:noWrap w:val="0"/>
            <w:vAlign w:val="center"/>
          </w:tcPr>
          <w:p w14:paraId="48BA8DD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服务承诺</w:t>
            </w:r>
          </w:p>
        </w:tc>
        <w:tc>
          <w:tcPr>
            <w:tcW w:w="3103" w:type="pct"/>
            <w:noWrap w:val="0"/>
            <w:vAlign w:val="center"/>
          </w:tcPr>
          <w:p w14:paraId="53A110C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服务承诺内容完整全面，针对不同类型法律事务设置差异化响应机制，响应速度快，各类问题的处理解决效率高，解决办法切实可行，能够充分满足采购人需求。</w:t>
            </w:r>
          </w:p>
          <w:p w14:paraId="499E7E0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04DEEF15">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D68283C">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r>
    </w:tbl>
    <w:p w14:paraId="0069139A">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19BE52C0">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5F40E932">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第五章  投标文件格式</w:t>
      </w:r>
    </w:p>
    <w:p w14:paraId="18A64A28">
      <w:pPr>
        <w:shd w:val="clear"/>
        <w:rPr>
          <w:rFonts w:hint="eastAsia"/>
          <w:color w:val="auto"/>
          <w:highlight w:val="none"/>
        </w:rPr>
      </w:pPr>
    </w:p>
    <w:p w14:paraId="7E49C012">
      <w:pPr>
        <w:pStyle w:val="9"/>
        <w:shd w:val="clear"/>
        <w:rPr>
          <w:rFonts w:hint="eastAsia"/>
          <w:color w:val="auto"/>
          <w:highlight w:val="none"/>
        </w:rPr>
      </w:pPr>
    </w:p>
    <w:p w14:paraId="14A2F161">
      <w:pPr>
        <w:shd w:val="clear"/>
        <w:rPr>
          <w:rFonts w:hint="eastAsia"/>
          <w:color w:val="auto"/>
          <w:highlight w:val="none"/>
        </w:rPr>
      </w:pPr>
    </w:p>
    <w:p w14:paraId="7939702F">
      <w:pPr>
        <w:pStyle w:val="9"/>
        <w:shd w:val="clear"/>
        <w:rPr>
          <w:rFonts w:hint="eastAsia"/>
          <w:color w:val="auto"/>
          <w:highlight w:val="none"/>
        </w:rPr>
      </w:pPr>
    </w:p>
    <w:p w14:paraId="5F29A9C2">
      <w:pPr>
        <w:shd w:val="clear"/>
        <w:rPr>
          <w:rFonts w:hint="eastAsia"/>
          <w:color w:val="auto"/>
          <w:highlight w:val="none"/>
        </w:rPr>
      </w:pPr>
    </w:p>
    <w:p w14:paraId="5EE5F81E">
      <w:pPr>
        <w:pStyle w:val="9"/>
        <w:shd w:val="clear"/>
        <w:rPr>
          <w:rFonts w:hint="eastAsia"/>
          <w:color w:val="auto"/>
          <w:highlight w:val="none"/>
        </w:rPr>
      </w:pPr>
    </w:p>
    <w:p w14:paraId="14740490">
      <w:pPr>
        <w:shd w:val="clear"/>
        <w:rPr>
          <w:color w:val="auto"/>
          <w:highlight w:val="none"/>
        </w:rPr>
      </w:pPr>
    </w:p>
    <w:p w14:paraId="0433F6EA">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jc w:val="left"/>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威海粮油发展有限公司常年法律顾问服务单位项目</w:t>
      </w:r>
    </w:p>
    <w:p w14:paraId="71F89436">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WHZCZB2026-096</w:t>
      </w:r>
    </w:p>
    <w:p w14:paraId="346DFF86">
      <w:pPr>
        <w:shd w:val="clear"/>
        <w:jc w:val="left"/>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2526779"/>
      <w:bookmarkStart w:id="6" w:name="_Toc521936040"/>
      <w:r>
        <w:rPr>
          <w:rFonts w:hint="eastAsia" w:ascii="黑体" w:hAnsi="黑体" w:eastAsia="黑体" w:cs="Times New Roman"/>
          <w:b/>
          <w:bCs/>
          <w:color w:val="auto"/>
          <w:sz w:val="44"/>
          <w:szCs w:val="44"/>
          <w:highlight w:val="none"/>
        </w:rPr>
        <w:t>投标承诺函</w:t>
      </w:r>
      <w:bookmarkEnd w:id="5"/>
      <w:bookmarkEnd w:id="6"/>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WHZCZB2026-096威海粮油发展有限公司常年法律顾问服务单位项目</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服务</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48569E0B">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99BB19">
      <w:pPr>
        <w:keepNext/>
        <w:keepLines/>
        <w:shd w:val="clear"/>
        <w:spacing w:line="560" w:lineRule="exact"/>
        <w:jc w:val="center"/>
        <w:outlineLvl w:val="1"/>
        <w:rPr>
          <w:rFonts w:ascii="Arial" w:hAnsi="Arial" w:eastAsia="黑体"/>
          <w:bCs/>
          <w:color w:val="auto"/>
          <w:sz w:val="44"/>
          <w:szCs w:val="32"/>
          <w:highlight w:val="none"/>
        </w:rPr>
        <w:sectPr>
          <w:headerReference r:id="rId15" w:type="default"/>
          <w:footerReference r:id="rId16" w:type="default"/>
          <w:pgSz w:w="11906" w:h="16838"/>
          <w:pgMar w:top="1440" w:right="1083" w:bottom="1440" w:left="1083" w:header="851" w:footer="992" w:gutter="0"/>
          <w:pgNumType w:fmt="decimal"/>
          <w:cols w:space="0" w:num="1"/>
          <w:rtlGutter w:val="0"/>
          <w:docGrid w:type="lines" w:linePitch="312" w:charSpace="0"/>
        </w:sectPr>
      </w:pPr>
      <w:bookmarkStart w:id="7" w:name="_Toc522526780"/>
      <w:bookmarkStart w:id="8" w:name="_Toc521936041"/>
    </w:p>
    <w:p w14:paraId="358BBC54">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eastAsia="zh-CN"/>
        </w:rPr>
        <w:t>报价明细表</w:t>
      </w:r>
    </w:p>
    <w:p w14:paraId="02F92ACB">
      <w:pPr>
        <w:pStyle w:val="176"/>
        <w:keepNext w:val="0"/>
        <w:keepLines w:val="0"/>
        <w:pageBreakBefore w:val="0"/>
        <w:widowControl w:val="0"/>
        <w:shd w:val="clear"/>
        <w:kinsoku/>
        <w:wordWrap/>
        <w:overflowPunct/>
        <w:topLinePunct w:val="0"/>
        <w:bidi w:val="0"/>
        <w:snapToGrid/>
        <w:spacing w:line="480" w:lineRule="exact"/>
        <w:ind w:right="0" w:rightChars="0" w:firstLine="0" w:firstLineChars="0"/>
        <w:jc w:val="right"/>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单位：元</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046"/>
        <w:gridCol w:w="2046"/>
        <w:gridCol w:w="1170"/>
        <w:gridCol w:w="1170"/>
        <w:gridCol w:w="1171"/>
        <w:gridCol w:w="1179"/>
      </w:tblGrid>
      <w:tr w14:paraId="7A68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588" w:type="pct"/>
            <w:noWrap w:val="0"/>
            <w:vAlign w:val="center"/>
          </w:tcPr>
          <w:p w14:paraId="017DB7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序号</w:t>
            </w:r>
          </w:p>
        </w:tc>
        <w:tc>
          <w:tcPr>
            <w:tcW w:w="1028" w:type="pct"/>
            <w:noWrap w:val="0"/>
            <w:vAlign w:val="center"/>
          </w:tcPr>
          <w:p w14:paraId="6CA338A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服务内容</w:t>
            </w:r>
          </w:p>
        </w:tc>
        <w:tc>
          <w:tcPr>
            <w:tcW w:w="1028" w:type="pct"/>
            <w:noWrap w:val="0"/>
            <w:vAlign w:val="center"/>
          </w:tcPr>
          <w:p w14:paraId="1A54B3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详细说明</w:t>
            </w:r>
          </w:p>
        </w:tc>
        <w:tc>
          <w:tcPr>
            <w:tcW w:w="588" w:type="pct"/>
            <w:noWrap w:val="0"/>
            <w:vAlign w:val="center"/>
          </w:tcPr>
          <w:p w14:paraId="2CBF99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数量</w:t>
            </w:r>
          </w:p>
        </w:tc>
        <w:tc>
          <w:tcPr>
            <w:tcW w:w="588" w:type="pct"/>
            <w:noWrap w:val="0"/>
            <w:vAlign w:val="center"/>
          </w:tcPr>
          <w:p w14:paraId="44008FC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单位</w:t>
            </w:r>
          </w:p>
        </w:tc>
        <w:tc>
          <w:tcPr>
            <w:tcW w:w="588" w:type="pct"/>
            <w:noWrap w:val="0"/>
            <w:vAlign w:val="center"/>
          </w:tcPr>
          <w:p w14:paraId="30A6534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单价</w:t>
            </w:r>
          </w:p>
        </w:tc>
        <w:tc>
          <w:tcPr>
            <w:tcW w:w="588" w:type="pct"/>
            <w:noWrap w:val="0"/>
            <w:vAlign w:val="center"/>
          </w:tcPr>
          <w:p w14:paraId="126DBB6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合价</w:t>
            </w:r>
          </w:p>
        </w:tc>
      </w:tr>
      <w:tr w14:paraId="29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1BF63FF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3324EE48">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355C742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EEAB12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lang w:val="en-US" w:eastAsia="zh-CN"/>
              </w:rPr>
            </w:pPr>
          </w:p>
        </w:tc>
        <w:tc>
          <w:tcPr>
            <w:tcW w:w="588" w:type="pct"/>
            <w:tcBorders>
              <w:bottom w:val="single" w:color="auto" w:sz="4" w:space="0"/>
            </w:tcBorders>
            <w:noWrap w:val="0"/>
            <w:vAlign w:val="center"/>
          </w:tcPr>
          <w:p w14:paraId="3D108AC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399114D6">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18017B9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17A1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5A3406D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4F8D09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0AEE0251">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498A07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22282ED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B62507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C70FAC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424B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2D3A443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7ED34C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6252862">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03B6B37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E102A6D">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1955C81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C60925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055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5616CB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166F787A">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3BDF8239">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745A2F9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45D92AE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0072E8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0BAD8BE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21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3C6F8238">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3D69CF1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1C81DB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5FFFF88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7EB6F3BC">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216AD37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1928B1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58E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7"/>
            <w:tcBorders>
              <w:bottom w:val="single" w:color="auto" w:sz="4" w:space="0"/>
            </w:tcBorders>
            <w:noWrap w:val="0"/>
            <w:vAlign w:val="center"/>
          </w:tcPr>
          <w:p w14:paraId="33374CE4">
            <w:pPr>
              <w:keepNext w:val="0"/>
              <w:keepLines w:val="0"/>
              <w:pageBreakBefore w:val="0"/>
              <w:widowControl w:val="0"/>
              <w:shd w:val="clear"/>
              <w:kinsoku/>
              <w:wordWrap/>
              <w:overflowPunct/>
              <w:topLinePunct w:val="0"/>
              <w:bidi w:val="0"/>
              <w:snapToGrid/>
              <w:spacing w:line="480" w:lineRule="exact"/>
              <w:ind w:right="0" w:rightChars="0" w:firstLine="0" w:firstLineChars="0"/>
              <w:jc w:val="left"/>
              <w:textAlignment w:val="auto"/>
              <w:rPr>
                <w:rFonts w:hint="eastAsia" w:ascii="仿宋" w:hAnsi="仿宋" w:eastAsia="仿宋" w:cs="仿宋"/>
                <w:sz w:val="32"/>
                <w:szCs w:val="32"/>
                <w:highlight w:val="none"/>
              </w:rPr>
            </w:pPr>
            <w:r>
              <w:rPr>
                <w:rFonts w:hint="eastAsia" w:ascii="仿宋" w:hAnsi="仿宋" w:eastAsia="仿宋" w:cs="仿宋"/>
                <w:b/>
                <w:sz w:val="32"/>
                <w:szCs w:val="32"/>
                <w:highlight w:val="none"/>
              </w:rPr>
              <w:t xml:space="preserve">总报价：人民币 </w:t>
            </w:r>
            <w:r>
              <w:rPr>
                <w:rFonts w:hint="eastAsia" w:ascii="仿宋" w:hAnsi="仿宋" w:eastAsia="仿宋" w:cs="仿宋"/>
                <w:b/>
                <w:sz w:val="32"/>
                <w:szCs w:val="32"/>
                <w:highlight w:val="none"/>
                <w:u w:val="single"/>
              </w:rPr>
              <w:t xml:space="preserve">               </w:t>
            </w:r>
            <w:r>
              <w:rPr>
                <w:rFonts w:hint="eastAsia" w:ascii="仿宋" w:hAnsi="仿宋" w:eastAsia="仿宋" w:cs="仿宋"/>
                <w:b/>
                <w:sz w:val="32"/>
                <w:szCs w:val="32"/>
                <w:highlight w:val="none"/>
              </w:rPr>
              <w:t>元。</w:t>
            </w:r>
          </w:p>
        </w:tc>
      </w:tr>
    </w:tbl>
    <w:p w14:paraId="79FD20A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注：此表应详细填写。</w:t>
      </w:r>
    </w:p>
    <w:p w14:paraId="7E159223">
      <w:pPr>
        <w:pStyle w:val="21"/>
        <w:shd w:val="clear"/>
        <w:rPr>
          <w:rFonts w:hint="eastAsia" w:ascii="仿宋" w:hAnsi="仿宋" w:eastAsia="仿宋" w:cs="仿宋"/>
          <w:highlight w:val="none"/>
          <w:lang w:eastAsia="zh-CN"/>
        </w:rPr>
      </w:pPr>
    </w:p>
    <w:p w14:paraId="4DB51FBF">
      <w:pPr>
        <w:shd w:val="clear"/>
        <w:spacing w:line="440" w:lineRule="exact"/>
        <w:rPr>
          <w:rFonts w:hint="eastAsia" w:ascii="仿宋" w:hAnsi="仿宋" w:eastAsia="仿宋" w:cs="仿宋"/>
          <w:color w:val="auto"/>
          <w:sz w:val="24"/>
          <w:highlight w:val="none"/>
          <w:lang w:val="en-US" w:eastAsia="zh-CN"/>
        </w:rPr>
      </w:pPr>
    </w:p>
    <w:p w14:paraId="16639805">
      <w:pPr>
        <w:shd w:val="clear"/>
        <w:jc w:val="center"/>
        <w:rPr>
          <w:rFonts w:hint="eastAsia" w:ascii="仿宋" w:hAnsi="仿宋" w:eastAsia="仿宋" w:cs="仿宋"/>
          <w:color w:val="auto"/>
          <w:highlight w:val="none"/>
        </w:rPr>
      </w:pPr>
    </w:p>
    <w:p w14:paraId="13D0D25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9BEE5BF">
      <w:pPr>
        <w:shd w:val="clear"/>
        <w:rPr>
          <w:rFonts w:hint="eastAsia" w:ascii="仿宋" w:hAnsi="仿宋" w:eastAsia="仿宋" w:cs="仿宋"/>
          <w:color w:val="auto"/>
          <w:highlight w:val="none"/>
        </w:rPr>
      </w:pPr>
    </w:p>
    <w:p w14:paraId="6F35B77E">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7"/>
    <w:bookmarkEnd w:id="8"/>
    <w:p w14:paraId="7E30DD7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6A703B3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有效的年度考核合格的《律师事务所执业许可证》或《律师事务所分所执业许可证》扫描件或其他能证明具有独立承担民事责任的能力的证明材料扫描件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9" w:name="_Toc521936044"/>
      <w:bookmarkStart w:id="10" w:name="_Toc522526782"/>
    </w:p>
    <w:p w14:paraId="2C34D931">
      <w:pPr>
        <w:keepNext/>
        <w:keepLines/>
        <w:shd w:val="clear"/>
        <w:spacing w:line="560" w:lineRule="exact"/>
        <w:jc w:val="center"/>
        <w:outlineLvl w:val="2"/>
        <w:rPr>
          <w:rFonts w:hint="default"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eastAsia="zh-CN"/>
        </w:rPr>
        <w:t>总所授权（</w:t>
      </w:r>
      <w:r>
        <w:rPr>
          <w:rFonts w:hint="eastAsia" w:eastAsia="黑体" w:cs="Times New Roman"/>
          <w:bCs/>
          <w:color w:val="auto"/>
          <w:sz w:val="32"/>
          <w:szCs w:val="32"/>
          <w:highlight w:val="none"/>
          <w:lang w:val="en-US" w:eastAsia="zh-CN"/>
        </w:rPr>
        <w:t>如有）</w:t>
      </w:r>
    </w:p>
    <w:p w14:paraId="1C99590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7A9924E">
      <w:pPr>
        <w:shd w:val="clear"/>
        <w:jc w:val="center"/>
        <w:rPr>
          <w:rFonts w:hint="eastAsia" w:ascii="仿宋" w:hAnsi="仿宋" w:eastAsia="仿宋" w:cs="仿宋"/>
          <w:color w:val="auto"/>
          <w:highlight w:val="none"/>
        </w:rPr>
      </w:pPr>
    </w:p>
    <w:p w14:paraId="63AD1B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highlight w:val="none"/>
        </w:rPr>
      </w:pPr>
      <w:r>
        <w:rPr>
          <w:rFonts w:hint="eastAsia" w:ascii="仿宋" w:hAnsi="仿宋" w:eastAsia="仿宋" w:cs="仿宋"/>
          <w:color w:val="auto"/>
          <w:sz w:val="28"/>
          <w:szCs w:val="28"/>
          <w:highlight w:val="none"/>
          <w:lang w:eastAsia="zh-CN"/>
        </w:rPr>
        <w:t>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60A28796">
      <w:pPr>
        <w:shd w:val="clear"/>
        <w:jc w:val="center"/>
        <w:rPr>
          <w:rFonts w:hint="eastAsia" w:ascii="仿宋" w:hAnsi="仿宋" w:eastAsia="仿宋" w:cs="仿宋"/>
          <w:color w:val="auto"/>
          <w:highlight w:val="none"/>
        </w:rPr>
      </w:pPr>
    </w:p>
    <w:p w14:paraId="1CC21463">
      <w:pPr>
        <w:shd w:val="clear"/>
        <w:jc w:val="center"/>
        <w:rPr>
          <w:rFonts w:hint="eastAsia" w:ascii="仿宋" w:hAnsi="仿宋" w:eastAsia="仿宋" w:cs="仿宋"/>
          <w:color w:val="auto"/>
          <w:highlight w:val="none"/>
        </w:rPr>
      </w:pPr>
    </w:p>
    <w:p w14:paraId="781BA868">
      <w:pPr>
        <w:shd w:val="clear"/>
        <w:jc w:val="center"/>
        <w:rPr>
          <w:rFonts w:hint="eastAsia" w:ascii="仿宋" w:hAnsi="仿宋" w:eastAsia="仿宋" w:cs="仿宋"/>
          <w:color w:val="auto"/>
          <w:highlight w:val="none"/>
        </w:rPr>
      </w:pPr>
    </w:p>
    <w:p w14:paraId="2F3B6454">
      <w:pPr>
        <w:shd w:val="clear"/>
        <w:jc w:val="center"/>
        <w:rPr>
          <w:rFonts w:hint="eastAsia" w:ascii="仿宋" w:hAnsi="仿宋" w:eastAsia="仿宋" w:cs="仿宋"/>
          <w:color w:val="auto"/>
          <w:highlight w:val="none"/>
        </w:rPr>
      </w:pPr>
    </w:p>
    <w:p w14:paraId="053B11CD">
      <w:pPr>
        <w:shd w:val="clear"/>
        <w:jc w:val="center"/>
        <w:rPr>
          <w:rFonts w:hint="eastAsia" w:ascii="仿宋" w:hAnsi="仿宋" w:eastAsia="仿宋" w:cs="仿宋"/>
          <w:color w:val="auto"/>
          <w:highlight w:val="none"/>
        </w:rPr>
      </w:pPr>
    </w:p>
    <w:p w14:paraId="65C87030">
      <w:pPr>
        <w:shd w:val="clear"/>
        <w:jc w:val="center"/>
        <w:rPr>
          <w:rFonts w:hint="eastAsia" w:ascii="仿宋" w:hAnsi="仿宋" w:eastAsia="仿宋" w:cs="仿宋"/>
          <w:color w:val="auto"/>
          <w:highlight w:val="none"/>
        </w:rPr>
      </w:pPr>
    </w:p>
    <w:p w14:paraId="21DFB15A">
      <w:pPr>
        <w:shd w:val="clear"/>
        <w:jc w:val="center"/>
        <w:rPr>
          <w:rFonts w:hint="eastAsia" w:ascii="仿宋" w:hAnsi="仿宋" w:eastAsia="仿宋" w:cs="仿宋"/>
          <w:color w:val="auto"/>
          <w:highlight w:val="none"/>
        </w:rPr>
      </w:pPr>
    </w:p>
    <w:p w14:paraId="3CAA88E5">
      <w:pPr>
        <w:shd w:val="clear"/>
        <w:jc w:val="center"/>
        <w:rPr>
          <w:rFonts w:hint="eastAsia" w:ascii="仿宋" w:hAnsi="仿宋" w:eastAsia="仿宋" w:cs="仿宋"/>
          <w:color w:val="auto"/>
          <w:highlight w:val="none"/>
        </w:rPr>
      </w:pPr>
    </w:p>
    <w:p w14:paraId="046D7D77">
      <w:pPr>
        <w:shd w:val="clear"/>
        <w:jc w:val="center"/>
        <w:rPr>
          <w:rFonts w:hint="eastAsia" w:ascii="仿宋" w:hAnsi="仿宋" w:eastAsia="仿宋" w:cs="仿宋"/>
          <w:color w:val="auto"/>
          <w:highlight w:val="none"/>
        </w:rPr>
      </w:pPr>
    </w:p>
    <w:p w14:paraId="295A9017">
      <w:pPr>
        <w:shd w:val="clear"/>
        <w:jc w:val="center"/>
        <w:rPr>
          <w:rFonts w:hint="eastAsia" w:ascii="仿宋" w:hAnsi="仿宋" w:eastAsia="仿宋" w:cs="仿宋"/>
          <w:color w:val="auto"/>
          <w:highlight w:val="none"/>
        </w:rPr>
      </w:pPr>
    </w:p>
    <w:p w14:paraId="0C7A51D8">
      <w:pPr>
        <w:shd w:val="clear"/>
        <w:jc w:val="center"/>
        <w:rPr>
          <w:rFonts w:hint="eastAsia" w:ascii="仿宋" w:hAnsi="仿宋" w:eastAsia="仿宋" w:cs="仿宋"/>
          <w:color w:val="auto"/>
          <w:highlight w:val="none"/>
        </w:rPr>
      </w:pPr>
    </w:p>
    <w:p w14:paraId="020533DA">
      <w:pPr>
        <w:shd w:val="clear"/>
        <w:jc w:val="center"/>
        <w:rPr>
          <w:rFonts w:hint="eastAsia" w:ascii="仿宋" w:hAnsi="仿宋" w:eastAsia="仿宋" w:cs="仿宋"/>
          <w:color w:val="auto"/>
          <w:highlight w:val="none"/>
        </w:rPr>
      </w:pPr>
    </w:p>
    <w:p w14:paraId="5731A859">
      <w:pPr>
        <w:shd w:val="clear"/>
        <w:jc w:val="center"/>
        <w:rPr>
          <w:rFonts w:hint="eastAsia" w:ascii="仿宋" w:hAnsi="仿宋" w:eastAsia="仿宋" w:cs="仿宋"/>
          <w:color w:val="auto"/>
          <w:highlight w:val="none"/>
        </w:rPr>
      </w:pPr>
    </w:p>
    <w:p w14:paraId="2F67F3E0">
      <w:pPr>
        <w:shd w:val="clear"/>
        <w:jc w:val="center"/>
        <w:rPr>
          <w:rFonts w:hint="eastAsia" w:ascii="仿宋" w:hAnsi="仿宋" w:eastAsia="仿宋" w:cs="仿宋"/>
          <w:color w:val="auto"/>
          <w:highlight w:val="none"/>
        </w:rPr>
      </w:pPr>
    </w:p>
    <w:p w14:paraId="515DAC94">
      <w:pPr>
        <w:shd w:val="clear"/>
        <w:jc w:val="center"/>
        <w:rPr>
          <w:rFonts w:hint="eastAsia" w:ascii="仿宋" w:hAnsi="仿宋" w:eastAsia="仿宋" w:cs="仿宋"/>
          <w:color w:val="auto"/>
          <w:highlight w:val="none"/>
        </w:rPr>
      </w:pPr>
    </w:p>
    <w:p w14:paraId="25920E87">
      <w:pPr>
        <w:shd w:val="clear"/>
        <w:jc w:val="center"/>
        <w:rPr>
          <w:rFonts w:hint="eastAsia" w:ascii="仿宋" w:hAnsi="仿宋" w:eastAsia="仿宋" w:cs="仿宋"/>
          <w:color w:val="auto"/>
          <w:highlight w:val="none"/>
        </w:rPr>
      </w:pPr>
    </w:p>
    <w:p w14:paraId="1F49604A">
      <w:pPr>
        <w:shd w:val="clear"/>
        <w:jc w:val="center"/>
        <w:rPr>
          <w:rFonts w:hint="eastAsia" w:ascii="仿宋" w:hAnsi="仿宋" w:eastAsia="仿宋" w:cs="仿宋"/>
          <w:color w:val="auto"/>
          <w:highlight w:val="none"/>
        </w:rPr>
      </w:pPr>
    </w:p>
    <w:p w14:paraId="5770AE27">
      <w:pPr>
        <w:shd w:val="clear"/>
        <w:jc w:val="center"/>
        <w:rPr>
          <w:rFonts w:hint="eastAsia" w:ascii="仿宋" w:hAnsi="仿宋" w:eastAsia="仿宋" w:cs="仿宋"/>
          <w:color w:val="auto"/>
          <w:highlight w:val="none"/>
        </w:rPr>
      </w:pPr>
    </w:p>
    <w:p w14:paraId="60F67ADB">
      <w:pPr>
        <w:shd w:val="clear"/>
        <w:jc w:val="center"/>
        <w:rPr>
          <w:rFonts w:hint="eastAsia" w:ascii="仿宋" w:hAnsi="仿宋" w:eastAsia="仿宋" w:cs="仿宋"/>
          <w:color w:val="auto"/>
          <w:highlight w:val="none"/>
        </w:rPr>
      </w:pPr>
    </w:p>
    <w:p w14:paraId="0DDCE34D">
      <w:pPr>
        <w:shd w:val="clear"/>
        <w:jc w:val="center"/>
        <w:rPr>
          <w:rFonts w:hint="eastAsia" w:ascii="仿宋" w:hAnsi="仿宋" w:eastAsia="仿宋" w:cs="仿宋"/>
          <w:color w:val="auto"/>
          <w:highlight w:val="none"/>
        </w:rPr>
      </w:pPr>
    </w:p>
    <w:p w14:paraId="318C5096">
      <w:pPr>
        <w:shd w:val="clear"/>
        <w:jc w:val="center"/>
        <w:rPr>
          <w:rFonts w:hint="eastAsia" w:ascii="仿宋" w:hAnsi="仿宋" w:eastAsia="仿宋" w:cs="仿宋"/>
          <w:color w:val="auto"/>
          <w:highlight w:val="none"/>
        </w:rPr>
      </w:pPr>
    </w:p>
    <w:p w14:paraId="11D1F1EE">
      <w:pPr>
        <w:shd w:val="clear"/>
        <w:jc w:val="center"/>
        <w:rPr>
          <w:rFonts w:hint="eastAsia" w:ascii="仿宋" w:hAnsi="仿宋" w:eastAsia="仿宋" w:cs="仿宋"/>
          <w:color w:val="auto"/>
          <w:highlight w:val="none"/>
        </w:rPr>
      </w:pPr>
    </w:p>
    <w:p w14:paraId="01F03037">
      <w:pPr>
        <w:shd w:val="clear"/>
        <w:jc w:val="center"/>
        <w:rPr>
          <w:rFonts w:hint="eastAsia" w:ascii="仿宋" w:hAnsi="仿宋" w:eastAsia="仿宋" w:cs="仿宋"/>
          <w:color w:val="auto"/>
          <w:highlight w:val="none"/>
        </w:rPr>
      </w:pPr>
    </w:p>
    <w:p w14:paraId="4B341B1B">
      <w:pPr>
        <w:shd w:val="clear"/>
        <w:jc w:val="center"/>
        <w:rPr>
          <w:rFonts w:hint="eastAsia" w:ascii="仿宋" w:hAnsi="仿宋" w:eastAsia="仿宋" w:cs="仿宋"/>
          <w:color w:val="auto"/>
          <w:highlight w:val="none"/>
        </w:rPr>
      </w:pPr>
    </w:p>
    <w:p w14:paraId="55FFFCA5">
      <w:pPr>
        <w:shd w:val="clear"/>
        <w:jc w:val="center"/>
        <w:rPr>
          <w:rFonts w:hint="eastAsia" w:ascii="仿宋" w:hAnsi="仿宋" w:eastAsia="仿宋" w:cs="仿宋"/>
          <w:color w:val="auto"/>
          <w:highlight w:val="none"/>
        </w:rPr>
      </w:pPr>
    </w:p>
    <w:p w14:paraId="0D67441F">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6DB645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7" w:type="default"/>
          <w:footerReference r:id="rId18" w:type="default"/>
          <w:pgSz w:w="11906" w:h="16838"/>
          <w:pgMar w:top="1440" w:right="1083" w:bottom="1440" w:left="1083" w:header="851" w:footer="992" w:gutter="0"/>
          <w:pgNumType w:fmt="decimal"/>
          <w:cols w:space="0" w:num="1"/>
          <w:rtlGutter w:val="0"/>
          <w:docGrid w:type="lines" w:linePitch="312" w:charSpace="0"/>
        </w:sectPr>
      </w:pPr>
    </w:p>
    <w:bookmarkEnd w:id="9"/>
    <w:bookmarkEnd w:id="10"/>
    <w:p w14:paraId="2D99FC1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p>
    <w:p w14:paraId="6A634B2D">
      <w:pPr>
        <w:shd w:val="clear"/>
        <w:rPr>
          <w:color w:val="auto"/>
          <w:highlight w:val="none"/>
        </w:rPr>
      </w:pPr>
    </w:p>
    <w:p w14:paraId="0614E851">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法定代表人/单位负责人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WHZCZB2026-096</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7C1530B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2B95AFC4">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0FAAF55D">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324DF221">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w:t>
      </w:r>
    </w:p>
    <w:p w14:paraId="2D18E31E">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56F4DC55">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7C813737">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5642675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4D537B21">
      <w:pPr>
        <w:shd w:val="clear"/>
        <w:rPr>
          <w:rFonts w:hint="eastAsia" w:ascii="仿宋" w:hAnsi="仿宋" w:eastAsia="仿宋" w:cs="仿宋"/>
          <w:color w:val="auto"/>
          <w:highlight w:val="none"/>
        </w:rPr>
      </w:pPr>
    </w:p>
    <w:p w14:paraId="017F49D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4059C24">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C1E7E4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48CF33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50C854B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BB403A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10FC09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我单位自愿参加本项目采购活动，现郑重声明：具有良好的商业信誉和健全的财务会计制度。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3C3BC0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我单位自愿参加本项目采购活动，现郑重声明：具有履行合同所必需的设备和专业技术能力。</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1"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CDAA9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2D03BC2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4D0A9FF7">
      <w:pPr>
        <w:shd w:val="clear"/>
        <w:jc w:val="center"/>
        <w:rPr>
          <w:rFonts w:hint="eastAsia" w:ascii="仿宋" w:hAnsi="仿宋" w:eastAsia="仿宋" w:cs="仿宋"/>
          <w:color w:val="auto"/>
          <w:highlight w:val="none"/>
        </w:rPr>
      </w:pPr>
    </w:p>
    <w:p w14:paraId="6EF632B4">
      <w:pPr>
        <w:shd w:val="clear"/>
        <w:jc w:val="center"/>
        <w:rPr>
          <w:rFonts w:hint="eastAsia" w:ascii="仿宋" w:hAnsi="仿宋" w:eastAsia="仿宋" w:cs="仿宋"/>
          <w:color w:val="auto"/>
          <w:highlight w:val="none"/>
        </w:rPr>
      </w:pPr>
    </w:p>
    <w:p w14:paraId="3F771707">
      <w:pPr>
        <w:shd w:val="clear"/>
        <w:jc w:val="center"/>
        <w:rPr>
          <w:rFonts w:hint="eastAsia" w:ascii="仿宋" w:hAnsi="仿宋" w:eastAsia="仿宋" w:cs="仿宋"/>
          <w:color w:val="auto"/>
          <w:highlight w:val="none"/>
        </w:rPr>
      </w:pPr>
    </w:p>
    <w:p w14:paraId="6ACE5820">
      <w:pPr>
        <w:shd w:val="clear"/>
        <w:jc w:val="center"/>
        <w:rPr>
          <w:rFonts w:hint="eastAsia" w:ascii="仿宋" w:hAnsi="仿宋" w:eastAsia="仿宋" w:cs="仿宋"/>
          <w:color w:val="auto"/>
          <w:highlight w:val="none"/>
        </w:rPr>
      </w:pPr>
    </w:p>
    <w:p w14:paraId="1AE337B8">
      <w:pPr>
        <w:shd w:val="clear"/>
        <w:jc w:val="center"/>
        <w:rPr>
          <w:rFonts w:hint="eastAsia" w:ascii="仿宋" w:hAnsi="仿宋" w:eastAsia="仿宋" w:cs="仿宋"/>
          <w:color w:val="auto"/>
          <w:highlight w:val="none"/>
        </w:rPr>
      </w:pPr>
    </w:p>
    <w:p w14:paraId="193482AF">
      <w:pPr>
        <w:shd w:val="clear"/>
        <w:jc w:val="center"/>
        <w:rPr>
          <w:rFonts w:hint="eastAsia" w:ascii="仿宋" w:hAnsi="仿宋" w:eastAsia="仿宋" w:cs="仿宋"/>
          <w:color w:val="auto"/>
          <w:highlight w:val="none"/>
        </w:rPr>
      </w:pPr>
    </w:p>
    <w:p w14:paraId="5BBD0574">
      <w:pPr>
        <w:shd w:val="clear"/>
        <w:jc w:val="center"/>
        <w:rPr>
          <w:rFonts w:hint="eastAsia" w:ascii="仿宋" w:hAnsi="仿宋" w:eastAsia="仿宋" w:cs="仿宋"/>
          <w:color w:val="auto"/>
          <w:highlight w:val="none"/>
        </w:rPr>
      </w:pPr>
    </w:p>
    <w:p w14:paraId="5BF9372A">
      <w:pPr>
        <w:shd w:val="clear"/>
        <w:jc w:val="center"/>
        <w:rPr>
          <w:rFonts w:hint="eastAsia" w:ascii="仿宋" w:hAnsi="仿宋" w:eastAsia="仿宋" w:cs="仿宋"/>
          <w:color w:val="auto"/>
          <w:highlight w:val="none"/>
        </w:rPr>
      </w:pPr>
    </w:p>
    <w:p w14:paraId="3DC2E685">
      <w:pPr>
        <w:shd w:val="clear"/>
        <w:jc w:val="center"/>
        <w:rPr>
          <w:rFonts w:hint="eastAsia" w:ascii="仿宋" w:hAnsi="仿宋" w:eastAsia="仿宋" w:cs="仿宋"/>
          <w:color w:val="auto"/>
          <w:highlight w:val="none"/>
        </w:rPr>
      </w:pPr>
    </w:p>
    <w:p w14:paraId="4ED159E3">
      <w:pPr>
        <w:shd w:val="clear"/>
        <w:jc w:val="center"/>
        <w:rPr>
          <w:rFonts w:hint="eastAsia" w:ascii="仿宋" w:hAnsi="仿宋" w:eastAsia="仿宋" w:cs="仿宋"/>
          <w:color w:val="auto"/>
          <w:highlight w:val="none"/>
        </w:rPr>
      </w:pPr>
    </w:p>
    <w:p w14:paraId="53047B88">
      <w:pPr>
        <w:shd w:val="clear"/>
        <w:jc w:val="center"/>
        <w:rPr>
          <w:rFonts w:hint="eastAsia" w:ascii="仿宋" w:hAnsi="仿宋" w:eastAsia="仿宋" w:cs="仿宋"/>
          <w:color w:val="auto"/>
          <w:highlight w:val="none"/>
        </w:rPr>
      </w:pPr>
    </w:p>
    <w:p w14:paraId="72F824B0">
      <w:pPr>
        <w:shd w:val="clear"/>
        <w:jc w:val="center"/>
        <w:rPr>
          <w:rFonts w:hint="eastAsia" w:ascii="仿宋" w:hAnsi="仿宋" w:eastAsia="仿宋" w:cs="仿宋"/>
          <w:color w:val="auto"/>
          <w:highlight w:val="none"/>
        </w:rPr>
      </w:pPr>
    </w:p>
    <w:p w14:paraId="1817279B">
      <w:pPr>
        <w:shd w:val="clear"/>
        <w:jc w:val="center"/>
        <w:rPr>
          <w:rFonts w:hint="eastAsia" w:ascii="仿宋" w:hAnsi="仿宋" w:eastAsia="仿宋" w:cs="仿宋"/>
          <w:color w:val="auto"/>
          <w:highlight w:val="none"/>
        </w:rPr>
      </w:pPr>
    </w:p>
    <w:p w14:paraId="0D30158D">
      <w:pPr>
        <w:shd w:val="clear"/>
        <w:jc w:val="center"/>
        <w:rPr>
          <w:rFonts w:hint="eastAsia" w:ascii="仿宋" w:hAnsi="仿宋" w:eastAsia="仿宋" w:cs="仿宋"/>
          <w:color w:val="auto"/>
          <w:highlight w:val="none"/>
        </w:rPr>
      </w:pPr>
    </w:p>
    <w:p w14:paraId="1209C81F">
      <w:pPr>
        <w:shd w:val="clear"/>
        <w:jc w:val="center"/>
        <w:rPr>
          <w:rFonts w:hint="eastAsia" w:ascii="仿宋" w:hAnsi="仿宋" w:eastAsia="仿宋" w:cs="仿宋"/>
          <w:color w:val="auto"/>
          <w:highlight w:val="none"/>
        </w:rPr>
      </w:pPr>
    </w:p>
    <w:p w14:paraId="6B557E33">
      <w:pPr>
        <w:shd w:val="clear"/>
        <w:jc w:val="center"/>
        <w:rPr>
          <w:rFonts w:hint="eastAsia" w:ascii="仿宋" w:hAnsi="仿宋" w:eastAsia="仿宋" w:cs="仿宋"/>
          <w:color w:val="auto"/>
          <w:highlight w:val="none"/>
        </w:rPr>
      </w:pPr>
    </w:p>
    <w:p w14:paraId="31320672">
      <w:pPr>
        <w:shd w:val="clear"/>
        <w:jc w:val="center"/>
        <w:rPr>
          <w:rFonts w:hint="eastAsia" w:ascii="仿宋" w:hAnsi="仿宋" w:eastAsia="仿宋" w:cs="仿宋"/>
          <w:color w:val="auto"/>
          <w:highlight w:val="none"/>
        </w:rPr>
      </w:pPr>
    </w:p>
    <w:p w14:paraId="0408FDBF">
      <w:pPr>
        <w:shd w:val="clear"/>
        <w:jc w:val="center"/>
        <w:rPr>
          <w:rFonts w:hint="eastAsia" w:ascii="仿宋" w:hAnsi="仿宋" w:eastAsia="仿宋" w:cs="仿宋"/>
          <w:color w:val="auto"/>
          <w:highlight w:val="none"/>
        </w:rPr>
      </w:pPr>
    </w:p>
    <w:p w14:paraId="5D44A2C4">
      <w:pPr>
        <w:shd w:val="clear"/>
        <w:jc w:val="center"/>
        <w:rPr>
          <w:rFonts w:hint="eastAsia" w:ascii="仿宋" w:hAnsi="仿宋" w:eastAsia="仿宋" w:cs="仿宋"/>
          <w:color w:val="auto"/>
          <w:highlight w:val="none"/>
        </w:rPr>
      </w:pPr>
    </w:p>
    <w:p w14:paraId="139E77E9">
      <w:pPr>
        <w:shd w:val="clear"/>
        <w:jc w:val="center"/>
        <w:rPr>
          <w:rFonts w:hint="eastAsia" w:ascii="仿宋" w:hAnsi="仿宋" w:eastAsia="仿宋" w:cs="仿宋"/>
          <w:color w:val="auto"/>
          <w:highlight w:val="none"/>
        </w:rPr>
      </w:pPr>
    </w:p>
    <w:p w14:paraId="6C2102B4">
      <w:pPr>
        <w:shd w:val="clear"/>
        <w:jc w:val="center"/>
        <w:rPr>
          <w:rFonts w:hint="eastAsia" w:ascii="仿宋" w:hAnsi="仿宋" w:eastAsia="仿宋" w:cs="仿宋"/>
          <w:color w:val="auto"/>
          <w:highlight w:val="none"/>
        </w:rPr>
      </w:pPr>
    </w:p>
    <w:p w14:paraId="176CECEF">
      <w:pPr>
        <w:shd w:val="clear"/>
        <w:jc w:val="center"/>
        <w:rPr>
          <w:rFonts w:hint="eastAsia" w:ascii="仿宋" w:hAnsi="仿宋" w:eastAsia="仿宋" w:cs="仿宋"/>
          <w:color w:val="auto"/>
          <w:highlight w:val="none"/>
        </w:rPr>
      </w:pPr>
    </w:p>
    <w:p w14:paraId="47EA3CDD">
      <w:pPr>
        <w:shd w:val="clear"/>
        <w:jc w:val="center"/>
        <w:rPr>
          <w:rFonts w:hint="eastAsia" w:ascii="仿宋" w:hAnsi="仿宋" w:eastAsia="仿宋" w:cs="仿宋"/>
          <w:color w:val="auto"/>
          <w:highlight w:val="none"/>
        </w:rPr>
      </w:pPr>
    </w:p>
    <w:p w14:paraId="16E83D27">
      <w:pPr>
        <w:shd w:val="clear"/>
        <w:jc w:val="center"/>
        <w:rPr>
          <w:rFonts w:hint="eastAsia" w:ascii="仿宋" w:hAnsi="仿宋" w:eastAsia="仿宋" w:cs="仿宋"/>
          <w:color w:val="auto"/>
          <w:highlight w:val="none"/>
        </w:rPr>
      </w:pPr>
    </w:p>
    <w:p w14:paraId="5B4137F5">
      <w:pPr>
        <w:shd w:val="clear"/>
        <w:jc w:val="center"/>
        <w:rPr>
          <w:rFonts w:hint="eastAsia" w:ascii="仿宋" w:hAnsi="仿宋" w:eastAsia="仿宋" w:cs="仿宋"/>
          <w:color w:val="auto"/>
          <w:highlight w:val="none"/>
        </w:rPr>
      </w:pPr>
    </w:p>
    <w:p w14:paraId="3A3FB028">
      <w:pPr>
        <w:shd w:val="clear"/>
        <w:jc w:val="center"/>
        <w:rPr>
          <w:rFonts w:hint="eastAsia" w:ascii="仿宋" w:hAnsi="仿宋" w:eastAsia="仿宋" w:cs="仿宋"/>
          <w:color w:val="auto"/>
          <w:highlight w:val="none"/>
        </w:rPr>
      </w:pPr>
    </w:p>
    <w:p w14:paraId="20A7D5B7">
      <w:pPr>
        <w:shd w:val="clear"/>
        <w:jc w:val="center"/>
        <w:rPr>
          <w:rFonts w:hint="eastAsia" w:ascii="仿宋" w:hAnsi="仿宋" w:eastAsia="仿宋" w:cs="仿宋"/>
          <w:color w:val="auto"/>
          <w:highlight w:val="none"/>
        </w:rPr>
      </w:pPr>
    </w:p>
    <w:p w14:paraId="48B8DFA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51C499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无重大违法记录等声明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w:t>
      </w:r>
      <w:r>
        <w:rPr>
          <w:rFonts w:hint="eastAsia" w:ascii="仿宋" w:hAnsi="仿宋" w:eastAsia="仿宋" w:cs="仿宋"/>
          <w:bCs/>
          <w:color w:val="auto"/>
          <w:sz w:val="28"/>
          <w:szCs w:val="28"/>
          <w:highlight w:val="none"/>
          <w:lang w:val="en-US" w:eastAsia="zh-CN"/>
        </w:rPr>
        <w:t>WHZCZB2026-096</w:t>
      </w:r>
      <w:r>
        <w:rPr>
          <w:rFonts w:hint="eastAsia" w:ascii="仿宋" w:hAnsi="仿宋" w:eastAsia="仿宋" w:cs="仿宋"/>
          <w:bCs/>
          <w:color w:val="auto"/>
          <w:sz w:val="28"/>
          <w:szCs w:val="28"/>
          <w:highlight w:val="none"/>
        </w:rPr>
        <w:t>）采购活动前三年内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无因违法经营受到刑事处罚或者责令停产停业的、吊销许可证或者执照的、较大数额罚款等行政处罚</w:t>
      </w:r>
      <w:r>
        <w:rPr>
          <w:rFonts w:hint="eastAsia" w:ascii="仿宋" w:hAnsi="仿宋" w:eastAsia="仿宋" w:cs="仿宋"/>
          <w:bCs/>
          <w:color w:val="auto"/>
          <w:sz w:val="28"/>
          <w:szCs w:val="28"/>
          <w:highlight w:val="none"/>
          <w:lang w:eastAsia="zh-CN"/>
        </w:rPr>
        <w:t>，且</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lang w:eastAsia="zh-CN"/>
        </w:rPr>
        <w:t>及法定代表人/单位负责人、项目负责人未受到司法行政机关行政处罚、未遭受律师协会行业处分、无行贿犯罪记录</w:t>
      </w:r>
      <w:r>
        <w:rPr>
          <w:rFonts w:hint="eastAsia" w:ascii="仿宋" w:hAnsi="仿宋" w:eastAsia="仿宋" w:cs="仿宋"/>
          <w:bCs/>
          <w:color w:val="auto"/>
          <w:sz w:val="28"/>
          <w:szCs w:val="28"/>
          <w:highlight w:val="none"/>
        </w:rPr>
        <w:t xml:space="preserve">。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1896D679">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w:t>
      </w:r>
      <w:r>
        <w:rPr>
          <w:rFonts w:hint="eastAsia" w:ascii="仿宋" w:hAnsi="仿宋" w:eastAsia="仿宋" w:cs="仿宋"/>
          <w:bCs/>
          <w:color w:val="auto"/>
          <w:kern w:val="0"/>
          <w:sz w:val="28"/>
          <w:szCs w:val="28"/>
          <w:highlight w:val="none"/>
          <w:lang w:val="en-US" w:eastAsia="zh-CN"/>
        </w:rPr>
        <w:t>/单位负责人</w:t>
      </w:r>
      <w:r>
        <w:rPr>
          <w:rFonts w:hint="eastAsia" w:ascii="仿宋" w:hAnsi="仿宋" w:eastAsia="仿宋" w:cs="仿宋"/>
          <w:bCs/>
          <w:color w:val="auto"/>
          <w:kern w:val="0"/>
          <w:sz w:val="28"/>
          <w:szCs w:val="28"/>
          <w:highlight w:val="none"/>
        </w:rPr>
        <w:t>签章</w:t>
      </w:r>
      <w:r>
        <w:rPr>
          <w:rFonts w:hint="eastAsia" w:ascii="仿宋" w:hAnsi="仿宋" w:eastAsia="仿宋" w:cs="仿宋"/>
          <w:color w:val="auto"/>
          <w:kern w:val="0"/>
          <w:sz w:val="28"/>
          <w:szCs w:val="28"/>
          <w:highlight w:val="none"/>
        </w:rPr>
        <w:t xml:space="preserve">：      </w:t>
      </w:r>
    </w:p>
    <w:p w14:paraId="484E1154">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7FC62A20">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1936050"/>
      <w:bookmarkStart w:id="13" w:name="_Toc522526789"/>
      <w:r>
        <w:rPr>
          <w:rFonts w:hint="eastAsia" w:ascii="Times New Roman" w:hAnsi="Times New Roman" w:eastAsia="黑体" w:cs="Times New Roman"/>
          <w:bCs/>
          <w:color w:val="auto"/>
          <w:sz w:val="32"/>
          <w:szCs w:val="32"/>
          <w:highlight w:val="none"/>
        </w:rPr>
        <w:t>投标人及其法定代表人/单位负责人、被授权人、项目负责人未被最高人民法院列为失信被执行人网站查询结果截图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9"/>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2"/>
    <w:bookmarkEnd w:id="13"/>
    <w:p w14:paraId="21ED7F2C">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投标人近一年在“信用中国”或“信用中国（山东）”无严重失信记录声明</w:t>
      </w:r>
    </w:p>
    <w:p w14:paraId="1291068F">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3B45AA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近一年在“信用中国”或“信用中国（山东）”无严重失信记录</w:t>
      </w:r>
      <w:r>
        <w:rPr>
          <w:rFonts w:hint="eastAsia" w:ascii="仿宋" w:hAnsi="仿宋" w:eastAsia="仿宋" w:cs="仿宋"/>
          <w:color w:val="auto"/>
          <w:kern w:val="0"/>
          <w:sz w:val="30"/>
          <w:szCs w:val="30"/>
          <w:highlight w:val="none"/>
          <w:u w:val="none"/>
        </w:rPr>
        <w:t>。</w:t>
      </w:r>
    </w:p>
    <w:p w14:paraId="5DC56C7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15ECAAB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54CBB936">
      <w:pPr>
        <w:shd w:val="clear"/>
        <w:jc w:val="center"/>
        <w:rPr>
          <w:rFonts w:hint="eastAsia" w:ascii="仿宋" w:hAnsi="仿宋" w:eastAsia="仿宋" w:cs="仿宋"/>
          <w:color w:val="auto"/>
          <w:sz w:val="28"/>
          <w:szCs w:val="28"/>
          <w:highlight w:val="none"/>
        </w:rPr>
      </w:pPr>
    </w:p>
    <w:p w14:paraId="773B8C1F">
      <w:pPr>
        <w:shd w:val="clear"/>
        <w:jc w:val="center"/>
        <w:rPr>
          <w:rFonts w:hint="eastAsia" w:ascii="仿宋" w:hAnsi="仿宋" w:eastAsia="仿宋" w:cs="仿宋"/>
          <w:color w:val="auto"/>
          <w:sz w:val="28"/>
          <w:szCs w:val="28"/>
          <w:highlight w:val="none"/>
        </w:rPr>
      </w:pPr>
    </w:p>
    <w:p w14:paraId="22A4CCBC">
      <w:pPr>
        <w:shd w:val="clear"/>
        <w:jc w:val="center"/>
        <w:rPr>
          <w:rFonts w:hint="eastAsia" w:ascii="仿宋" w:hAnsi="仿宋" w:eastAsia="仿宋" w:cs="仿宋"/>
          <w:color w:val="auto"/>
          <w:sz w:val="28"/>
          <w:szCs w:val="28"/>
          <w:highlight w:val="none"/>
        </w:rPr>
      </w:pPr>
    </w:p>
    <w:p w14:paraId="2892E6BF">
      <w:pPr>
        <w:shd w:val="clear"/>
        <w:spacing w:line="520" w:lineRule="exact"/>
        <w:ind w:firstLine="3900" w:firstLineChars="1300"/>
        <w:jc w:val="right"/>
        <w:rPr>
          <w:rFonts w:hint="eastAsia" w:ascii="仿宋" w:hAnsi="仿宋" w:eastAsia="仿宋" w:cs="仿宋"/>
          <w:color w:val="auto"/>
          <w:sz w:val="30"/>
          <w:szCs w:val="30"/>
          <w:highlight w:val="none"/>
        </w:rPr>
      </w:pPr>
    </w:p>
    <w:p w14:paraId="226F13F3">
      <w:pPr>
        <w:shd w:val="clear"/>
        <w:rPr>
          <w:rFonts w:hint="eastAsia" w:ascii="仿宋" w:hAnsi="仿宋" w:eastAsia="仿宋" w:cs="仿宋"/>
          <w:color w:val="auto"/>
          <w:highlight w:val="none"/>
        </w:rPr>
      </w:pPr>
    </w:p>
    <w:p w14:paraId="70E0BA82">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3D748B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7969FB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200F3021">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1936051"/>
      <w:bookmarkStart w:id="15" w:name="_Toc522526790"/>
      <w:r>
        <w:rPr>
          <w:rFonts w:hint="eastAsia" w:ascii="黑体" w:hAnsi="黑体" w:eastAsia="黑体" w:cs="Times New Roman"/>
          <w:b/>
          <w:bCs/>
          <w:color w:val="auto"/>
          <w:sz w:val="44"/>
          <w:szCs w:val="44"/>
          <w:highlight w:val="none"/>
        </w:rPr>
        <w:t>符合性审查表</w:t>
      </w:r>
    </w:p>
    <w:p w14:paraId="4C5C60C7">
      <w:pPr>
        <w:shd w:val="clear"/>
        <w:rPr>
          <w:rFonts w:hint="eastAsia" w:ascii="仿宋" w:hAnsi="仿宋" w:eastAsia="仿宋" w:cs="仿宋"/>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4708"/>
        <w:gridCol w:w="4708"/>
      </w:tblGrid>
      <w:tr w14:paraId="223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0ACEC8FC">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64" w:type="pct"/>
            <w:tcBorders>
              <w:top w:val="single" w:color="auto" w:sz="4" w:space="0"/>
              <w:left w:val="nil"/>
              <w:bottom w:val="single" w:color="auto" w:sz="4" w:space="0"/>
              <w:right w:val="single" w:color="auto" w:sz="4" w:space="0"/>
            </w:tcBorders>
            <w:noWrap w:val="0"/>
            <w:vAlign w:val="center"/>
          </w:tcPr>
          <w:p w14:paraId="67748A02">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64" w:type="pct"/>
            <w:tcBorders>
              <w:top w:val="single" w:color="auto" w:sz="4" w:space="0"/>
              <w:left w:val="nil"/>
              <w:bottom w:val="single" w:color="auto" w:sz="4" w:space="0"/>
              <w:right w:val="single" w:color="auto" w:sz="4" w:space="0"/>
            </w:tcBorders>
            <w:noWrap w:val="0"/>
            <w:vAlign w:val="center"/>
          </w:tcPr>
          <w:p w14:paraId="28E5F359">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4FDF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FBC0C6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64" w:type="pct"/>
            <w:tcBorders>
              <w:top w:val="single" w:color="auto" w:sz="4" w:space="0"/>
              <w:left w:val="nil"/>
              <w:bottom w:val="single" w:color="auto" w:sz="4" w:space="0"/>
              <w:right w:val="single" w:color="auto" w:sz="4" w:space="0"/>
            </w:tcBorders>
            <w:noWrap w:val="0"/>
            <w:vAlign w:val="center"/>
          </w:tcPr>
          <w:p w14:paraId="16B88FE7">
            <w:pPr>
              <w:shd w:val="clear"/>
              <w:snapToGrid w:val="0"/>
              <w:spacing w:line="44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投标有效期：开标之日起90日。</w:t>
            </w:r>
          </w:p>
        </w:tc>
        <w:tc>
          <w:tcPr>
            <w:tcW w:w="2364" w:type="pct"/>
            <w:tcBorders>
              <w:top w:val="single" w:color="auto" w:sz="4" w:space="0"/>
              <w:left w:val="nil"/>
              <w:bottom w:val="single" w:color="auto" w:sz="4" w:space="0"/>
              <w:right w:val="single" w:color="auto" w:sz="4" w:space="0"/>
            </w:tcBorders>
            <w:noWrap w:val="0"/>
            <w:vAlign w:val="center"/>
          </w:tcPr>
          <w:p w14:paraId="4C94A1AF">
            <w:pPr>
              <w:shd w:val="clear"/>
              <w:snapToGrid w:val="0"/>
              <w:spacing w:line="440" w:lineRule="exact"/>
              <w:jc w:val="both"/>
              <w:rPr>
                <w:rFonts w:hint="eastAsia" w:ascii="仿宋" w:hAnsi="仿宋" w:eastAsia="仿宋" w:cs="仿宋"/>
                <w:color w:val="auto"/>
                <w:sz w:val="28"/>
                <w:szCs w:val="28"/>
                <w:highlight w:val="none"/>
              </w:rPr>
            </w:pPr>
          </w:p>
        </w:tc>
      </w:tr>
      <w:tr w14:paraId="2FE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47506E7">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364" w:type="pct"/>
            <w:tcBorders>
              <w:top w:val="single" w:color="auto" w:sz="4" w:space="0"/>
              <w:left w:val="nil"/>
              <w:bottom w:val="single" w:color="auto" w:sz="4" w:space="0"/>
              <w:right w:val="single" w:color="auto" w:sz="4" w:space="0"/>
            </w:tcBorders>
            <w:noWrap w:val="0"/>
            <w:vAlign w:val="center"/>
          </w:tcPr>
          <w:p w14:paraId="766C72BE">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服务期：3年。双方若无异议，合同期满自动延续1年，总服务期不超过4年。</w:t>
            </w:r>
          </w:p>
        </w:tc>
        <w:tc>
          <w:tcPr>
            <w:tcW w:w="2364" w:type="pct"/>
            <w:tcBorders>
              <w:top w:val="single" w:color="auto" w:sz="4" w:space="0"/>
              <w:left w:val="nil"/>
              <w:bottom w:val="single" w:color="auto" w:sz="4" w:space="0"/>
              <w:right w:val="single" w:color="auto" w:sz="4" w:space="0"/>
            </w:tcBorders>
            <w:noWrap w:val="0"/>
            <w:vAlign w:val="center"/>
          </w:tcPr>
          <w:p w14:paraId="50EC1640">
            <w:pPr>
              <w:shd w:val="clear"/>
              <w:snapToGrid w:val="0"/>
              <w:spacing w:line="440" w:lineRule="exact"/>
              <w:jc w:val="both"/>
              <w:rPr>
                <w:rFonts w:hint="eastAsia" w:ascii="仿宋" w:hAnsi="仿宋" w:eastAsia="仿宋" w:cs="仿宋"/>
                <w:color w:val="auto"/>
                <w:sz w:val="28"/>
                <w:szCs w:val="28"/>
                <w:highlight w:val="none"/>
              </w:rPr>
            </w:pPr>
          </w:p>
        </w:tc>
      </w:tr>
      <w:tr w14:paraId="0A15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7227BA9">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2364" w:type="pct"/>
            <w:tcBorders>
              <w:top w:val="single" w:color="auto" w:sz="4" w:space="0"/>
              <w:left w:val="nil"/>
              <w:bottom w:val="single" w:color="auto" w:sz="4" w:space="0"/>
              <w:right w:val="single" w:color="auto" w:sz="4" w:space="0"/>
            </w:tcBorders>
            <w:noWrap w:val="0"/>
            <w:vAlign w:val="center"/>
          </w:tcPr>
          <w:p w14:paraId="7745B09D">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付款方式：按年支付。乙方开具税率为6%的增值税专用发票，甲方在收到合规发票后30个工作日内支付第一年服务费；后续每下一年度服务费于上一年服务期满前30个工作日内支付。</w:t>
            </w:r>
          </w:p>
        </w:tc>
        <w:tc>
          <w:tcPr>
            <w:tcW w:w="2364" w:type="pct"/>
            <w:tcBorders>
              <w:top w:val="single" w:color="auto" w:sz="4" w:space="0"/>
              <w:left w:val="nil"/>
              <w:bottom w:val="single" w:color="auto" w:sz="4" w:space="0"/>
              <w:right w:val="single" w:color="auto" w:sz="4" w:space="0"/>
            </w:tcBorders>
            <w:noWrap w:val="0"/>
            <w:vAlign w:val="center"/>
          </w:tcPr>
          <w:p w14:paraId="3E6CCE80">
            <w:pPr>
              <w:shd w:val="clear"/>
              <w:snapToGrid w:val="0"/>
              <w:spacing w:line="440" w:lineRule="exact"/>
              <w:jc w:val="both"/>
              <w:rPr>
                <w:rFonts w:hint="eastAsia" w:ascii="仿宋" w:hAnsi="仿宋" w:eastAsia="仿宋" w:cs="仿宋"/>
                <w:color w:val="auto"/>
                <w:sz w:val="28"/>
                <w:szCs w:val="28"/>
                <w:highlight w:val="none"/>
              </w:rPr>
            </w:pPr>
          </w:p>
        </w:tc>
      </w:tr>
    </w:tbl>
    <w:p w14:paraId="51E022C0">
      <w:pPr>
        <w:shd w:val="clear"/>
        <w:jc w:val="center"/>
        <w:rPr>
          <w:rFonts w:hint="eastAsia" w:ascii="仿宋" w:hAnsi="仿宋" w:eastAsia="仿宋" w:cs="仿宋"/>
          <w:color w:val="auto"/>
          <w:sz w:val="28"/>
          <w:szCs w:val="28"/>
          <w:highlight w:val="none"/>
        </w:rPr>
      </w:pPr>
    </w:p>
    <w:p w14:paraId="37BAB37B">
      <w:pPr>
        <w:shd w:val="clear"/>
        <w:jc w:val="both"/>
        <w:rPr>
          <w:rFonts w:hint="eastAsia" w:ascii="仿宋" w:hAnsi="仿宋" w:eastAsia="仿宋" w:cs="仿宋"/>
          <w:color w:val="auto"/>
          <w:sz w:val="28"/>
          <w:szCs w:val="28"/>
          <w:highlight w:val="none"/>
        </w:rPr>
      </w:pPr>
    </w:p>
    <w:p w14:paraId="709AA7AC">
      <w:pPr>
        <w:shd w:val="clear"/>
        <w:jc w:val="center"/>
        <w:rPr>
          <w:rFonts w:hint="eastAsia" w:ascii="仿宋" w:hAnsi="仿宋" w:eastAsia="仿宋" w:cs="仿宋"/>
          <w:color w:val="auto"/>
          <w:sz w:val="28"/>
          <w:szCs w:val="28"/>
          <w:highlight w:val="none"/>
        </w:rPr>
      </w:pPr>
    </w:p>
    <w:p w14:paraId="7447E265">
      <w:pPr>
        <w:shd w:val="clear"/>
        <w:spacing w:line="520" w:lineRule="exact"/>
        <w:ind w:firstLine="3900" w:firstLineChars="1300"/>
        <w:jc w:val="right"/>
        <w:rPr>
          <w:rFonts w:hint="eastAsia" w:ascii="仿宋" w:hAnsi="仿宋" w:eastAsia="仿宋" w:cs="仿宋"/>
          <w:color w:val="auto"/>
          <w:sz w:val="30"/>
          <w:szCs w:val="30"/>
          <w:highlight w:val="none"/>
        </w:rPr>
      </w:pPr>
    </w:p>
    <w:p w14:paraId="41204B11">
      <w:pPr>
        <w:shd w:val="clea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2EE5A9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771"/>
        <w:gridCol w:w="886"/>
        <w:gridCol w:w="1176"/>
        <w:gridCol w:w="1043"/>
        <w:gridCol w:w="237"/>
        <w:gridCol w:w="1560"/>
        <w:gridCol w:w="175"/>
        <w:gridCol w:w="291"/>
        <w:gridCol w:w="2206"/>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60"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06"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60"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06"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4"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6"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5"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2"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5"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58"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58"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4"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39"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4"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39"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58"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4BFD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732CF9BC">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1.与我单位</w:t>
            </w:r>
            <w:r>
              <w:rPr>
                <w:rFonts w:hint="eastAsia" w:ascii="仿宋" w:hAnsi="仿宋" w:eastAsia="仿宋" w:cs="仿宋"/>
                <w:color w:val="auto"/>
                <w:sz w:val="28"/>
                <w:szCs w:val="28"/>
                <w:highlight w:val="none"/>
              </w:rPr>
              <w:t>单位负责人为同一人</w:t>
            </w:r>
            <w:r>
              <w:rPr>
                <w:rFonts w:hint="eastAsia" w:ascii="仿宋" w:hAnsi="仿宋" w:eastAsia="仿宋" w:cs="仿宋"/>
                <w:color w:val="auto"/>
                <w:sz w:val="28"/>
                <w:szCs w:val="28"/>
                <w:highlight w:val="none"/>
                <w:lang w:val="en-US" w:eastAsia="zh-CN"/>
              </w:rPr>
              <w:t>的其他单位为：</w:t>
            </w:r>
          </w:p>
          <w:p w14:paraId="2AFCAC37">
            <w:pPr>
              <w:shd w:val="clear"/>
              <w:spacing w:line="440" w:lineRule="exact"/>
              <w:jc w:val="both"/>
              <w:rPr>
                <w:rFonts w:hint="eastAsia" w:ascii="仿宋" w:hAnsi="仿宋" w:eastAsia="仿宋" w:cs="仿宋"/>
                <w:color w:val="auto"/>
                <w:sz w:val="28"/>
                <w:szCs w:val="28"/>
                <w:highlight w:val="none"/>
                <w:lang w:val="en-US" w:eastAsia="zh-CN"/>
              </w:rPr>
            </w:pPr>
          </w:p>
          <w:p w14:paraId="28F11047">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2.与我单位</w:t>
            </w:r>
            <w:r>
              <w:rPr>
                <w:rFonts w:hint="eastAsia" w:ascii="仿宋" w:hAnsi="仿宋" w:eastAsia="仿宋" w:cs="仿宋"/>
                <w:color w:val="auto"/>
                <w:sz w:val="28"/>
                <w:szCs w:val="28"/>
                <w:highlight w:val="none"/>
              </w:rPr>
              <w:t>存在控股、管理关系的</w:t>
            </w:r>
            <w:r>
              <w:rPr>
                <w:rFonts w:hint="eastAsia" w:ascii="仿宋" w:hAnsi="仿宋" w:eastAsia="仿宋" w:cs="仿宋"/>
                <w:color w:val="auto"/>
                <w:sz w:val="28"/>
                <w:szCs w:val="28"/>
                <w:highlight w:val="none"/>
                <w:lang w:val="en-US" w:eastAsia="zh-CN"/>
              </w:rPr>
              <w:t>其他单位为：</w:t>
            </w:r>
          </w:p>
          <w:p w14:paraId="6050C965">
            <w:pPr>
              <w:shd w:val="clear"/>
              <w:spacing w:line="440" w:lineRule="exact"/>
              <w:jc w:val="both"/>
              <w:rPr>
                <w:rFonts w:hint="eastAsia" w:ascii="仿宋" w:hAnsi="仿宋" w:eastAsia="仿宋" w:cs="仿宋"/>
                <w:color w:val="auto"/>
                <w:sz w:val="28"/>
                <w:szCs w:val="28"/>
                <w:highlight w:val="none"/>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20026C31">
      <w:pPr>
        <w:shd w:val="clear"/>
        <w:spacing w:line="520" w:lineRule="exact"/>
        <w:ind w:firstLine="3900" w:firstLineChars="1300"/>
        <w:jc w:val="right"/>
        <w:rPr>
          <w:rFonts w:hint="eastAsia" w:ascii="仿宋" w:hAnsi="仿宋" w:eastAsia="仿宋" w:cs="仿宋"/>
          <w:color w:val="auto"/>
          <w:sz w:val="30"/>
          <w:szCs w:val="30"/>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489"/>
        <w:gridCol w:w="1489"/>
        <w:gridCol w:w="864"/>
        <w:gridCol w:w="1176"/>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0C1E8455">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项目负责人及拟派主要人员情况表</w:t>
      </w:r>
    </w:p>
    <w:tbl>
      <w:tblPr>
        <w:tblStyle w:val="30"/>
        <w:tblpPr w:leftFromText="180" w:rightFromText="180" w:vertAnchor="text" w:horzAnchor="margin" w:tblpXSpec="center" w:tblpY="26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81"/>
        <w:gridCol w:w="103"/>
        <w:gridCol w:w="914"/>
        <w:gridCol w:w="265"/>
        <w:gridCol w:w="451"/>
        <w:gridCol w:w="902"/>
        <w:gridCol w:w="420"/>
        <w:gridCol w:w="933"/>
        <w:gridCol w:w="724"/>
        <w:gridCol w:w="835"/>
        <w:gridCol w:w="638"/>
        <w:gridCol w:w="910"/>
        <w:gridCol w:w="1384"/>
      </w:tblGrid>
      <w:tr w14:paraId="3893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top"/>
          </w:tcPr>
          <w:p w14:paraId="438AC3B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项目负责人情况</w:t>
            </w:r>
          </w:p>
        </w:tc>
      </w:tr>
      <w:tr w14:paraId="6F4C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426827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835" w:type="pct"/>
            <w:gridSpan w:val="3"/>
            <w:tcBorders>
              <w:top w:val="single" w:color="auto" w:sz="4" w:space="0"/>
              <w:left w:val="single" w:color="auto" w:sz="4" w:space="0"/>
              <w:bottom w:val="single" w:color="auto" w:sz="4" w:space="0"/>
              <w:right w:val="single" w:color="auto" w:sz="4" w:space="0"/>
            </w:tcBorders>
            <w:noWrap w:val="0"/>
            <w:vAlign w:val="center"/>
          </w:tcPr>
          <w:p w14:paraId="45B5DB2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677" w:type="pct"/>
            <w:gridSpan w:val="2"/>
            <w:tcBorders>
              <w:top w:val="single" w:color="auto" w:sz="4" w:space="0"/>
              <w:left w:val="single" w:color="auto" w:sz="4" w:space="0"/>
              <w:bottom w:val="single" w:color="auto" w:sz="4" w:space="0"/>
              <w:right w:val="single" w:color="auto" w:sz="4" w:space="0"/>
            </w:tcBorders>
            <w:noWrap w:val="0"/>
            <w:vAlign w:val="center"/>
          </w:tcPr>
          <w:p w14:paraId="7C34E9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性别</w:t>
            </w:r>
          </w:p>
        </w:tc>
        <w:tc>
          <w:tcPr>
            <w:tcW w:w="848" w:type="pct"/>
            <w:gridSpan w:val="2"/>
            <w:tcBorders>
              <w:top w:val="single" w:color="auto" w:sz="4" w:space="0"/>
              <w:left w:val="single" w:color="auto" w:sz="4" w:space="0"/>
              <w:bottom w:val="single" w:color="auto" w:sz="4" w:space="0"/>
              <w:right w:val="single" w:color="auto" w:sz="4" w:space="0"/>
            </w:tcBorders>
            <w:noWrap w:val="0"/>
            <w:vAlign w:val="center"/>
          </w:tcPr>
          <w:p w14:paraId="7587D32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602425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6145FC3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79CE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5715941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361" w:type="pct"/>
            <w:gridSpan w:val="7"/>
            <w:tcBorders>
              <w:top w:val="single" w:color="auto" w:sz="4" w:space="0"/>
              <w:left w:val="single" w:color="auto" w:sz="4" w:space="0"/>
              <w:bottom w:val="single" w:color="auto" w:sz="4" w:space="0"/>
              <w:right w:val="single" w:color="auto" w:sz="4" w:space="0"/>
            </w:tcBorders>
            <w:noWrap w:val="0"/>
            <w:vAlign w:val="center"/>
          </w:tcPr>
          <w:p w14:paraId="4C9509F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1480E30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4E2B9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639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6D77C04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参加工作时间</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56AD3DB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4E1D27A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执业</w:t>
            </w:r>
            <w:r>
              <w:rPr>
                <w:rFonts w:hint="eastAsia" w:ascii="仿宋" w:hAnsi="仿宋" w:eastAsia="仿宋" w:cs="仿宋"/>
                <w:color w:val="auto"/>
                <w:sz w:val="28"/>
                <w:szCs w:val="28"/>
                <w:highlight w:val="none"/>
              </w:rPr>
              <w:t>时间</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CB0E67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4BCC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7E067F03">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常驻地</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74E5CE0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05CD1C9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3EF891E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07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428AD0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rPr>
              <w:t>承担的项目情况一览表</w:t>
            </w:r>
          </w:p>
        </w:tc>
      </w:tr>
      <w:tr w14:paraId="7CEB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62F464F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F0E9C6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委托单位</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F55C61D">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签订时间</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A20067B">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在本项目中承担的职务</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6F08369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联系人及电话</w:t>
            </w:r>
          </w:p>
        </w:tc>
      </w:tr>
      <w:tr w14:paraId="0C7E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73BDF5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79649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34078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32B617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4294AF7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183E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372296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233E945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31086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4D974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12B280E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4EE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13FAB70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C1ADE4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AA8851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585CED9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5DE84E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0FB5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2FA1D4D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其他人员情况</w:t>
            </w:r>
          </w:p>
        </w:tc>
      </w:tr>
      <w:tr w14:paraId="0486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306BA7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412486C">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职务</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7B5F8EE">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常驻地</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1C9AEF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29C287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959B83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执业时间</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0FE3748B">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备注</w:t>
            </w:r>
          </w:p>
        </w:tc>
      </w:tr>
      <w:tr w14:paraId="1389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B37CDAD">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B80ECC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929DA0D">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206ED35">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CDF624C">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954418A">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02DFE2F4">
            <w:pPr>
              <w:shd w:val="clear"/>
              <w:spacing w:line="440" w:lineRule="exact"/>
              <w:jc w:val="center"/>
              <w:rPr>
                <w:rFonts w:hint="eastAsia" w:ascii="仿宋" w:hAnsi="仿宋" w:eastAsia="仿宋" w:cs="仿宋"/>
                <w:color w:val="auto"/>
                <w:sz w:val="28"/>
                <w:szCs w:val="28"/>
                <w:highlight w:val="none"/>
              </w:rPr>
            </w:pPr>
          </w:p>
        </w:tc>
      </w:tr>
      <w:tr w14:paraId="111B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9CE8268">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359329F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1ED9308">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42BDE708">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598A133B">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5151C52">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0C5EA15">
            <w:pPr>
              <w:shd w:val="clear"/>
              <w:spacing w:line="440" w:lineRule="exact"/>
              <w:jc w:val="center"/>
              <w:rPr>
                <w:rFonts w:hint="eastAsia" w:ascii="仿宋" w:hAnsi="仿宋" w:eastAsia="仿宋" w:cs="仿宋"/>
                <w:color w:val="auto"/>
                <w:sz w:val="28"/>
                <w:szCs w:val="28"/>
                <w:highlight w:val="none"/>
              </w:rPr>
            </w:pPr>
          </w:p>
        </w:tc>
      </w:tr>
      <w:tr w14:paraId="53E4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4EF003E">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46770640">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3D6CA47">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D9F7CCD">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A5C1C2E">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28DA8C4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15DD39EE">
            <w:pPr>
              <w:shd w:val="clear"/>
              <w:spacing w:line="440" w:lineRule="exact"/>
              <w:jc w:val="center"/>
              <w:rPr>
                <w:rFonts w:hint="eastAsia" w:ascii="仿宋" w:hAnsi="仿宋" w:eastAsia="仿宋" w:cs="仿宋"/>
                <w:color w:val="auto"/>
                <w:sz w:val="28"/>
                <w:szCs w:val="28"/>
                <w:highlight w:val="none"/>
              </w:rPr>
            </w:pPr>
          </w:p>
        </w:tc>
      </w:tr>
      <w:tr w14:paraId="3A92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5DC7264">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7E1D0C1B">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25DA7B3">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0AAA0D14">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35CE15DD">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78B128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24533B9">
            <w:pPr>
              <w:shd w:val="clear"/>
              <w:spacing w:line="440" w:lineRule="exact"/>
              <w:jc w:val="center"/>
              <w:rPr>
                <w:rFonts w:hint="eastAsia" w:ascii="仿宋" w:hAnsi="仿宋" w:eastAsia="仿宋" w:cs="仿宋"/>
                <w:color w:val="auto"/>
                <w:sz w:val="28"/>
                <w:szCs w:val="28"/>
                <w:highlight w:val="none"/>
              </w:rPr>
            </w:pPr>
          </w:p>
        </w:tc>
      </w:tr>
    </w:tbl>
    <w:p w14:paraId="0239351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注：后附拟派人员相关</w:t>
      </w:r>
      <w:r>
        <w:rPr>
          <w:rFonts w:hint="eastAsia" w:ascii="仿宋" w:hAnsi="仿宋" w:eastAsia="仿宋" w:cs="仿宋"/>
          <w:color w:val="auto"/>
          <w:sz w:val="24"/>
          <w:highlight w:val="none"/>
          <w:lang w:val="en-US" w:eastAsia="zh-CN"/>
        </w:rPr>
        <w:t>证明材料</w:t>
      </w:r>
      <w:r>
        <w:rPr>
          <w:rFonts w:hint="eastAsia" w:ascii="仿宋" w:hAnsi="仿宋" w:eastAsia="仿宋" w:cs="仿宋"/>
          <w:color w:val="auto"/>
          <w:sz w:val="24"/>
          <w:highlight w:val="none"/>
        </w:rPr>
        <w:t>扫描件。</w:t>
      </w:r>
    </w:p>
    <w:p w14:paraId="7178F0AC">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045327BF">
      <w:pPr>
        <w:shd w:val="clear"/>
        <w:rPr>
          <w:rFonts w:hint="eastAsia" w:ascii="仿宋" w:hAnsi="仿宋" w:eastAsia="仿宋" w:cs="仿宋"/>
          <w:color w:val="auto"/>
          <w:highlight w:val="none"/>
        </w:rPr>
      </w:pPr>
    </w:p>
    <w:p w14:paraId="03C8ACB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649B9A9">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FDFF9C8">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技术文件</w:t>
      </w:r>
    </w:p>
    <w:bookmarkEnd w:id="14"/>
    <w:bookmarkEnd w:id="15"/>
    <w:p w14:paraId="26590F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16" w:name="_Toc522526800"/>
      <w:bookmarkStart w:id="17" w:name="_Toc521936062"/>
      <w:r>
        <w:rPr>
          <w:rFonts w:hint="eastAsia" w:ascii="仿宋" w:hAnsi="仿宋" w:eastAsia="仿宋" w:cs="仿宋"/>
          <w:color w:val="auto"/>
          <w:sz w:val="28"/>
          <w:szCs w:val="28"/>
          <w:highlight w:val="none"/>
        </w:rPr>
        <w:t>包括但不限于以下内容：</w:t>
      </w:r>
    </w:p>
    <w:p w14:paraId="47EF2C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①服务方案；</w:t>
      </w:r>
    </w:p>
    <w:p w14:paraId="336022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②质量保证措施；</w:t>
      </w:r>
    </w:p>
    <w:p w14:paraId="2337E3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③服务承诺；</w:t>
      </w:r>
    </w:p>
    <w:p w14:paraId="3C5C6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④投标人认为需要提交的其他相关技术文件（根据评分标准及项目要求格式自拟）。</w:t>
      </w:r>
    </w:p>
    <w:p w14:paraId="54160787">
      <w:pPr>
        <w:pStyle w:val="9"/>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9"/>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9"/>
        <w:rPr>
          <w:rFonts w:hint="eastAsia" w:ascii="仿宋" w:hAnsi="仿宋" w:eastAsia="仿宋" w:cs="仿宋"/>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3"/>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3"/>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3"/>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3"/>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3"/>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3"/>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3"/>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3"/>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6"/>
    <w:bookmarkEnd w:id="17"/>
    <w:p w14:paraId="272AF3A1">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kern w:val="2"/>
          <w:sz w:val="44"/>
          <w:szCs w:val="44"/>
          <w:highlight w:val="none"/>
          <w:lang w:val="en-US" w:eastAsia="zh-CN" w:bidi="ar-SA"/>
        </w:rPr>
        <w:sectPr>
          <w:pgSz w:w="11906" w:h="16838"/>
          <w:pgMar w:top="1440" w:right="1083" w:bottom="1440" w:left="1083" w:header="851" w:footer="992" w:gutter="0"/>
          <w:pgNumType w:fmt="decimal"/>
          <w:cols w:space="0" w:num="1"/>
          <w:rtlGutter w:val="0"/>
          <w:docGrid w:type="lines" w:linePitch="317" w:charSpace="0"/>
        </w:sectPr>
      </w:pPr>
      <w:r>
        <w:rPr>
          <w:rFonts w:hint="eastAsia" w:ascii="楷体_GB2312" w:hAnsi="宋体" w:eastAsia="楷体_GB2312" w:cs="宋体"/>
          <w:b/>
          <w:bCs/>
          <w:color w:val="auto"/>
          <w:kern w:val="2"/>
          <w:sz w:val="44"/>
          <w:szCs w:val="44"/>
          <w:highlight w:val="none"/>
          <w:lang w:val="en-US" w:eastAsia="zh-CN" w:bidi="ar-SA"/>
        </w:rPr>
        <w:t>第六章  采购合同（范本）</w:t>
      </w:r>
    </w:p>
    <w:p w14:paraId="54AA0E7F">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5DEF4CC">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7848B7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CA1B499">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138997B2">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4B840655">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F4D674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287E49E0">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9F5C452">
      <w:pPr>
        <w:keepNext w:val="0"/>
        <w:keepLines w:val="0"/>
        <w:pageBreakBefore w:val="0"/>
        <w:widowControl/>
        <w:kinsoku/>
        <w:wordWrap w:val="0"/>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val="0"/>
          <w:bCs w:val="0"/>
          <w:sz w:val="60"/>
          <w:szCs w:val="60"/>
          <w:u w:val="none"/>
        </w:rPr>
      </w:pPr>
      <w:r>
        <w:rPr>
          <w:rFonts w:hint="eastAsia" w:ascii="仿宋" w:hAnsi="仿宋" w:eastAsia="仿宋" w:cs="仿宋"/>
          <w:b w:val="0"/>
          <w:bCs w:val="0"/>
          <w:sz w:val="60"/>
          <w:szCs w:val="60"/>
          <w:u w:val="none"/>
        </w:rPr>
        <w:t>常年法律顾问合同</w:t>
      </w:r>
    </w:p>
    <w:p w14:paraId="0D3C8334">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7F8DD12">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41EE840">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731ECF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E8764AF">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9BE32F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E5BA86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9F2C93">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550E1D">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6C0C828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29C13492">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pPr>
      <w:r>
        <w:rPr>
          <w:rFonts w:hint="eastAsia" w:ascii="仿宋" w:hAnsi="仿宋" w:eastAsia="仿宋" w:cs="仿宋"/>
          <w:b w:val="0"/>
          <w:bCs w:val="0"/>
          <w:sz w:val="32"/>
          <w:szCs w:val="32"/>
          <w:u w:val="none"/>
        </w:rPr>
        <w:t>甲方：威海粮油发展有限公司</w:t>
      </w:r>
    </w:p>
    <w:p w14:paraId="0E49068A">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sectPr>
          <w:footerReference r:id="rId19" w:type="default"/>
          <w:pgSz w:w="11900" w:h="16820"/>
          <w:pgMar w:top="1440" w:right="1080" w:bottom="1440" w:left="1080" w:header="850" w:footer="992" w:gutter="0"/>
          <w:pgNumType w:fmt="decimal"/>
          <w:cols w:space="720" w:num="1"/>
        </w:sectPr>
      </w:pPr>
      <w:r>
        <w:rPr>
          <w:rFonts w:hint="eastAsia" w:ascii="仿宋" w:hAnsi="仿宋" w:eastAsia="仿宋" w:cs="仿宋"/>
          <w:b w:val="0"/>
          <w:bCs w:val="0"/>
          <w:sz w:val="32"/>
          <w:szCs w:val="32"/>
          <w:u w:val="none"/>
        </w:rPr>
        <w:t>乙方：</w:t>
      </w:r>
    </w:p>
    <w:p w14:paraId="6E26CF12">
      <w:pPr>
        <w:keepNext w:val="0"/>
        <w:keepLines w:val="0"/>
        <w:pageBreakBefore w:val="0"/>
        <w:widowControl/>
        <w:kinsoku/>
        <w:wordWrap w:val="0"/>
        <w:overflowPunct/>
        <w:topLinePunct w:val="0"/>
        <w:autoSpaceDE w:val="0"/>
        <w:autoSpaceDN w:val="0"/>
        <w:bidi w:val="0"/>
        <w:adjustRightInd w:val="0"/>
        <w:snapToGrid w:val="0"/>
        <w:spacing w:line="560" w:lineRule="exact"/>
        <w:ind w:firstLine="0" w:firstLineChars="0"/>
        <w:jc w:val="center"/>
        <w:textAlignment w:val="baseline"/>
        <w:rPr>
          <w:rFonts w:hint="eastAsia" w:ascii="仿宋" w:hAnsi="仿宋" w:eastAsia="仿宋" w:cs="仿宋"/>
          <w:b/>
          <w:bCs/>
          <w:sz w:val="36"/>
          <w:szCs w:val="36"/>
          <w:u w:val="none"/>
        </w:rPr>
      </w:pPr>
      <w:r>
        <w:rPr>
          <w:rFonts w:hint="eastAsia" w:ascii="仿宋" w:hAnsi="仿宋" w:eastAsia="仿宋" w:cs="仿宋"/>
          <w:b/>
          <w:bCs/>
          <w:sz w:val="36"/>
          <w:szCs w:val="36"/>
          <w:u w:val="none"/>
        </w:rPr>
        <w:t>常年法律顾问合同</w:t>
      </w:r>
    </w:p>
    <w:p w14:paraId="3D1CA474">
      <w:pPr>
        <w:rPr>
          <w:rFonts w:hint="eastAsia"/>
        </w:rPr>
      </w:pPr>
    </w:p>
    <w:p w14:paraId="5FE2465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甲方：威海粮油发展有限公司</w:t>
      </w:r>
    </w:p>
    <w:p w14:paraId="2C8E69B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法定代表人/单位</w:t>
      </w:r>
      <w:r>
        <w:rPr>
          <w:rFonts w:hint="eastAsia" w:ascii="仿宋" w:hAnsi="仿宋" w:eastAsia="仿宋" w:cs="仿宋"/>
          <w:b w:val="0"/>
          <w:bCs w:val="0"/>
          <w:sz w:val="28"/>
          <w:szCs w:val="28"/>
          <w:u w:val="none"/>
        </w:rPr>
        <w:t>负责人：卢志刚</w:t>
      </w:r>
    </w:p>
    <w:p w14:paraId="5596192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地址：山东省威海市临港经济技术开发区汪疃镇威浩路3号</w:t>
      </w:r>
    </w:p>
    <w:p w14:paraId="7D40FB2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联系电话：0631-8561801</w:t>
      </w:r>
    </w:p>
    <w:p w14:paraId="3FA7B67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w:t>
      </w:r>
    </w:p>
    <w:p w14:paraId="1B90BA0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法定代表人/单位负责人：</w:t>
      </w:r>
    </w:p>
    <w:p w14:paraId="4782A82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w:t>
      </w:r>
    </w:p>
    <w:p w14:paraId="77FAE7D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w:t>
      </w:r>
    </w:p>
    <w:p w14:paraId="26344CB6">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根据《中华人民共和国律师法》及相关法律、法规，乙方接受甲方的聘请，指派</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rPr>
        <w:t>律师</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上述人员在服务期内的任何更换，都必须事先获得</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的书面批准。</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担任甲方常年法律顾问，经双方协商一致，订立本合同。乙方担任甲方法律顾问，应以事实为根据，以法律为准绳，维护甲方的合法权益。</w:t>
      </w:r>
    </w:p>
    <w:p w14:paraId="769D4D1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default" w:ascii="仿宋" w:hAnsi="仿宋" w:eastAsia="仿宋" w:cs="仿宋"/>
          <w:b/>
          <w:bCs/>
          <w:sz w:val="28"/>
          <w:szCs w:val="28"/>
          <w:u w:val="none"/>
          <w:lang w:val="en-US" w:eastAsia="zh-CN"/>
        </w:rPr>
      </w:pPr>
      <w:r>
        <w:rPr>
          <w:rFonts w:hint="eastAsia" w:ascii="仿宋" w:hAnsi="仿宋" w:eastAsia="仿宋" w:cs="仿宋"/>
          <w:b/>
          <w:bCs/>
          <w:sz w:val="28"/>
          <w:szCs w:val="28"/>
          <w:u w:val="none"/>
        </w:rPr>
        <w:t>一、</w:t>
      </w:r>
      <w:r>
        <w:rPr>
          <w:rFonts w:hint="eastAsia" w:ascii="仿宋" w:hAnsi="仿宋" w:eastAsia="仿宋" w:cs="仿宋"/>
          <w:b/>
          <w:bCs/>
          <w:sz w:val="28"/>
          <w:szCs w:val="28"/>
          <w:u w:val="none"/>
          <w:lang w:val="en-US" w:eastAsia="zh-CN"/>
        </w:rPr>
        <w:t>服务期</w:t>
      </w:r>
    </w:p>
    <w:p w14:paraId="7C66657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3年</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2026年 月 日至2029年 月 日</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。双方若无异议，合同期满自动延续1年，总服务期不超过4年。</w:t>
      </w:r>
    </w:p>
    <w:p w14:paraId="5A12BB93">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二、服务内容</w:t>
      </w:r>
    </w:p>
    <w:p w14:paraId="48E7425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为</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及3家下属全资子公司</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本合同中统称甲方）</w:t>
      </w:r>
      <w:r>
        <w:rPr>
          <w:rFonts w:hint="eastAsia" w:ascii="仿宋" w:hAnsi="仿宋" w:eastAsia="仿宋" w:cs="仿宋"/>
          <w:b w:val="0"/>
          <w:bCs w:val="0"/>
          <w:sz w:val="28"/>
          <w:szCs w:val="28"/>
          <w:u w:val="none"/>
        </w:rPr>
        <w:t>提供法律方面相关服务。</w:t>
      </w:r>
    </w:p>
    <w:p w14:paraId="4E156E7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乙方应为甲方提供全面、及时、高效的法律顾问服务，包括但不限于下列内容。</w:t>
      </w:r>
    </w:p>
    <w:p w14:paraId="41D93BD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诉讼与仲裁代理：代表甲方处理诉讼、仲裁等全部应诉事宜，负责系统整理与保管所有庭审资料，并于案件所有法律程序终结后10个工作日内完成归档移交；同时，须每月定期向甲方书面汇报在办案件进展及后续工作计划。</w:t>
      </w:r>
    </w:p>
    <w:p w14:paraId="3E111F6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合同文书审查与管理：按照甲方要求起草、拟订、审查合同协议等相关法律文书，常规合同审核应在两个工作日内完成并签署意见及盖章；每季度整理合同常见问题并出具书面改进建议；根据甲方要求制作、修订并更新合同范本。</w:t>
      </w:r>
    </w:p>
    <w:p w14:paraId="224CE08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3.日常咨询与项目支持：为甲方生产、经营决策等提供法律咨询服务；参加重大的项目谈判；解答甲方提出的相关法律问题，包括但不限于出具法律意见书，进行法律分析和论证，提供电话咨询服务。</w:t>
      </w:r>
    </w:p>
    <w:p w14:paraId="7C25252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4.专题法律研究：根据甲方需求，在双方商定合理期限内（一般不超过15个工作日）完成专题研究并出具书面报告，内容应涵盖专题背景、法律法规梳理、法律分析与结论建议；必要时进行实地调研。</w:t>
      </w:r>
    </w:p>
    <w:p w14:paraId="59BB1DF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5.专项非诉业务：处理甲方在经营管理中涉及的各种专项非诉讼业务，包括但不限于公司设立、转制、并购、重组、增资扩股、股权转让、投资项目谈判及相关法律文书起草与审查等。</w:t>
      </w:r>
    </w:p>
    <w:p w14:paraId="13A8BC0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6.案例管理与风险防控：代理期内对甲方诉讼及仲裁案件进行梳理分析，编撰至少一期《典型案例汇编》，对每个案例进行法律评述，并提炼出具体的风险防范建议。</w:t>
      </w:r>
    </w:p>
    <w:p w14:paraId="7875136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7.争议纠纷处理：为未进入诉讼阶段的争议纠纷提供法律意见，协助处理重大投诉或上访事件。</w:t>
      </w:r>
    </w:p>
    <w:p w14:paraId="4DFC2C3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8.律师函业务：根据甲方需求出具并发送律师函，乙方应在收到服务需求后24小时内发出，需要送达的应提供有效送达凭证。</w:t>
      </w:r>
    </w:p>
    <w:p w14:paraId="472FD1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9.甲方交办的其他法律事务。</w:t>
      </w:r>
    </w:p>
    <w:p w14:paraId="42679492">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三、甲方的职责</w:t>
      </w:r>
    </w:p>
    <w:p w14:paraId="4EC47C3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甲方应就乙方需要提供与法律顾问工作有关的信息、资料和文件</w:t>
      </w:r>
      <w:r>
        <w:rPr>
          <w:rFonts w:hint="eastAsia" w:ascii="仿宋" w:hAnsi="仿宋" w:eastAsia="仿宋" w:cs="仿宋"/>
          <w:b w:val="0"/>
          <w:bCs w:val="0"/>
          <w:sz w:val="28"/>
          <w:szCs w:val="28"/>
          <w:u w:val="none"/>
          <w:lang w:eastAsia="zh-CN"/>
        </w:rPr>
        <w:t>。</w:t>
      </w:r>
    </w:p>
    <w:p w14:paraId="2A5E2833">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根据工作需要，指定专门联系人</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联系人：    ；联系电话：    。</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，进行联络工作</w:t>
      </w:r>
      <w:r>
        <w:rPr>
          <w:rFonts w:hint="eastAsia" w:ascii="仿宋" w:hAnsi="仿宋" w:eastAsia="仿宋" w:cs="仿宋"/>
          <w:b w:val="0"/>
          <w:bCs w:val="0"/>
          <w:sz w:val="28"/>
          <w:szCs w:val="28"/>
          <w:u w:val="none"/>
          <w:lang w:eastAsia="zh-CN"/>
        </w:rPr>
        <w:t>。</w:t>
      </w:r>
    </w:p>
    <w:p w14:paraId="7D5C59A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积极协助法律顾问办理其他事务</w:t>
      </w:r>
      <w:r>
        <w:rPr>
          <w:rFonts w:hint="eastAsia" w:ascii="仿宋" w:hAnsi="仿宋" w:eastAsia="仿宋" w:cs="仿宋"/>
          <w:b w:val="0"/>
          <w:bCs w:val="0"/>
          <w:sz w:val="28"/>
          <w:szCs w:val="28"/>
          <w:u w:val="none"/>
          <w:lang w:eastAsia="zh-CN"/>
        </w:rPr>
        <w:t>。</w:t>
      </w:r>
    </w:p>
    <w:p w14:paraId="011E39F6">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四、法律顾问费用</w:t>
      </w:r>
    </w:p>
    <w:p w14:paraId="5444ADF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.年度</w:t>
      </w:r>
      <w:r>
        <w:rPr>
          <w:rFonts w:hint="eastAsia" w:ascii="仿宋" w:hAnsi="仿宋" w:eastAsia="仿宋" w:cs="仿宋"/>
          <w:b w:val="0"/>
          <w:bCs w:val="0"/>
          <w:sz w:val="28"/>
          <w:szCs w:val="28"/>
          <w:u w:val="none"/>
        </w:rPr>
        <w:t>法律顾问费用</w:t>
      </w:r>
      <w:r>
        <w:rPr>
          <w:rFonts w:hint="eastAsia" w:ascii="仿宋" w:hAnsi="仿宋" w:eastAsia="仿宋" w:cs="仿宋"/>
          <w:b w:val="0"/>
          <w:bCs w:val="0"/>
          <w:sz w:val="28"/>
          <w:szCs w:val="28"/>
          <w:u w:val="none"/>
          <w:lang w:val="en-US" w:eastAsia="zh-CN"/>
        </w:rPr>
        <w:t>为人民币     （小写：￥     元）。</w:t>
      </w:r>
    </w:p>
    <w:p w14:paraId="4CFF62E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2.付款方式：</w:t>
      </w:r>
      <w:r>
        <w:rPr>
          <w:rFonts w:hint="eastAsia" w:ascii="仿宋" w:hAnsi="仿宋" w:eastAsia="仿宋" w:cs="仿宋"/>
          <w:b w:val="0"/>
          <w:bCs w:val="0"/>
          <w:sz w:val="28"/>
          <w:szCs w:val="28"/>
          <w:u w:val="none"/>
        </w:rPr>
        <w:t>按年支付。乙方开具税率为6%的增值税专用发票，甲方在收到合规发票后30个工作日内支付第一年服务费；后续每下一年度服务费于上一年服务期满前30个工作日内支付。</w:t>
      </w:r>
    </w:p>
    <w:p w14:paraId="71ACE1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3.</w:t>
      </w:r>
      <w:r>
        <w:rPr>
          <w:rFonts w:hint="eastAsia" w:ascii="仿宋" w:hAnsi="仿宋" w:eastAsia="仿宋" w:cs="仿宋"/>
          <w:b w:val="0"/>
          <w:bCs w:val="0"/>
          <w:sz w:val="28"/>
          <w:szCs w:val="28"/>
          <w:u w:val="none"/>
        </w:rPr>
        <w:t>乙方代理甲方诉讼（含一审、二审、执行程序）、仲裁、劳动争议、重大非诉业务案件的，代理费的收取标准届时由双方一案一议。</w:t>
      </w:r>
    </w:p>
    <w:p w14:paraId="0E47ECE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乙方代甲方应诉的，除上述费用外，甲方不再支付其他法律服务费用。对于外地（威海市外）应诉案件，甲方仅承担差旅费与食宿费。</w:t>
      </w:r>
    </w:p>
    <w:p w14:paraId="19256D2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本条涉及的服务费按照上述标准约定，不包括在本</w:t>
      </w:r>
      <w:r>
        <w:rPr>
          <w:rFonts w:hint="eastAsia" w:ascii="仿宋" w:hAnsi="仿宋" w:eastAsia="仿宋" w:cs="仿宋"/>
          <w:b w:val="0"/>
          <w:bCs w:val="0"/>
          <w:sz w:val="28"/>
          <w:szCs w:val="28"/>
          <w:u w:val="none"/>
          <w:lang w:val="en-US" w:eastAsia="zh-CN"/>
        </w:rPr>
        <w:t>合同法律顾问费用</w:t>
      </w:r>
      <w:r>
        <w:rPr>
          <w:rFonts w:hint="eastAsia" w:ascii="仿宋" w:hAnsi="仿宋" w:eastAsia="仿宋" w:cs="仿宋"/>
          <w:b w:val="0"/>
          <w:bCs w:val="0"/>
          <w:sz w:val="28"/>
          <w:szCs w:val="28"/>
          <w:u w:val="none"/>
        </w:rPr>
        <w:t>中。</w:t>
      </w:r>
    </w:p>
    <w:p w14:paraId="2F0CF9A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4.</w:t>
      </w:r>
      <w:r>
        <w:rPr>
          <w:rFonts w:hint="eastAsia" w:ascii="仿宋" w:hAnsi="仿宋" w:eastAsia="仿宋" w:cs="仿宋"/>
          <w:b w:val="0"/>
          <w:bCs w:val="0"/>
          <w:sz w:val="28"/>
          <w:szCs w:val="28"/>
          <w:u w:val="none"/>
        </w:rPr>
        <w:t>乙方律师办理甲方委托事项所发生的下列费用，应由甲方承担：</w:t>
      </w:r>
    </w:p>
    <w:p w14:paraId="3C805B5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行政、司法、鉴定、公证等部门收取的费用；</w:t>
      </w:r>
    </w:p>
    <w:p w14:paraId="1A0DF6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乙方律师为甲方到外地</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威海市外</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工作时，所需差旅费与食宿费；</w:t>
      </w:r>
    </w:p>
    <w:p w14:paraId="3D0491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征得甲方同意后支出的其他费用。</w:t>
      </w:r>
    </w:p>
    <w:p w14:paraId="6E817284">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五、合同的解除</w:t>
      </w:r>
    </w:p>
    <w:p w14:paraId="529EAB4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甲方有下列情形之一的，乙方有权拒绝代理或解除合同：</w:t>
      </w:r>
    </w:p>
    <w:p w14:paraId="5E76837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甲方的委托事项违反法律或者违反律师执业规范的；</w:t>
      </w:r>
    </w:p>
    <w:p w14:paraId="466250A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甲方有捏造事实、伪造证据或者隐瞒重要情节等情形，致使乙方律师不能提供合法有效的法律服务的。</w:t>
      </w:r>
    </w:p>
    <w:p w14:paraId="65269FF8">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bCs/>
          <w:sz w:val="28"/>
          <w:szCs w:val="28"/>
          <w:u w:val="none"/>
        </w:rPr>
        <w:t>六、</w:t>
      </w:r>
      <w:r>
        <w:rPr>
          <w:rFonts w:hint="eastAsia" w:ascii="仿宋" w:hAnsi="仿宋" w:eastAsia="仿宋" w:cs="仿宋"/>
          <w:b w:val="0"/>
          <w:bCs w:val="0"/>
          <w:sz w:val="28"/>
          <w:szCs w:val="28"/>
          <w:u w:val="none"/>
        </w:rPr>
        <w:t>双方在履行本合同的法律事务中，应保守商业、技术、信息等秘密，法律有规定除外。</w:t>
      </w:r>
    </w:p>
    <w:p w14:paraId="77A76C31">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七、违约责任</w:t>
      </w:r>
    </w:p>
    <w:p w14:paraId="5A091EA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合同期内，因甲方原因终止合同，乙方收取的法律顾问费用不予退还；因不可归责于乙方的事由导致合同不能履行或者因其他原因双方协商终止合同时，可以根据乙方的工作时间或工作量按比例退还部分法律顾问费用。</w:t>
      </w:r>
    </w:p>
    <w:p w14:paraId="623A38E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lang w:eastAsia="zh-CN"/>
        </w:rPr>
      </w:pPr>
      <w:r>
        <w:rPr>
          <w:rFonts w:hint="eastAsia" w:ascii="仿宋" w:hAnsi="仿宋" w:eastAsia="仿宋" w:cs="仿宋"/>
          <w:b/>
          <w:bCs/>
          <w:sz w:val="28"/>
          <w:szCs w:val="28"/>
          <w:u w:val="none"/>
        </w:rPr>
        <w:t>八、双方约定的其他补充事项</w:t>
      </w:r>
    </w:p>
    <w:p w14:paraId="023D18B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1.响应时效：</w:t>
      </w:r>
    </w:p>
    <w:p w14:paraId="1EEC04D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（1）常规法律咨询应在24小时内回应。</w:t>
      </w:r>
    </w:p>
    <w:p w14:paraId="23F910F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（2）常规合同审查应在2个工作日内完成；法律意见书等综合性书面文件应在3个工作日内交付。</w:t>
      </w:r>
    </w:p>
    <w:p w14:paraId="54A454B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（3）人力资源专项文件（含劳动合同、员工手册、规章制度等）审核应在3个工作日内完成。</w:t>
      </w:r>
    </w:p>
    <w:p w14:paraId="4E0EA96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（4）对于甲方标识为“特殊紧急”的事务，乙方应按其要求时限完成。</w:t>
      </w:r>
    </w:p>
    <w:p w14:paraId="2C73278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（5）甲方提出现场支持要求的，乙方应按时派员响应。对于诉讼、仲裁（含劳动仲裁）、调解等程序性事务，必须确保律师按时出席。</w:t>
      </w:r>
    </w:p>
    <w:p w14:paraId="769C205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2.服务质量保障：</w:t>
      </w:r>
    </w:p>
    <w:p w14:paraId="487548A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（1）所有正式法律文件均通过甲方指定方式发送存档；</w:t>
      </w:r>
    </w:p>
    <w:p w14:paraId="402D2D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（2）每半年召开工作例会汇报服务情况；</w:t>
      </w:r>
    </w:p>
    <w:p w14:paraId="773F60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（3）甲方每年对服务质量进行评估，乙方需根据评估结果改进服务；</w:t>
      </w:r>
    </w:p>
    <w:p w14:paraId="1DFB40B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（4）出现重大执业过错的，甲方有权单方解除合同并追究责任。</w:t>
      </w:r>
    </w:p>
    <w:p w14:paraId="0454A4C9">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九、合同的生效</w:t>
      </w:r>
    </w:p>
    <w:p w14:paraId="447489D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本合同自双方法定代表人/单位负责人盖章或签字</w:t>
      </w:r>
      <w:r>
        <w:rPr>
          <w:rFonts w:hint="eastAsia" w:ascii="仿宋" w:hAnsi="仿宋" w:eastAsia="仿宋" w:cs="仿宋"/>
          <w:b w:val="0"/>
          <w:bCs w:val="0"/>
          <w:sz w:val="28"/>
          <w:szCs w:val="28"/>
          <w:u w:val="none"/>
          <w:lang w:val="en-US" w:eastAsia="zh-CN"/>
        </w:rPr>
        <w:t>并加</w:t>
      </w:r>
      <w:r>
        <w:rPr>
          <w:rFonts w:hint="eastAsia" w:ascii="仿宋" w:hAnsi="仿宋" w:eastAsia="仿宋" w:cs="仿宋"/>
          <w:b w:val="0"/>
          <w:bCs w:val="0"/>
          <w:sz w:val="28"/>
          <w:szCs w:val="28"/>
          <w:u w:val="none"/>
        </w:rPr>
        <w:t>盖</w:t>
      </w:r>
      <w:r>
        <w:rPr>
          <w:rFonts w:hint="eastAsia" w:ascii="仿宋" w:hAnsi="仿宋" w:eastAsia="仿宋" w:cs="仿宋"/>
          <w:b w:val="0"/>
          <w:bCs w:val="0"/>
          <w:sz w:val="28"/>
          <w:szCs w:val="28"/>
          <w:u w:val="none"/>
          <w:lang w:val="en-US" w:eastAsia="zh-CN"/>
        </w:rPr>
        <w:t>公</w:t>
      </w:r>
      <w:r>
        <w:rPr>
          <w:rFonts w:hint="eastAsia" w:ascii="仿宋" w:hAnsi="仿宋" w:eastAsia="仿宋" w:cs="仿宋"/>
          <w:b w:val="0"/>
          <w:bCs w:val="0"/>
          <w:sz w:val="28"/>
          <w:szCs w:val="28"/>
          <w:u w:val="none"/>
        </w:rPr>
        <w:t>章之日起生效。</w:t>
      </w:r>
    </w:p>
    <w:p w14:paraId="41A36D1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p>
    <w:p w14:paraId="7D86000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甲方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rPr>
        <w:t>：</w:t>
      </w:r>
      <w:r>
        <w:rPr>
          <w:rFonts w:hint="eastAsia" w:ascii="仿宋" w:hAnsi="仿宋" w:eastAsia="仿宋" w:cs="仿宋"/>
          <w:b w:val="0"/>
          <w:bCs w:val="0"/>
          <w:sz w:val="28"/>
          <w:szCs w:val="28"/>
          <w:u w:val="none"/>
          <w:lang w:val="en-US" w:eastAsia="zh-CN"/>
        </w:rPr>
        <w:t xml:space="preserve">                   乙方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p>
    <w:p w14:paraId="343C22D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法定代表人/单位负责人：          法定代表人/单位负责人：</w:t>
      </w:r>
    </w:p>
    <w:p w14:paraId="2A3508D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lang w:val="en-US" w:eastAsia="zh-CN"/>
        </w:rPr>
        <w:t>或签字</w:t>
      </w:r>
      <w:r>
        <w:rPr>
          <w:rFonts w:hint="default"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 xml:space="preserve">                   （盖章或签字）</w:t>
      </w:r>
    </w:p>
    <w:p w14:paraId="7E1E9556">
      <w:pPr>
        <w:keepNext w:val="0"/>
        <w:keepLines w:val="0"/>
        <w:pageBreakBefore w:val="0"/>
        <w:widowControl/>
        <w:kinsoku/>
        <w:wordWrap w:val="0"/>
        <w:overflowPunct/>
        <w:topLinePunct w:val="0"/>
        <w:autoSpaceDE w:val="0"/>
        <w:autoSpaceDN w:val="0"/>
        <w:bidi w:val="0"/>
        <w:adjustRightInd w:val="0"/>
        <w:snapToGrid w:val="0"/>
        <w:spacing w:line="540" w:lineRule="exact"/>
        <w:ind w:firstLine="0" w:firstLineChars="0"/>
        <w:jc w:val="right"/>
        <w:textAlignment w:val="baseline"/>
        <w:rPr>
          <w:rFonts w:hint="eastAsia"/>
        </w:rPr>
      </w:pPr>
      <w:r>
        <w:rPr>
          <w:rFonts w:hint="eastAsia" w:ascii="仿宋" w:hAnsi="仿宋" w:eastAsia="仿宋" w:cs="仿宋"/>
          <w:b w:val="0"/>
          <w:bCs w:val="0"/>
          <w:sz w:val="28"/>
          <w:szCs w:val="28"/>
          <w:u w:val="none"/>
          <w:lang w:val="en-US" w:eastAsia="zh-CN"/>
        </w:rPr>
        <w:t>2026年 月 日</w:t>
      </w:r>
    </w:p>
    <w:sectPr>
      <w:pgSz w:w="11900" w:h="16820"/>
      <w:pgMar w:top="1440" w:right="1080" w:bottom="1440" w:left="1080" w:header="850"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KSOFF9CC612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7"/>
      <w:jc w:val="center"/>
    </w:pPr>
  </w:p>
  <w:p w14:paraId="42E92BC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7"/>
    </w:pPr>
    <w:r>
      <w:rPr>
        <w:sz w:val="18"/>
      </w:rPr>
      <w:pict>
        <v:shape id="_x0000_s4110" o:spid="_x0000_s4110"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4A0271BC">
                <w:pPr>
                  <w:pStyle w:val="17"/>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23C68">
    <w:pPr>
      <w:pStyle w:val="17"/>
      <w:rPr>
        <w:rFonts w:hint="eastAsia"/>
        <w:lang w:eastAsia="zh-CN"/>
      </w:rPr>
    </w:pPr>
    <w:r>
      <w:rPr>
        <w:sz w:val="18"/>
      </w:rPr>
      <w:pict>
        <v:shape id="_x0000_s4112" o:spid="_x0000_s411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03ED6E0F">
                <w:pPr>
                  <w:pStyle w:val="17"/>
                </w:pPr>
                <w:r>
                  <w:fldChar w:fldCharType="begin"/>
                </w:r>
                <w:r>
                  <w:instrText xml:space="preserve"> PAGE  \* MERGEFORMAT </w:instrText>
                </w:r>
                <w:r>
                  <w:fldChar w:fldCharType="separate"/>
                </w:r>
                <w:r>
                  <w:t>78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7"/>
    </w:pPr>
    <w:r>
      <w:rPr>
        <w:sz w:val="18"/>
      </w:rPr>
      <w:pict>
        <v:shape id="_x0000_s4104" o:spid="_x0000_s410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11C8F02">
                <w:pPr>
                  <w:pStyle w:val="17"/>
                </w:pPr>
                <w:r>
                  <w:fldChar w:fldCharType="begin"/>
                </w:r>
                <w:r>
                  <w:instrText xml:space="preserve"> PAGE  \* MERGEFORMAT </w:instrText>
                </w:r>
                <w:r>
                  <w:fldChar w:fldCharType="separate"/>
                </w:r>
                <w:r>
                  <w:t>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7"/>
      <w:jc w:val="center"/>
    </w:pPr>
  </w:p>
  <w:p w14:paraId="09650370">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7"/>
    </w:pPr>
    <w:r>
      <w:rPr>
        <w:sz w:val="18"/>
      </w:rPr>
      <w:pict>
        <v:shape id="_x0000_s4105" o:spid="_x0000_s410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9C6C0AE">
                <w:pPr>
                  <w:pStyle w:val="17"/>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44076">
    <w:pPr>
      <w:pStyle w:val="17"/>
    </w:pPr>
    <w:r>
      <w:rPr>
        <w:sz w:val="18"/>
      </w:rPr>
      <w:pict>
        <v:shape id="_x0000_s4106" o:spid="_x0000_s410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06553AB">
                <w:pPr>
                  <w:pStyle w:val="17"/>
                </w:pPr>
                <w:r>
                  <w:fldChar w:fldCharType="begin"/>
                </w:r>
                <w:r>
                  <w:instrText xml:space="preserve"> PAGE  \* MERGEFORMAT </w:instrText>
                </w:r>
                <w:r>
                  <w:fldChar w:fldCharType="separate"/>
                </w:r>
                <w: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7"/>
    </w:pPr>
    <w:r>
      <w:rPr>
        <w:sz w:val="18"/>
      </w:rPr>
      <w:pict>
        <v:shape id="_x0000_s4107" o:spid="_x0000_s410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B2930F6">
                <w:pPr>
                  <w:pStyle w:val="17"/>
                </w:pPr>
                <w:r>
                  <w:fldChar w:fldCharType="begin"/>
                </w:r>
                <w:r>
                  <w:instrText xml:space="preserve"> PAGE  \* MERGEFORMAT </w:instrText>
                </w:r>
                <w:r>
                  <w:fldChar w:fldCharType="separate"/>
                </w:r>
                <w:r>
                  <w:t>17</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7"/>
    </w:pPr>
    <w:r>
      <w:rPr>
        <w:sz w:val="18"/>
      </w:rPr>
      <w:pict>
        <v:shape id="_x0000_s4108" o:spid="_x0000_s4108"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0C69082">
                <w:pPr>
                  <w:pStyle w:val="17"/>
                </w:pPr>
                <w:r>
                  <w:fldChar w:fldCharType="begin"/>
                </w:r>
                <w:r>
                  <w:instrText xml:space="preserve"> PAGE  \* MERGEFORMAT </w:instrText>
                </w:r>
                <w:r>
                  <w:fldChar w:fldCharType="separate"/>
                </w:r>
                <w:r>
                  <w:t>46</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7"/>
    </w:pPr>
    <w:r>
      <w:rPr>
        <w:sz w:val="18"/>
      </w:rPr>
      <w:pict>
        <v:shape id="_x0000_s4109" o:spid="_x0000_s4109"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0EFAC3D">
                <w:pPr>
                  <w:pStyle w:val="17"/>
                </w:pPr>
                <w:r>
                  <w:fldChar w:fldCharType="begin"/>
                </w:r>
                <w:r>
                  <w:instrText xml:space="preserve"> PAGE  \* MERGEFORMAT </w:instrText>
                </w:r>
                <w:r>
                  <w:fldChar w:fldCharType="separate"/>
                </w:r>
                <w:r>
                  <w:t>50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8"/>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8"/>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9B39">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7905">
    <w:pPr>
      <w:pStyle w:val="18"/>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8"/>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8"/>
      <w:pBdr>
        <w:top w:val="none" w:color="auto" w:sz="0" w:space="0"/>
        <w:left w:val="none" w:color="auto" w:sz="0" w:space="0"/>
        <w:bottom w:val="none" w:color="auto" w:sz="0" w:space="1"/>
        <w:right w:val="none" w:color="auto" w:sz="0" w:space="0"/>
        <w:between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49488C"/>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CB69C2"/>
    <w:rsid w:val="04D37C42"/>
    <w:rsid w:val="04E02E3C"/>
    <w:rsid w:val="0502540D"/>
    <w:rsid w:val="05AA5499"/>
    <w:rsid w:val="05B02190"/>
    <w:rsid w:val="05E735C9"/>
    <w:rsid w:val="05EB65B6"/>
    <w:rsid w:val="06A11014"/>
    <w:rsid w:val="06AC335E"/>
    <w:rsid w:val="06C70DC5"/>
    <w:rsid w:val="06E06EB9"/>
    <w:rsid w:val="06E74B4A"/>
    <w:rsid w:val="06F038FC"/>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EC2547"/>
    <w:rsid w:val="08FC63B0"/>
    <w:rsid w:val="090754E0"/>
    <w:rsid w:val="0915338B"/>
    <w:rsid w:val="0943482A"/>
    <w:rsid w:val="095476B1"/>
    <w:rsid w:val="09587AD8"/>
    <w:rsid w:val="0975004C"/>
    <w:rsid w:val="097D0FA6"/>
    <w:rsid w:val="099B2330"/>
    <w:rsid w:val="09B9389A"/>
    <w:rsid w:val="09E54AF3"/>
    <w:rsid w:val="09F909CC"/>
    <w:rsid w:val="0A6A7873"/>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1A3B33"/>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290F0A"/>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AC25DE"/>
    <w:rsid w:val="14B35714"/>
    <w:rsid w:val="14EF355C"/>
    <w:rsid w:val="152768D8"/>
    <w:rsid w:val="15356A64"/>
    <w:rsid w:val="162B62E9"/>
    <w:rsid w:val="16844339"/>
    <w:rsid w:val="16933C4A"/>
    <w:rsid w:val="169E0698"/>
    <w:rsid w:val="16EB7FA4"/>
    <w:rsid w:val="16FC2501"/>
    <w:rsid w:val="177D3A9B"/>
    <w:rsid w:val="179B7A23"/>
    <w:rsid w:val="17AF6944"/>
    <w:rsid w:val="17BC13D2"/>
    <w:rsid w:val="17C42F60"/>
    <w:rsid w:val="17D10464"/>
    <w:rsid w:val="17EB2972"/>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4329B"/>
    <w:rsid w:val="1A3D688E"/>
    <w:rsid w:val="1A427461"/>
    <w:rsid w:val="1A4D58E6"/>
    <w:rsid w:val="1A90553B"/>
    <w:rsid w:val="1A9411A5"/>
    <w:rsid w:val="1A9D6100"/>
    <w:rsid w:val="1AB34E0F"/>
    <w:rsid w:val="1AC3220D"/>
    <w:rsid w:val="1AD67BC3"/>
    <w:rsid w:val="1AFD01FC"/>
    <w:rsid w:val="1AFD6AB0"/>
    <w:rsid w:val="1B0D38DF"/>
    <w:rsid w:val="1B20550F"/>
    <w:rsid w:val="1B40753A"/>
    <w:rsid w:val="1B660387"/>
    <w:rsid w:val="1B684210"/>
    <w:rsid w:val="1B795F34"/>
    <w:rsid w:val="1BAB7CB5"/>
    <w:rsid w:val="1BC94A3F"/>
    <w:rsid w:val="1BF508C5"/>
    <w:rsid w:val="1C227730"/>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3244CE"/>
    <w:rsid w:val="1F422D48"/>
    <w:rsid w:val="1F456D0F"/>
    <w:rsid w:val="1F4758F7"/>
    <w:rsid w:val="1F495180"/>
    <w:rsid w:val="1F4B120E"/>
    <w:rsid w:val="1F656B41"/>
    <w:rsid w:val="1F6A589A"/>
    <w:rsid w:val="1FB217EE"/>
    <w:rsid w:val="1FE725CB"/>
    <w:rsid w:val="201F309C"/>
    <w:rsid w:val="204A197D"/>
    <w:rsid w:val="206C4619"/>
    <w:rsid w:val="2080074D"/>
    <w:rsid w:val="20C67CE1"/>
    <w:rsid w:val="20CC7340"/>
    <w:rsid w:val="21020DD9"/>
    <w:rsid w:val="211C5AA8"/>
    <w:rsid w:val="21287AAE"/>
    <w:rsid w:val="21717559"/>
    <w:rsid w:val="2174661B"/>
    <w:rsid w:val="21BC7FE7"/>
    <w:rsid w:val="21C2460D"/>
    <w:rsid w:val="21F641C8"/>
    <w:rsid w:val="21FC3F25"/>
    <w:rsid w:val="220F0817"/>
    <w:rsid w:val="2216545C"/>
    <w:rsid w:val="22187A10"/>
    <w:rsid w:val="22463E3C"/>
    <w:rsid w:val="227B6E4F"/>
    <w:rsid w:val="23541D84"/>
    <w:rsid w:val="23701CFE"/>
    <w:rsid w:val="238F1B3F"/>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025DBB"/>
    <w:rsid w:val="26107CFC"/>
    <w:rsid w:val="263F51FE"/>
    <w:rsid w:val="26A111BC"/>
    <w:rsid w:val="26AD7626"/>
    <w:rsid w:val="27112091"/>
    <w:rsid w:val="27133AC9"/>
    <w:rsid w:val="276510B9"/>
    <w:rsid w:val="277749BC"/>
    <w:rsid w:val="27822B04"/>
    <w:rsid w:val="2784604A"/>
    <w:rsid w:val="27AC65DA"/>
    <w:rsid w:val="27B31333"/>
    <w:rsid w:val="27BD6278"/>
    <w:rsid w:val="28490AE1"/>
    <w:rsid w:val="284B0AFF"/>
    <w:rsid w:val="2850422B"/>
    <w:rsid w:val="288D78CB"/>
    <w:rsid w:val="28947F43"/>
    <w:rsid w:val="289E757B"/>
    <w:rsid w:val="28C66BE0"/>
    <w:rsid w:val="28C94F85"/>
    <w:rsid w:val="293E174E"/>
    <w:rsid w:val="294D65ED"/>
    <w:rsid w:val="294E39EE"/>
    <w:rsid w:val="29955175"/>
    <w:rsid w:val="29B6075C"/>
    <w:rsid w:val="29EC6114"/>
    <w:rsid w:val="2A233EC4"/>
    <w:rsid w:val="2A42504E"/>
    <w:rsid w:val="2A5F09D2"/>
    <w:rsid w:val="2A81520E"/>
    <w:rsid w:val="2A950CB9"/>
    <w:rsid w:val="2AE40825"/>
    <w:rsid w:val="2AE64F3B"/>
    <w:rsid w:val="2AE96D79"/>
    <w:rsid w:val="2B5F5D6D"/>
    <w:rsid w:val="2B8726F6"/>
    <w:rsid w:val="2BA467DB"/>
    <w:rsid w:val="2BAC0E1B"/>
    <w:rsid w:val="2BCD7688"/>
    <w:rsid w:val="2C2D32DE"/>
    <w:rsid w:val="2C546594"/>
    <w:rsid w:val="2CC15093"/>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E63B48"/>
    <w:rsid w:val="2EF85E2C"/>
    <w:rsid w:val="2F0A2219"/>
    <w:rsid w:val="2F233DFC"/>
    <w:rsid w:val="2F2A1FB0"/>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302A2"/>
    <w:rsid w:val="320D4BA0"/>
    <w:rsid w:val="320F08D7"/>
    <w:rsid w:val="322341A3"/>
    <w:rsid w:val="32674EDB"/>
    <w:rsid w:val="32906254"/>
    <w:rsid w:val="329D3B01"/>
    <w:rsid w:val="32CB093C"/>
    <w:rsid w:val="32D01C91"/>
    <w:rsid w:val="32F73068"/>
    <w:rsid w:val="331337DF"/>
    <w:rsid w:val="33402AB1"/>
    <w:rsid w:val="33900270"/>
    <w:rsid w:val="33CC0E26"/>
    <w:rsid w:val="33E36CF5"/>
    <w:rsid w:val="33F44BB3"/>
    <w:rsid w:val="340371D5"/>
    <w:rsid w:val="34C038D0"/>
    <w:rsid w:val="34D25CCA"/>
    <w:rsid w:val="34D96007"/>
    <w:rsid w:val="34DD74E5"/>
    <w:rsid w:val="34ED14DC"/>
    <w:rsid w:val="34FE2A23"/>
    <w:rsid w:val="35065DD6"/>
    <w:rsid w:val="35086ADC"/>
    <w:rsid w:val="350C25E8"/>
    <w:rsid w:val="352D6AB2"/>
    <w:rsid w:val="35333CB4"/>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05A89"/>
    <w:rsid w:val="4106443B"/>
    <w:rsid w:val="410E76D9"/>
    <w:rsid w:val="410F79D5"/>
    <w:rsid w:val="412B09CA"/>
    <w:rsid w:val="414035F3"/>
    <w:rsid w:val="41582EBC"/>
    <w:rsid w:val="41C9034C"/>
    <w:rsid w:val="41D573D6"/>
    <w:rsid w:val="42511A0D"/>
    <w:rsid w:val="4289725D"/>
    <w:rsid w:val="428A44BD"/>
    <w:rsid w:val="428C6C4F"/>
    <w:rsid w:val="42AD334B"/>
    <w:rsid w:val="42D276C6"/>
    <w:rsid w:val="42ED271E"/>
    <w:rsid w:val="43057965"/>
    <w:rsid w:val="431B7BEF"/>
    <w:rsid w:val="433D7244"/>
    <w:rsid w:val="43522735"/>
    <w:rsid w:val="436704BF"/>
    <w:rsid w:val="437368C4"/>
    <w:rsid w:val="438F2FC3"/>
    <w:rsid w:val="43D76424"/>
    <w:rsid w:val="443B052A"/>
    <w:rsid w:val="443C3663"/>
    <w:rsid w:val="4452236A"/>
    <w:rsid w:val="44534092"/>
    <w:rsid w:val="44BB1EB4"/>
    <w:rsid w:val="44C20EA0"/>
    <w:rsid w:val="44CE4904"/>
    <w:rsid w:val="4534794B"/>
    <w:rsid w:val="457311A6"/>
    <w:rsid w:val="45B04CCB"/>
    <w:rsid w:val="46184820"/>
    <w:rsid w:val="4689334F"/>
    <w:rsid w:val="46983BAD"/>
    <w:rsid w:val="46BD1075"/>
    <w:rsid w:val="46D863A6"/>
    <w:rsid w:val="46DF0E9A"/>
    <w:rsid w:val="46EF46F6"/>
    <w:rsid w:val="470F0555"/>
    <w:rsid w:val="47140C94"/>
    <w:rsid w:val="47264254"/>
    <w:rsid w:val="47641572"/>
    <w:rsid w:val="47711830"/>
    <w:rsid w:val="477737C9"/>
    <w:rsid w:val="47947ED7"/>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E202E2"/>
    <w:rsid w:val="4BF8070C"/>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D1635E"/>
    <w:rsid w:val="4FDF52D5"/>
    <w:rsid w:val="4FE96ADF"/>
    <w:rsid w:val="4FED68DC"/>
    <w:rsid w:val="500C5946"/>
    <w:rsid w:val="501C6439"/>
    <w:rsid w:val="50611F26"/>
    <w:rsid w:val="50664FBE"/>
    <w:rsid w:val="50742907"/>
    <w:rsid w:val="508B403A"/>
    <w:rsid w:val="50A414E4"/>
    <w:rsid w:val="50B150AA"/>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E7448"/>
    <w:rsid w:val="576A4745"/>
    <w:rsid w:val="57766F2B"/>
    <w:rsid w:val="5782249F"/>
    <w:rsid w:val="57BD5E4D"/>
    <w:rsid w:val="57E835A4"/>
    <w:rsid w:val="57ED3B31"/>
    <w:rsid w:val="584118DE"/>
    <w:rsid w:val="58550366"/>
    <w:rsid w:val="58693E66"/>
    <w:rsid w:val="588C1193"/>
    <w:rsid w:val="58A322AF"/>
    <w:rsid w:val="59405516"/>
    <w:rsid w:val="594B0060"/>
    <w:rsid w:val="594B715D"/>
    <w:rsid w:val="598B4EA5"/>
    <w:rsid w:val="59D94150"/>
    <w:rsid w:val="59DD3B06"/>
    <w:rsid w:val="59FB24F3"/>
    <w:rsid w:val="5A504690"/>
    <w:rsid w:val="5A8F542C"/>
    <w:rsid w:val="5A9A7B7F"/>
    <w:rsid w:val="5AA020E9"/>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CBC4164"/>
    <w:rsid w:val="5D0224F7"/>
    <w:rsid w:val="5D0653C7"/>
    <w:rsid w:val="5D4D125B"/>
    <w:rsid w:val="5D773E9C"/>
    <w:rsid w:val="5D9F728B"/>
    <w:rsid w:val="5DB652C3"/>
    <w:rsid w:val="5DBE4DB2"/>
    <w:rsid w:val="5DC30428"/>
    <w:rsid w:val="5DEA69EF"/>
    <w:rsid w:val="5E032983"/>
    <w:rsid w:val="5E07476C"/>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E25C0"/>
    <w:rsid w:val="61756C9F"/>
    <w:rsid w:val="617E675E"/>
    <w:rsid w:val="618D52F4"/>
    <w:rsid w:val="61BF21CE"/>
    <w:rsid w:val="61FE23EC"/>
    <w:rsid w:val="62006664"/>
    <w:rsid w:val="620C6DA4"/>
    <w:rsid w:val="625857EF"/>
    <w:rsid w:val="6269217D"/>
    <w:rsid w:val="6269725C"/>
    <w:rsid w:val="62AC30A7"/>
    <w:rsid w:val="62B9556C"/>
    <w:rsid w:val="62E21FE6"/>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1C4DCD"/>
    <w:rsid w:val="6C5601CC"/>
    <w:rsid w:val="6C847DFC"/>
    <w:rsid w:val="6CBE2051"/>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F19FC"/>
    <w:rsid w:val="72C45383"/>
    <w:rsid w:val="72E06788"/>
    <w:rsid w:val="72FC2DE6"/>
    <w:rsid w:val="730333BC"/>
    <w:rsid w:val="73323036"/>
    <w:rsid w:val="73393104"/>
    <w:rsid w:val="735F4A70"/>
    <w:rsid w:val="737D38DB"/>
    <w:rsid w:val="73907D5F"/>
    <w:rsid w:val="739F4420"/>
    <w:rsid w:val="73CD4AC9"/>
    <w:rsid w:val="73F50ACA"/>
    <w:rsid w:val="73F62DEB"/>
    <w:rsid w:val="744D0491"/>
    <w:rsid w:val="74657E71"/>
    <w:rsid w:val="74714B88"/>
    <w:rsid w:val="747B09FF"/>
    <w:rsid w:val="74BF1B57"/>
    <w:rsid w:val="74CA47ED"/>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3F77B7"/>
    <w:rsid w:val="78484242"/>
    <w:rsid w:val="784B00C7"/>
    <w:rsid w:val="785334EE"/>
    <w:rsid w:val="78603AA7"/>
    <w:rsid w:val="7874451D"/>
    <w:rsid w:val="78991756"/>
    <w:rsid w:val="789F07E0"/>
    <w:rsid w:val="78BB1314"/>
    <w:rsid w:val="78D5554C"/>
    <w:rsid w:val="78F30E2A"/>
    <w:rsid w:val="7919561A"/>
    <w:rsid w:val="793470AA"/>
    <w:rsid w:val="794013BD"/>
    <w:rsid w:val="799A2454"/>
    <w:rsid w:val="7A1112B2"/>
    <w:rsid w:val="7A6B1F56"/>
    <w:rsid w:val="7AAB443C"/>
    <w:rsid w:val="7AC8338F"/>
    <w:rsid w:val="7AE34912"/>
    <w:rsid w:val="7AED6944"/>
    <w:rsid w:val="7AF1296F"/>
    <w:rsid w:val="7B1810B3"/>
    <w:rsid w:val="7B1B54D9"/>
    <w:rsid w:val="7B330D36"/>
    <w:rsid w:val="7B493D2C"/>
    <w:rsid w:val="7B4D3C76"/>
    <w:rsid w:val="7B9B5387"/>
    <w:rsid w:val="7BA65801"/>
    <w:rsid w:val="7BB3324B"/>
    <w:rsid w:val="7BBB3A66"/>
    <w:rsid w:val="7BCA11E7"/>
    <w:rsid w:val="7C0B4190"/>
    <w:rsid w:val="7C160B8E"/>
    <w:rsid w:val="7C3B2AB5"/>
    <w:rsid w:val="7C43213F"/>
    <w:rsid w:val="7C681E92"/>
    <w:rsid w:val="7C935623"/>
    <w:rsid w:val="7CA222FE"/>
    <w:rsid w:val="7CDF55E4"/>
    <w:rsid w:val="7D06498F"/>
    <w:rsid w:val="7D2F0C7A"/>
    <w:rsid w:val="7D3F7E6F"/>
    <w:rsid w:val="7D41260A"/>
    <w:rsid w:val="7D8C3B75"/>
    <w:rsid w:val="7D9B48E2"/>
    <w:rsid w:val="7DF75930"/>
    <w:rsid w:val="7E043B3E"/>
    <w:rsid w:val="7E3C4FE2"/>
    <w:rsid w:val="7E740106"/>
    <w:rsid w:val="7E7F51B3"/>
    <w:rsid w:val="7ED10348"/>
    <w:rsid w:val="7F5F4A1B"/>
    <w:rsid w:val="7F9A7B42"/>
    <w:rsid w:val="7FF333E4"/>
    <w:rsid w:val="7FF444C6"/>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6">
    <w:name w:val="Normal Indent"/>
    <w:basedOn w:val="1"/>
    <w:link w:val="52"/>
    <w:autoRedefine/>
    <w:qFormat/>
    <w:uiPriority w:val="0"/>
    <w:pPr>
      <w:ind w:firstLine="420"/>
    </w:pPr>
    <w:rPr>
      <w:szCs w:val="21"/>
    </w:rPr>
  </w:style>
  <w:style w:type="paragraph" w:styleId="7">
    <w:name w:val="Document Map"/>
    <w:basedOn w:val="1"/>
    <w:link w:val="53"/>
    <w:autoRedefine/>
    <w:qFormat/>
    <w:uiPriority w:val="0"/>
    <w:pPr>
      <w:shd w:val="clear" w:color="auto" w:fill="000080"/>
    </w:pPr>
  </w:style>
  <w:style w:type="paragraph" w:styleId="8">
    <w:name w:val="annotation text"/>
    <w:basedOn w:val="1"/>
    <w:link w:val="54"/>
    <w:autoRedefine/>
    <w:qFormat/>
    <w:uiPriority w:val="0"/>
    <w:pPr>
      <w:jc w:val="left"/>
    </w:pPr>
  </w:style>
  <w:style w:type="paragraph" w:styleId="9">
    <w:name w:val="Body Text"/>
    <w:basedOn w:val="1"/>
    <w:link w:val="55"/>
    <w:autoRedefine/>
    <w:qFormat/>
    <w:uiPriority w:val="0"/>
    <w:pPr>
      <w:spacing w:after="120"/>
    </w:pPr>
    <w:rPr>
      <w:kern w:val="0"/>
      <w:sz w:val="24"/>
    </w:rPr>
  </w:style>
  <w:style w:type="paragraph" w:styleId="10">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1">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2">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3">
    <w:name w:val="Plain Text"/>
    <w:basedOn w:val="1"/>
    <w:link w:val="57"/>
    <w:autoRedefine/>
    <w:qFormat/>
    <w:uiPriority w:val="0"/>
    <w:rPr>
      <w:rFonts w:ascii="宋体" w:hAnsi="Courier New"/>
      <w:kern w:val="0"/>
      <w:szCs w:val="21"/>
    </w:rPr>
  </w:style>
  <w:style w:type="paragraph" w:styleId="14">
    <w:name w:val="Date"/>
    <w:basedOn w:val="1"/>
    <w:next w:val="1"/>
    <w:link w:val="58"/>
    <w:autoRedefine/>
    <w:qFormat/>
    <w:uiPriority w:val="0"/>
    <w:pPr>
      <w:ind w:left="100" w:leftChars="2500"/>
    </w:pPr>
    <w:rPr>
      <w:rFonts w:ascii="宋体" w:hAnsi="Courier New"/>
      <w:kern w:val="0"/>
      <w:szCs w:val="21"/>
    </w:rPr>
  </w:style>
  <w:style w:type="paragraph" w:styleId="15">
    <w:name w:val="Body Text Indent 2"/>
    <w:basedOn w:val="1"/>
    <w:link w:val="59"/>
    <w:autoRedefine/>
    <w:qFormat/>
    <w:uiPriority w:val="0"/>
    <w:pPr>
      <w:spacing w:after="120" w:line="480" w:lineRule="auto"/>
      <w:ind w:left="420" w:leftChars="200"/>
    </w:pPr>
    <w:rPr>
      <w:kern w:val="0"/>
      <w:sz w:val="24"/>
    </w:rPr>
  </w:style>
  <w:style w:type="paragraph" w:styleId="16">
    <w:name w:val="Balloon Text"/>
    <w:basedOn w:val="1"/>
    <w:link w:val="60"/>
    <w:autoRedefine/>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pPr>
      <w:tabs>
        <w:tab w:val="right" w:leader="dot" w:pos="8834"/>
      </w:tabs>
      <w:spacing w:before="120" w:after="120"/>
      <w:jc w:val="left"/>
    </w:pPr>
    <w:rPr>
      <w:b/>
      <w:bCs/>
      <w:caps/>
      <w:sz w:val="28"/>
      <w:szCs w:val="28"/>
    </w:rPr>
  </w:style>
  <w:style w:type="paragraph" w:styleId="20">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1">
    <w:name w:val="footnote text"/>
    <w:basedOn w:val="1"/>
    <w:autoRedefine/>
    <w:qFormat/>
    <w:uiPriority w:val="0"/>
    <w:rPr>
      <w:sz w:val="18"/>
    </w:rPr>
  </w:style>
  <w:style w:type="paragraph" w:styleId="22">
    <w:name w:val="Body Text Indent 3"/>
    <w:basedOn w:val="1"/>
    <w:link w:val="64"/>
    <w:autoRedefine/>
    <w:qFormat/>
    <w:uiPriority w:val="0"/>
    <w:pPr>
      <w:spacing w:after="120"/>
      <w:ind w:left="420" w:leftChars="200"/>
    </w:pPr>
    <w:rPr>
      <w:kern w:val="0"/>
      <w:sz w:val="16"/>
      <w:szCs w:val="16"/>
    </w:rPr>
  </w:style>
  <w:style w:type="paragraph" w:styleId="23">
    <w:name w:val="toc 2"/>
    <w:basedOn w:val="1"/>
    <w:next w:val="1"/>
    <w:autoRedefine/>
    <w:qFormat/>
    <w:uiPriority w:val="0"/>
    <w:pPr>
      <w:ind w:left="420" w:leftChars="200"/>
    </w:pPr>
    <w:rPr>
      <w:szCs w:val="21"/>
    </w:rPr>
  </w:style>
  <w:style w:type="paragraph" w:styleId="24">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8"/>
    <w:next w:val="8"/>
    <w:link w:val="68"/>
    <w:autoRedefine/>
    <w:qFormat/>
    <w:uiPriority w:val="0"/>
    <w:rPr>
      <w:b/>
      <w:bCs/>
      <w:szCs w:val="21"/>
    </w:rPr>
  </w:style>
  <w:style w:type="paragraph" w:styleId="28">
    <w:name w:val="Body Text First Indent"/>
    <w:basedOn w:val="9"/>
    <w:link w:val="69"/>
    <w:autoRedefine/>
    <w:qFormat/>
    <w:uiPriority w:val="0"/>
    <w:pPr>
      <w:spacing w:line="560" w:lineRule="exact"/>
      <w:ind w:firstLine="420" w:firstLineChars="100"/>
    </w:pPr>
    <w:rPr>
      <w:kern w:val="2"/>
      <w:sz w:val="21"/>
      <w:szCs w:val="22"/>
    </w:rPr>
  </w:style>
  <w:style w:type="paragraph" w:styleId="29">
    <w:name w:val="Body Text First Indent 2"/>
    <w:basedOn w:val="10"/>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2"/>
    <w:autoRedefine/>
    <w:qFormat/>
    <w:uiPriority w:val="0"/>
    <w:rPr>
      <w:b/>
      <w:bCs/>
      <w:kern w:val="44"/>
      <w:sz w:val="44"/>
      <w:szCs w:val="44"/>
    </w:rPr>
  </w:style>
  <w:style w:type="character" w:customStyle="1" w:styleId="49">
    <w:name w:val="标题 2 Char"/>
    <w:link w:val="3"/>
    <w:autoRedefine/>
    <w:qFormat/>
    <w:uiPriority w:val="0"/>
    <w:rPr>
      <w:rFonts w:ascii="Arial" w:hAnsi="Arial" w:eastAsia="宋体"/>
      <w:b/>
      <w:bCs/>
      <w:kern w:val="2"/>
      <w:sz w:val="32"/>
      <w:szCs w:val="32"/>
      <w:lang w:val="en-US" w:eastAsia="zh-CN" w:bidi="ar-SA"/>
    </w:rPr>
  </w:style>
  <w:style w:type="character" w:customStyle="1" w:styleId="50">
    <w:name w:val="标题 3 Char"/>
    <w:link w:val="4"/>
    <w:autoRedefine/>
    <w:qFormat/>
    <w:uiPriority w:val="0"/>
    <w:rPr>
      <w:b/>
      <w:bCs/>
      <w:kern w:val="2"/>
      <w:sz w:val="32"/>
      <w:szCs w:val="32"/>
    </w:rPr>
  </w:style>
  <w:style w:type="character" w:customStyle="1" w:styleId="51">
    <w:name w:val="标题 4 Char"/>
    <w:link w:val="5"/>
    <w:autoRedefine/>
    <w:qFormat/>
    <w:uiPriority w:val="0"/>
    <w:rPr>
      <w:rFonts w:ascii="仿宋_GB2312" w:eastAsia="仿宋_GB2312" w:cs="仿宋_GB2312"/>
      <w:kern w:val="2"/>
      <w:sz w:val="28"/>
      <w:szCs w:val="28"/>
    </w:rPr>
  </w:style>
  <w:style w:type="character" w:customStyle="1" w:styleId="52">
    <w:name w:val="正文缩进 Char"/>
    <w:link w:val="6"/>
    <w:autoRedefine/>
    <w:qFormat/>
    <w:uiPriority w:val="0"/>
    <w:rPr>
      <w:kern w:val="2"/>
      <w:sz w:val="21"/>
      <w:szCs w:val="21"/>
    </w:rPr>
  </w:style>
  <w:style w:type="character" w:customStyle="1" w:styleId="53">
    <w:name w:val="文档结构图 Char"/>
    <w:link w:val="7"/>
    <w:autoRedefine/>
    <w:qFormat/>
    <w:uiPriority w:val="0"/>
    <w:rPr>
      <w:kern w:val="2"/>
      <w:sz w:val="21"/>
      <w:szCs w:val="24"/>
      <w:shd w:val="clear" w:color="auto" w:fill="000080"/>
    </w:rPr>
  </w:style>
  <w:style w:type="character" w:customStyle="1" w:styleId="54">
    <w:name w:val="批注文字 Char"/>
    <w:link w:val="8"/>
    <w:autoRedefine/>
    <w:qFormat/>
    <w:uiPriority w:val="0"/>
    <w:rPr>
      <w:kern w:val="2"/>
      <w:sz w:val="21"/>
      <w:szCs w:val="24"/>
    </w:rPr>
  </w:style>
  <w:style w:type="character" w:customStyle="1" w:styleId="55">
    <w:name w:val="正文文本 Char"/>
    <w:link w:val="9"/>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3"/>
    <w:autoRedefine/>
    <w:qFormat/>
    <w:uiPriority w:val="0"/>
    <w:rPr>
      <w:rFonts w:ascii="宋体" w:hAnsi="Courier New"/>
      <w:sz w:val="21"/>
      <w:szCs w:val="21"/>
    </w:rPr>
  </w:style>
  <w:style w:type="character" w:customStyle="1" w:styleId="58">
    <w:name w:val="日期 Char"/>
    <w:link w:val="14"/>
    <w:autoRedefine/>
    <w:qFormat/>
    <w:uiPriority w:val="0"/>
    <w:rPr>
      <w:rFonts w:ascii="宋体" w:hAnsi="Courier New"/>
      <w:sz w:val="21"/>
      <w:szCs w:val="21"/>
    </w:rPr>
  </w:style>
  <w:style w:type="character" w:customStyle="1" w:styleId="59">
    <w:name w:val="正文文本缩进 2 Char"/>
    <w:link w:val="15"/>
    <w:autoRedefine/>
    <w:qFormat/>
    <w:uiPriority w:val="0"/>
    <w:rPr>
      <w:sz w:val="24"/>
      <w:szCs w:val="24"/>
    </w:rPr>
  </w:style>
  <w:style w:type="character" w:customStyle="1" w:styleId="60">
    <w:name w:val="批注框文本 Char"/>
    <w:link w:val="16"/>
    <w:autoRedefine/>
    <w:qFormat/>
    <w:uiPriority w:val="0"/>
    <w:rPr>
      <w:kern w:val="2"/>
      <w:sz w:val="18"/>
      <w:szCs w:val="18"/>
    </w:rPr>
  </w:style>
  <w:style w:type="character" w:customStyle="1" w:styleId="61">
    <w:name w:val="页脚 Char1"/>
    <w:link w:val="17"/>
    <w:autoRedefine/>
    <w:qFormat/>
    <w:uiPriority w:val="99"/>
    <w:rPr>
      <w:kern w:val="2"/>
      <w:sz w:val="18"/>
      <w:szCs w:val="18"/>
    </w:rPr>
  </w:style>
  <w:style w:type="character" w:customStyle="1" w:styleId="62">
    <w:name w:val="页眉 Char"/>
    <w:link w:val="18"/>
    <w:autoRedefine/>
    <w:qFormat/>
    <w:uiPriority w:val="0"/>
    <w:rPr>
      <w:kern w:val="2"/>
      <w:sz w:val="18"/>
      <w:szCs w:val="18"/>
    </w:rPr>
  </w:style>
  <w:style w:type="character" w:customStyle="1" w:styleId="63">
    <w:name w:val="副标题 Char"/>
    <w:link w:val="20"/>
    <w:autoRedefine/>
    <w:qFormat/>
    <w:uiPriority w:val="0"/>
    <w:rPr>
      <w:rFonts w:ascii="Cambria" w:hAnsi="Cambria" w:eastAsia="方正楷体简体"/>
      <w:kern w:val="28"/>
      <w:sz w:val="32"/>
      <w:szCs w:val="32"/>
    </w:rPr>
  </w:style>
  <w:style w:type="character" w:customStyle="1" w:styleId="64">
    <w:name w:val="正文文本缩进 3 Char"/>
    <w:link w:val="22"/>
    <w:autoRedefine/>
    <w:qFormat/>
    <w:uiPriority w:val="0"/>
    <w:rPr>
      <w:sz w:val="16"/>
      <w:szCs w:val="16"/>
    </w:rPr>
  </w:style>
  <w:style w:type="character" w:customStyle="1" w:styleId="65">
    <w:name w:val="HTML 预设格式 Char"/>
    <w:link w:val="24"/>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4"/>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8"/>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4"/>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83</Pages>
  <Words>4880</Words>
  <Characters>5771</Characters>
  <Lines>257</Lines>
  <Paragraphs>72</Paragraphs>
  <TotalTime>5</TotalTime>
  <ScaleCrop>false</ScaleCrop>
  <LinksUpToDate>false</LinksUpToDate>
  <CharactersWithSpaces>5831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2026-09-04T02:56:19Z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