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E410E0">
      <w:pPr>
        <w:jc w:val="right"/>
        <w:rPr>
          <w:rFonts w:hint="eastAsia" w:ascii="宋体" w:hAnsi="宋体" w:eastAsia="宋体"/>
          <w:sz w:val="32"/>
          <w:szCs w:val="32"/>
          <w:highlight w:val="none"/>
          <w:lang w:eastAsia="zh-CN"/>
        </w:rPr>
      </w:pPr>
      <w:r>
        <w:rPr>
          <w:rFonts w:hint="eastAsia" w:ascii="宋体" w:hAnsi="宋体"/>
          <w:sz w:val="32"/>
          <w:szCs w:val="32"/>
          <w:highlight w:val="none"/>
        </w:rPr>
        <w:t>项目编号：</w:t>
      </w:r>
      <w:r>
        <w:rPr>
          <w:rFonts w:hint="eastAsia" w:ascii="宋体" w:hAnsi="宋体"/>
          <w:sz w:val="32"/>
          <w:szCs w:val="32"/>
          <w:highlight w:val="none"/>
          <w:lang w:eastAsia="zh-CN"/>
        </w:rPr>
        <w:t>HSZBFW20260003</w:t>
      </w:r>
    </w:p>
    <w:p w14:paraId="05715DAE">
      <w:pPr>
        <w:jc w:val="center"/>
        <w:rPr>
          <w:rFonts w:ascii="宋体" w:hAnsi="宋体"/>
          <w:b/>
          <w:sz w:val="18"/>
          <w:szCs w:val="18"/>
          <w:highlight w:val="none"/>
        </w:rPr>
      </w:pPr>
    </w:p>
    <w:p w14:paraId="172216F7">
      <w:pPr>
        <w:rPr>
          <w:rFonts w:ascii="宋体" w:hAnsi="宋体"/>
          <w:b/>
          <w:sz w:val="18"/>
          <w:szCs w:val="18"/>
          <w:highlight w:val="none"/>
        </w:rPr>
      </w:pPr>
    </w:p>
    <w:p w14:paraId="332BA61D">
      <w:pPr>
        <w:jc w:val="center"/>
        <w:rPr>
          <w:rFonts w:ascii="宋体" w:hAnsi="宋体"/>
          <w:b/>
          <w:sz w:val="18"/>
          <w:szCs w:val="18"/>
          <w:highlight w:val="none"/>
        </w:rPr>
      </w:pPr>
    </w:p>
    <w:p w14:paraId="6D7C5A8A">
      <w:pPr>
        <w:rPr>
          <w:rFonts w:ascii="宋体" w:hAnsi="宋体"/>
          <w:b/>
          <w:sz w:val="18"/>
          <w:szCs w:val="18"/>
          <w:highlight w:val="none"/>
        </w:rPr>
      </w:pPr>
    </w:p>
    <w:p w14:paraId="3C025CC8">
      <w:pPr>
        <w:spacing w:line="640" w:lineRule="exact"/>
        <w:jc w:val="center"/>
        <w:rPr>
          <w:rFonts w:ascii="宋体" w:hAnsi="宋体"/>
          <w:b/>
          <w:sz w:val="44"/>
          <w:szCs w:val="44"/>
          <w:highlight w:val="none"/>
        </w:rPr>
      </w:pPr>
    </w:p>
    <w:p w14:paraId="39B1DFB1">
      <w:pPr>
        <w:tabs>
          <w:tab w:val="left" w:pos="1344"/>
          <w:tab w:val="center" w:pos="4365"/>
        </w:tabs>
        <w:spacing w:line="640" w:lineRule="exact"/>
        <w:jc w:val="center"/>
        <w:rPr>
          <w:rFonts w:ascii="宋体" w:hAnsi="宋体"/>
          <w:b/>
          <w:bCs/>
          <w:sz w:val="44"/>
          <w:szCs w:val="44"/>
          <w:highlight w:val="none"/>
        </w:rPr>
      </w:pPr>
      <w:r>
        <w:rPr>
          <w:rFonts w:hint="eastAsia" w:ascii="宋体" w:hAnsi="宋体"/>
          <w:b/>
          <w:bCs/>
          <w:sz w:val="44"/>
          <w:szCs w:val="44"/>
          <w:highlight w:val="none"/>
        </w:rPr>
        <w:t>选定半月湾景区生鲜食材供应服务单位</w:t>
      </w:r>
    </w:p>
    <w:p w14:paraId="64B070C6">
      <w:pPr>
        <w:tabs>
          <w:tab w:val="left" w:pos="1344"/>
          <w:tab w:val="center" w:pos="4365"/>
        </w:tabs>
        <w:spacing w:line="640" w:lineRule="exact"/>
        <w:jc w:val="center"/>
        <w:rPr>
          <w:rFonts w:ascii="宋体" w:hAnsi="宋体"/>
          <w:b/>
          <w:bCs/>
          <w:sz w:val="44"/>
          <w:szCs w:val="44"/>
          <w:highlight w:val="none"/>
        </w:rPr>
      </w:pPr>
    </w:p>
    <w:p w14:paraId="312BCD18">
      <w:pPr>
        <w:jc w:val="center"/>
        <w:rPr>
          <w:rFonts w:ascii="宋体" w:hAnsi="宋体"/>
          <w:b/>
          <w:sz w:val="72"/>
          <w:szCs w:val="72"/>
          <w:highlight w:val="none"/>
        </w:rPr>
      </w:pPr>
    </w:p>
    <w:p w14:paraId="516F891E">
      <w:pPr>
        <w:jc w:val="center"/>
        <w:rPr>
          <w:rFonts w:ascii="宋体" w:hAnsi="宋体"/>
          <w:b/>
          <w:spacing w:val="20"/>
          <w:sz w:val="72"/>
          <w:szCs w:val="72"/>
          <w:highlight w:val="none"/>
        </w:rPr>
      </w:pPr>
      <w:r>
        <w:rPr>
          <w:rFonts w:hint="eastAsia" w:ascii="宋体" w:hAnsi="宋体"/>
          <w:b/>
          <w:spacing w:val="20"/>
          <w:sz w:val="72"/>
          <w:szCs w:val="72"/>
          <w:highlight w:val="none"/>
        </w:rPr>
        <w:t>招标文件</w:t>
      </w:r>
    </w:p>
    <w:p w14:paraId="069B36CB">
      <w:pPr>
        <w:jc w:val="center"/>
        <w:rPr>
          <w:rFonts w:ascii="宋体" w:hAnsi="宋体"/>
          <w:b/>
          <w:sz w:val="18"/>
          <w:szCs w:val="18"/>
          <w:highlight w:val="none"/>
        </w:rPr>
      </w:pPr>
    </w:p>
    <w:p w14:paraId="682F424B">
      <w:pPr>
        <w:spacing w:line="400" w:lineRule="exact"/>
        <w:rPr>
          <w:rFonts w:ascii="宋体" w:hAnsi="宋体"/>
          <w:highlight w:val="none"/>
        </w:rPr>
      </w:pPr>
    </w:p>
    <w:p w14:paraId="19B2AD04">
      <w:pPr>
        <w:spacing w:line="400" w:lineRule="exact"/>
        <w:rPr>
          <w:rFonts w:ascii="宋体" w:hAnsi="宋体"/>
          <w:highlight w:val="none"/>
        </w:rPr>
      </w:pPr>
    </w:p>
    <w:p w14:paraId="4091D2BD">
      <w:pPr>
        <w:spacing w:line="400" w:lineRule="exact"/>
        <w:rPr>
          <w:rFonts w:ascii="宋体" w:hAnsi="宋体"/>
          <w:highlight w:val="none"/>
        </w:rPr>
      </w:pPr>
      <w:r>
        <w:rPr>
          <w:rFonts w:ascii="宋体" w:hAnsi="宋体"/>
          <w:highlight w:val="none"/>
        </w:rPr>
        <w:drawing>
          <wp:anchor distT="0" distB="0" distL="114300" distR="114300" simplePos="0" relativeHeight="251659264" behindDoc="0" locked="0" layoutInCell="1" allowOverlap="1">
            <wp:simplePos x="0" y="0"/>
            <wp:positionH relativeFrom="column">
              <wp:posOffset>1727835</wp:posOffset>
            </wp:positionH>
            <wp:positionV relativeFrom="paragraph">
              <wp:posOffset>41910</wp:posOffset>
            </wp:positionV>
            <wp:extent cx="2705100" cy="1504950"/>
            <wp:effectExtent l="0" t="0" r="0" b="0"/>
            <wp:wrapSquare wrapText="bothSides"/>
            <wp:docPr id="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2"/>
                    <pic:cNvPicPr>
                      <a:picLocks noChangeAspect="1"/>
                    </pic:cNvPicPr>
                  </pic:nvPicPr>
                  <pic:blipFill>
                    <a:blip r:embed="rId13" cstate="print"/>
                    <a:stretch>
                      <a:fillRect/>
                    </a:stretch>
                  </pic:blipFill>
                  <pic:spPr>
                    <a:xfrm>
                      <a:off x="0" y="0"/>
                      <a:ext cx="2705100" cy="1504950"/>
                    </a:xfrm>
                    <a:prstGeom prst="rect">
                      <a:avLst/>
                    </a:prstGeom>
                    <a:noFill/>
                    <a:ln>
                      <a:noFill/>
                    </a:ln>
                  </pic:spPr>
                </pic:pic>
              </a:graphicData>
            </a:graphic>
          </wp:anchor>
        </w:drawing>
      </w:r>
    </w:p>
    <w:p w14:paraId="43788D4E">
      <w:pPr>
        <w:spacing w:line="400" w:lineRule="exact"/>
        <w:rPr>
          <w:rFonts w:ascii="宋体" w:hAnsi="宋体"/>
          <w:highlight w:val="none"/>
        </w:rPr>
      </w:pPr>
    </w:p>
    <w:p w14:paraId="145FED80">
      <w:pPr>
        <w:spacing w:line="400" w:lineRule="exact"/>
        <w:rPr>
          <w:rFonts w:ascii="宋体" w:hAnsi="宋体"/>
          <w:highlight w:val="none"/>
        </w:rPr>
      </w:pPr>
    </w:p>
    <w:p w14:paraId="447C7ED0">
      <w:pPr>
        <w:jc w:val="center"/>
        <w:rPr>
          <w:rFonts w:ascii="宋体" w:hAnsi="宋体"/>
          <w:b/>
          <w:sz w:val="18"/>
          <w:szCs w:val="18"/>
          <w:highlight w:val="none"/>
        </w:rPr>
      </w:pPr>
    </w:p>
    <w:p w14:paraId="5BF6B255">
      <w:pPr>
        <w:spacing w:line="400" w:lineRule="exact"/>
        <w:rPr>
          <w:rFonts w:ascii="宋体" w:hAnsi="宋体"/>
          <w:highlight w:val="none"/>
        </w:rPr>
      </w:pPr>
    </w:p>
    <w:p w14:paraId="41B9A03F">
      <w:pPr>
        <w:pStyle w:val="5"/>
        <w:rPr>
          <w:highlight w:val="none"/>
        </w:rPr>
      </w:pPr>
    </w:p>
    <w:p w14:paraId="52035CC0">
      <w:pPr>
        <w:tabs>
          <w:tab w:val="left" w:pos="4860"/>
        </w:tabs>
        <w:spacing w:line="640" w:lineRule="exact"/>
        <w:jc w:val="center"/>
        <w:rPr>
          <w:rFonts w:ascii="宋体" w:hAnsi="宋体"/>
          <w:sz w:val="36"/>
          <w:szCs w:val="36"/>
          <w:highlight w:val="none"/>
        </w:rPr>
      </w:pPr>
    </w:p>
    <w:p w14:paraId="23C5678D">
      <w:pPr>
        <w:tabs>
          <w:tab w:val="left" w:pos="4860"/>
        </w:tabs>
        <w:spacing w:line="640" w:lineRule="exact"/>
        <w:jc w:val="center"/>
        <w:rPr>
          <w:rFonts w:ascii="宋体" w:hAnsi="宋体"/>
          <w:sz w:val="36"/>
          <w:szCs w:val="36"/>
          <w:highlight w:val="none"/>
        </w:rPr>
      </w:pPr>
    </w:p>
    <w:p w14:paraId="031552D5">
      <w:pPr>
        <w:pStyle w:val="13"/>
        <w:rPr>
          <w:highlight w:val="none"/>
        </w:rPr>
      </w:pPr>
    </w:p>
    <w:p w14:paraId="7695BC1A">
      <w:pPr>
        <w:tabs>
          <w:tab w:val="left" w:pos="4860"/>
        </w:tabs>
        <w:spacing w:line="640" w:lineRule="exact"/>
        <w:jc w:val="center"/>
        <w:rPr>
          <w:rFonts w:ascii="宋体" w:hAnsi="宋体"/>
          <w:sz w:val="36"/>
          <w:szCs w:val="36"/>
          <w:highlight w:val="none"/>
        </w:rPr>
      </w:pPr>
      <w:r>
        <w:rPr>
          <w:rFonts w:hint="eastAsia" w:ascii="宋体" w:hAnsi="宋体"/>
          <w:sz w:val="36"/>
          <w:szCs w:val="36"/>
          <w:highlight w:val="none"/>
        </w:rPr>
        <w:t>山东恒成信工程咨询管理有限公司</w:t>
      </w:r>
    </w:p>
    <w:p w14:paraId="5BF34FBA">
      <w:pPr>
        <w:tabs>
          <w:tab w:val="left" w:pos="4860"/>
        </w:tabs>
        <w:spacing w:line="640" w:lineRule="exact"/>
        <w:jc w:val="center"/>
        <w:rPr>
          <w:rFonts w:ascii="宋体" w:hAnsi="宋体"/>
          <w:sz w:val="36"/>
          <w:szCs w:val="36"/>
          <w:highlight w:val="none"/>
        </w:rPr>
      </w:pPr>
      <w:r>
        <w:rPr>
          <w:rFonts w:hint="eastAsia" w:ascii="宋体" w:hAnsi="宋体"/>
          <w:sz w:val="36"/>
          <w:szCs w:val="36"/>
          <w:highlight w:val="none"/>
        </w:rPr>
        <w:t>二〇二六年</w:t>
      </w:r>
      <w:r>
        <w:rPr>
          <w:rFonts w:hint="eastAsia" w:ascii="宋体" w:hAnsi="宋体"/>
          <w:sz w:val="36"/>
          <w:szCs w:val="36"/>
          <w:highlight w:val="none"/>
          <w:lang w:val="en-US" w:eastAsia="zh-CN"/>
        </w:rPr>
        <w:t>九</w:t>
      </w:r>
      <w:r>
        <w:rPr>
          <w:rFonts w:hint="eastAsia" w:ascii="宋体" w:hAnsi="宋体"/>
          <w:sz w:val="36"/>
          <w:szCs w:val="36"/>
          <w:highlight w:val="none"/>
        </w:rPr>
        <w:t>月</w:t>
      </w:r>
      <w:r>
        <w:rPr>
          <w:rFonts w:hint="eastAsia" w:ascii="宋体" w:hAnsi="宋体"/>
          <w:sz w:val="36"/>
          <w:szCs w:val="36"/>
          <w:highlight w:val="none"/>
          <w:lang w:val="en-US" w:eastAsia="zh-CN"/>
        </w:rPr>
        <w:t>十六</w:t>
      </w:r>
      <w:r>
        <w:rPr>
          <w:rFonts w:hint="eastAsia" w:ascii="宋体" w:hAnsi="宋体"/>
          <w:sz w:val="36"/>
          <w:szCs w:val="36"/>
          <w:highlight w:val="none"/>
        </w:rPr>
        <w:t>日</w:t>
      </w:r>
    </w:p>
    <w:p w14:paraId="446AF071">
      <w:pPr>
        <w:ind w:firstLine="1890" w:firstLineChars="900"/>
        <w:rPr>
          <w:rFonts w:ascii="宋体" w:hAnsi="宋体"/>
          <w:highlight w:val="none"/>
        </w:rPr>
        <w:sectPr>
          <w:footerReference r:id="rId4" w:type="first"/>
          <w:headerReference r:id="rId3" w:type="default"/>
          <w:pgSz w:w="11906" w:h="16838"/>
          <w:pgMar w:top="1440" w:right="1080" w:bottom="1440" w:left="1080" w:header="851" w:footer="992" w:gutter="0"/>
          <w:pgNumType w:start="1"/>
          <w:cols w:space="720" w:num="1"/>
          <w:titlePg/>
          <w:docGrid w:type="lines" w:linePitch="312" w:charSpace="0"/>
        </w:sectPr>
      </w:pPr>
    </w:p>
    <w:p w14:paraId="02119785">
      <w:pPr>
        <w:ind w:firstLine="1890" w:firstLineChars="900"/>
        <w:rPr>
          <w:rFonts w:ascii="宋体" w:hAnsi="宋体"/>
          <w:highlight w:val="none"/>
        </w:rPr>
      </w:pPr>
    </w:p>
    <w:p w14:paraId="1601D788">
      <w:pPr>
        <w:jc w:val="center"/>
        <w:rPr>
          <w:sz w:val="28"/>
          <w:szCs w:val="28"/>
          <w:highlight w:val="none"/>
        </w:rPr>
      </w:pPr>
      <w:r>
        <w:rPr>
          <w:rFonts w:ascii="宋体" w:hAnsi="宋体"/>
          <w:sz w:val="28"/>
          <w:szCs w:val="28"/>
          <w:highlight w:val="none"/>
        </w:rPr>
        <w:t>目</w:t>
      </w:r>
      <w:r>
        <w:rPr>
          <w:rFonts w:hint="eastAsia" w:ascii="宋体" w:hAnsi="宋体"/>
          <w:sz w:val="28"/>
          <w:szCs w:val="28"/>
          <w:highlight w:val="none"/>
        </w:rPr>
        <w:t xml:space="preserve"> </w:t>
      </w:r>
      <w:r>
        <w:rPr>
          <w:rFonts w:ascii="宋体" w:hAnsi="宋体"/>
          <w:sz w:val="28"/>
          <w:szCs w:val="28"/>
          <w:highlight w:val="none"/>
        </w:rPr>
        <w:t>录</w:t>
      </w:r>
    </w:p>
    <w:p w14:paraId="3EB39891">
      <w:pPr>
        <w:pStyle w:val="12"/>
        <w:tabs>
          <w:tab w:val="right" w:leader="dot" w:pos="9746"/>
          <w:tab w:val="clear" w:pos="8834"/>
        </w:tabs>
        <w:rPr>
          <w:rFonts w:ascii="宋体" w:hAnsi="宋体" w:cs="宋体"/>
          <w:b w:val="0"/>
          <w:bCs w:val="0"/>
          <w:highlight w:val="none"/>
        </w:rPr>
      </w:pPr>
      <w:r>
        <w:rPr>
          <w:rFonts w:hint="eastAsia" w:ascii="宋体" w:hAnsi="宋体" w:cs="宋体"/>
          <w:b w:val="0"/>
          <w:bCs w:val="0"/>
          <w:highlight w:val="none"/>
        </w:rPr>
        <w:fldChar w:fldCharType="begin"/>
      </w:r>
      <w:r>
        <w:rPr>
          <w:rFonts w:hint="eastAsia" w:ascii="宋体" w:hAnsi="宋体" w:cs="宋体"/>
          <w:b w:val="0"/>
          <w:bCs w:val="0"/>
          <w:highlight w:val="none"/>
        </w:rPr>
        <w:instrText xml:space="preserve">TOC \o "1-1" \h \u </w:instrText>
      </w:r>
      <w:r>
        <w:rPr>
          <w:rFonts w:hint="eastAsia" w:ascii="宋体" w:hAnsi="宋体" w:cs="宋体"/>
          <w:b w:val="0"/>
          <w:bCs w:val="0"/>
          <w:highlight w:val="none"/>
        </w:rPr>
        <w:fldChar w:fldCharType="separate"/>
      </w:r>
      <w:r>
        <w:rPr>
          <w:highlight w:val="none"/>
        </w:rPr>
        <w:fldChar w:fldCharType="begin"/>
      </w:r>
      <w:r>
        <w:rPr>
          <w:highlight w:val="none"/>
        </w:rPr>
        <w:instrText xml:space="preserve"> HYPERLINK \l "_Toc15982" </w:instrText>
      </w:r>
      <w:r>
        <w:rPr>
          <w:highlight w:val="none"/>
        </w:rPr>
        <w:fldChar w:fldCharType="separate"/>
      </w:r>
      <w:r>
        <w:rPr>
          <w:rFonts w:hint="eastAsia" w:ascii="宋体" w:hAnsi="宋体" w:cs="宋体"/>
          <w:b w:val="0"/>
          <w:bCs w:val="0"/>
          <w:highlight w:val="none"/>
        </w:rPr>
        <w:t>第一章  招标公告</w:t>
      </w:r>
      <w:r>
        <w:rPr>
          <w:rFonts w:hint="eastAsia" w:ascii="宋体" w:hAnsi="宋体" w:cs="宋体"/>
          <w:b w:val="0"/>
          <w:bCs w:val="0"/>
          <w:highlight w:val="none"/>
        </w:rPr>
        <w:tab/>
      </w:r>
      <w:r>
        <w:rPr>
          <w:rFonts w:hint="eastAsia" w:ascii="宋体" w:hAnsi="宋体" w:cs="宋体"/>
          <w:b w:val="0"/>
          <w:bCs w:val="0"/>
          <w:highlight w:val="none"/>
        </w:rPr>
        <w:fldChar w:fldCharType="begin"/>
      </w:r>
      <w:r>
        <w:rPr>
          <w:rFonts w:hint="eastAsia" w:ascii="宋体" w:hAnsi="宋体" w:cs="宋体"/>
          <w:b w:val="0"/>
          <w:bCs w:val="0"/>
          <w:highlight w:val="none"/>
        </w:rPr>
        <w:instrText xml:space="preserve"> PAGEREF _Toc15982 \h </w:instrText>
      </w:r>
      <w:r>
        <w:rPr>
          <w:rFonts w:hint="eastAsia" w:ascii="宋体" w:hAnsi="宋体" w:cs="宋体"/>
          <w:b w:val="0"/>
          <w:bCs w:val="0"/>
          <w:highlight w:val="none"/>
        </w:rPr>
        <w:fldChar w:fldCharType="separate"/>
      </w:r>
      <w:r>
        <w:rPr>
          <w:rFonts w:hint="eastAsia" w:ascii="宋体" w:hAnsi="宋体" w:cs="宋体"/>
          <w:b w:val="0"/>
          <w:bCs w:val="0"/>
          <w:highlight w:val="none"/>
        </w:rPr>
        <w:t>3</w:t>
      </w:r>
      <w:r>
        <w:rPr>
          <w:rFonts w:hint="eastAsia" w:ascii="宋体" w:hAnsi="宋体" w:cs="宋体"/>
          <w:b w:val="0"/>
          <w:bCs w:val="0"/>
          <w:highlight w:val="none"/>
        </w:rPr>
        <w:fldChar w:fldCharType="end"/>
      </w:r>
      <w:r>
        <w:rPr>
          <w:rFonts w:hint="eastAsia" w:ascii="宋体" w:hAnsi="宋体" w:cs="宋体"/>
          <w:b w:val="0"/>
          <w:bCs w:val="0"/>
          <w:highlight w:val="none"/>
        </w:rPr>
        <w:fldChar w:fldCharType="end"/>
      </w:r>
    </w:p>
    <w:p w14:paraId="163E49AC">
      <w:pPr>
        <w:pStyle w:val="12"/>
        <w:tabs>
          <w:tab w:val="right" w:leader="dot" w:pos="9746"/>
          <w:tab w:val="clear" w:pos="8834"/>
        </w:tabs>
        <w:rPr>
          <w:rFonts w:ascii="宋体" w:hAnsi="宋体" w:cs="宋体"/>
          <w:b w:val="0"/>
          <w:bCs w:val="0"/>
          <w:highlight w:val="none"/>
        </w:rPr>
      </w:pPr>
      <w:r>
        <w:rPr>
          <w:highlight w:val="none"/>
        </w:rPr>
        <w:fldChar w:fldCharType="begin"/>
      </w:r>
      <w:r>
        <w:rPr>
          <w:highlight w:val="none"/>
        </w:rPr>
        <w:instrText xml:space="preserve"> HYPERLINK \l "_Toc29950" </w:instrText>
      </w:r>
      <w:r>
        <w:rPr>
          <w:highlight w:val="none"/>
        </w:rPr>
        <w:fldChar w:fldCharType="separate"/>
      </w:r>
      <w:r>
        <w:rPr>
          <w:rFonts w:hint="eastAsia" w:ascii="宋体" w:hAnsi="宋体" w:cs="宋体"/>
          <w:b w:val="0"/>
          <w:bCs w:val="0"/>
          <w:highlight w:val="none"/>
        </w:rPr>
        <w:t>第二章  投标须知</w:t>
      </w:r>
      <w:r>
        <w:rPr>
          <w:rFonts w:hint="eastAsia" w:ascii="宋体" w:hAnsi="宋体" w:cs="宋体"/>
          <w:b w:val="0"/>
          <w:bCs w:val="0"/>
          <w:highlight w:val="none"/>
        </w:rPr>
        <w:tab/>
      </w:r>
      <w:r>
        <w:rPr>
          <w:rFonts w:hint="eastAsia" w:ascii="宋体" w:hAnsi="宋体" w:cs="宋体"/>
          <w:b w:val="0"/>
          <w:bCs w:val="0"/>
          <w:highlight w:val="none"/>
        </w:rPr>
        <w:t>6</w:t>
      </w:r>
      <w:r>
        <w:rPr>
          <w:rFonts w:hint="eastAsia" w:ascii="宋体" w:hAnsi="宋体" w:cs="宋体"/>
          <w:b w:val="0"/>
          <w:bCs w:val="0"/>
          <w:highlight w:val="none"/>
        </w:rPr>
        <w:fldChar w:fldCharType="end"/>
      </w:r>
    </w:p>
    <w:p w14:paraId="40EE2AD7">
      <w:pPr>
        <w:pStyle w:val="12"/>
        <w:tabs>
          <w:tab w:val="right" w:leader="dot" w:pos="9746"/>
          <w:tab w:val="clear" w:pos="8834"/>
        </w:tabs>
        <w:rPr>
          <w:rFonts w:ascii="宋体" w:hAnsi="宋体" w:cs="宋体"/>
          <w:b w:val="0"/>
          <w:bCs w:val="0"/>
          <w:highlight w:val="none"/>
        </w:rPr>
      </w:pPr>
      <w:r>
        <w:rPr>
          <w:highlight w:val="none"/>
        </w:rPr>
        <w:fldChar w:fldCharType="begin"/>
      </w:r>
      <w:r>
        <w:rPr>
          <w:highlight w:val="none"/>
        </w:rPr>
        <w:instrText xml:space="preserve"> HYPERLINK \l "_Toc22581" </w:instrText>
      </w:r>
      <w:r>
        <w:rPr>
          <w:highlight w:val="none"/>
        </w:rPr>
        <w:fldChar w:fldCharType="separate"/>
      </w:r>
      <w:r>
        <w:rPr>
          <w:rFonts w:hint="eastAsia" w:ascii="宋体" w:hAnsi="宋体" w:cs="宋体"/>
          <w:b w:val="0"/>
          <w:bCs w:val="0"/>
          <w:highlight w:val="none"/>
        </w:rPr>
        <w:t>第三章  开标、评标、定标</w:t>
      </w:r>
      <w:r>
        <w:rPr>
          <w:rFonts w:hint="eastAsia" w:ascii="宋体" w:hAnsi="宋体" w:cs="宋体"/>
          <w:b w:val="0"/>
          <w:bCs w:val="0"/>
          <w:highlight w:val="none"/>
        </w:rPr>
        <w:tab/>
      </w:r>
      <w:r>
        <w:rPr>
          <w:rFonts w:hint="eastAsia" w:ascii="宋体" w:hAnsi="宋体" w:cs="宋体"/>
          <w:b w:val="0"/>
          <w:bCs w:val="0"/>
          <w:highlight w:val="none"/>
        </w:rPr>
        <w:t>3</w:t>
      </w:r>
      <w:r>
        <w:rPr>
          <w:rFonts w:hint="eastAsia" w:ascii="宋体" w:hAnsi="宋体" w:cs="宋体"/>
          <w:b w:val="0"/>
          <w:bCs w:val="0"/>
          <w:highlight w:val="none"/>
        </w:rPr>
        <w:fldChar w:fldCharType="end"/>
      </w:r>
      <w:r>
        <w:rPr>
          <w:rFonts w:hint="eastAsia" w:ascii="宋体" w:hAnsi="宋体" w:cs="宋体"/>
          <w:b w:val="0"/>
          <w:bCs w:val="0"/>
          <w:highlight w:val="none"/>
        </w:rPr>
        <w:t>3</w:t>
      </w:r>
    </w:p>
    <w:p w14:paraId="567C6A8A">
      <w:pPr>
        <w:pStyle w:val="12"/>
        <w:tabs>
          <w:tab w:val="right" w:leader="dot" w:pos="9746"/>
          <w:tab w:val="clear" w:pos="8834"/>
        </w:tabs>
        <w:rPr>
          <w:rFonts w:ascii="宋体" w:hAnsi="宋体" w:cs="宋体"/>
          <w:b w:val="0"/>
          <w:bCs w:val="0"/>
          <w:highlight w:val="none"/>
        </w:rPr>
      </w:pPr>
      <w:r>
        <w:rPr>
          <w:highlight w:val="none"/>
        </w:rPr>
        <w:fldChar w:fldCharType="begin"/>
      </w:r>
      <w:r>
        <w:rPr>
          <w:highlight w:val="none"/>
        </w:rPr>
        <w:instrText xml:space="preserve"> HYPERLINK \l "_Toc1085" </w:instrText>
      </w:r>
      <w:r>
        <w:rPr>
          <w:highlight w:val="none"/>
        </w:rPr>
        <w:fldChar w:fldCharType="separate"/>
      </w:r>
      <w:r>
        <w:rPr>
          <w:rFonts w:hint="eastAsia" w:ascii="宋体" w:hAnsi="宋体" w:cs="宋体"/>
          <w:b w:val="0"/>
          <w:bCs w:val="0"/>
          <w:highlight w:val="none"/>
        </w:rPr>
        <w:t>第四章  采购项目说明</w:t>
      </w:r>
      <w:r>
        <w:rPr>
          <w:rFonts w:hint="eastAsia" w:ascii="宋体" w:hAnsi="宋体" w:cs="宋体"/>
          <w:b w:val="0"/>
          <w:bCs w:val="0"/>
          <w:highlight w:val="none"/>
        </w:rPr>
        <w:tab/>
      </w:r>
      <w:r>
        <w:rPr>
          <w:rFonts w:hint="eastAsia" w:ascii="宋体" w:hAnsi="宋体" w:cs="宋体"/>
          <w:b w:val="0"/>
          <w:bCs w:val="0"/>
          <w:highlight w:val="none"/>
        </w:rPr>
        <w:t>3</w:t>
      </w:r>
      <w:r>
        <w:rPr>
          <w:rFonts w:hint="eastAsia" w:ascii="宋体" w:hAnsi="宋体" w:cs="宋体"/>
          <w:b w:val="0"/>
          <w:bCs w:val="0"/>
          <w:highlight w:val="none"/>
        </w:rPr>
        <w:fldChar w:fldCharType="end"/>
      </w:r>
      <w:r>
        <w:rPr>
          <w:rFonts w:hint="eastAsia" w:ascii="宋体" w:hAnsi="宋体" w:cs="宋体"/>
          <w:b w:val="0"/>
          <w:bCs w:val="0"/>
          <w:highlight w:val="none"/>
        </w:rPr>
        <w:t>8</w:t>
      </w:r>
    </w:p>
    <w:p w14:paraId="7893A9A0">
      <w:pPr>
        <w:pStyle w:val="12"/>
        <w:tabs>
          <w:tab w:val="right" w:leader="dot" w:pos="9746"/>
          <w:tab w:val="clear" w:pos="8834"/>
        </w:tabs>
        <w:rPr>
          <w:rFonts w:ascii="宋体" w:hAnsi="宋体" w:cs="宋体"/>
          <w:b w:val="0"/>
          <w:bCs w:val="0"/>
          <w:highlight w:val="none"/>
        </w:rPr>
      </w:pPr>
      <w:r>
        <w:rPr>
          <w:highlight w:val="none"/>
        </w:rPr>
        <w:fldChar w:fldCharType="begin"/>
      </w:r>
      <w:r>
        <w:rPr>
          <w:highlight w:val="none"/>
        </w:rPr>
        <w:instrText xml:space="preserve"> HYPERLINK \l "_Toc16686" </w:instrText>
      </w:r>
      <w:r>
        <w:rPr>
          <w:highlight w:val="none"/>
        </w:rPr>
        <w:fldChar w:fldCharType="separate"/>
      </w:r>
      <w:r>
        <w:rPr>
          <w:rFonts w:hint="eastAsia" w:ascii="宋体" w:hAnsi="宋体" w:cs="宋体"/>
          <w:b w:val="0"/>
          <w:bCs w:val="0"/>
          <w:kern w:val="44"/>
          <w:highlight w:val="none"/>
        </w:rPr>
        <w:t>第五章  投标文件格式</w:t>
      </w:r>
      <w:r>
        <w:rPr>
          <w:rFonts w:hint="eastAsia" w:ascii="宋体" w:hAnsi="宋体" w:cs="宋体"/>
          <w:b w:val="0"/>
          <w:bCs w:val="0"/>
          <w:highlight w:val="none"/>
        </w:rPr>
        <w:tab/>
      </w:r>
      <w:r>
        <w:rPr>
          <w:rFonts w:hint="eastAsia" w:ascii="宋体" w:hAnsi="宋体" w:cs="宋体"/>
          <w:b w:val="0"/>
          <w:bCs w:val="0"/>
          <w:highlight w:val="none"/>
        </w:rPr>
        <w:t>4</w:t>
      </w:r>
      <w:r>
        <w:rPr>
          <w:rFonts w:hint="eastAsia" w:ascii="宋体" w:hAnsi="宋体" w:cs="宋体"/>
          <w:b w:val="0"/>
          <w:bCs w:val="0"/>
          <w:highlight w:val="none"/>
        </w:rPr>
        <w:fldChar w:fldCharType="end"/>
      </w:r>
      <w:r>
        <w:rPr>
          <w:rFonts w:hint="eastAsia" w:ascii="宋体" w:hAnsi="宋体" w:cs="宋体"/>
          <w:b w:val="0"/>
          <w:bCs w:val="0"/>
          <w:highlight w:val="none"/>
        </w:rPr>
        <w:t>4</w:t>
      </w:r>
    </w:p>
    <w:p w14:paraId="652D37F4">
      <w:pPr>
        <w:pStyle w:val="12"/>
        <w:tabs>
          <w:tab w:val="right" w:leader="dot" w:pos="9746"/>
          <w:tab w:val="clear" w:pos="8834"/>
        </w:tabs>
        <w:rPr>
          <w:rFonts w:ascii="宋体" w:hAnsi="宋体" w:cs="宋体"/>
          <w:b w:val="0"/>
          <w:bCs w:val="0"/>
          <w:highlight w:val="none"/>
        </w:rPr>
      </w:pPr>
      <w:r>
        <w:rPr>
          <w:highlight w:val="none"/>
        </w:rPr>
        <w:fldChar w:fldCharType="begin"/>
      </w:r>
      <w:r>
        <w:rPr>
          <w:highlight w:val="none"/>
        </w:rPr>
        <w:instrText xml:space="preserve"> HYPERLINK \l "_Toc6892" </w:instrText>
      </w:r>
      <w:r>
        <w:rPr>
          <w:highlight w:val="none"/>
        </w:rPr>
        <w:fldChar w:fldCharType="separate"/>
      </w:r>
      <w:r>
        <w:rPr>
          <w:rFonts w:hint="eastAsia" w:ascii="宋体" w:hAnsi="宋体" w:cs="宋体"/>
          <w:b w:val="0"/>
          <w:bCs w:val="0"/>
          <w:kern w:val="44"/>
          <w:highlight w:val="none"/>
        </w:rPr>
        <w:t>第六章  采购合同（范本）</w:t>
      </w:r>
      <w:r>
        <w:rPr>
          <w:rFonts w:hint="eastAsia" w:ascii="宋体" w:hAnsi="宋体" w:cs="宋体"/>
          <w:b w:val="0"/>
          <w:bCs w:val="0"/>
          <w:highlight w:val="none"/>
        </w:rPr>
        <w:tab/>
      </w:r>
      <w:r>
        <w:rPr>
          <w:rFonts w:hint="eastAsia" w:ascii="宋体" w:hAnsi="宋体" w:cs="宋体"/>
          <w:b w:val="0"/>
          <w:bCs w:val="0"/>
          <w:highlight w:val="none"/>
        </w:rPr>
        <w:t>6</w:t>
      </w:r>
      <w:r>
        <w:rPr>
          <w:rFonts w:hint="eastAsia" w:ascii="宋体" w:hAnsi="宋体" w:cs="宋体"/>
          <w:b w:val="0"/>
          <w:bCs w:val="0"/>
          <w:highlight w:val="none"/>
        </w:rPr>
        <w:fldChar w:fldCharType="end"/>
      </w:r>
      <w:r>
        <w:rPr>
          <w:rFonts w:hint="eastAsia" w:ascii="宋体" w:hAnsi="宋体" w:cs="宋体"/>
          <w:b w:val="0"/>
          <w:bCs w:val="0"/>
          <w:highlight w:val="none"/>
        </w:rPr>
        <w:t>4</w:t>
      </w:r>
    </w:p>
    <w:p w14:paraId="7B064BAC">
      <w:pPr>
        <w:ind w:firstLine="2520" w:firstLineChars="900"/>
        <w:rPr>
          <w:rFonts w:ascii="宋体" w:hAnsi="宋体" w:cs="宋体"/>
          <w:highlight w:val="none"/>
        </w:rPr>
      </w:pPr>
      <w:r>
        <w:rPr>
          <w:rFonts w:hint="eastAsia" w:ascii="宋体" w:hAnsi="宋体" w:cs="宋体"/>
          <w:sz w:val="28"/>
          <w:szCs w:val="28"/>
          <w:highlight w:val="none"/>
        </w:rPr>
        <w:fldChar w:fldCharType="end"/>
      </w:r>
    </w:p>
    <w:p w14:paraId="7839F5B3">
      <w:pPr>
        <w:ind w:firstLine="1890" w:firstLineChars="900"/>
        <w:rPr>
          <w:rFonts w:ascii="宋体" w:hAnsi="宋体" w:cs="宋体"/>
          <w:highlight w:val="none"/>
        </w:rPr>
      </w:pPr>
    </w:p>
    <w:p w14:paraId="6D03B958">
      <w:pPr>
        <w:spacing w:line="720" w:lineRule="exact"/>
        <w:ind w:firstLine="565" w:firstLineChars="201"/>
        <w:jc w:val="left"/>
        <w:outlineLvl w:val="0"/>
        <w:rPr>
          <w:rFonts w:ascii="宋体" w:hAnsi="宋体"/>
          <w:sz w:val="28"/>
          <w:highlight w:val="none"/>
        </w:rPr>
      </w:pPr>
      <w:bookmarkStart w:id="0" w:name="_Toc12912"/>
      <w:r>
        <w:rPr>
          <w:rFonts w:hint="eastAsia" w:ascii="宋体" w:hAnsi="宋体" w:cs="宋体"/>
          <w:b/>
          <w:bCs/>
          <w:caps/>
          <w:sz w:val="28"/>
          <w:szCs w:val="28"/>
          <w:highlight w:val="none"/>
        </w:rPr>
        <w:cr/>
      </w:r>
      <w:r>
        <w:rPr>
          <w:rFonts w:hint="eastAsia" w:ascii="宋体" w:hAnsi="宋体" w:cs="宋体"/>
          <w:b/>
          <w:bCs/>
          <w:caps/>
          <w:sz w:val="28"/>
          <w:szCs w:val="28"/>
          <w:highlight w:val="none"/>
        </w:rPr>
        <w:cr/>
      </w:r>
      <w:r>
        <w:rPr>
          <w:rFonts w:hint="eastAsia" w:ascii="宋体" w:hAnsi="宋体"/>
          <w:sz w:val="28"/>
          <w:highlight w:val="none"/>
        </w:rPr>
        <w:cr/>
      </w:r>
      <w:bookmarkEnd w:id="0"/>
    </w:p>
    <w:p w14:paraId="4DE7DCA2">
      <w:pPr>
        <w:spacing w:line="360" w:lineRule="auto"/>
        <w:ind w:firstLine="422" w:firstLineChars="201"/>
        <w:jc w:val="center"/>
        <w:rPr>
          <w:rFonts w:ascii="宋体" w:hAnsi="宋体"/>
          <w:kern w:val="0"/>
          <w:highlight w:val="none"/>
        </w:rPr>
      </w:pPr>
    </w:p>
    <w:p w14:paraId="179A911C">
      <w:pPr>
        <w:rPr>
          <w:rFonts w:ascii="宋体" w:hAnsi="宋体"/>
          <w:highlight w:val="none"/>
        </w:rPr>
      </w:pPr>
    </w:p>
    <w:p w14:paraId="1EEE5595">
      <w:pPr>
        <w:jc w:val="center"/>
        <w:rPr>
          <w:rFonts w:ascii="宋体" w:hAnsi="宋体"/>
          <w:highlight w:val="none"/>
        </w:rPr>
      </w:pPr>
    </w:p>
    <w:p w14:paraId="4B044E27">
      <w:pPr>
        <w:rPr>
          <w:rFonts w:ascii="宋体" w:hAnsi="宋体"/>
          <w:highlight w:val="none"/>
        </w:rPr>
      </w:pPr>
    </w:p>
    <w:p w14:paraId="501A4CB3">
      <w:pPr>
        <w:rPr>
          <w:rFonts w:ascii="宋体" w:hAnsi="宋体"/>
          <w:highlight w:val="none"/>
        </w:rPr>
        <w:sectPr>
          <w:footerReference r:id="rId6" w:type="first"/>
          <w:footerReference r:id="rId5" w:type="default"/>
          <w:pgSz w:w="11906" w:h="16838"/>
          <w:pgMar w:top="1440" w:right="1080" w:bottom="1440" w:left="1080" w:header="851" w:footer="992" w:gutter="0"/>
          <w:cols w:space="720" w:num="1"/>
          <w:titlePg/>
          <w:docGrid w:type="lines" w:linePitch="312" w:charSpace="0"/>
        </w:sectPr>
      </w:pPr>
    </w:p>
    <w:p w14:paraId="3F063F98">
      <w:pPr>
        <w:pStyle w:val="2"/>
        <w:rPr>
          <w:highlight w:val="none"/>
        </w:rPr>
      </w:pPr>
      <w:bookmarkStart w:id="1" w:name="_Toc15982"/>
      <w:r>
        <w:rPr>
          <w:rFonts w:hint="eastAsia"/>
          <w:highlight w:val="none"/>
        </w:rPr>
        <w:t>第一章  招标公告</w:t>
      </w:r>
      <w:bookmarkEnd w:id="1"/>
    </w:p>
    <w:p w14:paraId="1085FBE3">
      <w:pPr>
        <w:spacing w:line="560" w:lineRule="exact"/>
        <w:jc w:val="center"/>
        <w:outlineLvl w:val="0"/>
        <w:rPr>
          <w:rFonts w:ascii="宋体" w:hAnsi="宋体"/>
          <w:b/>
          <w:bCs/>
          <w:kern w:val="0"/>
          <w:sz w:val="32"/>
          <w:szCs w:val="30"/>
          <w:highlight w:val="none"/>
        </w:rPr>
      </w:pPr>
      <w:bookmarkStart w:id="2" w:name="_Toc23993"/>
      <w:r>
        <w:rPr>
          <w:rFonts w:hint="eastAsia" w:ascii="宋体" w:hAnsi="宋体"/>
          <w:b/>
          <w:bCs/>
          <w:kern w:val="0"/>
          <w:sz w:val="32"/>
          <w:szCs w:val="30"/>
          <w:highlight w:val="none"/>
        </w:rPr>
        <w:t>选定半月湾景区生鲜食材供应服务单位公开招标公告</w:t>
      </w:r>
      <w:bookmarkEnd w:id="2"/>
    </w:p>
    <w:p w14:paraId="1EDEACA8">
      <w:pPr>
        <w:spacing w:line="420" w:lineRule="exact"/>
        <w:jc w:val="center"/>
        <w:rPr>
          <w:rFonts w:ascii="宋体" w:hAnsi="宋体" w:cs="宋体"/>
          <w:b/>
          <w:bCs/>
          <w:kern w:val="0"/>
          <w:szCs w:val="21"/>
          <w:highlight w:val="none"/>
        </w:rPr>
      </w:pPr>
      <w:bookmarkStart w:id="3" w:name="_Toc179715683"/>
      <w:bookmarkStart w:id="4" w:name="_Toc152047191"/>
      <w:bookmarkStart w:id="5" w:name="_Toc144974394"/>
      <w:r>
        <w:rPr>
          <w:rFonts w:hint="eastAsia" w:ascii="宋体" w:hAnsi="宋体" w:cs="宋体"/>
          <w:szCs w:val="21"/>
          <w:highlight w:val="none"/>
        </w:rPr>
        <w:t>（招标编号：</w:t>
      </w:r>
      <w:r>
        <w:rPr>
          <w:rFonts w:hint="eastAsia" w:ascii="宋体" w:hAnsi="宋体" w:cs="宋体"/>
          <w:szCs w:val="21"/>
          <w:highlight w:val="none"/>
          <w:lang w:eastAsia="zh-CN"/>
        </w:rPr>
        <w:t>HSZBFW20260003</w:t>
      </w:r>
      <w:r>
        <w:rPr>
          <w:rFonts w:hint="eastAsia" w:ascii="宋体" w:hAnsi="宋体" w:cs="宋体"/>
          <w:szCs w:val="21"/>
          <w:highlight w:val="none"/>
        </w:rPr>
        <w:t>）</w:t>
      </w:r>
    </w:p>
    <w:bookmarkEnd w:id="3"/>
    <w:bookmarkEnd w:id="4"/>
    <w:bookmarkEnd w:id="5"/>
    <w:p w14:paraId="4293CDB1">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 xml:space="preserve">一、招标条件 </w:t>
      </w:r>
    </w:p>
    <w:p w14:paraId="6B328CCD">
      <w:pPr>
        <w:spacing w:line="480" w:lineRule="exact"/>
        <w:ind w:firstLine="480"/>
        <w:jc w:val="left"/>
        <w:outlineLvl w:val="0"/>
        <w:rPr>
          <w:rFonts w:ascii="宋体" w:hAnsi="宋体" w:cs="宋体"/>
          <w:sz w:val="24"/>
          <w:szCs w:val="22"/>
          <w:highlight w:val="none"/>
        </w:rPr>
      </w:pPr>
      <w:bookmarkStart w:id="6" w:name="_Toc24965"/>
      <w:r>
        <w:rPr>
          <w:rFonts w:hint="eastAsia" w:ascii="宋体" w:hAnsi="宋体" w:cs="宋体"/>
          <w:sz w:val="24"/>
          <w:szCs w:val="22"/>
          <w:highlight w:val="none"/>
        </w:rPr>
        <w:t>本招标项目选定半月湾景区生鲜食材供应服务单位</w:t>
      </w:r>
      <w:r>
        <w:rPr>
          <w:rFonts w:hint="eastAsia" w:ascii="宋体" w:hAnsi="宋体" w:cs="宋体"/>
          <w:sz w:val="24"/>
          <w:highlight w:val="none"/>
        </w:rPr>
        <w:t>，</w:t>
      </w:r>
      <w:r>
        <w:rPr>
          <w:rFonts w:hint="eastAsia" w:ascii="宋体" w:hAnsi="宋体" w:cs="宋体"/>
          <w:sz w:val="24"/>
          <w:szCs w:val="22"/>
          <w:highlight w:val="none"/>
        </w:rPr>
        <w:t>招标申请已经相关部门批准，招标人为威海环晟文旅发展有限公司，项目资金来源为自筹，出资比例为100%，项目已具备招标条件，现对该项目进行公开招标。</w:t>
      </w:r>
      <w:bookmarkEnd w:id="6"/>
    </w:p>
    <w:p w14:paraId="38D4BD82">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二、项目概况和招标范围</w:t>
      </w:r>
    </w:p>
    <w:p w14:paraId="00A9590D">
      <w:pPr>
        <w:wordWrap w:val="0"/>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1、项目概况：为采购单位提供半月湾景区生鲜食材供货服务，根据景区日常经营、节假日大客流、临时运营保障需求，供应新鲜蔬菜、时令水果、冷藏甜品、寿司生食水产等各类生鲜食品以及酒水冷饮，提供食材分拣、分类包装、全程冷链配送、质量退换、应急保供、售后处置一体化供货服务。</w:t>
      </w:r>
    </w:p>
    <w:p w14:paraId="6E051968">
      <w:pPr>
        <w:spacing w:line="480" w:lineRule="exact"/>
        <w:ind w:firstLine="480"/>
        <w:jc w:val="left"/>
        <w:outlineLvl w:val="0"/>
        <w:rPr>
          <w:rFonts w:ascii="宋体" w:hAnsi="宋体" w:cs="宋体"/>
          <w:sz w:val="24"/>
          <w:szCs w:val="22"/>
          <w:highlight w:val="none"/>
        </w:rPr>
      </w:pPr>
      <w:bookmarkStart w:id="7" w:name="_Toc12909"/>
      <w:r>
        <w:rPr>
          <w:rFonts w:hint="eastAsia" w:ascii="宋体" w:hAnsi="宋体" w:cs="宋体"/>
          <w:sz w:val="24"/>
          <w:szCs w:val="22"/>
          <w:highlight w:val="none"/>
        </w:rPr>
        <w:t>2、服务期：自合同签订之日起一年。</w:t>
      </w:r>
      <w:bookmarkEnd w:id="7"/>
      <w:r>
        <w:rPr>
          <w:rFonts w:ascii="宋体" w:hAnsi="宋体" w:cs="宋体"/>
          <w:sz w:val="24"/>
          <w:highlight w:val="none"/>
        </w:rPr>
        <w:t>服务期满后采购单位根据全年履约考核、食品安全记录、供货服务质量综合评定，决定是否续签供货合同。</w:t>
      </w:r>
    </w:p>
    <w:p w14:paraId="5A71ED12">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三、投标人资格要求</w:t>
      </w:r>
    </w:p>
    <w:p w14:paraId="7472B588">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1、具有独立承担民事责任的能力；</w:t>
      </w:r>
    </w:p>
    <w:p w14:paraId="1D069D4D">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2、具有有效的食品生产许可证或食品经营许可证；</w:t>
      </w:r>
    </w:p>
    <w:p w14:paraId="4F272791">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3、具有良好的商业信誉和健全的财务会计制度；</w:t>
      </w:r>
    </w:p>
    <w:p w14:paraId="7A6DDE0F">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4、具有履行合同所必须的设备和人员，并能提供优质的服务；</w:t>
      </w:r>
    </w:p>
    <w:p w14:paraId="0F044169">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5、具有依法缴纳税收和社会保障资金的良好记录；</w:t>
      </w:r>
    </w:p>
    <w:p w14:paraId="74FF2D8F">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6、参加本次招标活动前三年内，在经营活动中没有重大违法记录；</w:t>
      </w:r>
    </w:p>
    <w:p w14:paraId="0E23C07A">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 xml:space="preserve">7、投标人、法定代表人、委托代理人未被最高法院列入失信被执行人； </w:t>
      </w:r>
    </w:p>
    <w:p w14:paraId="3783EBF0">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8、投标人近一年在“信用中国”或“信用中国（山东）”无严重失信记录；</w:t>
      </w:r>
    </w:p>
    <w:p w14:paraId="658EBF2E">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9、法律、行政法规及招标文件规定的其他要求；</w:t>
      </w:r>
    </w:p>
    <w:p w14:paraId="47A092EB">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10、本项目不允许联合体参加。</w:t>
      </w:r>
    </w:p>
    <w:p w14:paraId="5D30FF93">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 xml:space="preserve">四、招标文件的获取 </w:t>
      </w:r>
    </w:p>
    <w:p w14:paraId="322CFA85">
      <w:pPr>
        <w:spacing w:line="480" w:lineRule="exact"/>
        <w:ind w:firstLine="480" w:firstLineChars="200"/>
        <w:rPr>
          <w:rFonts w:ascii="宋体" w:hAnsi="宋体" w:cs="宋体"/>
          <w:b/>
          <w:sz w:val="24"/>
          <w:szCs w:val="22"/>
          <w:highlight w:val="none"/>
        </w:rPr>
      </w:pPr>
      <w:r>
        <w:rPr>
          <w:rFonts w:hint="eastAsia" w:ascii="宋体" w:hAnsi="宋体" w:cs="宋体"/>
          <w:sz w:val="24"/>
          <w:szCs w:val="22"/>
          <w:highlight w:val="none"/>
        </w:rPr>
        <w:t>获取时间：从2026年0</w:t>
      </w:r>
      <w:r>
        <w:rPr>
          <w:rFonts w:hint="eastAsia" w:ascii="宋体" w:hAnsi="宋体" w:cs="宋体"/>
          <w:sz w:val="24"/>
          <w:szCs w:val="22"/>
          <w:highlight w:val="none"/>
          <w:lang w:val="en-US" w:eastAsia="zh-CN"/>
        </w:rPr>
        <w:t>9</w:t>
      </w:r>
      <w:r>
        <w:rPr>
          <w:rFonts w:hint="eastAsia" w:ascii="宋体" w:hAnsi="宋体" w:cs="宋体"/>
          <w:sz w:val="24"/>
          <w:szCs w:val="22"/>
          <w:highlight w:val="none"/>
        </w:rPr>
        <w:t>月</w:t>
      </w:r>
      <w:r>
        <w:rPr>
          <w:rFonts w:hint="eastAsia" w:ascii="宋体" w:hAnsi="宋体" w:cs="宋体"/>
          <w:sz w:val="24"/>
          <w:szCs w:val="22"/>
          <w:highlight w:val="none"/>
          <w:lang w:val="en-US" w:eastAsia="zh-CN"/>
        </w:rPr>
        <w:t>16</w:t>
      </w:r>
      <w:r>
        <w:rPr>
          <w:rFonts w:hint="eastAsia" w:ascii="宋体" w:hAnsi="宋体" w:cs="宋体"/>
          <w:sz w:val="24"/>
          <w:szCs w:val="22"/>
          <w:highlight w:val="none"/>
        </w:rPr>
        <w:t>日17时30分到2026年0</w:t>
      </w:r>
      <w:r>
        <w:rPr>
          <w:rFonts w:hint="eastAsia" w:ascii="宋体" w:hAnsi="宋体" w:cs="宋体"/>
          <w:sz w:val="24"/>
          <w:szCs w:val="22"/>
          <w:highlight w:val="none"/>
          <w:lang w:val="en-US" w:eastAsia="zh-CN"/>
        </w:rPr>
        <w:t>9</w:t>
      </w:r>
      <w:r>
        <w:rPr>
          <w:rFonts w:hint="eastAsia" w:ascii="宋体" w:hAnsi="宋体" w:cs="宋体"/>
          <w:sz w:val="24"/>
          <w:szCs w:val="22"/>
          <w:highlight w:val="none"/>
        </w:rPr>
        <w:t>月</w:t>
      </w:r>
      <w:r>
        <w:rPr>
          <w:rFonts w:hint="eastAsia" w:ascii="宋体" w:hAnsi="宋体" w:cs="宋体"/>
          <w:sz w:val="24"/>
          <w:szCs w:val="22"/>
          <w:highlight w:val="none"/>
          <w:lang w:val="en-US" w:eastAsia="zh-CN"/>
        </w:rPr>
        <w:t>22</w:t>
      </w:r>
      <w:r>
        <w:rPr>
          <w:rFonts w:hint="eastAsia" w:ascii="宋体" w:hAnsi="宋体" w:cs="宋体"/>
          <w:sz w:val="24"/>
          <w:szCs w:val="22"/>
          <w:highlight w:val="none"/>
        </w:rPr>
        <w:t>日17时30分</w:t>
      </w:r>
    </w:p>
    <w:p w14:paraId="43AD150D">
      <w:pPr>
        <w:autoSpaceDE w:val="0"/>
        <w:autoSpaceDN w:val="0"/>
        <w:adjustRightInd w:val="0"/>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获取方式：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0CD63147">
      <w:pPr>
        <w:autoSpaceDE w:val="0"/>
        <w:autoSpaceDN w:val="0"/>
        <w:adjustRightInd w:val="0"/>
        <w:spacing w:line="440" w:lineRule="exact"/>
        <w:ind w:firstLine="480" w:firstLineChars="200"/>
        <w:rPr>
          <w:rFonts w:ascii="宋体" w:hAnsi="宋体" w:cs="宋体"/>
          <w:kern w:val="0"/>
          <w:sz w:val="24"/>
          <w:highlight w:val="none"/>
        </w:rPr>
      </w:pPr>
      <w:r>
        <w:rPr>
          <w:rFonts w:hint="eastAsia" w:ascii="宋体" w:hAnsi="宋体" w:cs="宋体"/>
          <w:kern w:val="0"/>
          <w:sz w:val="24"/>
          <w:highlight w:val="none"/>
        </w:rPr>
        <w:t>注：未注册用户请先免费注册。在“威海市公共资源交易网”右侧“交易服务一网通办系统-（新版）一网通办系统”按钮登录端口注册登记，并办理“安全证书（CA）”和“电子签章”进行获取文件。“安全证书（CA）”和“电子签章”办理请按照“威海市公共资源交易网”右侧“CA办理”中“CA证书办理介绍”进行办理。</w:t>
      </w:r>
    </w:p>
    <w:p w14:paraId="38222B6E">
      <w:pPr>
        <w:autoSpaceDE w:val="0"/>
        <w:autoSpaceDN w:val="0"/>
        <w:adjustRightInd w:val="0"/>
        <w:spacing w:line="480" w:lineRule="exact"/>
        <w:ind w:firstLine="482" w:firstLineChars="200"/>
        <w:jc w:val="left"/>
        <w:rPr>
          <w:rFonts w:ascii="宋体" w:hAnsi="宋体" w:cs="宋体"/>
          <w:b/>
          <w:sz w:val="24"/>
          <w:szCs w:val="22"/>
          <w:highlight w:val="none"/>
        </w:rPr>
      </w:pPr>
      <w:r>
        <w:rPr>
          <w:rFonts w:hint="eastAsia" w:ascii="宋体" w:hAnsi="宋体" w:cs="宋体"/>
          <w:b/>
          <w:sz w:val="24"/>
          <w:szCs w:val="22"/>
          <w:highlight w:val="none"/>
        </w:rPr>
        <w:t xml:space="preserve">五、投标文件的递交 </w:t>
      </w:r>
    </w:p>
    <w:p w14:paraId="7776D71A">
      <w:pPr>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递交截止时间:2026年0</w:t>
      </w:r>
      <w:r>
        <w:rPr>
          <w:rFonts w:hint="eastAsia" w:ascii="宋体" w:hAnsi="宋体" w:cs="宋体"/>
          <w:sz w:val="24"/>
          <w:szCs w:val="22"/>
          <w:highlight w:val="none"/>
          <w:lang w:val="en-US" w:eastAsia="zh-CN"/>
        </w:rPr>
        <w:t>9</w:t>
      </w:r>
      <w:r>
        <w:rPr>
          <w:rFonts w:hint="eastAsia" w:ascii="宋体" w:hAnsi="宋体" w:cs="宋体"/>
          <w:sz w:val="24"/>
          <w:szCs w:val="22"/>
          <w:highlight w:val="none"/>
        </w:rPr>
        <w:t>月</w:t>
      </w:r>
      <w:r>
        <w:rPr>
          <w:rFonts w:hint="eastAsia" w:ascii="宋体" w:hAnsi="宋体" w:cs="宋体"/>
          <w:sz w:val="24"/>
          <w:szCs w:val="22"/>
          <w:highlight w:val="none"/>
          <w:lang w:val="en-US" w:eastAsia="zh-CN"/>
        </w:rPr>
        <w:t>24</w:t>
      </w:r>
      <w:r>
        <w:rPr>
          <w:rFonts w:hint="eastAsia" w:ascii="宋体" w:hAnsi="宋体" w:cs="宋体"/>
          <w:sz w:val="24"/>
          <w:szCs w:val="22"/>
          <w:highlight w:val="none"/>
        </w:rPr>
        <w:t>日</w:t>
      </w:r>
      <w:r>
        <w:rPr>
          <w:rFonts w:hint="eastAsia" w:ascii="宋体" w:hAnsi="宋体" w:cs="宋体"/>
          <w:sz w:val="24"/>
          <w:szCs w:val="22"/>
          <w:highlight w:val="none"/>
          <w:lang w:val="en-US" w:eastAsia="zh-CN"/>
        </w:rPr>
        <w:t>14</w:t>
      </w:r>
      <w:r>
        <w:rPr>
          <w:rFonts w:hint="eastAsia" w:ascii="宋体" w:hAnsi="宋体" w:cs="宋体"/>
          <w:sz w:val="24"/>
          <w:szCs w:val="22"/>
          <w:highlight w:val="none"/>
        </w:rPr>
        <w:t>时00分</w:t>
      </w:r>
    </w:p>
    <w:p w14:paraId="343F767A">
      <w:pPr>
        <w:wordWrap w:val="0"/>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递交方式：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5AC81C4A">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六、开标时间及地点</w:t>
      </w:r>
    </w:p>
    <w:p w14:paraId="514D7297">
      <w:pPr>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开标时间：2026年0</w:t>
      </w:r>
      <w:r>
        <w:rPr>
          <w:rFonts w:hint="eastAsia" w:ascii="宋体" w:hAnsi="宋体" w:cs="宋体"/>
          <w:sz w:val="24"/>
          <w:szCs w:val="22"/>
          <w:highlight w:val="none"/>
          <w:lang w:val="en-US" w:eastAsia="zh-CN"/>
        </w:rPr>
        <w:t>9</w:t>
      </w:r>
      <w:r>
        <w:rPr>
          <w:rFonts w:hint="eastAsia" w:ascii="宋体" w:hAnsi="宋体" w:cs="宋体"/>
          <w:sz w:val="24"/>
          <w:szCs w:val="22"/>
          <w:highlight w:val="none"/>
        </w:rPr>
        <w:t>月</w:t>
      </w:r>
      <w:r>
        <w:rPr>
          <w:rFonts w:hint="eastAsia" w:ascii="宋体" w:hAnsi="宋体" w:cs="宋体"/>
          <w:sz w:val="24"/>
          <w:szCs w:val="22"/>
          <w:highlight w:val="none"/>
          <w:lang w:val="en-US" w:eastAsia="zh-CN"/>
        </w:rPr>
        <w:t>24</w:t>
      </w:r>
      <w:r>
        <w:rPr>
          <w:rFonts w:hint="eastAsia" w:ascii="宋体" w:hAnsi="宋体" w:cs="宋体"/>
          <w:sz w:val="24"/>
          <w:szCs w:val="22"/>
          <w:highlight w:val="none"/>
        </w:rPr>
        <w:t>日</w:t>
      </w:r>
      <w:r>
        <w:rPr>
          <w:rFonts w:hint="eastAsia" w:ascii="宋体" w:hAnsi="宋体" w:cs="宋体"/>
          <w:sz w:val="24"/>
          <w:szCs w:val="22"/>
          <w:highlight w:val="none"/>
          <w:lang w:val="en-US" w:eastAsia="zh-CN"/>
        </w:rPr>
        <w:t>14</w:t>
      </w:r>
      <w:r>
        <w:rPr>
          <w:rFonts w:hint="eastAsia" w:ascii="宋体" w:hAnsi="宋体" w:cs="宋体"/>
          <w:sz w:val="24"/>
          <w:szCs w:val="22"/>
          <w:highlight w:val="none"/>
        </w:rPr>
        <w:t>时00分</w:t>
      </w:r>
    </w:p>
    <w:p w14:paraId="7423BA32">
      <w:pPr>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开标地点：威海市公共资源交易中心交易</w:t>
      </w:r>
      <w:r>
        <w:rPr>
          <w:rFonts w:hint="eastAsia" w:ascii="宋体" w:hAnsi="宋体" w:cs="宋体"/>
          <w:sz w:val="24"/>
          <w:szCs w:val="22"/>
          <w:highlight w:val="none"/>
          <w:lang w:val="en-US" w:eastAsia="zh-CN"/>
        </w:rPr>
        <w:t>六</w:t>
      </w:r>
      <w:r>
        <w:rPr>
          <w:rFonts w:hint="eastAsia" w:ascii="宋体" w:hAnsi="宋体" w:cs="宋体"/>
          <w:sz w:val="24"/>
          <w:szCs w:val="22"/>
          <w:highlight w:val="none"/>
        </w:rPr>
        <w:t>厅（威海市环翠区塔山中路317号市政务服务中心四楼）。</w:t>
      </w:r>
    </w:p>
    <w:p w14:paraId="397DD0DB">
      <w:pPr>
        <w:spacing w:line="480" w:lineRule="exact"/>
        <w:ind w:firstLine="482" w:firstLineChars="200"/>
        <w:rPr>
          <w:rFonts w:ascii="宋体" w:hAnsi="宋体" w:cs="宋体"/>
          <w:b/>
          <w:sz w:val="24"/>
          <w:szCs w:val="22"/>
          <w:highlight w:val="none"/>
        </w:rPr>
      </w:pPr>
      <w:r>
        <w:rPr>
          <w:rFonts w:hint="eastAsia" w:ascii="宋体" w:hAnsi="宋体" w:cs="宋体"/>
          <w:b/>
          <w:sz w:val="24"/>
          <w:szCs w:val="22"/>
          <w:highlight w:val="none"/>
        </w:rPr>
        <w:t>七、发布公告的媒介</w:t>
      </w:r>
    </w:p>
    <w:p w14:paraId="3B57850C">
      <w:pPr>
        <w:wordWrap w:val="0"/>
        <w:autoSpaceDE w:val="0"/>
        <w:autoSpaceDN w:val="0"/>
        <w:adjustRightInd w:val="0"/>
        <w:spacing w:line="460" w:lineRule="exact"/>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本次公告在中国招标投标公共服务平台（www.cebpubservice.com）、威海市公共资源交易网（http://ggzyjy.weihai.cn/）上发布。</w:t>
      </w:r>
    </w:p>
    <w:p w14:paraId="11932889">
      <w:pPr>
        <w:spacing w:line="480" w:lineRule="exact"/>
        <w:ind w:firstLine="482" w:firstLineChars="200"/>
        <w:rPr>
          <w:rFonts w:ascii="宋体" w:hAnsi="宋体" w:cs="宋体"/>
          <w:b/>
          <w:sz w:val="24"/>
          <w:highlight w:val="none"/>
        </w:rPr>
      </w:pPr>
      <w:r>
        <w:rPr>
          <w:rFonts w:hint="eastAsia" w:ascii="宋体" w:hAnsi="宋体" w:cs="宋体"/>
          <w:b/>
          <w:sz w:val="24"/>
          <w:highlight w:val="none"/>
        </w:rPr>
        <w:t xml:space="preserve">八、联系方式 </w:t>
      </w:r>
    </w:p>
    <w:p w14:paraId="7E08A378">
      <w:pPr>
        <w:tabs>
          <w:tab w:val="left" w:pos="4860"/>
        </w:tabs>
        <w:spacing w:line="480" w:lineRule="exact"/>
        <w:ind w:firstLine="480" w:firstLineChars="200"/>
        <w:rPr>
          <w:rFonts w:ascii="宋体" w:hAnsi="宋体" w:cs="宋体"/>
          <w:sz w:val="24"/>
          <w:highlight w:val="none"/>
        </w:rPr>
      </w:pPr>
      <w:r>
        <w:rPr>
          <w:rFonts w:hint="eastAsia" w:ascii="宋体" w:hAnsi="宋体"/>
          <w:sz w:val="24"/>
          <w:highlight w:val="none"/>
        </w:rPr>
        <w:t>招 标 人：</w:t>
      </w:r>
      <w:r>
        <w:rPr>
          <w:rFonts w:hint="eastAsia" w:ascii="宋体" w:hAnsi="宋体" w:cs="宋体"/>
          <w:sz w:val="24"/>
          <w:szCs w:val="22"/>
          <w:highlight w:val="none"/>
        </w:rPr>
        <w:t>威海环晟文旅发展有限公司</w:t>
      </w:r>
    </w:p>
    <w:p w14:paraId="693853C1">
      <w:pPr>
        <w:tabs>
          <w:tab w:val="left" w:pos="4860"/>
        </w:tabs>
        <w:spacing w:line="480" w:lineRule="exact"/>
        <w:ind w:firstLine="480" w:firstLineChars="200"/>
        <w:rPr>
          <w:rFonts w:ascii="宋体" w:hAnsi="宋体" w:cs="宋体"/>
          <w:sz w:val="24"/>
          <w:szCs w:val="22"/>
          <w:highlight w:val="none"/>
        </w:rPr>
      </w:pPr>
      <w:r>
        <w:rPr>
          <w:rFonts w:hint="eastAsia" w:ascii="宋体" w:hAnsi="宋体"/>
          <w:sz w:val="24"/>
          <w:highlight w:val="none"/>
        </w:rPr>
        <w:t>地    址：</w:t>
      </w:r>
      <w:r>
        <w:rPr>
          <w:rFonts w:hint="eastAsia" w:ascii="宋体" w:hAnsi="宋体" w:cs="宋体"/>
          <w:sz w:val="24"/>
          <w:szCs w:val="22"/>
          <w:highlight w:val="none"/>
        </w:rPr>
        <w:t>威海市环翠区嵩山路106-2号2层3单元</w:t>
      </w:r>
    </w:p>
    <w:p w14:paraId="0B4107EC">
      <w:pPr>
        <w:tabs>
          <w:tab w:val="left" w:pos="4860"/>
        </w:tabs>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联 系 人：毕亚男</w:t>
      </w:r>
    </w:p>
    <w:p w14:paraId="60FFD213">
      <w:pPr>
        <w:tabs>
          <w:tab w:val="left" w:pos="4860"/>
        </w:tabs>
        <w:spacing w:line="480" w:lineRule="exact"/>
        <w:ind w:firstLine="480" w:firstLineChars="200"/>
        <w:rPr>
          <w:rFonts w:ascii="宋体" w:hAnsi="宋体" w:cs="宋体"/>
          <w:sz w:val="24"/>
          <w:szCs w:val="22"/>
          <w:highlight w:val="none"/>
        </w:rPr>
      </w:pPr>
      <w:r>
        <w:rPr>
          <w:rFonts w:hint="eastAsia" w:ascii="宋体" w:hAnsi="宋体" w:cs="宋体"/>
          <w:sz w:val="24"/>
          <w:szCs w:val="22"/>
          <w:highlight w:val="none"/>
        </w:rPr>
        <w:t>电    话：0631-5813181</w:t>
      </w:r>
    </w:p>
    <w:p w14:paraId="21F535F2">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招标代理机构：山东恒成信工程咨询管理有限公司</w:t>
      </w:r>
    </w:p>
    <w:p w14:paraId="56791452">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地    址：威海市文化西路-158号六层</w:t>
      </w:r>
    </w:p>
    <w:p w14:paraId="599924F4">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联 系 人：林婷婷、张英杰</w:t>
      </w:r>
    </w:p>
    <w:p w14:paraId="16D04325">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电    话：0631-5</w:t>
      </w:r>
      <w:r>
        <w:rPr>
          <w:rFonts w:ascii="宋体" w:hAnsi="宋体"/>
          <w:sz w:val="24"/>
          <w:highlight w:val="none"/>
        </w:rPr>
        <w:t>810321</w:t>
      </w:r>
    </w:p>
    <w:p w14:paraId="09C66AF8">
      <w:pPr>
        <w:tabs>
          <w:tab w:val="left" w:pos="4860"/>
        </w:tabs>
        <w:spacing w:line="480" w:lineRule="exact"/>
        <w:ind w:firstLine="480" w:firstLineChars="200"/>
        <w:rPr>
          <w:rFonts w:ascii="宋体" w:hAnsi="宋体"/>
          <w:sz w:val="24"/>
          <w:highlight w:val="none"/>
        </w:rPr>
      </w:pPr>
      <w:r>
        <w:rPr>
          <w:rFonts w:hint="eastAsia" w:ascii="宋体" w:hAnsi="宋体"/>
          <w:sz w:val="24"/>
          <w:highlight w:val="none"/>
        </w:rPr>
        <w:t>电子邮件：zbsd</w:t>
      </w:r>
      <w:r>
        <w:rPr>
          <w:rFonts w:ascii="宋体" w:hAnsi="宋体"/>
          <w:sz w:val="24"/>
          <w:highlight w:val="none"/>
        </w:rPr>
        <w:t>hcx</w:t>
      </w:r>
      <w:r>
        <w:rPr>
          <w:rFonts w:hint="eastAsia" w:ascii="宋体" w:hAnsi="宋体"/>
          <w:sz w:val="24"/>
          <w:highlight w:val="none"/>
        </w:rPr>
        <w:t>@1</w:t>
      </w:r>
      <w:r>
        <w:rPr>
          <w:rFonts w:ascii="宋体" w:hAnsi="宋体"/>
          <w:sz w:val="24"/>
          <w:highlight w:val="none"/>
        </w:rPr>
        <w:t>63</w:t>
      </w:r>
      <w:r>
        <w:rPr>
          <w:rFonts w:hint="eastAsia" w:ascii="宋体" w:hAnsi="宋体"/>
          <w:sz w:val="24"/>
          <w:highlight w:val="none"/>
        </w:rPr>
        <w:t>.com</w:t>
      </w:r>
    </w:p>
    <w:p w14:paraId="697AEAB7">
      <w:pPr>
        <w:spacing w:line="480" w:lineRule="exact"/>
        <w:jc w:val="right"/>
        <w:rPr>
          <w:rFonts w:ascii="宋体" w:hAnsi="宋体" w:cs="宋体"/>
          <w:sz w:val="24"/>
          <w:highlight w:val="none"/>
        </w:rPr>
      </w:pPr>
    </w:p>
    <w:p w14:paraId="2F0BE976">
      <w:pPr>
        <w:spacing w:line="480" w:lineRule="exact"/>
        <w:jc w:val="right"/>
        <w:rPr>
          <w:rFonts w:ascii="宋体" w:hAnsi="宋体"/>
          <w:sz w:val="24"/>
          <w:highlight w:val="none"/>
        </w:rPr>
      </w:pPr>
      <w:r>
        <w:rPr>
          <w:rFonts w:hint="eastAsia" w:ascii="宋体" w:hAnsi="宋体" w:cs="宋体"/>
          <w:sz w:val="24"/>
          <w:highlight w:val="none"/>
        </w:rPr>
        <w:t>发布人：山东恒成信工程咨询管理有限公司</w:t>
      </w:r>
    </w:p>
    <w:p w14:paraId="0E93184C">
      <w:pPr>
        <w:wordWrap w:val="0"/>
        <w:spacing w:line="480" w:lineRule="exact"/>
        <w:ind w:right="360"/>
        <w:jc w:val="right"/>
        <w:rPr>
          <w:rFonts w:ascii="宋体" w:hAnsi="宋体" w:cs="宋体"/>
          <w:sz w:val="24"/>
          <w:highlight w:val="none"/>
        </w:rPr>
      </w:pPr>
      <w:r>
        <w:rPr>
          <w:rFonts w:hint="eastAsia" w:ascii="宋体" w:hAnsi="宋体" w:cs="宋体"/>
          <w:sz w:val="24"/>
          <w:highlight w:val="none"/>
        </w:rPr>
        <w:t>发布时间：</w:t>
      </w:r>
      <w:r>
        <w:rPr>
          <w:rFonts w:ascii="宋体" w:hAnsi="宋体" w:cs="宋体"/>
          <w:sz w:val="24"/>
          <w:highlight w:val="none"/>
        </w:rPr>
        <w:t>202</w:t>
      </w:r>
      <w:r>
        <w:rPr>
          <w:rFonts w:hint="eastAsia" w:ascii="宋体" w:hAnsi="宋体" w:cs="宋体"/>
          <w:sz w:val="24"/>
          <w:highlight w:val="none"/>
        </w:rPr>
        <w:t>6年0</w:t>
      </w:r>
      <w:r>
        <w:rPr>
          <w:rFonts w:hint="eastAsia" w:ascii="宋体" w:hAnsi="宋体" w:cs="宋体"/>
          <w:sz w:val="24"/>
          <w:highlight w:val="none"/>
          <w:lang w:val="en-US" w:eastAsia="zh-CN"/>
        </w:rPr>
        <w:t>9</w:t>
      </w:r>
      <w:r>
        <w:rPr>
          <w:rFonts w:hint="eastAsia" w:ascii="宋体" w:hAnsi="宋体" w:cs="宋体"/>
          <w:sz w:val="24"/>
          <w:highlight w:val="none"/>
        </w:rPr>
        <w:t>月</w:t>
      </w:r>
      <w:r>
        <w:rPr>
          <w:rFonts w:hint="eastAsia" w:ascii="宋体" w:hAnsi="宋体" w:cs="宋体"/>
          <w:sz w:val="24"/>
          <w:highlight w:val="none"/>
          <w:lang w:val="en-US" w:eastAsia="zh-CN"/>
        </w:rPr>
        <w:t>16</w:t>
      </w:r>
      <w:r>
        <w:rPr>
          <w:rFonts w:hint="eastAsia" w:ascii="宋体" w:hAnsi="宋体" w:cs="宋体"/>
          <w:sz w:val="24"/>
          <w:highlight w:val="none"/>
        </w:rPr>
        <w:t>日</w:t>
      </w:r>
    </w:p>
    <w:p w14:paraId="24E14750">
      <w:pPr>
        <w:rPr>
          <w:highlight w:val="none"/>
        </w:rPr>
      </w:pPr>
    </w:p>
    <w:p w14:paraId="577738C7">
      <w:pPr>
        <w:pStyle w:val="5"/>
        <w:rPr>
          <w:highlight w:val="none"/>
        </w:rPr>
      </w:pPr>
    </w:p>
    <w:p w14:paraId="53F6F4D6">
      <w:pPr>
        <w:pStyle w:val="2"/>
        <w:rPr>
          <w:rFonts w:cs="宋体"/>
          <w:b w:val="0"/>
          <w:bCs w:val="0"/>
          <w:kern w:val="0"/>
          <w:szCs w:val="36"/>
          <w:highlight w:val="none"/>
        </w:rPr>
      </w:pPr>
      <w:r>
        <w:rPr>
          <w:highlight w:val="none"/>
        </w:rPr>
        <w:br w:type="page"/>
      </w:r>
      <w:bookmarkStart w:id="8" w:name="_Toc29950"/>
      <w:r>
        <w:rPr>
          <w:rFonts w:hint="eastAsia"/>
          <w:highlight w:val="none"/>
        </w:rPr>
        <w:t>第二章  投标须知</w:t>
      </w:r>
      <w:bookmarkEnd w:id="8"/>
    </w:p>
    <w:p w14:paraId="54DA0227">
      <w:pPr>
        <w:pStyle w:val="15"/>
        <w:spacing w:before="0" w:after="0" w:line="360" w:lineRule="auto"/>
        <w:ind w:firstLine="644" w:firstLineChars="201"/>
        <w:rPr>
          <w:rFonts w:ascii="宋体" w:hAnsi="宋体"/>
          <w:szCs w:val="30"/>
          <w:highlight w:val="none"/>
        </w:rPr>
      </w:pPr>
      <w:bookmarkStart w:id="9" w:name="_Toc28382"/>
      <w:r>
        <w:rPr>
          <w:rFonts w:hint="eastAsia" w:ascii="宋体" w:hAnsi="宋体"/>
          <w:szCs w:val="30"/>
          <w:highlight w:val="none"/>
        </w:rPr>
        <w:t>投标须知前附表</w:t>
      </w:r>
      <w:bookmarkEnd w:id="9"/>
    </w:p>
    <w:tbl>
      <w:tblPr>
        <w:tblStyle w:val="17"/>
        <w:tblW w:w="98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420"/>
        <w:gridCol w:w="7502"/>
      </w:tblGrid>
      <w:tr w14:paraId="7F82F8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8" w:type="dxa"/>
            <w:tcBorders>
              <w:top w:val="single" w:color="auto" w:sz="4" w:space="0"/>
              <w:bottom w:val="single" w:color="auto" w:sz="4" w:space="0"/>
              <w:right w:val="single" w:color="auto" w:sz="4" w:space="0"/>
            </w:tcBorders>
            <w:vAlign w:val="center"/>
          </w:tcPr>
          <w:p w14:paraId="66033C04">
            <w:pPr>
              <w:spacing w:line="400" w:lineRule="exact"/>
              <w:rPr>
                <w:rFonts w:ascii="宋体" w:hAnsi="宋体"/>
                <w:sz w:val="24"/>
                <w:highlight w:val="none"/>
              </w:rPr>
            </w:pPr>
            <w:r>
              <w:rPr>
                <w:rFonts w:hint="eastAsia" w:ascii="宋体" w:hAnsi="宋体"/>
                <w:sz w:val="24"/>
                <w:highlight w:val="none"/>
              </w:rPr>
              <w:t>序号</w:t>
            </w:r>
          </w:p>
        </w:tc>
        <w:tc>
          <w:tcPr>
            <w:tcW w:w="1420" w:type="dxa"/>
            <w:tcBorders>
              <w:top w:val="single" w:color="auto" w:sz="4" w:space="0"/>
              <w:left w:val="single" w:color="auto" w:sz="4" w:space="0"/>
              <w:bottom w:val="single" w:color="auto" w:sz="4" w:space="0"/>
              <w:right w:val="single" w:color="auto" w:sz="4" w:space="0"/>
            </w:tcBorders>
            <w:vAlign w:val="center"/>
          </w:tcPr>
          <w:p w14:paraId="6FA8CE36">
            <w:pPr>
              <w:spacing w:line="400" w:lineRule="exact"/>
              <w:jc w:val="center"/>
              <w:rPr>
                <w:rFonts w:ascii="宋体" w:hAnsi="宋体"/>
                <w:sz w:val="24"/>
                <w:highlight w:val="none"/>
              </w:rPr>
            </w:pPr>
            <w:r>
              <w:rPr>
                <w:rFonts w:hint="eastAsia" w:ascii="宋体" w:hAnsi="宋体"/>
                <w:sz w:val="24"/>
                <w:highlight w:val="none"/>
              </w:rPr>
              <w:t>项    目</w:t>
            </w:r>
          </w:p>
        </w:tc>
        <w:tc>
          <w:tcPr>
            <w:tcW w:w="7502" w:type="dxa"/>
            <w:tcBorders>
              <w:top w:val="single" w:color="auto" w:sz="4" w:space="0"/>
              <w:left w:val="single" w:color="auto" w:sz="4" w:space="0"/>
              <w:bottom w:val="single" w:color="auto" w:sz="4" w:space="0"/>
            </w:tcBorders>
            <w:vAlign w:val="center"/>
          </w:tcPr>
          <w:p w14:paraId="00384EBF">
            <w:pPr>
              <w:spacing w:line="400" w:lineRule="exact"/>
              <w:jc w:val="center"/>
              <w:rPr>
                <w:rFonts w:ascii="宋体" w:hAnsi="宋体"/>
                <w:sz w:val="24"/>
                <w:highlight w:val="none"/>
              </w:rPr>
            </w:pPr>
            <w:r>
              <w:rPr>
                <w:rFonts w:hint="eastAsia" w:ascii="宋体" w:hAnsi="宋体"/>
                <w:sz w:val="24"/>
                <w:highlight w:val="none"/>
              </w:rPr>
              <w:t>内           容</w:t>
            </w:r>
          </w:p>
        </w:tc>
      </w:tr>
      <w:tr w14:paraId="0A5D56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2DC7246E">
            <w:pPr>
              <w:spacing w:line="400" w:lineRule="exact"/>
              <w:ind w:firstLine="240" w:firstLineChars="100"/>
              <w:rPr>
                <w:rFonts w:ascii="宋体" w:hAnsi="宋体"/>
                <w:sz w:val="24"/>
                <w:highlight w:val="none"/>
              </w:rPr>
            </w:pPr>
            <w:r>
              <w:rPr>
                <w:rFonts w:hint="eastAsia" w:ascii="宋体" w:hAnsi="宋体"/>
                <w:sz w:val="24"/>
                <w:highlight w:val="none"/>
              </w:rPr>
              <w:t>1</w:t>
            </w:r>
          </w:p>
        </w:tc>
        <w:tc>
          <w:tcPr>
            <w:tcW w:w="1420" w:type="dxa"/>
            <w:tcBorders>
              <w:top w:val="single" w:color="auto" w:sz="4" w:space="0"/>
              <w:left w:val="single" w:color="auto" w:sz="4" w:space="0"/>
              <w:bottom w:val="single" w:color="auto" w:sz="4" w:space="0"/>
              <w:right w:val="single" w:color="auto" w:sz="4" w:space="0"/>
            </w:tcBorders>
            <w:vAlign w:val="center"/>
          </w:tcPr>
          <w:p w14:paraId="311178B1">
            <w:pPr>
              <w:spacing w:line="400" w:lineRule="exact"/>
              <w:jc w:val="center"/>
              <w:rPr>
                <w:rFonts w:ascii="宋体" w:hAnsi="宋体"/>
                <w:sz w:val="24"/>
                <w:highlight w:val="none"/>
              </w:rPr>
            </w:pPr>
            <w:r>
              <w:rPr>
                <w:rFonts w:hint="eastAsia" w:ascii="宋体" w:hAnsi="宋体"/>
                <w:sz w:val="24"/>
                <w:highlight w:val="none"/>
              </w:rPr>
              <w:t>项目名称</w:t>
            </w:r>
          </w:p>
        </w:tc>
        <w:tc>
          <w:tcPr>
            <w:tcW w:w="7502" w:type="dxa"/>
            <w:tcBorders>
              <w:top w:val="single" w:color="auto" w:sz="4" w:space="0"/>
              <w:left w:val="single" w:color="auto" w:sz="4" w:space="0"/>
              <w:bottom w:val="single" w:color="auto" w:sz="4" w:space="0"/>
            </w:tcBorders>
            <w:vAlign w:val="center"/>
          </w:tcPr>
          <w:p w14:paraId="416F875E">
            <w:pPr>
              <w:spacing w:line="400" w:lineRule="exact"/>
              <w:rPr>
                <w:rFonts w:ascii="宋体" w:hAnsi="宋体"/>
                <w:sz w:val="24"/>
                <w:highlight w:val="none"/>
              </w:rPr>
            </w:pPr>
            <w:r>
              <w:rPr>
                <w:rFonts w:hint="eastAsia" w:ascii="宋体" w:hAnsi="宋体"/>
                <w:bCs/>
                <w:kern w:val="0"/>
                <w:sz w:val="24"/>
                <w:highlight w:val="none"/>
              </w:rPr>
              <w:t>选定半月湾景区生鲜食材供应服务单位</w:t>
            </w:r>
          </w:p>
        </w:tc>
      </w:tr>
      <w:tr w14:paraId="2E05C3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2D8835F0">
            <w:pPr>
              <w:spacing w:line="400" w:lineRule="exact"/>
              <w:ind w:firstLine="240" w:firstLineChars="100"/>
              <w:rPr>
                <w:rFonts w:ascii="宋体" w:hAnsi="宋体"/>
                <w:sz w:val="24"/>
                <w:highlight w:val="none"/>
              </w:rPr>
            </w:pPr>
            <w:r>
              <w:rPr>
                <w:rFonts w:hint="eastAsia" w:ascii="宋体" w:hAnsi="宋体"/>
                <w:sz w:val="24"/>
                <w:highlight w:val="none"/>
              </w:rPr>
              <w:t>2</w:t>
            </w:r>
          </w:p>
        </w:tc>
        <w:tc>
          <w:tcPr>
            <w:tcW w:w="1420" w:type="dxa"/>
            <w:tcBorders>
              <w:top w:val="single" w:color="auto" w:sz="4" w:space="0"/>
              <w:left w:val="single" w:color="auto" w:sz="4" w:space="0"/>
              <w:bottom w:val="single" w:color="auto" w:sz="4" w:space="0"/>
              <w:right w:val="single" w:color="auto" w:sz="4" w:space="0"/>
            </w:tcBorders>
            <w:vAlign w:val="center"/>
          </w:tcPr>
          <w:p w14:paraId="36ACC2A1">
            <w:pPr>
              <w:spacing w:line="400" w:lineRule="exact"/>
              <w:jc w:val="center"/>
              <w:rPr>
                <w:rFonts w:ascii="宋体" w:hAnsi="宋体"/>
                <w:sz w:val="24"/>
                <w:highlight w:val="none"/>
              </w:rPr>
            </w:pPr>
            <w:r>
              <w:rPr>
                <w:rFonts w:hint="eastAsia" w:ascii="宋体" w:hAnsi="宋体"/>
                <w:sz w:val="24"/>
                <w:highlight w:val="none"/>
              </w:rPr>
              <w:t>项目编号</w:t>
            </w:r>
          </w:p>
        </w:tc>
        <w:tc>
          <w:tcPr>
            <w:tcW w:w="7502" w:type="dxa"/>
            <w:tcBorders>
              <w:top w:val="single" w:color="auto" w:sz="4" w:space="0"/>
              <w:left w:val="single" w:color="auto" w:sz="4" w:space="0"/>
              <w:bottom w:val="single" w:color="auto" w:sz="4" w:space="0"/>
            </w:tcBorders>
            <w:vAlign w:val="center"/>
          </w:tcPr>
          <w:p w14:paraId="76648D31">
            <w:pPr>
              <w:spacing w:line="400" w:lineRule="exact"/>
              <w:rPr>
                <w:rFonts w:hint="eastAsia" w:ascii="宋体" w:hAnsi="宋体" w:eastAsia="宋体"/>
                <w:sz w:val="24"/>
                <w:highlight w:val="none"/>
                <w:lang w:eastAsia="zh-CN"/>
              </w:rPr>
            </w:pPr>
            <w:r>
              <w:rPr>
                <w:rFonts w:hint="eastAsia" w:ascii="宋体" w:hAnsi="宋体" w:cs="宋体"/>
                <w:sz w:val="24"/>
                <w:highlight w:val="none"/>
                <w:lang w:eastAsia="zh-CN"/>
              </w:rPr>
              <w:t>HSZBFW20260003</w:t>
            </w:r>
          </w:p>
        </w:tc>
      </w:tr>
      <w:tr w14:paraId="4BC903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jc w:val="center"/>
        </w:trPr>
        <w:tc>
          <w:tcPr>
            <w:tcW w:w="908" w:type="dxa"/>
            <w:tcBorders>
              <w:top w:val="single" w:color="auto" w:sz="4" w:space="0"/>
              <w:bottom w:val="single" w:color="auto" w:sz="4" w:space="0"/>
              <w:right w:val="single" w:color="auto" w:sz="4" w:space="0"/>
            </w:tcBorders>
            <w:vAlign w:val="center"/>
          </w:tcPr>
          <w:p w14:paraId="028D98A1">
            <w:pPr>
              <w:spacing w:line="400" w:lineRule="exact"/>
              <w:jc w:val="center"/>
              <w:rPr>
                <w:rFonts w:ascii="宋体" w:hAnsi="宋体"/>
                <w:sz w:val="24"/>
                <w:highlight w:val="none"/>
              </w:rPr>
            </w:pPr>
            <w:r>
              <w:rPr>
                <w:rFonts w:hint="eastAsia" w:ascii="宋体" w:hAnsi="宋体"/>
                <w:sz w:val="24"/>
                <w:highlight w:val="none"/>
              </w:rPr>
              <w:t>3</w:t>
            </w:r>
          </w:p>
        </w:tc>
        <w:tc>
          <w:tcPr>
            <w:tcW w:w="1420" w:type="dxa"/>
            <w:tcBorders>
              <w:top w:val="single" w:color="auto" w:sz="4" w:space="0"/>
              <w:left w:val="single" w:color="auto" w:sz="4" w:space="0"/>
              <w:bottom w:val="single" w:color="auto" w:sz="4" w:space="0"/>
              <w:right w:val="single" w:color="auto" w:sz="4" w:space="0"/>
            </w:tcBorders>
            <w:vAlign w:val="center"/>
          </w:tcPr>
          <w:p w14:paraId="35B4D233">
            <w:pPr>
              <w:spacing w:line="400" w:lineRule="exact"/>
              <w:jc w:val="center"/>
              <w:rPr>
                <w:rFonts w:ascii="宋体" w:hAnsi="宋体"/>
                <w:sz w:val="24"/>
                <w:highlight w:val="none"/>
              </w:rPr>
            </w:pPr>
            <w:r>
              <w:rPr>
                <w:rFonts w:hint="eastAsia" w:ascii="宋体" w:hAnsi="宋体"/>
                <w:sz w:val="24"/>
                <w:highlight w:val="none"/>
              </w:rPr>
              <w:t>招标人</w:t>
            </w:r>
          </w:p>
        </w:tc>
        <w:tc>
          <w:tcPr>
            <w:tcW w:w="7502" w:type="dxa"/>
            <w:tcBorders>
              <w:top w:val="single" w:color="auto" w:sz="4" w:space="0"/>
              <w:left w:val="single" w:color="auto" w:sz="4" w:space="0"/>
              <w:bottom w:val="single" w:color="auto" w:sz="4" w:space="0"/>
            </w:tcBorders>
            <w:vAlign w:val="center"/>
          </w:tcPr>
          <w:p w14:paraId="356AFB35">
            <w:pPr>
              <w:spacing w:line="400" w:lineRule="exact"/>
              <w:rPr>
                <w:rFonts w:ascii="宋体" w:hAnsi="宋体"/>
                <w:sz w:val="24"/>
                <w:highlight w:val="none"/>
              </w:rPr>
            </w:pPr>
            <w:r>
              <w:rPr>
                <w:rFonts w:hint="eastAsia" w:ascii="宋体" w:hAnsi="宋体"/>
                <w:sz w:val="24"/>
                <w:highlight w:val="none"/>
              </w:rPr>
              <w:t>单位名称：</w:t>
            </w:r>
            <w:r>
              <w:rPr>
                <w:rFonts w:hint="eastAsia" w:ascii="宋体" w:hAnsi="宋体" w:cs="宋体"/>
                <w:sz w:val="24"/>
                <w:szCs w:val="22"/>
                <w:highlight w:val="none"/>
              </w:rPr>
              <w:t>威海环晟文旅发展有限公司</w:t>
            </w:r>
          </w:p>
          <w:p w14:paraId="16E8D6EF">
            <w:pPr>
              <w:spacing w:line="400" w:lineRule="exact"/>
              <w:rPr>
                <w:rFonts w:ascii="宋体" w:hAnsi="宋体"/>
                <w:sz w:val="24"/>
                <w:highlight w:val="none"/>
              </w:rPr>
            </w:pPr>
            <w:r>
              <w:rPr>
                <w:rFonts w:hint="eastAsia" w:ascii="宋体" w:hAnsi="宋体"/>
                <w:sz w:val="24"/>
                <w:highlight w:val="none"/>
              </w:rPr>
              <w:t>地    址：威海市环翠区嵩山路106-2号2层3单元</w:t>
            </w:r>
          </w:p>
          <w:p w14:paraId="5D17E7C6">
            <w:pPr>
              <w:tabs>
                <w:tab w:val="left" w:pos="4860"/>
              </w:tabs>
              <w:spacing w:line="480" w:lineRule="exact"/>
              <w:rPr>
                <w:rFonts w:ascii="宋体" w:hAnsi="宋体" w:cs="宋体"/>
                <w:sz w:val="24"/>
                <w:szCs w:val="22"/>
                <w:highlight w:val="none"/>
              </w:rPr>
            </w:pPr>
            <w:r>
              <w:rPr>
                <w:rFonts w:hint="eastAsia" w:ascii="宋体" w:hAnsi="宋体" w:cs="宋体"/>
                <w:sz w:val="24"/>
                <w:szCs w:val="22"/>
                <w:highlight w:val="none"/>
              </w:rPr>
              <w:t>联 系 人：毕亚男</w:t>
            </w:r>
          </w:p>
          <w:p w14:paraId="5E503F78">
            <w:pPr>
              <w:tabs>
                <w:tab w:val="left" w:pos="4860"/>
              </w:tabs>
              <w:spacing w:line="480" w:lineRule="exact"/>
              <w:rPr>
                <w:rFonts w:ascii="宋体" w:hAnsi="宋体"/>
                <w:sz w:val="24"/>
                <w:highlight w:val="none"/>
              </w:rPr>
            </w:pPr>
            <w:r>
              <w:rPr>
                <w:rFonts w:hint="eastAsia" w:ascii="宋体" w:hAnsi="宋体" w:cs="宋体"/>
                <w:sz w:val="24"/>
                <w:szCs w:val="22"/>
                <w:highlight w:val="none"/>
              </w:rPr>
              <w:t>电    话：0631-5813181</w:t>
            </w:r>
          </w:p>
        </w:tc>
      </w:tr>
      <w:tr w14:paraId="0BEA17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9" w:hRule="atLeast"/>
          <w:jc w:val="center"/>
        </w:trPr>
        <w:tc>
          <w:tcPr>
            <w:tcW w:w="908" w:type="dxa"/>
            <w:tcBorders>
              <w:top w:val="single" w:color="auto" w:sz="4" w:space="0"/>
              <w:bottom w:val="single" w:color="auto" w:sz="4" w:space="0"/>
              <w:right w:val="single" w:color="auto" w:sz="4" w:space="0"/>
            </w:tcBorders>
            <w:vAlign w:val="center"/>
          </w:tcPr>
          <w:p w14:paraId="772A5060">
            <w:pPr>
              <w:spacing w:line="400" w:lineRule="exact"/>
              <w:jc w:val="center"/>
              <w:rPr>
                <w:rFonts w:ascii="宋体" w:hAnsi="宋体"/>
                <w:sz w:val="24"/>
                <w:highlight w:val="none"/>
              </w:rPr>
            </w:pPr>
            <w:r>
              <w:rPr>
                <w:rFonts w:hint="eastAsia" w:ascii="宋体" w:hAnsi="宋体"/>
                <w:sz w:val="24"/>
                <w:highlight w:val="none"/>
              </w:rPr>
              <w:t>4</w:t>
            </w:r>
          </w:p>
        </w:tc>
        <w:tc>
          <w:tcPr>
            <w:tcW w:w="1420" w:type="dxa"/>
            <w:tcBorders>
              <w:top w:val="single" w:color="auto" w:sz="4" w:space="0"/>
              <w:left w:val="single" w:color="auto" w:sz="4" w:space="0"/>
              <w:bottom w:val="single" w:color="auto" w:sz="4" w:space="0"/>
              <w:right w:val="single" w:color="auto" w:sz="4" w:space="0"/>
            </w:tcBorders>
            <w:vAlign w:val="center"/>
          </w:tcPr>
          <w:p w14:paraId="6C69BD65">
            <w:pPr>
              <w:spacing w:line="400" w:lineRule="exact"/>
              <w:jc w:val="center"/>
              <w:rPr>
                <w:rFonts w:ascii="宋体" w:hAnsi="宋体"/>
                <w:sz w:val="24"/>
                <w:highlight w:val="none"/>
              </w:rPr>
            </w:pPr>
            <w:r>
              <w:rPr>
                <w:rFonts w:hint="eastAsia" w:ascii="宋体" w:hAnsi="宋体"/>
                <w:sz w:val="24"/>
                <w:highlight w:val="none"/>
              </w:rPr>
              <w:t>招标代理</w:t>
            </w:r>
          </w:p>
          <w:p w14:paraId="6D874EA2">
            <w:pPr>
              <w:spacing w:line="400" w:lineRule="exact"/>
              <w:jc w:val="center"/>
              <w:rPr>
                <w:rFonts w:ascii="宋体" w:hAnsi="宋体"/>
                <w:sz w:val="24"/>
                <w:highlight w:val="none"/>
              </w:rPr>
            </w:pPr>
            <w:r>
              <w:rPr>
                <w:rFonts w:hint="eastAsia" w:ascii="宋体" w:hAnsi="宋体"/>
                <w:sz w:val="24"/>
                <w:highlight w:val="none"/>
              </w:rPr>
              <w:t>机构</w:t>
            </w:r>
          </w:p>
        </w:tc>
        <w:tc>
          <w:tcPr>
            <w:tcW w:w="7502" w:type="dxa"/>
            <w:tcBorders>
              <w:top w:val="single" w:color="auto" w:sz="4" w:space="0"/>
              <w:left w:val="single" w:color="auto" w:sz="4" w:space="0"/>
              <w:bottom w:val="single" w:color="auto" w:sz="4" w:space="0"/>
            </w:tcBorders>
            <w:vAlign w:val="center"/>
          </w:tcPr>
          <w:p w14:paraId="0E8D0E80">
            <w:pPr>
              <w:spacing w:line="400" w:lineRule="exact"/>
              <w:rPr>
                <w:rFonts w:ascii="宋体" w:hAnsi="宋体"/>
                <w:sz w:val="24"/>
                <w:highlight w:val="none"/>
              </w:rPr>
            </w:pPr>
            <w:r>
              <w:rPr>
                <w:rFonts w:hint="eastAsia" w:ascii="宋体" w:hAnsi="宋体"/>
                <w:sz w:val="24"/>
                <w:highlight w:val="none"/>
              </w:rPr>
              <w:t>单位名称：山东恒成信工程咨询管理有限公司</w:t>
            </w:r>
          </w:p>
          <w:p w14:paraId="596FE1F2">
            <w:pPr>
              <w:spacing w:line="400" w:lineRule="exact"/>
              <w:rPr>
                <w:rFonts w:ascii="宋体" w:hAnsi="宋体"/>
                <w:sz w:val="24"/>
                <w:highlight w:val="none"/>
              </w:rPr>
            </w:pPr>
            <w:r>
              <w:rPr>
                <w:rFonts w:hint="eastAsia" w:ascii="宋体" w:hAnsi="宋体"/>
                <w:sz w:val="24"/>
                <w:highlight w:val="none"/>
              </w:rPr>
              <w:t>地    址：威海市文化西路-158号六层</w:t>
            </w:r>
          </w:p>
          <w:p w14:paraId="639E80D6">
            <w:pPr>
              <w:spacing w:line="400" w:lineRule="exact"/>
              <w:rPr>
                <w:rFonts w:ascii="宋体" w:hAnsi="宋体"/>
                <w:sz w:val="24"/>
                <w:highlight w:val="none"/>
              </w:rPr>
            </w:pPr>
            <w:r>
              <w:rPr>
                <w:rFonts w:hint="eastAsia" w:ascii="宋体" w:hAnsi="宋体"/>
                <w:sz w:val="24"/>
                <w:highlight w:val="none"/>
              </w:rPr>
              <w:t>联 系 人：林婷婷、张英杰</w:t>
            </w:r>
          </w:p>
          <w:p w14:paraId="1E86A80B">
            <w:pPr>
              <w:spacing w:line="400" w:lineRule="exact"/>
              <w:rPr>
                <w:rFonts w:ascii="宋体" w:hAnsi="宋体"/>
                <w:sz w:val="24"/>
                <w:highlight w:val="none"/>
              </w:rPr>
            </w:pPr>
            <w:r>
              <w:rPr>
                <w:rFonts w:hint="eastAsia" w:ascii="宋体" w:hAnsi="宋体"/>
                <w:sz w:val="24"/>
                <w:highlight w:val="none"/>
              </w:rPr>
              <w:t>联系方式：0631-5810321</w:t>
            </w:r>
          </w:p>
        </w:tc>
      </w:tr>
      <w:tr w14:paraId="4325E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 w:hRule="atLeast"/>
          <w:jc w:val="center"/>
        </w:trPr>
        <w:tc>
          <w:tcPr>
            <w:tcW w:w="908" w:type="dxa"/>
            <w:tcBorders>
              <w:top w:val="single" w:color="auto" w:sz="4" w:space="0"/>
              <w:bottom w:val="single" w:color="auto" w:sz="4" w:space="0"/>
              <w:right w:val="single" w:color="auto" w:sz="4" w:space="0"/>
            </w:tcBorders>
            <w:vAlign w:val="center"/>
          </w:tcPr>
          <w:p w14:paraId="051DD13B">
            <w:pPr>
              <w:spacing w:line="400" w:lineRule="exact"/>
              <w:jc w:val="center"/>
              <w:rPr>
                <w:rFonts w:ascii="宋体" w:hAnsi="宋体"/>
                <w:sz w:val="24"/>
                <w:highlight w:val="none"/>
              </w:rPr>
            </w:pPr>
            <w:r>
              <w:rPr>
                <w:rFonts w:hint="eastAsia" w:ascii="宋体" w:hAnsi="宋体"/>
                <w:sz w:val="24"/>
                <w:highlight w:val="none"/>
              </w:rPr>
              <w:t>5</w:t>
            </w:r>
          </w:p>
        </w:tc>
        <w:tc>
          <w:tcPr>
            <w:tcW w:w="1420" w:type="dxa"/>
            <w:tcBorders>
              <w:top w:val="single" w:color="auto" w:sz="4" w:space="0"/>
              <w:left w:val="single" w:color="auto" w:sz="4" w:space="0"/>
              <w:bottom w:val="single" w:color="auto" w:sz="4" w:space="0"/>
              <w:right w:val="single" w:color="auto" w:sz="4" w:space="0"/>
            </w:tcBorders>
            <w:vAlign w:val="center"/>
          </w:tcPr>
          <w:p w14:paraId="25DECA6C">
            <w:pPr>
              <w:spacing w:line="400" w:lineRule="exact"/>
              <w:jc w:val="center"/>
              <w:rPr>
                <w:rFonts w:ascii="宋体" w:hAnsi="宋体"/>
                <w:sz w:val="24"/>
                <w:highlight w:val="none"/>
              </w:rPr>
            </w:pPr>
            <w:r>
              <w:rPr>
                <w:rFonts w:hint="eastAsia" w:ascii="宋体" w:hAnsi="宋体"/>
                <w:sz w:val="24"/>
                <w:highlight w:val="none"/>
              </w:rPr>
              <w:t>项目详细</w:t>
            </w:r>
          </w:p>
          <w:p w14:paraId="1A33577B">
            <w:pPr>
              <w:spacing w:line="400" w:lineRule="exact"/>
              <w:jc w:val="center"/>
              <w:rPr>
                <w:rFonts w:ascii="宋体" w:hAnsi="宋体"/>
                <w:sz w:val="24"/>
                <w:highlight w:val="none"/>
              </w:rPr>
            </w:pPr>
            <w:r>
              <w:rPr>
                <w:rFonts w:hint="eastAsia" w:ascii="宋体" w:hAnsi="宋体"/>
                <w:sz w:val="24"/>
                <w:highlight w:val="none"/>
              </w:rPr>
              <w:t>情况</w:t>
            </w:r>
          </w:p>
        </w:tc>
        <w:tc>
          <w:tcPr>
            <w:tcW w:w="7502" w:type="dxa"/>
            <w:tcBorders>
              <w:top w:val="single" w:color="auto" w:sz="4" w:space="0"/>
              <w:left w:val="single" w:color="auto" w:sz="4" w:space="0"/>
              <w:bottom w:val="single" w:color="auto" w:sz="4" w:space="0"/>
            </w:tcBorders>
            <w:vAlign w:val="center"/>
          </w:tcPr>
          <w:p w14:paraId="29154DCD">
            <w:pPr>
              <w:pStyle w:val="5"/>
              <w:spacing w:line="400" w:lineRule="exact"/>
              <w:rPr>
                <w:highlight w:val="none"/>
              </w:rPr>
            </w:pPr>
            <w:r>
              <w:rPr>
                <w:rFonts w:hint="eastAsia" w:ascii="宋体" w:hAnsi="宋体" w:cs="Calibri"/>
                <w:szCs w:val="22"/>
                <w:highlight w:val="none"/>
              </w:rPr>
              <w:t>详见“第一章 招标公告”</w:t>
            </w:r>
          </w:p>
        </w:tc>
      </w:tr>
      <w:tr w14:paraId="3317D4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jc w:val="center"/>
        </w:trPr>
        <w:tc>
          <w:tcPr>
            <w:tcW w:w="908" w:type="dxa"/>
            <w:tcBorders>
              <w:top w:val="single" w:color="auto" w:sz="4" w:space="0"/>
              <w:bottom w:val="single" w:color="auto" w:sz="4" w:space="0"/>
              <w:right w:val="single" w:color="auto" w:sz="4" w:space="0"/>
            </w:tcBorders>
            <w:vAlign w:val="center"/>
          </w:tcPr>
          <w:p w14:paraId="3B0809FE">
            <w:pPr>
              <w:spacing w:line="400" w:lineRule="exact"/>
              <w:jc w:val="center"/>
              <w:rPr>
                <w:rFonts w:ascii="宋体" w:hAnsi="宋体"/>
                <w:sz w:val="24"/>
                <w:highlight w:val="none"/>
              </w:rPr>
            </w:pPr>
            <w:r>
              <w:rPr>
                <w:rFonts w:hint="eastAsia" w:ascii="宋体" w:hAnsi="宋体"/>
                <w:sz w:val="24"/>
                <w:highlight w:val="none"/>
              </w:rPr>
              <w:t>6</w:t>
            </w:r>
          </w:p>
        </w:tc>
        <w:tc>
          <w:tcPr>
            <w:tcW w:w="1420" w:type="dxa"/>
            <w:tcBorders>
              <w:top w:val="single" w:color="auto" w:sz="4" w:space="0"/>
              <w:left w:val="single" w:color="auto" w:sz="4" w:space="0"/>
              <w:bottom w:val="single" w:color="auto" w:sz="4" w:space="0"/>
              <w:right w:val="single" w:color="auto" w:sz="4" w:space="0"/>
            </w:tcBorders>
            <w:vAlign w:val="center"/>
          </w:tcPr>
          <w:p w14:paraId="4866D8D4">
            <w:pPr>
              <w:spacing w:line="400" w:lineRule="exact"/>
              <w:jc w:val="center"/>
              <w:rPr>
                <w:rFonts w:ascii="宋体" w:hAnsi="宋体"/>
                <w:sz w:val="24"/>
                <w:highlight w:val="none"/>
              </w:rPr>
            </w:pPr>
            <w:r>
              <w:rPr>
                <w:rFonts w:hint="eastAsia" w:ascii="宋体" w:hAnsi="宋体"/>
                <w:sz w:val="24"/>
                <w:highlight w:val="none"/>
              </w:rPr>
              <w:t>资金来源及比例</w:t>
            </w:r>
          </w:p>
        </w:tc>
        <w:tc>
          <w:tcPr>
            <w:tcW w:w="7502" w:type="dxa"/>
            <w:tcBorders>
              <w:top w:val="single" w:color="auto" w:sz="4" w:space="0"/>
              <w:left w:val="single" w:color="auto" w:sz="4" w:space="0"/>
              <w:bottom w:val="single" w:color="auto" w:sz="4" w:space="0"/>
            </w:tcBorders>
            <w:vAlign w:val="center"/>
          </w:tcPr>
          <w:p w14:paraId="5BA3B63A">
            <w:pPr>
              <w:spacing w:line="400" w:lineRule="exact"/>
              <w:jc w:val="left"/>
              <w:rPr>
                <w:rFonts w:ascii="宋体" w:hAnsi="宋体"/>
                <w:sz w:val="24"/>
                <w:highlight w:val="none"/>
              </w:rPr>
            </w:pPr>
            <w:r>
              <w:rPr>
                <w:rFonts w:hint="eastAsia" w:ascii="宋体" w:hAnsi="宋体"/>
                <w:sz w:val="24"/>
                <w:highlight w:val="none"/>
              </w:rPr>
              <w:t>自筹资金100%</w:t>
            </w:r>
          </w:p>
        </w:tc>
      </w:tr>
      <w:tr w14:paraId="441B82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75F64C04">
            <w:pPr>
              <w:spacing w:line="400" w:lineRule="exact"/>
              <w:jc w:val="center"/>
              <w:rPr>
                <w:rFonts w:ascii="宋体" w:hAnsi="宋体"/>
                <w:sz w:val="24"/>
                <w:highlight w:val="none"/>
              </w:rPr>
            </w:pPr>
            <w:r>
              <w:rPr>
                <w:rFonts w:hint="eastAsia" w:ascii="宋体" w:hAnsi="宋体"/>
                <w:sz w:val="24"/>
                <w:highlight w:val="none"/>
              </w:rPr>
              <w:t>7</w:t>
            </w:r>
          </w:p>
        </w:tc>
        <w:tc>
          <w:tcPr>
            <w:tcW w:w="1420" w:type="dxa"/>
            <w:tcBorders>
              <w:top w:val="single" w:color="auto" w:sz="4" w:space="0"/>
              <w:left w:val="single" w:color="auto" w:sz="4" w:space="0"/>
              <w:bottom w:val="single" w:color="auto" w:sz="4" w:space="0"/>
              <w:right w:val="single" w:color="auto" w:sz="4" w:space="0"/>
            </w:tcBorders>
            <w:vAlign w:val="center"/>
          </w:tcPr>
          <w:p w14:paraId="0A6B1776">
            <w:pPr>
              <w:spacing w:line="400" w:lineRule="exact"/>
              <w:jc w:val="center"/>
              <w:rPr>
                <w:rFonts w:ascii="宋体" w:hAnsi="宋体"/>
                <w:sz w:val="24"/>
                <w:highlight w:val="none"/>
              </w:rPr>
            </w:pPr>
            <w:r>
              <w:rPr>
                <w:rFonts w:hint="eastAsia" w:ascii="宋体" w:hAnsi="宋体"/>
                <w:sz w:val="24"/>
                <w:highlight w:val="none"/>
              </w:rPr>
              <w:t>落实情况</w:t>
            </w:r>
          </w:p>
        </w:tc>
        <w:tc>
          <w:tcPr>
            <w:tcW w:w="7502" w:type="dxa"/>
            <w:tcBorders>
              <w:top w:val="single" w:color="auto" w:sz="4" w:space="0"/>
              <w:left w:val="single" w:color="auto" w:sz="4" w:space="0"/>
              <w:bottom w:val="single" w:color="auto" w:sz="4" w:space="0"/>
            </w:tcBorders>
            <w:vAlign w:val="center"/>
          </w:tcPr>
          <w:p w14:paraId="6092074D">
            <w:pPr>
              <w:spacing w:line="400" w:lineRule="exact"/>
              <w:jc w:val="left"/>
              <w:rPr>
                <w:rFonts w:ascii="宋体" w:hAnsi="宋体"/>
                <w:sz w:val="24"/>
                <w:highlight w:val="none"/>
              </w:rPr>
            </w:pPr>
            <w:r>
              <w:rPr>
                <w:rFonts w:hint="eastAsia" w:ascii="宋体" w:hAnsi="宋体"/>
                <w:sz w:val="24"/>
                <w:highlight w:val="none"/>
              </w:rPr>
              <w:t>已落实</w:t>
            </w:r>
          </w:p>
        </w:tc>
      </w:tr>
      <w:tr w14:paraId="575355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908" w:type="dxa"/>
            <w:tcBorders>
              <w:top w:val="single" w:color="auto" w:sz="4" w:space="0"/>
              <w:bottom w:val="single" w:color="auto" w:sz="4" w:space="0"/>
              <w:right w:val="single" w:color="auto" w:sz="4" w:space="0"/>
            </w:tcBorders>
            <w:vAlign w:val="center"/>
          </w:tcPr>
          <w:p w14:paraId="23568C09">
            <w:pPr>
              <w:spacing w:line="400" w:lineRule="exact"/>
              <w:jc w:val="center"/>
              <w:rPr>
                <w:rFonts w:ascii="宋体" w:hAnsi="宋体"/>
                <w:sz w:val="24"/>
                <w:highlight w:val="none"/>
              </w:rPr>
            </w:pPr>
            <w:r>
              <w:rPr>
                <w:rFonts w:hint="eastAsia" w:ascii="宋体" w:hAnsi="宋体"/>
                <w:sz w:val="24"/>
                <w:highlight w:val="none"/>
              </w:rPr>
              <w:t>8</w:t>
            </w:r>
          </w:p>
        </w:tc>
        <w:tc>
          <w:tcPr>
            <w:tcW w:w="1420" w:type="dxa"/>
            <w:tcBorders>
              <w:top w:val="single" w:color="auto" w:sz="4" w:space="0"/>
              <w:left w:val="single" w:color="auto" w:sz="4" w:space="0"/>
              <w:bottom w:val="single" w:color="auto" w:sz="4" w:space="0"/>
              <w:right w:val="single" w:color="auto" w:sz="4" w:space="0"/>
            </w:tcBorders>
            <w:vAlign w:val="center"/>
          </w:tcPr>
          <w:p w14:paraId="784E4EB3">
            <w:pPr>
              <w:spacing w:line="400" w:lineRule="exact"/>
              <w:jc w:val="center"/>
              <w:rPr>
                <w:rFonts w:ascii="宋体" w:hAnsi="宋体"/>
                <w:sz w:val="24"/>
                <w:highlight w:val="none"/>
              </w:rPr>
            </w:pPr>
            <w:r>
              <w:rPr>
                <w:rFonts w:hint="eastAsia" w:ascii="宋体" w:hAnsi="宋体"/>
                <w:sz w:val="24"/>
                <w:highlight w:val="none"/>
              </w:rPr>
              <w:t>电子投标</w:t>
            </w:r>
          </w:p>
          <w:p w14:paraId="499C00F9">
            <w:pPr>
              <w:spacing w:line="400" w:lineRule="exact"/>
              <w:jc w:val="center"/>
              <w:rPr>
                <w:rFonts w:ascii="宋体" w:hAnsi="宋体"/>
                <w:sz w:val="24"/>
                <w:highlight w:val="none"/>
              </w:rPr>
            </w:pPr>
            <w:r>
              <w:rPr>
                <w:rFonts w:hint="eastAsia" w:ascii="宋体" w:hAnsi="宋体"/>
                <w:sz w:val="24"/>
                <w:highlight w:val="none"/>
              </w:rPr>
              <w:t>特别提示</w:t>
            </w:r>
          </w:p>
        </w:tc>
        <w:tc>
          <w:tcPr>
            <w:tcW w:w="7502" w:type="dxa"/>
            <w:tcBorders>
              <w:top w:val="single" w:color="auto" w:sz="4" w:space="0"/>
              <w:left w:val="single" w:color="auto" w:sz="4" w:space="0"/>
              <w:bottom w:val="single" w:color="auto" w:sz="4" w:space="0"/>
            </w:tcBorders>
            <w:vAlign w:val="center"/>
          </w:tcPr>
          <w:p w14:paraId="4BF17E42">
            <w:pPr>
              <w:wordWrap w:val="0"/>
              <w:spacing w:line="400" w:lineRule="exact"/>
              <w:rPr>
                <w:rFonts w:ascii="宋体" w:hAnsi="宋体"/>
                <w:sz w:val="24"/>
                <w:highlight w:val="none"/>
              </w:rPr>
            </w:pPr>
            <w:r>
              <w:rPr>
                <w:rFonts w:hint="eastAsia" w:ascii="宋体" w:hAnsi="宋体"/>
                <w:sz w:val="24"/>
                <w:highlight w:val="none"/>
              </w:rPr>
              <w:t>1.登录“威海市公共资源交易网”首页右侧“交易服务一网通办系统-（新版）一网通办系统”进行注册，取得用户名和密码（已经完成注册的投标人无须重复注册）；首次注册的投标人应及时办理安全证书（CA锁）及电子签章。</w:t>
            </w:r>
          </w:p>
          <w:p w14:paraId="07099F37">
            <w:pPr>
              <w:wordWrap w:val="0"/>
              <w:spacing w:line="400" w:lineRule="exact"/>
              <w:rPr>
                <w:rFonts w:ascii="宋体" w:hAnsi="宋体"/>
                <w:sz w:val="24"/>
                <w:highlight w:val="none"/>
              </w:rPr>
            </w:pPr>
            <w:r>
              <w:rPr>
                <w:rFonts w:hint="eastAsia" w:ascii="宋体" w:hAnsi="宋体"/>
                <w:sz w:val="24"/>
                <w:highlight w:val="none"/>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58BA10AD">
            <w:pPr>
              <w:wordWrap w:val="0"/>
              <w:spacing w:line="400" w:lineRule="exact"/>
              <w:rPr>
                <w:rFonts w:ascii="宋体" w:hAnsi="宋体"/>
                <w:sz w:val="24"/>
                <w:highlight w:val="none"/>
              </w:rPr>
            </w:pPr>
            <w:r>
              <w:rPr>
                <w:rFonts w:hint="eastAsia" w:ascii="宋体" w:hAnsi="宋体"/>
                <w:sz w:val="24"/>
                <w:highlight w:val="none"/>
              </w:rPr>
              <w:t>2．本项目必须网上提交投标文件，参与本项目投标人应利用办理好的CA锁登录国企阳光采购平台进行招标文件的获取、文件下载和网上提交投标文件，且安全证书（CA锁）在有效期内。</w:t>
            </w:r>
          </w:p>
          <w:p w14:paraId="44AE744D">
            <w:pPr>
              <w:wordWrap w:val="0"/>
              <w:spacing w:line="400" w:lineRule="exact"/>
              <w:rPr>
                <w:rFonts w:ascii="宋体" w:hAnsi="宋体"/>
                <w:sz w:val="24"/>
                <w:highlight w:val="none"/>
              </w:rPr>
            </w:pPr>
            <w:r>
              <w:rPr>
                <w:rFonts w:hint="eastAsia" w:ascii="宋体" w:hAnsi="宋体"/>
                <w:sz w:val="24"/>
                <w:highlight w:val="none"/>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4B7E8808">
            <w:pPr>
              <w:wordWrap w:val="0"/>
              <w:spacing w:line="400" w:lineRule="exact"/>
              <w:rPr>
                <w:rFonts w:ascii="宋体" w:hAnsi="宋体"/>
                <w:sz w:val="24"/>
                <w:highlight w:val="none"/>
              </w:rPr>
            </w:pPr>
            <w:r>
              <w:rPr>
                <w:rFonts w:hint="eastAsia" w:ascii="宋体" w:hAnsi="宋体"/>
                <w:sz w:val="24"/>
                <w:highlight w:val="none"/>
              </w:rPr>
              <w:t>4．网上提交投标文件时，登录交易平台的电脑须满足环境要求（详见新版威海市国有企业阳光采购服务平台供应商用户手册https://ggzyjy.weihai.cn/bszn/005005/20260109/eb4ba418-4b35-4f05-aa69-44fd7d8a7ffb.html）。</w:t>
            </w:r>
          </w:p>
          <w:p w14:paraId="0B379167">
            <w:pPr>
              <w:wordWrap w:val="0"/>
              <w:spacing w:line="400" w:lineRule="exact"/>
              <w:rPr>
                <w:rFonts w:ascii="宋体" w:hAnsi="宋体"/>
                <w:sz w:val="24"/>
                <w:highlight w:val="none"/>
              </w:rPr>
            </w:pPr>
            <w:r>
              <w:rPr>
                <w:rFonts w:hint="eastAsia" w:ascii="宋体" w:hAnsi="宋体"/>
                <w:sz w:val="24"/>
                <w:highlight w:val="none"/>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1E39756">
            <w:pPr>
              <w:wordWrap w:val="0"/>
              <w:spacing w:line="400" w:lineRule="exact"/>
              <w:rPr>
                <w:rFonts w:ascii="宋体" w:hAnsi="宋体"/>
                <w:sz w:val="24"/>
                <w:highlight w:val="none"/>
              </w:rPr>
            </w:pPr>
            <w:r>
              <w:rPr>
                <w:rFonts w:hint="eastAsia" w:ascii="宋体" w:hAnsi="宋体"/>
                <w:sz w:val="24"/>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7F01B73">
            <w:pPr>
              <w:wordWrap w:val="0"/>
              <w:spacing w:line="400" w:lineRule="exact"/>
              <w:rPr>
                <w:rFonts w:ascii="宋体" w:hAnsi="宋体"/>
                <w:sz w:val="24"/>
                <w:highlight w:val="none"/>
              </w:rPr>
            </w:pPr>
            <w:r>
              <w:rPr>
                <w:rFonts w:hint="eastAsia" w:ascii="宋体" w:hAnsi="宋体"/>
                <w:sz w:val="24"/>
                <w:highlight w:val="none"/>
              </w:rPr>
              <w:t>7．投标人投标文件中的相关扫描件应保证清晰度，无法辨认的评审时受到影响的，由投标人承担相应责任。</w:t>
            </w:r>
          </w:p>
          <w:p w14:paraId="33F4E42D">
            <w:pPr>
              <w:wordWrap w:val="0"/>
              <w:spacing w:line="400" w:lineRule="exact"/>
              <w:rPr>
                <w:rFonts w:ascii="宋体" w:hAnsi="宋体"/>
                <w:sz w:val="24"/>
                <w:highlight w:val="none"/>
              </w:rPr>
            </w:pPr>
            <w:r>
              <w:rPr>
                <w:rFonts w:hint="eastAsia" w:ascii="宋体" w:hAnsi="宋体"/>
                <w:sz w:val="24"/>
                <w:highlight w:val="none"/>
              </w:rPr>
              <w:t>8．除网上提交电子投标文件外，如有要求递交相关资质证明文件原件的，还须按其要求独立密封递交（被授权人身份证原件除外）。</w:t>
            </w:r>
          </w:p>
          <w:p w14:paraId="753DCD1D">
            <w:pPr>
              <w:wordWrap w:val="0"/>
              <w:spacing w:line="400" w:lineRule="exact"/>
              <w:rPr>
                <w:rFonts w:ascii="宋体" w:hAnsi="宋体"/>
                <w:sz w:val="24"/>
                <w:highlight w:val="none"/>
              </w:rPr>
            </w:pPr>
            <w:r>
              <w:rPr>
                <w:rFonts w:hint="eastAsia" w:ascii="宋体" w:hAnsi="宋体"/>
                <w:sz w:val="24"/>
                <w:highlight w:val="none"/>
              </w:rPr>
              <w:t>9．投标人应充分考虑到网上提交投标文件会发生的故障和风险。对发生的任何故障和风险造成投标人报价内容不一致或利益受损或投标失败的，招标人及招标代理机构不承担任何责任。</w:t>
            </w:r>
          </w:p>
        </w:tc>
      </w:tr>
      <w:tr w14:paraId="02378F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685A88F5">
            <w:pPr>
              <w:spacing w:line="400" w:lineRule="exact"/>
              <w:ind w:firstLine="240" w:firstLineChars="100"/>
              <w:rPr>
                <w:rFonts w:ascii="宋体" w:hAnsi="宋体"/>
                <w:sz w:val="24"/>
                <w:highlight w:val="none"/>
              </w:rPr>
            </w:pPr>
            <w:r>
              <w:rPr>
                <w:rFonts w:hint="eastAsia" w:ascii="宋体" w:hAnsi="宋体"/>
                <w:sz w:val="24"/>
                <w:highlight w:val="none"/>
              </w:rPr>
              <w:t>9</w:t>
            </w:r>
          </w:p>
        </w:tc>
        <w:tc>
          <w:tcPr>
            <w:tcW w:w="1420" w:type="dxa"/>
            <w:tcBorders>
              <w:top w:val="single" w:color="auto" w:sz="4" w:space="0"/>
              <w:left w:val="single" w:color="auto" w:sz="4" w:space="0"/>
              <w:bottom w:val="single" w:color="auto" w:sz="4" w:space="0"/>
              <w:right w:val="single" w:color="auto" w:sz="4" w:space="0"/>
            </w:tcBorders>
            <w:vAlign w:val="center"/>
          </w:tcPr>
          <w:p w14:paraId="28F44626">
            <w:pPr>
              <w:spacing w:line="400" w:lineRule="exact"/>
              <w:jc w:val="center"/>
              <w:rPr>
                <w:rFonts w:ascii="宋体" w:hAnsi="宋体"/>
                <w:sz w:val="24"/>
                <w:highlight w:val="none"/>
              </w:rPr>
            </w:pPr>
            <w:r>
              <w:rPr>
                <w:rFonts w:hint="eastAsia" w:ascii="宋体" w:hAnsi="宋体"/>
                <w:sz w:val="24"/>
                <w:highlight w:val="none"/>
              </w:rPr>
              <w:t>资质证明文件原件</w:t>
            </w:r>
          </w:p>
        </w:tc>
        <w:tc>
          <w:tcPr>
            <w:tcW w:w="7502" w:type="dxa"/>
            <w:tcBorders>
              <w:top w:val="single" w:color="auto" w:sz="4" w:space="0"/>
              <w:left w:val="single" w:color="auto" w:sz="4" w:space="0"/>
              <w:bottom w:val="single" w:color="auto" w:sz="4" w:space="0"/>
            </w:tcBorders>
            <w:vAlign w:val="center"/>
          </w:tcPr>
          <w:p w14:paraId="764F3E80">
            <w:pPr>
              <w:spacing w:line="400" w:lineRule="exact"/>
              <w:rPr>
                <w:rFonts w:ascii="宋体" w:hAnsi="宋体"/>
                <w:sz w:val="24"/>
                <w:highlight w:val="none"/>
              </w:rPr>
            </w:pPr>
            <w:r>
              <w:rPr>
                <w:rFonts w:hint="eastAsia" w:ascii="宋体" w:hAnsi="宋体"/>
                <w:sz w:val="24"/>
                <w:highlight w:val="none"/>
              </w:rPr>
              <w:t>无需提供资质证明文件原件</w:t>
            </w:r>
          </w:p>
        </w:tc>
      </w:tr>
      <w:tr w14:paraId="6F86E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CCDA130">
            <w:pPr>
              <w:spacing w:line="400" w:lineRule="exact"/>
              <w:ind w:firstLine="240" w:firstLineChars="100"/>
              <w:rPr>
                <w:rFonts w:ascii="宋体" w:hAnsi="宋体"/>
                <w:sz w:val="24"/>
                <w:highlight w:val="none"/>
              </w:rPr>
            </w:pPr>
            <w:r>
              <w:rPr>
                <w:rFonts w:hint="eastAsia" w:ascii="宋体" w:hAnsi="宋体"/>
                <w:sz w:val="24"/>
                <w:highlight w:val="none"/>
              </w:rPr>
              <w:t>10</w:t>
            </w:r>
          </w:p>
        </w:tc>
        <w:tc>
          <w:tcPr>
            <w:tcW w:w="1420" w:type="dxa"/>
            <w:tcBorders>
              <w:top w:val="single" w:color="auto" w:sz="4" w:space="0"/>
              <w:left w:val="single" w:color="auto" w:sz="4" w:space="0"/>
              <w:bottom w:val="single" w:color="auto" w:sz="4" w:space="0"/>
              <w:right w:val="single" w:color="auto" w:sz="4" w:space="0"/>
            </w:tcBorders>
            <w:vAlign w:val="center"/>
          </w:tcPr>
          <w:p w14:paraId="0D44EAD4">
            <w:pPr>
              <w:spacing w:line="400" w:lineRule="exact"/>
              <w:jc w:val="center"/>
              <w:rPr>
                <w:rFonts w:ascii="宋体" w:hAnsi="宋体"/>
                <w:sz w:val="24"/>
                <w:highlight w:val="none"/>
              </w:rPr>
            </w:pPr>
            <w:r>
              <w:rPr>
                <w:rFonts w:hint="eastAsia" w:ascii="宋体" w:hAnsi="宋体"/>
                <w:sz w:val="24"/>
                <w:highlight w:val="none"/>
              </w:rPr>
              <w:t>投标文件</w:t>
            </w:r>
          </w:p>
          <w:p w14:paraId="79DA8256">
            <w:pPr>
              <w:spacing w:line="400" w:lineRule="exact"/>
              <w:jc w:val="center"/>
              <w:rPr>
                <w:rFonts w:ascii="宋体" w:hAnsi="宋体"/>
                <w:sz w:val="24"/>
                <w:highlight w:val="none"/>
              </w:rPr>
            </w:pPr>
            <w:r>
              <w:rPr>
                <w:rFonts w:hint="eastAsia" w:ascii="宋体" w:hAnsi="宋体"/>
                <w:sz w:val="24"/>
                <w:highlight w:val="none"/>
              </w:rPr>
              <w:t>份数</w:t>
            </w:r>
          </w:p>
        </w:tc>
        <w:tc>
          <w:tcPr>
            <w:tcW w:w="7502" w:type="dxa"/>
            <w:tcBorders>
              <w:top w:val="single" w:color="auto" w:sz="4" w:space="0"/>
              <w:left w:val="single" w:color="auto" w:sz="4" w:space="0"/>
              <w:bottom w:val="single" w:color="auto" w:sz="4" w:space="0"/>
            </w:tcBorders>
            <w:vAlign w:val="center"/>
          </w:tcPr>
          <w:p w14:paraId="4D24A4DB">
            <w:pPr>
              <w:spacing w:line="400" w:lineRule="exact"/>
              <w:rPr>
                <w:rFonts w:ascii="宋体" w:hAnsi="宋体"/>
                <w:sz w:val="24"/>
                <w:highlight w:val="none"/>
              </w:rPr>
            </w:pPr>
            <w:r>
              <w:rPr>
                <w:rFonts w:hint="eastAsia" w:ascii="宋体" w:hAnsi="宋体"/>
                <w:sz w:val="24"/>
                <w:highlight w:val="none"/>
              </w:rPr>
              <w:t>网上按时提交电子投标文件</w:t>
            </w:r>
          </w:p>
        </w:tc>
      </w:tr>
      <w:tr w14:paraId="12B87E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1766572F">
            <w:pPr>
              <w:spacing w:line="400" w:lineRule="exact"/>
              <w:ind w:firstLine="240" w:firstLineChars="100"/>
              <w:rPr>
                <w:rFonts w:ascii="宋体" w:hAnsi="宋体"/>
                <w:sz w:val="24"/>
                <w:highlight w:val="none"/>
              </w:rPr>
            </w:pPr>
            <w:r>
              <w:rPr>
                <w:rFonts w:hint="eastAsia" w:ascii="宋体" w:hAnsi="宋体"/>
                <w:sz w:val="24"/>
                <w:highlight w:val="none"/>
              </w:rPr>
              <w:t>11</w:t>
            </w:r>
          </w:p>
        </w:tc>
        <w:tc>
          <w:tcPr>
            <w:tcW w:w="1420" w:type="dxa"/>
            <w:tcBorders>
              <w:top w:val="single" w:color="auto" w:sz="4" w:space="0"/>
              <w:left w:val="single" w:color="auto" w:sz="4" w:space="0"/>
              <w:bottom w:val="single" w:color="auto" w:sz="4" w:space="0"/>
              <w:right w:val="single" w:color="auto" w:sz="4" w:space="0"/>
            </w:tcBorders>
            <w:vAlign w:val="center"/>
          </w:tcPr>
          <w:p w14:paraId="6BEDA3AC">
            <w:pPr>
              <w:spacing w:line="400" w:lineRule="exact"/>
              <w:jc w:val="center"/>
              <w:rPr>
                <w:rFonts w:ascii="宋体" w:hAnsi="宋体"/>
                <w:sz w:val="24"/>
                <w:highlight w:val="none"/>
              </w:rPr>
            </w:pPr>
            <w:r>
              <w:rPr>
                <w:rFonts w:hint="eastAsia" w:ascii="宋体" w:hAnsi="宋体"/>
                <w:sz w:val="24"/>
                <w:highlight w:val="none"/>
              </w:rPr>
              <w:t>实物样品</w:t>
            </w:r>
          </w:p>
        </w:tc>
        <w:tc>
          <w:tcPr>
            <w:tcW w:w="7502" w:type="dxa"/>
            <w:tcBorders>
              <w:top w:val="single" w:color="auto" w:sz="4" w:space="0"/>
              <w:left w:val="single" w:color="auto" w:sz="4" w:space="0"/>
              <w:bottom w:val="single" w:color="auto" w:sz="4" w:space="0"/>
            </w:tcBorders>
            <w:vAlign w:val="center"/>
          </w:tcPr>
          <w:p w14:paraId="2B6C1848">
            <w:pPr>
              <w:spacing w:line="400" w:lineRule="exact"/>
              <w:rPr>
                <w:rFonts w:ascii="宋体" w:hAnsi="宋体"/>
                <w:sz w:val="24"/>
                <w:highlight w:val="none"/>
              </w:rPr>
            </w:pPr>
            <w:r>
              <w:rPr>
                <w:rFonts w:hint="eastAsia" w:ascii="宋体" w:hAnsi="宋体"/>
                <w:sz w:val="24"/>
                <w:highlight w:val="none"/>
              </w:rPr>
              <w:t>无</w:t>
            </w:r>
          </w:p>
        </w:tc>
      </w:tr>
      <w:tr w14:paraId="607AF6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6C5056F2">
            <w:pPr>
              <w:spacing w:line="400" w:lineRule="exact"/>
              <w:ind w:firstLine="240" w:firstLineChars="100"/>
              <w:rPr>
                <w:rFonts w:ascii="宋体" w:hAnsi="宋体"/>
                <w:sz w:val="24"/>
                <w:highlight w:val="none"/>
              </w:rPr>
            </w:pPr>
            <w:r>
              <w:rPr>
                <w:rFonts w:hint="eastAsia" w:ascii="宋体" w:hAnsi="宋体"/>
                <w:sz w:val="24"/>
                <w:highlight w:val="none"/>
              </w:rPr>
              <w:t>12</w:t>
            </w:r>
          </w:p>
        </w:tc>
        <w:tc>
          <w:tcPr>
            <w:tcW w:w="1420" w:type="dxa"/>
            <w:tcBorders>
              <w:top w:val="single" w:color="auto" w:sz="4" w:space="0"/>
              <w:left w:val="single" w:color="auto" w:sz="4" w:space="0"/>
              <w:bottom w:val="single" w:color="auto" w:sz="4" w:space="0"/>
              <w:right w:val="single" w:color="auto" w:sz="4" w:space="0"/>
            </w:tcBorders>
            <w:vAlign w:val="center"/>
          </w:tcPr>
          <w:p w14:paraId="35F44E39">
            <w:pPr>
              <w:spacing w:line="400" w:lineRule="exact"/>
              <w:jc w:val="center"/>
              <w:rPr>
                <w:rFonts w:ascii="宋体" w:hAnsi="宋体"/>
                <w:sz w:val="24"/>
                <w:highlight w:val="none"/>
              </w:rPr>
            </w:pPr>
            <w:r>
              <w:rPr>
                <w:rFonts w:hint="eastAsia" w:ascii="宋体" w:hAnsi="宋体"/>
                <w:sz w:val="24"/>
                <w:highlight w:val="none"/>
              </w:rPr>
              <w:t>现场踏勘</w:t>
            </w:r>
          </w:p>
        </w:tc>
        <w:tc>
          <w:tcPr>
            <w:tcW w:w="7502" w:type="dxa"/>
            <w:tcBorders>
              <w:top w:val="single" w:color="auto" w:sz="4" w:space="0"/>
              <w:left w:val="single" w:color="auto" w:sz="4" w:space="0"/>
              <w:bottom w:val="single" w:color="auto" w:sz="4" w:space="0"/>
            </w:tcBorders>
            <w:vAlign w:val="center"/>
          </w:tcPr>
          <w:p w14:paraId="0B1595E6">
            <w:pPr>
              <w:spacing w:line="400" w:lineRule="exact"/>
              <w:rPr>
                <w:rFonts w:ascii="宋体" w:hAnsi="宋体"/>
                <w:sz w:val="24"/>
                <w:highlight w:val="none"/>
              </w:rPr>
            </w:pPr>
            <w:r>
              <w:rPr>
                <w:rFonts w:hint="eastAsia" w:ascii="宋体" w:hAnsi="宋体"/>
                <w:sz w:val="24"/>
                <w:highlight w:val="none"/>
              </w:rPr>
              <w:t>不组织</w:t>
            </w:r>
          </w:p>
        </w:tc>
      </w:tr>
      <w:tr w14:paraId="7208C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B62F9BC">
            <w:pPr>
              <w:spacing w:line="400" w:lineRule="exact"/>
              <w:ind w:firstLine="240" w:firstLineChars="100"/>
              <w:rPr>
                <w:rFonts w:ascii="宋体" w:hAnsi="宋体"/>
                <w:sz w:val="24"/>
                <w:highlight w:val="none"/>
              </w:rPr>
            </w:pPr>
            <w:r>
              <w:rPr>
                <w:rFonts w:hint="eastAsia" w:ascii="宋体" w:hAnsi="宋体"/>
                <w:sz w:val="24"/>
                <w:highlight w:val="none"/>
              </w:rPr>
              <w:t>13</w:t>
            </w:r>
          </w:p>
        </w:tc>
        <w:tc>
          <w:tcPr>
            <w:tcW w:w="1420" w:type="dxa"/>
            <w:tcBorders>
              <w:top w:val="single" w:color="auto" w:sz="4" w:space="0"/>
              <w:left w:val="single" w:color="auto" w:sz="4" w:space="0"/>
              <w:bottom w:val="single" w:color="auto" w:sz="4" w:space="0"/>
              <w:right w:val="single" w:color="auto" w:sz="4" w:space="0"/>
            </w:tcBorders>
            <w:vAlign w:val="center"/>
          </w:tcPr>
          <w:p w14:paraId="3BF36F66">
            <w:pPr>
              <w:spacing w:line="400" w:lineRule="exact"/>
              <w:jc w:val="center"/>
              <w:rPr>
                <w:rFonts w:ascii="宋体" w:hAnsi="宋体"/>
                <w:sz w:val="24"/>
                <w:highlight w:val="none"/>
              </w:rPr>
            </w:pPr>
            <w:r>
              <w:rPr>
                <w:rFonts w:hint="eastAsia" w:ascii="宋体" w:hAnsi="宋体"/>
                <w:sz w:val="24"/>
                <w:highlight w:val="none"/>
              </w:rPr>
              <w:t>投标预备会</w:t>
            </w:r>
          </w:p>
        </w:tc>
        <w:tc>
          <w:tcPr>
            <w:tcW w:w="7502" w:type="dxa"/>
            <w:tcBorders>
              <w:top w:val="single" w:color="auto" w:sz="4" w:space="0"/>
              <w:left w:val="single" w:color="auto" w:sz="4" w:space="0"/>
              <w:bottom w:val="single" w:color="auto" w:sz="4" w:space="0"/>
            </w:tcBorders>
            <w:vAlign w:val="center"/>
          </w:tcPr>
          <w:p w14:paraId="5FB5EFEE">
            <w:pPr>
              <w:spacing w:line="400" w:lineRule="exact"/>
              <w:rPr>
                <w:rFonts w:ascii="宋体" w:hAnsi="宋体"/>
                <w:sz w:val="24"/>
                <w:highlight w:val="none"/>
              </w:rPr>
            </w:pPr>
            <w:r>
              <w:rPr>
                <w:rFonts w:hint="eastAsia" w:ascii="宋体" w:hAnsi="宋体"/>
                <w:sz w:val="24"/>
                <w:highlight w:val="none"/>
              </w:rPr>
              <w:t>不召开</w:t>
            </w:r>
          </w:p>
        </w:tc>
      </w:tr>
      <w:tr w14:paraId="39972B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5F56A475">
            <w:pPr>
              <w:spacing w:line="400" w:lineRule="exact"/>
              <w:ind w:firstLine="240" w:firstLineChars="100"/>
              <w:rPr>
                <w:rFonts w:ascii="宋体" w:hAnsi="宋体"/>
                <w:sz w:val="24"/>
                <w:highlight w:val="none"/>
              </w:rPr>
            </w:pPr>
            <w:r>
              <w:rPr>
                <w:rFonts w:hint="eastAsia" w:ascii="宋体" w:hAnsi="宋体"/>
                <w:sz w:val="24"/>
                <w:highlight w:val="none"/>
              </w:rPr>
              <w:t>14</w:t>
            </w:r>
          </w:p>
        </w:tc>
        <w:tc>
          <w:tcPr>
            <w:tcW w:w="1420" w:type="dxa"/>
            <w:tcBorders>
              <w:top w:val="single" w:color="auto" w:sz="4" w:space="0"/>
              <w:left w:val="single" w:color="auto" w:sz="4" w:space="0"/>
              <w:bottom w:val="single" w:color="auto" w:sz="4" w:space="0"/>
              <w:right w:val="single" w:color="auto" w:sz="4" w:space="0"/>
            </w:tcBorders>
            <w:vAlign w:val="center"/>
          </w:tcPr>
          <w:p w14:paraId="5CF1C00B">
            <w:pPr>
              <w:spacing w:line="400" w:lineRule="exact"/>
              <w:jc w:val="center"/>
              <w:rPr>
                <w:rFonts w:ascii="宋体" w:hAnsi="宋体"/>
                <w:sz w:val="24"/>
                <w:highlight w:val="none"/>
              </w:rPr>
            </w:pPr>
            <w:r>
              <w:rPr>
                <w:rFonts w:hint="eastAsia" w:ascii="宋体" w:hAnsi="宋体"/>
                <w:sz w:val="24"/>
                <w:highlight w:val="none"/>
              </w:rPr>
              <w:t>投标有效期</w:t>
            </w:r>
          </w:p>
        </w:tc>
        <w:tc>
          <w:tcPr>
            <w:tcW w:w="7502" w:type="dxa"/>
            <w:tcBorders>
              <w:top w:val="single" w:color="auto" w:sz="4" w:space="0"/>
              <w:left w:val="single" w:color="auto" w:sz="4" w:space="0"/>
              <w:bottom w:val="single" w:color="auto" w:sz="4" w:space="0"/>
            </w:tcBorders>
            <w:vAlign w:val="center"/>
          </w:tcPr>
          <w:p w14:paraId="6EDC8CC9">
            <w:pPr>
              <w:spacing w:line="400" w:lineRule="exact"/>
              <w:rPr>
                <w:rFonts w:ascii="宋体" w:hAnsi="宋体"/>
                <w:sz w:val="24"/>
                <w:highlight w:val="none"/>
              </w:rPr>
            </w:pPr>
            <w:r>
              <w:rPr>
                <w:rFonts w:hint="eastAsia" w:ascii="宋体" w:hAnsi="宋体"/>
                <w:sz w:val="24"/>
                <w:highlight w:val="none"/>
              </w:rPr>
              <w:t>开标之日起90天</w:t>
            </w:r>
          </w:p>
        </w:tc>
      </w:tr>
      <w:tr w14:paraId="3080E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1" w:hRule="atLeast"/>
          <w:jc w:val="center"/>
        </w:trPr>
        <w:tc>
          <w:tcPr>
            <w:tcW w:w="908" w:type="dxa"/>
            <w:tcBorders>
              <w:top w:val="single" w:color="auto" w:sz="4" w:space="0"/>
              <w:bottom w:val="single" w:color="auto" w:sz="4" w:space="0"/>
              <w:right w:val="single" w:color="auto" w:sz="4" w:space="0"/>
            </w:tcBorders>
            <w:vAlign w:val="center"/>
          </w:tcPr>
          <w:p w14:paraId="6FAEC8FB">
            <w:pPr>
              <w:spacing w:line="400" w:lineRule="exact"/>
              <w:jc w:val="center"/>
              <w:rPr>
                <w:rFonts w:ascii="宋体" w:hAnsi="宋体"/>
                <w:sz w:val="24"/>
                <w:highlight w:val="none"/>
              </w:rPr>
            </w:pPr>
            <w:r>
              <w:rPr>
                <w:rFonts w:hint="eastAsia" w:ascii="宋体" w:hAnsi="宋体"/>
                <w:sz w:val="24"/>
                <w:highlight w:val="none"/>
              </w:rPr>
              <w:t>15</w:t>
            </w:r>
          </w:p>
        </w:tc>
        <w:tc>
          <w:tcPr>
            <w:tcW w:w="1420" w:type="dxa"/>
            <w:tcBorders>
              <w:top w:val="single" w:color="auto" w:sz="4" w:space="0"/>
              <w:left w:val="single" w:color="auto" w:sz="4" w:space="0"/>
              <w:bottom w:val="single" w:color="auto" w:sz="4" w:space="0"/>
              <w:right w:val="single" w:color="auto" w:sz="4" w:space="0"/>
            </w:tcBorders>
            <w:vAlign w:val="center"/>
          </w:tcPr>
          <w:p w14:paraId="40CB74C3">
            <w:pPr>
              <w:spacing w:line="400" w:lineRule="exact"/>
              <w:jc w:val="center"/>
              <w:rPr>
                <w:rFonts w:ascii="宋体" w:hAnsi="宋体"/>
                <w:sz w:val="24"/>
                <w:highlight w:val="none"/>
              </w:rPr>
            </w:pPr>
            <w:r>
              <w:rPr>
                <w:rFonts w:hint="eastAsia" w:ascii="宋体" w:hAnsi="宋体"/>
                <w:sz w:val="24"/>
                <w:highlight w:val="none"/>
              </w:rPr>
              <w:t>投标文件</w:t>
            </w:r>
          </w:p>
          <w:p w14:paraId="061661F8">
            <w:pPr>
              <w:spacing w:line="400" w:lineRule="exact"/>
              <w:jc w:val="center"/>
              <w:rPr>
                <w:rFonts w:ascii="宋体" w:hAnsi="宋体"/>
                <w:sz w:val="24"/>
                <w:highlight w:val="none"/>
              </w:rPr>
            </w:pPr>
            <w:r>
              <w:rPr>
                <w:rFonts w:hint="eastAsia" w:ascii="宋体" w:hAnsi="宋体"/>
                <w:sz w:val="24"/>
                <w:highlight w:val="none"/>
              </w:rPr>
              <w:t>递交时间</w:t>
            </w:r>
          </w:p>
        </w:tc>
        <w:tc>
          <w:tcPr>
            <w:tcW w:w="7502" w:type="dxa"/>
            <w:tcBorders>
              <w:top w:val="single" w:color="auto" w:sz="4" w:space="0"/>
              <w:left w:val="single" w:color="auto" w:sz="4" w:space="0"/>
              <w:bottom w:val="single" w:color="auto" w:sz="4" w:space="0"/>
            </w:tcBorders>
            <w:vAlign w:val="center"/>
          </w:tcPr>
          <w:p w14:paraId="499337BE">
            <w:pPr>
              <w:spacing w:line="400" w:lineRule="exact"/>
              <w:ind w:left="1"/>
              <w:rPr>
                <w:rFonts w:ascii="宋体" w:hAnsi="宋体"/>
                <w:sz w:val="24"/>
                <w:highlight w:val="none"/>
              </w:rPr>
            </w:pPr>
            <w:r>
              <w:rPr>
                <w:rFonts w:hint="eastAsia" w:ascii="宋体" w:hAnsi="宋体"/>
                <w:sz w:val="24"/>
                <w:highlight w:val="none"/>
              </w:rPr>
              <w:t>1、电子投标文件递交时间：</w:t>
            </w:r>
            <w:bookmarkStart w:id="33" w:name="_GoBack"/>
            <w:r>
              <w:rPr>
                <w:rFonts w:hint="eastAsia" w:ascii="宋体" w:hAnsi="宋体"/>
                <w:sz w:val="24"/>
                <w:highlight w:val="none"/>
              </w:rPr>
              <w:t>2026</w:t>
            </w:r>
            <w:bookmarkEnd w:id="33"/>
            <w:r>
              <w:rPr>
                <w:rFonts w:hint="eastAsia" w:ascii="宋体" w:hAnsi="宋体"/>
                <w:sz w:val="24"/>
                <w:highlight w:val="none"/>
              </w:rPr>
              <w:t>年0</w:t>
            </w:r>
            <w:r>
              <w:rPr>
                <w:rFonts w:hint="eastAsia" w:ascii="宋体" w:hAnsi="宋体"/>
                <w:sz w:val="24"/>
                <w:highlight w:val="none"/>
                <w:lang w:val="en-US" w:eastAsia="zh-CN"/>
              </w:rPr>
              <w:t>9</w:t>
            </w:r>
            <w:r>
              <w:rPr>
                <w:rFonts w:hint="eastAsia" w:ascii="宋体" w:hAnsi="宋体"/>
                <w:sz w:val="24"/>
                <w:highlight w:val="none"/>
              </w:rPr>
              <w:t>月</w:t>
            </w:r>
            <w:r>
              <w:rPr>
                <w:rFonts w:hint="eastAsia" w:ascii="宋体" w:hAnsi="宋体"/>
                <w:sz w:val="24"/>
                <w:highlight w:val="none"/>
                <w:lang w:val="en-US" w:eastAsia="zh-CN"/>
              </w:rPr>
              <w:t>16</w:t>
            </w:r>
            <w:r>
              <w:rPr>
                <w:rFonts w:hint="eastAsia" w:ascii="宋体" w:hAnsi="宋体"/>
                <w:sz w:val="24"/>
                <w:highlight w:val="none"/>
              </w:rPr>
              <w:t>日</w:t>
            </w:r>
            <w:r>
              <w:rPr>
                <w:rFonts w:ascii="宋体" w:hAnsi="宋体"/>
                <w:sz w:val="24"/>
                <w:highlight w:val="none"/>
              </w:rPr>
              <w:t>1</w:t>
            </w:r>
            <w:r>
              <w:rPr>
                <w:rFonts w:hint="eastAsia" w:ascii="宋体" w:hAnsi="宋体"/>
                <w:sz w:val="24"/>
                <w:highlight w:val="none"/>
              </w:rPr>
              <w:t>8:30至2026年0</w:t>
            </w:r>
            <w:r>
              <w:rPr>
                <w:rFonts w:hint="eastAsia" w:ascii="宋体" w:hAnsi="宋体"/>
                <w:sz w:val="24"/>
                <w:highlight w:val="none"/>
                <w:lang w:val="en-US" w:eastAsia="zh-CN"/>
              </w:rPr>
              <w:t>9</w:t>
            </w:r>
            <w:r>
              <w:rPr>
                <w:rFonts w:hint="eastAsia" w:ascii="宋体" w:hAnsi="宋体"/>
                <w:sz w:val="24"/>
                <w:highlight w:val="none"/>
              </w:rPr>
              <w:t>月</w:t>
            </w:r>
            <w:r>
              <w:rPr>
                <w:rFonts w:hint="eastAsia" w:ascii="宋体" w:hAnsi="宋体"/>
                <w:sz w:val="24"/>
                <w:highlight w:val="none"/>
                <w:lang w:val="en-US" w:eastAsia="zh-CN"/>
              </w:rPr>
              <w:t>24</w:t>
            </w:r>
            <w:r>
              <w:rPr>
                <w:rFonts w:hint="eastAsia" w:ascii="宋体" w:hAnsi="宋体"/>
                <w:sz w:val="24"/>
                <w:highlight w:val="none"/>
              </w:rPr>
              <w:t>日</w:t>
            </w:r>
            <w:r>
              <w:rPr>
                <w:rFonts w:hint="eastAsia" w:ascii="宋体" w:hAnsi="宋体"/>
                <w:sz w:val="24"/>
                <w:highlight w:val="none"/>
                <w:lang w:val="en-US" w:eastAsia="zh-CN"/>
              </w:rPr>
              <w:t>14</w:t>
            </w:r>
            <w:r>
              <w:rPr>
                <w:rFonts w:hint="eastAsia" w:ascii="宋体" w:hAnsi="宋体"/>
                <w:sz w:val="24"/>
                <w:highlight w:val="none"/>
              </w:rPr>
              <w:t>:00（以国企阳光采购平台具体显示时间为准）提交网址：https://www.whgqcg.cn/login?redirect=%2Findex</w:t>
            </w:r>
          </w:p>
          <w:p w14:paraId="3BFA6B8E">
            <w:pPr>
              <w:spacing w:line="400" w:lineRule="exact"/>
              <w:rPr>
                <w:rFonts w:ascii="宋体" w:hAnsi="宋体"/>
                <w:sz w:val="24"/>
                <w:highlight w:val="none"/>
              </w:rPr>
            </w:pPr>
            <w:r>
              <w:rPr>
                <w:rFonts w:hint="eastAsia" w:ascii="宋体" w:hAnsi="宋体"/>
                <w:sz w:val="24"/>
                <w:highlight w:val="none"/>
              </w:rPr>
              <w:t xml:space="preserve">2、纸质投标文件递交： </w:t>
            </w:r>
          </w:p>
          <w:p w14:paraId="2725A155">
            <w:pPr>
              <w:spacing w:line="400" w:lineRule="exact"/>
              <w:rPr>
                <w:rFonts w:ascii="宋体" w:hAnsi="宋体"/>
                <w:sz w:val="24"/>
                <w:highlight w:val="none"/>
              </w:rPr>
            </w:pPr>
            <w:r>
              <w:rPr>
                <w:rFonts w:hint="eastAsia" w:ascii="宋体" w:hAnsi="宋体"/>
                <w:sz w:val="24"/>
                <w:highlight w:val="none"/>
              </w:rPr>
              <w:t>基于项目资料归档的要求，投标人需在开标结束后三个工作日内将胶装纸质投标文件（一式两份）递交（或以邮寄的方式进行递交）</w:t>
            </w:r>
          </w:p>
          <w:p w14:paraId="2CF31185">
            <w:pPr>
              <w:spacing w:line="400" w:lineRule="exact"/>
              <w:rPr>
                <w:rFonts w:ascii="宋体" w:hAnsi="宋体"/>
                <w:sz w:val="24"/>
                <w:highlight w:val="none"/>
              </w:rPr>
            </w:pPr>
            <w:r>
              <w:rPr>
                <w:rFonts w:hint="eastAsia" w:ascii="宋体" w:hAnsi="宋体"/>
                <w:sz w:val="24"/>
                <w:highlight w:val="none"/>
              </w:rPr>
              <w:t>地址：山东恒成信工程咨询管理有限公司（威海市青岛中路107-2号1002室）</w:t>
            </w:r>
          </w:p>
          <w:p w14:paraId="4B06B024">
            <w:pPr>
              <w:spacing w:line="400" w:lineRule="exact"/>
              <w:rPr>
                <w:b/>
                <w:highlight w:val="none"/>
              </w:rPr>
            </w:pPr>
            <w:r>
              <w:rPr>
                <w:rFonts w:hint="eastAsia" w:ascii="宋体" w:hAnsi="宋体"/>
                <w:sz w:val="24"/>
                <w:highlight w:val="none"/>
              </w:rPr>
              <w:t>联系人：林婷婷    联系方式：0631-5</w:t>
            </w:r>
            <w:r>
              <w:rPr>
                <w:rFonts w:ascii="宋体" w:hAnsi="宋体"/>
                <w:sz w:val="24"/>
                <w:highlight w:val="none"/>
              </w:rPr>
              <w:t>810321</w:t>
            </w:r>
          </w:p>
        </w:tc>
      </w:tr>
      <w:tr w14:paraId="7F14D7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0C469B4C">
            <w:pPr>
              <w:spacing w:line="400" w:lineRule="exact"/>
              <w:jc w:val="center"/>
              <w:rPr>
                <w:rFonts w:ascii="宋体" w:hAnsi="宋体"/>
                <w:sz w:val="24"/>
                <w:highlight w:val="none"/>
              </w:rPr>
            </w:pPr>
            <w:r>
              <w:rPr>
                <w:rFonts w:hint="eastAsia" w:ascii="宋体" w:hAnsi="宋体"/>
                <w:sz w:val="24"/>
                <w:highlight w:val="none"/>
              </w:rPr>
              <w:t>16</w:t>
            </w:r>
          </w:p>
        </w:tc>
        <w:tc>
          <w:tcPr>
            <w:tcW w:w="1420" w:type="dxa"/>
            <w:tcBorders>
              <w:top w:val="single" w:color="auto" w:sz="4" w:space="0"/>
              <w:left w:val="single" w:color="auto" w:sz="4" w:space="0"/>
              <w:bottom w:val="single" w:color="auto" w:sz="4" w:space="0"/>
              <w:right w:val="single" w:color="auto" w:sz="4" w:space="0"/>
            </w:tcBorders>
            <w:vAlign w:val="center"/>
          </w:tcPr>
          <w:p w14:paraId="04DBE50F">
            <w:pPr>
              <w:spacing w:line="400" w:lineRule="exact"/>
              <w:jc w:val="center"/>
              <w:rPr>
                <w:rFonts w:ascii="宋体" w:hAnsi="宋体"/>
                <w:sz w:val="24"/>
                <w:highlight w:val="none"/>
              </w:rPr>
            </w:pPr>
            <w:r>
              <w:rPr>
                <w:rFonts w:hint="eastAsia" w:ascii="宋体" w:hAnsi="宋体"/>
                <w:sz w:val="24"/>
                <w:highlight w:val="none"/>
              </w:rPr>
              <w:t>开标时间</w:t>
            </w:r>
          </w:p>
        </w:tc>
        <w:tc>
          <w:tcPr>
            <w:tcW w:w="7502" w:type="dxa"/>
            <w:tcBorders>
              <w:top w:val="single" w:color="auto" w:sz="4" w:space="0"/>
              <w:left w:val="single" w:color="auto" w:sz="4" w:space="0"/>
              <w:bottom w:val="single" w:color="auto" w:sz="4" w:space="0"/>
            </w:tcBorders>
            <w:vAlign w:val="center"/>
          </w:tcPr>
          <w:p w14:paraId="4410B25C">
            <w:pPr>
              <w:spacing w:line="400" w:lineRule="exact"/>
              <w:rPr>
                <w:rFonts w:ascii="宋体" w:hAnsi="宋体"/>
                <w:sz w:val="24"/>
                <w:highlight w:val="none"/>
              </w:rPr>
            </w:pPr>
            <w:r>
              <w:rPr>
                <w:rFonts w:hint="eastAsia" w:ascii="宋体" w:hAnsi="宋体"/>
                <w:sz w:val="24"/>
                <w:highlight w:val="none"/>
              </w:rPr>
              <w:t>详见招标公告</w:t>
            </w:r>
          </w:p>
        </w:tc>
      </w:tr>
      <w:tr w14:paraId="5E6925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908" w:type="dxa"/>
            <w:tcBorders>
              <w:top w:val="single" w:color="auto" w:sz="4" w:space="0"/>
              <w:bottom w:val="single" w:color="auto" w:sz="4" w:space="0"/>
              <w:right w:val="single" w:color="auto" w:sz="4" w:space="0"/>
            </w:tcBorders>
            <w:vAlign w:val="center"/>
          </w:tcPr>
          <w:p w14:paraId="46DB1022">
            <w:pPr>
              <w:spacing w:line="400" w:lineRule="exact"/>
              <w:jc w:val="center"/>
              <w:rPr>
                <w:rFonts w:ascii="宋体" w:hAnsi="宋体"/>
                <w:sz w:val="24"/>
                <w:highlight w:val="none"/>
              </w:rPr>
            </w:pPr>
            <w:r>
              <w:rPr>
                <w:rFonts w:hint="eastAsia" w:ascii="宋体" w:hAnsi="宋体"/>
                <w:sz w:val="24"/>
                <w:highlight w:val="none"/>
              </w:rPr>
              <w:t>17</w:t>
            </w:r>
          </w:p>
        </w:tc>
        <w:tc>
          <w:tcPr>
            <w:tcW w:w="1420" w:type="dxa"/>
            <w:tcBorders>
              <w:top w:val="single" w:color="auto" w:sz="4" w:space="0"/>
              <w:left w:val="single" w:color="auto" w:sz="4" w:space="0"/>
              <w:bottom w:val="single" w:color="auto" w:sz="4" w:space="0"/>
              <w:right w:val="single" w:color="auto" w:sz="4" w:space="0"/>
            </w:tcBorders>
            <w:vAlign w:val="center"/>
          </w:tcPr>
          <w:p w14:paraId="79A49F67">
            <w:pPr>
              <w:spacing w:line="400" w:lineRule="exact"/>
              <w:jc w:val="center"/>
              <w:rPr>
                <w:rFonts w:ascii="宋体" w:hAnsi="宋体"/>
                <w:sz w:val="24"/>
                <w:highlight w:val="none"/>
              </w:rPr>
            </w:pPr>
            <w:r>
              <w:rPr>
                <w:rFonts w:hint="eastAsia" w:ascii="宋体" w:hAnsi="宋体"/>
                <w:sz w:val="24"/>
                <w:highlight w:val="none"/>
              </w:rPr>
              <w:t>开标地点</w:t>
            </w:r>
          </w:p>
        </w:tc>
        <w:tc>
          <w:tcPr>
            <w:tcW w:w="7502" w:type="dxa"/>
            <w:tcBorders>
              <w:top w:val="single" w:color="auto" w:sz="4" w:space="0"/>
              <w:left w:val="single" w:color="auto" w:sz="4" w:space="0"/>
              <w:bottom w:val="single" w:color="auto" w:sz="4" w:space="0"/>
            </w:tcBorders>
            <w:vAlign w:val="center"/>
          </w:tcPr>
          <w:p w14:paraId="0A5499C5">
            <w:pPr>
              <w:spacing w:line="400" w:lineRule="exact"/>
              <w:rPr>
                <w:rFonts w:ascii="宋体" w:hAnsi="宋体"/>
                <w:sz w:val="24"/>
                <w:highlight w:val="none"/>
              </w:rPr>
            </w:pPr>
            <w:r>
              <w:rPr>
                <w:rFonts w:hint="eastAsia" w:ascii="宋体" w:hAnsi="宋体"/>
                <w:sz w:val="24"/>
                <w:highlight w:val="none"/>
              </w:rPr>
              <w:t>详见招标公告</w:t>
            </w:r>
          </w:p>
        </w:tc>
      </w:tr>
      <w:tr w14:paraId="5EB4A2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73" w:hRule="atLeast"/>
          <w:jc w:val="center"/>
        </w:trPr>
        <w:tc>
          <w:tcPr>
            <w:tcW w:w="908" w:type="dxa"/>
            <w:tcBorders>
              <w:top w:val="single" w:color="auto" w:sz="4" w:space="0"/>
              <w:bottom w:val="single" w:color="auto" w:sz="4" w:space="0"/>
              <w:right w:val="single" w:color="auto" w:sz="4" w:space="0"/>
            </w:tcBorders>
            <w:vAlign w:val="center"/>
          </w:tcPr>
          <w:p w14:paraId="60975C97">
            <w:pPr>
              <w:spacing w:line="400" w:lineRule="exact"/>
              <w:jc w:val="center"/>
              <w:rPr>
                <w:rFonts w:ascii="宋体" w:hAnsi="宋体"/>
                <w:sz w:val="24"/>
                <w:highlight w:val="none"/>
              </w:rPr>
            </w:pPr>
            <w:r>
              <w:rPr>
                <w:rFonts w:hint="eastAsia" w:ascii="宋体" w:hAnsi="宋体"/>
                <w:sz w:val="24"/>
                <w:highlight w:val="none"/>
              </w:rPr>
              <w:t>18</w:t>
            </w:r>
          </w:p>
        </w:tc>
        <w:tc>
          <w:tcPr>
            <w:tcW w:w="1420" w:type="dxa"/>
            <w:tcBorders>
              <w:top w:val="single" w:color="auto" w:sz="4" w:space="0"/>
              <w:left w:val="single" w:color="auto" w:sz="4" w:space="0"/>
              <w:bottom w:val="single" w:color="auto" w:sz="4" w:space="0"/>
              <w:right w:val="single" w:color="auto" w:sz="4" w:space="0"/>
            </w:tcBorders>
            <w:vAlign w:val="center"/>
          </w:tcPr>
          <w:p w14:paraId="5D99E7A5">
            <w:pPr>
              <w:spacing w:line="400" w:lineRule="exact"/>
              <w:jc w:val="center"/>
              <w:rPr>
                <w:rFonts w:ascii="宋体" w:hAnsi="宋体"/>
                <w:sz w:val="24"/>
                <w:highlight w:val="none"/>
              </w:rPr>
            </w:pPr>
            <w:r>
              <w:rPr>
                <w:rFonts w:hint="eastAsia" w:ascii="宋体" w:hAnsi="宋体"/>
                <w:sz w:val="24"/>
                <w:highlight w:val="none"/>
              </w:rPr>
              <w:t>开标方式</w:t>
            </w:r>
          </w:p>
        </w:tc>
        <w:tc>
          <w:tcPr>
            <w:tcW w:w="7502" w:type="dxa"/>
            <w:tcBorders>
              <w:top w:val="single" w:color="auto" w:sz="4" w:space="0"/>
              <w:left w:val="single" w:color="auto" w:sz="4" w:space="0"/>
              <w:bottom w:val="single" w:color="auto" w:sz="4" w:space="0"/>
            </w:tcBorders>
            <w:vAlign w:val="center"/>
          </w:tcPr>
          <w:p w14:paraId="77C6C2E3">
            <w:pPr>
              <w:spacing w:line="400" w:lineRule="exact"/>
              <w:rPr>
                <w:rFonts w:ascii="宋体" w:hAnsi="宋体"/>
                <w:sz w:val="24"/>
                <w:highlight w:val="none"/>
              </w:rPr>
            </w:pPr>
            <w:r>
              <w:rPr>
                <w:rFonts w:hint="eastAsia" w:ascii="宋体" w:hAnsi="宋体"/>
                <w:spacing w:val="-2"/>
                <w:sz w:val="24"/>
                <w:highlight w:val="none"/>
              </w:rPr>
              <w:t>投标人无需到现场参与开标，但开、评标期间需实时关注交易系统相关通知，且被授权人的联络方式应保持畅通。</w:t>
            </w:r>
          </w:p>
        </w:tc>
      </w:tr>
      <w:tr w14:paraId="6C9200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908" w:type="dxa"/>
            <w:tcBorders>
              <w:top w:val="single" w:color="auto" w:sz="4" w:space="0"/>
              <w:bottom w:val="single" w:color="auto" w:sz="4" w:space="0"/>
              <w:right w:val="single" w:color="auto" w:sz="4" w:space="0"/>
            </w:tcBorders>
            <w:vAlign w:val="center"/>
          </w:tcPr>
          <w:p w14:paraId="1C80BFD1">
            <w:pPr>
              <w:spacing w:line="400" w:lineRule="exact"/>
              <w:jc w:val="center"/>
              <w:rPr>
                <w:rFonts w:ascii="宋体" w:hAnsi="宋体"/>
                <w:sz w:val="24"/>
                <w:highlight w:val="none"/>
              </w:rPr>
            </w:pPr>
            <w:r>
              <w:rPr>
                <w:rFonts w:hint="eastAsia" w:ascii="宋体" w:hAnsi="宋体"/>
                <w:sz w:val="24"/>
                <w:highlight w:val="none"/>
              </w:rPr>
              <w:t>19</w:t>
            </w:r>
          </w:p>
        </w:tc>
        <w:tc>
          <w:tcPr>
            <w:tcW w:w="1420" w:type="dxa"/>
            <w:tcBorders>
              <w:top w:val="single" w:color="auto" w:sz="4" w:space="0"/>
              <w:left w:val="single" w:color="auto" w:sz="4" w:space="0"/>
              <w:bottom w:val="single" w:color="auto" w:sz="4" w:space="0"/>
              <w:right w:val="single" w:color="auto" w:sz="4" w:space="0"/>
            </w:tcBorders>
            <w:vAlign w:val="center"/>
          </w:tcPr>
          <w:p w14:paraId="0DAFCA85">
            <w:pPr>
              <w:spacing w:line="400" w:lineRule="exact"/>
              <w:jc w:val="center"/>
              <w:rPr>
                <w:rFonts w:ascii="宋体" w:hAnsi="宋体"/>
                <w:sz w:val="24"/>
                <w:highlight w:val="none"/>
              </w:rPr>
            </w:pPr>
            <w:r>
              <w:rPr>
                <w:rFonts w:hint="eastAsia" w:ascii="宋体" w:hAnsi="宋体"/>
                <w:sz w:val="24"/>
                <w:highlight w:val="none"/>
              </w:rPr>
              <w:t>开标程序</w:t>
            </w:r>
          </w:p>
        </w:tc>
        <w:tc>
          <w:tcPr>
            <w:tcW w:w="7502" w:type="dxa"/>
            <w:tcBorders>
              <w:top w:val="single" w:color="auto" w:sz="4" w:space="0"/>
              <w:left w:val="single" w:color="auto" w:sz="4" w:space="0"/>
              <w:bottom w:val="single" w:color="auto" w:sz="4" w:space="0"/>
            </w:tcBorders>
            <w:vAlign w:val="center"/>
          </w:tcPr>
          <w:p w14:paraId="36A1A207">
            <w:pPr>
              <w:spacing w:line="400" w:lineRule="exact"/>
              <w:rPr>
                <w:rFonts w:ascii="宋体" w:hAnsi="宋体"/>
                <w:sz w:val="24"/>
                <w:highlight w:val="none"/>
              </w:rPr>
            </w:pPr>
            <w:r>
              <w:rPr>
                <w:rFonts w:hint="eastAsia" w:ascii="宋体" w:hAnsi="宋体"/>
                <w:sz w:val="24"/>
                <w:highlight w:val="none"/>
              </w:rPr>
              <w:t>签到时间：递交投标文件截止时间前完成</w:t>
            </w:r>
          </w:p>
          <w:p w14:paraId="426D4AA3">
            <w:pPr>
              <w:spacing w:line="400" w:lineRule="exact"/>
              <w:rPr>
                <w:rFonts w:ascii="宋体" w:hAnsi="宋体"/>
                <w:sz w:val="24"/>
                <w:highlight w:val="none"/>
              </w:rPr>
            </w:pPr>
            <w:r>
              <w:rPr>
                <w:rFonts w:hint="eastAsia" w:ascii="宋体" w:hAnsi="宋体"/>
                <w:sz w:val="24"/>
                <w:highlight w:val="none"/>
              </w:rPr>
              <w:t>解密时间：开始解密后15分钟内完成</w:t>
            </w:r>
          </w:p>
          <w:p w14:paraId="3E64A671">
            <w:pPr>
              <w:pStyle w:val="5"/>
              <w:spacing w:line="400" w:lineRule="exact"/>
              <w:rPr>
                <w:highlight w:val="none"/>
              </w:rPr>
            </w:pPr>
            <w:r>
              <w:rPr>
                <w:rFonts w:hint="eastAsia" w:ascii="宋体" w:hAnsi="宋体"/>
                <w:kern w:val="2"/>
                <w:highlight w:val="none"/>
              </w:rPr>
              <w:t>报价确认时间：发送开标一览表后5分钟内完成</w:t>
            </w:r>
          </w:p>
        </w:tc>
      </w:tr>
      <w:tr w14:paraId="4CA3D9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908" w:type="dxa"/>
            <w:tcBorders>
              <w:top w:val="single" w:color="auto" w:sz="4" w:space="0"/>
              <w:bottom w:val="single" w:color="auto" w:sz="4" w:space="0"/>
              <w:right w:val="single" w:color="auto" w:sz="4" w:space="0"/>
            </w:tcBorders>
            <w:vAlign w:val="center"/>
          </w:tcPr>
          <w:p w14:paraId="2A879636">
            <w:pPr>
              <w:spacing w:line="400" w:lineRule="exact"/>
              <w:jc w:val="center"/>
              <w:rPr>
                <w:rFonts w:ascii="宋体" w:hAnsi="宋体"/>
                <w:sz w:val="24"/>
                <w:highlight w:val="none"/>
              </w:rPr>
            </w:pPr>
            <w:r>
              <w:rPr>
                <w:rFonts w:hint="eastAsia" w:ascii="宋体" w:hAnsi="宋体"/>
                <w:sz w:val="24"/>
                <w:highlight w:val="none"/>
              </w:rPr>
              <w:t>20</w:t>
            </w:r>
          </w:p>
        </w:tc>
        <w:tc>
          <w:tcPr>
            <w:tcW w:w="1420" w:type="dxa"/>
            <w:tcBorders>
              <w:top w:val="single" w:color="auto" w:sz="4" w:space="0"/>
              <w:left w:val="single" w:color="auto" w:sz="4" w:space="0"/>
              <w:bottom w:val="single" w:color="auto" w:sz="4" w:space="0"/>
              <w:right w:val="single" w:color="auto" w:sz="4" w:space="0"/>
            </w:tcBorders>
            <w:vAlign w:val="center"/>
          </w:tcPr>
          <w:p w14:paraId="2226EF35">
            <w:pPr>
              <w:spacing w:line="400" w:lineRule="exact"/>
              <w:jc w:val="center"/>
              <w:rPr>
                <w:rFonts w:ascii="宋体" w:hAnsi="宋体"/>
                <w:sz w:val="24"/>
                <w:highlight w:val="none"/>
              </w:rPr>
            </w:pPr>
            <w:r>
              <w:rPr>
                <w:rFonts w:hint="eastAsia" w:ascii="宋体" w:hAnsi="宋体"/>
                <w:sz w:val="24"/>
                <w:highlight w:val="none"/>
              </w:rPr>
              <w:t>资格审查</w:t>
            </w:r>
          </w:p>
          <w:p w14:paraId="1DC5DE67">
            <w:pPr>
              <w:spacing w:line="400" w:lineRule="exact"/>
              <w:jc w:val="center"/>
              <w:rPr>
                <w:rFonts w:ascii="宋体" w:hAnsi="宋体"/>
                <w:sz w:val="24"/>
                <w:highlight w:val="none"/>
              </w:rPr>
            </w:pPr>
            <w:r>
              <w:rPr>
                <w:rFonts w:hint="eastAsia" w:ascii="宋体" w:hAnsi="宋体"/>
                <w:sz w:val="24"/>
                <w:highlight w:val="none"/>
              </w:rPr>
              <w:t>方式</w:t>
            </w:r>
          </w:p>
        </w:tc>
        <w:tc>
          <w:tcPr>
            <w:tcW w:w="7502" w:type="dxa"/>
            <w:tcBorders>
              <w:top w:val="single" w:color="auto" w:sz="4" w:space="0"/>
              <w:left w:val="single" w:color="auto" w:sz="4" w:space="0"/>
              <w:bottom w:val="single" w:color="auto" w:sz="4" w:space="0"/>
            </w:tcBorders>
            <w:vAlign w:val="center"/>
          </w:tcPr>
          <w:p w14:paraId="606FF3D7">
            <w:pPr>
              <w:spacing w:line="400" w:lineRule="exact"/>
              <w:rPr>
                <w:rFonts w:ascii="宋体" w:hAnsi="宋体"/>
                <w:sz w:val="24"/>
                <w:highlight w:val="none"/>
              </w:rPr>
            </w:pPr>
            <w:r>
              <w:rPr>
                <w:rFonts w:hint="eastAsia" w:ascii="宋体" w:hAnsi="宋体"/>
                <w:sz w:val="24"/>
                <w:highlight w:val="none"/>
              </w:rPr>
              <w:t>资格后审</w:t>
            </w:r>
          </w:p>
        </w:tc>
      </w:tr>
      <w:tr w14:paraId="2DB33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7D69B64F">
            <w:pPr>
              <w:spacing w:line="400" w:lineRule="exact"/>
              <w:jc w:val="center"/>
              <w:rPr>
                <w:rFonts w:ascii="宋体" w:hAnsi="宋体"/>
                <w:sz w:val="24"/>
                <w:highlight w:val="none"/>
              </w:rPr>
            </w:pPr>
            <w:r>
              <w:rPr>
                <w:rFonts w:hint="eastAsia" w:ascii="宋体" w:hAnsi="宋体"/>
                <w:sz w:val="24"/>
                <w:highlight w:val="none"/>
              </w:rPr>
              <w:t>21</w:t>
            </w:r>
          </w:p>
        </w:tc>
        <w:tc>
          <w:tcPr>
            <w:tcW w:w="1420" w:type="dxa"/>
            <w:tcBorders>
              <w:top w:val="single" w:color="auto" w:sz="4" w:space="0"/>
              <w:left w:val="single" w:color="auto" w:sz="4" w:space="0"/>
              <w:bottom w:val="single" w:color="auto" w:sz="4" w:space="0"/>
              <w:right w:val="single" w:color="auto" w:sz="4" w:space="0"/>
            </w:tcBorders>
            <w:vAlign w:val="center"/>
          </w:tcPr>
          <w:p w14:paraId="42581B2E">
            <w:pPr>
              <w:spacing w:line="400" w:lineRule="exact"/>
              <w:jc w:val="center"/>
              <w:rPr>
                <w:rFonts w:ascii="宋体" w:hAnsi="宋体"/>
                <w:sz w:val="24"/>
                <w:highlight w:val="none"/>
              </w:rPr>
            </w:pPr>
            <w:r>
              <w:rPr>
                <w:rFonts w:hint="eastAsia" w:ascii="宋体" w:hAnsi="宋体"/>
                <w:sz w:val="24"/>
                <w:highlight w:val="none"/>
              </w:rPr>
              <w:t>评标办法</w:t>
            </w:r>
          </w:p>
        </w:tc>
        <w:tc>
          <w:tcPr>
            <w:tcW w:w="7502" w:type="dxa"/>
            <w:tcBorders>
              <w:top w:val="single" w:color="auto" w:sz="4" w:space="0"/>
              <w:left w:val="single" w:color="auto" w:sz="4" w:space="0"/>
              <w:bottom w:val="single" w:color="auto" w:sz="4" w:space="0"/>
            </w:tcBorders>
            <w:vAlign w:val="center"/>
          </w:tcPr>
          <w:p w14:paraId="65E28E08">
            <w:pPr>
              <w:spacing w:line="400" w:lineRule="exact"/>
              <w:rPr>
                <w:rFonts w:ascii="宋体" w:hAnsi="宋体"/>
                <w:sz w:val="24"/>
                <w:highlight w:val="none"/>
              </w:rPr>
            </w:pPr>
            <w:r>
              <w:rPr>
                <w:rFonts w:hint="eastAsia" w:ascii="宋体" w:hAnsi="宋体"/>
                <w:sz w:val="24"/>
                <w:highlight w:val="none"/>
              </w:rPr>
              <w:t>综合评分法</w:t>
            </w:r>
          </w:p>
        </w:tc>
      </w:tr>
      <w:tr w14:paraId="2E9FD0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25C64EFD">
            <w:pPr>
              <w:spacing w:line="400" w:lineRule="exact"/>
              <w:jc w:val="center"/>
              <w:rPr>
                <w:rFonts w:ascii="宋体" w:hAnsi="宋体"/>
                <w:sz w:val="24"/>
                <w:highlight w:val="none"/>
              </w:rPr>
            </w:pPr>
            <w:r>
              <w:rPr>
                <w:rFonts w:hint="eastAsia" w:ascii="宋体" w:hAnsi="宋体"/>
                <w:sz w:val="24"/>
                <w:highlight w:val="none"/>
              </w:rPr>
              <w:t>22</w:t>
            </w:r>
          </w:p>
        </w:tc>
        <w:tc>
          <w:tcPr>
            <w:tcW w:w="1420" w:type="dxa"/>
            <w:tcBorders>
              <w:top w:val="single" w:color="auto" w:sz="4" w:space="0"/>
              <w:left w:val="single" w:color="auto" w:sz="4" w:space="0"/>
              <w:bottom w:val="single" w:color="auto" w:sz="4" w:space="0"/>
              <w:right w:val="single" w:color="auto" w:sz="4" w:space="0"/>
            </w:tcBorders>
            <w:vAlign w:val="center"/>
          </w:tcPr>
          <w:p w14:paraId="3AB72443">
            <w:pPr>
              <w:spacing w:line="400" w:lineRule="exact"/>
              <w:jc w:val="center"/>
              <w:rPr>
                <w:rFonts w:ascii="宋体" w:hAnsi="宋体"/>
                <w:sz w:val="24"/>
                <w:highlight w:val="none"/>
              </w:rPr>
            </w:pPr>
            <w:r>
              <w:rPr>
                <w:rFonts w:hint="eastAsia" w:ascii="宋体" w:hAnsi="宋体"/>
                <w:sz w:val="24"/>
                <w:highlight w:val="none"/>
              </w:rPr>
              <w:t>联合体投标</w:t>
            </w:r>
          </w:p>
        </w:tc>
        <w:tc>
          <w:tcPr>
            <w:tcW w:w="7502" w:type="dxa"/>
            <w:tcBorders>
              <w:top w:val="single" w:color="auto" w:sz="4" w:space="0"/>
              <w:left w:val="single" w:color="auto" w:sz="4" w:space="0"/>
              <w:bottom w:val="single" w:color="auto" w:sz="4" w:space="0"/>
            </w:tcBorders>
            <w:vAlign w:val="center"/>
          </w:tcPr>
          <w:p w14:paraId="0F688CD3">
            <w:pPr>
              <w:spacing w:line="400" w:lineRule="exact"/>
              <w:rPr>
                <w:rFonts w:ascii="宋体" w:hAnsi="宋体"/>
                <w:sz w:val="24"/>
                <w:highlight w:val="none"/>
              </w:rPr>
            </w:pPr>
            <w:r>
              <w:rPr>
                <w:rFonts w:hint="eastAsia" w:ascii="宋体" w:hAnsi="宋体"/>
                <w:sz w:val="24"/>
                <w:highlight w:val="none"/>
              </w:rPr>
              <w:t>不接受</w:t>
            </w:r>
          </w:p>
        </w:tc>
      </w:tr>
      <w:tr w14:paraId="78F12D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471E4D7A">
            <w:pPr>
              <w:spacing w:line="400" w:lineRule="exact"/>
              <w:jc w:val="center"/>
              <w:rPr>
                <w:rFonts w:ascii="宋体" w:hAnsi="宋体"/>
                <w:sz w:val="24"/>
                <w:highlight w:val="none"/>
              </w:rPr>
            </w:pPr>
            <w:r>
              <w:rPr>
                <w:rFonts w:hint="eastAsia" w:ascii="宋体" w:hAnsi="宋体"/>
                <w:sz w:val="24"/>
                <w:highlight w:val="none"/>
              </w:rPr>
              <w:t>23</w:t>
            </w:r>
          </w:p>
        </w:tc>
        <w:tc>
          <w:tcPr>
            <w:tcW w:w="1420" w:type="dxa"/>
            <w:tcBorders>
              <w:top w:val="single" w:color="auto" w:sz="4" w:space="0"/>
              <w:left w:val="single" w:color="auto" w:sz="4" w:space="0"/>
              <w:bottom w:val="single" w:color="auto" w:sz="4" w:space="0"/>
              <w:right w:val="single" w:color="auto" w:sz="4" w:space="0"/>
            </w:tcBorders>
            <w:vAlign w:val="center"/>
          </w:tcPr>
          <w:p w14:paraId="45B50F6B">
            <w:pPr>
              <w:snapToGrid w:val="0"/>
              <w:spacing w:line="400" w:lineRule="exact"/>
              <w:jc w:val="center"/>
              <w:rPr>
                <w:rFonts w:ascii="宋体" w:hAnsi="宋体"/>
                <w:sz w:val="24"/>
                <w:highlight w:val="none"/>
              </w:rPr>
            </w:pPr>
            <w:r>
              <w:rPr>
                <w:rFonts w:hint="eastAsia" w:ascii="宋体" w:hAnsi="宋体"/>
                <w:sz w:val="24"/>
                <w:highlight w:val="none"/>
              </w:rPr>
              <w:t>分（转）包</w:t>
            </w:r>
          </w:p>
        </w:tc>
        <w:tc>
          <w:tcPr>
            <w:tcW w:w="7502" w:type="dxa"/>
            <w:tcBorders>
              <w:top w:val="single" w:color="auto" w:sz="4" w:space="0"/>
              <w:left w:val="single" w:color="auto" w:sz="4" w:space="0"/>
              <w:bottom w:val="single" w:color="auto" w:sz="4" w:space="0"/>
            </w:tcBorders>
            <w:vAlign w:val="center"/>
          </w:tcPr>
          <w:p w14:paraId="191EECE8">
            <w:pPr>
              <w:snapToGrid w:val="0"/>
              <w:spacing w:line="400" w:lineRule="exact"/>
              <w:jc w:val="left"/>
              <w:rPr>
                <w:rFonts w:ascii="宋体" w:hAnsi="宋体"/>
                <w:sz w:val="24"/>
                <w:highlight w:val="none"/>
              </w:rPr>
            </w:pPr>
            <w:r>
              <w:rPr>
                <w:rFonts w:hint="eastAsia" w:ascii="宋体" w:hAnsi="宋体"/>
                <w:sz w:val="24"/>
                <w:highlight w:val="none"/>
              </w:rPr>
              <w:t>不允许</w:t>
            </w:r>
          </w:p>
        </w:tc>
      </w:tr>
      <w:tr w14:paraId="6CD45A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56D8F332">
            <w:pPr>
              <w:spacing w:line="400" w:lineRule="exact"/>
              <w:jc w:val="center"/>
              <w:rPr>
                <w:rFonts w:ascii="宋体" w:hAnsi="宋体"/>
                <w:sz w:val="24"/>
                <w:highlight w:val="none"/>
              </w:rPr>
            </w:pPr>
            <w:r>
              <w:rPr>
                <w:rFonts w:hint="eastAsia" w:ascii="宋体" w:hAnsi="宋体"/>
                <w:sz w:val="24"/>
                <w:highlight w:val="none"/>
              </w:rPr>
              <w:t>24</w:t>
            </w:r>
          </w:p>
        </w:tc>
        <w:tc>
          <w:tcPr>
            <w:tcW w:w="1420" w:type="dxa"/>
            <w:tcBorders>
              <w:top w:val="single" w:color="auto" w:sz="4" w:space="0"/>
              <w:left w:val="single" w:color="auto" w:sz="4" w:space="0"/>
              <w:bottom w:val="single" w:color="auto" w:sz="4" w:space="0"/>
              <w:right w:val="single" w:color="auto" w:sz="4" w:space="0"/>
            </w:tcBorders>
            <w:vAlign w:val="center"/>
          </w:tcPr>
          <w:p w14:paraId="14955AC3">
            <w:pPr>
              <w:spacing w:line="400" w:lineRule="exact"/>
              <w:jc w:val="center"/>
              <w:rPr>
                <w:rFonts w:ascii="宋体" w:hAnsi="宋体"/>
                <w:sz w:val="24"/>
                <w:highlight w:val="none"/>
              </w:rPr>
            </w:pPr>
            <w:r>
              <w:rPr>
                <w:rFonts w:hint="eastAsia" w:ascii="宋体" w:hAnsi="宋体"/>
                <w:sz w:val="24"/>
                <w:highlight w:val="none"/>
              </w:rPr>
              <w:t>投标</w:t>
            </w:r>
          </w:p>
          <w:p w14:paraId="1D3EEA00">
            <w:pPr>
              <w:spacing w:line="400" w:lineRule="exact"/>
              <w:jc w:val="center"/>
              <w:rPr>
                <w:rFonts w:ascii="宋体" w:hAnsi="宋体"/>
                <w:sz w:val="24"/>
                <w:highlight w:val="none"/>
              </w:rPr>
            </w:pPr>
            <w:r>
              <w:rPr>
                <w:rFonts w:hint="eastAsia" w:ascii="宋体" w:hAnsi="宋体"/>
                <w:sz w:val="24"/>
                <w:highlight w:val="none"/>
              </w:rPr>
              <w:t>保证金</w:t>
            </w:r>
          </w:p>
        </w:tc>
        <w:tc>
          <w:tcPr>
            <w:tcW w:w="7502" w:type="dxa"/>
            <w:tcBorders>
              <w:top w:val="single" w:color="auto" w:sz="4" w:space="0"/>
              <w:left w:val="single" w:color="auto" w:sz="4" w:space="0"/>
              <w:bottom w:val="single" w:color="auto" w:sz="4" w:space="0"/>
            </w:tcBorders>
            <w:vAlign w:val="center"/>
          </w:tcPr>
          <w:p w14:paraId="54D90D5B">
            <w:pPr>
              <w:spacing w:line="360" w:lineRule="auto"/>
              <w:jc w:val="left"/>
              <w:rPr>
                <w:rFonts w:ascii="宋体" w:hAnsi="宋体"/>
                <w:sz w:val="24"/>
                <w:highlight w:val="none"/>
              </w:rPr>
            </w:pPr>
            <w:r>
              <w:rPr>
                <w:rFonts w:hint="eastAsia" w:ascii="宋体" w:hAnsi="宋体"/>
                <w:sz w:val="24"/>
                <w:highlight w:val="none"/>
              </w:rPr>
              <w:t>1.本项目投标保证金：人民币伍仟元整。</w:t>
            </w:r>
          </w:p>
          <w:p w14:paraId="5F2BE3DE">
            <w:pPr>
              <w:spacing w:line="360" w:lineRule="auto"/>
              <w:jc w:val="left"/>
              <w:rPr>
                <w:rFonts w:ascii="宋体" w:hAnsi="宋体"/>
                <w:sz w:val="24"/>
                <w:highlight w:val="none"/>
              </w:rPr>
            </w:pPr>
            <w:r>
              <w:rPr>
                <w:rFonts w:hint="eastAsia" w:ascii="宋体" w:hAnsi="宋体"/>
                <w:sz w:val="24"/>
                <w:highlight w:val="none"/>
              </w:rPr>
              <w:t>2.交纳截止时间：同电子投标文件提交截止时间。</w:t>
            </w:r>
          </w:p>
          <w:p w14:paraId="5CF225AC">
            <w:pPr>
              <w:spacing w:line="360" w:lineRule="auto"/>
              <w:jc w:val="left"/>
              <w:rPr>
                <w:rFonts w:ascii="宋体" w:hAnsi="宋体"/>
                <w:sz w:val="24"/>
                <w:highlight w:val="none"/>
              </w:rPr>
            </w:pPr>
            <w:r>
              <w:rPr>
                <w:rFonts w:hint="eastAsia" w:ascii="宋体" w:hAnsi="宋体"/>
                <w:sz w:val="24"/>
                <w:highlight w:val="none"/>
              </w:rPr>
              <w:t>3.投标保证金的交纳单位必须与投标人名称一致，投标保证金须从其基本账户转出，否则其报价无效。</w:t>
            </w:r>
          </w:p>
          <w:p w14:paraId="0032350C">
            <w:pPr>
              <w:spacing w:line="360" w:lineRule="auto"/>
              <w:jc w:val="left"/>
              <w:rPr>
                <w:rFonts w:ascii="宋体" w:hAnsi="宋体"/>
                <w:sz w:val="24"/>
                <w:highlight w:val="none"/>
              </w:rPr>
            </w:pPr>
            <w:r>
              <w:rPr>
                <w:rFonts w:hint="eastAsia" w:ascii="宋体" w:hAnsi="宋体"/>
                <w:sz w:val="24"/>
                <w:highlight w:val="none"/>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789DBC72">
            <w:pPr>
              <w:spacing w:line="360" w:lineRule="auto"/>
              <w:jc w:val="left"/>
              <w:rPr>
                <w:rFonts w:ascii="宋体" w:hAnsi="宋体"/>
                <w:sz w:val="24"/>
                <w:highlight w:val="none"/>
              </w:rPr>
            </w:pPr>
            <w:r>
              <w:rPr>
                <w:rFonts w:hint="eastAsia" w:ascii="宋体" w:hAnsi="宋体"/>
                <w:sz w:val="24"/>
                <w:highlight w:val="none"/>
              </w:rPr>
              <w:t>5.为确保招标工作有序进行，投标保证金应当在提交电子投标文件截止时间前（以到账时间为准）到达</w:t>
            </w:r>
            <w:r>
              <w:rPr>
                <w:rFonts w:hint="eastAsia" w:ascii="宋体" w:hAnsi="宋体"/>
                <w:sz w:val="24"/>
                <w:highlight w:val="none"/>
                <w:lang w:eastAsia="zh-CN"/>
              </w:rPr>
              <w:t>，</w:t>
            </w:r>
            <w:r>
              <w:rPr>
                <w:rFonts w:hint="eastAsia" w:ascii="宋体" w:hAnsi="宋体"/>
                <w:sz w:val="24"/>
                <w:highlight w:val="none"/>
              </w:rPr>
              <w:t>以投标供应商在系统中获取到的虚拟子账号信息为准，以网银、电汇等方式一次性足额交纳保证金，不接受支付宝等第三方平台转账。禁止第三方代交。投标保证金交纳单位应与提交电子投标文件的投标人名称一致。</w:t>
            </w:r>
          </w:p>
          <w:p w14:paraId="0EB644B4">
            <w:pPr>
              <w:spacing w:line="360" w:lineRule="auto"/>
              <w:jc w:val="left"/>
              <w:rPr>
                <w:rFonts w:ascii="宋体" w:hAnsi="宋体"/>
                <w:sz w:val="24"/>
                <w:highlight w:val="none"/>
              </w:rPr>
            </w:pPr>
            <w:r>
              <w:rPr>
                <w:rFonts w:hint="eastAsia" w:ascii="宋体" w:hAnsi="宋体"/>
                <w:sz w:val="24"/>
                <w:highlight w:val="none"/>
              </w:rPr>
              <w:t>6.为确保投标人投标保证金及时足额到账，请尽量提前交纳保证金，由于银行系统原因，请至少在提交电子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1DB20E78">
            <w:pPr>
              <w:spacing w:line="360" w:lineRule="auto"/>
              <w:jc w:val="left"/>
              <w:rPr>
                <w:rFonts w:ascii="宋体" w:hAnsi="宋体"/>
                <w:sz w:val="24"/>
                <w:highlight w:val="none"/>
              </w:rPr>
            </w:pPr>
            <w:r>
              <w:rPr>
                <w:rFonts w:hint="eastAsia" w:ascii="宋体" w:hAnsi="宋体"/>
                <w:sz w:val="24"/>
                <w:highlight w:val="none"/>
              </w:rPr>
              <w:t>7.退还保证金：目前系统采用自动退还保证金操作，分为未中标单位退还和中标单位退还。代理机构向中标单位发送中标通知书后，系统自动退还未中标单位保证金；采购人和中标单位签署完合同后，系统自动退还中标单位保证金。</w:t>
            </w:r>
          </w:p>
        </w:tc>
      </w:tr>
      <w:tr w14:paraId="2F7BF4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vAlign w:val="center"/>
          </w:tcPr>
          <w:p w14:paraId="381E6B60">
            <w:pPr>
              <w:spacing w:line="400" w:lineRule="exact"/>
              <w:jc w:val="center"/>
              <w:rPr>
                <w:rFonts w:ascii="宋体" w:hAnsi="宋体"/>
                <w:sz w:val="24"/>
                <w:highlight w:val="none"/>
              </w:rPr>
            </w:pPr>
            <w:r>
              <w:rPr>
                <w:rFonts w:hint="eastAsia" w:ascii="宋体" w:hAnsi="宋体"/>
                <w:sz w:val="24"/>
                <w:highlight w:val="none"/>
              </w:rPr>
              <w:t>25</w:t>
            </w:r>
          </w:p>
        </w:tc>
        <w:tc>
          <w:tcPr>
            <w:tcW w:w="1420" w:type="dxa"/>
            <w:tcBorders>
              <w:top w:val="single" w:color="auto" w:sz="4" w:space="0"/>
              <w:left w:val="single" w:color="auto" w:sz="4" w:space="0"/>
              <w:bottom w:val="single" w:color="auto" w:sz="4" w:space="0"/>
              <w:right w:val="single" w:color="auto" w:sz="4" w:space="0"/>
            </w:tcBorders>
            <w:vAlign w:val="center"/>
          </w:tcPr>
          <w:p w14:paraId="3DD4E68B">
            <w:pPr>
              <w:spacing w:line="400" w:lineRule="exact"/>
              <w:jc w:val="center"/>
              <w:rPr>
                <w:rFonts w:ascii="宋体" w:hAnsi="宋体"/>
                <w:sz w:val="24"/>
                <w:highlight w:val="none"/>
              </w:rPr>
            </w:pPr>
            <w:r>
              <w:rPr>
                <w:rFonts w:hint="eastAsia" w:ascii="宋体" w:hAnsi="宋体"/>
                <w:sz w:val="24"/>
                <w:highlight w:val="none"/>
              </w:rPr>
              <w:t>履约保证金</w:t>
            </w:r>
          </w:p>
        </w:tc>
        <w:tc>
          <w:tcPr>
            <w:tcW w:w="7502" w:type="dxa"/>
            <w:tcBorders>
              <w:top w:val="single" w:color="auto" w:sz="4" w:space="0"/>
              <w:left w:val="single" w:color="auto" w:sz="4" w:space="0"/>
              <w:bottom w:val="single" w:color="auto" w:sz="4" w:space="0"/>
            </w:tcBorders>
            <w:vAlign w:val="center"/>
          </w:tcPr>
          <w:p w14:paraId="3F3D8D2A">
            <w:pPr>
              <w:spacing w:line="400" w:lineRule="exact"/>
              <w:rPr>
                <w:rFonts w:ascii="宋体" w:hAnsi="宋体"/>
                <w:sz w:val="24"/>
                <w:highlight w:val="none"/>
              </w:rPr>
            </w:pPr>
            <w:r>
              <w:rPr>
                <w:rFonts w:hint="eastAsia" w:ascii="宋体" w:hAnsi="宋体"/>
                <w:sz w:val="24"/>
                <w:highlight w:val="none"/>
              </w:rPr>
              <w:t>本项目不收取履约保证金</w:t>
            </w:r>
          </w:p>
        </w:tc>
      </w:tr>
      <w:tr w14:paraId="66131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908" w:type="dxa"/>
            <w:tcBorders>
              <w:top w:val="single" w:color="auto" w:sz="4" w:space="0"/>
              <w:bottom w:val="single" w:color="auto" w:sz="4" w:space="0"/>
              <w:right w:val="single" w:color="auto" w:sz="4" w:space="0"/>
            </w:tcBorders>
            <w:vAlign w:val="center"/>
          </w:tcPr>
          <w:p w14:paraId="5C68850C">
            <w:pPr>
              <w:spacing w:line="400" w:lineRule="exact"/>
              <w:jc w:val="center"/>
              <w:rPr>
                <w:rFonts w:ascii="宋体" w:hAnsi="宋体"/>
                <w:sz w:val="24"/>
                <w:highlight w:val="none"/>
              </w:rPr>
            </w:pPr>
            <w:r>
              <w:rPr>
                <w:rFonts w:hint="eastAsia" w:ascii="宋体" w:hAnsi="宋体"/>
                <w:sz w:val="24"/>
                <w:highlight w:val="none"/>
              </w:rPr>
              <w:t>26</w:t>
            </w:r>
          </w:p>
        </w:tc>
        <w:tc>
          <w:tcPr>
            <w:tcW w:w="1420" w:type="dxa"/>
            <w:tcBorders>
              <w:top w:val="single" w:color="auto" w:sz="4" w:space="0"/>
              <w:left w:val="single" w:color="auto" w:sz="4" w:space="0"/>
              <w:bottom w:val="single" w:color="auto" w:sz="4" w:space="0"/>
              <w:right w:val="single" w:color="auto" w:sz="4" w:space="0"/>
            </w:tcBorders>
            <w:vAlign w:val="center"/>
          </w:tcPr>
          <w:p w14:paraId="6208014B">
            <w:pPr>
              <w:spacing w:line="400" w:lineRule="exact"/>
              <w:jc w:val="center"/>
              <w:rPr>
                <w:rFonts w:ascii="宋体" w:hAnsi="宋体"/>
                <w:sz w:val="24"/>
                <w:highlight w:val="none"/>
              </w:rPr>
            </w:pPr>
            <w:r>
              <w:rPr>
                <w:rFonts w:hint="eastAsia" w:ascii="宋体" w:hAnsi="宋体"/>
                <w:sz w:val="24"/>
                <w:highlight w:val="none"/>
              </w:rPr>
              <w:t>付款方式</w:t>
            </w:r>
          </w:p>
        </w:tc>
        <w:tc>
          <w:tcPr>
            <w:tcW w:w="7502" w:type="dxa"/>
            <w:tcBorders>
              <w:top w:val="single" w:color="auto" w:sz="4" w:space="0"/>
              <w:left w:val="single" w:color="auto" w:sz="4" w:space="0"/>
              <w:bottom w:val="single" w:color="auto" w:sz="4" w:space="0"/>
            </w:tcBorders>
            <w:vAlign w:val="center"/>
          </w:tcPr>
          <w:p w14:paraId="5EA2A53D">
            <w:pPr>
              <w:spacing w:line="400" w:lineRule="exact"/>
              <w:rPr>
                <w:rFonts w:ascii="宋体" w:hAnsi="宋体"/>
                <w:sz w:val="24"/>
                <w:highlight w:val="none"/>
              </w:rPr>
            </w:pPr>
            <w:r>
              <w:rPr>
                <w:rFonts w:hint="eastAsia" w:ascii="宋体" w:hAnsi="宋体"/>
                <w:sz w:val="24"/>
                <w:highlight w:val="none"/>
              </w:rPr>
              <w:t>详见合同（范本）</w:t>
            </w:r>
          </w:p>
        </w:tc>
      </w:tr>
      <w:tr w14:paraId="48EC4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528175E5">
            <w:pPr>
              <w:spacing w:line="400" w:lineRule="exact"/>
              <w:jc w:val="center"/>
              <w:rPr>
                <w:rFonts w:ascii="宋体" w:hAnsi="宋体"/>
                <w:sz w:val="24"/>
                <w:highlight w:val="none"/>
              </w:rPr>
            </w:pPr>
            <w:r>
              <w:rPr>
                <w:rFonts w:hint="eastAsia" w:ascii="宋体" w:hAnsi="宋体"/>
                <w:sz w:val="24"/>
                <w:highlight w:val="none"/>
              </w:rPr>
              <w:t>27</w:t>
            </w:r>
          </w:p>
        </w:tc>
        <w:tc>
          <w:tcPr>
            <w:tcW w:w="1420" w:type="dxa"/>
            <w:tcBorders>
              <w:top w:val="single" w:color="auto" w:sz="4" w:space="0"/>
              <w:left w:val="single" w:color="auto" w:sz="4" w:space="0"/>
              <w:bottom w:val="single" w:color="auto" w:sz="4" w:space="0"/>
              <w:right w:val="single" w:color="auto" w:sz="4" w:space="0"/>
            </w:tcBorders>
            <w:vAlign w:val="center"/>
          </w:tcPr>
          <w:p w14:paraId="1CE8ECCD">
            <w:pPr>
              <w:spacing w:line="400" w:lineRule="exact"/>
              <w:jc w:val="center"/>
              <w:rPr>
                <w:rFonts w:ascii="宋体" w:hAnsi="宋体"/>
                <w:sz w:val="24"/>
                <w:highlight w:val="none"/>
              </w:rPr>
            </w:pPr>
            <w:r>
              <w:rPr>
                <w:rFonts w:hint="eastAsia" w:ascii="宋体" w:hAnsi="宋体"/>
                <w:sz w:val="24"/>
                <w:highlight w:val="none"/>
              </w:rPr>
              <w:t>其他</w:t>
            </w:r>
          </w:p>
        </w:tc>
        <w:tc>
          <w:tcPr>
            <w:tcW w:w="7502" w:type="dxa"/>
            <w:tcBorders>
              <w:top w:val="single" w:color="auto" w:sz="4" w:space="0"/>
              <w:left w:val="single" w:color="auto" w:sz="4" w:space="0"/>
              <w:bottom w:val="single" w:color="auto" w:sz="4" w:space="0"/>
            </w:tcBorders>
            <w:vAlign w:val="center"/>
          </w:tcPr>
          <w:p w14:paraId="388809C0">
            <w:pPr>
              <w:spacing w:line="400" w:lineRule="exact"/>
              <w:rPr>
                <w:rFonts w:ascii="宋体" w:hAnsi="宋体"/>
                <w:sz w:val="24"/>
                <w:highlight w:val="none"/>
              </w:rPr>
            </w:pPr>
            <w:r>
              <w:rPr>
                <w:rFonts w:hint="eastAsia" w:ascii="宋体" w:hAnsi="宋体"/>
                <w:sz w:val="24"/>
                <w:highlight w:val="none"/>
              </w:rPr>
              <w:t>本项目按服务类以公开招标方式实施采购</w:t>
            </w:r>
          </w:p>
        </w:tc>
      </w:tr>
      <w:tr w14:paraId="1D2A72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tcBorders>
              <w:top w:val="single" w:color="auto" w:sz="4" w:space="0"/>
              <w:bottom w:val="single" w:color="auto" w:sz="4" w:space="0"/>
              <w:right w:val="single" w:color="auto" w:sz="4" w:space="0"/>
            </w:tcBorders>
            <w:vAlign w:val="center"/>
          </w:tcPr>
          <w:p w14:paraId="5A31352E">
            <w:pPr>
              <w:spacing w:line="400" w:lineRule="exact"/>
              <w:jc w:val="center"/>
              <w:rPr>
                <w:rFonts w:ascii="宋体" w:hAnsi="宋体"/>
                <w:sz w:val="24"/>
                <w:highlight w:val="none"/>
              </w:rPr>
            </w:pPr>
            <w:r>
              <w:rPr>
                <w:rFonts w:hint="eastAsia" w:ascii="宋体" w:hAnsi="宋体"/>
                <w:sz w:val="24"/>
                <w:highlight w:val="none"/>
              </w:rPr>
              <w:t>28</w:t>
            </w:r>
          </w:p>
        </w:tc>
        <w:tc>
          <w:tcPr>
            <w:tcW w:w="1420" w:type="dxa"/>
            <w:tcBorders>
              <w:top w:val="single" w:color="auto" w:sz="4" w:space="0"/>
              <w:left w:val="single" w:color="auto" w:sz="4" w:space="0"/>
              <w:bottom w:val="single" w:color="auto" w:sz="4" w:space="0"/>
              <w:right w:val="single" w:color="auto" w:sz="4" w:space="0"/>
            </w:tcBorders>
            <w:vAlign w:val="center"/>
          </w:tcPr>
          <w:p w14:paraId="1957F862">
            <w:pPr>
              <w:spacing w:line="400" w:lineRule="exact"/>
              <w:jc w:val="center"/>
              <w:rPr>
                <w:rFonts w:ascii="宋体" w:hAnsi="宋体"/>
                <w:sz w:val="24"/>
                <w:highlight w:val="none"/>
              </w:rPr>
            </w:pPr>
            <w:r>
              <w:rPr>
                <w:rFonts w:hint="eastAsia" w:ascii="宋体" w:hAnsi="宋体"/>
                <w:sz w:val="24"/>
                <w:highlight w:val="none"/>
              </w:rPr>
              <w:t>是否委托定标</w:t>
            </w:r>
          </w:p>
        </w:tc>
        <w:tc>
          <w:tcPr>
            <w:tcW w:w="7502" w:type="dxa"/>
            <w:tcBorders>
              <w:top w:val="single" w:color="auto" w:sz="4" w:space="0"/>
              <w:left w:val="single" w:color="auto" w:sz="4" w:space="0"/>
              <w:bottom w:val="single" w:color="auto" w:sz="4" w:space="0"/>
            </w:tcBorders>
            <w:vAlign w:val="center"/>
          </w:tcPr>
          <w:p w14:paraId="3826493B">
            <w:pPr>
              <w:spacing w:line="400" w:lineRule="exact"/>
              <w:rPr>
                <w:rFonts w:ascii="宋体" w:hAnsi="宋体"/>
                <w:sz w:val="24"/>
                <w:highlight w:val="none"/>
              </w:rPr>
            </w:pPr>
            <w:r>
              <w:rPr>
                <w:rFonts w:hint="eastAsia" w:ascii="宋体" w:hAnsi="宋体"/>
                <w:sz w:val="24"/>
                <w:highlight w:val="none"/>
              </w:rPr>
              <w:t>是</w:t>
            </w:r>
          </w:p>
        </w:tc>
      </w:tr>
      <w:tr w14:paraId="6E0925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8" w:type="dxa"/>
            <w:vMerge w:val="restart"/>
            <w:tcBorders>
              <w:top w:val="single" w:color="auto" w:sz="4" w:space="0"/>
              <w:right w:val="single" w:color="auto" w:sz="4" w:space="0"/>
            </w:tcBorders>
            <w:vAlign w:val="center"/>
          </w:tcPr>
          <w:p w14:paraId="69C38D45">
            <w:pPr>
              <w:spacing w:line="400" w:lineRule="exact"/>
              <w:jc w:val="center"/>
              <w:rPr>
                <w:rFonts w:ascii="宋体" w:hAnsi="宋体"/>
                <w:sz w:val="24"/>
                <w:highlight w:val="none"/>
              </w:rPr>
            </w:pPr>
            <w:r>
              <w:rPr>
                <w:rFonts w:hint="eastAsia" w:ascii="宋体" w:hAnsi="宋体"/>
                <w:sz w:val="24"/>
                <w:highlight w:val="none"/>
              </w:rPr>
              <w:t>29</w:t>
            </w:r>
          </w:p>
        </w:tc>
        <w:tc>
          <w:tcPr>
            <w:tcW w:w="1420" w:type="dxa"/>
            <w:tcBorders>
              <w:top w:val="single" w:color="auto" w:sz="4" w:space="0"/>
              <w:left w:val="single" w:color="auto" w:sz="4" w:space="0"/>
              <w:bottom w:val="single" w:color="auto" w:sz="4" w:space="0"/>
              <w:right w:val="single" w:color="auto" w:sz="4" w:space="0"/>
            </w:tcBorders>
            <w:vAlign w:val="center"/>
          </w:tcPr>
          <w:p w14:paraId="6525F486">
            <w:pPr>
              <w:spacing w:line="360" w:lineRule="auto"/>
              <w:jc w:val="center"/>
              <w:rPr>
                <w:rFonts w:ascii="宋体" w:hAnsi="宋体"/>
                <w:sz w:val="24"/>
                <w:highlight w:val="none"/>
              </w:rPr>
            </w:pPr>
            <w:r>
              <w:rPr>
                <w:rFonts w:hint="eastAsia" w:ascii="宋体" w:hAnsi="宋体"/>
                <w:sz w:val="24"/>
                <w:highlight w:val="none"/>
              </w:rPr>
              <w:t>代理服务费</w:t>
            </w:r>
          </w:p>
        </w:tc>
        <w:tc>
          <w:tcPr>
            <w:tcW w:w="7502" w:type="dxa"/>
            <w:tcBorders>
              <w:top w:val="single" w:color="auto" w:sz="4" w:space="0"/>
              <w:left w:val="single" w:color="auto" w:sz="4" w:space="0"/>
              <w:bottom w:val="single" w:color="auto" w:sz="4" w:space="0"/>
            </w:tcBorders>
            <w:vAlign w:val="center"/>
          </w:tcPr>
          <w:p w14:paraId="038A4055">
            <w:pPr>
              <w:spacing w:line="360" w:lineRule="auto"/>
              <w:jc w:val="left"/>
              <w:rPr>
                <w:rFonts w:ascii="宋体" w:hAnsi="宋体"/>
                <w:sz w:val="24"/>
                <w:highlight w:val="none"/>
              </w:rPr>
            </w:pPr>
            <w:r>
              <w:rPr>
                <w:rFonts w:hint="eastAsia" w:ascii="宋体" w:hAnsi="宋体"/>
                <w:bCs/>
                <w:sz w:val="24"/>
                <w:highlight w:val="none"/>
              </w:rPr>
              <w:t>由中标人在领取中标通知书的同时向招标代理机构全额缴纳。代理服务费：</w:t>
            </w:r>
            <w:r>
              <w:rPr>
                <w:rFonts w:hint="eastAsia" w:ascii="宋体" w:hAnsi="宋体"/>
                <w:sz w:val="24"/>
                <w:highlight w:val="none"/>
              </w:rPr>
              <w:t>人民币</w:t>
            </w:r>
            <w:r>
              <w:rPr>
                <w:rFonts w:hint="eastAsia" w:ascii="宋体" w:hAnsi="宋体"/>
                <w:sz w:val="24"/>
                <w:highlight w:val="none"/>
                <w:lang w:val="en-US" w:eastAsia="zh-CN"/>
              </w:rPr>
              <w:t>5</w:t>
            </w:r>
            <w:r>
              <w:rPr>
                <w:rFonts w:hint="eastAsia" w:ascii="宋体" w:hAnsi="宋体"/>
                <w:sz w:val="24"/>
                <w:highlight w:val="none"/>
              </w:rPr>
              <w:t>000.00元整。</w:t>
            </w:r>
          </w:p>
        </w:tc>
      </w:tr>
      <w:tr w14:paraId="698D82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908" w:type="dxa"/>
            <w:vMerge w:val="continue"/>
            <w:tcBorders>
              <w:bottom w:val="single" w:color="auto" w:sz="4" w:space="0"/>
              <w:right w:val="single" w:color="auto" w:sz="4" w:space="0"/>
            </w:tcBorders>
            <w:vAlign w:val="center"/>
          </w:tcPr>
          <w:p w14:paraId="6C5008CE">
            <w:pPr>
              <w:spacing w:line="400" w:lineRule="exact"/>
              <w:jc w:val="center"/>
              <w:rPr>
                <w:rFonts w:ascii="宋体" w:hAnsi="宋体"/>
                <w:sz w:val="24"/>
                <w:highlight w:val="none"/>
              </w:rPr>
            </w:pPr>
          </w:p>
        </w:tc>
        <w:tc>
          <w:tcPr>
            <w:tcW w:w="1420" w:type="dxa"/>
            <w:tcBorders>
              <w:top w:val="single" w:color="auto" w:sz="4" w:space="0"/>
              <w:left w:val="single" w:color="auto" w:sz="4" w:space="0"/>
              <w:bottom w:val="single" w:color="auto" w:sz="4" w:space="0"/>
              <w:right w:val="single" w:color="auto" w:sz="4" w:space="0"/>
            </w:tcBorders>
            <w:vAlign w:val="center"/>
          </w:tcPr>
          <w:p w14:paraId="2F1E5B13">
            <w:pPr>
              <w:spacing w:line="360" w:lineRule="auto"/>
              <w:jc w:val="left"/>
              <w:rPr>
                <w:rFonts w:ascii="宋体" w:hAnsi="宋体"/>
                <w:bCs/>
                <w:sz w:val="24"/>
                <w:highlight w:val="none"/>
              </w:rPr>
            </w:pPr>
            <w:r>
              <w:rPr>
                <w:rFonts w:hint="eastAsia" w:ascii="宋体" w:hAnsi="宋体"/>
                <w:bCs/>
                <w:sz w:val="24"/>
                <w:highlight w:val="none"/>
              </w:rPr>
              <w:t>专家评审费</w:t>
            </w:r>
          </w:p>
        </w:tc>
        <w:tc>
          <w:tcPr>
            <w:tcW w:w="7502" w:type="dxa"/>
            <w:tcBorders>
              <w:top w:val="single" w:color="auto" w:sz="4" w:space="0"/>
              <w:left w:val="single" w:color="auto" w:sz="4" w:space="0"/>
              <w:bottom w:val="single" w:color="auto" w:sz="4" w:space="0"/>
            </w:tcBorders>
            <w:vAlign w:val="center"/>
          </w:tcPr>
          <w:p w14:paraId="2CE6187D">
            <w:pPr>
              <w:spacing w:line="360" w:lineRule="auto"/>
              <w:jc w:val="left"/>
              <w:rPr>
                <w:rFonts w:ascii="宋体" w:hAnsi="宋体"/>
                <w:bCs/>
                <w:sz w:val="24"/>
                <w:highlight w:val="none"/>
              </w:rPr>
            </w:pPr>
            <w:r>
              <w:rPr>
                <w:rFonts w:hint="eastAsia" w:ascii="宋体" w:hAnsi="宋体"/>
                <w:bCs/>
                <w:sz w:val="24"/>
                <w:highlight w:val="none"/>
              </w:rPr>
              <w:t>专家评审费由中标单位支付，</w:t>
            </w:r>
            <w:r>
              <w:rPr>
                <w:rFonts w:ascii="宋体" w:hAnsi="宋体"/>
                <w:bCs/>
                <w:sz w:val="24"/>
                <w:highlight w:val="none"/>
              </w:rPr>
              <w:t>按实收取。</w:t>
            </w:r>
          </w:p>
        </w:tc>
      </w:tr>
    </w:tbl>
    <w:p w14:paraId="5AB2C5BF">
      <w:pPr>
        <w:pStyle w:val="4"/>
        <w:jc w:val="center"/>
        <w:rPr>
          <w:rFonts w:ascii="宋体" w:hAnsi="宋体" w:eastAsia="宋体"/>
          <w:b/>
          <w:sz w:val="32"/>
          <w:szCs w:val="32"/>
          <w:highlight w:val="none"/>
        </w:rPr>
      </w:pPr>
      <w:r>
        <w:rPr>
          <w:rFonts w:ascii="宋体" w:hAnsi="宋体" w:eastAsia="宋体"/>
          <w:highlight w:val="none"/>
        </w:rPr>
        <w:br w:type="page"/>
      </w:r>
      <w:r>
        <w:rPr>
          <w:rFonts w:hint="eastAsia" w:ascii="宋体" w:hAnsi="宋体" w:eastAsia="宋体"/>
          <w:b/>
          <w:sz w:val="32"/>
          <w:szCs w:val="32"/>
          <w:highlight w:val="none"/>
        </w:rPr>
        <w:t>《实质性条款一览表》</w:t>
      </w:r>
    </w:p>
    <w:p w14:paraId="328F84A4">
      <w:pPr>
        <w:snapToGrid w:val="0"/>
        <w:spacing w:line="460" w:lineRule="exact"/>
        <w:ind w:firstLine="561"/>
        <w:jc w:val="left"/>
        <w:rPr>
          <w:rFonts w:ascii="宋体" w:hAnsi="宋体"/>
          <w:sz w:val="24"/>
          <w:highlight w:val="none"/>
        </w:rPr>
      </w:pPr>
      <w:r>
        <w:rPr>
          <w:rFonts w:hint="eastAsia" w:ascii="宋体" w:hAnsi="宋体"/>
          <w:sz w:val="24"/>
          <w:highlight w:val="none"/>
        </w:rPr>
        <w:t>说明：本表系招标文件及修改性文件中涉及的所有实质性条款的汇总。不允许有任何负偏离，否则投标将被否决。</w:t>
      </w:r>
    </w:p>
    <w:tbl>
      <w:tblPr>
        <w:tblStyle w:val="17"/>
        <w:tblW w:w="97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3"/>
        <w:gridCol w:w="2126"/>
        <w:gridCol w:w="6946"/>
      </w:tblGrid>
      <w:tr w14:paraId="1D2998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9" w:hRule="atLeast"/>
          <w:jc w:val="center"/>
        </w:trPr>
        <w:tc>
          <w:tcPr>
            <w:tcW w:w="723" w:type="dxa"/>
            <w:tcBorders>
              <w:top w:val="single" w:color="auto" w:sz="4" w:space="0"/>
              <w:bottom w:val="single" w:color="auto" w:sz="4" w:space="0"/>
              <w:right w:val="single" w:color="auto" w:sz="4" w:space="0"/>
            </w:tcBorders>
            <w:vAlign w:val="center"/>
          </w:tcPr>
          <w:p w14:paraId="2582AE6C">
            <w:pPr>
              <w:spacing w:line="380" w:lineRule="exact"/>
              <w:rPr>
                <w:rFonts w:ascii="宋体" w:hAnsi="宋体"/>
                <w:sz w:val="24"/>
                <w:highlight w:val="none"/>
              </w:rPr>
            </w:pPr>
            <w:r>
              <w:rPr>
                <w:rFonts w:hint="eastAsia" w:ascii="宋体" w:hAnsi="宋体"/>
                <w:sz w:val="24"/>
                <w:highlight w:val="none"/>
              </w:rPr>
              <w:t>序号</w:t>
            </w:r>
          </w:p>
        </w:tc>
        <w:tc>
          <w:tcPr>
            <w:tcW w:w="2126" w:type="dxa"/>
            <w:tcBorders>
              <w:top w:val="single" w:color="auto" w:sz="4" w:space="0"/>
              <w:left w:val="single" w:color="auto" w:sz="4" w:space="0"/>
              <w:bottom w:val="single" w:color="auto" w:sz="4" w:space="0"/>
              <w:right w:val="single" w:color="auto" w:sz="4" w:space="0"/>
            </w:tcBorders>
            <w:vAlign w:val="center"/>
          </w:tcPr>
          <w:p w14:paraId="7F1CCE3F">
            <w:pPr>
              <w:spacing w:line="380" w:lineRule="exact"/>
              <w:ind w:firstLine="240" w:firstLineChars="100"/>
              <w:rPr>
                <w:rFonts w:ascii="宋体" w:hAnsi="宋体"/>
                <w:sz w:val="24"/>
                <w:highlight w:val="none"/>
              </w:rPr>
            </w:pPr>
            <w:r>
              <w:rPr>
                <w:rFonts w:hint="eastAsia" w:ascii="宋体" w:hAnsi="宋体"/>
                <w:sz w:val="24"/>
                <w:highlight w:val="none"/>
              </w:rPr>
              <w:t>项目名称</w:t>
            </w:r>
          </w:p>
        </w:tc>
        <w:tc>
          <w:tcPr>
            <w:tcW w:w="6946" w:type="dxa"/>
            <w:tcBorders>
              <w:top w:val="single" w:color="auto" w:sz="4" w:space="0"/>
              <w:left w:val="single" w:color="auto" w:sz="4" w:space="0"/>
              <w:bottom w:val="single" w:color="auto" w:sz="4" w:space="0"/>
            </w:tcBorders>
            <w:vAlign w:val="center"/>
          </w:tcPr>
          <w:p w14:paraId="42CC4F36">
            <w:pPr>
              <w:spacing w:line="380" w:lineRule="exact"/>
              <w:jc w:val="center"/>
              <w:rPr>
                <w:rFonts w:ascii="宋体" w:hAnsi="宋体"/>
                <w:sz w:val="24"/>
                <w:highlight w:val="none"/>
              </w:rPr>
            </w:pPr>
            <w:r>
              <w:rPr>
                <w:rFonts w:hint="eastAsia" w:ascii="宋体" w:hAnsi="宋体"/>
                <w:sz w:val="24"/>
                <w:highlight w:val="none"/>
              </w:rPr>
              <w:t>内       容</w:t>
            </w:r>
          </w:p>
        </w:tc>
      </w:tr>
      <w:tr w14:paraId="7AF9A6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vAlign w:val="center"/>
          </w:tcPr>
          <w:p w14:paraId="7941DDE2">
            <w:pPr>
              <w:spacing w:line="380" w:lineRule="exact"/>
              <w:ind w:firstLine="240" w:firstLineChars="100"/>
              <w:rPr>
                <w:rFonts w:ascii="宋体" w:hAnsi="宋体"/>
                <w:sz w:val="24"/>
                <w:highlight w:val="none"/>
              </w:rPr>
            </w:pPr>
            <w:r>
              <w:rPr>
                <w:rFonts w:hint="eastAsia" w:ascii="宋体" w:hAnsi="宋体"/>
                <w:sz w:val="24"/>
                <w:highlight w:val="none"/>
              </w:rPr>
              <w:t>1</w:t>
            </w:r>
          </w:p>
        </w:tc>
        <w:tc>
          <w:tcPr>
            <w:tcW w:w="2126" w:type="dxa"/>
            <w:tcBorders>
              <w:top w:val="single" w:color="auto" w:sz="4" w:space="0"/>
              <w:left w:val="single" w:color="auto" w:sz="4" w:space="0"/>
              <w:bottom w:val="single" w:color="auto" w:sz="4" w:space="0"/>
              <w:right w:val="single" w:color="auto" w:sz="4" w:space="0"/>
            </w:tcBorders>
            <w:vAlign w:val="center"/>
          </w:tcPr>
          <w:p w14:paraId="073320A0">
            <w:pPr>
              <w:spacing w:line="380" w:lineRule="exact"/>
              <w:jc w:val="center"/>
              <w:rPr>
                <w:rFonts w:ascii="宋体" w:hAnsi="宋体"/>
                <w:sz w:val="24"/>
                <w:highlight w:val="none"/>
              </w:rPr>
            </w:pPr>
            <w:r>
              <w:rPr>
                <w:rFonts w:hint="eastAsia" w:ascii="宋体" w:hAnsi="宋体"/>
                <w:sz w:val="24"/>
                <w:highlight w:val="none"/>
              </w:rPr>
              <w:t>资格性评审</w:t>
            </w:r>
          </w:p>
        </w:tc>
        <w:tc>
          <w:tcPr>
            <w:tcW w:w="6946" w:type="dxa"/>
            <w:tcBorders>
              <w:top w:val="single" w:color="auto" w:sz="4" w:space="0"/>
              <w:left w:val="single" w:color="auto" w:sz="4" w:space="0"/>
              <w:bottom w:val="single" w:color="auto" w:sz="4" w:space="0"/>
            </w:tcBorders>
          </w:tcPr>
          <w:p w14:paraId="5994970F">
            <w:pPr>
              <w:pStyle w:val="5"/>
              <w:spacing w:line="400" w:lineRule="exact"/>
              <w:rPr>
                <w:rFonts w:ascii="宋体" w:hAnsi="宋体"/>
                <w:highlight w:val="none"/>
              </w:rPr>
            </w:pPr>
            <w:r>
              <w:rPr>
                <w:rFonts w:hint="eastAsia" w:ascii="宋体" w:hAnsi="宋体"/>
                <w:highlight w:val="none"/>
              </w:rPr>
              <w:t>1.有效的营业执照扫描件或其他能证明具有独立承担民事责任能力的证明材料扫描件；</w:t>
            </w:r>
          </w:p>
          <w:p w14:paraId="3BBC5503">
            <w:pPr>
              <w:pStyle w:val="5"/>
              <w:spacing w:line="400" w:lineRule="exact"/>
              <w:rPr>
                <w:rFonts w:ascii="宋体" w:hAnsi="宋体"/>
                <w:highlight w:val="none"/>
              </w:rPr>
            </w:pPr>
            <w:r>
              <w:rPr>
                <w:rFonts w:hint="eastAsia" w:ascii="宋体" w:hAnsi="宋体"/>
                <w:highlight w:val="none"/>
              </w:rPr>
              <w:t>2.具有有效的食品生产许可证或食品经营许可证；</w:t>
            </w:r>
          </w:p>
          <w:p w14:paraId="2E8C748E">
            <w:pPr>
              <w:pStyle w:val="5"/>
              <w:spacing w:line="400" w:lineRule="exact"/>
              <w:rPr>
                <w:rFonts w:ascii="宋体" w:hAnsi="宋体"/>
                <w:highlight w:val="none"/>
              </w:rPr>
            </w:pPr>
            <w:r>
              <w:rPr>
                <w:rFonts w:hint="eastAsia" w:ascii="宋体" w:hAnsi="宋体"/>
                <w:highlight w:val="none"/>
              </w:rPr>
              <w:t>3.法定代表人身份证明、法定代表人身份证扫描件；</w:t>
            </w:r>
          </w:p>
          <w:p w14:paraId="70965E67">
            <w:pPr>
              <w:pStyle w:val="5"/>
              <w:spacing w:line="400" w:lineRule="exact"/>
              <w:rPr>
                <w:rFonts w:ascii="宋体" w:hAnsi="宋体"/>
                <w:highlight w:val="none"/>
              </w:rPr>
            </w:pPr>
            <w:r>
              <w:rPr>
                <w:rFonts w:hint="eastAsia" w:ascii="宋体" w:hAnsi="宋体"/>
                <w:highlight w:val="none"/>
              </w:rPr>
              <w:t>4.法定代表人授权委托书、被授权人身份证扫描件；</w:t>
            </w:r>
          </w:p>
          <w:p w14:paraId="0B477841">
            <w:pPr>
              <w:pStyle w:val="5"/>
              <w:spacing w:line="400" w:lineRule="exact"/>
              <w:rPr>
                <w:rFonts w:ascii="宋体" w:hAnsi="宋体"/>
                <w:highlight w:val="none"/>
              </w:rPr>
            </w:pPr>
            <w:r>
              <w:rPr>
                <w:rFonts w:hint="eastAsia" w:ascii="宋体" w:hAnsi="宋体"/>
                <w:highlight w:val="none"/>
              </w:rPr>
              <w:t>5.投标人信用承诺书；</w:t>
            </w:r>
          </w:p>
          <w:p w14:paraId="6F4A8663">
            <w:pPr>
              <w:pStyle w:val="5"/>
              <w:spacing w:line="400" w:lineRule="exact"/>
              <w:rPr>
                <w:rFonts w:ascii="宋体" w:hAnsi="宋体"/>
                <w:highlight w:val="none"/>
              </w:rPr>
            </w:pPr>
            <w:r>
              <w:rPr>
                <w:rFonts w:hint="eastAsia" w:ascii="宋体" w:hAnsi="宋体"/>
                <w:highlight w:val="none"/>
              </w:rPr>
              <w:t>6.投标人参与投标的声明函；</w:t>
            </w:r>
          </w:p>
          <w:p w14:paraId="787341C5">
            <w:pPr>
              <w:pStyle w:val="5"/>
              <w:spacing w:line="400" w:lineRule="exact"/>
              <w:rPr>
                <w:rFonts w:ascii="宋体" w:hAnsi="宋体"/>
                <w:highlight w:val="none"/>
              </w:rPr>
            </w:pPr>
            <w:r>
              <w:rPr>
                <w:rFonts w:hint="eastAsia" w:ascii="宋体" w:hAnsi="宋体"/>
                <w:highlight w:val="none"/>
              </w:rPr>
              <w:t>7.交纳投标保证金的证明材料（两者缺一不可）：（1）企业银行基本账户开户证明（如开户许可证或银行开户证明等）、（2）电汇凭证或电子汇款截图扫描件；</w:t>
            </w:r>
          </w:p>
          <w:p w14:paraId="3AEB0807">
            <w:pPr>
              <w:pStyle w:val="5"/>
              <w:spacing w:line="400" w:lineRule="exact"/>
              <w:rPr>
                <w:rFonts w:ascii="宋体" w:hAnsi="宋体"/>
                <w:highlight w:val="none"/>
              </w:rPr>
            </w:pPr>
            <w:r>
              <w:rPr>
                <w:rFonts w:hint="eastAsia" w:ascii="宋体" w:hAnsi="宋体"/>
                <w:highlight w:val="none"/>
              </w:rPr>
              <w:t>8.投标人、法定代表人、委托代理人未被最高法院（查询网址为：http://zxgk.court.gov.cn/shixin/）列入失信被执行人。投标文件附通过网站查询信息记录，包含投标人、法定代表人、授权委托代理人失信被执行人情况网页截图（省份为全部）；</w:t>
            </w:r>
          </w:p>
          <w:p w14:paraId="23F005B9">
            <w:pPr>
              <w:pStyle w:val="5"/>
              <w:spacing w:line="400" w:lineRule="exact"/>
              <w:rPr>
                <w:rFonts w:ascii="宋体" w:hAnsi="宋体"/>
                <w:highlight w:val="none"/>
              </w:rPr>
            </w:pPr>
            <w:r>
              <w:rPr>
                <w:rFonts w:hint="eastAsia" w:ascii="宋体" w:hAnsi="宋体"/>
                <w:highlight w:val="none"/>
              </w:rPr>
              <w:t>9.投标人近一年在“信用中国”或“信用中国（山东）”无严重失信记录，投标文件文件中需附通过信用中国（查询网址：https://www.creditchina.gov.cn）查询的信用信息报告或信用中国（山东）（查询网址：https://credit.shandong.gov.cn）查询的信用信息报告。</w:t>
            </w:r>
          </w:p>
        </w:tc>
      </w:tr>
      <w:tr w14:paraId="24ED70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723" w:type="dxa"/>
            <w:tcBorders>
              <w:top w:val="single" w:color="auto" w:sz="4" w:space="0"/>
              <w:bottom w:val="single" w:color="auto" w:sz="4" w:space="0"/>
              <w:right w:val="single" w:color="auto" w:sz="4" w:space="0"/>
            </w:tcBorders>
            <w:vAlign w:val="center"/>
          </w:tcPr>
          <w:p w14:paraId="778E00FB">
            <w:pPr>
              <w:spacing w:line="380" w:lineRule="exact"/>
              <w:ind w:firstLine="240" w:firstLineChars="100"/>
              <w:rPr>
                <w:rFonts w:ascii="宋体" w:hAnsi="宋体"/>
                <w:sz w:val="24"/>
                <w:highlight w:val="none"/>
              </w:rPr>
            </w:pPr>
            <w:r>
              <w:rPr>
                <w:rFonts w:hint="eastAsia" w:ascii="宋体" w:hAnsi="宋体"/>
                <w:sz w:val="24"/>
                <w:highlight w:val="none"/>
              </w:rPr>
              <w:t>2</w:t>
            </w:r>
          </w:p>
        </w:tc>
        <w:tc>
          <w:tcPr>
            <w:tcW w:w="2126" w:type="dxa"/>
            <w:tcBorders>
              <w:top w:val="single" w:color="auto" w:sz="4" w:space="0"/>
              <w:left w:val="single" w:color="auto" w:sz="4" w:space="0"/>
              <w:bottom w:val="single" w:color="auto" w:sz="4" w:space="0"/>
              <w:right w:val="single" w:color="auto" w:sz="4" w:space="0"/>
            </w:tcBorders>
            <w:vAlign w:val="center"/>
          </w:tcPr>
          <w:p w14:paraId="7BC3F011">
            <w:pPr>
              <w:spacing w:line="380" w:lineRule="exact"/>
              <w:jc w:val="center"/>
              <w:rPr>
                <w:rFonts w:ascii="宋体" w:hAnsi="宋体"/>
                <w:sz w:val="24"/>
                <w:highlight w:val="none"/>
              </w:rPr>
            </w:pPr>
            <w:r>
              <w:rPr>
                <w:rFonts w:hint="eastAsia" w:ascii="宋体" w:hAnsi="宋体"/>
                <w:sz w:val="24"/>
                <w:highlight w:val="none"/>
              </w:rPr>
              <w:t>符合性评审</w:t>
            </w:r>
          </w:p>
        </w:tc>
        <w:tc>
          <w:tcPr>
            <w:tcW w:w="6946" w:type="dxa"/>
            <w:tcBorders>
              <w:top w:val="single" w:color="auto" w:sz="4" w:space="0"/>
              <w:left w:val="single" w:color="auto" w:sz="4" w:space="0"/>
              <w:bottom w:val="single" w:color="auto" w:sz="4" w:space="0"/>
            </w:tcBorders>
            <w:vAlign w:val="center"/>
          </w:tcPr>
          <w:p w14:paraId="6F06F67A">
            <w:pPr>
              <w:pStyle w:val="5"/>
              <w:spacing w:line="400" w:lineRule="exact"/>
              <w:rPr>
                <w:rFonts w:ascii="宋体" w:hAnsi="宋体"/>
                <w:highlight w:val="none"/>
              </w:rPr>
            </w:pPr>
            <w:r>
              <w:rPr>
                <w:rFonts w:hint="eastAsia" w:ascii="宋体" w:hAnsi="宋体"/>
                <w:highlight w:val="none"/>
              </w:rPr>
              <w:t>1.投标有效期为90天；</w:t>
            </w:r>
          </w:p>
          <w:p w14:paraId="1D1DBBC2">
            <w:pPr>
              <w:pStyle w:val="5"/>
              <w:spacing w:line="400" w:lineRule="exact"/>
              <w:rPr>
                <w:rFonts w:ascii="宋体" w:hAnsi="宋体"/>
                <w:highlight w:val="none"/>
              </w:rPr>
            </w:pPr>
            <w:r>
              <w:rPr>
                <w:rFonts w:hint="eastAsia" w:ascii="宋体" w:hAnsi="宋体"/>
                <w:highlight w:val="none"/>
              </w:rPr>
              <w:t>2.投标文件按规定签署及盖章；</w:t>
            </w:r>
          </w:p>
          <w:p w14:paraId="2DF1D328">
            <w:pPr>
              <w:pStyle w:val="5"/>
              <w:spacing w:line="400" w:lineRule="exact"/>
              <w:rPr>
                <w:rFonts w:ascii="宋体" w:hAnsi="宋体" w:cs="宋体"/>
                <w:szCs w:val="22"/>
                <w:highlight w:val="none"/>
              </w:rPr>
            </w:pPr>
            <w:r>
              <w:rPr>
                <w:rFonts w:hint="eastAsia" w:ascii="宋体" w:hAnsi="宋体"/>
                <w:highlight w:val="none"/>
              </w:rPr>
              <w:t>3.不存在招标文件规定的关于投标人串通投标的情形及其他投标无效的情形。</w:t>
            </w:r>
          </w:p>
        </w:tc>
      </w:tr>
    </w:tbl>
    <w:p w14:paraId="630C2249">
      <w:pPr>
        <w:spacing w:line="460" w:lineRule="exact"/>
        <w:ind w:firstLine="525" w:firstLineChars="250"/>
        <w:rPr>
          <w:rFonts w:ascii="宋体" w:hAnsi="宋体"/>
          <w:b/>
          <w:sz w:val="24"/>
          <w:highlight w:val="none"/>
        </w:rPr>
      </w:pPr>
      <w:r>
        <w:rPr>
          <w:rFonts w:hint="eastAsia" w:ascii="宋体" w:hAnsi="宋体"/>
          <w:highlight w:val="none"/>
        </w:rPr>
        <w:br w:type="page"/>
      </w:r>
      <w:r>
        <w:rPr>
          <w:rFonts w:hint="eastAsia" w:ascii="宋体" w:hAnsi="宋体" w:cs="宋体"/>
          <w:b/>
          <w:sz w:val="24"/>
          <w:highlight w:val="none"/>
        </w:rPr>
        <w:t>一、说明</w:t>
      </w:r>
    </w:p>
    <w:p w14:paraId="579B9763">
      <w:pPr>
        <w:spacing w:line="460" w:lineRule="exact"/>
        <w:ind w:firstLine="482" w:firstLineChars="201"/>
        <w:rPr>
          <w:rFonts w:ascii="宋体" w:hAnsi="宋体" w:cs="宋体"/>
          <w:sz w:val="24"/>
          <w:highlight w:val="none"/>
        </w:rPr>
      </w:pPr>
      <w:r>
        <w:rPr>
          <w:rFonts w:hint="eastAsia" w:ascii="宋体" w:hAnsi="宋体" w:cs="宋体"/>
          <w:sz w:val="24"/>
          <w:highlight w:val="none"/>
        </w:rPr>
        <w:t>本文件依据《山东省省属企业阳光采购监督管理办法》等法律法规，参照《国有企业采购操作规范》《国有企业采购管理规范》，结合《威海市市属国有企业阳光采购监督管理暂行办法》《环翠区区属国有企业阳光采购监督管理暂行办法》及国家和山东省有关法律、法规、规章制度编制。参加本项目投标人应接受本招标文件关于电子招投标各项规定。</w:t>
      </w:r>
    </w:p>
    <w:p w14:paraId="118DAA35">
      <w:pPr>
        <w:spacing w:line="460" w:lineRule="exact"/>
        <w:ind w:firstLine="484" w:firstLineChars="201"/>
        <w:rPr>
          <w:rFonts w:ascii="宋体" w:hAnsi="宋体" w:cs="宋体"/>
          <w:b/>
          <w:sz w:val="24"/>
          <w:highlight w:val="none"/>
        </w:rPr>
      </w:pPr>
      <w:r>
        <w:rPr>
          <w:rFonts w:hint="eastAsia" w:ascii="宋体" w:hAnsi="宋体" w:cs="宋体"/>
          <w:b/>
          <w:sz w:val="24"/>
          <w:highlight w:val="none"/>
        </w:rPr>
        <w:t>1.适用范围</w:t>
      </w:r>
    </w:p>
    <w:p w14:paraId="6CB57AD0">
      <w:pPr>
        <w:spacing w:line="460" w:lineRule="exact"/>
        <w:ind w:firstLine="482" w:firstLineChars="201"/>
        <w:rPr>
          <w:rFonts w:ascii="宋体" w:hAnsi="宋体" w:cs="宋体"/>
          <w:sz w:val="24"/>
          <w:highlight w:val="none"/>
        </w:rPr>
      </w:pPr>
      <w:r>
        <w:rPr>
          <w:rFonts w:hint="eastAsia" w:ascii="宋体" w:hAnsi="宋体" w:cs="宋体"/>
          <w:sz w:val="24"/>
          <w:highlight w:val="none"/>
        </w:rPr>
        <w:t>1.1 本招标文件仅适用于本次招标公告中所涉及的项目和内容。</w:t>
      </w:r>
    </w:p>
    <w:p w14:paraId="0691B197">
      <w:pPr>
        <w:spacing w:line="460" w:lineRule="exact"/>
        <w:ind w:firstLine="482" w:firstLineChars="201"/>
        <w:rPr>
          <w:rFonts w:ascii="宋体" w:hAnsi="宋体" w:cs="宋体"/>
          <w:sz w:val="24"/>
          <w:highlight w:val="none"/>
        </w:rPr>
      </w:pPr>
      <w:r>
        <w:rPr>
          <w:rFonts w:hint="eastAsia" w:ascii="宋体" w:hAnsi="宋体" w:cs="宋体"/>
          <w:sz w:val="24"/>
          <w:highlight w:val="none"/>
        </w:rPr>
        <w:t>1.2 本招标文件的解释权为</w:t>
      </w:r>
      <w:r>
        <w:rPr>
          <w:rFonts w:hint="eastAsia" w:ascii="宋体" w:hAnsi="宋体"/>
          <w:sz w:val="24"/>
          <w:highlight w:val="none"/>
        </w:rPr>
        <w:t>山东恒成信工程咨询管理有限公司</w:t>
      </w:r>
      <w:r>
        <w:rPr>
          <w:rFonts w:hint="eastAsia" w:ascii="宋体" w:hAnsi="宋体" w:cs="宋体"/>
          <w:sz w:val="24"/>
          <w:highlight w:val="none"/>
        </w:rPr>
        <w:t>，以书面解释为准。</w:t>
      </w:r>
    </w:p>
    <w:p w14:paraId="1D88EEDF">
      <w:pPr>
        <w:spacing w:line="460" w:lineRule="exact"/>
        <w:ind w:firstLine="482" w:firstLineChars="201"/>
        <w:rPr>
          <w:rFonts w:ascii="宋体" w:hAnsi="宋体" w:cs="宋体"/>
          <w:sz w:val="24"/>
          <w:highlight w:val="none"/>
        </w:rPr>
      </w:pPr>
      <w:r>
        <w:rPr>
          <w:rFonts w:hint="eastAsia" w:ascii="宋体" w:hAnsi="宋体" w:cs="宋体"/>
          <w:sz w:val="24"/>
          <w:highlight w:val="none"/>
        </w:rPr>
        <w:t>1.3 招标文件未做须知明示，而又有相关法律、法规规定的，从其规定。</w:t>
      </w:r>
    </w:p>
    <w:p w14:paraId="1A0292DD">
      <w:pPr>
        <w:spacing w:line="460" w:lineRule="exact"/>
        <w:ind w:firstLine="484" w:firstLineChars="201"/>
        <w:rPr>
          <w:rFonts w:ascii="宋体" w:hAnsi="宋体" w:cs="宋体"/>
          <w:b/>
          <w:sz w:val="24"/>
          <w:highlight w:val="none"/>
        </w:rPr>
      </w:pPr>
      <w:r>
        <w:rPr>
          <w:rFonts w:hint="eastAsia" w:ascii="宋体" w:hAnsi="宋体" w:cs="宋体"/>
          <w:b/>
          <w:sz w:val="24"/>
          <w:highlight w:val="none"/>
        </w:rPr>
        <w:t>2.相关要求</w:t>
      </w:r>
    </w:p>
    <w:p w14:paraId="798C1924">
      <w:pPr>
        <w:spacing w:line="460" w:lineRule="exact"/>
        <w:ind w:firstLine="482" w:firstLineChars="201"/>
        <w:rPr>
          <w:rFonts w:ascii="宋体" w:hAnsi="宋体" w:cs="宋体"/>
          <w:sz w:val="24"/>
          <w:highlight w:val="none"/>
        </w:rPr>
      </w:pPr>
      <w:r>
        <w:rPr>
          <w:rFonts w:hint="eastAsia" w:ascii="宋体" w:hAnsi="宋体" w:cs="宋体"/>
          <w:sz w:val="24"/>
          <w:highlight w:val="none"/>
        </w:rPr>
        <w:t>2.1投标人应承担所有与准备和参加报价的全部费用。不论电子投标结果如何，招标代理机构和招标人均无义务和责任承担这些费用。</w:t>
      </w:r>
    </w:p>
    <w:p w14:paraId="6311FD2C">
      <w:pPr>
        <w:spacing w:line="460" w:lineRule="exact"/>
        <w:ind w:firstLine="482" w:firstLineChars="201"/>
        <w:rPr>
          <w:rFonts w:ascii="宋体" w:hAnsi="宋体" w:cs="宋体"/>
          <w:sz w:val="24"/>
          <w:highlight w:val="none"/>
        </w:rPr>
      </w:pPr>
      <w:r>
        <w:rPr>
          <w:rFonts w:hint="eastAsia" w:ascii="宋体" w:hAnsi="宋体" w:cs="宋体"/>
          <w:sz w:val="24"/>
          <w:highlight w:val="none"/>
        </w:rPr>
        <w:t>2.2本项目若涉及招标货物，则合格的货物及相应服务应满足以下要求：</w:t>
      </w:r>
    </w:p>
    <w:p w14:paraId="792ED162">
      <w:pPr>
        <w:spacing w:line="460" w:lineRule="exact"/>
        <w:ind w:firstLine="482" w:firstLineChars="201"/>
        <w:rPr>
          <w:rFonts w:ascii="宋体" w:hAnsi="宋体" w:cs="宋体"/>
          <w:sz w:val="24"/>
          <w:highlight w:val="none"/>
        </w:rPr>
      </w:pPr>
      <w:r>
        <w:rPr>
          <w:rFonts w:hint="eastAsia" w:ascii="宋体" w:hAnsi="宋体" w:cs="宋体"/>
          <w:sz w:val="24"/>
          <w:highlight w:val="none"/>
        </w:rPr>
        <w:t>（1）必须是全新、未使用过的原装合格正品（包括零部件），如安装或配置了软件的，须为正版软件。</w:t>
      </w:r>
    </w:p>
    <w:p w14:paraId="1935ACE1">
      <w:pPr>
        <w:spacing w:line="460" w:lineRule="exact"/>
        <w:ind w:firstLine="482" w:firstLineChars="201"/>
        <w:rPr>
          <w:rFonts w:ascii="宋体" w:hAnsi="宋体" w:cs="宋体"/>
          <w:sz w:val="24"/>
          <w:highlight w:val="none"/>
        </w:rPr>
      </w:pPr>
      <w:r>
        <w:rPr>
          <w:rFonts w:hint="eastAsia" w:ascii="宋体" w:hAnsi="宋体" w:cs="宋体"/>
          <w:sz w:val="24"/>
          <w:highlight w:val="none"/>
        </w:rPr>
        <w:t>（2）国产的货物及其有关服务必须符合中华人民共和国的设计和制造生产标准或行业标准。招标公告有其他要求的，亦应符合其要求。</w:t>
      </w:r>
    </w:p>
    <w:p w14:paraId="5EA3B7CD">
      <w:pPr>
        <w:spacing w:line="460" w:lineRule="exact"/>
        <w:ind w:firstLine="482" w:firstLineChars="201"/>
        <w:rPr>
          <w:rFonts w:ascii="宋体" w:hAnsi="宋体" w:cs="宋体"/>
          <w:sz w:val="24"/>
          <w:highlight w:val="none"/>
        </w:rPr>
      </w:pPr>
      <w:r>
        <w:rPr>
          <w:rFonts w:hint="eastAsia" w:ascii="宋体" w:hAnsi="宋体" w:cs="宋体"/>
          <w:sz w:val="24"/>
          <w:highlight w:val="none"/>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19A0386">
      <w:pPr>
        <w:spacing w:line="460" w:lineRule="exact"/>
        <w:ind w:firstLine="482" w:firstLineChars="201"/>
        <w:rPr>
          <w:rFonts w:ascii="宋体" w:hAnsi="宋体" w:cs="宋体"/>
          <w:sz w:val="24"/>
          <w:highlight w:val="none"/>
        </w:rPr>
      </w:pPr>
      <w:r>
        <w:rPr>
          <w:rFonts w:hint="eastAsia" w:ascii="宋体" w:hAnsi="宋体" w:cs="宋体"/>
          <w:sz w:val="24"/>
          <w:highlight w:val="none"/>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92B01DD">
      <w:pPr>
        <w:spacing w:line="460" w:lineRule="exact"/>
        <w:ind w:firstLine="484" w:firstLineChars="201"/>
        <w:rPr>
          <w:rFonts w:ascii="宋体" w:hAnsi="宋体"/>
          <w:b/>
          <w:bCs/>
          <w:sz w:val="24"/>
          <w:highlight w:val="none"/>
        </w:rPr>
      </w:pPr>
      <w:r>
        <w:rPr>
          <w:rFonts w:hint="eastAsia" w:ascii="宋体" w:hAnsi="宋体" w:cs="宋体"/>
          <w:b/>
          <w:bCs/>
          <w:sz w:val="24"/>
          <w:highlight w:val="none"/>
        </w:rPr>
        <w:t>2.3投标人应通过威海市公共资源交易网登录威海市国有企业阳光采购电子化服务平台获取招标文件，并通过国企阳光采购平台上传电子投标文件，电子投标文件成功上传后，将会生成投标回执，未通过国企阳光采购平台上传电子投标文件的，为无效投标。获取招标文件的投标人不足3家的，本项目直接废标。</w:t>
      </w:r>
    </w:p>
    <w:p w14:paraId="7380B0E1">
      <w:pPr>
        <w:spacing w:line="460" w:lineRule="exact"/>
        <w:ind w:firstLine="484" w:firstLineChars="201"/>
        <w:rPr>
          <w:rFonts w:ascii="宋体" w:hAnsi="宋体" w:cs="宋体"/>
          <w:b/>
          <w:sz w:val="24"/>
          <w:highlight w:val="none"/>
        </w:rPr>
      </w:pPr>
      <w:r>
        <w:rPr>
          <w:rFonts w:hint="eastAsia" w:ascii="宋体" w:hAnsi="宋体" w:cs="宋体"/>
          <w:b/>
          <w:sz w:val="24"/>
          <w:highlight w:val="none"/>
        </w:rPr>
        <w:t>二、招标文件</w:t>
      </w:r>
    </w:p>
    <w:p w14:paraId="756B3D3F">
      <w:pPr>
        <w:spacing w:line="460" w:lineRule="exact"/>
        <w:ind w:firstLine="484" w:firstLineChars="201"/>
        <w:rPr>
          <w:rFonts w:ascii="宋体" w:hAnsi="宋体" w:cs="宋体"/>
          <w:b/>
          <w:sz w:val="24"/>
          <w:highlight w:val="none"/>
        </w:rPr>
      </w:pPr>
      <w:r>
        <w:rPr>
          <w:rFonts w:hint="eastAsia" w:ascii="宋体" w:hAnsi="宋体" w:cs="宋体"/>
          <w:b/>
          <w:sz w:val="24"/>
          <w:highlight w:val="none"/>
        </w:rPr>
        <w:t>3.招标文件的构成</w:t>
      </w:r>
    </w:p>
    <w:p w14:paraId="259BD786">
      <w:pPr>
        <w:spacing w:line="460" w:lineRule="exact"/>
        <w:ind w:firstLine="482" w:firstLineChars="201"/>
        <w:rPr>
          <w:rFonts w:ascii="宋体" w:hAnsi="宋体" w:cs="宋体"/>
          <w:sz w:val="24"/>
          <w:highlight w:val="none"/>
        </w:rPr>
      </w:pPr>
      <w:r>
        <w:rPr>
          <w:rFonts w:hint="eastAsia" w:ascii="宋体" w:hAnsi="宋体" w:cs="宋体"/>
          <w:sz w:val="24"/>
          <w:highlight w:val="none"/>
        </w:rPr>
        <w:t>由各包段本文件（word格式）、各包段的数据文件（excel格式）构成，采用压缩包电子版文件格式提供。</w:t>
      </w:r>
    </w:p>
    <w:p w14:paraId="15CD9F0A">
      <w:pPr>
        <w:spacing w:line="460" w:lineRule="exact"/>
        <w:ind w:firstLine="482" w:firstLineChars="201"/>
        <w:rPr>
          <w:rFonts w:ascii="宋体" w:hAnsi="宋体" w:cs="宋体"/>
          <w:sz w:val="24"/>
          <w:highlight w:val="none"/>
        </w:rPr>
      </w:pPr>
      <w:r>
        <w:rPr>
          <w:rFonts w:hint="eastAsia" w:ascii="宋体" w:hAnsi="宋体" w:cs="宋体"/>
          <w:sz w:val="24"/>
          <w:highlight w:val="none"/>
        </w:rPr>
        <w:t>3.1 本文件（word格式）由下列文件组成：</w:t>
      </w:r>
    </w:p>
    <w:p w14:paraId="070C4599">
      <w:pPr>
        <w:spacing w:line="460" w:lineRule="exact"/>
        <w:ind w:firstLine="482" w:firstLineChars="201"/>
        <w:rPr>
          <w:rFonts w:ascii="宋体" w:hAnsi="宋体" w:cs="宋体"/>
          <w:sz w:val="24"/>
          <w:highlight w:val="none"/>
        </w:rPr>
      </w:pPr>
      <w:r>
        <w:rPr>
          <w:rFonts w:hint="eastAsia" w:ascii="宋体" w:hAnsi="宋体" w:cs="宋体"/>
          <w:sz w:val="24"/>
          <w:highlight w:val="none"/>
        </w:rPr>
        <w:t>（1）招标公告</w:t>
      </w:r>
    </w:p>
    <w:p w14:paraId="77D51D74">
      <w:pPr>
        <w:spacing w:line="460" w:lineRule="exact"/>
        <w:ind w:firstLine="482" w:firstLineChars="201"/>
        <w:rPr>
          <w:rFonts w:ascii="宋体" w:hAnsi="宋体" w:cs="宋体"/>
          <w:sz w:val="24"/>
          <w:highlight w:val="none"/>
        </w:rPr>
      </w:pPr>
      <w:r>
        <w:rPr>
          <w:rFonts w:hint="eastAsia" w:ascii="宋体" w:hAnsi="宋体" w:cs="宋体"/>
          <w:sz w:val="24"/>
          <w:highlight w:val="none"/>
        </w:rPr>
        <w:t>（2）投标须知</w:t>
      </w:r>
    </w:p>
    <w:p w14:paraId="18EAC074">
      <w:pPr>
        <w:spacing w:line="460" w:lineRule="exact"/>
        <w:ind w:firstLine="482" w:firstLineChars="201"/>
        <w:rPr>
          <w:rFonts w:ascii="宋体" w:hAnsi="宋体" w:cs="宋体"/>
          <w:sz w:val="24"/>
          <w:highlight w:val="none"/>
        </w:rPr>
      </w:pPr>
      <w:r>
        <w:rPr>
          <w:rFonts w:hint="eastAsia" w:ascii="宋体" w:hAnsi="宋体" w:cs="宋体"/>
          <w:sz w:val="24"/>
          <w:highlight w:val="none"/>
        </w:rPr>
        <w:t>（3）开标、评标、定标</w:t>
      </w:r>
    </w:p>
    <w:p w14:paraId="1D287449">
      <w:pPr>
        <w:spacing w:line="460" w:lineRule="exact"/>
        <w:ind w:firstLine="482" w:firstLineChars="201"/>
        <w:rPr>
          <w:rFonts w:ascii="宋体" w:hAnsi="宋体" w:cs="宋体"/>
          <w:sz w:val="24"/>
          <w:highlight w:val="none"/>
        </w:rPr>
      </w:pPr>
      <w:r>
        <w:rPr>
          <w:rFonts w:hint="eastAsia" w:ascii="宋体" w:hAnsi="宋体" w:cs="宋体"/>
          <w:sz w:val="24"/>
          <w:highlight w:val="none"/>
        </w:rPr>
        <w:t>（4）采购项目说明</w:t>
      </w:r>
    </w:p>
    <w:p w14:paraId="19F9DD39">
      <w:pPr>
        <w:spacing w:line="460" w:lineRule="exact"/>
        <w:ind w:firstLine="482" w:firstLineChars="201"/>
        <w:rPr>
          <w:rFonts w:ascii="宋体" w:hAnsi="宋体" w:cs="宋体"/>
          <w:sz w:val="24"/>
          <w:highlight w:val="none"/>
        </w:rPr>
      </w:pPr>
      <w:r>
        <w:rPr>
          <w:rFonts w:hint="eastAsia" w:ascii="宋体" w:hAnsi="宋体" w:cs="宋体"/>
          <w:sz w:val="24"/>
          <w:highlight w:val="none"/>
        </w:rPr>
        <w:t>（5）投标文件格式</w:t>
      </w:r>
    </w:p>
    <w:p w14:paraId="3D5A33A6">
      <w:pPr>
        <w:spacing w:line="460" w:lineRule="exact"/>
        <w:ind w:firstLine="482" w:firstLineChars="201"/>
        <w:rPr>
          <w:rFonts w:ascii="宋体" w:hAnsi="宋体" w:cs="宋体"/>
          <w:sz w:val="24"/>
          <w:highlight w:val="none"/>
        </w:rPr>
      </w:pPr>
      <w:r>
        <w:rPr>
          <w:rFonts w:hint="eastAsia" w:ascii="宋体" w:hAnsi="宋体" w:cs="宋体"/>
          <w:sz w:val="24"/>
          <w:highlight w:val="none"/>
        </w:rPr>
        <w:t>（6）合同（范本）</w:t>
      </w:r>
    </w:p>
    <w:p w14:paraId="7DA21D09">
      <w:pPr>
        <w:spacing w:line="460" w:lineRule="exact"/>
        <w:ind w:firstLine="482" w:firstLineChars="201"/>
        <w:rPr>
          <w:rFonts w:ascii="宋体" w:hAnsi="宋体" w:cs="宋体"/>
          <w:sz w:val="24"/>
          <w:highlight w:val="none"/>
        </w:rPr>
      </w:pPr>
      <w:r>
        <w:rPr>
          <w:rFonts w:hint="eastAsia" w:ascii="宋体" w:hAnsi="宋体" w:cs="宋体"/>
          <w:sz w:val="24"/>
          <w:highlight w:val="none"/>
        </w:rPr>
        <w:t>（7）在招标过程中由招标人或</w:t>
      </w:r>
      <w:r>
        <w:rPr>
          <w:rFonts w:hint="eastAsia" w:ascii="宋体" w:hAnsi="宋体"/>
          <w:sz w:val="24"/>
          <w:highlight w:val="none"/>
        </w:rPr>
        <w:t>招标代理机构</w:t>
      </w:r>
      <w:r>
        <w:rPr>
          <w:rFonts w:hint="eastAsia" w:ascii="宋体" w:hAnsi="宋体" w:cs="宋体"/>
          <w:sz w:val="24"/>
          <w:highlight w:val="none"/>
        </w:rPr>
        <w:t>发出的修正和补充文件等（如有）</w:t>
      </w:r>
    </w:p>
    <w:p w14:paraId="226676E2">
      <w:pPr>
        <w:spacing w:line="460" w:lineRule="exact"/>
        <w:ind w:firstLine="482" w:firstLineChars="201"/>
        <w:rPr>
          <w:rFonts w:ascii="宋体" w:hAnsi="宋体" w:cs="宋体"/>
          <w:sz w:val="24"/>
          <w:highlight w:val="none"/>
        </w:rPr>
      </w:pPr>
      <w:r>
        <w:rPr>
          <w:rFonts w:hint="eastAsia" w:ascii="宋体" w:hAnsi="宋体" w:cs="宋体"/>
          <w:sz w:val="24"/>
          <w:highlight w:val="none"/>
        </w:rPr>
        <w:t>3.2 数据文件（excel格式）由下列文件组成：</w:t>
      </w:r>
    </w:p>
    <w:p w14:paraId="61864086">
      <w:pPr>
        <w:spacing w:line="460" w:lineRule="exact"/>
        <w:ind w:firstLine="482" w:firstLineChars="201"/>
        <w:rPr>
          <w:rFonts w:ascii="宋体" w:hAnsi="宋体" w:cs="宋体"/>
          <w:sz w:val="24"/>
          <w:highlight w:val="none"/>
        </w:rPr>
      </w:pPr>
      <w:r>
        <w:rPr>
          <w:rFonts w:hint="eastAsia" w:ascii="宋体" w:hAnsi="宋体" w:cs="宋体"/>
          <w:sz w:val="24"/>
          <w:highlight w:val="none"/>
        </w:rPr>
        <w:t>（1）封面</w:t>
      </w:r>
    </w:p>
    <w:p w14:paraId="408E0474">
      <w:pPr>
        <w:spacing w:line="46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20921915">
      <w:pPr>
        <w:spacing w:line="460" w:lineRule="exact"/>
        <w:ind w:firstLine="482" w:firstLineChars="201"/>
        <w:rPr>
          <w:rFonts w:ascii="宋体" w:hAnsi="宋体" w:cs="宋体"/>
          <w:sz w:val="24"/>
          <w:highlight w:val="none"/>
        </w:rPr>
      </w:pPr>
      <w:r>
        <w:rPr>
          <w:rFonts w:hint="eastAsia" w:ascii="宋体" w:hAnsi="宋体" w:cs="宋体"/>
          <w:sz w:val="24"/>
          <w:highlight w:val="none"/>
        </w:rPr>
        <w:t>（3）需求响应表（如有）</w:t>
      </w:r>
    </w:p>
    <w:p w14:paraId="469C41CC">
      <w:pPr>
        <w:spacing w:line="460" w:lineRule="exact"/>
        <w:ind w:firstLine="482" w:firstLineChars="201"/>
        <w:rPr>
          <w:rFonts w:ascii="宋体" w:hAnsi="宋体" w:cs="宋体"/>
          <w:sz w:val="24"/>
          <w:highlight w:val="none"/>
        </w:rPr>
      </w:pPr>
      <w:r>
        <w:rPr>
          <w:rFonts w:hint="eastAsia" w:ascii="宋体" w:hAnsi="宋体" w:cs="宋体"/>
          <w:sz w:val="24"/>
          <w:highlight w:val="none"/>
        </w:rPr>
        <w:t>（4）评审对照表</w:t>
      </w:r>
    </w:p>
    <w:p w14:paraId="1CABE605">
      <w:pPr>
        <w:spacing w:line="460" w:lineRule="exact"/>
        <w:ind w:firstLine="482" w:firstLineChars="201"/>
        <w:rPr>
          <w:rFonts w:ascii="宋体" w:hAnsi="宋体" w:cs="宋体"/>
          <w:sz w:val="24"/>
          <w:highlight w:val="none"/>
        </w:rPr>
      </w:pPr>
      <w:r>
        <w:rPr>
          <w:rFonts w:hint="eastAsia" w:ascii="宋体" w:hAnsi="宋体" w:cs="宋体"/>
          <w:sz w:val="24"/>
          <w:highlight w:val="none"/>
        </w:rPr>
        <w:t>（5）评分对照表（如有）</w:t>
      </w:r>
    </w:p>
    <w:p w14:paraId="0324A71A">
      <w:pPr>
        <w:spacing w:line="460" w:lineRule="exact"/>
        <w:ind w:firstLine="482" w:firstLineChars="201"/>
        <w:rPr>
          <w:rFonts w:ascii="宋体" w:hAnsi="宋体" w:cs="宋体"/>
          <w:sz w:val="24"/>
          <w:highlight w:val="none"/>
        </w:rPr>
      </w:pPr>
      <w:r>
        <w:rPr>
          <w:rFonts w:hint="eastAsia" w:ascii="宋体" w:hAnsi="宋体" w:cs="宋体"/>
          <w:sz w:val="24"/>
          <w:highlight w:val="none"/>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37796958">
      <w:pPr>
        <w:spacing w:line="460" w:lineRule="exact"/>
        <w:ind w:firstLine="484" w:firstLineChars="201"/>
        <w:rPr>
          <w:rFonts w:ascii="宋体" w:hAnsi="宋体" w:cs="宋体"/>
          <w:b/>
          <w:sz w:val="24"/>
          <w:highlight w:val="none"/>
        </w:rPr>
      </w:pPr>
      <w:r>
        <w:rPr>
          <w:rFonts w:hint="eastAsia" w:ascii="宋体" w:hAnsi="宋体" w:cs="宋体"/>
          <w:b/>
          <w:sz w:val="24"/>
          <w:highlight w:val="none"/>
        </w:rPr>
        <w:t>4.招标文件的澄清</w:t>
      </w:r>
    </w:p>
    <w:p w14:paraId="0D136B76">
      <w:pPr>
        <w:spacing w:line="460" w:lineRule="exact"/>
        <w:ind w:firstLine="482" w:firstLineChars="201"/>
        <w:rPr>
          <w:rFonts w:ascii="宋体" w:hAnsi="宋体" w:cs="宋体"/>
          <w:sz w:val="24"/>
          <w:highlight w:val="none"/>
        </w:rPr>
      </w:pPr>
      <w:r>
        <w:rPr>
          <w:rFonts w:hint="eastAsia" w:ascii="宋体" w:hAnsi="宋体" w:cs="宋体"/>
          <w:sz w:val="24"/>
          <w:highlight w:val="none"/>
        </w:rPr>
        <w:t>4.1</w:t>
      </w:r>
      <w:r>
        <w:rPr>
          <w:rFonts w:hint="eastAsia" w:ascii="宋体" w:hAnsi="宋体"/>
          <w:sz w:val="24"/>
          <w:highlight w:val="none"/>
        </w:rPr>
        <w:t>投标人</w:t>
      </w:r>
      <w:r>
        <w:rPr>
          <w:rFonts w:hint="eastAsia" w:ascii="宋体" w:hAnsi="宋体" w:cs="宋体"/>
          <w:sz w:val="24"/>
          <w:highlight w:val="none"/>
        </w:rPr>
        <w:t>在收到招标文件后，对招标文件若有任何疑问或要求澄清招标文件的，应在投标截止前2日内按“投标须知前附表”第四项向</w:t>
      </w:r>
      <w:r>
        <w:rPr>
          <w:rFonts w:hint="eastAsia" w:ascii="宋体" w:hAnsi="宋体"/>
          <w:sz w:val="24"/>
          <w:highlight w:val="none"/>
        </w:rPr>
        <w:t>招标代理机构</w:t>
      </w:r>
      <w:r>
        <w:rPr>
          <w:rFonts w:hint="eastAsia" w:ascii="宋体" w:hAnsi="宋体" w:cs="宋体"/>
          <w:sz w:val="24"/>
          <w:highlight w:val="none"/>
        </w:rPr>
        <w:t>提出，必要时</w:t>
      </w:r>
      <w:r>
        <w:rPr>
          <w:rFonts w:hint="eastAsia" w:ascii="宋体" w:hAnsi="宋体"/>
          <w:sz w:val="24"/>
          <w:highlight w:val="none"/>
        </w:rPr>
        <w:t>招标代理机构</w:t>
      </w:r>
      <w:r>
        <w:rPr>
          <w:rFonts w:hint="eastAsia" w:ascii="宋体" w:hAnsi="宋体" w:cs="宋体"/>
          <w:sz w:val="24"/>
          <w:highlight w:val="none"/>
        </w:rPr>
        <w:t>将协助招标人组织所有获取招标文件的</w:t>
      </w:r>
      <w:r>
        <w:rPr>
          <w:rFonts w:hint="eastAsia" w:ascii="宋体" w:hAnsi="宋体"/>
          <w:sz w:val="24"/>
          <w:highlight w:val="none"/>
        </w:rPr>
        <w:t>投标人</w:t>
      </w:r>
      <w:r>
        <w:rPr>
          <w:rFonts w:hint="eastAsia" w:ascii="宋体" w:hAnsi="宋体" w:cs="宋体"/>
          <w:sz w:val="24"/>
          <w:highlight w:val="none"/>
        </w:rPr>
        <w:t>举行答疑会，</w:t>
      </w:r>
      <w:r>
        <w:rPr>
          <w:rFonts w:hint="eastAsia" w:ascii="宋体" w:hAnsi="宋体"/>
          <w:sz w:val="24"/>
          <w:highlight w:val="none"/>
        </w:rPr>
        <w:t>招标代理机构</w:t>
      </w:r>
      <w:r>
        <w:rPr>
          <w:rFonts w:hint="eastAsia" w:ascii="宋体" w:hAnsi="宋体" w:cs="宋体"/>
          <w:sz w:val="24"/>
          <w:highlight w:val="none"/>
        </w:rPr>
        <w:t>根据需要主动对招标文件进行必要的澄清或根据</w:t>
      </w:r>
      <w:r>
        <w:rPr>
          <w:rFonts w:hint="eastAsia" w:ascii="宋体" w:hAnsi="宋体"/>
          <w:sz w:val="24"/>
          <w:highlight w:val="none"/>
        </w:rPr>
        <w:t>投标人</w:t>
      </w:r>
      <w:r>
        <w:rPr>
          <w:rFonts w:hint="eastAsia" w:ascii="宋体" w:hAnsi="宋体" w:cs="宋体"/>
          <w:sz w:val="24"/>
          <w:highlight w:val="none"/>
        </w:rPr>
        <w:t>的要求对招标文件做出澄清，都将以原网站公开发布（包括电子交易系统推送），澄清一经发布即视为潜在投标人已收到，澄清文件作为招标文件的组成部分，对</w:t>
      </w:r>
      <w:r>
        <w:rPr>
          <w:rFonts w:hint="eastAsia" w:ascii="宋体" w:hAnsi="宋体"/>
          <w:sz w:val="24"/>
          <w:highlight w:val="none"/>
        </w:rPr>
        <w:t>投标人</w:t>
      </w:r>
      <w:r>
        <w:rPr>
          <w:rFonts w:hint="eastAsia" w:ascii="宋体" w:hAnsi="宋体" w:cs="宋体"/>
          <w:sz w:val="24"/>
          <w:highlight w:val="none"/>
        </w:rPr>
        <w:t>起约束作用。</w:t>
      </w:r>
    </w:p>
    <w:p w14:paraId="0DE46782">
      <w:pPr>
        <w:spacing w:line="460" w:lineRule="exact"/>
        <w:ind w:firstLine="482" w:firstLineChars="201"/>
        <w:rPr>
          <w:rFonts w:ascii="宋体" w:hAnsi="宋体" w:cs="宋体"/>
          <w:sz w:val="24"/>
          <w:highlight w:val="none"/>
        </w:rPr>
      </w:pPr>
      <w:r>
        <w:rPr>
          <w:rFonts w:hint="eastAsia" w:ascii="宋体" w:hAnsi="宋体" w:cs="宋体"/>
          <w:sz w:val="24"/>
          <w:highlight w:val="none"/>
        </w:rPr>
        <w:t>4.2投标人在规定的时间内未对招标文件澄清或提出疑问的，</w:t>
      </w:r>
      <w:r>
        <w:rPr>
          <w:rFonts w:hint="eastAsia" w:ascii="宋体" w:hAnsi="宋体"/>
          <w:sz w:val="24"/>
          <w:highlight w:val="none"/>
        </w:rPr>
        <w:t>招标代理机构</w:t>
      </w:r>
      <w:r>
        <w:rPr>
          <w:rFonts w:hint="eastAsia" w:ascii="宋体" w:hAnsi="宋体" w:cs="宋体"/>
          <w:sz w:val="24"/>
          <w:highlight w:val="none"/>
        </w:rPr>
        <w:t>将视其为接受招标文件的所有条款，对招标文件没有异议，此后也不再受理对招标文件的相关质疑。</w:t>
      </w:r>
    </w:p>
    <w:p w14:paraId="1D07117B">
      <w:pPr>
        <w:spacing w:line="460" w:lineRule="exact"/>
        <w:ind w:firstLine="484" w:firstLineChars="201"/>
        <w:rPr>
          <w:rFonts w:ascii="宋体" w:hAnsi="宋体" w:cs="宋体"/>
          <w:b/>
          <w:sz w:val="24"/>
          <w:highlight w:val="none"/>
        </w:rPr>
      </w:pPr>
      <w:r>
        <w:rPr>
          <w:rFonts w:hint="eastAsia" w:ascii="宋体" w:hAnsi="宋体" w:cs="宋体"/>
          <w:b/>
          <w:sz w:val="24"/>
          <w:highlight w:val="none"/>
        </w:rPr>
        <w:t>5.招标文件的修改</w:t>
      </w:r>
    </w:p>
    <w:p w14:paraId="48D095BF">
      <w:pPr>
        <w:spacing w:line="460" w:lineRule="exact"/>
        <w:ind w:firstLine="482" w:firstLineChars="201"/>
        <w:rPr>
          <w:rFonts w:ascii="宋体" w:hAnsi="宋体" w:cs="宋体"/>
          <w:sz w:val="24"/>
          <w:highlight w:val="none"/>
        </w:rPr>
      </w:pPr>
      <w:r>
        <w:rPr>
          <w:rFonts w:hint="eastAsia" w:ascii="宋体" w:hAnsi="宋体" w:cs="宋体"/>
          <w:sz w:val="24"/>
          <w:highlight w:val="none"/>
        </w:rPr>
        <w:t>5.l 在投标截止时间2日以前，无论出于何种原因，</w:t>
      </w:r>
      <w:r>
        <w:rPr>
          <w:rFonts w:hint="eastAsia" w:ascii="宋体" w:hAnsi="宋体"/>
          <w:sz w:val="24"/>
          <w:highlight w:val="none"/>
        </w:rPr>
        <w:t>招标代理机构</w:t>
      </w:r>
      <w:r>
        <w:rPr>
          <w:rFonts w:hint="eastAsia" w:ascii="宋体" w:hAnsi="宋体" w:cs="宋体"/>
          <w:sz w:val="24"/>
          <w:highlight w:val="none"/>
        </w:rPr>
        <w:t>或招标人可主动或在解答投标人提出的疑问时对招标文件进行修改。</w:t>
      </w:r>
    </w:p>
    <w:p w14:paraId="1ED14706">
      <w:pPr>
        <w:spacing w:line="460" w:lineRule="exact"/>
        <w:ind w:firstLine="482" w:firstLineChars="201"/>
        <w:rPr>
          <w:rFonts w:ascii="宋体" w:hAnsi="宋体" w:cs="宋体"/>
          <w:sz w:val="24"/>
          <w:highlight w:val="none"/>
        </w:rPr>
      </w:pPr>
      <w:r>
        <w:rPr>
          <w:rFonts w:hint="eastAsia" w:ascii="宋体" w:hAnsi="宋体" w:cs="宋体"/>
          <w:sz w:val="24"/>
          <w:highlight w:val="none"/>
        </w:rPr>
        <w:t>5.2 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1F09AE4A">
      <w:pPr>
        <w:spacing w:line="460" w:lineRule="exact"/>
        <w:ind w:firstLine="482" w:firstLineChars="201"/>
        <w:rPr>
          <w:rFonts w:ascii="宋体" w:hAnsi="宋体" w:cs="宋体"/>
          <w:sz w:val="24"/>
          <w:highlight w:val="none"/>
        </w:rPr>
      </w:pPr>
      <w:r>
        <w:rPr>
          <w:rFonts w:hint="eastAsia" w:ascii="宋体" w:hAnsi="宋体" w:cs="宋体"/>
          <w:sz w:val="24"/>
          <w:highlight w:val="none"/>
        </w:rPr>
        <w:t>5.3澄清或者修改的内容可能影响投标文件编制的，招标人或</w:t>
      </w:r>
      <w:r>
        <w:rPr>
          <w:rFonts w:hint="eastAsia" w:ascii="宋体" w:hAnsi="宋体"/>
          <w:sz w:val="24"/>
          <w:highlight w:val="none"/>
        </w:rPr>
        <w:t>招标代理机构</w:t>
      </w:r>
      <w:r>
        <w:rPr>
          <w:rFonts w:hint="eastAsia" w:ascii="宋体" w:hAnsi="宋体" w:cs="宋体"/>
          <w:sz w:val="24"/>
          <w:highlight w:val="none"/>
        </w:rPr>
        <w:t>将在投标截止时间2日前，通过原网站更正发布公告（电子交易系统内发送更正提醒通知），更正公告一经发布即视为潜在投标人已收到，并对潜在投标人具有约束力。</w:t>
      </w:r>
      <w:r>
        <w:rPr>
          <w:rFonts w:hint="eastAsia" w:ascii="宋体" w:hAnsi="宋体"/>
          <w:b/>
          <w:sz w:val="24"/>
          <w:highlight w:val="none"/>
        </w:rPr>
        <w:t>招标文件变更的，投标人必须从电子交易系统中重新下载招标文件，并在新下载文件的基础上编制投标文件；</w:t>
      </w:r>
      <w:r>
        <w:rPr>
          <w:rFonts w:hint="eastAsia" w:ascii="宋体" w:hAnsi="宋体" w:cs="宋体"/>
          <w:sz w:val="24"/>
          <w:highlight w:val="none"/>
        </w:rPr>
        <w:t>不足2日的，招标人或者</w:t>
      </w:r>
      <w:r>
        <w:rPr>
          <w:rFonts w:hint="eastAsia" w:ascii="宋体" w:hAnsi="宋体"/>
          <w:sz w:val="24"/>
          <w:highlight w:val="none"/>
        </w:rPr>
        <w:t>招标代理机构</w:t>
      </w:r>
      <w:r>
        <w:rPr>
          <w:rFonts w:hint="eastAsia" w:ascii="宋体" w:hAnsi="宋体" w:cs="宋体"/>
          <w:sz w:val="24"/>
          <w:highlight w:val="none"/>
        </w:rPr>
        <w:t>将顺延提交投标文件的截止时间。</w:t>
      </w:r>
    </w:p>
    <w:p w14:paraId="7ED579F8">
      <w:pPr>
        <w:spacing w:line="460" w:lineRule="exact"/>
        <w:ind w:firstLine="484" w:firstLineChars="201"/>
        <w:rPr>
          <w:rFonts w:ascii="宋体" w:hAnsi="宋体" w:cs="宋体"/>
          <w:b/>
          <w:sz w:val="24"/>
          <w:highlight w:val="none"/>
        </w:rPr>
      </w:pPr>
      <w:r>
        <w:rPr>
          <w:rFonts w:hint="eastAsia" w:ascii="宋体" w:hAnsi="宋体" w:cs="宋体"/>
          <w:b/>
          <w:sz w:val="24"/>
          <w:highlight w:val="none"/>
        </w:rPr>
        <w:t>三、投标文件的编制</w:t>
      </w:r>
    </w:p>
    <w:p w14:paraId="63181E70">
      <w:pPr>
        <w:spacing w:line="460" w:lineRule="exact"/>
        <w:ind w:firstLine="484" w:firstLineChars="201"/>
        <w:rPr>
          <w:rFonts w:ascii="宋体" w:hAnsi="宋体" w:cs="宋体"/>
          <w:b/>
          <w:sz w:val="24"/>
          <w:highlight w:val="none"/>
        </w:rPr>
      </w:pPr>
      <w:r>
        <w:rPr>
          <w:rFonts w:hint="eastAsia" w:ascii="宋体" w:hAnsi="宋体" w:cs="宋体"/>
          <w:b/>
          <w:sz w:val="24"/>
          <w:highlight w:val="none"/>
        </w:rPr>
        <w:t>6.投标文件编制要求</w:t>
      </w:r>
    </w:p>
    <w:p w14:paraId="3346E1C0">
      <w:pPr>
        <w:spacing w:line="460" w:lineRule="exact"/>
        <w:ind w:firstLine="482" w:firstLineChars="201"/>
        <w:rPr>
          <w:rFonts w:ascii="宋体" w:hAnsi="宋体" w:cs="宋体"/>
          <w:sz w:val="24"/>
          <w:highlight w:val="none"/>
        </w:rPr>
      </w:pPr>
      <w:r>
        <w:rPr>
          <w:rFonts w:hint="eastAsia" w:ascii="宋体" w:hAnsi="宋体" w:cs="宋体"/>
          <w:sz w:val="24"/>
          <w:highlight w:val="none"/>
        </w:rPr>
        <w:t>6.1投标人编写的文件和往来信件应以简体中文书写。如果投标文件或与投标有关的其它文件、信件及来往函电以其它语言书写的，投标人应将其译成中文，如未翻译该文件为无效文件。</w:t>
      </w:r>
    </w:p>
    <w:p w14:paraId="5B037E47">
      <w:pPr>
        <w:spacing w:line="460" w:lineRule="exact"/>
        <w:ind w:firstLine="482" w:firstLineChars="201"/>
        <w:rPr>
          <w:rFonts w:ascii="宋体" w:hAnsi="宋体" w:cs="宋体"/>
          <w:sz w:val="24"/>
          <w:highlight w:val="none"/>
        </w:rPr>
      </w:pPr>
      <w:r>
        <w:rPr>
          <w:rFonts w:hint="eastAsia" w:ascii="宋体" w:hAnsi="宋体" w:cs="宋体"/>
          <w:sz w:val="24"/>
          <w:highlight w:val="none"/>
        </w:rPr>
        <w:t>6.2投标文件中使用的计量单位应使用中华人民共和国法定计量单位。</w:t>
      </w:r>
    </w:p>
    <w:p w14:paraId="1CDC6219">
      <w:pPr>
        <w:spacing w:line="460" w:lineRule="exact"/>
        <w:ind w:firstLine="482" w:firstLineChars="201"/>
        <w:rPr>
          <w:rFonts w:ascii="宋体" w:hAnsi="宋体" w:cs="宋体"/>
          <w:sz w:val="24"/>
          <w:highlight w:val="none"/>
        </w:rPr>
      </w:pPr>
      <w:r>
        <w:rPr>
          <w:rFonts w:hint="eastAsia" w:ascii="宋体" w:hAnsi="宋体" w:cs="宋体"/>
          <w:sz w:val="24"/>
          <w:highlight w:val="none"/>
        </w:rPr>
        <w:t>6.3投标人必须保证投标文件所提供的全部资料真实可靠，并接受招标人或</w:t>
      </w:r>
      <w:r>
        <w:rPr>
          <w:rFonts w:hint="eastAsia" w:ascii="宋体" w:hAnsi="宋体"/>
          <w:sz w:val="24"/>
          <w:highlight w:val="none"/>
        </w:rPr>
        <w:t>招标代理机构</w:t>
      </w:r>
      <w:r>
        <w:rPr>
          <w:rFonts w:hint="eastAsia" w:ascii="宋体" w:hAnsi="宋体" w:cs="宋体"/>
          <w:sz w:val="24"/>
          <w:highlight w:val="none"/>
        </w:rPr>
        <w:t>对其中任何资料进一步核实的要求。如果因为投标文件填报的内容不详，或没有提供招标文件中所要求的全部资料及数据，或提供虚假文件，由此造成的后果由投标人自负。</w:t>
      </w:r>
    </w:p>
    <w:p w14:paraId="11CD504F">
      <w:pPr>
        <w:spacing w:line="460" w:lineRule="exact"/>
        <w:ind w:firstLine="482" w:firstLineChars="201"/>
        <w:rPr>
          <w:rFonts w:ascii="宋体" w:hAnsi="宋体" w:cs="宋体"/>
          <w:sz w:val="24"/>
          <w:highlight w:val="none"/>
        </w:rPr>
      </w:pPr>
      <w:r>
        <w:rPr>
          <w:rFonts w:hint="eastAsia" w:ascii="宋体" w:hAnsi="宋体" w:cs="宋体"/>
          <w:sz w:val="24"/>
          <w:highlight w:val="none"/>
        </w:rPr>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4CC5FCB6">
      <w:pPr>
        <w:spacing w:line="460" w:lineRule="exact"/>
        <w:ind w:firstLine="482" w:firstLineChars="201"/>
        <w:rPr>
          <w:rFonts w:ascii="宋体" w:hAnsi="宋体" w:cs="宋体"/>
          <w:sz w:val="24"/>
          <w:highlight w:val="none"/>
        </w:rPr>
      </w:pPr>
      <w:r>
        <w:rPr>
          <w:rFonts w:hint="eastAsia" w:ascii="宋体" w:hAnsi="宋体" w:cs="宋体"/>
          <w:sz w:val="24"/>
          <w:highlight w:val="none"/>
        </w:rPr>
        <w:t>6.5</w:t>
      </w:r>
      <w:r>
        <w:rPr>
          <w:rFonts w:hint="eastAsia" w:ascii="宋体" w:hAnsi="宋体"/>
          <w:sz w:val="24"/>
          <w:highlight w:val="none"/>
        </w:rPr>
        <w:t>投标人按照招标文件要求所提供的各种证明文件必须真实且合法有效,经扫描后粘贴到投标文件的相关页上，确保清晰度可辨认，评审时由于无法辨认所产生的后果，由投标人自行承担。</w:t>
      </w:r>
    </w:p>
    <w:p w14:paraId="5F312875">
      <w:pPr>
        <w:spacing w:line="460" w:lineRule="exact"/>
        <w:ind w:firstLine="484" w:firstLineChars="201"/>
        <w:rPr>
          <w:rFonts w:ascii="宋体" w:hAnsi="宋体" w:cs="宋体"/>
          <w:b/>
          <w:sz w:val="24"/>
          <w:highlight w:val="none"/>
        </w:rPr>
      </w:pPr>
      <w:r>
        <w:rPr>
          <w:rFonts w:hint="eastAsia" w:ascii="宋体" w:hAnsi="宋体" w:cs="宋体"/>
          <w:b/>
          <w:sz w:val="24"/>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宋体" w:hAnsi="宋体"/>
          <w:b/>
          <w:sz w:val="24"/>
          <w:highlight w:val="none"/>
        </w:rPr>
        <w:t>对于不涉及或无法填写的评审项（评分项）（例如：报价），可在页码索引处填写1。</w:t>
      </w:r>
    </w:p>
    <w:p w14:paraId="540A3E85">
      <w:pPr>
        <w:spacing w:line="460" w:lineRule="exact"/>
        <w:ind w:firstLine="482" w:firstLineChars="201"/>
        <w:rPr>
          <w:rFonts w:ascii="宋体" w:hAnsi="宋体" w:cs="宋体"/>
          <w:sz w:val="24"/>
          <w:highlight w:val="none"/>
        </w:rPr>
      </w:pPr>
      <w:r>
        <w:rPr>
          <w:rFonts w:hint="eastAsia" w:ascii="宋体" w:hAnsi="宋体" w:cs="宋体"/>
          <w:sz w:val="24"/>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35AE93A5">
      <w:pPr>
        <w:spacing w:line="460" w:lineRule="exact"/>
        <w:ind w:firstLine="482" w:firstLineChars="201"/>
        <w:rPr>
          <w:rFonts w:ascii="宋体" w:hAnsi="宋体" w:cs="宋体"/>
          <w:sz w:val="24"/>
          <w:highlight w:val="none"/>
        </w:rPr>
      </w:pPr>
      <w:r>
        <w:rPr>
          <w:rFonts w:hint="eastAsia" w:ascii="宋体" w:hAnsi="宋体" w:cs="宋体"/>
          <w:sz w:val="24"/>
          <w:highlight w:val="none"/>
        </w:rPr>
        <w:t>6.8投标文件具有法律效力，投标人与</w:t>
      </w:r>
      <w:r>
        <w:rPr>
          <w:rFonts w:hint="eastAsia" w:ascii="宋体" w:hAnsi="宋体"/>
          <w:sz w:val="24"/>
          <w:highlight w:val="none"/>
        </w:rPr>
        <w:t>招标代理机构</w:t>
      </w:r>
      <w:r>
        <w:rPr>
          <w:rFonts w:hint="eastAsia" w:ascii="宋体" w:hAnsi="宋体" w:cs="宋体"/>
          <w:sz w:val="24"/>
          <w:highlight w:val="none"/>
        </w:rPr>
        <w:t>或招标人任何人的口头协议不影响投标文件的任何条款和内容。</w:t>
      </w:r>
    </w:p>
    <w:p w14:paraId="7A0A1200">
      <w:pPr>
        <w:spacing w:line="460" w:lineRule="exact"/>
        <w:ind w:firstLine="482" w:firstLineChars="201"/>
        <w:rPr>
          <w:rFonts w:ascii="宋体" w:hAnsi="宋体" w:cs="宋体"/>
          <w:sz w:val="24"/>
          <w:highlight w:val="none"/>
        </w:rPr>
      </w:pPr>
      <w:r>
        <w:rPr>
          <w:rFonts w:hint="eastAsia" w:ascii="宋体" w:hAnsi="宋体" w:cs="宋体"/>
          <w:sz w:val="24"/>
          <w:highlight w:val="none"/>
        </w:rPr>
        <w:t>6.9招标人或</w:t>
      </w:r>
      <w:r>
        <w:rPr>
          <w:rFonts w:hint="eastAsia" w:ascii="宋体" w:hAnsi="宋体"/>
          <w:sz w:val="24"/>
          <w:highlight w:val="none"/>
        </w:rPr>
        <w:t>招标代理机构</w:t>
      </w:r>
      <w:r>
        <w:rPr>
          <w:rFonts w:hint="eastAsia" w:ascii="宋体" w:hAnsi="宋体" w:cs="宋体"/>
          <w:sz w:val="24"/>
          <w:highlight w:val="none"/>
        </w:rPr>
        <w:t>均无义务向投标人解释其中标或未中标的原因，且无论投标人是否中标，投标人所递交的投标文件均不予退还，不提供副本拷贝。</w:t>
      </w:r>
    </w:p>
    <w:p w14:paraId="3C86AAAC">
      <w:pPr>
        <w:spacing w:line="460" w:lineRule="exact"/>
        <w:ind w:firstLine="484" w:firstLineChars="201"/>
        <w:rPr>
          <w:rFonts w:ascii="宋体" w:hAnsi="宋体" w:cs="宋体"/>
          <w:b/>
          <w:sz w:val="24"/>
          <w:highlight w:val="none"/>
        </w:rPr>
      </w:pPr>
      <w:r>
        <w:rPr>
          <w:rFonts w:hint="eastAsia" w:ascii="宋体" w:hAnsi="宋体" w:cs="宋体"/>
          <w:b/>
          <w:sz w:val="24"/>
          <w:highlight w:val="none"/>
        </w:rPr>
        <w:t>7.数据文件编制要求</w:t>
      </w:r>
    </w:p>
    <w:p w14:paraId="09159F11">
      <w:pPr>
        <w:spacing w:line="460" w:lineRule="exact"/>
        <w:ind w:firstLine="482" w:firstLineChars="201"/>
        <w:rPr>
          <w:rFonts w:ascii="宋体" w:hAnsi="宋体" w:cs="宋体"/>
          <w:sz w:val="24"/>
          <w:highlight w:val="none"/>
        </w:rPr>
      </w:pPr>
      <w:r>
        <w:rPr>
          <w:rFonts w:hint="eastAsia" w:ascii="宋体" w:hAnsi="宋体" w:cs="宋体"/>
          <w:sz w:val="24"/>
          <w:highlight w:val="none"/>
        </w:rPr>
        <w:t>7.1投标人须从所投项目的招标文件压缩包内对应包段目录下获取本文件</w:t>
      </w:r>
      <w:r>
        <w:rPr>
          <w:rFonts w:hint="eastAsia" w:ascii="宋体" w:hAnsi="宋体"/>
          <w:sz w:val="24"/>
          <w:highlight w:val="none"/>
        </w:rPr>
        <w:t>（变更后的数据文件需要重新下载）</w:t>
      </w:r>
      <w:r>
        <w:rPr>
          <w:rFonts w:hint="eastAsia" w:ascii="宋体" w:hAnsi="宋体" w:cs="宋体"/>
          <w:sz w:val="24"/>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cs="宋体"/>
          <w:sz w:val="24"/>
          <w:highlight w:val="none"/>
        </w:rPr>
        <w:t>、对工作表先后顺序的变动，</w:t>
      </w:r>
      <w:r>
        <w:rPr>
          <w:rFonts w:hint="eastAsia" w:ascii="宋体" w:hAnsi="宋体" w:cs="宋体"/>
          <w:sz w:val="24"/>
          <w:highlight w:val="none"/>
        </w:rPr>
        <w:t>以及对锁定区域内的数据进行更改、</w:t>
      </w:r>
      <w:r>
        <w:rPr>
          <w:rFonts w:hint="eastAsia" w:ascii="宋体" w:hAnsi="宋体" w:cs="宋体"/>
          <w:b/>
          <w:sz w:val="24"/>
          <w:highlight w:val="none"/>
        </w:rPr>
        <w:t>文件另存到其他文件</w:t>
      </w:r>
      <w:r>
        <w:rPr>
          <w:rFonts w:hint="eastAsia" w:ascii="宋体" w:hAnsi="宋体" w:cs="宋体"/>
          <w:sz w:val="24"/>
          <w:highlight w:val="none"/>
        </w:rPr>
        <w:t>等违规性操作，都会破坏本文件中的数字指纹，导致系统无法接收该文件使其</w:t>
      </w:r>
      <w:r>
        <w:rPr>
          <w:rFonts w:hint="eastAsia" w:ascii="宋体" w:hAnsi="宋体" w:cs="宋体"/>
          <w:b/>
          <w:sz w:val="24"/>
          <w:highlight w:val="none"/>
        </w:rPr>
        <w:t>投标失败</w:t>
      </w:r>
      <w:r>
        <w:rPr>
          <w:rFonts w:hint="eastAsia" w:ascii="宋体" w:hAnsi="宋体" w:cs="宋体"/>
          <w:sz w:val="24"/>
          <w:highlight w:val="none"/>
        </w:rPr>
        <w:t>。</w:t>
      </w:r>
    </w:p>
    <w:p w14:paraId="4EB69796">
      <w:pPr>
        <w:spacing w:line="460" w:lineRule="exact"/>
        <w:ind w:firstLine="482" w:firstLineChars="201"/>
        <w:rPr>
          <w:rFonts w:ascii="宋体" w:hAnsi="宋体" w:cs="宋体"/>
          <w:sz w:val="24"/>
          <w:highlight w:val="none"/>
        </w:rPr>
      </w:pPr>
      <w:r>
        <w:rPr>
          <w:rFonts w:hint="eastAsia" w:ascii="宋体" w:hAnsi="宋体" w:cs="宋体"/>
          <w:sz w:val="24"/>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cs="宋体"/>
          <w:b/>
          <w:sz w:val="24"/>
          <w:highlight w:val="none"/>
        </w:rPr>
        <w:t>投标失败</w:t>
      </w:r>
      <w:r>
        <w:rPr>
          <w:rFonts w:hint="eastAsia" w:ascii="宋体" w:hAnsi="宋体" w:cs="宋体"/>
          <w:sz w:val="24"/>
          <w:highlight w:val="none"/>
        </w:rPr>
        <w:t>。</w:t>
      </w:r>
    </w:p>
    <w:p w14:paraId="68089AB4">
      <w:pPr>
        <w:spacing w:line="460" w:lineRule="exact"/>
        <w:ind w:firstLine="482" w:firstLineChars="201"/>
        <w:rPr>
          <w:rFonts w:ascii="宋体" w:hAnsi="宋体" w:cs="宋体"/>
          <w:sz w:val="24"/>
          <w:highlight w:val="none"/>
        </w:rPr>
      </w:pPr>
      <w:r>
        <w:rPr>
          <w:rFonts w:hint="eastAsia" w:ascii="宋体" w:hAnsi="宋体" w:cs="宋体"/>
          <w:sz w:val="24"/>
          <w:highlight w:val="none"/>
        </w:rPr>
        <w:t>7.3投标人在对数据文件电子签章前，应按照上述2项的要求进行认真检查、确认。因投标人自身原因所导致其投标失败的，须自行承担相关责任。</w:t>
      </w:r>
    </w:p>
    <w:p w14:paraId="6D0B27A9">
      <w:pPr>
        <w:spacing w:line="460" w:lineRule="exact"/>
        <w:ind w:firstLine="484" w:firstLineChars="201"/>
        <w:rPr>
          <w:rFonts w:ascii="宋体" w:hAnsi="宋体" w:cs="宋体"/>
          <w:b/>
          <w:sz w:val="24"/>
          <w:highlight w:val="none"/>
        </w:rPr>
      </w:pPr>
      <w:r>
        <w:rPr>
          <w:rFonts w:hint="eastAsia" w:ascii="宋体" w:hAnsi="宋体" w:cs="宋体"/>
          <w:b/>
          <w:sz w:val="24"/>
          <w:highlight w:val="none"/>
        </w:rPr>
        <w:t>8.文件构成</w:t>
      </w:r>
    </w:p>
    <w:p w14:paraId="19A9CB01">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投标人应按不同包段分别编制投标文件，每个包段的投标文件分两册必须包括：投标文件（PDF格式）（第一册）、数据文件（PDF格式）（第二册），以上内容缺一不可，否则为</w:t>
      </w:r>
      <w:r>
        <w:rPr>
          <w:rFonts w:hint="eastAsia" w:ascii="宋体" w:hAnsi="宋体" w:cs="宋体"/>
          <w:b/>
          <w:sz w:val="24"/>
          <w:highlight w:val="none"/>
        </w:rPr>
        <w:t>无效投标（响应）</w:t>
      </w:r>
      <w:r>
        <w:rPr>
          <w:rFonts w:hint="eastAsia" w:ascii="宋体" w:hAnsi="宋体" w:cs="宋体"/>
          <w:sz w:val="24"/>
          <w:highlight w:val="none"/>
        </w:rPr>
        <w:t>。</w:t>
      </w:r>
    </w:p>
    <w:p w14:paraId="7804D295">
      <w:pPr>
        <w:spacing w:line="460" w:lineRule="exact"/>
        <w:ind w:firstLine="482" w:firstLineChars="201"/>
        <w:rPr>
          <w:rFonts w:ascii="宋体" w:hAnsi="宋体" w:cs="宋体"/>
          <w:sz w:val="24"/>
          <w:highlight w:val="none"/>
        </w:rPr>
      </w:pPr>
      <w:r>
        <w:rPr>
          <w:rFonts w:hint="eastAsia" w:ascii="宋体" w:hAnsi="宋体" w:cs="宋体"/>
          <w:sz w:val="24"/>
          <w:highlight w:val="none"/>
        </w:rPr>
        <w:t>8.1投标人编制的投标文件（PDF格式）（第一册）应包括但不少于下列内容：</w:t>
      </w:r>
    </w:p>
    <w:p w14:paraId="755E6E0F">
      <w:pPr>
        <w:spacing w:line="460" w:lineRule="exact"/>
        <w:ind w:firstLine="482" w:firstLineChars="201"/>
        <w:rPr>
          <w:rFonts w:ascii="宋体" w:hAnsi="宋体" w:cs="宋体"/>
          <w:sz w:val="24"/>
          <w:highlight w:val="none"/>
        </w:rPr>
      </w:pPr>
      <w:r>
        <w:rPr>
          <w:rFonts w:hint="eastAsia" w:ascii="宋体" w:hAnsi="宋体" w:cs="宋体"/>
          <w:sz w:val="24"/>
          <w:highlight w:val="none"/>
        </w:rPr>
        <w:t>（1）投标文件封面（格式见本文件第五章）；</w:t>
      </w:r>
    </w:p>
    <w:p w14:paraId="416D25DE">
      <w:pPr>
        <w:spacing w:line="460" w:lineRule="exact"/>
        <w:ind w:firstLine="482" w:firstLineChars="201"/>
        <w:rPr>
          <w:rFonts w:ascii="宋体" w:hAnsi="宋体" w:cs="宋体"/>
          <w:sz w:val="24"/>
          <w:highlight w:val="none"/>
        </w:rPr>
      </w:pPr>
      <w:r>
        <w:rPr>
          <w:rFonts w:hint="eastAsia" w:ascii="宋体" w:hAnsi="宋体" w:cs="宋体"/>
          <w:sz w:val="24"/>
          <w:highlight w:val="none"/>
        </w:rPr>
        <w:t>（2）投标文件目录；</w:t>
      </w:r>
    </w:p>
    <w:p w14:paraId="620FAECE">
      <w:pPr>
        <w:spacing w:line="460" w:lineRule="exact"/>
        <w:ind w:firstLine="482" w:firstLineChars="201"/>
        <w:rPr>
          <w:rFonts w:ascii="宋体" w:hAnsi="宋体" w:cs="宋体"/>
          <w:sz w:val="24"/>
          <w:highlight w:val="none"/>
        </w:rPr>
      </w:pPr>
      <w:r>
        <w:rPr>
          <w:rFonts w:hint="eastAsia" w:ascii="宋体" w:hAnsi="宋体" w:cs="宋体"/>
          <w:sz w:val="24"/>
          <w:highlight w:val="none"/>
        </w:rPr>
        <w:t>（3）投标承诺函（格式见本文件第五章）；</w:t>
      </w:r>
    </w:p>
    <w:p w14:paraId="77899F51">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（4）开标一览表（格式见本文件第五章）；</w:t>
      </w:r>
    </w:p>
    <w:p w14:paraId="6157929B">
      <w:pPr>
        <w:spacing w:line="460" w:lineRule="exact"/>
        <w:ind w:firstLine="482" w:firstLineChars="201"/>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（5）报价明细表</w:t>
      </w:r>
      <w:r>
        <w:rPr>
          <w:rFonts w:hint="eastAsia" w:ascii="宋体" w:hAnsi="宋体" w:cs="宋体"/>
          <w:sz w:val="24"/>
          <w:highlight w:val="none"/>
        </w:rPr>
        <w:t>（格式见本文件第五章）；</w:t>
      </w:r>
    </w:p>
    <w:p w14:paraId="2AECC916">
      <w:pPr>
        <w:spacing w:line="460" w:lineRule="exact"/>
        <w:ind w:firstLine="482" w:firstLineChars="201"/>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）投标人资格证明文件；</w:t>
      </w:r>
    </w:p>
    <w:p w14:paraId="082BBFEC">
      <w:pPr>
        <w:spacing w:line="480" w:lineRule="exact"/>
        <w:ind w:firstLine="602" w:firstLineChars="251"/>
        <w:rPr>
          <w:rFonts w:ascii="宋体" w:hAnsi="宋体" w:cs="宋体"/>
          <w:sz w:val="24"/>
          <w:highlight w:val="none"/>
        </w:rPr>
      </w:pPr>
      <w:r>
        <w:rPr>
          <w:rFonts w:hint="eastAsia" w:ascii="宋体" w:hAnsi="宋体" w:cs="宋体"/>
          <w:sz w:val="24"/>
          <w:highlight w:val="none"/>
        </w:rPr>
        <w:t>①有效的营业执照扫描件或其他能证明具有独立承担民事责任能力的证明材料扫描件；</w:t>
      </w:r>
    </w:p>
    <w:p w14:paraId="5EC81715">
      <w:pPr>
        <w:spacing w:line="480" w:lineRule="exact"/>
        <w:ind w:firstLine="602" w:firstLineChars="251"/>
        <w:rPr>
          <w:rFonts w:ascii="宋体" w:hAnsi="宋体" w:cs="宋体"/>
          <w:sz w:val="24"/>
          <w:highlight w:val="none"/>
        </w:rPr>
      </w:pPr>
      <w:r>
        <w:rPr>
          <w:rFonts w:hint="eastAsia" w:ascii="宋体" w:hAnsi="宋体" w:cs="宋体"/>
          <w:sz w:val="24"/>
          <w:highlight w:val="none"/>
        </w:rPr>
        <w:t>②具有有效的食品生产许可证或食品经营许可证；</w:t>
      </w:r>
    </w:p>
    <w:p w14:paraId="6F68ADD9">
      <w:pPr>
        <w:pStyle w:val="5"/>
        <w:spacing w:line="480" w:lineRule="exact"/>
        <w:ind w:firstLine="600" w:firstLineChars="250"/>
        <w:rPr>
          <w:rFonts w:ascii="宋体" w:hAnsi="宋体" w:cs="宋体"/>
          <w:highlight w:val="none"/>
        </w:rPr>
      </w:pPr>
      <w:r>
        <w:rPr>
          <w:rFonts w:hint="eastAsia" w:ascii="宋体" w:hAnsi="宋体" w:cs="宋体"/>
          <w:highlight w:val="none"/>
        </w:rPr>
        <w:t>③</w:t>
      </w:r>
      <w:r>
        <w:rPr>
          <w:rFonts w:hint="eastAsia"/>
          <w:highlight w:val="none"/>
        </w:rPr>
        <w:t>法定代表人身份证明、法定代表人身份证扫描件；</w:t>
      </w:r>
    </w:p>
    <w:p w14:paraId="0C827507">
      <w:pPr>
        <w:pStyle w:val="5"/>
        <w:spacing w:line="480" w:lineRule="exact"/>
        <w:ind w:firstLine="600" w:firstLineChars="250"/>
        <w:rPr>
          <w:highlight w:val="none"/>
        </w:rPr>
      </w:pPr>
      <w:r>
        <w:rPr>
          <w:rFonts w:hint="eastAsia" w:ascii="宋体" w:hAnsi="宋体" w:cs="宋体"/>
          <w:highlight w:val="none"/>
        </w:rPr>
        <w:t>④法定代表人授权委托书、被授权人身份证扫描件；</w:t>
      </w:r>
    </w:p>
    <w:p w14:paraId="04254D59">
      <w:pPr>
        <w:pStyle w:val="5"/>
        <w:spacing w:line="480" w:lineRule="exact"/>
        <w:ind w:firstLine="600" w:firstLineChars="250"/>
        <w:rPr>
          <w:rFonts w:ascii="宋体" w:hAnsi="宋体" w:cs="宋体"/>
          <w:highlight w:val="none"/>
        </w:rPr>
      </w:pPr>
      <w:r>
        <w:rPr>
          <w:rFonts w:hint="eastAsia"/>
          <w:highlight w:val="none"/>
        </w:rPr>
        <w:t>⑤</w:t>
      </w:r>
      <w:r>
        <w:rPr>
          <w:rFonts w:hint="eastAsia" w:ascii="宋体" w:hAnsi="宋体" w:cs="宋体"/>
          <w:spacing w:val="-4"/>
          <w:highlight w:val="none"/>
        </w:rPr>
        <w:t>投标人</w:t>
      </w:r>
      <w:r>
        <w:rPr>
          <w:rFonts w:hint="eastAsia" w:ascii="宋体" w:hAnsi="宋体" w:cs="宋体"/>
          <w:highlight w:val="none"/>
        </w:rPr>
        <w:t>信用承诺书；</w:t>
      </w:r>
    </w:p>
    <w:p w14:paraId="7261E0D2">
      <w:pPr>
        <w:pStyle w:val="5"/>
        <w:spacing w:line="480" w:lineRule="exact"/>
        <w:ind w:firstLine="600" w:firstLineChars="250"/>
        <w:rPr>
          <w:highlight w:val="none"/>
        </w:rPr>
      </w:pPr>
      <w:r>
        <w:rPr>
          <w:rFonts w:hint="eastAsia"/>
          <w:highlight w:val="none"/>
          <w:shd w:val="clear" w:color="auto" w:fill="FFFFFF"/>
        </w:rPr>
        <w:t>⑥</w:t>
      </w:r>
      <w:r>
        <w:rPr>
          <w:rFonts w:hint="eastAsia"/>
          <w:highlight w:val="none"/>
        </w:rPr>
        <w:t>投标人参与投标的声明函；</w:t>
      </w:r>
    </w:p>
    <w:p w14:paraId="4FA1010A">
      <w:pPr>
        <w:pStyle w:val="5"/>
        <w:spacing w:line="480" w:lineRule="exact"/>
        <w:ind w:firstLine="600" w:firstLineChars="250"/>
        <w:rPr>
          <w:highlight w:val="none"/>
          <w:shd w:val="clear" w:color="auto" w:fill="FFFFFF"/>
        </w:rPr>
      </w:pPr>
      <w:r>
        <w:rPr>
          <w:rFonts w:hint="eastAsia" w:ascii="宋体" w:hAnsi="宋体" w:cs="宋体"/>
          <w:highlight w:val="none"/>
          <w:shd w:val="clear" w:color="auto" w:fill="FFFFFF"/>
        </w:rPr>
        <w:t>⑦</w:t>
      </w:r>
      <w:r>
        <w:rPr>
          <w:rFonts w:hint="eastAsia"/>
          <w:highlight w:val="none"/>
          <w:shd w:val="clear" w:color="auto" w:fill="FFFFFF"/>
        </w:rPr>
        <w:t>交纳投标保证金的证明材料（两者缺一不可）：企业银行基本账户开户证明（如开户许可证或银行开户证明等）；电汇凭证或电子汇款截图扫描件</w:t>
      </w:r>
    </w:p>
    <w:p w14:paraId="2985D558">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⑧</w:t>
      </w:r>
      <w:r>
        <w:rPr>
          <w:rFonts w:hint="eastAsia"/>
          <w:highlight w:val="none"/>
          <w:shd w:val="clear" w:color="auto" w:fill="FFFFFF"/>
        </w:rPr>
        <w:t>投标人、法定代表人、委托代理人未</w:t>
      </w:r>
      <w:r>
        <w:rPr>
          <w:rFonts w:hint="eastAsia" w:ascii="宋体" w:hAnsi="宋体" w:cs="宋体"/>
          <w:highlight w:val="none"/>
          <w:shd w:val="clear" w:color="auto" w:fill="FFFFFF"/>
        </w:rPr>
        <w:t>被最高法院（查询网址为：http://zxgk.court.gov.cn/shixin/）列入失信被执行人。投标文件附通过网站查询信息记录，包含投标人、法定代表人、授权委托代理人失信被执行人情况网页截图（省份为全部）</w:t>
      </w:r>
    </w:p>
    <w:p w14:paraId="6443E81C">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⑨投标人近一年在“信用中国”或“信用中国（山东）”无严重失信记录，投标文件中需附通过信用中国（查询网址：https://www.creditchina.gov.cn）查询的信用报告或信用中国（山东）（查询网址：https://credit.shandong.gov.cn）查询的信用报告；</w:t>
      </w:r>
    </w:p>
    <w:p w14:paraId="55A32699">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⑩投标人认为需要提供的资质资格证明文件。</w:t>
      </w:r>
    </w:p>
    <w:p w14:paraId="0ACA3518">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以上所有资质资格证明文件均需加盖投标人签章。</w:t>
      </w:r>
    </w:p>
    <w:p w14:paraId="5C27556E">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7</w:t>
      </w:r>
      <w:r>
        <w:rPr>
          <w:rFonts w:hint="eastAsia" w:ascii="宋体" w:hAnsi="宋体" w:cs="宋体"/>
          <w:highlight w:val="none"/>
          <w:shd w:val="clear" w:color="auto" w:fill="FFFFFF"/>
        </w:rPr>
        <w:t>）投标人基本情况表</w:t>
      </w:r>
    </w:p>
    <w:p w14:paraId="5075B443">
      <w:pPr>
        <w:pStyle w:val="5"/>
        <w:spacing w:line="480" w:lineRule="exact"/>
        <w:ind w:firstLine="600" w:firstLineChars="250"/>
        <w:rPr>
          <w:rFonts w:hint="eastAsia"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8</w:t>
      </w:r>
      <w:r>
        <w:rPr>
          <w:rFonts w:hint="eastAsia" w:ascii="宋体" w:hAnsi="宋体" w:cs="宋体"/>
          <w:highlight w:val="none"/>
          <w:shd w:val="clear" w:color="auto" w:fill="FFFFFF"/>
        </w:rPr>
        <w:t>）同类项目业绩表；</w:t>
      </w:r>
    </w:p>
    <w:p w14:paraId="1B139E1E">
      <w:pPr>
        <w:pStyle w:val="5"/>
        <w:spacing w:line="480" w:lineRule="exact"/>
        <w:ind w:firstLine="600" w:firstLineChars="250"/>
        <w:rPr>
          <w:rFonts w:hint="default" w:ascii="宋体" w:hAnsi="宋体" w:eastAsia="宋体" w:cs="宋体"/>
          <w:highlight w:val="none"/>
          <w:shd w:val="clear" w:color="auto" w:fill="FFFFFF"/>
          <w:lang w:val="en-US" w:eastAsia="zh-CN"/>
        </w:rPr>
      </w:pPr>
      <w:r>
        <w:rPr>
          <w:rFonts w:hint="eastAsia" w:ascii="宋体" w:hAnsi="宋体" w:cs="宋体"/>
          <w:highlight w:val="none"/>
          <w:shd w:val="clear" w:color="auto" w:fill="FFFFFF"/>
          <w:lang w:val="en-US" w:eastAsia="zh-CN"/>
        </w:rPr>
        <w:t>（9）用户满意度评价证明材料</w:t>
      </w:r>
    </w:p>
    <w:p w14:paraId="0A674FF1">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10</w:t>
      </w: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拟派配送团队</w:t>
      </w:r>
      <w:r>
        <w:rPr>
          <w:rFonts w:hint="eastAsia" w:ascii="宋体" w:hAnsi="宋体" w:cs="宋体"/>
          <w:highlight w:val="none"/>
          <w:shd w:val="clear" w:color="auto" w:fill="FFFFFF"/>
        </w:rPr>
        <w:t>；</w:t>
      </w:r>
    </w:p>
    <w:p w14:paraId="385AB1C4">
      <w:pPr>
        <w:pStyle w:val="5"/>
        <w:spacing w:line="480" w:lineRule="exact"/>
        <w:ind w:firstLine="600" w:firstLineChars="250"/>
        <w:rPr>
          <w:rFonts w:ascii="宋体" w:hAnsi="宋体" w:cs="宋体"/>
          <w:highlight w:val="none"/>
          <w:shd w:val="clear" w:color="auto" w:fill="FFFFFF"/>
        </w:rPr>
      </w:pPr>
      <w:r>
        <w:rPr>
          <w:rFonts w:hint="eastAsia" w:ascii="宋体" w:hAnsi="宋体" w:cs="宋体"/>
          <w:highlight w:val="none"/>
          <w:shd w:val="clear" w:color="auto" w:fill="FFFFFF"/>
        </w:rPr>
        <w:t>（</w:t>
      </w:r>
      <w:r>
        <w:rPr>
          <w:rFonts w:hint="eastAsia" w:ascii="宋体" w:hAnsi="宋体" w:cs="宋体"/>
          <w:highlight w:val="none"/>
          <w:shd w:val="clear" w:color="auto" w:fill="FFFFFF"/>
          <w:lang w:val="en-US" w:eastAsia="zh-CN"/>
        </w:rPr>
        <w:t>11</w:t>
      </w:r>
      <w:r>
        <w:rPr>
          <w:rFonts w:hint="eastAsia" w:ascii="宋体" w:hAnsi="宋体" w:cs="宋体"/>
          <w:highlight w:val="none"/>
          <w:shd w:val="clear" w:color="auto" w:fill="FFFFFF"/>
        </w:rPr>
        <w:t>）技术文件；</w:t>
      </w:r>
    </w:p>
    <w:p w14:paraId="632F8ED0">
      <w:pPr>
        <w:pStyle w:val="5"/>
        <w:spacing w:line="480" w:lineRule="exact"/>
        <w:ind w:firstLine="600" w:firstLineChars="250"/>
        <w:rPr>
          <w:rFonts w:ascii="宋体" w:hAnsi="宋体" w:cs="宋体"/>
          <w:highlight w:val="none"/>
        </w:rPr>
      </w:pPr>
      <w:r>
        <w:rPr>
          <w:rFonts w:hint="eastAsia" w:ascii="宋体" w:hAnsi="宋体" w:cs="宋体"/>
          <w:highlight w:val="none"/>
          <w:shd w:val="clear" w:color="auto" w:fill="FFFFFF"/>
        </w:rPr>
        <w:t>（1</w:t>
      </w:r>
      <w:r>
        <w:rPr>
          <w:rFonts w:hint="eastAsia" w:ascii="宋体" w:hAnsi="宋体" w:cs="宋体"/>
          <w:highlight w:val="none"/>
          <w:shd w:val="clear" w:color="auto" w:fill="FFFFFF"/>
          <w:lang w:val="en-US" w:eastAsia="zh-CN"/>
        </w:rPr>
        <w:t>2</w:t>
      </w:r>
      <w:r>
        <w:rPr>
          <w:rFonts w:hint="eastAsia" w:ascii="宋体" w:hAnsi="宋体" w:cs="宋体"/>
          <w:highlight w:val="none"/>
          <w:shd w:val="clear" w:color="auto" w:fill="FFFFFF"/>
        </w:rPr>
        <w:t>）投标偏离表；</w:t>
      </w:r>
    </w:p>
    <w:p w14:paraId="7E4ACB5D">
      <w:pPr>
        <w:pStyle w:val="5"/>
        <w:spacing w:line="480" w:lineRule="exact"/>
        <w:ind w:firstLine="600" w:firstLineChars="250"/>
        <w:rPr>
          <w:highlight w:val="none"/>
        </w:rPr>
      </w:pPr>
      <w:r>
        <w:rPr>
          <w:rFonts w:hint="eastAsia" w:ascii="宋体" w:hAnsi="宋体" w:cs="宋体"/>
          <w:highlight w:val="none"/>
        </w:rPr>
        <w:t>（1</w:t>
      </w:r>
      <w:r>
        <w:rPr>
          <w:rFonts w:hint="eastAsia" w:ascii="宋体" w:hAnsi="宋体" w:cs="宋体"/>
          <w:highlight w:val="none"/>
          <w:lang w:val="en-US" w:eastAsia="zh-CN"/>
        </w:rPr>
        <w:t>3</w:t>
      </w:r>
      <w:r>
        <w:rPr>
          <w:rFonts w:hint="eastAsia" w:ascii="宋体" w:hAnsi="宋体" w:cs="宋体"/>
          <w:highlight w:val="none"/>
        </w:rPr>
        <w:t>）其他资料</w:t>
      </w:r>
      <w:r>
        <w:rPr>
          <w:rFonts w:hint="eastAsia"/>
          <w:highlight w:val="none"/>
        </w:rPr>
        <w:t>。</w:t>
      </w:r>
    </w:p>
    <w:p w14:paraId="054CC9C8">
      <w:pPr>
        <w:spacing w:line="460" w:lineRule="exact"/>
        <w:ind w:firstLine="482" w:firstLineChars="201"/>
        <w:rPr>
          <w:rFonts w:ascii="宋体" w:hAnsi="宋体" w:cs="宋体"/>
          <w:sz w:val="24"/>
          <w:highlight w:val="none"/>
        </w:rPr>
      </w:pPr>
      <w:r>
        <w:rPr>
          <w:rFonts w:hint="eastAsia" w:ascii="宋体" w:hAnsi="宋体" w:cs="宋体"/>
          <w:sz w:val="24"/>
          <w:highlight w:val="none"/>
        </w:rPr>
        <w:t>8.2数据文件（PDF格式）（第二册）</w:t>
      </w:r>
    </w:p>
    <w:p w14:paraId="0D2DB430">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宋体" w:hAnsi="宋体" w:cs="宋体"/>
          <w:b/>
          <w:sz w:val="24"/>
          <w:highlight w:val="none"/>
        </w:rPr>
        <w:t>无效投标（响应）</w:t>
      </w:r>
      <w:r>
        <w:rPr>
          <w:rFonts w:hint="eastAsia" w:ascii="宋体" w:hAnsi="宋体" w:cs="宋体"/>
          <w:sz w:val="24"/>
          <w:highlight w:val="none"/>
        </w:rPr>
        <w:t>。数据文件（PDF格式）包含下列内容：</w:t>
      </w:r>
    </w:p>
    <w:p w14:paraId="34F93D5E">
      <w:pPr>
        <w:spacing w:line="460" w:lineRule="exact"/>
        <w:ind w:firstLine="482" w:firstLineChars="201"/>
        <w:rPr>
          <w:rFonts w:ascii="宋体" w:hAnsi="宋体" w:cs="宋体"/>
          <w:sz w:val="24"/>
          <w:highlight w:val="none"/>
        </w:rPr>
      </w:pPr>
      <w:r>
        <w:rPr>
          <w:rFonts w:hint="eastAsia" w:ascii="宋体" w:hAnsi="宋体" w:cs="宋体"/>
          <w:sz w:val="24"/>
          <w:highlight w:val="none"/>
        </w:rPr>
        <w:t>（1）封面</w:t>
      </w:r>
    </w:p>
    <w:p w14:paraId="28BBB257">
      <w:pPr>
        <w:spacing w:line="460" w:lineRule="exact"/>
        <w:ind w:firstLine="482" w:firstLineChars="201"/>
        <w:rPr>
          <w:rFonts w:ascii="宋体" w:hAnsi="宋体" w:cs="宋体"/>
          <w:sz w:val="24"/>
          <w:highlight w:val="none"/>
        </w:rPr>
      </w:pPr>
      <w:r>
        <w:rPr>
          <w:rFonts w:hint="eastAsia" w:ascii="宋体" w:hAnsi="宋体" w:cs="宋体"/>
          <w:sz w:val="24"/>
          <w:highlight w:val="none"/>
        </w:rPr>
        <w:t>（2）投标报价表（含明细）</w:t>
      </w:r>
    </w:p>
    <w:p w14:paraId="6DD1BF5A">
      <w:pPr>
        <w:spacing w:line="460" w:lineRule="exact"/>
        <w:ind w:firstLine="482" w:firstLineChars="201"/>
        <w:rPr>
          <w:rFonts w:ascii="宋体" w:hAnsi="宋体" w:cs="宋体"/>
          <w:sz w:val="24"/>
          <w:highlight w:val="none"/>
        </w:rPr>
      </w:pPr>
      <w:r>
        <w:rPr>
          <w:rFonts w:hint="eastAsia" w:ascii="宋体" w:hAnsi="宋体" w:cs="宋体"/>
          <w:sz w:val="24"/>
          <w:highlight w:val="none"/>
        </w:rPr>
        <w:t>（3）需求响应表（如有）</w:t>
      </w:r>
    </w:p>
    <w:p w14:paraId="36962439">
      <w:pPr>
        <w:spacing w:line="460" w:lineRule="exact"/>
        <w:ind w:firstLine="484" w:firstLineChars="201"/>
        <w:rPr>
          <w:rFonts w:ascii="宋体" w:hAnsi="宋体" w:cs="宋体"/>
          <w:b/>
          <w:sz w:val="24"/>
          <w:highlight w:val="none"/>
        </w:rPr>
      </w:pPr>
      <w:r>
        <w:rPr>
          <w:rFonts w:hint="eastAsia" w:ascii="宋体" w:hAnsi="宋体" w:cs="宋体"/>
          <w:b/>
          <w:sz w:val="24"/>
          <w:highlight w:val="none"/>
        </w:rPr>
        <w:t>9.投标报价</w:t>
      </w:r>
    </w:p>
    <w:p w14:paraId="098122BD">
      <w:pPr>
        <w:spacing w:line="460" w:lineRule="exact"/>
        <w:ind w:firstLine="482" w:firstLineChars="201"/>
        <w:rPr>
          <w:rFonts w:ascii="宋体" w:hAnsi="宋体" w:cs="宋体"/>
          <w:sz w:val="24"/>
          <w:highlight w:val="none"/>
        </w:rPr>
      </w:pPr>
      <w:r>
        <w:rPr>
          <w:rFonts w:hint="eastAsia" w:ascii="宋体" w:hAnsi="宋体" w:cs="宋体"/>
          <w:sz w:val="24"/>
          <w:highlight w:val="none"/>
        </w:rPr>
        <w:t>9.1投标人所提供的服务均以人民币报价，精确到小数点后两位。</w:t>
      </w:r>
    </w:p>
    <w:p w14:paraId="7B9C2D76">
      <w:pPr>
        <w:spacing w:line="460" w:lineRule="exact"/>
        <w:ind w:firstLine="482" w:firstLineChars="201"/>
        <w:rPr>
          <w:rFonts w:ascii="宋体" w:hAnsi="宋体" w:cs="宋体"/>
          <w:sz w:val="24"/>
          <w:highlight w:val="none"/>
        </w:rPr>
      </w:pPr>
      <w:r>
        <w:rPr>
          <w:rFonts w:hint="eastAsia" w:ascii="宋体" w:hAnsi="宋体" w:cs="宋体"/>
          <w:sz w:val="24"/>
          <w:highlight w:val="none"/>
        </w:rPr>
        <w:t>9.2投标人应按照“第三章 招标内容与要求”的服务内容、责任范围以及合同条款进行报价。并按数据文件中“投标报价表（含明细）”规定的格式报出分项价格和总价。</w:t>
      </w:r>
    </w:p>
    <w:p w14:paraId="13BA1BC5">
      <w:pPr>
        <w:spacing w:line="460" w:lineRule="exact"/>
        <w:ind w:firstLine="482" w:firstLineChars="201"/>
        <w:rPr>
          <w:rFonts w:ascii="宋体" w:hAnsi="宋体" w:cs="宋体"/>
          <w:sz w:val="24"/>
          <w:highlight w:val="none"/>
        </w:rPr>
      </w:pPr>
      <w:r>
        <w:rPr>
          <w:rFonts w:hint="eastAsia" w:ascii="宋体" w:hAnsi="宋体" w:cs="宋体"/>
          <w:sz w:val="24"/>
          <w:highlight w:val="none"/>
        </w:rPr>
        <w:t>9.3投标人应按数据文件“投标报价表（含明细）”要求的统一格式填写，并加盖电子公章。</w:t>
      </w:r>
    </w:p>
    <w:p w14:paraId="655FE010">
      <w:pPr>
        <w:spacing w:line="460" w:lineRule="exact"/>
        <w:ind w:firstLine="482" w:firstLineChars="201"/>
        <w:rPr>
          <w:rFonts w:ascii="宋体" w:hAnsi="宋体" w:cs="宋体"/>
          <w:sz w:val="24"/>
          <w:highlight w:val="none"/>
        </w:rPr>
      </w:pPr>
      <w:r>
        <w:rPr>
          <w:rFonts w:hint="eastAsia" w:ascii="宋体" w:hAnsi="宋体" w:cs="宋体"/>
          <w:sz w:val="24"/>
          <w:highlight w:val="none"/>
        </w:rPr>
        <w:t>9.4《投标报价表（含明细）》填写时应响应下列要求：</w:t>
      </w:r>
    </w:p>
    <w:p w14:paraId="5AAEDD7E">
      <w:pPr>
        <w:spacing w:line="460" w:lineRule="exact"/>
        <w:ind w:firstLine="482" w:firstLineChars="201"/>
        <w:rPr>
          <w:rFonts w:ascii="宋体" w:hAnsi="宋体" w:cs="宋体"/>
          <w:sz w:val="24"/>
          <w:highlight w:val="none"/>
        </w:rPr>
      </w:pPr>
      <w:r>
        <w:rPr>
          <w:rFonts w:hint="eastAsia" w:ascii="宋体" w:hAnsi="宋体" w:cs="宋体"/>
          <w:sz w:val="24"/>
          <w:highlight w:val="none"/>
        </w:rPr>
        <w:t>（1）所有根据合同或其它原因应由投标人支付的税款和其它应交纳的费用都要包括在投标人提交的报价中。</w:t>
      </w:r>
    </w:p>
    <w:p w14:paraId="2E76E2D7">
      <w:pPr>
        <w:spacing w:line="460" w:lineRule="exact"/>
        <w:ind w:firstLine="482" w:firstLineChars="201"/>
        <w:rPr>
          <w:rFonts w:ascii="宋体" w:hAnsi="宋体" w:cs="宋体"/>
          <w:sz w:val="24"/>
          <w:highlight w:val="none"/>
        </w:rPr>
      </w:pPr>
      <w:r>
        <w:rPr>
          <w:rFonts w:hint="eastAsia" w:ascii="宋体" w:hAnsi="宋体" w:cs="宋体"/>
          <w:sz w:val="24"/>
          <w:highlight w:val="none"/>
        </w:rPr>
        <w:t>（2）投标人在投标报价时，应根据企业自身实力结合市场信息，充分考虑市场竞争因素和市场风险进行自主报价。包括但不限于产品价格、人工、车辆使用费、运杂费、搬运费、检测费、燃油、税金、利润及其他附带服务等全部费用。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55B670FC">
      <w:pPr>
        <w:spacing w:line="460" w:lineRule="exact"/>
        <w:ind w:firstLine="482" w:firstLineChars="201"/>
        <w:rPr>
          <w:rFonts w:ascii="宋体" w:hAnsi="宋体" w:cs="宋体"/>
          <w:sz w:val="24"/>
          <w:highlight w:val="none"/>
        </w:rPr>
      </w:pPr>
      <w:r>
        <w:rPr>
          <w:rFonts w:hint="eastAsia" w:ascii="宋体" w:hAnsi="宋体" w:cs="宋体"/>
          <w:sz w:val="24"/>
          <w:highlight w:val="none"/>
        </w:rPr>
        <w:t>（3）投标人应对本次招标的全部内容进行报价，缺项报价投标无效。如因投标人自身的原因报价失误而造成的损失，由投标人自行承担。</w:t>
      </w:r>
    </w:p>
    <w:p w14:paraId="03D2E069">
      <w:pPr>
        <w:spacing w:line="460" w:lineRule="exact"/>
        <w:ind w:firstLine="482" w:firstLineChars="201"/>
        <w:rPr>
          <w:rFonts w:ascii="宋体" w:hAnsi="宋体" w:cs="宋体"/>
          <w:sz w:val="24"/>
          <w:highlight w:val="none"/>
        </w:rPr>
      </w:pPr>
      <w:r>
        <w:rPr>
          <w:rFonts w:hint="eastAsia" w:ascii="宋体" w:hAnsi="宋体" w:cs="宋体"/>
          <w:sz w:val="24"/>
          <w:highlight w:val="none"/>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1A1F1E09">
      <w:pPr>
        <w:spacing w:line="460" w:lineRule="exact"/>
        <w:ind w:firstLine="482" w:firstLineChars="201"/>
        <w:rPr>
          <w:rFonts w:ascii="宋体" w:hAnsi="宋体" w:cs="宋体"/>
          <w:sz w:val="24"/>
          <w:highlight w:val="none"/>
        </w:rPr>
      </w:pPr>
      <w:r>
        <w:rPr>
          <w:rFonts w:hint="eastAsia" w:ascii="宋体" w:hAnsi="宋体" w:cs="宋体"/>
          <w:sz w:val="24"/>
          <w:highlight w:val="none"/>
        </w:rPr>
        <w:t>（5）投标人提供的文件中，若存在前后不一致的情形，以“投标承诺函”中填写的内容为准。</w:t>
      </w:r>
    </w:p>
    <w:p w14:paraId="2A58BF02">
      <w:pPr>
        <w:spacing w:line="460" w:lineRule="exact"/>
        <w:ind w:firstLine="482" w:firstLineChars="201"/>
        <w:rPr>
          <w:rFonts w:ascii="宋体" w:hAnsi="宋体" w:cs="宋体"/>
          <w:sz w:val="24"/>
          <w:highlight w:val="none"/>
        </w:rPr>
      </w:pPr>
      <w:r>
        <w:rPr>
          <w:rFonts w:hint="eastAsia" w:ascii="宋体" w:hAnsi="宋体" w:cs="宋体"/>
          <w:sz w:val="24"/>
          <w:highlight w:val="none"/>
        </w:rPr>
        <w:t>（6）投标人须严格按照报价明细表说明进行填写，报价明细表中“*”是必填项，任何必填项为空时都可能导致本次投标无效。</w:t>
      </w:r>
    </w:p>
    <w:p w14:paraId="73EFD0CD">
      <w:pPr>
        <w:spacing w:line="460" w:lineRule="exact"/>
        <w:ind w:firstLine="482" w:firstLineChars="201"/>
        <w:rPr>
          <w:rFonts w:hint="eastAsia" w:ascii="宋体" w:hAnsi="宋体" w:cs="宋体"/>
          <w:sz w:val="24"/>
          <w:highlight w:val="none"/>
        </w:rPr>
      </w:pPr>
      <w:r>
        <w:rPr>
          <w:rFonts w:hint="eastAsia" w:ascii="宋体" w:hAnsi="宋体" w:cs="宋体"/>
          <w:sz w:val="24"/>
          <w:highlight w:val="none"/>
        </w:rPr>
        <w:t>（7）《投标报价表（含明细）》中合价将由单价乘以数量自动计算，无需手工录入。</w:t>
      </w:r>
    </w:p>
    <w:p w14:paraId="6D2BCB15">
      <w:pPr>
        <w:spacing w:line="460" w:lineRule="exact"/>
        <w:ind w:firstLine="482" w:firstLineChars="201"/>
        <w:rPr>
          <w:rFonts w:ascii="宋体" w:hAnsi="宋体" w:cs="宋体"/>
          <w:sz w:val="24"/>
          <w:highlight w:val="none"/>
        </w:rPr>
      </w:pPr>
      <w:r>
        <w:rPr>
          <w:rFonts w:hint="eastAsia" w:ascii="宋体" w:hAnsi="宋体" w:cs="宋体"/>
          <w:sz w:val="24"/>
          <w:highlight w:val="none"/>
        </w:rPr>
        <w:t>9.5 本项目以折扣率报价。本项目折扣有效报价范围:90%≥折扣≥0%，所报折扣为统一折扣，报价精确到小数点后两位。高于有效报价范围的为无效报价。食材价格依据威海市发展和改革委员会官方网站《威海市部分居民生活消费品（超市）零售平均价格》，如当日没有市场行情价格，按距离当日之前最近日期的市场行情价格进行确认，</w:t>
      </w:r>
      <w:r>
        <w:rPr>
          <w:rFonts w:ascii="宋体" w:hAnsi="宋体" w:cs="宋体"/>
          <w:sz w:val="24"/>
          <w:highlight w:val="none"/>
        </w:rPr>
        <w:t>若威海市发改委没有发布零售价格的</w:t>
      </w:r>
      <w:r>
        <w:rPr>
          <w:rFonts w:hint="eastAsia" w:ascii="宋体" w:hAnsi="宋体" w:cs="宋体"/>
          <w:sz w:val="24"/>
          <w:highlight w:val="none"/>
        </w:rPr>
        <w:t>，不超过当地大型超市同档次、同质量商品销售价基础上，由招标人和中标单位根据食材的质量和新鲜程度协商确定价格</w:t>
      </w:r>
      <w:r>
        <w:rPr>
          <w:rFonts w:hint="eastAsia" w:ascii="宋体" w:hAnsi="宋体" w:cs="宋体"/>
          <w:sz w:val="24"/>
          <w:highlight w:val="none"/>
          <w:lang w:val="en-US" w:eastAsia="zh-CN"/>
        </w:rPr>
        <w:t>，</w:t>
      </w:r>
      <w:r>
        <w:rPr>
          <w:rFonts w:hint="eastAsia" w:ascii="宋体" w:hAnsi="宋体" w:cs="宋体"/>
          <w:sz w:val="24"/>
          <w:szCs w:val="24"/>
          <w:highlight w:val="none"/>
          <w:lang w:val="en-US" w:eastAsia="zh-CN"/>
        </w:rPr>
        <w:t>付款前招标人有权委托第三方审计单位对供货单据、单价、总价进行审计，最终按照审计确认金额结算</w:t>
      </w:r>
      <w:r>
        <w:rPr>
          <w:rFonts w:hint="eastAsia" w:ascii="宋体" w:hAnsi="宋体" w:cs="宋体"/>
          <w:sz w:val="24"/>
          <w:highlight w:val="none"/>
        </w:rPr>
        <w:t>。</w:t>
      </w:r>
    </w:p>
    <w:p w14:paraId="73A5359F">
      <w:pPr>
        <w:spacing w:line="460" w:lineRule="exact"/>
        <w:ind w:firstLine="482" w:firstLineChars="201"/>
        <w:rPr>
          <w:rFonts w:ascii="宋体" w:hAnsi="宋体" w:cs="宋体"/>
          <w:sz w:val="24"/>
          <w:highlight w:val="none"/>
        </w:rPr>
      </w:pPr>
      <w:r>
        <w:rPr>
          <w:rFonts w:hint="eastAsia" w:ascii="宋体" w:hAnsi="宋体" w:cs="宋体"/>
          <w:sz w:val="24"/>
          <w:highlight w:val="none"/>
        </w:rPr>
        <w:t>注：数据文件中的报价填写折扣率。举例：如折扣率为90%，即数据文件填写90。不得填写0.90或加%，否则投标无效。</w:t>
      </w:r>
    </w:p>
    <w:p w14:paraId="7F9A784C">
      <w:pPr>
        <w:spacing w:line="460" w:lineRule="exact"/>
        <w:ind w:firstLine="482" w:firstLineChars="201"/>
        <w:rPr>
          <w:rFonts w:ascii="宋体" w:hAnsi="宋体" w:cs="宋体"/>
          <w:sz w:val="24"/>
          <w:highlight w:val="none"/>
        </w:rPr>
      </w:pPr>
      <w:r>
        <w:rPr>
          <w:rFonts w:hint="eastAsia" w:ascii="宋体" w:hAnsi="宋体" w:cs="宋体"/>
          <w:sz w:val="24"/>
          <w:highlight w:val="none"/>
        </w:rPr>
        <w:t>9.6 《需求响应表（如有）》填写时应响应下列要求：</w:t>
      </w:r>
    </w:p>
    <w:p w14:paraId="1E57A1AF">
      <w:pPr>
        <w:spacing w:line="460" w:lineRule="exact"/>
        <w:ind w:firstLine="482" w:firstLineChars="201"/>
        <w:rPr>
          <w:rFonts w:ascii="宋体" w:hAnsi="宋体" w:cs="宋体"/>
          <w:sz w:val="24"/>
          <w:highlight w:val="none"/>
        </w:rPr>
      </w:pPr>
      <w:r>
        <w:rPr>
          <w:rFonts w:hint="eastAsia" w:ascii="宋体" w:hAnsi="宋体" w:cs="宋体"/>
          <w:sz w:val="24"/>
          <w:highlight w:val="none"/>
        </w:rPr>
        <w:t>（1）有底色标识的单元格须填写，有“*”的列是必填项，任何必填项为空都可能导致您的本次投标无效；</w:t>
      </w:r>
    </w:p>
    <w:p w14:paraId="141E8AF0">
      <w:pPr>
        <w:spacing w:line="460" w:lineRule="exact"/>
        <w:ind w:firstLine="482" w:firstLineChars="201"/>
        <w:rPr>
          <w:rFonts w:ascii="宋体" w:hAnsi="宋体" w:cs="宋体"/>
          <w:sz w:val="24"/>
          <w:highlight w:val="none"/>
        </w:rPr>
      </w:pPr>
      <w:r>
        <w:rPr>
          <w:rFonts w:hint="eastAsia" w:ascii="宋体" w:hAnsi="宋体" w:cs="宋体"/>
          <w:sz w:val="24"/>
          <w:highlight w:val="none"/>
        </w:rPr>
        <w:t>（2）如想拷贝数据到某个待填写单元格，应采用选择性粘贴(只粘贴文本)，否则单元格填写无效或被锁死；</w:t>
      </w:r>
    </w:p>
    <w:p w14:paraId="3382CB39">
      <w:pPr>
        <w:spacing w:line="460" w:lineRule="exact"/>
        <w:ind w:firstLine="482" w:firstLineChars="201"/>
        <w:rPr>
          <w:rFonts w:ascii="宋体" w:hAnsi="宋体" w:cs="宋体"/>
          <w:sz w:val="24"/>
          <w:highlight w:val="none"/>
        </w:rPr>
      </w:pPr>
      <w:r>
        <w:rPr>
          <w:rFonts w:hint="eastAsia" w:ascii="宋体" w:hAnsi="宋体" w:cs="宋体"/>
          <w:sz w:val="24"/>
          <w:highlight w:val="none"/>
        </w:rPr>
        <w:t>（3）当招标需求列的内容显示不完整时，请点击编辑栏进行查看；</w:t>
      </w:r>
    </w:p>
    <w:p w14:paraId="451CC45F">
      <w:pPr>
        <w:spacing w:line="460" w:lineRule="exact"/>
        <w:ind w:firstLine="482" w:firstLineChars="201"/>
        <w:rPr>
          <w:rFonts w:ascii="宋体" w:hAnsi="宋体" w:cs="宋体"/>
          <w:sz w:val="24"/>
          <w:highlight w:val="none"/>
        </w:rPr>
      </w:pPr>
      <w:r>
        <w:rPr>
          <w:rFonts w:hint="eastAsia" w:ascii="宋体" w:hAnsi="宋体" w:cs="宋体"/>
          <w:sz w:val="24"/>
          <w:highlight w:val="none"/>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2C913B80">
      <w:pPr>
        <w:spacing w:line="460" w:lineRule="exact"/>
        <w:ind w:firstLine="482" w:firstLineChars="201"/>
        <w:rPr>
          <w:rFonts w:ascii="宋体" w:hAnsi="宋体" w:cs="宋体"/>
          <w:sz w:val="24"/>
          <w:highlight w:val="none"/>
        </w:rPr>
      </w:pPr>
      <w:r>
        <w:rPr>
          <w:rFonts w:hint="eastAsia" w:ascii="宋体" w:hAnsi="宋体" w:cs="宋体"/>
          <w:sz w:val="24"/>
          <w:highlight w:val="none"/>
        </w:rPr>
        <w:t>（5）按照该表显示位置加盖一个电子印章；</w:t>
      </w:r>
    </w:p>
    <w:p w14:paraId="06631853">
      <w:pPr>
        <w:spacing w:line="460" w:lineRule="exact"/>
        <w:ind w:firstLine="482" w:firstLineChars="201"/>
        <w:rPr>
          <w:rFonts w:ascii="宋体" w:hAnsi="宋体" w:cs="宋体"/>
          <w:sz w:val="24"/>
          <w:highlight w:val="none"/>
        </w:rPr>
      </w:pPr>
      <w:r>
        <w:rPr>
          <w:rFonts w:hint="eastAsia" w:ascii="宋体" w:hAnsi="宋体" w:cs="宋体"/>
          <w:sz w:val="24"/>
          <w:highlight w:val="none"/>
        </w:rPr>
        <w:t>（6）该表为固定格式且有数字指纹，必须在原表上填写，填写完毕后只可保存不可另存。删除该表、增加该表、增加行列、删除行列、对固定格式的任何改动均会导致无效投标；</w:t>
      </w:r>
    </w:p>
    <w:p w14:paraId="5D1E0F84">
      <w:pPr>
        <w:spacing w:line="460" w:lineRule="exact"/>
        <w:ind w:firstLine="484" w:firstLineChars="201"/>
        <w:rPr>
          <w:rFonts w:ascii="宋体" w:hAnsi="宋体" w:cs="宋体"/>
          <w:b/>
          <w:sz w:val="24"/>
          <w:highlight w:val="none"/>
        </w:rPr>
      </w:pPr>
      <w:r>
        <w:rPr>
          <w:rFonts w:hint="eastAsia" w:ascii="宋体" w:hAnsi="宋体" w:cs="宋体"/>
          <w:b/>
          <w:sz w:val="24"/>
          <w:highlight w:val="none"/>
        </w:rPr>
        <w:t>10.联合体投标</w:t>
      </w:r>
    </w:p>
    <w:p w14:paraId="3FA8D76D">
      <w:pPr>
        <w:spacing w:line="460" w:lineRule="exact"/>
        <w:ind w:firstLine="482" w:firstLineChars="201"/>
        <w:rPr>
          <w:rFonts w:ascii="宋体" w:hAnsi="宋体" w:cs="宋体"/>
          <w:sz w:val="24"/>
          <w:highlight w:val="none"/>
        </w:rPr>
      </w:pPr>
      <w:r>
        <w:rPr>
          <w:rFonts w:hint="eastAsia" w:ascii="宋体" w:hAnsi="宋体" w:cs="宋体"/>
          <w:sz w:val="24"/>
          <w:highlight w:val="none"/>
        </w:rPr>
        <w:t>两个以上的自然人、法人或者其他组织可以组成一个联合体，以一个投标人的身份共同参加投标。</w:t>
      </w:r>
    </w:p>
    <w:p w14:paraId="01CCF902">
      <w:pPr>
        <w:spacing w:line="460" w:lineRule="exact"/>
        <w:ind w:firstLine="482" w:firstLineChars="201"/>
        <w:rPr>
          <w:rFonts w:ascii="宋体" w:hAnsi="宋体" w:cs="宋体"/>
          <w:sz w:val="24"/>
          <w:highlight w:val="none"/>
        </w:rPr>
      </w:pPr>
      <w:r>
        <w:rPr>
          <w:rFonts w:hint="eastAsia" w:ascii="宋体" w:hAnsi="宋体" w:cs="宋体"/>
          <w:sz w:val="24"/>
          <w:highlight w:val="none"/>
        </w:rPr>
        <w:t>10.1以联合体形式进行投标的，应当提交联合协议，载明联合体各方承担的工作和义务。联合体各方应当共同与招标人签订采购合同，就采购合同约定的事项对招标人承担连带责任。</w:t>
      </w:r>
    </w:p>
    <w:p w14:paraId="778A9F94">
      <w:pPr>
        <w:spacing w:line="460" w:lineRule="exact"/>
        <w:ind w:firstLine="482" w:firstLineChars="201"/>
        <w:rPr>
          <w:rFonts w:ascii="宋体" w:hAnsi="宋体" w:cs="宋体"/>
          <w:sz w:val="24"/>
          <w:highlight w:val="none"/>
        </w:rPr>
      </w:pPr>
      <w:r>
        <w:rPr>
          <w:rFonts w:hint="eastAsia" w:ascii="宋体" w:hAnsi="宋体" w:cs="宋体"/>
          <w:sz w:val="24"/>
          <w:highlight w:val="none"/>
        </w:rPr>
        <w:t>10.2联合体中有同类资质的</w:t>
      </w:r>
      <w:r>
        <w:rPr>
          <w:rFonts w:hint="eastAsia" w:ascii="宋体" w:hAnsi="宋体"/>
          <w:sz w:val="24"/>
          <w:highlight w:val="none"/>
        </w:rPr>
        <w:t>投标人</w:t>
      </w:r>
      <w:r>
        <w:rPr>
          <w:rFonts w:hint="eastAsia" w:ascii="宋体" w:hAnsi="宋体" w:cs="宋体"/>
          <w:sz w:val="24"/>
          <w:highlight w:val="none"/>
        </w:rPr>
        <w:t>按照联合体分工承担相同工作的，应当按照资质等级较低的</w:t>
      </w:r>
      <w:r>
        <w:rPr>
          <w:rFonts w:hint="eastAsia" w:ascii="宋体" w:hAnsi="宋体"/>
          <w:sz w:val="24"/>
          <w:highlight w:val="none"/>
        </w:rPr>
        <w:t>投标人</w:t>
      </w:r>
      <w:r>
        <w:rPr>
          <w:rFonts w:hint="eastAsia" w:ascii="宋体" w:hAnsi="宋体" w:cs="宋体"/>
          <w:sz w:val="24"/>
          <w:highlight w:val="none"/>
        </w:rPr>
        <w:t>确定资质等级。</w:t>
      </w:r>
    </w:p>
    <w:p w14:paraId="39249437">
      <w:pPr>
        <w:spacing w:line="460" w:lineRule="exact"/>
        <w:ind w:firstLine="482" w:firstLineChars="201"/>
        <w:rPr>
          <w:rFonts w:ascii="宋体" w:hAnsi="宋体" w:cs="宋体"/>
          <w:sz w:val="24"/>
          <w:highlight w:val="none"/>
        </w:rPr>
      </w:pPr>
      <w:r>
        <w:rPr>
          <w:rFonts w:hint="eastAsia" w:ascii="宋体" w:hAnsi="宋体" w:cs="宋体"/>
          <w:sz w:val="24"/>
          <w:highlight w:val="none"/>
        </w:rPr>
        <w:t>10.3联合体的各方应当共同推荐一名联合体投标授权代表方，由联合体各方提交一份授权书，证明其有资格代表联合体各方签署投标文件，该授权书作为投标文件的组成部分一并提交给</w:t>
      </w:r>
      <w:r>
        <w:rPr>
          <w:rFonts w:hint="eastAsia" w:ascii="宋体" w:hAnsi="宋体"/>
          <w:sz w:val="24"/>
          <w:highlight w:val="none"/>
        </w:rPr>
        <w:t>招标代理机构</w:t>
      </w:r>
      <w:r>
        <w:rPr>
          <w:rFonts w:hint="eastAsia" w:ascii="宋体" w:hAnsi="宋体" w:cs="宋体"/>
          <w:sz w:val="24"/>
          <w:highlight w:val="none"/>
        </w:rPr>
        <w:t>。</w:t>
      </w:r>
    </w:p>
    <w:p w14:paraId="2B906545">
      <w:pPr>
        <w:spacing w:line="460" w:lineRule="exact"/>
        <w:ind w:firstLine="482" w:firstLineChars="201"/>
        <w:rPr>
          <w:rFonts w:ascii="宋体" w:hAnsi="宋体" w:cs="宋体"/>
          <w:sz w:val="24"/>
          <w:highlight w:val="none"/>
        </w:rPr>
      </w:pPr>
      <w:r>
        <w:rPr>
          <w:rFonts w:hint="eastAsia" w:ascii="宋体" w:hAnsi="宋体" w:cs="宋体"/>
          <w:sz w:val="24"/>
          <w:highlight w:val="none"/>
        </w:rPr>
        <w:t>10.4以联合体形式参加采购活动的，联合体各方不得再单独参加或者与其他</w:t>
      </w:r>
      <w:r>
        <w:rPr>
          <w:rFonts w:hint="eastAsia" w:ascii="宋体" w:hAnsi="宋体"/>
          <w:sz w:val="24"/>
          <w:highlight w:val="none"/>
        </w:rPr>
        <w:t>投标人</w:t>
      </w:r>
      <w:r>
        <w:rPr>
          <w:rFonts w:hint="eastAsia" w:ascii="宋体" w:hAnsi="宋体" w:cs="宋体"/>
          <w:sz w:val="24"/>
          <w:highlight w:val="none"/>
        </w:rPr>
        <w:t>另外组成联合体参加同一合同项下的采购活动。</w:t>
      </w:r>
    </w:p>
    <w:p w14:paraId="5CDAA953">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本项目是否接受联合体投标详见《投标须知前附表》。</w:t>
      </w:r>
    </w:p>
    <w:p w14:paraId="4F0AE5EC">
      <w:pPr>
        <w:spacing w:line="460" w:lineRule="exact"/>
        <w:ind w:firstLine="484" w:firstLineChars="201"/>
        <w:rPr>
          <w:rFonts w:ascii="宋体" w:hAnsi="宋体" w:cs="宋体"/>
          <w:b/>
          <w:sz w:val="24"/>
          <w:highlight w:val="none"/>
        </w:rPr>
      </w:pPr>
      <w:r>
        <w:rPr>
          <w:rFonts w:hint="eastAsia" w:ascii="宋体" w:hAnsi="宋体" w:cs="宋体"/>
          <w:b/>
          <w:sz w:val="24"/>
          <w:highlight w:val="none"/>
        </w:rPr>
        <w:t>11.关于分包</w:t>
      </w:r>
    </w:p>
    <w:p w14:paraId="2D22D51F">
      <w:pPr>
        <w:spacing w:line="460" w:lineRule="exact"/>
        <w:ind w:firstLine="482" w:firstLineChars="201"/>
        <w:rPr>
          <w:rFonts w:ascii="宋体" w:hAnsi="宋体" w:cs="宋体"/>
          <w:sz w:val="24"/>
          <w:highlight w:val="none"/>
        </w:rPr>
      </w:pPr>
      <w:r>
        <w:rPr>
          <w:rFonts w:hint="eastAsia" w:ascii="宋体" w:hAnsi="宋体" w:cs="宋体"/>
          <w:sz w:val="24"/>
          <w:highlight w:val="none"/>
        </w:rPr>
        <w:t>11.1投标人拟将成交项目的非主体、非关键性工作分包的，应当在投标文件中载明分包承担主体，分包承担主体应当具备相应资质条件且不得再次分包。</w:t>
      </w:r>
    </w:p>
    <w:p w14:paraId="4DFD5C0D">
      <w:pPr>
        <w:spacing w:line="460" w:lineRule="exact"/>
        <w:ind w:firstLine="482" w:firstLineChars="201"/>
        <w:rPr>
          <w:rFonts w:ascii="宋体" w:hAnsi="宋体" w:cs="宋体"/>
          <w:sz w:val="24"/>
          <w:highlight w:val="none"/>
        </w:rPr>
      </w:pPr>
      <w:r>
        <w:rPr>
          <w:rFonts w:hint="eastAsia" w:ascii="宋体" w:hAnsi="宋体" w:cs="宋体"/>
          <w:sz w:val="24"/>
          <w:highlight w:val="none"/>
        </w:rPr>
        <w:t>11.2投标人应当就分包项目向招标人负责，分包承担主体就分包项目承担责任。</w:t>
      </w:r>
    </w:p>
    <w:p w14:paraId="38372814">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本项目是否接受分包详见《投标须知前附表》。</w:t>
      </w:r>
    </w:p>
    <w:p w14:paraId="74AFA888">
      <w:pPr>
        <w:spacing w:line="460" w:lineRule="exact"/>
        <w:ind w:firstLine="472" w:firstLineChars="196"/>
        <w:rPr>
          <w:rFonts w:ascii="宋体" w:hAnsi="宋体" w:cs="宋体"/>
          <w:b/>
          <w:sz w:val="24"/>
          <w:highlight w:val="none"/>
        </w:rPr>
      </w:pPr>
      <w:r>
        <w:rPr>
          <w:rFonts w:hint="eastAsia" w:ascii="宋体" w:hAnsi="宋体" w:cs="宋体"/>
          <w:b/>
          <w:sz w:val="24"/>
          <w:highlight w:val="none"/>
        </w:rPr>
        <w:t>12.现场踏勘</w:t>
      </w:r>
    </w:p>
    <w:p w14:paraId="398E3A1C">
      <w:pPr>
        <w:spacing w:line="460" w:lineRule="exact"/>
        <w:ind w:firstLine="482" w:firstLineChars="201"/>
        <w:rPr>
          <w:rFonts w:ascii="宋体" w:hAnsi="宋体" w:cs="宋体"/>
          <w:sz w:val="24"/>
          <w:highlight w:val="none"/>
        </w:rPr>
      </w:pPr>
      <w:r>
        <w:rPr>
          <w:rFonts w:hint="eastAsia" w:ascii="宋体" w:hAnsi="宋体" w:cs="宋体"/>
          <w:sz w:val="24"/>
          <w:highlight w:val="none"/>
        </w:rPr>
        <w:t>12.1如有需要，</w:t>
      </w:r>
      <w:r>
        <w:rPr>
          <w:rFonts w:hint="eastAsia" w:ascii="宋体" w:hAnsi="宋体"/>
          <w:sz w:val="24"/>
          <w:highlight w:val="none"/>
        </w:rPr>
        <w:t>招标代理机构</w:t>
      </w:r>
      <w:r>
        <w:rPr>
          <w:rFonts w:hint="eastAsia" w:ascii="宋体" w:hAnsi="宋体" w:cs="宋体"/>
          <w:sz w:val="24"/>
          <w:highlight w:val="none"/>
        </w:rPr>
        <w:t>或招标人将组织投标人对项目现场及周围环境进行踏勘，以便投标人获取有关编制投标文件和签署合同所需的所有资料。踏勘现场所发生的费用由投标人自己承担，投标人应按投标须知前附表中所约定的时间、地点踏勘现场。</w:t>
      </w:r>
    </w:p>
    <w:p w14:paraId="5DF1E898">
      <w:pPr>
        <w:spacing w:line="460" w:lineRule="exact"/>
        <w:ind w:firstLine="482" w:firstLineChars="201"/>
        <w:rPr>
          <w:rFonts w:ascii="宋体" w:hAnsi="宋体" w:cs="宋体"/>
          <w:sz w:val="24"/>
          <w:highlight w:val="none"/>
        </w:rPr>
      </w:pPr>
      <w:r>
        <w:rPr>
          <w:rFonts w:hint="eastAsia" w:ascii="宋体" w:hAnsi="宋体" w:cs="宋体"/>
          <w:sz w:val="24"/>
          <w:highlight w:val="none"/>
        </w:rPr>
        <w:t>12.2投标人及其人员经过招标人的允许，可以踏勘目的进入采购单位的项目现场。若本项目招标文件要求投标人于统一时间地点踏勘现场的，投标人应当按时前往。</w:t>
      </w:r>
    </w:p>
    <w:p w14:paraId="3CFA0FB8">
      <w:pPr>
        <w:spacing w:line="460" w:lineRule="exact"/>
        <w:ind w:firstLine="482" w:firstLineChars="201"/>
        <w:rPr>
          <w:rFonts w:ascii="宋体" w:hAnsi="宋体" w:cs="宋体"/>
          <w:sz w:val="24"/>
          <w:highlight w:val="none"/>
        </w:rPr>
      </w:pPr>
      <w:r>
        <w:rPr>
          <w:rFonts w:hint="eastAsia" w:ascii="宋体" w:hAnsi="宋体" w:cs="宋体"/>
          <w:sz w:val="24"/>
          <w:highlight w:val="none"/>
        </w:rPr>
        <w:t>12.3除招标人的原因外，投标人自行负责在踏勘现场中所发生的人员伤亡和财产损失。</w:t>
      </w:r>
    </w:p>
    <w:p w14:paraId="44A2D831">
      <w:pPr>
        <w:spacing w:line="460" w:lineRule="exact"/>
        <w:ind w:firstLine="482" w:firstLineChars="201"/>
        <w:rPr>
          <w:rFonts w:ascii="宋体" w:hAnsi="宋体" w:cs="宋体"/>
          <w:sz w:val="24"/>
          <w:highlight w:val="none"/>
        </w:rPr>
      </w:pPr>
      <w:r>
        <w:rPr>
          <w:rFonts w:hint="eastAsia" w:ascii="宋体" w:hAnsi="宋体" w:cs="宋体"/>
          <w:sz w:val="24"/>
          <w:highlight w:val="none"/>
        </w:rPr>
        <w:t>12.4未参与现场踏勘不作为否定投标人资格的理由。</w:t>
      </w:r>
    </w:p>
    <w:p w14:paraId="340CF3A5">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本项目是否组织现场踏勘详见《投标须知前附表》</w:t>
      </w:r>
    </w:p>
    <w:p w14:paraId="7705E54F">
      <w:pPr>
        <w:spacing w:line="460" w:lineRule="exact"/>
        <w:ind w:firstLine="484" w:firstLineChars="201"/>
        <w:rPr>
          <w:rFonts w:ascii="宋体" w:hAnsi="宋体" w:cs="宋体"/>
          <w:b/>
          <w:sz w:val="24"/>
          <w:highlight w:val="none"/>
        </w:rPr>
      </w:pPr>
      <w:r>
        <w:rPr>
          <w:rFonts w:hint="eastAsia" w:ascii="宋体" w:hAnsi="宋体" w:cs="宋体"/>
          <w:b/>
          <w:sz w:val="24"/>
          <w:highlight w:val="none"/>
        </w:rPr>
        <w:t>13.投标的有效期</w:t>
      </w:r>
    </w:p>
    <w:p w14:paraId="0B4C1676">
      <w:pPr>
        <w:spacing w:line="460" w:lineRule="exact"/>
        <w:ind w:firstLine="482" w:firstLineChars="201"/>
        <w:rPr>
          <w:rFonts w:ascii="宋体" w:hAnsi="宋体" w:cs="宋体"/>
          <w:sz w:val="24"/>
          <w:highlight w:val="none"/>
        </w:rPr>
      </w:pPr>
      <w:r>
        <w:rPr>
          <w:rFonts w:hint="eastAsia" w:ascii="宋体" w:hAnsi="宋体" w:cs="宋体"/>
          <w:sz w:val="24"/>
          <w:highlight w:val="none"/>
        </w:rPr>
        <w:t>13.1从开标之日起，投标有效期为90天。投标有效期短于90天的，其投标为无效投标（响应）。</w:t>
      </w:r>
    </w:p>
    <w:p w14:paraId="70FAE5D3">
      <w:pPr>
        <w:spacing w:line="460" w:lineRule="exact"/>
        <w:ind w:firstLine="482" w:firstLineChars="201"/>
        <w:rPr>
          <w:rFonts w:ascii="宋体" w:hAnsi="宋体" w:cs="宋体"/>
          <w:sz w:val="24"/>
          <w:highlight w:val="none"/>
        </w:rPr>
      </w:pPr>
      <w:r>
        <w:rPr>
          <w:rFonts w:hint="eastAsia" w:ascii="宋体" w:hAnsi="宋体" w:cs="宋体"/>
          <w:sz w:val="24"/>
          <w:highlight w:val="none"/>
        </w:rPr>
        <w:t>13.2特殊情况下，在投标有效期满之前，</w:t>
      </w:r>
      <w:r>
        <w:rPr>
          <w:rFonts w:hint="eastAsia" w:ascii="宋体" w:hAnsi="宋体"/>
          <w:sz w:val="24"/>
          <w:highlight w:val="none"/>
        </w:rPr>
        <w:t>招标代理机构</w:t>
      </w:r>
      <w:r>
        <w:rPr>
          <w:rFonts w:hint="eastAsia" w:ascii="宋体" w:hAnsi="宋体" w:cs="宋体"/>
          <w:sz w:val="24"/>
          <w:highlight w:val="none"/>
        </w:rPr>
        <w:t>可以要求投标人延长投标有效期，投标人可以书面形式拒绝或接受上述要求。同意延长投标有效期的投标人不得修改投标文件的实质性内容。</w:t>
      </w:r>
    </w:p>
    <w:p w14:paraId="30DF5C25">
      <w:pPr>
        <w:spacing w:line="460" w:lineRule="exact"/>
        <w:ind w:firstLine="484" w:firstLineChars="201"/>
        <w:rPr>
          <w:rFonts w:ascii="宋体" w:hAnsi="宋体" w:cs="宋体"/>
          <w:b/>
          <w:sz w:val="24"/>
          <w:highlight w:val="none"/>
        </w:rPr>
      </w:pPr>
      <w:r>
        <w:rPr>
          <w:rFonts w:hint="eastAsia" w:ascii="宋体" w:hAnsi="宋体" w:cs="宋体"/>
          <w:b/>
          <w:sz w:val="24"/>
          <w:highlight w:val="none"/>
        </w:rPr>
        <w:t>14. 投标保证金</w:t>
      </w:r>
    </w:p>
    <w:p w14:paraId="377C087B">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14.1.本项目投标保证金收取情况见《投标须知前附表》。</w:t>
      </w:r>
    </w:p>
    <w:p w14:paraId="29F295CA">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14.2.缴纳截止时间：投标文件递交截止时间前。</w:t>
      </w:r>
    </w:p>
    <w:p w14:paraId="0F7EB265">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14.3.投标保证金的交纳单位必须与投标人名称一致，且必须从基本账户转出，否则，投标无效；</w:t>
      </w:r>
    </w:p>
    <w:p w14:paraId="018A665F">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14.4.交纳形式：见《投标须知前附表》。</w:t>
      </w:r>
    </w:p>
    <w:p w14:paraId="588CDA49">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14.5未中标人的投标保证金，在代理公司向中标人发送中标通知书后，系统自动退还；中标人的投标保证金，在招标人和中标人签署完合同后，系统自动退还。非由中标人原因未能签订合同的，应在招标人作出处理结果之日起五个工作日内退还中标人的保证金。采购项目流标的，应在确定流标之日起五个工作日内退还所有投标人的保证金。</w:t>
      </w:r>
    </w:p>
    <w:p w14:paraId="023AB348">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14.6有下列情况之一的，投标保证金不予返还。</w:t>
      </w:r>
    </w:p>
    <w:p w14:paraId="62A74959">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(1)投标人提供不真实资格、资质证明文件的；</w:t>
      </w:r>
    </w:p>
    <w:p w14:paraId="2FB247F4">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(2)在投标有效期内撤回报价的；</w:t>
      </w:r>
    </w:p>
    <w:p w14:paraId="330F3393">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(3)除因不可抗力或招标文件认可的情形以外，中标人不与招标人签订合同的；</w:t>
      </w:r>
    </w:p>
    <w:p w14:paraId="5D61A34B">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(4)投标人与招标人、其他投标人或者招标代理机构恶意串通的；</w:t>
      </w:r>
    </w:p>
    <w:p w14:paraId="66E9D72C">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(5)评审委员会认定的其他事项。</w:t>
      </w:r>
    </w:p>
    <w:p w14:paraId="71FE6965">
      <w:pPr>
        <w:pStyle w:val="4"/>
        <w:spacing w:line="460" w:lineRule="exact"/>
        <w:rPr>
          <w:rFonts w:ascii="宋体" w:hAnsi="宋体" w:eastAsia="宋体"/>
          <w:sz w:val="24"/>
          <w:szCs w:val="24"/>
          <w:highlight w:val="none"/>
        </w:rPr>
      </w:pPr>
      <w:r>
        <w:rPr>
          <w:rFonts w:hint="eastAsia" w:ascii="宋体" w:hAnsi="宋体" w:eastAsia="宋体"/>
          <w:sz w:val="24"/>
          <w:szCs w:val="24"/>
          <w:highlight w:val="none"/>
        </w:rPr>
        <w:t>对以提供虚假材料或恶意串通或采取不正当竞争手段谋取中标的投标人，一经发现将依法取消其投标人资格，投标保证金不予返还，列入平台黑名单。</w:t>
      </w:r>
    </w:p>
    <w:p w14:paraId="19D177E4">
      <w:pPr>
        <w:spacing w:line="460" w:lineRule="exact"/>
        <w:ind w:firstLine="484" w:firstLineChars="201"/>
        <w:rPr>
          <w:rFonts w:ascii="宋体" w:hAnsi="宋体" w:cs="宋体"/>
          <w:b/>
          <w:sz w:val="24"/>
          <w:highlight w:val="none"/>
        </w:rPr>
      </w:pPr>
      <w:r>
        <w:rPr>
          <w:rFonts w:hint="eastAsia" w:ascii="宋体" w:hAnsi="宋体" w:cs="宋体"/>
          <w:b/>
          <w:sz w:val="24"/>
          <w:highlight w:val="none"/>
        </w:rPr>
        <w:t>15.履约保证金的交纳与返还</w:t>
      </w:r>
    </w:p>
    <w:p w14:paraId="67D69E30">
      <w:pPr>
        <w:spacing w:line="460" w:lineRule="exact"/>
        <w:ind w:firstLine="482" w:firstLineChars="201"/>
        <w:rPr>
          <w:rFonts w:ascii="宋体" w:hAnsi="宋体" w:cs="宋体"/>
          <w:sz w:val="24"/>
          <w:highlight w:val="none"/>
        </w:rPr>
      </w:pPr>
      <w:r>
        <w:rPr>
          <w:rFonts w:hint="eastAsia" w:ascii="宋体" w:hAnsi="宋体" w:cs="宋体"/>
          <w:sz w:val="24"/>
          <w:highlight w:val="none"/>
        </w:rPr>
        <w:t>本项目不需交纳履约保证金。</w:t>
      </w:r>
    </w:p>
    <w:p w14:paraId="4E30A23E">
      <w:pPr>
        <w:spacing w:line="460" w:lineRule="exact"/>
        <w:ind w:firstLine="484" w:firstLineChars="201"/>
        <w:rPr>
          <w:rFonts w:ascii="宋体" w:hAnsi="宋体" w:cs="宋体"/>
          <w:b/>
          <w:sz w:val="24"/>
          <w:highlight w:val="none"/>
        </w:rPr>
      </w:pPr>
      <w:r>
        <w:rPr>
          <w:rFonts w:hint="eastAsia" w:ascii="宋体" w:hAnsi="宋体" w:cs="宋体"/>
          <w:b/>
          <w:sz w:val="24"/>
          <w:highlight w:val="none"/>
        </w:rPr>
        <w:t>16.投标文件的数量和签署</w:t>
      </w:r>
    </w:p>
    <w:p w14:paraId="5802CFEF">
      <w:pPr>
        <w:spacing w:line="460" w:lineRule="exact"/>
        <w:ind w:firstLine="482" w:firstLineChars="201"/>
        <w:rPr>
          <w:rFonts w:ascii="宋体" w:hAnsi="宋体" w:cs="宋体"/>
          <w:sz w:val="24"/>
          <w:highlight w:val="none"/>
        </w:rPr>
      </w:pPr>
      <w:r>
        <w:rPr>
          <w:rFonts w:hint="eastAsia" w:ascii="宋体" w:hAnsi="宋体" w:cs="宋体"/>
          <w:sz w:val="24"/>
          <w:highlight w:val="none"/>
        </w:rPr>
        <w:t>16.1投标文件（PDF格式）（第一册）1份</w:t>
      </w:r>
    </w:p>
    <w:p w14:paraId="74C77279">
      <w:pPr>
        <w:spacing w:line="460" w:lineRule="exact"/>
        <w:ind w:firstLine="482" w:firstLineChars="201"/>
        <w:rPr>
          <w:rFonts w:ascii="宋体" w:hAnsi="宋体" w:cs="宋体"/>
          <w:sz w:val="24"/>
          <w:highlight w:val="none"/>
        </w:rPr>
      </w:pPr>
      <w:r>
        <w:rPr>
          <w:rFonts w:hint="eastAsia" w:ascii="宋体" w:hAnsi="宋体" w:cs="宋体"/>
          <w:sz w:val="24"/>
          <w:highlight w:val="none"/>
        </w:rPr>
        <w:t>16.1.1投标人应使用带电子签章功能的CA锁对投标文件须盖章或签名的部位加盖电子印章（单位电子公章、法定代表人电子人名章），电子印章与实物印章具有同等法律效力。</w:t>
      </w:r>
    </w:p>
    <w:p w14:paraId="5DDC1A24">
      <w:pPr>
        <w:spacing w:line="460" w:lineRule="exact"/>
        <w:ind w:firstLine="482" w:firstLineChars="201"/>
        <w:rPr>
          <w:rFonts w:ascii="宋体" w:hAnsi="宋体" w:cs="宋体"/>
          <w:sz w:val="24"/>
          <w:highlight w:val="none"/>
        </w:rPr>
      </w:pPr>
      <w:r>
        <w:rPr>
          <w:rFonts w:hint="eastAsia" w:ascii="宋体" w:hAnsi="宋体" w:cs="宋体"/>
          <w:sz w:val="24"/>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24BCA9EB">
      <w:pPr>
        <w:spacing w:line="460" w:lineRule="exact"/>
        <w:ind w:firstLine="482" w:firstLineChars="201"/>
        <w:rPr>
          <w:rFonts w:ascii="宋体" w:hAnsi="宋体" w:cs="宋体"/>
          <w:sz w:val="24"/>
          <w:highlight w:val="none"/>
        </w:rPr>
      </w:pPr>
      <w:r>
        <w:rPr>
          <w:rFonts w:hint="eastAsia" w:ascii="宋体" w:hAnsi="宋体" w:cs="宋体"/>
          <w:sz w:val="24"/>
          <w:highlight w:val="none"/>
        </w:rPr>
        <w:t>16.1.3文件中要求法定代表人或授权代表签字或签章的须加盖法定代表人电子人名章。</w:t>
      </w:r>
    </w:p>
    <w:p w14:paraId="33E34F25">
      <w:pPr>
        <w:snapToGrid w:val="0"/>
        <w:spacing w:line="460" w:lineRule="exact"/>
        <w:ind w:firstLine="482" w:firstLineChars="201"/>
        <w:rPr>
          <w:rFonts w:ascii="宋体" w:hAnsi="宋体"/>
          <w:sz w:val="24"/>
          <w:highlight w:val="none"/>
        </w:rPr>
      </w:pPr>
      <w:r>
        <w:rPr>
          <w:rFonts w:hint="eastAsia" w:ascii="宋体" w:hAnsi="宋体" w:cs="宋体"/>
          <w:sz w:val="24"/>
          <w:highlight w:val="none"/>
        </w:rPr>
        <w:t>16.1.4</w:t>
      </w:r>
      <w:r>
        <w:rPr>
          <w:rFonts w:hint="eastAsia" w:ascii="宋体" w:hAnsi="宋体"/>
          <w:sz w:val="24"/>
          <w:highlight w:val="none"/>
        </w:rPr>
        <w:t>须被授权人签字的，被授权人又无电子章，在word编制时可将被授权人手写签字扫描后的图片粘贴到投标文件中对应位置，并加盖单位电子公章。</w:t>
      </w:r>
    </w:p>
    <w:p w14:paraId="021F238B">
      <w:pPr>
        <w:spacing w:line="460" w:lineRule="exact"/>
        <w:ind w:firstLine="482" w:firstLineChars="201"/>
        <w:rPr>
          <w:rFonts w:ascii="宋体" w:hAnsi="宋体" w:cs="宋体"/>
          <w:sz w:val="24"/>
          <w:highlight w:val="none"/>
        </w:rPr>
      </w:pPr>
      <w:r>
        <w:rPr>
          <w:rFonts w:hint="eastAsia" w:ascii="宋体" w:hAnsi="宋体" w:cs="宋体"/>
          <w:sz w:val="24"/>
          <w:highlight w:val="none"/>
        </w:rPr>
        <w:t>16.1.5</w:t>
      </w:r>
      <w:r>
        <w:rPr>
          <w:rFonts w:hint="eastAsia" w:ascii="宋体" w:hAnsi="宋体"/>
          <w:sz w:val="24"/>
          <w:highlight w:val="none"/>
        </w:rPr>
        <w:t>可使用系统的批量盖章功能快速签章。但须逐页浏览检查并注意印章重叠及完整性。</w:t>
      </w:r>
    </w:p>
    <w:p w14:paraId="2801AE24">
      <w:pPr>
        <w:spacing w:line="460" w:lineRule="exact"/>
        <w:ind w:firstLine="482" w:firstLineChars="201"/>
        <w:rPr>
          <w:rFonts w:ascii="宋体" w:hAnsi="宋体" w:cs="宋体"/>
          <w:sz w:val="24"/>
          <w:highlight w:val="none"/>
        </w:rPr>
      </w:pPr>
      <w:r>
        <w:rPr>
          <w:rFonts w:hint="eastAsia" w:ascii="宋体" w:hAnsi="宋体" w:cs="宋体"/>
          <w:sz w:val="24"/>
          <w:highlight w:val="none"/>
        </w:rPr>
        <w:t>16.1.6采用扫描粘贴投标人公章或扫描法定代表人人名章而不加盖单位电子公章的为</w:t>
      </w:r>
      <w:r>
        <w:rPr>
          <w:rFonts w:hint="eastAsia" w:ascii="宋体" w:hAnsi="宋体" w:cs="宋体"/>
          <w:b/>
          <w:sz w:val="24"/>
          <w:highlight w:val="none"/>
        </w:rPr>
        <w:t>无效投标</w:t>
      </w:r>
      <w:r>
        <w:rPr>
          <w:rFonts w:hint="eastAsia" w:ascii="宋体" w:hAnsi="宋体" w:cs="宋体"/>
          <w:sz w:val="24"/>
          <w:highlight w:val="none"/>
        </w:rPr>
        <w:t>。</w:t>
      </w:r>
    </w:p>
    <w:p w14:paraId="43354E0C">
      <w:pPr>
        <w:spacing w:line="460" w:lineRule="exact"/>
        <w:ind w:firstLine="482" w:firstLineChars="201"/>
        <w:rPr>
          <w:rFonts w:ascii="宋体" w:hAnsi="宋体" w:cs="宋体"/>
          <w:sz w:val="24"/>
          <w:highlight w:val="none"/>
        </w:rPr>
      </w:pPr>
      <w:r>
        <w:rPr>
          <w:rFonts w:hint="eastAsia" w:ascii="宋体" w:hAnsi="宋体" w:cs="宋体"/>
          <w:sz w:val="24"/>
          <w:highlight w:val="none"/>
        </w:rPr>
        <w:t>16.2数据文件（PDF格式）（第二册）1份</w:t>
      </w:r>
    </w:p>
    <w:p w14:paraId="790E0AF8">
      <w:pPr>
        <w:spacing w:line="460" w:lineRule="exact"/>
        <w:ind w:firstLine="482" w:firstLineChars="201"/>
        <w:rPr>
          <w:rFonts w:ascii="宋体" w:hAnsi="宋体" w:cs="宋体"/>
          <w:sz w:val="24"/>
          <w:highlight w:val="none"/>
        </w:rPr>
      </w:pPr>
      <w:r>
        <w:rPr>
          <w:rFonts w:hint="eastAsia" w:ascii="宋体" w:hAnsi="宋体" w:cs="宋体"/>
          <w:sz w:val="24"/>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8CB15D7">
      <w:pPr>
        <w:spacing w:line="460" w:lineRule="exact"/>
        <w:ind w:firstLine="482" w:firstLineChars="201"/>
        <w:rPr>
          <w:rFonts w:ascii="宋体" w:hAnsi="宋体" w:cs="宋体"/>
          <w:sz w:val="24"/>
          <w:highlight w:val="none"/>
        </w:rPr>
      </w:pPr>
      <w:r>
        <w:rPr>
          <w:rFonts w:hint="eastAsia" w:ascii="宋体" w:hAnsi="宋体" w:cs="宋体"/>
          <w:sz w:val="24"/>
          <w:highlight w:val="none"/>
        </w:rPr>
        <w:t>16.2.2</w:t>
      </w:r>
      <w:r>
        <w:rPr>
          <w:rFonts w:hint="eastAsia" w:ascii="宋体" w:hAnsi="宋体"/>
          <w:sz w:val="24"/>
          <w:highlight w:val="none"/>
        </w:rPr>
        <w:t>文件中要求法定代表人签字或签章的须加盖法定代表人电子人名章。</w:t>
      </w:r>
    </w:p>
    <w:p w14:paraId="3DD4E50D">
      <w:pPr>
        <w:spacing w:line="460" w:lineRule="exact"/>
        <w:ind w:firstLine="482" w:firstLineChars="201"/>
        <w:rPr>
          <w:rFonts w:ascii="宋体" w:hAnsi="宋体" w:cs="宋体"/>
          <w:sz w:val="24"/>
          <w:highlight w:val="none"/>
        </w:rPr>
      </w:pPr>
      <w:r>
        <w:rPr>
          <w:rFonts w:hint="eastAsia" w:ascii="宋体" w:hAnsi="宋体" w:cs="宋体"/>
          <w:sz w:val="24"/>
          <w:highlight w:val="none"/>
        </w:rPr>
        <w:t>16.2.3采用扫描粘贴投标人公章或法定代表人人名章的为</w:t>
      </w:r>
      <w:r>
        <w:rPr>
          <w:rFonts w:hint="eastAsia" w:ascii="宋体" w:hAnsi="宋体" w:cs="宋体"/>
          <w:b/>
          <w:sz w:val="24"/>
          <w:highlight w:val="none"/>
        </w:rPr>
        <w:t>无效投标</w:t>
      </w:r>
      <w:r>
        <w:rPr>
          <w:rFonts w:hint="eastAsia" w:ascii="宋体" w:hAnsi="宋体" w:cs="宋体"/>
          <w:sz w:val="24"/>
          <w:highlight w:val="none"/>
        </w:rPr>
        <w:t>。</w:t>
      </w:r>
    </w:p>
    <w:p w14:paraId="49816AA2">
      <w:pPr>
        <w:spacing w:line="460" w:lineRule="exact"/>
        <w:ind w:firstLine="484" w:firstLineChars="201"/>
        <w:rPr>
          <w:rFonts w:ascii="宋体" w:hAnsi="宋体" w:cs="宋体"/>
          <w:b/>
          <w:sz w:val="24"/>
          <w:highlight w:val="none"/>
        </w:rPr>
      </w:pPr>
      <w:r>
        <w:rPr>
          <w:rFonts w:hint="eastAsia" w:ascii="宋体" w:hAnsi="宋体" w:cs="宋体"/>
          <w:b/>
          <w:sz w:val="24"/>
          <w:highlight w:val="none"/>
        </w:rPr>
        <w:t>四、投标文件的递交</w:t>
      </w:r>
    </w:p>
    <w:p w14:paraId="635596B8">
      <w:pPr>
        <w:spacing w:line="460" w:lineRule="exact"/>
        <w:ind w:firstLine="484" w:firstLineChars="201"/>
        <w:rPr>
          <w:rFonts w:ascii="宋体" w:hAnsi="宋体" w:cs="宋体"/>
          <w:b/>
          <w:sz w:val="24"/>
          <w:highlight w:val="none"/>
        </w:rPr>
      </w:pPr>
      <w:r>
        <w:rPr>
          <w:rFonts w:hint="eastAsia" w:ascii="宋体" w:hAnsi="宋体" w:cs="宋体"/>
          <w:b/>
          <w:sz w:val="24"/>
          <w:highlight w:val="none"/>
        </w:rPr>
        <w:t>17.投标文件的密封和标记</w:t>
      </w:r>
    </w:p>
    <w:p w14:paraId="4A60DDE6">
      <w:pPr>
        <w:spacing w:line="460" w:lineRule="exact"/>
        <w:ind w:firstLine="484" w:firstLineChars="201"/>
        <w:rPr>
          <w:rFonts w:ascii="宋体" w:hAnsi="宋体" w:cs="宋体"/>
          <w:b/>
          <w:sz w:val="24"/>
          <w:highlight w:val="none"/>
        </w:rPr>
      </w:pPr>
      <w:r>
        <w:rPr>
          <w:rFonts w:hint="eastAsia" w:ascii="宋体" w:hAnsi="宋体" w:cs="宋体"/>
          <w:b/>
          <w:sz w:val="24"/>
          <w:highlight w:val="none"/>
        </w:rPr>
        <w:t>17.1电子投标文件的密封和标记</w:t>
      </w:r>
    </w:p>
    <w:p w14:paraId="1B190F23">
      <w:pPr>
        <w:spacing w:line="460" w:lineRule="exact"/>
        <w:ind w:firstLine="482" w:firstLineChars="201"/>
        <w:rPr>
          <w:rFonts w:ascii="宋体" w:hAnsi="宋体" w:cs="宋体"/>
          <w:sz w:val="24"/>
          <w:highlight w:val="none"/>
        </w:rPr>
      </w:pPr>
      <w:r>
        <w:rPr>
          <w:rFonts w:hint="eastAsia" w:ascii="宋体" w:hAnsi="宋体" w:cs="宋体"/>
          <w:sz w:val="24"/>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B8FA016">
      <w:pPr>
        <w:spacing w:line="460" w:lineRule="exact"/>
        <w:ind w:firstLine="484" w:firstLineChars="201"/>
        <w:rPr>
          <w:rFonts w:ascii="宋体" w:hAnsi="宋体" w:cs="宋体"/>
          <w:b/>
          <w:sz w:val="24"/>
          <w:highlight w:val="none"/>
        </w:rPr>
      </w:pPr>
      <w:r>
        <w:rPr>
          <w:rFonts w:hint="eastAsia" w:ascii="宋体" w:hAnsi="宋体" w:cs="宋体"/>
          <w:b/>
          <w:sz w:val="24"/>
          <w:highlight w:val="none"/>
        </w:rPr>
        <w:t>17.2资质证明文件原件的密封和标记</w:t>
      </w:r>
    </w:p>
    <w:p w14:paraId="4AA31526">
      <w:pPr>
        <w:spacing w:line="460" w:lineRule="exact"/>
        <w:ind w:firstLine="482" w:firstLineChars="201"/>
        <w:rPr>
          <w:rFonts w:ascii="宋体" w:hAnsi="宋体" w:cs="宋体"/>
          <w:sz w:val="24"/>
          <w:highlight w:val="none"/>
        </w:rPr>
      </w:pPr>
      <w:r>
        <w:rPr>
          <w:rFonts w:hint="eastAsia" w:ascii="宋体" w:hAnsi="宋体" w:cs="宋体"/>
          <w:sz w:val="24"/>
          <w:highlight w:val="none"/>
        </w:rPr>
        <w:t>本项目无需提供资质证明文件原件。</w:t>
      </w:r>
    </w:p>
    <w:p w14:paraId="7E845388">
      <w:pPr>
        <w:spacing w:line="460" w:lineRule="exact"/>
        <w:ind w:firstLine="484" w:firstLineChars="201"/>
        <w:rPr>
          <w:rFonts w:ascii="宋体" w:hAnsi="宋体" w:cs="宋体"/>
          <w:b/>
          <w:sz w:val="24"/>
          <w:highlight w:val="none"/>
        </w:rPr>
      </w:pPr>
      <w:r>
        <w:rPr>
          <w:rFonts w:hint="eastAsia" w:ascii="宋体" w:hAnsi="宋体" w:cs="宋体"/>
          <w:b/>
          <w:sz w:val="24"/>
          <w:highlight w:val="none"/>
        </w:rPr>
        <w:t>17.3文件递交</w:t>
      </w:r>
    </w:p>
    <w:p w14:paraId="163A6573">
      <w:pPr>
        <w:spacing w:line="460" w:lineRule="exact"/>
        <w:ind w:firstLine="482" w:firstLineChars="201"/>
        <w:rPr>
          <w:rFonts w:ascii="宋体" w:hAnsi="宋体" w:cs="宋体"/>
          <w:sz w:val="24"/>
          <w:highlight w:val="none"/>
        </w:rPr>
      </w:pPr>
      <w:r>
        <w:rPr>
          <w:rFonts w:hint="eastAsia" w:ascii="宋体" w:hAnsi="宋体" w:cs="宋体"/>
          <w:sz w:val="24"/>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宋体" w:hAnsi="宋体" w:cs="宋体"/>
          <w:b/>
          <w:sz w:val="24"/>
          <w:highlight w:val="none"/>
        </w:rPr>
        <w:t>其投标将会被判定为无效。</w:t>
      </w:r>
    </w:p>
    <w:p w14:paraId="5DA668F5">
      <w:pPr>
        <w:spacing w:line="460" w:lineRule="exact"/>
        <w:ind w:firstLine="484" w:firstLineChars="201"/>
        <w:rPr>
          <w:rFonts w:ascii="宋体" w:hAnsi="宋体" w:cs="宋体"/>
          <w:b/>
          <w:sz w:val="24"/>
          <w:highlight w:val="none"/>
        </w:rPr>
      </w:pPr>
      <w:r>
        <w:rPr>
          <w:rFonts w:hint="eastAsia" w:ascii="宋体" w:hAnsi="宋体" w:cs="宋体"/>
          <w:b/>
          <w:sz w:val="24"/>
          <w:highlight w:val="none"/>
        </w:rPr>
        <w:t>17.3.2投标人须牢记投标加密密码，该密码将用于开标时解密其电子投标文件，如忘记密码或输入密码错误次数太多导致其数字证书（CA）锁定，其提交的电子投标文件将无法解密，导致无法提取数据和供他人阅读文件，致使其投标失败。</w:t>
      </w:r>
    </w:p>
    <w:p w14:paraId="10898B6A">
      <w:pPr>
        <w:spacing w:line="460" w:lineRule="exact"/>
        <w:ind w:firstLine="482" w:firstLineChars="201"/>
        <w:rPr>
          <w:rFonts w:ascii="宋体" w:hAnsi="宋体" w:cs="宋体"/>
          <w:sz w:val="24"/>
          <w:highlight w:val="none"/>
        </w:rPr>
      </w:pPr>
      <w:r>
        <w:rPr>
          <w:rFonts w:hint="eastAsia" w:ascii="宋体" w:hAnsi="宋体" w:cs="宋体"/>
          <w:sz w:val="24"/>
          <w:highlight w:val="none"/>
        </w:rPr>
        <w:t>17.3.3除投标须知前附表另有规定外，</w:t>
      </w:r>
      <w:r>
        <w:rPr>
          <w:rFonts w:hint="eastAsia" w:ascii="宋体" w:hAnsi="宋体"/>
          <w:sz w:val="24"/>
          <w:highlight w:val="none"/>
        </w:rPr>
        <w:t>招标代理机构</w:t>
      </w:r>
      <w:r>
        <w:rPr>
          <w:rFonts w:hint="eastAsia" w:ascii="宋体" w:hAnsi="宋体" w:cs="宋体"/>
          <w:sz w:val="24"/>
          <w:highlight w:val="none"/>
        </w:rPr>
        <w:t>拒绝接收纸质投标文件。</w:t>
      </w:r>
    </w:p>
    <w:p w14:paraId="328B5F5F">
      <w:pPr>
        <w:spacing w:line="460" w:lineRule="exact"/>
        <w:ind w:firstLine="482" w:firstLineChars="201"/>
        <w:rPr>
          <w:rFonts w:ascii="宋体" w:hAnsi="宋体" w:cs="宋体"/>
          <w:sz w:val="24"/>
          <w:highlight w:val="none"/>
        </w:rPr>
      </w:pPr>
      <w:r>
        <w:rPr>
          <w:rFonts w:hint="eastAsia" w:ascii="宋体" w:hAnsi="宋体" w:cs="宋体"/>
          <w:sz w:val="24"/>
          <w:highlight w:val="none"/>
        </w:rPr>
        <w:t>17.3.4投标人应将网上递交的已盖章未加密的数据文件和投标文件谨慎保存以便启动应急开标程序时使用。</w:t>
      </w:r>
    </w:p>
    <w:p w14:paraId="6741A9DA">
      <w:pPr>
        <w:spacing w:line="460" w:lineRule="exact"/>
        <w:ind w:firstLine="484" w:firstLineChars="201"/>
        <w:rPr>
          <w:rFonts w:ascii="宋体" w:hAnsi="宋体" w:cs="宋体"/>
          <w:b/>
          <w:sz w:val="24"/>
          <w:highlight w:val="none"/>
        </w:rPr>
      </w:pPr>
      <w:r>
        <w:rPr>
          <w:rFonts w:hint="eastAsia" w:ascii="宋体" w:hAnsi="宋体" w:cs="宋体"/>
          <w:b/>
          <w:sz w:val="24"/>
          <w:highlight w:val="none"/>
        </w:rPr>
        <w:t>18.投标截止期</w:t>
      </w:r>
    </w:p>
    <w:p w14:paraId="30A00F64">
      <w:pPr>
        <w:spacing w:line="460" w:lineRule="exact"/>
        <w:ind w:firstLine="484" w:firstLineChars="201"/>
        <w:rPr>
          <w:rFonts w:ascii="宋体" w:hAnsi="宋体" w:cs="宋体"/>
          <w:b/>
          <w:sz w:val="24"/>
          <w:highlight w:val="none"/>
        </w:rPr>
      </w:pPr>
      <w:r>
        <w:rPr>
          <w:rFonts w:hint="eastAsia" w:ascii="宋体" w:hAnsi="宋体" w:cs="宋体"/>
          <w:b/>
          <w:sz w:val="24"/>
          <w:highlight w:val="none"/>
        </w:rPr>
        <w:t>本次招标的投标截止期见《投标须知前附表》。</w:t>
      </w:r>
    </w:p>
    <w:p w14:paraId="677F93B8">
      <w:pPr>
        <w:spacing w:line="460" w:lineRule="exact"/>
        <w:ind w:firstLine="484" w:firstLineChars="201"/>
        <w:rPr>
          <w:rFonts w:ascii="宋体" w:hAnsi="宋体" w:cs="宋体"/>
          <w:b/>
          <w:sz w:val="24"/>
          <w:highlight w:val="none"/>
        </w:rPr>
      </w:pPr>
      <w:r>
        <w:rPr>
          <w:rFonts w:hint="eastAsia" w:ascii="宋体" w:hAnsi="宋体" w:cs="宋体"/>
          <w:b/>
          <w:sz w:val="24"/>
          <w:highlight w:val="none"/>
        </w:rPr>
        <w:t>19.迟交的投标文件</w:t>
      </w:r>
    </w:p>
    <w:p w14:paraId="1E17C1C1">
      <w:pPr>
        <w:spacing w:line="460" w:lineRule="exact"/>
        <w:ind w:firstLine="482" w:firstLineChars="201"/>
        <w:rPr>
          <w:rFonts w:ascii="宋体" w:hAnsi="宋体" w:cs="宋体"/>
          <w:sz w:val="24"/>
          <w:highlight w:val="none"/>
        </w:rPr>
      </w:pPr>
      <w:r>
        <w:rPr>
          <w:rFonts w:hint="eastAsia" w:ascii="宋体" w:hAnsi="宋体" w:cs="宋体"/>
          <w:sz w:val="24"/>
          <w:highlight w:val="none"/>
        </w:rPr>
        <w:t>威海市国有企业阳光采购电子化服务平台无法接收投标截止期后递交的电子投标文件。</w:t>
      </w:r>
    </w:p>
    <w:p w14:paraId="3D243944">
      <w:pPr>
        <w:spacing w:line="460" w:lineRule="exact"/>
        <w:ind w:firstLine="484" w:firstLineChars="201"/>
        <w:rPr>
          <w:rFonts w:ascii="宋体" w:hAnsi="宋体" w:cs="宋体"/>
          <w:b/>
          <w:sz w:val="24"/>
          <w:highlight w:val="none"/>
        </w:rPr>
      </w:pPr>
      <w:r>
        <w:rPr>
          <w:rFonts w:hint="eastAsia" w:ascii="宋体" w:hAnsi="宋体" w:cs="宋体"/>
          <w:b/>
          <w:sz w:val="24"/>
          <w:highlight w:val="none"/>
        </w:rPr>
        <w:t>20.</w:t>
      </w:r>
      <w:r>
        <w:rPr>
          <w:rFonts w:hint="eastAsia" w:ascii="宋体" w:hAnsi="宋体"/>
          <w:b/>
          <w:sz w:val="24"/>
          <w:highlight w:val="none"/>
        </w:rPr>
        <w:t>现场演示</w:t>
      </w:r>
      <w:r>
        <w:rPr>
          <w:rFonts w:ascii="宋体" w:hAnsi="宋体"/>
          <w:b/>
          <w:sz w:val="24"/>
          <w:highlight w:val="none"/>
        </w:rPr>
        <w:t>/</w:t>
      </w:r>
      <w:r>
        <w:rPr>
          <w:rFonts w:hint="eastAsia" w:ascii="宋体" w:hAnsi="宋体"/>
          <w:b/>
          <w:sz w:val="24"/>
          <w:highlight w:val="none"/>
        </w:rPr>
        <w:t>样品递交</w:t>
      </w:r>
    </w:p>
    <w:p w14:paraId="17FEE775">
      <w:pPr>
        <w:snapToGrid w:val="0"/>
        <w:spacing w:line="460" w:lineRule="exact"/>
        <w:ind w:firstLine="482" w:firstLineChars="201"/>
        <w:rPr>
          <w:rFonts w:ascii="宋体" w:hAnsi="宋体"/>
          <w:sz w:val="24"/>
          <w:highlight w:val="none"/>
        </w:rPr>
      </w:pPr>
      <w:r>
        <w:rPr>
          <w:rFonts w:hint="eastAsia" w:ascii="宋体" w:hAnsi="宋体"/>
          <w:sz w:val="24"/>
          <w:highlight w:val="none"/>
        </w:rPr>
        <w:t>20.1招标人可以要求投标人对其提供的信息化、自动化等相关类别服务进行演示。投标人可以到现场演示，也可以使用系统“网上评标”中的“谈判”功能与评标专家进行远程演示。</w:t>
      </w:r>
    </w:p>
    <w:p w14:paraId="5E1FB07B">
      <w:pPr>
        <w:snapToGrid w:val="0"/>
        <w:spacing w:line="460" w:lineRule="exact"/>
        <w:ind w:firstLine="482" w:firstLineChars="201"/>
        <w:rPr>
          <w:rFonts w:ascii="宋体" w:hAnsi="宋体"/>
          <w:sz w:val="24"/>
          <w:highlight w:val="none"/>
        </w:rPr>
      </w:pPr>
      <w:r>
        <w:rPr>
          <w:rFonts w:hint="eastAsia" w:ascii="宋体" w:hAnsi="宋体"/>
          <w:sz w:val="24"/>
          <w:highlight w:val="none"/>
        </w:rPr>
        <w:t>20.2若服务项目涉及货物时，招标人可以要求投标人提供样品，样品作为投标文件的一部分。未中标</w:t>
      </w:r>
      <w:r>
        <w:rPr>
          <w:rFonts w:hint="eastAsia" w:ascii="宋体" w:hAnsi="宋体" w:cs="宋体"/>
          <w:sz w:val="24"/>
          <w:highlight w:val="none"/>
        </w:rPr>
        <w:t>投标人</w:t>
      </w:r>
      <w:r>
        <w:rPr>
          <w:rFonts w:hint="eastAsia" w:ascii="宋体" w:hAnsi="宋体"/>
          <w:sz w:val="24"/>
          <w:highlight w:val="none"/>
        </w:rPr>
        <w:t>提供的样品将于评审结束后退还。中标人的样品由招标人保留，作为验收的参考。</w:t>
      </w:r>
    </w:p>
    <w:p w14:paraId="0235AFF0">
      <w:pPr>
        <w:spacing w:line="460" w:lineRule="exact"/>
        <w:ind w:firstLine="484" w:firstLineChars="201"/>
        <w:rPr>
          <w:rFonts w:ascii="宋体" w:hAnsi="宋体" w:cs="宋体"/>
          <w:b/>
          <w:sz w:val="24"/>
          <w:highlight w:val="none"/>
        </w:rPr>
      </w:pPr>
      <w:r>
        <w:rPr>
          <w:rFonts w:hint="eastAsia" w:ascii="宋体" w:hAnsi="宋体" w:cs="宋体"/>
          <w:b/>
          <w:sz w:val="24"/>
          <w:highlight w:val="none"/>
        </w:rPr>
        <w:t>是否要求投标人</w:t>
      </w:r>
      <w:r>
        <w:rPr>
          <w:rFonts w:hint="eastAsia" w:ascii="宋体" w:hAnsi="宋体"/>
          <w:b/>
          <w:sz w:val="24"/>
          <w:highlight w:val="none"/>
        </w:rPr>
        <w:t>提供演示/提交样品</w:t>
      </w:r>
      <w:r>
        <w:rPr>
          <w:rFonts w:hint="eastAsia" w:ascii="宋体" w:hAnsi="宋体" w:cs="宋体"/>
          <w:b/>
          <w:sz w:val="24"/>
          <w:highlight w:val="none"/>
        </w:rPr>
        <w:t>，详见招标文件《投标须知前附表》的有关规定。</w:t>
      </w:r>
    </w:p>
    <w:p w14:paraId="31A1D157">
      <w:pPr>
        <w:spacing w:line="460" w:lineRule="exact"/>
        <w:ind w:firstLine="484" w:firstLineChars="201"/>
        <w:rPr>
          <w:rFonts w:ascii="宋体" w:hAnsi="宋体" w:cs="宋体"/>
          <w:b/>
          <w:sz w:val="24"/>
          <w:highlight w:val="none"/>
        </w:rPr>
      </w:pPr>
      <w:r>
        <w:rPr>
          <w:rFonts w:hint="eastAsia" w:ascii="宋体" w:hAnsi="宋体" w:cs="宋体"/>
          <w:b/>
          <w:sz w:val="24"/>
          <w:highlight w:val="none"/>
        </w:rPr>
        <w:t>21.投标文件的修改和撤回</w:t>
      </w:r>
    </w:p>
    <w:p w14:paraId="046064FB">
      <w:pPr>
        <w:spacing w:line="460" w:lineRule="exact"/>
        <w:ind w:firstLine="482" w:firstLineChars="201"/>
        <w:rPr>
          <w:rFonts w:ascii="宋体" w:hAnsi="宋体" w:cs="宋体"/>
          <w:sz w:val="24"/>
          <w:highlight w:val="none"/>
        </w:rPr>
      </w:pPr>
      <w:r>
        <w:rPr>
          <w:rFonts w:hint="eastAsia" w:ascii="宋体" w:hAnsi="宋体" w:cs="宋体"/>
          <w:sz w:val="24"/>
          <w:highlight w:val="none"/>
        </w:rPr>
        <w:t>21.1投标人必须在规定的投标截止期之前将修改的投标文件和数据文件上传到威海市国有企业阳光采购电子化服务平台,在投标截止期之后，投标人不得对其投标文件做任何修改。</w:t>
      </w:r>
    </w:p>
    <w:p w14:paraId="3778CF30">
      <w:pPr>
        <w:spacing w:line="460" w:lineRule="exact"/>
        <w:ind w:firstLine="482" w:firstLineChars="201"/>
        <w:rPr>
          <w:rFonts w:ascii="宋体" w:hAnsi="宋体" w:cs="宋体"/>
          <w:sz w:val="24"/>
          <w:highlight w:val="none"/>
        </w:rPr>
      </w:pPr>
      <w:r>
        <w:rPr>
          <w:rFonts w:hint="eastAsia" w:ascii="宋体" w:hAnsi="宋体" w:cs="宋体"/>
          <w:sz w:val="24"/>
          <w:highlight w:val="none"/>
        </w:rPr>
        <w:t>21.2投标人在递交投标文件后，可以在投标截止期之前撤回其投标。</w:t>
      </w:r>
    </w:p>
    <w:p w14:paraId="16DB07F4">
      <w:pPr>
        <w:spacing w:line="460" w:lineRule="exact"/>
        <w:ind w:firstLine="482" w:firstLineChars="201"/>
        <w:rPr>
          <w:rFonts w:ascii="宋体" w:hAnsi="宋体" w:cs="宋体"/>
          <w:sz w:val="24"/>
          <w:highlight w:val="none"/>
        </w:rPr>
      </w:pPr>
      <w:r>
        <w:rPr>
          <w:rFonts w:hint="eastAsia" w:ascii="宋体" w:hAnsi="宋体" w:cs="宋体"/>
          <w:sz w:val="24"/>
          <w:highlight w:val="none"/>
        </w:rPr>
        <w:t>21.3开标后不允许对投标文件做实质性修改和补充，不得撤回投标文件。</w:t>
      </w:r>
    </w:p>
    <w:p w14:paraId="3F379D0A">
      <w:pPr>
        <w:spacing w:line="460" w:lineRule="exact"/>
        <w:ind w:firstLine="484" w:firstLineChars="201"/>
        <w:rPr>
          <w:rFonts w:ascii="宋体" w:hAnsi="宋体" w:cs="宋体"/>
          <w:b/>
          <w:sz w:val="24"/>
          <w:highlight w:val="none"/>
        </w:rPr>
      </w:pPr>
      <w:r>
        <w:rPr>
          <w:rFonts w:hint="eastAsia" w:ascii="宋体" w:hAnsi="宋体" w:cs="宋体"/>
          <w:b/>
          <w:sz w:val="24"/>
          <w:highlight w:val="none"/>
        </w:rPr>
        <w:t>五、开标与评审</w:t>
      </w:r>
    </w:p>
    <w:p w14:paraId="01222F3C">
      <w:pPr>
        <w:spacing w:line="460" w:lineRule="exact"/>
        <w:ind w:firstLine="484" w:firstLineChars="201"/>
        <w:rPr>
          <w:rFonts w:ascii="宋体" w:hAnsi="宋体" w:cs="宋体"/>
          <w:b/>
          <w:sz w:val="24"/>
          <w:highlight w:val="none"/>
        </w:rPr>
      </w:pPr>
      <w:r>
        <w:rPr>
          <w:rFonts w:hint="eastAsia" w:ascii="宋体" w:hAnsi="宋体" w:cs="宋体"/>
          <w:b/>
          <w:sz w:val="24"/>
          <w:highlight w:val="none"/>
        </w:rPr>
        <w:t>22.开标</w:t>
      </w:r>
    </w:p>
    <w:p w14:paraId="6723BCBB">
      <w:pPr>
        <w:spacing w:line="460" w:lineRule="exact"/>
        <w:ind w:firstLine="482" w:firstLineChars="201"/>
        <w:rPr>
          <w:rFonts w:ascii="宋体" w:hAnsi="宋体" w:cs="宋体"/>
          <w:sz w:val="24"/>
          <w:highlight w:val="none"/>
        </w:rPr>
      </w:pPr>
      <w:r>
        <w:rPr>
          <w:rFonts w:hint="eastAsia" w:ascii="宋体" w:hAnsi="宋体" w:cs="宋体"/>
          <w:sz w:val="24"/>
          <w:highlight w:val="none"/>
        </w:rPr>
        <w:t>22.1投标截止时间结束后，投标人不足3家的不得开标。</w:t>
      </w:r>
    </w:p>
    <w:p w14:paraId="72756CD5">
      <w:pPr>
        <w:spacing w:line="460" w:lineRule="exact"/>
        <w:ind w:firstLine="482" w:firstLineChars="201"/>
        <w:rPr>
          <w:rFonts w:ascii="宋体" w:hAnsi="宋体" w:cs="宋体"/>
          <w:sz w:val="24"/>
          <w:highlight w:val="none"/>
        </w:rPr>
      </w:pPr>
      <w:r>
        <w:rPr>
          <w:rFonts w:hint="eastAsia" w:ascii="宋体" w:hAnsi="宋体" w:cs="宋体"/>
          <w:sz w:val="24"/>
          <w:highlight w:val="none"/>
        </w:rPr>
        <w:t>22.2</w:t>
      </w:r>
      <w:r>
        <w:rPr>
          <w:rFonts w:hint="eastAsia" w:ascii="宋体" w:hAnsi="宋体"/>
          <w:sz w:val="24"/>
          <w:highlight w:val="none"/>
        </w:rPr>
        <w:t>招标代理机构</w:t>
      </w:r>
      <w:r>
        <w:rPr>
          <w:rFonts w:hint="eastAsia" w:ascii="宋体" w:hAnsi="宋体" w:cs="宋体"/>
          <w:sz w:val="24"/>
          <w:highlight w:val="none"/>
        </w:rPr>
        <w:t>在招标公告规定的时间和地点组织开标。投标人需提前准备已配置好环境的电脑，在规定的时间进行远程开标的各项操作。</w:t>
      </w:r>
    </w:p>
    <w:p w14:paraId="5F9C73E0">
      <w:pPr>
        <w:spacing w:line="460" w:lineRule="exact"/>
        <w:ind w:firstLine="482" w:firstLineChars="201"/>
        <w:rPr>
          <w:rFonts w:ascii="宋体" w:hAnsi="宋体" w:cs="宋体"/>
          <w:sz w:val="24"/>
          <w:highlight w:val="none"/>
        </w:rPr>
      </w:pPr>
      <w:r>
        <w:rPr>
          <w:rFonts w:hint="eastAsia" w:ascii="宋体" w:hAnsi="宋体" w:cs="宋体"/>
          <w:sz w:val="24"/>
          <w:highlight w:val="none"/>
        </w:rPr>
        <w:t>22.3参加开标的投标人代表应在签到表格相应位置上加盖CA锁中的法定代表人电子人名章以证明其出席，未完成签到的将会被</w:t>
      </w:r>
      <w:r>
        <w:rPr>
          <w:rFonts w:hint="eastAsia" w:ascii="宋体" w:hAnsi="宋体" w:cs="宋体"/>
          <w:b/>
          <w:sz w:val="24"/>
          <w:highlight w:val="none"/>
        </w:rPr>
        <w:t>视作</w:t>
      </w:r>
      <w:r>
        <w:rPr>
          <w:rFonts w:hint="eastAsia" w:ascii="宋体" w:hAnsi="宋体" w:cs="宋体"/>
          <w:sz w:val="24"/>
          <w:highlight w:val="none"/>
        </w:rPr>
        <w:t>认同开标结果。</w:t>
      </w:r>
    </w:p>
    <w:p w14:paraId="3C9D3FA9">
      <w:pPr>
        <w:spacing w:line="460" w:lineRule="exact"/>
        <w:ind w:firstLine="482" w:firstLineChars="201"/>
        <w:rPr>
          <w:rFonts w:ascii="宋体" w:hAnsi="宋体" w:cs="宋体"/>
          <w:sz w:val="24"/>
          <w:highlight w:val="none"/>
        </w:rPr>
      </w:pPr>
      <w:r>
        <w:rPr>
          <w:rFonts w:hint="eastAsia" w:ascii="宋体" w:hAnsi="宋体" w:cs="宋体"/>
          <w:sz w:val="24"/>
          <w:highlight w:val="none"/>
        </w:rPr>
        <w:t>22.4投标须知前附表规定了文件解密时间，投标人忘记密码、输入密码错误太多导致CA锁定、未能按时完成解密、其《数据文件》填写、盖章不规范等导致系统无法解析的，将会被视为</w:t>
      </w:r>
      <w:r>
        <w:rPr>
          <w:rFonts w:hint="eastAsia" w:ascii="宋体" w:hAnsi="宋体" w:cs="宋体"/>
          <w:b/>
          <w:sz w:val="24"/>
          <w:highlight w:val="none"/>
        </w:rPr>
        <w:t>无效投标</w:t>
      </w:r>
      <w:r>
        <w:rPr>
          <w:rFonts w:hint="eastAsia" w:ascii="宋体" w:hAnsi="宋体" w:cs="宋体"/>
          <w:sz w:val="24"/>
          <w:highlight w:val="none"/>
        </w:rPr>
        <w:t>。</w:t>
      </w:r>
    </w:p>
    <w:p w14:paraId="0F65E301">
      <w:pPr>
        <w:spacing w:line="460" w:lineRule="exact"/>
        <w:ind w:firstLine="482" w:firstLineChars="201"/>
        <w:rPr>
          <w:rFonts w:ascii="宋体" w:hAnsi="宋体" w:cs="宋体"/>
          <w:sz w:val="24"/>
          <w:highlight w:val="none"/>
        </w:rPr>
      </w:pPr>
      <w:r>
        <w:rPr>
          <w:rFonts w:hint="eastAsia" w:ascii="宋体" w:hAnsi="宋体" w:cs="宋体"/>
          <w:sz w:val="24"/>
          <w:highlight w:val="none"/>
        </w:rPr>
        <w:t>22.5开标过程应当由招标人或</w:t>
      </w:r>
      <w:r>
        <w:rPr>
          <w:rFonts w:hint="eastAsia" w:ascii="宋体" w:hAnsi="宋体"/>
          <w:sz w:val="24"/>
          <w:highlight w:val="none"/>
        </w:rPr>
        <w:t>招标代理机构</w:t>
      </w:r>
      <w:r>
        <w:rPr>
          <w:rFonts w:hint="eastAsia" w:ascii="宋体" w:hAnsi="宋体" w:cs="宋体"/>
          <w:sz w:val="24"/>
          <w:highlight w:val="none"/>
        </w:rPr>
        <w:t>负责记录，最终形成开标一览表并由各投标人代表和相关工作人员签字或盖章确认。</w:t>
      </w:r>
    </w:p>
    <w:p w14:paraId="6E038745">
      <w:pPr>
        <w:spacing w:line="460" w:lineRule="exact"/>
        <w:ind w:firstLine="482" w:firstLineChars="201"/>
        <w:rPr>
          <w:rFonts w:ascii="宋体" w:hAnsi="宋体" w:cs="宋体"/>
          <w:sz w:val="24"/>
          <w:highlight w:val="none"/>
        </w:rPr>
      </w:pPr>
      <w:r>
        <w:rPr>
          <w:rFonts w:hint="eastAsia" w:ascii="宋体" w:hAnsi="宋体" w:cs="宋体"/>
          <w:sz w:val="24"/>
          <w:highlight w:val="none"/>
        </w:rPr>
        <w:t>22.6投标人代表对开标过程和开标记录有疑义，以及认为招标人、</w:t>
      </w:r>
      <w:r>
        <w:rPr>
          <w:rFonts w:hint="eastAsia" w:ascii="宋体" w:hAnsi="宋体"/>
          <w:sz w:val="24"/>
          <w:highlight w:val="none"/>
        </w:rPr>
        <w:t>招标代理机构</w:t>
      </w:r>
      <w:r>
        <w:rPr>
          <w:rFonts w:hint="eastAsia" w:ascii="宋体" w:hAnsi="宋体" w:cs="宋体"/>
          <w:sz w:val="24"/>
          <w:highlight w:val="none"/>
        </w:rPr>
        <w:t>相关工作人员有需要回避的情形的，应当场提出询问或者回避申请。招标人、</w:t>
      </w:r>
      <w:r>
        <w:rPr>
          <w:rFonts w:hint="eastAsia" w:ascii="宋体" w:hAnsi="宋体"/>
          <w:sz w:val="24"/>
          <w:highlight w:val="none"/>
        </w:rPr>
        <w:t>招标代理机构</w:t>
      </w:r>
      <w:r>
        <w:rPr>
          <w:rFonts w:hint="eastAsia" w:ascii="宋体" w:hAnsi="宋体" w:cs="宋体"/>
          <w:sz w:val="24"/>
          <w:highlight w:val="none"/>
        </w:rPr>
        <w:t>对投标人代表提出的询问或者回避申请应当及时处理。</w:t>
      </w:r>
    </w:p>
    <w:p w14:paraId="356FF387">
      <w:pPr>
        <w:spacing w:line="460" w:lineRule="exact"/>
        <w:ind w:firstLine="482" w:firstLineChars="201"/>
        <w:rPr>
          <w:rFonts w:ascii="宋体" w:hAnsi="宋体" w:cs="宋体"/>
          <w:sz w:val="24"/>
          <w:highlight w:val="none"/>
        </w:rPr>
      </w:pPr>
      <w:r>
        <w:rPr>
          <w:rFonts w:hint="eastAsia" w:ascii="宋体" w:hAnsi="宋体" w:cs="宋体"/>
          <w:sz w:val="24"/>
          <w:highlight w:val="none"/>
        </w:rPr>
        <w:t>22.7录音、录像：威海市公共资源交易中心负责从递交投标文件开始到定标结束全过程的录音、录像工作，确保声音清楚、图像清晰、内容无遗漏。</w:t>
      </w:r>
    </w:p>
    <w:p w14:paraId="669C8249">
      <w:pPr>
        <w:spacing w:line="460" w:lineRule="exact"/>
        <w:ind w:firstLine="482" w:firstLineChars="201"/>
        <w:rPr>
          <w:rFonts w:ascii="宋体" w:hAnsi="宋体" w:cs="宋体"/>
          <w:sz w:val="24"/>
          <w:highlight w:val="none"/>
        </w:rPr>
      </w:pPr>
      <w:r>
        <w:rPr>
          <w:rFonts w:hint="eastAsia" w:ascii="宋体" w:hAnsi="宋体" w:cs="宋体"/>
          <w:sz w:val="24"/>
          <w:highlight w:val="none"/>
        </w:rPr>
        <w:t>22.8评审过程中，如遇特殊情况，服从公共资源交易中心场地调配，并遵守相关规章制度。</w:t>
      </w:r>
    </w:p>
    <w:p w14:paraId="61CA8B95">
      <w:pPr>
        <w:spacing w:line="460" w:lineRule="exact"/>
        <w:ind w:firstLine="482" w:firstLineChars="201"/>
        <w:rPr>
          <w:rFonts w:ascii="宋体" w:hAnsi="宋体" w:cs="宋体"/>
          <w:sz w:val="24"/>
          <w:highlight w:val="none"/>
        </w:rPr>
      </w:pPr>
      <w:r>
        <w:rPr>
          <w:rFonts w:hint="eastAsia" w:ascii="宋体" w:hAnsi="宋体" w:cs="宋体"/>
          <w:sz w:val="24"/>
          <w:highlight w:val="none"/>
        </w:rPr>
        <w:t>22.9对投标文件报价出现前后不一致的，按以下规定修正：</w:t>
      </w:r>
    </w:p>
    <w:p w14:paraId="0EB0E7BA">
      <w:pPr>
        <w:spacing w:line="460" w:lineRule="exact"/>
        <w:ind w:firstLine="482" w:firstLineChars="201"/>
        <w:rPr>
          <w:rFonts w:ascii="宋体" w:hAnsi="宋体" w:cs="宋体"/>
          <w:sz w:val="24"/>
          <w:highlight w:val="none"/>
        </w:rPr>
      </w:pPr>
      <w:r>
        <w:rPr>
          <w:rFonts w:hint="eastAsia" w:ascii="宋体" w:hAnsi="宋体" w:cs="宋体"/>
          <w:sz w:val="24"/>
          <w:highlight w:val="none"/>
        </w:rPr>
        <w:t>（1）“投标（报价）一览表”的报价与“报价明细表”的报价不一致的，以“投标（报价）一览表”的报价为准；</w:t>
      </w:r>
    </w:p>
    <w:p w14:paraId="7FEB3C51">
      <w:pPr>
        <w:spacing w:line="460" w:lineRule="exact"/>
        <w:ind w:firstLine="482" w:firstLineChars="201"/>
        <w:rPr>
          <w:rFonts w:ascii="宋体" w:hAnsi="宋体" w:cs="宋体"/>
          <w:sz w:val="24"/>
          <w:highlight w:val="none"/>
        </w:rPr>
      </w:pPr>
      <w:r>
        <w:rPr>
          <w:rFonts w:hint="eastAsia" w:ascii="宋体" w:hAnsi="宋体" w:cs="宋体"/>
          <w:sz w:val="24"/>
          <w:highlight w:val="none"/>
        </w:rPr>
        <w:t>（2）大写金额和小写金额不一致的，以大写金额为准；</w:t>
      </w:r>
    </w:p>
    <w:p w14:paraId="354AE106">
      <w:pPr>
        <w:spacing w:line="460" w:lineRule="exact"/>
        <w:ind w:firstLine="482" w:firstLineChars="201"/>
        <w:rPr>
          <w:rFonts w:ascii="宋体" w:hAnsi="宋体" w:cs="宋体"/>
          <w:sz w:val="24"/>
          <w:highlight w:val="none"/>
        </w:rPr>
      </w:pPr>
      <w:r>
        <w:rPr>
          <w:rFonts w:hint="eastAsia" w:ascii="宋体" w:hAnsi="宋体" w:cs="宋体"/>
          <w:sz w:val="24"/>
          <w:highlight w:val="none"/>
        </w:rPr>
        <w:t>（3）单价金额小数点或者百分比有明显错位的，以投标（报价）一览表的总价为准，并修改单价。</w:t>
      </w:r>
    </w:p>
    <w:p w14:paraId="5EE7E5B0">
      <w:pPr>
        <w:spacing w:line="460" w:lineRule="exact"/>
        <w:ind w:firstLine="482" w:firstLineChars="201"/>
        <w:rPr>
          <w:rFonts w:ascii="宋体" w:hAnsi="宋体" w:cs="宋体"/>
          <w:sz w:val="24"/>
          <w:highlight w:val="none"/>
        </w:rPr>
      </w:pPr>
      <w:r>
        <w:rPr>
          <w:rFonts w:hint="eastAsia" w:ascii="宋体" w:hAnsi="宋体" w:cs="宋体"/>
          <w:sz w:val="24"/>
          <w:highlight w:val="none"/>
        </w:rPr>
        <w:t>（4）总价金额与按单价汇总金额不一致的，以单价金额计算结果为准。</w:t>
      </w:r>
    </w:p>
    <w:p w14:paraId="0B3BE6AE">
      <w:pPr>
        <w:spacing w:line="460" w:lineRule="exact"/>
        <w:ind w:firstLine="482" w:firstLineChars="201"/>
        <w:rPr>
          <w:rFonts w:ascii="宋体" w:hAnsi="宋体" w:cs="宋体"/>
          <w:sz w:val="24"/>
          <w:highlight w:val="none"/>
        </w:rPr>
      </w:pPr>
      <w:r>
        <w:rPr>
          <w:rFonts w:hint="eastAsia" w:ascii="宋体" w:hAnsi="宋体" w:cs="宋体"/>
          <w:sz w:val="24"/>
          <w:highlight w:val="none"/>
        </w:rPr>
        <w:t>（5）同时出现两种以上不一致的，按照前款规定的顺序修正。修正后的报价经投标人确认后产生约束力，投标人不确认的，其投标无效。</w:t>
      </w:r>
    </w:p>
    <w:p w14:paraId="076B0422">
      <w:pPr>
        <w:spacing w:line="460" w:lineRule="exact"/>
        <w:ind w:firstLine="482" w:firstLineChars="201"/>
        <w:rPr>
          <w:rFonts w:ascii="宋体" w:hAnsi="宋体" w:cs="宋体"/>
          <w:sz w:val="24"/>
          <w:highlight w:val="none"/>
        </w:rPr>
      </w:pPr>
      <w:r>
        <w:rPr>
          <w:rFonts w:hint="eastAsia" w:ascii="宋体" w:hAnsi="宋体" w:cs="宋体"/>
          <w:sz w:val="24"/>
          <w:highlight w:val="none"/>
        </w:rPr>
        <w:t>22.10开标程序</w:t>
      </w:r>
    </w:p>
    <w:p w14:paraId="129B507B">
      <w:pPr>
        <w:spacing w:line="460" w:lineRule="exact"/>
        <w:ind w:firstLine="482" w:firstLineChars="201"/>
        <w:rPr>
          <w:rFonts w:ascii="宋体" w:hAnsi="宋体" w:cs="宋体"/>
          <w:sz w:val="24"/>
          <w:highlight w:val="none"/>
        </w:rPr>
      </w:pPr>
      <w:r>
        <w:rPr>
          <w:rFonts w:hint="eastAsia" w:ascii="宋体" w:hAnsi="宋体" w:cs="宋体"/>
          <w:sz w:val="24"/>
          <w:highlight w:val="none"/>
        </w:rPr>
        <w:t>22.10.1签到：在投标须知前附表规定的时间完成签到。</w:t>
      </w:r>
    </w:p>
    <w:p w14:paraId="31B33137">
      <w:pPr>
        <w:spacing w:line="460" w:lineRule="exact"/>
        <w:ind w:firstLine="482" w:firstLineChars="201"/>
        <w:rPr>
          <w:rFonts w:ascii="宋体" w:hAnsi="宋体" w:cs="宋体"/>
          <w:sz w:val="24"/>
          <w:highlight w:val="none"/>
        </w:rPr>
      </w:pPr>
      <w:r>
        <w:rPr>
          <w:rFonts w:hint="eastAsia" w:ascii="宋体" w:hAnsi="宋体" w:cs="宋体"/>
          <w:sz w:val="24"/>
          <w:highlight w:val="none"/>
        </w:rPr>
        <w:t>22.10.2开标：工作人员在投标须知前附表规定的开标时间启动开标。</w:t>
      </w:r>
    </w:p>
    <w:p w14:paraId="6C770A5C">
      <w:pPr>
        <w:spacing w:line="460" w:lineRule="exact"/>
        <w:ind w:firstLine="482" w:firstLineChars="201"/>
        <w:rPr>
          <w:rFonts w:ascii="宋体" w:hAnsi="宋体" w:cs="宋体"/>
          <w:sz w:val="24"/>
          <w:highlight w:val="none"/>
        </w:rPr>
      </w:pPr>
      <w:r>
        <w:rPr>
          <w:rFonts w:hint="eastAsia" w:ascii="宋体" w:hAnsi="宋体" w:cs="宋体"/>
          <w:sz w:val="24"/>
          <w:highlight w:val="none"/>
        </w:rPr>
        <w:t>22.10.3解密：开标后工作人员启动开始解密指令，投标人开始输入解密密码，解密时间到后工作人员启动停止解密指令。</w:t>
      </w:r>
    </w:p>
    <w:p w14:paraId="163ACE50">
      <w:pPr>
        <w:spacing w:line="460" w:lineRule="exact"/>
        <w:ind w:firstLine="482" w:firstLineChars="201"/>
        <w:rPr>
          <w:rFonts w:ascii="宋体" w:hAnsi="宋体" w:cs="宋体"/>
          <w:sz w:val="24"/>
          <w:highlight w:val="none"/>
        </w:rPr>
      </w:pPr>
      <w:r>
        <w:rPr>
          <w:rFonts w:hint="eastAsia" w:ascii="宋体" w:hAnsi="宋体" w:cs="宋体"/>
          <w:sz w:val="24"/>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731407F2">
      <w:pPr>
        <w:spacing w:line="460" w:lineRule="exact"/>
        <w:ind w:firstLine="482" w:firstLineChars="201"/>
        <w:rPr>
          <w:rFonts w:ascii="宋体" w:hAnsi="宋体" w:cs="宋体"/>
          <w:sz w:val="24"/>
          <w:highlight w:val="none"/>
        </w:rPr>
      </w:pPr>
      <w:r>
        <w:rPr>
          <w:rFonts w:hint="eastAsia" w:ascii="宋体" w:hAnsi="宋体" w:cs="宋体"/>
          <w:sz w:val="24"/>
          <w:highlight w:val="none"/>
        </w:rPr>
        <w:t>22.11紧急情况处理</w:t>
      </w:r>
    </w:p>
    <w:p w14:paraId="0CAEEBAF">
      <w:pPr>
        <w:spacing w:line="460" w:lineRule="exact"/>
        <w:ind w:firstLine="482" w:firstLineChars="201"/>
        <w:rPr>
          <w:rFonts w:ascii="宋体" w:hAnsi="宋体" w:cs="宋体"/>
          <w:sz w:val="24"/>
          <w:highlight w:val="none"/>
        </w:rPr>
      </w:pPr>
      <w:r>
        <w:rPr>
          <w:rFonts w:hint="eastAsia" w:ascii="宋体" w:hAnsi="宋体" w:cs="宋体"/>
          <w:sz w:val="24"/>
          <w:highlight w:val="none"/>
        </w:rPr>
        <w:t>电子开标过程中如出现下列情况，导致系统无法正常运行，或者无法保证开标过程的公平、公正和信息安全时，应停止开标。</w:t>
      </w:r>
    </w:p>
    <w:p w14:paraId="070A1FAC">
      <w:pPr>
        <w:spacing w:line="460" w:lineRule="exact"/>
        <w:ind w:firstLine="482" w:firstLineChars="201"/>
        <w:rPr>
          <w:rFonts w:ascii="宋体" w:hAnsi="宋体" w:cs="宋体"/>
          <w:sz w:val="24"/>
          <w:highlight w:val="none"/>
        </w:rPr>
      </w:pPr>
      <w:r>
        <w:rPr>
          <w:rFonts w:hint="eastAsia" w:ascii="宋体" w:hAnsi="宋体" w:cs="宋体"/>
          <w:sz w:val="24"/>
          <w:highlight w:val="none"/>
        </w:rPr>
        <w:t>（1）系统服务器发生故障，无法访问或无法使用系统；</w:t>
      </w:r>
    </w:p>
    <w:p w14:paraId="29AAE87D">
      <w:pPr>
        <w:spacing w:line="460" w:lineRule="exact"/>
        <w:ind w:firstLine="482" w:firstLineChars="201"/>
        <w:rPr>
          <w:rFonts w:ascii="宋体" w:hAnsi="宋体" w:cs="宋体"/>
          <w:sz w:val="24"/>
          <w:highlight w:val="none"/>
        </w:rPr>
      </w:pPr>
      <w:r>
        <w:rPr>
          <w:rFonts w:hint="eastAsia" w:ascii="宋体" w:hAnsi="宋体" w:cs="宋体"/>
          <w:sz w:val="24"/>
          <w:highlight w:val="none"/>
        </w:rPr>
        <w:t>（2）系统的软件或数据库出现错误，不能进行正常操作；</w:t>
      </w:r>
    </w:p>
    <w:p w14:paraId="08E2C492">
      <w:pPr>
        <w:spacing w:line="460" w:lineRule="exact"/>
        <w:ind w:firstLine="482" w:firstLineChars="201"/>
        <w:rPr>
          <w:rFonts w:ascii="宋体" w:hAnsi="宋体" w:cs="宋体"/>
          <w:sz w:val="24"/>
          <w:highlight w:val="none"/>
        </w:rPr>
      </w:pPr>
      <w:r>
        <w:rPr>
          <w:rFonts w:hint="eastAsia" w:ascii="宋体" w:hAnsi="宋体" w:cs="宋体"/>
          <w:sz w:val="24"/>
          <w:highlight w:val="none"/>
        </w:rPr>
        <w:t>（3）系统发现有安全漏洞，有潜在的泄密危险；</w:t>
      </w:r>
    </w:p>
    <w:p w14:paraId="51E21823">
      <w:pPr>
        <w:spacing w:line="460" w:lineRule="exact"/>
        <w:ind w:firstLine="482" w:firstLineChars="201"/>
        <w:rPr>
          <w:rFonts w:ascii="宋体" w:hAnsi="宋体" w:cs="宋体"/>
          <w:sz w:val="24"/>
          <w:highlight w:val="none"/>
        </w:rPr>
      </w:pPr>
      <w:r>
        <w:rPr>
          <w:rFonts w:hint="eastAsia" w:ascii="宋体" w:hAnsi="宋体" w:cs="宋体"/>
          <w:sz w:val="24"/>
          <w:highlight w:val="none"/>
        </w:rPr>
        <w:t>（4）病毒发作或受到外来病毒的攻击；</w:t>
      </w:r>
    </w:p>
    <w:p w14:paraId="5555561C">
      <w:pPr>
        <w:spacing w:line="460" w:lineRule="exact"/>
        <w:ind w:firstLine="482" w:firstLineChars="201"/>
        <w:rPr>
          <w:rFonts w:ascii="宋体" w:hAnsi="宋体" w:cs="宋体"/>
          <w:sz w:val="24"/>
          <w:highlight w:val="none"/>
        </w:rPr>
      </w:pPr>
      <w:r>
        <w:rPr>
          <w:rFonts w:hint="eastAsia" w:ascii="宋体" w:hAnsi="宋体" w:cs="宋体"/>
          <w:sz w:val="24"/>
          <w:highlight w:val="none"/>
        </w:rPr>
        <w:t>（5）其他无法保证开标过程公平、公正和信息安全的情形。</w:t>
      </w:r>
    </w:p>
    <w:p w14:paraId="0DCDC8FE">
      <w:pPr>
        <w:spacing w:line="460" w:lineRule="exact"/>
        <w:ind w:firstLine="482" w:firstLineChars="201"/>
        <w:rPr>
          <w:rFonts w:ascii="宋体" w:hAnsi="宋体" w:cs="宋体"/>
          <w:sz w:val="24"/>
          <w:highlight w:val="none"/>
        </w:rPr>
      </w:pPr>
      <w:r>
        <w:rPr>
          <w:rFonts w:hint="eastAsia" w:ascii="宋体" w:hAnsi="宋体" w:cs="宋体"/>
          <w:sz w:val="24"/>
          <w:highlight w:val="none"/>
        </w:rPr>
        <w:t>应急开标程序包括：</w:t>
      </w:r>
    </w:p>
    <w:p w14:paraId="58BA4B64">
      <w:pPr>
        <w:spacing w:line="460" w:lineRule="exact"/>
        <w:ind w:firstLine="482" w:firstLineChars="201"/>
        <w:rPr>
          <w:rFonts w:ascii="宋体" w:hAnsi="宋体" w:cs="宋体"/>
          <w:sz w:val="24"/>
          <w:highlight w:val="none"/>
        </w:rPr>
      </w:pPr>
      <w:r>
        <w:rPr>
          <w:rFonts w:hint="eastAsia" w:ascii="宋体" w:hAnsi="宋体" w:cs="宋体"/>
          <w:sz w:val="24"/>
          <w:highlight w:val="none"/>
        </w:rPr>
        <w:t>（1）对未在系统中开标的可暂停开标；</w:t>
      </w:r>
    </w:p>
    <w:p w14:paraId="5D3D4BCC">
      <w:pPr>
        <w:spacing w:line="460" w:lineRule="exact"/>
        <w:ind w:firstLine="482" w:firstLineChars="201"/>
        <w:rPr>
          <w:rFonts w:ascii="宋体" w:hAnsi="宋体" w:cs="宋体"/>
          <w:sz w:val="24"/>
          <w:highlight w:val="none"/>
        </w:rPr>
      </w:pPr>
      <w:r>
        <w:rPr>
          <w:rFonts w:hint="eastAsia" w:ascii="宋体" w:hAnsi="宋体" w:cs="宋体"/>
          <w:sz w:val="24"/>
          <w:highlight w:val="none"/>
        </w:rPr>
        <w:t>（2）对已在系统中开标的应停止，等待系统恢复正常后再组织进行开标。</w:t>
      </w:r>
    </w:p>
    <w:p w14:paraId="705E21A4">
      <w:pPr>
        <w:spacing w:line="460" w:lineRule="exact"/>
        <w:ind w:firstLine="482" w:firstLineChars="201"/>
        <w:rPr>
          <w:rFonts w:ascii="宋体" w:hAnsi="宋体" w:cs="宋体"/>
          <w:sz w:val="24"/>
          <w:highlight w:val="none"/>
        </w:rPr>
      </w:pPr>
      <w:r>
        <w:rPr>
          <w:rFonts w:hint="eastAsia" w:ascii="宋体" w:hAnsi="宋体" w:cs="宋体"/>
          <w:sz w:val="24"/>
          <w:highlight w:val="none"/>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4598ADDE">
      <w:pPr>
        <w:spacing w:line="460" w:lineRule="exact"/>
        <w:ind w:firstLine="482" w:firstLineChars="201"/>
        <w:rPr>
          <w:rFonts w:ascii="宋体" w:hAnsi="宋体" w:cs="宋体"/>
          <w:sz w:val="24"/>
          <w:highlight w:val="none"/>
        </w:rPr>
      </w:pPr>
      <w:r>
        <w:rPr>
          <w:rFonts w:hint="eastAsia" w:ascii="宋体" w:hAnsi="宋体" w:cs="宋体"/>
          <w:sz w:val="24"/>
          <w:highlight w:val="none"/>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7A03F99F">
      <w:pPr>
        <w:spacing w:line="460" w:lineRule="exact"/>
        <w:ind w:firstLine="482" w:firstLineChars="201"/>
        <w:rPr>
          <w:rFonts w:ascii="宋体" w:hAnsi="宋体" w:cs="宋体"/>
          <w:sz w:val="24"/>
          <w:highlight w:val="none"/>
        </w:rPr>
      </w:pPr>
      <w:r>
        <w:rPr>
          <w:rFonts w:hint="eastAsia" w:ascii="宋体" w:hAnsi="宋体" w:cs="宋体"/>
          <w:sz w:val="24"/>
          <w:highlight w:val="none"/>
        </w:rPr>
        <w:t>22.12应急开标电子邮件提交规定</w:t>
      </w:r>
    </w:p>
    <w:p w14:paraId="3699E91F">
      <w:pPr>
        <w:spacing w:line="460" w:lineRule="exact"/>
        <w:ind w:firstLine="482" w:firstLineChars="201"/>
        <w:rPr>
          <w:rFonts w:ascii="宋体" w:hAnsi="宋体" w:cs="宋体"/>
          <w:sz w:val="24"/>
          <w:highlight w:val="none"/>
        </w:rPr>
      </w:pPr>
      <w:r>
        <w:rPr>
          <w:rFonts w:hint="eastAsia" w:ascii="宋体" w:hAnsi="宋体" w:cs="宋体"/>
          <w:sz w:val="24"/>
          <w:highlight w:val="none"/>
        </w:rPr>
        <w:t>接收电子邮箱：</w:t>
      </w:r>
      <w:r>
        <w:rPr>
          <w:rFonts w:hint="eastAsia" w:ascii="宋体" w:hAnsi="宋体"/>
          <w:sz w:val="24"/>
          <w:highlight w:val="none"/>
        </w:rPr>
        <w:t>zbsd</w:t>
      </w:r>
      <w:r>
        <w:rPr>
          <w:rFonts w:ascii="宋体" w:hAnsi="宋体"/>
          <w:sz w:val="24"/>
          <w:highlight w:val="none"/>
        </w:rPr>
        <w:t>hcx</w:t>
      </w:r>
      <w:r>
        <w:rPr>
          <w:rFonts w:hint="eastAsia" w:ascii="宋体" w:hAnsi="宋体"/>
          <w:sz w:val="24"/>
          <w:highlight w:val="none"/>
        </w:rPr>
        <w:t>@1</w:t>
      </w:r>
      <w:r>
        <w:rPr>
          <w:rFonts w:ascii="宋体" w:hAnsi="宋体"/>
          <w:sz w:val="24"/>
          <w:highlight w:val="none"/>
        </w:rPr>
        <w:t>63</w:t>
      </w:r>
      <w:r>
        <w:rPr>
          <w:rFonts w:hint="eastAsia" w:ascii="宋体" w:hAnsi="宋体"/>
          <w:sz w:val="24"/>
          <w:highlight w:val="none"/>
        </w:rPr>
        <w:t>.com</w:t>
      </w:r>
    </w:p>
    <w:p w14:paraId="234F7DC0">
      <w:pPr>
        <w:spacing w:line="460" w:lineRule="exact"/>
        <w:ind w:firstLine="482" w:firstLineChars="201"/>
        <w:rPr>
          <w:rFonts w:ascii="宋体" w:hAnsi="宋体" w:cs="宋体"/>
          <w:sz w:val="24"/>
          <w:highlight w:val="none"/>
        </w:rPr>
      </w:pPr>
      <w:r>
        <w:rPr>
          <w:rFonts w:hint="eastAsia" w:ascii="宋体" w:hAnsi="宋体" w:cs="宋体"/>
          <w:sz w:val="24"/>
          <w:highlight w:val="none"/>
        </w:rPr>
        <w:t>提交时间：以电子邮件或电话通知的时间为准；</w:t>
      </w:r>
    </w:p>
    <w:p w14:paraId="5056E311">
      <w:pPr>
        <w:spacing w:line="460" w:lineRule="exact"/>
        <w:ind w:firstLine="482" w:firstLineChars="201"/>
        <w:rPr>
          <w:rFonts w:ascii="宋体" w:hAnsi="宋体" w:cs="宋体"/>
          <w:sz w:val="24"/>
          <w:highlight w:val="none"/>
        </w:rPr>
      </w:pPr>
      <w:r>
        <w:rPr>
          <w:rFonts w:hint="eastAsia" w:ascii="宋体" w:hAnsi="宋体" w:cs="宋体"/>
          <w:sz w:val="24"/>
          <w:highlight w:val="none"/>
        </w:rPr>
        <w:t>邮件数量：一封；</w:t>
      </w:r>
    </w:p>
    <w:p w14:paraId="79998E9C">
      <w:pPr>
        <w:spacing w:line="460" w:lineRule="exact"/>
        <w:ind w:firstLine="482" w:firstLineChars="201"/>
        <w:rPr>
          <w:rFonts w:ascii="宋体" w:hAnsi="宋体" w:cs="宋体"/>
          <w:sz w:val="24"/>
          <w:highlight w:val="none"/>
        </w:rPr>
      </w:pPr>
      <w:r>
        <w:rPr>
          <w:rFonts w:hint="eastAsia" w:ascii="宋体" w:hAnsi="宋体" w:cs="宋体"/>
          <w:sz w:val="24"/>
          <w:highlight w:val="none"/>
        </w:rPr>
        <w:t>邮件主题：招标编号、投标人名称；</w:t>
      </w:r>
    </w:p>
    <w:p w14:paraId="79036CA5">
      <w:pPr>
        <w:spacing w:line="460" w:lineRule="exact"/>
        <w:ind w:firstLine="482" w:firstLineChars="201"/>
        <w:rPr>
          <w:rFonts w:ascii="宋体" w:hAnsi="宋体" w:cs="宋体"/>
          <w:sz w:val="24"/>
          <w:highlight w:val="none"/>
        </w:rPr>
      </w:pPr>
      <w:r>
        <w:rPr>
          <w:rFonts w:hint="eastAsia" w:ascii="宋体" w:hAnsi="宋体" w:cs="宋体"/>
          <w:sz w:val="24"/>
          <w:highlight w:val="none"/>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20118F4F">
      <w:pPr>
        <w:spacing w:line="460" w:lineRule="exact"/>
        <w:ind w:firstLine="482" w:firstLineChars="201"/>
        <w:rPr>
          <w:rFonts w:ascii="宋体" w:hAnsi="宋体" w:cs="宋体"/>
          <w:sz w:val="24"/>
          <w:highlight w:val="none"/>
        </w:rPr>
      </w:pPr>
      <w:r>
        <w:rPr>
          <w:rFonts w:hint="eastAsia" w:ascii="宋体" w:hAnsi="宋体" w:cs="宋体"/>
          <w:sz w:val="24"/>
          <w:highlight w:val="none"/>
        </w:rPr>
        <w:t>22.13启动电子邮件开标流程</w:t>
      </w:r>
    </w:p>
    <w:p w14:paraId="7FD96ACD">
      <w:pPr>
        <w:spacing w:line="460" w:lineRule="exact"/>
        <w:ind w:firstLine="482" w:firstLineChars="201"/>
        <w:rPr>
          <w:rFonts w:ascii="宋体" w:hAnsi="宋体" w:cs="宋体"/>
          <w:sz w:val="24"/>
          <w:highlight w:val="none"/>
        </w:rPr>
      </w:pPr>
      <w:r>
        <w:rPr>
          <w:rFonts w:hint="eastAsia" w:ascii="宋体" w:hAnsi="宋体" w:cs="宋体"/>
          <w:sz w:val="24"/>
          <w:highlight w:val="none"/>
        </w:rPr>
        <w:t>工作人员电话通知所有投标人启动应急开标程序；</w:t>
      </w:r>
    </w:p>
    <w:p w14:paraId="0735B5FE">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投标人收到通知后在规定时间内通过电子邮件提交投标文件（在非应急开标期间招标代理机构不接受、不处理任何通过电子邮件提交的投标文件）；</w:t>
      </w:r>
    </w:p>
    <w:p w14:paraId="6A06C420">
      <w:pPr>
        <w:spacing w:line="460" w:lineRule="exact"/>
        <w:ind w:firstLine="482" w:firstLineChars="201"/>
        <w:rPr>
          <w:rFonts w:ascii="宋体" w:hAnsi="宋体" w:cs="宋体"/>
          <w:sz w:val="24"/>
          <w:highlight w:val="none"/>
        </w:rPr>
      </w:pPr>
      <w:r>
        <w:rPr>
          <w:rFonts w:hint="eastAsia" w:ascii="宋体" w:hAnsi="宋体" w:cs="宋体"/>
          <w:sz w:val="24"/>
          <w:highlight w:val="none"/>
        </w:rPr>
        <w:t>提交截止时间到，工作人员开始下载投标文件，将投标报价形成开标报告并邮件回复各投标人；</w:t>
      </w:r>
    </w:p>
    <w:p w14:paraId="3420530A">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投标人确认报价并邮件回复，不及时回复的视为对开标报告的内容无异议。</w:t>
      </w:r>
    </w:p>
    <w:p w14:paraId="2B46936C">
      <w:pPr>
        <w:spacing w:line="460" w:lineRule="exact"/>
        <w:ind w:firstLine="484" w:firstLineChars="201"/>
        <w:rPr>
          <w:rFonts w:ascii="宋体" w:hAnsi="宋体" w:cs="宋体"/>
          <w:b/>
          <w:sz w:val="24"/>
          <w:highlight w:val="none"/>
        </w:rPr>
      </w:pPr>
      <w:r>
        <w:rPr>
          <w:rFonts w:hint="eastAsia" w:ascii="宋体" w:hAnsi="宋体" w:cs="宋体"/>
          <w:b/>
          <w:sz w:val="24"/>
          <w:highlight w:val="none"/>
        </w:rPr>
        <w:t>23.评标委员会的组成和评标方法</w:t>
      </w:r>
    </w:p>
    <w:p w14:paraId="30109EBD">
      <w:pPr>
        <w:spacing w:line="460" w:lineRule="exact"/>
        <w:ind w:firstLine="482" w:firstLineChars="201"/>
        <w:rPr>
          <w:rFonts w:ascii="宋体" w:hAnsi="宋体" w:cs="宋体"/>
          <w:sz w:val="24"/>
          <w:highlight w:val="none"/>
        </w:rPr>
      </w:pPr>
      <w:r>
        <w:rPr>
          <w:rFonts w:hint="eastAsia" w:ascii="宋体" w:hAnsi="宋体" w:cs="宋体"/>
          <w:sz w:val="24"/>
          <w:highlight w:val="none"/>
        </w:rPr>
        <w:t>23.1</w:t>
      </w:r>
      <w:r>
        <w:rPr>
          <w:rFonts w:hint="eastAsia" w:ascii="宋体" w:hAnsi="宋体"/>
          <w:sz w:val="24"/>
          <w:highlight w:val="none"/>
        </w:rPr>
        <w:t>招标代理机构</w:t>
      </w:r>
      <w:r>
        <w:rPr>
          <w:rFonts w:hint="eastAsia" w:ascii="宋体" w:hAnsi="宋体" w:cs="宋体"/>
          <w:sz w:val="24"/>
          <w:highlight w:val="none"/>
        </w:rPr>
        <w:t>负责组织评标工作，具体评审事务由依法组建的评标委员会负责，评审委员会成员由招标人代表和评审专家5人以上的单数组成，其中专家人数不得少于评审委员会成员总数的2/3，评标委员会的专家依法从阳光国企采购主管部门组建的专家库中随机抽取产生。情况特殊的，通过随机方式难以确定合适的评审专家的项目，经主管部门同意，招标人可以自行选定评审专家。评审委员会成员不得被最高人民法院列入失信被执行人，若为失信被执行人，将及时清退（开标现场查询）。</w:t>
      </w:r>
    </w:p>
    <w:p w14:paraId="44B4C6EA">
      <w:pPr>
        <w:spacing w:line="460" w:lineRule="exact"/>
        <w:ind w:firstLine="482" w:firstLineChars="201"/>
        <w:rPr>
          <w:rFonts w:ascii="宋体" w:hAnsi="宋体" w:cs="宋体"/>
          <w:sz w:val="24"/>
          <w:highlight w:val="none"/>
        </w:rPr>
      </w:pPr>
      <w:r>
        <w:rPr>
          <w:rFonts w:hint="eastAsia" w:ascii="宋体" w:hAnsi="宋体" w:cs="宋体"/>
          <w:sz w:val="24"/>
          <w:highlight w:val="none"/>
        </w:rPr>
        <w:t>23.2招标人员及相关人员与</w:t>
      </w:r>
      <w:r>
        <w:rPr>
          <w:rFonts w:hint="eastAsia" w:ascii="宋体" w:hAnsi="宋体"/>
          <w:sz w:val="24"/>
          <w:highlight w:val="none"/>
        </w:rPr>
        <w:t>投标人</w:t>
      </w:r>
      <w:r>
        <w:rPr>
          <w:rFonts w:hint="eastAsia" w:ascii="宋体" w:hAnsi="宋体" w:cs="宋体"/>
          <w:sz w:val="24"/>
          <w:highlight w:val="none"/>
        </w:rPr>
        <w:t>有利害关系的应当回避。曾参与招标文件征询意见或论证的专家，不得再作为评标专家参加评标。招标人不得以专家身份参与本项目的评标。招标人和</w:t>
      </w:r>
      <w:r>
        <w:rPr>
          <w:rFonts w:hint="eastAsia" w:ascii="宋体" w:hAnsi="宋体"/>
          <w:sz w:val="24"/>
          <w:highlight w:val="none"/>
        </w:rPr>
        <w:t>招标代理机构</w:t>
      </w:r>
      <w:r>
        <w:rPr>
          <w:rFonts w:hint="eastAsia" w:ascii="宋体" w:hAnsi="宋体" w:cs="宋体"/>
          <w:sz w:val="24"/>
          <w:highlight w:val="none"/>
        </w:rPr>
        <w:t>工作人员离职或退休不满三年的，不能作为专家参加评标工作。</w:t>
      </w:r>
    </w:p>
    <w:p w14:paraId="42E8D29E">
      <w:pPr>
        <w:spacing w:line="460" w:lineRule="exact"/>
        <w:ind w:firstLine="482" w:firstLineChars="201"/>
        <w:rPr>
          <w:rFonts w:ascii="宋体" w:hAnsi="宋体" w:cs="宋体"/>
          <w:sz w:val="24"/>
          <w:highlight w:val="none"/>
        </w:rPr>
      </w:pPr>
      <w:r>
        <w:rPr>
          <w:rFonts w:hint="eastAsia" w:ascii="宋体" w:hAnsi="宋体" w:cs="宋体"/>
          <w:sz w:val="24"/>
          <w:highlight w:val="none"/>
        </w:rPr>
        <w:t>23.3评标委员会成员职责：</w:t>
      </w:r>
    </w:p>
    <w:p w14:paraId="3959DAAD">
      <w:pPr>
        <w:spacing w:line="460" w:lineRule="exact"/>
        <w:ind w:firstLine="482" w:firstLineChars="201"/>
        <w:rPr>
          <w:rFonts w:ascii="宋体" w:hAnsi="宋体" w:cs="宋体"/>
          <w:sz w:val="24"/>
          <w:highlight w:val="none"/>
        </w:rPr>
      </w:pPr>
      <w:r>
        <w:rPr>
          <w:rFonts w:hint="eastAsia" w:ascii="宋体" w:hAnsi="宋体" w:cs="宋体"/>
          <w:sz w:val="24"/>
          <w:highlight w:val="none"/>
        </w:rPr>
        <w:t>（1）评标前，评标委员会成员应当主动确认与投标人及其制造商是否有利害关系。如有利害关系应当主动回避，如无利害关系，应当在含有相关内容的《无利害关系声明》上签字；</w:t>
      </w:r>
    </w:p>
    <w:p w14:paraId="38DD6033">
      <w:pPr>
        <w:spacing w:line="460" w:lineRule="exact"/>
        <w:ind w:firstLine="482" w:firstLineChars="201"/>
        <w:rPr>
          <w:rFonts w:ascii="宋体" w:hAnsi="宋体" w:cs="宋体"/>
          <w:sz w:val="24"/>
          <w:highlight w:val="none"/>
        </w:rPr>
      </w:pPr>
      <w:r>
        <w:rPr>
          <w:rFonts w:hint="eastAsia" w:ascii="宋体" w:hAnsi="宋体" w:cs="宋体"/>
          <w:sz w:val="24"/>
          <w:highlight w:val="none"/>
        </w:rPr>
        <w:t>（2）按照招标文件中确定的评标办法，对投标文件的内容进行评审，并对评审结果承担责任；</w:t>
      </w:r>
    </w:p>
    <w:p w14:paraId="1B3FFDEE">
      <w:pPr>
        <w:spacing w:line="460" w:lineRule="exact"/>
        <w:ind w:firstLine="482" w:firstLineChars="201"/>
        <w:rPr>
          <w:rFonts w:ascii="宋体" w:hAnsi="宋体" w:cs="宋体"/>
          <w:sz w:val="24"/>
          <w:highlight w:val="none"/>
        </w:rPr>
      </w:pPr>
      <w:r>
        <w:rPr>
          <w:rFonts w:hint="eastAsia" w:ascii="宋体" w:hAnsi="宋体" w:cs="宋体"/>
          <w:sz w:val="24"/>
          <w:highlight w:val="none"/>
        </w:rPr>
        <w:t>（3）对评标过程和结果，以及投标人的商业秘密进行保密；</w:t>
      </w:r>
    </w:p>
    <w:p w14:paraId="2215AAA1">
      <w:pPr>
        <w:spacing w:line="460" w:lineRule="exact"/>
        <w:ind w:firstLine="482" w:firstLineChars="201"/>
        <w:rPr>
          <w:rFonts w:ascii="宋体" w:hAnsi="宋体" w:cs="宋体"/>
          <w:sz w:val="24"/>
          <w:highlight w:val="none"/>
        </w:rPr>
      </w:pPr>
      <w:r>
        <w:rPr>
          <w:rFonts w:hint="eastAsia" w:ascii="宋体" w:hAnsi="宋体" w:cs="宋体"/>
          <w:sz w:val="24"/>
          <w:highlight w:val="none"/>
        </w:rPr>
        <w:t>（4）在评标委员会集体起草的评标报告上签字；</w:t>
      </w:r>
    </w:p>
    <w:p w14:paraId="57AF3512">
      <w:pPr>
        <w:spacing w:line="460" w:lineRule="exact"/>
        <w:ind w:firstLine="482" w:firstLineChars="201"/>
        <w:rPr>
          <w:rFonts w:ascii="宋体" w:hAnsi="宋体" w:cs="宋体"/>
          <w:sz w:val="24"/>
          <w:highlight w:val="none"/>
        </w:rPr>
      </w:pPr>
      <w:r>
        <w:rPr>
          <w:rFonts w:hint="eastAsia" w:ascii="宋体" w:hAnsi="宋体" w:cs="宋体"/>
          <w:sz w:val="24"/>
          <w:highlight w:val="none"/>
        </w:rPr>
        <w:t>（5）配合</w:t>
      </w:r>
      <w:r>
        <w:rPr>
          <w:rFonts w:hint="eastAsia" w:ascii="宋体" w:hAnsi="宋体"/>
          <w:sz w:val="24"/>
          <w:highlight w:val="none"/>
        </w:rPr>
        <w:t>招标代理机构</w:t>
      </w:r>
      <w:r>
        <w:rPr>
          <w:rFonts w:hint="eastAsia" w:ascii="宋体" w:hAnsi="宋体" w:cs="宋体"/>
          <w:sz w:val="24"/>
          <w:highlight w:val="none"/>
        </w:rPr>
        <w:t>答复投标人质疑；</w:t>
      </w:r>
    </w:p>
    <w:p w14:paraId="3D615077">
      <w:pPr>
        <w:spacing w:line="460" w:lineRule="exact"/>
        <w:ind w:firstLine="482" w:firstLineChars="201"/>
        <w:rPr>
          <w:rFonts w:ascii="宋体" w:hAnsi="宋体" w:cs="宋体"/>
          <w:sz w:val="24"/>
          <w:highlight w:val="none"/>
        </w:rPr>
      </w:pPr>
      <w:r>
        <w:rPr>
          <w:rFonts w:hint="eastAsia" w:ascii="宋体" w:hAnsi="宋体" w:cs="宋体"/>
          <w:sz w:val="24"/>
          <w:highlight w:val="none"/>
        </w:rPr>
        <w:t>（6）配合主管部门处理投标人投诉；</w:t>
      </w:r>
    </w:p>
    <w:p w14:paraId="7A0CD205">
      <w:pPr>
        <w:spacing w:line="460" w:lineRule="exact"/>
        <w:ind w:firstLine="482" w:firstLineChars="201"/>
        <w:rPr>
          <w:rFonts w:ascii="宋体" w:hAnsi="宋体" w:cs="宋体"/>
          <w:sz w:val="24"/>
          <w:highlight w:val="none"/>
        </w:rPr>
      </w:pPr>
      <w:r>
        <w:rPr>
          <w:rFonts w:hint="eastAsia" w:ascii="宋体" w:hAnsi="宋体" w:cs="宋体"/>
          <w:sz w:val="24"/>
          <w:highlight w:val="none"/>
        </w:rPr>
        <w:t>（7）向主管部门反映评标工作中的问题，提出意见和建议。</w:t>
      </w:r>
    </w:p>
    <w:p w14:paraId="134A336A">
      <w:pPr>
        <w:spacing w:line="460" w:lineRule="exact"/>
        <w:ind w:firstLine="482" w:firstLineChars="201"/>
        <w:rPr>
          <w:rFonts w:ascii="宋体" w:hAnsi="宋体" w:cs="宋体"/>
          <w:sz w:val="24"/>
          <w:highlight w:val="none"/>
        </w:rPr>
      </w:pPr>
      <w:r>
        <w:rPr>
          <w:rFonts w:hint="eastAsia" w:ascii="宋体" w:hAnsi="宋体" w:cs="宋体"/>
          <w:sz w:val="24"/>
          <w:highlight w:val="none"/>
        </w:rPr>
        <w:t>23.4评标委员会集体职责：</w:t>
      </w:r>
    </w:p>
    <w:p w14:paraId="62FB4A60">
      <w:pPr>
        <w:spacing w:line="460" w:lineRule="exact"/>
        <w:ind w:firstLine="482" w:firstLineChars="201"/>
        <w:rPr>
          <w:rFonts w:ascii="宋体" w:hAnsi="宋体" w:cs="宋体"/>
          <w:sz w:val="24"/>
          <w:highlight w:val="none"/>
        </w:rPr>
      </w:pPr>
      <w:r>
        <w:rPr>
          <w:rFonts w:hint="eastAsia" w:ascii="宋体" w:hAnsi="宋体" w:cs="宋体"/>
          <w:sz w:val="24"/>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C745E82">
      <w:pPr>
        <w:spacing w:line="460" w:lineRule="exact"/>
        <w:ind w:firstLine="482" w:firstLineChars="201"/>
        <w:rPr>
          <w:rFonts w:ascii="宋体" w:hAnsi="宋体" w:cs="宋体"/>
          <w:sz w:val="24"/>
          <w:highlight w:val="none"/>
        </w:rPr>
      </w:pPr>
      <w:r>
        <w:rPr>
          <w:rFonts w:hint="eastAsia" w:ascii="宋体" w:hAnsi="宋体" w:cs="宋体"/>
          <w:sz w:val="24"/>
          <w:highlight w:val="none"/>
        </w:rPr>
        <w:t>（2）配合招标人和</w:t>
      </w:r>
      <w:r>
        <w:rPr>
          <w:rFonts w:hint="eastAsia" w:ascii="宋体" w:hAnsi="宋体"/>
          <w:sz w:val="24"/>
          <w:highlight w:val="none"/>
        </w:rPr>
        <w:t>招标代理机构</w:t>
      </w:r>
      <w:r>
        <w:rPr>
          <w:rFonts w:hint="eastAsia" w:ascii="宋体" w:hAnsi="宋体" w:cs="宋体"/>
          <w:sz w:val="24"/>
          <w:highlight w:val="none"/>
        </w:rPr>
        <w:t>答复投标人的质疑；</w:t>
      </w:r>
    </w:p>
    <w:p w14:paraId="64ABA219">
      <w:pPr>
        <w:spacing w:line="460" w:lineRule="exact"/>
        <w:ind w:firstLine="482" w:firstLineChars="201"/>
        <w:rPr>
          <w:rFonts w:ascii="宋体" w:hAnsi="宋体" w:cs="宋体"/>
          <w:sz w:val="24"/>
          <w:highlight w:val="none"/>
        </w:rPr>
      </w:pPr>
      <w:r>
        <w:rPr>
          <w:rFonts w:hint="eastAsia" w:ascii="宋体" w:hAnsi="宋体" w:cs="宋体"/>
          <w:sz w:val="24"/>
          <w:highlight w:val="none"/>
        </w:rPr>
        <w:t>（3）配合主管部门做好投诉处理工作；</w:t>
      </w:r>
    </w:p>
    <w:p w14:paraId="71C42606">
      <w:pPr>
        <w:spacing w:line="460" w:lineRule="exact"/>
        <w:ind w:firstLine="482" w:firstLineChars="201"/>
        <w:rPr>
          <w:rFonts w:ascii="宋体" w:hAnsi="宋体" w:cs="宋体"/>
          <w:sz w:val="24"/>
          <w:highlight w:val="none"/>
        </w:rPr>
      </w:pPr>
      <w:r>
        <w:rPr>
          <w:rFonts w:hint="eastAsia" w:ascii="宋体" w:hAnsi="宋体" w:cs="宋体"/>
          <w:sz w:val="24"/>
          <w:highlight w:val="none"/>
        </w:rPr>
        <w:t>（4）必要时，向投标人解释评标结果；</w:t>
      </w:r>
    </w:p>
    <w:p w14:paraId="0430F47D">
      <w:pPr>
        <w:spacing w:line="460" w:lineRule="exact"/>
        <w:ind w:firstLine="482" w:firstLineChars="201"/>
        <w:rPr>
          <w:rFonts w:ascii="宋体" w:hAnsi="宋体" w:cs="宋体"/>
          <w:sz w:val="24"/>
          <w:highlight w:val="none"/>
        </w:rPr>
      </w:pPr>
      <w:r>
        <w:rPr>
          <w:rFonts w:hint="eastAsia" w:ascii="宋体" w:hAnsi="宋体" w:cs="宋体"/>
          <w:sz w:val="24"/>
          <w:highlight w:val="none"/>
        </w:rPr>
        <w:t>（5）向主管部门或者有关部门报告非法干预评标工作的行为。</w:t>
      </w:r>
    </w:p>
    <w:p w14:paraId="1E8AB94D">
      <w:pPr>
        <w:spacing w:line="460" w:lineRule="exact"/>
        <w:ind w:firstLine="482" w:firstLineChars="201"/>
        <w:rPr>
          <w:rFonts w:ascii="宋体" w:hAnsi="宋体" w:cs="宋体"/>
          <w:sz w:val="24"/>
          <w:highlight w:val="none"/>
        </w:rPr>
      </w:pPr>
      <w:r>
        <w:rPr>
          <w:rFonts w:hint="eastAsia" w:ascii="宋体" w:hAnsi="宋体" w:cs="宋体"/>
          <w:sz w:val="24"/>
          <w:highlight w:val="none"/>
        </w:rPr>
        <w:t>23.5</w:t>
      </w:r>
      <w:r>
        <w:rPr>
          <w:rFonts w:hint="eastAsia" w:ascii="宋体" w:hAnsi="宋体"/>
          <w:sz w:val="24"/>
          <w:highlight w:val="none"/>
        </w:rPr>
        <w:t>招标代理机构</w:t>
      </w:r>
      <w:r>
        <w:rPr>
          <w:rFonts w:hint="eastAsia" w:ascii="宋体" w:hAnsi="宋体" w:cs="宋体"/>
          <w:sz w:val="24"/>
          <w:highlight w:val="none"/>
        </w:rPr>
        <w:t>或招标人的职责：</w:t>
      </w:r>
    </w:p>
    <w:p w14:paraId="188E84DF">
      <w:pPr>
        <w:spacing w:line="460" w:lineRule="exact"/>
        <w:ind w:firstLine="482" w:firstLineChars="201"/>
        <w:rPr>
          <w:rFonts w:ascii="宋体" w:hAnsi="宋体" w:cs="宋体"/>
          <w:sz w:val="24"/>
          <w:highlight w:val="none"/>
        </w:rPr>
      </w:pPr>
      <w:r>
        <w:rPr>
          <w:rFonts w:hint="eastAsia" w:ascii="宋体" w:hAnsi="宋体" w:cs="宋体"/>
          <w:sz w:val="24"/>
          <w:highlight w:val="none"/>
        </w:rPr>
        <w:t>（1）核对评审专家身份，对评审专家在采购活动中的职责履行情况予以记录，并及时将有关违法违规行为向主管部门报告；</w:t>
      </w:r>
    </w:p>
    <w:p w14:paraId="4F702F17">
      <w:pPr>
        <w:spacing w:line="460" w:lineRule="exact"/>
        <w:ind w:firstLine="482" w:firstLineChars="201"/>
        <w:rPr>
          <w:rFonts w:ascii="宋体" w:hAnsi="宋体" w:cs="宋体"/>
          <w:sz w:val="24"/>
          <w:highlight w:val="none"/>
        </w:rPr>
      </w:pPr>
      <w:r>
        <w:rPr>
          <w:rFonts w:hint="eastAsia" w:ascii="宋体" w:hAnsi="宋体" w:cs="宋体"/>
          <w:sz w:val="24"/>
          <w:highlight w:val="none"/>
        </w:rPr>
        <w:t>（2）宣布评标纪律；</w:t>
      </w:r>
    </w:p>
    <w:p w14:paraId="197E61E5">
      <w:pPr>
        <w:spacing w:line="460" w:lineRule="exact"/>
        <w:ind w:firstLine="482" w:firstLineChars="201"/>
        <w:rPr>
          <w:rFonts w:ascii="宋体" w:hAnsi="宋体" w:cs="宋体"/>
          <w:sz w:val="24"/>
          <w:highlight w:val="none"/>
        </w:rPr>
      </w:pPr>
      <w:r>
        <w:rPr>
          <w:rFonts w:hint="eastAsia" w:ascii="宋体" w:hAnsi="宋体" w:cs="宋体"/>
          <w:sz w:val="24"/>
          <w:highlight w:val="none"/>
        </w:rPr>
        <w:t>（3）公布投标人名单，告知评审专家应当回避的情形；</w:t>
      </w:r>
    </w:p>
    <w:p w14:paraId="127F5654">
      <w:pPr>
        <w:spacing w:line="460" w:lineRule="exact"/>
        <w:ind w:firstLine="482" w:firstLineChars="201"/>
        <w:rPr>
          <w:rFonts w:ascii="宋体" w:hAnsi="宋体" w:cs="宋体"/>
          <w:sz w:val="24"/>
          <w:highlight w:val="none"/>
        </w:rPr>
      </w:pPr>
      <w:r>
        <w:rPr>
          <w:rFonts w:hint="eastAsia" w:ascii="宋体" w:hAnsi="宋体" w:cs="宋体"/>
          <w:sz w:val="24"/>
          <w:highlight w:val="none"/>
        </w:rPr>
        <w:t>（4）组织评标委员会推选评标组长，招标人代表不得担任组长；</w:t>
      </w:r>
    </w:p>
    <w:p w14:paraId="03A47769">
      <w:pPr>
        <w:spacing w:line="460" w:lineRule="exact"/>
        <w:ind w:firstLine="482" w:firstLineChars="201"/>
        <w:rPr>
          <w:rFonts w:ascii="宋体" w:hAnsi="宋体" w:cs="宋体"/>
          <w:sz w:val="24"/>
          <w:highlight w:val="none"/>
        </w:rPr>
      </w:pPr>
      <w:r>
        <w:rPr>
          <w:rFonts w:hint="eastAsia" w:ascii="宋体" w:hAnsi="宋体" w:cs="宋体"/>
          <w:sz w:val="24"/>
          <w:highlight w:val="none"/>
        </w:rPr>
        <w:t>（5）在评标期间采取必要的通讯管理措施，保证评标活动不受外界干扰；</w:t>
      </w:r>
    </w:p>
    <w:p w14:paraId="48F5B7EB">
      <w:pPr>
        <w:spacing w:line="460" w:lineRule="exact"/>
        <w:ind w:firstLine="482" w:firstLineChars="201"/>
        <w:rPr>
          <w:rFonts w:ascii="宋体" w:hAnsi="宋体" w:cs="宋体"/>
          <w:sz w:val="24"/>
          <w:highlight w:val="none"/>
        </w:rPr>
      </w:pPr>
      <w:r>
        <w:rPr>
          <w:rFonts w:hint="eastAsia" w:ascii="宋体" w:hAnsi="宋体" w:cs="宋体"/>
          <w:sz w:val="24"/>
          <w:highlight w:val="none"/>
        </w:rPr>
        <w:t>（6）根据评标委员会的要求介绍阳光国企采购相关政策法规、招标文件；</w:t>
      </w:r>
    </w:p>
    <w:p w14:paraId="51951861">
      <w:pPr>
        <w:spacing w:line="460" w:lineRule="exact"/>
        <w:ind w:firstLine="482" w:firstLineChars="201"/>
        <w:rPr>
          <w:rFonts w:ascii="宋体" w:hAnsi="宋体" w:cs="宋体"/>
          <w:sz w:val="24"/>
          <w:highlight w:val="none"/>
        </w:rPr>
      </w:pPr>
      <w:r>
        <w:rPr>
          <w:rFonts w:hint="eastAsia" w:ascii="宋体" w:hAnsi="宋体" w:cs="宋体"/>
          <w:sz w:val="24"/>
          <w:highlight w:val="none"/>
        </w:rPr>
        <w:t>（7）维护评标秩序，监督评标委员会依照招标文件规定的评标程序、方法和标准进行独立评审，及时制止和纠正招标人代表、评审专家的倾向性言论或者违法违规行为；</w:t>
      </w:r>
    </w:p>
    <w:p w14:paraId="596CE0EF">
      <w:pPr>
        <w:spacing w:line="460" w:lineRule="exact"/>
        <w:ind w:firstLine="482" w:firstLineChars="201"/>
        <w:rPr>
          <w:rFonts w:ascii="宋体" w:hAnsi="宋体" w:cs="宋体"/>
          <w:sz w:val="24"/>
          <w:highlight w:val="none"/>
        </w:rPr>
      </w:pPr>
      <w:r>
        <w:rPr>
          <w:rFonts w:hint="eastAsia" w:ascii="宋体" w:hAnsi="宋体" w:cs="宋体"/>
          <w:sz w:val="24"/>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50E89E70">
      <w:pPr>
        <w:spacing w:line="460" w:lineRule="exact"/>
        <w:ind w:firstLine="482" w:firstLineChars="201"/>
        <w:rPr>
          <w:rFonts w:ascii="宋体" w:hAnsi="宋体" w:cs="宋体"/>
          <w:sz w:val="24"/>
          <w:highlight w:val="none"/>
        </w:rPr>
      </w:pPr>
      <w:r>
        <w:rPr>
          <w:rFonts w:hint="eastAsia" w:ascii="宋体" w:hAnsi="宋体" w:cs="宋体"/>
          <w:sz w:val="24"/>
          <w:highlight w:val="none"/>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23853191">
      <w:pPr>
        <w:spacing w:line="460" w:lineRule="exact"/>
        <w:ind w:firstLine="482" w:firstLineChars="201"/>
        <w:rPr>
          <w:rFonts w:ascii="宋体" w:hAnsi="宋体" w:cs="宋体"/>
          <w:sz w:val="24"/>
          <w:highlight w:val="none"/>
        </w:rPr>
      </w:pPr>
      <w:r>
        <w:rPr>
          <w:rFonts w:hint="eastAsia" w:ascii="宋体" w:hAnsi="宋体" w:cs="宋体"/>
          <w:sz w:val="24"/>
          <w:highlight w:val="none"/>
        </w:rPr>
        <w:t>（10）处理与评标有关的其他事项。</w:t>
      </w:r>
    </w:p>
    <w:p w14:paraId="4B403976">
      <w:pPr>
        <w:spacing w:line="460" w:lineRule="exact"/>
        <w:ind w:firstLine="482" w:firstLineChars="201"/>
        <w:rPr>
          <w:rFonts w:ascii="宋体" w:hAnsi="宋体" w:cs="宋体"/>
          <w:sz w:val="24"/>
          <w:highlight w:val="none"/>
        </w:rPr>
      </w:pPr>
      <w:r>
        <w:rPr>
          <w:rFonts w:hint="eastAsia" w:ascii="宋体" w:hAnsi="宋体" w:cs="宋体"/>
          <w:sz w:val="24"/>
          <w:highlight w:val="none"/>
        </w:rPr>
        <w:t>招标人可以在评标前说明项目背景和采购需求，说明内容不得含有歧视性、倾向性意见，不得超出招标文件所述范围。</w:t>
      </w:r>
    </w:p>
    <w:p w14:paraId="14D1042B">
      <w:pPr>
        <w:spacing w:line="460" w:lineRule="exact"/>
        <w:ind w:firstLine="482" w:firstLineChars="201"/>
        <w:rPr>
          <w:rFonts w:ascii="宋体" w:hAnsi="宋体" w:cs="宋体"/>
          <w:sz w:val="24"/>
          <w:highlight w:val="none"/>
        </w:rPr>
      </w:pPr>
      <w:r>
        <w:rPr>
          <w:rFonts w:hint="eastAsia" w:ascii="宋体" w:hAnsi="宋体" w:cs="宋体"/>
          <w:sz w:val="24"/>
          <w:highlight w:val="none"/>
        </w:rPr>
        <w:t>23.6评标委员会采用集中办公、封闭方式进行评审。评标前，</w:t>
      </w:r>
      <w:r>
        <w:rPr>
          <w:rFonts w:hint="eastAsia" w:ascii="宋体" w:hAnsi="宋体"/>
          <w:sz w:val="24"/>
          <w:highlight w:val="none"/>
        </w:rPr>
        <w:t>招标代理机构</w:t>
      </w:r>
      <w:r>
        <w:rPr>
          <w:rFonts w:hint="eastAsia" w:ascii="宋体" w:hAnsi="宋体" w:cs="宋体"/>
          <w:sz w:val="24"/>
          <w:highlight w:val="none"/>
        </w:rPr>
        <w:t>工作人员向评标委员会成员宣布评标纪律和工作规则。评标委员会成员签署《无利害关系声明表》，并遵照执行。</w:t>
      </w:r>
    </w:p>
    <w:p w14:paraId="6097D902">
      <w:pPr>
        <w:spacing w:line="460" w:lineRule="exact"/>
        <w:ind w:firstLine="482" w:firstLineChars="201"/>
        <w:rPr>
          <w:rFonts w:ascii="宋体" w:hAnsi="宋体" w:cs="宋体"/>
          <w:sz w:val="24"/>
          <w:highlight w:val="none"/>
        </w:rPr>
      </w:pPr>
      <w:r>
        <w:rPr>
          <w:rFonts w:hint="eastAsia" w:ascii="宋体" w:hAnsi="宋体" w:cs="宋体"/>
          <w:sz w:val="24"/>
          <w:highlight w:val="none"/>
        </w:rPr>
        <w:t>23.7在招标采购活动中，招标人员及相关人员与投标人有以下利害关系之一的，应当回避：</w:t>
      </w:r>
    </w:p>
    <w:p w14:paraId="571E0FF7">
      <w:pPr>
        <w:spacing w:line="460" w:lineRule="exact"/>
        <w:ind w:firstLine="482" w:firstLineChars="201"/>
        <w:rPr>
          <w:rFonts w:ascii="宋体" w:hAnsi="宋体" w:cs="宋体"/>
          <w:sz w:val="24"/>
          <w:highlight w:val="none"/>
        </w:rPr>
      </w:pPr>
      <w:r>
        <w:rPr>
          <w:rFonts w:hint="eastAsia" w:ascii="宋体" w:hAnsi="宋体" w:cs="宋体"/>
          <w:sz w:val="24"/>
          <w:highlight w:val="none"/>
        </w:rPr>
        <w:t>（1）参加招标采购活动前3年内与投标人存在劳动关系；</w:t>
      </w:r>
    </w:p>
    <w:p w14:paraId="26F090A9">
      <w:pPr>
        <w:spacing w:line="460" w:lineRule="exact"/>
        <w:ind w:firstLine="482" w:firstLineChars="201"/>
        <w:rPr>
          <w:rFonts w:ascii="宋体" w:hAnsi="宋体" w:cs="宋体"/>
          <w:sz w:val="24"/>
          <w:highlight w:val="none"/>
        </w:rPr>
      </w:pPr>
      <w:r>
        <w:rPr>
          <w:rFonts w:hint="eastAsia" w:ascii="宋体" w:hAnsi="宋体" w:cs="宋体"/>
          <w:sz w:val="24"/>
          <w:highlight w:val="none"/>
        </w:rPr>
        <w:t>（2）参加招标采购活动前3年内担任投标人的董事、监事；</w:t>
      </w:r>
    </w:p>
    <w:p w14:paraId="4D947E6C">
      <w:pPr>
        <w:spacing w:line="460" w:lineRule="exact"/>
        <w:ind w:firstLine="482" w:firstLineChars="201"/>
        <w:rPr>
          <w:rFonts w:ascii="宋体" w:hAnsi="宋体" w:cs="宋体"/>
          <w:sz w:val="24"/>
          <w:highlight w:val="none"/>
        </w:rPr>
      </w:pPr>
      <w:r>
        <w:rPr>
          <w:rFonts w:hint="eastAsia" w:ascii="宋体" w:hAnsi="宋体" w:cs="宋体"/>
          <w:sz w:val="24"/>
          <w:highlight w:val="none"/>
        </w:rPr>
        <w:t>（3）参加招标采购活动前3年内是投标人的控股股东或者实际控制人；</w:t>
      </w:r>
    </w:p>
    <w:p w14:paraId="2F1EC24A">
      <w:pPr>
        <w:spacing w:line="460" w:lineRule="exact"/>
        <w:ind w:firstLine="482" w:firstLineChars="201"/>
        <w:rPr>
          <w:rFonts w:ascii="宋体" w:hAnsi="宋体" w:cs="宋体"/>
          <w:sz w:val="24"/>
          <w:highlight w:val="none"/>
        </w:rPr>
      </w:pPr>
      <w:r>
        <w:rPr>
          <w:rFonts w:hint="eastAsia" w:ascii="宋体" w:hAnsi="宋体" w:cs="宋体"/>
          <w:sz w:val="24"/>
          <w:highlight w:val="none"/>
        </w:rPr>
        <w:t>（4）与投标人的法定代表人（单位负责人）或者负责人有服务、直系血亲、三代以内旁系血亲或者近姻亲关系；</w:t>
      </w:r>
    </w:p>
    <w:p w14:paraId="1C91DCA3">
      <w:pPr>
        <w:spacing w:line="460" w:lineRule="exact"/>
        <w:ind w:firstLine="482" w:firstLineChars="201"/>
        <w:rPr>
          <w:rFonts w:ascii="宋体" w:hAnsi="宋体" w:cs="宋体"/>
          <w:sz w:val="24"/>
          <w:highlight w:val="none"/>
        </w:rPr>
      </w:pPr>
      <w:r>
        <w:rPr>
          <w:rFonts w:hint="eastAsia" w:ascii="宋体" w:hAnsi="宋体" w:cs="宋体"/>
          <w:sz w:val="24"/>
          <w:highlight w:val="none"/>
        </w:rPr>
        <w:t>（5）与投标人有其他可能影响招标采购活动公平、公正进行的关系。</w:t>
      </w:r>
    </w:p>
    <w:p w14:paraId="0F43A42A">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28AF0C">
      <w:pPr>
        <w:spacing w:line="460" w:lineRule="exact"/>
        <w:ind w:firstLine="482" w:firstLineChars="201"/>
        <w:rPr>
          <w:rFonts w:ascii="宋体" w:hAnsi="宋体" w:cs="宋体"/>
          <w:sz w:val="24"/>
          <w:highlight w:val="none"/>
        </w:rPr>
      </w:pPr>
      <w:r>
        <w:rPr>
          <w:rFonts w:hint="eastAsia" w:ascii="宋体" w:hAnsi="宋体" w:cs="宋体"/>
          <w:sz w:val="24"/>
          <w:highlight w:val="none"/>
        </w:rPr>
        <w:t>23.8评标委员会将按照招标文件确定的评标原则和方法进行评标。招标人对投标人进行资格性审查，评标委员会对投标文件的评审内容分为符合性审查、商务评议、技术评议和价格评议。</w:t>
      </w:r>
    </w:p>
    <w:p w14:paraId="4B129CF7">
      <w:pPr>
        <w:spacing w:line="460" w:lineRule="exact"/>
        <w:ind w:firstLine="482" w:firstLineChars="201"/>
        <w:rPr>
          <w:rFonts w:ascii="宋体" w:hAnsi="宋体" w:cs="宋体"/>
          <w:sz w:val="24"/>
          <w:highlight w:val="none"/>
        </w:rPr>
      </w:pPr>
      <w:r>
        <w:rPr>
          <w:rFonts w:hint="eastAsia" w:ascii="宋体" w:hAnsi="宋体" w:cs="宋体"/>
          <w:sz w:val="24"/>
          <w:highlight w:val="none"/>
        </w:rPr>
        <w:t>23.9评标委员会将按照招标文件确定的评标原则和方法进行评标。评标委员会对投标文件的评审内容分为资格性审查、符合性审查、商务评议、技术评议和价格评议。</w:t>
      </w:r>
    </w:p>
    <w:p w14:paraId="14999617">
      <w:pPr>
        <w:spacing w:line="460" w:lineRule="exact"/>
        <w:ind w:firstLine="482" w:firstLineChars="201"/>
        <w:rPr>
          <w:rFonts w:ascii="宋体" w:hAnsi="宋体" w:cs="宋体"/>
          <w:sz w:val="24"/>
          <w:highlight w:val="none"/>
        </w:rPr>
      </w:pPr>
      <w:r>
        <w:rPr>
          <w:rFonts w:hint="eastAsia" w:ascii="宋体" w:hAnsi="宋体" w:cs="宋体"/>
          <w:sz w:val="24"/>
          <w:highlight w:val="none"/>
        </w:rPr>
        <w:t>23.10评标委员会独立履行下列职责：</w:t>
      </w:r>
    </w:p>
    <w:p w14:paraId="6E46F842">
      <w:pPr>
        <w:spacing w:line="460" w:lineRule="exact"/>
        <w:ind w:firstLine="482" w:firstLineChars="201"/>
        <w:rPr>
          <w:rFonts w:ascii="宋体" w:hAnsi="宋体" w:cs="宋体"/>
          <w:sz w:val="24"/>
          <w:highlight w:val="none"/>
        </w:rPr>
      </w:pPr>
      <w:r>
        <w:rPr>
          <w:rFonts w:hint="eastAsia" w:ascii="宋体" w:hAnsi="宋体" w:cs="宋体"/>
          <w:sz w:val="24"/>
          <w:highlight w:val="none"/>
        </w:rPr>
        <w:t>（1）审查、评价投标文件是否符合招标文件的商务、技术等实质性要求；</w:t>
      </w:r>
    </w:p>
    <w:p w14:paraId="3912ADBD">
      <w:pPr>
        <w:spacing w:line="460" w:lineRule="exact"/>
        <w:ind w:firstLine="482" w:firstLineChars="201"/>
        <w:rPr>
          <w:rFonts w:ascii="宋体" w:hAnsi="宋体" w:cs="宋体"/>
          <w:sz w:val="24"/>
          <w:highlight w:val="none"/>
        </w:rPr>
      </w:pPr>
      <w:r>
        <w:rPr>
          <w:rFonts w:hint="eastAsia" w:ascii="宋体" w:hAnsi="宋体" w:cs="宋体"/>
          <w:sz w:val="24"/>
          <w:highlight w:val="none"/>
        </w:rPr>
        <w:t>（2）要求投标人对投标文件有关事项作出澄清或者说明；</w:t>
      </w:r>
    </w:p>
    <w:p w14:paraId="293740F9">
      <w:pPr>
        <w:spacing w:line="460" w:lineRule="exact"/>
        <w:ind w:firstLine="482" w:firstLineChars="201"/>
        <w:rPr>
          <w:rFonts w:ascii="宋体" w:hAnsi="宋体" w:cs="宋体"/>
          <w:sz w:val="24"/>
          <w:highlight w:val="none"/>
        </w:rPr>
      </w:pPr>
      <w:r>
        <w:rPr>
          <w:rFonts w:hint="eastAsia" w:ascii="宋体" w:hAnsi="宋体" w:cs="宋体"/>
          <w:sz w:val="24"/>
          <w:highlight w:val="none"/>
        </w:rPr>
        <w:t>（3）对投标文件进行比较和评价；</w:t>
      </w:r>
    </w:p>
    <w:p w14:paraId="1F996277">
      <w:pPr>
        <w:spacing w:line="460" w:lineRule="exact"/>
        <w:ind w:firstLine="482" w:firstLineChars="201"/>
        <w:rPr>
          <w:rFonts w:ascii="宋体" w:hAnsi="宋体" w:cs="宋体"/>
          <w:sz w:val="24"/>
          <w:highlight w:val="none"/>
        </w:rPr>
      </w:pPr>
      <w:r>
        <w:rPr>
          <w:rFonts w:hint="eastAsia" w:ascii="宋体" w:hAnsi="宋体" w:cs="宋体"/>
          <w:sz w:val="24"/>
          <w:highlight w:val="none"/>
        </w:rPr>
        <w:t>（4）确定中标候选人名单，以及根据招标人委托直接确定中标人；</w:t>
      </w:r>
    </w:p>
    <w:p w14:paraId="47E8B446">
      <w:pPr>
        <w:spacing w:line="460" w:lineRule="exact"/>
        <w:ind w:firstLine="482" w:firstLineChars="201"/>
        <w:rPr>
          <w:rFonts w:ascii="宋体" w:hAnsi="宋体" w:cs="宋体"/>
          <w:sz w:val="24"/>
          <w:highlight w:val="none"/>
        </w:rPr>
      </w:pPr>
      <w:r>
        <w:rPr>
          <w:rFonts w:hint="eastAsia" w:ascii="宋体" w:hAnsi="宋体" w:cs="宋体"/>
          <w:sz w:val="24"/>
          <w:highlight w:val="none"/>
        </w:rPr>
        <w:t>23.11 评标中因评标委员会成员缺席、回避或者健康等特殊原因导致评标委员会组成不符合本办法规定的，</w:t>
      </w:r>
      <w:r>
        <w:rPr>
          <w:rFonts w:hint="eastAsia" w:ascii="宋体" w:hAnsi="宋体"/>
          <w:sz w:val="24"/>
          <w:highlight w:val="none"/>
        </w:rPr>
        <w:t>招标代理机构</w:t>
      </w:r>
      <w:r>
        <w:rPr>
          <w:rFonts w:hint="eastAsia" w:ascii="宋体" w:hAnsi="宋体" w:cs="宋体"/>
          <w:sz w:val="24"/>
          <w:highlight w:val="none"/>
        </w:rPr>
        <w:t>应当依法补足后继续评标。被更换的评标委员会成员所作出的评标意见无效。</w:t>
      </w:r>
    </w:p>
    <w:p w14:paraId="4EB9CF47">
      <w:pPr>
        <w:spacing w:line="460" w:lineRule="exact"/>
        <w:ind w:firstLine="482" w:firstLineChars="201"/>
        <w:rPr>
          <w:rFonts w:ascii="宋体" w:hAnsi="宋体" w:cs="宋体"/>
          <w:sz w:val="24"/>
          <w:highlight w:val="none"/>
        </w:rPr>
      </w:pPr>
      <w:r>
        <w:rPr>
          <w:rFonts w:hint="eastAsia" w:ascii="宋体" w:hAnsi="宋体" w:cs="宋体"/>
          <w:sz w:val="24"/>
          <w:highlight w:val="none"/>
        </w:rPr>
        <w:t>无法及时补足评标委员会成员的，</w:t>
      </w:r>
      <w:r>
        <w:rPr>
          <w:rFonts w:hint="eastAsia" w:ascii="宋体" w:hAnsi="宋体"/>
          <w:sz w:val="24"/>
          <w:highlight w:val="none"/>
        </w:rPr>
        <w:t>招标代理机构</w:t>
      </w:r>
      <w:r>
        <w:rPr>
          <w:rFonts w:hint="eastAsia" w:ascii="宋体" w:hAnsi="宋体" w:cs="宋体"/>
          <w:sz w:val="24"/>
          <w:highlight w:val="none"/>
        </w:rPr>
        <w:t>应当停止评标活动，封存所有投标文件和开标、评标资料，依法重新组建评标委员会进行评标。原评标委员会作出的评标意见无效。</w:t>
      </w:r>
    </w:p>
    <w:p w14:paraId="6EDF87D7">
      <w:pPr>
        <w:spacing w:line="460" w:lineRule="exact"/>
        <w:ind w:firstLine="482" w:firstLineChars="201"/>
        <w:rPr>
          <w:rFonts w:ascii="宋体" w:hAnsi="宋体" w:cs="宋体"/>
          <w:sz w:val="24"/>
          <w:highlight w:val="none"/>
        </w:rPr>
      </w:pPr>
      <w:r>
        <w:rPr>
          <w:rFonts w:hint="eastAsia" w:ascii="宋体" w:hAnsi="宋体"/>
          <w:sz w:val="24"/>
          <w:highlight w:val="none"/>
        </w:rPr>
        <w:t>招标代理机构</w:t>
      </w:r>
      <w:r>
        <w:rPr>
          <w:rFonts w:hint="eastAsia" w:ascii="宋体" w:hAnsi="宋体" w:cs="宋体"/>
          <w:sz w:val="24"/>
          <w:highlight w:val="none"/>
        </w:rPr>
        <w:t>应当将变更、重新组建评标委员会的情况予以记录，并随</w:t>
      </w:r>
      <w:r>
        <w:rPr>
          <w:rFonts w:hint="eastAsia" w:ascii="宋体" w:hAnsi="宋体"/>
          <w:sz w:val="24"/>
          <w:highlight w:val="none"/>
        </w:rPr>
        <w:t>招标</w:t>
      </w:r>
      <w:r>
        <w:rPr>
          <w:rFonts w:hint="eastAsia" w:ascii="宋体" w:hAnsi="宋体" w:cs="宋体"/>
          <w:sz w:val="24"/>
          <w:highlight w:val="none"/>
        </w:rPr>
        <w:t>文件一并存档。</w:t>
      </w:r>
    </w:p>
    <w:p w14:paraId="201C10EB">
      <w:pPr>
        <w:spacing w:line="460" w:lineRule="exact"/>
        <w:ind w:firstLine="484" w:firstLineChars="201"/>
        <w:rPr>
          <w:rFonts w:ascii="宋体" w:hAnsi="宋体" w:cs="宋体"/>
          <w:b/>
          <w:sz w:val="24"/>
          <w:highlight w:val="none"/>
        </w:rPr>
      </w:pPr>
      <w:r>
        <w:rPr>
          <w:rFonts w:hint="eastAsia" w:ascii="宋体" w:hAnsi="宋体" w:cs="宋体"/>
          <w:b/>
          <w:sz w:val="24"/>
          <w:highlight w:val="none"/>
        </w:rPr>
        <w:t>24.投标文件的初审</w:t>
      </w:r>
    </w:p>
    <w:p w14:paraId="7F833AFE">
      <w:pPr>
        <w:spacing w:line="460" w:lineRule="exact"/>
        <w:ind w:firstLine="482" w:firstLineChars="201"/>
        <w:rPr>
          <w:rFonts w:ascii="宋体" w:hAnsi="宋体" w:cs="宋体"/>
          <w:sz w:val="24"/>
          <w:highlight w:val="none"/>
        </w:rPr>
      </w:pPr>
      <w:r>
        <w:rPr>
          <w:rFonts w:hint="eastAsia" w:ascii="宋体" w:hAnsi="宋体" w:cs="宋体"/>
          <w:sz w:val="24"/>
          <w:highlight w:val="none"/>
        </w:rPr>
        <w:t>评标委员会将按照招标文件的规定对投标文件进行资格性和符合性审查，以确定投标文件的有效性。</w:t>
      </w:r>
    </w:p>
    <w:p w14:paraId="726A60B8">
      <w:pPr>
        <w:spacing w:line="460" w:lineRule="exact"/>
        <w:ind w:firstLine="482" w:firstLineChars="201"/>
        <w:rPr>
          <w:rFonts w:ascii="宋体" w:hAnsi="宋体" w:cs="宋体"/>
          <w:sz w:val="24"/>
          <w:highlight w:val="none"/>
        </w:rPr>
      </w:pPr>
      <w:r>
        <w:rPr>
          <w:rFonts w:hint="eastAsia" w:ascii="宋体" w:hAnsi="宋体" w:cs="宋体"/>
          <w:sz w:val="24"/>
          <w:highlight w:val="none"/>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14:paraId="7B3638BF">
      <w:pPr>
        <w:spacing w:line="460" w:lineRule="exact"/>
        <w:ind w:firstLine="482" w:firstLineChars="201"/>
        <w:rPr>
          <w:rFonts w:ascii="宋体" w:hAnsi="宋体" w:cs="宋体"/>
          <w:sz w:val="24"/>
          <w:highlight w:val="none"/>
        </w:rPr>
      </w:pPr>
      <w:r>
        <w:rPr>
          <w:rFonts w:hint="eastAsia" w:ascii="宋体" w:hAnsi="宋体" w:cs="宋体"/>
          <w:sz w:val="24"/>
          <w:highlight w:val="none"/>
        </w:rPr>
        <w:t>（1）投标文件不完整的；</w:t>
      </w:r>
    </w:p>
    <w:p w14:paraId="7C6CE3D8">
      <w:pPr>
        <w:spacing w:line="460" w:lineRule="exact"/>
        <w:ind w:firstLine="482" w:firstLineChars="201"/>
        <w:rPr>
          <w:rFonts w:ascii="宋体" w:hAnsi="宋体" w:cs="宋体"/>
          <w:sz w:val="24"/>
          <w:highlight w:val="none"/>
        </w:rPr>
      </w:pPr>
      <w:r>
        <w:rPr>
          <w:rFonts w:hint="eastAsia" w:ascii="宋体" w:hAnsi="宋体" w:cs="宋体"/>
          <w:sz w:val="24"/>
          <w:highlight w:val="none"/>
        </w:rPr>
        <w:t>（2）资质、资格证明文件不完整或不符合招标文件要求或过期失效的；</w:t>
      </w:r>
    </w:p>
    <w:p w14:paraId="74A267C0">
      <w:pPr>
        <w:spacing w:line="460" w:lineRule="exact"/>
        <w:ind w:firstLine="482" w:firstLineChars="201"/>
        <w:rPr>
          <w:rFonts w:ascii="宋体" w:hAnsi="宋体" w:cs="宋体"/>
          <w:sz w:val="24"/>
          <w:highlight w:val="none"/>
        </w:rPr>
      </w:pPr>
      <w:r>
        <w:rPr>
          <w:rFonts w:hint="eastAsia" w:ascii="宋体" w:hAnsi="宋体" w:cs="宋体"/>
          <w:sz w:val="24"/>
          <w:highlight w:val="none"/>
        </w:rPr>
        <w:t>（3）投标文件未按规定签署及盖章的；</w:t>
      </w:r>
    </w:p>
    <w:p w14:paraId="557497A2">
      <w:pPr>
        <w:spacing w:line="460" w:lineRule="exact"/>
        <w:ind w:firstLine="482" w:firstLineChars="201"/>
        <w:rPr>
          <w:rFonts w:ascii="宋体" w:hAnsi="宋体" w:cs="宋体"/>
          <w:sz w:val="24"/>
          <w:highlight w:val="none"/>
        </w:rPr>
      </w:pPr>
      <w:r>
        <w:rPr>
          <w:rFonts w:hint="eastAsia" w:ascii="宋体" w:hAnsi="宋体" w:cs="宋体"/>
          <w:sz w:val="24"/>
          <w:highlight w:val="none"/>
        </w:rPr>
        <w:t>（4）投标人的法定代表人（单位负责人）或授权代表不在规定时间内答疑或澄清的；</w:t>
      </w:r>
    </w:p>
    <w:p w14:paraId="38704C98">
      <w:pPr>
        <w:spacing w:line="460" w:lineRule="exact"/>
        <w:ind w:firstLine="482" w:firstLineChars="201"/>
        <w:rPr>
          <w:rFonts w:ascii="宋体" w:hAnsi="宋体" w:cs="宋体"/>
          <w:sz w:val="24"/>
          <w:highlight w:val="none"/>
        </w:rPr>
      </w:pPr>
      <w:r>
        <w:rPr>
          <w:rFonts w:hint="eastAsia" w:ascii="宋体" w:hAnsi="宋体" w:cs="宋体"/>
          <w:sz w:val="24"/>
          <w:highlight w:val="none"/>
        </w:rPr>
        <w:t>（5）与招标人存在利害关系且可能影响招标活动的公正性；</w:t>
      </w:r>
    </w:p>
    <w:p w14:paraId="1575BBD4">
      <w:pPr>
        <w:spacing w:line="460" w:lineRule="exact"/>
        <w:ind w:firstLine="482" w:firstLineChars="201"/>
        <w:rPr>
          <w:rFonts w:ascii="宋体" w:hAnsi="宋体" w:cs="宋体"/>
          <w:sz w:val="24"/>
          <w:highlight w:val="none"/>
        </w:rPr>
      </w:pPr>
      <w:r>
        <w:rPr>
          <w:rFonts w:hint="eastAsia" w:ascii="宋体" w:hAnsi="宋体" w:cs="宋体"/>
          <w:sz w:val="24"/>
          <w:highlight w:val="none"/>
        </w:rPr>
        <w:t>（6）与本招标项目的其他投标人为同一个单位负责人；</w:t>
      </w:r>
    </w:p>
    <w:p w14:paraId="6D919CE4">
      <w:pPr>
        <w:spacing w:line="460" w:lineRule="exact"/>
        <w:ind w:firstLine="482" w:firstLineChars="201"/>
        <w:rPr>
          <w:rFonts w:ascii="宋体" w:hAnsi="宋体" w:cs="宋体"/>
          <w:sz w:val="24"/>
          <w:highlight w:val="none"/>
        </w:rPr>
      </w:pPr>
      <w:r>
        <w:rPr>
          <w:rFonts w:hint="eastAsia" w:ascii="宋体" w:hAnsi="宋体" w:cs="宋体"/>
          <w:sz w:val="24"/>
          <w:highlight w:val="none"/>
        </w:rPr>
        <w:t>（7）与本招标项目的其他投标人存在控股、管理关系；</w:t>
      </w:r>
    </w:p>
    <w:p w14:paraId="0A3B6599">
      <w:pPr>
        <w:spacing w:line="460" w:lineRule="exact"/>
        <w:ind w:firstLine="482" w:firstLineChars="201"/>
        <w:rPr>
          <w:rFonts w:ascii="宋体" w:hAnsi="宋体" w:cs="宋体"/>
          <w:sz w:val="24"/>
          <w:highlight w:val="none"/>
        </w:rPr>
      </w:pPr>
      <w:r>
        <w:rPr>
          <w:rFonts w:hint="eastAsia" w:ascii="宋体" w:hAnsi="宋体" w:cs="宋体"/>
          <w:sz w:val="24"/>
          <w:highlight w:val="none"/>
        </w:rPr>
        <w:t>（8）为本招标项目提供过设计、编制技术规范和其他文件的咨询服务；</w:t>
      </w:r>
    </w:p>
    <w:p w14:paraId="160F5C94">
      <w:pPr>
        <w:spacing w:line="460" w:lineRule="exact"/>
        <w:ind w:firstLine="482" w:firstLineChars="201"/>
        <w:rPr>
          <w:rFonts w:ascii="宋体" w:hAnsi="宋体" w:cs="宋体"/>
          <w:sz w:val="24"/>
          <w:highlight w:val="none"/>
        </w:rPr>
      </w:pPr>
      <w:r>
        <w:rPr>
          <w:rFonts w:hint="eastAsia" w:ascii="宋体" w:hAnsi="宋体" w:cs="宋体"/>
          <w:sz w:val="24"/>
          <w:highlight w:val="none"/>
        </w:rPr>
        <w:t>（9）为本招标项目的代建人；</w:t>
      </w:r>
    </w:p>
    <w:p w14:paraId="3DD5F71D">
      <w:pPr>
        <w:spacing w:line="460" w:lineRule="exact"/>
        <w:ind w:firstLine="482" w:firstLineChars="201"/>
        <w:rPr>
          <w:rFonts w:ascii="宋体" w:hAnsi="宋体" w:cs="宋体"/>
          <w:sz w:val="24"/>
          <w:highlight w:val="none"/>
        </w:rPr>
      </w:pPr>
      <w:r>
        <w:rPr>
          <w:rFonts w:hint="eastAsia" w:ascii="宋体" w:hAnsi="宋体" w:cs="宋体"/>
          <w:sz w:val="24"/>
          <w:highlight w:val="none"/>
        </w:rPr>
        <w:t>（10）为本招标项目的招标代理机构；</w:t>
      </w:r>
    </w:p>
    <w:p w14:paraId="39B775E1">
      <w:pPr>
        <w:spacing w:line="460" w:lineRule="exact"/>
        <w:ind w:firstLine="482" w:firstLineChars="201"/>
        <w:rPr>
          <w:rFonts w:ascii="宋体" w:hAnsi="宋体" w:cs="宋体"/>
          <w:sz w:val="24"/>
          <w:highlight w:val="none"/>
        </w:rPr>
      </w:pPr>
      <w:r>
        <w:rPr>
          <w:rFonts w:hint="eastAsia" w:ascii="宋体" w:hAnsi="宋体" w:cs="宋体"/>
          <w:sz w:val="24"/>
          <w:highlight w:val="none"/>
        </w:rPr>
        <w:t>（11）被依法暂停或者取消投标资格；</w:t>
      </w:r>
    </w:p>
    <w:p w14:paraId="0CF499AB">
      <w:pPr>
        <w:spacing w:line="460" w:lineRule="exact"/>
        <w:ind w:firstLine="482" w:firstLineChars="201"/>
        <w:rPr>
          <w:rFonts w:ascii="宋体" w:hAnsi="宋体" w:cs="宋体"/>
          <w:sz w:val="24"/>
          <w:highlight w:val="none"/>
        </w:rPr>
      </w:pPr>
      <w:r>
        <w:rPr>
          <w:rFonts w:hint="eastAsia" w:ascii="宋体" w:hAnsi="宋体" w:cs="宋体"/>
          <w:sz w:val="24"/>
          <w:highlight w:val="none"/>
        </w:rPr>
        <w:t>（12）被责令停产停业、暂扣或者吊销许可证、暂扣或者吊销执照；</w:t>
      </w:r>
    </w:p>
    <w:p w14:paraId="334AD4FE">
      <w:pPr>
        <w:spacing w:line="460" w:lineRule="exact"/>
        <w:ind w:firstLine="482" w:firstLineChars="201"/>
        <w:rPr>
          <w:rFonts w:ascii="宋体" w:hAnsi="宋体" w:cs="宋体"/>
          <w:sz w:val="24"/>
          <w:highlight w:val="none"/>
        </w:rPr>
      </w:pPr>
      <w:r>
        <w:rPr>
          <w:rFonts w:hint="eastAsia" w:ascii="宋体" w:hAnsi="宋体" w:cs="宋体"/>
          <w:sz w:val="24"/>
          <w:highlight w:val="none"/>
        </w:rPr>
        <w:t>（13）进入清算程序，或被宣告破产，或其他丧失履约能力的情形；</w:t>
      </w:r>
    </w:p>
    <w:p w14:paraId="0EBEAA7C">
      <w:pPr>
        <w:spacing w:line="460" w:lineRule="exact"/>
        <w:ind w:firstLine="482" w:firstLineChars="201"/>
        <w:rPr>
          <w:rFonts w:ascii="宋体" w:hAnsi="宋体" w:cs="宋体"/>
          <w:sz w:val="24"/>
          <w:highlight w:val="none"/>
        </w:rPr>
      </w:pPr>
      <w:r>
        <w:rPr>
          <w:rFonts w:hint="eastAsia" w:ascii="宋体" w:hAnsi="宋体" w:cs="宋体"/>
          <w:sz w:val="24"/>
          <w:highlight w:val="none"/>
        </w:rPr>
        <w:t>（14）除招标文件规定提交备选投标方案外，同一投标人递交两个以上不同的投标文件或者投标报价的；</w:t>
      </w:r>
    </w:p>
    <w:p w14:paraId="15810DCB">
      <w:pPr>
        <w:spacing w:line="460" w:lineRule="exact"/>
        <w:ind w:firstLine="482" w:firstLineChars="201"/>
        <w:rPr>
          <w:rFonts w:ascii="宋体" w:hAnsi="宋体" w:cs="宋体"/>
          <w:sz w:val="24"/>
          <w:highlight w:val="none"/>
        </w:rPr>
      </w:pPr>
      <w:r>
        <w:rPr>
          <w:rFonts w:hint="eastAsia" w:ascii="宋体" w:hAnsi="宋体" w:cs="宋体"/>
          <w:sz w:val="24"/>
          <w:highlight w:val="none"/>
        </w:rPr>
        <w:t>（15）评标委员会认为不符合招标文件其他实质性要求或法律规定的；</w:t>
      </w:r>
    </w:p>
    <w:p w14:paraId="41911926">
      <w:pPr>
        <w:spacing w:line="460" w:lineRule="exact"/>
        <w:ind w:firstLine="482" w:firstLineChars="201"/>
        <w:rPr>
          <w:rFonts w:ascii="宋体" w:hAnsi="宋体" w:cs="宋体"/>
          <w:sz w:val="24"/>
          <w:highlight w:val="none"/>
        </w:rPr>
      </w:pPr>
      <w:r>
        <w:rPr>
          <w:rFonts w:hint="eastAsia" w:ascii="宋体" w:hAnsi="宋体" w:cs="宋体"/>
          <w:sz w:val="24"/>
          <w:highlight w:val="none"/>
        </w:rPr>
        <w:t>（16）法律法规规定的其他情形。</w:t>
      </w:r>
    </w:p>
    <w:p w14:paraId="43E506AB">
      <w:pPr>
        <w:spacing w:line="460" w:lineRule="exact"/>
        <w:ind w:firstLine="482" w:firstLineChars="201"/>
        <w:rPr>
          <w:rFonts w:ascii="宋体" w:hAnsi="宋体" w:cs="宋体"/>
          <w:sz w:val="24"/>
          <w:highlight w:val="none"/>
        </w:rPr>
      </w:pPr>
      <w:r>
        <w:rPr>
          <w:rFonts w:hint="eastAsia" w:ascii="宋体" w:hAnsi="宋体" w:cs="宋体"/>
          <w:sz w:val="24"/>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037B93D9">
      <w:pPr>
        <w:spacing w:line="460" w:lineRule="exact"/>
        <w:ind w:firstLine="484" w:firstLineChars="201"/>
        <w:rPr>
          <w:rFonts w:ascii="宋体" w:hAnsi="宋体" w:cs="宋体"/>
          <w:b/>
          <w:sz w:val="24"/>
          <w:highlight w:val="none"/>
        </w:rPr>
      </w:pPr>
      <w:r>
        <w:rPr>
          <w:rFonts w:hint="eastAsia" w:ascii="宋体" w:hAnsi="宋体" w:cs="宋体"/>
          <w:b/>
          <w:sz w:val="24"/>
          <w:highlight w:val="none"/>
        </w:rPr>
        <w:t>具体内容详见《投标须知》-《实质性条款一览表》中符合性审查条件。</w:t>
      </w:r>
    </w:p>
    <w:p w14:paraId="533D0542">
      <w:pPr>
        <w:spacing w:line="460" w:lineRule="exact"/>
        <w:ind w:firstLine="482" w:firstLineChars="201"/>
        <w:rPr>
          <w:rFonts w:ascii="宋体" w:hAnsi="宋体" w:cs="宋体"/>
          <w:sz w:val="24"/>
          <w:highlight w:val="none"/>
        </w:rPr>
      </w:pPr>
      <w:r>
        <w:rPr>
          <w:rFonts w:hint="eastAsia" w:ascii="宋体" w:hAnsi="宋体" w:cs="宋体"/>
          <w:sz w:val="24"/>
          <w:highlight w:val="none"/>
        </w:rPr>
        <w:t>24.3投标人有下列情形之一的，视为投标人串通投标，其投标无效：</w:t>
      </w:r>
    </w:p>
    <w:p w14:paraId="7DD6C027">
      <w:pPr>
        <w:pStyle w:val="14"/>
        <w:widowControl w:val="0"/>
        <w:shd w:val="clear" w:color="auto" w:fill="FFFFFF"/>
        <w:spacing w:before="0" w:after="0" w:line="460" w:lineRule="exact"/>
        <w:ind w:firstLine="560"/>
        <w:jc w:val="both"/>
        <w:rPr>
          <w:kern w:val="2"/>
          <w:highlight w:val="none"/>
        </w:rPr>
      </w:pPr>
      <w:r>
        <w:rPr>
          <w:rFonts w:hint="eastAsia"/>
          <w:kern w:val="2"/>
          <w:highlight w:val="none"/>
        </w:rPr>
        <w:t>（1）不同投标人的投标文件由同一单位或者个人编制的；</w:t>
      </w:r>
    </w:p>
    <w:p w14:paraId="0122DC35">
      <w:pPr>
        <w:pStyle w:val="14"/>
        <w:widowControl w:val="0"/>
        <w:shd w:val="clear" w:color="auto" w:fill="FFFFFF"/>
        <w:spacing w:before="0" w:after="0" w:line="460" w:lineRule="exact"/>
        <w:ind w:firstLine="560"/>
        <w:jc w:val="both"/>
        <w:rPr>
          <w:kern w:val="2"/>
          <w:highlight w:val="none"/>
        </w:rPr>
      </w:pPr>
      <w:r>
        <w:rPr>
          <w:rFonts w:hint="eastAsia"/>
          <w:kern w:val="2"/>
          <w:highlight w:val="none"/>
        </w:rPr>
        <w:t>（2）不同投标人使用同一个投标人或者同一个自然人的IP地址、设备下载</w:t>
      </w:r>
      <w:r>
        <w:rPr>
          <w:rFonts w:hint="eastAsia"/>
          <w:highlight w:val="none"/>
        </w:rPr>
        <w:t>招标</w:t>
      </w:r>
      <w:r>
        <w:rPr>
          <w:rFonts w:hint="eastAsia"/>
          <w:kern w:val="2"/>
          <w:highlight w:val="none"/>
        </w:rPr>
        <w:t>文件或者制作、上传投标文件的；</w:t>
      </w:r>
    </w:p>
    <w:p w14:paraId="48F711DE">
      <w:pPr>
        <w:pStyle w:val="14"/>
        <w:widowControl w:val="0"/>
        <w:shd w:val="clear" w:color="auto" w:fill="FFFFFF"/>
        <w:spacing w:before="0" w:after="0" w:line="460" w:lineRule="exact"/>
        <w:ind w:firstLine="560"/>
        <w:jc w:val="both"/>
        <w:rPr>
          <w:kern w:val="2"/>
          <w:highlight w:val="none"/>
        </w:rPr>
      </w:pPr>
      <w:r>
        <w:rPr>
          <w:rFonts w:hint="eastAsia"/>
          <w:kern w:val="2"/>
          <w:highlight w:val="none"/>
        </w:rPr>
        <w:t>（3）不同投标人委托同一单位或者个人办理投标事宜；</w:t>
      </w:r>
    </w:p>
    <w:p w14:paraId="4A00F021">
      <w:pPr>
        <w:pStyle w:val="14"/>
        <w:widowControl w:val="0"/>
        <w:shd w:val="clear" w:color="auto" w:fill="FFFFFF"/>
        <w:spacing w:before="0" w:after="0" w:line="460" w:lineRule="exact"/>
        <w:ind w:firstLine="560"/>
        <w:jc w:val="both"/>
        <w:rPr>
          <w:kern w:val="2"/>
          <w:highlight w:val="none"/>
        </w:rPr>
      </w:pPr>
      <w:r>
        <w:rPr>
          <w:rFonts w:hint="eastAsia"/>
          <w:kern w:val="2"/>
          <w:highlight w:val="none"/>
        </w:rPr>
        <w:t>（4）不同投标人的投标文件载明的项目管理成员或者联系人员为同一人；</w:t>
      </w:r>
    </w:p>
    <w:p w14:paraId="16B476BB">
      <w:pPr>
        <w:pStyle w:val="14"/>
        <w:widowControl w:val="0"/>
        <w:shd w:val="clear" w:color="auto" w:fill="FFFFFF"/>
        <w:spacing w:before="0" w:after="0" w:line="460" w:lineRule="exact"/>
        <w:ind w:firstLine="560"/>
        <w:jc w:val="both"/>
        <w:rPr>
          <w:kern w:val="2"/>
          <w:highlight w:val="none"/>
        </w:rPr>
      </w:pPr>
      <w:r>
        <w:rPr>
          <w:rFonts w:hint="eastAsia"/>
          <w:kern w:val="2"/>
          <w:highlight w:val="none"/>
        </w:rPr>
        <w:t>（5）不同投标人的投标文件重要内容异常一致、或者投标报价呈现规律性差异；</w:t>
      </w:r>
    </w:p>
    <w:p w14:paraId="625AC731">
      <w:pPr>
        <w:pStyle w:val="14"/>
        <w:widowControl w:val="0"/>
        <w:shd w:val="clear" w:color="auto" w:fill="FFFFFF"/>
        <w:spacing w:before="0" w:after="0" w:line="460" w:lineRule="exact"/>
        <w:ind w:firstLine="560"/>
        <w:jc w:val="both"/>
        <w:rPr>
          <w:kern w:val="2"/>
          <w:highlight w:val="none"/>
        </w:rPr>
      </w:pPr>
      <w:r>
        <w:rPr>
          <w:rFonts w:hint="eastAsia"/>
          <w:kern w:val="2"/>
          <w:highlight w:val="none"/>
        </w:rPr>
        <w:t>（6）不同投标人编制的投标文件存在两处以上错误一致的；</w:t>
      </w:r>
    </w:p>
    <w:p w14:paraId="69E2EF1B">
      <w:pPr>
        <w:pStyle w:val="14"/>
        <w:widowControl w:val="0"/>
        <w:shd w:val="clear" w:color="auto" w:fill="FFFFFF"/>
        <w:spacing w:before="0" w:after="0" w:line="460" w:lineRule="exact"/>
        <w:ind w:firstLine="560"/>
        <w:jc w:val="both"/>
        <w:rPr>
          <w:kern w:val="2"/>
          <w:highlight w:val="none"/>
        </w:rPr>
      </w:pPr>
      <w:r>
        <w:rPr>
          <w:rFonts w:hint="eastAsia"/>
          <w:kern w:val="2"/>
          <w:highlight w:val="none"/>
        </w:rPr>
        <w:t>（7）不同投标人的投标文件相互混装；</w:t>
      </w:r>
    </w:p>
    <w:p w14:paraId="61C752CC">
      <w:pPr>
        <w:pStyle w:val="14"/>
        <w:widowControl w:val="0"/>
        <w:shd w:val="clear" w:color="auto" w:fill="FFFFFF"/>
        <w:spacing w:before="0" w:after="0" w:line="460" w:lineRule="exact"/>
        <w:ind w:firstLine="560"/>
        <w:jc w:val="both"/>
        <w:rPr>
          <w:kern w:val="2"/>
          <w:highlight w:val="none"/>
        </w:rPr>
      </w:pPr>
      <w:r>
        <w:rPr>
          <w:rFonts w:hint="eastAsia"/>
          <w:highlight w:val="none"/>
        </w:rPr>
        <w:t>（8）不同投标人的投标保证金从同一单位或者个人的账户转出；</w:t>
      </w:r>
    </w:p>
    <w:p w14:paraId="1A08CBE8">
      <w:pPr>
        <w:pStyle w:val="14"/>
        <w:widowControl w:val="0"/>
        <w:shd w:val="clear" w:color="auto" w:fill="FFFFFF"/>
        <w:spacing w:before="0" w:after="0" w:line="460" w:lineRule="exact"/>
        <w:ind w:firstLine="560"/>
        <w:jc w:val="both"/>
        <w:rPr>
          <w:kern w:val="2"/>
          <w:highlight w:val="none"/>
        </w:rPr>
      </w:pPr>
      <w:r>
        <w:rPr>
          <w:rFonts w:hint="eastAsia"/>
          <w:kern w:val="2"/>
          <w:highlight w:val="none"/>
        </w:rPr>
        <w:t>（9）不同投标人制作的电子投标文件经系统审查存在cpu编码、硬盘编码及MAC地址三项编码均相同的。</w:t>
      </w:r>
    </w:p>
    <w:p w14:paraId="1BFD08C1">
      <w:pPr>
        <w:spacing w:line="460" w:lineRule="exact"/>
        <w:ind w:firstLine="484" w:firstLineChars="201"/>
        <w:rPr>
          <w:rFonts w:ascii="宋体" w:hAnsi="宋体" w:cs="宋体"/>
          <w:b/>
          <w:sz w:val="24"/>
          <w:highlight w:val="none"/>
        </w:rPr>
      </w:pPr>
      <w:r>
        <w:rPr>
          <w:rFonts w:hint="eastAsia" w:ascii="宋体" w:hAnsi="宋体" w:cs="宋体"/>
          <w:b/>
          <w:sz w:val="24"/>
          <w:highlight w:val="none"/>
        </w:rPr>
        <w:t>25.投标文件的澄清</w:t>
      </w:r>
    </w:p>
    <w:p w14:paraId="372E4E51">
      <w:pPr>
        <w:spacing w:line="460" w:lineRule="exact"/>
        <w:ind w:firstLine="482" w:firstLineChars="201"/>
        <w:rPr>
          <w:rFonts w:ascii="宋体" w:hAnsi="宋体" w:cs="宋体"/>
          <w:sz w:val="24"/>
          <w:highlight w:val="none"/>
        </w:rPr>
      </w:pPr>
      <w:r>
        <w:rPr>
          <w:rFonts w:hint="eastAsia" w:ascii="宋体" w:hAnsi="宋体" w:cs="宋体"/>
          <w:sz w:val="24"/>
          <w:highlight w:val="none"/>
        </w:rPr>
        <w:t>25.1评标委员会有权向投标人询标，对于投标文件中含义不明确、同类问题表述不一致或者有明显文字和计算错误的内容，评标委员会应当通过电子交易系统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22A0CBF">
      <w:pPr>
        <w:spacing w:line="460" w:lineRule="exact"/>
        <w:ind w:firstLine="482" w:firstLineChars="201"/>
        <w:rPr>
          <w:rFonts w:ascii="宋体" w:hAnsi="宋体" w:cs="宋体"/>
          <w:sz w:val="24"/>
          <w:highlight w:val="none"/>
        </w:rPr>
      </w:pPr>
      <w:r>
        <w:rPr>
          <w:rFonts w:hint="eastAsia" w:ascii="宋体" w:hAnsi="宋体" w:cs="宋体"/>
          <w:sz w:val="24"/>
          <w:highlight w:val="none"/>
        </w:rPr>
        <w:t>25.2投标人的澄清、说明或者补正应当通过电子交易系统进行，并加盖公章，或者由法定代表人或其授权的代表签字。投标人的澄清、说明或者补正不得超出投标文件的范围或者改变对投标文件的实质性内容。此澄清、说明或者补正是投标文件的组成部分。</w:t>
      </w:r>
    </w:p>
    <w:p w14:paraId="535F129E">
      <w:pPr>
        <w:spacing w:line="460" w:lineRule="exact"/>
        <w:ind w:firstLine="484" w:firstLineChars="201"/>
        <w:rPr>
          <w:rFonts w:ascii="宋体" w:hAnsi="宋体" w:cs="宋体"/>
          <w:b/>
          <w:sz w:val="24"/>
          <w:highlight w:val="none"/>
        </w:rPr>
      </w:pPr>
      <w:r>
        <w:rPr>
          <w:rFonts w:hint="eastAsia" w:ascii="宋体" w:hAnsi="宋体" w:cs="宋体"/>
          <w:b/>
          <w:sz w:val="24"/>
          <w:highlight w:val="none"/>
        </w:rPr>
        <w:t>26.投标文件的评价</w:t>
      </w:r>
    </w:p>
    <w:p w14:paraId="1F16C322">
      <w:pPr>
        <w:spacing w:line="460" w:lineRule="exact"/>
        <w:ind w:firstLine="482" w:firstLineChars="201"/>
        <w:rPr>
          <w:rFonts w:ascii="宋体" w:hAnsi="宋体" w:cs="宋体"/>
          <w:sz w:val="24"/>
          <w:highlight w:val="none"/>
        </w:rPr>
      </w:pPr>
      <w:r>
        <w:rPr>
          <w:rFonts w:hint="eastAsia" w:ascii="宋体" w:hAnsi="宋体" w:cs="宋体"/>
          <w:sz w:val="24"/>
          <w:highlight w:val="none"/>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654540A2">
      <w:pPr>
        <w:spacing w:line="460" w:lineRule="exact"/>
        <w:ind w:firstLine="482" w:firstLineChars="201"/>
        <w:rPr>
          <w:rFonts w:ascii="宋体" w:hAnsi="宋体" w:cs="宋体"/>
          <w:sz w:val="24"/>
          <w:highlight w:val="none"/>
        </w:rPr>
      </w:pPr>
      <w:r>
        <w:rPr>
          <w:rFonts w:hint="eastAsia" w:ascii="宋体" w:hAnsi="宋体" w:cs="宋体"/>
          <w:sz w:val="24"/>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70EAF602">
      <w:pPr>
        <w:spacing w:line="460" w:lineRule="exact"/>
        <w:ind w:firstLine="482" w:firstLineChars="201"/>
        <w:rPr>
          <w:rFonts w:ascii="宋体" w:hAnsi="宋体" w:cs="宋体"/>
          <w:sz w:val="24"/>
          <w:highlight w:val="none"/>
        </w:rPr>
      </w:pPr>
      <w:r>
        <w:rPr>
          <w:rFonts w:hint="eastAsia" w:ascii="宋体" w:hAnsi="宋体" w:cs="宋体"/>
          <w:sz w:val="24"/>
          <w:highlight w:val="none"/>
        </w:rPr>
        <w:t>26.2评标采用综合评分法的，价格分值根据投标人上传的《投标（报价）一览表》中的投标报价，依据规定公式计算，其结果由评标委员会所有成员签字确认。</w:t>
      </w:r>
    </w:p>
    <w:p w14:paraId="24B9B4B0">
      <w:pPr>
        <w:spacing w:line="460" w:lineRule="exact"/>
        <w:ind w:firstLine="482" w:firstLineChars="201"/>
        <w:rPr>
          <w:rFonts w:ascii="宋体" w:hAnsi="宋体" w:cs="宋体"/>
          <w:sz w:val="24"/>
          <w:highlight w:val="none"/>
        </w:rPr>
      </w:pPr>
      <w:r>
        <w:rPr>
          <w:rFonts w:hint="eastAsia" w:ascii="宋体" w:hAnsi="宋体" w:cs="宋体"/>
          <w:sz w:val="24"/>
          <w:highlight w:val="none"/>
        </w:rPr>
        <w:t>26.3招标公司工作人员负责复核、统计评标委员会成员的评审情况，发现评审意见有失公正时，提请该评标委员会成员修改评审意见，并形成书面意见备查。</w:t>
      </w:r>
    </w:p>
    <w:p w14:paraId="0754FD82">
      <w:pPr>
        <w:spacing w:line="460" w:lineRule="exact"/>
        <w:ind w:firstLine="482" w:firstLineChars="201"/>
        <w:rPr>
          <w:rFonts w:ascii="宋体" w:hAnsi="宋体" w:cs="宋体"/>
          <w:sz w:val="24"/>
          <w:highlight w:val="none"/>
        </w:rPr>
      </w:pPr>
      <w:r>
        <w:rPr>
          <w:rFonts w:hint="eastAsia" w:ascii="宋体" w:hAnsi="宋体" w:cs="宋体"/>
          <w:sz w:val="24"/>
          <w:highlight w:val="none"/>
        </w:rPr>
        <w:t>26.4评审时除考虑投标人的报价之外，还将考虑以下因素：</w:t>
      </w:r>
    </w:p>
    <w:p w14:paraId="615F24AE">
      <w:pPr>
        <w:spacing w:line="460" w:lineRule="exact"/>
        <w:ind w:firstLine="482" w:firstLineChars="201"/>
        <w:rPr>
          <w:rFonts w:ascii="宋体" w:hAnsi="宋体" w:cs="宋体"/>
          <w:sz w:val="24"/>
          <w:highlight w:val="none"/>
        </w:rPr>
      </w:pPr>
      <w:r>
        <w:rPr>
          <w:rFonts w:hint="eastAsia" w:ascii="宋体" w:hAnsi="宋体" w:cs="宋体"/>
          <w:sz w:val="24"/>
          <w:highlight w:val="none"/>
        </w:rPr>
        <w:t>（1）投标文件的响应状况（包括是否按照招标文件要求制作）；</w:t>
      </w:r>
    </w:p>
    <w:p w14:paraId="200D7A2C">
      <w:pPr>
        <w:spacing w:line="460" w:lineRule="exact"/>
        <w:ind w:firstLine="482" w:firstLineChars="201"/>
        <w:rPr>
          <w:rFonts w:ascii="宋体" w:hAnsi="宋体" w:cs="宋体"/>
          <w:sz w:val="24"/>
          <w:highlight w:val="none"/>
        </w:rPr>
      </w:pPr>
      <w:r>
        <w:rPr>
          <w:rFonts w:hint="eastAsia" w:ascii="宋体" w:hAnsi="宋体" w:cs="宋体"/>
          <w:sz w:val="24"/>
          <w:highlight w:val="none"/>
        </w:rPr>
        <w:t>（2）招标文件规定的其它评审因素。</w:t>
      </w:r>
    </w:p>
    <w:p w14:paraId="2BB54CB4">
      <w:pPr>
        <w:spacing w:line="460" w:lineRule="exact"/>
        <w:ind w:firstLine="482" w:firstLineChars="201"/>
        <w:rPr>
          <w:rFonts w:ascii="宋体" w:hAnsi="宋体" w:cs="宋体"/>
          <w:sz w:val="24"/>
          <w:highlight w:val="none"/>
        </w:rPr>
      </w:pPr>
      <w:r>
        <w:rPr>
          <w:rFonts w:hint="eastAsia" w:ascii="宋体" w:hAnsi="宋体" w:cs="宋体"/>
          <w:sz w:val="24"/>
          <w:highlight w:val="none"/>
        </w:rPr>
        <w:t>26.5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无效投标（响应）处理。</w:t>
      </w:r>
    </w:p>
    <w:p w14:paraId="0B4E5487">
      <w:pPr>
        <w:spacing w:line="460" w:lineRule="exact"/>
        <w:ind w:firstLine="482" w:firstLineChars="201"/>
        <w:rPr>
          <w:rFonts w:ascii="宋体" w:hAnsi="宋体" w:cs="宋体"/>
          <w:sz w:val="24"/>
          <w:highlight w:val="none"/>
        </w:rPr>
      </w:pPr>
      <w:r>
        <w:rPr>
          <w:rFonts w:hint="eastAsia" w:ascii="宋体" w:hAnsi="宋体" w:cs="宋体"/>
          <w:sz w:val="24"/>
          <w:highlight w:val="none"/>
        </w:rPr>
        <w:t>26.6评标委员会发现招标文件存在歧义、重大缺陷导致评标工作无法进行，或者招标文件内容违反国家有关强制性规定的，应当停止评标工作，与招标人或者</w:t>
      </w:r>
      <w:r>
        <w:rPr>
          <w:rFonts w:hint="eastAsia" w:ascii="宋体" w:hAnsi="宋体"/>
          <w:sz w:val="24"/>
          <w:highlight w:val="none"/>
        </w:rPr>
        <w:t>招标代理机构</w:t>
      </w:r>
      <w:r>
        <w:rPr>
          <w:rFonts w:hint="eastAsia" w:ascii="宋体" w:hAnsi="宋体" w:cs="宋体"/>
          <w:sz w:val="24"/>
          <w:highlight w:val="none"/>
        </w:rPr>
        <w:t>沟通并作书面记录。招标人确认后，应当修改招标文件，重新组织采购活动。</w:t>
      </w:r>
    </w:p>
    <w:p w14:paraId="1CBD9AAE">
      <w:pPr>
        <w:spacing w:line="460" w:lineRule="exact"/>
        <w:ind w:firstLine="482" w:firstLineChars="201"/>
        <w:rPr>
          <w:rFonts w:ascii="宋体" w:hAnsi="宋体" w:cs="宋体"/>
          <w:sz w:val="24"/>
          <w:highlight w:val="none"/>
        </w:rPr>
      </w:pPr>
      <w:r>
        <w:rPr>
          <w:rFonts w:hint="eastAsia" w:ascii="宋体" w:hAnsi="宋体" w:cs="宋体"/>
          <w:sz w:val="24"/>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384E9FBD">
      <w:pPr>
        <w:spacing w:line="460" w:lineRule="exact"/>
        <w:ind w:firstLine="484" w:firstLineChars="201"/>
        <w:rPr>
          <w:rFonts w:ascii="宋体" w:hAnsi="宋体" w:cs="宋体"/>
          <w:b/>
          <w:sz w:val="24"/>
          <w:highlight w:val="none"/>
        </w:rPr>
      </w:pPr>
      <w:r>
        <w:rPr>
          <w:rFonts w:hint="eastAsia" w:ascii="宋体" w:hAnsi="宋体" w:cs="宋体"/>
          <w:b/>
          <w:sz w:val="24"/>
          <w:highlight w:val="none"/>
        </w:rPr>
        <w:t>27.废标条款</w:t>
      </w:r>
    </w:p>
    <w:p w14:paraId="56553099">
      <w:pPr>
        <w:spacing w:line="460" w:lineRule="exact"/>
        <w:ind w:firstLine="482" w:firstLineChars="201"/>
        <w:rPr>
          <w:rFonts w:ascii="宋体" w:hAnsi="宋体" w:cs="宋体"/>
          <w:sz w:val="24"/>
          <w:highlight w:val="none"/>
        </w:rPr>
      </w:pPr>
      <w:r>
        <w:rPr>
          <w:rFonts w:hint="eastAsia" w:ascii="宋体" w:hAnsi="宋体" w:cs="宋体"/>
          <w:sz w:val="24"/>
          <w:highlight w:val="none"/>
        </w:rPr>
        <w:t>在招标采购中，出现下列情形之一的，应予废标：</w:t>
      </w:r>
    </w:p>
    <w:p w14:paraId="6502A681">
      <w:pPr>
        <w:spacing w:line="460" w:lineRule="exact"/>
        <w:ind w:firstLine="482" w:firstLineChars="201"/>
        <w:rPr>
          <w:rFonts w:ascii="宋体" w:hAnsi="宋体" w:cs="宋体"/>
          <w:sz w:val="24"/>
          <w:highlight w:val="none"/>
        </w:rPr>
      </w:pPr>
      <w:r>
        <w:rPr>
          <w:rFonts w:hint="eastAsia" w:ascii="宋体" w:hAnsi="宋体" w:cs="宋体"/>
          <w:sz w:val="24"/>
          <w:highlight w:val="none"/>
        </w:rPr>
        <w:t>（1）符合专业条件的</w:t>
      </w:r>
      <w:r>
        <w:rPr>
          <w:rFonts w:hint="eastAsia" w:ascii="宋体" w:hAnsi="宋体"/>
          <w:sz w:val="24"/>
          <w:highlight w:val="none"/>
        </w:rPr>
        <w:t>投标人</w:t>
      </w:r>
      <w:r>
        <w:rPr>
          <w:rFonts w:hint="eastAsia" w:ascii="宋体" w:hAnsi="宋体" w:cs="宋体"/>
          <w:sz w:val="24"/>
          <w:highlight w:val="none"/>
        </w:rPr>
        <w:t>或者对招标文件作实质响应的</w:t>
      </w:r>
      <w:r>
        <w:rPr>
          <w:rFonts w:hint="eastAsia" w:ascii="宋体" w:hAnsi="宋体"/>
          <w:sz w:val="24"/>
          <w:highlight w:val="none"/>
        </w:rPr>
        <w:t>投标人</w:t>
      </w:r>
      <w:r>
        <w:rPr>
          <w:rFonts w:hint="eastAsia" w:ascii="宋体" w:hAnsi="宋体" w:cs="宋体"/>
          <w:sz w:val="24"/>
          <w:highlight w:val="none"/>
        </w:rPr>
        <w:t>不足</w:t>
      </w:r>
      <w:r>
        <w:rPr>
          <w:rFonts w:ascii="宋体" w:hAnsi="宋体" w:cs="宋体"/>
          <w:sz w:val="24"/>
          <w:highlight w:val="none"/>
        </w:rPr>
        <w:t>3</w:t>
      </w:r>
      <w:r>
        <w:rPr>
          <w:rFonts w:hint="eastAsia" w:ascii="宋体" w:hAnsi="宋体" w:cs="宋体"/>
          <w:sz w:val="24"/>
          <w:highlight w:val="none"/>
        </w:rPr>
        <w:t>家（监管部门不改变采购方式的）的；</w:t>
      </w:r>
    </w:p>
    <w:p w14:paraId="7A4AADED">
      <w:pPr>
        <w:spacing w:line="460" w:lineRule="exact"/>
        <w:ind w:firstLine="482" w:firstLineChars="201"/>
        <w:rPr>
          <w:rFonts w:ascii="宋体" w:hAnsi="宋体" w:cs="宋体"/>
          <w:sz w:val="24"/>
          <w:highlight w:val="none"/>
        </w:rPr>
      </w:pPr>
      <w:r>
        <w:rPr>
          <w:rFonts w:hint="eastAsia" w:ascii="宋体" w:hAnsi="宋体" w:cs="宋体"/>
          <w:sz w:val="24"/>
          <w:highlight w:val="none"/>
        </w:rPr>
        <w:t>（2）出现影响采购公正的违法、违规行为的；</w:t>
      </w:r>
    </w:p>
    <w:p w14:paraId="6C369D40">
      <w:pPr>
        <w:spacing w:line="460" w:lineRule="exact"/>
        <w:ind w:firstLine="482" w:firstLineChars="201"/>
        <w:rPr>
          <w:rFonts w:ascii="宋体" w:hAnsi="宋体" w:cs="宋体"/>
          <w:sz w:val="24"/>
          <w:highlight w:val="none"/>
        </w:rPr>
      </w:pPr>
      <w:r>
        <w:rPr>
          <w:rFonts w:hint="eastAsia" w:ascii="宋体" w:hAnsi="宋体" w:cs="宋体"/>
          <w:sz w:val="24"/>
          <w:highlight w:val="none"/>
        </w:rPr>
        <w:t>（3）投标人的报价均超过了招标控制价，采购人不能支付的</w:t>
      </w:r>
    </w:p>
    <w:p w14:paraId="75BFE9B2">
      <w:pPr>
        <w:spacing w:line="460" w:lineRule="exact"/>
        <w:ind w:firstLine="482" w:firstLineChars="201"/>
        <w:rPr>
          <w:rFonts w:ascii="宋体" w:hAnsi="宋体" w:cs="宋体"/>
          <w:sz w:val="24"/>
          <w:highlight w:val="none"/>
        </w:rPr>
      </w:pPr>
      <w:r>
        <w:rPr>
          <w:rFonts w:hint="eastAsia" w:ascii="宋体" w:hAnsi="宋体" w:cs="宋体"/>
          <w:sz w:val="24"/>
          <w:highlight w:val="none"/>
        </w:rPr>
        <w:t>（4）因重大变故，招标人采购任务取消的。</w:t>
      </w:r>
    </w:p>
    <w:p w14:paraId="17D54DF1">
      <w:pPr>
        <w:spacing w:line="460" w:lineRule="exact"/>
        <w:ind w:firstLine="484" w:firstLineChars="201"/>
        <w:rPr>
          <w:rFonts w:ascii="宋体" w:hAnsi="宋体" w:cs="宋体"/>
          <w:b/>
          <w:sz w:val="24"/>
          <w:highlight w:val="none"/>
        </w:rPr>
      </w:pPr>
      <w:r>
        <w:rPr>
          <w:rFonts w:hint="eastAsia" w:ascii="宋体" w:hAnsi="宋体" w:cs="宋体"/>
          <w:b/>
          <w:sz w:val="24"/>
          <w:highlight w:val="none"/>
        </w:rPr>
        <w:t>六、定标</w:t>
      </w:r>
    </w:p>
    <w:p w14:paraId="57A6D8A4">
      <w:pPr>
        <w:spacing w:line="460" w:lineRule="exact"/>
        <w:ind w:firstLine="484" w:firstLineChars="201"/>
        <w:rPr>
          <w:rFonts w:ascii="宋体" w:hAnsi="宋体" w:cs="宋体"/>
          <w:b/>
          <w:sz w:val="24"/>
          <w:highlight w:val="none"/>
        </w:rPr>
      </w:pPr>
      <w:r>
        <w:rPr>
          <w:rFonts w:hint="eastAsia" w:ascii="宋体" w:hAnsi="宋体" w:cs="宋体"/>
          <w:b/>
          <w:sz w:val="24"/>
          <w:highlight w:val="none"/>
        </w:rPr>
        <w:t>28.确定中标候选人</w:t>
      </w:r>
    </w:p>
    <w:p w14:paraId="17A3AC1F">
      <w:pPr>
        <w:spacing w:line="460" w:lineRule="exact"/>
        <w:ind w:firstLine="482" w:firstLineChars="201"/>
        <w:rPr>
          <w:rFonts w:ascii="宋体" w:hAnsi="宋体" w:cs="宋体"/>
          <w:sz w:val="24"/>
          <w:highlight w:val="none"/>
        </w:rPr>
      </w:pPr>
      <w:r>
        <w:rPr>
          <w:rFonts w:hint="eastAsia" w:ascii="宋体" w:hAnsi="宋体" w:cs="宋体"/>
          <w:sz w:val="24"/>
          <w:highlight w:val="none"/>
        </w:rPr>
        <w:t>28.1评标委员会按照招标文件确定的评标方法、步骤、标准，对投标文件进行评审。评标结束后，对投标人的评审名次进行排序，确定中标候选人，根据全体评标成员签字的原始评标记录和评标结果编写评标报告。</w:t>
      </w:r>
    </w:p>
    <w:p w14:paraId="638DC529">
      <w:pPr>
        <w:spacing w:line="460" w:lineRule="exact"/>
        <w:ind w:firstLine="482" w:firstLineChars="201"/>
        <w:rPr>
          <w:rFonts w:ascii="宋体" w:hAnsi="宋体" w:cs="宋体"/>
          <w:sz w:val="24"/>
          <w:highlight w:val="none"/>
        </w:rPr>
      </w:pPr>
      <w:r>
        <w:rPr>
          <w:rFonts w:hint="eastAsia" w:ascii="宋体" w:hAnsi="宋体" w:cs="宋体"/>
          <w:sz w:val="24"/>
          <w:highlight w:val="none"/>
        </w:rPr>
        <w:t>28.2评委会所有成员应当在评标报告上签字确认，评标报告的主要内容包括：</w:t>
      </w:r>
    </w:p>
    <w:p w14:paraId="3A993F93">
      <w:pPr>
        <w:spacing w:line="460" w:lineRule="exact"/>
        <w:ind w:firstLine="482" w:firstLineChars="201"/>
        <w:rPr>
          <w:rFonts w:ascii="宋体" w:hAnsi="宋体" w:cs="宋体"/>
          <w:sz w:val="24"/>
          <w:highlight w:val="none"/>
        </w:rPr>
      </w:pPr>
      <w:r>
        <w:rPr>
          <w:rFonts w:hint="eastAsia" w:ascii="宋体" w:hAnsi="宋体" w:cs="宋体"/>
          <w:sz w:val="24"/>
          <w:highlight w:val="none"/>
        </w:rPr>
        <w:t>（1）招标公告刊登的媒介名称、开标日期和地点；</w:t>
      </w:r>
    </w:p>
    <w:p w14:paraId="0D709ADA">
      <w:pPr>
        <w:spacing w:line="460" w:lineRule="exact"/>
        <w:ind w:firstLine="482" w:firstLineChars="201"/>
        <w:rPr>
          <w:rFonts w:ascii="宋体" w:hAnsi="宋体" w:cs="宋体"/>
          <w:sz w:val="24"/>
          <w:highlight w:val="none"/>
        </w:rPr>
      </w:pPr>
      <w:r>
        <w:rPr>
          <w:rFonts w:hint="eastAsia" w:ascii="宋体" w:hAnsi="宋体" w:cs="宋体"/>
          <w:sz w:val="24"/>
          <w:highlight w:val="none"/>
        </w:rPr>
        <w:t>（2）投标人名单和评标委员会成员名单；</w:t>
      </w:r>
    </w:p>
    <w:p w14:paraId="47DE6A71">
      <w:pPr>
        <w:spacing w:line="460" w:lineRule="exact"/>
        <w:ind w:firstLine="482" w:firstLineChars="201"/>
        <w:rPr>
          <w:rFonts w:ascii="宋体" w:hAnsi="宋体" w:cs="宋体"/>
          <w:sz w:val="24"/>
          <w:highlight w:val="none"/>
        </w:rPr>
      </w:pPr>
      <w:r>
        <w:rPr>
          <w:rFonts w:hint="eastAsia" w:ascii="宋体" w:hAnsi="宋体" w:cs="宋体"/>
          <w:sz w:val="24"/>
          <w:highlight w:val="none"/>
        </w:rPr>
        <w:t>（3）评标方法和评标标准；</w:t>
      </w:r>
    </w:p>
    <w:p w14:paraId="099FB268">
      <w:pPr>
        <w:spacing w:line="460" w:lineRule="exact"/>
        <w:ind w:firstLine="482" w:firstLineChars="201"/>
        <w:rPr>
          <w:rFonts w:ascii="宋体" w:hAnsi="宋体" w:cs="宋体"/>
          <w:sz w:val="24"/>
          <w:highlight w:val="none"/>
        </w:rPr>
      </w:pPr>
      <w:r>
        <w:rPr>
          <w:rFonts w:hint="eastAsia" w:ascii="宋体" w:hAnsi="宋体" w:cs="宋体"/>
          <w:sz w:val="24"/>
          <w:highlight w:val="none"/>
        </w:rPr>
        <w:t>（4）开标记录和评标情况及说明，包括投标无效投标人名单及原因；</w:t>
      </w:r>
    </w:p>
    <w:p w14:paraId="4E4B4A92">
      <w:pPr>
        <w:spacing w:line="460" w:lineRule="exact"/>
        <w:ind w:firstLine="482" w:firstLineChars="201"/>
        <w:rPr>
          <w:rFonts w:ascii="宋体" w:hAnsi="宋体" w:cs="宋体"/>
          <w:sz w:val="24"/>
          <w:highlight w:val="none"/>
        </w:rPr>
      </w:pPr>
      <w:r>
        <w:rPr>
          <w:rFonts w:hint="eastAsia" w:ascii="宋体" w:hAnsi="宋体" w:cs="宋体"/>
          <w:sz w:val="24"/>
          <w:highlight w:val="none"/>
        </w:rPr>
        <w:t>（5）评标结果，确定的中标候选人名单或者经招标人委托直接确定的中标人；</w:t>
      </w:r>
    </w:p>
    <w:p w14:paraId="43612CF6">
      <w:pPr>
        <w:spacing w:line="460" w:lineRule="exact"/>
        <w:ind w:firstLine="482" w:firstLineChars="201"/>
        <w:rPr>
          <w:rFonts w:ascii="宋体" w:hAnsi="宋体" w:cs="宋体"/>
          <w:sz w:val="24"/>
          <w:highlight w:val="none"/>
        </w:rPr>
      </w:pPr>
      <w:r>
        <w:rPr>
          <w:rFonts w:hint="eastAsia" w:ascii="宋体" w:hAnsi="宋体" w:cs="宋体"/>
          <w:sz w:val="24"/>
          <w:highlight w:val="none"/>
        </w:rPr>
        <w:t>（6）其他需要说明的情况，包括评标过程中投标人根据评标委员会要求进行澄清、说明或者补正，评标委员会成员的更换等。</w:t>
      </w:r>
    </w:p>
    <w:p w14:paraId="67DD9A66">
      <w:pPr>
        <w:spacing w:line="460" w:lineRule="exact"/>
        <w:ind w:firstLine="482" w:firstLineChars="201"/>
        <w:rPr>
          <w:rFonts w:ascii="宋体" w:hAnsi="宋体" w:cs="宋体"/>
          <w:sz w:val="24"/>
          <w:highlight w:val="none"/>
        </w:rPr>
      </w:pPr>
      <w:r>
        <w:rPr>
          <w:rFonts w:hint="eastAsia" w:ascii="宋体" w:hAnsi="宋体" w:cs="宋体"/>
          <w:sz w:val="24"/>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14:paraId="1FDC6065">
      <w:pPr>
        <w:spacing w:line="460" w:lineRule="exact"/>
        <w:ind w:firstLine="482" w:firstLineChars="201"/>
        <w:rPr>
          <w:rFonts w:ascii="宋体" w:hAnsi="宋体" w:cs="宋体"/>
          <w:sz w:val="24"/>
          <w:highlight w:val="none"/>
        </w:rPr>
      </w:pPr>
      <w:r>
        <w:rPr>
          <w:rFonts w:hint="eastAsia" w:ascii="宋体" w:hAnsi="宋体" w:cs="宋体"/>
          <w:sz w:val="24"/>
          <w:highlight w:val="none"/>
        </w:rPr>
        <w:t>28.4评标结果汇总完成后，除下列情形外，任何人不得修改评标结果：</w:t>
      </w:r>
    </w:p>
    <w:p w14:paraId="00CD912D">
      <w:pPr>
        <w:spacing w:line="460" w:lineRule="exact"/>
        <w:ind w:firstLine="482" w:firstLineChars="201"/>
        <w:rPr>
          <w:rFonts w:ascii="宋体" w:hAnsi="宋体" w:cs="宋体"/>
          <w:sz w:val="24"/>
          <w:highlight w:val="none"/>
        </w:rPr>
      </w:pPr>
      <w:r>
        <w:rPr>
          <w:rFonts w:hint="eastAsia" w:ascii="宋体" w:hAnsi="宋体" w:cs="宋体"/>
          <w:sz w:val="24"/>
          <w:highlight w:val="none"/>
        </w:rPr>
        <w:t>（1）分值汇总计算错误的；</w:t>
      </w:r>
    </w:p>
    <w:p w14:paraId="7F1F7D7C">
      <w:pPr>
        <w:spacing w:line="460" w:lineRule="exact"/>
        <w:ind w:firstLine="482" w:firstLineChars="201"/>
        <w:rPr>
          <w:rFonts w:ascii="宋体" w:hAnsi="宋体" w:cs="宋体"/>
          <w:sz w:val="24"/>
          <w:highlight w:val="none"/>
        </w:rPr>
      </w:pPr>
      <w:r>
        <w:rPr>
          <w:rFonts w:hint="eastAsia" w:ascii="宋体" w:hAnsi="宋体" w:cs="宋体"/>
          <w:sz w:val="24"/>
          <w:highlight w:val="none"/>
        </w:rPr>
        <w:t>（2）分项评分超出评分标准范围的；</w:t>
      </w:r>
    </w:p>
    <w:p w14:paraId="77808C98">
      <w:pPr>
        <w:spacing w:line="460" w:lineRule="exact"/>
        <w:ind w:firstLine="482" w:firstLineChars="201"/>
        <w:rPr>
          <w:rFonts w:ascii="宋体" w:hAnsi="宋体" w:cs="宋体"/>
          <w:sz w:val="24"/>
          <w:highlight w:val="none"/>
        </w:rPr>
      </w:pPr>
      <w:r>
        <w:rPr>
          <w:rFonts w:hint="eastAsia" w:ascii="宋体" w:hAnsi="宋体" w:cs="宋体"/>
          <w:sz w:val="24"/>
          <w:highlight w:val="none"/>
        </w:rPr>
        <w:t>（3）评标委员会成员对客观评审因素评分不一致的；</w:t>
      </w:r>
    </w:p>
    <w:p w14:paraId="577C5BAC">
      <w:pPr>
        <w:spacing w:line="460" w:lineRule="exact"/>
        <w:ind w:firstLine="482" w:firstLineChars="201"/>
        <w:rPr>
          <w:rFonts w:ascii="宋体" w:hAnsi="宋体" w:cs="宋体"/>
          <w:sz w:val="24"/>
          <w:highlight w:val="none"/>
        </w:rPr>
      </w:pPr>
      <w:r>
        <w:rPr>
          <w:rFonts w:hint="eastAsia" w:ascii="宋体" w:hAnsi="宋体" w:cs="宋体"/>
          <w:sz w:val="24"/>
          <w:highlight w:val="none"/>
        </w:rPr>
        <w:t>（4）经评标委员会认定评分畸高、畸低的。</w:t>
      </w:r>
    </w:p>
    <w:p w14:paraId="18DB7AE0">
      <w:pPr>
        <w:spacing w:line="460" w:lineRule="exact"/>
        <w:ind w:firstLine="482" w:firstLineChars="201"/>
        <w:rPr>
          <w:rFonts w:ascii="宋体" w:hAnsi="宋体" w:cs="宋体"/>
          <w:sz w:val="24"/>
          <w:highlight w:val="none"/>
        </w:rPr>
      </w:pPr>
      <w:r>
        <w:rPr>
          <w:rFonts w:hint="eastAsia" w:ascii="宋体" w:hAnsi="宋体" w:cs="宋体"/>
          <w:sz w:val="24"/>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6C314503">
      <w:pPr>
        <w:spacing w:line="460" w:lineRule="exact"/>
        <w:ind w:firstLine="482" w:firstLineChars="201"/>
        <w:rPr>
          <w:rFonts w:ascii="宋体" w:hAnsi="宋体" w:cs="宋体"/>
          <w:sz w:val="24"/>
          <w:highlight w:val="none"/>
        </w:rPr>
      </w:pPr>
      <w:r>
        <w:rPr>
          <w:rFonts w:hint="eastAsia" w:ascii="宋体" w:hAnsi="宋体" w:cs="宋体"/>
          <w:sz w:val="24"/>
          <w:highlight w:val="none"/>
        </w:rPr>
        <w:t>28.6中标人在规定的期限内无正当理由拒绝签订合同，采购人可以按照评审报告推荐的中标候选人名单排序，确定下一候选人为中标人，也可以重新开展招标活动。</w:t>
      </w:r>
    </w:p>
    <w:p w14:paraId="763B1365">
      <w:pPr>
        <w:spacing w:line="460" w:lineRule="exact"/>
        <w:ind w:firstLine="484" w:firstLineChars="201"/>
        <w:rPr>
          <w:rFonts w:ascii="宋体" w:hAnsi="宋体" w:cs="宋体"/>
          <w:b/>
          <w:sz w:val="24"/>
          <w:highlight w:val="none"/>
        </w:rPr>
      </w:pPr>
      <w:r>
        <w:rPr>
          <w:rFonts w:hint="eastAsia" w:ascii="宋体" w:hAnsi="宋体" w:cs="宋体"/>
          <w:b/>
          <w:sz w:val="24"/>
          <w:highlight w:val="none"/>
        </w:rPr>
        <w:t>七、公告</w:t>
      </w:r>
    </w:p>
    <w:p w14:paraId="1B711267">
      <w:pPr>
        <w:spacing w:line="460" w:lineRule="exact"/>
        <w:ind w:firstLine="484" w:firstLineChars="201"/>
        <w:rPr>
          <w:rFonts w:ascii="宋体" w:hAnsi="宋体" w:cs="宋体"/>
          <w:b/>
          <w:sz w:val="24"/>
          <w:highlight w:val="none"/>
        </w:rPr>
      </w:pPr>
      <w:r>
        <w:rPr>
          <w:rFonts w:hint="eastAsia" w:ascii="宋体" w:hAnsi="宋体" w:cs="宋体"/>
          <w:b/>
          <w:sz w:val="24"/>
          <w:highlight w:val="none"/>
        </w:rPr>
        <w:t>29.公告</w:t>
      </w:r>
    </w:p>
    <w:p w14:paraId="0B187EBA">
      <w:pPr>
        <w:spacing w:line="460" w:lineRule="exact"/>
        <w:ind w:firstLine="482" w:firstLineChars="201"/>
        <w:rPr>
          <w:rFonts w:ascii="宋体" w:hAnsi="宋体" w:cs="宋体"/>
          <w:sz w:val="24"/>
          <w:highlight w:val="none"/>
        </w:rPr>
      </w:pPr>
      <w:r>
        <w:rPr>
          <w:rFonts w:hint="eastAsia" w:ascii="宋体" w:hAnsi="宋体"/>
          <w:sz w:val="24"/>
          <w:highlight w:val="none"/>
        </w:rPr>
        <w:t>29.1招标代理机构自中标人确定之日起2个工作日内，在原招标公告发布媒介上发布中标结果。中标公告期限为1个工作日</w:t>
      </w:r>
      <w:r>
        <w:rPr>
          <w:rFonts w:hint="eastAsia" w:ascii="宋体" w:hAnsi="宋体" w:cs="宋体"/>
          <w:sz w:val="24"/>
          <w:highlight w:val="none"/>
        </w:rPr>
        <w:t>。中标公告应当包括下列内容：</w:t>
      </w:r>
    </w:p>
    <w:p w14:paraId="2D278C6F">
      <w:pPr>
        <w:spacing w:line="460" w:lineRule="exact"/>
        <w:ind w:firstLine="482" w:firstLineChars="201"/>
        <w:rPr>
          <w:rFonts w:ascii="宋体" w:hAnsi="宋体" w:cs="宋体"/>
          <w:sz w:val="24"/>
          <w:highlight w:val="none"/>
        </w:rPr>
      </w:pPr>
      <w:r>
        <w:rPr>
          <w:rFonts w:hint="eastAsia" w:ascii="宋体" w:hAnsi="宋体" w:cs="宋体"/>
          <w:sz w:val="24"/>
          <w:highlight w:val="none"/>
        </w:rPr>
        <w:t>（1）招标人、</w:t>
      </w:r>
      <w:r>
        <w:rPr>
          <w:rFonts w:hint="eastAsia" w:ascii="宋体" w:hAnsi="宋体"/>
          <w:sz w:val="24"/>
          <w:highlight w:val="none"/>
        </w:rPr>
        <w:t>招标代理机构</w:t>
      </w:r>
      <w:r>
        <w:rPr>
          <w:rFonts w:hint="eastAsia" w:ascii="宋体" w:hAnsi="宋体" w:cs="宋体"/>
          <w:sz w:val="24"/>
          <w:highlight w:val="none"/>
        </w:rPr>
        <w:t>的名称、地址和联系方式；</w:t>
      </w:r>
    </w:p>
    <w:p w14:paraId="7ADFAEB2">
      <w:pPr>
        <w:spacing w:line="460" w:lineRule="exact"/>
        <w:ind w:firstLine="482" w:firstLineChars="201"/>
        <w:rPr>
          <w:rFonts w:ascii="宋体" w:hAnsi="宋体" w:cs="宋体"/>
          <w:sz w:val="24"/>
          <w:highlight w:val="none"/>
        </w:rPr>
      </w:pPr>
      <w:r>
        <w:rPr>
          <w:rFonts w:hint="eastAsia" w:ascii="宋体" w:hAnsi="宋体" w:cs="宋体"/>
          <w:sz w:val="24"/>
          <w:highlight w:val="none"/>
        </w:rPr>
        <w:t>（2）项目名称和项目编号；</w:t>
      </w:r>
    </w:p>
    <w:p w14:paraId="62069E20">
      <w:pPr>
        <w:spacing w:line="460" w:lineRule="exact"/>
        <w:ind w:firstLine="482" w:firstLineChars="201"/>
        <w:rPr>
          <w:rFonts w:ascii="宋体" w:hAnsi="宋体" w:cs="宋体"/>
          <w:sz w:val="24"/>
          <w:highlight w:val="none"/>
        </w:rPr>
      </w:pPr>
      <w:r>
        <w:rPr>
          <w:rFonts w:hint="eastAsia" w:ascii="宋体" w:hAnsi="宋体" w:cs="宋体"/>
          <w:sz w:val="24"/>
          <w:highlight w:val="none"/>
        </w:rPr>
        <w:t>（3）中标人名称和中标金额；</w:t>
      </w:r>
    </w:p>
    <w:p w14:paraId="5C098599">
      <w:pPr>
        <w:spacing w:line="460" w:lineRule="exact"/>
        <w:ind w:firstLine="482" w:firstLineChars="201"/>
        <w:rPr>
          <w:rFonts w:ascii="宋体" w:hAnsi="宋体"/>
          <w:sz w:val="24"/>
          <w:highlight w:val="none"/>
        </w:rPr>
      </w:pPr>
      <w:r>
        <w:rPr>
          <w:rFonts w:hint="eastAsia" w:ascii="宋体" w:hAnsi="宋体"/>
          <w:sz w:val="24"/>
          <w:highlight w:val="none"/>
        </w:rPr>
        <w:t>29.2中标公告结束且无尚未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14:paraId="66963495">
      <w:pPr>
        <w:spacing w:line="460" w:lineRule="exact"/>
        <w:ind w:firstLine="484" w:firstLineChars="201"/>
        <w:rPr>
          <w:rFonts w:ascii="宋体" w:hAnsi="宋体" w:cs="宋体"/>
          <w:b/>
          <w:sz w:val="24"/>
          <w:highlight w:val="none"/>
        </w:rPr>
      </w:pPr>
      <w:r>
        <w:rPr>
          <w:rFonts w:hint="eastAsia" w:ascii="宋体" w:hAnsi="宋体" w:cs="宋体"/>
          <w:b/>
          <w:sz w:val="24"/>
          <w:highlight w:val="none"/>
        </w:rPr>
        <w:t>八、质疑</w:t>
      </w:r>
    </w:p>
    <w:p w14:paraId="13015982">
      <w:pPr>
        <w:spacing w:line="460" w:lineRule="exact"/>
        <w:ind w:firstLine="484" w:firstLineChars="201"/>
        <w:rPr>
          <w:rFonts w:ascii="宋体" w:hAnsi="宋体" w:cs="宋体"/>
          <w:b/>
          <w:sz w:val="24"/>
          <w:highlight w:val="none"/>
        </w:rPr>
      </w:pPr>
      <w:r>
        <w:rPr>
          <w:rFonts w:hint="eastAsia" w:ascii="宋体" w:hAnsi="宋体" w:cs="宋体"/>
          <w:b/>
          <w:sz w:val="24"/>
          <w:highlight w:val="none"/>
        </w:rPr>
        <w:t>30.质疑</w:t>
      </w:r>
    </w:p>
    <w:p w14:paraId="0E547164">
      <w:pPr>
        <w:spacing w:line="460" w:lineRule="exact"/>
        <w:ind w:firstLine="482" w:firstLineChars="201"/>
        <w:rPr>
          <w:rFonts w:ascii="宋体" w:hAnsi="宋体" w:cs="宋体"/>
          <w:sz w:val="24"/>
          <w:highlight w:val="none"/>
        </w:rPr>
      </w:pPr>
      <w:r>
        <w:rPr>
          <w:rFonts w:hint="eastAsia" w:ascii="宋体" w:hAnsi="宋体" w:cs="宋体"/>
          <w:sz w:val="24"/>
          <w:highlight w:val="none"/>
        </w:rPr>
        <w:t>30.1依据《威海市市属国有企业阳光采购监督管理办法》规定，投标人认为招标文件、采购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投标人提出的质疑超出招标人对招标代理机构委托授权范围的，招标代理机构应当告知投标人向招标人提出。</w:t>
      </w:r>
    </w:p>
    <w:p w14:paraId="7F8F4D9B">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投标人应按照下列规定进行质疑：</w:t>
      </w:r>
    </w:p>
    <w:p w14:paraId="5B849885">
      <w:pPr>
        <w:spacing w:line="460" w:lineRule="exact"/>
        <w:ind w:firstLine="482" w:firstLineChars="201"/>
        <w:rPr>
          <w:rFonts w:ascii="宋体" w:hAnsi="宋体" w:cs="宋体"/>
          <w:sz w:val="24"/>
          <w:highlight w:val="none"/>
        </w:rPr>
      </w:pPr>
      <w:r>
        <w:rPr>
          <w:rFonts w:hint="eastAsia" w:ascii="宋体" w:hAnsi="宋体" w:cs="宋体"/>
          <w:sz w:val="24"/>
          <w:highlight w:val="none"/>
        </w:rPr>
        <w:t>30.2提出质疑的投标人应当是参与本项目招标活动的投标人。</w:t>
      </w:r>
    </w:p>
    <w:p w14:paraId="4697F5AD">
      <w:pPr>
        <w:spacing w:line="460" w:lineRule="exact"/>
        <w:ind w:firstLine="482" w:firstLineChars="201"/>
        <w:rPr>
          <w:rFonts w:ascii="宋体" w:hAnsi="宋体" w:cs="宋体"/>
          <w:sz w:val="24"/>
          <w:highlight w:val="none"/>
        </w:rPr>
      </w:pPr>
      <w:r>
        <w:rPr>
          <w:rFonts w:hint="eastAsia" w:ascii="宋体" w:hAnsi="宋体" w:cs="宋体"/>
          <w:sz w:val="24"/>
          <w:highlight w:val="none"/>
        </w:rPr>
        <w:t>30.3投标人应在法定质疑期内一次性提出针对同一采购程序环节的质疑。</w:t>
      </w:r>
    </w:p>
    <w:p w14:paraId="3AF172D1">
      <w:pPr>
        <w:spacing w:line="460" w:lineRule="exact"/>
        <w:ind w:firstLine="482" w:firstLineChars="201"/>
        <w:rPr>
          <w:rFonts w:ascii="宋体" w:hAnsi="宋体" w:cs="宋体"/>
          <w:sz w:val="24"/>
          <w:highlight w:val="none"/>
        </w:rPr>
      </w:pPr>
      <w:r>
        <w:rPr>
          <w:rFonts w:hint="eastAsia" w:ascii="宋体" w:hAnsi="宋体" w:cs="宋体"/>
          <w:sz w:val="24"/>
          <w:highlight w:val="none"/>
        </w:rPr>
        <w:t>30.4质疑采用实名制，为了使提出的质疑事项在规定时间内得到有效答复、处理，提交的质疑函务必提供以下内容。</w:t>
      </w:r>
    </w:p>
    <w:p w14:paraId="7D8A79B0">
      <w:pPr>
        <w:spacing w:line="460" w:lineRule="exact"/>
        <w:ind w:firstLine="482" w:firstLineChars="201"/>
        <w:rPr>
          <w:rFonts w:ascii="宋体" w:hAnsi="宋体" w:cs="宋体"/>
          <w:sz w:val="24"/>
          <w:highlight w:val="none"/>
        </w:rPr>
      </w:pPr>
      <w:r>
        <w:rPr>
          <w:rFonts w:hint="eastAsia" w:ascii="宋体" w:hAnsi="宋体" w:cs="宋体"/>
          <w:sz w:val="24"/>
          <w:highlight w:val="none"/>
        </w:rPr>
        <w:t>（1）投标人的姓名或名称、地址（邮箱）、邮编、联系人及联系电话；</w:t>
      </w:r>
    </w:p>
    <w:p w14:paraId="3B40B10D">
      <w:pPr>
        <w:spacing w:line="460" w:lineRule="exact"/>
        <w:ind w:firstLine="482" w:firstLineChars="201"/>
        <w:rPr>
          <w:rFonts w:ascii="宋体" w:hAnsi="宋体" w:cs="宋体"/>
          <w:sz w:val="24"/>
          <w:highlight w:val="none"/>
        </w:rPr>
      </w:pPr>
      <w:r>
        <w:rPr>
          <w:rFonts w:hint="eastAsia" w:ascii="宋体" w:hAnsi="宋体" w:cs="宋体"/>
          <w:sz w:val="24"/>
          <w:highlight w:val="none"/>
        </w:rPr>
        <w:t>（2）质疑项目的名称、编号；</w:t>
      </w:r>
    </w:p>
    <w:p w14:paraId="471023EF">
      <w:pPr>
        <w:spacing w:line="460" w:lineRule="exact"/>
        <w:ind w:firstLine="482" w:firstLineChars="201"/>
        <w:rPr>
          <w:rFonts w:ascii="宋体" w:hAnsi="宋体" w:cs="宋体"/>
          <w:sz w:val="24"/>
          <w:highlight w:val="none"/>
        </w:rPr>
      </w:pPr>
      <w:r>
        <w:rPr>
          <w:rFonts w:hint="eastAsia" w:ascii="宋体" w:hAnsi="宋体" w:cs="宋体"/>
          <w:sz w:val="24"/>
          <w:highlight w:val="none"/>
        </w:rPr>
        <w:t>（3）具体、明确的质疑事项和与质疑事项相关的请求；</w:t>
      </w:r>
    </w:p>
    <w:p w14:paraId="7F657056">
      <w:pPr>
        <w:spacing w:line="460" w:lineRule="exact"/>
        <w:ind w:firstLine="482" w:firstLineChars="201"/>
        <w:rPr>
          <w:rFonts w:ascii="宋体" w:hAnsi="宋体" w:cs="宋体"/>
          <w:sz w:val="24"/>
          <w:highlight w:val="none"/>
        </w:rPr>
      </w:pPr>
      <w:r>
        <w:rPr>
          <w:rFonts w:hint="eastAsia" w:ascii="宋体" w:hAnsi="宋体" w:cs="宋体"/>
          <w:sz w:val="24"/>
          <w:highlight w:val="none"/>
        </w:rPr>
        <w:t>（4）事实依据；</w:t>
      </w:r>
    </w:p>
    <w:p w14:paraId="6CF98921">
      <w:pPr>
        <w:spacing w:line="460" w:lineRule="exact"/>
        <w:ind w:firstLine="482" w:firstLineChars="201"/>
        <w:rPr>
          <w:rFonts w:ascii="宋体" w:hAnsi="宋体" w:cs="宋体"/>
          <w:sz w:val="24"/>
          <w:highlight w:val="none"/>
        </w:rPr>
      </w:pPr>
      <w:r>
        <w:rPr>
          <w:rFonts w:hint="eastAsia" w:ascii="宋体" w:hAnsi="宋体" w:cs="宋体"/>
          <w:sz w:val="24"/>
          <w:highlight w:val="none"/>
        </w:rPr>
        <w:t>（5）必要的法律依据；</w:t>
      </w:r>
    </w:p>
    <w:p w14:paraId="3AB49EC3">
      <w:pPr>
        <w:spacing w:line="460" w:lineRule="exact"/>
        <w:ind w:firstLine="482" w:firstLineChars="201"/>
        <w:rPr>
          <w:rFonts w:ascii="宋体" w:hAnsi="宋体" w:cs="宋体"/>
          <w:sz w:val="24"/>
          <w:highlight w:val="none"/>
        </w:rPr>
      </w:pPr>
      <w:r>
        <w:rPr>
          <w:rFonts w:hint="eastAsia" w:ascii="宋体" w:hAnsi="宋体" w:cs="宋体"/>
          <w:sz w:val="24"/>
          <w:highlight w:val="none"/>
        </w:rPr>
        <w:t>（6）提出质疑的日期。</w:t>
      </w:r>
    </w:p>
    <w:p w14:paraId="0D9A7E33">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投标人为自然人的，应当由本人签字；投标人为法人或者其他组织的，应当由法定代表人（单位负责人）、单位负责人，或者其被授权人签字或者盖章，并加盖公章。</w:t>
      </w:r>
    </w:p>
    <w:p w14:paraId="07B58AB9">
      <w:pPr>
        <w:spacing w:line="460" w:lineRule="exact"/>
        <w:ind w:firstLine="482" w:firstLineChars="201"/>
        <w:rPr>
          <w:rFonts w:ascii="宋体" w:hAnsi="宋体" w:cs="宋体"/>
          <w:sz w:val="24"/>
          <w:highlight w:val="none"/>
        </w:rPr>
      </w:pPr>
      <w:r>
        <w:rPr>
          <w:rFonts w:hint="eastAsia" w:ascii="宋体" w:hAnsi="宋体" w:cs="宋体"/>
          <w:sz w:val="24"/>
          <w:highlight w:val="none"/>
        </w:rPr>
        <w:t>30.5招标人或招标代理机构正式受理后方可生效。否则，为无效质疑。</w:t>
      </w:r>
    </w:p>
    <w:p w14:paraId="026895B0">
      <w:pPr>
        <w:spacing w:line="460" w:lineRule="exact"/>
        <w:ind w:firstLine="482" w:firstLineChars="201"/>
        <w:rPr>
          <w:rFonts w:ascii="宋体" w:hAnsi="宋体" w:cs="宋体"/>
          <w:sz w:val="24"/>
          <w:highlight w:val="none"/>
        </w:rPr>
      </w:pPr>
      <w:r>
        <w:rPr>
          <w:rFonts w:hint="eastAsia" w:ascii="宋体" w:hAnsi="宋体" w:cs="宋体"/>
          <w:sz w:val="24"/>
          <w:highlight w:val="none"/>
        </w:rPr>
        <w:t>30.6有下列情况之一的质疑不予受理：</w:t>
      </w:r>
    </w:p>
    <w:p w14:paraId="59235BA4">
      <w:pPr>
        <w:spacing w:line="460" w:lineRule="exact"/>
        <w:ind w:firstLine="482" w:firstLineChars="201"/>
        <w:rPr>
          <w:rFonts w:ascii="宋体" w:hAnsi="宋体" w:cs="宋体"/>
          <w:sz w:val="24"/>
          <w:highlight w:val="none"/>
        </w:rPr>
      </w:pPr>
      <w:r>
        <w:rPr>
          <w:rFonts w:hint="eastAsia" w:ascii="宋体" w:hAnsi="宋体" w:cs="宋体"/>
          <w:sz w:val="24"/>
          <w:highlight w:val="none"/>
        </w:rPr>
        <w:t>（1）无质疑函件或质疑函件缺少投标人法人印章、投标人法定代表人（单位负责人）签字、有效授权书和联系方式之一的质疑；</w:t>
      </w:r>
    </w:p>
    <w:p w14:paraId="47A7FF3E">
      <w:pPr>
        <w:spacing w:line="460" w:lineRule="exact"/>
        <w:ind w:firstLine="482" w:firstLineChars="201"/>
        <w:rPr>
          <w:rFonts w:ascii="宋体" w:hAnsi="宋体" w:cs="宋体"/>
          <w:sz w:val="24"/>
          <w:highlight w:val="none"/>
        </w:rPr>
      </w:pPr>
      <w:r>
        <w:rPr>
          <w:rFonts w:hint="eastAsia" w:ascii="宋体" w:hAnsi="宋体" w:cs="宋体"/>
          <w:sz w:val="24"/>
          <w:highlight w:val="none"/>
        </w:rPr>
        <w:t>（2）质疑函件无实质性内容或佐证文件资料，主观臆断及推理得出结论的质疑；</w:t>
      </w:r>
    </w:p>
    <w:p w14:paraId="76C3ACF0">
      <w:pPr>
        <w:spacing w:line="460" w:lineRule="exact"/>
        <w:ind w:firstLine="482" w:firstLineChars="201"/>
        <w:rPr>
          <w:rFonts w:ascii="宋体" w:hAnsi="宋体" w:cs="宋体"/>
          <w:sz w:val="24"/>
          <w:highlight w:val="none"/>
        </w:rPr>
      </w:pPr>
      <w:r>
        <w:rPr>
          <w:rFonts w:hint="eastAsia" w:ascii="宋体" w:hAnsi="宋体" w:cs="宋体"/>
          <w:sz w:val="24"/>
          <w:highlight w:val="none"/>
        </w:rPr>
        <w:t>（3）相应证明材料不真实或来源不合法的质疑；</w:t>
      </w:r>
    </w:p>
    <w:p w14:paraId="311EECC8">
      <w:pPr>
        <w:spacing w:line="460" w:lineRule="exact"/>
        <w:ind w:firstLine="482" w:firstLineChars="201"/>
        <w:rPr>
          <w:rFonts w:ascii="宋体" w:hAnsi="宋体" w:cs="宋体"/>
          <w:sz w:val="24"/>
          <w:highlight w:val="none"/>
        </w:rPr>
      </w:pPr>
      <w:r>
        <w:rPr>
          <w:rFonts w:hint="eastAsia" w:ascii="宋体" w:hAnsi="宋体" w:cs="宋体"/>
          <w:sz w:val="24"/>
          <w:highlight w:val="none"/>
        </w:rPr>
        <w:t>（4）未按规定时间或超过公示期限提出的质疑；</w:t>
      </w:r>
    </w:p>
    <w:p w14:paraId="27B0860D">
      <w:pPr>
        <w:spacing w:line="460" w:lineRule="exact"/>
        <w:ind w:firstLine="482" w:firstLineChars="201"/>
        <w:rPr>
          <w:rFonts w:ascii="宋体" w:hAnsi="宋体" w:cs="宋体"/>
          <w:sz w:val="24"/>
          <w:highlight w:val="none"/>
        </w:rPr>
      </w:pPr>
      <w:r>
        <w:rPr>
          <w:rFonts w:hint="eastAsia" w:ascii="宋体" w:hAnsi="宋体" w:cs="宋体"/>
          <w:sz w:val="24"/>
          <w:highlight w:val="none"/>
        </w:rPr>
        <w:t>30.7对捏造事实，提供虚假材料或者以非法手段取得证明材料进行恶意质疑的，一经查实，将列入平台黑名单。</w:t>
      </w:r>
    </w:p>
    <w:p w14:paraId="5613C3C5">
      <w:pPr>
        <w:spacing w:line="460" w:lineRule="exact"/>
        <w:ind w:firstLine="484" w:firstLineChars="201"/>
        <w:rPr>
          <w:rFonts w:ascii="宋体" w:hAnsi="宋体" w:cs="宋体"/>
          <w:b/>
          <w:sz w:val="24"/>
          <w:highlight w:val="none"/>
        </w:rPr>
      </w:pPr>
      <w:r>
        <w:rPr>
          <w:rFonts w:hint="eastAsia" w:ascii="宋体" w:hAnsi="宋体" w:cs="宋体"/>
          <w:b/>
          <w:sz w:val="24"/>
          <w:highlight w:val="none"/>
        </w:rPr>
        <w:t>31.仲裁或起诉</w:t>
      </w:r>
    </w:p>
    <w:p w14:paraId="1704894F">
      <w:pPr>
        <w:spacing w:line="460" w:lineRule="exact"/>
        <w:ind w:firstLine="482" w:firstLineChars="201"/>
        <w:rPr>
          <w:rFonts w:ascii="宋体" w:hAnsi="宋体" w:cs="宋体"/>
          <w:sz w:val="24"/>
          <w:highlight w:val="none"/>
        </w:rPr>
      </w:pPr>
      <w:r>
        <w:rPr>
          <w:rFonts w:hint="eastAsia" w:ascii="宋体" w:hAnsi="宋体" w:cs="宋体"/>
          <w:sz w:val="24"/>
          <w:highlight w:val="none"/>
        </w:rPr>
        <w:t>投标人对答复不满意，或者招标人、招标代理机构未在规定的时间内做出书面答复的，投标人可以在答复期满后向招标人所在地仲裁机构、人民法院申请仲裁或起诉。</w:t>
      </w:r>
    </w:p>
    <w:p w14:paraId="126A15CC">
      <w:pPr>
        <w:spacing w:line="460" w:lineRule="exact"/>
        <w:ind w:firstLine="484" w:firstLineChars="201"/>
        <w:rPr>
          <w:highlight w:val="none"/>
        </w:rPr>
      </w:pPr>
      <w:r>
        <w:rPr>
          <w:rFonts w:hint="eastAsia" w:ascii="宋体" w:hAnsi="宋体" w:cs="宋体"/>
          <w:b/>
          <w:sz w:val="24"/>
          <w:highlight w:val="none"/>
        </w:rPr>
        <w:t>九、签订合同</w:t>
      </w:r>
    </w:p>
    <w:p w14:paraId="15BA3C79">
      <w:pPr>
        <w:pStyle w:val="5"/>
        <w:ind w:firstLine="482" w:firstLineChars="200"/>
        <w:rPr>
          <w:rFonts w:ascii="宋体" w:hAnsi="宋体" w:cs="宋体"/>
          <w:b/>
          <w:kern w:val="2"/>
          <w:highlight w:val="none"/>
        </w:rPr>
      </w:pPr>
      <w:r>
        <w:rPr>
          <w:rFonts w:hint="eastAsia" w:ascii="宋体" w:hAnsi="宋体" w:cs="宋体"/>
          <w:b/>
          <w:kern w:val="2"/>
          <w:highlight w:val="none"/>
        </w:rPr>
        <w:t>32.合同的签订</w:t>
      </w:r>
    </w:p>
    <w:p w14:paraId="0C0D56C9">
      <w:pPr>
        <w:pStyle w:val="5"/>
        <w:spacing w:line="460" w:lineRule="exact"/>
        <w:ind w:firstLine="480" w:firstLineChars="200"/>
        <w:rPr>
          <w:rFonts w:ascii="宋体" w:hAnsi="宋体" w:cs="宋体"/>
          <w:kern w:val="2"/>
          <w:highlight w:val="none"/>
        </w:rPr>
      </w:pPr>
      <w:r>
        <w:rPr>
          <w:rFonts w:hint="eastAsia" w:ascii="宋体" w:hAnsi="宋体" w:cs="宋体"/>
          <w:kern w:val="2"/>
          <w:highlight w:val="none"/>
        </w:rPr>
        <w:t>32.1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0D7E572">
      <w:pPr>
        <w:pStyle w:val="5"/>
        <w:spacing w:line="460" w:lineRule="exact"/>
        <w:ind w:firstLine="480" w:firstLineChars="200"/>
        <w:rPr>
          <w:rFonts w:ascii="宋体" w:hAnsi="宋体" w:cs="宋体"/>
          <w:kern w:val="2"/>
          <w:highlight w:val="none"/>
        </w:rPr>
      </w:pPr>
      <w:r>
        <w:rPr>
          <w:rFonts w:hint="eastAsia" w:ascii="宋体" w:hAnsi="宋体" w:cs="宋体"/>
          <w:kern w:val="2"/>
          <w:highlight w:val="none"/>
        </w:rPr>
        <w:t>32.2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744644A2">
      <w:pPr>
        <w:pStyle w:val="5"/>
        <w:spacing w:line="460" w:lineRule="exact"/>
        <w:ind w:firstLine="480" w:firstLineChars="200"/>
        <w:rPr>
          <w:rFonts w:ascii="宋体" w:hAnsi="宋体" w:cs="宋体"/>
          <w:kern w:val="2"/>
          <w:highlight w:val="none"/>
        </w:rPr>
      </w:pPr>
      <w:r>
        <w:rPr>
          <w:rFonts w:hint="eastAsia" w:ascii="宋体" w:hAnsi="宋体" w:cs="宋体"/>
          <w:kern w:val="2"/>
          <w:highlight w:val="none"/>
        </w:rPr>
        <w:t>32.3中标人在规定时间内无正当理由拒绝与招标人签订合同的，有效投标人符合法定数量的，招标人可以按照评审报告推荐的中标候选人名单排序，确定下一候选人为中标人，也可以重新开展招标活动。</w:t>
      </w:r>
    </w:p>
    <w:p w14:paraId="468C8AE9">
      <w:pPr>
        <w:pStyle w:val="5"/>
        <w:spacing w:line="460" w:lineRule="exact"/>
        <w:ind w:firstLine="480" w:firstLineChars="200"/>
        <w:rPr>
          <w:rFonts w:ascii="宋体" w:hAnsi="宋体" w:cs="宋体"/>
          <w:kern w:val="2"/>
          <w:highlight w:val="none"/>
        </w:rPr>
        <w:sectPr>
          <w:footerReference r:id="rId7" w:type="default"/>
          <w:pgSz w:w="11906" w:h="16838"/>
          <w:pgMar w:top="1418" w:right="1418" w:bottom="1418" w:left="1418" w:header="851" w:footer="992" w:gutter="0"/>
          <w:cols w:space="720" w:num="1"/>
          <w:docGrid w:type="lines" w:linePitch="312" w:charSpace="0"/>
        </w:sectPr>
      </w:pPr>
      <w:r>
        <w:rPr>
          <w:rFonts w:hint="eastAsia" w:ascii="宋体" w:hAnsi="宋体" w:cs="宋体"/>
          <w:kern w:val="2"/>
          <w:highlight w:val="none"/>
        </w:rPr>
        <w:t>32.4采购合同的履行、违约责任和解决争议的方法适用《中华人民共和国民法典》。</w:t>
      </w:r>
    </w:p>
    <w:p w14:paraId="52D3E468">
      <w:pPr>
        <w:pStyle w:val="2"/>
        <w:rPr>
          <w:highlight w:val="none"/>
        </w:rPr>
      </w:pPr>
      <w:bookmarkStart w:id="10" w:name="_Toc22581"/>
      <w:bookmarkStart w:id="11" w:name="_Hlk525988930"/>
      <w:r>
        <w:rPr>
          <w:rFonts w:hint="eastAsia"/>
          <w:highlight w:val="none"/>
        </w:rPr>
        <w:t>第三章  开标、评标、定标</w:t>
      </w:r>
      <w:bookmarkEnd w:id="10"/>
    </w:p>
    <w:p w14:paraId="4F3243AF">
      <w:pPr>
        <w:spacing w:line="560" w:lineRule="exact"/>
        <w:ind w:firstLine="482" w:firstLineChars="201"/>
        <w:rPr>
          <w:rFonts w:ascii="宋体" w:hAnsi="宋体" w:cs="宋体"/>
          <w:sz w:val="24"/>
          <w:highlight w:val="none"/>
        </w:rPr>
      </w:pPr>
      <w:bookmarkStart w:id="12" w:name="_Toc161683922"/>
      <w:r>
        <w:rPr>
          <w:rFonts w:hint="eastAsia" w:ascii="宋体" w:hAnsi="宋体" w:cs="宋体"/>
          <w:sz w:val="24"/>
          <w:highlight w:val="none"/>
        </w:rPr>
        <w:t>一、开标</w:t>
      </w:r>
      <w:bookmarkEnd w:id="12"/>
    </w:p>
    <w:p w14:paraId="6951216E">
      <w:pPr>
        <w:spacing w:line="560" w:lineRule="exact"/>
        <w:ind w:firstLine="482" w:firstLineChars="201"/>
        <w:rPr>
          <w:rFonts w:ascii="宋体" w:hAnsi="宋体" w:cs="宋体"/>
          <w:sz w:val="24"/>
          <w:highlight w:val="none"/>
        </w:rPr>
      </w:pPr>
      <w:r>
        <w:rPr>
          <w:rFonts w:hint="eastAsia" w:ascii="宋体" w:hAnsi="宋体" w:cs="宋体"/>
          <w:sz w:val="24"/>
          <w:highlight w:val="none"/>
        </w:rPr>
        <w:t>1.招标代理机构在招标公告规定的时间和地点组织开标。投标截止时间结束后，投标人不足3家的不得开标。</w:t>
      </w:r>
    </w:p>
    <w:p w14:paraId="7E99984A">
      <w:pPr>
        <w:spacing w:line="560" w:lineRule="exact"/>
        <w:ind w:firstLine="482" w:firstLineChars="201"/>
        <w:rPr>
          <w:rFonts w:ascii="宋体" w:hAnsi="宋体" w:cs="宋体"/>
          <w:sz w:val="24"/>
          <w:highlight w:val="none"/>
        </w:rPr>
      </w:pPr>
      <w:r>
        <w:rPr>
          <w:rFonts w:hint="eastAsia" w:ascii="宋体" w:hAnsi="宋体" w:cs="宋体"/>
          <w:sz w:val="24"/>
          <w:highlight w:val="none"/>
        </w:rPr>
        <w:t>2.开标前准备：投标人需提前准备已配置好环境的电脑，在规定的时间进行远程开标的各项操作。</w:t>
      </w:r>
    </w:p>
    <w:p w14:paraId="5C0ED564">
      <w:pPr>
        <w:spacing w:line="560" w:lineRule="exact"/>
        <w:ind w:firstLine="482" w:firstLineChars="201"/>
        <w:rPr>
          <w:rFonts w:ascii="宋体" w:hAnsi="宋体" w:cs="宋体"/>
          <w:sz w:val="24"/>
          <w:highlight w:val="none"/>
        </w:rPr>
      </w:pPr>
      <w:r>
        <w:rPr>
          <w:rFonts w:hint="eastAsia" w:ascii="宋体" w:hAnsi="宋体" w:cs="宋体"/>
          <w:sz w:val="24"/>
          <w:highlight w:val="none"/>
        </w:rPr>
        <w:t>3.开标程序：签到-开标-解密-唱标，具体详见“第二章 投标须知”。</w:t>
      </w:r>
    </w:p>
    <w:p w14:paraId="793460D1">
      <w:pPr>
        <w:spacing w:line="560" w:lineRule="exact"/>
        <w:ind w:firstLine="482" w:firstLineChars="201"/>
        <w:rPr>
          <w:rFonts w:ascii="宋体" w:hAnsi="宋体" w:cs="宋体"/>
          <w:sz w:val="24"/>
          <w:highlight w:val="none"/>
        </w:rPr>
      </w:pPr>
      <w:r>
        <w:rPr>
          <w:rFonts w:hint="eastAsia" w:ascii="宋体" w:hAnsi="宋体" w:cs="宋体"/>
          <w:sz w:val="24"/>
          <w:highlight w:val="none"/>
        </w:rPr>
        <w:t>（1）投标人代表应在签到表格相应位置上加盖CA锁中的法定代表人（单位负责人）电子人名章或公章以证明其出席，在开标时间前未完成签到的将会被视作认同开标结果。</w:t>
      </w:r>
    </w:p>
    <w:p w14:paraId="308C575A">
      <w:pPr>
        <w:spacing w:line="560" w:lineRule="exact"/>
        <w:ind w:firstLine="482" w:firstLineChars="201"/>
        <w:rPr>
          <w:rFonts w:ascii="宋体" w:hAnsi="宋体" w:cs="宋体"/>
          <w:sz w:val="24"/>
          <w:highlight w:val="none"/>
        </w:rPr>
      </w:pPr>
      <w:r>
        <w:rPr>
          <w:rFonts w:hint="eastAsia" w:ascii="宋体" w:hAnsi="宋体" w:cs="宋体"/>
          <w:sz w:val="24"/>
          <w:highlight w:val="none"/>
        </w:rPr>
        <w:t>（2）投标须知前附表规定了文件解密时间，投标人忘记密码、输入密码错误太多导致CA锁定、未能按时完成解密、其《数据文件》填写、盖章不规范等导致系统无法解析的，将会被视为无效投标。</w:t>
      </w:r>
    </w:p>
    <w:p w14:paraId="4BEE91A6">
      <w:pPr>
        <w:spacing w:line="560" w:lineRule="exact"/>
        <w:ind w:firstLine="482" w:firstLineChars="201"/>
        <w:rPr>
          <w:rFonts w:ascii="宋体" w:hAnsi="宋体" w:cs="宋体"/>
          <w:sz w:val="24"/>
          <w:highlight w:val="none"/>
        </w:rPr>
      </w:pPr>
      <w:r>
        <w:rPr>
          <w:rFonts w:hint="eastAsia" w:ascii="宋体" w:hAnsi="宋体" w:cs="宋体"/>
          <w:sz w:val="24"/>
          <w:highlight w:val="none"/>
        </w:rPr>
        <w:t>（3）开标过程应当由招标人或招标代理机构负责记录，最终形成开标一览表并加盖CA锁中的法定代表人（单位负责人）电子人名章或公章。</w:t>
      </w:r>
    </w:p>
    <w:p w14:paraId="299010D8">
      <w:pPr>
        <w:spacing w:line="560" w:lineRule="exact"/>
        <w:ind w:firstLine="482" w:firstLineChars="201"/>
        <w:rPr>
          <w:rFonts w:ascii="宋体" w:hAnsi="宋体" w:cs="宋体"/>
          <w:sz w:val="24"/>
          <w:highlight w:val="none"/>
        </w:rPr>
      </w:pPr>
      <w:r>
        <w:rPr>
          <w:rFonts w:hint="eastAsia" w:ascii="宋体" w:hAnsi="宋体" w:cs="宋体"/>
          <w:sz w:val="24"/>
          <w:highlight w:val="none"/>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6E7B42D">
      <w:pPr>
        <w:spacing w:line="560" w:lineRule="exact"/>
        <w:ind w:firstLine="482" w:firstLineChars="201"/>
        <w:rPr>
          <w:rFonts w:ascii="宋体" w:hAnsi="宋体" w:cs="宋体"/>
          <w:sz w:val="24"/>
          <w:highlight w:val="none"/>
        </w:rPr>
      </w:pPr>
      <w:r>
        <w:rPr>
          <w:rFonts w:hint="eastAsia" w:ascii="宋体" w:hAnsi="宋体" w:cs="宋体"/>
          <w:sz w:val="24"/>
          <w:highlight w:val="none"/>
        </w:rPr>
        <w:t>4.应急开标程序：如需启动应急开标程序，应按第二章投标须知第22.11-22.13内容进行。</w:t>
      </w:r>
    </w:p>
    <w:p w14:paraId="3750DF55">
      <w:pPr>
        <w:spacing w:line="560" w:lineRule="exact"/>
        <w:ind w:firstLine="482" w:firstLineChars="201"/>
        <w:rPr>
          <w:rFonts w:ascii="宋体" w:hAnsi="宋体" w:cs="宋体"/>
          <w:sz w:val="24"/>
          <w:highlight w:val="none"/>
        </w:rPr>
      </w:pPr>
      <w:r>
        <w:rPr>
          <w:rFonts w:hint="eastAsia" w:ascii="宋体" w:hAnsi="宋体" w:cs="宋体"/>
          <w:sz w:val="24"/>
          <w:highlight w:val="none"/>
        </w:rPr>
        <w:t>5.录音、录像：威海市公共资源交易中心负责从提交投标文件开始到确定中标结果全过程的录音、录像工作，确保声音清楚、图像清晰、内容无遗漏。</w:t>
      </w:r>
    </w:p>
    <w:p w14:paraId="1808EDAB">
      <w:pPr>
        <w:spacing w:line="560" w:lineRule="exact"/>
        <w:ind w:firstLine="482" w:firstLineChars="201"/>
        <w:rPr>
          <w:rFonts w:ascii="宋体" w:hAnsi="宋体" w:cs="宋体"/>
          <w:sz w:val="24"/>
          <w:highlight w:val="none"/>
        </w:rPr>
      </w:pPr>
      <w:r>
        <w:rPr>
          <w:rFonts w:hint="eastAsia" w:ascii="宋体" w:hAnsi="宋体" w:cs="宋体"/>
          <w:sz w:val="24"/>
          <w:highlight w:val="none"/>
        </w:rPr>
        <w:t>6.评审过程中，如遇特殊情况，服从威海市公共资源交易中心场地调配，并遵守相关规章制度。</w:t>
      </w:r>
    </w:p>
    <w:p w14:paraId="1463A5D0">
      <w:pPr>
        <w:spacing w:line="520" w:lineRule="exact"/>
        <w:ind w:firstLine="480" w:firstLineChars="200"/>
        <w:rPr>
          <w:rFonts w:ascii="宋体" w:hAnsi="宋体" w:cs="宋体"/>
          <w:sz w:val="24"/>
          <w:highlight w:val="none"/>
        </w:rPr>
      </w:pPr>
      <w:bookmarkStart w:id="13" w:name="_Toc161683923"/>
      <w:r>
        <w:rPr>
          <w:rFonts w:hint="eastAsia" w:ascii="宋体" w:hAnsi="宋体" w:cs="宋体"/>
          <w:sz w:val="24"/>
          <w:highlight w:val="none"/>
        </w:rPr>
        <w:t>二、评标</w:t>
      </w:r>
      <w:bookmarkEnd w:id="13"/>
    </w:p>
    <w:p w14:paraId="7068147F">
      <w:pPr>
        <w:spacing w:line="520" w:lineRule="exact"/>
        <w:ind w:firstLine="480" w:firstLineChars="200"/>
        <w:rPr>
          <w:rFonts w:ascii="宋体" w:hAnsi="宋体" w:cs="宋体"/>
          <w:sz w:val="24"/>
          <w:highlight w:val="none"/>
        </w:rPr>
      </w:pPr>
      <w:r>
        <w:rPr>
          <w:rFonts w:hint="eastAsia" w:ascii="宋体" w:hAnsi="宋体" w:cs="宋体"/>
          <w:sz w:val="24"/>
          <w:highlight w:val="none"/>
        </w:rPr>
        <w:t>1.评标原则</w:t>
      </w:r>
    </w:p>
    <w:p w14:paraId="1CC31EE1">
      <w:pPr>
        <w:spacing w:line="520" w:lineRule="exact"/>
        <w:ind w:firstLine="480" w:firstLineChars="200"/>
        <w:rPr>
          <w:rFonts w:ascii="宋体" w:hAnsi="宋体" w:cs="宋体"/>
          <w:sz w:val="24"/>
          <w:highlight w:val="none"/>
        </w:rPr>
      </w:pPr>
      <w:r>
        <w:rPr>
          <w:rFonts w:hint="eastAsia" w:ascii="宋体" w:hAnsi="宋体" w:cs="宋体"/>
          <w:sz w:val="24"/>
          <w:highlight w:val="none"/>
        </w:rPr>
        <w:t>“公平、公正、科学、择优”为本次评标的基本原则，评标委员会将按照这一原则的要求，公正、平等地对待各投标人，同时，在评标时恪守以下原则：</w:t>
      </w:r>
    </w:p>
    <w:p w14:paraId="16DBFF1C">
      <w:pPr>
        <w:spacing w:line="520" w:lineRule="exact"/>
        <w:ind w:firstLine="480" w:firstLineChars="200"/>
        <w:rPr>
          <w:rFonts w:ascii="宋体" w:hAnsi="宋体" w:cs="宋体"/>
          <w:sz w:val="24"/>
          <w:highlight w:val="none"/>
        </w:rPr>
      </w:pPr>
      <w:r>
        <w:rPr>
          <w:rFonts w:hint="eastAsia" w:ascii="宋体" w:hAnsi="宋体" w:cs="宋体"/>
          <w:sz w:val="24"/>
          <w:highlight w:val="none"/>
        </w:rPr>
        <w:t xml:space="preserve">（1）客观性原则：评标委员会将严格按照招标文件的要求，对投标人的投标文件进行认真评审，评标委员会对投标文件的评审仅依据投标文件本身，而不依靠投标文件以外的任何因素。 </w:t>
      </w:r>
    </w:p>
    <w:p w14:paraId="2929252D">
      <w:pPr>
        <w:spacing w:line="520" w:lineRule="exact"/>
        <w:ind w:firstLine="480" w:firstLineChars="200"/>
        <w:rPr>
          <w:rFonts w:ascii="宋体" w:hAnsi="宋体" w:cs="宋体"/>
          <w:sz w:val="24"/>
          <w:highlight w:val="none"/>
        </w:rPr>
      </w:pPr>
      <w:r>
        <w:rPr>
          <w:rFonts w:hint="eastAsia" w:ascii="宋体" w:hAnsi="宋体" w:cs="宋体"/>
          <w:sz w:val="24"/>
          <w:highlight w:val="none"/>
        </w:rPr>
        <w:t>（2）统一性原则：评标委员会将按照统一的评标原则和评标方法，采用统一标准进行评标。</w:t>
      </w:r>
    </w:p>
    <w:p w14:paraId="27F21BCE">
      <w:pPr>
        <w:spacing w:line="520" w:lineRule="exact"/>
        <w:ind w:firstLine="480" w:firstLineChars="200"/>
        <w:rPr>
          <w:rFonts w:ascii="宋体" w:hAnsi="宋体" w:cs="宋体"/>
          <w:sz w:val="24"/>
          <w:highlight w:val="none"/>
        </w:rPr>
      </w:pPr>
      <w:r>
        <w:rPr>
          <w:rFonts w:hint="eastAsia" w:ascii="宋体" w:hAnsi="宋体" w:cs="宋体"/>
          <w:sz w:val="24"/>
          <w:highlight w:val="none"/>
        </w:rPr>
        <w:t>（3）独立性原则：评标工作在评标委员会内部独立进行，不受外界任何因素的干扰和影响。</w:t>
      </w:r>
    </w:p>
    <w:p w14:paraId="25CC287D">
      <w:pPr>
        <w:spacing w:line="520" w:lineRule="exact"/>
        <w:ind w:firstLine="480" w:firstLineChars="200"/>
        <w:rPr>
          <w:rFonts w:ascii="宋体" w:hAnsi="宋体" w:cs="宋体"/>
          <w:sz w:val="24"/>
          <w:highlight w:val="none"/>
        </w:rPr>
      </w:pPr>
      <w:r>
        <w:rPr>
          <w:rFonts w:hint="eastAsia" w:ascii="宋体" w:hAnsi="宋体" w:cs="宋体"/>
          <w:sz w:val="24"/>
          <w:highlight w:val="none"/>
        </w:rPr>
        <w:t>（4）保密性原则：评标委员会及熟知情况的有关工作人员必须对每位评委的评标意见和投标人的商业秘密严格保密，不得外泄。</w:t>
      </w:r>
    </w:p>
    <w:p w14:paraId="53A14F6C">
      <w:pPr>
        <w:spacing w:line="520" w:lineRule="exact"/>
        <w:ind w:firstLine="480" w:firstLineChars="200"/>
        <w:rPr>
          <w:rFonts w:ascii="宋体" w:hAnsi="宋体" w:cs="宋体"/>
          <w:sz w:val="24"/>
          <w:highlight w:val="none"/>
        </w:rPr>
      </w:pPr>
      <w:r>
        <w:rPr>
          <w:rFonts w:hint="eastAsia" w:ascii="宋体" w:hAnsi="宋体" w:cs="宋体"/>
          <w:sz w:val="24"/>
          <w:highlight w:val="none"/>
        </w:rPr>
        <w:t>（5）综合性原则：评标委员会将综合分析、评审投标人的各项指标，而不以单项指标的优劣评定出中标人。</w:t>
      </w:r>
    </w:p>
    <w:p w14:paraId="5EAB4106">
      <w:pPr>
        <w:spacing w:line="560" w:lineRule="exact"/>
        <w:ind w:firstLine="482" w:firstLineChars="201"/>
        <w:rPr>
          <w:rFonts w:ascii="宋体" w:hAnsi="宋体" w:cs="宋体"/>
          <w:sz w:val="24"/>
          <w:highlight w:val="none"/>
        </w:rPr>
      </w:pPr>
      <w:r>
        <w:rPr>
          <w:rFonts w:hint="eastAsia" w:ascii="宋体" w:hAnsi="宋体" w:cs="宋体"/>
          <w:sz w:val="24"/>
          <w:highlight w:val="none"/>
        </w:rPr>
        <w:t>2.评标程序</w:t>
      </w:r>
    </w:p>
    <w:p w14:paraId="3987304F">
      <w:pPr>
        <w:spacing w:line="520" w:lineRule="exact"/>
        <w:ind w:firstLine="480" w:firstLineChars="200"/>
        <w:rPr>
          <w:rFonts w:ascii="宋体" w:hAnsi="宋体" w:cs="宋体"/>
          <w:sz w:val="24"/>
          <w:highlight w:val="none"/>
        </w:rPr>
      </w:pPr>
      <w:r>
        <w:rPr>
          <w:rFonts w:hint="eastAsia" w:ascii="宋体" w:hAnsi="宋体" w:cs="宋体"/>
          <w:sz w:val="24"/>
          <w:highlight w:val="none"/>
        </w:rPr>
        <w:t>（1）核对评审专家身份、招标人代表（如有）授权书；</w:t>
      </w:r>
    </w:p>
    <w:p w14:paraId="7C8E66E4">
      <w:pPr>
        <w:spacing w:line="520" w:lineRule="exact"/>
        <w:ind w:firstLine="480" w:firstLineChars="200"/>
        <w:rPr>
          <w:rFonts w:ascii="宋体" w:hAnsi="宋体" w:cs="宋体"/>
          <w:sz w:val="24"/>
          <w:highlight w:val="none"/>
        </w:rPr>
      </w:pPr>
      <w:r>
        <w:rPr>
          <w:rFonts w:hint="eastAsia" w:ascii="宋体" w:hAnsi="宋体" w:cs="宋体"/>
          <w:sz w:val="24"/>
          <w:highlight w:val="none"/>
        </w:rPr>
        <w:t>（2）宣布评标纪律；</w:t>
      </w:r>
    </w:p>
    <w:p w14:paraId="57C29AD3">
      <w:pPr>
        <w:spacing w:line="520" w:lineRule="exact"/>
        <w:ind w:firstLine="480" w:firstLineChars="200"/>
        <w:rPr>
          <w:rFonts w:ascii="宋体" w:hAnsi="宋体" w:cs="宋体"/>
          <w:sz w:val="24"/>
          <w:highlight w:val="none"/>
        </w:rPr>
      </w:pPr>
      <w:r>
        <w:rPr>
          <w:rFonts w:hint="eastAsia" w:ascii="宋体" w:hAnsi="宋体" w:cs="宋体"/>
          <w:sz w:val="24"/>
          <w:highlight w:val="none"/>
        </w:rPr>
        <w:t>（3）公布投标人名单，告知评审专家应当回避的情形；</w:t>
      </w:r>
    </w:p>
    <w:p w14:paraId="735B0CAC">
      <w:pPr>
        <w:spacing w:line="520" w:lineRule="exact"/>
        <w:ind w:firstLine="480" w:firstLineChars="200"/>
        <w:rPr>
          <w:rFonts w:ascii="宋体" w:hAnsi="宋体" w:cs="宋体"/>
          <w:sz w:val="24"/>
          <w:highlight w:val="none"/>
        </w:rPr>
      </w:pPr>
      <w:r>
        <w:rPr>
          <w:rFonts w:hint="eastAsia" w:ascii="宋体" w:hAnsi="宋体" w:cs="宋体"/>
          <w:sz w:val="24"/>
          <w:highlight w:val="none"/>
        </w:rPr>
        <w:t>（4）组织评标委员会推选评标组长，招标人代表（如有）不得担任评标组长；</w:t>
      </w:r>
    </w:p>
    <w:p w14:paraId="3DC1AABA">
      <w:pPr>
        <w:spacing w:line="520" w:lineRule="exact"/>
        <w:ind w:firstLine="480" w:firstLineChars="200"/>
        <w:rPr>
          <w:rFonts w:ascii="宋体" w:hAnsi="宋体" w:cs="宋体"/>
          <w:sz w:val="24"/>
          <w:highlight w:val="none"/>
        </w:rPr>
      </w:pPr>
      <w:r>
        <w:rPr>
          <w:rFonts w:hint="eastAsia" w:ascii="宋体" w:hAnsi="宋体" w:cs="宋体"/>
          <w:sz w:val="24"/>
          <w:highlight w:val="none"/>
        </w:rPr>
        <w:t>（5）开标结束后，评标委员会对投标人的投标文件进行资格性和符合性审查，以确定其是否满足招标文件的实质性要求。详见第二章 《投标须知前附表》-《实质性条款一览表》中资格性和符合性检查条款。</w:t>
      </w:r>
    </w:p>
    <w:p w14:paraId="2E111BF4">
      <w:pPr>
        <w:spacing w:line="520" w:lineRule="exact"/>
        <w:ind w:firstLine="480" w:firstLineChars="200"/>
        <w:rPr>
          <w:rFonts w:ascii="宋体" w:hAnsi="宋体" w:cs="宋体"/>
          <w:sz w:val="24"/>
          <w:highlight w:val="none"/>
        </w:rPr>
      </w:pPr>
      <w:r>
        <w:rPr>
          <w:rFonts w:hint="eastAsia" w:ascii="宋体" w:hAnsi="宋体" w:cs="宋体"/>
          <w:sz w:val="24"/>
          <w:highlight w:val="none"/>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19313977">
      <w:pPr>
        <w:spacing w:line="520" w:lineRule="exact"/>
        <w:ind w:firstLine="480" w:firstLineChars="200"/>
        <w:rPr>
          <w:rFonts w:ascii="宋体" w:hAnsi="宋体" w:cs="宋体"/>
          <w:sz w:val="24"/>
          <w:highlight w:val="none"/>
        </w:rPr>
      </w:pPr>
      <w:r>
        <w:rPr>
          <w:rFonts w:hint="eastAsia" w:ascii="宋体" w:hAnsi="宋体" w:cs="宋体"/>
          <w:sz w:val="24"/>
          <w:highlight w:val="none"/>
        </w:rPr>
        <w:t>（7）澄清、说明或者补正</w:t>
      </w:r>
    </w:p>
    <w:p w14:paraId="128E2B39">
      <w:pPr>
        <w:spacing w:line="520" w:lineRule="exact"/>
        <w:ind w:firstLine="720" w:firstLineChars="300"/>
        <w:rPr>
          <w:rFonts w:ascii="宋体" w:hAnsi="宋体" w:cs="宋体"/>
          <w:sz w:val="24"/>
          <w:highlight w:val="none"/>
        </w:rPr>
      </w:pPr>
      <w:r>
        <w:rPr>
          <w:rFonts w:hint="eastAsia" w:ascii="宋体" w:hAnsi="宋体" w:cs="宋体"/>
          <w:sz w:val="24"/>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单位负责人）或被授权人签字或盖章，且不得超出投标文件的范围或者改变投标文件的实质性内容。</w:t>
      </w:r>
    </w:p>
    <w:p w14:paraId="15FE1238">
      <w:pPr>
        <w:spacing w:line="520" w:lineRule="exact"/>
        <w:ind w:firstLine="720" w:firstLineChars="300"/>
        <w:rPr>
          <w:rFonts w:ascii="宋体" w:hAnsi="宋体" w:cs="宋体"/>
          <w:sz w:val="24"/>
          <w:highlight w:val="none"/>
        </w:rPr>
      </w:pPr>
      <w:r>
        <w:rPr>
          <w:rFonts w:hint="eastAsia" w:ascii="宋体" w:hAnsi="宋体" w:cs="宋体"/>
          <w:sz w:val="24"/>
          <w:highlight w:val="none"/>
        </w:rPr>
        <w:t>2）投标人依据评审要求进行澄清、说明或者补正的内容构成投标文件的组成部分。</w:t>
      </w:r>
    </w:p>
    <w:p w14:paraId="4F22CED9">
      <w:pPr>
        <w:spacing w:line="520" w:lineRule="exact"/>
        <w:ind w:firstLine="480" w:firstLineChars="200"/>
        <w:rPr>
          <w:rFonts w:ascii="宋体" w:hAnsi="宋体" w:cs="宋体"/>
          <w:sz w:val="24"/>
          <w:highlight w:val="none"/>
        </w:rPr>
      </w:pPr>
      <w:r>
        <w:rPr>
          <w:rFonts w:hint="eastAsia" w:ascii="宋体" w:hAnsi="宋体" w:cs="宋体"/>
          <w:sz w:val="24"/>
          <w:highlight w:val="none"/>
        </w:rPr>
        <w:t>（8）比较与评价</w:t>
      </w:r>
    </w:p>
    <w:p w14:paraId="0587D10C">
      <w:pPr>
        <w:spacing w:line="518" w:lineRule="exact"/>
        <w:ind w:firstLine="470" w:firstLineChars="196"/>
        <w:rPr>
          <w:rFonts w:ascii="宋体" w:hAnsi="宋体" w:cs="宋体"/>
          <w:sz w:val="24"/>
          <w:highlight w:val="none"/>
        </w:rPr>
      </w:pPr>
      <w:r>
        <w:rPr>
          <w:rFonts w:hint="eastAsia" w:ascii="宋体" w:hAnsi="宋体" w:cs="宋体"/>
          <w:sz w:val="24"/>
          <w:highlight w:val="none"/>
        </w:rPr>
        <w:t>评标委员会按招标文件中规定的评标方法和评标标准对有效投标文件的商务和技术进行评分，综合比较和评价，按综合得分高低列出中标候选人排序表。若总分相同，以技术方面得分高的排前，若总分、技术方面得分都相同的，由招标人或其授权的评标委员会自行确定。</w:t>
      </w:r>
    </w:p>
    <w:p w14:paraId="11ACF94C">
      <w:pPr>
        <w:spacing w:line="560" w:lineRule="exact"/>
        <w:ind w:firstLine="482" w:firstLineChars="201"/>
        <w:rPr>
          <w:rFonts w:ascii="宋体" w:hAnsi="宋体" w:cs="宋体"/>
          <w:sz w:val="24"/>
          <w:highlight w:val="none"/>
        </w:rPr>
      </w:pPr>
      <w:r>
        <w:rPr>
          <w:rFonts w:hint="eastAsia" w:ascii="宋体" w:hAnsi="宋体" w:cs="宋体"/>
          <w:sz w:val="24"/>
          <w:highlight w:val="none"/>
        </w:rPr>
        <w:t>（9）出现下列情形之一的，应予废标：</w:t>
      </w:r>
    </w:p>
    <w:p w14:paraId="2B7CF552">
      <w:pPr>
        <w:spacing w:line="560" w:lineRule="exact"/>
        <w:ind w:firstLine="722" w:firstLineChars="301"/>
        <w:rPr>
          <w:rFonts w:ascii="宋体" w:hAnsi="宋体" w:cs="宋体"/>
          <w:sz w:val="24"/>
          <w:highlight w:val="none"/>
        </w:rPr>
      </w:pPr>
      <w:r>
        <w:rPr>
          <w:rFonts w:hint="eastAsia" w:ascii="宋体" w:hAnsi="宋体" w:cs="宋体"/>
          <w:sz w:val="24"/>
          <w:highlight w:val="none"/>
        </w:rPr>
        <w:t>1）合格的投标人不足三家或获取招标文件的投标人不足三家的；</w:t>
      </w:r>
    </w:p>
    <w:p w14:paraId="5AA90074">
      <w:pPr>
        <w:spacing w:line="560" w:lineRule="exact"/>
        <w:ind w:firstLine="722" w:firstLineChars="301"/>
        <w:rPr>
          <w:rFonts w:ascii="宋体" w:hAnsi="宋体" w:cs="宋体"/>
          <w:sz w:val="24"/>
          <w:highlight w:val="none"/>
        </w:rPr>
      </w:pPr>
      <w:r>
        <w:rPr>
          <w:rFonts w:hint="eastAsia" w:ascii="宋体" w:hAnsi="宋体" w:cs="宋体"/>
          <w:sz w:val="24"/>
          <w:highlight w:val="none"/>
        </w:rPr>
        <w:t>2）出现影响招标公正的违法、违规行为的；</w:t>
      </w:r>
    </w:p>
    <w:p w14:paraId="53AD25EB">
      <w:pPr>
        <w:spacing w:line="560" w:lineRule="exact"/>
        <w:ind w:firstLine="722" w:firstLineChars="301"/>
        <w:rPr>
          <w:rFonts w:ascii="宋体" w:hAnsi="宋体" w:cs="宋体"/>
          <w:sz w:val="24"/>
          <w:highlight w:val="none"/>
        </w:rPr>
      </w:pPr>
      <w:r>
        <w:rPr>
          <w:rFonts w:hint="eastAsia" w:ascii="宋体" w:hAnsi="宋体" w:cs="宋体"/>
          <w:sz w:val="24"/>
          <w:highlight w:val="none"/>
        </w:rPr>
        <w:t>3）投标报价超过招标文件中规定的最高限价，招标人不能支付的</w:t>
      </w:r>
    </w:p>
    <w:p w14:paraId="31E317D6">
      <w:pPr>
        <w:spacing w:line="560" w:lineRule="exact"/>
        <w:ind w:firstLine="722" w:firstLineChars="301"/>
        <w:rPr>
          <w:rFonts w:ascii="宋体" w:hAnsi="宋体" w:cs="宋体"/>
          <w:sz w:val="24"/>
          <w:highlight w:val="none"/>
        </w:rPr>
      </w:pPr>
      <w:r>
        <w:rPr>
          <w:rFonts w:hint="eastAsia" w:ascii="宋体" w:hAnsi="宋体" w:cs="宋体"/>
          <w:sz w:val="24"/>
          <w:highlight w:val="none"/>
        </w:rPr>
        <w:t>4）因重大变故，招标任务取消的。</w:t>
      </w:r>
    </w:p>
    <w:p w14:paraId="3787E1C3">
      <w:pPr>
        <w:spacing w:line="560" w:lineRule="exact"/>
        <w:ind w:firstLine="482" w:firstLineChars="201"/>
        <w:rPr>
          <w:rFonts w:ascii="宋体" w:hAnsi="宋体" w:cs="宋体"/>
          <w:sz w:val="24"/>
          <w:highlight w:val="none"/>
        </w:rPr>
      </w:pPr>
      <w:r>
        <w:rPr>
          <w:rFonts w:hint="eastAsia" w:ascii="宋体" w:hAnsi="宋体" w:cs="宋体"/>
          <w:sz w:val="24"/>
          <w:highlight w:val="none"/>
        </w:rPr>
        <w:t>3.评标方法：</w:t>
      </w:r>
    </w:p>
    <w:p w14:paraId="0DD9246E">
      <w:pPr>
        <w:spacing w:line="560" w:lineRule="exact"/>
        <w:ind w:firstLine="482" w:firstLineChars="201"/>
        <w:rPr>
          <w:rFonts w:ascii="宋体" w:hAnsi="宋体" w:cs="宋体"/>
          <w:sz w:val="24"/>
          <w:highlight w:val="none"/>
        </w:rPr>
      </w:pPr>
      <w:r>
        <w:rPr>
          <w:rFonts w:hint="eastAsia" w:ascii="宋体" w:hAnsi="宋体" w:cs="宋体"/>
          <w:sz w:val="24"/>
          <w:highlight w:val="none"/>
        </w:rPr>
        <w:t>（1）综合评分法，即投标人的投标文件满足招标文件全部实质性要求，对评审因素的量化指标进行打分，按照综合得分由高到低的顺序确定投标人排序。</w:t>
      </w:r>
    </w:p>
    <w:p w14:paraId="46496336">
      <w:pPr>
        <w:spacing w:line="520" w:lineRule="exact"/>
        <w:ind w:firstLine="480" w:firstLineChars="200"/>
        <w:rPr>
          <w:rFonts w:ascii="宋体" w:hAnsi="宋体" w:cs="宋体"/>
          <w:sz w:val="24"/>
          <w:highlight w:val="none"/>
        </w:rPr>
      </w:pPr>
      <w:r>
        <w:rPr>
          <w:rFonts w:hint="eastAsia" w:ascii="宋体" w:hAnsi="宋体" w:cs="宋体"/>
          <w:sz w:val="24"/>
          <w:highlight w:val="none"/>
        </w:rPr>
        <w:t>（2）评标细则</w:t>
      </w:r>
    </w:p>
    <w:tbl>
      <w:tblPr>
        <w:tblStyle w:val="17"/>
        <w:tblW w:w="93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46"/>
        <w:gridCol w:w="1276"/>
        <w:gridCol w:w="5557"/>
        <w:gridCol w:w="850"/>
        <w:gridCol w:w="822"/>
      </w:tblGrid>
      <w:tr w14:paraId="004CA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shd w:val="clear" w:color="auto" w:fill="D9D9D9"/>
            <w:noWrap w:val="0"/>
            <w:vAlign w:val="center"/>
          </w:tcPr>
          <w:p w14:paraId="6F46237F">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序号</w:t>
            </w:r>
          </w:p>
        </w:tc>
        <w:tc>
          <w:tcPr>
            <w:tcW w:w="1276" w:type="dxa"/>
            <w:shd w:val="clear" w:color="auto" w:fill="D9D9D9"/>
            <w:noWrap w:val="0"/>
            <w:vAlign w:val="center"/>
          </w:tcPr>
          <w:p w14:paraId="6A00B94E">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评分标题</w:t>
            </w:r>
          </w:p>
        </w:tc>
        <w:tc>
          <w:tcPr>
            <w:tcW w:w="5557" w:type="dxa"/>
            <w:shd w:val="clear" w:color="auto" w:fill="D9D9D9"/>
            <w:noWrap w:val="0"/>
            <w:vAlign w:val="center"/>
          </w:tcPr>
          <w:p w14:paraId="55CAB23F">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评分标准</w:t>
            </w:r>
          </w:p>
        </w:tc>
        <w:tc>
          <w:tcPr>
            <w:tcW w:w="850" w:type="dxa"/>
            <w:shd w:val="clear" w:color="auto" w:fill="D9D9D9"/>
            <w:noWrap w:val="0"/>
            <w:vAlign w:val="center"/>
          </w:tcPr>
          <w:p w14:paraId="4E6B5536">
            <w:pPr>
              <w:pStyle w:val="4"/>
              <w:spacing w:line="560" w:lineRule="exact"/>
              <w:ind w:firstLine="0"/>
              <w:jc w:val="center"/>
              <w:rPr>
                <w:rFonts w:hint="eastAsia" w:ascii="宋体" w:hAnsi="宋体" w:eastAsia="宋体" w:cs="宋体"/>
                <w:b/>
                <w:bCs/>
                <w:kern w:val="2"/>
                <w:sz w:val="22"/>
                <w:szCs w:val="22"/>
                <w:highlight w:val="none"/>
                <w:lang w:val="en-US" w:eastAsia="zh-CN"/>
              </w:rPr>
            </w:pPr>
            <w:r>
              <w:rPr>
                <w:rFonts w:hint="eastAsia" w:ascii="宋体" w:hAnsi="宋体" w:eastAsia="宋体" w:cs="宋体"/>
                <w:b/>
                <w:bCs/>
                <w:kern w:val="2"/>
                <w:sz w:val="22"/>
                <w:szCs w:val="22"/>
                <w:highlight w:val="none"/>
                <w:lang w:val="en-US" w:eastAsia="zh-CN"/>
              </w:rPr>
              <w:t>性质</w:t>
            </w:r>
          </w:p>
        </w:tc>
        <w:tc>
          <w:tcPr>
            <w:tcW w:w="822" w:type="dxa"/>
            <w:shd w:val="clear" w:color="auto" w:fill="D9D9D9"/>
            <w:noWrap w:val="0"/>
            <w:vAlign w:val="center"/>
          </w:tcPr>
          <w:p w14:paraId="2CA82491">
            <w:pPr>
              <w:pStyle w:val="4"/>
              <w:spacing w:line="560" w:lineRule="exact"/>
              <w:ind w:firstLine="0"/>
              <w:jc w:val="center"/>
              <w:rPr>
                <w:rFonts w:hint="eastAsia" w:ascii="宋体" w:hAnsi="宋体" w:eastAsia="宋体" w:cs="宋体"/>
                <w:b/>
                <w:bCs/>
                <w:kern w:val="2"/>
                <w:sz w:val="22"/>
                <w:szCs w:val="22"/>
                <w:highlight w:val="none"/>
              </w:rPr>
            </w:pPr>
            <w:r>
              <w:rPr>
                <w:rFonts w:hint="eastAsia" w:ascii="宋体" w:hAnsi="宋体" w:eastAsia="宋体" w:cs="宋体"/>
                <w:b/>
                <w:bCs/>
                <w:kern w:val="2"/>
                <w:sz w:val="22"/>
                <w:szCs w:val="22"/>
                <w:highlight w:val="none"/>
              </w:rPr>
              <w:t>分数</w:t>
            </w:r>
          </w:p>
        </w:tc>
      </w:tr>
      <w:tr w14:paraId="5D20D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33D3463">
            <w:pPr>
              <w:pStyle w:val="4"/>
              <w:spacing w:line="560" w:lineRule="exact"/>
              <w:ind w:firstLine="0"/>
              <w:jc w:val="center"/>
              <w:rPr>
                <w:rFonts w:hint="eastAsia" w:ascii="宋体" w:hAnsi="宋体" w:eastAsia="宋体" w:cs="宋体"/>
                <w:kern w:val="2"/>
                <w:sz w:val="22"/>
                <w:szCs w:val="22"/>
                <w:highlight w:val="none"/>
                <w:lang w:eastAsia="zh-CN"/>
              </w:rPr>
            </w:pPr>
            <w:r>
              <w:rPr>
                <w:rFonts w:hint="eastAsia" w:ascii="宋体" w:hAnsi="宋体" w:eastAsia="宋体" w:cs="宋体"/>
                <w:kern w:val="2"/>
                <w:sz w:val="22"/>
                <w:szCs w:val="22"/>
                <w:highlight w:val="none"/>
                <w:lang w:val="en-US" w:eastAsia="zh-CN"/>
              </w:rPr>
              <w:t>1</w:t>
            </w:r>
          </w:p>
        </w:tc>
        <w:tc>
          <w:tcPr>
            <w:tcW w:w="1276" w:type="dxa"/>
            <w:noWrap w:val="0"/>
            <w:vAlign w:val="center"/>
          </w:tcPr>
          <w:p w14:paraId="0D4D5BE6">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报价</w:t>
            </w:r>
          </w:p>
        </w:tc>
        <w:tc>
          <w:tcPr>
            <w:tcW w:w="5557" w:type="dxa"/>
            <w:noWrap w:val="0"/>
            <w:vAlign w:val="center"/>
          </w:tcPr>
          <w:p w14:paraId="630F0B07">
            <w:pPr>
              <w:pStyle w:val="4"/>
              <w:spacing w:line="560" w:lineRule="exact"/>
              <w:ind w:firstLine="0"/>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rPr>
              <w:t>报价评审基准价计算方法：当有效投标人≥10家,评审基准价=（所有投标人的有效报价之和-有效报价的最高值及次高值-有效报价的最低值及次低值）的算术平均值；当6家≤有效投标人＜10家,评审基准价=（所有投标人的有效报价之和-有效报价的最高值-有效报价的最低值）的算术平均值；当有效投标人数＜6家,评审基准价=所有投标人的有效报价的算术平均值。</w:t>
            </w:r>
          </w:p>
          <w:p w14:paraId="28C22546">
            <w:pPr>
              <w:pStyle w:val="4"/>
              <w:spacing w:line="560" w:lineRule="exact"/>
              <w:ind w:firstLine="0"/>
              <w:rPr>
                <w:rFonts w:hint="eastAsia" w:ascii="宋体" w:hAnsi="宋体" w:eastAsia="宋体" w:cs="宋体"/>
                <w:kern w:val="2"/>
                <w:sz w:val="22"/>
                <w:szCs w:val="22"/>
                <w:highlight w:val="none"/>
              </w:rPr>
            </w:pPr>
            <w:r>
              <w:rPr>
                <w:rFonts w:hint="eastAsia" w:ascii="宋体" w:hAnsi="宋体" w:eastAsia="宋体" w:cs="宋体"/>
                <w:kern w:val="2"/>
                <w:sz w:val="22"/>
                <w:szCs w:val="22"/>
                <w:highlight w:val="none"/>
              </w:rPr>
              <w:t>评委将对确定为实质性响应招标文件的投标文件进行评审，评审合格的报价为有效报价。当投标人的有效报价等于评审基准价的得满分</w:t>
            </w:r>
            <w:r>
              <w:rPr>
                <w:rFonts w:hint="eastAsia" w:ascii="宋体" w:hAnsi="宋体" w:eastAsia="宋体" w:cs="宋体"/>
                <w:kern w:val="2"/>
                <w:sz w:val="22"/>
                <w:szCs w:val="22"/>
                <w:highlight w:val="none"/>
                <w:lang w:val="en-US" w:eastAsia="zh-CN"/>
              </w:rPr>
              <w:t>20</w:t>
            </w:r>
            <w:r>
              <w:rPr>
                <w:rFonts w:hint="eastAsia" w:ascii="宋体" w:hAnsi="宋体" w:eastAsia="宋体" w:cs="宋体"/>
                <w:kern w:val="2"/>
                <w:sz w:val="22"/>
                <w:szCs w:val="22"/>
                <w:highlight w:val="none"/>
              </w:rPr>
              <w:t>分；有效报价每高于评审基准价1%，扣0.5分；每低于评审基准价1%，扣0.25分。报价最高计至</w:t>
            </w:r>
            <w:r>
              <w:rPr>
                <w:rFonts w:hint="eastAsia" w:ascii="宋体" w:hAnsi="宋体" w:eastAsia="宋体" w:cs="宋体"/>
                <w:kern w:val="2"/>
                <w:sz w:val="22"/>
                <w:szCs w:val="22"/>
                <w:highlight w:val="none"/>
                <w:lang w:val="en-US" w:eastAsia="zh-CN"/>
              </w:rPr>
              <w:t>20</w:t>
            </w:r>
            <w:r>
              <w:rPr>
                <w:rFonts w:hint="eastAsia" w:ascii="宋体" w:hAnsi="宋体" w:eastAsia="宋体" w:cs="宋体"/>
                <w:kern w:val="2"/>
                <w:sz w:val="22"/>
                <w:szCs w:val="22"/>
                <w:highlight w:val="none"/>
              </w:rPr>
              <w:t>分，最低计至0分（得分精确到小数点后2位，分数计算过程中，比例不足部分按直线插入法计算）。</w:t>
            </w:r>
          </w:p>
        </w:tc>
        <w:tc>
          <w:tcPr>
            <w:tcW w:w="850" w:type="dxa"/>
            <w:noWrap w:val="0"/>
            <w:vAlign w:val="center"/>
          </w:tcPr>
          <w:p w14:paraId="79C507D5">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价格分</w:t>
            </w:r>
          </w:p>
        </w:tc>
        <w:tc>
          <w:tcPr>
            <w:tcW w:w="822" w:type="dxa"/>
            <w:noWrap w:val="0"/>
            <w:vAlign w:val="center"/>
          </w:tcPr>
          <w:p w14:paraId="088F8057">
            <w:pPr>
              <w:pStyle w:val="4"/>
              <w:spacing w:line="560" w:lineRule="exact"/>
              <w:ind w:firstLine="0"/>
              <w:jc w:val="center"/>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20.0</w:t>
            </w:r>
          </w:p>
        </w:tc>
      </w:tr>
      <w:tr w14:paraId="0CFA0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B40BC66">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2</w:t>
            </w:r>
          </w:p>
        </w:tc>
        <w:tc>
          <w:tcPr>
            <w:tcW w:w="1276" w:type="dxa"/>
            <w:noWrap w:val="0"/>
            <w:vAlign w:val="center"/>
          </w:tcPr>
          <w:p w14:paraId="7BB2E837">
            <w:pPr>
              <w:pStyle w:val="4"/>
              <w:spacing w:line="560" w:lineRule="exact"/>
              <w:ind w:firstLine="0"/>
              <w:jc w:val="center"/>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企业业绩</w:t>
            </w:r>
          </w:p>
        </w:tc>
        <w:tc>
          <w:tcPr>
            <w:tcW w:w="5557" w:type="dxa"/>
            <w:noWrap w:val="0"/>
            <w:vAlign w:val="center"/>
          </w:tcPr>
          <w:p w14:paraId="166FA869">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投标人自2023年1月1日以来签订的食材配送服务相关业绩证明，每有一项得3分，本项最高得15分。</w:t>
            </w:r>
          </w:p>
          <w:p w14:paraId="1B937B29">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注：业绩范围指食材类（如蔬菜、水果、干杂货、半成品食材、成品类食材（如烘焙类、酒水类）等）的长期或定期配送服务。</w:t>
            </w:r>
          </w:p>
          <w:p w14:paraId="5FB147E7">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注：投标文件中须提供合同扫描件，日期以合同签订时间为准，未附扫描件或不符合要求的均不得分。</w:t>
            </w:r>
          </w:p>
        </w:tc>
        <w:tc>
          <w:tcPr>
            <w:tcW w:w="850" w:type="dxa"/>
            <w:noWrap w:val="0"/>
            <w:vAlign w:val="center"/>
          </w:tcPr>
          <w:p w14:paraId="7857C34A">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客观分</w:t>
            </w:r>
          </w:p>
        </w:tc>
        <w:tc>
          <w:tcPr>
            <w:tcW w:w="822" w:type="dxa"/>
            <w:noWrap w:val="0"/>
            <w:vAlign w:val="center"/>
          </w:tcPr>
          <w:p w14:paraId="3E65B7B8">
            <w:pPr>
              <w:pStyle w:val="4"/>
              <w:spacing w:line="560" w:lineRule="exact"/>
              <w:ind w:firstLine="0"/>
              <w:jc w:val="center"/>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15.0</w:t>
            </w:r>
          </w:p>
        </w:tc>
      </w:tr>
      <w:tr w14:paraId="12A57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1967D08B">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3</w:t>
            </w:r>
          </w:p>
        </w:tc>
        <w:tc>
          <w:tcPr>
            <w:tcW w:w="1276" w:type="dxa"/>
            <w:noWrap w:val="0"/>
            <w:vAlign w:val="center"/>
          </w:tcPr>
          <w:p w14:paraId="488141E4">
            <w:pPr>
              <w:pStyle w:val="4"/>
              <w:keepNext w:val="0"/>
              <w:keepLines w:val="0"/>
              <w:pageBreakBefore w:val="0"/>
              <w:kinsoku/>
              <w:wordWrap/>
              <w:overflowPunct/>
              <w:topLinePunct w:val="0"/>
              <w:autoSpaceDE/>
              <w:autoSpaceDN/>
              <w:bidi w:val="0"/>
              <w:adjustRightInd/>
              <w:snapToGrid/>
              <w:spacing w:line="560" w:lineRule="exact"/>
              <w:ind w:firstLine="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用户满意度评价</w:t>
            </w:r>
          </w:p>
        </w:tc>
        <w:tc>
          <w:tcPr>
            <w:tcW w:w="5557" w:type="dxa"/>
            <w:noWrap w:val="0"/>
            <w:vAlign w:val="center"/>
          </w:tcPr>
          <w:p w14:paraId="38EC9377">
            <w:pPr>
              <w:pStyle w:val="4"/>
              <w:spacing w:line="560" w:lineRule="exact"/>
              <w:ind w:firstLine="0"/>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投标人提供符合上述要求的2023年1月1日至今的同类项目经验的用户单位出具的满意度评价，评价情况至少须为“满意或类似好评”的方可计分：每提供一项得3分，最高15分。</w:t>
            </w:r>
          </w:p>
          <w:p w14:paraId="2B507675">
            <w:pPr>
              <w:pStyle w:val="4"/>
              <w:keepNext w:val="0"/>
              <w:keepLines w:val="0"/>
              <w:pageBreakBefore w:val="0"/>
              <w:kinsoku/>
              <w:wordWrap/>
              <w:overflowPunct/>
              <w:topLinePunct w:val="0"/>
              <w:autoSpaceDE/>
              <w:autoSpaceDN/>
              <w:bidi w:val="0"/>
              <w:adjustRightInd/>
              <w:snapToGrid/>
              <w:spacing w:line="560" w:lineRule="exact"/>
              <w:ind w:firstLine="0"/>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注：①同一客户或同一项目提供多项用户满意度评价的，按一项计算；②须与投标人上述提供的2023年1月1日至今的同类项目经验的用户单位一致；③用户满意度评价须经用户单位或用户管理部门盖章，评价情况至少须为满意或类似好评的方可计分。</w:t>
            </w:r>
          </w:p>
        </w:tc>
        <w:tc>
          <w:tcPr>
            <w:tcW w:w="850" w:type="dxa"/>
            <w:noWrap w:val="0"/>
            <w:vAlign w:val="center"/>
          </w:tcPr>
          <w:p w14:paraId="5C9951FE">
            <w:pPr>
              <w:pStyle w:val="4"/>
              <w:spacing w:line="560" w:lineRule="exact"/>
              <w:ind w:firstLine="0"/>
              <w:jc w:val="center"/>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客观分</w:t>
            </w:r>
          </w:p>
        </w:tc>
        <w:tc>
          <w:tcPr>
            <w:tcW w:w="822" w:type="dxa"/>
            <w:noWrap w:val="0"/>
            <w:vAlign w:val="center"/>
          </w:tcPr>
          <w:p w14:paraId="2AE240FC">
            <w:pPr>
              <w:pStyle w:val="4"/>
              <w:spacing w:line="560" w:lineRule="exact"/>
              <w:ind w:firstLine="0"/>
              <w:jc w:val="center"/>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15.0</w:t>
            </w:r>
          </w:p>
        </w:tc>
      </w:tr>
      <w:tr w14:paraId="49F55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3A7E4038">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4</w:t>
            </w:r>
          </w:p>
        </w:tc>
        <w:tc>
          <w:tcPr>
            <w:tcW w:w="1276" w:type="dxa"/>
            <w:noWrap w:val="0"/>
            <w:vAlign w:val="center"/>
          </w:tcPr>
          <w:p w14:paraId="03FFA7F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食材采购方案</w:t>
            </w:r>
          </w:p>
        </w:tc>
        <w:tc>
          <w:tcPr>
            <w:tcW w:w="5557" w:type="dxa"/>
            <w:noWrap w:val="0"/>
            <w:vAlign w:val="center"/>
          </w:tcPr>
          <w:p w14:paraId="3DD3BEE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由评委根据投标单位提供的食材采购方案进行打分：</w:t>
            </w:r>
          </w:p>
          <w:p w14:paraId="4B0AEF36">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1.投标人选用的食材生产基地资质齐全，货源组织充足；</w:t>
            </w:r>
          </w:p>
          <w:p w14:paraId="36AC915E">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2.食材采购渠道，能保证食材持续稳定化供应；</w:t>
            </w:r>
          </w:p>
          <w:p w14:paraId="6A123E7D">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3.具备食材溯源能力，品质有保障，按要求提供检疫合格证、农产品承诺达标合格证、进货票据等溯源资料</w:t>
            </w:r>
            <w:r>
              <w:rPr>
                <w:rFonts w:hint="eastAsia" w:ascii="宋体" w:hAnsi="宋体" w:cs="宋体"/>
                <w:kern w:val="2"/>
                <w:sz w:val="22"/>
                <w:szCs w:val="22"/>
                <w:highlight w:val="none"/>
                <w:lang w:val="en-US" w:eastAsia="zh-CN" w:bidi="ar-SA"/>
              </w:rPr>
              <w:t>，</w:t>
            </w:r>
            <w:r>
              <w:rPr>
                <w:rFonts w:hint="eastAsia" w:ascii="宋体" w:hAnsi="宋体" w:eastAsia="宋体" w:cs="宋体"/>
                <w:kern w:val="2"/>
                <w:sz w:val="22"/>
                <w:szCs w:val="22"/>
                <w:highlight w:val="none"/>
                <w:lang w:val="en-US" w:eastAsia="zh-CN" w:bidi="ar-SA"/>
              </w:rPr>
              <w:t>保证食材的绿色、健康、卫生；</w:t>
            </w:r>
          </w:p>
          <w:p w14:paraId="057B024C">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4.食材贮存方式方法得当，具备冷链仓储能力，能保证食材新鲜。</w:t>
            </w:r>
          </w:p>
          <w:p w14:paraId="4968C16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10</w:t>
            </w:r>
            <w:r>
              <w:rPr>
                <w:rFonts w:hint="eastAsia" w:ascii="宋体" w:hAnsi="宋体" w:eastAsia="宋体" w:cs="宋体"/>
                <w:kern w:val="2"/>
                <w:sz w:val="22"/>
                <w:szCs w:val="22"/>
                <w:highlight w:val="none"/>
                <w:lang w:val="en-US" w:eastAsia="zh-CN" w:bidi="ar-SA"/>
              </w:rPr>
              <w:t>分】：投标人针对上述各项内容提供的证明材料详细合理，说明表述思路清晰，有突出的优势。</w:t>
            </w:r>
          </w:p>
          <w:p w14:paraId="2BEF907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分】：投标人针对上述内容有1-2处瑕疵或缺陷。</w:t>
            </w:r>
          </w:p>
          <w:p w14:paraId="0739C2B9">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分】：投标人针对上述内容有3处及以上描述不清晰，表述简单或存在瑕疵，所表述内容无法反映或无法判断其食品质量。</w:t>
            </w:r>
          </w:p>
        </w:tc>
        <w:tc>
          <w:tcPr>
            <w:tcW w:w="850" w:type="dxa"/>
            <w:noWrap w:val="0"/>
            <w:vAlign w:val="center"/>
          </w:tcPr>
          <w:p w14:paraId="428F1B37">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43675AB1">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r w14:paraId="7FA36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55883216">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5</w:t>
            </w:r>
          </w:p>
        </w:tc>
        <w:tc>
          <w:tcPr>
            <w:tcW w:w="1276" w:type="dxa"/>
            <w:noWrap w:val="0"/>
            <w:vAlign w:val="center"/>
          </w:tcPr>
          <w:p w14:paraId="2A420662">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食材配送方案</w:t>
            </w:r>
          </w:p>
        </w:tc>
        <w:tc>
          <w:tcPr>
            <w:tcW w:w="5557" w:type="dxa"/>
            <w:noWrap w:val="0"/>
            <w:vAlign w:val="center"/>
          </w:tcPr>
          <w:p w14:paraId="4F15660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由评委根据投标单位提供的食材配送方案进行打分：</w:t>
            </w:r>
          </w:p>
          <w:p w14:paraId="1115CECE">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1.物流体系、配套设施完备；</w:t>
            </w:r>
          </w:p>
          <w:p w14:paraId="420B4CC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default"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2.拥有酒店、景区供应经验；</w:t>
            </w:r>
          </w:p>
          <w:p w14:paraId="1DD87E4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.配送车辆数量充足；</w:t>
            </w:r>
          </w:p>
          <w:p w14:paraId="3EAEE6E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4</w:t>
            </w:r>
            <w:r>
              <w:rPr>
                <w:rFonts w:hint="eastAsia" w:ascii="宋体" w:hAnsi="宋体" w:eastAsia="宋体" w:cs="宋体"/>
                <w:kern w:val="2"/>
                <w:sz w:val="22"/>
                <w:szCs w:val="22"/>
                <w:highlight w:val="none"/>
                <w:lang w:val="en-US" w:eastAsia="zh-CN" w:bidi="ar-SA"/>
              </w:rPr>
              <w:t>.配送工作方案和部署结构完整，有针对性；</w:t>
            </w:r>
          </w:p>
          <w:p w14:paraId="107F8914">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5</w:t>
            </w:r>
            <w:r>
              <w:rPr>
                <w:rFonts w:hint="eastAsia" w:ascii="宋体" w:hAnsi="宋体" w:eastAsia="宋体" w:cs="宋体"/>
                <w:kern w:val="2"/>
                <w:sz w:val="22"/>
                <w:szCs w:val="22"/>
                <w:highlight w:val="none"/>
                <w:lang w:val="en-US" w:eastAsia="zh-CN" w:bidi="ar-SA"/>
              </w:rPr>
              <w:t>.进度保证、服务质量保证措施完善可行。</w:t>
            </w:r>
          </w:p>
          <w:p w14:paraId="39442B56">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10</w:t>
            </w:r>
            <w:r>
              <w:rPr>
                <w:rFonts w:hint="eastAsia" w:ascii="宋体" w:hAnsi="宋体" w:eastAsia="宋体" w:cs="宋体"/>
                <w:kern w:val="2"/>
                <w:sz w:val="22"/>
                <w:szCs w:val="22"/>
                <w:highlight w:val="none"/>
                <w:lang w:val="en-US" w:eastAsia="zh-CN" w:bidi="ar-SA"/>
              </w:rPr>
              <w:t>分】：投标人针对上述各项描述详细合理，表述思路清晰，有突出的方案优势。</w:t>
            </w:r>
          </w:p>
          <w:p w14:paraId="035E497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分】：投标人针对上述内容人描述有1-2处瑕疵或缺陷。</w:t>
            </w:r>
          </w:p>
          <w:p w14:paraId="7441EF5B">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分】：投标人针对上述内容有3处及以上描述不清晰，表述简单或存在瑕疵，所表述内容无法反映或无法判断其服务质量。</w:t>
            </w:r>
          </w:p>
        </w:tc>
        <w:tc>
          <w:tcPr>
            <w:tcW w:w="850" w:type="dxa"/>
            <w:noWrap w:val="0"/>
            <w:vAlign w:val="center"/>
          </w:tcPr>
          <w:p w14:paraId="2A5CF707">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655BB79E">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r w14:paraId="4E88D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6E86EE43">
            <w:pPr>
              <w:pStyle w:val="4"/>
              <w:spacing w:line="560" w:lineRule="exact"/>
              <w:ind w:firstLine="0"/>
              <w:jc w:val="center"/>
              <w:rPr>
                <w:rFonts w:hint="eastAsia" w:ascii="宋体" w:hAnsi="宋体" w:eastAsia="宋体" w:cs="宋体"/>
                <w:kern w:val="2"/>
                <w:sz w:val="22"/>
                <w:szCs w:val="22"/>
                <w:highlight w:val="none"/>
                <w:lang w:eastAsia="zh-CN"/>
              </w:rPr>
            </w:pPr>
            <w:r>
              <w:rPr>
                <w:rFonts w:hint="eastAsia" w:ascii="宋体" w:hAnsi="宋体" w:eastAsia="宋体" w:cs="宋体"/>
                <w:kern w:val="2"/>
                <w:sz w:val="22"/>
                <w:szCs w:val="22"/>
                <w:highlight w:val="none"/>
                <w:lang w:val="en-US" w:eastAsia="zh-CN"/>
              </w:rPr>
              <w:t>6</w:t>
            </w:r>
          </w:p>
        </w:tc>
        <w:tc>
          <w:tcPr>
            <w:tcW w:w="1276" w:type="dxa"/>
            <w:noWrap w:val="0"/>
            <w:vAlign w:val="center"/>
          </w:tcPr>
          <w:p w14:paraId="2601E897">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内部管理制度</w:t>
            </w:r>
          </w:p>
        </w:tc>
        <w:tc>
          <w:tcPr>
            <w:tcW w:w="5557" w:type="dxa"/>
            <w:noWrap w:val="0"/>
            <w:vAlign w:val="center"/>
          </w:tcPr>
          <w:p w14:paraId="02FDB64D">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由评委根据投标单位提供的内部管理制度进行打分：</w:t>
            </w:r>
          </w:p>
          <w:p w14:paraId="2E39636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1.内部管理制度规范健全</w:t>
            </w:r>
            <w:r>
              <w:rPr>
                <w:rFonts w:hint="eastAsia" w:ascii="宋体" w:hAnsi="宋体" w:cs="宋体"/>
                <w:kern w:val="2"/>
                <w:sz w:val="22"/>
                <w:szCs w:val="22"/>
                <w:highlight w:val="none"/>
                <w:lang w:val="en-US" w:eastAsia="zh-CN" w:bidi="ar-SA"/>
              </w:rPr>
              <w:t>；</w:t>
            </w:r>
          </w:p>
          <w:p w14:paraId="2795035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2</w:t>
            </w:r>
            <w:r>
              <w:rPr>
                <w:rFonts w:hint="eastAsia" w:ascii="宋体" w:hAnsi="宋体" w:eastAsia="宋体" w:cs="宋体"/>
                <w:kern w:val="2"/>
                <w:sz w:val="22"/>
                <w:szCs w:val="22"/>
                <w:highlight w:val="none"/>
                <w:lang w:val="en-US" w:eastAsia="zh-CN" w:bidi="ar-SA"/>
              </w:rPr>
              <w:t>.组织分工明确</w:t>
            </w:r>
            <w:r>
              <w:rPr>
                <w:rFonts w:hint="eastAsia" w:ascii="宋体" w:hAnsi="宋体" w:cs="宋体"/>
                <w:kern w:val="2"/>
                <w:sz w:val="22"/>
                <w:szCs w:val="22"/>
                <w:highlight w:val="none"/>
                <w:lang w:val="en-US" w:eastAsia="zh-CN" w:bidi="ar-SA"/>
              </w:rPr>
              <w:t>、</w:t>
            </w:r>
            <w:r>
              <w:rPr>
                <w:rFonts w:hint="eastAsia" w:ascii="宋体" w:hAnsi="宋体" w:eastAsia="宋体" w:cs="宋体"/>
                <w:kern w:val="2"/>
                <w:sz w:val="22"/>
                <w:szCs w:val="22"/>
                <w:highlight w:val="none"/>
                <w:lang w:val="en-US" w:eastAsia="zh-CN" w:bidi="ar-SA"/>
              </w:rPr>
              <w:t>具有完备的管理措施和管理人员</w:t>
            </w:r>
            <w:r>
              <w:rPr>
                <w:rFonts w:hint="eastAsia" w:ascii="宋体" w:hAnsi="宋体" w:cs="宋体"/>
                <w:kern w:val="2"/>
                <w:sz w:val="22"/>
                <w:szCs w:val="22"/>
                <w:highlight w:val="none"/>
                <w:lang w:val="en-US" w:eastAsia="zh-CN" w:bidi="ar-SA"/>
              </w:rPr>
              <w:t>；</w:t>
            </w:r>
          </w:p>
          <w:p w14:paraId="5E939E7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.产品质量管控措施和工作信息收集、反馈等质量保证措施完备。</w:t>
            </w:r>
          </w:p>
          <w:p w14:paraId="702BC22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10</w:t>
            </w:r>
            <w:r>
              <w:rPr>
                <w:rFonts w:hint="eastAsia" w:ascii="宋体" w:hAnsi="宋体" w:eastAsia="宋体" w:cs="宋体"/>
                <w:kern w:val="2"/>
                <w:sz w:val="22"/>
                <w:szCs w:val="22"/>
                <w:highlight w:val="none"/>
                <w:lang w:val="en-US" w:eastAsia="zh-CN" w:bidi="ar-SA"/>
              </w:rPr>
              <w:t>分】：投标人针对上述各项内容描述详细全面，表述思路清晰，有突出的管理制度优势。</w:t>
            </w:r>
          </w:p>
          <w:p w14:paraId="0507668F">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分】：投标人针对上述内容有1-2处瑕疵或缺陷。</w:t>
            </w:r>
          </w:p>
          <w:p w14:paraId="74676C90">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分】：投标人针对上述内容有3处及以上描述不清晰，表述简单或存在瑕疵，所表述内容无法反映或无法判断其管理制度的优势。</w:t>
            </w:r>
          </w:p>
        </w:tc>
        <w:tc>
          <w:tcPr>
            <w:tcW w:w="850" w:type="dxa"/>
            <w:noWrap w:val="0"/>
            <w:vAlign w:val="center"/>
          </w:tcPr>
          <w:p w14:paraId="49872DDD">
            <w:pPr>
              <w:pStyle w:val="4"/>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10E0D109">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r w14:paraId="11EF56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46" w:type="dxa"/>
            <w:noWrap w:val="0"/>
            <w:vAlign w:val="center"/>
          </w:tcPr>
          <w:p w14:paraId="018EF19A">
            <w:pPr>
              <w:pStyle w:val="4"/>
              <w:spacing w:line="560" w:lineRule="exact"/>
              <w:ind w:firstLine="0"/>
              <w:jc w:val="center"/>
              <w:rPr>
                <w:rFonts w:hint="default"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7</w:t>
            </w:r>
          </w:p>
        </w:tc>
        <w:tc>
          <w:tcPr>
            <w:tcW w:w="1276" w:type="dxa"/>
            <w:noWrap w:val="0"/>
            <w:vAlign w:val="center"/>
          </w:tcPr>
          <w:p w14:paraId="311B100E">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拟派配送团队</w:t>
            </w:r>
          </w:p>
        </w:tc>
        <w:tc>
          <w:tcPr>
            <w:tcW w:w="5557" w:type="dxa"/>
            <w:noWrap w:val="0"/>
            <w:vAlign w:val="center"/>
          </w:tcPr>
          <w:p w14:paraId="508F285F">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由评委根据投标单位提供的拟派团队情况进行打分：</w:t>
            </w:r>
          </w:p>
          <w:p w14:paraId="17E35A8E">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1.拟派专业人员数量充足；</w:t>
            </w:r>
          </w:p>
          <w:p w14:paraId="53013AF6">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2.拟派配送人员专业对口</w:t>
            </w:r>
            <w:r>
              <w:rPr>
                <w:rFonts w:hint="eastAsia" w:ascii="宋体" w:hAnsi="宋体" w:cs="宋体"/>
                <w:kern w:val="2"/>
                <w:sz w:val="22"/>
                <w:szCs w:val="22"/>
                <w:highlight w:val="none"/>
                <w:lang w:val="en-US" w:eastAsia="zh-CN" w:bidi="ar-SA"/>
              </w:rPr>
              <w:t>，具有有效的健康证明</w:t>
            </w:r>
            <w:r>
              <w:rPr>
                <w:rFonts w:hint="eastAsia" w:ascii="宋体" w:hAnsi="宋体" w:eastAsia="宋体" w:cs="宋体"/>
                <w:kern w:val="2"/>
                <w:sz w:val="22"/>
                <w:szCs w:val="22"/>
                <w:highlight w:val="none"/>
                <w:lang w:val="en-US" w:eastAsia="zh-CN" w:bidi="ar-SA"/>
              </w:rPr>
              <w:t>；</w:t>
            </w:r>
          </w:p>
          <w:p w14:paraId="26F38509">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3.拟派配送人员从事本职工作的经验丰富；</w:t>
            </w:r>
          </w:p>
          <w:p w14:paraId="3815E88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4.拟派配送人员岗位分工安排合理。</w:t>
            </w:r>
          </w:p>
          <w:p w14:paraId="46AA485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10</w:t>
            </w:r>
            <w:r>
              <w:rPr>
                <w:rFonts w:hint="eastAsia" w:ascii="宋体" w:hAnsi="宋体" w:eastAsia="宋体" w:cs="宋体"/>
                <w:kern w:val="2"/>
                <w:sz w:val="22"/>
                <w:szCs w:val="22"/>
                <w:highlight w:val="none"/>
                <w:lang w:val="en-US" w:eastAsia="zh-CN" w:bidi="ar-SA"/>
              </w:rPr>
              <w:t>分】：投标人针对上述各项内容承诺详细合理，表述思路清晰，有突出的配送团队能力。。</w:t>
            </w:r>
          </w:p>
          <w:p w14:paraId="01B68151">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分】：投标人针对上述内容有1-2处瑕疵或缺陷。</w:t>
            </w:r>
          </w:p>
          <w:p w14:paraId="779AB15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分】：投标人针对上述内容有3处及以上描述不清晰，表述简单或存在瑕疵，所表述内容无法反映或无法判断其配送团队能力。</w:t>
            </w:r>
          </w:p>
        </w:tc>
        <w:tc>
          <w:tcPr>
            <w:tcW w:w="850" w:type="dxa"/>
            <w:noWrap w:val="0"/>
            <w:vAlign w:val="center"/>
          </w:tcPr>
          <w:p w14:paraId="3226ED32">
            <w:pPr>
              <w:pStyle w:val="4"/>
              <w:keepNext w:val="0"/>
              <w:keepLines w:val="0"/>
              <w:pageBreakBefore w:val="0"/>
              <w:kinsoku/>
              <w:wordWrap/>
              <w:overflowPunct/>
              <w:topLinePunct/>
              <w:autoSpaceDE/>
              <w:autoSpaceDN/>
              <w:bidi w:val="0"/>
              <w:adjustRightInd/>
              <w:snapToGrid/>
              <w:spacing w:line="500" w:lineRule="exact"/>
              <w:ind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1928A27D">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r w14:paraId="219A7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16" w:hRule="atLeast"/>
          <w:jc w:val="center"/>
        </w:trPr>
        <w:tc>
          <w:tcPr>
            <w:tcW w:w="846" w:type="dxa"/>
            <w:noWrap w:val="0"/>
            <w:vAlign w:val="center"/>
          </w:tcPr>
          <w:p w14:paraId="2C45349F">
            <w:pPr>
              <w:pStyle w:val="4"/>
              <w:spacing w:line="560" w:lineRule="exact"/>
              <w:ind w:firstLine="0"/>
              <w:jc w:val="center"/>
              <w:rPr>
                <w:rFonts w:hint="eastAsia" w:ascii="宋体" w:hAnsi="宋体" w:eastAsia="宋体" w:cs="宋体"/>
                <w:kern w:val="2"/>
                <w:sz w:val="22"/>
                <w:szCs w:val="22"/>
                <w:highlight w:val="none"/>
                <w:lang w:val="en-US" w:eastAsia="zh-CN"/>
              </w:rPr>
            </w:pPr>
            <w:r>
              <w:rPr>
                <w:rFonts w:hint="eastAsia" w:ascii="宋体" w:hAnsi="宋体" w:eastAsia="宋体" w:cs="宋体"/>
                <w:kern w:val="2"/>
                <w:sz w:val="22"/>
                <w:szCs w:val="22"/>
                <w:highlight w:val="none"/>
                <w:lang w:val="en-US" w:eastAsia="zh-CN"/>
              </w:rPr>
              <w:t>8</w:t>
            </w:r>
          </w:p>
        </w:tc>
        <w:tc>
          <w:tcPr>
            <w:tcW w:w="1276" w:type="dxa"/>
            <w:noWrap w:val="0"/>
            <w:vAlign w:val="center"/>
          </w:tcPr>
          <w:p w14:paraId="1AA97F80">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服务承诺</w:t>
            </w:r>
          </w:p>
        </w:tc>
        <w:tc>
          <w:tcPr>
            <w:tcW w:w="5557" w:type="dxa"/>
            <w:noWrap w:val="0"/>
            <w:vAlign w:val="center"/>
          </w:tcPr>
          <w:p w14:paraId="1E4B88D2">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由评委根据投标单位提供的服务承诺内容进行打分：</w:t>
            </w:r>
          </w:p>
          <w:p w14:paraId="1CEE4848">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1.服务质量保证措施完善；</w:t>
            </w:r>
          </w:p>
          <w:p w14:paraId="66F20DCA">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2.退换货措施完善；</w:t>
            </w:r>
          </w:p>
          <w:p w14:paraId="3717EF6A">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3.针对恶劣天气有应急配送方案。</w:t>
            </w:r>
          </w:p>
          <w:p w14:paraId="00F630A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10</w:t>
            </w:r>
            <w:r>
              <w:rPr>
                <w:rFonts w:hint="eastAsia" w:ascii="宋体" w:hAnsi="宋体" w:eastAsia="宋体" w:cs="宋体"/>
                <w:kern w:val="2"/>
                <w:sz w:val="22"/>
                <w:szCs w:val="22"/>
                <w:highlight w:val="none"/>
                <w:lang w:val="en-US" w:eastAsia="zh-CN" w:bidi="ar-SA"/>
              </w:rPr>
              <w:t>分】：投标人针对上述各项内容承诺详细合理，表述思路清晰，有突出的服务能力。</w:t>
            </w:r>
          </w:p>
          <w:p w14:paraId="7CE4A069">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.1分-</w:t>
            </w:r>
            <w:r>
              <w:rPr>
                <w:rFonts w:hint="eastAsia" w:ascii="宋体" w:hAnsi="宋体" w:cs="宋体"/>
                <w:kern w:val="2"/>
                <w:sz w:val="22"/>
                <w:szCs w:val="22"/>
                <w:highlight w:val="none"/>
                <w:lang w:val="en-US" w:eastAsia="zh-CN" w:bidi="ar-SA"/>
              </w:rPr>
              <w:t>6</w:t>
            </w:r>
            <w:r>
              <w:rPr>
                <w:rFonts w:hint="eastAsia" w:ascii="宋体" w:hAnsi="宋体" w:eastAsia="宋体" w:cs="宋体"/>
                <w:kern w:val="2"/>
                <w:sz w:val="22"/>
                <w:szCs w:val="22"/>
                <w:highlight w:val="none"/>
                <w:lang w:val="en-US" w:eastAsia="zh-CN" w:bidi="ar-SA"/>
              </w:rPr>
              <w:t>分】：投标人针对上述内容有1-2处瑕疵或缺陷。</w:t>
            </w:r>
          </w:p>
          <w:p w14:paraId="2E50E95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【0分-</w:t>
            </w:r>
            <w:r>
              <w:rPr>
                <w:rFonts w:hint="eastAsia" w:ascii="宋体" w:hAnsi="宋体" w:cs="宋体"/>
                <w:kern w:val="2"/>
                <w:sz w:val="22"/>
                <w:szCs w:val="22"/>
                <w:highlight w:val="none"/>
                <w:lang w:val="en-US" w:eastAsia="zh-CN" w:bidi="ar-SA"/>
              </w:rPr>
              <w:t>3</w:t>
            </w:r>
            <w:r>
              <w:rPr>
                <w:rFonts w:hint="eastAsia" w:ascii="宋体" w:hAnsi="宋体" w:eastAsia="宋体" w:cs="宋体"/>
                <w:kern w:val="2"/>
                <w:sz w:val="22"/>
                <w:szCs w:val="22"/>
                <w:highlight w:val="none"/>
                <w:lang w:val="en-US" w:eastAsia="zh-CN" w:bidi="ar-SA"/>
              </w:rPr>
              <w:t>分】：投标人针对上述内容有3处及以上描述不清晰，表述简单或存在瑕疵，所表述内容无法反映或无法判断其服务质量。</w:t>
            </w:r>
          </w:p>
        </w:tc>
        <w:tc>
          <w:tcPr>
            <w:tcW w:w="850" w:type="dxa"/>
            <w:noWrap w:val="0"/>
            <w:vAlign w:val="center"/>
          </w:tcPr>
          <w:p w14:paraId="210F403E">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eastAsia"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主观分</w:t>
            </w:r>
          </w:p>
        </w:tc>
        <w:tc>
          <w:tcPr>
            <w:tcW w:w="822" w:type="dxa"/>
            <w:noWrap w:val="0"/>
            <w:vAlign w:val="center"/>
          </w:tcPr>
          <w:p w14:paraId="2BFBEADD">
            <w:pPr>
              <w:pStyle w:val="4"/>
              <w:keepNext w:val="0"/>
              <w:keepLines w:val="0"/>
              <w:pageBreakBefore w:val="0"/>
              <w:kinsoku/>
              <w:wordWrap/>
              <w:overflowPunct/>
              <w:topLinePunct/>
              <w:autoSpaceDE/>
              <w:autoSpaceDN/>
              <w:bidi w:val="0"/>
              <w:adjustRightInd/>
              <w:snapToGrid/>
              <w:spacing w:line="500" w:lineRule="exact"/>
              <w:ind w:left="0" w:leftChars="0" w:firstLine="0" w:firstLineChars="0"/>
              <w:jc w:val="center"/>
              <w:textAlignment w:val="auto"/>
              <w:rPr>
                <w:rFonts w:hint="default" w:ascii="宋体" w:hAnsi="宋体" w:eastAsia="宋体" w:cs="宋体"/>
                <w:kern w:val="2"/>
                <w:sz w:val="22"/>
                <w:szCs w:val="22"/>
                <w:highlight w:val="none"/>
                <w:lang w:val="en-US" w:eastAsia="zh-CN" w:bidi="ar-SA"/>
              </w:rPr>
            </w:pPr>
            <w:r>
              <w:rPr>
                <w:rFonts w:hint="eastAsia" w:ascii="宋体" w:hAnsi="宋体" w:eastAsia="宋体" w:cs="宋体"/>
                <w:kern w:val="2"/>
                <w:sz w:val="22"/>
                <w:szCs w:val="22"/>
                <w:highlight w:val="none"/>
                <w:lang w:val="en-US" w:eastAsia="zh-CN" w:bidi="ar-SA"/>
              </w:rPr>
              <w:t>10.0</w:t>
            </w:r>
          </w:p>
        </w:tc>
      </w:tr>
    </w:tbl>
    <w:p w14:paraId="3087C224">
      <w:pPr>
        <w:spacing w:line="440" w:lineRule="exact"/>
        <w:ind w:firstLine="440" w:firstLineChars="200"/>
        <w:rPr>
          <w:rFonts w:ascii="宋体" w:hAnsi="宋体" w:cs="宋体"/>
          <w:sz w:val="22"/>
          <w:szCs w:val="22"/>
          <w:highlight w:val="none"/>
        </w:rPr>
      </w:pPr>
      <w:r>
        <w:rPr>
          <w:rFonts w:hint="eastAsia" w:ascii="宋体" w:hAnsi="宋体" w:cs="宋体"/>
          <w:sz w:val="22"/>
          <w:szCs w:val="22"/>
          <w:highlight w:val="none"/>
        </w:rPr>
        <w:t>注：①本细则只针对有效投标文件予以评分。</w:t>
      </w:r>
    </w:p>
    <w:p w14:paraId="64D596B8">
      <w:pPr>
        <w:spacing w:line="520" w:lineRule="exact"/>
        <w:ind w:firstLine="440" w:firstLineChars="200"/>
        <w:rPr>
          <w:rFonts w:ascii="宋体" w:hAnsi="宋体" w:cs="宋体"/>
          <w:sz w:val="22"/>
          <w:szCs w:val="22"/>
          <w:highlight w:val="none"/>
        </w:rPr>
      </w:pPr>
      <w:r>
        <w:rPr>
          <w:rFonts w:hint="eastAsia" w:ascii="宋体" w:hAnsi="宋体" w:cs="宋体"/>
          <w:sz w:val="22"/>
          <w:szCs w:val="22"/>
          <w:highlight w:val="none"/>
        </w:rPr>
        <w:t>②计算得分时，四舍五入保留至小数点后二位。</w:t>
      </w:r>
    </w:p>
    <w:p w14:paraId="3A7D03CE">
      <w:pPr>
        <w:spacing w:line="520" w:lineRule="exact"/>
        <w:ind w:firstLine="440" w:firstLineChars="200"/>
        <w:rPr>
          <w:rFonts w:ascii="宋体" w:hAnsi="宋体" w:cs="宋体"/>
          <w:sz w:val="22"/>
          <w:szCs w:val="22"/>
          <w:highlight w:val="none"/>
        </w:rPr>
      </w:pPr>
      <w:r>
        <w:rPr>
          <w:rFonts w:hint="eastAsia" w:ascii="宋体" w:hAnsi="宋体" w:cs="宋体"/>
          <w:sz w:val="22"/>
          <w:szCs w:val="22"/>
          <w:highlight w:val="none"/>
        </w:rPr>
        <w:t>③汇总各评委打分进行算术平均，计算出各投标人的综合得分。</w:t>
      </w:r>
    </w:p>
    <w:p w14:paraId="28300D7A">
      <w:pPr>
        <w:spacing w:line="518" w:lineRule="exact"/>
        <w:ind w:firstLine="470" w:firstLineChars="196"/>
        <w:rPr>
          <w:rFonts w:ascii="宋体" w:hAnsi="宋体" w:cs="宋体"/>
          <w:sz w:val="24"/>
          <w:highlight w:val="none"/>
        </w:rPr>
      </w:pPr>
      <w:bookmarkStart w:id="14" w:name="_Toc161683924"/>
      <w:r>
        <w:rPr>
          <w:rFonts w:hint="eastAsia" w:ascii="宋体" w:hAnsi="宋体" w:cs="宋体"/>
          <w:sz w:val="24"/>
          <w:highlight w:val="none"/>
        </w:rPr>
        <w:t>三、编写评标报告</w:t>
      </w:r>
      <w:bookmarkEnd w:id="14"/>
    </w:p>
    <w:p w14:paraId="7F4A4679">
      <w:pPr>
        <w:spacing w:line="518" w:lineRule="exact"/>
        <w:ind w:firstLine="470" w:firstLineChars="196"/>
        <w:rPr>
          <w:rFonts w:ascii="宋体" w:hAnsi="宋体" w:cs="宋体"/>
          <w:sz w:val="24"/>
          <w:highlight w:val="none"/>
        </w:rPr>
      </w:pPr>
      <w:r>
        <w:rPr>
          <w:rFonts w:hint="eastAsia" w:ascii="宋体" w:hAnsi="宋体" w:cs="宋体"/>
          <w:sz w:val="24"/>
          <w:highlight w:val="none"/>
        </w:rPr>
        <w:t>依据评标委员会签字的原始记录和评标结果，按照规定的内容要求编写评标报告，并由全体评委签名。</w:t>
      </w:r>
    </w:p>
    <w:p w14:paraId="3FE41AFE">
      <w:pPr>
        <w:spacing w:line="518" w:lineRule="exact"/>
        <w:ind w:firstLine="470" w:firstLineChars="196"/>
        <w:rPr>
          <w:rFonts w:ascii="宋体" w:hAnsi="宋体" w:cs="宋体"/>
          <w:sz w:val="24"/>
          <w:highlight w:val="none"/>
        </w:rPr>
      </w:pPr>
      <w:bookmarkStart w:id="15" w:name="_Toc161683925"/>
      <w:r>
        <w:rPr>
          <w:rFonts w:hint="eastAsia" w:ascii="宋体" w:hAnsi="宋体" w:cs="宋体"/>
          <w:sz w:val="24"/>
          <w:highlight w:val="none"/>
        </w:rPr>
        <w:t>四、</w:t>
      </w:r>
      <w:bookmarkEnd w:id="15"/>
      <w:r>
        <w:rPr>
          <w:rFonts w:hint="eastAsia" w:ascii="宋体" w:hAnsi="宋体" w:cs="宋体"/>
          <w:sz w:val="24"/>
          <w:highlight w:val="none"/>
        </w:rPr>
        <w:t>定标</w:t>
      </w:r>
    </w:p>
    <w:p w14:paraId="21828446">
      <w:pPr>
        <w:spacing w:line="518" w:lineRule="exact"/>
        <w:ind w:firstLine="470" w:firstLineChars="196"/>
        <w:rPr>
          <w:rFonts w:ascii="宋体" w:hAnsi="宋体" w:cs="宋体"/>
          <w:sz w:val="24"/>
          <w:highlight w:val="none"/>
        </w:rPr>
      </w:pPr>
      <w:r>
        <w:rPr>
          <w:rFonts w:hint="eastAsia" w:ascii="宋体" w:hAnsi="宋体" w:cs="宋体"/>
          <w:sz w:val="24"/>
          <w:highlight w:val="none"/>
        </w:rPr>
        <w:t>1.评标委员会根据招标文件载明的评标细则进行综合评审，并按评审后综合得分由高到低进行顺序排列，确定排序前三名为中标候选人。</w:t>
      </w:r>
    </w:p>
    <w:p w14:paraId="627D899F">
      <w:pPr>
        <w:spacing w:line="518" w:lineRule="exact"/>
        <w:ind w:firstLine="470" w:firstLineChars="196"/>
        <w:rPr>
          <w:rFonts w:ascii="宋体" w:hAnsi="宋体" w:cs="宋体"/>
          <w:sz w:val="24"/>
          <w:highlight w:val="none"/>
        </w:rPr>
      </w:pPr>
      <w:r>
        <w:rPr>
          <w:rFonts w:hint="eastAsia" w:ascii="宋体" w:hAnsi="宋体" w:cs="宋体"/>
          <w:sz w:val="24"/>
          <w:highlight w:val="none"/>
        </w:rPr>
        <w:t>2.评标结束后，公告无异议确定排名第一的中标候选人为中标人。如发现中标人存在与招标文件、投标文件不符或弄虚作假等其它违法行为，经招标人同意，取消中标人资格，由排名次之投标人为中标候选人，依次类推或重新招标。</w:t>
      </w:r>
    </w:p>
    <w:p w14:paraId="67AA8048">
      <w:pPr>
        <w:spacing w:line="518" w:lineRule="exact"/>
        <w:ind w:firstLine="470" w:firstLineChars="196"/>
        <w:rPr>
          <w:rFonts w:ascii="宋体" w:hAnsi="宋体" w:cs="宋体"/>
          <w:sz w:val="24"/>
          <w:highlight w:val="none"/>
        </w:rPr>
      </w:pPr>
      <w:bookmarkStart w:id="16" w:name="_Toc161683926"/>
      <w:r>
        <w:rPr>
          <w:rFonts w:hint="eastAsia" w:ascii="宋体" w:hAnsi="宋体" w:cs="宋体"/>
          <w:sz w:val="24"/>
          <w:highlight w:val="none"/>
        </w:rPr>
        <w:t>五、结果公告</w:t>
      </w:r>
      <w:bookmarkEnd w:id="16"/>
    </w:p>
    <w:p w14:paraId="1A97BC68">
      <w:pPr>
        <w:spacing w:line="518" w:lineRule="exact"/>
        <w:ind w:firstLine="470" w:firstLineChars="196"/>
        <w:rPr>
          <w:rFonts w:ascii="宋体" w:hAnsi="宋体" w:cs="宋体"/>
          <w:sz w:val="24"/>
          <w:highlight w:val="none"/>
        </w:rPr>
      </w:pPr>
      <w:r>
        <w:rPr>
          <w:rFonts w:hint="eastAsia" w:ascii="宋体" w:hAnsi="宋体" w:cs="宋体"/>
          <w:sz w:val="24"/>
          <w:highlight w:val="none"/>
        </w:rPr>
        <w:t>招标人应当自定标结束后在招标公告发布媒介发布中标公告。中标公告期限为1个工作日。</w:t>
      </w:r>
    </w:p>
    <w:p w14:paraId="13BD445D">
      <w:pPr>
        <w:spacing w:line="518" w:lineRule="exact"/>
        <w:ind w:firstLine="470" w:firstLineChars="196"/>
        <w:rPr>
          <w:rFonts w:ascii="宋体" w:hAnsi="宋体" w:cs="宋体"/>
          <w:sz w:val="24"/>
          <w:highlight w:val="none"/>
        </w:rPr>
      </w:pPr>
      <w:bookmarkStart w:id="17" w:name="_Toc161683927"/>
      <w:r>
        <w:rPr>
          <w:rFonts w:hint="eastAsia" w:ascii="宋体" w:hAnsi="宋体" w:cs="宋体"/>
          <w:sz w:val="24"/>
          <w:highlight w:val="none"/>
        </w:rPr>
        <w:t>六、签发中标通知书</w:t>
      </w:r>
      <w:bookmarkEnd w:id="17"/>
    </w:p>
    <w:p w14:paraId="54F4034D">
      <w:pPr>
        <w:spacing w:line="518" w:lineRule="exact"/>
        <w:ind w:firstLine="470" w:firstLineChars="196"/>
        <w:rPr>
          <w:rFonts w:ascii="宋体" w:hAnsi="宋体" w:cs="宋体"/>
          <w:sz w:val="24"/>
          <w:highlight w:val="none"/>
        </w:rPr>
      </w:pPr>
      <w:r>
        <w:rPr>
          <w:rFonts w:hint="eastAsia" w:ascii="宋体" w:hAnsi="宋体" w:cs="宋体"/>
          <w:sz w:val="24"/>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79C141D6">
      <w:pPr>
        <w:spacing w:line="518" w:lineRule="exact"/>
        <w:ind w:firstLine="470" w:firstLineChars="196"/>
        <w:rPr>
          <w:rFonts w:ascii="宋体" w:hAnsi="宋体" w:cs="宋体"/>
          <w:sz w:val="24"/>
          <w:highlight w:val="none"/>
        </w:rPr>
      </w:pPr>
      <w:bookmarkStart w:id="18" w:name="_Toc161683928"/>
      <w:r>
        <w:rPr>
          <w:rFonts w:hint="eastAsia" w:ascii="宋体" w:hAnsi="宋体" w:cs="宋体"/>
          <w:sz w:val="24"/>
          <w:highlight w:val="none"/>
        </w:rPr>
        <w:t>七、签订合同</w:t>
      </w:r>
      <w:bookmarkEnd w:id="18"/>
    </w:p>
    <w:p w14:paraId="21503DB9">
      <w:pPr>
        <w:spacing w:line="518" w:lineRule="exact"/>
        <w:ind w:firstLine="470" w:firstLineChars="196"/>
        <w:rPr>
          <w:rFonts w:ascii="宋体" w:hAnsi="宋体" w:cs="宋体"/>
          <w:sz w:val="24"/>
          <w:highlight w:val="none"/>
        </w:rPr>
      </w:pPr>
      <w:r>
        <w:rPr>
          <w:rFonts w:hint="eastAsia" w:ascii="宋体" w:hAnsi="宋体" w:cs="宋体"/>
          <w:sz w:val="24"/>
          <w:highlight w:val="none"/>
        </w:rPr>
        <w:t>1.中标合同原则以第六章合同（范本）为基础，并根据响应、答疑情况进行修改补充，自签订之日起生效。</w:t>
      </w:r>
    </w:p>
    <w:p w14:paraId="4E547782">
      <w:pPr>
        <w:spacing w:line="518" w:lineRule="exact"/>
        <w:ind w:firstLine="470" w:firstLineChars="196"/>
        <w:rPr>
          <w:rFonts w:ascii="宋体" w:hAnsi="宋体" w:cs="宋体"/>
          <w:sz w:val="24"/>
          <w:highlight w:val="none"/>
        </w:rPr>
      </w:pPr>
      <w:r>
        <w:rPr>
          <w:rFonts w:hint="eastAsia" w:ascii="宋体" w:hAnsi="宋体" w:cs="宋体"/>
          <w:sz w:val="24"/>
          <w:highlight w:val="none"/>
        </w:rPr>
        <w:t>2.中标人在规定的期限内无正当理由拒绝签订合同，招标人可以按照评审报告推荐的中标候选人名单排序，确定下一候选人为中标人，也可以重新开展招标活动。</w:t>
      </w:r>
    </w:p>
    <w:p w14:paraId="1E81F1E6">
      <w:pPr>
        <w:spacing w:line="518" w:lineRule="exact"/>
        <w:ind w:firstLine="470" w:firstLineChars="196"/>
        <w:rPr>
          <w:rFonts w:ascii="宋体" w:hAnsi="宋体" w:cs="宋体"/>
          <w:sz w:val="24"/>
          <w:highlight w:val="none"/>
        </w:rPr>
        <w:sectPr>
          <w:footerReference r:id="rId8" w:type="default"/>
          <w:pgSz w:w="11906" w:h="16838"/>
          <w:pgMar w:top="1701" w:right="1588" w:bottom="1134" w:left="1588" w:header="851" w:footer="992" w:gutter="0"/>
          <w:cols w:space="720" w:num="1"/>
          <w:docGrid w:type="lines" w:linePitch="312" w:charSpace="0"/>
        </w:sectPr>
      </w:pPr>
      <w:r>
        <w:rPr>
          <w:rFonts w:hint="eastAsia" w:ascii="宋体" w:hAnsi="宋体" w:cs="宋体"/>
          <w:sz w:val="24"/>
          <w:highlight w:val="none"/>
        </w:rPr>
        <w:t>3.中标合同，按照监督部门的要求，通过威海市国有企业阳光采购电子化服务平台进行签订。</w:t>
      </w:r>
    </w:p>
    <w:p w14:paraId="22D09493">
      <w:pPr>
        <w:pStyle w:val="2"/>
        <w:rPr>
          <w:highlight w:val="none"/>
        </w:rPr>
      </w:pPr>
      <w:bookmarkStart w:id="19" w:name="_Toc66864051"/>
      <w:bookmarkStart w:id="20" w:name="_Toc1085"/>
      <w:bookmarkStart w:id="21" w:name="_Toc173771555"/>
      <w:r>
        <w:rPr>
          <w:rFonts w:hint="eastAsia"/>
          <w:highlight w:val="none"/>
        </w:rPr>
        <w:t>第四章  采购</w:t>
      </w:r>
      <w:bookmarkEnd w:id="19"/>
      <w:r>
        <w:rPr>
          <w:rFonts w:hint="eastAsia"/>
          <w:highlight w:val="none"/>
        </w:rPr>
        <w:t>项目说明</w:t>
      </w:r>
      <w:bookmarkEnd w:id="20"/>
      <w:bookmarkEnd w:id="21"/>
    </w:p>
    <w:p w14:paraId="66459D6A">
      <w:pPr>
        <w:spacing w:line="518" w:lineRule="exact"/>
        <w:ind w:firstLine="472" w:firstLineChars="196"/>
        <w:rPr>
          <w:rFonts w:ascii="宋体" w:hAnsi="宋体" w:cs="宋体"/>
          <w:sz w:val="24"/>
          <w:highlight w:val="none"/>
        </w:rPr>
      </w:pPr>
      <w:bookmarkStart w:id="22" w:name="_Toc130891922"/>
      <w:bookmarkStart w:id="23" w:name="_Hlk132285667"/>
      <w:bookmarkStart w:id="24" w:name="_Toc130653705"/>
      <w:bookmarkStart w:id="25" w:name="_Toc173771556"/>
      <w:bookmarkStart w:id="26" w:name="_Toc130802008"/>
      <w:bookmarkStart w:id="27" w:name="_Toc130804171"/>
      <w:bookmarkStart w:id="28" w:name="_Toc139980613"/>
      <w:r>
        <w:rPr>
          <w:rFonts w:hint="eastAsia" w:ascii="宋体" w:hAnsi="宋体" w:cs="宋体"/>
          <w:b/>
          <w:bCs/>
          <w:sz w:val="24"/>
          <w:highlight w:val="none"/>
        </w:rPr>
        <w:t>一、项目名称：</w:t>
      </w:r>
      <w:bookmarkEnd w:id="22"/>
      <w:bookmarkEnd w:id="23"/>
      <w:bookmarkEnd w:id="24"/>
      <w:bookmarkEnd w:id="25"/>
      <w:bookmarkEnd w:id="26"/>
      <w:bookmarkEnd w:id="27"/>
      <w:bookmarkEnd w:id="28"/>
      <w:r>
        <w:rPr>
          <w:rFonts w:hint="eastAsia" w:ascii="宋体" w:hAnsi="宋体" w:cs="宋体"/>
          <w:sz w:val="24"/>
          <w:highlight w:val="none"/>
        </w:rPr>
        <w:t>选定半月湾景区生鲜食材供应服务单位</w:t>
      </w:r>
    </w:p>
    <w:p w14:paraId="38948F9D">
      <w:pPr>
        <w:spacing w:line="518" w:lineRule="exact"/>
        <w:ind w:firstLine="472" w:firstLineChars="196"/>
        <w:rPr>
          <w:rFonts w:ascii="宋体" w:hAnsi="宋体" w:cs="宋体"/>
          <w:sz w:val="24"/>
          <w:highlight w:val="none"/>
        </w:rPr>
      </w:pPr>
      <w:r>
        <w:rPr>
          <w:rFonts w:hint="eastAsia" w:ascii="宋体" w:hAnsi="宋体" w:cs="宋体"/>
          <w:b/>
          <w:bCs/>
          <w:sz w:val="24"/>
          <w:highlight w:val="none"/>
        </w:rPr>
        <w:t>二、项目概况：</w:t>
      </w:r>
      <w:r>
        <w:rPr>
          <w:rFonts w:hint="eastAsia" w:ascii="宋体" w:hAnsi="宋体" w:cs="宋体"/>
          <w:sz w:val="24"/>
          <w:highlight w:val="none"/>
        </w:rPr>
        <w:t>为采购单位提供半月湾景区生鲜食材供货服务，根据景区日常经营、节假日大客流、临时运营保障需求，供应新鲜蔬菜、时令水果、冷藏甜品、寿司生食水产等各类生鲜食品以及酒水冷饮，提供食材分拣、分类包装、全程冷链配送、质量退换、应急保供、售后处置一体化供货服务。</w:t>
      </w:r>
    </w:p>
    <w:p w14:paraId="7B93D109">
      <w:pPr>
        <w:spacing w:line="518" w:lineRule="exact"/>
        <w:ind w:firstLine="472" w:firstLineChars="196"/>
        <w:rPr>
          <w:rFonts w:ascii="宋体" w:hAnsi="宋体" w:cs="宋体"/>
          <w:b/>
          <w:bCs/>
          <w:sz w:val="24"/>
          <w:highlight w:val="none"/>
        </w:rPr>
      </w:pPr>
      <w:r>
        <w:rPr>
          <w:rFonts w:hint="eastAsia" w:ascii="宋体" w:hAnsi="宋体" w:cs="宋体"/>
          <w:b/>
          <w:bCs/>
          <w:sz w:val="24"/>
          <w:highlight w:val="none"/>
        </w:rPr>
        <w:t>二、主要供货范围（包含全部品类，不限于以下）</w:t>
      </w:r>
    </w:p>
    <w:p w14:paraId="0385ED56">
      <w:pPr>
        <w:spacing w:line="518" w:lineRule="exact"/>
        <w:ind w:firstLine="470" w:firstLineChars="196"/>
        <w:rPr>
          <w:rFonts w:ascii="宋体" w:hAnsi="宋体" w:cs="宋体"/>
          <w:sz w:val="24"/>
          <w:highlight w:val="none"/>
        </w:rPr>
      </w:pPr>
      <w:r>
        <w:rPr>
          <w:rFonts w:hint="eastAsia" w:ascii="宋体" w:hAnsi="宋体" w:cs="宋体"/>
          <w:sz w:val="24"/>
          <w:highlight w:val="none"/>
        </w:rPr>
        <w:t>1.新鲜果蔬类：时令蔬菜、精品水果、瓜类鲜果等；</w:t>
      </w:r>
    </w:p>
    <w:p w14:paraId="7256C47C">
      <w:pPr>
        <w:spacing w:line="518" w:lineRule="exact"/>
        <w:ind w:firstLine="470" w:firstLineChars="196"/>
        <w:rPr>
          <w:rFonts w:ascii="宋体" w:hAnsi="宋体" w:cs="宋体"/>
          <w:sz w:val="24"/>
          <w:highlight w:val="none"/>
        </w:rPr>
      </w:pPr>
      <w:r>
        <w:rPr>
          <w:rFonts w:hint="eastAsia" w:ascii="宋体" w:hAnsi="宋体" w:cs="宋体"/>
          <w:sz w:val="24"/>
          <w:highlight w:val="none"/>
        </w:rPr>
        <w:t>2.冷藏甜品、寿司类：奶油蛋糕、慕斯、烘焙甜品、冷藏即食点心、成品寿司等短保食品；</w:t>
      </w:r>
    </w:p>
    <w:p w14:paraId="717CDFE0">
      <w:pPr>
        <w:spacing w:line="518" w:lineRule="exact"/>
        <w:ind w:firstLine="470" w:firstLineChars="196"/>
        <w:rPr>
          <w:rFonts w:ascii="宋体" w:hAnsi="宋体" w:cs="宋体"/>
          <w:sz w:val="24"/>
          <w:highlight w:val="none"/>
        </w:rPr>
      </w:pPr>
      <w:r>
        <w:rPr>
          <w:rFonts w:hint="eastAsia" w:ascii="宋体" w:hAnsi="宋体" w:cs="宋体"/>
          <w:sz w:val="24"/>
          <w:highlight w:val="none"/>
        </w:rPr>
        <w:t>3.各类冷藏冷冻半成品、配套调理食材以及辅料；</w:t>
      </w:r>
    </w:p>
    <w:p w14:paraId="22B6AAA9">
      <w:pPr>
        <w:spacing w:line="518" w:lineRule="exact"/>
        <w:ind w:firstLine="470" w:firstLineChars="196"/>
        <w:rPr>
          <w:rFonts w:ascii="宋体" w:hAnsi="宋体" w:cs="宋体"/>
          <w:sz w:val="24"/>
          <w:highlight w:val="none"/>
        </w:rPr>
      </w:pPr>
      <w:r>
        <w:rPr>
          <w:rFonts w:hint="eastAsia" w:ascii="宋体" w:hAnsi="宋体" w:cs="宋体"/>
          <w:sz w:val="24"/>
          <w:highlight w:val="none"/>
        </w:rPr>
        <w:t>4.鲜活鱼虾、贝类、蟹类、冰鲜海产等；</w:t>
      </w:r>
    </w:p>
    <w:p w14:paraId="6D25349A">
      <w:pPr>
        <w:spacing w:line="518" w:lineRule="exact"/>
        <w:ind w:firstLine="470" w:firstLineChars="196"/>
        <w:rPr>
          <w:rFonts w:ascii="宋体" w:hAnsi="宋体" w:cs="宋体"/>
          <w:sz w:val="24"/>
          <w:highlight w:val="none"/>
        </w:rPr>
      </w:pPr>
      <w:r>
        <w:rPr>
          <w:rFonts w:hint="eastAsia" w:ascii="宋体" w:hAnsi="宋体" w:cs="宋体"/>
          <w:sz w:val="24"/>
          <w:highlight w:val="none"/>
        </w:rPr>
        <w:t>5.酒水品类：涵盖瓶装/罐装啤酒、低度果酒、网红微醺酒水、常规碳酸酒水、饮用白酒、红酒、黄酒等全系民用酒水。</w:t>
      </w:r>
    </w:p>
    <w:p w14:paraId="3E3186E9">
      <w:pPr>
        <w:spacing w:line="518" w:lineRule="exact"/>
        <w:ind w:firstLine="470" w:firstLineChars="196"/>
        <w:rPr>
          <w:rFonts w:hint="eastAsia" w:ascii="宋体" w:hAnsi="宋体" w:cs="宋体"/>
          <w:sz w:val="24"/>
          <w:highlight w:val="none"/>
        </w:rPr>
      </w:pPr>
      <w:r>
        <w:rPr>
          <w:rFonts w:hint="eastAsia" w:ascii="宋体" w:hAnsi="宋体" w:cs="宋体"/>
          <w:sz w:val="24"/>
          <w:highlight w:val="none"/>
        </w:rPr>
        <w:t>6.冷饮品类：包含各类品牌冰淇淋、雪糕、冰棒、冷冻甜品、冰镇饮料、瓶装汽水、果汁冷饮、功能性冰镇饮品等。</w:t>
      </w:r>
    </w:p>
    <w:p w14:paraId="41C772FD">
      <w:pPr>
        <w:spacing w:line="518" w:lineRule="exact"/>
        <w:ind w:firstLine="472" w:firstLineChars="196"/>
        <w:rPr>
          <w:rFonts w:ascii="宋体" w:hAnsi="宋体" w:cs="宋体"/>
          <w:b/>
          <w:bCs/>
          <w:sz w:val="24"/>
          <w:highlight w:val="none"/>
        </w:rPr>
      </w:pPr>
      <w:r>
        <w:rPr>
          <w:rFonts w:hint="eastAsia" w:ascii="宋体" w:hAnsi="宋体" w:cs="宋体"/>
          <w:b/>
          <w:bCs/>
          <w:sz w:val="24"/>
          <w:highlight w:val="none"/>
        </w:rPr>
        <w:t>三、服务要求</w:t>
      </w:r>
    </w:p>
    <w:p w14:paraId="50E90556">
      <w:pPr>
        <w:spacing w:line="518" w:lineRule="exact"/>
        <w:ind w:firstLine="470" w:firstLineChars="196"/>
        <w:rPr>
          <w:rFonts w:ascii="宋体" w:hAnsi="宋体" w:cs="宋体"/>
          <w:sz w:val="24"/>
          <w:highlight w:val="none"/>
        </w:rPr>
      </w:pPr>
      <w:r>
        <w:rPr>
          <w:rFonts w:hint="eastAsia" w:ascii="宋体" w:hAnsi="宋体" w:cs="宋体"/>
          <w:sz w:val="24"/>
          <w:highlight w:val="none"/>
        </w:rPr>
        <w:t>1.服务单位要按时配送、不合格食材当场免费更换、节假日应急补货、建立每日供货台账、现场装卸清理、质量问题售后处理。</w:t>
      </w:r>
    </w:p>
    <w:p w14:paraId="6501C935">
      <w:pPr>
        <w:spacing w:line="518" w:lineRule="exact"/>
        <w:ind w:firstLine="470" w:firstLineChars="196"/>
        <w:rPr>
          <w:rFonts w:ascii="宋体" w:hAnsi="宋体" w:cs="宋体"/>
          <w:sz w:val="24"/>
          <w:highlight w:val="none"/>
        </w:rPr>
      </w:pPr>
      <w:r>
        <w:rPr>
          <w:rFonts w:hint="eastAsia" w:ascii="宋体" w:hAnsi="宋体" w:cs="宋体"/>
          <w:sz w:val="24"/>
          <w:highlight w:val="none"/>
        </w:rPr>
        <w:t>2.拥有稳定上游货源，投标提交合作供应商清单；配置专职项目对接人、固定配送及品控全职人员至少1名，优先保障本项目供货。</w:t>
      </w:r>
    </w:p>
    <w:p w14:paraId="25CD02DB">
      <w:pPr>
        <w:spacing w:line="518" w:lineRule="exact"/>
        <w:ind w:firstLine="470" w:firstLineChars="196"/>
        <w:rPr>
          <w:rFonts w:ascii="宋体" w:hAnsi="宋体" w:cs="宋体"/>
          <w:sz w:val="24"/>
          <w:highlight w:val="none"/>
        </w:rPr>
      </w:pPr>
      <w:r>
        <w:rPr>
          <w:rFonts w:hint="eastAsia" w:ascii="宋体" w:hAnsi="宋体" w:cs="宋体"/>
          <w:sz w:val="24"/>
          <w:highlight w:val="none"/>
        </w:rPr>
        <w:t>3.严格执行冷链分区配送，生食、甜品、果蔬、常规海鲜分开包装装车，杜绝交叉污染，食材新鲜度、温度、保质期达标。</w:t>
      </w:r>
    </w:p>
    <w:p w14:paraId="5C41C336">
      <w:pPr>
        <w:spacing w:line="518" w:lineRule="exact"/>
        <w:ind w:firstLine="470" w:firstLineChars="196"/>
        <w:rPr>
          <w:rFonts w:ascii="宋体" w:hAnsi="宋体" w:cs="宋体"/>
          <w:sz w:val="24"/>
          <w:highlight w:val="none"/>
        </w:rPr>
      </w:pPr>
      <w:r>
        <w:rPr>
          <w:rFonts w:hint="eastAsia" w:ascii="宋体" w:hAnsi="宋体" w:cs="宋体"/>
          <w:sz w:val="24"/>
          <w:highlight w:val="none"/>
        </w:rPr>
        <w:t>4.建立完整供货保障机制，具备断货应急处置、食材留样、投诉处理制度，2小时内响应采购单位需求。</w:t>
      </w:r>
    </w:p>
    <w:p w14:paraId="5237D0F6">
      <w:pPr>
        <w:spacing w:line="518" w:lineRule="exact"/>
        <w:ind w:firstLine="470" w:firstLineChars="196"/>
        <w:rPr>
          <w:rFonts w:ascii="宋体" w:hAnsi="宋体" w:cs="宋体"/>
          <w:sz w:val="24"/>
          <w:highlight w:val="none"/>
        </w:rPr>
      </w:pPr>
      <w:r>
        <w:rPr>
          <w:rFonts w:hint="eastAsia" w:ascii="宋体" w:hAnsi="宋体" w:cs="宋体"/>
          <w:sz w:val="24"/>
          <w:highlight w:val="none"/>
        </w:rPr>
        <w:t>5.采购单位可根据景区客流变化、商业点位运营调整、节假日活动安排，动态调整每日供货品类、供货数量、供货时间。服务单位须无条件配合，不得推诿、拖延、擅自涨价。</w:t>
      </w:r>
    </w:p>
    <w:p w14:paraId="59D9B543">
      <w:pPr>
        <w:spacing w:line="518" w:lineRule="exact"/>
        <w:ind w:firstLine="470" w:firstLineChars="196"/>
        <w:rPr>
          <w:rFonts w:ascii="宋体" w:hAnsi="宋体" w:cs="宋体"/>
          <w:sz w:val="24"/>
          <w:highlight w:val="none"/>
        </w:rPr>
      </w:pPr>
      <w:r>
        <w:rPr>
          <w:rFonts w:hint="eastAsia" w:ascii="宋体" w:hAnsi="宋体" w:cs="宋体"/>
          <w:sz w:val="24"/>
          <w:highlight w:val="none"/>
        </w:rPr>
        <w:t>6.采购单位拥有食材到货查验、不定期抽样送检、履约考核及最终验收权限。对变质、过期、规格不符的食材，采购单位有权当场拒收；服务单位须在约定时限内无偿补货、更换，直至验收合格，所有食材配送到位前均需经采购单位现场人员核验确认。</w:t>
      </w:r>
    </w:p>
    <w:p w14:paraId="7CE79AE9">
      <w:pPr>
        <w:spacing w:line="518" w:lineRule="exact"/>
        <w:ind w:firstLine="470" w:firstLineChars="196"/>
        <w:rPr>
          <w:rFonts w:ascii="宋体" w:hAnsi="宋体" w:cs="宋体"/>
          <w:sz w:val="24"/>
          <w:highlight w:val="none"/>
        </w:rPr>
      </w:pPr>
      <w:r>
        <w:rPr>
          <w:rFonts w:hint="eastAsia" w:ascii="宋体" w:hAnsi="宋体" w:cs="宋体"/>
          <w:sz w:val="24"/>
          <w:highlight w:val="none"/>
        </w:rPr>
        <w:t>7.规范装卸，及时清理包装垃圾，保持景区各供应点位环境整洁；供货周期内同步做好售后质保服务，因食材源头、冷链运输产生的食品安全问题、游客投诉、市场监管处罚，全部由服务单位承担责任。</w:t>
      </w:r>
    </w:p>
    <w:p w14:paraId="4F94DEE1">
      <w:pPr>
        <w:spacing w:line="518" w:lineRule="exact"/>
        <w:ind w:firstLine="470" w:firstLineChars="196"/>
        <w:rPr>
          <w:rFonts w:ascii="宋体" w:hAnsi="宋体" w:cs="宋体"/>
          <w:sz w:val="24"/>
          <w:highlight w:val="none"/>
        </w:rPr>
      </w:pPr>
      <w:r>
        <w:rPr>
          <w:rFonts w:hint="eastAsia" w:ascii="宋体" w:hAnsi="宋体" w:cs="宋体"/>
          <w:sz w:val="24"/>
          <w:highlight w:val="none"/>
        </w:rPr>
        <w:t>8.采购单位将按季度开展履约考核，考核不合格将按合同约定进行扣款、限制供货，情节严重直接终止供货合同。</w:t>
      </w:r>
    </w:p>
    <w:p w14:paraId="780676ED">
      <w:pPr>
        <w:spacing w:line="518" w:lineRule="exact"/>
        <w:ind w:firstLine="472" w:firstLineChars="196"/>
        <w:rPr>
          <w:rFonts w:ascii="宋体" w:hAnsi="宋体" w:cs="宋体"/>
          <w:b/>
          <w:bCs/>
          <w:sz w:val="24"/>
          <w:highlight w:val="none"/>
        </w:rPr>
      </w:pPr>
      <w:r>
        <w:rPr>
          <w:rFonts w:hint="eastAsia" w:ascii="宋体" w:hAnsi="宋体" w:cs="宋体"/>
          <w:b/>
          <w:bCs/>
          <w:sz w:val="24"/>
          <w:highlight w:val="none"/>
        </w:rPr>
        <w:t>四、</w:t>
      </w:r>
      <w:r>
        <w:rPr>
          <w:rFonts w:ascii="宋体" w:hAnsi="宋体" w:cs="宋体"/>
          <w:b/>
          <w:bCs/>
          <w:sz w:val="24"/>
          <w:highlight w:val="none"/>
        </w:rPr>
        <w:t>服务期限</w:t>
      </w:r>
    </w:p>
    <w:p w14:paraId="29051E6F">
      <w:pPr>
        <w:spacing w:line="518" w:lineRule="exact"/>
        <w:ind w:firstLine="470" w:firstLineChars="196"/>
        <w:rPr>
          <w:rFonts w:ascii="宋体" w:hAnsi="宋体" w:cs="宋体"/>
          <w:sz w:val="24"/>
          <w:highlight w:val="none"/>
        </w:rPr>
      </w:pPr>
      <w:r>
        <w:rPr>
          <w:rFonts w:ascii="宋体" w:hAnsi="宋体" w:cs="宋体"/>
          <w:sz w:val="24"/>
          <w:highlight w:val="none"/>
        </w:rPr>
        <w:t>自合同签订之日起一年。服务期满后采购单位根据全年履约考核、食品安全记录、供货服务质量综合评定，决定是否续签供货合同。</w:t>
      </w:r>
    </w:p>
    <w:p w14:paraId="54739436">
      <w:pPr>
        <w:spacing w:line="518" w:lineRule="exact"/>
        <w:ind w:firstLine="472" w:firstLineChars="196"/>
        <w:rPr>
          <w:rFonts w:ascii="宋体" w:hAnsi="宋体" w:cs="宋体"/>
          <w:b/>
          <w:bCs/>
          <w:sz w:val="24"/>
          <w:highlight w:val="none"/>
        </w:rPr>
      </w:pPr>
      <w:r>
        <w:rPr>
          <w:rFonts w:hint="eastAsia" w:ascii="宋体" w:hAnsi="宋体" w:cs="宋体"/>
          <w:b/>
          <w:bCs/>
          <w:sz w:val="24"/>
          <w:highlight w:val="none"/>
        </w:rPr>
        <w:t>五、计费及付款方式</w:t>
      </w:r>
    </w:p>
    <w:p w14:paraId="207619E2">
      <w:pPr>
        <w:spacing w:line="518" w:lineRule="exact"/>
        <w:ind w:firstLine="470" w:firstLineChars="196"/>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.计费方式：据实结算。采购单位根据实际需求据实采购，不承诺固定采购总量。</w:t>
      </w:r>
    </w:p>
    <w:p w14:paraId="0092F05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lang w:val="en-US" w:eastAsia="zh-CN"/>
        </w:rPr>
        <w:t>2</w:t>
      </w:r>
      <w:r>
        <w:rPr>
          <w:rFonts w:ascii="宋体" w:hAnsi="宋体" w:cs="宋体"/>
          <w:sz w:val="24"/>
          <w:szCs w:val="24"/>
          <w:highlight w:val="none"/>
        </w:rPr>
        <w:t>、本项目合同价款：</w:t>
      </w:r>
      <w:r>
        <w:rPr>
          <w:rFonts w:hint="eastAsia" w:ascii="宋体" w:hAnsi="宋体" w:cs="宋体"/>
          <w:sz w:val="24"/>
          <w:szCs w:val="24"/>
          <w:highlight w:val="none"/>
        </w:rPr>
        <w:t>根据《威海市部分居民生活消费品（超市）零售平均价格》每周市场行情价格的</w:t>
      </w:r>
      <w:r>
        <w:rPr>
          <w:rFonts w:hint="eastAsia" w:ascii="宋体" w:hAnsi="宋体" w:cs="宋体"/>
          <w:sz w:val="24"/>
          <w:highlight w:val="none"/>
        </w:rPr>
        <w:t>90%≥折扣≥0%</w:t>
      </w:r>
      <w:r>
        <w:rPr>
          <w:rFonts w:hint="eastAsia" w:ascii="宋体" w:hAnsi="宋体" w:cs="宋体"/>
          <w:sz w:val="24"/>
          <w:szCs w:val="24"/>
          <w:highlight w:val="none"/>
          <w:u w:val="none"/>
          <w:lang w:val="en-US" w:eastAsia="zh-CN"/>
        </w:rPr>
        <w:t>填报</w:t>
      </w:r>
      <w:r>
        <w:rPr>
          <w:rFonts w:hint="eastAsia" w:ascii="宋体" w:hAnsi="宋体" w:cs="宋体"/>
          <w:sz w:val="24"/>
          <w:szCs w:val="24"/>
          <w:highlight w:val="none"/>
        </w:rPr>
        <w:t>；</w:t>
      </w:r>
      <w:r>
        <w:rPr>
          <w:rFonts w:ascii="宋体" w:hAnsi="宋体" w:cs="宋体"/>
          <w:sz w:val="24"/>
          <w:szCs w:val="24"/>
          <w:highlight w:val="none"/>
        </w:rPr>
        <w:t>包括完成该项目的一切费用总和，</w:t>
      </w:r>
      <w:r>
        <w:rPr>
          <w:rFonts w:hint="eastAsia" w:ascii="宋体" w:hAnsi="宋体" w:cs="宋体"/>
          <w:sz w:val="24"/>
          <w:szCs w:val="24"/>
          <w:highlight w:val="none"/>
        </w:rPr>
        <w:t>包含食材采购、全程冷链运输、人工装卸、售后退换、应急补货、管理、税费等全部费用</w:t>
      </w:r>
      <w:r>
        <w:rPr>
          <w:rFonts w:ascii="宋体" w:hAnsi="宋体" w:cs="宋体"/>
          <w:sz w:val="24"/>
          <w:szCs w:val="24"/>
          <w:highlight w:val="none"/>
        </w:rPr>
        <w:t>。</w:t>
      </w:r>
    </w:p>
    <w:p w14:paraId="6655B6BE">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威海市发展和改革委员会官方网站《威海市部分居民生活消费品（超市）零售平均价格》，如当日没有市场行情价格，按距离当日之前最近日期的市场行情价格进行确认，</w:t>
      </w:r>
      <w:r>
        <w:rPr>
          <w:rFonts w:ascii="宋体" w:hAnsi="宋体" w:cs="宋体"/>
          <w:sz w:val="24"/>
          <w:szCs w:val="24"/>
          <w:highlight w:val="none"/>
        </w:rPr>
        <w:t>若威海市发改委没有发布零售价格的</w:t>
      </w:r>
      <w:r>
        <w:rPr>
          <w:rFonts w:hint="eastAsia" w:ascii="宋体" w:hAnsi="宋体" w:cs="宋体"/>
          <w:sz w:val="24"/>
          <w:szCs w:val="24"/>
          <w:highlight w:val="none"/>
        </w:rPr>
        <w:t>，不超过当地大型超市同档次、同质量商品销售价基础上，由招标人和中标单位根据食材的质量和新鲜程度协商确定价格</w:t>
      </w:r>
      <w:r>
        <w:rPr>
          <w:rFonts w:hint="eastAsia" w:ascii="宋体" w:hAnsi="宋体" w:cs="宋体"/>
          <w:sz w:val="24"/>
          <w:szCs w:val="24"/>
          <w:highlight w:val="none"/>
          <w:lang w:val="en-US" w:eastAsia="zh-CN"/>
        </w:rPr>
        <w:t>，付款前招标人有权委托第三方审计单位对供货单据、单价、总价进行审计，最终按照审计确认金额结算</w:t>
      </w:r>
      <w:r>
        <w:rPr>
          <w:rFonts w:hint="eastAsia" w:ascii="宋体" w:hAnsi="宋体" w:cs="宋体"/>
          <w:sz w:val="24"/>
          <w:szCs w:val="24"/>
          <w:highlight w:val="none"/>
        </w:rPr>
        <w:t>。</w:t>
      </w:r>
    </w:p>
    <w:p w14:paraId="463CFBB3">
      <w:pPr>
        <w:spacing w:line="518" w:lineRule="exact"/>
        <w:ind w:firstLine="470" w:firstLineChars="196"/>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付款方式：按季度统一结算。每季度供货全部完成，采购单位完成季度供货验收、台账核对无误后，服务单位开具合法足额增值税专用发票并完整提交全套付款材料，采购单位审核通过后支付当季度结算款项；若当季度食材验收不合格、存在食品安全问题、服务单位未提供合规发票及完整付款资料，采购单位有权顺延付款且不承担违约责任。</w:t>
      </w:r>
    </w:p>
    <w:p w14:paraId="1037FDBD">
      <w:pPr>
        <w:pStyle w:val="5"/>
        <w:rPr>
          <w:highlight w:val="none"/>
        </w:rPr>
        <w:sectPr>
          <w:pgSz w:w="11906" w:h="16838"/>
          <w:pgMar w:top="1701" w:right="1588" w:bottom="1134" w:left="1588" w:header="851" w:footer="992" w:gutter="0"/>
          <w:cols w:space="720" w:num="1"/>
          <w:docGrid w:type="lines" w:linePitch="312" w:charSpace="0"/>
        </w:sectPr>
      </w:pPr>
    </w:p>
    <w:bookmarkEnd w:id="11"/>
    <w:p w14:paraId="42440D4D">
      <w:pPr>
        <w:pStyle w:val="4"/>
        <w:spacing w:line="460" w:lineRule="exact"/>
        <w:rPr>
          <w:rFonts w:ascii="宋体" w:hAnsi="宋体" w:eastAsia="宋体"/>
          <w:highlight w:val="none"/>
        </w:rPr>
      </w:pPr>
    </w:p>
    <w:p w14:paraId="461DE630">
      <w:pPr>
        <w:pStyle w:val="4"/>
        <w:spacing w:line="460" w:lineRule="exact"/>
        <w:rPr>
          <w:rFonts w:ascii="宋体" w:hAnsi="宋体" w:eastAsia="宋体"/>
          <w:highlight w:val="none"/>
        </w:rPr>
      </w:pPr>
    </w:p>
    <w:p w14:paraId="3919B189">
      <w:pPr>
        <w:spacing w:before="240" w:after="60"/>
        <w:jc w:val="center"/>
        <w:outlineLvl w:val="0"/>
        <w:rPr>
          <w:rFonts w:ascii="宋体" w:hAnsi="宋体"/>
          <w:b/>
          <w:bCs/>
          <w:kern w:val="44"/>
          <w:sz w:val="36"/>
          <w:szCs w:val="44"/>
          <w:highlight w:val="none"/>
        </w:rPr>
      </w:pPr>
      <w:bookmarkStart w:id="29" w:name="_Toc16686"/>
      <w:r>
        <w:rPr>
          <w:rFonts w:hint="eastAsia" w:ascii="宋体" w:hAnsi="宋体"/>
          <w:b/>
          <w:bCs/>
          <w:kern w:val="44"/>
          <w:sz w:val="36"/>
          <w:szCs w:val="44"/>
          <w:highlight w:val="none"/>
        </w:rPr>
        <w:t>第五章  投标文件格式</w:t>
      </w:r>
      <w:bookmarkEnd w:id="29"/>
    </w:p>
    <w:p w14:paraId="65E2F173">
      <w:pPr>
        <w:spacing w:before="240" w:after="60"/>
        <w:jc w:val="center"/>
        <w:outlineLvl w:val="0"/>
        <w:rPr>
          <w:rFonts w:ascii="宋体" w:hAnsi="宋体"/>
          <w:b/>
          <w:bCs/>
          <w:kern w:val="44"/>
          <w:sz w:val="36"/>
          <w:szCs w:val="44"/>
          <w:highlight w:val="none"/>
        </w:rPr>
      </w:pPr>
    </w:p>
    <w:p w14:paraId="0DA71361">
      <w:pPr>
        <w:jc w:val="center"/>
        <w:rPr>
          <w:rFonts w:ascii="宋体" w:hAnsi="宋体" w:cs="宋体"/>
          <w:bCs/>
          <w:sz w:val="84"/>
          <w:highlight w:val="none"/>
        </w:rPr>
      </w:pPr>
      <w:r>
        <w:rPr>
          <w:rFonts w:hint="eastAsia" w:ascii="宋体" w:hAnsi="宋体" w:cs="宋体"/>
          <w:bCs/>
          <w:sz w:val="84"/>
          <w:highlight w:val="none"/>
        </w:rPr>
        <w:t>投 标 文 件</w:t>
      </w:r>
    </w:p>
    <w:p w14:paraId="330B4A66">
      <w:pPr>
        <w:jc w:val="center"/>
        <w:rPr>
          <w:rFonts w:ascii="宋体" w:hAnsi="宋体" w:cs="宋体"/>
          <w:sz w:val="72"/>
          <w:highlight w:val="none"/>
        </w:rPr>
      </w:pPr>
      <w:r>
        <w:rPr>
          <w:rFonts w:hint="eastAsia" w:ascii="宋体" w:hAnsi="宋体" w:cs="宋体"/>
          <w:sz w:val="72"/>
          <w:highlight w:val="none"/>
        </w:rPr>
        <w:t>（第一册）</w:t>
      </w:r>
    </w:p>
    <w:p w14:paraId="399ACD2D">
      <w:pPr>
        <w:jc w:val="center"/>
        <w:rPr>
          <w:rFonts w:ascii="宋体" w:hAnsi="宋体" w:cs="宋体"/>
          <w:sz w:val="72"/>
          <w:highlight w:val="none"/>
        </w:rPr>
      </w:pPr>
    </w:p>
    <w:p w14:paraId="6F75DE6C">
      <w:pPr>
        <w:jc w:val="center"/>
        <w:rPr>
          <w:rFonts w:ascii="宋体" w:hAnsi="宋体" w:cs="宋体"/>
          <w:sz w:val="72"/>
          <w:highlight w:val="none"/>
        </w:rPr>
      </w:pPr>
    </w:p>
    <w:p w14:paraId="1A79C853">
      <w:pPr>
        <w:ind w:firstLine="1080" w:firstLineChars="300"/>
        <w:jc w:val="left"/>
        <w:rPr>
          <w:rFonts w:ascii="宋体" w:hAnsi="宋体" w:cs="宋体"/>
          <w:bCs/>
          <w:sz w:val="36"/>
          <w:szCs w:val="36"/>
          <w:highlight w:val="none"/>
        </w:rPr>
      </w:pPr>
      <w:r>
        <w:rPr>
          <w:rFonts w:hint="eastAsia" w:ascii="宋体" w:hAnsi="宋体" w:cs="宋体"/>
          <w:bCs/>
          <w:sz w:val="36"/>
          <w:szCs w:val="36"/>
          <w:highlight w:val="none"/>
        </w:rPr>
        <w:t>项目名称：</w:t>
      </w:r>
    </w:p>
    <w:p w14:paraId="53959601">
      <w:pPr>
        <w:ind w:firstLine="1080" w:firstLineChars="300"/>
        <w:jc w:val="left"/>
        <w:rPr>
          <w:rFonts w:ascii="宋体" w:hAnsi="宋体" w:cs="宋体"/>
          <w:bCs/>
          <w:sz w:val="36"/>
          <w:szCs w:val="36"/>
          <w:highlight w:val="none"/>
        </w:rPr>
      </w:pPr>
      <w:r>
        <w:rPr>
          <w:rFonts w:hint="eastAsia" w:ascii="宋体" w:hAnsi="宋体" w:cs="宋体"/>
          <w:bCs/>
          <w:sz w:val="36"/>
          <w:szCs w:val="36"/>
          <w:highlight w:val="none"/>
        </w:rPr>
        <w:t>项目编号：</w:t>
      </w:r>
    </w:p>
    <w:p w14:paraId="15FD1CCC">
      <w:pPr>
        <w:pStyle w:val="5"/>
        <w:rPr>
          <w:rFonts w:ascii="宋体" w:hAnsi="宋体" w:cs="宋体"/>
          <w:highlight w:val="none"/>
        </w:rPr>
      </w:pPr>
    </w:p>
    <w:p w14:paraId="0B872B53">
      <w:pPr>
        <w:pStyle w:val="6"/>
        <w:ind w:left="5250"/>
        <w:rPr>
          <w:rFonts w:hAnsi="宋体" w:eastAsia="宋体" w:cs="宋体"/>
          <w:highlight w:val="none"/>
        </w:rPr>
      </w:pPr>
    </w:p>
    <w:p w14:paraId="7E5576EC">
      <w:pPr>
        <w:rPr>
          <w:rFonts w:ascii="宋体" w:hAnsi="宋体" w:cs="宋体"/>
          <w:highlight w:val="none"/>
        </w:rPr>
      </w:pPr>
    </w:p>
    <w:p w14:paraId="5143CE09">
      <w:pPr>
        <w:pStyle w:val="5"/>
        <w:rPr>
          <w:rFonts w:ascii="宋体" w:hAnsi="宋体" w:cs="宋体"/>
          <w:highlight w:val="none"/>
        </w:rPr>
      </w:pPr>
    </w:p>
    <w:p w14:paraId="6230DB58">
      <w:pPr>
        <w:jc w:val="left"/>
        <w:rPr>
          <w:rFonts w:ascii="宋体" w:hAnsi="宋体" w:cs="宋体"/>
          <w:sz w:val="36"/>
          <w:highlight w:val="none"/>
        </w:rPr>
      </w:pPr>
    </w:p>
    <w:p w14:paraId="5846B01C">
      <w:pPr>
        <w:tabs>
          <w:tab w:val="left" w:pos="580"/>
        </w:tabs>
        <w:ind w:left="185" w:leftChars="88" w:firstLine="1800" w:firstLineChars="500"/>
        <w:rPr>
          <w:rFonts w:ascii="宋体" w:hAnsi="宋体" w:cs="宋体"/>
          <w:kern w:val="0"/>
          <w:sz w:val="36"/>
          <w:szCs w:val="21"/>
          <w:highlight w:val="none"/>
        </w:rPr>
      </w:pPr>
    </w:p>
    <w:p w14:paraId="7F76E75F">
      <w:pPr>
        <w:tabs>
          <w:tab w:val="left" w:pos="580"/>
        </w:tabs>
        <w:ind w:left="185" w:leftChars="88" w:firstLine="1800" w:firstLineChars="500"/>
        <w:rPr>
          <w:rFonts w:ascii="宋体" w:hAnsi="宋体" w:cs="宋体"/>
          <w:kern w:val="0"/>
          <w:sz w:val="36"/>
          <w:szCs w:val="36"/>
          <w:highlight w:val="none"/>
        </w:rPr>
      </w:pPr>
    </w:p>
    <w:p w14:paraId="4C5855AE">
      <w:pPr>
        <w:tabs>
          <w:tab w:val="left" w:pos="580"/>
        </w:tabs>
        <w:ind w:firstLine="1800" w:firstLineChars="500"/>
        <w:rPr>
          <w:rFonts w:ascii="宋体" w:hAnsi="宋体" w:cs="宋体"/>
          <w:kern w:val="0"/>
          <w:sz w:val="36"/>
          <w:szCs w:val="36"/>
          <w:highlight w:val="none"/>
        </w:rPr>
      </w:pPr>
      <w:r>
        <w:rPr>
          <w:rFonts w:hint="eastAsia" w:ascii="宋体" w:hAnsi="宋体" w:cs="宋体"/>
          <w:kern w:val="0"/>
          <w:sz w:val="36"/>
          <w:szCs w:val="36"/>
          <w:highlight w:val="none"/>
        </w:rPr>
        <w:t xml:space="preserve">投标人： </w:t>
      </w:r>
    </w:p>
    <w:p w14:paraId="2D352A10">
      <w:pPr>
        <w:tabs>
          <w:tab w:val="left" w:pos="580"/>
        </w:tabs>
        <w:ind w:firstLine="1800" w:firstLineChars="500"/>
        <w:rPr>
          <w:rFonts w:ascii="仿宋" w:hAnsi="仿宋" w:eastAsia="仿宋"/>
          <w:kern w:val="0"/>
          <w:sz w:val="36"/>
          <w:szCs w:val="36"/>
          <w:highlight w:val="none"/>
        </w:rPr>
      </w:pPr>
      <w:r>
        <w:rPr>
          <w:rFonts w:hint="eastAsia" w:ascii="宋体" w:hAnsi="宋体" w:cs="宋体"/>
          <w:kern w:val="0"/>
          <w:sz w:val="36"/>
          <w:szCs w:val="36"/>
          <w:highlight w:val="none"/>
        </w:rPr>
        <w:t>日  期：   年  月  日</w:t>
      </w:r>
    </w:p>
    <w:p w14:paraId="33EBDE21">
      <w:pPr>
        <w:spacing w:before="240" w:after="60"/>
        <w:jc w:val="center"/>
        <w:outlineLvl w:val="0"/>
        <w:rPr>
          <w:rFonts w:ascii="宋体" w:hAnsi="宋体"/>
          <w:b/>
          <w:bCs/>
          <w:kern w:val="44"/>
          <w:sz w:val="36"/>
          <w:szCs w:val="44"/>
          <w:highlight w:val="none"/>
        </w:rPr>
        <w:sectPr>
          <w:pgSz w:w="11906" w:h="16838"/>
          <w:pgMar w:top="1701" w:right="1588" w:bottom="1134" w:left="1588" w:header="851" w:footer="992" w:gutter="0"/>
          <w:cols w:space="720" w:num="1"/>
          <w:docGrid w:type="lines" w:linePitch="312" w:charSpace="0"/>
        </w:sectPr>
      </w:pPr>
    </w:p>
    <w:p w14:paraId="6103057C">
      <w:pPr>
        <w:spacing w:line="460" w:lineRule="exact"/>
        <w:jc w:val="center"/>
        <w:outlineLvl w:val="0"/>
        <w:rPr>
          <w:rFonts w:hAnsi="宋体"/>
          <w:b/>
          <w:bCs/>
          <w:sz w:val="30"/>
          <w:szCs w:val="30"/>
          <w:highlight w:val="none"/>
        </w:rPr>
      </w:pPr>
    </w:p>
    <w:p w14:paraId="0B1ECB95">
      <w:pPr>
        <w:spacing w:line="460" w:lineRule="exact"/>
        <w:jc w:val="center"/>
        <w:outlineLvl w:val="0"/>
        <w:rPr>
          <w:rFonts w:ascii="宋体" w:hAnsi="宋体"/>
          <w:b/>
          <w:sz w:val="40"/>
          <w:szCs w:val="40"/>
          <w:highlight w:val="none"/>
        </w:rPr>
      </w:pPr>
      <w:bookmarkStart w:id="30" w:name="_Toc7085"/>
      <w:r>
        <w:rPr>
          <w:rFonts w:hint="eastAsia" w:ascii="宋体" w:hAnsi="宋体"/>
          <w:b/>
          <w:sz w:val="40"/>
          <w:szCs w:val="40"/>
          <w:highlight w:val="none"/>
        </w:rPr>
        <w:t>目  录</w:t>
      </w:r>
      <w:bookmarkEnd w:id="30"/>
    </w:p>
    <w:p w14:paraId="14D86B44">
      <w:pPr>
        <w:jc w:val="center"/>
        <w:rPr>
          <w:rFonts w:ascii="宋体" w:hAnsi="宋体"/>
          <w:b/>
          <w:bCs/>
          <w:sz w:val="30"/>
          <w:szCs w:val="30"/>
          <w:highlight w:val="none"/>
        </w:rPr>
      </w:pPr>
    </w:p>
    <w:p w14:paraId="44B02835">
      <w:pPr>
        <w:jc w:val="center"/>
        <w:rPr>
          <w:rFonts w:ascii="宋体" w:hAnsi="宋体"/>
          <w:b/>
          <w:bCs/>
          <w:sz w:val="30"/>
          <w:szCs w:val="30"/>
          <w:highlight w:val="none"/>
        </w:rPr>
      </w:pPr>
    </w:p>
    <w:p w14:paraId="47D5EBDD">
      <w:pPr>
        <w:jc w:val="center"/>
        <w:rPr>
          <w:rFonts w:ascii="宋体" w:hAnsi="宋体"/>
          <w:b/>
          <w:bCs/>
          <w:sz w:val="30"/>
          <w:szCs w:val="30"/>
          <w:highlight w:val="none"/>
        </w:rPr>
      </w:pPr>
      <w:r>
        <w:rPr>
          <w:rFonts w:hint="eastAsia" w:ascii="宋体" w:hAnsi="宋体"/>
          <w:b/>
          <w:bCs/>
          <w:sz w:val="30"/>
          <w:szCs w:val="30"/>
          <w:highlight w:val="none"/>
        </w:rPr>
        <w:t>（由投标人自行编制）</w:t>
      </w:r>
    </w:p>
    <w:p w14:paraId="0D7453EC">
      <w:pPr>
        <w:widowControl/>
        <w:spacing w:line="480" w:lineRule="exact"/>
        <w:jc w:val="center"/>
        <w:rPr>
          <w:rFonts w:ascii="宋体" w:hAnsi="宋体"/>
          <w:b/>
          <w:bCs/>
          <w:sz w:val="32"/>
          <w:szCs w:val="32"/>
          <w:highlight w:val="none"/>
        </w:rPr>
      </w:pPr>
      <w:r>
        <w:rPr>
          <w:rFonts w:hAnsi="宋体"/>
          <w:b/>
          <w:bCs/>
          <w:sz w:val="30"/>
          <w:szCs w:val="30"/>
          <w:highlight w:val="none"/>
        </w:rPr>
        <w:br w:type="page"/>
      </w:r>
      <w:r>
        <w:rPr>
          <w:rFonts w:hint="eastAsia" w:ascii="宋体" w:hAnsi="宋体"/>
          <w:b/>
          <w:bCs/>
          <w:sz w:val="32"/>
          <w:szCs w:val="32"/>
          <w:highlight w:val="none"/>
        </w:rPr>
        <w:t>投标承诺函</w:t>
      </w:r>
    </w:p>
    <w:p w14:paraId="6D830A37">
      <w:pPr>
        <w:pStyle w:val="9"/>
        <w:spacing w:line="600" w:lineRule="exact"/>
        <w:rPr>
          <w:rFonts w:hAnsi="宋体" w:cs="宋体"/>
          <w:sz w:val="24"/>
          <w:szCs w:val="24"/>
          <w:highlight w:val="none"/>
        </w:rPr>
      </w:pPr>
      <w:r>
        <w:rPr>
          <w:rFonts w:hint="eastAsia" w:hAnsi="宋体" w:cs="宋体"/>
          <w:sz w:val="24"/>
          <w:szCs w:val="24"/>
          <w:highlight w:val="none"/>
        </w:rPr>
        <w:t>山东恒成信工程咨询管理有限公司：</w:t>
      </w:r>
    </w:p>
    <w:p w14:paraId="4682968D">
      <w:pPr>
        <w:pStyle w:val="9"/>
        <w:spacing w:line="480" w:lineRule="exact"/>
        <w:ind w:firstLine="480" w:firstLineChars="200"/>
        <w:rPr>
          <w:rFonts w:hAnsi="宋体" w:cs="宋体"/>
          <w:sz w:val="24"/>
          <w:szCs w:val="24"/>
          <w:highlight w:val="none"/>
        </w:rPr>
      </w:pPr>
      <w:r>
        <w:rPr>
          <w:rFonts w:hint="eastAsia" w:hAnsi="宋体" w:cs="宋体"/>
          <w:sz w:val="24"/>
          <w:szCs w:val="24"/>
          <w:highlight w:val="none"/>
        </w:rPr>
        <w:t>我方根据编号为</w:t>
      </w:r>
      <w:r>
        <w:rPr>
          <w:rFonts w:hint="eastAsia" w:hAnsi="宋体" w:cs="宋体"/>
          <w:sz w:val="24"/>
          <w:szCs w:val="24"/>
          <w:highlight w:val="none"/>
          <w:u w:val="single"/>
          <w:lang w:eastAsia="zh-CN"/>
        </w:rPr>
        <w:t>HSZBFW20260003</w:t>
      </w:r>
      <w:r>
        <w:rPr>
          <w:rFonts w:hint="eastAsia" w:hAnsi="宋体" w:cs="宋体"/>
          <w:sz w:val="24"/>
          <w:szCs w:val="24"/>
          <w:highlight w:val="none"/>
        </w:rPr>
        <w:t>的招标文件的要求，经详细研究决定参加投标。</w:t>
      </w:r>
    </w:p>
    <w:p w14:paraId="2EB3C13C">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1.我方接受本招标文件中关于电子招投标的各项规定，遵守《中华人民共和国电子签名法》关于电子签名的各项规定。我方愿意按照招标文件的规定和要求提供货物及服务，报价详见《开标（报价）一览表》。</w:t>
      </w:r>
    </w:p>
    <w:p w14:paraId="4F79C87A">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2.我方同意90天的投标有效期，严格遵守投标文件的各项承诺。在此期限届满之前，本投标文件始终对我方具有约束力，并随时接受中标。我方承诺在投标有效期内不修改、撤销投标文件。</w:t>
      </w:r>
    </w:p>
    <w:p w14:paraId="3941309B">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3. 我方愿意遵守本招标文件的规定和要求并提供招标文件中要求的所有资料，若投标文件中存在虚假资料的，则视为我方隐瞒真实情况、提供虚假资料，我方愿意接受主管部门做出的行政处罚。</w:t>
      </w:r>
    </w:p>
    <w:p w14:paraId="1F305DEC">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4.我方同意价格是中标的主要选择标准，但不是唯一的选择标准。</w:t>
      </w:r>
    </w:p>
    <w:p w14:paraId="2943F92D">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 xml:space="preserve"> 5.如果我方中标：</w:t>
      </w:r>
    </w:p>
    <w:p w14:paraId="67747B3E">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（1）我方承诺在中标通知书发出后，在规定期限内与招标人签订合同；</w:t>
      </w:r>
    </w:p>
    <w:p w14:paraId="7B848CBB">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（2）我方承诺在合同约定的期限内，按期、保质、保量完成项目任务；</w:t>
      </w:r>
    </w:p>
    <w:p w14:paraId="2090A530">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（3）我方承诺将按照招标文件的规定全额交纳代理服务费。</w:t>
      </w:r>
    </w:p>
    <w:p w14:paraId="3E8564C5">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6. 我方在此声明，所递交的投标文件及有关资料内容完整、真实和准确，如有弄虚作假，一旦中标将取消中标资格。</w:t>
      </w:r>
    </w:p>
    <w:p w14:paraId="32C5AE0E">
      <w:pPr>
        <w:pStyle w:val="9"/>
        <w:spacing w:line="480" w:lineRule="exact"/>
        <w:ind w:firstLine="360" w:firstLineChars="150"/>
        <w:rPr>
          <w:rFonts w:hAnsi="宋体" w:cs="宋体"/>
          <w:sz w:val="24"/>
          <w:szCs w:val="24"/>
          <w:highlight w:val="none"/>
        </w:rPr>
      </w:pPr>
      <w:r>
        <w:rPr>
          <w:rFonts w:hint="eastAsia" w:hAnsi="宋体" w:cs="宋体"/>
          <w:sz w:val="24"/>
          <w:szCs w:val="24"/>
          <w:highlight w:val="none"/>
        </w:rPr>
        <w:t>7.所有有关本投标的函电，请按下列地址联系：</w:t>
      </w:r>
    </w:p>
    <w:p w14:paraId="4F7CFA1B">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单    位：                     邮政编码：</w:t>
      </w:r>
    </w:p>
    <w:p w14:paraId="33EA9E92">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地    址：                     联 系 人：</w:t>
      </w:r>
    </w:p>
    <w:p w14:paraId="16AF1709">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电    话：                     传    真：</w:t>
      </w:r>
    </w:p>
    <w:p w14:paraId="05209C56">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开户名称：</w:t>
      </w:r>
    </w:p>
    <w:p w14:paraId="1DDD71C3">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开户银行：                     开户帐号：</w:t>
      </w:r>
    </w:p>
    <w:p w14:paraId="04275FE7">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 xml:space="preserve">投标人（盖电子公章）： </w:t>
      </w:r>
    </w:p>
    <w:p w14:paraId="2F220D8A">
      <w:pPr>
        <w:pStyle w:val="9"/>
        <w:spacing w:line="480" w:lineRule="exact"/>
        <w:ind w:firstLine="600" w:firstLineChars="250"/>
        <w:rPr>
          <w:rFonts w:hAnsi="宋体" w:cs="宋体"/>
          <w:sz w:val="24"/>
          <w:szCs w:val="24"/>
          <w:highlight w:val="none"/>
        </w:rPr>
      </w:pPr>
      <w:r>
        <w:rPr>
          <w:rFonts w:hint="eastAsia" w:hAnsi="宋体" w:cs="宋体"/>
          <w:sz w:val="24"/>
          <w:szCs w:val="24"/>
          <w:highlight w:val="none"/>
        </w:rPr>
        <w:t>法定代表人或被授权人（</w:t>
      </w:r>
      <w:r>
        <w:rPr>
          <w:rFonts w:hint="eastAsia" w:hAnsi="宋体"/>
          <w:sz w:val="24"/>
          <w:highlight w:val="none"/>
        </w:rPr>
        <w:t>签字或盖章</w:t>
      </w:r>
      <w:r>
        <w:rPr>
          <w:rFonts w:hint="eastAsia" w:hAnsi="宋体" w:cs="宋体"/>
          <w:sz w:val="24"/>
          <w:szCs w:val="24"/>
          <w:highlight w:val="none"/>
        </w:rPr>
        <w:t>）：</w:t>
      </w:r>
    </w:p>
    <w:p w14:paraId="0AF936DD">
      <w:pPr>
        <w:pStyle w:val="9"/>
        <w:spacing w:line="520" w:lineRule="exact"/>
        <w:jc w:val="center"/>
        <w:rPr>
          <w:rFonts w:hint="eastAsia" w:hAnsi="宋体" w:cs="宋体"/>
          <w:sz w:val="24"/>
          <w:szCs w:val="24"/>
          <w:highlight w:val="none"/>
        </w:rPr>
        <w:sectPr>
          <w:headerReference r:id="rId9" w:type="default"/>
          <w:footerReference r:id="rId10" w:type="default"/>
          <w:pgSz w:w="11906" w:h="16838"/>
          <w:pgMar w:top="1418" w:right="1134" w:bottom="1134" w:left="1418" w:header="851" w:footer="992" w:gutter="0"/>
          <w:cols w:space="720" w:num="1"/>
          <w:docGrid w:linePitch="312" w:charSpace="0"/>
        </w:sectPr>
      </w:pPr>
      <w:r>
        <w:rPr>
          <w:rFonts w:hint="eastAsia" w:hAnsi="宋体" w:cs="宋体"/>
          <w:sz w:val="24"/>
          <w:szCs w:val="24"/>
          <w:highlight w:val="none"/>
        </w:rPr>
        <w:t xml:space="preserve">投标日期：    年   月   日 </w:t>
      </w:r>
    </w:p>
    <w:p w14:paraId="1B9FD1AB">
      <w:pPr>
        <w:pStyle w:val="9"/>
        <w:spacing w:line="520" w:lineRule="exact"/>
        <w:jc w:val="center"/>
        <w:rPr>
          <w:rFonts w:hint="eastAsia" w:hAnsi="宋体"/>
          <w:b/>
          <w:sz w:val="36"/>
          <w:szCs w:val="36"/>
          <w:highlight w:val="none"/>
        </w:rPr>
      </w:pPr>
      <w:r>
        <w:rPr>
          <w:rFonts w:hint="eastAsia" w:hAnsi="宋体"/>
          <w:b/>
          <w:sz w:val="36"/>
          <w:szCs w:val="36"/>
          <w:highlight w:val="none"/>
        </w:rPr>
        <w:t>开标一览表</w:t>
      </w:r>
    </w:p>
    <w:p w14:paraId="0F27E8C9">
      <w:pPr>
        <w:pStyle w:val="9"/>
        <w:spacing w:line="480" w:lineRule="exact"/>
        <w:jc w:val="left"/>
        <w:rPr>
          <w:rFonts w:hint="eastAsia" w:hAnsi="宋体"/>
          <w:sz w:val="24"/>
          <w:szCs w:val="24"/>
          <w:highlight w:val="none"/>
        </w:rPr>
      </w:pPr>
      <w:r>
        <w:rPr>
          <w:rFonts w:hint="eastAsia" w:hAnsi="宋体"/>
          <w:sz w:val="24"/>
          <w:szCs w:val="24"/>
          <w:highlight w:val="none"/>
        </w:rPr>
        <w:t xml:space="preserve"> 招标编号：</w:t>
      </w:r>
      <w:r>
        <w:rPr>
          <w:rFonts w:hint="eastAsia" w:hAnsi="宋体" w:cs="宋体"/>
          <w:sz w:val="24"/>
          <w:szCs w:val="24"/>
          <w:highlight w:val="none"/>
        </w:rPr>
        <w:t>HSZBFW20260003</w:t>
      </w:r>
    </w:p>
    <w:p w14:paraId="2F915A99">
      <w:pPr>
        <w:pStyle w:val="9"/>
        <w:spacing w:line="480" w:lineRule="exact"/>
        <w:jc w:val="left"/>
        <w:rPr>
          <w:rFonts w:hint="eastAsia" w:hAnsi="宋体"/>
          <w:sz w:val="24"/>
          <w:szCs w:val="24"/>
          <w:highlight w:val="none"/>
        </w:rPr>
      </w:pPr>
      <w:r>
        <w:rPr>
          <w:rFonts w:hint="eastAsia" w:hAnsi="宋体"/>
          <w:sz w:val="24"/>
          <w:szCs w:val="24"/>
          <w:highlight w:val="none"/>
        </w:rPr>
        <w:t>项目名称：选定半月湾景区生鲜食材供应服务单位</w:t>
      </w:r>
    </w:p>
    <w:tbl>
      <w:tblPr>
        <w:tblStyle w:val="17"/>
        <w:tblW w:w="4943"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9"/>
        <w:gridCol w:w="3286"/>
        <w:gridCol w:w="3286"/>
      </w:tblGrid>
      <w:tr w14:paraId="5D30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50" w:hRule="atLeast"/>
        </w:trPr>
        <w:tc>
          <w:tcPr>
            <w:tcW w:w="1526" w:type="pct"/>
            <w:noWrap w:val="0"/>
            <w:vAlign w:val="center"/>
          </w:tcPr>
          <w:p w14:paraId="752C088F">
            <w:pPr>
              <w:spacing w:line="440" w:lineRule="exact"/>
              <w:jc w:val="center"/>
              <w:rPr>
                <w:rFonts w:hint="default" w:ascii="宋体" w:hAnsi="宋体" w:eastAsia="宋体"/>
                <w:b/>
                <w:sz w:val="24"/>
                <w:highlight w:val="none"/>
                <w:lang w:val="en-US" w:eastAsia="zh-CN"/>
              </w:rPr>
            </w:pPr>
            <w:r>
              <w:rPr>
                <w:rFonts w:hint="eastAsia" w:ascii="宋体" w:hAnsi="宋体"/>
                <w:b/>
                <w:sz w:val="24"/>
                <w:highlight w:val="none"/>
                <w:lang w:val="en-US" w:eastAsia="zh-CN"/>
              </w:rPr>
              <w:t>项目名称</w:t>
            </w:r>
          </w:p>
        </w:tc>
        <w:tc>
          <w:tcPr>
            <w:tcW w:w="1736" w:type="pct"/>
            <w:noWrap w:val="0"/>
            <w:vAlign w:val="center"/>
          </w:tcPr>
          <w:p w14:paraId="1F451BEC">
            <w:pPr>
              <w:spacing w:line="440" w:lineRule="exact"/>
              <w:jc w:val="center"/>
              <w:rPr>
                <w:rFonts w:hint="eastAsia" w:ascii="宋体" w:hAnsi="宋体" w:eastAsia="宋体"/>
                <w:b/>
                <w:sz w:val="24"/>
                <w:highlight w:val="none"/>
                <w:lang w:eastAsia="zh-CN"/>
              </w:rPr>
            </w:pPr>
            <w:r>
              <w:rPr>
                <w:rFonts w:hint="eastAsia" w:ascii="宋体" w:hAnsi="宋体"/>
                <w:b/>
                <w:sz w:val="24"/>
                <w:highlight w:val="none"/>
                <w:lang w:val="en-US" w:eastAsia="zh-CN"/>
              </w:rPr>
              <w:t>报价</w:t>
            </w:r>
          </w:p>
        </w:tc>
        <w:tc>
          <w:tcPr>
            <w:tcW w:w="1736" w:type="pct"/>
            <w:noWrap w:val="0"/>
            <w:vAlign w:val="center"/>
          </w:tcPr>
          <w:p w14:paraId="06AB0001">
            <w:pPr>
              <w:spacing w:line="440" w:lineRule="exact"/>
              <w:jc w:val="center"/>
              <w:rPr>
                <w:rFonts w:hint="default" w:ascii="宋体" w:hAnsi="宋体"/>
                <w:b/>
                <w:sz w:val="24"/>
                <w:highlight w:val="none"/>
                <w:lang w:val="en-US" w:eastAsia="zh-CN"/>
              </w:rPr>
            </w:pPr>
            <w:r>
              <w:rPr>
                <w:rFonts w:hint="eastAsia" w:ascii="宋体" w:hAnsi="宋体"/>
                <w:b/>
                <w:sz w:val="24"/>
                <w:highlight w:val="none"/>
                <w:lang w:val="en-US" w:eastAsia="zh-CN"/>
              </w:rPr>
              <w:t>服务期限</w:t>
            </w:r>
          </w:p>
        </w:tc>
      </w:tr>
      <w:tr w14:paraId="5F74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9" w:hRule="atLeast"/>
        </w:trPr>
        <w:tc>
          <w:tcPr>
            <w:tcW w:w="1526" w:type="pct"/>
            <w:noWrap w:val="0"/>
            <w:vAlign w:val="center"/>
          </w:tcPr>
          <w:p w14:paraId="227B6FAE">
            <w:pPr>
              <w:spacing w:line="440" w:lineRule="exact"/>
              <w:jc w:val="center"/>
              <w:rPr>
                <w:rFonts w:ascii="宋体" w:hAnsi="宋体"/>
                <w:sz w:val="24"/>
                <w:highlight w:val="none"/>
              </w:rPr>
            </w:pPr>
            <w:r>
              <w:rPr>
                <w:rFonts w:hint="eastAsia" w:hAnsi="宋体"/>
                <w:sz w:val="24"/>
                <w:szCs w:val="24"/>
                <w:highlight w:val="none"/>
              </w:rPr>
              <w:t>选定半月湾景区生鲜食材供应服务单位</w:t>
            </w:r>
          </w:p>
        </w:tc>
        <w:tc>
          <w:tcPr>
            <w:tcW w:w="1736" w:type="pct"/>
            <w:noWrap w:val="0"/>
            <w:vAlign w:val="center"/>
          </w:tcPr>
          <w:p w14:paraId="2B15F24D">
            <w:pPr>
              <w:spacing w:line="440" w:lineRule="exact"/>
              <w:rPr>
                <w:rFonts w:hint="eastAsia" w:ascii="宋体" w:hAnsi="宋体"/>
                <w:sz w:val="24"/>
                <w:highlight w:val="none"/>
              </w:rPr>
            </w:pPr>
          </w:p>
        </w:tc>
        <w:tc>
          <w:tcPr>
            <w:tcW w:w="1736" w:type="pct"/>
            <w:noWrap w:val="0"/>
            <w:vAlign w:val="center"/>
          </w:tcPr>
          <w:p w14:paraId="5CEA4A4F">
            <w:pPr>
              <w:spacing w:line="440" w:lineRule="exact"/>
              <w:jc w:val="center"/>
              <w:rPr>
                <w:rFonts w:hint="eastAsia" w:ascii="宋体" w:hAnsi="宋体"/>
                <w:sz w:val="24"/>
                <w:highlight w:val="none"/>
              </w:rPr>
            </w:pPr>
            <w:r>
              <w:rPr>
                <w:rFonts w:hint="eastAsia" w:hAnsi="宋体"/>
                <w:sz w:val="24"/>
                <w:szCs w:val="24"/>
                <w:highlight w:val="none"/>
              </w:rPr>
              <w:t>自合同签订之日起一年。服务期满后采购单位根据全年履约考核、食品安全记录、供货服务质量综合评定，决定是否续签供货合同。</w:t>
            </w:r>
          </w:p>
        </w:tc>
      </w:tr>
    </w:tbl>
    <w:p w14:paraId="54169062">
      <w:pPr>
        <w:spacing w:line="460" w:lineRule="exact"/>
        <w:ind w:firstLine="3960" w:firstLineChars="1650"/>
        <w:rPr>
          <w:rFonts w:ascii="宋体" w:hAnsi="宋体"/>
          <w:sz w:val="24"/>
          <w:highlight w:val="none"/>
        </w:rPr>
      </w:pPr>
    </w:p>
    <w:p w14:paraId="4882EA53">
      <w:pPr>
        <w:pStyle w:val="5"/>
        <w:rPr>
          <w:highlight w:val="none"/>
        </w:rPr>
      </w:pPr>
    </w:p>
    <w:p w14:paraId="02B780DC">
      <w:pPr>
        <w:pStyle w:val="5"/>
        <w:rPr>
          <w:highlight w:val="none"/>
        </w:rPr>
      </w:pPr>
    </w:p>
    <w:p w14:paraId="5F5D22B0">
      <w:pPr>
        <w:pStyle w:val="5"/>
        <w:rPr>
          <w:highlight w:val="none"/>
        </w:rPr>
      </w:pPr>
    </w:p>
    <w:p w14:paraId="591FC8A3">
      <w:pPr>
        <w:pStyle w:val="5"/>
        <w:rPr>
          <w:highlight w:val="none"/>
        </w:rPr>
      </w:pPr>
    </w:p>
    <w:p w14:paraId="17F97760">
      <w:pPr>
        <w:pStyle w:val="5"/>
        <w:rPr>
          <w:rFonts w:hint="eastAsia"/>
          <w:highlight w:val="none"/>
        </w:rPr>
      </w:pPr>
    </w:p>
    <w:p w14:paraId="65C28206">
      <w:pPr>
        <w:spacing w:line="460" w:lineRule="exact"/>
        <w:ind w:firstLine="3960" w:firstLineChars="1650"/>
        <w:rPr>
          <w:rFonts w:hint="eastAsia" w:ascii="宋体" w:hAnsi="宋体"/>
          <w:sz w:val="24"/>
          <w:highlight w:val="none"/>
        </w:rPr>
      </w:pPr>
      <w:r>
        <w:rPr>
          <w:rFonts w:hint="eastAsia" w:ascii="宋体" w:hAnsi="宋体"/>
          <w:sz w:val="24"/>
          <w:highlight w:val="none"/>
        </w:rPr>
        <w:t>投标人（盖电子公章）：</w:t>
      </w:r>
    </w:p>
    <w:p w14:paraId="1D322E00">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 </w:t>
      </w:r>
    </w:p>
    <w:p w14:paraId="0C28AEBD">
      <w:pPr>
        <w:spacing w:line="460" w:lineRule="exact"/>
        <w:ind w:firstLine="4080" w:firstLineChars="1700"/>
        <w:rPr>
          <w:rFonts w:hint="eastAsia" w:ascii="宋体" w:hAnsi="宋体"/>
          <w:sz w:val="24"/>
          <w:highlight w:val="none"/>
        </w:rPr>
        <w:sectPr>
          <w:pgSz w:w="11906" w:h="16838"/>
          <w:pgMar w:top="1418" w:right="1134" w:bottom="1134" w:left="1418" w:header="851" w:footer="992" w:gutter="0"/>
          <w:pgNumType w:fmt="decimal"/>
          <w:cols w:space="720" w:num="1"/>
          <w:docGrid w:linePitch="312" w:charSpace="0"/>
        </w:sectPr>
      </w:pP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11FF5192">
      <w:pPr>
        <w:pStyle w:val="9"/>
        <w:spacing w:line="520" w:lineRule="exact"/>
        <w:jc w:val="center"/>
        <w:rPr>
          <w:rFonts w:hint="eastAsia" w:hAnsi="宋体"/>
          <w:b/>
          <w:sz w:val="36"/>
          <w:szCs w:val="36"/>
          <w:highlight w:val="none"/>
        </w:rPr>
      </w:pPr>
      <w:r>
        <w:rPr>
          <w:rFonts w:hint="eastAsia" w:hAnsi="宋体"/>
          <w:b/>
          <w:sz w:val="36"/>
          <w:szCs w:val="36"/>
          <w:highlight w:val="none"/>
        </w:rPr>
        <w:t>报价明细表</w:t>
      </w:r>
    </w:p>
    <w:p w14:paraId="4686DCC1">
      <w:pPr>
        <w:spacing w:line="460" w:lineRule="exact"/>
        <w:ind w:firstLine="4080" w:firstLineChars="1700"/>
        <w:rPr>
          <w:rFonts w:hint="eastAsia" w:ascii="宋体" w:hAnsi="宋体"/>
          <w:sz w:val="24"/>
          <w:highlight w:val="none"/>
        </w:rPr>
      </w:pPr>
    </w:p>
    <w:p w14:paraId="08E122D9">
      <w:pPr>
        <w:spacing w:line="460" w:lineRule="exact"/>
        <w:ind w:firstLine="4080" w:firstLineChars="1700"/>
        <w:rPr>
          <w:rFonts w:hint="eastAsia" w:ascii="宋体" w:hAnsi="宋体"/>
          <w:sz w:val="24"/>
          <w:highlight w:val="none"/>
        </w:rPr>
      </w:pPr>
    </w:p>
    <w:p w14:paraId="072FC328">
      <w:pPr>
        <w:spacing w:line="460" w:lineRule="exact"/>
        <w:ind w:firstLine="4080" w:firstLineChars="1700"/>
        <w:rPr>
          <w:rFonts w:hint="eastAsia" w:ascii="宋体" w:hAnsi="宋体"/>
          <w:sz w:val="24"/>
          <w:highlight w:val="none"/>
        </w:rPr>
      </w:pPr>
    </w:p>
    <w:p w14:paraId="482B3E89">
      <w:pPr>
        <w:spacing w:line="460" w:lineRule="exact"/>
        <w:ind w:firstLine="4080" w:firstLineChars="1700"/>
        <w:rPr>
          <w:rFonts w:hint="eastAsia" w:ascii="宋体" w:hAnsi="宋体"/>
          <w:sz w:val="24"/>
          <w:highlight w:val="none"/>
        </w:rPr>
      </w:pPr>
    </w:p>
    <w:p w14:paraId="45E282D1">
      <w:pPr>
        <w:spacing w:line="460" w:lineRule="exact"/>
        <w:ind w:firstLine="4080" w:firstLineChars="1700"/>
        <w:rPr>
          <w:rFonts w:hint="eastAsia" w:ascii="宋体" w:hAnsi="宋体"/>
          <w:sz w:val="24"/>
          <w:highlight w:val="none"/>
        </w:rPr>
      </w:pPr>
    </w:p>
    <w:p w14:paraId="56C90F37">
      <w:pPr>
        <w:spacing w:line="460" w:lineRule="exact"/>
        <w:ind w:firstLine="4080" w:firstLineChars="1700"/>
        <w:rPr>
          <w:rFonts w:hint="eastAsia" w:ascii="宋体" w:hAnsi="宋体"/>
          <w:sz w:val="24"/>
          <w:highlight w:val="none"/>
        </w:rPr>
      </w:pPr>
    </w:p>
    <w:p w14:paraId="772DA72D">
      <w:pPr>
        <w:spacing w:line="460" w:lineRule="exact"/>
        <w:ind w:firstLine="4080" w:firstLineChars="1700"/>
        <w:rPr>
          <w:rFonts w:hint="eastAsia" w:ascii="宋体" w:hAnsi="宋体"/>
          <w:sz w:val="24"/>
          <w:highlight w:val="none"/>
        </w:rPr>
      </w:pPr>
    </w:p>
    <w:p w14:paraId="35ADA8DC">
      <w:pPr>
        <w:spacing w:line="460" w:lineRule="exact"/>
        <w:ind w:firstLine="4080" w:firstLineChars="1700"/>
        <w:rPr>
          <w:rFonts w:hint="eastAsia" w:ascii="宋体" w:hAnsi="宋体"/>
          <w:sz w:val="24"/>
          <w:highlight w:val="none"/>
        </w:rPr>
      </w:pPr>
    </w:p>
    <w:p w14:paraId="4B97FB01">
      <w:pPr>
        <w:spacing w:line="460" w:lineRule="exact"/>
        <w:ind w:firstLine="4080" w:firstLineChars="1700"/>
        <w:rPr>
          <w:rFonts w:hint="eastAsia" w:ascii="宋体" w:hAnsi="宋体"/>
          <w:sz w:val="24"/>
          <w:highlight w:val="none"/>
        </w:rPr>
      </w:pPr>
    </w:p>
    <w:p w14:paraId="7CEC6F84">
      <w:pPr>
        <w:spacing w:line="460" w:lineRule="exact"/>
        <w:ind w:firstLine="4080" w:firstLineChars="1700"/>
        <w:rPr>
          <w:rFonts w:hint="eastAsia" w:ascii="宋体" w:hAnsi="宋体"/>
          <w:sz w:val="24"/>
          <w:highlight w:val="none"/>
        </w:rPr>
      </w:pPr>
    </w:p>
    <w:p w14:paraId="77742AA6">
      <w:pPr>
        <w:spacing w:line="460" w:lineRule="exact"/>
        <w:ind w:firstLine="4080" w:firstLineChars="1700"/>
        <w:rPr>
          <w:rFonts w:hint="eastAsia" w:ascii="宋体" w:hAnsi="宋体"/>
          <w:sz w:val="24"/>
          <w:highlight w:val="none"/>
        </w:rPr>
      </w:pPr>
    </w:p>
    <w:p w14:paraId="24C4B4DE">
      <w:pPr>
        <w:spacing w:line="460" w:lineRule="exact"/>
        <w:ind w:firstLine="4080" w:firstLineChars="1700"/>
        <w:rPr>
          <w:rFonts w:hint="eastAsia" w:ascii="宋体" w:hAnsi="宋体"/>
          <w:sz w:val="24"/>
          <w:highlight w:val="none"/>
        </w:rPr>
      </w:pPr>
    </w:p>
    <w:p w14:paraId="355D9DB3">
      <w:pPr>
        <w:spacing w:line="460" w:lineRule="exact"/>
        <w:ind w:firstLine="4080" w:firstLineChars="1700"/>
        <w:rPr>
          <w:rFonts w:hint="eastAsia" w:ascii="宋体" w:hAnsi="宋体"/>
          <w:sz w:val="24"/>
          <w:highlight w:val="none"/>
        </w:rPr>
      </w:pPr>
    </w:p>
    <w:p w14:paraId="1CEA6365">
      <w:pPr>
        <w:spacing w:line="460" w:lineRule="exact"/>
        <w:ind w:firstLine="4080" w:firstLineChars="1700"/>
        <w:rPr>
          <w:rFonts w:hint="eastAsia" w:ascii="宋体" w:hAnsi="宋体"/>
          <w:sz w:val="24"/>
          <w:highlight w:val="none"/>
        </w:rPr>
      </w:pPr>
    </w:p>
    <w:p w14:paraId="1F3222F3">
      <w:pPr>
        <w:spacing w:line="460" w:lineRule="exact"/>
        <w:ind w:firstLine="4080" w:firstLineChars="1700"/>
        <w:rPr>
          <w:rFonts w:hint="eastAsia" w:ascii="宋体" w:hAnsi="宋体"/>
          <w:sz w:val="24"/>
          <w:highlight w:val="none"/>
        </w:rPr>
      </w:pPr>
    </w:p>
    <w:p w14:paraId="129F88B7">
      <w:pPr>
        <w:spacing w:line="460" w:lineRule="exact"/>
        <w:ind w:firstLine="4080" w:firstLineChars="1700"/>
        <w:rPr>
          <w:rFonts w:hint="eastAsia" w:ascii="宋体" w:hAnsi="宋体"/>
          <w:sz w:val="24"/>
          <w:highlight w:val="none"/>
        </w:rPr>
      </w:pPr>
    </w:p>
    <w:p w14:paraId="417047B4">
      <w:pPr>
        <w:spacing w:line="460" w:lineRule="exact"/>
        <w:ind w:firstLine="4080" w:firstLineChars="1700"/>
        <w:rPr>
          <w:rFonts w:hint="eastAsia" w:ascii="宋体" w:hAnsi="宋体"/>
          <w:sz w:val="24"/>
          <w:highlight w:val="none"/>
        </w:rPr>
      </w:pPr>
    </w:p>
    <w:p w14:paraId="03529C5F">
      <w:pPr>
        <w:spacing w:line="460" w:lineRule="exact"/>
        <w:ind w:firstLine="4080" w:firstLineChars="1700"/>
        <w:rPr>
          <w:rFonts w:hint="eastAsia" w:ascii="宋体" w:hAnsi="宋体"/>
          <w:sz w:val="24"/>
          <w:highlight w:val="none"/>
        </w:rPr>
      </w:pPr>
    </w:p>
    <w:p w14:paraId="39565158">
      <w:pPr>
        <w:spacing w:line="460" w:lineRule="exact"/>
        <w:ind w:firstLine="4080" w:firstLineChars="1700"/>
        <w:rPr>
          <w:rFonts w:hint="eastAsia" w:ascii="宋体" w:hAnsi="宋体"/>
          <w:sz w:val="24"/>
          <w:highlight w:val="none"/>
        </w:rPr>
      </w:pPr>
    </w:p>
    <w:p w14:paraId="0E5A4692">
      <w:pPr>
        <w:spacing w:line="460" w:lineRule="exact"/>
        <w:ind w:firstLine="3960" w:firstLineChars="1650"/>
        <w:rPr>
          <w:rFonts w:hint="eastAsia" w:ascii="宋体" w:hAnsi="宋体"/>
          <w:sz w:val="24"/>
          <w:highlight w:val="none"/>
        </w:rPr>
      </w:pPr>
      <w:r>
        <w:rPr>
          <w:rFonts w:hint="eastAsia" w:ascii="宋体" w:hAnsi="宋体"/>
          <w:sz w:val="24"/>
          <w:highlight w:val="none"/>
        </w:rPr>
        <w:t>投标人（盖电子公章）：</w:t>
      </w:r>
    </w:p>
    <w:p w14:paraId="358325D1">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 </w:t>
      </w:r>
    </w:p>
    <w:p w14:paraId="2321ECE0">
      <w:pPr>
        <w:pStyle w:val="9"/>
        <w:spacing w:line="520" w:lineRule="exact"/>
        <w:jc w:val="center"/>
        <w:rPr>
          <w:rFonts w:hAnsi="宋体" w:cs="宋体"/>
          <w:b/>
          <w:sz w:val="28"/>
          <w:szCs w:val="28"/>
          <w:highlight w:val="none"/>
        </w:rPr>
        <w:sectPr>
          <w:pgSz w:w="11906" w:h="16838"/>
          <w:pgMar w:top="1418" w:right="1134" w:bottom="1134" w:left="1418" w:header="851" w:footer="992" w:gutter="0"/>
          <w:cols w:space="720" w:num="1"/>
          <w:docGrid w:linePitch="312" w:charSpace="0"/>
        </w:sectPr>
      </w:pPr>
      <w:r>
        <w:rPr>
          <w:rFonts w:hint="eastAsia" w:ascii="宋体" w:hAnsi="宋体"/>
          <w:sz w:val="24"/>
          <w:highlight w:val="none"/>
          <w:lang w:val="en-US" w:eastAsia="zh-CN"/>
        </w:rPr>
        <w:t xml:space="preserve">               </w:t>
      </w:r>
      <w:r>
        <w:rPr>
          <w:rFonts w:hint="eastAsia" w:hAnsi="宋体"/>
          <w:sz w:val="24"/>
          <w:highlight w:val="none"/>
          <w:lang w:val="en-US" w:eastAsia="zh-CN"/>
        </w:rPr>
        <w:t xml:space="preserve">         </w:t>
      </w: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3B8DB3AB">
      <w:pPr>
        <w:pStyle w:val="9"/>
        <w:spacing w:line="520" w:lineRule="exact"/>
        <w:jc w:val="center"/>
        <w:rPr>
          <w:rFonts w:hAnsi="宋体"/>
          <w:b/>
          <w:sz w:val="36"/>
          <w:szCs w:val="36"/>
          <w:highlight w:val="none"/>
        </w:rPr>
      </w:pPr>
      <w:r>
        <w:rPr>
          <w:rFonts w:hint="eastAsia" w:hAnsi="宋体"/>
          <w:b/>
          <w:sz w:val="36"/>
          <w:szCs w:val="36"/>
          <w:highlight w:val="none"/>
        </w:rPr>
        <w:t>投标人资格证明文件</w:t>
      </w:r>
    </w:p>
    <w:p w14:paraId="348C7EDB">
      <w:pPr>
        <w:pStyle w:val="9"/>
        <w:spacing w:line="520" w:lineRule="exact"/>
        <w:jc w:val="center"/>
        <w:rPr>
          <w:rFonts w:hAnsi="宋体"/>
          <w:kern w:val="2"/>
          <w:sz w:val="24"/>
          <w:szCs w:val="24"/>
          <w:highlight w:val="none"/>
        </w:rPr>
      </w:pPr>
      <w:r>
        <w:rPr>
          <w:rFonts w:hint="eastAsia" w:hAnsi="宋体"/>
          <w:kern w:val="2"/>
          <w:sz w:val="24"/>
          <w:szCs w:val="24"/>
          <w:highlight w:val="none"/>
        </w:rPr>
        <w:t>投标人有效的营业执照扫描件或其他能证明具有独立承担民事责任能力的证明材料扫描件</w:t>
      </w:r>
    </w:p>
    <w:p w14:paraId="6C80AD87">
      <w:pPr>
        <w:pStyle w:val="9"/>
        <w:spacing w:line="520" w:lineRule="exact"/>
        <w:jc w:val="center"/>
        <w:rPr>
          <w:rFonts w:hAnsi="宋体"/>
          <w:b/>
          <w:sz w:val="44"/>
          <w:szCs w:val="44"/>
          <w:highlight w:val="none"/>
        </w:rPr>
      </w:pPr>
    </w:p>
    <w:p w14:paraId="56FF84D1">
      <w:pPr>
        <w:pStyle w:val="9"/>
        <w:spacing w:line="520" w:lineRule="exact"/>
        <w:jc w:val="center"/>
        <w:rPr>
          <w:rFonts w:hAnsi="宋体"/>
          <w:b/>
          <w:sz w:val="36"/>
          <w:szCs w:val="36"/>
          <w:highlight w:val="none"/>
        </w:rPr>
      </w:pPr>
    </w:p>
    <w:p w14:paraId="621CC5C6">
      <w:pPr>
        <w:pStyle w:val="9"/>
        <w:spacing w:line="520" w:lineRule="exact"/>
        <w:jc w:val="center"/>
        <w:rPr>
          <w:rFonts w:hAnsi="宋体"/>
          <w:b/>
          <w:sz w:val="36"/>
          <w:szCs w:val="36"/>
          <w:highlight w:val="none"/>
        </w:rPr>
      </w:pPr>
    </w:p>
    <w:p w14:paraId="69D0EF45">
      <w:pPr>
        <w:pStyle w:val="9"/>
        <w:spacing w:line="520" w:lineRule="exact"/>
        <w:jc w:val="center"/>
        <w:rPr>
          <w:rFonts w:hAnsi="宋体"/>
          <w:b/>
          <w:sz w:val="36"/>
          <w:szCs w:val="36"/>
          <w:highlight w:val="none"/>
        </w:rPr>
      </w:pPr>
    </w:p>
    <w:p w14:paraId="419B9603">
      <w:pPr>
        <w:pStyle w:val="9"/>
        <w:spacing w:line="520" w:lineRule="exact"/>
        <w:jc w:val="center"/>
        <w:rPr>
          <w:rFonts w:hAnsi="宋体"/>
          <w:b/>
          <w:sz w:val="36"/>
          <w:szCs w:val="36"/>
          <w:highlight w:val="none"/>
        </w:rPr>
      </w:pPr>
    </w:p>
    <w:p w14:paraId="483ED741">
      <w:pPr>
        <w:pStyle w:val="9"/>
        <w:spacing w:line="520" w:lineRule="exact"/>
        <w:jc w:val="center"/>
        <w:rPr>
          <w:rFonts w:hAnsi="宋体"/>
          <w:b/>
          <w:sz w:val="36"/>
          <w:szCs w:val="36"/>
          <w:highlight w:val="none"/>
        </w:rPr>
      </w:pPr>
    </w:p>
    <w:p w14:paraId="509AE9BD">
      <w:pPr>
        <w:pStyle w:val="9"/>
        <w:spacing w:line="520" w:lineRule="exact"/>
        <w:jc w:val="center"/>
        <w:rPr>
          <w:rFonts w:hAnsi="宋体"/>
          <w:b/>
          <w:sz w:val="36"/>
          <w:szCs w:val="36"/>
          <w:highlight w:val="none"/>
        </w:rPr>
      </w:pPr>
    </w:p>
    <w:p w14:paraId="45AF0B84">
      <w:pPr>
        <w:pStyle w:val="9"/>
        <w:spacing w:line="520" w:lineRule="exact"/>
        <w:jc w:val="right"/>
        <w:rPr>
          <w:rFonts w:hAnsi="宋体"/>
          <w:b/>
          <w:bCs/>
          <w:sz w:val="30"/>
          <w:szCs w:val="30"/>
          <w:highlight w:val="none"/>
        </w:rPr>
      </w:pPr>
    </w:p>
    <w:p w14:paraId="033BEF4A">
      <w:pPr>
        <w:pStyle w:val="9"/>
        <w:spacing w:line="520" w:lineRule="exact"/>
        <w:jc w:val="right"/>
        <w:rPr>
          <w:rFonts w:hAnsi="宋体"/>
          <w:b/>
          <w:bCs/>
          <w:sz w:val="30"/>
          <w:szCs w:val="30"/>
          <w:highlight w:val="none"/>
        </w:rPr>
      </w:pPr>
    </w:p>
    <w:p w14:paraId="55A5EE22">
      <w:pPr>
        <w:pStyle w:val="9"/>
        <w:spacing w:line="520" w:lineRule="exact"/>
        <w:jc w:val="right"/>
        <w:rPr>
          <w:rFonts w:hAnsi="宋体"/>
          <w:b/>
          <w:bCs/>
          <w:sz w:val="30"/>
          <w:szCs w:val="30"/>
          <w:highlight w:val="none"/>
        </w:rPr>
      </w:pPr>
    </w:p>
    <w:p w14:paraId="2EF035D9">
      <w:pPr>
        <w:pStyle w:val="9"/>
        <w:spacing w:line="520" w:lineRule="exact"/>
        <w:jc w:val="right"/>
        <w:rPr>
          <w:rFonts w:hAnsi="宋体"/>
          <w:b/>
          <w:bCs/>
          <w:sz w:val="30"/>
          <w:szCs w:val="30"/>
          <w:highlight w:val="none"/>
        </w:rPr>
      </w:pPr>
    </w:p>
    <w:p w14:paraId="645AD79B">
      <w:pPr>
        <w:pStyle w:val="9"/>
        <w:spacing w:line="520" w:lineRule="exact"/>
        <w:jc w:val="right"/>
        <w:rPr>
          <w:rFonts w:hAnsi="宋体"/>
          <w:b/>
          <w:bCs/>
          <w:sz w:val="30"/>
          <w:szCs w:val="30"/>
          <w:highlight w:val="none"/>
        </w:rPr>
      </w:pPr>
    </w:p>
    <w:p w14:paraId="42CBA286">
      <w:pPr>
        <w:pStyle w:val="9"/>
        <w:spacing w:line="520" w:lineRule="exact"/>
        <w:jc w:val="right"/>
        <w:rPr>
          <w:rFonts w:hAnsi="宋体"/>
          <w:b/>
          <w:bCs/>
          <w:sz w:val="30"/>
          <w:szCs w:val="30"/>
          <w:highlight w:val="none"/>
        </w:rPr>
      </w:pPr>
    </w:p>
    <w:p w14:paraId="345F7862">
      <w:pPr>
        <w:pStyle w:val="9"/>
        <w:spacing w:line="520" w:lineRule="exact"/>
        <w:jc w:val="right"/>
        <w:rPr>
          <w:rFonts w:hAnsi="宋体"/>
          <w:b/>
          <w:bCs/>
          <w:sz w:val="30"/>
          <w:szCs w:val="30"/>
          <w:highlight w:val="none"/>
        </w:rPr>
      </w:pPr>
    </w:p>
    <w:p w14:paraId="503512D7">
      <w:pPr>
        <w:pStyle w:val="9"/>
        <w:spacing w:line="520" w:lineRule="exact"/>
        <w:jc w:val="right"/>
        <w:rPr>
          <w:rFonts w:hAnsi="宋体"/>
          <w:b/>
          <w:bCs/>
          <w:sz w:val="30"/>
          <w:szCs w:val="30"/>
          <w:highlight w:val="none"/>
        </w:rPr>
      </w:pPr>
    </w:p>
    <w:p w14:paraId="4859D836">
      <w:pPr>
        <w:pStyle w:val="9"/>
        <w:spacing w:line="520" w:lineRule="exact"/>
        <w:jc w:val="right"/>
        <w:rPr>
          <w:rFonts w:hAnsi="宋体"/>
          <w:b/>
          <w:bCs/>
          <w:sz w:val="30"/>
          <w:szCs w:val="30"/>
          <w:highlight w:val="none"/>
        </w:rPr>
      </w:pPr>
    </w:p>
    <w:p w14:paraId="3C17AC12">
      <w:pPr>
        <w:spacing w:line="360" w:lineRule="exact"/>
        <w:ind w:right="1120"/>
        <w:jc w:val="center"/>
        <w:rPr>
          <w:rFonts w:ascii="宋体" w:hAnsi="宋体"/>
          <w:sz w:val="24"/>
          <w:highlight w:val="none"/>
        </w:rPr>
      </w:pPr>
    </w:p>
    <w:p w14:paraId="045A3888">
      <w:pPr>
        <w:spacing w:line="360" w:lineRule="exact"/>
        <w:ind w:right="1120"/>
        <w:jc w:val="center"/>
        <w:rPr>
          <w:rFonts w:ascii="宋体" w:hAnsi="宋体"/>
          <w:sz w:val="24"/>
          <w:highlight w:val="none"/>
        </w:rPr>
      </w:pPr>
    </w:p>
    <w:p w14:paraId="6F2EAF0F">
      <w:pPr>
        <w:spacing w:line="460" w:lineRule="exact"/>
        <w:ind w:left="4070" w:leftChars="1881" w:hanging="120" w:hangingChars="50"/>
        <w:rPr>
          <w:rFonts w:ascii="宋体" w:hAnsi="宋体"/>
          <w:sz w:val="24"/>
          <w:highlight w:val="none"/>
        </w:rPr>
      </w:pPr>
      <w:r>
        <w:rPr>
          <w:rFonts w:hint="eastAsia" w:ascii="宋体" w:hAnsi="宋体"/>
          <w:sz w:val="24"/>
          <w:highlight w:val="none"/>
        </w:rPr>
        <w:t xml:space="preserve">                            </w:t>
      </w:r>
    </w:p>
    <w:p w14:paraId="3FE11C6A">
      <w:pPr>
        <w:spacing w:line="460" w:lineRule="exact"/>
        <w:ind w:left="4070" w:leftChars="1881" w:hanging="120" w:hangingChars="50"/>
        <w:rPr>
          <w:rFonts w:ascii="宋体" w:hAnsi="宋体"/>
          <w:sz w:val="24"/>
          <w:highlight w:val="none"/>
        </w:rPr>
        <w:sectPr>
          <w:pgSz w:w="11906" w:h="16838"/>
          <w:pgMar w:top="1418" w:right="1134" w:bottom="1134" w:left="1418" w:header="851" w:footer="992" w:gutter="0"/>
          <w:cols w:space="720" w:num="1"/>
          <w:docGrid w:linePitch="312" w:charSpace="0"/>
        </w:sectPr>
      </w:pPr>
      <w:r>
        <w:rPr>
          <w:rFonts w:hint="eastAsia" w:ascii="宋体" w:hAnsi="宋体"/>
          <w:sz w:val="24"/>
          <w:highlight w:val="none"/>
        </w:rPr>
        <w:t xml:space="preserve">投标人（盖电子公章）： </w:t>
      </w:r>
    </w:p>
    <w:p w14:paraId="06BDBC2B">
      <w:pPr>
        <w:widowControl/>
        <w:shd w:val="clear" w:color="auto" w:fill="FCFCFC"/>
        <w:spacing w:line="246" w:lineRule="atLeast"/>
        <w:ind w:firstLine="500"/>
        <w:jc w:val="center"/>
        <w:rPr>
          <w:rFonts w:hAnsi="宋体"/>
          <w:sz w:val="24"/>
          <w:highlight w:val="none"/>
        </w:rPr>
      </w:pPr>
      <w:r>
        <w:rPr>
          <w:rFonts w:hint="eastAsia" w:ascii="宋体" w:hAnsi="宋体"/>
          <w:sz w:val="24"/>
          <w:highlight w:val="none"/>
        </w:rPr>
        <w:t>投标人有效的食品生产许可证或食品经营许可证</w:t>
      </w:r>
      <w:r>
        <w:rPr>
          <w:rFonts w:hint="eastAsia" w:hAnsi="宋体"/>
          <w:sz w:val="24"/>
          <w:highlight w:val="none"/>
        </w:rPr>
        <w:t>扫描件</w:t>
      </w:r>
    </w:p>
    <w:p w14:paraId="2CFF42E9">
      <w:pPr>
        <w:widowControl/>
        <w:shd w:val="clear" w:color="auto" w:fill="FCFCFC"/>
        <w:spacing w:line="246" w:lineRule="atLeast"/>
        <w:ind w:firstLine="500"/>
        <w:jc w:val="center"/>
        <w:rPr>
          <w:rFonts w:hAnsi="宋体"/>
          <w:sz w:val="24"/>
          <w:highlight w:val="none"/>
        </w:rPr>
      </w:pPr>
    </w:p>
    <w:p w14:paraId="040E18D4">
      <w:pPr>
        <w:widowControl/>
        <w:shd w:val="clear" w:color="auto" w:fill="FCFCFC"/>
        <w:spacing w:line="246" w:lineRule="atLeast"/>
        <w:ind w:firstLine="500"/>
        <w:jc w:val="center"/>
        <w:rPr>
          <w:rFonts w:hAnsi="宋体"/>
          <w:sz w:val="24"/>
          <w:highlight w:val="none"/>
        </w:rPr>
      </w:pPr>
    </w:p>
    <w:p w14:paraId="04BA763E">
      <w:pPr>
        <w:widowControl/>
        <w:shd w:val="clear" w:color="auto" w:fill="FCFCFC"/>
        <w:spacing w:line="246" w:lineRule="atLeast"/>
        <w:ind w:firstLine="500"/>
        <w:jc w:val="center"/>
        <w:rPr>
          <w:rFonts w:hAnsi="宋体"/>
          <w:sz w:val="24"/>
          <w:highlight w:val="none"/>
        </w:rPr>
      </w:pPr>
    </w:p>
    <w:p w14:paraId="2DB2A388">
      <w:pPr>
        <w:widowControl/>
        <w:shd w:val="clear" w:color="auto" w:fill="FCFCFC"/>
        <w:spacing w:line="246" w:lineRule="atLeast"/>
        <w:ind w:firstLine="500"/>
        <w:jc w:val="center"/>
        <w:rPr>
          <w:rFonts w:hAnsi="宋体"/>
          <w:sz w:val="24"/>
          <w:highlight w:val="none"/>
        </w:rPr>
      </w:pPr>
    </w:p>
    <w:p w14:paraId="584457DA">
      <w:pPr>
        <w:widowControl/>
        <w:shd w:val="clear" w:color="auto" w:fill="FCFCFC"/>
        <w:spacing w:line="246" w:lineRule="atLeast"/>
        <w:ind w:firstLine="500"/>
        <w:jc w:val="center"/>
        <w:rPr>
          <w:rFonts w:hAnsi="宋体"/>
          <w:sz w:val="24"/>
          <w:highlight w:val="none"/>
        </w:rPr>
      </w:pPr>
    </w:p>
    <w:p w14:paraId="115C06AB">
      <w:pPr>
        <w:widowControl/>
        <w:shd w:val="clear" w:color="auto" w:fill="FCFCFC"/>
        <w:spacing w:line="246" w:lineRule="atLeast"/>
        <w:ind w:firstLine="500"/>
        <w:jc w:val="center"/>
        <w:rPr>
          <w:rFonts w:hAnsi="宋体"/>
          <w:sz w:val="24"/>
          <w:highlight w:val="none"/>
        </w:rPr>
      </w:pPr>
    </w:p>
    <w:p w14:paraId="4D0C0FBC">
      <w:pPr>
        <w:widowControl/>
        <w:shd w:val="clear" w:color="auto" w:fill="FCFCFC"/>
        <w:spacing w:line="246" w:lineRule="atLeast"/>
        <w:ind w:firstLine="500"/>
        <w:jc w:val="center"/>
        <w:rPr>
          <w:rFonts w:hAnsi="宋体"/>
          <w:sz w:val="24"/>
          <w:highlight w:val="none"/>
        </w:rPr>
      </w:pPr>
    </w:p>
    <w:p w14:paraId="0A9B9C5A">
      <w:pPr>
        <w:widowControl/>
        <w:shd w:val="clear" w:color="auto" w:fill="FCFCFC"/>
        <w:spacing w:line="246" w:lineRule="atLeast"/>
        <w:ind w:firstLine="500"/>
        <w:jc w:val="center"/>
        <w:rPr>
          <w:rFonts w:hAnsi="宋体"/>
          <w:sz w:val="24"/>
          <w:highlight w:val="none"/>
        </w:rPr>
      </w:pPr>
    </w:p>
    <w:p w14:paraId="531F59F1">
      <w:pPr>
        <w:widowControl/>
        <w:shd w:val="clear" w:color="auto" w:fill="FCFCFC"/>
        <w:spacing w:line="246" w:lineRule="atLeast"/>
        <w:ind w:firstLine="500"/>
        <w:jc w:val="center"/>
        <w:rPr>
          <w:rFonts w:hAnsi="宋体"/>
          <w:sz w:val="24"/>
          <w:highlight w:val="none"/>
        </w:rPr>
      </w:pPr>
    </w:p>
    <w:p w14:paraId="507E29C1">
      <w:pPr>
        <w:widowControl/>
        <w:shd w:val="clear" w:color="auto" w:fill="FCFCFC"/>
        <w:spacing w:line="246" w:lineRule="atLeast"/>
        <w:ind w:firstLine="500"/>
        <w:jc w:val="center"/>
        <w:rPr>
          <w:rFonts w:hAnsi="宋体"/>
          <w:sz w:val="24"/>
          <w:highlight w:val="none"/>
        </w:rPr>
      </w:pPr>
    </w:p>
    <w:p w14:paraId="1629BFEB">
      <w:pPr>
        <w:widowControl/>
        <w:shd w:val="clear" w:color="auto" w:fill="FCFCFC"/>
        <w:spacing w:line="246" w:lineRule="atLeast"/>
        <w:ind w:firstLine="500"/>
        <w:jc w:val="center"/>
        <w:rPr>
          <w:rFonts w:hAnsi="宋体"/>
          <w:sz w:val="24"/>
          <w:highlight w:val="none"/>
        </w:rPr>
      </w:pPr>
    </w:p>
    <w:p w14:paraId="67BCFE78">
      <w:pPr>
        <w:widowControl/>
        <w:shd w:val="clear" w:color="auto" w:fill="FCFCFC"/>
        <w:spacing w:line="246" w:lineRule="atLeast"/>
        <w:ind w:firstLine="500"/>
        <w:jc w:val="center"/>
        <w:rPr>
          <w:rFonts w:hAnsi="宋体"/>
          <w:sz w:val="24"/>
          <w:highlight w:val="none"/>
        </w:rPr>
      </w:pPr>
    </w:p>
    <w:p w14:paraId="2D3937C6">
      <w:pPr>
        <w:widowControl/>
        <w:shd w:val="clear" w:color="auto" w:fill="FCFCFC"/>
        <w:spacing w:line="246" w:lineRule="atLeast"/>
        <w:ind w:firstLine="500"/>
        <w:jc w:val="center"/>
        <w:rPr>
          <w:rFonts w:hAnsi="宋体"/>
          <w:sz w:val="24"/>
          <w:highlight w:val="none"/>
        </w:rPr>
      </w:pPr>
    </w:p>
    <w:p w14:paraId="0968A4A4">
      <w:pPr>
        <w:widowControl/>
        <w:shd w:val="clear" w:color="auto" w:fill="FCFCFC"/>
        <w:spacing w:line="246" w:lineRule="atLeast"/>
        <w:ind w:firstLine="500"/>
        <w:jc w:val="center"/>
        <w:rPr>
          <w:rFonts w:hAnsi="宋体"/>
          <w:sz w:val="24"/>
          <w:highlight w:val="none"/>
        </w:rPr>
      </w:pPr>
    </w:p>
    <w:p w14:paraId="78B30B88">
      <w:pPr>
        <w:widowControl/>
        <w:shd w:val="clear" w:color="auto" w:fill="FCFCFC"/>
        <w:spacing w:line="246" w:lineRule="atLeast"/>
        <w:ind w:firstLine="500"/>
        <w:jc w:val="center"/>
        <w:rPr>
          <w:rFonts w:hAnsi="宋体"/>
          <w:sz w:val="24"/>
          <w:highlight w:val="none"/>
        </w:rPr>
      </w:pPr>
    </w:p>
    <w:p w14:paraId="39A5769F">
      <w:pPr>
        <w:widowControl/>
        <w:shd w:val="clear" w:color="auto" w:fill="FCFCFC"/>
        <w:spacing w:line="246" w:lineRule="atLeast"/>
        <w:ind w:firstLine="500"/>
        <w:jc w:val="center"/>
        <w:rPr>
          <w:rFonts w:hAnsi="宋体"/>
          <w:sz w:val="24"/>
          <w:highlight w:val="none"/>
        </w:rPr>
      </w:pPr>
    </w:p>
    <w:p w14:paraId="34C50A78">
      <w:pPr>
        <w:widowControl/>
        <w:shd w:val="clear" w:color="auto" w:fill="FCFCFC"/>
        <w:spacing w:line="246" w:lineRule="atLeast"/>
        <w:ind w:firstLine="500"/>
        <w:jc w:val="center"/>
        <w:rPr>
          <w:rFonts w:hAnsi="宋体"/>
          <w:sz w:val="24"/>
          <w:highlight w:val="none"/>
        </w:rPr>
      </w:pPr>
    </w:p>
    <w:p w14:paraId="7F57E989">
      <w:pPr>
        <w:widowControl/>
        <w:shd w:val="clear" w:color="auto" w:fill="FCFCFC"/>
        <w:spacing w:line="246" w:lineRule="atLeast"/>
        <w:ind w:firstLine="500"/>
        <w:jc w:val="center"/>
        <w:rPr>
          <w:rFonts w:hAnsi="宋体"/>
          <w:sz w:val="24"/>
          <w:highlight w:val="none"/>
        </w:rPr>
      </w:pPr>
    </w:p>
    <w:p w14:paraId="14184EC3">
      <w:pPr>
        <w:widowControl/>
        <w:shd w:val="clear" w:color="auto" w:fill="FCFCFC"/>
        <w:spacing w:line="246" w:lineRule="atLeast"/>
        <w:ind w:firstLine="500"/>
        <w:jc w:val="center"/>
        <w:rPr>
          <w:rFonts w:hAnsi="宋体"/>
          <w:sz w:val="24"/>
          <w:highlight w:val="none"/>
        </w:rPr>
      </w:pPr>
    </w:p>
    <w:p w14:paraId="76989A3C">
      <w:pPr>
        <w:widowControl/>
        <w:shd w:val="clear" w:color="auto" w:fill="FCFCFC"/>
        <w:spacing w:line="246" w:lineRule="atLeast"/>
        <w:ind w:firstLine="500"/>
        <w:jc w:val="center"/>
        <w:rPr>
          <w:rFonts w:hAnsi="宋体"/>
          <w:sz w:val="24"/>
          <w:highlight w:val="none"/>
        </w:rPr>
      </w:pPr>
    </w:p>
    <w:p w14:paraId="6F5DAC15">
      <w:pPr>
        <w:widowControl/>
        <w:shd w:val="clear" w:color="auto" w:fill="FCFCFC"/>
        <w:spacing w:line="246" w:lineRule="atLeast"/>
        <w:ind w:firstLine="500"/>
        <w:jc w:val="center"/>
        <w:rPr>
          <w:rFonts w:hAnsi="宋体"/>
          <w:sz w:val="24"/>
          <w:highlight w:val="none"/>
        </w:rPr>
      </w:pPr>
    </w:p>
    <w:p w14:paraId="7B11B86E">
      <w:pPr>
        <w:widowControl/>
        <w:shd w:val="clear" w:color="auto" w:fill="FCFCFC"/>
        <w:spacing w:line="246" w:lineRule="atLeast"/>
        <w:ind w:firstLine="500"/>
        <w:jc w:val="center"/>
        <w:rPr>
          <w:rFonts w:hAnsi="宋体"/>
          <w:sz w:val="24"/>
          <w:highlight w:val="none"/>
        </w:rPr>
      </w:pPr>
    </w:p>
    <w:p w14:paraId="262EE038">
      <w:pPr>
        <w:widowControl/>
        <w:shd w:val="clear" w:color="auto" w:fill="FCFCFC"/>
        <w:spacing w:line="246" w:lineRule="atLeast"/>
        <w:ind w:firstLine="500"/>
        <w:jc w:val="center"/>
        <w:rPr>
          <w:rFonts w:hAnsi="宋体"/>
          <w:sz w:val="24"/>
          <w:highlight w:val="none"/>
        </w:rPr>
      </w:pPr>
    </w:p>
    <w:p w14:paraId="20ACBA8A">
      <w:pPr>
        <w:widowControl/>
        <w:shd w:val="clear" w:color="auto" w:fill="FCFCFC"/>
        <w:spacing w:line="246" w:lineRule="atLeast"/>
        <w:ind w:firstLine="500"/>
        <w:jc w:val="center"/>
        <w:rPr>
          <w:rFonts w:hAnsi="宋体"/>
          <w:sz w:val="24"/>
          <w:highlight w:val="none"/>
        </w:rPr>
      </w:pPr>
    </w:p>
    <w:p w14:paraId="4B9E8403">
      <w:pPr>
        <w:widowControl/>
        <w:shd w:val="clear" w:color="auto" w:fill="FCFCFC"/>
        <w:spacing w:line="246" w:lineRule="atLeast"/>
        <w:ind w:firstLine="500"/>
        <w:jc w:val="center"/>
        <w:rPr>
          <w:rFonts w:hAnsi="宋体"/>
          <w:sz w:val="24"/>
          <w:highlight w:val="none"/>
        </w:rPr>
      </w:pPr>
    </w:p>
    <w:p w14:paraId="075196E3">
      <w:pPr>
        <w:widowControl/>
        <w:shd w:val="clear" w:color="auto" w:fill="FCFCFC"/>
        <w:spacing w:line="246" w:lineRule="atLeast"/>
        <w:ind w:firstLine="500"/>
        <w:jc w:val="center"/>
        <w:rPr>
          <w:rFonts w:hAnsi="宋体"/>
          <w:sz w:val="24"/>
          <w:highlight w:val="none"/>
        </w:rPr>
      </w:pPr>
    </w:p>
    <w:p w14:paraId="033987F4">
      <w:pPr>
        <w:widowControl/>
        <w:shd w:val="clear" w:color="auto" w:fill="FCFCFC"/>
        <w:spacing w:line="246" w:lineRule="atLeast"/>
        <w:ind w:firstLine="500"/>
        <w:jc w:val="center"/>
        <w:rPr>
          <w:rFonts w:hAnsi="宋体"/>
          <w:sz w:val="24"/>
          <w:highlight w:val="none"/>
        </w:rPr>
      </w:pPr>
    </w:p>
    <w:p w14:paraId="017FA4F6">
      <w:pPr>
        <w:widowControl/>
        <w:shd w:val="clear" w:color="auto" w:fill="FCFCFC"/>
        <w:spacing w:line="246" w:lineRule="atLeast"/>
        <w:ind w:firstLine="500"/>
        <w:jc w:val="center"/>
        <w:rPr>
          <w:rFonts w:hAnsi="宋体"/>
          <w:sz w:val="24"/>
          <w:highlight w:val="none"/>
        </w:rPr>
      </w:pPr>
    </w:p>
    <w:p w14:paraId="3497E662">
      <w:pPr>
        <w:widowControl/>
        <w:shd w:val="clear" w:color="auto" w:fill="FCFCFC"/>
        <w:spacing w:line="246" w:lineRule="atLeast"/>
        <w:ind w:firstLine="500"/>
        <w:jc w:val="center"/>
        <w:rPr>
          <w:rFonts w:hAnsi="宋体"/>
          <w:sz w:val="24"/>
          <w:highlight w:val="none"/>
        </w:rPr>
      </w:pPr>
    </w:p>
    <w:p w14:paraId="34507265">
      <w:pPr>
        <w:widowControl/>
        <w:shd w:val="clear" w:color="auto" w:fill="FCFCFC"/>
        <w:spacing w:line="246" w:lineRule="atLeast"/>
        <w:ind w:firstLine="500"/>
        <w:jc w:val="center"/>
        <w:rPr>
          <w:rFonts w:hAnsi="宋体"/>
          <w:sz w:val="24"/>
          <w:highlight w:val="none"/>
        </w:rPr>
      </w:pPr>
    </w:p>
    <w:p w14:paraId="7CF79B0F">
      <w:pPr>
        <w:widowControl/>
        <w:shd w:val="clear" w:color="auto" w:fill="FCFCFC"/>
        <w:spacing w:line="246" w:lineRule="atLeast"/>
        <w:ind w:firstLine="500"/>
        <w:jc w:val="center"/>
        <w:rPr>
          <w:rFonts w:hAnsi="宋体"/>
          <w:sz w:val="24"/>
          <w:highlight w:val="none"/>
        </w:rPr>
      </w:pPr>
    </w:p>
    <w:p w14:paraId="2A454929">
      <w:pPr>
        <w:widowControl/>
        <w:shd w:val="clear" w:color="auto" w:fill="FCFCFC"/>
        <w:spacing w:line="246" w:lineRule="atLeast"/>
        <w:ind w:firstLine="500"/>
        <w:jc w:val="center"/>
        <w:rPr>
          <w:rFonts w:hAnsi="宋体"/>
          <w:sz w:val="24"/>
          <w:highlight w:val="none"/>
        </w:rPr>
      </w:pPr>
    </w:p>
    <w:p w14:paraId="2E049989">
      <w:pPr>
        <w:widowControl/>
        <w:shd w:val="clear" w:color="auto" w:fill="FCFCFC"/>
        <w:spacing w:line="246" w:lineRule="atLeast"/>
        <w:ind w:firstLine="500"/>
        <w:jc w:val="center"/>
        <w:rPr>
          <w:rFonts w:hAnsi="宋体"/>
          <w:sz w:val="24"/>
          <w:highlight w:val="none"/>
        </w:rPr>
      </w:pPr>
      <w:r>
        <w:rPr>
          <w:rFonts w:hint="eastAsia" w:ascii="宋体" w:hAnsi="宋体"/>
          <w:sz w:val="24"/>
          <w:highlight w:val="none"/>
        </w:rPr>
        <w:t>投标人（盖电子公章）：</w:t>
      </w:r>
    </w:p>
    <w:p w14:paraId="381AEF81">
      <w:pPr>
        <w:spacing w:line="460" w:lineRule="exact"/>
        <w:ind w:left="4070" w:leftChars="1881" w:hanging="120" w:hangingChars="50"/>
        <w:rPr>
          <w:rFonts w:ascii="宋体" w:hAnsi="宋体"/>
          <w:sz w:val="24"/>
          <w:highlight w:val="none"/>
        </w:rPr>
        <w:sectPr>
          <w:pgSz w:w="11906" w:h="16838"/>
          <w:pgMar w:top="1418" w:right="1134" w:bottom="1134" w:left="1418" w:header="851" w:footer="992" w:gutter="0"/>
          <w:cols w:space="720" w:num="1"/>
          <w:docGrid w:linePitch="312" w:charSpace="0"/>
        </w:sectPr>
      </w:pPr>
    </w:p>
    <w:p w14:paraId="5C58125A">
      <w:pPr>
        <w:widowControl/>
        <w:spacing w:line="480" w:lineRule="exact"/>
        <w:jc w:val="center"/>
        <w:rPr>
          <w:rFonts w:ascii="宋体" w:hAnsi="宋体"/>
          <w:b/>
          <w:bCs/>
          <w:sz w:val="32"/>
          <w:szCs w:val="32"/>
          <w:highlight w:val="none"/>
        </w:rPr>
      </w:pPr>
      <w:r>
        <w:rPr>
          <w:rFonts w:hint="eastAsia" w:ascii="宋体" w:hAnsi="宋体"/>
          <w:b/>
          <w:bCs/>
          <w:sz w:val="32"/>
          <w:szCs w:val="32"/>
          <w:highlight w:val="none"/>
        </w:rPr>
        <w:t>法定代表人身份证明</w:t>
      </w:r>
    </w:p>
    <w:p w14:paraId="3B34B6DD">
      <w:pPr>
        <w:spacing w:line="560" w:lineRule="exact"/>
        <w:rPr>
          <w:rFonts w:ascii="宋体" w:hAnsi="宋体"/>
          <w:sz w:val="24"/>
          <w:highlight w:val="none"/>
        </w:rPr>
      </w:pPr>
    </w:p>
    <w:p w14:paraId="681F0B05">
      <w:pPr>
        <w:spacing w:line="480" w:lineRule="exact"/>
        <w:rPr>
          <w:rFonts w:ascii="宋体" w:hAnsi="宋体" w:cs="宋体"/>
          <w:sz w:val="24"/>
          <w:highlight w:val="none"/>
        </w:rPr>
      </w:pPr>
      <w:r>
        <w:rPr>
          <w:rFonts w:hint="eastAsia" w:ascii="宋体" w:hAnsi="宋体" w:cs="宋体"/>
          <w:sz w:val="24"/>
          <w:highlight w:val="none"/>
        </w:rPr>
        <w:t>投标人：</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3576C4F8">
      <w:pPr>
        <w:spacing w:line="480" w:lineRule="exact"/>
        <w:rPr>
          <w:rFonts w:ascii="宋体" w:hAnsi="宋体" w:cs="宋体"/>
          <w:sz w:val="24"/>
          <w:highlight w:val="none"/>
        </w:rPr>
      </w:pPr>
      <w:r>
        <w:rPr>
          <w:rFonts w:hint="eastAsia" w:ascii="宋体" w:hAnsi="宋体" w:cs="宋体"/>
          <w:sz w:val="24"/>
          <w:highlight w:val="none"/>
        </w:rPr>
        <w:t>单位性质：</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41C2699D">
      <w:pPr>
        <w:spacing w:line="480" w:lineRule="exact"/>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u w:val="single"/>
        </w:rPr>
        <w:t xml:space="preserve">                                   </w:t>
      </w:r>
    </w:p>
    <w:p w14:paraId="1E6A3C63">
      <w:pPr>
        <w:spacing w:line="480" w:lineRule="exact"/>
        <w:rPr>
          <w:rFonts w:ascii="宋体" w:hAnsi="宋体" w:cs="宋体"/>
          <w:sz w:val="24"/>
          <w:highlight w:val="none"/>
        </w:rPr>
      </w:pPr>
      <w:r>
        <w:rPr>
          <w:rFonts w:hint="eastAsia" w:ascii="宋体" w:hAnsi="宋体" w:cs="宋体"/>
          <w:sz w:val="24"/>
          <w:highlight w:val="none"/>
        </w:rPr>
        <w:t>成立时间：</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74FF1B8A">
      <w:pPr>
        <w:spacing w:line="480" w:lineRule="exact"/>
        <w:rPr>
          <w:rFonts w:ascii="宋体" w:hAnsi="宋体" w:cs="宋体"/>
          <w:sz w:val="24"/>
          <w:highlight w:val="none"/>
        </w:rPr>
      </w:pPr>
      <w:r>
        <w:rPr>
          <w:rFonts w:hint="eastAsia" w:ascii="宋体" w:hAnsi="宋体" w:cs="宋体"/>
          <w:sz w:val="24"/>
          <w:highlight w:val="none"/>
        </w:rPr>
        <w:t>经营期限：</w:t>
      </w:r>
      <w:r>
        <w:rPr>
          <w:rFonts w:hint="eastAsia" w:ascii="宋体" w:hAnsi="宋体" w:cs="宋体"/>
          <w:sz w:val="24"/>
          <w:highlight w:val="none"/>
          <w:u w:val="single"/>
        </w:rPr>
        <w:t xml:space="preserve">                               </w:t>
      </w:r>
    </w:p>
    <w:p w14:paraId="6FF75880">
      <w:pPr>
        <w:spacing w:line="480" w:lineRule="exact"/>
        <w:rPr>
          <w:rFonts w:ascii="宋体" w:hAnsi="宋体" w:cs="宋体"/>
          <w:sz w:val="24"/>
          <w:highlight w:val="none"/>
        </w:rPr>
      </w:pPr>
      <w:r>
        <w:rPr>
          <w:rFonts w:hint="eastAsia" w:ascii="宋体" w:hAnsi="宋体" w:cs="宋体"/>
          <w:sz w:val="24"/>
          <w:highlight w:val="none"/>
        </w:rPr>
        <w:t>姓名：</w:t>
      </w:r>
      <w:r>
        <w:rPr>
          <w:rFonts w:hint="eastAsia" w:ascii="宋体" w:hAnsi="宋体" w:cs="宋体"/>
          <w:sz w:val="24"/>
          <w:highlight w:val="none"/>
          <w:u w:val="single"/>
        </w:rPr>
        <w:t xml:space="preserve">         </w:t>
      </w:r>
      <w:r>
        <w:rPr>
          <w:rFonts w:hint="eastAsia" w:ascii="宋体" w:hAnsi="宋体" w:cs="宋体"/>
          <w:sz w:val="24"/>
          <w:highlight w:val="none"/>
        </w:rPr>
        <w:t xml:space="preserve"> 性别：</w:t>
      </w:r>
      <w:r>
        <w:rPr>
          <w:rFonts w:hint="eastAsia" w:ascii="宋体" w:hAnsi="宋体" w:cs="宋体"/>
          <w:sz w:val="24"/>
          <w:highlight w:val="none"/>
          <w:u w:val="single"/>
        </w:rPr>
        <w:t xml:space="preserve">         </w:t>
      </w:r>
      <w:r>
        <w:rPr>
          <w:rFonts w:hint="eastAsia" w:ascii="宋体" w:hAnsi="宋体" w:cs="宋体"/>
          <w:sz w:val="24"/>
          <w:highlight w:val="none"/>
        </w:rPr>
        <w:t>年龄：</w:t>
      </w:r>
      <w:r>
        <w:rPr>
          <w:rFonts w:hint="eastAsia" w:ascii="宋体" w:hAnsi="宋体" w:cs="宋体"/>
          <w:sz w:val="24"/>
          <w:highlight w:val="none"/>
          <w:u w:val="single"/>
        </w:rPr>
        <w:t xml:space="preserve">        </w:t>
      </w:r>
      <w:r>
        <w:rPr>
          <w:rFonts w:hint="eastAsia" w:ascii="宋体" w:hAnsi="宋体" w:cs="宋体"/>
          <w:sz w:val="24"/>
          <w:highlight w:val="none"/>
        </w:rPr>
        <w:t>职务：</w:t>
      </w:r>
      <w:r>
        <w:rPr>
          <w:rFonts w:hint="eastAsia" w:ascii="宋体" w:hAnsi="宋体" w:cs="宋体"/>
          <w:sz w:val="24"/>
          <w:highlight w:val="none"/>
          <w:u w:val="single"/>
        </w:rPr>
        <w:t xml:space="preserve">        </w:t>
      </w:r>
    </w:p>
    <w:p w14:paraId="2138BA52">
      <w:pPr>
        <w:spacing w:line="480" w:lineRule="exact"/>
        <w:rPr>
          <w:rFonts w:ascii="宋体" w:hAnsi="宋体" w:cs="宋体"/>
          <w:sz w:val="24"/>
          <w:highlight w:val="none"/>
        </w:rPr>
      </w:pPr>
      <w:r>
        <w:rPr>
          <w:rFonts w:hint="eastAsia" w:ascii="宋体" w:hAnsi="宋体" w:cs="宋体"/>
          <w:sz w:val="24"/>
          <w:highlight w:val="none"/>
        </w:rPr>
        <w:t>系</w:t>
      </w:r>
      <w:r>
        <w:rPr>
          <w:rFonts w:hint="eastAsia" w:ascii="宋体" w:hAnsi="宋体" w:cs="宋体"/>
          <w:sz w:val="24"/>
          <w:highlight w:val="none"/>
          <w:u w:val="single"/>
        </w:rPr>
        <w:t xml:space="preserve">                    </w:t>
      </w:r>
      <w:r>
        <w:rPr>
          <w:rFonts w:hint="eastAsia" w:ascii="宋体" w:hAnsi="宋体" w:cs="宋体"/>
          <w:sz w:val="24"/>
          <w:highlight w:val="none"/>
        </w:rPr>
        <w:t xml:space="preserve"> （投标人）的法定代表人。</w:t>
      </w:r>
    </w:p>
    <w:p w14:paraId="6A77884E">
      <w:pPr>
        <w:spacing w:line="480" w:lineRule="exact"/>
        <w:ind w:firstLine="480" w:firstLineChars="200"/>
        <w:rPr>
          <w:rFonts w:ascii="宋体" w:hAnsi="宋体" w:cs="宋体"/>
          <w:sz w:val="24"/>
          <w:highlight w:val="none"/>
        </w:rPr>
      </w:pPr>
      <w:r>
        <w:rPr>
          <w:rFonts w:hint="eastAsia" w:ascii="宋体" w:hAnsi="宋体" w:cs="宋体"/>
          <w:sz w:val="24"/>
          <w:highlight w:val="none"/>
        </w:rPr>
        <w:t>特此证明。</w:t>
      </w:r>
    </w:p>
    <w:p w14:paraId="6851B4CC">
      <w:pPr>
        <w:spacing w:line="480" w:lineRule="exact"/>
        <w:rPr>
          <w:rFonts w:ascii="宋体" w:hAnsi="宋体" w:cs="宋体"/>
          <w:sz w:val="24"/>
          <w:highlight w:val="none"/>
        </w:rPr>
      </w:pPr>
      <w:r>
        <w:rPr>
          <w:rFonts w:hint="eastAsia" w:ascii="宋体" w:hAnsi="宋体" w:cs="宋体"/>
          <w:sz w:val="24"/>
          <w:highlight w:val="none"/>
        </w:rPr>
        <w:t>投标人：</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sz w:val="24"/>
          <w:highlight w:val="none"/>
        </w:rPr>
        <w:t>盖电子公章</w:t>
      </w:r>
      <w:r>
        <w:rPr>
          <w:rFonts w:hint="eastAsia" w:ascii="宋体" w:hAnsi="宋体" w:cs="宋体"/>
          <w:sz w:val="24"/>
          <w:highlight w:val="none"/>
        </w:rPr>
        <w:t>）</w:t>
      </w:r>
    </w:p>
    <w:p w14:paraId="79FF3B18">
      <w:pPr>
        <w:pStyle w:val="9"/>
        <w:spacing w:line="480" w:lineRule="exact"/>
        <w:rPr>
          <w:rFonts w:hAnsi="宋体" w:cs="宋体"/>
          <w:sz w:val="24"/>
          <w:szCs w:val="24"/>
          <w:highlight w:val="none"/>
        </w:rPr>
      </w:pP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月</w:t>
      </w:r>
      <w:r>
        <w:rPr>
          <w:rFonts w:hint="eastAsia" w:hAnsi="宋体" w:cs="宋体"/>
          <w:sz w:val="24"/>
          <w:szCs w:val="24"/>
          <w:highlight w:val="none"/>
          <w:u w:val="single"/>
        </w:rPr>
        <w:t xml:space="preserve">       </w:t>
      </w:r>
      <w:r>
        <w:rPr>
          <w:rFonts w:hint="eastAsia" w:hAnsi="宋体" w:cs="宋体"/>
          <w:sz w:val="24"/>
          <w:szCs w:val="24"/>
          <w:highlight w:val="none"/>
        </w:rPr>
        <w:t>日</w:t>
      </w:r>
    </w:p>
    <w:p w14:paraId="5511F044">
      <w:pPr>
        <w:pStyle w:val="9"/>
        <w:ind w:firstLine="480" w:firstLineChars="200"/>
        <w:jc w:val="center"/>
        <w:rPr>
          <w:rFonts w:hAnsi="宋体" w:cs="宋体"/>
          <w:sz w:val="24"/>
          <w:szCs w:val="24"/>
          <w:highlight w:val="none"/>
        </w:rPr>
      </w:pPr>
    </w:p>
    <w:p w14:paraId="78737F9D">
      <w:pPr>
        <w:pStyle w:val="9"/>
        <w:ind w:firstLine="480" w:firstLineChars="200"/>
        <w:jc w:val="center"/>
        <w:rPr>
          <w:rFonts w:hAnsi="宋体" w:cs="宋体"/>
          <w:sz w:val="24"/>
          <w:szCs w:val="24"/>
          <w:highlight w:val="none"/>
        </w:rPr>
      </w:pPr>
    </w:p>
    <w:tbl>
      <w:tblPr>
        <w:tblStyle w:val="1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6"/>
      </w:tblGrid>
      <w:tr w14:paraId="1A47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6516" w:type="dxa"/>
            <w:tcBorders>
              <w:top w:val="single" w:color="auto" w:sz="4" w:space="0"/>
              <w:left w:val="single" w:color="auto" w:sz="4" w:space="0"/>
              <w:bottom w:val="single" w:color="auto" w:sz="4" w:space="0"/>
              <w:right w:val="single" w:color="auto" w:sz="4" w:space="0"/>
            </w:tcBorders>
            <w:vAlign w:val="center"/>
          </w:tcPr>
          <w:p w14:paraId="4B98C4ED">
            <w:pPr>
              <w:pStyle w:val="14"/>
              <w:ind w:firstLine="560"/>
              <w:jc w:val="center"/>
              <w:rPr>
                <w:highlight w:val="none"/>
              </w:rPr>
            </w:pPr>
            <w:r>
              <w:rPr>
                <w:rFonts w:hint="eastAsia"/>
                <w:kern w:val="2"/>
                <w:highlight w:val="none"/>
              </w:rPr>
              <w:t>（法定代表人身份证正反面扫描件）</w:t>
            </w:r>
          </w:p>
        </w:tc>
      </w:tr>
    </w:tbl>
    <w:p w14:paraId="7E508BBE">
      <w:pPr>
        <w:pStyle w:val="9"/>
        <w:spacing w:line="520" w:lineRule="exact"/>
        <w:jc w:val="center"/>
        <w:rPr>
          <w:rFonts w:hAnsi="宋体"/>
          <w:sz w:val="24"/>
          <w:highlight w:val="none"/>
        </w:rPr>
      </w:pPr>
    </w:p>
    <w:p w14:paraId="6194A787">
      <w:pPr>
        <w:pStyle w:val="9"/>
        <w:spacing w:line="520" w:lineRule="exact"/>
        <w:rPr>
          <w:rFonts w:hAnsi="宋体"/>
          <w:sz w:val="24"/>
          <w:highlight w:val="none"/>
        </w:rPr>
      </w:pPr>
    </w:p>
    <w:p w14:paraId="0BC1BA30">
      <w:pPr>
        <w:pStyle w:val="13"/>
        <w:jc w:val="center"/>
        <w:rPr>
          <w:b/>
          <w:bCs/>
          <w:sz w:val="32"/>
          <w:szCs w:val="32"/>
          <w:highlight w:val="none"/>
        </w:rPr>
      </w:pPr>
    </w:p>
    <w:p w14:paraId="5377B855">
      <w:pPr>
        <w:widowControl/>
        <w:spacing w:line="480" w:lineRule="exact"/>
        <w:jc w:val="center"/>
        <w:rPr>
          <w:rFonts w:ascii="宋体" w:hAnsi="宋体"/>
          <w:b/>
          <w:bCs/>
          <w:sz w:val="32"/>
          <w:szCs w:val="32"/>
          <w:highlight w:val="none"/>
        </w:rPr>
      </w:pPr>
    </w:p>
    <w:p w14:paraId="1F899C03">
      <w:pPr>
        <w:widowControl/>
        <w:spacing w:line="480" w:lineRule="exact"/>
        <w:jc w:val="center"/>
        <w:rPr>
          <w:rFonts w:ascii="宋体" w:hAnsi="宋体"/>
          <w:b/>
          <w:bCs/>
          <w:sz w:val="32"/>
          <w:szCs w:val="32"/>
          <w:highlight w:val="none"/>
        </w:rPr>
      </w:pPr>
    </w:p>
    <w:p w14:paraId="08F75172">
      <w:pPr>
        <w:widowControl/>
        <w:spacing w:line="480" w:lineRule="exact"/>
        <w:jc w:val="center"/>
        <w:rPr>
          <w:rFonts w:ascii="宋体" w:hAnsi="宋体"/>
          <w:b/>
          <w:bCs/>
          <w:sz w:val="32"/>
          <w:szCs w:val="32"/>
          <w:highlight w:val="none"/>
        </w:rPr>
      </w:pPr>
    </w:p>
    <w:p w14:paraId="357BE78C">
      <w:pPr>
        <w:widowControl/>
        <w:spacing w:line="480" w:lineRule="exact"/>
        <w:jc w:val="center"/>
        <w:rPr>
          <w:rFonts w:ascii="宋体" w:hAnsi="宋体"/>
          <w:b/>
          <w:bCs/>
          <w:sz w:val="32"/>
          <w:szCs w:val="32"/>
          <w:highlight w:val="none"/>
        </w:rPr>
      </w:pPr>
    </w:p>
    <w:p w14:paraId="24690685">
      <w:pPr>
        <w:widowControl/>
        <w:spacing w:line="480" w:lineRule="exact"/>
        <w:jc w:val="center"/>
        <w:rPr>
          <w:rFonts w:ascii="宋体" w:hAnsi="宋体"/>
          <w:b/>
          <w:bCs/>
          <w:sz w:val="32"/>
          <w:szCs w:val="32"/>
          <w:highlight w:val="none"/>
        </w:rPr>
      </w:pPr>
    </w:p>
    <w:p w14:paraId="5B369A66">
      <w:pPr>
        <w:widowControl/>
        <w:spacing w:line="480" w:lineRule="exact"/>
        <w:jc w:val="center"/>
        <w:rPr>
          <w:rFonts w:ascii="宋体" w:hAnsi="宋体"/>
          <w:b/>
          <w:bCs/>
          <w:sz w:val="32"/>
          <w:szCs w:val="32"/>
          <w:highlight w:val="none"/>
        </w:rPr>
      </w:pPr>
    </w:p>
    <w:p w14:paraId="68E554D0">
      <w:pPr>
        <w:widowControl/>
        <w:spacing w:line="480" w:lineRule="exact"/>
        <w:jc w:val="center"/>
        <w:rPr>
          <w:rFonts w:ascii="宋体" w:hAnsi="宋体"/>
          <w:b/>
          <w:bCs/>
          <w:sz w:val="32"/>
          <w:szCs w:val="32"/>
          <w:highlight w:val="none"/>
        </w:rPr>
      </w:pPr>
    </w:p>
    <w:p w14:paraId="3F545E05">
      <w:pPr>
        <w:widowControl/>
        <w:spacing w:line="480" w:lineRule="exact"/>
        <w:jc w:val="center"/>
        <w:rPr>
          <w:rFonts w:ascii="宋体" w:hAnsi="宋体"/>
          <w:b/>
          <w:bCs/>
          <w:sz w:val="32"/>
          <w:szCs w:val="32"/>
          <w:highlight w:val="none"/>
        </w:rPr>
      </w:pPr>
    </w:p>
    <w:p w14:paraId="7263083A">
      <w:pPr>
        <w:widowControl/>
        <w:spacing w:line="480" w:lineRule="exact"/>
        <w:jc w:val="center"/>
        <w:rPr>
          <w:rFonts w:ascii="宋体" w:hAnsi="宋体"/>
          <w:b/>
          <w:bCs/>
          <w:sz w:val="32"/>
          <w:szCs w:val="32"/>
          <w:highlight w:val="none"/>
        </w:rPr>
      </w:pPr>
    </w:p>
    <w:p w14:paraId="42CC2873">
      <w:pPr>
        <w:widowControl/>
        <w:spacing w:line="480" w:lineRule="exact"/>
        <w:jc w:val="center"/>
        <w:rPr>
          <w:rFonts w:ascii="宋体" w:hAnsi="宋体"/>
          <w:b/>
          <w:bCs/>
          <w:sz w:val="32"/>
          <w:szCs w:val="32"/>
          <w:highlight w:val="none"/>
        </w:rPr>
      </w:pPr>
    </w:p>
    <w:p w14:paraId="273F3EC3">
      <w:pPr>
        <w:widowControl/>
        <w:spacing w:line="480" w:lineRule="exact"/>
        <w:jc w:val="center"/>
        <w:rPr>
          <w:rFonts w:ascii="宋体" w:hAnsi="宋体"/>
          <w:b/>
          <w:bCs/>
          <w:sz w:val="32"/>
          <w:szCs w:val="32"/>
          <w:highlight w:val="none"/>
        </w:rPr>
      </w:pPr>
    </w:p>
    <w:p w14:paraId="15D1021B">
      <w:pPr>
        <w:widowControl/>
        <w:spacing w:line="480" w:lineRule="exact"/>
        <w:jc w:val="center"/>
        <w:rPr>
          <w:rFonts w:ascii="宋体" w:hAnsi="宋体"/>
          <w:b/>
          <w:bCs/>
          <w:sz w:val="32"/>
          <w:szCs w:val="32"/>
          <w:highlight w:val="none"/>
        </w:rPr>
      </w:pPr>
    </w:p>
    <w:p w14:paraId="2FCA0FF1">
      <w:pPr>
        <w:widowControl/>
        <w:spacing w:line="480" w:lineRule="exact"/>
        <w:jc w:val="center"/>
        <w:rPr>
          <w:rFonts w:ascii="宋体" w:hAnsi="宋体"/>
          <w:b/>
          <w:bCs/>
          <w:sz w:val="32"/>
          <w:szCs w:val="32"/>
          <w:highlight w:val="none"/>
        </w:rPr>
      </w:pPr>
    </w:p>
    <w:p w14:paraId="54890522">
      <w:pPr>
        <w:widowControl/>
        <w:spacing w:line="480" w:lineRule="exact"/>
        <w:jc w:val="center"/>
        <w:rPr>
          <w:rFonts w:ascii="宋体" w:hAnsi="宋体"/>
          <w:b/>
          <w:bCs/>
          <w:sz w:val="32"/>
          <w:szCs w:val="32"/>
          <w:highlight w:val="none"/>
        </w:rPr>
      </w:pPr>
      <w:r>
        <w:rPr>
          <w:rFonts w:hint="eastAsia" w:ascii="宋体" w:hAnsi="宋体"/>
          <w:b/>
          <w:bCs/>
          <w:sz w:val="32"/>
          <w:szCs w:val="32"/>
          <w:highlight w:val="none"/>
        </w:rPr>
        <w:t>法人授权委托书</w:t>
      </w:r>
    </w:p>
    <w:p w14:paraId="575B5C12">
      <w:pPr>
        <w:pStyle w:val="9"/>
        <w:spacing w:line="520" w:lineRule="exact"/>
        <w:ind w:firstLine="1110"/>
        <w:jc w:val="center"/>
        <w:rPr>
          <w:rFonts w:hAnsi="宋体" w:cs="宋体"/>
          <w:b/>
          <w:bCs/>
          <w:sz w:val="28"/>
          <w:highlight w:val="none"/>
        </w:rPr>
      </w:pPr>
    </w:p>
    <w:p w14:paraId="0B486F78">
      <w:pPr>
        <w:pStyle w:val="9"/>
        <w:spacing w:line="520" w:lineRule="exact"/>
        <w:ind w:firstLine="480" w:firstLineChars="200"/>
        <w:rPr>
          <w:rFonts w:hAnsi="宋体" w:cs="宋体"/>
          <w:sz w:val="24"/>
          <w:szCs w:val="24"/>
          <w:highlight w:val="none"/>
        </w:rPr>
      </w:pPr>
      <w:r>
        <w:rPr>
          <w:rFonts w:hint="eastAsia" w:hAnsi="宋体" w:cs="宋体"/>
          <w:sz w:val="24"/>
          <w:szCs w:val="24"/>
          <w:highlight w:val="none"/>
        </w:rPr>
        <w:t>本授权书声明：注册于</w:t>
      </w:r>
      <w:r>
        <w:rPr>
          <w:rFonts w:hint="eastAsia" w:hAnsi="宋体" w:cs="宋体"/>
          <w:sz w:val="24"/>
          <w:szCs w:val="24"/>
          <w:highlight w:val="none"/>
          <w:u w:val="single"/>
        </w:rPr>
        <w:t xml:space="preserve">      (国家或地区的名称)  </w:t>
      </w:r>
      <w:r>
        <w:rPr>
          <w:rFonts w:hint="eastAsia" w:hAnsi="宋体" w:cs="宋体"/>
          <w:sz w:val="24"/>
          <w:szCs w:val="24"/>
          <w:highlight w:val="none"/>
        </w:rPr>
        <w:t>的</w:t>
      </w:r>
      <w:r>
        <w:rPr>
          <w:rFonts w:hint="eastAsia" w:hAnsi="宋体" w:cs="宋体"/>
          <w:sz w:val="24"/>
          <w:szCs w:val="24"/>
          <w:highlight w:val="none"/>
          <w:u w:val="single"/>
        </w:rPr>
        <w:t xml:space="preserve">     (公司名称)  </w:t>
      </w:r>
      <w:r>
        <w:rPr>
          <w:rFonts w:hint="eastAsia" w:hAnsi="宋体" w:cs="宋体"/>
          <w:sz w:val="24"/>
          <w:szCs w:val="24"/>
          <w:highlight w:val="none"/>
        </w:rPr>
        <w:t>的</w:t>
      </w:r>
      <w:r>
        <w:rPr>
          <w:rFonts w:hint="eastAsia" w:hAnsi="宋体" w:cs="宋体"/>
          <w:sz w:val="24"/>
          <w:szCs w:val="24"/>
          <w:highlight w:val="none"/>
          <w:u w:val="single"/>
        </w:rPr>
        <w:t xml:space="preserve"> (法人代表姓名、职务)  </w:t>
      </w:r>
      <w:r>
        <w:rPr>
          <w:rFonts w:hint="eastAsia" w:hAnsi="宋体" w:cs="宋体"/>
          <w:sz w:val="24"/>
          <w:szCs w:val="24"/>
          <w:highlight w:val="none"/>
        </w:rPr>
        <w:t>，代表本公司授权</w:t>
      </w:r>
      <w:r>
        <w:rPr>
          <w:rFonts w:hint="eastAsia" w:hAnsi="宋体" w:cs="宋体"/>
          <w:sz w:val="24"/>
          <w:szCs w:val="24"/>
          <w:highlight w:val="none"/>
          <w:u w:val="single"/>
        </w:rPr>
        <w:t xml:space="preserve">            (被授权人的姓名、职务)</w:t>
      </w:r>
      <w:r>
        <w:rPr>
          <w:rFonts w:hint="eastAsia" w:hAnsi="宋体" w:cs="宋体"/>
          <w:sz w:val="24"/>
          <w:szCs w:val="24"/>
          <w:highlight w:val="none"/>
        </w:rPr>
        <w:t>为本公司的合法代理人，参加编号为</w:t>
      </w:r>
      <w:r>
        <w:rPr>
          <w:rFonts w:hAnsi="宋体" w:cs="宋体"/>
          <w:sz w:val="24"/>
          <w:szCs w:val="24"/>
          <w:highlight w:val="none"/>
          <w:u w:val="single"/>
        </w:rPr>
        <w:t xml:space="preserve">         </w:t>
      </w:r>
      <w:r>
        <w:rPr>
          <w:rFonts w:hint="eastAsia" w:hAnsi="宋体" w:cs="宋体"/>
          <w:sz w:val="24"/>
          <w:szCs w:val="24"/>
          <w:highlight w:val="none"/>
        </w:rPr>
        <w:t>号的公开招标采购活动，以本公司名义处理一切与之有关的事宜。</w:t>
      </w:r>
    </w:p>
    <w:p w14:paraId="7B14DC60">
      <w:pPr>
        <w:pStyle w:val="9"/>
        <w:spacing w:line="520" w:lineRule="exact"/>
        <w:ind w:firstLine="480" w:firstLineChars="200"/>
        <w:rPr>
          <w:rFonts w:hAnsi="宋体" w:cs="宋体"/>
          <w:sz w:val="24"/>
          <w:szCs w:val="24"/>
          <w:highlight w:val="none"/>
        </w:rPr>
      </w:pPr>
      <w:r>
        <w:rPr>
          <w:rFonts w:hint="eastAsia" w:hAnsi="宋体" w:cs="宋体"/>
          <w:sz w:val="24"/>
          <w:szCs w:val="24"/>
          <w:highlight w:val="none"/>
        </w:rPr>
        <w:t>如果本公司在此次采购活动中中标，被授权人有权代表本公司签署采购合同。</w:t>
      </w:r>
    </w:p>
    <w:p w14:paraId="73CC7F53">
      <w:pPr>
        <w:pStyle w:val="9"/>
        <w:spacing w:line="520" w:lineRule="exact"/>
        <w:ind w:firstLine="480" w:firstLineChars="200"/>
        <w:rPr>
          <w:rFonts w:hAnsi="宋体" w:cs="宋体"/>
          <w:sz w:val="24"/>
          <w:szCs w:val="24"/>
          <w:highlight w:val="none"/>
        </w:rPr>
      </w:pPr>
      <w:r>
        <w:rPr>
          <w:rFonts w:hint="eastAsia" w:hAnsi="宋体" w:cs="宋体"/>
          <w:sz w:val="24"/>
          <w:szCs w:val="24"/>
          <w:highlight w:val="none"/>
        </w:rPr>
        <w:t>本授权书于</w:t>
      </w:r>
      <w:r>
        <w:rPr>
          <w:rFonts w:hint="eastAsia" w:hAnsi="宋体" w:cs="宋体"/>
          <w:sz w:val="24"/>
          <w:szCs w:val="24"/>
          <w:highlight w:val="none"/>
          <w:u w:val="single"/>
        </w:rPr>
        <w:t xml:space="preserve">      </w:t>
      </w:r>
      <w:r>
        <w:rPr>
          <w:rFonts w:hint="eastAsia" w:hAnsi="宋体" w:cs="宋体"/>
          <w:sz w:val="24"/>
          <w:szCs w:val="24"/>
          <w:highlight w:val="none"/>
        </w:rPr>
        <w:t>年</w:t>
      </w:r>
      <w:r>
        <w:rPr>
          <w:rFonts w:hint="eastAsia" w:hAnsi="宋体" w:cs="宋体"/>
          <w:sz w:val="24"/>
          <w:szCs w:val="24"/>
          <w:highlight w:val="none"/>
          <w:u w:val="single"/>
        </w:rPr>
        <w:t xml:space="preserve">    </w:t>
      </w:r>
      <w:r>
        <w:rPr>
          <w:rFonts w:hint="eastAsia" w:hAnsi="宋体" w:cs="宋体"/>
          <w:sz w:val="24"/>
          <w:szCs w:val="24"/>
          <w:highlight w:val="none"/>
        </w:rPr>
        <w:t>月</w:t>
      </w:r>
      <w:r>
        <w:rPr>
          <w:rFonts w:hint="eastAsia" w:hAnsi="宋体" w:cs="宋体"/>
          <w:sz w:val="24"/>
          <w:szCs w:val="24"/>
          <w:highlight w:val="none"/>
          <w:u w:val="single"/>
        </w:rPr>
        <w:t xml:space="preserve">    </w:t>
      </w:r>
      <w:r>
        <w:rPr>
          <w:rFonts w:hint="eastAsia" w:hAnsi="宋体" w:cs="宋体"/>
          <w:sz w:val="24"/>
          <w:szCs w:val="24"/>
          <w:highlight w:val="none"/>
        </w:rPr>
        <w:t>日法定代表人签字或盖章并由单位盖章生效，特此声明。</w:t>
      </w:r>
    </w:p>
    <w:p w14:paraId="07C16D2B">
      <w:pPr>
        <w:pStyle w:val="9"/>
        <w:spacing w:line="520" w:lineRule="exact"/>
        <w:ind w:firstLine="480"/>
        <w:rPr>
          <w:rFonts w:hAnsi="宋体" w:cs="宋体"/>
          <w:sz w:val="24"/>
          <w:szCs w:val="24"/>
          <w:highlight w:val="none"/>
        </w:rPr>
      </w:pPr>
      <w:r>
        <w:rPr>
          <w:rFonts w:hint="eastAsia" w:hAnsi="宋体" w:cs="宋体"/>
          <w:sz w:val="24"/>
          <w:szCs w:val="24"/>
          <w:highlight w:val="none"/>
        </w:rPr>
        <w:t>被授权人无转委托权。</w:t>
      </w:r>
    </w:p>
    <w:p w14:paraId="1ADD3435">
      <w:pPr>
        <w:spacing w:line="460" w:lineRule="exact"/>
        <w:rPr>
          <w:rFonts w:ascii="宋体" w:hAnsi="宋体"/>
          <w:sz w:val="24"/>
          <w:highlight w:val="none"/>
        </w:rPr>
      </w:pPr>
    </w:p>
    <w:p w14:paraId="4295F2CB">
      <w:pPr>
        <w:spacing w:line="460" w:lineRule="exact"/>
        <w:ind w:firstLine="480" w:firstLineChars="200"/>
        <w:rPr>
          <w:rFonts w:ascii="宋体" w:hAnsi="宋体"/>
          <w:sz w:val="24"/>
          <w:highlight w:val="none"/>
        </w:rPr>
      </w:pPr>
      <w:r>
        <w:rPr>
          <w:rFonts w:hint="eastAsia" w:ascii="宋体" w:hAnsi="宋体"/>
          <w:sz w:val="24"/>
          <w:highlight w:val="none"/>
        </w:rPr>
        <w:t xml:space="preserve">投标人（盖电子公章）： </w:t>
      </w:r>
    </w:p>
    <w:p w14:paraId="31E22E98">
      <w:pPr>
        <w:spacing w:line="460" w:lineRule="exact"/>
        <w:ind w:firstLine="3960" w:firstLineChars="1650"/>
        <w:rPr>
          <w:rFonts w:ascii="宋体" w:hAnsi="宋体"/>
          <w:sz w:val="24"/>
          <w:highlight w:val="none"/>
        </w:rPr>
      </w:pPr>
    </w:p>
    <w:p w14:paraId="04435693">
      <w:pPr>
        <w:spacing w:line="460" w:lineRule="exact"/>
        <w:ind w:firstLine="480" w:firstLineChars="200"/>
        <w:rPr>
          <w:rFonts w:ascii="宋体" w:hAnsi="宋体"/>
          <w:sz w:val="24"/>
          <w:highlight w:val="none"/>
        </w:rPr>
      </w:pPr>
      <w:r>
        <w:rPr>
          <w:rFonts w:hint="eastAsia" w:ascii="宋体" w:hAnsi="宋体"/>
          <w:sz w:val="24"/>
          <w:highlight w:val="none"/>
        </w:rPr>
        <w:t>法定代表人（签字或盖章）：</w:t>
      </w:r>
    </w:p>
    <w:p w14:paraId="3B8A2C9C">
      <w:pPr>
        <w:pStyle w:val="9"/>
        <w:spacing w:line="460" w:lineRule="exact"/>
        <w:rPr>
          <w:rFonts w:hAnsi="宋体" w:cs="宋体"/>
          <w:b/>
          <w:sz w:val="24"/>
          <w:szCs w:val="24"/>
          <w:highlight w:val="none"/>
        </w:rPr>
      </w:pPr>
    </w:p>
    <w:p w14:paraId="7C62CF47">
      <w:pPr>
        <w:pStyle w:val="9"/>
        <w:spacing w:line="460" w:lineRule="exact"/>
        <w:rPr>
          <w:rFonts w:hAnsi="宋体" w:cs="宋体"/>
          <w:b/>
          <w:sz w:val="24"/>
          <w:szCs w:val="24"/>
          <w:highlight w:val="none"/>
        </w:rPr>
      </w:pPr>
    </w:p>
    <w:tbl>
      <w:tblPr>
        <w:tblStyle w:val="1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2"/>
      </w:tblGrid>
      <w:tr w14:paraId="00E1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6062" w:type="dxa"/>
            <w:vAlign w:val="center"/>
          </w:tcPr>
          <w:p w14:paraId="6A06727A">
            <w:pPr>
              <w:pStyle w:val="14"/>
              <w:spacing w:line="460" w:lineRule="exact"/>
              <w:jc w:val="center"/>
              <w:rPr>
                <w:highlight w:val="none"/>
              </w:rPr>
            </w:pPr>
            <w:r>
              <w:rPr>
                <w:rFonts w:hint="eastAsia"/>
                <w:kern w:val="2"/>
                <w:highlight w:val="none"/>
              </w:rPr>
              <w:t>（被授权人身份证正反面扫描件）</w:t>
            </w:r>
          </w:p>
        </w:tc>
      </w:tr>
    </w:tbl>
    <w:p w14:paraId="69D970A6">
      <w:pPr>
        <w:pStyle w:val="9"/>
        <w:spacing w:line="460" w:lineRule="exact"/>
        <w:jc w:val="center"/>
        <w:rPr>
          <w:rFonts w:hAnsi="宋体" w:cs="宋体"/>
          <w:b/>
          <w:sz w:val="24"/>
          <w:szCs w:val="24"/>
          <w:highlight w:val="none"/>
        </w:rPr>
      </w:pPr>
    </w:p>
    <w:p w14:paraId="31DFB20C">
      <w:pPr>
        <w:spacing w:line="460" w:lineRule="exact"/>
        <w:rPr>
          <w:rFonts w:ascii="宋体" w:hAnsi="宋体" w:cs="宋体"/>
          <w:sz w:val="24"/>
          <w:highlight w:val="none"/>
        </w:rPr>
      </w:pPr>
    </w:p>
    <w:p w14:paraId="019A4A5D">
      <w:pPr>
        <w:spacing w:line="460" w:lineRule="exact"/>
        <w:rPr>
          <w:rFonts w:ascii="宋体" w:hAnsi="宋体" w:cs="宋体"/>
          <w:sz w:val="24"/>
          <w:highlight w:val="none"/>
        </w:rPr>
      </w:pPr>
    </w:p>
    <w:p w14:paraId="2D99668B">
      <w:pPr>
        <w:spacing w:line="460" w:lineRule="exact"/>
        <w:rPr>
          <w:rFonts w:ascii="宋体" w:hAnsi="宋体" w:cs="宋体"/>
          <w:sz w:val="24"/>
          <w:highlight w:val="none"/>
        </w:rPr>
      </w:pPr>
    </w:p>
    <w:p w14:paraId="3DA93A8C">
      <w:pPr>
        <w:spacing w:line="460" w:lineRule="exact"/>
        <w:rPr>
          <w:rFonts w:ascii="宋体" w:hAnsi="宋体" w:cs="宋体"/>
          <w:sz w:val="24"/>
          <w:highlight w:val="none"/>
        </w:rPr>
      </w:pPr>
    </w:p>
    <w:p w14:paraId="1581DA93">
      <w:pPr>
        <w:spacing w:line="460" w:lineRule="exact"/>
        <w:rPr>
          <w:rFonts w:ascii="宋体" w:hAnsi="宋体" w:cs="宋体"/>
          <w:sz w:val="24"/>
          <w:highlight w:val="none"/>
        </w:rPr>
      </w:pPr>
    </w:p>
    <w:p w14:paraId="3E7E2C1E">
      <w:pPr>
        <w:pStyle w:val="4"/>
        <w:spacing w:line="460" w:lineRule="exact"/>
        <w:jc w:val="center"/>
        <w:rPr>
          <w:rFonts w:ascii="宋体" w:hAnsi="宋体" w:eastAsia="宋体"/>
          <w:b/>
          <w:sz w:val="24"/>
          <w:szCs w:val="24"/>
          <w:highlight w:val="none"/>
        </w:rPr>
      </w:pPr>
    </w:p>
    <w:p w14:paraId="54E8DDC7">
      <w:pPr>
        <w:spacing w:line="360" w:lineRule="exact"/>
        <w:ind w:firstLine="4216" w:firstLineChars="1400"/>
        <w:jc w:val="right"/>
        <w:rPr>
          <w:rFonts w:ascii="宋体" w:hAnsi="宋体"/>
          <w:b/>
          <w:bCs/>
          <w:sz w:val="30"/>
          <w:szCs w:val="30"/>
          <w:highlight w:val="none"/>
        </w:rPr>
      </w:pPr>
    </w:p>
    <w:p w14:paraId="587B5ABB">
      <w:pPr>
        <w:spacing w:line="460" w:lineRule="exact"/>
        <w:ind w:firstLine="480" w:firstLineChars="200"/>
        <w:rPr>
          <w:rFonts w:ascii="宋体" w:hAnsi="宋体"/>
          <w:sz w:val="24"/>
          <w:highlight w:val="none"/>
        </w:rPr>
      </w:pPr>
      <w:r>
        <w:rPr>
          <w:rFonts w:hint="eastAsia" w:ascii="宋体" w:hAnsi="宋体"/>
          <w:sz w:val="24"/>
          <w:highlight w:val="none"/>
        </w:rPr>
        <w:t>注：若由法定代表人亲自签署投标文件并参与相关活动，则无需提供授权委托书；若为授权委托代理人，则需提供授权委托书。</w:t>
      </w:r>
    </w:p>
    <w:p w14:paraId="21BB50AD">
      <w:pPr>
        <w:spacing w:line="520" w:lineRule="exact"/>
        <w:jc w:val="center"/>
        <w:rPr>
          <w:rFonts w:ascii="宋体" w:hAnsi="宋体" w:cs="宋体"/>
          <w:sz w:val="28"/>
          <w:szCs w:val="28"/>
          <w:highlight w:val="none"/>
        </w:rPr>
      </w:pPr>
      <w:r>
        <w:rPr>
          <w:b/>
          <w:bCs/>
          <w:sz w:val="30"/>
          <w:szCs w:val="30"/>
          <w:highlight w:val="none"/>
        </w:rPr>
        <w:br w:type="page"/>
      </w:r>
      <w:r>
        <w:rPr>
          <w:rFonts w:hint="eastAsia" w:ascii="宋体" w:hAnsi="宋体"/>
          <w:b/>
          <w:bCs/>
          <w:sz w:val="32"/>
          <w:szCs w:val="32"/>
          <w:highlight w:val="none"/>
        </w:rPr>
        <w:t>投标人信用承诺书</w:t>
      </w:r>
    </w:p>
    <w:p w14:paraId="18D782D7">
      <w:pPr>
        <w:spacing w:line="440" w:lineRule="exact"/>
        <w:ind w:firstLine="574" w:firstLineChars="205"/>
        <w:rPr>
          <w:rFonts w:ascii="宋体" w:hAnsi="宋体" w:cs="宋体"/>
          <w:sz w:val="28"/>
          <w:szCs w:val="28"/>
          <w:highlight w:val="none"/>
        </w:rPr>
      </w:pPr>
    </w:p>
    <w:p w14:paraId="40A72035">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为营造公平竞争、规范有序的市场环境，树立诚信守法经营形象。本单位郑重承诺：</w:t>
      </w:r>
    </w:p>
    <w:p w14:paraId="3B76C463">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一、我方在此声明，本次招标投标活动中申报的所有资料都是真实、准确完整的，如发现提供虚假资料，或与事实不符而导致报价无效，甚至造成任何法律和经济责任，完全由我方负责。</w:t>
      </w:r>
    </w:p>
    <w:p w14:paraId="5D76B269">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二、我方在本次投标活动中绝无资质挂靠、串标、围标情形，若经贵方查出，立即取消我方报价资格并承担相应的法律责任。</w:t>
      </w:r>
    </w:p>
    <w:p w14:paraId="08198501">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三、我方在以往的招标投标活动中，无重大违法、违规的不良记录；或虽有不良记录，但已超过处理期限。</w:t>
      </w:r>
    </w:p>
    <w:p w14:paraId="62AE29FA">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四、我方（含投标人、法定代表人及委托代理人）承诺近三年无行贿犯罪记录。如有不实，愿意承担一切后果。</w:t>
      </w:r>
    </w:p>
    <w:p w14:paraId="2C103BF9">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五、我方一旦中标，将按规定及时与采购人签订合同，严格按照投标文件中所承诺的报价、质量、服务期等内容组织实施。</w:t>
      </w:r>
    </w:p>
    <w:p w14:paraId="28C571C9">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六、自觉接受社会各界的监督，依法接受有关行政机关的事中事后监管和执法检查，并如实提供有关情况和材料。</w:t>
      </w:r>
    </w:p>
    <w:p w14:paraId="44D23F4A">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七、严格遵守国家法律、法规、规章和相关政策规定，积极参与社会信用体系建设，倡树以信笃行，以诚兴业的传统美德，争当信用市民，争创信用企业。</w:t>
      </w:r>
    </w:p>
    <w:p w14:paraId="6CB6AB9C">
      <w:pPr>
        <w:spacing w:line="520" w:lineRule="exact"/>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八、本《信用承诺书》同意向社会公开。</w:t>
      </w:r>
    </w:p>
    <w:p w14:paraId="34DC2226">
      <w:pPr>
        <w:pStyle w:val="22"/>
        <w:rPr>
          <w:rFonts w:ascii="宋体" w:hAnsi="宋体" w:eastAsia="宋体" w:cs="宋体"/>
          <w:sz w:val="22"/>
          <w:szCs w:val="22"/>
          <w:highlight w:val="none"/>
        </w:rPr>
      </w:pPr>
    </w:p>
    <w:p w14:paraId="6A207854">
      <w:pPr>
        <w:spacing w:line="520" w:lineRule="exact"/>
        <w:rPr>
          <w:rFonts w:ascii="宋体" w:hAnsi="宋体" w:cs="宋体"/>
          <w:color w:val="000000"/>
          <w:kern w:val="0"/>
          <w:sz w:val="24"/>
          <w:highlight w:val="none"/>
        </w:rPr>
      </w:pPr>
      <w:r>
        <w:rPr>
          <w:rFonts w:hint="eastAsia" w:ascii="宋体" w:hAnsi="宋体" w:cs="宋体"/>
          <w:color w:val="000000"/>
          <w:kern w:val="0"/>
          <w:sz w:val="24"/>
          <w:highlight w:val="none"/>
        </w:rPr>
        <w:t>承诺单位：                          （盖章）</w:t>
      </w:r>
    </w:p>
    <w:p w14:paraId="22FEF419">
      <w:pPr>
        <w:pStyle w:val="22"/>
        <w:rPr>
          <w:rFonts w:ascii="宋体" w:hAnsi="宋体" w:eastAsia="宋体" w:cs="宋体"/>
          <w:sz w:val="22"/>
          <w:szCs w:val="22"/>
          <w:highlight w:val="none"/>
        </w:rPr>
      </w:pPr>
    </w:p>
    <w:p w14:paraId="37FF1970">
      <w:pPr>
        <w:spacing w:line="500" w:lineRule="exact"/>
        <w:ind w:firstLine="480" w:firstLineChars="200"/>
        <w:rPr>
          <w:rFonts w:ascii="宋体" w:hAnsi="宋体" w:cs="宋体"/>
          <w:b/>
          <w:sz w:val="24"/>
          <w:highlight w:val="none"/>
        </w:rPr>
      </w:pPr>
      <w:r>
        <w:rPr>
          <w:rFonts w:hint="eastAsia" w:ascii="宋体" w:hAnsi="宋体" w:cs="宋体"/>
          <w:color w:val="000000"/>
          <w:kern w:val="0"/>
          <w:sz w:val="24"/>
          <w:highlight w:val="none"/>
        </w:rPr>
        <w:t xml:space="preserve">                                    年   月   日</w:t>
      </w:r>
    </w:p>
    <w:p w14:paraId="1B7DECE7">
      <w:pPr>
        <w:spacing w:line="520" w:lineRule="exact"/>
        <w:ind w:firstLine="480" w:firstLineChars="200"/>
        <w:rPr>
          <w:rFonts w:ascii="宋体" w:hAnsi="宋体"/>
          <w:sz w:val="24"/>
          <w:highlight w:val="none"/>
        </w:rPr>
      </w:pPr>
    </w:p>
    <w:p w14:paraId="58562338">
      <w:pPr>
        <w:pStyle w:val="5"/>
        <w:rPr>
          <w:highlight w:val="none"/>
        </w:rPr>
      </w:pPr>
    </w:p>
    <w:p w14:paraId="353212A0">
      <w:pPr>
        <w:pStyle w:val="5"/>
        <w:rPr>
          <w:highlight w:val="none"/>
        </w:rPr>
      </w:pPr>
    </w:p>
    <w:p w14:paraId="2212A046">
      <w:pPr>
        <w:pStyle w:val="5"/>
        <w:rPr>
          <w:highlight w:val="none"/>
        </w:rPr>
      </w:pPr>
    </w:p>
    <w:p w14:paraId="64F9863A">
      <w:pPr>
        <w:pStyle w:val="5"/>
        <w:rPr>
          <w:highlight w:val="none"/>
        </w:rPr>
      </w:pPr>
    </w:p>
    <w:p w14:paraId="1C9BC1E9">
      <w:pPr>
        <w:pStyle w:val="5"/>
        <w:rPr>
          <w:highlight w:val="none"/>
        </w:rPr>
      </w:pPr>
    </w:p>
    <w:p w14:paraId="3FFB527F">
      <w:pPr>
        <w:widowControl/>
        <w:spacing w:line="480" w:lineRule="exact"/>
        <w:jc w:val="center"/>
        <w:rPr>
          <w:rFonts w:ascii="宋体" w:hAnsi="宋体"/>
          <w:b/>
          <w:kern w:val="0"/>
          <w:sz w:val="32"/>
          <w:szCs w:val="36"/>
          <w:highlight w:val="none"/>
        </w:rPr>
      </w:pPr>
      <w:r>
        <w:rPr>
          <w:rFonts w:hint="eastAsia" w:ascii="宋体" w:hAnsi="宋体"/>
          <w:b/>
          <w:kern w:val="0"/>
          <w:sz w:val="32"/>
          <w:szCs w:val="36"/>
          <w:highlight w:val="none"/>
        </w:rPr>
        <w:t>投标人参与投标的声明函</w:t>
      </w:r>
    </w:p>
    <w:p w14:paraId="5A925366">
      <w:pPr>
        <w:pStyle w:val="9"/>
        <w:spacing w:line="520" w:lineRule="exact"/>
        <w:jc w:val="right"/>
        <w:rPr>
          <w:rFonts w:hAnsi="宋体"/>
          <w:b/>
          <w:bCs/>
          <w:sz w:val="28"/>
          <w:szCs w:val="28"/>
          <w:highlight w:val="none"/>
        </w:rPr>
      </w:pPr>
    </w:p>
    <w:p w14:paraId="71B61017">
      <w:pPr>
        <w:pStyle w:val="9"/>
        <w:spacing w:line="460" w:lineRule="exact"/>
        <w:rPr>
          <w:rFonts w:hAnsi="宋体"/>
          <w:sz w:val="24"/>
          <w:szCs w:val="24"/>
          <w:highlight w:val="none"/>
        </w:rPr>
      </w:pPr>
      <w:r>
        <w:rPr>
          <w:rFonts w:hint="eastAsia" w:hAnsi="宋体"/>
          <w:sz w:val="24"/>
          <w:szCs w:val="24"/>
          <w:highlight w:val="none"/>
        </w:rPr>
        <w:t>本单位郑重承诺如下：</w:t>
      </w:r>
    </w:p>
    <w:p w14:paraId="284E2ED1">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1、具有独立承担民事责任的能力；</w:t>
      </w:r>
    </w:p>
    <w:p w14:paraId="08EC7A77">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2、具有有效的食品生产许可证或食品经营许可证；</w:t>
      </w:r>
    </w:p>
    <w:p w14:paraId="3DA18D2F">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3、具有良好的商业信誉和健全的财务会计制度；</w:t>
      </w:r>
    </w:p>
    <w:p w14:paraId="49130BBC">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4、具有履行合同所必须的设备和人员，并能提供优质的服务；</w:t>
      </w:r>
    </w:p>
    <w:p w14:paraId="25A870DD">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5、具有依法缴纳税收和社会保障资金的良好记录；</w:t>
      </w:r>
    </w:p>
    <w:p w14:paraId="3A7A264B">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6、参加本次招标活动前三年内，在经营活动中没有重大违法记录；</w:t>
      </w:r>
    </w:p>
    <w:p w14:paraId="623EDED2">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 xml:space="preserve">7、投标人、法定代表人、委托代理人未被最高法院列入失信被执行人； </w:t>
      </w:r>
    </w:p>
    <w:p w14:paraId="21065664">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8、投标人近一年在“信用中国”或“信用中国（山东）”无严重失信记录；</w:t>
      </w:r>
    </w:p>
    <w:p w14:paraId="5751C509">
      <w:pPr>
        <w:spacing w:line="460" w:lineRule="exact"/>
        <w:ind w:firstLine="480" w:firstLineChars="200"/>
        <w:rPr>
          <w:rFonts w:ascii="宋体" w:hAnsi="宋体" w:cs="宋体"/>
          <w:sz w:val="24"/>
          <w:szCs w:val="22"/>
          <w:highlight w:val="none"/>
        </w:rPr>
      </w:pPr>
      <w:r>
        <w:rPr>
          <w:rFonts w:hint="eastAsia" w:ascii="宋体" w:hAnsi="宋体" w:cs="宋体"/>
          <w:sz w:val="24"/>
          <w:szCs w:val="22"/>
          <w:highlight w:val="none"/>
        </w:rPr>
        <w:t>9、法律、行政法规及招标文件规定的其他要求；</w:t>
      </w:r>
    </w:p>
    <w:p w14:paraId="4BCFA1C6">
      <w:pPr>
        <w:pStyle w:val="9"/>
        <w:spacing w:line="460" w:lineRule="exact"/>
        <w:ind w:firstLine="480" w:firstLineChars="200"/>
        <w:rPr>
          <w:rFonts w:hAnsi="宋体"/>
          <w:sz w:val="24"/>
          <w:szCs w:val="24"/>
          <w:highlight w:val="none"/>
        </w:rPr>
      </w:pPr>
      <w:r>
        <w:rPr>
          <w:rFonts w:hint="eastAsia" w:hAnsi="宋体"/>
          <w:sz w:val="24"/>
          <w:szCs w:val="24"/>
          <w:highlight w:val="none"/>
          <w:lang w:val="en-US" w:eastAsia="zh-CN"/>
        </w:rPr>
        <w:t>10</w:t>
      </w:r>
      <w:r>
        <w:rPr>
          <w:rFonts w:hint="eastAsia" w:hAnsi="宋体"/>
          <w:sz w:val="24"/>
          <w:szCs w:val="24"/>
          <w:highlight w:val="none"/>
        </w:rPr>
        <w:t>、本项目不允许联合体参加，中标后不得分包或转包。</w:t>
      </w:r>
    </w:p>
    <w:p w14:paraId="26BBD94A">
      <w:pPr>
        <w:pStyle w:val="9"/>
        <w:spacing w:line="460" w:lineRule="exact"/>
        <w:ind w:firstLine="480" w:firstLineChars="200"/>
        <w:rPr>
          <w:rFonts w:hAnsi="宋体"/>
          <w:sz w:val="24"/>
          <w:szCs w:val="24"/>
          <w:highlight w:val="none"/>
        </w:rPr>
      </w:pPr>
      <w:r>
        <w:rPr>
          <w:rFonts w:hint="eastAsia" w:hAnsi="宋体"/>
          <w:sz w:val="24"/>
          <w:szCs w:val="24"/>
          <w:highlight w:val="none"/>
        </w:rPr>
        <w:t>若我单位提供虚假承诺，我单位同意所递交的投标文件作无效处理，并愿意接受通报，按照有关法律法规规定接受处罚，由此造成的一切经济责任和法律责任由我单位自行承担。</w:t>
      </w:r>
    </w:p>
    <w:p w14:paraId="040758E0">
      <w:pPr>
        <w:pStyle w:val="9"/>
        <w:spacing w:line="460" w:lineRule="exact"/>
        <w:ind w:firstLine="480" w:firstLineChars="200"/>
        <w:rPr>
          <w:rFonts w:hAnsi="宋体"/>
          <w:sz w:val="24"/>
          <w:szCs w:val="24"/>
          <w:highlight w:val="none"/>
        </w:rPr>
      </w:pPr>
    </w:p>
    <w:p w14:paraId="382C8370">
      <w:pPr>
        <w:pStyle w:val="9"/>
        <w:spacing w:line="460" w:lineRule="exact"/>
        <w:ind w:firstLine="480" w:firstLineChars="200"/>
        <w:rPr>
          <w:rFonts w:hAnsi="宋体"/>
          <w:sz w:val="24"/>
          <w:szCs w:val="24"/>
          <w:highlight w:val="none"/>
        </w:rPr>
      </w:pPr>
    </w:p>
    <w:p w14:paraId="5ACBEFA2">
      <w:pPr>
        <w:pStyle w:val="9"/>
        <w:spacing w:line="460" w:lineRule="exact"/>
        <w:ind w:firstLine="480" w:firstLineChars="200"/>
        <w:rPr>
          <w:rFonts w:hAnsi="宋体"/>
          <w:sz w:val="24"/>
          <w:szCs w:val="24"/>
          <w:highlight w:val="none"/>
        </w:rPr>
      </w:pPr>
    </w:p>
    <w:p w14:paraId="54C88EDF">
      <w:pPr>
        <w:pStyle w:val="9"/>
        <w:spacing w:line="460" w:lineRule="exact"/>
        <w:ind w:firstLine="480" w:firstLineChars="200"/>
        <w:rPr>
          <w:rFonts w:hAnsi="宋体"/>
          <w:sz w:val="24"/>
          <w:szCs w:val="24"/>
          <w:highlight w:val="none"/>
        </w:rPr>
      </w:pPr>
    </w:p>
    <w:p w14:paraId="69B437BC">
      <w:pPr>
        <w:pStyle w:val="9"/>
        <w:spacing w:line="460" w:lineRule="exact"/>
        <w:ind w:firstLine="480" w:firstLineChars="200"/>
        <w:rPr>
          <w:rFonts w:hAnsi="宋体"/>
          <w:sz w:val="24"/>
          <w:szCs w:val="24"/>
          <w:highlight w:val="none"/>
        </w:rPr>
      </w:pPr>
    </w:p>
    <w:p w14:paraId="7030B312">
      <w:pPr>
        <w:pStyle w:val="9"/>
        <w:spacing w:line="460" w:lineRule="exact"/>
        <w:ind w:firstLine="480" w:firstLineChars="200"/>
        <w:rPr>
          <w:rFonts w:hAnsi="宋体"/>
          <w:sz w:val="24"/>
          <w:szCs w:val="24"/>
          <w:highlight w:val="none"/>
        </w:rPr>
      </w:pPr>
    </w:p>
    <w:p w14:paraId="0F1164DF">
      <w:pPr>
        <w:spacing w:line="460" w:lineRule="exact"/>
        <w:ind w:firstLine="3960" w:firstLineChars="1650"/>
        <w:rPr>
          <w:rFonts w:ascii="宋体" w:hAnsi="宋体"/>
          <w:sz w:val="24"/>
          <w:highlight w:val="none"/>
        </w:rPr>
      </w:pPr>
      <w:r>
        <w:rPr>
          <w:rFonts w:hint="eastAsia" w:ascii="宋体" w:hAnsi="宋体"/>
          <w:sz w:val="24"/>
          <w:highlight w:val="none"/>
        </w:rPr>
        <w:t xml:space="preserve">投标人（盖电子公章）： </w:t>
      </w:r>
    </w:p>
    <w:p w14:paraId="158B67F9">
      <w:pPr>
        <w:spacing w:line="460" w:lineRule="exact"/>
        <w:ind w:firstLine="3960" w:firstLineChars="1650"/>
        <w:rPr>
          <w:rFonts w:ascii="宋体" w:hAnsi="宋体"/>
          <w:sz w:val="24"/>
          <w:highlight w:val="none"/>
        </w:rPr>
      </w:pPr>
    </w:p>
    <w:p w14:paraId="3AECC31D">
      <w:pPr>
        <w:spacing w:line="360" w:lineRule="exact"/>
        <w:ind w:right="1120"/>
        <w:jc w:val="center"/>
        <w:rPr>
          <w:rFonts w:ascii="宋体" w:hAnsi="宋体"/>
          <w:sz w:val="28"/>
          <w:szCs w:val="28"/>
          <w:highlight w:val="none"/>
        </w:rPr>
      </w:pPr>
    </w:p>
    <w:p w14:paraId="7C9C5D8B">
      <w:pPr>
        <w:widowControl/>
        <w:spacing w:line="480" w:lineRule="exact"/>
        <w:jc w:val="left"/>
        <w:rPr>
          <w:rFonts w:ascii="宋体" w:hAnsi="宋体"/>
          <w:b/>
          <w:bCs/>
          <w:sz w:val="28"/>
          <w:szCs w:val="28"/>
          <w:highlight w:val="none"/>
        </w:rPr>
      </w:pPr>
      <w:bookmarkStart w:id="31" w:name="_Hlk58230404"/>
    </w:p>
    <w:p w14:paraId="3EEEE66E">
      <w:pPr>
        <w:widowControl/>
        <w:spacing w:line="480" w:lineRule="exact"/>
        <w:jc w:val="center"/>
        <w:rPr>
          <w:rFonts w:ascii="宋体" w:hAnsi="宋体"/>
          <w:b/>
          <w:bCs/>
          <w:sz w:val="32"/>
          <w:szCs w:val="28"/>
          <w:highlight w:val="none"/>
        </w:rPr>
      </w:pPr>
    </w:p>
    <w:p w14:paraId="2D9D9C21">
      <w:pPr>
        <w:pStyle w:val="5"/>
        <w:rPr>
          <w:highlight w:val="none"/>
        </w:rPr>
      </w:pPr>
    </w:p>
    <w:p w14:paraId="1D6300DD">
      <w:pPr>
        <w:widowControl/>
        <w:spacing w:line="480" w:lineRule="exact"/>
        <w:jc w:val="center"/>
        <w:rPr>
          <w:rFonts w:hAnsi="宋体"/>
          <w:b/>
          <w:sz w:val="32"/>
          <w:szCs w:val="32"/>
          <w:highlight w:val="none"/>
        </w:rPr>
      </w:pPr>
    </w:p>
    <w:bookmarkEnd w:id="31"/>
    <w:p w14:paraId="630DC4A3">
      <w:pPr>
        <w:pStyle w:val="9"/>
        <w:spacing w:line="520" w:lineRule="exact"/>
        <w:jc w:val="center"/>
        <w:rPr>
          <w:rFonts w:hAnsi="宋体"/>
          <w:b/>
          <w:sz w:val="32"/>
          <w:szCs w:val="36"/>
          <w:highlight w:val="none"/>
        </w:rPr>
      </w:pPr>
    </w:p>
    <w:p w14:paraId="334B4244">
      <w:pPr>
        <w:pStyle w:val="9"/>
        <w:spacing w:line="520" w:lineRule="exact"/>
        <w:jc w:val="center"/>
        <w:rPr>
          <w:rFonts w:hAnsi="宋体"/>
          <w:b/>
          <w:sz w:val="32"/>
          <w:szCs w:val="36"/>
          <w:highlight w:val="none"/>
        </w:rPr>
        <w:sectPr>
          <w:pgSz w:w="11906" w:h="16838"/>
          <w:pgMar w:top="1418" w:right="1134" w:bottom="1134" w:left="1418" w:header="851" w:footer="992" w:gutter="0"/>
          <w:cols w:space="720" w:num="1"/>
          <w:docGrid w:linePitch="312" w:charSpace="0"/>
        </w:sectPr>
      </w:pPr>
    </w:p>
    <w:p w14:paraId="21B8238A">
      <w:pPr>
        <w:snapToGrid w:val="0"/>
        <w:spacing w:line="560" w:lineRule="exact"/>
        <w:jc w:val="center"/>
        <w:rPr>
          <w:rFonts w:ascii="宋体" w:hAnsi="宋体" w:cs="宋体"/>
          <w:b/>
          <w:bCs/>
          <w:kern w:val="0"/>
          <w:sz w:val="22"/>
          <w:szCs w:val="22"/>
          <w:highlight w:val="none"/>
        </w:rPr>
      </w:pPr>
      <w:r>
        <w:rPr>
          <w:rFonts w:hint="eastAsia" w:ascii="宋体" w:hAnsi="宋体" w:cs="宋体"/>
          <w:b/>
          <w:bCs/>
          <w:sz w:val="28"/>
          <w:szCs w:val="28"/>
          <w:highlight w:val="none"/>
        </w:rPr>
        <w:t>交纳投标保证金的证明材料（两者缺一不可）：（1）企业银行基本账户开户证明（如开户许可证或银行开户证明等）、（2）电汇凭证或电子汇款截图扫描件。</w:t>
      </w:r>
    </w:p>
    <w:p w14:paraId="7D78878A">
      <w:pPr>
        <w:snapToGrid w:val="0"/>
        <w:spacing w:line="560" w:lineRule="exact"/>
        <w:ind w:firstLine="482" w:firstLineChars="201"/>
        <w:jc w:val="center"/>
        <w:rPr>
          <w:rFonts w:ascii="宋体" w:hAnsi="宋体" w:cs="宋体"/>
          <w:kern w:val="0"/>
          <w:sz w:val="24"/>
          <w:highlight w:val="none"/>
        </w:rPr>
      </w:pPr>
    </w:p>
    <w:p w14:paraId="09E5E889">
      <w:pPr>
        <w:snapToGrid w:val="0"/>
        <w:spacing w:line="560" w:lineRule="exact"/>
        <w:ind w:firstLine="482" w:firstLineChars="201"/>
        <w:jc w:val="center"/>
        <w:rPr>
          <w:rFonts w:ascii="宋体" w:hAnsi="宋体" w:cs="宋体"/>
          <w:kern w:val="0"/>
          <w:sz w:val="24"/>
          <w:highlight w:val="none"/>
        </w:rPr>
      </w:pPr>
    </w:p>
    <w:p w14:paraId="08050425">
      <w:pPr>
        <w:snapToGrid w:val="0"/>
        <w:spacing w:line="560" w:lineRule="exact"/>
        <w:ind w:firstLine="482" w:firstLineChars="201"/>
        <w:jc w:val="center"/>
        <w:rPr>
          <w:rFonts w:ascii="宋体" w:hAnsi="宋体" w:cs="宋体"/>
          <w:kern w:val="0"/>
          <w:sz w:val="24"/>
          <w:highlight w:val="none"/>
        </w:rPr>
      </w:pPr>
    </w:p>
    <w:p w14:paraId="5FA1B857">
      <w:pPr>
        <w:snapToGrid w:val="0"/>
        <w:spacing w:line="560" w:lineRule="exact"/>
        <w:ind w:firstLine="482" w:firstLineChars="201"/>
        <w:jc w:val="center"/>
        <w:rPr>
          <w:rFonts w:ascii="宋体" w:hAnsi="宋体" w:cs="宋体"/>
          <w:kern w:val="0"/>
          <w:sz w:val="24"/>
          <w:highlight w:val="none"/>
        </w:rPr>
      </w:pPr>
    </w:p>
    <w:p w14:paraId="240733C0">
      <w:pPr>
        <w:snapToGrid w:val="0"/>
        <w:spacing w:line="560" w:lineRule="exact"/>
        <w:ind w:firstLine="482" w:firstLineChars="201"/>
        <w:jc w:val="center"/>
        <w:rPr>
          <w:rFonts w:ascii="宋体" w:hAnsi="宋体" w:cs="宋体"/>
          <w:kern w:val="0"/>
          <w:sz w:val="24"/>
          <w:highlight w:val="none"/>
        </w:rPr>
      </w:pPr>
    </w:p>
    <w:p w14:paraId="4003DF53">
      <w:pPr>
        <w:pStyle w:val="5"/>
        <w:rPr>
          <w:rFonts w:ascii="宋体" w:hAnsi="宋体" w:cs="宋体"/>
          <w:highlight w:val="none"/>
        </w:rPr>
      </w:pPr>
    </w:p>
    <w:p w14:paraId="0BA31641">
      <w:pPr>
        <w:pStyle w:val="6"/>
        <w:ind w:left="5250"/>
        <w:rPr>
          <w:rFonts w:hAnsi="宋体" w:eastAsia="宋体" w:cs="宋体"/>
          <w:highlight w:val="none"/>
        </w:rPr>
      </w:pPr>
    </w:p>
    <w:p w14:paraId="1A626035">
      <w:pPr>
        <w:rPr>
          <w:rFonts w:ascii="宋体" w:hAnsi="宋体" w:cs="宋体"/>
          <w:highlight w:val="none"/>
        </w:rPr>
      </w:pPr>
    </w:p>
    <w:p w14:paraId="69D87E6C">
      <w:pPr>
        <w:pStyle w:val="5"/>
        <w:rPr>
          <w:rFonts w:ascii="宋体" w:hAnsi="宋体" w:cs="宋体"/>
          <w:highlight w:val="none"/>
        </w:rPr>
      </w:pPr>
    </w:p>
    <w:p w14:paraId="03828DB9">
      <w:pPr>
        <w:pStyle w:val="6"/>
        <w:ind w:left="5250"/>
        <w:rPr>
          <w:rFonts w:hAnsi="宋体" w:eastAsia="宋体" w:cs="宋体"/>
          <w:highlight w:val="none"/>
        </w:rPr>
      </w:pPr>
    </w:p>
    <w:p w14:paraId="5B1CEF63">
      <w:pPr>
        <w:snapToGrid w:val="0"/>
        <w:spacing w:line="560" w:lineRule="exact"/>
        <w:ind w:firstLine="482" w:firstLineChars="201"/>
        <w:jc w:val="center"/>
        <w:rPr>
          <w:rFonts w:ascii="宋体" w:hAnsi="宋体" w:cs="宋体"/>
          <w:kern w:val="0"/>
          <w:sz w:val="24"/>
          <w:highlight w:val="none"/>
        </w:rPr>
      </w:pPr>
    </w:p>
    <w:p w14:paraId="44050D20">
      <w:pPr>
        <w:pStyle w:val="9"/>
        <w:spacing w:line="520" w:lineRule="exact"/>
        <w:jc w:val="center"/>
        <w:rPr>
          <w:rFonts w:hAnsi="宋体" w:cs="宋体"/>
          <w:b/>
          <w:sz w:val="32"/>
          <w:szCs w:val="36"/>
          <w:highlight w:val="none"/>
        </w:rPr>
        <w:sectPr>
          <w:pgSz w:w="11906" w:h="16838"/>
          <w:pgMar w:top="1418" w:right="1134" w:bottom="1134" w:left="1418" w:header="851" w:footer="992" w:gutter="0"/>
          <w:cols w:space="720" w:num="1"/>
          <w:docGrid w:linePitch="312" w:charSpace="0"/>
        </w:sectPr>
      </w:pPr>
      <w:r>
        <w:rPr>
          <w:rFonts w:hint="eastAsia" w:hAnsi="宋体" w:cs="宋体"/>
          <w:sz w:val="28"/>
          <w:szCs w:val="28"/>
          <w:highlight w:val="none"/>
        </w:rPr>
        <w:t xml:space="preserve">                 </w:t>
      </w:r>
      <w:r>
        <w:rPr>
          <w:rFonts w:hint="eastAsia" w:hAnsi="宋体"/>
          <w:sz w:val="24"/>
          <w:highlight w:val="none"/>
        </w:rPr>
        <w:t xml:space="preserve">  投标人（盖电子公章</w:t>
      </w:r>
      <w:r>
        <w:rPr>
          <w:rFonts w:hint="eastAsia" w:hAnsi="宋体" w:cs="宋体"/>
          <w:sz w:val="28"/>
          <w:szCs w:val="28"/>
          <w:highlight w:val="none"/>
        </w:rPr>
        <w:t>）</w:t>
      </w:r>
    </w:p>
    <w:p w14:paraId="0BD731F6">
      <w:pPr>
        <w:pStyle w:val="6"/>
        <w:wordWrap w:val="0"/>
        <w:spacing w:line="360" w:lineRule="auto"/>
        <w:jc w:val="center"/>
        <w:rPr>
          <w:rFonts w:hAnsi="宋体" w:eastAsia="宋体" w:cs="宋体"/>
          <w:b/>
          <w:bCs/>
          <w:kern w:val="2"/>
          <w:sz w:val="28"/>
          <w:szCs w:val="28"/>
          <w:highlight w:val="none"/>
        </w:rPr>
      </w:pPr>
      <w:r>
        <w:rPr>
          <w:rFonts w:hint="eastAsia" w:hAnsi="宋体" w:eastAsia="宋体" w:cs="宋体"/>
          <w:b/>
          <w:bCs/>
          <w:kern w:val="2"/>
          <w:sz w:val="28"/>
          <w:szCs w:val="28"/>
          <w:highlight w:val="none"/>
        </w:rPr>
        <w:t>投标人、法定代表人、委托代理人未被最高法院（查询网址为：http://zxgk.court.gov.cn/shixin/）列入失信被执行人。</w:t>
      </w:r>
    </w:p>
    <w:p w14:paraId="28D2E9E1">
      <w:pPr>
        <w:pStyle w:val="6"/>
        <w:wordWrap w:val="0"/>
        <w:spacing w:line="360" w:lineRule="auto"/>
        <w:ind w:firstLine="562" w:firstLineChars="200"/>
        <w:rPr>
          <w:rFonts w:hAnsi="宋体" w:eastAsia="宋体" w:cs="宋体"/>
          <w:b/>
          <w:bCs/>
          <w:color w:val="000000"/>
          <w:sz w:val="28"/>
          <w:szCs w:val="28"/>
          <w:highlight w:val="none"/>
        </w:rPr>
      </w:pPr>
    </w:p>
    <w:p w14:paraId="6A2AEE6C">
      <w:pPr>
        <w:pStyle w:val="6"/>
        <w:wordWrap w:val="0"/>
        <w:spacing w:line="360" w:lineRule="auto"/>
        <w:ind w:firstLine="562" w:firstLineChars="200"/>
        <w:rPr>
          <w:rFonts w:hAnsi="宋体" w:eastAsia="宋体" w:cs="宋体"/>
          <w:b/>
          <w:bCs/>
          <w:color w:val="000000"/>
          <w:sz w:val="28"/>
          <w:szCs w:val="28"/>
          <w:highlight w:val="none"/>
        </w:rPr>
      </w:pPr>
    </w:p>
    <w:p w14:paraId="5CD0179A">
      <w:pPr>
        <w:pStyle w:val="6"/>
        <w:wordWrap w:val="0"/>
        <w:spacing w:line="360" w:lineRule="auto"/>
        <w:ind w:firstLine="562" w:firstLineChars="200"/>
        <w:rPr>
          <w:rFonts w:hAnsi="宋体" w:eastAsia="宋体" w:cs="宋体"/>
          <w:b/>
          <w:bCs/>
          <w:color w:val="000000"/>
          <w:sz w:val="28"/>
          <w:szCs w:val="28"/>
          <w:highlight w:val="none"/>
        </w:rPr>
      </w:pPr>
    </w:p>
    <w:p w14:paraId="7EF8634F">
      <w:pPr>
        <w:pStyle w:val="6"/>
        <w:wordWrap w:val="0"/>
        <w:spacing w:line="360" w:lineRule="auto"/>
        <w:ind w:firstLine="562" w:firstLineChars="200"/>
        <w:rPr>
          <w:rFonts w:hAnsi="宋体" w:eastAsia="宋体" w:cs="宋体"/>
          <w:b/>
          <w:bCs/>
          <w:color w:val="000000"/>
          <w:sz w:val="28"/>
          <w:szCs w:val="28"/>
          <w:highlight w:val="none"/>
        </w:rPr>
      </w:pPr>
    </w:p>
    <w:p w14:paraId="42E1E244">
      <w:pPr>
        <w:pStyle w:val="6"/>
        <w:wordWrap w:val="0"/>
        <w:spacing w:line="360" w:lineRule="auto"/>
        <w:ind w:firstLine="562" w:firstLineChars="200"/>
        <w:rPr>
          <w:rFonts w:hAnsi="宋体" w:eastAsia="宋体" w:cs="宋体"/>
          <w:b/>
          <w:bCs/>
          <w:color w:val="000000"/>
          <w:sz w:val="28"/>
          <w:szCs w:val="28"/>
          <w:highlight w:val="none"/>
        </w:rPr>
      </w:pPr>
    </w:p>
    <w:p w14:paraId="4FD118BC">
      <w:pPr>
        <w:pStyle w:val="6"/>
        <w:wordWrap w:val="0"/>
        <w:spacing w:line="360" w:lineRule="auto"/>
        <w:ind w:firstLine="562" w:firstLineChars="200"/>
        <w:rPr>
          <w:rFonts w:hAnsi="宋体" w:eastAsia="宋体" w:cs="宋体"/>
          <w:b/>
          <w:bCs/>
          <w:color w:val="000000"/>
          <w:sz w:val="28"/>
          <w:szCs w:val="28"/>
          <w:highlight w:val="none"/>
        </w:rPr>
      </w:pPr>
    </w:p>
    <w:p w14:paraId="0E296C6A">
      <w:pPr>
        <w:pStyle w:val="6"/>
        <w:wordWrap w:val="0"/>
        <w:spacing w:line="360" w:lineRule="auto"/>
        <w:ind w:firstLine="562" w:firstLineChars="200"/>
        <w:rPr>
          <w:rFonts w:hAnsi="宋体" w:eastAsia="宋体" w:cs="宋体"/>
          <w:b/>
          <w:bCs/>
          <w:color w:val="000000"/>
          <w:sz w:val="28"/>
          <w:szCs w:val="28"/>
          <w:highlight w:val="none"/>
        </w:rPr>
      </w:pPr>
    </w:p>
    <w:p w14:paraId="25361DF5">
      <w:pPr>
        <w:pStyle w:val="6"/>
        <w:wordWrap w:val="0"/>
        <w:spacing w:line="360" w:lineRule="auto"/>
        <w:ind w:firstLine="562" w:firstLineChars="200"/>
        <w:rPr>
          <w:rFonts w:hAnsi="宋体" w:eastAsia="宋体" w:cs="宋体"/>
          <w:b/>
          <w:bCs/>
          <w:color w:val="000000"/>
          <w:sz w:val="28"/>
          <w:szCs w:val="28"/>
          <w:highlight w:val="none"/>
        </w:rPr>
      </w:pPr>
    </w:p>
    <w:p w14:paraId="18B60E24">
      <w:pPr>
        <w:pStyle w:val="6"/>
        <w:wordWrap w:val="0"/>
        <w:spacing w:line="360" w:lineRule="auto"/>
        <w:ind w:firstLine="562" w:firstLineChars="200"/>
        <w:rPr>
          <w:rFonts w:hAnsi="宋体" w:eastAsia="宋体" w:cs="宋体"/>
          <w:b/>
          <w:bCs/>
          <w:color w:val="000000"/>
          <w:sz w:val="28"/>
          <w:szCs w:val="28"/>
          <w:highlight w:val="none"/>
        </w:rPr>
      </w:pPr>
    </w:p>
    <w:p w14:paraId="2B358740">
      <w:pPr>
        <w:pStyle w:val="6"/>
        <w:wordWrap w:val="0"/>
        <w:spacing w:line="360" w:lineRule="auto"/>
        <w:ind w:firstLine="562" w:firstLineChars="200"/>
        <w:rPr>
          <w:rFonts w:hAnsi="宋体" w:eastAsia="宋体" w:cs="宋体"/>
          <w:b/>
          <w:bCs/>
          <w:color w:val="000000"/>
          <w:sz w:val="28"/>
          <w:szCs w:val="28"/>
          <w:highlight w:val="none"/>
        </w:rPr>
      </w:pPr>
    </w:p>
    <w:p w14:paraId="35F33EDD">
      <w:pPr>
        <w:pStyle w:val="6"/>
        <w:wordWrap w:val="0"/>
        <w:spacing w:line="360" w:lineRule="auto"/>
        <w:ind w:firstLine="562" w:firstLineChars="200"/>
        <w:rPr>
          <w:rFonts w:hAnsi="宋体" w:eastAsia="宋体" w:cs="宋体"/>
          <w:b/>
          <w:bCs/>
          <w:color w:val="000000"/>
          <w:sz w:val="28"/>
          <w:szCs w:val="28"/>
          <w:highlight w:val="none"/>
        </w:rPr>
      </w:pPr>
    </w:p>
    <w:p w14:paraId="7617515A">
      <w:pPr>
        <w:pStyle w:val="6"/>
        <w:wordWrap w:val="0"/>
        <w:spacing w:line="360" w:lineRule="auto"/>
        <w:ind w:firstLine="562" w:firstLineChars="200"/>
        <w:rPr>
          <w:rFonts w:hAnsi="宋体" w:eastAsia="宋体" w:cs="宋体"/>
          <w:b/>
          <w:bCs/>
          <w:color w:val="000000"/>
          <w:sz w:val="28"/>
          <w:szCs w:val="28"/>
          <w:highlight w:val="none"/>
        </w:rPr>
      </w:pPr>
    </w:p>
    <w:p w14:paraId="5C6A2A5F">
      <w:pPr>
        <w:pStyle w:val="6"/>
        <w:wordWrap w:val="0"/>
        <w:spacing w:line="360" w:lineRule="auto"/>
        <w:ind w:firstLine="562" w:firstLineChars="200"/>
        <w:rPr>
          <w:rFonts w:hAnsi="宋体" w:eastAsia="宋体" w:cs="宋体"/>
          <w:b/>
          <w:bCs/>
          <w:color w:val="000000"/>
          <w:sz w:val="28"/>
          <w:szCs w:val="28"/>
          <w:highlight w:val="none"/>
        </w:rPr>
      </w:pPr>
    </w:p>
    <w:p w14:paraId="326E087A">
      <w:pPr>
        <w:pStyle w:val="6"/>
        <w:wordWrap w:val="0"/>
        <w:spacing w:line="360" w:lineRule="auto"/>
        <w:ind w:firstLine="480" w:firstLineChars="200"/>
        <w:rPr>
          <w:rFonts w:hAnsi="宋体" w:eastAsia="宋体" w:cs="宋体"/>
          <w:color w:val="000000"/>
          <w:sz w:val="28"/>
          <w:szCs w:val="18"/>
          <w:highlight w:val="none"/>
        </w:rPr>
      </w:pPr>
      <w:r>
        <w:rPr>
          <w:rFonts w:hint="eastAsia" w:hAnsi="宋体" w:eastAsia="宋体" w:cs="宋体"/>
          <w:color w:val="000000"/>
          <w:sz w:val="24"/>
          <w:szCs w:val="24"/>
          <w:highlight w:val="none"/>
        </w:rPr>
        <w:t>注：投标文件附通过网站查询信息记录，包含投标人、法定代表人、授权委托代理人失信被执行人情况网页截图（省份为全部）</w:t>
      </w:r>
    </w:p>
    <w:p w14:paraId="4CEA133D">
      <w:pPr>
        <w:pStyle w:val="5"/>
        <w:jc w:val="center"/>
        <w:rPr>
          <w:rFonts w:ascii="宋体" w:hAnsi="宋体" w:cs="宋体"/>
          <w:color w:val="000000"/>
          <w:highlight w:val="none"/>
        </w:rPr>
      </w:pPr>
    </w:p>
    <w:p w14:paraId="2A100791">
      <w:pPr>
        <w:pStyle w:val="6"/>
        <w:ind w:left="5250"/>
        <w:rPr>
          <w:rFonts w:hAnsi="宋体" w:eastAsia="宋体" w:cs="宋体"/>
          <w:color w:val="000000"/>
          <w:highlight w:val="none"/>
        </w:rPr>
      </w:pPr>
    </w:p>
    <w:p w14:paraId="137F3DEB">
      <w:pPr>
        <w:rPr>
          <w:rFonts w:ascii="宋体" w:hAnsi="宋体" w:cs="宋体"/>
          <w:color w:val="000000"/>
          <w:highlight w:val="none"/>
        </w:rPr>
      </w:pPr>
    </w:p>
    <w:p w14:paraId="165474B8">
      <w:pPr>
        <w:spacing w:line="560" w:lineRule="exact"/>
        <w:ind w:firstLine="560" w:firstLineChars="200"/>
        <w:jc w:val="left"/>
        <w:rPr>
          <w:rFonts w:ascii="宋体" w:hAnsi="宋体" w:cs="宋体"/>
          <w:kern w:val="0"/>
          <w:sz w:val="28"/>
          <w:szCs w:val="28"/>
          <w:highlight w:val="none"/>
        </w:rPr>
      </w:pPr>
    </w:p>
    <w:p w14:paraId="7CC967E8">
      <w:pPr>
        <w:spacing w:line="560" w:lineRule="exact"/>
        <w:ind w:firstLine="560" w:firstLineChars="200"/>
        <w:jc w:val="left"/>
        <w:rPr>
          <w:rFonts w:ascii="宋体" w:hAnsi="宋体" w:cs="宋体"/>
          <w:kern w:val="0"/>
          <w:sz w:val="28"/>
          <w:szCs w:val="28"/>
          <w:highlight w:val="none"/>
        </w:rPr>
      </w:pPr>
    </w:p>
    <w:p w14:paraId="5ACA3753">
      <w:pPr>
        <w:pStyle w:val="5"/>
        <w:jc w:val="right"/>
        <w:rPr>
          <w:highlight w:val="none"/>
        </w:rPr>
      </w:pPr>
      <w:r>
        <w:rPr>
          <w:rFonts w:hint="eastAsia" w:ascii="宋体" w:hAnsi="宋体"/>
          <w:highlight w:val="none"/>
        </w:rPr>
        <w:t>投标人（盖电子公章）：</w:t>
      </w:r>
    </w:p>
    <w:p w14:paraId="6A2D512D">
      <w:pPr>
        <w:pStyle w:val="9"/>
        <w:spacing w:line="520" w:lineRule="exact"/>
        <w:jc w:val="center"/>
        <w:rPr>
          <w:rFonts w:hAnsi="宋体"/>
          <w:b/>
          <w:sz w:val="32"/>
          <w:szCs w:val="36"/>
          <w:highlight w:val="none"/>
        </w:rPr>
        <w:sectPr>
          <w:pgSz w:w="11906" w:h="16838"/>
          <w:pgMar w:top="1418" w:right="1134" w:bottom="1134" w:left="1418" w:header="851" w:footer="992" w:gutter="0"/>
          <w:cols w:space="720" w:num="1"/>
          <w:docGrid w:linePitch="312" w:charSpace="0"/>
        </w:sectPr>
      </w:pPr>
    </w:p>
    <w:p w14:paraId="19986904">
      <w:pPr>
        <w:snapToGrid w:val="0"/>
        <w:spacing w:line="560" w:lineRule="exact"/>
        <w:jc w:val="center"/>
        <w:rPr>
          <w:rFonts w:ascii="宋体" w:hAnsi="宋体" w:cs="宋体"/>
          <w:b/>
          <w:bCs/>
          <w:sz w:val="28"/>
          <w:szCs w:val="28"/>
          <w:highlight w:val="none"/>
        </w:rPr>
      </w:pPr>
      <w:r>
        <w:rPr>
          <w:rFonts w:hint="eastAsia" w:ascii="宋体" w:hAnsi="宋体" w:cs="宋体"/>
          <w:b/>
          <w:bCs/>
          <w:sz w:val="28"/>
          <w:szCs w:val="28"/>
          <w:highlight w:val="none"/>
        </w:rPr>
        <w:t>投标人近一年在“信用中国”或“信用中国（山东）”无严重失信记录</w:t>
      </w:r>
    </w:p>
    <w:p w14:paraId="37AB352F">
      <w:pPr>
        <w:pStyle w:val="9"/>
        <w:spacing w:line="520" w:lineRule="exact"/>
        <w:jc w:val="center"/>
        <w:rPr>
          <w:rFonts w:hAnsi="宋体"/>
          <w:b/>
          <w:sz w:val="32"/>
          <w:szCs w:val="36"/>
          <w:highlight w:val="none"/>
        </w:rPr>
      </w:pPr>
    </w:p>
    <w:p w14:paraId="6A7100E7">
      <w:pPr>
        <w:pStyle w:val="9"/>
        <w:spacing w:line="520" w:lineRule="exact"/>
        <w:jc w:val="center"/>
        <w:rPr>
          <w:rFonts w:hAnsi="宋体"/>
          <w:b/>
          <w:sz w:val="32"/>
          <w:szCs w:val="36"/>
          <w:highlight w:val="none"/>
        </w:rPr>
      </w:pPr>
    </w:p>
    <w:p w14:paraId="290D9261">
      <w:pPr>
        <w:pStyle w:val="9"/>
        <w:spacing w:line="520" w:lineRule="exact"/>
        <w:jc w:val="center"/>
        <w:rPr>
          <w:rFonts w:hAnsi="宋体"/>
          <w:b/>
          <w:sz w:val="32"/>
          <w:szCs w:val="36"/>
          <w:highlight w:val="none"/>
        </w:rPr>
      </w:pPr>
    </w:p>
    <w:p w14:paraId="5BA8C931">
      <w:pPr>
        <w:pStyle w:val="9"/>
        <w:spacing w:line="520" w:lineRule="exact"/>
        <w:jc w:val="center"/>
        <w:rPr>
          <w:rFonts w:hAnsi="宋体"/>
          <w:b/>
          <w:sz w:val="32"/>
          <w:szCs w:val="36"/>
          <w:highlight w:val="none"/>
        </w:rPr>
      </w:pPr>
    </w:p>
    <w:p w14:paraId="21C3BB4C">
      <w:pPr>
        <w:pStyle w:val="9"/>
        <w:spacing w:line="520" w:lineRule="exact"/>
        <w:jc w:val="center"/>
        <w:rPr>
          <w:rFonts w:hAnsi="宋体"/>
          <w:b/>
          <w:sz w:val="32"/>
          <w:szCs w:val="36"/>
          <w:highlight w:val="none"/>
        </w:rPr>
      </w:pPr>
    </w:p>
    <w:p w14:paraId="2E2AC6E3">
      <w:pPr>
        <w:pStyle w:val="9"/>
        <w:spacing w:line="520" w:lineRule="exact"/>
        <w:jc w:val="center"/>
        <w:rPr>
          <w:rFonts w:hAnsi="宋体"/>
          <w:b/>
          <w:sz w:val="32"/>
          <w:szCs w:val="36"/>
          <w:highlight w:val="none"/>
        </w:rPr>
      </w:pPr>
    </w:p>
    <w:p w14:paraId="09813AB8">
      <w:pPr>
        <w:pStyle w:val="9"/>
        <w:spacing w:line="520" w:lineRule="exact"/>
        <w:jc w:val="center"/>
        <w:rPr>
          <w:rFonts w:hAnsi="宋体"/>
          <w:b/>
          <w:sz w:val="32"/>
          <w:szCs w:val="36"/>
          <w:highlight w:val="none"/>
        </w:rPr>
      </w:pPr>
    </w:p>
    <w:p w14:paraId="6C7D8D0D">
      <w:pPr>
        <w:pStyle w:val="9"/>
        <w:spacing w:line="520" w:lineRule="exact"/>
        <w:jc w:val="center"/>
        <w:rPr>
          <w:rFonts w:hAnsi="宋体"/>
          <w:b/>
          <w:sz w:val="32"/>
          <w:szCs w:val="36"/>
          <w:highlight w:val="none"/>
        </w:rPr>
      </w:pPr>
    </w:p>
    <w:p w14:paraId="1987F5EE">
      <w:pPr>
        <w:pStyle w:val="9"/>
        <w:spacing w:line="520" w:lineRule="exact"/>
        <w:jc w:val="center"/>
        <w:rPr>
          <w:rFonts w:hAnsi="宋体"/>
          <w:b/>
          <w:sz w:val="32"/>
          <w:szCs w:val="36"/>
          <w:highlight w:val="none"/>
        </w:rPr>
      </w:pPr>
    </w:p>
    <w:p w14:paraId="73F3A155">
      <w:pPr>
        <w:pStyle w:val="9"/>
        <w:spacing w:line="520" w:lineRule="exact"/>
        <w:jc w:val="center"/>
        <w:rPr>
          <w:rFonts w:hAnsi="宋体"/>
          <w:b/>
          <w:sz w:val="32"/>
          <w:szCs w:val="36"/>
          <w:highlight w:val="none"/>
        </w:rPr>
      </w:pPr>
    </w:p>
    <w:p w14:paraId="51CAC9FF">
      <w:pPr>
        <w:pStyle w:val="9"/>
        <w:spacing w:line="520" w:lineRule="exact"/>
        <w:jc w:val="center"/>
        <w:rPr>
          <w:rFonts w:hAnsi="宋体"/>
          <w:b/>
          <w:sz w:val="32"/>
          <w:szCs w:val="36"/>
          <w:highlight w:val="none"/>
        </w:rPr>
      </w:pPr>
    </w:p>
    <w:p w14:paraId="37F92FCA">
      <w:pPr>
        <w:snapToGrid w:val="0"/>
        <w:spacing w:line="560" w:lineRule="exact"/>
        <w:ind w:firstLine="482" w:firstLineChars="201"/>
        <w:rPr>
          <w:rFonts w:ascii="宋体" w:hAnsi="宋体" w:cs="宋体"/>
          <w:color w:val="000000"/>
          <w:kern w:val="0"/>
          <w:sz w:val="24"/>
          <w:highlight w:val="none"/>
        </w:rPr>
      </w:pPr>
      <w:r>
        <w:rPr>
          <w:rFonts w:hint="eastAsia" w:ascii="宋体" w:hAnsi="宋体" w:cs="宋体"/>
          <w:color w:val="000000"/>
          <w:kern w:val="0"/>
          <w:sz w:val="24"/>
          <w:highlight w:val="none"/>
        </w:rPr>
        <w:t>注：附通过信用中国（查询网址：</w:t>
      </w:r>
      <w:r>
        <w:rPr>
          <w:highlight w:val="none"/>
        </w:rPr>
        <w:fldChar w:fldCharType="begin"/>
      </w:r>
      <w:r>
        <w:rPr>
          <w:highlight w:val="none"/>
        </w:rPr>
        <w:instrText xml:space="preserve"> HYPERLINK "https://www.creditchina.gov.cn" </w:instrText>
      </w:r>
      <w:r>
        <w:rPr>
          <w:highlight w:val="none"/>
        </w:rPr>
        <w:fldChar w:fldCharType="separate"/>
      </w:r>
      <w:r>
        <w:rPr>
          <w:rFonts w:hint="eastAsia" w:ascii="宋体" w:hAnsi="宋体" w:cs="宋体"/>
          <w:color w:val="000000"/>
          <w:kern w:val="0"/>
          <w:sz w:val="24"/>
          <w:highlight w:val="none"/>
        </w:rPr>
        <w:t>https://www.creditchina.gov.cn</w:t>
      </w:r>
      <w:r>
        <w:rPr>
          <w:rFonts w:hint="eastAsia" w:ascii="宋体" w:hAnsi="宋体" w:cs="宋体"/>
          <w:color w:val="000000"/>
          <w:kern w:val="0"/>
          <w:sz w:val="24"/>
          <w:highlight w:val="none"/>
        </w:rPr>
        <w:fldChar w:fldCharType="end"/>
      </w:r>
      <w:r>
        <w:rPr>
          <w:rFonts w:hint="eastAsia" w:ascii="宋体" w:hAnsi="宋体" w:cs="宋体"/>
          <w:color w:val="000000"/>
          <w:kern w:val="0"/>
          <w:sz w:val="24"/>
          <w:highlight w:val="none"/>
        </w:rPr>
        <w:t>）查询的信用报告或信用中国（山东）（查询网址：https://credit.shandong.gov.cn）查询的信用报告。</w:t>
      </w:r>
    </w:p>
    <w:p w14:paraId="7FBCEC41">
      <w:pPr>
        <w:pStyle w:val="5"/>
        <w:rPr>
          <w:rFonts w:ascii="仿宋" w:hAnsi="仿宋" w:eastAsia="仿宋" w:cs="仿宋"/>
          <w:color w:val="000000"/>
          <w:highlight w:val="none"/>
        </w:rPr>
      </w:pPr>
    </w:p>
    <w:p w14:paraId="43AACCB1">
      <w:pPr>
        <w:snapToGrid w:val="0"/>
        <w:spacing w:line="560" w:lineRule="exact"/>
        <w:ind w:firstLine="602" w:firstLineChars="201"/>
        <w:jc w:val="center"/>
        <w:rPr>
          <w:rFonts w:ascii="仿宋" w:hAnsi="仿宋" w:eastAsia="仿宋" w:cs="仿宋"/>
          <w:color w:val="000000"/>
          <w:sz w:val="30"/>
          <w:szCs w:val="30"/>
          <w:highlight w:val="none"/>
        </w:rPr>
      </w:pPr>
    </w:p>
    <w:p w14:paraId="615723C5">
      <w:pPr>
        <w:pStyle w:val="5"/>
        <w:rPr>
          <w:rFonts w:ascii="仿宋" w:hAnsi="仿宋" w:eastAsia="仿宋" w:cs="仿宋"/>
          <w:color w:val="000000"/>
          <w:highlight w:val="none"/>
        </w:rPr>
      </w:pPr>
    </w:p>
    <w:p w14:paraId="142E2793">
      <w:pPr>
        <w:pStyle w:val="5"/>
        <w:jc w:val="right"/>
        <w:rPr>
          <w:highlight w:val="none"/>
        </w:rPr>
      </w:pPr>
      <w:r>
        <w:rPr>
          <w:rFonts w:hint="eastAsia" w:ascii="宋体" w:hAnsi="宋体"/>
          <w:highlight w:val="none"/>
        </w:rPr>
        <w:t>投标人（盖电子公章）：</w:t>
      </w:r>
    </w:p>
    <w:p w14:paraId="73330B0A">
      <w:pPr>
        <w:pStyle w:val="6"/>
        <w:ind w:left="5250"/>
        <w:rPr>
          <w:rFonts w:ascii="仿宋" w:hAnsi="仿宋" w:eastAsia="仿宋" w:cs="仿宋"/>
          <w:color w:val="000000"/>
          <w:highlight w:val="none"/>
        </w:rPr>
      </w:pPr>
    </w:p>
    <w:p w14:paraId="6950F113">
      <w:pPr>
        <w:rPr>
          <w:rFonts w:ascii="仿宋" w:hAnsi="仿宋" w:eastAsia="仿宋" w:cs="仿宋"/>
          <w:color w:val="000000"/>
          <w:highlight w:val="none"/>
        </w:rPr>
      </w:pPr>
    </w:p>
    <w:p w14:paraId="53E2ED09">
      <w:pPr>
        <w:snapToGrid w:val="0"/>
        <w:spacing w:line="560" w:lineRule="exact"/>
        <w:ind w:firstLine="602" w:firstLineChars="201"/>
        <w:jc w:val="center"/>
        <w:rPr>
          <w:rFonts w:ascii="仿宋" w:hAnsi="仿宋" w:eastAsia="仿宋" w:cs="仿宋"/>
          <w:color w:val="000000"/>
          <w:sz w:val="30"/>
          <w:szCs w:val="30"/>
          <w:highlight w:val="none"/>
        </w:rPr>
      </w:pPr>
    </w:p>
    <w:p w14:paraId="2ADA11AB">
      <w:pPr>
        <w:pStyle w:val="9"/>
        <w:spacing w:line="520" w:lineRule="exact"/>
        <w:jc w:val="center"/>
        <w:rPr>
          <w:rFonts w:hAnsi="宋体"/>
          <w:b/>
          <w:sz w:val="32"/>
          <w:szCs w:val="36"/>
          <w:highlight w:val="none"/>
        </w:rPr>
        <w:sectPr>
          <w:pgSz w:w="11906" w:h="16838"/>
          <w:pgMar w:top="1418" w:right="1134" w:bottom="1134" w:left="1418" w:header="851" w:footer="992" w:gutter="0"/>
          <w:cols w:space="720" w:num="1"/>
          <w:docGrid w:linePitch="312" w:charSpace="0"/>
        </w:sectPr>
      </w:pPr>
    </w:p>
    <w:p w14:paraId="78D9D470">
      <w:pPr>
        <w:pStyle w:val="9"/>
        <w:spacing w:line="520" w:lineRule="exact"/>
        <w:jc w:val="center"/>
        <w:rPr>
          <w:rFonts w:hAnsi="宋体"/>
          <w:b/>
          <w:sz w:val="32"/>
          <w:szCs w:val="36"/>
          <w:highlight w:val="none"/>
        </w:rPr>
      </w:pPr>
      <w:r>
        <w:rPr>
          <w:rFonts w:hint="eastAsia" w:hAnsi="宋体"/>
          <w:b/>
          <w:sz w:val="32"/>
          <w:szCs w:val="36"/>
          <w:highlight w:val="none"/>
        </w:rPr>
        <w:t xml:space="preserve">投标人认为需要提供的资质资格证明文件                                </w:t>
      </w:r>
    </w:p>
    <w:p w14:paraId="0B64FEA5">
      <w:pPr>
        <w:pStyle w:val="5"/>
        <w:rPr>
          <w:highlight w:val="none"/>
        </w:rPr>
      </w:pPr>
    </w:p>
    <w:p w14:paraId="307E1DEE">
      <w:pPr>
        <w:pStyle w:val="5"/>
        <w:rPr>
          <w:highlight w:val="none"/>
        </w:rPr>
      </w:pPr>
    </w:p>
    <w:p w14:paraId="0604DC0E">
      <w:pPr>
        <w:pStyle w:val="5"/>
        <w:rPr>
          <w:highlight w:val="none"/>
        </w:rPr>
      </w:pPr>
    </w:p>
    <w:p w14:paraId="2C5A9CE9">
      <w:pPr>
        <w:pStyle w:val="5"/>
        <w:rPr>
          <w:highlight w:val="none"/>
        </w:rPr>
      </w:pPr>
    </w:p>
    <w:p w14:paraId="2D703654">
      <w:pPr>
        <w:pStyle w:val="5"/>
        <w:rPr>
          <w:highlight w:val="none"/>
        </w:rPr>
      </w:pPr>
    </w:p>
    <w:p w14:paraId="30EF8357">
      <w:pPr>
        <w:pStyle w:val="5"/>
        <w:rPr>
          <w:highlight w:val="none"/>
        </w:rPr>
      </w:pPr>
    </w:p>
    <w:p w14:paraId="51D5570D">
      <w:pPr>
        <w:pStyle w:val="5"/>
        <w:rPr>
          <w:highlight w:val="none"/>
        </w:rPr>
      </w:pPr>
    </w:p>
    <w:p w14:paraId="4E80F235">
      <w:pPr>
        <w:pStyle w:val="5"/>
        <w:rPr>
          <w:highlight w:val="none"/>
        </w:rPr>
      </w:pPr>
    </w:p>
    <w:p w14:paraId="51653E35">
      <w:pPr>
        <w:pStyle w:val="5"/>
        <w:rPr>
          <w:highlight w:val="none"/>
        </w:rPr>
      </w:pPr>
    </w:p>
    <w:p w14:paraId="25EC79B0">
      <w:pPr>
        <w:pStyle w:val="5"/>
        <w:rPr>
          <w:highlight w:val="none"/>
        </w:rPr>
      </w:pPr>
    </w:p>
    <w:p w14:paraId="7E13EC46">
      <w:pPr>
        <w:pStyle w:val="5"/>
        <w:rPr>
          <w:highlight w:val="none"/>
        </w:rPr>
      </w:pPr>
    </w:p>
    <w:p w14:paraId="415B9633">
      <w:pPr>
        <w:pStyle w:val="5"/>
        <w:rPr>
          <w:highlight w:val="none"/>
        </w:rPr>
      </w:pPr>
    </w:p>
    <w:p w14:paraId="1CDDB2FE">
      <w:pPr>
        <w:pStyle w:val="5"/>
        <w:rPr>
          <w:highlight w:val="none"/>
        </w:rPr>
      </w:pPr>
    </w:p>
    <w:p w14:paraId="7D6053A2">
      <w:pPr>
        <w:pStyle w:val="5"/>
        <w:rPr>
          <w:highlight w:val="none"/>
        </w:rPr>
      </w:pPr>
    </w:p>
    <w:p w14:paraId="17B279BC">
      <w:pPr>
        <w:pStyle w:val="5"/>
        <w:rPr>
          <w:highlight w:val="none"/>
        </w:rPr>
      </w:pPr>
    </w:p>
    <w:p w14:paraId="1A885F25">
      <w:pPr>
        <w:pStyle w:val="5"/>
        <w:rPr>
          <w:highlight w:val="none"/>
        </w:rPr>
      </w:pPr>
    </w:p>
    <w:p w14:paraId="19B160F2">
      <w:pPr>
        <w:pStyle w:val="5"/>
        <w:rPr>
          <w:highlight w:val="none"/>
        </w:rPr>
      </w:pPr>
    </w:p>
    <w:p w14:paraId="7D0C9B49">
      <w:pPr>
        <w:spacing w:line="460" w:lineRule="exact"/>
        <w:ind w:firstLine="3960" w:firstLineChars="1650"/>
        <w:rPr>
          <w:rFonts w:ascii="宋体" w:hAnsi="宋体"/>
          <w:sz w:val="24"/>
          <w:highlight w:val="none"/>
        </w:rPr>
        <w:sectPr>
          <w:pgSz w:w="11906" w:h="16838"/>
          <w:pgMar w:top="1418" w:right="1134" w:bottom="1134" w:left="1418" w:header="851" w:footer="992" w:gutter="0"/>
          <w:cols w:space="720" w:num="1"/>
          <w:docGrid w:linePitch="312" w:charSpace="0"/>
        </w:sectPr>
      </w:pPr>
      <w:r>
        <w:rPr>
          <w:rFonts w:hint="eastAsia" w:ascii="宋体" w:hAnsi="宋体"/>
          <w:sz w:val="24"/>
          <w:highlight w:val="none"/>
        </w:rPr>
        <w:t xml:space="preserve">投标人（盖电子公章）： </w:t>
      </w:r>
    </w:p>
    <w:p w14:paraId="4C6962BB">
      <w:pPr>
        <w:kinsoku w:val="0"/>
        <w:overflowPunct w:val="0"/>
        <w:spacing w:line="520" w:lineRule="exact"/>
        <w:jc w:val="center"/>
        <w:rPr>
          <w:rFonts w:ascii="宋体" w:hAnsi="宋体"/>
          <w:b/>
          <w:kern w:val="0"/>
          <w:sz w:val="32"/>
          <w:szCs w:val="36"/>
          <w:highlight w:val="none"/>
        </w:rPr>
      </w:pPr>
      <w:r>
        <w:rPr>
          <w:rFonts w:hint="eastAsia" w:ascii="宋体" w:hAnsi="宋体"/>
          <w:b/>
          <w:kern w:val="0"/>
          <w:sz w:val="32"/>
          <w:szCs w:val="36"/>
          <w:highlight w:val="none"/>
        </w:rPr>
        <w:t>投标人资料真实性承诺书</w:t>
      </w:r>
    </w:p>
    <w:p w14:paraId="0D0A7A26">
      <w:pPr>
        <w:kinsoku w:val="0"/>
        <w:overflowPunct w:val="0"/>
        <w:spacing w:line="520" w:lineRule="exact"/>
        <w:jc w:val="right"/>
        <w:rPr>
          <w:rFonts w:ascii="仿宋_GB2312" w:hAnsi="宋体" w:eastAsia="仿宋_GB2312"/>
          <w:b/>
          <w:bCs/>
          <w:sz w:val="30"/>
          <w:szCs w:val="30"/>
          <w:highlight w:val="none"/>
        </w:rPr>
      </w:pPr>
    </w:p>
    <w:p w14:paraId="172CE4CB">
      <w:pPr>
        <w:kinsoku w:val="0"/>
        <w:overflowPunct w:val="0"/>
        <w:spacing w:line="520" w:lineRule="exact"/>
        <w:rPr>
          <w:rFonts w:ascii="宋体" w:hAnsi="宋体" w:cs="宋体"/>
          <w:sz w:val="24"/>
          <w:highlight w:val="none"/>
        </w:rPr>
      </w:pPr>
      <w:r>
        <w:rPr>
          <w:rFonts w:hint="eastAsia" w:ascii="宋体" w:hAnsi="宋体" w:cs="宋体"/>
          <w:sz w:val="24"/>
          <w:highlight w:val="none"/>
        </w:rPr>
        <w:t>致：山东恒成信工程咨询管理有限公司</w:t>
      </w:r>
    </w:p>
    <w:p w14:paraId="447C41A5">
      <w:pPr>
        <w:spacing w:line="520" w:lineRule="exact"/>
        <w:ind w:firstLine="607"/>
        <w:rPr>
          <w:rFonts w:ascii="宋体" w:hAnsi="宋体" w:cs="宋体"/>
          <w:sz w:val="24"/>
          <w:highlight w:val="none"/>
        </w:rPr>
      </w:pPr>
    </w:p>
    <w:p w14:paraId="12B4368D">
      <w:pPr>
        <w:spacing w:line="520" w:lineRule="exact"/>
        <w:ind w:firstLine="607"/>
        <w:rPr>
          <w:rFonts w:ascii="宋体" w:hAnsi="宋体" w:cs="宋体"/>
          <w:sz w:val="24"/>
          <w:highlight w:val="none"/>
        </w:rPr>
      </w:pPr>
      <w:r>
        <w:rPr>
          <w:rFonts w:hint="eastAsia" w:ascii="宋体" w:hAnsi="宋体" w:cs="宋体"/>
          <w:sz w:val="24"/>
          <w:highlight w:val="none"/>
        </w:rPr>
        <w:t>本人</w:t>
      </w:r>
      <w:r>
        <w:rPr>
          <w:rFonts w:hint="eastAsia" w:ascii="宋体" w:hAnsi="宋体" w:cs="宋体"/>
          <w:sz w:val="24"/>
          <w:highlight w:val="none"/>
          <w:u w:val="single"/>
        </w:rPr>
        <w:t>（法定代表人姓名）</w:t>
      </w:r>
      <w:r>
        <w:rPr>
          <w:rFonts w:hint="eastAsia" w:ascii="宋体" w:hAnsi="宋体" w:cs="宋体"/>
          <w:sz w:val="24"/>
          <w:highlight w:val="none"/>
        </w:rPr>
        <w:t>以</w:t>
      </w:r>
      <w:r>
        <w:rPr>
          <w:rFonts w:hint="eastAsia" w:ascii="宋体" w:hAnsi="宋体" w:cs="宋体"/>
          <w:sz w:val="24"/>
          <w:highlight w:val="none"/>
          <w:u w:val="single"/>
        </w:rPr>
        <w:t>　（投标公司全称）　</w:t>
      </w:r>
      <w:r>
        <w:rPr>
          <w:rFonts w:hint="eastAsia" w:ascii="宋体" w:hAnsi="宋体" w:cs="宋体"/>
          <w:sz w:val="24"/>
          <w:highlight w:val="none"/>
        </w:rPr>
        <w:t>法定代表人的资格，郑重承诺：</w:t>
      </w:r>
    </w:p>
    <w:p w14:paraId="2FDDB616">
      <w:pPr>
        <w:spacing w:line="520" w:lineRule="exact"/>
        <w:ind w:firstLine="607"/>
        <w:rPr>
          <w:rFonts w:ascii="宋体" w:hAnsi="宋体" w:cs="宋体"/>
          <w:sz w:val="24"/>
          <w:highlight w:val="none"/>
        </w:rPr>
      </w:pPr>
      <w:r>
        <w:rPr>
          <w:rFonts w:hint="eastAsia" w:ascii="宋体" w:hAnsi="宋体" w:cs="宋体"/>
          <w:sz w:val="24"/>
          <w:highlight w:val="none"/>
        </w:rPr>
        <w:t>本单位此次参加</w:t>
      </w:r>
      <w:r>
        <w:rPr>
          <w:rFonts w:hint="eastAsia" w:ascii="宋体" w:hAnsi="宋体" w:cs="宋体"/>
          <w:sz w:val="24"/>
          <w:highlight w:val="none"/>
          <w:u w:val="single"/>
        </w:rPr>
        <w:t>（投标项目名称）</w:t>
      </w:r>
      <w:r>
        <w:rPr>
          <w:rFonts w:hint="eastAsia" w:ascii="宋体" w:hAnsi="宋体" w:cs="宋体"/>
          <w:sz w:val="24"/>
          <w:highlight w:val="none"/>
        </w:rPr>
        <w:t>　投标所提交的所有资料都是真实的。如果有虚假，本单位愿意接受采购人作出的取消投标、中标资格及没收投标、履约保证金（如果有）的决定同时愿意接受行政主管部门依法作出的其他处罚决定。　</w:t>
      </w:r>
    </w:p>
    <w:p w14:paraId="3F4C6AD1">
      <w:pPr>
        <w:spacing w:line="520" w:lineRule="exact"/>
        <w:ind w:firstLine="607"/>
        <w:rPr>
          <w:rFonts w:ascii="宋体" w:hAnsi="宋体" w:cs="宋体"/>
          <w:sz w:val="24"/>
          <w:highlight w:val="none"/>
        </w:rPr>
      </w:pPr>
    </w:p>
    <w:p w14:paraId="0D549640">
      <w:pPr>
        <w:spacing w:line="520" w:lineRule="exact"/>
        <w:ind w:firstLine="607"/>
        <w:rPr>
          <w:rFonts w:ascii="宋体" w:hAnsi="宋体" w:cs="宋体"/>
          <w:sz w:val="24"/>
          <w:highlight w:val="none"/>
        </w:rPr>
      </w:pPr>
      <w:r>
        <w:rPr>
          <w:rFonts w:hint="eastAsia" w:ascii="宋体" w:hAnsi="宋体" w:cs="宋体"/>
          <w:sz w:val="24"/>
          <w:highlight w:val="none"/>
        </w:rPr>
        <w:t>投标人：</w:t>
      </w:r>
      <w:r>
        <w:rPr>
          <w:rFonts w:hint="eastAsia" w:ascii="宋体" w:hAnsi="宋体" w:cs="宋体"/>
          <w:sz w:val="24"/>
          <w:highlight w:val="none"/>
          <w:u w:val="single"/>
        </w:rPr>
        <w:t>　　　　　　　　　　　　</w:t>
      </w:r>
      <w:r>
        <w:rPr>
          <w:rFonts w:hint="eastAsia" w:ascii="宋体" w:hAnsi="宋体" w:cs="宋体"/>
          <w:sz w:val="24"/>
          <w:highlight w:val="none"/>
        </w:rPr>
        <w:t>（盖电子公章）</w:t>
      </w:r>
    </w:p>
    <w:p w14:paraId="59BA50B4">
      <w:pPr>
        <w:spacing w:line="520" w:lineRule="exact"/>
        <w:ind w:firstLine="607"/>
        <w:rPr>
          <w:rFonts w:ascii="宋体" w:hAnsi="宋体" w:cs="宋体"/>
          <w:sz w:val="24"/>
          <w:highlight w:val="none"/>
        </w:rPr>
      </w:pPr>
    </w:p>
    <w:p w14:paraId="162E46DC">
      <w:pPr>
        <w:pStyle w:val="13"/>
        <w:rPr>
          <w:highlight w:val="none"/>
        </w:rPr>
        <w:sectPr>
          <w:pgSz w:w="11906" w:h="16838"/>
          <w:pgMar w:top="1418" w:right="1134" w:bottom="1134" w:left="1418" w:header="851" w:footer="992" w:gutter="0"/>
          <w:cols w:space="720" w:num="1"/>
          <w:docGrid w:linePitch="312" w:charSpace="0"/>
        </w:sectPr>
      </w:pPr>
      <w:r>
        <w:rPr>
          <w:rFonts w:hint="eastAsia" w:cs="宋体"/>
          <w:highlight w:val="none"/>
        </w:rPr>
        <w:t>投标人法定代表人：</w:t>
      </w:r>
      <w:r>
        <w:rPr>
          <w:rFonts w:hint="eastAsia" w:cs="宋体"/>
          <w:highlight w:val="none"/>
          <w:u w:val="single"/>
        </w:rPr>
        <w:t>　　　　　　　</w:t>
      </w:r>
      <w:r>
        <w:rPr>
          <w:rFonts w:hint="eastAsia" w:cs="宋体"/>
          <w:highlight w:val="none"/>
        </w:rPr>
        <w:t>（盖电子法人章）</w:t>
      </w:r>
    </w:p>
    <w:p w14:paraId="706964A9">
      <w:pPr>
        <w:jc w:val="center"/>
        <w:rPr>
          <w:rFonts w:ascii="宋体" w:hAnsi="宋体" w:cs="宋体"/>
          <w:b/>
          <w:sz w:val="32"/>
          <w:szCs w:val="32"/>
          <w:highlight w:val="none"/>
        </w:rPr>
      </w:pPr>
      <w:r>
        <w:rPr>
          <w:rFonts w:hint="eastAsia" w:ascii="宋体" w:hAnsi="宋体"/>
          <w:b/>
          <w:sz w:val="32"/>
          <w:szCs w:val="32"/>
          <w:highlight w:val="none"/>
        </w:rPr>
        <w:t>投标人基本情况表</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701"/>
        <w:gridCol w:w="1723"/>
        <w:gridCol w:w="1173"/>
        <w:gridCol w:w="90"/>
        <w:gridCol w:w="1604"/>
        <w:gridCol w:w="54"/>
        <w:gridCol w:w="519"/>
        <w:gridCol w:w="2125"/>
      </w:tblGrid>
      <w:tr w14:paraId="1139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1193" w:type="pct"/>
            <w:gridSpan w:val="2"/>
            <w:vAlign w:val="center"/>
          </w:tcPr>
          <w:p w14:paraId="2F608A14">
            <w:pPr>
              <w:spacing w:line="440" w:lineRule="exact"/>
              <w:jc w:val="center"/>
              <w:rPr>
                <w:rFonts w:ascii="宋体" w:hAnsi="宋体" w:cs="宋体"/>
                <w:sz w:val="24"/>
                <w:highlight w:val="none"/>
              </w:rPr>
            </w:pPr>
            <w:r>
              <w:rPr>
                <w:rFonts w:hint="eastAsia" w:ascii="宋体" w:hAnsi="宋体" w:cs="宋体"/>
                <w:sz w:val="24"/>
                <w:highlight w:val="none"/>
              </w:rPr>
              <w:t>单位名称</w:t>
            </w:r>
          </w:p>
        </w:tc>
        <w:tc>
          <w:tcPr>
            <w:tcW w:w="1560" w:type="pct"/>
            <w:gridSpan w:val="3"/>
            <w:vAlign w:val="center"/>
          </w:tcPr>
          <w:p w14:paraId="3AA68041">
            <w:pPr>
              <w:spacing w:line="440" w:lineRule="exact"/>
              <w:jc w:val="center"/>
              <w:rPr>
                <w:rFonts w:ascii="宋体" w:hAnsi="宋体" w:cs="宋体"/>
                <w:sz w:val="24"/>
                <w:highlight w:val="none"/>
              </w:rPr>
            </w:pPr>
          </w:p>
        </w:tc>
        <w:tc>
          <w:tcPr>
            <w:tcW w:w="1137" w:type="pct"/>
            <w:gridSpan w:val="3"/>
            <w:vAlign w:val="center"/>
          </w:tcPr>
          <w:p w14:paraId="4E2BF871">
            <w:pPr>
              <w:spacing w:line="440" w:lineRule="exact"/>
              <w:jc w:val="center"/>
              <w:rPr>
                <w:rFonts w:ascii="宋体" w:hAnsi="宋体" w:cs="宋体"/>
                <w:sz w:val="24"/>
                <w:highlight w:val="none"/>
              </w:rPr>
            </w:pPr>
            <w:r>
              <w:rPr>
                <w:rFonts w:hint="eastAsia" w:ascii="宋体" w:hAnsi="宋体" w:cs="宋体"/>
                <w:sz w:val="24"/>
                <w:highlight w:val="none"/>
              </w:rPr>
              <w:t>地址</w:t>
            </w:r>
          </w:p>
        </w:tc>
        <w:tc>
          <w:tcPr>
            <w:tcW w:w="1109" w:type="pct"/>
            <w:vAlign w:val="center"/>
          </w:tcPr>
          <w:p w14:paraId="49F91866">
            <w:pPr>
              <w:spacing w:line="440" w:lineRule="exact"/>
              <w:jc w:val="center"/>
              <w:rPr>
                <w:rFonts w:ascii="宋体" w:hAnsi="宋体" w:cs="宋体"/>
                <w:sz w:val="24"/>
                <w:highlight w:val="none"/>
              </w:rPr>
            </w:pPr>
          </w:p>
        </w:tc>
      </w:tr>
      <w:tr w14:paraId="2AD3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193" w:type="pct"/>
            <w:gridSpan w:val="2"/>
            <w:vAlign w:val="center"/>
          </w:tcPr>
          <w:p w14:paraId="15E80597">
            <w:pPr>
              <w:spacing w:line="440" w:lineRule="exact"/>
              <w:jc w:val="center"/>
              <w:rPr>
                <w:rFonts w:ascii="宋体" w:hAnsi="宋体" w:cs="宋体"/>
                <w:sz w:val="24"/>
                <w:highlight w:val="none"/>
              </w:rPr>
            </w:pPr>
            <w:r>
              <w:rPr>
                <w:rFonts w:hint="eastAsia" w:ascii="宋体" w:hAnsi="宋体" w:cs="宋体"/>
                <w:sz w:val="24"/>
                <w:highlight w:val="none"/>
              </w:rPr>
              <w:t>办公电话/传真</w:t>
            </w:r>
          </w:p>
        </w:tc>
        <w:tc>
          <w:tcPr>
            <w:tcW w:w="1560" w:type="pct"/>
            <w:gridSpan w:val="3"/>
            <w:vAlign w:val="center"/>
          </w:tcPr>
          <w:p w14:paraId="071EDC3B">
            <w:pPr>
              <w:spacing w:line="440" w:lineRule="exact"/>
              <w:jc w:val="center"/>
              <w:rPr>
                <w:rFonts w:ascii="宋体" w:hAnsi="宋体" w:cs="宋体"/>
                <w:sz w:val="24"/>
                <w:highlight w:val="none"/>
              </w:rPr>
            </w:pPr>
          </w:p>
        </w:tc>
        <w:tc>
          <w:tcPr>
            <w:tcW w:w="1137" w:type="pct"/>
            <w:gridSpan w:val="3"/>
            <w:vAlign w:val="center"/>
          </w:tcPr>
          <w:p w14:paraId="37B40104">
            <w:pPr>
              <w:spacing w:line="440" w:lineRule="exact"/>
              <w:jc w:val="center"/>
              <w:rPr>
                <w:rFonts w:ascii="宋体" w:hAnsi="宋体" w:cs="宋体"/>
                <w:sz w:val="24"/>
                <w:highlight w:val="none"/>
              </w:rPr>
            </w:pPr>
            <w:r>
              <w:rPr>
                <w:rFonts w:hint="eastAsia" w:ascii="宋体" w:hAnsi="宋体" w:cs="宋体"/>
                <w:sz w:val="24"/>
                <w:highlight w:val="none"/>
              </w:rPr>
              <w:t>联系人</w:t>
            </w:r>
          </w:p>
        </w:tc>
        <w:tc>
          <w:tcPr>
            <w:tcW w:w="1109" w:type="pct"/>
            <w:vAlign w:val="center"/>
          </w:tcPr>
          <w:p w14:paraId="689E8848">
            <w:pPr>
              <w:spacing w:line="440" w:lineRule="exact"/>
              <w:jc w:val="center"/>
              <w:rPr>
                <w:rFonts w:ascii="宋体" w:hAnsi="宋体" w:cs="宋体"/>
                <w:sz w:val="24"/>
                <w:highlight w:val="none"/>
              </w:rPr>
            </w:pPr>
          </w:p>
        </w:tc>
      </w:tr>
      <w:tr w14:paraId="2061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1193" w:type="pct"/>
            <w:gridSpan w:val="2"/>
            <w:vAlign w:val="center"/>
          </w:tcPr>
          <w:p w14:paraId="1AC27DB6">
            <w:pPr>
              <w:spacing w:line="440" w:lineRule="exact"/>
              <w:jc w:val="center"/>
              <w:rPr>
                <w:rFonts w:ascii="宋体" w:hAnsi="宋体" w:cs="宋体"/>
                <w:sz w:val="24"/>
                <w:highlight w:val="none"/>
              </w:rPr>
            </w:pPr>
            <w:r>
              <w:rPr>
                <w:rFonts w:hint="eastAsia" w:ascii="宋体" w:hAnsi="宋体" w:cs="宋体"/>
                <w:sz w:val="24"/>
                <w:highlight w:val="none"/>
              </w:rPr>
              <w:t>总经理</w:t>
            </w:r>
          </w:p>
        </w:tc>
        <w:tc>
          <w:tcPr>
            <w:tcW w:w="900" w:type="pct"/>
            <w:vAlign w:val="center"/>
          </w:tcPr>
          <w:p w14:paraId="5274E1D1">
            <w:pPr>
              <w:spacing w:line="440" w:lineRule="exact"/>
              <w:jc w:val="center"/>
              <w:rPr>
                <w:rFonts w:ascii="宋体" w:hAnsi="宋体" w:cs="宋体"/>
                <w:sz w:val="24"/>
                <w:highlight w:val="none"/>
              </w:rPr>
            </w:pPr>
          </w:p>
        </w:tc>
        <w:tc>
          <w:tcPr>
            <w:tcW w:w="1526" w:type="pct"/>
            <w:gridSpan w:val="4"/>
            <w:vAlign w:val="center"/>
          </w:tcPr>
          <w:p w14:paraId="185092E7">
            <w:pPr>
              <w:spacing w:line="440" w:lineRule="exact"/>
              <w:jc w:val="center"/>
              <w:rPr>
                <w:rFonts w:ascii="宋体" w:hAnsi="宋体" w:cs="宋体"/>
                <w:sz w:val="24"/>
                <w:highlight w:val="none"/>
              </w:rPr>
            </w:pPr>
            <w:r>
              <w:rPr>
                <w:rFonts w:hint="eastAsia" w:ascii="宋体" w:hAnsi="宋体" w:cs="宋体"/>
                <w:sz w:val="24"/>
                <w:highlight w:val="none"/>
              </w:rPr>
              <w:t>固定办公面积</w:t>
            </w:r>
          </w:p>
          <w:p w14:paraId="19AFB88A">
            <w:pPr>
              <w:spacing w:line="440" w:lineRule="exact"/>
              <w:jc w:val="center"/>
              <w:rPr>
                <w:rFonts w:ascii="宋体" w:hAnsi="宋体" w:cs="宋体"/>
                <w:sz w:val="24"/>
                <w:highlight w:val="none"/>
              </w:rPr>
            </w:pPr>
            <w:r>
              <w:rPr>
                <w:rFonts w:hint="eastAsia" w:ascii="宋体" w:hAnsi="宋体" w:cs="宋体"/>
                <w:sz w:val="24"/>
                <w:highlight w:val="none"/>
              </w:rPr>
              <w:t>（平米）</w:t>
            </w:r>
          </w:p>
        </w:tc>
        <w:tc>
          <w:tcPr>
            <w:tcW w:w="1380" w:type="pct"/>
            <w:gridSpan w:val="2"/>
            <w:vAlign w:val="center"/>
          </w:tcPr>
          <w:p w14:paraId="0FD5D8A5">
            <w:pPr>
              <w:spacing w:line="440" w:lineRule="exact"/>
              <w:jc w:val="center"/>
              <w:rPr>
                <w:rFonts w:ascii="宋体" w:hAnsi="宋体" w:cs="宋体"/>
                <w:sz w:val="24"/>
                <w:highlight w:val="none"/>
              </w:rPr>
            </w:pPr>
          </w:p>
        </w:tc>
      </w:tr>
      <w:tr w14:paraId="67A5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304" w:type="pct"/>
            <w:vMerge w:val="restart"/>
            <w:vAlign w:val="center"/>
          </w:tcPr>
          <w:p w14:paraId="75080A79">
            <w:pPr>
              <w:spacing w:line="440" w:lineRule="exact"/>
              <w:jc w:val="center"/>
              <w:rPr>
                <w:rFonts w:ascii="宋体" w:hAnsi="宋体" w:cs="宋体"/>
                <w:sz w:val="24"/>
                <w:highlight w:val="none"/>
              </w:rPr>
            </w:pPr>
            <w:r>
              <w:rPr>
                <w:rFonts w:hint="eastAsia" w:ascii="宋体" w:hAnsi="宋体" w:cs="宋体"/>
                <w:sz w:val="24"/>
                <w:highlight w:val="none"/>
              </w:rPr>
              <w:t>注册情况</w:t>
            </w:r>
          </w:p>
        </w:tc>
        <w:tc>
          <w:tcPr>
            <w:tcW w:w="1788" w:type="pct"/>
            <w:gridSpan w:val="2"/>
            <w:vAlign w:val="center"/>
          </w:tcPr>
          <w:p w14:paraId="6B4F3AAE">
            <w:pPr>
              <w:spacing w:line="440" w:lineRule="exact"/>
              <w:jc w:val="center"/>
              <w:rPr>
                <w:rFonts w:ascii="宋体" w:hAnsi="宋体" w:cs="宋体"/>
                <w:sz w:val="24"/>
                <w:highlight w:val="none"/>
              </w:rPr>
            </w:pPr>
            <w:r>
              <w:rPr>
                <w:rFonts w:hint="eastAsia" w:ascii="宋体" w:hAnsi="宋体" w:cs="宋体"/>
                <w:sz w:val="24"/>
                <w:highlight w:val="none"/>
              </w:rPr>
              <w:t>工商注册号</w:t>
            </w:r>
          </w:p>
        </w:tc>
        <w:tc>
          <w:tcPr>
            <w:tcW w:w="2906" w:type="pct"/>
            <w:gridSpan w:val="6"/>
            <w:vAlign w:val="center"/>
          </w:tcPr>
          <w:p w14:paraId="2F17606A">
            <w:pPr>
              <w:spacing w:line="440" w:lineRule="exact"/>
              <w:jc w:val="center"/>
              <w:rPr>
                <w:rFonts w:ascii="宋体" w:hAnsi="宋体" w:cs="宋体"/>
                <w:sz w:val="24"/>
                <w:highlight w:val="none"/>
              </w:rPr>
            </w:pPr>
          </w:p>
        </w:tc>
      </w:tr>
      <w:tr w14:paraId="53C8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304" w:type="pct"/>
            <w:vMerge w:val="continue"/>
            <w:textDirection w:val="tbRlV"/>
            <w:vAlign w:val="center"/>
          </w:tcPr>
          <w:p w14:paraId="73BC31B0">
            <w:pPr>
              <w:spacing w:line="440" w:lineRule="exact"/>
              <w:jc w:val="center"/>
              <w:rPr>
                <w:rFonts w:ascii="宋体" w:hAnsi="宋体" w:cs="宋体"/>
                <w:sz w:val="24"/>
                <w:highlight w:val="none"/>
              </w:rPr>
            </w:pPr>
          </w:p>
        </w:tc>
        <w:tc>
          <w:tcPr>
            <w:tcW w:w="1788" w:type="pct"/>
            <w:gridSpan w:val="2"/>
            <w:vAlign w:val="center"/>
          </w:tcPr>
          <w:p w14:paraId="6D8903B2">
            <w:pPr>
              <w:spacing w:line="440" w:lineRule="exact"/>
              <w:jc w:val="center"/>
              <w:rPr>
                <w:rFonts w:ascii="宋体" w:hAnsi="宋体" w:cs="宋体"/>
                <w:sz w:val="24"/>
                <w:highlight w:val="none"/>
              </w:rPr>
            </w:pPr>
            <w:r>
              <w:rPr>
                <w:rFonts w:hint="eastAsia" w:ascii="宋体" w:hAnsi="宋体" w:cs="宋体"/>
                <w:sz w:val="24"/>
                <w:highlight w:val="none"/>
              </w:rPr>
              <w:t>注册资本</w:t>
            </w:r>
          </w:p>
          <w:p w14:paraId="2C3E2999">
            <w:pPr>
              <w:spacing w:line="440" w:lineRule="exact"/>
              <w:jc w:val="center"/>
              <w:rPr>
                <w:rFonts w:ascii="宋体" w:hAnsi="宋体" w:cs="宋体"/>
                <w:sz w:val="24"/>
                <w:highlight w:val="none"/>
              </w:rPr>
            </w:pPr>
            <w:r>
              <w:rPr>
                <w:rFonts w:hint="eastAsia" w:ascii="宋体" w:hAnsi="宋体" w:cs="宋体"/>
                <w:sz w:val="24"/>
                <w:highlight w:val="none"/>
              </w:rPr>
              <w:t>（万元）</w:t>
            </w:r>
          </w:p>
        </w:tc>
        <w:tc>
          <w:tcPr>
            <w:tcW w:w="2906" w:type="pct"/>
            <w:gridSpan w:val="6"/>
            <w:vAlign w:val="center"/>
          </w:tcPr>
          <w:p w14:paraId="427EF077">
            <w:pPr>
              <w:spacing w:line="440" w:lineRule="exact"/>
              <w:jc w:val="center"/>
              <w:rPr>
                <w:rFonts w:ascii="宋体" w:hAnsi="宋体" w:cs="宋体"/>
                <w:sz w:val="24"/>
                <w:highlight w:val="none"/>
              </w:rPr>
            </w:pPr>
          </w:p>
        </w:tc>
      </w:tr>
      <w:tr w14:paraId="6CBAF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304" w:type="pct"/>
            <w:vMerge w:val="continue"/>
            <w:textDirection w:val="tbRlV"/>
            <w:vAlign w:val="center"/>
          </w:tcPr>
          <w:p w14:paraId="7E923C8F">
            <w:pPr>
              <w:spacing w:line="440" w:lineRule="exact"/>
              <w:jc w:val="center"/>
              <w:rPr>
                <w:rFonts w:ascii="宋体" w:hAnsi="宋体" w:cs="宋体"/>
                <w:sz w:val="24"/>
                <w:highlight w:val="none"/>
              </w:rPr>
            </w:pPr>
          </w:p>
        </w:tc>
        <w:tc>
          <w:tcPr>
            <w:tcW w:w="1788" w:type="pct"/>
            <w:gridSpan w:val="2"/>
            <w:vAlign w:val="center"/>
          </w:tcPr>
          <w:p w14:paraId="303191D9">
            <w:pPr>
              <w:spacing w:line="440" w:lineRule="exact"/>
              <w:jc w:val="center"/>
              <w:rPr>
                <w:rFonts w:ascii="宋体" w:hAnsi="宋体" w:cs="宋体"/>
                <w:sz w:val="24"/>
                <w:highlight w:val="none"/>
              </w:rPr>
            </w:pPr>
            <w:r>
              <w:rPr>
                <w:rFonts w:hint="eastAsia" w:ascii="宋体" w:hAnsi="宋体" w:cs="宋体"/>
                <w:sz w:val="24"/>
                <w:highlight w:val="none"/>
              </w:rPr>
              <w:t>法定代表人</w:t>
            </w:r>
          </w:p>
        </w:tc>
        <w:tc>
          <w:tcPr>
            <w:tcW w:w="613" w:type="pct"/>
            <w:vAlign w:val="center"/>
          </w:tcPr>
          <w:p w14:paraId="3A505FD1">
            <w:pPr>
              <w:spacing w:line="440" w:lineRule="exact"/>
              <w:jc w:val="center"/>
              <w:rPr>
                <w:rFonts w:ascii="宋体" w:hAnsi="宋体" w:cs="宋体"/>
                <w:sz w:val="24"/>
                <w:highlight w:val="none"/>
              </w:rPr>
            </w:pPr>
          </w:p>
        </w:tc>
        <w:tc>
          <w:tcPr>
            <w:tcW w:w="885" w:type="pct"/>
            <w:gridSpan w:val="2"/>
            <w:vAlign w:val="center"/>
          </w:tcPr>
          <w:p w14:paraId="67AE389C">
            <w:pPr>
              <w:spacing w:line="440" w:lineRule="exact"/>
              <w:jc w:val="center"/>
              <w:rPr>
                <w:rFonts w:ascii="宋体" w:hAnsi="宋体" w:cs="宋体"/>
                <w:sz w:val="24"/>
                <w:highlight w:val="none"/>
              </w:rPr>
            </w:pPr>
            <w:r>
              <w:rPr>
                <w:rFonts w:hint="eastAsia" w:ascii="宋体" w:hAnsi="宋体" w:cs="宋体"/>
                <w:sz w:val="24"/>
                <w:highlight w:val="none"/>
              </w:rPr>
              <w:t>单位类型</w:t>
            </w:r>
          </w:p>
        </w:tc>
        <w:tc>
          <w:tcPr>
            <w:tcW w:w="1407" w:type="pct"/>
            <w:gridSpan w:val="3"/>
            <w:vAlign w:val="center"/>
          </w:tcPr>
          <w:p w14:paraId="48028151">
            <w:pPr>
              <w:spacing w:line="440" w:lineRule="exact"/>
              <w:jc w:val="center"/>
              <w:rPr>
                <w:rFonts w:ascii="宋体" w:hAnsi="宋体" w:cs="宋体"/>
                <w:sz w:val="24"/>
                <w:highlight w:val="none"/>
              </w:rPr>
            </w:pPr>
          </w:p>
        </w:tc>
      </w:tr>
      <w:tr w14:paraId="428E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304" w:type="pct"/>
            <w:vMerge w:val="continue"/>
            <w:textDirection w:val="tbRlV"/>
            <w:vAlign w:val="center"/>
          </w:tcPr>
          <w:p w14:paraId="466677FF">
            <w:pPr>
              <w:spacing w:line="440" w:lineRule="exact"/>
              <w:jc w:val="center"/>
              <w:rPr>
                <w:rFonts w:ascii="宋体" w:hAnsi="宋体" w:cs="宋体"/>
                <w:sz w:val="24"/>
                <w:highlight w:val="none"/>
              </w:rPr>
            </w:pPr>
          </w:p>
        </w:tc>
        <w:tc>
          <w:tcPr>
            <w:tcW w:w="1788" w:type="pct"/>
            <w:gridSpan w:val="2"/>
            <w:vAlign w:val="center"/>
          </w:tcPr>
          <w:p w14:paraId="11B9E77A">
            <w:pPr>
              <w:spacing w:line="440" w:lineRule="exact"/>
              <w:jc w:val="center"/>
              <w:rPr>
                <w:rFonts w:ascii="宋体" w:hAnsi="宋体" w:cs="宋体"/>
                <w:sz w:val="24"/>
                <w:highlight w:val="none"/>
              </w:rPr>
            </w:pPr>
            <w:r>
              <w:rPr>
                <w:rFonts w:hint="eastAsia" w:ascii="宋体" w:hAnsi="宋体" w:cs="宋体"/>
                <w:sz w:val="24"/>
                <w:highlight w:val="none"/>
              </w:rPr>
              <w:t>成立时间</w:t>
            </w:r>
          </w:p>
        </w:tc>
        <w:tc>
          <w:tcPr>
            <w:tcW w:w="613" w:type="pct"/>
            <w:vAlign w:val="center"/>
          </w:tcPr>
          <w:p w14:paraId="049A08CB">
            <w:pPr>
              <w:spacing w:line="440" w:lineRule="exact"/>
              <w:jc w:val="center"/>
              <w:rPr>
                <w:rFonts w:ascii="宋体" w:hAnsi="宋体" w:cs="宋体"/>
                <w:sz w:val="24"/>
                <w:highlight w:val="none"/>
              </w:rPr>
            </w:pPr>
          </w:p>
        </w:tc>
        <w:tc>
          <w:tcPr>
            <w:tcW w:w="885" w:type="pct"/>
            <w:gridSpan w:val="2"/>
            <w:vAlign w:val="center"/>
          </w:tcPr>
          <w:p w14:paraId="3ADCB4CA">
            <w:pPr>
              <w:spacing w:line="440" w:lineRule="exact"/>
              <w:jc w:val="center"/>
              <w:rPr>
                <w:rFonts w:ascii="宋体" w:hAnsi="宋体" w:cs="宋体"/>
                <w:sz w:val="24"/>
                <w:highlight w:val="none"/>
              </w:rPr>
            </w:pPr>
            <w:r>
              <w:rPr>
                <w:rFonts w:hint="eastAsia" w:ascii="宋体" w:hAnsi="宋体" w:cs="宋体"/>
                <w:sz w:val="24"/>
                <w:highlight w:val="none"/>
              </w:rPr>
              <w:t>营业期限</w:t>
            </w:r>
          </w:p>
        </w:tc>
        <w:tc>
          <w:tcPr>
            <w:tcW w:w="1407" w:type="pct"/>
            <w:gridSpan w:val="3"/>
            <w:vAlign w:val="center"/>
          </w:tcPr>
          <w:p w14:paraId="4E60B00E">
            <w:pPr>
              <w:spacing w:line="440" w:lineRule="exact"/>
              <w:jc w:val="center"/>
              <w:rPr>
                <w:rFonts w:ascii="宋体" w:hAnsi="宋体" w:cs="宋体"/>
                <w:sz w:val="24"/>
                <w:highlight w:val="none"/>
              </w:rPr>
            </w:pPr>
          </w:p>
        </w:tc>
      </w:tr>
      <w:tr w14:paraId="294C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304" w:type="pct"/>
            <w:vMerge w:val="continue"/>
            <w:textDirection w:val="tbRlV"/>
            <w:vAlign w:val="center"/>
          </w:tcPr>
          <w:p w14:paraId="69AEC84D">
            <w:pPr>
              <w:spacing w:line="440" w:lineRule="exact"/>
              <w:jc w:val="center"/>
              <w:rPr>
                <w:rFonts w:ascii="宋体" w:hAnsi="宋体" w:cs="宋体"/>
                <w:sz w:val="24"/>
                <w:highlight w:val="none"/>
              </w:rPr>
            </w:pPr>
          </w:p>
        </w:tc>
        <w:tc>
          <w:tcPr>
            <w:tcW w:w="1788" w:type="pct"/>
            <w:gridSpan w:val="2"/>
            <w:vAlign w:val="center"/>
          </w:tcPr>
          <w:p w14:paraId="049FE25D">
            <w:pPr>
              <w:spacing w:line="440" w:lineRule="exact"/>
              <w:jc w:val="center"/>
              <w:rPr>
                <w:rFonts w:ascii="宋体" w:hAnsi="宋体" w:cs="宋体"/>
                <w:sz w:val="24"/>
                <w:highlight w:val="none"/>
              </w:rPr>
            </w:pPr>
            <w:r>
              <w:rPr>
                <w:rFonts w:hint="eastAsia" w:ascii="宋体" w:hAnsi="宋体" w:cs="宋体"/>
                <w:sz w:val="24"/>
                <w:highlight w:val="none"/>
              </w:rPr>
              <w:t>经营范围</w:t>
            </w:r>
          </w:p>
        </w:tc>
        <w:tc>
          <w:tcPr>
            <w:tcW w:w="2906" w:type="pct"/>
            <w:gridSpan w:val="6"/>
            <w:vAlign w:val="center"/>
          </w:tcPr>
          <w:p w14:paraId="3172F4F5">
            <w:pPr>
              <w:spacing w:line="440" w:lineRule="exact"/>
              <w:jc w:val="center"/>
              <w:rPr>
                <w:rFonts w:ascii="宋体" w:hAnsi="宋体" w:cs="宋体"/>
                <w:sz w:val="24"/>
                <w:highlight w:val="none"/>
              </w:rPr>
            </w:pPr>
            <w:r>
              <w:rPr>
                <w:rFonts w:hint="eastAsia" w:ascii="宋体" w:hAnsi="宋体" w:cs="宋体"/>
                <w:sz w:val="24"/>
                <w:highlight w:val="none"/>
              </w:rPr>
              <w:t xml:space="preserve">  </w:t>
            </w:r>
          </w:p>
        </w:tc>
      </w:tr>
      <w:tr w14:paraId="6BD4B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2093" w:type="pct"/>
            <w:gridSpan w:val="3"/>
            <w:vAlign w:val="center"/>
          </w:tcPr>
          <w:p w14:paraId="76135F1B">
            <w:pPr>
              <w:spacing w:line="440" w:lineRule="exact"/>
              <w:jc w:val="center"/>
              <w:rPr>
                <w:rFonts w:ascii="宋体" w:hAnsi="宋体" w:cs="宋体"/>
                <w:sz w:val="24"/>
                <w:highlight w:val="none"/>
              </w:rPr>
            </w:pPr>
            <w:r>
              <w:rPr>
                <w:rFonts w:hint="eastAsia" w:ascii="宋体" w:hAnsi="宋体" w:cs="宋体"/>
                <w:sz w:val="24"/>
                <w:highlight w:val="none"/>
              </w:rPr>
              <w:t>投标人关联企业情况（包括但不限于与投标人法定代表人为同一人或者存在控股、管理关系的不同单位）</w:t>
            </w:r>
          </w:p>
        </w:tc>
        <w:tc>
          <w:tcPr>
            <w:tcW w:w="2906" w:type="pct"/>
            <w:gridSpan w:val="6"/>
            <w:vAlign w:val="center"/>
          </w:tcPr>
          <w:p w14:paraId="39AE0551">
            <w:pPr>
              <w:spacing w:line="440" w:lineRule="exact"/>
              <w:rPr>
                <w:rFonts w:ascii="宋体" w:hAnsi="宋体" w:cs="宋体"/>
                <w:sz w:val="24"/>
                <w:highlight w:val="none"/>
              </w:rPr>
            </w:pPr>
            <w:r>
              <w:rPr>
                <w:rFonts w:hint="eastAsia" w:ascii="宋体" w:hAnsi="宋体" w:cs="宋体"/>
                <w:sz w:val="24"/>
                <w:highlight w:val="none"/>
              </w:rPr>
              <w:t>1.与我单位法定代表人（负责人）为同一人的其他单位为：</w:t>
            </w:r>
          </w:p>
          <w:p w14:paraId="626E0D94">
            <w:pPr>
              <w:spacing w:line="440" w:lineRule="exact"/>
              <w:rPr>
                <w:rFonts w:ascii="宋体" w:hAnsi="宋体" w:cs="宋体"/>
                <w:sz w:val="24"/>
                <w:highlight w:val="none"/>
              </w:rPr>
            </w:pPr>
            <w:r>
              <w:rPr>
                <w:rFonts w:hint="eastAsia" w:ascii="宋体" w:hAnsi="宋体" w:cs="宋体"/>
                <w:sz w:val="24"/>
                <w:highlight w:val="none"/>
              </w:rPr>
              <w:t>2.与我单位存在直接控股、管理关系的其他单位为：</w:t>
            </w:r>
          </w:p>
        </w:tc>
      </w:tr>
      <w:tr w14:paraId="1EE0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5000" w:type="pct"/>
            <w:gridSpan w:val="9"/>
            <w:vAlign w:val="center"/>
          </w:tcPr>
          <w:p w14:paraId="0D56ACC4">
            <w:pPr>
              <w:spacing w:line="440" w:lineRule="exact"/>
              <w:jc w:val="center"/>
              <w:rPr>
                <w:rFonts w:ascii="宋体" w:hAnsi="宋体" w:cs="宋体"/>
                <w:sz w:val="24"/>
                <w:highlight w:val="none"/>
              </w:rPr>
            </w:pPr>
            <w:r>
              <w:rPr>
                <w:rFonts w:hint="eastAsia" w:ascii="宋体" w:hAnsi="宋体" w:cs="宋体"/>
                <w:sz w:val="24"/>
                <w:highlight w:val="none"/>
              </w:rPr>
              <w:t>投标人情况简介</w:t>
            </w:r>
          </w:p>
        </w:tc>
      </w:tr>
      <w:tr w14:paraId="33F2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5" w:hRule="atLeast"/>
          <w:jc w:val="center"/>
        </w:trPr>
        <w:tc>
          <w:tcPr>
            <w:tcW w:w="5000" w:type="pct"/>
            <w:gridSpan w:val="9"/>
          </w:tcPr>
          <w:p w14:paraId="6F3C7A2A">
            <w:pPr>
              <w:spacing w:line="440" w:lineRule="exact"/>
              <w:rPr>
                <w:rFonts w:ascii="宋体" w:hAnsi="宋体" w:cs="宋体"/>
                <w:sz w:val="24"/>
                <w:highlight w:val="none"/>
              </w:rPr>
            </w:pPr>
            <w:r>
              <w:rPr>
                <w:rFonts w:hint="eastAsia" w:ascii="宋体" w:hAnsi="宋体" w:cs="宋体"/>
                <w:sz w:val="24"/>
                <w:highlight w:val="none"/>
              </w:rPr>
              <w:t xml:space="preserve">  </w:t>
            </w:r>
          </w:p>
        </w:tc>
      </w:tr>
    </w:tbl>
    <w:p w14:paraId="69B898CE">
      <w:pPr>
        <w:spacing w:line="460" w:lineRule="exact"/>
        <w:ind w:firstLine="3960" w:firstLineChars="1650"/>
        <w:rPr>
          <w:rFonts w:ascii="宋体" w:hAnsi="宋体"/>
          <w:sz w:val="24"/>
          <w:highlight w:val="none"/>
        </w:rPr>
      </w:pPr>
    </w:p>
    <w:p w14:paraId="5EFC2AD1">
      <w:pPr>
        <w:spacing w:line="460" w:lineRule="exact"/>
        <w:ind w:firstLine="3960" w:firstLineChars="1650"/>
        <w:rPr>
          <w:rFonts w:ascii="宋体" w:hAnsi="宋体"/>
          <w:sz w:val="24"/>
          <w:highlight w:val="none"/>
        </w:rPr>
      </w:pPr>
      <w:r>
        <w:rPr>
          <w:rFonts w:hint="eastAsia" w:ascii="宋体" w:hAnsi="宋体"/>
          <w:sz w:val="24"/>
          <w:highlight w:val="none"/>
        </w:rPr>
        <w:t xml:space="preserve">投标人（盖电子公章）： </w:t>
      </w:r>
    </w:p>
    <w:p w14:paraId="67F2F400">
      <w:pPr>
        <w:pStyle w:val="12"/>
        <w:rPr>
          <w:highlight w:val="none"/>
        </w:rPr>
      </w:pPr>
    </w:p>
    <w:p w14:paraId="052F2905">
      <w:pPr>
        <w:spacing w:line="460" w:lineRule="exact"/>
        <w:ind w:firstLine="3960" w:firstLineChars="1650"/>
        <w:rPr>
          <w:rFonts w:ascii="宋体" w:hAnsi="宋体"/>
          <w:sz w:val="24"/>
          <w:highlight w:val="none"/>
        </w:rPr>
      </w:pPr>
      <w:r>
        <w:rPr>
          <w:rFonts w:hint="eastAsia" w:ascii="宋体" w:hAnsi="宋体"/>
          <w:sz w:val="24"/>
          <w:highlight w:val="none"/>
        </w:rPr>
        <w:t>法定代表人或委托代理人（签字或盖章）：</w:t>
      </w:r>
    </w:p>
    <w:p w14:paraId="44765F38">
      <w:pPr>
        <w:autoSpaceDE w:val="0"/>
        <w:autoSpaceDN w:val="0"/>
        <w:adjustRightInd w:val="0"/>
        <w:spacing w:line="440" w:lineRule="exact"/>
        <w:jc w:val="center"/>
        <w:rPr>
          <w:rFonts w:hAnsi="宋体"/>
          <w:b/>
          <w:sz w:val="36"/>
          <w:szCs w:val="36"/>
          <w:highlight w:val="none"/>
        </w:rPr>
        <w:sectPr>
          <w:pgSz w:w="11906" w:h="16838"/>
          <w:pgMar w:top="1418" w:right="1134" w:bottom="1134" w:left="1418" w:header="851" w:footer="992" w:gutter="0"/>
          <w:cols w:space="720" w:num="1"/>
          <w:docGrid w:linePitch="312" w:charSpace="0"/>
        </w:sectPr>
      </w:pPr>
    </w:p>
    <w:p w14:paraId="63F19DD5">
      <w:pPr>
        <w:pStyle w:val="9"/>
        <w:spacing w:line="480" w:lineRule="exact"/>
        <w:jc w:val="center"/>
        <w:rPr>
          <w:highlight w:val="none"/>
        </w:rPr>
      </w:pPr>
      <w:r>
        <w:rPr>
          <w:rFonts w:hint="eastAsia" w:hAnsi="宋体"/>
          <w:b/>
          <w:sz w:val="32"/>
          <w:szCs w:val="36"/>
          <w:highlight w:val="none"/>
        </w:rPr>
        <w:t xml:space="preserve">同类项目业绩表 </w:t>
      </w:r>
    </w:p>
    <w:tbl>
      <w:tblPr>
        <w:tblStyle w:val="17"/>
        <w:tblpPr w:leftFromText="180" w:rightFromText="180" w:vertAnchor="text" w:horzAnchor="margin" w:tblpXSpec="center" w:tblpY="366"/>
        <w:tblW w:w="4493" w:type="pct"/>
        <w:tblInd w:w="-5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463"/>
        <w:gridCol w:w="1632"/>
        <w:gridCol w:w="1783"/>
        <w:gridCol w:w="1351"/>
        <w:gridCol w:w="1349"/>
      </w:tblGrid>
      <w:tr w14:paraId="4740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594" w:type="pct"/>
            <w:vAlign w:val="center"/>
          </w:tcPr>
          <w:p w14:paraId="50AFAF5D">
            <w:pPr>
              <w:spacing w:line="460" w:lineRule="exact"/>
              <w:jc w:val="center"/>
              <w:rPr>
                <w:rFonts w:ascii="宋体" w:hAnsi="宋体" w:cs="宋体"/>
                <w:sz w:val="24"/>
                <w:highlight w:val="none"/>
              </w:rPr>
            </w:pPr>
            <w:r>
              <w:rPr>
                <w:rFonts w:hint="eastAsia" w:ascii="宋体" w:hAnsi="宋体" w:cs="宋体"/>
                <w:sz w:val="24"/>
                <w:highlight w:val="none"/>
              </w:rPr>
              <w:t>序号</w:t>
            </w:r>
          </w:p>
        </w:tc>
        <w:tc>
          <w:tcPr>
            <w:tcW w:w="850" w:type="pct"/>
            <w:vAlign w:val="center"/>
          </w:tcPr>
          <w:p w14:paraId="5BAF249F">
            <w:pPr>
              <w:spacing w:line="460" w:lineRule="exact"/>
              <w:jc w:val="center"/>
              <w:rPr>
                <w:rFonts w:ascii="宋体" w:hAnsi="宋体" w:cs="宋体"/>
                <w:sz w:val="24"/>
                <w:highlight w:val="none"/>
              </w:rPr>
            </w:pPr>
            <w:r>
              <w:rPr>
                <w:rFonts w:hint="eastAsia" w:ascii="宋体" w:hAnsi="宋体" w:cs="宋体"/>
                <w:sz w:val="24"/>
                <w:highlight w:val="none"/>
                <w:lang w:val="en-US" w:eastAsia="zh-CN"/>
              </w:rPr>
              <w:t>用户名称</w:t>
            </w:r>
          </w:p>
        </w:tc>
        <w:tc>
          <w:tcPr>
            <w:tcW w:w="948" w:type="pct"/>
            <w:vAlign w:val="center"/>
          </w:tcPr>
          <w:p w14:paraId="14FA3E09">
            <w:pPr>
              <w:spacing w:line="460" w:lineRule="exact"/>
              <w:jc w:val="center"/>
              <w:rPr>
                <w:rFonts w:ascii="宋体" w:hAnsi="宋体" w:cs="宋体"/>
                <w:sz w:val="24"/>
                <w:highlight w:val="none"/>
              </w:rPr>
            </w:pPr>
            <w:r>
              <w:rPr>
                <w:rFonts w:hint="eastAsia" w:ascii="宋体" w:hAnsi="宋体" w:cs="宋体"/>
                <w:sz w:val="24"/>
                <w:highlight w:val="none"/>
              </w:rPr>
              <w:t>项目名称</w:t>
            </w:r>
          </w:p>
        </w:tc>
        <w:tc>
          <w:tcPr>
            <w:tcW w:w="1036" w:type="pct"/>
            <w:vAlign w:val="center"/>
          </w:tcPr>
          <w:p w14:paraId="1774F252">
            <w:pPr>
              <w:spacing w:line="460" w:lineRule="exact"/>
              <w:jc w:val="center"/>
              <w:rPr>
                <w:rFonts w:ascii="宋体" w:hAnsi="宋体" w:cs="宋体"/>
                <w:sz w:val="24"/>
                <w:highlight w:val="none"/>
              </w:rPr>
            </w:pPr>
            <w:r>
              <w:rPr>
                <w:rFonts w:hint="eastAsia" w:ascii="宋体" w:hAnsi="宋体" w:cs="宋体"/>
                <w:sz w:val="24"/>
                <w:highlight w:val="none"/>
              </w:rPr>
              <w:t>合同签订时间</w:t>
            </w:r>
          </w:p>
        </w:tc>
        <w:tc>
          <w:tcPr>
            <w:tcW w:w="785" w:type="pct"/>
            <w:vAlign w:val="center"/>
          </w:tcPr>
          <w:p w14:paraId="2CF9C4F3">
            <w:pPr>
              <w:spacing w:line="460" w:lineRule="exact"/>
              <w:jc w:val="center"/>
              <w:rPr>
                <w:rFonts w:ascii="宋体" w:hAnsi="宋体" w:cs="宋体"/>
                <w:sz w:val="24"/>
                <w:highlight w:val="none"/>
              </w:rPr>
            </w:pPr>
            <w:r>
              <w:rPr>
                <w:rFonts w:hint="eastAsia" w:ascii="宋体" w:hAnsi="宋体" w:cs="宋体"/>
                <w:sz w:val="24"/>
                <w:highlight w:val="none"/>
              </w:rPr>
              <w:t>金额</w:t>
            </w:r>
          </w:p>
        </w:tc>
        <w:tc>
          <w:tcPr>
            <w:tcW w:w="784" w:type="pct"/>
            <w:vAlign w:val="center"/>
          </w:tcPr>
          <w:p w14:paraId="0930EBC9">
            <w:pPr>
              <w:spacing w:line="46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电话/联系人</w:t>
            </w:r>
          </w:p>
        </w:tc>
      </w:tr>
      <w:tr w14:paraId="38D0E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1B3A6D24">
            <w:pPr>
              <w:spacing w:line="460" w:lineRule="exact"/>
              <w:rPr>
                <w:rFonts w:ascii="宋体" w:hAnsi="宋体" w:cs="宋体"/>
                <w:sz w:val="24"/>
                <w:highlight w:val="none"/>
              </w:rPr>
            </w:pPr>
          </w:p>
        </w:tc>
        <w:tc>
          <w:tcPr>
            <w:tcW w:w="850" w:type="pct"/>
          </w:tcPr>
          <w:p w14:paraId="5AB6463B">
            <w:pPr>
              <w:spacing w:line="460" w:lineRule="exact"/>
              <w:rPr>
                <w:rFonts w:ascii="宋体" w:hAnsi="宋体" w:cs="宋体"/>
                <w:sz w:val="24"/>
                <w:highlight w:val="none"/>
              </w:rPr>
            </w:pPr>
          </w:p>
        </w:tc>
        <w:tc>
          <w:tcPr>
            <w:tcW w:w="948" w:type="pct"/>
          </w:tcPr>
          <w:p w14:paraId="6DD204B2">
            <w:pPr>
              <w:spacing w:line="460" w:lineRule="exact"/>
              <w:rPr>
                <w:rFonts w:ascii="宋体" w:hAnsi="宋体" w:cs="宋体"/>
                <w:sz w:val="24"/>
                <w:highlight w:val="none"/>
              </w:rPr>
            </w:pPr>
          </w:p>
        </w:tc>
        <w:tc>
          <w:tcPr>
            <w:tcW w:w="1036" w:type="pct"/>
          </w:tcPr>
          <w:p w14:paraId="6B197277">
            <w:pPr>
              <w:spacing w:line="460" w:lineRule="exact"/>
              <w:rPr>
                <w:rFonts w:ascii="宋体" w:hAnsi="宋体" w:cs="宋体"/>
                <w:sz w:val="24"/>
                <w:highlight w:val="none"/>
              </w:rPr>
            </w:pPr>
          </w:p>
        </w:tc>
        <w:tc>
          <w:tcPr>
            <w:tcW w:w="785" w:type="pct"/>
            <w:vAlign w:val="center"/>
          </w:tcPr>
          <w:p w14:paraId="30D09423">
            <w:pPr>
              <w:spacing w:line="460" w:lineRule="exact"/>
              <w:jc w:val="center"/>
              <w:rPr>
                <w:rFonts w:ascii="宋体" w:hAnsi="宋体" w:cs="宋体"/>
                <w:sz w:val="24"/>
                <w:highlight w:val="none"/>
              </w:rPr>
            </w:pPr>
          </w:p>
        </w:tc>
        <w:tc>
          <w:tcPr>
            <w:tcW w:w="784" w:type="pct"/>
          </w:tcPr>
          <w:p w14:paraId="7AE25BC7">
            <w:pPr>
              <w:spacing w:line="460" w:lineRule="exact"/>
              <w:rPr>
                <w:rFonts w:ascii="宋体" w:hAnsi="宋体" w:cs="宋体"/>
                <w:sz w:val="24"/>
                <w:highlight w:val="none"/>
              </w:rPr>
            </w:pPr>
          </w:p>
        </w:tc>
      </w:tr>
      <w:tr w14:paraId="21527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4264533C">
            <w:pPr>
              <w:spacing w:line="460" w:lineRule="exact"/>
              <w:rPr>
                <w:rFonts w:ascii="宋体" w:hAnsi="宋体" w:cs="宋体"/>
                <w:sz w:val="24"/>
                <w:highlight w:val="none"/>
              </w:rPr>
            </w:pPr>
          </w:p>
        </w:tc>
        <w:tc>
          <w:tcPr>
            <w:tcW w:w="850" w:type="pct"/>
          </w:tcPr>
          <w:p w14:paraId="766088D2">
            <w:pPr>
              <w:spacing w:line="460" w:lineRule="exact"/>
              <w:rPr>
                <w:rFonts w:ascii="宋体" w:hAnsi="宋体" w:cs="宋体"/>
                <w:sz w:val="24"/>
                <w:highlight w:val="none"/>
              </w:rPr>
            </w:pPr>
          </w:p>
        </w:tc>
        <w:tc>
          <w:tcPr>
            <w:tcW w:w="948" w:type="pct"/>
          </w:tcPr>
          <w:p w14:paraId="043EEB67">
            <w:pPr>
              <w:spacing w:line="460" w:lineRule="exact"/>
              <w:rPr>
                <w:rFonts w:ascii="宋体" w:hAnsi="宋体" w:cs="宋体"/>
                <w:sz w:val="24"/>
                <w:highlight w:val="none"/>
              </w:rPr>
            </w:pPr>
          </w:p>
        </w:tc>
        <w:tc>
          <w:tcPr>
            <w:tcW w:w="1036" w:type="pct"/>
          </w:tcPr>
          <w:p w14:paraId="225C5404">
            <w:pPr>
              <w:spacing w:line="460" w:lineRule="exact"/>
              <w:rPr>
                <w:rFonts w:ascii="宋体" w:hAnsi="宋体" w:cs="宋体"/>
                <w:sz w:val="24"/>
                <w:highlight w:val="none"/>
              </w:rPr>
            </w:pPr>
          </w:p>
        </w:tc>
        <w:tc>
          <w:tcPr>
            <w:tcW w:w="785" w:type="pct"/>
            <w:vAlign w:val="center"/>
          </w:tcPr>
          <w:p w14:paraId="03CD37E3">
            <w:pPr>
              <w:spacing w:line="460" w:lineRule="exact"/>
              <w:jc w:val="center"/>
              <w:rPr>
                <w:rFonts w:ascii="宋体" w:hAnsi="宋体" w:cs="宋体"/>
                <w:sz w:val="24"/>
                <w:highlight w:val="none"/>
              </w:rPr>
            </w:pPr>
          </w:p>
        </w:tc>
        <w:tc>
          <w:tcPr>
            <w:tcW w:w="784" w:type="pct"/>
          </w:tcPr>
          <w:p w14:paraId="2AF39747">
            <w:pPr>
              <w:spacing w:line="460" w:lineRule="exact"/>
              <w:rPr>
                <w:rFonts w:ascii="宋体" w:hAnsi="宋体" w:cs="宋体"/>
                <w:sz w:val="24"/>
                <w:highlight w:val="none"/>
              </w:rPr>
            </w:pPr>
          </w:p>
        </w:tc>
      </w:tr>
      <w:tr w14:paraId="52572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66A63DC2">
            <w:pPr>
              <w:spacing w:line="460" w:lineRule="exact"/>
              <w:rPr>
                <w:rFonts w:ascii="宋体" w:hAnsi="宋体" w:cs="宋体"/>
                <w:sz w:val="24"/>
                <w:highlight w:val="none"/>
              </w:rPr>
            </w:pPr>
          </w:p>
        </w:tc>
        <w:tc>
          <w:tcPr>
            <w:tcW w:w="850" w:type="pct"/>
          </w:tcPr>
          <w:p w14:paraId="08474390">
            <w:pPr>
              <w:spacing w:line="460" w:lineRule="exact"/>
              <w:rPr>
                <w:rFonts w:ascii="宋体" w:hAnsi="宋体" w:cs="宋体"/>
                <w:sz w:val="24"/>
                <w:highlight w:val="none"/>
              </w:rPr>
            </w:pPr>
          </w:p>
        </w:tc>
        <w:tc>
          <w:tcPr>
            <w:tcW w:w="948" w:type="pct"/>
          </w:tcPr>
          <w:p w14:paraId="18F618AA">
            <w:pPr>
              <w:spacing w:line="460" w:lineRule="exact"/>
              <w:rPr>
                <w:rFonts w:ascii="宋体" w:hAnsi="宋体" w:cs="宋体"/>
                <w:sz w:val="24"/>
                <w:highlight w:val="none"/>
              </w:rPr>
            </w:pPr>
          </w:p>
        </w:tc>
        <w:tc>
          <w:tcPr>
            <w:tcW w:w="1036" w:type="pct"/>
          </w:tcPr>
          <w:p w14:paraId="741D5639">
            <w:pPr>
              <w:spacing w:line="460" w:lineRule="exact"/>
              <w:rPr>
                <w:rFonts w:ascii="宋体" w:hAnsi="宋体" w:cs="宋体"/>
                <w:sz w:val="24"/>
                <w:highlight w:val="none"/>
              </w:rPr>
            </w:pPr>
          </w:p>
        </w:tc>
        <w:tc>
          <w:tcPr>
            <w:tcW w:w="785" w:type="pct"/>
            <w:vAlign w:val="center"/>
          </w:tcPr>
          <w:p w14:paraId="1825DA77">
            <w:pPr>
              <w:spacing w:line="460" w:lineRule="exact"/>
              <w:jc w:val="center"/>
              <w:rPr>
                <w:rFonts w:ascii="宋体" w:hAnsi="宋体" w:cs="宋体"/>
                <w:sz w:val="24"/>
                <w:highlight w:val="none"/>
              </w:rPr>
            </w:pPr>
          </w:p>
        </w:tc>
        <w:tc>
          <w:tcPr>
            <w:tcW w:w="784" w:type="pct"/>
          </w:tcPr>
          <w:p w14:paraId="022E7688">
            <w:pPr>
              <w:spacing w:line="460" w:lineRule="exact"/>
              <w:rPr>
                <w:rFonts w:ascii="宋体" w:hAnsi="宋体" w:cs="宋体"/>
                <w:sz w:val="24"/>
                <w:highlight w:val="none"/>
              </w:rPr>
            </w:pPr>
          </w:p>
        </w:tc>
      </w:tr>
      <w:tr w14:paraId="00A91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013252ED">
            <w:pPr>
              <w:spacing w:line="460" w:lineRule="exact"/>
              <w:rPr>
                <w:rFonts w:ascii="宋体" w:hAnsi="宋体" w:cs="宋体"/>
                <w:sz w:val="24"/>
                <w:highlight w:val="none"/>
              </w:rPr>
            </w:pPr>
          </w:p>
        </w:tc>
        <w:tc>
          <w:tcPr>
            <w:tcW w:w="850" w:type="pct"/>
          </w:tcPr>
          <w:p w14:paraId="4DA05CF1">
            <w:pPr>
              <w:spacing w:line="460" w:lineRule="exact"/>
              <w:rPr>
                <w:rFonts w:ascii="宋体" w:hAnsi="宋体" w:cs="宋体"/>
                <w:sz w:val="24"/>
                <w:highlight w:val="none"/>
              </w:rPr>
            </w:pPr>
          </w:p>
        </w:tc>
        <w:tc>
          <w:tcPr>
            <w:tcW w:w="948" w:type="pct"/>
          </w:tcPr>
          <w:p w14:paraId="360C7400">
            <w:pPr>
              <w:spacing w:line="460" w:lineRule="exact"/>
              <w:rPr>
                <w:rFonts w:ascii="宋体" w:hAnsi="宋体" w:cs="宋体"/>
                <w:sz w:val="24"/>
                <w:highlight w:val="none"/>
              </w:rPr>
            </w:pPr>
          </w:p>
        </w:tc>
        <w:tc>
          <w:tcPr>
            <w:tcW w:w="1036" w:type="pct"/>
          </w:tcPr>
          <w:p w14:paraId="1C651F40">
            <w:pPr>
              <w:spacing w:line="460" w:lineRule="exact"/>
              <w:rPr>
                <w:rFonts w:ascii="宋体" w:hAnsi="宋体" w:cs="宋体"/>
                <w:sz w:val="24"/>
                <w:highlight w:val="none"/>
              </w:rPr>
            </w:pPr>
          </w:p>
        </w:tc>
        <w:tc>
          <w:tcPr>
            <w:tcW w:w="785" w:type="pct"/>
            <w:vAlign w:val="center"/>
          </w:tcPr>
          <w:p w14:paraId="4E42FC45">
            <w:pPr>
              <w:spacing w:line="460" w:lineRule="exact"/>
              <w:jc w:val="center"/>
              <w:rPr>
                <w:rFonts w:ascii="宋体" w:hAnsi="宋体" w:cs="宋体"/>
                <w:sz w:val="24"/>
                <w:highlight w:val="none"/>
              </w:rPr>
            </w:pPr>
          </w:p>
        </w:tc>
        <w:tc>
          <w:tcPr>
            <w:tcW w:w="784" w:type="pct"/>
          </w:tcPr>
          <w:p w14:paraId="4F228E67">
            <w:pPr>
              <w:spacing w:line="460" w:lineRule="exact"/>
              <w:rPr>
                <w:rFonts w:ascii="宋体" w:hAnsi="宋体" w:cs="宋体"/>
                <w:sz w:val="24"/>
                <w:highlight w:val="none"/>
              </w:rPr>
            </w:pPr>
          </w:p>
        </w:tc>
      </w:tr>
      <w:tr w14:paraId="03F7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4AB967EF">
            <w:pPr>
              <w:spacing w:line="460" w:lineRule="exact"/>
              <w:rPr>
                <w:rFonts w:ascii="宋体" w:hAnsi="宋体" w:cs="宋体"/>
                <w:sz w:val="24"/>
                <w:highlight w:val="none"/>
              </w:rPr>
            </w:pPr>
          </w:p>
        </w:tc>
        <w:tc>
          <w:tcPr>
            <w:tcW w:w="850" w:type="pct"/>
          </w:tcPr>
          <w:p w14:paraId="5180D57D">
            <w:pPr>
              <w:spacing w:line="460" w:lineRule="exact"/>
              <w:rPr>
                <w:rFonts w:ascii="宋体" w:hAnsi="宋体" w:cs="宋体"/>
                <w:sz w:val="24"/>
                <w:highlight w:val="none"/>
              </w:rPr>
            </w:pPr>
          </w:p>
        </w:tc>
        <w:tc>
          <w:tcPr>
            <w:tcW w:w="948" w:type="pct"/>
          </w:tcPr>
          <w:p w14:paraId="3CE579B8">
            <w:pPr>
              <w:spacing w:line="460" w:lineRule="exact"/>
              <w:rPr>
                <w:rFonts w:ascii="宋体" w:hAnsi="宋体" w:cs="宋体"/>
                <w:sz w:val="24"/>
                <w:highlight w:val="none"/>
              </w:rPr>
            </w:pPr>
          </w:p>
        </w:tc>
        <w:tc>
          <w:tcPr>
            <w:tcW w:w="1036" w:type="pct"/>
          </w:tcPr>
          <w:p w14:paraId="48B582B7">
            <w:pPr>
              <w:spacing w:line="460" w:lineRule="exact"/>
              <w:rPr>
                <w:rFonts w:ascii="宋体" w:hAnsi="宋体" w:cs="宋体"/>
                <w:sz w:val="24"/>
                <w:highlight w:val="none"/>
              </w:rPr>
            </w:pPr>
          </w:p>
        </w:tc>
        <w:tc>
          <w:tcPr>
            <w:tcW w:w="785" w:type="pct"/>
            <w:vAlign w:val="center"/>
          </w:tcPr>
          <w:p w14:paraId="556CC0F7">
            <w:pPr>
              <w:spacing w:line="460" w:lineRule="exact"/>
              <w:jc w:val="center"/>
              <w:rPr>
                <w:rFonts w:ascii="宋体" w:hAnsi="宋体" w:cs="宋体"/>
                <w:sz w:val="24"/>
                <w:highlight w:val="none"/>
              </w:rPr>
            </w:pPr>
          </w:p>
        </w:tc>
        <w:tc>
          <w:tcPr>
            <w:tcW w:w="784" w:type="pct"/>
          </w:tcPr>
          <w:p w14:paraId="74ADD285">
            <w:pPr>
              <w:spacing w:line="460" w:lineRule="exact"/>
              <w:rPr>
                <w:rFonts w:ascii="宋体" w:hAnsi="宋体" w:cs="宋体"/>
                <w:sz w:val="24"/>
                <w:highlight w:val="none"/>
              </w:rPr>
            </w:pPr>
          </w:p>
        </w:tc>
      </w:tr>
      <w:tr w14:paraId="72501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1D332D47">
            <w:pPr>
              <w:spacing w:line="460" w:lineRule="exact"/>
              <w:rPr>
                <w:rFonts w:ascii="宋体" w:hAnsi="宋体" w:cs="宋体"/>
                <w:sz w:val="24"/>
                <w:highlight w:val="none"/>
              </w:rPr>
            </w:pPr>
          </w:p>
        </w:tc>
        <w:tc>
          <w:tcPr>
            <w:tcW w:w="850" w:type="pct"/>
          </w:tcPr>
          <w:p w14:paraId="08143177">
            <w:pPr>
              <w:spacing w:line="460" w:lineRule="exact"/>
              <w:rPr>
                <w:rFonts w:ascii="宋体" w:hAnsi="宋体" w:cs="宋体"/>
                <w:sz w:val="24"/>
                <w:highlight w:val="none"/>
              </w:rPr>
            </w:pPr>
          </w:p>
        </w:tc>
        <w:tc>
          <w:tcPr>
            <w:tcW w:w="948" w:type="pct"/>
          </w:tcPr>
          <w:p w14:paraId="7ED85A84">
            <w:pPr>
              <w:spacing w:line="460" w:lineRule="exact"/>
              <w:rPr>
                <w:rFonts w:ascii="宋体" w:hAnsi="宋体" w:cs="宋体"/>
                <w:sz w:val="24"/>
                <w:highlight w:val="none"/>
              </w:rPr>
            </w:pPr>
          </w:p>
        </w:tc>
        <w:tc>
          <w:tcPr>
            <w:tcW w:w="1036" w:type="pct"/>
          </w:tcPr>
          <w:p w14:paraId="3352EE6A">
            <w:pPr>
              <w:spacing w:line="460" w:lineRule="exact"/>
              <w:rPr>
                <w:rFonts w:ascii="宋体" w:hAnsi="宋体" w:cs="宋体"/>
                <w:sz w:val="24"/>
                <w:highlight w:val="none"/>
              </w:rPr>
            </w:pPr>
          </w:p>
        </w:tc>
        <w:tc>
          <w:tcPr>
            <w:tcW w:w="785" w:type="pct"/>
            <w:vAlign w:val="center"/>
          </w:tcPr>
          <w:p w14:paraId="66F61F44">
            <w:pPr>
              <w:spacing w:line="460" w:lineRule="exact"/>
              <w:jc w:val="center"/>
              <w:rPr>
                <w:rFonts w:ascii="宋体" w:hAnsi="宋体" w:cs="宋体"/>
                <w:sz w:val="24"/>
                <w:highlight w:val="none"/>
              </w:rPr>
            </w:pPr>
          </w:p>
        </w:tc>
        <w:tc>
          <w:tcPr>
            <w:tcW w:w="784" w:type="pct"/>
          </w:tcPr>
          <w:p w14:paraId="52CFBB0C">
            <w:pPr>
              <w:spacing w:line="460" w:lineRule="exact"/>
              <w:rPr>
                <w:rFonts w:ascii="宋体" w:hAnsi="宋体" w:cs="宋体"/>
                <w:sz w:val="24"/>
                <w:highlight w:val="none"/>
              </w:rPr>
            </w:pPr>
          </w:p>
        </w:tc>
      </w:tr>
      <w:tr w14:paraId="7E23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22110637">
            <w:pPr>
              <w:spacing w:line="460" w:lineRule="exact"/>
              <w:rPr>
                <w:rFonts w:ascii="宋体" w:hAnsi="宋体" w:cs="宋体"/>
                <w:sz w:val="24"/>
                <w:highlight w:val="none"/>
              </w:rPr>
            </w:pPr>
          </w:p>
        </w:tc>
        <w:tc>
          <w:tcPr>
            <w:tcW w:w="850" w:type="pct"/>
          </w:tcPr>
          <w:p w14:paraId="48386386">
            <w:pPr>
              <w:spacing w:line="460" w:lineRule="exact"/>
              <w:rPr>
                <w:rFonts w:ascii="宋体" w:hAnsi="宋体" w:cs="宋体"/>
                <w:sz w:val="24"/>
                <w:highlight w:val="none"/>
              </w:rPr>
            </w:pPr>
          </w:p>
        </w:tc>
        <w:tc>
          <w:tcPr>
            <w:tcW w:w="948" w:type="pct"/>
          </w:tcPr>
          <w:p w14:paraId="14DE8EFE">
            <w:pPr>
              <w:spacing w:line="460" w:lineRule="exact"/>
              <w:rPr>
                <w:rFonts w:ascii="宋体" w:hAnsi="宋体" w:cs="宋体"/>
                <w:sz w:val="24"/>
                <w:highlight w:val="none"/>
              </w:rPr>
            </w:pPr>
          </w:p>
        </w:tc>
        <w:tc>
          <w:tcPr>
            <w:tcW w:w="1036" w:type="pct"/>
          </w:tcPr>
          <w:p w14:paraId="085AB758">
            <w:pPr>
              <w:spacing w:line="460" w:lineRule="exact"/>
              <w:rPr>
                <w:rFonts w:ascii="宋体" w:hAnsi="宋体" w:cs="宋体"/>
                <w:sz w:val="24"/>
                <w:highlight w:val="none"/>
              </w:rPr>
            </w:pPr>
          </w:p>
        </w:tc>
        <w:tc>
          <w:tcPr>
            <w:tcW w:w="785" w:type="pct"/>
            <w:vAlign w:val="center"/>
          </w:tcPr>
          <w:p w14:paraId="52AB307A">
            <w:pPr>
              <w:spacing w:line="460" w:lineRule="exact"/>
              <w:jc w:val="center"/>
              <w:rPr>
                <w:rFonts w:ascii="宋体" w:hAnsi="宋体" w:cs="宋体"/>
                <w:sz w:val="24"/>
                <w:highlight w:val="none"/>
              </w:rPr>
            </w:pPr>
          </w:p>
        </w:tc>
        <w:tc>
          <w:tcPr>
            <w:tcW w:w="784" w:type="pct"/>
          </w:tcPr>
          <w:p w14:paraId="176DFCC7">
            <w:pPr>
              <w:spacing w:line="460" w:lineRule="exact"/>
              <w:rPr>
                <w:rFonts w:ascii="宋体" w:hAnsi="宋体" w:cs="宋体"/>
                <w:sz w:val="24"/>
                <w:highlight w:val="none"/>
              </w:rPr>
            </w:pPr>
          </w:p>
        </w:tc>
      </w:tr>
      <w:tr w14:paraId="68C28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688BC7AA">
            <w:pPr>
              <w:spacing w:line="460" w:lineRule="exact"/>
              <w:rPr>
                <w:rFonts w:ascii="宋体" w:hAnsi="宋体" w:cs="宋体"/>
                <w:sz w:val="24"/>
                <w:highlight w:val="none"/>
              </w:rPr>
            </w:pPr>
          </w:p>
        </w:tc>
        <w:tc>
          <w:tcPr>
            <w:tcW w:w="850" w:type="pct"/>
          </w:tcPr>
          <w:p w14:paraId="2C03170F">
            <w:pPr>
              <w:spacing w:line="460" w:lineRule="exact"/>
              <w:rPr>
                <w:rFonts w:ascii="宋体" w:hAnsi="宋体" w:cs="宋体"/>
                <w:sz w:val="24"/>
                <w:highlight w:val="none"/>
              </w:rPr>
            </w:pPr>
          </w:p>
        </w:tc>
        <w:tc>
          <w:tcPr>
            <w:tcW w:w="948" w:type="pct"/>
          </w:tcPr>
          <w:p w14:paraId="2E52DF37">
            <w:pPr>
              <w:spacing w:line="460" w:lineRule="exact"/>
              <w:rPr>
                <w:rFonts w:ascii="宋体" w:hAnsi="宋体" w:cs="宋体"/>
                <w:sz w:val="24"/>
                <w:highlight w:val="none"/>
              </w:rPr>
            </w:pPr>
          </w:p>
        </w:tc>
        <w:tc>
          <w:tcPr>
            <w:tcW w:w="1036" w:type="pct"/>
          </w:tcPr>
          <w:p w14:paraId="339CE45E">
            <w:pPr>
              <w:spacing w:line="460" w:lineRule="exact"/>
              <w:rPr>
                <w:rFonts w:ascii="宋体" w:hAnsi="宋体" w:cs="宋体"/>
                <w:sz w:val="24"/>
                <w:highlight w:val="none"/>
              </w:rPr>
            </w:pPr>
          </w:p>
        </w:tc>
        <w:tc>
          <w:tcPr>
            <w:tcW w:w="785" w:type="pct"/>
            <w:vAlign w:val="center"/>
          </w:tcPr>
          <w:p w14:paraId="225CFCFD">
            <w:pPr>
              <w:spacing w:line="460" w:lineRule="exact"/>
              <w:jc w:val="center"/>
              <w:rPr>
                <w:rFonts w:ascii="宋体" w:hAnsi="宋体" w:cs="宋体"/>
                <w:sz w:val="24"/>
                <w:highlight w:val="none"/>
              </w:rPr>
            </w:pPr>
          </w:p>
        </w:tc>
        <w:tc>
          <w:tcPr>
            <w:tcW w:w="784" w:type="pct"/>
          </w:tcPr>
          <w:p w14:paraId="5DD94552">
            <w:pPr>
              <w:spacing w:line="460" w:lineRule="exact"/>
              <w:rPr>
                <w:rFonts w:ascii="宋体" w:hAnsi="宋体" w:cs="宋体"/>
                <w:sz w:val="24"/>
                <w:highlight w:val="none"/>
              </w:rPr>
            </w:pPr>
          </w:p>
        </w:tc>
      </w:tr>
      <w:tr w14:paraId="5C23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0EB0249F">
            <w:pPr>
              <w:spacing w:line="460" w:lineRule="exact"/>
              <w:rPr>
                <w:rFonts w:ascii="宋体" w:hAnsi="宋体" w:cs="宋体"/>
                <w:sz w:val="24"/>
                <w:highlight w:val="none"/>
              </w:rPr>
            </w:pPr>
          </w:p>
        </w:tc>
        <w:tc>
          <w:tcPr>
            <w:tcW w:w="850" w:type="pct"/>
          </w:tcPr>
          <w:p w14:paraId="403D7E4C">
            <w:pPr>
              <w:spacing w:line="460" w:lineRule="exact"/>
              <w:rPr>
                <w:rFonts w:ascii="宋体" w:hAnsi="宋体" w:cs="宋体"/>
                <w:sz w:val="24"/>
                <w:highlight w:val="none"/>
              </w:rPr>
            </w:pPr>
          </w:p>
        </w:tc>
        <w:tc>
          <w:tcPr>
            <w:tcW w:w="948" w:type="pct"/>
          </w:tcPr>
          <w:p w14:paraId="1AA43EA4">
            <w:pPr>
              <w:spacing w:line="460" w:lineRule="exact"/>
              <w:rPr>
                <w:rFonts w:ascii="宋体" w:hAnsi="宋体" w:cs="宋体"/>
                <w:sz w:val="24"/>
                <w:highlight w:val="none"/>
              </w:rPr>
            </w:pPr>
          </w:p>
        </w:tc>
        <w:tc>
          <w:tcPr>
            <w:tcW w:w="1036" w:type="pct"/>
          </w:tcPr>
          <w:p w14:paraId="63F02E56">
            <w:pPr>
              <w:spacing w:line="460" w:lineRule="exact"/>
              <w:rPr>
                <w:rFonts w:ascii="宋体" w:hAnsi="宋体" w:cs="宋体"/>
                <w:sz w:val="24"/>
                <w:highlight w:val="none"/>
              </w:rPr>
            </w:pPr>
          </w:p>
        </w:tc>
        <w:tc>
          <w:tcPr>
            <w:tcW w:w="785" w:type="pct"/>
            <w:vAlign w:val="center"/>
          </w:tcPr>
          <w:p w14:paraId="0F0605DB">
            <w:pPr>
              <w:spacing w:line="460" w:lineRule="exact"/>
              <w:jc w:val="center"/>
              <w:rPr>
                <w:rFonts w:ascii="宋体" w:hAnsi="宋体" w:cs="宋体"/>
                <w:sz w:val="24"/>
                <w:highlight w:val="none"/>
              </w:rPr>
            </w:pPr>
          </w:p>
        </w:tc>
        <w:tc>
          <w:tcPr>
            <w:tcW w:w="784" w:type="pct"/>
          </w:tcPr>
          <w:p w14:paraId="5E139426">
            <w:pPr>
              <w:spacing w:line="460" w:lineRule="exact"/>
              <w:rPr>
                <w:rFonts w:ascii="宋体" w:hAnsi="宋体" w:cs="宋体"/>
                <w:sz w:val="24"/>
                <w:highlight w:val="none"/>
              </w:rPr>
            </w:pPr>
          </w:p>
        </w:tc>
      </w:tr>
      <w:tr w14:paraId="6B60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70076118">
            <w:pPr>
              <w:spacing w:line="460" w:lineRule="exact"/>
              <w:rPr>
                <w:rFonts w:ascii="宋体" w:hAnsi="宋体" w:cs="宋体"/>
                <w:sz w:val="24"/>
                <w:highlight w:val="none"/>
              </w:rPr>
            </w:pPr>
          </w:p>
        </w:tc>
        <w:tc>
          <w:tcPr>
            <w:tcW w:w="850" w:type="pct"/>
          </w:tcPr>
          <w:p w14:paraId="3DA240FB">
            <w:pPr>
              <w:spacing w:line="460" w:lineRule="exact"/>
              <w:rPr>
                <w:rFonts w:ascii="宋体" w:hAnsi="宋体" w:cs="宋体"/>
                <w:sz w:val="24"/>
                <w:highlight w:val="none"/>
              </w:rPr>
            </w:pPr>
          </w:p>
        </w:tc>
        <w:tc>
          <w:tcPr>
            <w:tcW w:w="948" w:type="pct"/>
          </w:tcPr>
          <w:p w14:paraId="69E1FAE4">
            <w:pPr>
              <w:spacing w:line="460" w:lineRule="exact"/>
              <w:rPr>
                <w:rFonts w:ascii="宋体" w:hAnsi="宋体" w:cs="宋体"/>
                <w:sz w:val="24"/>
                <w:highlight w:val="none"/>
              </w:rPr>
            </w:pPr>
          </w:p>
        </w:tc>
        <w:tc>
          <w:tcPr>
            <w:tcW w:w="1036" w:type="pct"/>
          </w:tcPr>
          <w:p w14:paraId="2FB4B2D3">
            <w:pPr>
              <w:spacing w:line="460" w:lineRule="exact"/>
              <w:rPr>
                <w:rFonts w:ascii="宋体" w:hAnsi="宋体" w:cs="宋体"/>
                <w:sz w:val="24"/>
                <w:highlight w:val="none"/>
              </w:rPr>
            </w:pPr>
          </w:p>
        </w:tc>
        <w:tc>
          <w:tcPr>
            <w:tcW w:w="785" w:type="pct"/>
            <w:vAlign w:val="center"/>
          </w:tcPr>
          <w:p w14:paraId="20CF0AC8">
            <w:pPr>
              <w:spacing w:line="460" w:lineRule="exact"/>
              <w:jc w:val="center"/>
              <w:rPr>
                <w:rFonts w:ascii="宋体" w:hAnsi="宋体" w:cs="宋体"/>
                <w:sz w:val="24"/>
                <w:highlight w:val="none"/>
              </w:rPr>
            </w:pPr>
          </w:p>
        </w:tc>
        <w:tc>
          <w:tcPr>
            <w:tcW w:w="784" w:type="pct"/>
          </w:tcPr>
          <w:p w14:paraId="7ED8B693">
            <w:pPr>
              <w:spacing w:line="460" w:lineRule="exact"/>
              <w:rPr>
                <w:rFonts w:ascii="宋体" w:hAnsi="宋体" w:cs="宋体"/>
                <w:sz w:val="24"/>
                <w:highlight w:val="none"/>
              </w:rPr>
            </w:pPr>
          </w:p>
        </w:tc>
      </w:tr>
      <w:tr w14:paraId="4F7D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36A764DE">
            <w:pPr>
              <w:spacing w:line="460" w:lineRule="exact"/>
              <w:rPr>
                <w:rFonts w:ascii="宋体" w:hAnsi="宋体" w:cs="宋体"/>
                <w:sz w:val="24"/>
                <w:highlight w:val="none"/>
              </w:rPr>
            </w:pPr>
          </w:p>
        </w:tc>
        <w:tc>
          <w:tcPr>
            <w:tcW w:w="850" w:type="pct"/>
          </w:tcPr>
          <w:p w14:paraId="09905235">
            <w:pPr>
              <w:spacing w:line="460" w:lineRule="exact"/>
              <w:rPr>
                <w:rFonts w:ascii="宋体" w:hAnsi="宋体" w:cs="宋体"/>
                <w:sz w:val="24"/>
                <w:highlight w:val="none"/>
              </w:rPr>
            </w:pPr>
          </w:p>
        </w:tc>
        <w:tc>
          <w:tcPr>
            <w:tcW w:w="948" w:type="pct"/>
          </w:tcPr>
          <w:p w14:paraId="6EFFC7E1">
            <w:pPr>
              <w:spacing w:line="460" w:lineRule="exact"/>
              <w:rPr>
                <w:rFonts w:ascii="宋体" w:hAnsi="宋体" w:cs="宋体"/>
                <w:sz w:val="24"/>
                <w:highlight w:val="none"/>
              </w:rPr>
            </w:pPr>
          </w:p>
        </w:tc>
        <w:tc>
          <w:tcPr>
            <w:tcW w:w="1036" w:type="pct"/>
          </w:tcPr>
          <w:p w14:paraId="3AB281E5">
            <w:pPr>
              <w:spacing w:line="460" w:lineRule="exact"/>
              <w:rPr>
                <w:rFonts w:ascii="宋体" w:hAnsi="宋体" w:cs="宋体"/>
                <w:sz w:val="24"/>
                <w:highlight w:val="none"/>
              </w:rPr>
            </w:pPr>
          </w:p>
        </w:tc>
        <w:tc>
          <w:tcPr>
            <w:tcW w:w="785" w:type="pct"/>
            <w:vAlign w:val="center"/>
          </w:tcPr>
          <w:p w14:paraId="0B9B4C76">
            <w:pPr>
              <w:spacing w:line="460" w:lineRule="exact"/>
              <w:jc w:val="center"/>
              <w:rPr>
                <w:rFonts w:ascii="宋体" w:hAnsi="宋体" w:cs="宋体"/>
                <w:sz w:val="24"/>
                <w:highlight w:val="none"/>
              </w:rPr>
            </w:pPr>
          </w:p>
        </w:tc>
        <w:tc>
          <w:tcPr>
            <w:tcW w:w="784" w:type="pct"/>
          </w:tcPr>
          <w:p w14:paraId="2C60CF15">
            <w:pPr>
              <w:spacing w:line="460" w:lineRule="exact"/>
              <w:rPr>
                <w:rFonts w:ascii="宋体" w:hAnsi="宋体" w:cs="宋体"/>
                <w:sz w:val="24"/>
                <w:highlight w:val="none"/>
              </w:rPr>
            </w:pPr>
          </w:p>
        </w:tc>
      </w:tr>
      <w:tr w14:paraId="35B7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5D096CB5">
            <w:pPr>
              <w:spacing w:line="460" w:lineRule="exact"/>
              <w:rPr>
                <w:rFonts w:ascii="宋体" w:hAnsi="宋体" w:cs="宋体"/>
                <w:sz w:val="24"/>
                <w:highlight w:val="none"/>
              </w:rPr>
            </w:pPr>
          </w:p>
        </w:tc>
        <w:tc>
          <w:tcPr>
            <w:tcW w:w="850" w:type="pct"/>
          </w:tcPr>
          <w:p w14:paraId="687235A7">
            <w:pPr>
              <w:spacing w:line="460" w:lineRule="exact"/>
              <w:rPr>
                <w:rFonts w:ascii="宋体" w:hAnsi="宋体" w:cs="宋体"/>
                <w:sz w:val="24"/>
                <w:highlight w:val="none"/>
              </w:rPr>
            </w:pPr>
          </w:p>
        </w:tc>
        <w:tc>
          <w:tcPr>
            <w:tcW w:w="948" w:type="pct"/>
          </w:tcPr>
          <w:p w14:paraId="4BADC06E">
            <w:pPr>
              <w:spacing w:line="460" w:lineRule="exact"/>
              <w:rPr>
                <w:rFonts w:ascii="宋体" w:hAnsi="宋体" w:cs="宋体"/>
                <w:sz w:val="24"/>
                <w:highlight w:val="none"/>
              </w:rPr>
            </w:pPr>
          </w:p>
        </w:tc>
        <w:tc>
          <w:tcPr>
            <w:tcW w:w="1036" w:type="pct"/>
          </w:tcPr>
          <w:p w14:paraId="5C02F87C">
            <w:pPr>
              <w:spacing w:line="460" w:lineRule="exact"/>
              <w:rPr>
                <w:rFonts w:ascii="宋体" w:hAnsi="宋体" w:cs="宋体"/>
                <w:sz w:val="24"/>
                <w:highlight w:val="none"/>
              </w:rPr>
            </w:pPr>
          </w:p>
        </w:tc>
        <w:tc>
          <w:tcPr>
            <w:tcW w:w="785" w:type="pct"/>
            <w:vAlign w:val="center"/>
          </w:tcPr>
          <w:p w14:paraId="59A09ADF">
            <w:pPr>
              <w:spacing w:line="460" w:lineRule="exact"/>
              <w:jc w:val="center"/>
              <w:rPr>
                <w:rFonts w:ascii="宋体" w:hAnsi="宋体" w:cs="宋体"/>
                <w:sz w:val="24"/>
                <w:highlight w:val="none"/>
              </w:rPr>
            </w:pPr>
          </w:p>
        </w:tc>
        <w:tc>
          <w:tcPr>
            <w:tcW w:w="784" w:type="pct"/>
          </w:tcPr>
          <w:p w14:paraId="0E500ED9">
            <w:pPr>
              <w:spacing w:line="460" w:lineRule="exact"/>
              <w:rPr>
                <w:rFonts w:ascii="宋体" w:hAnsi="宋体" w:cs="宋体"/>
                <w:sz w:val="24"/>
                <w:highlight w:val="none"/>
              </w:rPr>
            </w:pPr>
          </w:p>
        </w:tc>
      </w:tr>
      <w:tr w14:paraId="5AAD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594" w:type="pct"/>
          </w:tcPr>
          <w:p w14:paraId="024C6459">
            <w:pPr>
              <w:spacing w:line="460" w:lineRule="exact"/>
              <w:rPr>
                <w:rFonts w:ascii="宋体" w:hAnsi="宋体" w:cs="宋体"/>
                <w:sz w:val="24"/>
                <w:highlight w:val="none"/>
              </w:rPr>
            </w:pPr>
          </w:p>
        </w:tc>
        <w:tc>
          <w:tcPr>
            <w:tcW w:w="850" w:type="pct"/>
          </w:tcPr>
          <w:p w14:paraId="78114068">
            <w:pPr>
              <w:spacing w:line="460" w:lineRule="exact"/>
              <w:rPr>
                <w:rFonts w:ascii="宋体" w:hAnsi="宋体" w:cs="宋体"/>
                <w:sz w:val="24"/>
                <w:highlight w:val="none"/>
              </w:rPr>
            </w:pPr>
          </w:p>
        </w:tc>
        <w:tc>
          <w:tcPr>
            <w:tcW w:w="948" w:type="pct"/>
          </w:tcPr>
          <w:p w14:paraId="11AFDE28">
            <w:pPr>
              <w:spacing w:line="460" w:lineRule="exact"/>
              <w:rPr>
                <w:rFonts w:ascii="宋体" w:hAnsi="宋体" w:cs="宋体"/>
                <w:sz w:val="24"/>
                <w:highlight w:val="none"/>
              </w:rPr>
            </w:pPr>
          </w:p>
        </w:tc>
        <w:tc>
          <w:tcPr>
            <w:tcW w:w="1036" w:type="pct"/>
          </w:tcPr>
          <w:p w14:paraId="5DB0B516">
            <w:pPr>
              <w:spacing w:line="460" w:lineRule="exact"/>
              <w:rPr>
                <w:rFonts w:ascii="宋体" w:hAnsi="宋体" w:cs="宋体"/>
                <w:sz w:val="24"/>
                <w:highlight w:val="none"/>
              </w:rPr>
            </w:pPr>
          </w:p>
        </w:tc>
        <w:tc>
          <w:tcPr>
            <w:tcW w:w="785" w:type="pct"/>
            <w:vAlign w:val="center"/>
          </w:tcPr>
          <w:p w14:paraId="5A7D2AFE">
            <w:pPr>
              <w:spacing w:line="460" w:lineRule="exact"/>
              <w:jc w:val="center"/>
              <w:rPr>
                <w:rFonts w:ascii="宋体" w:hAnsi="宋体" w:cs="宋体"/>
                <w:sz w:val="24"/>
                <w:highlight w:val="none"/>
              </w:rPr>
            </w:pPr>
          </w:p>
        </w:tc>
        <w:tc>
          <w:tcPr>
            <w:tcW w:w="784" w:type="pct"/>
          </w:tcPr>
          <w:p w14:paraId="6051D64C">
            <w:pPr>
              <w:spacing w:line="460" w:lineRule="exact"/>
              <w:rPr>
                <w:rFonts w:ascii="宋体" w:hAnsi="宋体" w:cs="宋体"/>
                <w:sz w:val="24"/>
                <w:highlight w:val="none"/>
              </w:rPr>
            </w:pPr>
          </w:p>
        </w:tc>
      </w:tr>
      <w:tr w14:paraId="78B0B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594" w:type="pct"/>
          </w:tcPr>
          <w:p w14:paraId="45B4988B">
            <w:pPr>
              <w:spacing w:line="460" w:lineRule="exact"/>
              <w:rPr>
                <w:rFonts w:ascii="宋体" w:hAnsi="宋体" w:cs="宋体"/>
                <w:sz w:val="24"/>
                <w:highlight w:val="none"/>
              </w:rPr>
            </w:pPr>
          </w:p>
        </w:tc>
        <w:tc>
          <w:tcPr>
            <w:tcW w:w="850" w:type="pct"/>
          </w:tcPr>
          <w:p w14:paraId="4DEBACA7">
            <w:pPr>
              <w:spacing w:line="460" w:lineRule="exact"/>
              <w:rPr>
                <w:rFonts w:ascii="宋体" w:hAnsi="宋体" w:cs="宋体"/>
                <w:sz w:val="24"/>
                <w:highlight w:val="none"/>
              </w:rPr>
            </w:pPr>
          </w:p>
        </w:tc>
        <w:tc>
          <w:tcPr>
            <w:tcW w:w="948" w:type="pct"/>
          </w:tcPr>
          <w:p w14:paraId="40CE6FBF">
            <w:pPr>
              <w:spacing w:line="460" w:lineRule="exact"/>
              <w:rPr>
                <w:rFonts w:ascii="宋体" w:hAnsi="宋体" w:cs="宋体"/>
                <w:sz w:val="24"/>
                <w:highlight w:val="none"/>
              </w:rPr>
            </w:pPr>
          </w:p>
        </w:tc>
        <w:tc>
          <w:tcPr>
            <w:tcW w:w="1036" w:type="pct"/>
          </w:tcPr>
          <w:p w14:paraId="1EB722E6">
            <w:pPr>
              <w:spacing w:line="460" w:lineRule="exact"/>
              <w:rPr>
                <w:rFonts w:ascii="宋体" w:hAnsi="宋体" w:cs="宋体"/>
                <w:sz w:val="24"/>
                <w:highlight w:val="none"/>
              </w:rPr>
            </w:pPr>
          </w:p>
        </w:tc>
        <w:tc>
          <w:tcPr>
            <w:tcW w:w="785" w:type="pct"/>
            <w:vAlign w:val="center"/>
          </w:tcPr>
          <w:p w14:paraId="32954FDC">
            <w:pPr>
              <w:spacing w:line="460" w:lineRule="exact"/>
              <w:jc w:val="center"/>
              <w:rPr>
                <w:rFonts w:ascii="宋体" w:hAnsi="宋体" w:cs="宋体"/>
                <w:sz w:val="24"/>
                <w:highlight w:val="none"/>
              </w:rPr>
            </w:pPr>
          </w:p>
        </w:tc>
        <w:tc>
          <w:tcPr>
            <w:tcW w:w="784" w:type="pct"/>
          </w:tcPr>
          <w:p w14:paraId="58AFAA5C">
            <w:pPr>
              <w:spacing w:line="460" w:lineRule="exact"/>
              <w:rPr>
                <w:rFonts w:ascii="宋体" w:hAnsi="宋体" w:cs="宋体"/>
                <w:sz w:val="24"/>
                <w:highlight w:val="none"/>
              </w:rPr>
            </w:pPr>
          </w:p>
        </w:tc>
      </w:tr>
    </w:tbl>
    <w:p w14:paraId="240BF1A8">
      <w:pPr>
        <w:pStyle w:val="9"/>
        <w:spacing w:line="520" w:lineRule="exact"/>
        <w:jc w:val="left"/>
        <w:rPr>
          <w:sz w:val="21"/>
          <w:highlight w:val="none"/>
        </w:rPr>
      </w:pPr>
      <w:r>
        <w:rPr>
          <w:rFonts w:hint="eastAsia"/>
          <w:sz w:val="21"/>
          <w:highlight w:val="none"/>
        </w:rPr>
        <w:t>注：投标文件中需按评分细则要求提供证明材料。</w:t>
      </w:r>
    </w:p>
    <w:p w14:paraId="22F86329">
      <w:pPr>
        <w:pStyle w:val="9"/>
        <w:spacing w:line="520" w:lineRule="exact"/>
        <w:jc w:val="center"/>
        <w:rPr>
          <w:rFonts w:hAnsi="宋体"/>
          <w:b/>
          <w:sz w:val="32"/>
          <w:szCs w:val="32"/>
          <w:highlight w:val="none"/>
        </w:rPr>
      </w:pPr>
    </w:p>
    <w:p w14:paraId="7A316AC1">
      <w:pPr>
        <w:spacing w:line="520" w:lineRule="exact"/>
        <w:rPr>
          <w:rFonts w:ascii="宋体" w:hAnsi="宋体"/>
          <w:b/>
          <w:sz w:val="32"/>
          <w:szCs w:val="32"/>
          <w:highlight w:val="none"/>
        </w:rPr>
      </w:pPr>
    </w:p>
    <w:p w14:paraId="242EEFAF">
      <w:pPr>
        <w:pStyle w:val="5"/>
        <w:rPr>
          <w:highlight w:val="none"/>
        </w:rPr>
      </w:pPr>
    </w:p>
    <w:p w14:paraId="253C085D">
      <w:pPr>
        <w:spacing w:line="460" w:lineRule="exact"/>
        <w:ind w:firstLine="3960" w:firstLineChars="1650"/>
        <w:rPr>
          <w:rFonts w:ascii="宋体" w:hAnsi="宋体"/>
          <w:sz w:val="24"/>
          <w:highlight w:val="none"/>
        </w:rPr>
      </w:pPr>
      <w:r>
        <w:rPr>
          <w:rFonts w:hint="eastAsia" w:ascii="宋体" w:hAnsi="宋体"/>
          <w:sz w:val="24"/>
          <w:highlight w:val="none"/>
        </w:rPr>
        <w:t xml:space="preserve">投标人（盖电子公章）： </w:t>
      </w:r>
    </w:p>
    <w:p w14:paraId="6BE3FB99">
      <w:pPr>
        <w:pStyle w:val="12"/>
        <w:rPr>
          <w:highlight w:val="none"/>
        </w:rPr>
      </w:pPr>
    </w:p>
    <w:p w14:paraId="16D64606">
      <w:pPr>
        <w:spacing w:line="460" w:lineRule="exact"/>
        <w:ind w:firstLine="3960" w:firstLineChars="1650"/>
        <w:rPr>
          <w:rFonts w:hint="eastAsia" w:ascii="宋体" w:hAnsi="宋体"/>
          <w:sz w:val="24"/>
          <w:highlight w:val="none"/>
        </w:rPr>
        <w:sectPr>
          <w:footerReference r:id="rId11" w:type="even"/>
          <w:pgSz w:w="11906" w:h="16838"/>
          <w:pgMar w:top="1418" w:right="1134" w:bottom="1134" w:left="1418" w:header="851" w:footer="992" w:gutter="0"/>
          <w:cols w:space="720" w:num="1"/>
          <w:docGrid w:linePitch="520" w:charSpace="0"/>
        </w:sectPr>
      </w:pPr>
      <w:r>
        <w:rPr>
          <w:rFonts w:hint="eastAsia" w:ascii="宋体" w:hAnsi="宋体"/>
          <w:sz w:val="24"/>
          <w:highlight w:val="none"/>
        </w:rPr>
        <w:t>法定代表人或委托代理人（签字或盖章）：</w:t>
      </w:r>
    </w:p>
    <w:p w14:paraId="4BA5E557">
      <w:pPr>
        <w:spacing w:line="480" w:lineRule="exact"/>
        <w:jc w:val="center"/>
        <w:rPr>
          <w:rFonts w:hint="eastAsia" w:ascii="宋体" w:hAnsi="宋体"/>
          <w:b/>
          <w:sz w:val="32"/>
          <w:szCs w:val="36"/>
          <w:highlight w:val="none"/>
        </w:rPr>
      </w:pPr>
      <w:r>
        <w:rPr>
          <w:rFonts w:hint="eastAsia" w:ascii="宋体" w:hAnsi="宋体"/>
          <w:b/>
          <w:sz w:val="32"/>
          <w:szCs w:val="36"/>
          <w:highlight w:val="none"/>
          <w:lang w:val="en-US" w:eastAsia="zh-CN"/>
        </w:rPr>
        <w:t>用户满意度评价证明材料</w:t>
      </w:r>
    </w:p>
    <w:p w14:paraId="3CF1B8A6">
      <w:pPr>
        <w:pStyle w:val="9"/>
        <w:spacing w:line="520" w:lineRule="exact"/>
        <w:jc w:val="left"/>
        <w:rPr>
          <w:sz w:val="22"/>
          <w:szCs w:val="22"/>
          <w:highlight w:val="none"/>
        </w:rPr>
      </w:pPr>
      <w:r>
        <w:rPr>
          <w:rFonts w:hint="eastAsia"/>
          <w:sz w:val="22"/>
          <w:szCs w:val="22"/>
          <w:highlight w:val="none"/>
        </w:rPr>
        <w:t>按评分细则要求提供证明材料。</w:t>
      </w:r>
    </w:p>
    <w:p w14:paraId="51E40D42">
      <w:pPr>
        <w:spacing w:line="480" w:lineRule="exact"/>
        <w:jc w:val="center"/>
        <w:rPr>
          <w:rFonts w:hint="eastAsia" w:ascii="宋体" w:hAnsi="宋体"/>
          <w:b/>
          <w:sz w:val="32"/>
          <w:szCs w:val="36"/>
          <w:highlight w:val="none"/>
        </w:rPr>
      </w:pPr>
    </w:p>
    <w:p w14:paraId="32C26A86">
      <w:pPr>
        <w:spacing w:line="480" w:lineRule="exact"/>
        <w:jc w:val="center"/>
        <w:rPr>
          <w:rFonts w:hint="eastAsia" w:ascii="宋体" w:hAnsi="宋体"/>
          <w:b/>
          <w:sz w:val="32"/>
          <w:szCs w:val="36"/>
          <w:highlight w:val="none"/>
        </w:rPr>
      </w:pPr>
    </w:p>
    <w:p w14:paraId="6C7286BD">
      <w:pPr>
        <w:spacing w:line="480" w:lineRule="exact"/>
        <w:jc w:val="center"/>
        <w:rPr>
          <w:rFonts w:hint="eastAsia" w:ascii="宋体" w:hAnsi="宋体"/>
          <w:b/>
          <w:sz w:val="32"/>
          <w:szCs w:val="36"/>
          <w:highlight w:val="none"/>
        </w:rPr>
      </w:pPr>
    </w:p>
    <w:p w14:paraId="38D1E3A5">
      <w:pPr>
        <w:spacing w:line="480" w:lineRule="exact"/>
        <w:jc w:val="center"/>
        <w:rPr>
          <w:rFonts w:hint="eastAsia" w:ascii="宋体" w:hAnsi="宋体"/>
          <w:b/>
          <w:sz w:val="32"/>
          <w:szCs w:val="36"/>
          <w:highlight w:val="none"/>
        </w:rPr>
      </w:pPr>
    </w:p>
    <w:p w14:paraId="50E3B138">
      <w:pPr>
        <w:spacing w:line="480" w:lineRule="exact"/>
        <w:jc w:val="center"/>
        <w:rPr>
          <w:rFonts w:hint="eastAsia" w:ascii="宋体" w:hAnsi="宋体"/>
          <w:b/>
          <w:sz w:val="32"/>
          <w:szCs w:val="36"/>
          <w:highlight w:val="none"/>
        </w:rPr>
      </w:pPr>
    </w:p>
    <w:p w14:paraId="3A584D98">
      <w:pPr>
        <w:spacing w:line="480" w:lineRule="exact"/>
        <w:jc w:val="center"/>
        <w:rPr>
          <w:rFonts w:hint="eastAsia" w:ascii="宋体" w:hAnsi="宋体"/>
          <w:b/>
          <w:sz w:val="32"/>
          <w:szCs w:val="36"/>
          <w:highlight w:val="none"/>
        </w:rPr>
      </w:pPr>
    </w:p>
    <w:p w14:paraId="61BDFA1D">
      <w:pPr>
        <w:spacing w:line="480" w:lineRule="exact"/>
        <w:jc w:val="center"/>
        <w:rPr>
          <w:rFonts w:hint="eastAsia" w:ascii="宋体" w:hAnsi="宋体"/>
          <w:b/>
          <w:sz w:val="32"/>
          <w:szCs w:val="36"/>
          <w:highlight w:val="none"/>
        </w:rPr>
      </w:pPr>
    </w:p>
    <w:p w14:paraId="7165DD8C">
      <w:pPr>
        <w:spacing w:line="480" w:lineRule="exact"/>
        <w:jc w:val="center"/>
        <w:rPr>
          <w:rFonts w:hint="eastAsia" w:ascii="宋体" w:hAnsi="宋体"/>
          <w:b/>
          <w:sz w:val="32"/>
          <w:szCs w:val="36"/>
          <w:highlight w:val="none"/>
        </w:rPr>
      </w:pPr>
    </w:p>
    <w:p w14:paraId="1D415A1A">
      <w:pPr>
        <w:spacing w:line="480" w:lineRule="exact"/>
        <w:jc w:val="center"/>
        <w:rPr>
          <w:rFonts w:hint="eastAsia" w:ascii="宋体" w:hAnsi="宋体"/>
          <w:b/>
          <w:sz w:val="32"/>
          <w:szCs w:val="36"/>
          <w:highlight w:val="none"/>
        </w:rPr>
      </w:pPr>
    </w:p>
    <w:p w14:paraId="09B0679C">
      <w:pPr>
        <w:spacing w:line="480" w:lineRule="exact"/>
        <w:jc w:val="center"/>
        <w:rPr>
          <w:rFonts w:hint="eastAsia" w:ascii="宋体" w:hAnsi="宋体"/>
          <w:b/>
          <w:sz w:val="32"/>
          <w:szCs w:val="36"/>
          <w:highlight w:val="none"/>
        </w:rPr>
      </w:pPr>
    </w:p>
    <w:p w14:paraId="5F57D1B4">
      <w:pPr>
        <w:spacing w:line="480" w:lineRule="exact"/>
        <w:jc w:val="center"/>
        <w:rPr>
          <w:rFonts w:hint="eastAsia" w:ascii="宋体" w:hAnsi="宋体"/>
          <w:b/>
          <w:sz w:val="32"/>
          <w:szCs w:val="36"/>
          <w:highlight w:val="none"/>
        </w:rPr>
      </w:pPr>
    </w:p>
    <w:p w14:paraId="6F5D95DE">
      <w:pPr>
        <w:spacing w:line="480" w:lineRule="exact"/>
        <w:jc w:val="center"/>
        <w:rPr>
          <w:rFonts w:hint="eastAsia" w:ascii="宋体" w:hAnsi="宋体"/>
          <w:b/>
          <w:sz w:val="32"/>
          <w:szCs w:val="36"/>
          <w:highlight w:val="none"/>
        </w:rPr>
      </w:pPr>
    </w:p>
    <w:p w14:paraId="11AD7991">
      <w:pPr>
        <w:spacing w:line="480" w:lineRule="exact"/>
        <w:jc w:val="center"/>
        <w:rPr>
          <w:rFonts w:hint="eastAsia" w:ascii="宋体" w:hAnsi="宋体"/>
          <w:b/>
          <w:sz w:val="32"/>
          <w:szCs w:val="36"/>
          <w:highlight w:val="none"/>
        </w:rPr>
      </w:pPr>
    </w:p>
    <w:p w14:paraId="2BD2349D">
      <w:pPr>
        <w:spacing w:line="480" w:lineRule="exact"/>
        <w:jc w:val="center"/>
        <w:rPr>
          <w:rFonts w:hint="eastAsia" w:ascii="宋体" w:hAnsi="宋体"/>
          <w:b/>
          <w:sz w:val="32"/>
          <w:szCs w:val="36"/>
          <w:highlight w:val="none"/>
        </w:rPr>
      </w:pPr>
    </w:p>
    <w:p w14:paraId="05EF5F85">
      <w:pPr>
        <w:spacing w:line="480" w:lineRule="exact"/>
        <w:jc w:val="center"/>
        <w:rPr>
          <w:rFonts w:hint="eastAsia" w:ascii="宋体" w:hAnsi="宋体"/>
          <w:b/>
          <w:sz w:val="32"/>
          <w:szCs w:val="36"/>
          <w:highlight w:val="none"/>
        </w:rPr>
      </w:pPr>
    </w:p>
    <w:p w14:paraId="51D160B6">
      <w:pPr>
        <w:spacing w:line="480" w:lineRule="exact"/>
        <w:jc w:val="center"/>
        <w:rPr>
          <w:rFonts w:hint="eastAsia" w:ascii="宋体" w:hAnsi="宋体"/>
          <w:b/>
          <w:sz w:val="32"/>
          <w:szCs w:val="36"/>
          <w:highlight w:val="none"/>
        </w:rPr>
      </w:pPr>
    </w:p>
    <w:p w14:paraId="2578C8B0">
      <w:pPr>
        <w:spacing w:line="480" w:lineRule="exact"/>
        <w:jc w:val="center"/>
        <w:rPr>
          <w:rFonts w:hint="eastAsia" w:ascii="宋体" w:hAnsi="宋体"/>
          <w:b/>
          <w:sz w:val="32"/>
          <w:szCs w:val="36"/>
          <w:highlight w:val="none"/>
        </w:rPr>
      </w:pPr>
    </w:p>
    <w:p w14:paraId="3B70CA04">
      <w:pPr>
        <w:pStyle w:val="5"/>
        <w:rPr>
          <w:highlight w:val="none"/>
        </w:rPr>
      </w:pPr>
    </w:p>
    <w:p w14:paraId="42D3598A">
      <w:pPr>
        <w:spacing w:line="460" w:lineRule="exact"/>
        <w:ind w:firstLine="3960" w:firstLineChars="1650"/>
        <w:rPr>
          <w:rFonts w:hint="eastAsia" w:ascii="宋体" w:hAnsi="宋体"/>
          <w:sz w:val="24"/>
          <w:highlight w:val="none"/>
        </w:rPr>
      </w:pPr>
      <w:r>
        <w:rPr>
          <w:rFonts w:hint="eastAsia" w:ascii="宋体" w:hAnsi="宋体"/>
          <w:sz w:val="24"/>
          <w:highlight w:val="none"/>
        </w:rPr>
        <w:t xml:space="preserve">投标人（盖电子公章）： </w:t>
      </w:r>
    </w:p>
    <w:p w14:paraId="7427322A">
      <w:pPr>
        <w:pStyle w:val="12"/>
        <w:rPr>
          <w:rFonts w:hint="eastAsia"/>
          <w:highlight w:val="none"/>
        </w:rPr>
      </w:pPr>
    </w:p>
    <w:p w14:paraId="2DF2B444">
      <w:pPr>
        <w:pStyle w:val="9"/>
        <w:spacing w:line="480" w:lineRule="exact"/>
        <w:jc w:val="center"/>
        <w:rPr>
          <w:highlight w:val="none"/>
        </w:rPr>
      </w:pPr>
      <w:r>
        <w:rPr>
          <w:rFonts w:hint="eastAsia" w:hAnsi="宋体"/>
          <w:sz w:val="24"/>
          <w:highlight w:val="none"/>
          <w:lang w:val="en-US" w:eastAsia="zh-CN"/>
        </w:rPr>
        <w:t xml:space="preserve">                          </w:t>
      </w: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361548DB">
      <w:pPr>
        <w:spacing w:line="460" w:lineRule="exact"/>
        <w:ind w:firstLine="3960" w:firstLineChars="1650"/>
        <w:rPr>
          <w:rFonts w:hint="eastAsia" w:ascii="宋体" w:hAnsi="宋体"/>
          <w:sz w:val="24"/>
          <w:highlight w:val="none"/>
        </w:rPr>
        <w:sectPr>
          <w:pgSz w:w="11906" w:h="16838"/>
          <w:pgMar w:top="1418" w:right="1134" w:bottom="1134" w:left="1418" w:header="851" w:footer="992" w:gutter="0"/>
          <w:cols w:space="720" w:num="1"/>
          <w:docGrid w:linePitch="520" w:charSpace="0"/>
        </w:sectPr>
      </w:pPr>
    </w:p>
    <w:p w14:paraId="3A7DC1B0">
      <w:pPr>
        <w:spacing w:line="480" w:lineRule="exact"/>
        <w:jc w:val="center"/>
        <w:rPr>
          <w:rFonts w:hint="default" w:ascii="宋体" w:hAnsi="宋体" w:eastAsia="宋体"/>
          <w:b/>
          <w:sz w:val="32"/>
          <w:szCs w:val="36"/>
          <w:highlight w:val="none"/>
          <w:lang w:val="en-US" w:eastAsia="zh-CN"/>
        </w:rPr>
      </w:pPr>
      <w:r>
        <w:rPr>
          <w:rFonts w:hint="eastAsia" w:ascii="宋体" w:hAnsi="宋体"/>
          <w:b/>
          <w:sz w:val="32"/>
          <w:szCs w:val="36"/>
          <w:highlight w:val="none"/>
        </w:rPr>
        <w:t>拟派</w:t>
      </w:r>
      <w:r>
        <w:rPr>
          <w:rFonts w:hint="eastAsia" w:ascii="宋体" w:hAnsi="宋体"/>
          <w:b/>
          <w:sz w:val="32"/>
          <w:szCs w:val="36"/>
          <w:highlight w:val="none"/>
          <w:lang w:val="en-US" w:eastAsia="zh-CN"/>
        </w:rPr>
        <w:t>配送团队</w:t>
      </w:r>
    </w:p>
    <w:p w14:paraId="31B6B6A1">
      <w:pPr>
        <w:jc w:val="right"/>
        <w:rPr>
          <w:rFonts w:ascii="宋体" w:hAnsi="宋体" w:cs="宋体"/>
          <w:b/>
          <w:bCs/>
          <w:sz w:val="28"/>
          <w:szCs w:val="28"/>
          <w:highlight w:val="none"/>
        </w:rPr>
      </w:pP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809"/>
        <w:gridCol w:w="899"/>
        <w:gridCol w:w="846"/>
        <w:gridCol w:w="879"/>
        <w:gridCol w:w="892"/>
        <w:gridCol w:w="942"/>
        <w:gridCol w:w="1296"/>
        <w:gridCol w:w="1369"/>
        <w:gridCol w:w="917"/>
      </w:tblGrid>
      <w:tr w14:paraId="4BB0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0016AD8D">
            <w:pPr>
              <w:spacing w:line="460" w:lineRule="exact"/>
              <w:jc w:val="left"/>
              <w:rPr>
                <w:rFonts w:ascii="宋体" w:hAnsi="宋体" w:cs="宋体"/>
                <w:sz w:val="28"/>
                <w:szCs w:val="28"/>
                <w:highlight w:val="none"/>
              </w:rPr>
            </w:pPr>
            <w:r>
              <w:rPr>
                <w:rFonts w:hint="eastAsia" w:ascii="宋体" w:hAnsi="宋体" w:cs="宋体"/>
                <w:sz w:val="24"/>
                <w:highlight w:val="none"/>
              </w:rPr>
              <w:t>拟派服务人员总人数：</w:t>
            </w:r>
            <w:r>
              <w:rPr>
                <w:rFonts w:hint="eastAsia" w:ascii="宋体" w:hAnsi="宋体" w:cs="宋体"/>
                <w:sz w:val="24"/>
                <w:highlight w:val="none"/>
                <w:u w:val="single"/>
              </w:rPr>
              <w:t xml:space="preserve">     </w:t>
            </w:r>
            <w:r>
              <w:rPr>
                <w:rFonts w:hint="eastAsia" w:ascii="宋体" w:hAnsi="宋体" w:cs="宋体"/>
                <w:sz w:val="24"/>
                <w:highlight w:val="none"/>
              </w:rPr>
              <w:t>人</w:t>
            </w:r>
          </w:p>
        </w:tc>
      </w:tr>
      <w:tr w14:paraId="3A313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top w:val="single" w:color="auto" w:sz="4" w:space="0"/>
              <w:left w:val="single" w:color="auto" w:sz="4" w:space="0"/>
              <w:right w:val="single" w:color="auto" w:sz="4" w:space="0"/>
            </w:tcBorders>
            <w:vAlign w:val="center"/>
          </w:tcPr>
          <w:p w14:paraId="109376D3">
            <w:pPr>
              <w:spacing w:line="460" w:lineRule="exact"/>
              <w:jc w:val="center"/>
              <w:rPr>
                <w:rFonts w:ascii="宋体" w:hAnsi="宋体" w:cs="宋体"/>
                <w:sz w:val="24"/>
                <w:highlight w:val="none"/>
              </w:rPr>
            </w:pPr>
            <w:r>
              <w:rPr>
                <w:rFonts w:hint="eastAsia" w:ascii="宋体" w:hAnsi="宋体" w:cs="宋体"/>
                <w:sz w:val="24"/>
                <w:highlight w:val="none"/>
              </w:rPr>
              <w:t>序号</w:t>
            </w:r>
          </w:p>
        </w:tc>
        <w:tc>
          <w:tcPr>
            <w:tcW w:w="423" w:type="pct"/>
            <w:tcBorders>
              <w:top w:val="single" w:color="auto" w:sz="4" w:space="0"/>
              <w:left w:val="single" w:color="auto" w:sz="4" w:space="0"/>
              <w:right w:val="single" w:color="auto" w:sz="4" w:space="0"/>
            </w:tcBorders>
            <w:vAlign w:val="center"/>
          </w:tcPr>
          <w:p w14:paraId="182081CD">
            <w:pPr>
              <w:spacing w:line="460" w:lineRule="exact"/>
              <w:jc w:val="center"/>
              <w:rPr>
                <w:rFonts w:ascii="宋体" w:hAnsi="宋体" w:cs="宋体"/>
                <w:sz w:val="24"/>
                <w:highlight w:val="none"/>
              </w:rPr>
            </w:pPr>
            <w:r>
              <w:rPr>
                <w:rFonts w:hint="eastAsia" w:ascii="宋体" w:hAnsi="宋体" w:cs="宋体"/>
                <w:sz w:val="24"/>
                <w:highlight w:val="none"/>
              </w:rPr>
              <w:t>姓名</w:t>
            </w:r>
          </w:p>
        </w:tc>
        <w:tc>
          <w:tcPr>
            <w:tcW w:w="470" w:type="pct"/>
            <w:tcBorders>
              <w:top w:val="single" w:color="auto" w:sz="4" w:space="0"/>
              <w:left w:val="single" w:color="auto" w:sz="4" w:space="0"/>
              <w:right w:val="single" w:color="auto" w:sz="4" w:space="0"/>
            </w:tcBorders>
            <w:vAlign w:val="center"/>
          </w:tcPr>
          <w:p w14:paraId="6DAD328E">
            <w:pPr>
              <w:spacing w:line="460" w:lineRule="exact"/>
              <w:jc w:val="center"/>
              <w:rPr>
                <w:rFonts w:ascii="宋体" w:hAnsi="宋体" w:cs="宋体"/>
                <w:sz w:val="24"/>
                <w:highlight w:val="none"/>
              </w:rPr>
            </w:pPr>
            <w:r>
              <w:rPr>
                <w:rFonts w:hint="eastAsia" w:ascii="宋体" w:hAnsi="宋体" w:cs="宋体"/>
                <w:sz w:val="24"/>
                <w:highlight w:val="none"/>
              </w:rPr>
              <w:t>性别</w:t>
            </w:r>
          </w:p>
        </w:tc>
        <w:tc>
          <w:tcPr>
            <w:tcW w:w="442" w:type="pct"/>
            <w:tcBorders>
              <w:top w:val="single" w:color="auto" w:sz="4" w:space="0"/>
              <w:left w:val="single" w:color="auto" w:sz="4" w:space="0"/>
              <w:bottom w:val="single" w:color="auto" w:sz="4" w:space="0"/>
              <w:right w:val="single" w:color="auto" w:sz="4" w:space="0"/>
            </w:tcBorders>
            <w:vAlign w:val="center"/>
          </w:tcPr>
          <w:p w14:paraId="36F76BD1">
            <w:pPr>
              <w:spacing w:line="460" w:lineRule="exact"/>
              <w:jc w:val="center"/>
              <w:rPr>
                <w:rFonts w:ascii="宋体" w:hAnsi="宋体" w:cs="宋体"/>
                <w:sz w:val="24"/>
                <w:highlight w:val="none"/>
              </w:rPr>
            </w:pPr>
            <w:r>
              <w:rPr>
                <w:rFonts w:hint="eastAsia" w:ascii="宋体" w:hAnsi="宋体" w:cs="宋体"/>
                <w:sz w:val="24"/>
                <w:highlight w:val="none"/>
              </w:rPr>
              <w:t>年龄</w:t>
            </w:r>
          </w:p>
        </w:tc>
        <w:tc>
          <w:tcPr>
            <w:tcW w:w="459" w:type="pct"/>
            <w:tcBorders>
              <w:top w:val="single" w:color="auto" w:sz="4" w:space="0"/>
              <w:left w:val="single" w:color="auto" w:sz="4" w:space="0"/>
              <w:bottom w:val="single" w:color="auto" w:sz="4" w:space="0"/>
              <w:right w:val="single" w:color="auto" w:sz="4" w:space="0"/>
            </w:tcBorders>
            <w:vAlign w:val="center"/>
          </w:tcPr>
          <w:p w14:paraId="2C30E30F">
            <w:pPr>
              <w:spacing w:line="460" w:lineRule="exact"/>
              <w:jc w:val="center"/>
              <w:rPr>
                <w:rFonts w:ascii="宋体" w:hAnsi="宋体" w:cs="宋体"/>
                <w:sz w:val="24"/>
                <w:highlight w:val="none"/>
              </w:rPr>
            </w:pPr>
            <w:r>
              <w:rPr>
                <w:rFonts w:hint="eastAsia" w:ascii="宋体" w:hAnsi="宋体" w:cs="宋体"/>
                <w:sz w:val="24"/>
                <w:highlight w:val="none"/>
              </w:rPr>
              <w:t>学历</w:t>
            </w:r>
          </w:p>
        </w:tc>
        <w:tc>
          <w:tcPr>
            <w:tcW w:w="466" w:type="pct"/>
            <w:tcBorders>
              <w:top w:val="single" w:color="auto" w:sz="4" w:space="0"/>
              <w:left w:val="single" w:color="auto" w:sz="4" w:space="0"/>
              <w:bottom w:val="single" w:color="auto" w:sz="4" w:space="0"/>
              <w:right w:val="single" w:color="auto" w:sz="4" w:space="0"/>
            </w:tcBorders>
            <w:vAlign w:val="center"/>
          </w:tcPr>
          <w:p w14:paraId="77208948">
            <w:pPr>
              <w:spacing w:line="460" w:lineRule="exact"/>
              <w:jc w:val="center"/>
              <w:rPr>
                <w:rFonts w:ascii="宋体" w:hAnsi="宋体" w:cs="宋体"/>
                <w:sz w:val="24"/>
                <w:highlight w:val="none"/>
              </w:rPr>
            </w:pPr>
            <w:r>
              <w:rPr>
                <w:rFonts w:hint="eastAsia" w:ascii="宋体" w:hAnsi="宋体" w:cs="宋体"/>
                <w:sz w:val="24"/>
                <w:highlight w:val="none"/>
              </w:rPr>
              <w:t>职务/职称</w:t>
            </w:r>
          </w:p>
        </w:tc>
        <w:tc>
          <w:tcPr>
            <w:tcW w:w="492" w:type="pct"/>
            <w:tcBorders>
              <w:top w:val="single" w:color="auto" w:sz="4" w:space="0"/>
              <w:left w:val="single" w:color="auto" w:sz="4" w:space="0"/>
              <w:bottom w:val="single" w:color="auto" w:sz="4" w:space="0"/>
              <w:right w:val="single" w:color="auto" w:sz="4" w:space="0"/>
            </w:tcBorders>
            <w:vAlign w:val="center"/>
          </w:tcPr>
          <w:p w14:paraId="6079B5A7">
            <w:pPr>
              <w:spacing w:line="440" w:lineRule="exact"/>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参加工作时间</w:t>
            </w:r>
          </w:p>
        </w:tc>
        <w:tc>
          <w:tcPr>
            <w:tcW w:w="677" w:type="pct"/>
            <w:tcBorders>
              <w:top w:val="single" w:color="auto" w:sz="4" w:space="0"/>
              <w:left w:val="single" w:color="auto" w:sz="4" w:space="0"/>
              <w:bottom w:val="single" w:color="auto" w:sz="4" w:space="0"/>
              <w:right w:val="single" w:color="auto" w:sz="4" w:space="0"/>
            </w:tcBorders>
            <w:vAlign w:val="center"/>
          </w:tcPr>
          <w:p w14:paraId="11C0A428">
            <w:pPr>
              <w:spacing w:line="440" w:lineRule="exact"/>
              <w:jc w:val="center"/>
              <w:rPr>
                <w:rFonts w:ascii="宋体" w:hAnsi="宋体" w:cs="宋体"/>
                <w:sz w:val="24"/>
                <w:highlight w:val="none"/>
              </w:rPr>
            </w:pPr>
            <w:r>
              <w:rPr>
                <w:rFonts w:hint="eastAsia" w:ascii="宋体" w:hAnsi="宋体" w:cs="宋体"/>
                <w:sz w:val="24"/>
                <w:highlight w:val="none"/>
                <w:lang w:val="en-US" w:eastAsia="zh-CN"/>
              </w:rPr>
              <w:t>从事该工作</w:t>
            </w:r>
            <w:r>
              <w:rPr>
                <w:rFonts w:hint="eastAsia" w:ascii="宋体" w:hAnsi="宋体" w:cs="宋体"/>
                <w:sz w:val="24"/>
                <w:highlight w:val="none"/>
              </w:rPr>
              <w:t>时间</w:t>
            </w:r>
          </w:p>
        </w:tc>
        <w:tc>
          <w:tcPr>
            <w:tcW w:w="715" w:type="pct"/>
            <w:tcBorders>
              <w:top w:val="single" w:color="auto" w:sz="4" w:space="0"/>
              <w:left w:val="single" w:color="auto" w:sz="4" w:space="0"/>
              <w:bottom w:val="single" w:color="auto" w:sz="4" w:space="0"/>
              <w:right w:val="single" w:color="auto" w:sz="4" w:space="0"/>
            </w:tcBorders>
            <w:vAlign w:val="center"/>
          </w:tcPr>
          <w:p w14:paraId="57753224">
            <w:pPr>
              <w:spacing w:line="460" w:lineRule="exact"/>
              <w:jc w:val="center"/>
              <w:rPr>
                <w:rFonts w:ascii="宋体" w:hAnsi="宋体" w:cs="宋体"/>
                <w:sz w:val="24"/>
                <w:highlight w:val="none"/>
              </w:rPr>
            </w:pPr>
            <w:r>
              <w:rPr>
                <w:rFonts w:hint="eastAsia" w:ascii="宋体" w:hAnsi="宋体" w:cs="宋体"/>
                <w:sz w:val="24"/>
                <w:highlight w:val="none"/>
              </w:rPr>
              <w:t>拟在本项目中担任的岗位</w:t>
            </w:r>
          </w:p>
        </w:tc>
        <w:tc>
          <w:tcPr>
            <w:tcW w:w="477" w:type="pct"/>
            <w:tcBorders>
              <w:top w:val="single" w:color="auto" w:sz="4" w:space="0"/>
              <w:left w:val="single" w:color="auto" w:sz="4" w:space="0"/>
              <w:bottom w:val="single" w:color="auto" w:sz="4" w:space="0"/>
              <w:right w:val="single" w:color="auto" w:sz="4" w:space="0"/>
            </w:tcBorders>
            <w:vAlign w:val="center"/>
          </w:tcPr>
          <w:p w14:paraId="577F8D40">
            <w:pPr>
              <w:spacing w:line="460" w:lineRule="exact"/>
              <w:jc w:val="center"/>
              <w:rPr>
                <w:rFonts w:ascii="宋体" w:hAnsi="宋体" w:cs="宋体"/>
                <w:sz w:val="24"/>
                <w:highlight w:val="none"/>
              </w:rPr>
            </w:pPr>
            <w:r>
              <w:rPr>
                <w:rFonts w:hint="eastAsia" w:ascii="宋体" w:hAnsi="宋体" w:cs="宋体"/>
                <w:sz w:val="24"/>
                <w:highlight w:val="none"/>
              </w:rPr>
              <w:t>备注</w:t>
            </w:r>
          </w:p>
        </w:tc>
      </w:tr>
      <w:tr w14:paraId="1E6E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0854177A">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33D17A66">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40AF2B5A">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2188AEED">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28FABB38">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0EB6FCA2">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62EB7A15">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39DBDF30">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1C7B8561">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28597D43">
            <w:pPr>
              <w:spacing w:line="460" w:lineRule="exact"/>
              <w:jc w:val="center"/>
              <w:rPr>
                <w:rFonts w:ascii="宋体" w:hAnsi="宋体" w:cs="宋体"/>
                <w:sz w:val="28"/>
                <w:szCs w:val="28"/>
                <w:highlight w:val="none"/>
              </w:rPr>
            </w:pPr>
          </w:p>
        </w:tc>
      </w:tr>
      <w:tr w14:paraId="77B6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65E3D1C7">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0AA54706">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3B8B6FBD">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5F374191">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7A1F23DE">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5D939DF6">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74D2505">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6C1D979F">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7DBAC7B5">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280162F0">
            <w:pPr>
              <w:spacing w:line="460" w:lineRule="exact"/>
              <w:jc w:val="center"/>
              <w:rPr>
                <w:rFonts w:ascii="宋体" w:hAnsi="宋体" w:cs="宋体"/>
                <w:sz w:val="28"/>
                <w:szCs w:val="28"/>
                <w:highlight w:val="none"/>
              </w:rPr>
            </w:pPr>
          </w:p>
        </w:tc>
      </w:tr>
      <w:tr w14:paraId="5295B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2C640E31">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1FBDBB1C">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0D84E577">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44A9CFDD">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2CD09983">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1EA22FE1">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5DA76F10">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1BAF43A2">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16EB3D5D">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3C90754A">
            <w:pPr>
              <w:spacing w:line="460" w:lineRule="exact"/>
              <w:jc w:val="center"/>
              <w:rPr>
                <w:rFonts w:ascii="宋体" w:hAnsi="宋体" w:cs="宋体"/>
                <w:sz w:val="28"/>
                <w:szCs w:val="28"/>
                <w:highlight w:val="none"/>
              </w:rPr>
            </w:pPr>
          </w:p>
        </w:tc>
      </w:tr>
      <w:tr w14:paraId="7A1E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6553056B">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6EA48E20">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70AE96B3">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656D8025">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40D8AB72">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5B5FBB0E">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02F6C65">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2BBD0E3A">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44B1DADC">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4E38C2DA">
            <w:pPr>
              <w:spacing w:line="460" w:lineRule="exact"/>
              <w:jc w:val="center"/>
              <w:rPr>
                <w:rFonts w:ascii="宋体" w:hAnsi="宋体" w:cs="宋体"/>
                <w:sz w:val="28"/>
                <w:szCs w:val="28"/>
                <w:highlight w:val="none"/>
              </w:rPr>
            </w:pPr>
          </w:p>
        </w:tc>
      </w:tr>
      <w:tr w14:paraId="4AB63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74203B72">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360CDFC1">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5F461DA8">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2278639D">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58313C52">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07F25B79">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55570CF2">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074F81CC">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5138E0BC">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35137056">
            <w:pPr>
              <w:spacing w:line="460" w:lineRule="exact"/>
              <w:jc w:val="center"/>
              <w:rPr>
                <w:rFonts w:ascii="宋体" w:hAnsi="宋体" w:cs="宋体"/>
                <w:sz w:val="28"/>
                <w:szCs w:val="28"/>
                <w:highlight w:val="none"/>
              </w:rPr>
            </w:pPr>
          </w:p>
        </w:tc>
      </w:tr>
      <w:tr w14:paraId="7863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56F64FD5">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11FA718F">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7FB5BBBE">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0DE2F1FB">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3CA165CF">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14B7E7BA">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BD7055F">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31470A53">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7D204B2C">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1588617E">
            <w:pPr>
              <w:spacing w:line="460" w:lineRule="exact"/>
              <w:jc w:val="center"/>
              <w:rPr>
                <w:rFonts w:ascii="宋体" w:hAnsi="宋体" w:cs="宋体"/>
                <w:sz w:val="28"/>
                <w:szCs w:val="28"/>
                <w:highlight w:val="none"/>
              </w:rPr>
            </w:pPr>
          </w:p>
        </w:tc>
      </w:tr>
      <w:tr w14:paraId="00C3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6865B4A9">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69C29BBD">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67946A53">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716141DE">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589C8905">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15539C28">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3948F9AF">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6A0B87A4">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0459F150">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53447444">
            <w:pPr>
              <w:spacing w:line="460" w:lineRule="exact"/>
              <w:jc w:val="center"/>
              <w:rPr>
                <w:rFonts w:ascii="宋体" w:hAnsi="宋体" w:cs="宋体"/>
                <w:sz w:val="28"/>
                <w:szCs w:val="28"/>
                <w:highlight w:val="none"/>
              </w:rPr>
            </w:pPr>
          </w:p>
        </w:tc>
      </w:tr>
      <w:tr w14:paraId="2BEB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429DD30B">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331E4755">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42E869CA">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049EDD6E">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71EFFA8B">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7570484F">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7F79A08B">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074E79AC">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0F3C1373">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24723C31">
            <w:pPr>
              <w:spacing w:line="460" w:lineRule="exact"/>
              <w:jc w:val="center"/>
              <w:rPr>
                <w:rFonts w:ascii="宋体" w:hAnsi="宋体" w:cs="宋体"/>
                <w:sz w:val="28"/>
                <w:szCs w:val="28"/>
                <w:highlight w:val="none"/>
              </w:rPr>
            </w:pPr>
          </w:p>
        </w:tc>
      </w:tr>
      <w:tr w14:paraId="0C7B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71081828">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0DE2AC5C">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5D342DD4">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6A4E43B0">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4B3F2113">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005A697C">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57580E6A">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47BB7B44">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4E0CA924">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6A9DC2B9">
            <w:pPr>
              <w:spacing w:line="460" w:lineRule="exact"/>
              <w:jc w:val="center"/>
              <w:rPr>
                <w:rFonts w:ascii="宋体" w:hAnsi="宋体" w:cs="宋体"/>
                <w:sz w:val="28"/>
                <w:szCs w:val="28"/>
                <w:highlight w:val="none"/>
              </w:rPr>
            </w:pPr>
          </w:p>
        </w:tc>
      </w:tr>
      <w:tr w14:paraId="7EDE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4DDD0D7A">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4F78DA6B">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78ABB31D">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4DF385D1">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78598527">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521854EE">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72CBBF44">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30AAE055">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334B12E7">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4FF012B4">
            <w:pPr>
              <w:spacing w:line="460" w:lineRule="exact"/>
              <w:jc w:val="center"/>
              <w:rPr>
                <w:rFonts w:ascii="宋体" w:hAnsi="宋体" w:cs="宋体"/>
                <w:sz w:val="28"/>
                <w:szCs w:val="28"/>
                <w:highlight w:val="none"/>
              </w:rPr>
            </w:pPr>
          </w:p>
        </w:tc>
      </w:tr>
      <w:tr w14:paraId="54EAE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3C96033B">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37F12BBD">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6DA83617">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4B85DF5E">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0DA7B00D">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374BEB97">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35C8F9C5">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669E8066">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01637696">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1680D080">
            <w:pPr>
              <w:spacing w:line="460" w:lineRule="exact"/>
              <w:jc w:val="center"/>
              <w:rPr>
                <w:rFonts w:ascii="宋体" w:hAnsi="宋体" w:cs="宋体"/>
                <w:sz w:val="28"/>
                <w:szCs w:val="28"/>
                <w:highlight w:val="none"/>
              </w:rPr>
            </w:pPr>
          </w:p>
        </w:tc>
      </w:tr>
      <w:tr w14:paraId="2E9B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Borders>
              <w:left w:val="single" w:color="auto" w:sz="4" w:space="0"/>
              <w:right w:val="single" w:color="auto" w:sz="4" w:space="0"/>
            </w:tcBorders>
            <w:vAlign w:val="center"/>
          </w:tcPr>
          <w:p w14:paraId="66171898">
            <w:pPr>
              <w:spacing w:line="460" w:lineRule="exact"/>
              <w:jc w:val="center"/>
              <w:rPr>
                <w:rFonts w:ascii="宋体" w:hAnsi="宋体" w:cs="宋体"/>
                <w:sz w:val="28"/>
                <w:szCs w:val="28"/>
                <w:highlight w:val="none"/>
              </w:rPr>
            </w:pPr>
          </w:p>
        </w:tc>
        <w:tc>
          <w:tcPr>
            <w:tcW w:w="423" w:type="pct"/>
            <w:tcBorders>
              <w:left w:val="single" w:color="auto" w:sz="4" w:space="0"/>
              <w:right w:val="single" w:color="auto" w:sz="4" w:space="0"/>
            </w:tcBorders>
            <w:vAlign w:val="center"/>
          </w:tcPr>
          <w:p w14:paraId="06751B57">
            <w:pPr>
              <w:spacing w:line="460" w:lineRule="exact"/>
              <w:jc w:val="center"/>
              <w:rPr>
                <w:rFonts w:ascii="宋体" w:hAnsi="宋体" w:cs="宋体"/>
                <w:sz w:val="28"/>
                <w:szCs w:val="28"/>
                <w:highlight w:val="none"/>
              </w:rPr>
            </w:pPr>
          </w:p>
        </w:tc>
        <w:tc>
          <w:tcPr>
            <w:tcW w:w="470" w:type="pct"/>
            <w:tcBorders>
              <w:left w:val="single" w:color="auto" w:sz="4" w:space="0"/>
              <w:right w:val="single" w:color="auto" w:sz="4" w:space="0"/>
            </w:tcBorders>
            <w:vAlign w:val="center"/>
          </w:tcPr>
          <w:p w14:paraId="16D4B12A">
            <w:pPr>
              <w:spacing w:line="460" w:lineRule="exact"/>
              <w:jc w:val="center"/>
              <w:rPr>
                <w:rFonts w:ascii="宋体" w:hAnsi="宋体" w:cs="宋体"/>
                <w:sz w:val="28"/>
                <w:szCs w:val="28"/>
                <w:highlight w:val="none"/>
              </w:rPr>
            </w:pPr>
          </w:p>
        </w:tc>
        <w:tc>
          <w:tcPr>
            <w:tcW w:w="442" w:type="pct"/>
            <w:tcBorders>
              <w:top w:val="single" w:color="auto" w:sz="4" w:space="0"/>
              <w:left w:val="single" w:color="auto" w:sz="4" w:space="0"/>
              <w:bottom w:val="single" w:color="auto" w:sz="4" w:space="0"/>
              <w:right w:val="single" w:color="auto" w:sz="4" w:space="0"/>
            </w:tcBorders>
            <w:vAlign w:val="center"/>
          </w:tcPr>
          <w:p w14:paraId="2C639CAB">
            <w:pPr>
              <w:spacing w:line="460" w:lineRule="exact"/>
              <w:jc w:val="center"/>
              <w:rPr>
                <w:rFonts w:ascii="宋体" w:hAnsi="宋体" w:cs="宋体"/>
                <w:sz w:val="28"/>
                <w:szCs w:val="28"/>
                <w:highlight w:val="none"/>
              </w:rPr>
            </w:pPr>
          </w:p>
        </w:tc>
        <w:tc>
          <w:tcPr>
            <w:tcW w:w="459" w:type="pct"/>
            <w:tcBorders>
              <w:top w:val="single" w:color="auto" w:sz="4" w:space="0"/>
              <w:left w:val="single" w:color="auto" w:sz="4" w:space="0"/>
              <w:bottom w:val="single" w:color="auto" w:sz="4" w:space="0"/>
              <w:right w:val="single" w:color="auto" w:sz="4" w:space="0"/>
            </w:tcBorders>
            <w:vAlign w:val="center"/>
          </w:tcPr>
          <w:p w14:paraId="164C24DA">
            <w:pPr>
              <w:spacing w:line="460" w:lineRule="exact"/>
              <w:jc w:val="center"/>
              <w:rPr>
                <w:rFonts w:ascii="宋体" w:hAnsi="宋体" w:cs="宋体"/>
                <w:sz w:val="28"/>
                <w:szCs w:val="28"/>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14:paraId="089A6975">
            <w:pPr>
              <w:spacing w:line="460" w:lineRule="exact"/>
              <w:jc w:val="center"/>
              <w:rPr>
                <w:rFonts w:ascii="宋体" w:hAnsi="宋体" w:cs="宋体"/>
                <w:sz w:val="28"/>
                <w:szCs w:val="28"/>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02C85A62">
            <w:pPr>
              <w:spacing w:line="460" w:lineRule="exact"/>
              <w:jc w:val="center"/>
              <w:rPr>
                <w:rFonts w:ascii="宋体" w:hAnsi="宋体" w:cs="宋体"/>
                <w:sz w:val="28"/>
                <w:szCs w:val="28"/>
                <w:highlight w:val="none"/>
              </w:rPr>
            </w:pPr>
          </w:p>
        </w:tc>
        <w:tc>
          <w:tcPr>
            <w:tcW w:w="677" w:type="pct"/>
            <w:tcBorders>
              <w:top w:val="single" w:color="auto" w:sz="4" w:space="0"/>
              <w:left w:val="single" w:color="auto" w:sz="4" w:space="0"/>
              <w:bottom w:val="single" w:color="auto" w:sz="4" w:space="0"/>
              <w:right w:val="single" w:color="auto" w:sz="4" w:space="0"/>
            </w:tcBorders>
            <w:vAlign w:val="center"/>
          </w:tcPr>
          <w:p w14:paraId="73284836">
            <w:pPr>
              <w:spacing w:line="460" w:lineRule="exact"/>
              <w:jc w:val="center"/>
              <w:rPr>
                <w:rFonts w:ascii="宋体" w:hAnsi="宋体" w:cs="宋体"/>
                <w:sz w:val="28"/>
                <w:szCs w:val="28"/>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14:paraId="43FF9F8C">
            <w:pPr>
              <w:spacing w:line="460" w:lineRule="exact"/>
              <w:jc w:val="center"/>
              <w:rPr>
                <w:rFonts w:ascii="宋体" w:hAnsi="宋体" w:cs="宋体"/>
                <w:sz w:val="28"/>
                <w:szCs w:val="28"/>
                <w:highlight w:val="none"/>
              </w:rPr>
            </w:pPr>
          </w:p>
        </w:tc>
        <w:tc>
          <w:tcPr>
            <w:tcW w:w="477" w:type="pct"/>
            <w:tcBorders>
              <w:top w:val="single" w:color="auto" w:sz="4" w:space="0"/>
              <w:left w:val="single" w:color="auto" w:sz="4" w:space="0"/>
              <w:bottom w:val="single" w:color="auto" w:sz="4" w:space="0"/>
              <w:right w:val="single" w:color="auto" w:sz="4" w:space="0"/>
            </w:tcBorders>
            <w:vAlign w:val="center"/>
          </w:tcPr>
          <w:p w14:paraId="4B89C6BE">
            <w:pPr>
              <w:spacing w:line="460" w:lineRule="exact"/>
              <w:jc w:val="center"/>
              <w:rPr>
                <w:rFonts w:ascii="宋体" w:hAnsi="宋体" w:cs="宋体"/>
                <w:sz w:val="28"/>
                <w:szCs w:val="28"/>
                <w:highlight w:val="none"/>
              </w:rPr>
            </w:pPr>
          </w:p>
        </w:tc>
      </w:tr>
    </w:tbl>
    <w:p w14:paraId="50203971">
      <w:pPr>
        <w:spacing w:line="460" w:lineRule="exact"/>
        <w:rPr>
          <w:rFonts w:ascii="宋体" w:hAnsi="宋体" w:cs="宋体"/>
          <w:b/>
          <w:highlight w:val="none"/>
        </w:rPr>
      </w:pPr>
      <w:r>
        <w:rPr>
          <w:rFonts w:hint="eastAsia" w:ascii="宋体" w:hAnsi="宋体" w:cs="宋体"/>
          <w:b/>
          <w:sz w:val="28"/>
          <w:szCs w:val="28"/>
          <w:highlight w:val="none"/>
        </w:rPr>
        <w:t>附：证明材料。</w:t>
      </w:r>
    </w:p>
    <w:p w14:paraId="2F76963C">
      <w:pPr>
        <w:spacing w:line="460" w:lineRule="exact"/>
        <w:rPr>
          <w:rFonts w:ascii="宋体" w:hAnsi="宋体" w:cs="宋体"/>
          <w:highlight w:val="none"/>
        </w:rPr>
      </w:pPr>
    </w:p>
    <w:p w14:paraId="2F4F0B03">
      <w:pPr>
        <w:spacing w:line="460" w:lineRule="exact"/>
        <w:ind w:firstLine="3960" w:firstLineChars="1650"/>
        <w:rPr>
          <w:rFonts w:ascii="宋体" w:hAnsi="宋体"/>
          <w:sz w:val="24"/>
          <w:highlight w:val="none"/>
        </w:rPr>
      </w:pPr>
      <w:r>
        <w:rPr>
          <w:rFonts w:hint="eastAsia" w:ascii="宋体" w:hAnsi="宋体"/>
          <w:sz w:val="24"/>
          <w:highlight w:val="none"/>
        </w:rPr>
        <w:t xml:space="preserve">投标人（盖电子公章）： </w:t>
      </w:r>
    </w:p>
    <w:p w14:paraId="7E922CAA">
      <w:pPr>
        <w:pStyle w:val="12"/>
        <w:rPr>
          <w:highlight w:val="none"/>
        </w:rPr>
      </w:pPr>
    </w:p>
    <w:p w14:paraId="548E39D4">
      <w:pPr>
        <w:spacing w:line="460" w:lineRule="exact"/>
        <w:ind w:firstLine="3960" w:firstLineChars="1650"/>
        <w:rPr>
          <w:rFonts w:hint="eastAsia" w:ascii="宋体" w:hAnsi="宋体"/>
          <w:sz w:val="24"/>
          <w:highlight w:val="none"/>
        </w:rPr>
      </w:pPr>
      <w:r>
        <w:rPr>
          <w:rFonts w:hint="eastAsia" w:ascii="宋体" w:hAnsi="宋体"/>
          <w:sz w:val="24"/>
          <w:highlight w:val="none"/>
        </w:rPr>
        <w:t>法定代表人或委托代理人（签字或盖章）：</w:t>
      </w:r>
    </w:p>
    <w:p w14:paraId="73079D3D">
      <w:pPr>
        <w:spacing w:line="480" w:lineRule="exact"/>
        <w:jc w:val="center"/>
        <w:rPr>
          <w:rFonts w:ascii="宋体" w:hAnsi="宋体"/>
          <w:b/>
          <w:sz w:val="32"/>
          <w:szCs w:val="36"/>
          <w:highlight w:val="none"/>
        </w:rPr>
        <w:sectPr>
          <w:pgSz w:w="11906" w:h="16838"/>
          <w:pgMar w:top="1418" w:right="1134" w:bottom="1134" w:left="1418" w:header="851" w:footer="992" w:gutter="0"/>
          <w:cols w:space="720" w:num="1"/>
          <w:docGrid w:linePitch="520" w:charSpace="0"/>
        </w:sectPr>
      </w:pPr>
    </w:p>
    <w:p w14:paraId="7CC5CA07">
      <w:pPr>
        <w:spacing w:line="480" w:lineRule="exact"/>
        <w:jc w:val="center"/>
        <w:rPr>
          <w:rFonts w:ascii="宋体" w:hAnsi="宋体"/>
          <w:b/>
          <w:sz w:val="32"/>
          <w:szCs w:val="36"/>
          <w:highlight w:val="none"/>
        </w:rPr>
      </w:pPr>
      <w:r>
        <w:rPr>
          <w:rFonts w:hint="eastAsia" w:ascii="宋体" w:hAnsi="宋体"/>
          <w:b/>
          <w:sz w:val="32"/>
          <w:szCs w:val="36"/>
          <w:highlight w:val="none"/>
        </w:rPr>
        <w:t>技术文件</w:t>
      </w:r>
    </w:p>
    <w:p w14:paraId="27D20D40">
      <w:pPr>
        <w:spacing w:line="520" w:lineRule="exact"/>
        <w:jc w:val="center"/>
        <w:rPr>
          <w:rFonts w:ascii="宋体" w:hAnsi="宋体"/>
          <w:b/>
          <w:kern w:val="0"/>
          <w:sz w:val="44"/>
          <w:szCs w:val="44"/>
          <w:highlight w:val="none"/>
        </w:rPr>
      </w:pPr>
    </w:p>
    <w:p w14:paraId="7E79E448">
      <w:pPr>
        <w:spacing w:line="360" w:lineRule="auto"/>
        <w:rPr>
          <w:rFonts w:ascii="宋体" w:hAnsi="宋体" w:cs="宋体"/>
          <w:color w:val="000000"/>
          <w:sz w:val="24"/>
          <w:highlight w:val="none"/>
        </w:rPr>
      </w:pPr>
      <w:r>
        <w:rPr>
          <w:rFonts w:hint="eastAsia" w:ascii="宋体" w:hAnsi="宋体" w:cs="宋体"/>
          <w:color w:val="000000"/>
          <w:sz w:val="24"/>
          <w:highlight w:val="none"/>
        </w:rPr>
        <w:t>按评标细则进行编制。</w:t>
      </w:r>
    </w:p>
    <w:p w14:paraId="03063AA0">
      <w:pPr>
        <w:spacing w:line="520" w:lineRule="exact"/>
        <w:jc w:val="center"/>
        <w:rPr>
          <w:rFonts w:ascii="宋体" w:hAnsi="宋体"/>
          <w:b/>
          <w:kern w:val="0"/>
          <w:sz w:val="44"/>
          <w:szCs w:val="44"/>
          <w:highlight w:val="none"/>
        </w:rPr>
      </w:pPr>
    </w:p>
    <w:p w14:paraId="240B2B57">
      <w:pPr>
        <w:spacing w:line="520" w:lineRule="exact"/>
        <w:jc w:val="center"/>
        <w:rPr>
          <w:rFonts w:ascii="宋体" w:hAnsi="宋体"/>
          <w:b/>
          <w:kern w:val="0"/>
          <w:sz w:val="44"/>
          <w:szCs w:val="44"/>
          <w:highlight w:val="none"/>
        </w:rPr>
      </w:pPr>
    </w:p>
    <w:p w14:paraId="13A7C819">
      <w:pPr>
        <w:spacing w:line="520" w:lineRule="exact"/>
        <w:jc w:val="center"/>
        <w:rPr>
          <w:rFonts w:ascii="宋体" w:hAnsi="宋体"/>
          <w:b/>
          <w:kern w:val="0"/>
          <w:sz w:val="44"/>
          <w:szCs w:val="44"/>
          <w:highlight w:val="none"/>
        </w:rPr>
      </w:pPr>
    </w:p>
    <w:p w14:paraId="7755C150">
      <w:pPr>
        <w:spacing w:line="520" w:lineRule="exact"/>
        <w:jc w:val="center"/>
        <w:rPr>
          <w:rFonts w:ascii="宋体" w:hAnsi="宋体"/>
          <w:b/>
          <w:kern w:val="0"/>
          <w:sz w:val="44"/>
          <w:szCs w:val="44"/>
          <w:highlight w:val="none"/>
        </w:rPr>
      </w:pPr>
    </w:p>
    <w:p w14:paraId="1DB09A64">
      <w:pPr>
        <w:spacing w:line="520" w:lineRule="exact"/>
        <w:jc w:val="center"/>
        <w:rPr>
          <w:rFonts w:ascii="宋体" w:hAnsi="宋体"/>
          <w:b/>
          <w:kern w:val="0"/>
          <w:sz w:val="44"/>
          <w:szCs w:val="44"/>
          <w:highlight w:val="none"/>
        </w:rPr>
      </w:pPr>
    </w:p>
    <w:p w14:paraId="6F983134">
      <w:pPr>
        <w:spacing w:line="520" w:lineRule="exact"/>
        <w:jc w:val="center"/>
        <w:rPr>
          <w:rFonts w:ascii="宋体" w:hAnsi="宋体"/>
          <w:b/>
          <w:kern w:val="0"/>
          <w:sz w:val="44"/>
          <w:szCs w:val="44"/>
          <w:highlight w:val="none"/>
        </w:rPr>
      </w:pPr>
    </w:p>
    <w:p w14:paraId="75D96B0F">
      <w:pPr>
        <w:spacing w:line="520" w:lineRule="exact"/>
        <w:jc w:val="center"/>
        <w:rPr>
          <w:rFonts w:ascii="宋体" w:hAnsi="宋体"/>
          <w:b/>
          <w:kern w:val="0"/>
          <w:sz w:val="44"/>
          <w:szCs w:val="44"/>
          <w:highlight w:val="none"/>
        </w:rPr>
      </w:pPr>
    </w:p>
    <w:p w14:paraId="3CD7FF3B">
      <w:pPr>
        <w:spacing w:line="520" w:lineRule="exact"/>
        <w:jc w:val="center"/>
        <w:rPr>
          <w:rFonts w:ascii="宋体" w:hAnsi="宋体"/>
          <w:b/>
          <w:kern w:val="0"/>
          <w:sz w:val="44"/>
          <w:szCs w:val="44"/>
          <w:highlight w:val="none"/>
        </w:rPr>
      </w:pPr>
    </w:p>
    <w:p w14:paraId="70D09462">
      <w:pPr>
        <w:spacing w:line="520" w:lineRule="exact"/>
        <w:jc w:val="center"/>
        <w:rPr>
          <w:rFonts w:ascii="宋体" w:hAnsi="宋体"/>
          <w:b/>
          <w:kern w:val="0"/>
          <w:sz w:val="44"/>
          <w:szCs w:val="44"/>
          <w:highlight w:val="none"/>
        </w:rPr>
      </w:pPr>
    </w:p>
    <w:p w14:paraId="5A8596B9">
      <w:pPr>
        <w:spacing w:line="520" w:lineRule="exact"/>
        <w:jc w:val="center"/>
        <w:rPr>
          <w:rFonts w:ascii="宋体" w:hAnsi="宋体"/>
          <w:b/>
          <w:kern w:val="0"/>
          <w:sz w:val="44"/>
          <w:szCs w:val="44"/>
          <w:highlight w:val="none"/>
        </w:rPr>
      </w:pPr>
    </w:p>
    <w:p w14:paraId="71EF2193">
      <w:pPr>
        <w:spacing w:line="520" w:lineRule="exact"/>
        <w:jc w:val="center"/>
        <w:rPr>
          <w:rFonts w:ascii="宋体" w:hAnsi="宋体"/>
          <w:b/>
          <w:kern w:val="0"/>
          <w:sz w:val="44"/>
          <w:szCs w:val="44"/>
          <w:highlight w:val="none"/>
        </w:rPr>
      </w:pPr>
    </w:p>
    <w:p w14:paraId="44798497">
      <w:pPr>
        <w:spacing w:line="520" w:lineRule="exact"/>
        <w:jc w:val="center"/>
        <w:rPr>
          <w:rFonts w:ascii="宋体" w:hAnsi="宋体"/>
          <w:b/>
          <w:kern w:val="0"/>
          <w:sz w:val="44"/>
          <w:szCs w:val="44"/>
          <w:highlight w:val="none"/>
        </w:rPr>
      </w:pPr>
    </w:p>
    <w:p w14:paraId="5F59F0B9">
      <w:pPr>
        <w:spacing w:line="520" w:lineRule="exact"/>
        <w:jc w:val="center"/>
        <w:rPr>
          <w:rFonts w:ascii="宋体" w:hAnsi="宋体"/>
          <w:b/>
          <w:kern w:val="0"/>
          <w:sz w:val="44"/>
          <w:szCs w:val="44"/>
          <w:highlight w:val="none"/>
        </w:rPr>
      </w:pPr>
    </w:p>
    <w:p w14:paraId="04958490">
      <w:pPr>
        <w:spacing w:line="520" w:lineRule="exact"/>
        <w:jc w:val="center"/>
        <w:rPr>
          <w:rFonts w:ascii="宋体" w:hAnsi="宋体"/>
          <w:b/>
          <w:kern w:val="0"/>
          <w:sz w:val="44"/>
          <w:szCs w:val="44"/>
          <w:highlight w:val="none"/>
        </w:rPr>
      </w:pPr>
    </w:p>
    <w:p w14:paraId="4DAC4D4A">
      <w:pPr>
        <w:spacing w:line="520" w:lineRule="exact"/>
        <w:jc w:val="center"/>
        <w:rPr>
          <w:rFonts w:ascii="宋体" w:hAnsi="宋体"/>
          <w:b/>
          <w:kern w:val="0"/>
          <w:sz w:val="44"/>
          <w:szCs w:val="44"/>
          <w:highlight w:val="none"/>
        </w:rPr>
      </w:pPr>
    </w:p>
    <w:p w14:paraId="45776502">
      <w:pPr>
        <w:spacing w:line="520" w:lineRule="exact"/>
        <w:jc w:val="center"/>
        <w:rPr>
          <w:rFonts w:ascii="宋体" w:hAnsi="宋体"/>
          <w:b/>
          <w:kern w:val="0"/>
          <w:sz w:val="44"/>
          <w:szCs w:val="44"/>
          <w:highlight w:val="none"/>
        </w:rPr>
      </w:pPr>
    </w:p>
    <w:p w14:paraId="094159C7">
      <w:pPr>
        <w:spacing w:line="520" w:lineRule="exact"/>
        <w:jc w:val="center"/>
        <w:rPr>
          <w:rFonts w:ascii="宋体" w:hAnsi="宋体"/>
          <w:b/>
          <w:kern w:val="0"/>
          <w:sz w:val="44"/>
          <w:szCs w:val="44"/>
          <w:highlight w:val="none"/>
        </w:rPr>
      </w:pPr>
    </w:p>
    <w:p w14:paraId="0048FD1E">
      <w:pPr>
        <w:spacing w:line="520" w:lineRule="exact"/>
        <w:jc w:val="center"/>
        <w:rPr>
          <w:rFonts w:ascii="宋体" w:hAnsi="宋体"/>
          <w:b/>
          <w:kern w:val="0"/>
          <w:sz w:val="44"/>
          <w:szCs w:val="44"/>
          <w:highlight w:val="none"/>
        </w:rPr>
      </w:pPr>
    </w:p>
    <w:p w14:paraId="542E117A">
      <w:pPr>
        <w:spacing w:line="520" w:lineRule="exact"/>
        <w:jc w:val="center"/>
        <w:rPr>
          <w:rFonts w:ascii="宋体" w:hAnsi="宋体"/>
          <w:b/>
          <w:kern w:val="0"/>
          <w:sz w:val="44"/>
          <w:szCs w:val="44"/>
          <w:highlight w:val="none"/>
        </w:rPr>
      </w:pPr>
    </w:p>
    <w:p w14:paraId="444896E0">
      <w:pPr>
        <w:spacing w:line="520" w:lineRule="exact"/>
        <w:rPr>
          <w:rFonts w:ascii="宋体" w:hAnsi="宋体"/>
          <w:b/>
          <w:kern w:val="0"/>
          <w:sz w:val="44"/>
          <w:szCs w:val="44"/>
          <w:highlight w:val="none"/>
        </w:rPr>
      </w:pPr>
    </w:p>
    <w:p w14:paraId="21A07A1C">
      <w:pPr>
        <w:spacing w:line="360" w:lineRule="exact"/>
        <w:jc w:val="right"/>
        <w:rPr>
          <w:rFonts w:ascii="宋体" w:hAnsi="宋体" w:cs="宋体"/>
          <w:b/>
          <w:bCs/>
          <w:sz w:val="30"/>
          <w:szCs w:val="30"/>
          <w:highlight w:val="none"/>
        </w:rPr>
      </w:pPr>
    </w:p>
    <w:p w14:paraId="5924BE7B">
      <w:pPr>
        <w:pStyle w:val="5"/>
        <w:spacing w:line="480" w:lineRule="exact"/>
        <w:jc w:val="center"/>
        <w:rPr>
          <w:rFonts w:ascii="宋体" w:hAnsi="宋体"/>
          <w:b/>
          <w:sz w:val="32"/>
          <w:szCs w:val="36"/>
          <w:highlight w:val="none"/>
        </w:rPr>
      </w:pPr>
      <w:r>
        <w:rPr>
          <w:rFonts w:hAnsi="宋体" w:cs="宋体"/>
          <w:b/>
          <w:sz w:val="44"/>
          <w:szCs w:val="44"/>
          <w:highlight w:val="none"/>
        </w:rPr>
        <w:br w:type="page"/>
      </w:r>
      <w:r>
        <w:rPr>
          <w:rFonts w:hint="eastAsia" w:ascii="宋体" w:hAnsi="宋体"/>
          <w:b/>
          <w:sz w:val="32"/>
          <w:szCs w:val="36"/>
          <w:highlight w:val="none"/>
        </w:rPr>
        <w:t>投标偏离表</w:t>
      </w:r>
    </w:p>
    <w:p w14:paraId="7753E96A">
      <w:pPr>
        <w:spacing w:line="360" w:lineRule="exact"/>
        <w:jc w:val="center"/>
        <w:rPr>
          <w:rFonts w:ascii="宋体" w:hAnsi="宋体" w:cs="宋体"/>
          <w:b/>
          <w:bCs/>
          <w:sz w:val="24"/>
          <w:highlight w:val="none"/>
        </w:rPr>
      </w:pPr>
    </w:p>
    <w:p w14:paraId="3147E55A">
      <w:pPr>
        <w:spacing w:line="360" w:lineRule="exact"/>
        <w:jc w:val="center"/>
        <w:rPr>
          <w:rFonts w:ascii="宋体" w:hAnsi="宋体" w:cs="宋体"/>
          <w:bCs/>
          <w:sz w:val="24"/>
          <w:highlight w:val="none"/>
        </w:rPr>
      </w:pPr>
      <w:r>
        <w:rPr>
          <w:rFonts w:hint="eastAsia" w:ascii="宋体" w:hAnsi="宋体" w:cs="宋体"/>
          <w:bCs/>
          <w:sz w:val="24"/>
          <w:highlight w:val="none"/>
        </w:rPr>
        <w:t>（包括技术规格、参数和商务条款偏离）</w:t>
      </w:r>
    </w:p>
    <w:p w14:paraId="060C508D">
      <w:pPr>
        <w:spacing w:line="360" w:lineRule="exact"/>
        <w:jc w:val="center"/>
        <w:rPr>
          <w:rFonts w:ascii="宋体" w:hAnsi="宋体" w:cs="宋体"/>
          <w:bCs/>
          <w:sz w:val="24"/>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1236"/>
        <w:gridCol w:w="3465"/>
        <w:gridCol w:w="1236"/>
        <w:gridCol w:w="3360"/>
      </w:tblGrid>
      <w:tr w14:paraId="59C7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jc w:val="center"/>
        </w:trPr>
        <w:tc>
          <w:tcPr>
            <w:tcW w:w="468" w:type="dxa"/>
            <w:vMerge w:val="restart"/>
          </w:tcPr>
          <w:p w14:paraId="0B808C85">
            <w:pPr>
              <w:pStyle w:val="9"/>
              <w:spacing w:line="400" w:lineRule="exact"/>
              <w:rPr>
                <w:rFonts w:hAnsi="宋体" w:cs="宋体"/>
                <w:sz w:val="24"/>
                <w:szCs w:val="24"/>
                <w:highlight w:val="none"/>
              </w:rPr>
            </w:pPr>
            <w:r>
              <w:rPr>
                <w:rFonts w:hint="eastAsia" w:hAnsi="宋体" w:cs="宋体"/>
                <w:sz w:val="24"/>
                <w:szCs w:val="24"/>
                <w:highlight w:val="none"/>
              </w:rPr>
              <w:t>序号</w:t>
            </w:r>
          </w:p>
        </w:tc>
        <w:tc>
          <w:tcPr>
            <w:tcW w:w="4701" w:type="dxa"/>
            <w:gridSpan w:val="2"/>
          </w:tcPr>
          <w:p w14:paraId="055A59A6">
            <w:pPr>
              <w:pStyle w:val="9"/>
              <w:spacing w:line="400" w:lineRule="exact"/>
              <w:rPr>
                <w:rFonts w:hAnsi="宋体" w:cs="宋体"/>
                <w:sz w:val="24"/>
                <w:szCs w:val="24"/>
                <w:highlight w:val="none"/>
              </w:rPr>
            </w:pPr>
            <w:r>
              <w:rPr>
                <w:rFonts w:hint="eastAsia" w:hAnsi="宋体" w:cs="宋体"/>
                <w:sz w:val="24"/>
                <w:szCs w:val="24"/>
                <w:highlight w:val="none"/>
              </w:rPr>
              <w:t xml:space="preserve">         招标文件条款</w:t>
            </w:r>
          </w:p>
        </w:tc>
        <w:tc>
          <w:tcPr>
            <w:tcW w:w="4596" w:type="dxa"/>
            <w:gridSpan w:val="2"/>
          </w:tcPr>
          <w:p w14:paraId="2EB69790">
            <w:pPr>
              <w:pStyle w:val="9"/>
              <w:spacing w:line="400" w:lineRule="exact"/>
              <w:rPr>
                <w:rFonts w:hAnsi="宋体" w:cs="宋体"/>
                <w:sz w:val="24"/>
                <w:szCs w:val="24"/>
                <w:highlight w:val="none"/>
              </w:rPr>
            </w:pPr>
            <w:r>
              <w:rPr>
                <w:rFonts w:hint="eastAsia" w:hAnsi="宋体" w:cs="宋体"/>
                <w:sz w:val="24"/>
                <w:szCs w:val="24"/>
                <w:highlight w:val="none"/>
              </w:rPr>
              <w:t xml:space="preserve">       投标文件条款</w:t>
            </w:r>
          </w:p>
        </w:tc>
      </w:tr>
      <w:tr w14:paraId="1D3E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468" w:type="dxa"/>
            <w:vMerge w:val="continue"/>
          </w:tcPr>
          <w:p w14:paraId="1496302A">
            <w:pPr>
              <w:pStyle w:val="9"/>
              <w:spacing w:line="400" w:lineRule="exact"/>
              <w:rPr>
                <w:rFonts w:hAnsi="宋体" w:cs="宋体"/>
                <w:sz w:val="24"/>
                <w:szCs w:val="24"/>
                <w:highlight w:val="none"/>
              </w:rPr>
            </w:pPr>
          </w:p>
        </w:tc>
        <w:tc>
          <w:tcPr>
            <w:tcW w:w="1236" w:type="dxa"/>
          </w:tcPr>
          <w:p w14:paraId="7C8CD71D">
            <w:pPr>
              <w:pStyle w:val="9"/>
              <w:spacing w:line="400" w:lineRule="exact"/>
              <w:jc w:val="center"/>
              <w:rPr>
                <w:rFonts w:hAnsi="宋体" w:cs="宋体"/>
                <w:sz w:val="24"/>
                <w:szCs w:val="24"/>
                <w:highlight w:val="none"/>
              </w:rPr>
            </w:pPr>
            <w:r>
              <w:rPr>
                <w:rFonts w:hint="eastAsia" w:hAnsi="宋体" w:cs="宋体"/>
                <w:sz w:val="24"/>
                <w:szCs w:val="24"/>
                <w:highlight w:val="none"/>
              </w:rPr>
              <w:t>条款号</w:t>
            </w:r>
          </w:p>
        </w:tc>
        <w:tc>
          <w:tcPr>
            <w:tcW w:w="3465" w:type="dxa"/>
          </w:tcPr>
          <w:p w14:paraId="198BB107">
            <w:pPr>
              <w:pStyle w:val="9"/>
              <w:spacing w:line="400" w:lineRule="exact"/>
              <w:jc w:val="center"/>
              <w:rPr>
                <w:rFonts w:hAnsi="宋体" w:cs="宋体"/>
                <w:sz w:val="24"/>
                <w:szCs w:val="24"/>
                <w:highlight w:val="none"/>
              </w:rPr>
            </w:pPr>
            <w:r>
              <w:rPr>
                <w:rFonts w:hint="eastAsia" w:hAnsi="宋体" w:cs="宋体"/>
                <w:sz w:val="24"/>
                <w:szCs w:val="24"/>
                <w:highlight w:val="none"/>
              </w:rPr>
              <w:t>招标文件的内容</w:t>
            </w:r>
          </w:p>
        </w:tc>
        <w:tc>
          <w:tcPr>
            <w:tcW w:w="1236" w:type="dxa"/>
          </w:tcPr>
          <w:p w14:paraId="34570538">
            <w:pPr>
              <w:pStyle w:val="9"/>
              <w:spacing w:line="400" w:lineRule="exact"/>
              <w:jc w:val="center"/>
              <w:rPr>
                <w:rFonts w:hAnsi="宋体" w:cs="宋体"/>
                <w:sz w:val="24"/>
                <w:szCs w:val="24"/>
                <w:highlight w:val="none"/>
              </w:rPr>
            </w:pPr>
            <w:r>
              <w:rPr>
                <w:rFonts w:hint="eastAsia" w:hAnsi="宋体" w:cs="宋体"/>
                <w:sz w:val="24"/>
                <w:szCs w:val="24"/>
                <w:highlight w:val="none"/>
              </w:rPr>
              <w:t>条款号</w:t>
            </w:r>
          </w:p>
        </w:tc>
        <w:tc>
          <w:tcPr>
            <w:tcW w:w="3360" w:type="dxa"/>
          </w:tcPr>
          <w:p w14:paraId="42C04C48">
            <w:pPr>
              <w:pStyle w:val="9"/>
              <w:spacing w:line="400" w:lineRule="exact"/>
              <w:jc w:val="center"/>
              <w:rPr>
                <w:rFonts w:hAnsi="宋体" w:cs="宋体"/>
                <w:sz w:val="24"/>
                <w:szCs w:val="24"/>
                <w:highlight w:val="none"/>
              </w:rPr>
            </w:pPr>
            <w:r>
              <w:rPr>
                <w:rFonts w:hint="eastAsia" w:hAnsi="宋体" w:cs="宋体"/>
                <w:sz w:val="24"/>
                <w:szCs w:val="24"/>
                <w:highlight w:val="none"/>
              </w:rPr>
              <w:t>投标文件偏离内容</w:t>
            </w:r>
          </w:p>
        </w:tc>
      </w:tr>
      <w:tr w14:paraId="7E90F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tcPr>
          <w:p w14:paraId="7BE10445">
            <w:pPr>
              <w:pStyle w:val="9"/>
              <w:spacing w:line="400" w:lineRule="exact"/>
              <w:rPr>
                <w:rFonts w:hAnsi="宋体" w:cs="宋体"/>
                <w:sz w:val="24"/>
                <w:szCs w:val="24"/>
                <w:highlight w:val="none"/>
              </w:rPr>
            </w:pPr>
          </w:p>
        </w:tc>
        <w:tc>
          <w:tcPr>
            <w:tcW w:w="1236" w:type="dxa"/>
          </w:tcPr>
          <w:p w14:paraId="6A1DD097">
            <w:pPr>
              <w:pStyle w:val="9"/>
              <w:spacing w:line="400" w:lineRule="exact"/>
              <w:rPr>
                <w:rFonts w:hAnsi="宋体" w:cs="宋体"/>
                <w:sz w:val="24"/>
                <w:szCs w:val="24"/>
                <w:highlight w:val="none"/>
              </w:rPr>
            </w:pPr>
          </w:p>
        </w:tc>
        <w:tc>
          <w:tcPr>
            <w:tcW w:w="3465" w:type="dxa"/>
          </w:tcPr>
          <w:p w14:paraId="6807F667">
            <w:pPr>
              <w:pStyle w:val="9"/>
              <w:spacing w:line="400" w:lineRule="exact"/>
              <w:rPr>
                <w:rFonts w:hAnsi="宋体" w:cs="宋体"/>
                <w:sz w:val="24"/>
                <w:szCs w:val="24"/>
                <w:highlight w:val="none"/>
              </w:rPr>
            </w:pPr>
          </w:p>
        </w:tc>
        <w:tc>
          <w:tcPr>
            <w:tcW w:w="1236" w:type="dxa"/>
          </w:tcPr>
          <w:p w14:paraId="4003461B">
            <w:pPr>
              <w:pStyle w:val="9"/>
              <w:spacing w:line="400" w:lineRule="exact"/>
              <w:rPr>
                <w:rFonts w:hAnsi="宋体" w:cs="宋体"/>
                <w:sz w:val="24"/>
                <w:szCs w:val="24"/>
                <w:highlight w:val="none"/>
              </w:rPr>
            </w:pPr>
          </w:p>
        </w:tc>
        <w:tc>
          <w:tcPr>
            <w:tcW w:w="3360" w:type="dxa"/>
          </w:tcPr>
          <w:p w14:paraId="67B51CE0">
            <w:pPr>
              <w:pStyle w:val="9"/>
              <w:spacing w:line="400" w:lineRule="exact"/>
              <w:rPr>
                <w:rFonts w:hAnsi="宋体" w:cs="宋体"/>
                <w:sz w:val="24"/>
                <w:szCs w:val="24"/>
                <w:highlight w:val="none"/>
              </w:rPr>
            </w:pPr>
          </w:p>
        </w:tc>
      </w:tr>
      <w:tr w14:paraId="3262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tcPr>
          <w:p w14:paraId="449C1B1A">
            <w:pPr>
              <w:pStyle w:val="9"/>
              <w:spacing w:line="400" w:lineRule="exact"/>
              <w:rPr>
                <w:rFonts w:hAnsi="宋体" w:cs="宋体"/>
                <w:sz w:val="24"/>
                <w:szCs w:val="24"/>
                <w:highlight w:val="none"/>
              </w:rPr>
            </w:pPr>
          </w:p>
        </w:tc>
        <w:tc>
          <w:tcPr>
            <w:tcW w:w="1236" w:type="dxa"/>
          </w:tcPr>
          <w:p w14:paraId="2E94680B">
            <w:pPr>
              <w:pStyle w:val="9"/>
              <w:spacing w:line="400" w:lineRule="exact"/>
              <w:rPr>
                <w:rFonts w:hAnsi="宋体" w:cs="宋体"/>
                <w:sz w:val="24"/>
                <w:szCs w:val="24"/>
                <w:highlight w:val="none"/>
              </w:rPr>
            </w:pPr>
          </w:p>
        </w:tc>
        <w:tc>
          <w:tcPr>
            <w:tcW w:w="3465" w:type="dxa"/>
          </w:tcPr>
          <w:p w14:paraId="0D97B16C">
            <w:pPr>
              <w:pStyle w:val="9"/>
              <w:spacing w:line="400" w:lineRule="exact"/>
              <w:rPr>
                <w:rFonts w:hAnsi="宋体" w:cs="宋体"/>
                <w:sz w:val="24"/>
                <w:szCs w:val="24"/>
                <w:highlight w:val="none"/>
              </w:rPr>
            </w:pPr>
          </w:p>
        </w:tc>
        <w:tc>
          <w:tcPr>
            <w:tcW w:w="1236" w:type="dxa"/>
          </w:tcPr>
          <w:p w14:paraId="4DA34DFA">
            <w:pPr>
              <w:pStyle w:val="9"/>
              <w:spacing w:line="400" w:lineRule="exact"/>
              <w:rPr>
                <w:rFonts w:hAnsi="宋体" w:cs="宋体"/>
                <w:sz w:val="24"/>
                <w:szCs w:val="24"/>
                <w:highlight w:val="none"/>
              </w:rPr>
            </w:pPr>
          </w:p>
        </w:tc>
        <w:tc>
          <w:tcPr>
            <w:tcW w:w="3360" w:type="dxa"/>
          </w:tcPr>
          <w:p w14:paraId="0E19EF5B">
            <w:pPr>
              <w:pStyle w:val="9"/>
              <w:spacing w:line="400" w:lineRule="exact"/>
              <w:rPr>
                <w:rFonts w:hAnsi="宋体" w:cs="宋体"/>
                <w:sz w:val="24"/>
                <w:szCs w:val="24"/>
                <w:highlight w:val="none"/>
              </w:rPr>
            </w:pPr>
          </w:p>
        </w:tc>
      </w:tr>
      <w:tr w14:paraId="5456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tcPr>
          <w:p w14:paraId="356691D3">
            <w:pPr>
              <w:pStyle w:val="9"/>
              <w:spacing w:line="400" w:lineRule="exact"/>
              <w:rPr>
                <w:rFonts w:hAnsi="宋体" w:cs="宋体"/>
                <w:sz w:val="24"/>
                <w:szCs w:val="24"/>
                <w:highlight w:val="none"/>
              </w:rPr>
            </w:pPr>
          </w:p>
        </w:tc>
        <w:tc>
          <w:tcPr>
            <w:tcW w:w="1236" w:type="dxa"/>
          </w:tcPr>
          <w:p w14:paraId="5950925D">
            <w:pPr>
              <w:pStyle w:val="9"/>
              <w:spacing w:line="400" w:lineRule="exact"/>
              <w:rPr>
                <w:rFonts w:hAnsi="宋体" w:cs="宋体"/>
                <w:sz w:val="24"/>
                <w:szCs w:val="24"/>
                <w:highlight w:val="none"/>
              </w:rPr>
            </w:pPr>
          </w:p>
        </w:tc>
        <w:tc>
          <w:tcPr>
            <w:tcW w:w="3465" w:type="dxa"/>
          </w:tcPr>
          <w:p w14:paraId="7DF67D93">
            <w:pPr>
              <w:pStyle w:val="9"/>
              <w:spacing w:line="400" w:lineRule="exact"/>
              <w:rPr>
                <w:rFonts w:hAnsi="宋体" w:cs="宋体"/>
                <w:sz w:val="24"/>
                <w:szCs w:val="24"/>
                <w:highlight w:val="none"/>
              </w:rPr>
            </w:pPr>
          </w:p>
        </w:tc>
        <w:tc>
          <w:tcPr>
            <w:tcW w:w="1236" w:type="dxa"/>
          </w:tcPr>
          <w:p w14:paraId="1EB600B0">
            <w:pPr>
              <w:pStyle w:val="9"/>
              <w:spacing w:line="400" w:lineRule="exact"/>
              <w:rPr>
                <w:rFonts w:hAnsi="宋体" w:cs="宋体"/>
                <w:sz w:val="24"/>
                <w:szCs w:val="24"/>
                <w:highlight w:val="none"/>
              </w:rPr>
            </w:pPr>
          </w:p>
        </w:tc>
        <w:tc>
          <w:tcPr>
            <w:tcW w:w="3360" w:type="dxa"/>
          </w:tcPr>
          <w:p w14:paraId="5CF8B685">
            <w:pPr>
              <w:pStyle w:val="9"/>
              <w:spacing w:line="400" w:lineRule="exact"/>
              <w:rPr>
                <w:rFonts w:hAnsi="宋体" w:cs="宋体"/>
                <w:sz w:val="24"/>
                <w:szCs w:val="24"/>
                <w:highlight w:val="none"/>
              </w:rPr>
            </w:pPr>
          </w:p>
        </w:tc>
      </w:tr>
      <w:tr w14:paraId="5E6DE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tcPr>
          <w:p w14:paraId="2A0BD4F6">
            <w:pPr>
              <w:pStyle w:val="9"/>
              <w:spacing w:line="400" w:lineRule="exact"/>
              <w:rPr>
                <w:rFonts w:hAnsi="宋体" w:cs="宋体"/>
                <w:sz w:val="24"/>
                <w:szCs w:val="24"/>
                <w:highlight w:val="none"/>
              </w:rPr>
            </w:pPr>
          </w:p>
        </w:tc>
        <w:tc>
          <w:tcPr>
            <w:tcW w:w="1236" w:type="dxa"/>
          </w:tcPr>
          <w:p w14:paraId="1AFC3AD1">
            <w:pPr>
              <w:pStyle w:val="9"/>
              <w:spacing w:line="400" w:lineRule="exact"/>
              <w:rPr>
                <w:rFonts w:hAnsi="宋体" w:cs="宋体"/>
                <w:sz w:val="24"/>
                <w:szCs w:val="24"/>
                <w:highlight w:val="none"/>
              </w:rPr>
            </w:pPr>
          </w:p>
        </w:tc>
        <w:tc>
          <w:tcPr>
            <w:tcW w:w="3465" w:type="dxa"/>
          </w:tcPr>
          <w:p w14:paraId="1D6583C9">
            <w:pPr>
              <w:pStyle w:val="9"/>
              <w:spacing w:line="400" w:lineRule="exact"/>
              <w:rPr>
                <w:rFonts w:hAnsi="宋体" w:cs="宋体"/>
                <w:sz w:val="24"/>
                <w:szCs w:val="24"/>
                <w:highlight w:val="none"/>
              </w:rPr>
            </w:pPr>
          </w:p>
        </w:tc>
        <w:tc>
          <w:tcPr>
            <w:tcW w:w="1236" w:type="dxa"/>
          </w:tcPr>
          <w:p w14:paraId="4ED18858">
            <w:pPr>
              <w:pStyle w:val="9"/>
              <w:spacing w:line="400" w:lineRule="exact"/>
              <w:rPr>
                <w:rFonts w:hAnsi="宋体" w:cs="宋体"/>
                <w:sz w:val="24"/>
                <w:szCs w:val="24"/>
                <w:highlight w:val="none"/>
              </w:rPr>
            </w:pPr>
          </w:p>
        </w:tc>
        <w:tc>
          <w:tcPr>
            <w:tcW w:w="3360" w:type="dxa"/>
          </w:tcPr>
          <w:p w14:paraId="631582B4">
            <w:pPr>
              <w:pStyle w:val="9"/>
              <w:spacing w:line="400" w:lineRule="exact"/>
              <w:rPr>
                <w:rFonts w:hAnsi="宋体" w:cs="宋体"/>
                <w:sz w:val="24"/>
                <w:szCs w:val="24"/>
                <w:highlight w:val="none"/>
              </w:rPr>
            </w:pPr>
          </w:p>
        </w:tc>
      </w:tr>
      <w:tr w14:paraId="021B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68" w:type="dxa"/>
          </w:tcPr>
          <w:p w14:paraId="375D9B96">
            <w:pPr>
              <w:pStyle w:val="9"/>
              <w:spacing w:line="400" w:lineRule="exact"/>
              <w:rPr>
                <w:rFonts w:hAnsi="宋体" w:cs="宋体"/>
                <w:sz w:val="24"/>
                <w:szCs w:val="24"/>
                <w:highlight w:val="none"/>
              </w:rPr>
            </w:pPr>
          </w:p>
        </w:tc>
        <w:tc>
          <w:tcPr>
            <w:tcW w:w="1236" w:type="dxa"/>
          </w:tcPr>
          <w:p w14:paraId="6F5D8CDF">
            <w:pPr>
              <w:pStyle w:val="9"/>
              <w:spacing w:line="400" w:lineRule="exact"/>
              <w:rPr>
                <w:rFonts w:hAnsi="宋体" w:cs="宋体"/>
                <w:sz w:val="24"/>
                <w:szCs w:val="24"/>
                <w:highlight w:val="none"/>
              </w:rPr>
            </w:pPr>
          </w:p>
        </w:tc>
        <w:tc>
          <w:tcPr>
            <w:tcW w:w="3465" w:type="dxa"/>
          </w:tcPr>
          <w:p w14:paraId="6E433BBF">
            <w:pPr>
              <w:pStyle w:val="9"/>
              <w:spacing w:line="400" w:lineRule="exact"/>
              <w:rPr>
                <w:rFonts w:hAnsi="宋体" w:cs="宋体"/>
                <w:sz w:val="24"/>
                <w:szCs w:val="24"/>
                <w:highlight w:val="none"/>
              </w:rPr>
            </w:pPr>
          </w:p>
        </w:tc>
        <w:tc>
          <w:tcPr>
            <w:tcW w:w="1236" w:type="dxa"/>
          </w:tcPr>
          <w:p w14:paraId="09A999D9">
            <w:pPr>
              <w:pStyle w:val="9"/>
              <w:spacing w:line="400" w:lineRule="exact"/>
              <w:rPr>
                <w:rFonts w:hAnsi="宋体" w:cs="宋体"/>
                <w:sz w:val="24"/>
                <w:szCs w:val="24"/>
                <w:highlight w:val="none"/>
              </w:rPr>
            </w:pPr>
          </w:p>
        </w:tc>
        <w:tc>
          <w:tcPr>
            <w:tcW w:w="3360" w:type="dxa"/>
          </w:tcPr>
          <w:p w14:paraId="5359CF10">
            <w:pPr>
              <w:pStyle w:val="9"/>
              <w:spacing w:line="400" w:lineRule="exact"/>
              <w:rPr>
                <w:rFonts w:hAnsi="宋体" w:cs="宋体"/>
                <w:sz w:val="24"/>
                <w:szCs w:val="24"/>
                <w:highlight w:val="none"/>
              </w:rPr>
            </w:pPr>
          </w:p>
        </w:tc>
      </w:tr>
      <w:tr w14:paraId="3B5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68" w:type="dxa"/>
          </w:tcPr>
          <w:p w14:paraId="39CF3D8C">
            <w:pPr>
              <w:pStyle w:val="9"/>
              <w:spacing w:line="400" w:lineRule="exact"/>
              <w:rPr>
                <w:rFonts w:hAnsi="宋体" w:cs="宋体"/>
                <w:sz w:val="24"/>
                <w:szCs w:val="24"/>
                <w:highlight w:val="none"/>
              </w:rPr>
            </w:pPr>
          </w:p>
        </w:tc>
        <w:tc>
          <w:tcPr>
            <w:tcW w:w="1236" w:type="dxa"/>
          </w:tcPr>
          <w:p w14:paraId="069FCC18">
            <w:pPr>
              <w:pStyle w:val="9"/>
              <w:spacing w:line="400" w:lineRule="exact"/>
              <w:rPr>
                <w:rFonts w:hAnsi="宋体" w:cs="宋体"/>
                <w:sz w:val="24"/>
                <w:szCs w:val="24"/>
                <w:highlight w:val="none"/>
              </w:rPr>
            </w:pPr>
          </w:p>
        </w:tc>
        <w:tc>
          <w:tcPr>
            <w:tcW w:w="3465" w:type="dxa"/>
          </w:tcPr>
          <w:p w14:paraId="7CA0AC2F">
            <w:pPr>
              <w:pStyle w:val="9"/>
              <w:spacing w:line="400" w:lineRule="exact"/>
              <w:rPr>
                <w:rFonts w:hAnsi="宋体" w:cs="宋体"/>
                <w:sz w:val="24"/>
                <w:szCs w:val="24"/>
                <w:highlight w:val="none"/>
              </w:rPr>
            </w:pPr>
          </w:p>
        </w:tc>
        <w:tc>
          <w:tcPr>
            <w:tcW w:w="1236" w:type="dxa"/>
          </w:tcPr>
          <w:p w14:paraId="1B34ABF8">
            <w:pPr>
              <w:pStyle w:val="9"/>
              <w:spacing w:line="400" w:lineRule="exact"/>
              <w:rPr>
                <w:rFonts w:hAnsi="宋体" w:cs="宋体"/>
                <w:sz w:val="24"/>
                <w:szCs w:val="24"/>
                <w:highlight w:val="none"/>
              </w:rPr>
            </w:pPr>
          </w:p>
        </w:tc>
        <w:tc>
          <w:tcPr>
            <w:tcW w:w="3360" w:type="dxa"/>
          </w:tcPr>
          <w:p w14:paraId="6462A719">
            <w:pPr>
              <w:pStyle w:val="9"/>
              <w:spacing w:line="400" w:lineRule="exact"/>
              <w:rPr>
                <w:rFonts w:hAnsi="宋体" w:cs="宋体"/>
                <w:sz w:val="24"/>
                <w:szCs w:val="24"/>
                <w:highlight w:val="none"/>
              </w:rPr>
            </w:pPr>
          </w:p>
        </w:tc>
      </w:tr>
      <w:tr w14:paraId="3804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8" w:type="dxa"/>
          </w:tcPr>
          <w:p w14:paraId="69F2C757">
            <w:pPr>
              <w:pStyle w:val="9"/>
              <w:spacing w:line="400" w:lineRule="exact"/>
              <w:rPr>
                <w:rFonts w:hAnsi="宋体" w:cs="宋体"/>
                <w:sz w:val="24"/>
                <w:szCs w:val="24"/>
                <w:highlight w:val="none"/>
              </w:rPr>
            </w:pPr>
          </w:p>
        </w:tc>
        <w:tc>
          <w:tcPr>
            <w:tcW w:w="1236" w:type="dxa"/>
          </w:tcPr>
          <w:p w14:paraId="74F00CA4">
            <w:pPr>
              <w:pStyle w:val="9"/>
              <w:spacing w:line="400" w:lineRule="exact"/>
              <w:rPr>
                <w:rFonts w:hAnsi="宋体" w:cs="宋体"/>
                <w:sz w:val="24"/>
                <w:szCs w:val="24"/>
                <w:highlight w:val="none"/>
              </w:rPr>
            </w:pPr>
          </w:p>
        </w:tc>
        <w:tc>
          <w:tcPr>
            <w:tcW w:w="3465" w:type="dxa"/>
          </w:tcPr>
          <w:p w14:paraId="346367E4">
            <w:pPr>
              <w:pStyle w:val="9"/>
              <w:spacing w:line="400" w:lineRule="exact"/>
              <w:rPr>
                <w:rFonts w:hAnsi="宋体" w:cs="宋体"/>
                <w:sz w:val="24"/>
                <w:szCs w:val="24"/>
                <w:highlight w:val="none"/>
              </w:rPr>
            </w:pPr>
          </w:p>
        </w:tc>
        <w:tc>
          <w:tcPr>
            <w:tcW w:w="1236" w:type="dxa"/>
          </w:tcPr>
          <w:p w14:paraId="5F80C809">
            <w:pPr>
              <w:pStyle w:val="9"/>
              <w:spacing w:line="400" w:lineRule="exact"/>
              <w:rPr>
                <w:rFonts w:hAnsi="宋体" w:cs="宋体"/>
                <w:sz w:val="24"/>
                <w:szCs w:val="24"/>
                <w:highlight w:val="none"/>
              </w:rPr>
            </w:pPr>
          </w:p>
        </w:tc>
        <w:tc>
          <w:tcPr>
            <w:tcW w:w="3360" w:type="dxa"/>
          </w:tcPr>
          <w:p w14:paraId="1B5EE48B">
            <w:pPr>
              <w:pStyle w:val="9"/>
              <w:spacing w:line="400" w:lineRule="exact"/>
              <w:rPr>
                <w:rFonts w:hAnsi="宋体" w:cs="宋体"/>
                <w:sz w:val="24"/>
                <w:szCs w:val="24"/>
                <w:highlight w:val="none"/>
              </w:rPr>
            </w:pPr>
          </w:p>
        </w:tc>
      </w:tr>
      <w:tr w14:paraId="03A7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468" w:type="dxa"/>
          </w:tcPr>
          <w:p w14:paraId="57E674C5">
            <w:pPr>
              <w:pStyle w:val="9"/>
              <w:spacing w:line="400" w:lineRule="exact"/>
              <w:rPr>
                <w:rFonts w:hAnsi="宋体" w:cs="宋体"/>
                <w:sz w:val="24"/>
                <w:szCs w:val="24"/>
                <w:highlight w:val="none"/>
              </w:rPr>
            </w:pPr>
          </w:p>
        </w:tc>
        <w:tc>
          <w:tcPr>
            <w:tcW w:w="1236" w:type="dxa"/>
          </w:tcPr>
          <w:p w14:paraId="0C383568">
            <w:pPr>
              <w:pStyle w:val="9"/>
              <w:spacing w:line="400" w:lineRule="exact"/>
              <w:rPr>
                <w:rFonts w:hAnsi="宋体" w:cs="宋体"/>
                <w:sz w:val="24"/>
                <w:szCs w:val="24"/>
                <w:highlight w:val="none"/>
              </w:rPr>
            </w:pPr>
          </w:p>
        </w:tc>
        <w:tc>
          <w:tcPr>
            <w:tcW w:w="3465" w:type="dxa"/>
          </w:tcPr>
          <w:p w14:paraId="05D457B7">
            <w:pPr>
              <w:pStyle w:val="9"/>
              <w:spacing w:line="400" w:lineRule="exact"/>
              <w:rPr>
                <w:rFonts w:hAnsi="宋体" w:cs="宋体"/>
                <w:sz w:val="24"/>
                <w:szCs w:val="24"/>
                <w:highlight w:val="none"/>
              </w:rPr>
            </w:pPr>
          </w:p>
        </w:tc>
        <w:tc>
          <w:tcPr>
            <w:tcW w:w="1236" w:type="dxa"/>
          </w:tcPr>
          <w:p w14:paraId="5F5167DB">
            <w:pPr>
              <w:pStyle w:val="9"/>
              <w:spacing w:line="400" w:lineRule="exact"/>
              <w:rPr>
                <w:rFonts w:hAnsi="宋体" w:cs="宋体"/>
                <w:sz w:val="24"/>
                <w:szCs w:val="24"/>
                <w:highlight w:val="none"/>
              </w:rPr>
            </w:pPr>
          </w:p>
        </w:tc>
        <w:tc>
          <w:tcPr>
            <w:tcW w:w="3360" w:type="dxa"/>
          </w:tcPr>
          <w:p w14:paraId="5A907292">
            <w:pPr>
              <w:pStyle w:val="9"/>
              <w:spacing w:line="400" w:lineRule="exact"/>
              <w:rPr>
                <w:rFonts w:hAnsi="宋体" w:cs="宋体"/>
                <w:sz w:val="24"/>
                <w:szCs w:val="24"/>
                <w:highlight w:val="none"/>
              </w:rPr>
            </w:pPr>
          </w:p>
        </w:tc>
      </w:tr>
      <w:tr w14:paraId="3012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68" w:type="dxa"/>
          </w:tcPr>
          <w:p w14:paraId="73A8F3AE">
            <w:pPr>
              <w:pStyle w:val="9"/>
              <w:spacing w:line="400" w:lineRule="exact"/>
              <w:rPr>
                <w:rFonts w:hAnsi="宋体" w:cs="宋体"/>
                <w:sz w:val="24"/>
                <w:szCs w:val="24"/>
                <w:highlight w:val="none"/>
              </w:rPr>
            </w:pPr>
          </w:p>
          <w:p w14:paraId="7238EA9D">
            <w:pPr>
              <w:pStyle w:val="9"/>
              <w:spacing w:line="400" w:lineRule="exact"/>
              <w:rPr>
                <w:rFonts w:hAnsi="宋体" w:cs="宋体"/>
                <w:sz w:val="24"/>
                <w:szCs w:val="24"/>
                <w:highlight w:val="none"/>
              </w:rPr>
            </w:pPr>
          </w:p>
        </w:tc>
        <w:tc>
          <w:tcPr>
            <w:tcW w:w="1236" w:type="dxa"/>
          </w:tcPr>
          <w:p w14:paraId="5498EC05">
            <w:pPr>
              <w:pStyle w:val="9"/>
              <w:spacing w:line="400" w:lineRule="exact"/>
              <w:rPr>
                <w:rFonts w:hAnsi="宋体" w:cs="宋体"/>
                <w:sz w:val="24"/>
                <w:szCs w:val="24"/>
                <w:highlight w:val="none"/>
              </w:rPr>
            </w:pPr>
          </w:p>
        </w:tc>
        <w:tc>
          <w:tcPr>
            <w:tcW w:w="3465" w:type="dxa"/>
          </w:tcPr>
          <w:p w14:paraId="399339AA">
            <w:pPr>
              <w:pStyle w:val="9"/>
              <w:spacing w:line="400" w:lineRule="exact"/>
              <w:rPr>
                <w:rFonts w:hAnsi="宋体" w:cs="宋体"/>
                <w:sz w:val="24"/>
                <w:szCs w:val="24"/>
                <w:highlight w:val="none"/>
              </w:rPr>
            </w:pPr>
          </w:p>
        </w:tc>
        <w:tc>
          <w:tcPr>
            <w:tcW w:w="1236" w:type="dxa"/>
          </w:tcPr>
          <w:p w14:paraId="0386947C">
            <w:pPr>
              <w:pStyle w:val="9"/>
              <w:spacing w:line="400" w:lineRule="exact"/>
              <w:rPr>
                <w:rFonts w:hAnsi="宋体" w:cs="宋体"/>
                <w:sz w:val="24"/>
                <w:szCs w:val="24"/>
                <w:highlight w:val="none"/>
              </w:rPr>
            </w:pPr>
          </w:p>
        </w:tc>
        <w:tc>
          <w:tcPr>
            <w:tcW w:w="3360" w:type="dxa"/>
          </w:tcPr>
          <w:p w14:paraId="5FF9981B">
            <w:pPr>
              <w:pStyle w:val="9"/>
              <w:spacing w:line="400" w:lineRule="exact"/>
              <w:rPr>
                <w:rFonts w:hAnsi="宋体" w:cs="宋体"/>
                <w:sz w:val="24"/>
                <w:szCs w:val="24"/>
                <w:highlight w:val="none"/>
              </w:rPr>
            </w:pPr>
          </w:p>
        </w:tc>
      </w:tr>
    </w:tbl>
    <w:p w14:paraId="2D265126">
      <w:pPr>
        <w:pStyle w:val="9"/>
        <w:spacing w:line="400" w:lineRule="exact"/>
        <w:rPr>
          <w:rFonts w:hAnsi="宋体" w:cs="宋体"/>
          <w:sz w:val="24"/>
          <w:szCs w:val="24"/>
          <w:highlight w:val="none"/>
        </w:rPr>
      </w:pPr>
      <w:r>
        <w:rPr>
          <w:rFonts w:hint="eastAsia" w:hAnsi="宋体" w:cs="宋体"/>
          <w:sz w:val="24"/>
          <w:szCs w:val="24"/>
          <w:highlight w:val="none"/>
        </w:rPr>
        <w:t>注：无偏离可填写“无”字，有偏离必须在本表列明，实际存在负偏离而在本表内没有列明的，视为虚假投标。</w:t>
      </w:r>
    </w:p>
    <w:p w14:paraId="4A118A00">
      <w:pPr>
        <w:spacing w:line="360" w:lineRule="exact"/>
        <w:ind w:firstLine="4900" w:firstLineChars="1750"/>
        <w:rPr>
          <w:rFonts w:ascii="仿宋_GB2312" w:hAnsi="宋体" w:eastAsia="仿宋_GB2312" w:cs="宋体"/>
          <w:sz w:val="28"/>
          <w:highlight w:val="none"/>
        </w:rPr>
      </w:pPr>
    </w:p>
    <w:p w14:paraId="570008CD">
      <w:pPr>
        <w:spacing w:line="360" w:lineRule="exact"/>
        <w:ind w:firstLine="4900" w:firstLineChars="1750"/>
        <w:rPr>
          <w:rFonts w:ascii="仿宋_GB2312" w:hAnsi="宋体" w:eastAsia="仿宋_GB2312" w:cs="宋体"/>
          <w:sz w:val="28"/>
          <w:highlight w:val="none"/>
        </w:rPr>
      </w:pPr>
    </w:p>
    <w:p w14:paraId="7075CB9C">
      <w:pPr>
        <w:spacing w:line="460" w:lineRule="exact"/>
        <w:ind w:firstLine="3960" w:firstLineChars="1650"/>
        <w:rPr>
          <w:rFonts w:ascii="宋体" w:hAnsi="宋体"/>
          <w:sz w:val="24"/>
          <w:highlight w:val="none"/>
        </w:rPr>
      </w:pPr>
      <w:r>
        <w:rPr>
          <w:rFonts w:hint="eastAsia" w:ascii="宋体" w:hAnsi="宋体"/>
          <w:sz w:val="24"/>
          <w:highlight w:val="none"/>
        </w:rPr>
        <w:t xml:space="preserve">投标人（盖电子公章）： </w:t>
      </w:r>
    </w:p>
    <w:p w14:paraId="41981083">
      <w:pPr>
        <w:pStyle w:val="12"/>
        <w:rPr>
          <w:highlight w:val="none"/>
        </w:rPr>
      </w:pPr>
    </w:p>
    <w:p w14:paraId="66D1E656">
      <w:pPr>
        <w:pStyle w:val="5"/>
        <w:jc w:val="right"/>
        <w:rPr>
          <w:highlight w:val="none"/>
        </w:rPr>
      </w:pPr>
      <w:r>
        <w:rPr>
          <w:rFonts w:hint="eastAsia" w:ascii="宋体" w:hAnsi="宋体"/>
          <w:sz w:val="24"/>
          <w:highlight w:val="none"/>
        </w:rPr>
        <w:t>法定代表人</w:t>
      </w:r>
      <w:r>
        <w:rPr>
          <w:rFonts w:hint="eastAsia" w:ascii="宋体" w:hAnsi="宋体" w:eastAsia="宋体" w:cs="Times New Roman"/>
          <w:sz w:val="24"/>
          <w:highlight w:val="none"/>
        </w:rPr>
        <w:t>或委托代理人</w:t>
      </w:r>
      <w:r>
        <w:rPr>
          <w:rFonts w:hint="eastAsia" w:ascii="宋体" w:hAnsi="宋体"/>
          <w:sz w:val="24"/>
          <w:highlight w:val="none"/>
        </w:rPr>
        <w:t>（签字或盖章）：</w:t>
      </w:r>
    </w:p>
    <w:p w14:paraId="3E5E2469">
      <w:pPr>
        <w:jc w:val="center"/>
        <w:rPr>
          <w:rFonts w:ascii="宋体" w:hAnsi="宋体" w:cs="宋体"/>
          <w:b/>
          <w:sz w:val="32"/>
          <w:szCs w:val="36"/>
          <w:highlight w:val="none"/>
        </w:rPr>
      </w:pPr>
    </w:p>
    <w:p w14:paraId="427A0503">
      <w:pPr>
        <w:ind w:firstLine="4403" w:firstLineChars="1462"/>
        <w:jc w:val="right"/>
        <w:rPr>
          <w:rFonts w:ascii="宋体" w:hAnsi="宋体" w:cs="宋体"/>
          <w:b/>
          <w:bCs/>
          <w:sz w:val="30"/>
          <w:szCs w:val="30"/>
          <w:highlight w:val="none"/>
        </w:rPr>
      </w:pPr>
    </w:p>
    <w:p w14:paraId="1B829413">
      <w:pPr>
        <w:spacing w:before="240" w:after="60"/>
        <w:jc w:val="center"/>
        <w:outlineLvl w:val="0"/>
        <w:rPr>
          <w:rFonts w:ascii="宋体" w:hAnsi="宋体"/>
          <w:b/>
          <w:bCs/>
          <w:kern w:val="44"/>
          <w:sz w:val="36"/>
          <w:szCs w:val="44"/>
          <w:highlight w:val="none"/>
        </w:rPr>
      </w:pPr>
      <w:bookmarkStart w:id="32" w:name="_Toc6892"/>
      <w:r>
        <w:rPr>
          <w:rFonts w:hint="eastAsia" w:ascii="宋体" w:hAnsi="宋体"/>
          <w:b/>
          <w:bCs/>
          <w:kern w:val="44"/>
          <w:sz w:val="36"/>
          <w:szCs w:val="44"/>
          <w:highlight w:val="none"/>
        </w:rPr>
        <w:t>第六章  采购合同（范本）</w:t>
      </w:r>
      <w:bookmarkEnd w:id="32"/>
    </w:p>
    <w:p w14:paraId="278EA341">
      <w:pPr>
        <w:spacing w:line="460" w:lineRule="exact"/>
        <w:rPr>
          <w:rFonts w:ascii="宋体" w:hAnsi="宋体" w:cs="宋体"/>
          <w:sz w:val="22"/>
          <w:szCs w:val="22"/>
          <w:highlight w:val="none"/>
        </w:rPr>
      </w:pPr>
    </w:p>
    <w:p w14:paraId="20116992">
      <w:pPr>
        <w:spacing w:line="480" w:lineRule="exact"/>
        <w:jc w:val="center"/>
        <w:rPr>
          <w:rFonts w:ascii="宋体" w:hAnsi="宋体" w:cs="宋体"/>
          <w:b/>
          <w:bCs/>
          <w:sz w:val="32"/>
          <w:szCs w:val="32"/>
          <w:highlight w:val="none"/>
        </w:rPr>
      </w:pPr>
      <w:r>
        <w:rPr>
          <w:rFonts w:hint="eastAsia" w:ascii="宋体" w:hAnsi="宋体" w:cs="宋体"/>
          <w:b/>
          <w:bCs/>
          <w:sz w:val="32"/>
          <w:szCs w:val="32"/>
          <w:highlight w:val="none"/>
        </w:rPr>
        <w:t>选定半月湾景区生鲜食材供应服务单位合同</w:t>
      </w:r>
    </w:p>
    <w:p w14:paraId="0B9F0797">
      <w:pPr>
        <w:rPr>
          <w:rFonts w:ascii="宋体" w:hAnsi="宋体" w:cs="宋体"/>
          <w:sz w:val="22"/>
          <w:szCs w:val="22"/>
          <w:highlight w:val="none"/>
        </w:rPr>
      </w:pPr>
      <w:r>
        <w:rPr>
          <w:rFonts w:hint="eastAsia" w:ascii="宋体" w:hAnsi="宋体" w:cs="宋体"/>
          <w:sz w:val="22"/>
          <w:szCs w:val="22"/>
          <w:highlight w:val="none"/>
        </w:rPr>
        <w:t xml:space="preserve"> </w:t>
      </w:r>
    </w:p>
    <w:p w14:paraId="40ABA4B2">
      <w:pPr>
        <w:spacing w:line="6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甲方（采购单位）：</w:t>
      </w:r>
      <w:r>
        <w:rPr>
          <w:rFonts w:hint="eastAsia" w:ascii="宋体" w:hAnsi="宋体" w:cs="宋体"/>
          <w:sz w:val="24"/>
          <w:szCs w:val="24"/>
          <w:highlight w:val="none"/>
          <w:u w:val="single"/>
        </w:rPr>
        <w:t xml:space="preserve">                      </w:t>
      </w:r>
    </w:p>
    <w:p w14:paraId="6804DF1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统一社会信用代码：</w:t>
      </w:r>
      <w:r>
        <w:rPr>
          <w:rFonts w:hint="eastAsia" w:ascii="宋体" w:hAnsi="宋体" w:cs="宋体"/>
          <w:sz w:val="24"/>
          <w:szCs w:val="24"/>
          <w:highlight w:val="none"/>
          <w:u w:val="single"/>
        </w:rPr>
        <w:t xml:space="preserve">                     </w:t>
      </w:r>
    </w:p>
    <w:p w14:paraId="1BEAA26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3336132E">
      <w:pPr>
        <w:spacing w:line="6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联系电话：</w:t>
      </w:r>
      <w:r>
        <w:rPr>
          <w:rFonts w:hint="eastAsia" w:ascii="宋体" w:hAnsi="宋体" w:cs="宋体"/>
          <w:sz w:val="24"/>
          <w:szCs w:val="24"/>
          <w:highlight w:val="none"/>
          <w:u w:val="single"/>
        </w:rPr>
        <w:t xml:space="preserve">                     </w:t>
      </w:r>
    </w:p>
    <w:p w14:paraId="4C8C2260">
      <w:pPr>
        <w:spacing w:line="600" w:lineRule="exact"/>
        <w:rPr>
          <w:rFonts w:ascii="宋体" w:hAnsi="宋体" w:cs="宋体"/>
          <w:sz w:val="24"/>
          <w:szCs w:val="24"/>
          <w:highlight w:val="none"/>
        </w:rPr>
      </w:pPr>
    </w:p>
    <w:p w14:paraId="6F3510A7">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乙方（供应服务单位）：</w:t>
      </w:r>
      <w:r>
        <w:rPr>
          <w:rFonts w:hint="eastAsia" w:ascii="宋体" w:hAnsi="宋体" w:cs="宋体"/>
          <w:sz w:val="24"/>
          <w:szCs w:val="24"/>
          <w:highlight w:val="none"/>
          <w:u w:val="single"/>
        </w:rPr>
        <w:t xml:space="preserve">                     </w:t>
      </w:r>
    </w:p>
    <w:p w14:paraId="07104F1E">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统一社会信用代码：</w:t>
      </w:r>
      <w:r>
        <w:rPr>
          <w:rFonts w:hint="eastAsia" w:ascii="宋体" w:hAnsi="宋体" w:cs="宋体"/>
          <w:sz w:val="24"/>
          <w:szCs w:val="24"/>
          <w:highlight w:val="none"/>
          <w:u w:val="single"/>
        </w:rPr>
        <w:t xml:space="preserve">                     </w:t>
      </w:r>
    </w:p>
    <w:p w14:paraId="58E55A4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00C8C37B">
      <w:pPr>
        <w:spacing w:line="6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联系电话：</w:t>
      </w:r>
      <w:r>
        <w:rPr>
          <w:rFonts w:hint="eastAsia" w:ascii="宋体" w:hAnsi="宋体" w:cs="宋体"/>
          <w:sz w:val="24"/>
          <w:szCs w:val="24"/>
          <w:highlight w:val="none"/>
          <w:u w:val="single"/>
        </w:rPr>
        <w:t xml:space="preserve">                     </w:t>
      </w:r>
    </w:p>
    <w:p w14:paraId="36158A04">
      <w:pPr>
        <w:spacing w:line="600" w:lineRule="exact"/>
        <w:ind w:firstLine="480" w:firstLineChars="200"/>
        <w:rPr>
          <w:rFonts w:ascii="宋体" w:hAnsi="宋体" w:cs="宋体"/>
          <w:sz w:val="24"/>
          <w:szCs w:val="24"/>
          <w:highlight w:val="none"/>
        </w:rPr>
      </w:pPr>
    </w:p>
    <w:p w14:paraId="3B157CD7">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依据《中华人民共和国民法典》《中华人民共和国招标投标法》等相关法律法规，甲方通过公开采购选定乙方为生鲜食材供应服务单位，甲乙双方本着平等自愿、诚实信用、权责对等原则，就半月湾景区生鲜食材供应事宜，订立本框架协议，以资共同遵守。</w:t>
      </w:r>
    </w:p>
    <w:p w14:paraId="22AE9BB9">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第一条 合作项目概况</w:t>
      </w:r>
    </w:p>
    <w:p w14:paraId="2264F1B2">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1.项目名称：选定半月湾景区生鲜食材供应服务单位</w:t>
      </w:r>
    </w:p>
    <w:p w14:paraId="7D74C6B7">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2.服务覆盖范围：半月湾景区全域。</w:t>
      </w:r>
    </w:p>
    <w:p w14:paraId="009073A8">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第二条 服务内容与服务范围</w:t>
      </w:r>
    </w:p>
    <w:p w14:paraId="0E06476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（一）总体服务内容</w:t>
      </w:r>
    </w:p>
    <w:p w14:paraId="667D25E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为采购单位提供半月湾景区生鲜食材供货服务，根据景区日常经营、节假日大客流、临时运营保障需求，供应新鲜蔬菜、时令水果、冷藏甜品、寿司生食水产等各类生鲜食品以及酒水冷饮，提供食材分拣、分类包装、全程冷链配送、质量退换、应急保供、售后处置一体化供货服务。</w:t>
      </w:r>
    </w:p>
    <w:p w14:paraId="09BE7F18">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（二）主要供货范围（包含全部品类，不限于以下）</w:t>
      </w:r>
    </w:p>
    <w:p w14:paraId="60E7939C">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1.新鲜果蔬类：时令蔬菜、精品水果、瓜类鲜果等；</w:t>
      </w:r>
    </w:p>
    <w:p w14:paraId="42244240">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2.冷藏甜品、寿司类：奶油蛋糕、慕斯、烘焙甜品、冷藏即食点心、成品寿司等短保食品；</w:t>
      </w:r>
    </w:p>
    <w:p w14:paraId="534B12FB">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3.各类冷藏冷冻半成品、配套调理食材以及辅料；</w:t>
      </w:r>
    </w:p>
    <w:p w14:paraId="42FE2612">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4.鲜活鱼虾、贝类、蟹类、冰鲜海产等；</w:t>
      </w:r>
    </w:p>
    <w:p w14:paraId="3826F1A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5.酒水品类：涵盖瓶装/罐装啤酒、低度果酒、网红微醺酒水、常规碳酸酒水、饮用白酒、红酒、黄酒等全系民用酒水。</w:t>
      </w:r>
    </w:p>
    <w:p w14:paraId="2386375B">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6.冷饮品类：包含各类品牌冰淇淋、雪糕、冰棒、冷冻甜品、冰镇饮料、瓶装汽水、果汁冷饮、功能性冰镇饮品等。</w:t>
      </w:r>
    </w:p>
    <w:p w14:paraId="2D89816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三</w:t>
      </w:r>
      <w:r>
        <w:rPr>
          <w:rFonts w:hint="eastAsia" w:ascii="宋体" w:hAnsi="宋体" w:cs="宋体"/>
          <w:sz w:val="24"/>
          <w:szCs w:val="24"/>
          <w:highlight w:val="none"/>
        </w:rPr>
        <w:t>条 乙方资质与履约基础要求</w:t>
      </w:r>
    </w:p>
    <w:p w14:paraId="4F207AF6">
      <w:pPr>
        <w:spacing w:line="6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1.乙方为独立法人，持有合法有效的营业执照，可独立承担全部民事责任；具备有效的食品生产许可证或食品经营许可证；拥有酒店供应经验。</w:t>
      </w:r>
    </w:p>
    <w:p w14:paraId="4359255C">
      <w:pPr>
        <w:spacing w:line="6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2.乙方未被列入“信用中国”失信被执行人名单，无重大食品安全违法处罚记录、无失信被执行人记录，能够提供书面诚信承诺，合作期间若出现上述情形，甲方有权单方解除本协议。</w:t>
      </w:r>
    </w:p>
    <w:p w14:paraId="4F394DF3">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3.乙方投标阶段提交的供应商资源清单、合作供应商协议真实有效，拥有稳定上游货源渠道，具备食材溯源能力，能够按要求提供检疫合格证、农产品承诺达标合格证、进货票据等溯源资料。</w:t>
      </w:r>
    </w:p>
    <w:p w14:paraId="599A6175">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4.乙方承诺投标文件内业绩、人员资质、场地证明等全部资料真实有效，甲方有权随时通过函证、现场核查等方式核验，若存在虚假材料，立即取消乙方入库资格，乙方承担全部违约责任。</w:t>
      </w:r>
    </w:p>
    <w:p w14:paraId="663070C9">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四</w:t>
      </w:r>
      <w:r>
        <w:rPr>
          <w:rFonts w:hint="eastAsia" w:ascii="宋体" w:hAnsi="宋体" w:cs="宋体"/>
          <w:sz w:val="24"/>
          <w:szCs w:val="24"/>
          <w:highlight w:val="none"/>
        </w:rPr>
        <w:t>条 乙方服务团队配置要求</w:t>
      </w:r>
    </w:p>
    <w:p w14:paraId="127C5A73">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1.配置专职项目对接人、固定配送及品控全职人员至少1名，优先保障本项目供货。</w:t>
      </w:r>
    </w:p>
    <w:p w14:paraId="1CB3388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五</w:t>
      </w:r>
      <w:r>
        <w:rPr>
          <w:rFonts w:hint="eastAsia" w:ascii="宋体" w:hAnsi="宋体" w:cs="宋体"/>
          <w:sz w:val="24"/>
          <w:szCs w:val="24"/>
          <w:highlight w:val="none"/>
        </w:rPr>
        <w:t>条 服务标准与履约要求</w:t>
      </w:r>
    </w:p>
    <w:p w14:paraId="4C358F6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1.服务单位要按时配送、不合格食材当场免费更换、节假日应急补货、建立每日供货台账、现场装卸清理、质量问题售后处理。</w:t>
      </w:r>
    </w:p>
    <w:p w14:paraId="0DFFABE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2.拥有稳定上游货源，投标提交合作供应商清单。</w:t>
      </w:r>
    </w:p>
    <w:p w14:paraId="4BA71913">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3.严格执行冷链分区配送，生食、甜品、果蔬、常规海鲜分开包装装车，杜绝交叉污染，食材新鲜度、温度、保质期达标。</w:t>
      </w:r>
    </w:p>
    <w:p w14:paraId="5A8A3BD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4.建立完整供货保障机制，具备断货应急处置、食材留样、投诉处理制度，2小时内响应采购单位需求。</w:t>
      </w:r>
    </w:p>
    <w:p w14:paraId="37E860A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5.采购单位可根据景区客流变化、商业点位运营调整、节假日活动安排，动态调整每日供货品类、供货数量、供货时间。服务单位须无条件配合，不得推诿、拖延、擅自涨价。</w:t>
      </w:r>
    </w:p>
    <w:p w14:paraId="28F0A113">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6.采购单位拥有食材到货查验、不定期抽样送检、履约考核及最终验收权限。对变质、过期、规格不符的食材，采购单位有权当场拒收；服务单位须在约定时限内无偿补货、更换，直至验收合格，所有食材配送到位前均需经采购单位现场人员核验确认。</w:t>
      </w:r>
    </w:p>
    <w:p w14:paraId="08E6401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7.规范装卸，及时清理包装垃圾，保持景区各供应点位环境整洁；供货周期内同步做好售后质保服务，因食材源头、冷链运输产生的食品安全问题、游客投诉、市场监管处罚，全部由服务单位承担责任。</w:t>
      </w:r>
    </w:p>
    <w:p w14:paraId="374408F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8.采购单位将按季度开展履约考核，考核不合格将按合同约定进行扣款、限制供货，情节严重直接终止供货合同。</w:t>
      </w:r>
    </w:p>
    <w:p w14:paraId="7DB149C1">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六</w:t>
      </w:r>
      <w:r>
        <w:rPr>
          <w:rFonts w:hint="eastAsia" w:ascii="宋体" w:hAnsi="宋体" w:cs="宋体"/>
          <w:sz w:val="24"/>
          <w:szCs w:val="24"/>
          <w:highlight w:val="none"/>
        </w:rPr>
        <w:t>条 计费与付款</w:t>
      </w:r>
    </w:p>
    <w:p w14:paraId="701269A4">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（一）计费规则</w:t>
      </w:r>
    </w:p>
    <w:p w14:paraId="1A6C7A91">
      <w:pPr>
        <w:spacing w:line="6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1.计费方式：据实结算。采购单位根据实际需求据实采购，不承诺固定采购总量。</w:t>
      </w:r>
    </w:p>
    <w:p w14:paraId="40064806">
      <w:pPr>
        <w:spacing w:line="6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2、本项目合同价款：根据《威海市部分居民生活消费品（超市）零售平均价格》每周市场行情价格的</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rPr>
        <w:t>；包括完成该项目的一切费用总和，包含食材采购、全程冷链运输、人工装卸、售后退换、应急补货、管理、税费等全部费用。</w:t>
      </w:r>
    </w:p>
    <w:p w14:paraId="7A80592C">
      <w:pPr>
        <w:spacing w:line="6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威海市发展和改革委员会官方网站《威海市部分居民生活消费品（超市）零售平均价格》，如当日没有市场行情价格，按距离当日之前最近日期的市场行情价格进行确认，若威海市发改委没有发布零售价格的，不超过当地大型超市同档次、同质量商品销售价基础上，由招标人和中标单位根据食材的质量和新鲜程度协商确定价格，</w:t>
      </w:r>
      <w:r>
        <w:rPr>
          <w:rFonts w:hint="eastAsia" w:ascii="宋体" w:hAnsi="宋体" w:cs="宋体"/>
          <w:sz w:val="24"/>
          <w:szCs w:val="24"/>
          <w:highlight w:val="none"/>
          <w:lang w:val="en-US" w:eastAsia="zh-CN"/>
        </w:rPr>
        <w:t>付款前招标人有权委托第三方审计单位对供货单据、单价、总价进行审计，最终按照审计确认金额结算</w:t>
      </w:r>
      <w:r>
        <w:rPr>
          <w:rFonts w:hint="eastAsia" w:ascii="宋体" w:hAnsi="宋体" w:cs="宋体"/>
          <w:sz w:val="24"/>
          <w:szCs w:val="24"/>
          <w:highlight w:val="none"/>
        </w:rPr>
        <w:t>。</w:t>
      </w:r>
    </w:p>
    <w:p w14:paraId="17D87C4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（二）付款方式</w:t>
      </w:r>
    </w:p>
    <w:p w14:paraId="5E5BE485">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按季度统一结算。每季度供货全部完成，采购单位完成季度供货验收、台账核对无误后，服务单位开具合法足额增值税专用发票并完整提交全套付款材料，采购单位审核通过后支付当季度结算款项；若当季度食材验收不合格、存在食品安全问题、服务单位未提供合规发票及完整付款资料，采购单位有权顺延付款且不承担违约责任。</w:t>
      </w:r>
    </w:p>
    <w:p w14:paraId="0F8944E2">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七</w:t>
      </w:r>
      <w:r>
        <w:rPr>
          <w:rFonts w:hint="eastAsia" w:ascii="宋体" w:hAnsi="宋体" w:cs="宋体"/>
          <w:sz w:val="24"/>
          <w:szCs w:val="24"/>
          <w:highlight w:val="none"/>
        </w:rPr>
        <w:t>条 服务期限</w:t>
      </w:r>
    </w:p>
    <w:p w14:paraId="63F3316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自合同签订之日起一年。服务期满后采购单位根据全年履约考核、食品安全记录、供货服务质量综合评定，决定是否续签供货合同。</w:t>
      </w:r>
    </w:p>
    <w:p w14:paraId="02D6B624">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八</w:t>
      </w:r>
      <w:r>
        <w:rPr>
          <w:rFonts w:hint="eastAsia" w:ascii="宋体" w:hAnsi="宋体" w:cs="宋体"/>
          <w:sz w:val="24"/>
          <w:szCs w:val="24"/>
          <w:highlight w:val="none"/>
        </w:rPr>
        <w:t>条 验收</w:t>
      </w:r>
    </w:p>
    <w:p w14:paraId="6731E475">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1、甲方在合同期内向乙方购买的商品名称、数量等，均以甲、乙双方盖章或双方代表签字确认的供货单据为准，甲方需指定专人在收货单上签字确认，即视为乙方已经货送达。</w:t>
      </w:r>
    </w:p>
    <w:p w14:paraId="6F52BF1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提供服务前及服务过程中，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应承担相应责任。</w:t>
      </w:r>
    </w:p>
    <w:p w14:paraId="153C9559">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3、乙方所供食材质量必须符合国家相关食品安全卫生标准，送货单位必须随货提供所供食材的农药残留检测报告和其他国家相关主管部门要求的必要之证书、合格证等文件，且食材无腐烂变质现象。</w:t>
      </w:r>
    </w:p>
    <w:p w14:paraId="220CE65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4、甲方如发现乙方所供食材达不到品质要求，第一次，给予警告，乙方应按甲方要求及时给予退换，甲方有权暂停乙方供货资格，要求其进行整改；第二次出现所供食材达不到品质要求的情形，甲方有权决定解除合同。</w:t>
      </w:r>
    </w:p>
    <w:p w14:paraId="4D0B3FC8">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w:t>
      </w:r>
      <w:r>
        <w:rPr>
          <w:rFonts w:hint="eastAsia" w:ascii="宋体" w:hAnsi="宋体" w:cs="宋体"/>
          <w:sz w:val="24"/>
          <w:szCs w:val="24"/>
          <w:highlight w:val="none"/>
          <w:lang w:val="en-US" w:eastAsia="zh-CN"/>
        </w:rPr>
        <w:t>九</w:t>
      </w:r>
      <w:r>
        <w:rPr>
          <w:rFonts w:hint="eastAsia" w:ascii="宋体" w:hAnsi="宋体" w:cs="宋体"/>
          <w:sz w:val="24"/>
          <w:szCs w:val="24"/>
          <w:highlight w:val="none"/>
        </w:rPr>
        <w:t>条 服务承诺</w:t>
      </w:r>
    </w:p>
    <w:p w14:paraId="5E492B16">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1、根据甲方需要，乙方派相关人员现场服务，处理现场可能出现的各种问题等。</w:t>
      </w:r>
    </w:p>
    <w:p w14:paraId="3A1CCFB0">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2、乙方要保证提供优质的服务，其服务必须达到其承诺。</w:t>
      </w:r>
    </w:p>
    <w:p w14:paraId="728A4CA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第十条 变更、修改、转让与续签</w:t>
      </w:r>
    </w:p>
    <w:p w14:paraId="4BFA68CB">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1、乙方应严格按合同要求提供服务，未经甲方书面同意，乙方不得擅自就合同标的物的数量、质量、服务起始时间或服务期限、技术规格以及其他的合同条款进行变更、修改。</w:t>
      </w:r>
    </w:p>
    <w:p w14:paraId="6E707519">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2、本项目为可延续性服务项目，服务期限自合同签订之日起1年，服务期满后甲方根据全年履约考核、食品安全记录、供货服务质量综合评定，决定是否续签供货合同。但服务期限最长不超过三年。</w:t>
      </w:r>
    </w:p>
    <w:p w14:paraId="307DF82D">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w:t>
      </w:r>
      <w:r>
        <w:rPr>
          <w:rFonts w:hint="eastAsia" w:ascii="宋体" w:hAnsi="宋体" w:cs="宋体"/>
          <w:sz w:val="24"/>
          <w:szCs w:val="24"/>
          <w:highlight w:val="none"/>
          <w:lang w:val="en-US" w:eastAsia="zh-CN"/>
        </w:rPr>
        <w:t>一</w:t>
      </w:r>
      <w:r>
        <w:rPr>
          <w:rFonts w:hint="eastAsia" w:ascii="宋体" w:hAnsi="宋体" w:cs="宋体"/>
          <w:sz w:val="24"/>
          <w:szCs w:val="24"/>
          <w:highlight w:val="none"/>
        </w:rPr>
        <w:t>条 合同解除</w:t>
      </w:r>
    </w:p>
    <w:p w14:paraId="3DDDB12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1、乙方迟延履行合同义务或者履行合同义务不符合约定以及违反其他有关规定而应解除合同的，除承担违约责任外，甲方将向其发出书面通知，解除本合同。</w:t>
      </w:r>
    </w:p>
    <w:p w14:paraId="791B41C7">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2、如乙方因故必须中途终止合约时，应于一个月前函请同意解约，甲方同意解约时，结清全部货款。如未依规定告知即停止或中断供货，甲方将扣除所有未结货款。</w:t>
      </w:r>
    </w:p>
    <w:p w14:paraId="50FBB33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w:t>
      </w:r>
      <w:r>
        <w:rPr>
          <w:rFonts w:hint="eastAsia" w:ascii="宋体" w:hAnsi="宋体" w:cs="宋体"/>
          <w:sz w:val="24"/>
          <w:szCs w:val="24"/>
          <w:highlight w:val="none"/>
          <w:lang w:val="en-US" w:eastAsia="zh-CN"/>
        </w:rPr>
        <w:t>二</w:t>
      </w:r>
      <w:r>
        <w:rPr>
          <w:rFonts w:hint="eastAsia" w:ascii="宋体" w:hAnsi="宋体" w:cs="宋体"/>
          <w:sz w:val="24"/>
          <w:szCs w:val="24"/>
          <w:highlight w:val="none"/>
        </w:rPr>
        <w:t>条 违约责任</w:t>
      </w:r>
    </w:p>
    <w:p w14:paraId="5E9235EF">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1、乙方违反有关的法律法规或者合同的其他约定（规定），甲方将责令其严格按照合同的约定履行义务。乙方无正当理由拒不履行的，甲方有权解除合同。</w:t>
      </w:r>
    </w:p>
    <w:p w14:paraId="6160C1EA">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2、乙方违反第七条服务期限约定，逾期配送或者经验收不合格而重新配送，每逾期一日按照逾期部分合同价款的3‰向甲方交纳违约金，不足一日，按一日计算（下同）。</w:t>
      </w:r>
    </w:p>
    <w:p w14:paraId="6C922FA7">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3、由于违约而给对方造成损失，按照损失金额的100%给予赔偿。 </w:t>
      </w:r>
    </w:p>
    <w:p w14:paraId="606A3948">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4、由于乙方违约而可能出现其产品（设备）等被甲方使用的情形，其所遭受的损失甲方不需要负责或者承担。</w:t>
      </w:r>
    </w:p>
    <w:p w14:paraId="63BBD23E">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w:t>
      </w:r>
      <w:r>
        <w:rPr>
          <w:rFonts w:hint="eastAsia" w:ascii="宋体" w:hAnsi="宋体" w:cs="宋体"/>
          <w:sz w:val="24"/>
          <w:szCs w:val="24"/>
          <w:highlight w:val="none"/>
          <w:lang w:val="en-US" w:eastAsia="zh-CN"/>
        </w:rPr>
        <w:t>三</w:t>
      </w:r>
      <w:r>
        <w:rPr>
          <w:rFonts w:hint="eastAsia" w:ascii="宋体" w:hAnsi="宋体" w:cs="宋体"/>
          <w:sz w:val="24"/>
          <w:szCs w:val="24"/>
          <w:highlight w:val="none"/>
        </w:rPr>
        <w:t>条 不可抗力</w:t>
      </w:r>
    </w:p>
    <w:p w14:paraId="325D8BB0">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因地震、台风、洪水、疫情、政府管控等不可抗力导致本协议无法履约的，双方互不承担违约责任，工期、付款同步顺延；受影响一方需3日内书面通知对方并提供有效证明。</w:t>
      </w:r>
    </w:p>
    <w:p w14:paraId="2A364D75">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w:t>
      </w:r>
      <w:r>
        <w:rPr>
          <w:rFonts w:hint="eastAsia" w:ascii="宋体" w:hAnsi="宋体" w:cs="宋体"/>
          <w:sz w:val="24"/>
          <w:szCs w:val="24"/>
          <w:highlight w:val="none"/>
          <w:lang w:val="en-US" w:eastAsia="zh-CN"/>
        </w:rPr>
        <w:t>四</w:t>
      </w:r>
      <w:r>
        <w:rPr>
          <w:rFonts w:hint="eastAsia" w:ascii="宋体" w:hAnsi="宋体" w:cs="宋体"/>
          <w:sz w:val="24"/>
          <w:szCs w:val="24"/>
          <w:highlight w:val="none"/>
        </w:rPr>
        <w:t>条 争议解决</w:t>
      </w:r>
    </w:p>
    <w:p w14:paraId="6539C5C0">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本协议履行期间发生争议，双方优先友好协商；协商不成，任何一方可向项目所在地人民法院提起诉讼。</w:t>
      </w:r>
    </w:p>
    <w:p w14:paraId="044B7C8B">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第十</w:t>
      </w:r>
      <w:r>
        <w:rPr>
          <w:rFonts w:hint="eastAsia" w:ascii="宋体" w:hAnsi="宋体" w:cs="宋体"/>
          <w:sz w:val="24"/>
          <w:szCs w:val="24"/>
          <w:highlight w:val="none"/>
          <w:lang w:val="en-US" w:eastAsia="zh-CN"/>
        </w:rPr>
        <w:t>五</w:t>
      </w:r>
      <w:r>
        <w:rPr>
          <w:rFonts w:hint="eastAsia" w:ascii="宋体" w:hAnsi="宋体" w:cs="宋体"/>
          <w:sz w:val="24"/>
          <w:szCs w:val="24"/>
          <w:highlight w:val="none"/>
        </w:rPr>
        <w:t>条 其他约定</w:t>
      </w:r>
    </w:p>
    <w:p w14:paraId="6C3C4AE2">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1.乙方投标文件、供应商合作清单、人员资质材料、承诺函为本协议附件，与本协议一体生效。</w:t>
      </w:r>
    </w:p>
    <w:p w14:paraId="6F21C100">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2.本协议一式肆份，甲方执贰份，乙方执贰份，加盖双方公章后生效，具备同等法律效力。</w:t>
      </w:r>
    </w:p>
    <w:p w14:paraId="242735E8">
      <w:pPr>
        <w:spacing w:line="600" w:lineRule="exact"/>
        <w:ind w:firstLine="480" w:firstLineChars="200"/>
        <w:rPr>
          <w:rFonts w:ascii="宋体" w:hAnsi="宋体" w:cs="宋体"/>
          <w:sz w:val="24"/>
          <w:szCs w:val="24"/>
          <w:highlight w:val="none"/>
        </w:rPr>
      </w:pPr>
      <w:r>
        <w:rPr>
          <w:rFonts w:hint="eastAsia" w:ascii="宋体" w:hAnsi="宋体" w:cs="宋体"/>
          <w:sz w:val="24"/>
          <w:szCs w:val="24"/>
          <w:highlight w:val="none"/>
        </w:rPr>
        <w:t>3.本协议未尽事宜，双方可签订书面补充协议，补充协议与本协议具备同等法律约束力。</w:t>
      </w:r>
    </w:p>
    <w:p w14:paraId="0D73C0DC">
      <w:pPr>
        <w:tabs>
          <w:tab w:val="left" w:pos="2835"/>
        </w:tabs>
        <w:kinsoku w:val="0"/>
        <w:overflowPunct w:val="0"/>
        <w:autoSpaceDE w:val="0"/>
        <w:autoSpaceDN w:val="0"/>
        <w:snapToGrid w:val="0"/>
        <w:spacing w:line="560" w:lineRule="exact"/>
        <w:ind w:right="132" w:rightChars="63"/>
        <w:rPr>
          <w:rFonts w:ascii="宋体" w:hAnsi="宋体" w:cs="宋体"/>
          <w:sz w:val="24"/>
          <w:szCs w:val="24"/>
          <w:highlight w:val="none"/>
        </w:rPr>
      </w:pPr>
      <w:r>
        <w:rPr>
          <w:rFonts w:hint="eastAsia" w:ascii="宋体" w:hAnsi="宋体" w:cs="宋体"/>
          <w:sz w:val="24"/>
          <w:szCs w:val="24"/>
          <w:highlight w:val="none"/>
        </w:rPr>
        <w:t>甲方：                            乙方：</w:t>
      </w:r>
    </w:p>
    <w:p w14:paraId="6282B79B">
      <w:pPr>
        <w:tabs>
          <w:tab w:val="left" w:pos="2835"/>
        </w:tabs>
        <w:kinsoku w:val="0"/>
        <w:overflowPunct w:val="0"/>
        <w:autoSpaceDE w:val="0"/>
        <w:autoSpaceDN w:val="0"/>
        <w:snapToGrid w:val="0"/>
        <w:spacing w:line="560" w:lineRule="exact"/>
        <w:ind w:right="132" w:rightChars="63"/>
        <w:rPr>
          <w:rFonts w:ascii="宋体" w:hAnsi="宋体" w:cs="宋体"/>
          <w:sz w:val="24"/>
          <w:szCs w:val="24"/>
          <w:highlight w:val="none"/>
        </w:rPr>
      </w:pPr>
      <w:r>
        <w:rPr>
          <w:rFonts w:hint="eastAsia" w:ascii="宋体" w:hAnsi="宋体" w:cs="宋体"/>
          <w:sz w:val="24"/>
          <w:szCs w:val="24"/>
          <w:highlight w:val="none"/>
        </w:rPr>
        <w:t>法定代表人：                      法定代表人：</w:t>
      </w:r>
    </w:p>
    <w:p w14:paraId="383A6F87">
      <w:pPr>
        <w:tabs>
          <w:tab w:val="left" w:pos="2835"/>
        </w:tabs>
        <w:kinsoku w:val="0"/>
        <w:overflowPunct w:val="0"/>
        <w:autoSpaceDE w:val="0"/>
        <w:autoSpaceDN w:val="0"/>
        <w:snapToGrid w:val="0"/>
        <w:spacing w:line="560" w:lineRule="exact"/>
        <w:ind w:right="132" w:rightChars="63"/>
        <w:rPr>
          <w:rFonts w:ascii="宋体" w:hAnsi="宋体" w:cs="宋体"/>
          <w:sz w:val="24"/>
          <w:szCs w:val="24"/>
          <w:highlight w:val="none"/>
        </w:rPr>
      </w:pPr>
      <w:r>
        <w:rPr>
          <w:rFonts w:hint="eastAsia" w:ascii="宋体" w:hAnsi="宋体" w:cs="宋体"/>
          <w:sz w:val="24"/>
          <w:szCs w:val="24"/>
          <w:highlight w:val="none"/>
        </w:rPr>
        <w:t xml:space="preserve">（签章）                         （签章） </w:t>
      </w:r>
    </w:p>
    <w:p w14:paraId="2F9C7C45">
      <w:pPr>
        <w:rPr>
          <w:sz w:val="20"/>
          <w:szCs w:val="22"/>
          <w:highlight w:val="none"/>
        </w:rPr>
      </w:pPr>
      <w:r>
        <w:rPr>
          <w:rFonts w:hint="eastAsia" w:ascii="宋体" w:hAnsi="宋体" w:cs="宋体"/>
          <w:sz w:val="24"/>
          <w:szCs w:val="24"/>
          <w:highlight w:val="none"/>
        </w:rPr>
        <w:t>日期：    年   月   日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CC6A3">
    <w:pPr>
      <w:pStyle w:val="10"/>
    </w:pPr>
    <w:r>
      <w:pict>
        <v:shape id="_x0000_s2054" o:spid="_x0000_s205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joinstyle="miter"/>
          <v:imagedata o:title=""/>
          <o:lock v:ext="edit"/>
          <v:textbox inset="0mm,0mm,0mm,0mm" style="mso-fit-shape-to-text:t;">
            <w:txbxContent>
              <w:p w14:paraId="4EC697EA">
                <w:pPr>
                  <w:pStyle w:val="10"/>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BB868">
    <w:pPr>
      <w:pStyle w:val="10"/>
    </w:pPr>
    <w: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joinstyle="miter"/>
          <v:imagedata o:title=""/>
          <o:lock v:ext="edit"/>
          <v:textbox inset="0mm,0mm,0mm,0mm" style="mso-fit-shape-to-text:t;">
            <w:txbxContent>
              <w:p w14:paraId="176A11FF">
                <w:pPr>
                  <w:pStyle w:val="10"/>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CC673">
    <w:pPr>
      <w:pStyle w:val="10"/>
    </w:pPr>
    <w:r>
      <w:pict>
        <v:shape id="_x0000_s2053" o:spid="_x0000_s2053"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joinstyle="miter"/>
          <v:imagedata o:title=""/>
          <o:lock v:ext="edit"/>
          <v:textbox inset="0mm,0mm,0mm,0mm" style="mso-fit-shape-to-text:t;">
            <w:txbxContent>
              <w:p w14:paraId="5E0E2227">
                <w:pPr>
                  <w:pStyle w:val="10"/>
                </w:pPr>
                <w:r>
                  <w:fldChar w:fldCharType="begin"/>
                </w:r>
                <w:r>
                  <w:instrText xml:space="preserve"> PAGE  \* MERGEFORMAT </w:instrText>
                </w:r>
                <w:r>
                  <w:fldChar w:fldCharType="separate"/>
                </w:r>
                <w:r>
                  <w:t>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8B96">
    <w:pPr>
      <w:jc w:val="center"/>
      <w:rPr>
        <w:sz w:val="18"/>
        <w:szCs w:val="18"/>
      </w:rPr>
    </w:pPr>
    <w:r>
      <w:rPr>
        <w:sz w:val="18"/>
      </w:rPr>
      <w:pict>
        <v:shape id="_x0000_s2051" o:spid="_x0000_s2051"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joinstyle="miter"/>
          <v:imagedata o:title=""/>
          <o:lock v:ext="edit"/>
          <v:textbox inset="0mm,0mm,0mm,0mm" style="mso-fit-shape-to-text:t;">
            <w:txbxContent>
              <w:p w14:paraId="302DA209">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32</w:t>
                </w:r>
                <w:r>
                  <w:rPr>
                    <w:sz w:val="18"/>
                    <w:szCs w:val="18"/>
                    <w:lang w:val="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2F18D">
    <w:pPr>
      <w:pStyle w:val="11"/>
      <w:pBdr>
        <w:bottom w:val="none" w:color="auto" w:sz="0" w:space="0"/>
      </w:pBdr>
    </w:pPr>
    <w: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path/>
          <v:fill on="f" focussize="0,0"/>
          <v:stroke on="f" joinstyle="miter"/>
          <v:imagedata o:title=""/>
          <o:lock v:ext="edit"/>
          <v:textbox inset="0mm,0mm,0mm,0mm" style="mso-fit-shape-to-text:t;">
            <w:txbxContent>
              <w:p w14:paraId="3C735B36">
                <w:pPr>
                  <w:pStyle w:val="11"/>
                  <w:pBdr>
                    <w:bottom w:val="none" w:color="auto" w:sz="0" w:space="0"/>
                  </w:pBdr>
                </w:pPr>
                <w:r>
                  <w:fldChar w:fldCharType="begin"/>
                </w:r>
                <w:r>
                  <w:instrText xml:space="preserve">PAGE   \* MERGEFORMAT</w:instrText>
                </w:r>
                <w:r>
                  <w:fldChar w:fldCharType="separate"/>
                </w:r>
                <w:r>
                  <w:t>42</w:t>
                </w:r>
                <w:r>
                  <w:rPr>
                    <w:lang w:val="zh-CN"/>
                  </w:rPr>
                  <w:fldChar w:fldCharType="end"/>
                </w:r>
              </w:p>
            </w:txbxContent>
          </v:textbox>
        </v:shape>
      </w:pict>
    </w:r>
  </w:p>
  <w:p w14:paraId="649B6650">
    <w:pPr>
      <w:pStyle w:val="5"/>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90DCE">
    <w:pPr>
      <w:jc w:val="center"/>
      <w:rPr>
        <w:sz w:val="18"/>
        <w:szCs w:val="18"/>
      </w:rPr>
    </w:pPr>
    <w:r>
      <w:rPr>
        <w:sz w:val="18"/>
      </w:rPr>
      <w:pict>
        <v:shape id="_x0000_s2049" o:spid="_x0000_s204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path/>
          <v:fill on="f" focussize="0,0"/>
          <v:stroke on="f" joinstyle="miter"/>
          <v:imagedata o:title=""/>
          <o:lock v:ext="edit"/>
          <v:textbox inset="0mm,0mm,0mm,0mm" style="mso-fit-shape-to-text:t;">
            <w:txbxContent>
              <w:p w14:paraId="1CAF9723">
                <w:pPr>
                  <w:jc w:val="center"/>
                </w:pPr>
                <w:r>
                  <w:rPr>
                    <w:sz w:val="18"/>
                    <w:szCs w:val="18"/>
                  </w:rPr>
                  <w:fldChar w:fldCharType="begin"/>
                </w:r>
                <w:r>
                  <w:rPr>
                    <w:sz w:val="18"/>
                    <w:szCs w:val="18"/>
                  </w:rPr>
                  <w:instrText xml:space="preserve"> PAGE   \* MERGEFORMAT </w:instrText>
                </w:r>
                <w:r>
                  <w:rPr>
                    <w:sz w:val="18"/>
                    <w:szCs w:val="18"/>
                  </w:rPr>
                  <w:fldChar w:fldCharType="separate"/>
                </w:r>
                <w:r>
                  <w:rPr>
                    <w:sz w:val="18"/>
                    <w:szCs w:val="18"/>
                  </w:rPr>
                  <w:t>69</w:t>
                </w:r>
                <w:r>
                  <w:rPr>
                    <w:sz w:val="18"/>
                    <w:szCs w:val="18"/>
                    <w:lang w:val="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53EBC">
    <w:pPr>
      <w:pStyle w:val="10"/>
      <w:jc w:val="center"/>
    </w:pPr>
    <w:r>
      <w:rPr>
        <w:rFonts w:hint="eastAsia"/>
      </w:rPr>
      <w:t>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77383">
    <w:pPr>
      <w:pStyle w:val="11"/>
      <w:pBdr>
        <w:bottom w:val="double" w:color="auto" w:sz="12" w:space="1"/>
      </w:pBdr>
      <w:jc w:val="right"/>
    </w:pPr>
    <w:r>
      <w:rPr>
        <w:rFonts w:hint="eastAsia"/>
        <w:lang w:val="zh-CN"/>
      </w:rPr>
      <w:t>选定半月湾景区生鲜食材供应服务单位招标文件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06575">
    <w:pPr>
      <w:pBdr>
        <w:bottom w:val="double" w:color="auto" w:sz="12" w:space="1"/>
      </w:pBdr>
      <w:tabs>
        <w:tab w:val="center" w:pos="4153"/>
        <w:tab w:val="right" w:pos="8306"/>
      </w:tabs>
      <w:snapToGrid w:val="0"/>
      <w:jc w:val="right"/>
      <w:rPr>
        <w:kern w:val="0"/>
        <w:sz w:val="18"/>
        <w:szCs w:val="18"/>
      </w:rPr>
    </w:pPr>
    <w:r>
      <w:rPr>
        <w:rFonts w:hint="eastAsia"/>
        <w:kern w:val="0"/>
        <w:sz w:val="18"/>
        <w:szCs w:val="18"/>
        <w:lang w:val="zh-CN"/>
      </w:rPr>
      <w:t>选定半月湾景区生鲜食材供应服务单位招标文件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430560"/>
    <w:rsid w:val="00000887"/>
    <w:rsid w:val="00042192"/>
    <w:rsid w:val="00086A07"/>
    <w:rsid w:val="00430560"/>
    <w:rsid w:val="004B6926"/>
    <w:rsid w:val="00516602"/>
    <w:rsid w:val="00722685"/>
    <w:rsid w:val="00876E8A"/>
    <w:rsid w:val="00947999"/>
    <w:rsid w:val="009B704C"/>
    <w:rsid w:val="00B527E7"/>
    <w:rsid w:val="00D74CAF"/>
    <w:rsid w:val="00DA75A9"/>
    <w:rsid w:val="00DB6912"/>
    <w:rsid w:val="00E85777"/>
    <w:rsid w:val="01136C17"/>
    <w:rsid w:val="0132282F"/>
    <w:rsid w:val="015F5799"/>
    <w:rsid w:val="01BA2034"/>
    <w:rsid w:val="01D02272"/>
    <w:rsid w:val="02C948F7"/>
    <w:rsid w:val="02D073D9"/>
    <w:rsid w:val="03063946"/>
    <w:rsid w:val="035411C9"/>
    <w:rsid w:val="03A561F8"/>
    <w:rsid w:val="03D62D78"/>
    <w:rsid w:val="04085DA8"/>
    <w:rsid w:val="04595715"/>
    <w:rsid w:val="046B3718"/>
    <w:rsid w:val="059066BD"/>
    <w:rsid w:val="05A748E7"/>
    <w:rsid w:val="05B87EBE"/>
    <w:rsid w:val="06862528"/>
    <w:rsid w:val="06A7343C"/>
    <w:rsid w:val="06C00BD9"/>
    <w:rsid w:val="06D00A0A"/>
    <w:rsid w:val="06F23D1B"/>
    <w:rsid w:val="075E138C"/>
    <w:rsid w:val="07C84728"/>
    <w:rsid w:val="082E2D04"/>
    <w:rsid w:val="085056DB"/>
    <w:rsid w:val="08C516E7"/>
    <w:rsid w:val="08D92652"/>
    <w:rsid w:val="09291656"/>
    <w:rsid w:val="098537CA"/>
    <w:rsid w:val="09965C78"/>
    <w:rsid w:val="09F544FE"/>
    <w:rsid w:val="0A606EDD"/>
    <w:rsid w:val="0A835A4C"/>
    <w:rsid w:val="0AD33CF6"/>
    <w:rsid w:val="0AFB56C1"/>
    <w:rsid w:val="0B026DE9"/>
    <w:rsid w:val="0B402512"/>
    <w:rsid w:val="0B6C0E9C"/>
    <w:rsid w:val="0B975E32"/>
    <w:rsid w:val="0BCB4FC1"/>
    <w:rsid w:val="0BE330CB"/>
    <w:rsid w:val="0BFF40B9"/>
    <w:rsid w:val="0C6E6717"/>
    <w:rsid w:val="0C9063E0"/>
    <w:rsid w:val="0CB309BA"/>
    <w:rsid w:val="0D445F37"/>
    <w:rsid w:val="0E625D6C"/>
    <w:rsid w:val="0EC02EFA"/>
    <w:rsid w:val="0F076D74"/>
    <w:rsid w:val="0F0B3899"/>
    <w:rsid w:val="0FB403EF"/>
    <w:rsid w:val="0FDB5E5A"/>
    <w:rsid w:val="0FE11EB3"/>
    <w:rsid w:val="0FF30B5F"/>
    <w:rsid w:val="10D05E1F"/>
    <w:rsid w:val="138D59BC"/>
    <w:rsid w:val="13BF14AF"/>
    <w:rsid w:val="13C574CA"/>
    <w:rsid w:val="13F97D90"/>
    <w:rsid w:val="14181619"/>
    <w:rsid w:val="142D5EDF"/>
    <w:rsid w:val="14404475"/>
    <w:rsid w:val="1475322B"/>
    <w:rsid w:val="1488751E"/>
    <w:rsid w:val="14C93FD5"/>
    <w:rsid w:val="15634011"/>
    <w:rsid w:val="15890603"/>
    <w:rsid w:val="16816A15"/>
    <w:rsid w:val="16C54287"/>
    <w:rsid w:val="17370F53"/>
    <w:rsid w:val="17724E4F"/>
    <w:rsid w:val="17A43666"/>
    <w:rsid w:val="17E075FC"/>
    <w:rsid w:val="18CD3967"/>
    <w:rsid w:val="190E7546"/>
    <w:rsid w:val="1911761E"/>
    <w:rsid w:val="1949085A"/>
    <w:rsid w:val="199C3139"/>
    <w:rsid w:val="1A503891"/>
    <w:rsid w:val="1AA37326"/>
    <w:rsid w:val="1ACD4F12"/>
    <w:rsid w:val="1B7B19B4"/>
    <w:rsid w:val="1BD00B60"/>
    <w:rsid w:val="1BEF5091"/>
    <w:rsid w:val="1C2E213F"/>
    <w:rsid w:val="1C4F7032"/>
    <w:rsid w:val="1C994651"/>
    <w:rsid w:val="1D62287C"/>
    <w:rsid w:val="1D9B0017"/>
    <w:rsid w:val="1DCA0646"/>
    <w:rsid w:val="1DEA7364"/>
    <w:rsid w:val="1E0E2BCB"/>
    <w:rsid w:val="1E2C6A10"/>
    <w:rsid w:val="1E3C2746"/>
    <w:rsid w:val="1E564F45"/>
    <w:rsid w:val="1E7B1AC1"/>
    <w:rsid w:val="1EEE77C9"/>
    <w:rsid w:val="1EFF548F"/>
    <w:rsid w:val="1F095079"/>
    <w:rsid w:val="1F0A6ED2"/>
    <w:rsid w:val="1F614A36"/>
    <w:rsid w:val="1F7777B8"/>
    <w:rsid w:val="1FB97904"/>
    <w:rsid w:val="202B378D"/>
    <w:rsid w:val="20314827"/>
    <w:rsid w:val="204A03C6"/>
    <w:rsid w:val="207C7751"/>
    <w:rsid w:val="20B85CFF"/>
    <w:rsid w:val="20D37A2C"/>
    <w:rsid w:val="20D675CB"/>
    <w:rsid w:val="21050673"/>
    <w:rsid w:val="21533ECE"/>
    <w:rsid w:val="217007B4"/>
    <w:rsid w:val="219B423D"/>
    <w:rsid w:val="21AE7DBF"/>
    <w:rsid w:val="21F136AD"/>
    <w:rsid w:val="222C05B7"/>
    <w:rsid w:val="230C14AF"/>
    <w:rsid w:val="230F0EFD"/>
    <w:rsid w:val="23133523"/>
    <w:rsid w:val="23634B29"/>
    <w:rsid w:val="23891759"/>
    <w:rsid w:val="24100996"/>
    <w:rsid w:val="24570956"/>
    <w:rsid w:val="24641C6E"/>
    <w:rsid w:val="24885FB9"/>
    <w:rsid w:val="24B3776A"/>
    <w:rsid w:val="24BF0E59"/>
    <w:rsid w:val="252F0F37"/>
    <w:rsid w:val="25460557"/>
    <w:rsid w:val="256E7E0A"/>
    <w:rsid w:val="25D35952"/>
    <w:rsid w:val="263E3F2E"/>
    <w:rsid w:val="268C5790"/>
    <w:rsid w:val="26B83249"/>
    <w:rsid w:val="26C4404C"/>
    <w:rsid w:val="271B0D9D"/>
    <w:rsid w:val="27490804"/>
    <w:rsid w:val="274F484C"/>
    <w:rsid w:val="27B13DAF"/>
    <w:rsid w:val="27EE71E9"/>
    <w:rsid w:val="27F74ABD"/>
    <w:rsid w:val="280837F8"/>
    <w:rsid w:val="2824202F"/>
    <w:rsid w:val="28B21905"/>
    <w:rsid w:val="28BC0579"/>
    <w:rsid w:val="28E23618"/>
    <w:rsid w:val="291A0F09"/>
    <w:rsid w:val="29281946"/>
    <w:rsid w:val="29337CA5"/>
    <w:rsid w:val="29590226"/>
    <w:rsid w:val="2A0057A4"/>
    <w:rsid w:val="2A314EED"/>
    <w:rsid w:val="2A8F7AB5"/>
    <w:rsid w:val="2BCD0C59"/>
    <w:rsid w:val="2BD53A84"/>
    <w:rsid w:val="2BF024DF"/>
    <w:rsid w:val="2C136B5C"/>
    <w:rsid w:val="2C526B84"/>
    <w:rsid w:val="2C5A7338"/>
    <w:rsid w:val="2C5C4615"/>
    <w:rsid w:val="2C830652"/>
    <w:rsid w:val="2CAB27B8"/>
    <w:rsid w:val="2CC736D4"/>
    <w:rsid w:val="2D2805F6"/>
    <w:rsid w:val="2D587701"/>
    <w:rsid w:val="2D7A36AD"/>
    <w:rsid w:val="2D954F3A"/>
    <w:rsid w:val="2DD33BD1"/>
    <w:rsid w:val="2E416676"/>
    <w:rsid w:val="2E420581"/>
    <w:rsid w:val="2EB03935"/>
    <w:rsid w:val="2EBA3C7F"/>
    <w:rsid w:val="2FD24F60"/>
    <w:rsid w:val="2FEE332F"/>
    <w:rsid w:val="2FF53985"/>
    <w:rsid w:val="303C3AAD"/>
    <w:rsid w:val="305E1604"/>
    <w:rsid w:val="30E717E3"/>
    <w:rsid w:val="30F35964"/>
    <w:rsid w:val="31B734F0"/>
    <w:rsid w:val="31D727B1"/>
    <w:rsid w:val="322C188C"/>
    <w:rsid w:val="322E79B4"/>
    <w:rsid w:val="3282129C"/>
    <w:rsid w:val="3288388F"/>
    <w:rsid w:val="32A56940"/>
    <w:rsid w:val="333947A3"/>
    <w:rsid w:val="33484987"/>
    <w:rsid w:val="338C32AD"/>
    <w:rsid w:val="33DE2751"/>
    <w:rsid w:val="344E3502"/>
    <w:rsid w:val="34603588"/>
    <w:rsid w:val="34764A25"/>
    <w:rsid w:val="348914FD"/>
    <w:rsid w:val="357F05A1"/>
    <w:rsid w:val="365E723A"/>
    <w:rsid w:val="36A04C6E"/>
    <w:rsid w:val="36F571DA"/>
    <w:rsid w:val="373A0267"/>
    <w:rsid w:val="37430EF4"/>
    <w:rsid w:val="37731651"/>
    <w:rsid w:val="37770C47"/>
    <w:rsid w:val="37792FEA"/>
    <w:rsid w:val="37D21A6C"/>
    <w:rsid w:val="37E12ACD"/>
    <w:rsid w:val="38B17332"/>
    <w:rsid w:val="38ED2E20"/>
    <w:rsid w:val="3986253E"/>
    <w:rsid w:val="39AD44B0"/>
    <w:rsid w:val="39B52CF2"/>
    <w:rsid w:val="39CF0592"/>
    <w:rsid w:val="39E64690"/>
    <w:rsid w:val="39F50028"/>
    <w:rsid w:val="39F5052B"/>
    <w:rsid w:val="3A403009"/>
    <w:rsid w:val="3A4851CD"/>
    <w:rsid w:val="3A7C2917"/>
    <w:rsid w:val="3A8861A0"/>
    <w:rsid w:val="3AC55152"/>
    <w:rsid w:val="3B59692D"/>
    <w:rsid w:val="3BCD7BB7"/>
    <w:rsid w:val="3BD62607"/>
    <w:rsid w:val="3BF65D7D"/>
    <w:rsid w:val="3BFD1A76"/>
    <w:rsid w:val="3C3636B3"/>
    <w:rsid w:val="3C4D2F6A"/>
    <w:rsid w:val="3CA106D0"/>
    <w:rsid w:val="3CA11F35"/>
    <w:rsid w:val="3D77349E"/>
    <w:rsid w:val="3D7D7AC5"/>
    <w:rsid w:val="3DEA76C9"/>
    <w:rsid w:val="3DFE1DD3"/>
    <w:rsid w:val="3E0940CE"/>
    <w:rsid w:val="3E8D338A"/>
    <w:rsid w:val="3EA14837"/>
    <w:rsid w:val="3EAC3E38"/>
    <w:rsid w:val="3F834FC2"/>
    <w:rsid w:val="3FA740F7"/>
    <w:rsid w:val="3FCA71CC"/>
    <w:rsid w:val="3FD879D3"/>
    <w:rsid w:val="40157BD3"/>
    <w:rsid w:val="418F5EA7"/>
    <w:rsid w:val="41D82773"/>
    <w:rsid w:val="4250113D"/>
    <w:rsid w:val="42A40E66"/>
    <w:rsid w:val="42D77CD3"/>
    <w:rsid w:val="42EF7F94"/>
    <w:rsid w:val="43451941"/>
    <w:rsid w:val="43CA351B"/>
    <w:rsid w:val="43D00477"/>
    <w:rsid w:val="44314FEC"/>
    <w:rsid w:val="443A0098"/>
    <w:rsid w:val="4480513A"/>
    <w:rsid w:val="44933D65"/>
    <w:rsid w:val="45191B64"/>
    <w:rsid w:val="457F49A0"/>
    <w:rsid w:val="45920ECE"/>
    <w:rsid w:val="459873DA"/>
    <w:rsid w:val="460756C5"/>
    <w:rsid w:val="46B34F25"/>
    <w:rsid w:val="46DF1955"/>
    <w:rsid w:val="46E22A65"/>
    <w:rsid w:val="47452C61"/>
    <w:rsid w:val="47676FEB"/>
    <w:rsid w:val="47BC2800"/>
    <w:rsid w:val="486E7527"/>
    <w:rsid w:val="48AC406B"/>
    <w:rsid w:val="48E56CC4"/>
    <w:rsid w:val="49044EAD"/>
    <w:rsid w:val="49850068"/>
    <w:rsid w:val="49B51C36"/>
    <w:rsid w:val="49C517D7"/>
    <w:rsid w:val="49C83D3C"/>
    <w:rsid w:val="49E35145"/>
    <w:rsid w:val="49F66030"/>
    <w:rsid w:val="49FE508D"/>
    <w:rsid w:val="4A153B9B"/>
    <w:rsid w:val="4A2566B0"/>
    <w:rsid w:val="4A5F6B55"/>
    <w:rsid w:val="4C404300"/>
    <w:rsid w:val="4CEE3A98"/>
    <w:rsid w:val="4D091FE1"/>
    <w:rsid w:val="4DB37FE2"/>
    <w:rsid w:val="4DBC5EA1"/>
    <w:rsid w:val="4EC65E0E"/>
    <w:rsid w:val="4EEF7D3B"/>
    <w:rsid w:val="4F5A68BA"/>
    <w:rsid w:val="4FC22D41"/>
    <w:rsid w:val="4FC65164"/>
    <w:rsid w:val="4FDC362D"/>
    <w:rsid w:val="50085FFC"/>
    <w:rsid w:val="50100B0C"/>
    <w:rsid w:val="5014150B"/>
    <w:rsid w:val="504441D7"/>
    <w:rsid w:val="50927500"/>
    <w:rsid w:val="50F37758"/>
    <w:rsid w:val="5103423B"/>
    <w:rsid w:val="51707ED4"/>
    <w:rsid w:val="51F95B95"/>
    <w:rsid w:val="521949F0"/>
    <w:rsid w:val="52F04EF0"/>
    <w:rsid w:val="530F0E87"/>
    <w:rsid w:val="534A1B72"/>
    <w:rsid w:val="538032BB"/>
    <w:rsid w:val="53AB43E1"/>
    <w:rsid w:val="53CC1D2B"/>
    <w:rsid w:val="54486E38"/>
    <w:rsid w:val="546678DA"/>
    <w:rsid w:val="54746A99"/>
    <w:rsid w:val="54753CD0"/>
    <w:rsid w:val="54D11F1A"/>
    <w:rsid w:val="54E05D9E"/>
    <w:rsid w:val="54F805EC"/>
    <w:rsid w:val="553E5BB3"/>
    <w:rsid w:val="5540182E"/>
    <w:rsid w:val="55A173F8"/>
    <w:rsid w:val="56A023FD"/>
    <w:rsid w:val="570760FA"/>
    <w:rsid w:val="570C6BC3"/>
    <w:rsid w:val="577A2F01"/>
    <w:rsid w:val="578216FD"/>
    <w:rsid w:val="57AA616B"/>
    <w:rsid w:val="57CF2AF1"/>
    <w:rsid w:val="57E53881"/>
    <w:rsid w:val="57F6226E"/>
    <w:rsid w:val="58727595"/>
    <w:rsid w:val="5933278D"/>
    <w:rsid w:val="5A2E28AC"/>
    <w:rsid w:val="5AAE03B4"/>
    <w:rsid w:val="5ACC6969"/>
    <w:rsid w:val="5B067321"/>
    <w:rsid w:val="5B7463AA"/>
    <w:rsid w:val="5C2115A5"/>
    <w:rsid w:val="5C8D453B"/>
    <w:rsid w:val="5CA3000A"/>
    <w:rsid w:val="5D420585"/>
    <w:rsid w:val="5D645B11"/>
    <w:rsid w:val="5D9B0EFB"/>
    <w:rsid w:val="5DD3692B"/>
    <w:rsid w:val="5E0C5E65"/>
    <w:rsid w:val="5E2B61CC"/>
    <w:rsid w:val="5E5B7A00"/>
    <w:rsid w:val="5E6E0B7A"/>
    <w:rsid w:val="5E6F0010"/>
    <w:rsid w:val="5E8210DA"/>
    <w:rsid w:val="5EBA481D"/>
    <w:rsid w:val="5F226554"/>
    <w:rsid w:val="5F3C24F9"/>
    <w:rsid w:val="5F400BFD"/>
    <w:rsid w:val="5F4405E0"/>
    <w:rsid w:val="5F4442D0"/>
    <w:rsid w:val="5FA96DC0"/>
    <w:rsid w:val="60A36B3D"/>
    <w:rsid w:val="614A4669"/>
    <w:rsid w:val="618B0C83"/>
    <w:rsid w:val="61F110F8"/>
    <w:rsid w:val="637053DF"/>
    <w:rsid w:val="645407AD"/>
    <w:rsid w:val="64786F2D"/>
    <w:rsid w:val="64B62D11"/>
    <w:rsid w:val="64EA1F20"/>
    <w:rsid w:val="64F22A8E"/>
    <w:rsid w:val="65207761"/>
    <w:rsid w:val="653232A9"/>
    <w:rsid w:val="65437045"/>
    <w:rsid w:val="65784424"/>
    <w:rsid w:val="658A0682"/>
    <w:rsid w:val="659806C7"/>
    <w:rsid w:val="66D9740B"/>
    <w:rsid w:val="66DA27ED"/>
    <w:rsid w:val="671670FE"/>
    <w:rsid w:val="67744656"/>
    <w:rsid w:val="68141707"/>
    <w:rsid w:val="684B7573"/>
    <w:rsid w:val="688900D6"/>
    <w:rsid w:val="68A21EA0"/>
    <w:rsid w:val="68B20AC4"/>
    <w:rsid w:val="69155DD8"/>
    <w:rsid w:val="69260688"/>
    <w:rsid w:val="69444B3E"/>
    <w:rsid w:val="69463BA2"/>
    <w:rsid w:val="699672FC"/>
    <w:rsid w:val="69A33E1C"/>
    <w:rsid w:val="69EF2D12"/>
    <w:rsid w:val="69FC354C"/>
    <w:rsid w:val="6A511325"/>
    <w:rsid w:val="6A886365"/>
    <w:rsid w:val="6AD776E3"/>
    <w:rsid w:val="6B6B4B22"/>
    <w:rsid w:val="6B9944B0"/>
    <w:rsid w:val="6BA220B4"/>
    <w:rsid w:val="6BBD7961"/>
    <w:rsid w:val="6BD81EE1"/>
    <w:rsid w:val="6BFC0E6B"/>
    <w:rsid w:val="6CBC6E5A"/>
    <w:rsid w:val="6CBD0715"/>
    <w:rsid w:val="6CF837EB"/>
    <w:rsid w:val="6D195944"/>
    <w:rsid w:val="6D210CB6"/>
    <w:rsid w:val="6D296296"/>
    <w:rsid w:val="6D577013"/>
    <w:rsid w:val="6D852A76"/>
    <w:rsid w:val="6E5A0FD8"/>
    <w:rsid w:val="6EE7017E"/>
    <w:rsid w:val="6F1A2E20"/>
    <w:rsid w:val="6F437C0F"/>
    <w:rsid w:val="6F7D0E1E"/>
    <w:rsid w:val="6FC8410A"/>
    <w:rsid w:val="6FDC410B"/>
    <w:rsid w:val="6FF946FB"/>
    <w:rsid w:val="70243941"/>
    <w:rsid w:val="71941E37"/>
    <w:rsid w:val="71E62C30"/>
    <w:rsid w:val="722C0832"/>
    <w:rsid w:val="732F2E06"/>
    <w:rsid w:val="73465BE2"/>
    <w:rsid w:val="74183F36"/>
    <w:rsid w:val="741E54E5"/>
    <w:rsid w:val="743132D4"/>
    <w:rsid w:val="74A623FA"/>
    <w:rsid w:val="74C0489A"/>
    <w:rsid w:val="752811DB"/>
    <w:rsid w:val="75346CBA"/>
    <w:rsid w:val="765C57B4"/>
    <w:rsid w:val="7672151A"/>
    <w:rsid w:val="768436F8"/>
    <w:rsid w:val="76907685"/>
    <w:rsid w:val="76AB1400"/>
    <w:rsid w:val="770D4E94"/>
    <w:rsid w:val="7728008F"/>
    <w:rsid w:val="779531A8"/>
    <w:rsid w:val="77E732BB"/>
    <w:rsid w:val="78BA0842"/>
    <w:rsid w:val="78FD76DE"/>
    <w:rsid w:val="79FF02E9"/>
    <w:rsid w:val="7A011C51"/>
    <w:rsid w:val="7A2B39B1"/>
    <w:rsid w:val="7A5363C6"/>
    <w:rsid w:val="7B13760A"/>
    <w:rsid w:val="7B137729"/>
    <w:rsid w:val="7B257D48"/>
    <w:rsid w:val="7B384BA0"/>
    <w:rsid w:val="7C342D12"/>
    <w:rsid w:val="7C411250"/>
    <w:rsid w:val="7CF10D90"/>
    <w:rsid w:val="7D5A6B3C"/>
    <w:rsid w:val="7E1F0F17"/>
    <w:rsid w:val="7E4569AD"/>
    <w:rsid w:val="7E9F142E"/>
    <w:rsid w:val="7EB97379"/>
    <w:rsid w:val="7EEA04B3"/>
    <w:rsid w:val="7F0A1613"/>
    <w:rsid w:val="7F652F92"/>
    <w:rsid w:val="7FB22BD1"/>
    <w:rsid w:val="7FE2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jc w:val="center"/>
      <w:outlineLvl w:val="0"/>
    </w:pPr>
    <w:rPr>
      <w:rFonts w:ascii="宋体" w:hAnsi="宋体"/>
      <w:b/>
      <w:bCs/>
      <w:kern w:val="44"/>
      <w:sz w:val="36"/>
      <w:szCs w:val="44"/>
    </w:rPr>
  </w:style>
  <w:style w:type="paragraph" w:styleId="3">
    <w:name w:val="heading 4"/>
    <w:basedOn w:val="1"/>
    <w:next w:val="1"/>
    <w:qFormat/>
    <w:uiPriority w:val="0"/>
    <w:pPr>
      <w:autoSpaceDE w:val="0"/>
      <w:autoSpaceDN w:val="0"/>
      <w:spacing w:before="62"/>
      <w:ind w:left="80"/>
      <w:jc w:val="left"/>
      <w:outlineLvl w:val="3"/>
    </w:pPr>
    <w:rPr>
      <w:rFonts w:ascii="宋体" w:hAnsi="宋体" w:cs="宋体"/>
      <w:b/>
      <w:kern w:val="0"/>
      <w:sz w:val="28"/>
      <w:szCs w:val="28"/>
      <w:lang w:val="zh-CN" w:bidi="zh-CN"/>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3"/>
    <w:qFormat/>
    <w:uiPriority w:val="99"/>
    <w:pPr>
      <w:ind w:firstLine="420"/>
    </w:pPr>
    <w:rPr>
      <w:rFonts w:ascii="等线" w:hAnsi="等线" w:eastAsia="等线"/>
      <w:kern w:val="0"/>
      <w:sz w:val="20"/>
      <w:szCs w:val="20"/>
    </w:rPr>
  </w:style>
  <w:style w:type="paragraph" w:styleId="5">
    <w:name w:val="Body Text"/>
    <w:basedOn w:val="1"/>
    <w:next w:val="6"/>
    <w:qFormat/>
    <w:uiPriority w:val="99"/>
    <w:pPr>
      <w:spacing w:line="420" w:lineRule="auto"/>
    </w:pPr>
    <w:rPr>
      <w:rFonts w:ascii="Times New Roman" w:hAnsi="Times New Roman"/>
      <w:kern w:val="0"/>
      <w:sz w:val="24"/>
    </w:rPr>
  </w:style>
  <w:style w:type="paragraph" w:styleId="6">
    <w:name w:val="Date"/>
    <w:basedOn w:val="1"/>
    <w:next w:val="1"/>
    <w:qFormat/>
    <w:uiPriority w:val="0"/>
    <w:rPr>
      <w:rFonts w:ascii="宋体" w:hAnsi="Courier New" w:eastAsia="楷体_GB2312"/>
      <w:kern w:val="0"/>
      <w:sz w:val="32"/>
      <w:szCs w:val="20"/>
    </w:rPr>
  </w:style>
  <w:style w:type="paragraph" w:styleId="7">
    <w:name w:val="Body Text Indent"/>
    <w:basedOn w:val="1"/>
    <w:next w:val="8"/>
    <w:qFormat/>
    <w:uiPriority w:val="99"/>
    <w:pPr>
      <w:spacing w:line="440" w:lineRule="exact"/>
      <w:ind w:firstLine="630"/>
    </w:pPr>
    <w:rPr>
      <w:rFonts w:ascii="宋体" w:hAnsi="宋体" w:eastAsia="等线"/>
      <w:kern w:val="0"/>
      <w:sz w:val="28"/>
    </w:rPr>
  </w:style>
  <w:style w:type="paragraph" w:styleId="8">
    <w:name w:val="envelope return"/>
    <w:basedOn w:val="1"/>
    <w:qFormat/>
    <w:uiPriority w:val="0"/>
    <w:pPr>
      <w:snapToGrid w:val="0"/>
      <w:spacing w:line="360" w:lineRule="auto"/>
      <w:ind w:firstLine="200" w:firstLineChars="200"/>
    </w:pPr>
    <w:rPr>
      <w:rFonts w:ascii="Arial" w:hAnsi="Arial" w:cs="Arial"/>
      <w:sz w:val="24"/>
    </w:rPr>
  </w:style>
  <w:style w:type="paragraph" w:styleId="9">
    <w:name w:val="Plain Text"/>
    <w:basedOn w:val="1"/>
    <w:qFormat/>
    <w:uiPriority w:val="0"/>
    <w:rPr>
      <w:rFonts w:ascii="宋体" w:hAnsi="Courier New"/>
      <w:kern w:val="0"/>
      <w:sz w:val="20"/>
      <w:szCs w:val="21"/>
    </w:rPr>
  </w:style>
  <w:style w:type="paragraph" w:styleId="10">
    <w:name w:val="footer"/>
    <w:basedOn w:val="1"/>
    <w:unhideWhenUsed/>
    <w:qFormat/>
    <w:uiPriority w:val="99"/>
    <w:pPr>
      <w:tabs>
        <w:tab w:val="center" w:pos="4153"/>
        <w:tab w:val="right" w:pos="8306"/>
      </w:tabs>
      <w:snapToGrid w:val="0"/>
      <w:jc w:val="left"/>
    </w:pPr>
    <w:rPr>
      <w:kern w:val="0"/>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qFormat/>
    <w:uiPriority w:val="0"/>
    <w:pPr>
      <w:tabs>
        <w:tab w:val="right" w:leader="dot" w:pos="8834"/>
      </w:tabs>
      <w:spacing w:before="120" w:after="120"/>
      <w:jc w:val="left"/>
    </w:pPr>
    <w:rPr>
      <w:rFonts w:ascii="Times New Roman" w:hAnsi="Times New Roman"/>
      <w:b/>
      <w:bCs/>
      <w:caps/>
      <w:kern w:val="0"/>
      <w:sz w:val="28"/>
      <w:szCs w:val="28"/>
    </w:rPr>
  </w:style>
  <w:style w:type="paragraph" w:styleId="13">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4">
    <w:name w:val="Normal (Web)"/>
    <w:basedOn w:val="1"/>
    <w:qFormat/>
    <w:uiPriority w:val="99"/>
    <w:pPr>
      <w:widowControl/>
      <w:spacing w:before="240" w:after="240"/>
      <w:jc w:val="left"/>
    </w:pPr>
    <w:rPr>
      <w:rFonts w:ascii="宋体" w:hAnsi="宋体" w:cs="宋体"/>
      <w:kern w:val="0"/>
      <w:sz w:val="24"/>
    </w:rPr>
  </w:style>
  <w:style w:type="paragraph" w:styleId="15">
    <w:name w:val="Title"/>
    <w:basedOn w:val="1"/>
    <w:next w:val="1"/>
    <w:link w:val="21"/>
    <w:autoRedefine/>
    <w:qFormat/>
    <w:uiPriority w:val="0"/>
    <w:pPr>
      <w:spacing w:before="240" w:after="60"/>
      <w:jc w:val="center"/>
      <w:textAlignment w:val="top"/>
      <w:outlineLvl w:val="0"/>
    </w:pPr>
    <w:rPr>
      <w:rFonts w:ascii="Cambria" w:hAnsi="Cambria" w:eastAsia="方正小标宋简体"/>
      <w:b/>
      <w:bCs/>
      <w:sz w:val="32"/>
      <w:szCs w:val="32"/>
    </w:rPr>
  </w:style>
  <w:style w:type="paragraph" w:styleId="16">
    <w:name w:val="Body Text First Indent 2"/>
    <w:basedOn w:val="7"/>
    <w:next w:val="1"/>
    <w:qFormat/>
    <w:uiPriority w:val="0"/>
    <w:pPr>
      <w:ind w:firstLine="420" w:firstLineChars="200"/>
    </w:pPr>
    <w:rPr>
      <w:kern w:val="2"/>
    </w:rPr>
  </w:style>
  <w:style w:type="character" w:styleId="19">
    <w:name w:val="FollowedHyperlink"/>
    <w:basedOn w:val="18"/>
    <w:qFormat/>
    <w:uiPriority w:val="0"/>
    <w:rPr>
      <w:color w:val="800080"/>
      <w:u w:val="none"/>
    </w:rPr>
  </w:style>
  <w:style w:type="character" w:styleId="20">
    <w:name w:val="Hyperlink"/>
    <w:basedOn w:val="18"/>
    <w:qFormat/>
    <w:uiPriority w:val="0"/>
    <w:rPr>
      <w:color w:val="0000FF"/>
      <w:u w:val="none"/>
    </w:rPr>
  </w:style>
  <w:style w:type="character" w:customStyle="1" w:styleId="21">
    <w:name w:val="标题 Char"/>
    <w:basedOn w:val="18"/>
    <w:link w:val="15"/>
    <w:autoRedefine/>
    <w:qFormat/>
    <w:uiPriority w:val="0"/>
    <w:rPr>
      <w:rFonts w:ascii="Cambria" w:hAnsi="Cambria" w:eastAsia="方正小标宋简体" w:cs="Times New Roman"/>
      <w:b/>
      <w:bCs/>
      <w:sz w:val="32"/>
      <w:szCs w:val="32"/>
    </w:rPr>
  </w:style>
  <w:style w:type="paragraph" w:customStyle="1" w:styleId="22">
    <w:name w:val="Default"/>
    <w:next w:val="2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3">
    <w:name w:val="大标题"/>
    <w:basedOn w:val="15"/>
    <w:next w:val="16"/>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24">
    <w:name w:val="flatpickr-day"/>
    <w:basedOn w:val="18"/>
    <w:qFormat/>
    <w:uiPriority w:val="0"/>
  </w:style>
  <w:style w:type="character" w:customStyle="1" w:styleId="25">
    <w:name w:val="flatpickr-weekday2"/>
    <w:basedOn w:val="18"/>
    <w:qFormat/>
    <w:uiPriority w:val="0"/>
    <w:rPr>
      <w:b/>
      <w:bCs/>
      <w:sz w:val="21"/>
      <w:szCs w:val="21"/>
    </w:rPr>
  </w:style>
  <w:style w:type="character" w:customStyle="1" w:styleId="26">
    <w:name w:val="flatpickr-day2"/>
    <w:basedOn w:val="18"/>
    <w:qFormat/>
    <w:uiPriority w:val="0"/>
  </w:style>
  <w:style w:type="character" w:customStyle="1" w:styleId="27">
    <w:name w:val="flatpickr-weekday"/>
    <w:basedOn w:val="18"/>
    <w:qFormat/>
    <w:uiPriority w:val="0"/>
    <w:rPr>
      <w:b/>
      <w:bCs/>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4"/>
    <customShpInfo spid="_x0000_s2052"/>
    <customShpInfo spid="_x0000_s2053"/>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23479</Words>
  <Characters>24964</Characters>
  <Lines>268</Lines>
  <Paragraphs>75</Paragraphs>
  <TotalTime>111</TotalTime>
  <ScaleCrop>false</ScaleCrop>
  <LinksUpToDate>false</LinksUpToDate>
  <CharactersWithSpaces>25089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2022-06-30T09:32:00Z</dcterms:created>
  <dc:creator>Administrator</dc:creator>
  <cp:lastModifiedBy>HT</cp:lastModifiedBy>
  <cp:lastPrinted>2026-09-16T04:41:00Z</cp:lastPrinted>
  <dcterms:modified xsi:type="dcterms:W3CDTF">2026-09-16T06:28:50Z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C6324902237B4A928991F7D1BDAD589F</vt:lpwstr>
  </property>
  <property fmtid="{D5CDD505-2E9C-101B-9397-08002B2CF9AE}" pid="4" name="KSOTemplateDocerSaveRecord">
    <vt:lpwstr>eyJoZGlkIjoiYjk0NmM0ZmQ5ZTJkZDVmMGViZDYxYjFlNTFjY2Y3MDIiLCJ1c2VySWQiOiI0NjQxMDE0NTcifQ==</vt:lpwstr>
  </property>
</Properties>
</file>