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9BA7B">
      <w:pPr>
        <w:widowControl/>
        <w:wordWrap w:val="0"/>
        <w:spacing w:before="75"/>
        <w:jc w:val="righ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招标编号：PURM202606050002</w:t>
      </w:r>
      <w:r>
        <w:rPr>
          <w:rFonts w:hint="eastAsia" w:ascii="仿宋_GB2312" w:hAnsi="仿宋_GB2312" w:eastAsia="仿宋_GB2312" w:cs="仿宋_GB2312"/>
          <w:sz w:val="28"/>
          <w:szCs w:val="28"/>
          <w:highlight w:val="none"/>
          <w:lang w:val="en-US" w:eastAsia="zh-CN"/>
        </w:rPr>
        <w:t xml:space="preserve"> </w:t>
      </w:r>
    </w:p>
    <w:p w14:paraId="6D160891">
      <w:pPr>
        <w:spacing w:line="500" w:lineRule="exact"/>
        <w:jc w:val="center"/>
        <w:rPr>
          <w:rFonts w:hint="eastAsia" w:ascii="仿宋_GB2312" w:hAnsi="仿宋_GB2312" w:eastAsia="仿宋_GB2312" w:cs="仿宋_GB2312"/>
          <w:sz w:val="44"/>
          <w:szCs w:val="44"/>
          <w:highlight w:val="none"/>
        </w:rPr>
      </w:pPr>
    </w:p>
    <w:p w14:paraId="62265633">
      <w:pPr>
        <w:pStyle w:val="2"/>
        <w:rPr>
          <w:rFonts w:hint="eastAsia" w:ascii="仿宋_GB2312" w:hAnsi="仿宋_GB2312" w:eastAsia="仿宋_GB2312" w:cs="仿宋_GB2312"/>
          <w:highlight w:val="none"/>
          <w:lang w:eastAsia="zh-CN"/>
        </w:rPr>
      </w:pPr>
    </w:p>
    <w:p w14:paraId="0B5FC6E7">
      <w:pPr>
        <w:spacing w:line="560" w:lineRule="exact"/>
        <w:jc w:val="center"/>
        <w:rPr>
          <w:rFonts w:hint="eastAsia" w:ascii="仿宋_GB2312" w:hAnsi="仿宋_GB2312" w:eastAsia="仿宋_GB2312" w:cs="仿宋_GB2312"/>
          <w:b/>
          <w:sz w:val="44"/>
          <w:szCs w:val="32"/>
          <w:highlight w:val="none"/>
        </w:rPr>
      </w:pPr>
      <w:r>
        <w:rPr>
          <w:rFonts w:hint="eastAsia" w:ascii="仿宋_GB2312" w:hAnsi="仿宋_GB2312" w:eastAsia="仿宋_GB2312" w:cs="仿宋_GB2312"/>
          <w:b/>
          <w:sz w:val="52"/>
          <w:szCs w:val="40"/>
          <w:highlight w:val="none"/>
        </w:rPr>
        <w:t>选定苗木供应单位</w:t>
      </w:r>
    </w:p>
    <w:p w14:paraId="5745AE2B">
      <w:pPr>
        <w:spacing w:line="1000" w:lineRule="exact"/>
        <w:jc w:val="center"/>
        <w:rPr>
          <w:rFonts w:hint="eastAsia" w:ascii="仿宋_GB2312" w:hAnsi="仿宋_GB2312" w:eastAsia="仿宋_GB2312" w:cs="仿宋_GB2312"/>
          <w:sz w:val="72"/>
          <w:szCs w:val="72"/>
          <w:highlight w:val="none"/>
        </w:rPr>
      </w:pPr>
    </w:p>
    <w:p w14:paraId="1D4E2187">
      <w:pPr>
        <w:spacing w:line="1000" w:lineRule="exact"/>
        <w:jc w:val="center"/>
        <w:rPr>
          <w:rFonts w:hint="eastAsia" w:ascii="仿宋_GB2312" w:hAnsi="仿宋_GB2312" w:eastAsia="仿宋_GB2312" w:cs="仿宋_GB2312"/>
          <w:b/>
          <w:sz w:val="72"/>
          <w:szCs w:val="72"/>
          <w:highlight w:val="none"/>
        </w:rPr>
      </w:pPr>
      <w:r>
        <w:rPr>
          <w:rFonts w:hint="eastAsia" w:ascii="仿宋_GB2312" w:hAnsi="仿宋_GB2312" w:eastAsia="仿宋_GB2312" w:cs="仿宋_GB2312"/>
          <w:b/>
          <w:sz w:val="72"/>
          <w:szCs w:val="72"/>
          <w:highlight w:val="none"/>
        </w:rPr>
        <w:t>招 标 文 件</w:t>
      </w:r>
    </w:p>
    <w:p w14:paraId="05921C3B">
      <w:pPr>
        <w:pStyle w:val="13"/>
        <w:ind w:firstLine="1440"/>
        <w:rPr>
          <w:rFonts w:hint="eastAsia" w:ascii="仿宋_GB2312" w:hAnsi="仿宋_GB2312" w:eastAsia="仿宋_GB2312" w:cs="仿宋_GB2312"/>
          <w:sz w:val="72"/>
          <w:szCs w:val="72"/>
          <w:highlight w:val="none"/>
        </w:rPr>
      </w:pPr>
    </w:p>
    <w:p w14:paraId="1299E7D6">
      <w:pPr>
        <w:rPr>
          <w:rFonts w:hint="eastAsia" w:ascii="仿宋_GB2312" w:hAnsi="仿宋_GB2312" w:eastAsia="仿宋_GB2312" w:cs="仿宋_GB2312"/>
          <w:highlight w:val="none"/>
        </w:rPr>
      </w:pPr>
    </w:p>
    <w:p w14:paraId="219161CC">
      <w:pPr>
        <w:tabs>
          <w:tab w:val="left" w:pos="3480"/>
        </w:tabs>
        <w:spacing w:line="360" w:lineRule="auto"/>
        <w:jc w:val="center"/>
        <w:rPr>
          <w:rFonts w:hint="eastAsia" w:ascii="仿宋_GB2312" w:hAnsi="仿宋_GB2312" w:eastAsia="仿宋_GB2312" w:cs="仿宋_GB2312"/>
          <w:highlight w:val="none"/>
        </w:rPr>
      </w:pPr>
      <w:r>
        <w:rPr>
          <w:rFonts w:hint="eastAsia" w:ascii="仿宋_GB2312" w:hAnsi="仿宋_GB2312" w:eastAsia="仿宋_GB2312" w:cs="仿宋_GB2312"/>
          <w:b/>
          <w:sz w:val="84"/>
          <w:szCs w:val="84"/>
          <w:highlight w:val="none"/>
        </w:rPr>
        <w:drawing>
          <wp:inline distT="0" distB="0" distL="0" distR="0">
            <wp:extent cx="2087880" cy="2606675"/>
            <wp:effectExtent l="19050" t="0" r="7620" b="0"/>
            <wp:docPr id="2" name="图片 9" descr="mmexport1611210759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mmexport1611210759148"/>
                    <pic:cNvPicPr>
                      <a:picLocks noChangeAspect="1" noChangeArrowheads="1"/>
                    </pic:cNvPicPr>
                  </pic:nvPicPr>
                  <pic:blipFill>
                    <a:blip r:embed="rId12"/>
                    <a:srcRect/>
                    <a:stretch>
                      <a:fillRect/>
                    </a:stretch>
                  </pic:blipFill>
                  <pic:spPr>
                    <a:xfrm>
                      <a:off x="0" y="0"/>
                      <a:ext cx="2087880" cy="2606675"/>
                    </a:xfrm>
                    <a:prstGeom prst="rect">
                      <a:avLst/>
                    </a:prstGeom>
                    <a:noFill/>
                    <a:ln w="9525">
                      <a:noFill/>
                      <a:miter lim="800000"/>
                      <a:headEnd/>
                      <a:tailEnd/>
                    </a:ln>
                  </pic:spPr>
                </pic:pic>
              </a:graphicData>
            </a:graphic>
          </wp:inline>
        </w:drawing>
      </w:r>
    </w:p>
    <w:p w14:paraId="14AEBB77">
      <w:pPr>
        <w:pStyle w:val="2"/>
        <w:rPr>
          <w:rFonts w:hint="eastAsia" w:ascii="仿宋_GB2312" w:hAnsi="仿宋_GB2312" w:eastAsia="仿宋_GB2312" w:cs="仿宋_GB2312"/>
          <w:highlight w:val="none"/>
        </w:rPr>
      </w:pPr>
    </w:p>
    <w:p w14:paraId="60DDF269">
      <w:pPr>
        <w:pStyle w:val="2"/>
        <w:rPr>
          <w:rFonts w:hint="eastAsia" w:ascii="仿宋_GB2312" w:hAnsi="仿宋_GB2312" w:eastAsia="仿宋_GB2312" w:cs="仿宋_GB2312"/>
          <w:highlight w:val="none"/>
        </w:rPr>
      </w:pPr>
    </w:p>
    <w:p w14:paraId="3BAE08EE">
      <w:pPr>
        <w:spacing w:line="360" w:lineRule="auto"/>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bCs/>
          <w:sz w:val="30"/>
          <w:szCs w:val="30"/>
          <w:highlight w:val="none"/>
        </w:rPr>
        <w:t>招标人：威海市环翠园林工程有限公司</w:t>
      </w:r>
    </w:p>
    <w:p w14:paraId="1A92FBA9">
      <w:pPr>
        <w:spacing w:line="360" w:lineRule="auto"/>
        <w:ind w:left="1"/>
        <w:jc w:val="center"/>
        <w:rPr>
          <w:rFonts w:hint="eastAsia" w:ascii="仿宋_GB2312" w:hAnsi="仿宋_GB2312" w:eastAsia="仿宋_GB2312" w:cs="仿宋_GB2312"/>
          <w:bCs/>
          <w:sz w:val="30"/>
          <w:szCs w:val="30"/>
          <w:highlight w:val="none"/>
        </w:rPr>
      </w:pPr>
      <w:r>
        <w:rPr>
          <w:rFonts w:hint="eastAsia" w:ascii="仿宋_GB2312" w:hAnsi="仿宋_GB2312" w:eastAsia="仿宋_GB2312" w:cs="仿宋_GB2312"/>
          <w:bCs/>
          <w:sz w:val="30"/>
          <w:szCs w:val="30"/>
          <w:highlight w:val="none"/>
        </w:rPr>
        <w:t>招标代理：山东宏达工程管理有限公司</w:t>
      </w:r>
    </w:p>
    <w:p w14:paraId="3283C9A8">
      <w:pPr>
        <w:spacing w:line="360" w:lineRule="auto"/>
        <w:jc w:val="center"/>
        <w:rPr>
          <w:rFonts w:hint="eastAsia" w:ascii="仿宋_GB2312" w:hAnsi="仿宋_GB2312" w:eastAsia="仿宋_GB2312" w:cs="仿宋_GB2312"/>
          <w:bCs/>
          <w:sz w:val="30"/>
          <w:szCs w:val="30"/>
          <w:highlight w:val="none"/>
        </w:rPr>
      </w:pPr>
      <w:r>
        <w:rPr>
          <w:rFonts w:hint="eastAsia" w:ascii="仿宋_GB2312" w:hAnsi="仿宋_GB2312" w:eastAsia="仿宋_GB2312" w:cs="仿宋_GB2312"/>
          <w:bCs/>
          <w:sz w:val="30"/>
          <w:szCs w:val="30"/>
          <w:highlight w:val="none"/>
        </w:rPr>
        <w:t>202</w:t>
      </w:r>
      <w:r>
        <w:rPr>
          <w:rFonts w:hint="eastAsia" w:ascii="仿宋_GB2312" w:hAnsi="仿宋_GB2312" w:eastAsia="仿宋_GB2312" w:cs="仿宋_GB2312"/>
          <w:bCs/>
          <w:sz w:val="30"/>
          <w:szCs w:val="30"/>
          <w:highlight w:val="none"/>
          <w:lang w:val="en-US" w:eastAsia="zh-CN"/>
        </w:rPr>
        <w:t>6</w:t>
      </w:r>
      <w:r>
        <w:rPr>
          <w:rFonts w:hint="eastAsia" w:ascii="仿宋_GB2312" w:hAnsi="仿宋_GB2312" w:eastAsia="仿宋_GB2312" w:cs="仿宋_GB2312"/>
          <w:bCs/>
          <w:sz w:val="30"/>
          <w:szCs w:val="30"/>
          <w:highlight w:val="none"/>
        </w:rPr>
        <w:t>年6月</w:t>
      </w:r>
    </w:p>
    <w:p w14:paraId="1630D740">
      <w:pPr>
        <w:ind w:firstLine="883" w:firstLineChars="200"/>
        <w:jc w:val="center"/>
        <w:rPr>
          <w:rFonts w:hint="eastAsia" w:ascii="仿宋_GB2312" w:hAnsi="仿宋_GB2312" w:eastAsia="仿宋_GB2312" w:cs="仿宋_GB2312"/>
          <w:b/>
          <w:sz w:val="44"/>
          <w:szCs w:val="44"/>
          <w:highlight w:val="none"/>
        </w:rPr>
        <w:sectPr>
          <w:headerReference r:id="rId3" w:type="default"/>
          <w:footerReference r:id="rId4" w:type="default"/>
          <w:footerReference r:id="rId5" w:type="even"/>
          <w:pgSz w:w="11906" w:h="16838"/>
          <w:pgMar w:top="1440" w:right="1083" w:bottom="1440" w:left="1083" w:header="851" w:footer="992" w:gutter="0"/>
          <w:pgNumType w:start="0"/>
          <w:cols w:space="720" w:num="1"/>
          <w:titlePg/>
          <w:docGrid w:type="lines" w:linePitch="520" w:charSpace="0"/>
        </w:sectPr>
      </w:pPr>
    </w:p>
    <w:p w14:paraId="0DC61A26">
      <w:pPr>
        <w:jc w:val="center"/>
        <w:rPr>
          <w:rFonts w:hint="eastAsia" w:ascii="仿宋_GB2312" w:hAnsi="仿宋_GB2312" w:eastAsia="仿宋_GB2312" w:cs="仿宋_GB2312"/>
          <w:b/>
          <w:bCs/>
          <w:sz w:val="44"/>
          <w:szCs w:val="44"/>
          <w:highlight w:val="none"/>
        </w:rPr>
      </w:pPr>
      <w:r>
        <w:rPr>
          <w:rFonts w:hint="eastAsia" w:ascii="仿宋_GB2312" w:hAnsi="仿宋_GB2312" w:eastAsia="仿宋_GB2312" w:cs="仿宋_GB2312"/>
          <w:b/>
          <w:bCs/>
          <w:sz w:val="44"/>
          <w:szCs w:val="44"/>
          <w:highlight w:val="none"/>
        </w:rPr>
        <w:t>目录</w:t>
      </w:r>
    </w:p>
    <w:p w14:paraId="72E862A6">
      <w:pPr>
        <w:pStyle w:val="2"/>
        <w:rPr>
          <w:rFonts w:hint="eastAsia" w:ascii="仿宋_GB2312" w:hAnsi="仿宋_GB2312" w:eastAsia="仿宋_GB2312" w:cs="仿宋_GB2312"/>
          <w:highlight w:val="none"/>
        </w:rPr>
      </w:pPr>
    </w:p>
    <w:p w14:paraId="1D3C753B">
      <w:pPr>
        <w:pStyle w:val="31"/>
        <w:rPr>
          <w:rFonts w:hint="eastAsia" w:ascii="仿宋_GB2312" w:hAnsi="仿宋_GB2312" w:eastAsia="仿宋_GB2312" w:cs="仿宋_GB2312"/>
          <w:b w:val="0"/>
          <w:bCs w:val="0"/>
          <w:caps w:val="0"/>
          <w:kern w:val="2"/>
          <w:sz w:val="21"/>
          <w:szCs w:val="22"/>
          <w:highlight w:val="none"/>
        </w:rPr>
      </w:pPr>
      <w:r>
        <w:rPr>
          <w:rFonts w:hint="eastAsia" w:ascii="仿宋_GB2312" w:hAnsi="仿宋_GB2312" w:eastAsia="仿宋_GB2312" w:cs="仿宋_GB2312"/>
          <w:b w:val="0"/>
          <w:bCs w:val="0"/>
          <w:sz w:val="28"/>
          <w:szCs w:val="28"/>
          <w:highlight w:val="none"/>
        </w:rPr>
        <w:fldChar w:fldCharType="begin"/>
      </w:r>
      <w:r>
        <w:rPr>
          <w:rFonts w:hint="eastAsia" w:ascii="仿宋_GB2312" w:hAnsi="仿宋_GB2312" w:eastAsia="仿宋_GB2312" w:cs="仿宋_GB2312"/>
          <w:b w:val="0"/>
          <w:bCs w:val="0"/>
          <w:sz w:val="28"/>
          <w:szCs w:val="28"/>
          <w:highlight w:val="none"/>
        </w:rPr>
        <w:instrText xml:space="preserve">TOC \o "1-1" \h \u </w:instrText>
      </w:r>
      <w:r>
        <w:rPr>
          <w:rFonts w:hint="eastAsia" w:ascii="仿宋_GB2312" w:hAnsi="仿宋_GB2312" w:eastAsia="仿宋_GB2312" w:cs="仿宋_GB2312"/>
          <w:b w:val="0"/>
          <w:bCs w:val="0"/>
          <w:sz w:val="28"/>
          <w:szCs w:val="28"/>
          <w:highlight w:val="none"/>
        </w:rPr>
        <w:fldChar w:fldCharType="separate"/>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"_Toc199927041" </w:instrText>
      </w:r>
      <w:r>
        <w:rPr>
          <w:rFonts w:hint="eastAsia" w:ascii="仿宋_GB2312" w:hAnsi="仿宋_GB2312" w:eastAsia="仿宋_GB2312" w:cs="仿宋_GB2312"/>
          <w:highlight w:val="none"/>
        </w:rPr>
        <w:fldChar w:fldCharType="separate"/>
      </w:r>
      <w:r>
        <w:rPr>
          <w:rStyle w:val="50"/>
          <w:rFonts w:hint="eastAsia" w:ascii="仿宋_GB2312" w:hAnsi="仿宋_GB2312" w:eastAsia="仿宋_GB2312" w:cs="仿宋_GB2312"/>
          <w:highlight w:val="none"/>
        </w:rPr>
        <w:t>第一章  招标公告</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_Toc199927041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1</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763C79BC">
      <w:pPr>
        <w:pStyle w:val="31"/>
        <w:rPr>
          <w:rFonts w:hint="eastAsia" w:ascii="仿宋_GB2312" w:hAnsi="仿宋_GB2312" w:eastAsia="仿宋_GB2312" w:cs="仿宋_GB2312"/>
          <w:b w:val="0"/>
          <w:bCs w:val="0"/>
          <w:caps w:val="0"/>
          <w:kern w:val="2"/>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"_Toc199927042" </w:instrText>
      </w:r>
      <w:r>
        <w:rPr>
          <w:rFonts w:hint="eastAsia" w:ascii="仿宋_GB2312" w:hAnsi="仿宋_GB2312" w:eastAsia="仿宋_GB2312" w:cs="仿宋_GB2312"/>
          <w:highlight w:val="none"/>
        </w:rPr>
        <w:fldChar w:fldCharType="separate"/>
      </w:r>
      <w:r>
        <w:rPr>
          <w:rStyle w:val="50"/>
          <w:rFonts w:hint="eastAsia" w:ascii="仿宋_GB2312" w:hAnsi="仿宋_GB2312" w:eastAsia="仿宋_GB2312" w:cs="仿宋_GB2312"/>
          <w:highlight w:val="none"/>
        </w:rPr>
        <w:t>第二章  投标人须知</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_Toc199927042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4</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775B47CF">
      <w:pPr>
        <w:pStyle w:val="31"/>
        <w:rPr>
          <w:rFonts w:hint="eastAsia" w:ascii="仿宋_GB2312" w:hAnsi="仿宋_GB2312" w:eastAsia="仿宋_GB2312" w:cs="仿宋_GB2312"/>
          <w:b w:val="0"/>
          <w:bCs w:val="0"/>
          <w:caps w:val="0"/>
          <w:kern w:val="2"/>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"_Toc199927043" </w:instrText>
      </w:r>
      <w:r>
        <w:rPr>
          <w:rFonts w:hint="eastAsia" w:ascii="仿宋_GB2312" w:hAnsi="仿宋_GB2312" w:eastAsia="仿宋_GB2312" w:cs="仿宋_GB2312"/>
          <w:highlight w:val="none"/>
        </w:rPr>
        <w:fldChar w:fldCharType="separate"/>
      </w:r>
      <w:r>
        <w:rPr>
          <w:rStyle w:val="50"/>
          <w:rFonts w:hint="eastAsia" w:ascii="仿宋_GB2312" w:hAnsi="仿宋_GB2312" w:eastAsia="仿宋_GB2312" w:cs="仿宋_GB2312"/>
          <w:highlight w:val="none"/>
        </w:rPr>
        <w:t>第三章  采购内容与要求</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_Toc199927043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30</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43B2CDB2">
      <w:pPr>
        <w:pStyle w:val="31"/>
        <w:rPr>
          <w:rFonts w:hint="eastAsia" w:ascii="仿宋_GB2312" w:hAnsi="仿宋_GB2312" w:eastAsia="仿宋_GB2312" w:cs="仿宋_GB2312"/>
          <w:b w:val="0"/>
          <w:bCs w:val="0"/>
          <w:caps w:val="0"/>
          <w:kern w:val="2"/>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"_Toc199927044" </w:instrText>
      </w:r>
      <w:r>
        <w:rPr>
          <w:rFonts w:hint="eastAsia" w:ascii="仿宋_GB2312" w:hAnsi="仿宋_GB2312" w:eastAsia="仿宋_GB2312" w:cs="仿宋_GB2312"/>
          <w:highlight w:val="none"/>
        </w:rPr>
        <w:fldChar w:fldCharType="separate"/>
      </w:r>
      <w:r>
        <w:rPr>
          <w:rStyle w:val="50"/>
          <w:rFonts w:hint="eastAsia" w:ascii="仿宋_GB2312" w:hAnsi="仿宋_GB2312" w:eastAsia="仿宋_GB2312" w:cs="仿宋_GB2312"/>
          <w:highlight w:val="none"/>
        </w:rPr>
        <w:t>第四章  评标、定标</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_Toc199927044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32</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0E5A0178">
      <w:pPr>
        <w:pStyle w:val="31"/>
        <w:rPr>
          <w:rFonts w:hint="eastAsia" w:ascii="仿宋_GB2312" w:hAnsi="仿宋_GB2312" w:eastAsia="仿宋_GB2312" w:cs="仿宋_GB2312"/>
          <w:b w:val="0"/>
          <w:bCs w:val="0"/>
          <w:caps w:val="0"/>
          <w:kern w:val="2"/>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"_Toc199927045" </w:instrText>
      </w:r>
      <w:r>
        <w:rPr>
          <w:rFonts w:hint="eastAsia" w:ascii="仿宋_GB2312" w:hAnsi="仿宋_GB2312" w:eastAsia="仿宋_GB2312" w:cs="仿宋_GB2312"/>
          <w:highlight w:val="none"/>
        </w:rPr>
        <w:fldChar w:fldCharType="separate"/>
      </w:r>
      <w:r>
        <w:rPr>
          <w:rStyle w:val="50"/>
          <w:rFonts w:hint="eastAsia" w:ascii="仿宋_GB2312" w:hAnsi="仿宋_GB2312" w:eastAsia="仿宋_GB2312" w:cs="仿宋_GB2312"/>
          <w:highlight w:val="none"/>
        </w:rPr>
        <w:t>第五章  投标文件（格式）</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_Toc199927045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37</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3615270C">
      <w:pPr>
        <w:pStyle w:val="31"/>
        <w:rPr>
          <w:rFonts w:hint="eastAsia" w:ascii="仿宋_GB2312" w:hAnsi="仿宋_GB2312" w:eastAsia="仿宋_GB2312" w:cs="仿宋_GB2312"/>
          <w:b w:val="0"/>
          <w:bCs w:val="0"/>
          <w:caps w:val="0"/>
          <w:kern w:val="2"/>
          <w:sz w:val="21"/>
          <w:szCs w:val="22"/>
          <w:highlight w:val="none"/>
        </w:rPr>
      </w:pP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\l "_Toc199927046" </w:instrText>
      </w:r>
      <w:r>
        <w:rPr>
          <w:rFonts w:hint="eastAsia" w:ascii="仿宋_GB2312" w:hAnsi="仿宋_GB2312" w:eastAsia="仿宋_GB2312" w:cs="仿宋_GB2312"/>
          <w:highlight w:val="none"/>
        </w:rPr>
        <w:fldChar w:fldCharType="separate"/>
      </w:r>
      <w:r>
        <w:rPr>
          <w:rStyle w:val="50"/>
          <w:rFonts w:hint="eastAsia" w:ascii="仿宋_GB2312" w:hAnsi="仿宋_GB2312" w:eastAsia="仿宋_GB2312" w:cs="仿宋_GB2312"/>
          <w:highlight w:val="none"/>
        </w:rPr>
        <w:t>第六章  合同书（范本）</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_Toc199927046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54</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highlight w:val="none"/>
        </w:rPr>
        <w:fldChar w:fldCharType="end"/>
      </w:r>
    </w:p>
    <w:p w14:paraId="3B6C241A">
      <w:pPr>
        <w:rPr>
          <w:rFonts w:hint="eastAsia" w:ascii="仿宋_GB2312" w:hAnsi="仿宋_GB2312" w:eastAsia="仿宋_GB2312" w:cs="仿宋_GB2312"/>
          <w:sz w:val="28"/>
          <w:szCs w:val="28"/>
          <w:highlight w:val="none"/>
        </w:rPr>
      </w:pPr>
      <w:r>
        <w:rPr>
          <w:rFonts w:hint="eastAsia" w:ascii="仿宋_GB2312" w:hAnsi="仿宋_GB2312" w:eastAsia="仿宋_GB2312" w:cs="仿宋_GB2312"/>
          <w:szCs w:val="28"/>
          <w:highlight w:val="none"/>
        </w:rPr>
        <w:fldChar w:fldCharType="end"/>
      </w:r>
    </w:p>
    <w:p w14:paraId="5554DA3A">
      <w:pPr>
        <w:jc w:val="center"/>
        <w:rPr>
          <w:rFonts w:hint="eastAsia" w:ascii="仿宋_GB2312" w:hAnsi="仿宋_GB2312" w:eastAsia="仿宋_GB2312" w:cs="仿宋_GB2312"/>
          <w:sz w:val="24"/>
          <w:szCs w:val="24"/>
          <w:highlight w:val="none"/>
        </w:rPr>
      </w:pPr>
    </w:p>
    <w:p w14:paraId="44F79284">
      <w:pPr>
        <w:jc w:val="center"/>
        <w:rPr>
          <w:rFonts w:hint="eastAsia" w:ascii="仿宋_GB2312" w:hAnsi="仿宋_GB2312" w:eastAsia="仿宋_GB2312" w:cs="仿宋_GB2312"/>
          <w:sz w:val="24"/>
          <w:szCs w:val="24"/>
          <w:highlight w:val="none"/>
        </w:rPr>
      </w:pPr>
    </w:p>
    <w:p w14:paraId="7E93FF33">
      <w:pPr>
        <w:pStyle w:val="128"/>
        <w:rPr>
          <w:rFonts w:hint="eastAsia" w:ascii="仿宋_GB2312" w:hAnsi="仿宋_GB2312" w:eastAsia="仿宋_GB2312" w:cs="仿宋_GB2312"/>
          <w:b/>
          <w:bCs/>
          <w:szCs w:val="24"/>
          <w:highlight w:val="none"/>
        </w:rPr>
      </w:pPr>
    </w:p>
    <w:p w14:paraId="3CA52B57">
      <w:pPr>
        <w:pStyle w:val="128"/>
        <w:rPr>
          <w:rFonts w:hint="eastAsia" w:ascii="仿宋_GB2312" w:hAnsi="仿宋_GB2312" w:eastAsia="仿宋_GB2312" w:cs="仿宋_GB2312"/>
          <w:b/>
          <w:bCs/>
          <w:szCs w:val="24"/>
          <w:highlight w:val="none"/>
        </w:rPr>
      </w:pPr>
    </w:p>
    <w:p w14:paraId="69B0094B">
      <w:pPr>
        <w:pStyle w:val="128"/>
        <w:rPr>
          <w:rFonts w:hint="eastAsia" w:ascii="仿宋_GB2312" w:hAnsi="仿宋_GB2312" w:eastAsia="仿宋_GB2312" w:cs="仿宋_GB2312"/>
          <w:b/>
          <w:bCs/>
          <w:szCs w:val="24"/>
          <w:highlight w:val="none"/>
        </w:rPr>
      </w:pPr>
    </w:p>
    <w:p w14:paraId="367945F3">
      <w:pPr>
        <w:pStyle w:val="128"/>
        <w:rPr>
          <w:rFonts w:hint="eastAsia" w:ascii="仿宋_GB2312" w:hAnsi="仿宋_GB2312" w:eastAsia="仿宋_GB2312" w:cs="仿宋_GB2312"/>
          <w:b/>
          <w:bCs/>
          <w:szCs w:val="24"/>
          <w:highlight w:val="none"/>
        </w:rPr>
      </w:pPr>
    </w:p>
    <w:p w14:paraId="2F491238">
      <w:pPr>
        <w:pStyle w:val="3"/>
        <w:rPr>
          <w:rFonts w:hint="eastAsia" w:ascii="仿宋_GB2312" w:hAnsi="仿宋_GB2312" w:eastAsia="仿宋_GB2312" w:cs="仿宋_GB2312"/>
          <w:highlight w:val="none"/>
        </w:rPr>
        <w:sectPr>
          <w:headerReference r:id="rId6" w:type="default"/>
          <w:footerReference r:id="rId7" w:type="default"/>
          <w:pgSz w:w="11906" w:h="16838"/>
          <w:pgMar w:top="1418" w:right="1418" w:bottom="1418" w:left="1418" w:header="851" w:footer="992" w:gutter="0"/>
          <w:cols w:space="720" w:num="1"/>
          <w:docGrid w:type="lines" w:linePitch="312" w:charSpace="0"/>
        </w:sectPr>
      </w:pPr>
    </w:p>
    <w:p w14:paraId="2F4D92EB">
      <w:pPr>
        <w:pStyle w:val="3"/>
        <w:rPr>
          <w:rFonts w:hint="eastAsia" w:ascii="仿宋_GB2312" w:hAnsi="仿宋_GB2312" w:eastAsia="仿宋_GB2312" w:cs="仿宋_GB2312"/>
          <w:b/>
          <w:highlight w:val="none"/>
        </w:rPr>
      </w:pPr>
      <w:bookmarkStart w:id="0" w:name="_Toc199927041"/>
      <w:r>
        <w:rPr>
          <w:rFonts w:hint="eastAsia" w:ascii="仿宋_GB2312" w:hAnsi="仿宋_GB2312" w:eastAsia="仿宋_GB2312" w:cs="仿宋_GB2312"/>
          <w:b/>
          <w:sz w:val="44"/>
          <w:szCs w:val="44"/>
          <w:highlight w:val="none"/>
        </w:rPr>
        <w:t>第一章  招标公告</w:t>
      </w:r>
      <w:bookmarkEnd w:id="0"/>
    </w:p>
    <w:p w14:paraId="1BF5CF0A">
      <w:pPr>
        <w:jc w:val="center"/>
        <w:rPr>
          <w:rFonts w:hint="eastAsia" w:ascii="仿宋_GB2312" w:hAnsi="仿宋_GB2312" w:eastAsia="仿宋_GB2312" w:cs="仿宋_GB2312"/>
          <w:b/>
          <w:bCs/>
          <w:sz w:val="30"/>
          <w:szCs w:val="30"/>
          <w:highlight w:val="none"/>
          <w:lang w:eastAsia="zh-CN"/>
        </w:rPr>
      </w:pPr>
      <w:r>
        <w:rPr>
          <w:rFonts w:hint="eastAsia" w:ascii="仿宋_GB2312" w:hAnsi="仿宋_GB2312" w:eastAsia="仿宋_GB2312" w:cs="仿宋_GB2312"/>
          <w:b/>
          <w:bCs/>
          <w:sz w:val="30"/>
          <w:szCs w:val="30"/>
          <w:highlight w:val="none"/>
        </w:rPr>
        <w:t>威海市环翠园林工程有限公司选定苗木供应单位</w:t>
      </w:r>
      <w:r>
        <w:rPr>
          <w:rFonts w:hint="eastAsia" w:ascii="仿宋_GB2312" w:hAnsi="仿宋_GB2312" w:eastAsia="仿宋_GB2312" w:cs="仿宋_GB2312"/>
          <w:b/>
          <w:bCs/>
          <w:sz w:val="30"/>
          <w:szCs w:val="30"/>
          <w:highlight w:val="none"/>
          <w:lang w:val="en-US" w:eastAsia="zh-CN"/>
        </w:rPr>
        <w:t xml:space="preserve"> </w:t>
      </w:r>
    </w:p>
    <w:p w14:paraId="121938AA">
      <w:pPr>
        <w:jc w:val="center"/>
        <w:rPr>
          <w:rFonts w:hint="eastAsia" w:ascii="仿宋_GB2312" w:hAnsi="仿宋_GB2312" w:eastAsia="仿宋_GB2312" w:cs="仿宋_GB2312"/>
          <w:b/>
          <w:bCs/>
          <w:sz w:val="30"/>
          <w:szCs w:val="30"/>
          <w:highlight w:val="none"/>
        </w:rPr>
      </w:pPr>
      <w:r>
        <w:rPr>
          <w:rFonts w:hint="eastAsia" w:ascii="仿宋_GB2312" w:hAnsi="仿宋_GB2312" w:eastAsia="仿宋_GB2312" w:cs="仿宋_GB2312"/>
          <w:b/>
          <w:bCs/>
          <w:sz w:val="30"/>
          <w:szCs w:val="30"/>
          <w:highlight w:val="none"/>
        </w:rPr>
        <w:t>公开招标公告</w:t>
      </w:r>
    </w:p>
    <w:p w14:paraId="2AA17D4D">
      <w:pPr>
        <w:pStyle w:val="2"/>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（招标编号：</w:t>
      </w:r>
      <w:r>
        <w:rPr>
          <w:rFonts w:hint="eastAsia" w:ascii="仿宋_GB2312" w:hAnsi="仿宋_GB2312" w:eastAsia="仿宋_GB2312" w:cs="仿宋_GB2312"/>
          <w:sz w:val="24"/>
          <w:szCs w:val="24"/>
          <w:highlight w:val="none"/>
          <w:lang w:val="en-US" w:eastAsia="zh-CN"/>
        </w:rPr>
        <w:t>PURM202606050002</w:t>
      </w:r>
      <w:r>
        <w:rPr>
          <w:rFonts w:hint="eastAsia" w:ascii="仿宋_GB2312" w:hAnsi="仿宋_GB2312" w:eastAsia="仿宋_GB2312" w:cs="仿宋_GB2312"/>
          <w:sz w:val="24"/>
          <w:szCs w:val="24"/>
          <w:highlight w:val="none"/>
          <w:lang w:eastAsia="zh-CN"/>
        </w:rPr>
        <w:t>）</w:t>
      </w:r>
    </w:p>
    <w:p w14:paraId="13FC5BEC">
      <w:pPr>
        <w:widowControl/>
        <w:snapToGrid w:val="0"/>
        <w:spacing w:line="360" w:lineRule="auto"/>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一、招标条件</w:t>
      </w:r>
    </w:p>
    <w:p w14:paraId="32098FA0">
      <w:pPr>
        <w:widowControl/>
        <w:snapToGrid w:val="0"/>
        <w:spacing w:line="360" w:lineRule="auto"/>
        <w:ind w:firstLine="539"/>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本招标项目选定苗木供应单位，招标申请已经相关部门批准，招标人为威海市环翠园林工程有限公司，项目资金来源为自筹，出资比例为100%。项目已具备招标条件，现对该项目进行公开招标。</w:t>
      </w:r>
    </w:p>
    <w:p w14:paraId="3F150B38">
      <w:pPr>
        <w:widowControl/>
        <w:snapToGrid w:val="0"/>
        <w:spacing w:line="360" w:lineRule="auto"/>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二、项目概况和招标范围</w:t>
      </w:r>
    </w:p>
    <w:p w14:paraId="5790E065">
      <w:pPr>
        <w:widowControl/>
        <w:snapToGrid w:val="0"/>
        <w:spacing w:line="360" w:lineRule="auto"/>
        <w:ind w:firstLine="539"/>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1.项目概况：通过公开招标的方式，择优选定不超过五家苗木供应单位。</w:t>
      </w:r>
    </w:p>
    <w:p w14:paraId="522E71AA">
      <w:pPr>
        <w:widowControl/>
        <w:snapToGrid w:val="0"/>
        <w:spacing w:line="360" w:lineRule="auto"/>
        <w:ind w:firstLine="539"/>
        <w:rPr>
          <w:rFonts w:hint="eastAsia" w:ascii="仿宋_GB2312" w:hAnsi="仿宋_GB2312" w:eastAsia="仿宋_GB2312" w:cs="仿宋_GB2312"/>
          <w:spacing w:val="8"/>
          <w:sz w:val="24"/>
          <w:szCs w:val="24"/>
          <w:highlight w:val="none"/>
          <w:lang w:eastAsia="zh-CN"/>
        </w:rPr>
      </w:pPr>
      <w:r>
        <w:rPr>
          <w:rFonts w:hint="eastAsia" w:ascii="仿宋_GB2312" w:hAnsi="仿宋_GB2312" w:eastAsia="仿宋_GB2312" w:cs="仿宋_GB2312"/>
          <w:spacing w:val="8"/>
          <w:sz w:val="24"/>
          <w:szCs w:val="24"/>
          <w:highlight w:val="none"/>
        </w:rPr>
        <w:t>2.服务地点：招标人指定地点</w:t>
      </w:r>
      <w:r>
        <w:rPr>
          <w:rFonts w:hint="eastAsia" w:ascii="仿宋_GB2312" w:hAnsi="仿宋_GB2312" w:eastAsia="仿宋_GB2312" w:cs="仿宋_GB2312"/>
          <w:spacing w:val="8"/>
          <w:sz w:val="24"/>
          <w:szCs w:val="24"/>
          <w:highlight w:val="none"/>
          <w:lang w:eastAsia="zh-CN"/>
        </w:rPr>
        <w:t>。</w:t>
      </w:r>
    </w:p>
    <w:p w14:paraId="180867E2">
      <w:pPr>
        <w:widowControl/>
        <w:snapToGrid w:val="0"/>
        <w:spacing w:line="360" w:lineRule="auto"/>
        <w:ind w:firstLine="539"/>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3.服务</w:t>
      </w:r>
      <w:r>
        <w:rPr>
          <w:rFonts w:hint="eastAsia" w:ascii="仿宋_GB2312" w:hAnsi="仿宋_GB2312" w:eastAsia="仿宋_GB2312" w:cs="仿宋_GB2312"/>
          <w:spacing w:val="8"/>
          <w:sz w:val="24"/>
          <w:szCs w:val="24"/>
          <w:highlight w:val="none"/>
          <w:lang w:val="en-US" w:eastAsia="zh-CN"/>
        </w:rPr>
        <w:t>期限</w:t>
      </w:r>
      <w:r>
        <w:rPr>
          <w:rFonts w:hint="eastAsia" w:ascii="仿宋_GB2312" w:hAnsi="仿宋_GB2312" w:eastAsia="仿宋_GB2312" w:cs="仿宋_GB2312"/>
          <w:spacing w:val="8"/>
          <w:sz w:val="24"/>
          <w:szCs w:val="24"/>
          <w:highlight w:val="none"/>
        </w:rPr>
        <w:t>：自合同签订之日起2年。</w:t>
      </w:r>
    </w:p>
    <w:p w14:paraId="4B6CE12B">
      <w:pPr>
        <w:widowControl/>
        <w:snapToGrid w:val="0"/>
        <w:spacing w:line="360" w:lineRule="auto"/>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三、投标人资格要求</w:t>
      </w:r>
    </w:p>
    <w:p w14:paraId="7D07C802">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1.具有独立承担民事责任的能力； </w:t>
      </w:r>
    </w:p>
    <w:p w14:paraId="036386D4">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2.具有良好的商业信誉和健全的财务会计制度；</w:t>
      </w:r>
    </w:p>
    <w:p w14:paraId="495BE77B">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3.具有履行合同所必需的设备和专业技术能力；</w:t>
      </w:r>
    </w:p>
    <w:p w14:paraId="1283711B">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4.具有依法缴纳税收和社会保障资金的良好记录；</w:t>
      </w:r>
    </w:p>
    <w:p w14:paraId="2F06454C">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5.投标人参加本次采购活动前三年内，在经营活动中没有重大违法记录； </w:t>
      </w:r>
    </w:p>
    <w:p w14:paraId="49194ED2">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6.投标人、法定代表人、授权委托人未被最高法院（查询网址为：</w:t>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"http://zxgk.court.gov.cn/shixin/）列入失信被执行人；"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sz w:val="24"/>
          <w:highlight w:val="none"/>
        </w:rPr>
        <w:t>http://zxgk.court.gov.cn/shixin/）列入失信被执行人；</w:t>
      </w:r>
      <w:r>
        <w:rPr>
          <w:rFonts w:hint="eastAsia" w:ascii="仿宋_GB2312" w:hAnsi="仿宋_GB2312" w:eastAsia="仿宋_GB2312" w:cs="仿宋_GB2312"/>
          <w:sz w:val="24"/>
          <w:highlight w:val="none"/>
        </w:rPr>
        <w:fldChar w:fldCharType="end"/>
      </w:r>
    </w:p>
    <w:p w14:paraId="0D0F20BD">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7.</w:t>
      </w:r>
      <w:r>
        <w:rPr>
          <w:rFonts w:hint="eastAsia" w:ascii="仿宋_GB2312" w:hAnsi="仿宋_GB2312" w:eastAsia="仿宋_GB2312" w:cs="仿宋_GB2312"/>
          <w:highlight w:val="none"/>
        </w:rPr>
        <w:t xml:space="preserve"> </w:t>
      </w:r>
      <w:r>
        <w:rPr>
          <w:rFonts w:hint="eastAsia" w:ascii="仿宋_GB2312" w:hAnsi="仿宋_GB2312" w:eastAsia="仿宋_GB2312" w:cs="仿宋_GB2312"/>
          <w:sz w:val="24"/>
          <w:highlight w:val="none"/>
        </w:rPr>
        <w:t>投标人近一年在“信用中国”或“信用中国（山东）”无严重失信记录；</w:t>
      </w:r>
    </w:p>
    <w:p w14:paraId="5601D624">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8.法律、行政法规及招标文件规定的其他要求；</w:t>
      </w:r>
    </w:p>
    <w:p w14:paraId="7C43F97E">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9.本项目不接受联合体投标。</w:t>
      </w:r>
    </w:p>
    <w:p w14:paraId="0E30630F">
      <w:pPr>
        <w:widowControl/>
        <w:snapToGrid w:val="0"/>
        <w:spacing w:line="360" w:lineRule="auto"/>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四、获取文件时间及地点</w:t>
      </w:r>
    </w:p>
    <w:p w14:paraId="074CD529">
      <w:pPr>
        <w:widowControl/>
        <w:snapToGrid w:val="0"/>
        <w:spacing w:line="360" w:lineRule="auto"/>
        <w:ind w:firstLine="539"/>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1.时间：202</w:t>
      </w:r>
      <w:r>
        <w:rPr>
          <w:rFonts w:hint="eastAsia" w:ascii="仿宋_GB2312" w:hAnsi="仿宋_GB2312" w:eastAsia="仿宋_GB2312" w:cs="仿宋_GB2312"/>
          <w:spacing w:val="8"/>
          <w:sz w:val="24"/>
          <w:szCs w:val="24"/>
          <w:highlight w:val="none"/>
          <w:lang w:val="en-US" w:eastAsia="zh-CN"/>
        </w:rPr>
        <w:t>6</w:t>
      </w:r>
      <w:r>
        <w:rPr>
          <w:rFonts w:hint="eastAsia" w:ascii="仿宋_GB2312" w:hAnsi="仿宋_GB2312" w:eastAsia="仿宋_GB2312" w:cs="仿宋_GB2312"/>
          <w:spacing w:val="8"/>
          <w:sz w:val="24"/>
          <w:szCs w:val="24"/>
          <w:highlight w:val="none"/>
        </w:rPr>
        <w:t>年</w:t>
      </w:r>
      <w:r>
        <w:rPr>
          <w:rFonts w:hint="eastAsia" w:ascii="仿宋_GB2312" w:hAnsi="仿宋_GB2312" w:eastAsia="仿宋_GB2312" w:cs="仿宋_GB2312"/>
          <w:spacing w:val="8"/>
          <w:sz w:val="24"/>
          <w:szCs w:val="24"/>
          <w:highlight w:val="none"/>
          <w:lang w:val="en-US" w:eastAsia="zh-CN"/>
        </w:rPr>
        <w:t>06</w:t>
      </w:r>
      <w:r>
        <w:rPr>
          <w:rFonts w:hint="eastAsia" w:ascii="仿宋_GB2312" w:hAnsi="仿宋_GB2312" w:eastAsia="仿宋_GB2312" w:cs="仿宋_GB2312"/>
          <w:spacing w:val="8"/>
          <w:sz w:val="24"/>
          <w:szCs w:val="24"/>
          <w:highlight w:val="none"/>
        </w:rPr>
        <w:t>月</w:t>
      </w:r>
      <w:r>
        <w:rPr>
          <w:rFonts w:hint="eastAsia" w:ascii="仿宋_GB2312" w:hAnsi="仿宋_GB2312" w:eastAsia="仿宋_GB2312" w:cs="仿宋_GB2312"/>
          <w:spacing w:val="8"/>
          <w:sz w:val="24"/>
          <w:szCs w:val="24"/>
          <w:highlight w:val="none"/>
          <w:lang w:val="en-US" w:eastAsia="zh-CN"/>
        </w:rPr>
        <w:t>13</w:t>
      </w:r>
      <w:r>
        <w:rPr>
          <w:rFonts w:hint="eastAsia" w:ascii="仿宋_GB2312" w:hAnsi="仿宋_GB2312" w:eastAsia="仿宋_GB2312" w:cs="仿宋_GB2312"/>
          <w:spacing w:val="8"/>
          <w:sz w:val="24"/>
          <w:szCs w:val="24"/>
          <w:highlight w:val="none"/>
        </w:rPr>
        <w:t>日08时00分至202</w:t>
      </w:r>
      <w:r>
        <w:rPr>
          <w:rFonts w:hint="eastAsia" w:ascii="仿宋_GB2312" w:hAnsi="仿宋_GB2312" w:eastAsia="仿宋_GB2312" w:cs="仿宋_GB2312"/>
          <w:spacing w:val="8"/>
          <w:sz w:val="24"/>
          <w:szCs w:val="24"/>
          <w:highlight w:val="none"/>
          <w:lang w:val="en-US" w:eastAsia="zh-CN"/>
        </w:rPr>
        <w:t>6</w:t>
      </w:r>
      <w:r>
        <w:rPr>
          <w:rFonts w:hint="eastAsia" w:ascii="仿宋_GB2312" w:hAnsi="仿宋_GB2312" w:eastAsia="仿宋_GB2312" w:cs="仿宋_GB2312"/>
          <w:spacing w:val="8"/>
          <w:sz w:val="24"/>
          <w:szCs w:val="24"/>
          <w:highlight w:val="none"/>
        </w:rPr>
        <w:t>年</w:t>
      </w:r>
      <w:r>
        <w:rPr>
          <w:rFonts w:hint="eastAsia" w:ascii="仿宋_GB2312" w:hAnsi="仿宋_GB2312" w:eastAsia="仿宋_GB2312" w:cs="仿宋_GB2312"/>
          <w:spacing w:val="8"/>
          <w:sz w:val="24"/>
          <w:szCs w:val="24"/>
          <w:highlight w:val="none"/>
          <w:lang w:val="en-US" w:eastAsia="zh-CN"/>
        </w:rPr>
        <w:t>06</w:t>
      </w:r>
      <w:r>
        <w:rPr>
          <w:rFonts w:hint="eastAsia" w:ascii="仿宋_GB2312" w:hAnsi="仿宋_GB2312" w:eastAsia="仿宋_GB2312" w:cs="仿宋_GB2312"/>
          <w:spacing w:val="8"/>
          <w:sz w:val="24"/>
          <w:szCs w:val="24"/>
          <w:highlight w:val="none"/>
        </w:rPr>
        <w:t>月</w:t>
      </w:r>
      <w:r>
        <w:rPr>
          <w:rFonts w:hint="eastAsia" w:ascii="仿宋_GB2312" w:hAnsi="仿宋_GB2312" w:eastAsia="仿宋_GB2312" w:cs="仿宋_GB2312"/>
          <w:spacing w:val="8"/>
          <w:sz w:val="24"/>
          <w:szCs w:val="24"/>
          <w:highlight w:val="none"/>
          <w:lang w:val="en-US" w:eastAsia="zh-CN"/>
        </w:rPr>
        <w:t>22</w:t>
      </w:r>
      <w:r>
        <w:rPr>
          <w:rFonts w:hint="eastAsia" w:ascii="仿宋_GB2312" w:hAnsi="仿宋_GB2312" w:eastAsia="仿宋_GB2312" w:cs="仿宋_GB2312"/>
          <w:spacing w:val="8"/>
          <w:sz w:val="24"/>
          <w:szCs w:val="24"/>
          <w:highlight w:val="none"/>
        </w:rPr>
        <w:t>日17时30分（北京时间，法定节假日除外）。</w:t>
      </w:r>
    </w:p>
    <w:p w14:paraId="4EA9B51B">
      <w:pPr>
        <w:widowControl/>
        <w:snapToGrid w:val="0"/>
        <w:spacing w:line="360" w:lineRule="auto"/>
        <w:ind w:firstLine="539"/>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2.地点：登录“威海市公共资源交易网”首页右侧“交易服务一网通办系统”选择“（新版）一网通办系统”进行“平台切换”，点击“国企采购”进入国企阳光采购平台获取文件(网址：http://ggzyjy.weihai.cn/)。逾期无法从威海市国企阳光采购平台中获取文件，未在规定时间内从系统中获取招标文件的投标人将无法提交电子投标文件。</w:t>
      </w:r>
    </w:p>
    <w:p w14:paraId="1C9842C8">
      <w:pPr>
        <w:widowControl/>
        <w:snapToGrid w:val="0"/>
        <w:spacing w:line="360" w:lineRule="auto"/>
        <w:ind w:firstLine="539"/>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平台联系方式：交易服务一网通办系统技术支持电话：4009980000（受理问题：系统登录、CA锁绑定、平台切换），一网通办技术支持QQ群：1143439694；CA锁办理咨询电话：0631-5172975；国企采购技术支持电话：17863029936，国企采购技术支持QQ群（投标人）：1046971257。</w:t>
      </w:r>
    </w:p>
    <w:p w14:paraId="0495ED71">
      <w:pPr>
        <w:widowControl/>
        <w:snapToGrid w:val="0"/>
        <w:spacing w:line="360" w:lineRule="auto"/>
        <w:ind w:firstLine="539"/>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注：未注册用户请先免费注册。登录“威海市公共资源交易网”首页右侧“交易服务一网通办系统”选择“（新版）一网通办系</w:t>
      </w:r>
      <w:bookmarkStart w:id="22" w:name="_GoBack"/>
      <w:bookmarkEnd w:id="22"/>
      <w:r>
        <w:rPr>
          <w:rFonts w:hint="eastAsia" w:ascii="仿宋_GB2312" w:hAnsi="仿宋_GB2312" w:eastAsia="仿宋_GB2312" w:cs="仿宋_GB2312"/>
          <w:spacing w:val="8"/>
          <w:sz w:val="24"/>
          <w:szCs w:val="24"/>
          <w:highlight w:val="none"/>
        </w:rPr>
        <w:t>统”进行注册登记，并办理“安全证书（CA）”和“电子签章”进行获取文件。“安全证书（CA）”和“电子签章”办理请按照“威海市公共资源交易网”首页右侧“CA办理”中“CA证书办理介绍”进行办理。</w:t>
      </w:r>
    </w:p>
    <w:p w14:paraId="5BB7560E">
      <w:pPr>
        <w:widowControl/>
        <w:snapToGrid w:val="0"/>
        <w:spacing w:line="360" w:lineRule="auto"/>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五、投标文件提交</w:t>
      </w:r>
    </w:p>
    <w:p w14:paraId="1CCD7A6D">
      <w:pPr>
        <w:widowControl/>
        <w:adjustRightInd w:val="0"/>
        <w:snapToGrid w:val="0"/>
        <w:spacing w:line="360" w:lineRule="auto"/>
        <w:ind w:firstLine="512" w:firstLineChars="200"/>
        <w:jc w:val="left"/>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1.提交投标文件截止时间：202</w:t>
      </w:r>
      <w:r>
        <w:rPr>
          <w:rFonts w:hint="eastAsia" w:ascii="仿宋_GB2312" w:hAnsi="仿宋_GB2312" w:eastAsia="仿宋_GB2312" w:cs="仿宋_GB2312"/>
          <w:spacing w:val="8"/>
          <w:sz w:val="24"/>
          <w:szCs w:val="24"/>
          <w:highlight w:val="none"/>
          <w:lang w:val="en-US" w:eastAsia="zh-CN"/>
        </w:rPr>
        <w:t>6</w:t>
      </w:r>
      <w:r>
        <w:rPr>
          <w:rFonts w:hint="eastAsia" w:ascii="仿宋_GB2312" w:hAnsi="仿宋_GB2312" w:eastAsia="仿宋_GB2312" w:cs="仿宋_GB2312"/>
          <w:spacing w:val="8"/>
          <w:sz w:val="24"/>
          <w:szCs w:val="24"/>
          <w:highlight w:val="none"/>
        </w:rPr>
        <w:t>年</w:t>
      </w:r>
      <w:r>
        <w:rPr>
          <w:rFonts w:hint="eastAsia" w:ascii="仿宋_GB2312" w:hAnsi="仿宋_GB2312" w:eastAsia="仿宋_GB2312" w:cs="仿宋_GB2312"/>
          <w:spacing w:val="8"/>
          <w:sz w:val="24"/>
          <w:szCs w:val="24"/>
          <w:highlight w:val="none"/>
          <w:lang w:val="en-US" w:eastAsia="zh-CN"/>
        </w:rPr>
        <w:t>06</w:t>
      </w:r>
      <w:r>
        <w:rPr>
          <w:rFonts w:hint="eastAsia" w:ascii="仿宋_GB2312" w:hAnsi="仿宋_GB2312" w:eastAsia="仿宋_GB2312" w:cs="仿宋_GB2312"/>
          <w:spacing w:val="8"/>
          <w:sz w:val="24"/>
          <w:szCs w:val="24"/>
          <w:highlight w:val="none"/>
        </w:rPr>
        <w:t>月</w:t>
      </w:r>
      <w:r>
        <w:rPr>
          <w:rFonts w:hint="eastAsia" w:ascii="仿宋_GB2312" w:hAnsi="仿宋_GB2312" w:eastAsia="仿宋_GB2312" w:cs="仿宋_GB2312"/>
          <w:spacing w:val="8"/>
          <w:sz w:val="24"/>
          <w:szCs w:val="24"/>
          <w:highlight w:val="none"/>
          <w:lang w:val="en-US" w:eastAsia="zh-CN"/>
        </w:rPr>
        <w:t>25</w:t>
      </w:r>
      <w:r>
        <w:rPr>
          <w:rFonts w:hint="eastAsia" w:ascii="仿宋_GB2312" w:hAnsi="仿宋_GB2312" w:eastAsia="仿宋_GB2312" w:cs="仿宋_GB2312"/>
          <w:spacing w:val="8"/>
          <w:sz w:val="24"/>
          <w:szCs w:val="24"/>
          <w:highlight w:val="none"/>
        </w:rPr>
        <w:t>日</w:t>
      </w:r>
      <w:r>
        <w:rPr>
          <w:rFonts w:hint="eastAsia" w:ascii="仿宋_GB2312" w:hAnsi="仿宋_GB2312" w:eastAsia="仿宋_GB2312" w:cs="仿宋_GB2312"/>
          <w:spacing w:val="8"/>
          <w:sz w:val="24"/>
          <w:szCs w:val="24"/>
          <w:highlight w:val="none"/>
          <w:lang w:val="en-US" w:eastAsia="zh-CN"/>
        </w:rPr>
        <w:t>09</w:t>
      </w:r>
      <w:r>
        <w:rPr>
          <w:rFonts w:hint="eastAsia" w:ascii="仿宋_GB2312" w:hAnsi="仿宋_GB2312" w:eastAsia="仿宋_GB2312" w:cs="仿宋_GB2312"/>
          <w:spacing w:val="8"/>
          <w:sz w:val="24"/>
          <w:szCs w:val="24"/>
          <w:highlight w:val="none"/>
        </w:rPr>
        <w:t>时00分</w:t>
      </w:r>
    </w:p>
    <w:p w14:paraId="0B15964C">
      <w:pPr>
        <w:widowControl/>
        <w:adjustRightInd w:val="0"/>
        <w:snapToGrid w:val="0"/>
        <w:spacing w:line="360" w:lineRule="auto"/>
        <w:ind w:firstLine="512" w:firstLineChars="200"/>
        <w:jc w:val="left"/>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2.地点：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43295A22">
      <w:pPr>
        <w:widowControl/>
        <w:snapToGrid w:val="0"/>
        <w:spacing w:line="360" w:lineRule="auto"/>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六、开启时间及地点</w:t>
      </w:r>
    </w:p>
    <w:p w14:paraId="0BC7653B">
      <w:pPr>
        <w:widowControl/>
        <w:adjustRightInd w:val="0"/>
        <w:snapToGrid w:val="0"/>
        <w:spacing w:line="360" w:lineRule="auto"/>
        <w:ind w:firstLine="512" w:firstLineChars="200"/>
        <w:jc w:val="left"/>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1.时间：202</w:t>
      </w:r>
      <w:r>
        <w:rPr>
          <w:rFonts w:hint="eastAsia" w:ascii="仿宋_GB2312" w:hAnsi="仿宋_GB2312" w:eastAsia="仿宋_GB2312" w:cs="仿宋_GB2312"/>
          <w:spacing w:val="8"/>
          <w:sz w:val="24"/>
          <w:szCs w:val="24"/>
          <w:highlight w:val="none"/>
          <w:lang w:val="en-US" w:eastAsia="zh-CN"/>
        </w:rPr>
        <w:t>6</w:t>
      </w:r>
      <w:r>
        <w:rPr>
          <w:rFonts w:hint="eastAsia" w:ascii="仿宋_GB2312" w:hAnsi="仿宋_GB2312" w:eastAsia="仿宋_GB2312" w:cs="仿宋_GB2312"/>
          <w:spacing w:val="8"/>
          <w:sz w:val="24"/>
          <w:szCs w:val="24"/>
          <w:highlight w:val="none"/>
        </w:rPr>
        <w:t>年</w:t>
      </w:r>
      <w:r>
        <w:rPr>
          <w:rFonts w:hint="eastAsia" w:ascii="仿宋_GB2312" w:hAnsi="仿宋_GB2312" w:eastAsia="仿宋_GB2312" w:cs="仿宋_GB2312"/>
          <w:spacing w:val="8"/>
          <w:sz w:val="24"/>
          <w:szCs w:val="24"/>
          <w:highlight w:val="none"/>
          <w:lang w:val="en-US" w:eastAsia="zh-CN"/>
        </w:rPr>
        <w:t>06</w:t>
      </w:r>
      <w:r>
        <w:rPr>
          <w:rFonts w:hint="eastAsia" w:ascii="仿宋_GB2312" w:hAnsi="仿宋_GB2312" w:eastAsia="仿宋_GB2312" w:cs="仿宋_GB2312"/>
          <w:spacing w:val="8"/>
          <w:sz w:val="24"/>
          <w:szCs w:val="24"/>
          <w:highlight w:val="none"/>
        </w:rPr>
        <w:t>月</w:t>
      </w:r>
      <w:r>
        <w:rPr>
          <w:rFonts w:hint="eastAsia" w:ascii="仿宋_GB2312" w:hAnsi="仿宋_GB2312" w:eastAsia="仿宋_GB2312" w:cs="仿宋_GB2312"/>
          <w:spacing w:val="8"/>
          <w:sz w:val="24"/>
          <w:szCs w:val="24"/>
          <w:highlight w:val="none"/>
          <w:lang w:val="en-US" w:eastAsia="zh-CN"/>
        </w:rPr>
        <w:t>25</w:t>
      </w:r>
      <w:r>
        <w:rPr>
          <w:rFonts w:hint="eastAsia" w:ascii="仿宋_GB2312" w:hAnsi="仿宋_GB2312" w:eastAsia="仿宋_GB2312" w:cs="仿宋_GB2312"/>
          <w:spacing w:val="8"/>
          <w:sz w:val="24"/>
          <w:szCs w:val="24"/>
          <w:highlight w:val="none"/>
        </w:rPr>
        <w:t>日</w:t>
      </w:r>
      <w:r>
        <w:rPr>
          <w:rFonts w:hint="eastAsia" w:ascii="仿宋_GB2312" w:hAnsi="仿宋_GB2312" w:eastAsia="仿宋_GB2312" w:cs="仿宋_GB2312"/>
          <w:spacing w:val="8"/>
          <w:sz w:val="24"/>
          <w:szCs w:val="24"/>
          <w:highlight w:val="none"/>
          <w:lang w:val="en-US" w:eastAsia="zh-CN"/>
        </w:rPr>
        <w:t>09</w:t>
      </w:r>
      <w:r>
        <w:rPr>
          <w:rFonts w:hint="eastAsia" w:ascii="仿宋_GB2312" w:hAnsi="仿宋_GB2312" w:eastAsia="仿宋_GB2312" w:cs="仿宋_GB2312"/>
          <w:spacing w:val="8"/>
          <w:sz w:val="24"/>
          <w:szCs w:val="24"/>
          <w:highlight w:val="none"/>
        </w:rPr>
        <w:t>时00分（北京时间）</w:t>
      </w:r>
    </w:p>
    <w:p w14:paraId="2B82B840">
      <w:pPr>
        <w:widowControl/>
        <w:adjustRightInd w:val="0"/>
        <w:snapToGrid w:val="0"/>
        <w:spacing w:line="360" w:lineRule="auto"/>
        <w:ind w:firstLine="512" w:firstLineChars="200"/>
        <w:jc w:val="left"/>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2.地点：威海市公共资源交易中心四楼交易</w:t>
      </w:r>
      <w:r>
        <w:rPr>
          <w:rFonts w:hint="eastAsia" w:ascii="仿宋_GB2312" w:hAnsi="仿宋_GB2312" w:eastAsia="仿宋_GB2312" w:cs="仿宋_GB2312"/>
          <w:spacing w:val="8"/>
          <w:sz w:val="24"/>
          <w:szCs w:val="24"/>
          <w:highlight w:val="none"/>
          <w:lang w:val="en-US" w:eastAsia="zh-CN"/>
        </w:rPr>
        <w:t>七</w:t>
      </w:r>
      <w:r>
        <w:rPr>
          <w:rFonts w:hint="eastAsia" w:ascii="仿宋_GB2312" w:hAnsi="仿宋_GB2312" w:eastAsia="仿宋_GB2312" w:cs="仿宋_GB2312"/>
          <w:spacing w:val="8"/>
          <w:sz w:val="24"/>
          <w:szCs w:val="24"/>
          <w:highlight w:val="none"/>
        </w:rPr>
        <w:t>厅（威海市环翠区塔山中路317号市政务服务中心四楼）</w:t>
      </w:r>
    </w:p>
    <w:p w14:paraId="3ED5E023">
      <w:pPr>
        <w:widowControl/>
        <w:snapToGrid w:val="0"/>
        <w:spacing w:line="360" w:lineRule="auto"/>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七、发布公告的媒介</w:t>
      </w:r>
    </w:p>
    <w:p w14:paraId="29DF2F5A">
      <w:pPr>
        <w:widowControl/>
        <w:adjustRightInd w:val="0"/>
        <w:snapToGrid w:val="0"/>
        <w:spacing w:line="360" w:lineRule="auto"/>
        <w:ind w:firstLine="512" w:firstLineChars="200"/>
        <w:jc w:val="left"/>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本次公告在中国招标投标公共服务平台（www.cebpubservice.com）、威海市公共资源交易网（http://ggzyjy.weihai.cn/）、威海市环通产业投资集团有限公司招采平台（http://hcct.weihaihuancui.cn/Bid.html?rid=1）上发布。</w:t>
      </w:r>
    </w:p>
    <w:p w14:paraId="6AB82790">
      <w:pPr>
        <w:widowControl/>
        <w:snapToGrid w:val="0"/>
        <w:spacing w:line="360" w:lineRule="auto"/>
        <w:rPr>
          <w:rFonts w:hint="eastAsia" w:ascii="仿宋_GB2312" w:hAnsi="仿宋_GB2312" w:eastAsia="仿宋_GB2312" w:cs="仿宋_GB2312"/>
          <w:b/>
          <w:kern w:val="0"/>
          <w:sz w:val="28"/>
          <w:szCs w:val="28"/>
          <w:highlight w:val="none"/>
        </w:rPr>
      </w:pPr>
      <w:r>
        <w:rPr>
          <w:rFonts w:hint="eastAsia" w:ascii="仿宋_GB2312" w:hAnsi="仿宋_GB2312" w:eastAsia="仿宋_GB2312" w:cs="仿宋_GB2312"/>
          <w:b/>
          <w:kern w:val="0"/>
          <w:sz w:val="28"/>
          <w:szCs w:val="28"/>
          <w:highlight w:val="none"/>
        </w:rPr>
        <w:t>八、其他补充事宜</w:t>
      </w:r>
    </w:p>
    <w:p w14:paraId="3BBB7F1D">
      <w:pPr>
        <w:widowControl/>
        <w:adjustRightInd w:val="0"/>
        <w:snapToGrid w:val="0"/>
        <w:spacing w:line="360" w:lineRule="auto"/>
        <w:ind w:firstLine="512" w:firstLineChars="200"/>
        <w:jc w:val="left"/>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1.本项目实行全流程电子化，提交投标文件截止时间前，随时关注威海市公共资源交易网（变更公告栏）内变更提醒。</w:t>
      </w:r>
    </w:p>
    <w:p w14:paraId="4B085020">
      <w:pPr>
        <w:widowControl/>
        <w:adjustRightInd w:val="0"/>
        <w:snapToGrid w:val="0"/>
        <w:spacing w:line="360" w:lineRule="auto"/>
        <w:ind w:firstLine="512" w:firstLineChars="200"/>
        <w:jc w:val="left"/>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2.投标人自行准备电脑，提前在个人电脑上进行测试确保音频、视频功能、CA 签章功能可正常使用。远程开标，不接受投标人到现场参加开标活动；投标人提前熟悉交易系统（国企采购供应商操作手册网址：http://ggzyjy.weihai.cn/bszn/005005/20200820/ee51cd3e-144e-497c-9fde-deff112be090.html），通过交易系统线上参加开标活动，不熟悉系统操作产生的风险由投标人承担。</w:t>
      </w:r>
    </w:p>
    <w:p w14:paraId="28DC53C0">
      <w:pPr>
        <w:widowControl/>
        <w:snapToGrid w:val="0"/>
        <w:spacing w:line="360" w:lineRule="auto"/>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b/>
          <w:kern w:val="0"/>
          <w:sz w:val="28"/>
          <w:szCs w:val="28"/>
          <w:highlight w:val="none"/>
        </w:rPr>
        <w:t>九、对本次招标提出询问，请按以下方式联系。</w:t>
      </w:r>
    </w:p>
    <w:p w14:paraId="7978E62F">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1.招标人信息</w:t>
      </w:r>
    </w:p>
    <w:p w14:paraId="4AE98AD0">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招  标  人：威海市环翠园林工程有限公司        </w:t>
      </w:r>
    </w:p>
    <w:p w14:paraId="1893ECD0">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招标人地址：威海市环翠区望岛工业园</w:t>
      </w:r>
    </w:p>
    <w:p w14:paraId="53A53E45">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 xml:space="preserve">联  系  人：江雅丽  </w:t>
      </w:r>
    </w:p>
    <w:p w14:paraId="02352EA3">
      <w:pPr>
        <w:widowControl/>
        <w:snapToGrid w:val="0"/>
        <w:spacing w:line="360" w:lineRule="auto"/>
        <w:ind w:firstLine="556"/>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8"/>
          <w:sz w:val="24"/>
          <w:szCs w:val="24"/>
          <w:highlight w:val="none"/>
        </w:rPr>
        <w:t>电      话：0631-5327707</w:t>
      </w:r>
    </w:p>
    <w:p w14:paraId="620CD52C">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2.招标代理机构信息</w:t>
      </w:r>
    </w:p>
    <w:p w14:paraId="512BA130">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名    称：山东宏达工程管理有限公司</w:t>
      </w:r>
    </w:p>
    <w:p w14:paraId="364C022A">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地    址：威海市环翠区和平路-148号五层</w:t>
      </w:r>
    </w:p>
    <w:p w14:paraId="24DBE0A7">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联 系 人：李海亮、刘佩佩</w:t>
      </w:r>
    </w:p>
    <w:p w14:paraId="0AB0C828">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 xml:space="preserve">联系电话：0631-5283707     </w:t>
      </w:r>
    </w:p>
    <w:p w14:paraId="648E4A1D">
      <w:pPr>
        <w:widowControl/>
        <w:snapToGrid w:val="0"/>
        <w:spacing w:line="360" w:lineRule="auto"/>
        <w:ind w:firstLine="556"/>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电子邮箱：</w:t>
      </w:r>
      <w:r>
        <w:rPr>
          <w:rFonts w:hint="eastAsia" w:ascii="仿宋_GB2312" w:hAnsi="仿宋_GB2312" w:eastAsia="仿宋_GB2312" w:cs="仿宋_GB2312"/>
          <w:spacing w:val="8"/>
          <w:sz w:val="24"/>
          <w:szCs w:val="24"/>
          <w:highlight w:val="none"/>
          <w:lang w:val="en-US" w:eastAsia="zh-CN"/>
        </w:rPr>
        <w:t>SD</w:t>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"mailto:HDZBDL123@126.com" </w:instrText>
      </w:r>
      <w:r>
        <w:rPr>
          <w:rFonts w:hint="eastAsia" w:ascii="仿宋_GB2312" w:hAnsi="仿宋_GB2312" w:eastAsia="仿宋_GB2312" w:cs="仿宋_GB2312"/>
          <w:highlight w:val="none"/>
        </w:rPr>
        <w:fldChar w:fldCharType="separate"/>
      </w:r>
      <w:r>
        <w:rPr>
          <w:rStyle w:val="50"/>
          <w:rFonts w:hint="eastAsia" w:ascii="仿宋_GB2312" w:hAnsi="仿宋_GB2312" w:eastAsia="仿宋_GB2312" w:cs="仿宋_GB2312"/>
          <w:spacing w:val="8"/>
          <w:sz w:val="24"/>
          <w:szCs w:val="24"/>
          <w:highlight w:val="none"/>
        </w:rPr>
        <w:t>HDZBDL123@126.com</w:t>
      </w:r>
      <w:r>
        <w:rPr>
          <w:rStyle w:val="50"/>
          <w:rFonts w:hint="eastAsia" w:ascii="仿宋_GB2312" w:hAnsi="仿宋_GB2312" w:eastAsia="仿宋_GB2312" w:cs="仿宋_GB2312"/>
          <w:spacing w:val="8"/>
          <w:sz w:val="24"/>
          <w:szCs w:val="24"/>
          <w:highlight w:val="none"/>
        </w:rPr>
        <w:fldChar w:fldCharType="end"/>
      </w:r>
    </w:p>
    <w:p w14:paraId="2013462F">
      <w:pPr>
        <w:pStyle w:val="2"/>
        <w:rPr>
          <w:rFonts w:hint="eastAsia" w:ascii="仿宋_GB2312" w:hAnsi="仿宋_GB2312" w:eastAsia="仿宋_GB2312" w:cs="仿宋_GB2312"/>
          <w:highlight w:val="none"/>
          <w:lang w:eastAsia="zh-CN"/>
        </w:rPr>
      </w:pPr>
    </w:p>
    <w:p w14:paraId="60F71635">
      <w:pPr>
        <w:snapToGrid w:val="0"/>
        <w:spacing w:line="360" w:lineRule="auto"/>
        <w:rPr>
          <w:rFonts w:hint="eastAsia" w:ascii="仿宋_GB2312" w:hAnsi="仿宋_GB2312" w:eastAsia="仿宋_GB2312" w:cs="仿宋_GB2312"/>
          <w:sz w:val="24"/>
          <w:szCs w:val="24"/>
          <w:highlight w:val="none"/>
        </w:rPr>
      </w:pPr>
    </w:p>
    <w:p w14:paraId="36CA4BDF">
      <w:pPr>
        <w:widowControl/>
        <w:snapToGrid w:val="0"/>
        <w:spacing w:line="360" w:lineRule="auto"/>
        <w:ind w:firstLine="4001" w:firstLineChars="1563"/>
        <w:jc w:val="right"/>
        <w:rPr>
          <w:rFonts w:hint="eastAsia" w:ascii="仿宋_GB2312" w:hAnsi="仿宋_GB2312" w:eastAsia="仿宋_GB2312" w:cs="仿宋_GB2312"/>
          <w:spacing w:val="8"/>
          <w:sz w:val="24"/>
          <w:szCs w:val="24"/>
          <w:highlight w:val="none"/>
        </w:rPr>
      </w:pPr>
      <w:r>
        <w:rPr>
          <w:rFonts w:hint="eastAsia" w:ascii="仿宋_GB2312" w:hAnsi="仿宋_GB2312" w:eastAsia="仿宋_GB2312" w:cs="仿宋_GB2312"/>
          <w:spacing w:val="8"/>
          <w:sz w:val="24"/>
          <w:szCs w:val="24"/>
          <w:highlight w:val="none"/>
        </w:rPr>
        <w:t>发布人：山东宏达工程管理有限公司</w:t>
      </w:r>
    </w:p>
    <w:p w14:paraId="3ACC48FC">
      <w:pPr>
        <w:widowControl/>
        <w:adjustRightInd w:val="0"/>
        <w:snapToGrid w:val="0"/>
        <w:spacing w:line="360" w:lineRule="auto"/>
        <w:ind w:left="-240"/>
        <w:jc w:val="righ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sz w:val="24"/>
          <w:szCs w:val="24"/>
          <w:highlight w:val="none"/>
        </w:rPr>
        <w:t xml:space="preserve">            发布时间：202</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06月12</w:t>
      </w:r>
      <w:r>
        <w:rPr>
          <w:rFonts w:hint="eastAsia" w:ascii="仿宋_GB2312" w:hAnsi="仿宋_GB2312" w:eastAsia="仿宋_GB2312" w:cs="仿宋_GB2312"/>
          <w:sz w:val="24"/>
          <w:szCs w:val="24"/>
          <w:highlight w:val="none"/>
        </w:rPr>
        <w:t>日</w:t>
      </w:r>
    </w:p>
    <w:p w14:paraId="23B543C8">
      <w:pPr>
        <w:pStyle w:val="3"/>
        <w:rPr>
          <w:rFonts w:hint="eastAsia" w:ascii="仿宋_GB2312" w:hAnsi="仿宋_GB2312" w:eastAsia="仿宋_GB2312" w:cs="仿宋_GB2312"/>
          <w:b/>
          <w:sz w:val="44"/>
          <w:szCs w:val="44"/>
          <w:highlight w:val="none"/>
        </w:rPr>
      </w:pPr>
      <w:r>
        <w:rPr>
          <w:rFonts w:hint="eastAsia" w:ascii="仿宋_GB2312" w:hAnsi="仿宋_GB2312" w:eastAsia="仿宋_GB2312" w:cs="仿宋_GB2312"/>
          <w:highlight w:val="none"/>
        </w:rPr>
        <w:br w:type="page"/>
      </w:r>
      <w:bookmarkStart w:id="1" w:name="_Toc199927042"/>
      <w:r>
        <w:rPr>
          <w:rFonts w:hint="eastAsia" w:ascii="仿宋_GB2312" w:hAnsi="仿宋_GB2312" w:eastAsia="仿宋_GB2312" w:cs="仿宋_GB2312"/>
          <w:b/>
          <w:sz w:val="44"/>
          <w:szCs w:val="44"/>
          <w:highlight w:val="none"/>
        </w:rPr>
        <w:t>第二章  投标人须知</w:t>
      </w:r>
      <w:bookmarkEnd w:id="1"/>
    </w:p>
    <w:p w14:paraId="5D200D7B">
      <w:pPr>
        <w:jc w:val="center"/>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投标须知前附表</w:t>
      </w:r>
    </w:p>
    <w:tbl>
      <w:tblPr>
        <w:tblStyle w:val="43"/>
        <w:tblW w:w="943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1876"/>
        <w:gridCol w:w="6705"/>
      </w:tblGrid>
      <w:tr w14:paraId="4258D6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851" w:type="dxa"/>
            <w:tcBorders>
              <w:top w:val="single" w:color="auto" w:sz="4" w:space="0"/>
              <w:bottom w:val="single" w:color="auto" w:sz="4" w:space="0"/>
              <w:right w:val="single" w:color="auto" w:sz="4" w:space="0"/>
            </w:tcBorders>
            <w:noWrap/>
            <w:vAlign w:val="center"/>
          </w:tcPr>
          <w:p w14:paraId="164735F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序号</w:t>
            </w:r>
          </w:p>
        </w:tc>
        <w:tc>
          <w:tcPr>
            <w:tcW w:w="1876" w:type="dxa"/>
            <w:tcBorders>
              <w:top w:val="single" w:color="auto" w:sz="4" w:space="0"/>
              <w:left w:val="single" w:color="auto" w:sz="4" w:space="0"/>
              <w:bottom w:val="single" w:color="auto" w:sz="4" w:space="0"/>
              <w:right w:val="single" w:color="auto" w:sz="4" w:space="0"/>
            </w:tcBorders>
            <w:noWrap/>
            <w:vAlign w:val="center"/>
          </w:tcPr>
          <w:p w14:paraId="3530270B">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    目</w:t>
            </w:r>
          </w:p>
        </w:tc>
        <w:tc>
          <w:tcPr>
            <w:tcW w:w="6705" w:type="dxa"/>
            <w:tcBorders>
              <w:top w:val="single" w:color="auto" w:sz="4" w:space="0"/>
              <w:left w:val="single" w:color="auto" w:sz="4" w:space="0"/>
              <w:bottom w:val="single" w:color="auto" w:sz="4" w:space="0"/>
            </w:tcBorders>
            <w:noWrap/>
            <w:vAlign w:val="center"/>
          </w:tcPr>
          <w:p w14:paraId="25944585">
            <w:pPr>
              <w:snapToGrid w:val="0"/>
              <w:spacing w:line="360" w:lineRule="auto"/>
              <w:ind w:left="57" w:firstLine="482" w:firstLineChars="201"/>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内           容</w:t>
            </w:r>
          </w:p>
        </w:tc>
      </w:tr>
      <w:tr w14:paraId="1D51A9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noWrap/>
            <w:vAlign w:val="center"/>
          </w:tcPr>
          <w:p w14:paraId="5D74061C">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1876" w:type="dxa"/>
            <w:tcBorders>
              <w:top w:val="single" w:color="auto" w:sz="4" w:space="0"/>
              <w:left w:val="single" w:color="auto" w:sz="4" w:space="0"/>
              <w:bottom w:val="single" w:color="auto" w:sz="4" w:space="0"/>
              <w:right w:val="single" w:color="auto" w:sz="4" w:space="0"/>
            </w:tcBorders>
            <w:noWrap/>
            <w:vAlign w:val="center"/>
          </w:tcPr>
          <w:p w14:paraId="67B0B9E8">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项目名称</w:t>
            </w:r>
          </w:p>
        </w:tc>
        <w:tc>
          <w:tcPr>
            <w:tcW w:w="6705" w:type="dxa"/>
            <w:tcBorders>
              <w:top w:val="single" w:color="auto" w:sz="4" w:space="0"/>
              <w:left w:val="single" w:color="auto" w:sz="4" w:space="0"/>
              <w:bottom w:val="single" w:color="auto" w:sz="4" w:space="0"/>
            </w:tcBorders>
            <w:noWrap/>
            <w:vAlign w:val="center"/>
          </w:tcPr>
          <w:p w14:paraId="77553D49">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highlight w:val="none"/>
              </w:rPr>
              <w:t>选定苗木供应单位</w:t>
            </w:r>
          </w:p>
        </w:tc>
      </w:tr>
      <w:tr w14:paraId="35AD1E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noWrap/>
            <w:vAlign w:val="center"/>
          </w:tcPr>
          <w:p w14:paraId="00AB9062">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p>
        </w:tc>
        <w:tc>
          <w:tcPr>
            <w:tcW w:w="1876" w:type="dxa"/>
            <w:tcBorders>
              <w:top w:val="single" w:color="auto" w:sz="4" w:space="0"/>
              <w:left w:val="single" w:color="auto" w:sz="4" w:space="0"/>
              <w:bottom w:val="single" w:color="auto" w:sz="4" w:space="0"/>
              <w:right w:val="single" w:color="auto" w:sz="4" w:space="0"/>
            </w:tcBorders>
            <w:noWrap/>
            <w:vAlign w:val="center"/>
          </w:tcPr>
          <w:p w14:paraId="391C3CF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项目编号</w:t>
            </w:r>
          </w:p>
        </w:tc>
        <w:tc>
          <w:tcPr>
            <w:tcW w:w="6705" w:type="dxa"/>
            <w:tcBorders>
              <w:top w:val="single" w:color="auto" w:sz="4" w:space="0"/>
              <w:left w:val="single" w:color="auto" w:sz="4" w:space="0"/>
              <w:bottom w:val="single" w:color="auto" w:sz="4" w:space="0"/>
            </w:tcBorders>
            <w:noWrap/>
            <w:vAlign w:val="center"/>
          </w:tcPr>
          <w:p w14:paraId="627A5537">
            <w:pPr>
              <w:widowControl/>
              <w:spacing w:before="75"/>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PURM202606050002</w:t>
            </w:r>
          </w:p>
        </w:tc>
      </w:tr>
      <w:tr w14:paraId="3E725E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noWrap/>
            <w:vAlign w:val="center"/>
          </w:tcPr>
          <w:p w14:paraId="2D3FCB17">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w:t>
            </w:r>
          </w:p>
        </w:tc>
        <w:tc>
          <w:tcPr>
            <w:tcW w:w="1876" w:type="dxa"/>
            <w:tcBorders>
              <w:top w:val="single" w:color="auto" w:sz="4" w:space="0"/>
              <w:left w:val="single" w:color="auto" w:sz="4" w:space="0"/>
              <w:bottom w:val="single" w:color="auto" w:sz="4" w:space="0"/>
              <w:right w:val="single" w:color="auto" w:sz="4" w:space="0"/>
            </w:tcBorders>
            <w:noWrap/>
            <w:vAlign w:val="center"/>
          </w:tcPr>
          <w:p w14:paraId="3C1157E5">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招标人</w:t>
            </w:r>
          </w:p>
        </w:tc>
        <w:tc>
          <w:tcPr>
            <w:tcW w:w="6705" w:type="dxa"/>
            <w:tcBorders>
              <w:top w:val="single" w:color="auto" w:sz="4" w:space="0"/>
              <w:left w:val="single" w:color="auto" w:sz="4" w:space="0"/>
              <w:bottom w:val="single" w:color="auto" w:sz="4" w:space="0"/>
            </w:tcBorders>
            <w:noWrap/>
            <w:vAlign w:val="bottom"/>
          </w:tcPr>
          <w:p w14:paraId="369A273C">
            <w:pPr>
              <w:snapToGrid w:val="0"/>
              <w:spacing w:line="360" w:lineRule="auto"/>
              <w:jc w:val="left"/>
              <w:rPr>
                <w:rFonts w:hint="eastAsia" w:ascii="仿宋_GB2312" w:hAnsi="仿宋_GB2312" w:eastAsia="仿宋_GB2312" w:cs="仿宋_GB2312"/>
                <w:sz w:val="24"/>
                <w:szCs w:val="24"/>
                <w:highlight w:val="none"/>
                <w:shd w:val="clear" w:color="auto" w:fill="FFFFFF"/>
              </w:rPr>
            </w:pPr>
            <w:r>
              <w:rPr>
                <w:rFonts w:hint="eastAsia" w:ascii="仿宋_GB2312" w:hAnsi="仿宋_GB2312" w:eastAsia="仿宋_GB2312" w:cs="仿宋_GB2312"/>
                <w:sz w:val="24"/>
                <w:szCs w:val="24"/>
                <w:highlight w:val="none"/>
                <w:shd w:val="clear" w:color="auto" w:fill="FFFFFF"/>
              </w:rPr>
              <w:t>招  标  人：威海市环翠园林工程有限公司        </w:t>
            </w:r>
          </w:p>
          <w:p w14:paraId="3A53B0E1">
            <w:pPr>
              <w:snapToGrid w:val="0"/>
              <w:spacing w:line="360" w:lineRule="auto"/>
              <w:jc w:val="left"/>
              <w:rPr>
                <w:rFonts w:hint="eastAsia" w:ascii="仿宋_GB2312" w:hAnsi="仿宋_GB2312" w:eastAsia="仿宋_GB2312" w:cs="仿宋_GB2312"/>
                <w:sz w:val="24"/>
                <w:szCs w:val="24"/>
                <w:highlight w:val="none"/>
                <w:shd w:val="clear" w:color="auto" w:fill="FFFFFF"/>
              </w:rPr>
            </w:pPr>
            <w:r>
              <w:rPr>
                <w:rFonts w:hint="eastAsia" w:ascii="仿宋_GB2312" w:hAnsi="仿宋_GB2312" w:eastAsia="仿宋_GB2312" w:cs="仿宋_GB2312"/>
                <w:sz w:val="24"/>
                <w:szCs w:val="24"/>
                <w:highlight w:val="none"/>
                <w:shd w:val="clear" w:color="auto" w:fill="FFFFFF"/>
              </w:rPr>
              <w:t>招标人地址：威海市环翠区望岛工业园</w:t>
            </w:r>
          </w:p>
          <w:p w14:paraId="6FB1E6EA">
            <w:pPr>
              <w:snapToGrid w:val="0"/>
              <w:spacing w:line="360" w:lineRule="auto"/>
              <w:jc w:val="left"/>
              <w:rPr>
                <w:rFonts w:hint="eastAsia" w:ascii="仿宋_GB2312" w:hAnsi="仿宋_GB2312" w:eastAsia="仿宋_GB2312" w:cs="仿宋_GB2312"/>
                <w:sz w:val="24"/>
                <w:szCs w:val="24"/>
                <w:highlight w:val="none"/>
                <w:shd w:val="clear" w:color="auto" w:fill="FFFFFF"/>
              </w:rPr>
            </w:pPr>
            <w:r>
              <w:rPr>
                <w:rFonts w:hint="eastAsia" w:ascii="仿宋_GB2312" w:hAnsi="仿宋_GB2312" w:eastAsia="仿宋_GB2312" w:cs="仿宋_GB2312"/>
                <w:sz w:val="24"/>
                <w:szCs w:val="24"/>
                <w:highlight w:val="none"/>
                <w:shd w:val="clear" w:color="auto" w:fill="FFFFFF"/>
              </w:rPr>
              <w:t xml:space="preserve">联  系  人：江雅丽  </w:t>
            </w:r>
          </w:p>
          <w:p w14:paraId="76773E6A">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shd w:val="clear" w:color="auto" w:fill="FFFFFF"/>
              </w:rPr>
              <w:t>电      话：0631-5327707</w:t>
            </w:r>
          </w:p>
        </w:tc>
      </w:tr>
      <w:tr w14:paraId="60A973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noWrap/>
            <w:vAlign w:val="center"/>
          </w:tcPr>
          <w:p w14:paraId="7FA50682">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w:t>
            </w:r>
          </w:p>
        </w:tc>
        <w:tc>
          <w:tcPr>
            <w:tcW w:w="1876" w:type="dxa"/>
            <w:tcBorders>
              <w:top w:val="single" w:color="auto" w:sz="4" w:space="0"/>
              <w:left w:val="single" w:color="auto" w:sz="4" w:space="0"/>
              <w:bottom w:val="single" w:color="auto" w:sz="4" w:space="0"/>
              <w:right w:val="single" w:color="auto" w:sz="4" w:space="0"/>
            </w:tcBorders>
            <w:noWrap/>
            <w:vAlign w:val="center"/>
          </w:tcPr>
          <w:p w14:paraId="6798849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招标代理机构</w:t>
            </w:r>
          </w:p>
        </w:tc>
        <w:tc>
          <w:tcPr>
            <w:tcW w:w="6705" w:type="dxa"/>
            <w:tcBorders>
              <w:top w:val="single" w:color="auto" w:sz="4" w:space="0"/>
              <w:left w:val="single" w:color="auto" w:sz="4" w:space="0"/>
              <w:bottom w:val="single" w:color="auto" w:sz="4" w:space="0"/>
            </w:tcBorders>
            <w:noWrap/>
            <w:vAlign w:val="center"/>
          </w:tcPr>
          <w:p w14:paraId="2796A157">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名称：山东宏达工程管理有限公司</w:t>
            </w:r>
          </w:p>
          <w:p w14:paraId="385661DE">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地址：威海市环翠区和平路-148号五层</w:t>
            </w:r>
          </w:p>
          <w:p w14:paraId="7A91C57D">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联系人：李海亮</w:t>
            </w:r>
            <w:r>
              <w:rPr>
                <w:rFonts w:hint="eastAsia" w:ascii="仿宋_GB2312" w:hAnsi="仿宋_GB2312" w:eastAsia="仿宋_GB2312" w:cs="仿宋_GB2312"/>
                <w:spacing w:val="8"/>
                <w:sz w:val="24"/>
                <w:szCs w:val="24"/>
                <w:highlight w:val="none"/>
              </w:rPr>
              <w:t>、刘佩佩</w:t>
            </w:r>
          </w:p>
          <w:p w14:paraId="7ABAF49B">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电话：0631-5283707</w:t>
            </w:r>
          </w:p>
        </w:tc>
      </w:tr>
      <w:tr w14:paraId="1B68FD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851" w:type="dxa"/>
            <w:tcBorders>
              <w:top w:val="single" w:color="auto" w:sz="4" w:space="0"/>
              <w:bottom w:val="single" w:color="auto" w:sz="4" w:space="0"/>
              <w:right w:val="single" w:color="auto" w:sz="4" w:space="0"/>
            </w:tcBorders>
            <w:noWrap/>
            <w:vAlign w:val="center"/>
          </w:tcPr>
          <w:p w14:paraId="7B8F291E">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w:t>
            </w:r>
          </w:p>
        </w:tc>
        <w:tc>
          <w:tcPr>
            <w:tcW w:w="1876" w:type="dxa"/>
            <w:tcBorders>
              <w:top w:val="single" w:color="auto" w:sz="4" w:space="0"/>
              <w:left w:val="single" w:color="auto" w:sz="4" w:space="0"/>
              <w:bottom w:val="single" w:color="auto" w:sz="4" w:space="0"/>
              <w:right w:val="single" w:color="auto" w:sz="4" w:space="0"/>
            </w:tcBorders>
            <w:noWrap/>
            <w:vAlign w:val="center"/>
          </w:tcPr>
          <w:p w14:paraId="6D1758B6">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项目详细情况</w:t>
            </w:r>
          </w:p>
        </w:tc>
        <w:tc>
          <w:tcPr>
            <w:tcW w:w="6705" w:type="dxa"/>
            <w:tcBorders>
              <w:top w:val="single" w:color="auto" w:sz="4" w:space="0"/>
              <w:left w:val="single" w:color="auto" w:sz="4" w:space="0"/>
              <w:bottom w:val="single" w:color="auto" w:sz="4" w:space="0"/>
            </w:tcBorders>
            <w:noWrap/>
            <w:vAlign w:val="center"/>
          </w:tcPr>
          <w:p w14:paraId="095E460D">
            <w:pPr>
              <w:wordWrap w:val="0"/>
              <w:adjustRightInd w:val="0"/>
              <w:snapToGrid w:val="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详见招标公告</w:t>
            </w:r>
          </w:p>
        </w:tc>
      </w:tr>
      <w:tr w14:paraId="6E4C1C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851" w:type="dxa"/>
            <w:tcBorders>
              <w:top w:val="single" w:color="auto" w:sz="4" w:space="0"/>
              <w:bottom w:val="single" w:color="auto" w:sz="4" w:space="0"/>
              <w:right w:val="single" w:color="auto" w:sz="4" w:space="0"/>
            </w:tcBorders>
            <w:noWrap/>
            <w:vAlign w:val="center"/>
          </w:tcPr>
          <w:p w14:paraId="09F52D93">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w:t>
            </w:r>
          </w:p>
        </w:tc>
        <w:tc>
          <w:tcPr>
            <w:tcW w:w="1876" w:type="dxa"/>
            <w:tcBorders>
              <w:top w:val="single" w:color="auto" w:sz="4" w:space="0"/>
              <w:left w:val="single" w:color="auto" w:sz="4" w:space="0"/>
              <w:bottom w:val="single" w:color="auto" w:sz="4" w:space="0"/>
              <w:right w:val="single" w:color="auto" w:sz="4" w:space="0"/>
            </w:tcBorders>
            <w:noWrap/>
            <w:vAlign w:val="center"/>
          </w:tcPr>
          <w:p w14:paraId="6F435283">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资金来源及</w:t>
            </w:r>
          </w:p>
          <w:p w14:paraId="28583808">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比例</w:t>
            </w:r>
          </w:p>
        </w:tc>
        <w:tc>
          <w:tcPr>
            <w:tcW w:w="6705" w:type="dxa"/>
            <w:tcBorders>
              <w:top w:val="single" w:color="auto" w:sz="4" w:space="0"/>
              <w:left w:val="single" w:color="auto" w:sz="4" w:space="0"/>
              <w:bottom w:val="single" w:color="auto" w:sz="4" w:space="0"/>
            </w:tcBorders>
            <w:noWrap/>
            <w:vAlign w:val="center"/>
          </w:tcPr>
          <w:p w14:paraId="5AC9B287">
            <w:pPr>
              <w:wordWrap w:val="0"/>
              <w:adjustRightInd w:val="0"/>
              <w:snapToGrid w:val="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100%自筹资金</w:t>
            </w:r>
          </w:p>
        </w:tc>
      </w:tr>
      <w:tr w14:paraId="44B085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851" w:type="dxa"/>
            <w:tcBorders>
              <w:top w:val="single" w:color="auto" w:sz="4" w:space="0"/>
              <w:bottom w:val="single" w:color="auto" w:sz="4" w:space="0"/>
              <w:right w:val="single" w:color="auto" w:sz="4" w:space="0"/>
            </w:tcBorders>
            <w:noWrap/>
            <w:vAlign w:val="center"/>
          </w:tcPr>
          <w:p w14:paraId="5C3501A3">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w:t>
            </w:r>
          </w:p>
        </w:tc>
        <w:tc>
          <w:tcPr>
            <w:tcW w:w="1876" w:type="dxa"/>
            <w:tcBorders>
              <w:top w:val="single" w:color="auto" w:sz="4" w:space="0"/>
              <w:left w:val="single" w:color="auto" w:sz="4" w:space="0"/>
              <w:bottom w:val="single" w:color="auto" w:sz="4" w:space="0"/>
              <w:right w:val="single" w:color="auto" w:sz="4" w:space="0"/>
            </w:tcBorders>
            <w:noWrap/>
            <w:vAlign w:val="center"/>
          </w:tcPr>
          <w:p w14:paraId="78B176BA">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落实情况</w:t>
            </w:r>
          </w:p>
        </w:tc>
        <w:tc>
          <w:tcPr>
            <w:tcW w:w="6705" w:type="dxa"/>
            <w:tcBorders>
              <w:top w:val="single" w:color="auto" w:sz="4" w:space="0"/>
              <w:left w:val="single" w:color="auto" w:sz="4" w:space="0"/>
              <w:bottom w:val="single" w:color="auto" w:sz="4" w:space="0"/>
            </w:tcBorders>
            <w:noWrap/>
            <w:vAlign w:val="center"/>
          </w:tcPr>
          <w:p w14:paraId="16B1F024">
            <w:pPr>
              <w:wordWrap w:val="0"/>
              <w:adjustRightInd w:val="0"/>
              <w:snapToGrid w:val="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已落实</w:t>
            </w:r>
          </w:p>
        </w:tc>
      </w:tr>
      <w:tr w14:paraId="1D5EB7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noWrap/>
            <w:vAlign w:val="center"/>
          </w:tcPr>
          <w:p w14:paraId="3D1C9A9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w:t>
            </w:r>
          </w:p>
        </w:tc>
        <w:tc>
          <w:tcPr>
            <w:tcW w:w="1876" w:type="dxa"/>
            <w:tcBorders>
              <w:top w:val="single" w:color="auto" w:sz="4" w:space="0"/>
              <w:left w:val="single" w:color="auto" w:sz="4" w:space="0"/>
              <w:bottom w:val="single" w:color="auto" w:sz="4" w:space="0"/>
              <w:right w:val="single" w:color="auto" w:sz="4" w:space="0"/>
            </w:tcBorders>
            <w:noWrap/>
            <w:vAlign w:val="center"/>
          </w:tcPr>
          <w:p w14:paraId="7CD0429C">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电子投标</w:t>
            </w:r>
          </w:p>
          <w:p w14:paraId="50A1E79D">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特别提示</w:t>
            </w:r>
          </w:p>
        </w:tc>
        <w:tc>
          <w:tcPr>
            <w:tcW w:w="6705" w:type="dxa"/>
            <w:tcBorders>
              <w:top w:val="single" w:color="auto" w:sz="4" w:space="0"/>
              <w:left w:val="single" w:color="auto" w:sz="4" w:space="0"/>
              <w:bottom w:val="single" w:color="auto" w:sz="4" w:space="0"/>
            </w:tcBorders>
            <w:noWrap/>
            <w:vAlign w:val="center"/>
          </w:tcPr>
          <w:p w14:paraId="164D332B">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7D83E8B2">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F79CDDD">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104504DB">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 网上提交响应文件时，登录交易平台的电脑须满足环境要求（详见新版威海市国有企业阳光采购服务平台供应商用户手册 https://ggzyjy.weihai.cn/bszn/005005/20260109/eb4ba418-4b35-4f05-aa69-44fd7d8a7ffb.html）。</w:t>
            </w:r>
          </w:p>
          <w:p w14:paraId="15417E02">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B30B689">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C37CD26">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7.投标人投标文件中的相关扫描件应保证清晰度，无法辨认的评审时受到影响的，由投标人承担相应责任。</w:t>
            </w:r>
          </w:p>
          <w:p w14:paraId="3CA5DD72">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8.除网上递交电子投标文件外，如有要求递交相关资质证明文件原件的，还须按其要求独立密封递交。</w:t>
            </w:r>
          </w:p>
          <w:p w14:paraId="047BA2BA">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9.投标人应充分考虑到网上递交投标文件会发生的故障和风险。对发生的任何故障和风险造成投标人报价内容不一致或利益受损或投标失败的，招标人及招标代理机构不承担任何责任。</w:t>
            </w:r>
          </w:p>
        </w:tc>
      </w:tr>
      <w:tr w14:paraId="53A383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noWrap/>
            <w:vAlign w:val="center"/>
          </w:tcPr>
          <w:p w14:paraId="6DC6B5B4">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p>
        </w:tc>
        <w:tc>
          <w:tcPr>
            <w:tcW w:w="1876" w:type="dxa"/>
            <w:tcBorders>
              <w:top w:val="single" w:color="auto" w:sz="4" w:space="0"/>
              <w:left w:val="single" w:color="auto" w:sz="4" w:space="0"/>
              <w:bottom w:val="single" w:color="auto" w:sz="4" w:space="0"/>
              <w:right w:val="single" w:color="auto" w:sz="4" w:space="0"/>
            </w:tcBorders>
            <w:noWrap/>
            <w:vAlign w:val="center"/>
          </w:tcPr>
          <w:p w14:paraId="2D745A53">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资质证明文件</w:t>
            </w:r>
          </w:p>
          <w:p w14:paraId="1F445C7E">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原件</w:t>
            </w:r>
          </w:p>
        </w:tc>
        <w:tc>
          <w:tcPr>
            <w:tcW w:w="6705" w:type="dxa"/>
            <w:tcBorders>
              <w:top w:val="single" w:color="auto" w:sz="4" w:space="0"/>
              <w:left w:val="single" w:color="auto" w:sz="4" w:space="0"/>
              <w:bottom w:val="single" w:color="auto" w:sz="4" w:space="0"/>
            </w:tcBorders>
            <w:noWrap/>
            <w:vAlign w:val="center"/>
          </w:tcPr>
          <w:p w14:paraId="74AC3A87">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详见招标文件要求（本项目无需提供）</w:t>
            </w:r>
          </w:p>
        </w:tc>
      </w:tr>
      <w:tr w14:paraId="4E3C40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noWrap/>
            <w:vAlign w:val="center"/>
          </w:tcPr>
          <w:p w14:paraId="689F201B">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w:t>
            </w:r>
          </w:p>
        </w:tc>
        <w:tc>
          <w:tcPr>
            <w:tcW w:w="1876" w:type="dxa"/>
            <w:tcBorders>
              <w:top w:val="single" w:color="auto" w:sz="4" w:space="0"/>
              <w:left w:val="single" w:color="auto" w:sz="4" w:space="0"/>
              <w:bottom w:val="single" w:color="auto" w:sz="4" w:space="0"/>
              <w:right w:val="single" w:color="auto" w:sz="4" w:space="0"/>
            </w:tcBorders>
            <w:noWrap/>
            <w:vAlign w:val="center"/>
          </w:tcPr>
          <w:p w14:paraId="5B9A1F58">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投标文件份数</w:t>
            </w:r>
          </w:p>
        </w:tc>
        <w:tc>
          <w:tcPr>
            <w:tcW w:w="6705" w:type="dxa"/>
            <w:tcBorders>
              <w:top w:val="single" w:color="auto" w:sz="4" w:space="0"/>
              <w:left w:val="single" w:color="auto" w:sz="4" w:space="0"/>
              <w:bottom w:val="single" w:color="auto" w:sz="4" w:space="0"/>
            </w:tcBorders>
            <w:noWrap/>
            <w:vAlign w:val="center"/>
          </w:tcPr>
          <w:p w14:paraId="0E0BA7D2">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网上按时递交电子投标文件1份及纸质投标文件2份。</w:t>
            </w:r>
          </w:p>
          <w:p w14:paraId="28CE5A6B">
            <w:pPr>
              <w:pStyle w:val="18"/>
              <w:snapToGrid w:val="0"/>
              <w:spacing w:line="360" w:lineRule="auto"/>
              <w:ind w:right="-105" w:rightChars="-50"/>
              <w:jc w:val="lef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纸质文件的送达：开标后2个工作日内邮寄或送达纸质投标文件2份（地址：威海市环翠区和平路-148号五层）。</w:t>
            </w:r>
          </w:p>
        </w:tc>
      </w:tr>
      <w:tr w14:paraId="21212A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ign w:val="center"/>
          </w:tcPr>
          <w:p w14:paraId="0672B06D">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w:t>
            </w:r>
          </w:p>
        </w:tc>
        <w:tc>
          <w:tcPr>
            <w:tcW w:w="1876" w:type="dxa"/>
            <w:tcBorders>
              <w:top w:val="single" w:color="auto" w:sz="4" w:space="0"/>
              <w:left w:val="single" w:color="auto" w:sz="4" w:space="0"/>
              <w:bottom w:val="single" w:color="auto" w:sz="4" w:space="0"/>
              <w:right w:val="single" w:color="auto" w:sz="4" w:space="0"/>
            </w:tcBorders>
            <w:noWrap/>
            <w:vAlign w:val="center"/>
          </w:tcPr>
          <w:p w14:paraId="6CF83C37">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实物样品</w:t>
            </w:r>
          </w:p>
        </w:tc>
        <w:tc>
          <w:tcPr>
            <w:tcW w:w="6705" w:type="dxa"/>
            <w:tcBorders>
              <w:top w:val="single" w:color="auto" w:sz="4" w:space="0"/>
              <w:left w:val="single" w:color="auto" w:sz="4" w:space="0"/>
              <w:bottom w:val="single" w:color="auto" w:sz="4" w:space="0"/>
            </w:tcBorders>
            <w:noWrap/>
            <w:vAlign w:val="center"/>
          </w:tcPr>
          <w:p w14:paraId="677B861E">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无</w:t>
            </w:r>
          </w:p>
        </w:tc>
      </w:tr>
      <w:tr w14:paraId="1FBAC9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51" w:type="dxa"/>
            <w:tcBorders>
              <w:top w:val="single" w:color="auto" w:sz="4" w:space="0"/>
              <w:bottom w:val="single" w:color="auto" w:sz="4" w:space="0"/>
              <w:right w:val="single" w:color="auto" w:sz="4" w:space="0"/>
            </w:tcBorders>
            <w:noWrap/>
            <w:vAlign w:val="center"/>
          </w:tcPr>
          <w:p w14:paraId="6A9E43A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w:t>
            </w:r>
          </w:p>
        </w:tc>
        <w:tc>
          <w:tcPr>
            <w:tcW w:w="1876" w:type="dxa"/>
            <w:tcBorders>
              <w:top w:val="single" w:color="auto" w:sz="4" w:space="0"/>
              <w:left w:val="single" w:color="auto" w:sz="4" w:space="0"/>
              <w:bottom w:val="single" w:color="auto" w:sz="4" w:space="0"/>
              <w:right w:val="single" w:color="auto" w:sz="4" w:space="0"/>
            </w:tcBorders>
            <w:noWrap/>
            <w:vAlign w:val="center"/>
          </w:tcPr>
          <w:p w14:paraId="0A71CBD2">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现场踏勘</w:t>
            </w:r>
          </w:p>
        </w:tc>
        <w:tc>
          <w:tcPr>
            <w:tcW w:w="6705" w:type="dxa"/>
            <w:tcBorders>
              <w:top w:val="single" w:color="auto" w:sz="4" w:space="0"/>
              <w:left w:val="single" w:color="auto" w:sz="4" w:space="0"/>
              <w:bottom w:val="single" w:color="auto" w:sz="4" w:space="0"/>
            </w:tcBorders>
            <w:noWrap/>
            <w:vAlign w:val="center"/>
          </w:tcPr>
          <w:p w14:paraId="397EED7F">
            <w:pPr>
              <w:spacing w:line="38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不组织</w:t>
            </w:r>
          </w:p>
        </w:tc>
      </w:tr>
      <w:tr w14:paraId="041680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ign w:val="center"/>
          </w:tcPr>
          <w:p w14:paraId="7EAB0CA8">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w:t>
            </w:r>
          </w:p>
        </w:tc>
        <w:tc>
          <w:tcPr>
            <w:tcW w:w="1876" w:type="dxa"/>
            <w:tcBorders>
              <w:top w:val="single" w:color="auto" w:sz="4" w:space="0"/>
              <w:left w:val="single" w:color="auto" w:sz="4" w:space="0"/>
              <w:bottom w:val="single" w:color="auto" w:sz="4" w:space="0"/>
              <w:right w:val="single" w:color="auto" w:sz="4" w:space="0"/>
            </w:tcBorders>
            <w:noWrap/>
            <w:vAlign w:val="center"/>
          </w:tcPr>
          <w:p w14:paraId="733C1F30">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现场演示</w:t>
            </w:r>
          </w:p>
        </w:tc>
        <w:tc>
          <w:tcPr>
            <w:tcW w:w="6705" w:type="dxa"/>
            <w:tcBorders>
              <w:top w:val="single" w:color="auto" w:sz="4" w:space="0"/>
              <w:left w:val="single" w:color="auto" w:sz="4" w:space="0"/>
              <w:bottom w:val="single" w:color="auto" w:sz="4" w:space="0"/>
            </w:tcBorders>
            <w:noWrap/>
            <w:vAlign w:val="center"/>
          </w:tcPr>
          <w:p w14:paraId="2571B66C">
            <w:pPr>
              <w:snapToGrid w:val="0"/>
              <w:spacing w:line="360" w:lineRule="auto"/>
              <w:textAlignment w:val="top"/>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不需要</w:t>
            </w:r>
          </w:p>
        </w:tc>
      </w:tr>
      <w:tr w14:paraId="55AA17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noWrap/>
            <w:vAlign w:val="center"/>
          </w:tcPr>
          <w:p w14:paraId="649E128D">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w:t>
            </w:r>
          </w:p>
        </w:tc>
        <w:tc>
          <w:tcPr>
            <w:tcW w:w="1876" w:type="dxa"/>
            <w:tcBorders>
              <w:top w:val="single" w:color="auto" w:sz="4" w:space="0"/>
              <w:left w:val="single" w:color="auto" w:sz="4" w:space="0"/>
              <w:bottom w:val="single" w:color="auto" w:sz="4" w:space="0"/>
              <w:right w:val="single" w:color="auto" w:sz="4" w:space="0"/>
            </w:tcBorders>
            <w:noWrap/>
            <w:vAlign w:val="center"/>
          </w:tcPr>
          <w:p w14:paraId="025101FF">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投标有效期</w:t>
            </w:r>
          </w:p>
        </w:tc>
        <w:tc>
          <w:tcPr>
            <w:tcW w:w="6705" w:type="dxa"/>
            <w:tcBorders>
              <w:top w:val="single" w:color="auto" w:sz="4" w:space="0"/>
              <w:left w:val="single" w:color="auto" w:sz="4" w:space="0"/>
              <w:bottom w:val="single" w:color="auto" w:sz="4" w:space="0"/>
            </w:tcBorders>
            <w:noWrap/>
            <w:vAlign w:val="center"/>
          </w:tcPr>
          <w:p w14:paraId="43F5C5F9">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开标之日起90天</w:t>
            </w:r>
          </w:p>
        </w:tc>
      </w:tr>
      <w:tr w14:paraId="5F8F3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noWrap/>
            <w:vAlign w:val="center"/>
          </w:tcPr>
          <w:p w14:paraId="39AFD1AD">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15</w:t>
            </w:r>
          </w:p>
        </w:tc>
        <w:tc>
          <w:tcPr>
            <w:tcW w:w="1876" w:type="dxa"/>
            <w:tcBorders>
              <w:top w:val="single" w:color="auto" w:sz="4" w:space="0"/>
              <w:left w:val="single" w:color="auto" w:sz="4" w:space="0"/>
              <w:bottom w:val="single" w:color="auto" w:sz="4" w:space="0"/>
              <w:right w:val="single" w:color="auto" w:sz="4" w:space="0"/>
            </w:tcBorders>
            <w:noWrap/>
            <w:vAlign w:val="center"/>
          </w:tcPr>
          <w:p w14:paraId="083B9418">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投标文件递交时间及地点</w:t>
            </w:r>
          </w:p>
        </w:tc>
        <w:tc>
          <w:tcPr>
            <w:tcW w:w="6705" w:type="dxa"/>
            <w:tcBorders>
              <w:top w:val="single" w:color="auto" w:sz="4" w:space="0"/>
              <w:left w:val="single" w:color="auto" w:sz="4" w:space="0"/>
              <w:bottom w:val="single" w:color="auto" w:sz="4" w:space="0"/>
            </w:tcBorders>
            <w:noWrap/>
            <w:vAlign w:val="center"/>
          </w:tcPr>
          <w:p w14:paraId="40FDB582">
            <w:pPr>
              <w:snapToGrid w:val="0"/>
              <w:spacing w:line="360" w:lineRule="auto"/>
              <w:ind w:right="-105" w:rightChars="-50"/>
              <w:jc w:val="left"/>
              <w:rPr>
                <w:rFonts w:hint="eastAsia" w:ascii="仿宋_GB2312" w:hAnsi="仿宋_GB2312" w:eastAsia="仿宋_GB2312" w:cs="仿宋_GB2312"/>
                <w:highlight w:val="none"/>
              </w:rPr>
            </w:pPr>
            <w:r>
              <w:rPr>
                <w:rFonts w:hint="eastAsia" w:ascii="仿宋_GB2312" w:hAnsi="仿宋_GB2312" w:eastAsia="仿宋_GB2312" w:cs="仿宋_GB2312"/>
                <w:sz w:val="24"/>
                <w:szCs w:val="24"/>
                <w:highlight w:val="none"/>
              </w:rPr>
              <w:t>电子投标文件递交截止时间：详见招标公告。</w:t>
            </w:r>
          </w:p>
        </w:tc>
      </w:tr>
      <w:tr w14:paraId="0F1E05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noWrap/>
            <w:vAlign w:val="center"/>
          </w:tcPr>
          <w:p w14:paraId="71EBDD6E">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w:t>
            </w:r>
          </w:p>
        </w:tc>
        <w:tc>
          <w:tcPr>
            <w:tcW w:w="1876" w:type="dxa"/>
            <w:tcBorders>
              <w:top w:val="single" w:color="auto" w:sz="4" w:space="0"/>
              <w:left w:val="single" w:color="auto" w:sz="4" w:space="0"/>
              <w:bottom w:val="single" w:color="auto" w:sz="4" w:space="0"/>
              <w:right w:val="single" w:color="auto" w:sz="4" w:space="0"/>
            </w:tcBorders>
            <w:noWrap/>
            <w:vAlign w:val="center"/>
          </w:tcPr>
          <w:p w14:paraId="371EF82F">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开标时间</w:t>
            </w:r>
          </w:p>
        </w:tc>
        <w:tc>
          <w:tcPr>
            <w:tcW w:w="6705" w:type="dxa"/>
            <w:tcBorders>
              <w:top w:val="single" w:color="auto" w:sz="4" w:space="0"/>
              <w:left w:val="single" w:color="auto" w:sz="4" w:space="0"/>
              <w:bottom w:val="single" w:color="auto" w:sz="4" w:space="0"/>
            </w:tcBorders>
            <w:noWrap/>
            <w:vAlign w:val="center"/>
          </w:tcPr>
          <w:p w14:paraId="69D51250">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详见招标公告</w:t>
            </w:r>
          </w:p>
        </w:tc>
      </w:tr>
      <w:tr w14:paraId="4ED42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noWrap/>
            <w:vAlign w:val="center"/>
          </w:tcPr>
          <w:p w14:paraId="35C35EB5">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w:t>
            </w:r>
          </w:p>
        </w:tc>
        <w:tc>
          <w:tcPr>
            <w:tcW w:w="1876" w:type="dxa"/>
            <w:tcBorders>
              <w:top w:val="single" w:color="auto" w:sz="4" w:space="0"/>
              <w:left w:val="single" w:color="auto" w:sz="4" w:space="0"/>
              <w:bottom w:val="single" w:color="auto" w:sz="4" w:space="0"/>
              <w:right w:val="single" w:color="auto" w:sz="4" w:space="0"/>
            </w:tcBorders>
            <w:noWrap/>
            <w:vAlign w:val="center"/>
          </w:tcPr>
          <w:p w14:paraId="57C246C9">
            <w:pPr>
              <w:wordWrap w:val="0"/>
              <w:adjustRightInd w:val="0"/>
              <w:snapToGrid w:val="0"/>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开标地点</w:t>
            </w:r>
          </w:p>
        </w:tc>
        <w:tc>
          <w:tcPr>
            <w:tcW w:w="6705" w:type="dxa"/>
            <w:tcBorders>
              <w:top w:val="single" w:color="auto" w:sz="4" w:space="0"/>
              <w:left w:val="single" w:color="auto" w:sz="4" w:space="0"/>
              <w:bottom w:val="single" w:color="auto" w:sz="4" w:space="0"/>
            </w:tcBorders>
            <w:noWrap/>
            <w:vAlign w:val="center"/>
          </w:tcPr>
          <w:p w14:paraId="72F1EEF8">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详见招标公告</w:t>
            </w:r>
          </w:p>
        </w:tc>
      </w:tr>
      <w:tr w14:paraId="78B62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noWrap/>
            <w:vAlign w:val="center"/>
          </w:tcPr>
          <w:p w14:paraId="03CE0EC8">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18</w:t>
            </w:r>
          </w:p>
        </w:tc>
        <w:tc>
          <w:tcPr>
            <w:tcW w:w="1876" w:type="dxa"/>
            <w:tcBorders>
              <w:top w:val="single" w:color="auto" w:sz="4" w:space="0"/>
              <w:left w:val="single" w:color="auto" w:sz="4" w:space="0"/>
              <w:bottom w:val="single" w:color="auto" w:sz="4" w:space="0"/>
              <w:right w:val="single" w:color="auto" w:sz="4" w:space="0"/>
            </w:tcBorders>
            <w:noWrap/>
            <w:vAlign w:val="center"/>
          </w:tcPr>
          <w:p w14:paraId="2039D105">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开标方式</w:t>
            </w:r>
          </w:p>
        </w:tc>
        <w:tc>
          <w:tcPr>
            <w:tcW w:w="6705" w:type="dxa"/>
            <w:tcBorders>
              <w:top w:val="single" w:color="auto" w:sz="4" w:space="0"/>
              <w:left w:val="single" w:color="auto" w:sz="4" w:space="0"/>
              <w:bottom w:val="single" w:color="auto" w:sz="4" w:space="0"/>
            </w:tcBorders>
            <w:noWrap/>
            <w:vAlign w:val="center"/>
          </w:tcPr>
          <w:p w14:paraId="5CDC305A">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电子开标，投标人无需到现场参与开标，需提前准备已配置好环境的电脑及CA锁，在规定的时间进行开标的各项操作，开评审期间需实时关注交易系统相关通知，且被授权人的联络方式应保持畅通。</w:t>
            </w:r>
          </w:p>
        </w:tc>
      </w:tr>
      <w:tr w14:paraId="1B2D02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noWrap/>
            <w:vAlign w:val="center"/>
          </w:tcPr>
          <w:p w14:paraId="253C1D2E">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w:t>
            </w:r>
          </w:p>
        </w:tc>
        <w:tc>
          <w:tcPr>
            <w:tcW w:w="1876" w:type="dxa"/>
            <w:tcBorders>
              <w:top w:val="single" w:color="auto" w:sz="4" w:space="0"/>
              <w:left w:val="single" w:color="auto" w:sz="4" w:space="0"/>
              <w:bottom w:val="single" w:color="auto" w:sz="4" w:space="0"/>
              <w:right w:val="single" w:color="auto" w:sz="4" w:space="0"/>
            </w:tcBorders>
            <w:noWrap/>
            <w:vAlign w:val="center"/>
          </w:tcPr>
          <w:p w14:paraId="1C8867A8">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开标程序</w:t>
            </w:r>
          </w:p>
        </w:tc>
        <w:tc>
          <w:tcPr>
            <w:tcW w:w="6705" w:type="dxa"/>
            <w:tcBorders>
              <w:top w:val="single" w:color="auto" w:sz="4" w:space="0"/>
              <w:left w:val="single" w:color="auto" w:sz="4" w:space="0"/>
              <w:bottom w:val="single" w:color="auto" w:sz="4" w:space="0"/>
            </w:tcBorders>
            <w:noWrap/>
            <w:vAlign w:val="center"/>
          </w:tcPr>
          <w:p w14:paraId="51D4B35A">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签到时间：递交投标文件截止时间前完成</w:t>
            </w:r>
          </w:p>
          <w:p w14:paraId="19DA7C58">
            <w:pPr>
              <w:snapToGrid w:val="0"/>
              <w:spacing w:line="360" w:lineRule="auto"/>
              <w:ind w:right="-105" w:rightChars="-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解密时间：开始解密后15分钟内完成</w:t>
            </w:r>
          </w:p>
          <w:p w14:paraId="505198B1">
            <w:pPr>
              <w:snapToGrid w:val="0"/>
              <w:spacing w:line="360" w:lineRule="auto"/>
              <w:ind w:right="-105" w:rightChars="-50"/>
              <w:jc w:val="left"/>
              <w:rPr>
                <w:rFonts w:hint="eastAsia" w:ascii="仿宋_GB2312" w:hAnsi="仿宋_GB2312" w:eastAsia="仿宋_GB2312" w:cs="仿宋_GB2312"/>
                <w:highlight w:val="none"/>
              </w:rPr>
            </w:pPr>
            <w:r>
              <w:rPr>
                <w:rFonts w:hint="eastAsia" w:ascii="仿宋_GB2312" w:hAnsi="仿宋_GB2312" w:eastAsia="仿宋_GB2312" w:cs="仿宋_GB2312"/>
                <w:b/>
                <w:bCs/>
                <w:sz w:val="24"/>
                <w:szCs w:val="24"/>
                <w:highlight w:val="none"/>
              </w:rPr>
              <w:t>注：未按规定时间完成签到或解密，否决其投标。</w:t>
            </w:r>
          </w:p>
        </w:tc>
      </w:tr>
      <w:tr w14:paraId="3713AB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51" w:type="dxa"/>
            <w:tcBorders>
              <w:top w:val="single" w:color="auto" w:sz="4" w:space="0"/>
              <w:bottom w:val="single" w:color="auto" w:sz="4" w:space="0"/>
              <w:right w:val="single" w:color="auto" w:sz="4" w:space="0"/>
            </w:tcBorders>
            <w:noWrap/>
            <w:vAlign w:val="center"/>
          </w:tcPr>
          <w:p w14:paraId="2A04D98D">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20</w:t>
            </w:r>
          </w:p>
        </w:tc>
        <w:tc>
          <w:tcPr>
            <w:tcW w:w="1876" w:type="dxa"/>
            <w:tcBorders>
              <w:top w:val="single" w:color="auto" w:sz="4" w:space="0"/>
              <w:left w:val="single" w:color="auto" w:sz="4" w:space="0"/>
              <w:bottom w:val="single" w:color="auto" w:sz="4" w:space="0"/>
              <w:right w:val="single" w:color="auto" w:sz="4" w:space="0"/>
            </w:tcBorders>
            <w:noWrap/>
            <w:vAlign w:val="center"/>
          </w:tcPr>
          <w:p w14:paraId="0F1ECC1E">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资格审查方式</w:t>
            </w:r>
          </w:p>
        </w:tc>
        <w:tc>
          <w:tcPr>
            <w:tcW w:w="6705" w:type="dxa"/>
            <w:tcBorders>
              <w:top w:val="single" w:color="auto" w:sz="4" w:space="0"/>
              <w:left w:val="single" w:color="auto" w:sz="4" w:space="0"/>
              <w:bottom w:val="single" w:color="auto" w:sz="4" w:space="0"/>
            </w:tcBorders>
            <w:noWrap/>
            <w:vAlign w:val="center"/>
          </w:tcPr>
          <w:p w14:paraId="6133FAE5">
            <w:pPr>
              <w:wordWrap w:val="0"/>
              <w:adjustRightInd w:val="0"/>
              <w:snapToGrid w:val="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资格后审</w:t>
            </w:r>
          </w:p>
        </w:tc>
      </w:tr>
      <w:tr w14:paraId="18027C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851" w:type="dxa"/>
            <w:tcBorders>
              <w:top w:val="single" w:color="auto" w:sz="4" w:space="0"/>
              <w:bottom w:val="single" w:color="auto" w:sz="4" w:space="0"/>
              <w:right w:val="single" w:color="auto" w:sz="4" w:space="0"/>
            </w:tcBorders>
            <w:noWrap/>
            <w:vAlign w:val="center"/>
          </w:tcPr>
          <w:p w14:paraId="42896E26">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w:t>
            </w:r>
          </w:p>
        </w:tc>
        <w:tc>
          <w:tcPr>
            <w:tcW w:w="1876" w:type="dxa"/>
            <w:tcBorders>
              <w:top w:val="single" w:color="auto" w:sz="4" w:space="0"/>
              <w:left w:val="single" w:color="auto" w:sz="4" w:space="0"/>
              <w:bottom w:val="single" w:color="auto" w:sz="4" w:space="0"/>
              <w:right w:val="single" w:color="auto" w:sz="4" w:space="0"/>
            </w:tcBorders>
            <w:noWrap/>
            <w:vAlign w:val="center"/>
          </w:tcPr>
          <w:p w14:paraId="6C292B6D">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评审办法</w:t>
            </w:r>
          </w:p>
        </w:tc>
        <w:tc>
          <w:tcPr>
            <w:tcW w:w="6705" w:type="dxa"/>
            <w:tcBorders>
              <w:top w:val="single" w:color="auto" w:sz="4" w:space="0"/>
              <w:left w:val="single" w:color="auto" w:sz="4" w:space="0"/>
              <w:bottom w:val="single" w:color="auto" w:sz="4" w:space="0"/>
            </w:tcBorders>
            <w:noWrap/>
            <w:vAlign w:val="center"/>
          </w:tcPr>
          <w:p w14:paraId="576CC611">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综合评分法</w:t>
            </w:r>
          </w:p>
        </w:tc>
      </w:tr>
      <w:tr w14:paraId="63066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noWrap/>
            <w:vAlign w:val="center"/>
          </w:tcPr>
          <w:p w14:paraId="72F963A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w:t>
            </w:r>
          </w:p>
        </w:tc>
        <w:tc>
          <w:tcPr>
            <w:tcW w:w="1876" w:type="dxa"/>
            <w:tcBorders>
              <w:top w:val="single" w:color="auto" w:sz="4" w:space="0"/>
              <w:left w:val="single" w:color="auto" w:sz="4" w:space="0"/>
              <w:bottom w:val="single" w:color="auto" w:sz="4" w:space="0"/>
              <w:right w:val="single" w:color="auto" w:sz="4" w:space="0"/>
            </w:tcBorders>
            <w:noWrap/>
            <w:vAlign w:val="center"/>
          </w:tcPr>
          <w:p w14:paraId="3F8755F0">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联合体投标</w:t>
            </w:r>
          </w:p>
        </w:tc>
        <w:tc>
          <w:tcPr>
            <w:tcW w:w="6705" w:type="dxa"/>
            <w:tcBorders>
              <w:top w:val="single" w:color="auto" w:sz="4" w:space="0"/>
              <w:left w:val="single" w:color="auto" w:sz="4" w:space="0"/>
              <w:bottom w:val="single" w:color="auto" w:sz="4" w:space="0"/>
            </w:tcBorders>
            <w:noWrap/>
            <w:vAlign w:val="center"/>
          </w:tcPr>
          <w:p w14:paraId="4C59CA76">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不接受</w:t>
            </w:r>
          </w:p>
        </w:tc>
      </w:tr>
      <w:tr w14:paraId="744EBB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noWrap/>
            <w:vAlign w:val="center"/>
          </w:tcPr>
          <w:p w14:paraId="4F5941E4">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w:t>
            </w:r>
          </w:p>
        </w:tc>
        <w:tc>
          <w:tcPr>
            <w:tcW w:w="1876" w:type="dxa"/>
            <w:tcBorders>
              <w:top w:val="single" w:color="auto" w:sz="4" w:space="0"/>
              <w:left w:val="single" w:color="auto" w:sz="4" w:space="0"/>
              <w:bottom w:val="single" w:color="auto" w:sz="4" w:space="0"/>
              <w:right w:val="single" w:color="auto" w:sz="4" w:space="0"/>
            </w:tcBorders>
            <w:noWrap/>
            <w:vAlign w:val="center"/>
          </w:tcPr>
          <w:p w14:paraId="598D88E1">
            <w:pPr>
              <w:wordWrap w:val="0"/>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分（转）包</w:t>
            </w:r>
          </w:p>
        </w:tc>
        <w:tc>
          <w:tcPr>
            <w:tcW w:w="6705" w:type="dxa"/>
            <w:tcBorders>
              <w:top w:val="single" w:color="auto" w:sz="4" w:space="0"/>
              <w:left w:val="single" w:color="auto" w:sz="4" w:space="0"/>
              <w:bottom w:val="single" w:color="auto" w:sz="4" w:space="0"/>
            </w:tcBorders>
            <w:noWrap/>
            <w:vAlign w:val="center"/>
          </w:tcPr>
          <w:p w14:paraId="770E84A4">
            <w:pPr>
              <w:wordWrap w:val="0"/>
              <w:adjustRightInd w:val="0"/>
              <w:snapToGrid w:val="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不允许</w:t>
            </w:r>
          </w:p>
        </w:tc>
      </w:tr>
      <w:tr w14:paraId="62FEB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noWrap/>
            <w:vAlign w:val="center"/>
          </w:tcPr>
          <w:p w14:paraId="3464581B">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24</w:t>
            </w:r>
          </w:p>
        </w:tc>
        <w:tc>
          <w:tcPr>
            <w:tcW w:w="1876" w:type="dxa"/>
            <w:tcBorders>
              <w:top w:val="single" w:color="auto" w:sz="4" w:space="0"/>
              <w:left w:val="single" w:color="auto" w:sz="4" w:space="0"/>
              <w:bottom w:val="single" w:color="auto" w:sz="4" w:space="0"/>
              <w:right w:val="single" w:color="auto" w:sz="4" w:space="0"/>
            </w:tcBorders>
            <w:noWrap/>
            <w:vAlign w:val="center"/>
          </w:tcPr>
          <w:p w14:paraId="47C8AE8E">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投标保证金</w:t>
            </w:r>
          </w:p>
        </w:tc>
        <w:tc>
          <w:tcPr>
            <w:tcW w:w="6705" w:type="dxa"/>
            <w:tcBorders>
              <w:top w:val="single" w:color="auto" w:sz="4" w:space="0"/>
              <w:left w:val="single" w:color="auto" w:sz="4" w:space="0"/>
              <w:bottom w:val="single" w:color="auto" w:sz="4" w:space="0"/>
            </w:tcBorders>
            <w:noWrap/>
            <w:vAlign w:val="center"/>
          </w:tcPr>
          <w:p w14:paraId="56E4E934">
            <w:pPr>
              <w:snapToGrid w:val="0"/>
              <w:spacing w:line="4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1.投标保证金的金额：人民币叁仟元整。</w:t>
            </w:r>
          </w:p>
          <w:p w14:paraId="7E8CC0DB">
            <w:pPr>
              <w:snapToGrid w:val="0"/>
              <w:spacing w:line="4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2.缴纳截止时间：投标文件递交截止时间前。</w:t>
            </w:r>
          </w:p>
          <w:p w14:paraId="3B3DED8E">
            <w:pPr>
              <w:snapToGrid w:val="0"/>
              <w:spacing w:line="4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3.投标保证金的交纳单位必须与投标人名称一致，投标保证金须从其基本账户转出，否则其投标无效。</w:t>
            </w:r>
          </w:p>
          <w:p w14:paraId="20CC91F0">
            <w:pPr>
              <w:snapToGrid w:val="0"/>
              <w:spacing w:line="4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67F9091B">
            <w:pPr>
              <w:snapToGrid w:val="0"/>
              <w:spacing w:line="4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为确保投标工作有序进行，投标保证金应当在提交投标文件截止时间前（以到账时间为准）到达威海公共资源交易服务有限公司账户，以网银、电汇等方式一次性足额交纳保证金，不接受支付宝等第三方平台转账。禁止第三方代交。投标保证金交纳单位应与提交投标文件的投标人名称一致。</w:t>
            </w:r>
          </w:p>
          <w:p w14:paraId="072E5AB3">
            <w:pPr>
              <w:snapToGrid w:val="0"/>
              <w:spacing w:line="4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6.为确保投标人投标保证金及时足额到账，请尽量提前交纳保证金，由于银行系统原因，请至少在递交投标文件截止时间前12 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5D7EE100">
            <w:pPr>
              <w:snapToGrid w:val="0"/>
              <w:spacing w:line="4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7.要求投标截止时间前必须到达保证金指定账户，逾期不到，视为放弃本次投标。</w:t>
            </w:r>
          </w:p>
          <w:p w14:paraId="306F9C40">
            <w:pPr>
              <w:snapToGrid w:val="0"/>
              <w:spacing w:line="4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退还保证金：目前系统采用自动退还保证金操作，分为未中标人退还和中标人退还。代理机构向中标人发送中标通知书后，系统自动退还未中标人保证金；招标人和中标人签署完合同后，系统自动退还中标人保证金。</w:t>
            </w:r>
          </w:p>
        </w:tc>
      </w:tr>
      <w:tr w14:paraId="437E3D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51" w:type="dxa"/>
            <w:tcBorders>
              <w:top w:val="single" w:color="auto" w:sz="4" w:space="0"/>
              <w:bottom w:val="single" w:color="auto" w:sz="4" w:space="0"/>
              <w:right w:val="single" w:color="auto" w:sz="4" w:space="0"/>
            </w:tcBorders>
            <w:noWrap/>
            <w:vAlign w:val="center"/>
          </w:tcPr>
          <w:p w14:paraId="0E60CA9E">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25</w:t>
            </w:r>
          </w:p>
        </w:tc>
        <w:tc>
          <w:tcPr>
            <w:tcW w:w="1876" w:type="dxa"/>
            <w:tcBorders>
              <w:top w:val="single" w:color="auto" w:sz="4" w:space="0"/>
              <w:left w:val="single" w:color="auto" w:sz="4" w:space="0"/>
              <w:bottom w:val="single" w:color="auto" w:sz="4" w:space="0"/>
              <w:right w:val="single" w:color="auto" w:sz="4" w:space="0"/>
            </w:tcBorders>
            <w:noWrap/>
            <w:vAlign w:val="center"/>
          </w:tcPr>
          <w:p w14:paraId="2B1F9CF7">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履约保证金</w:t>
            </w:r>
          </w:p>
        </w:tc>
        <w:tc>
          <w:tcPr>
            <w:tcW w:w="6705" w:type="dxa"/>
            <w:tcBorders>
              <w:top w:val="single" w:color="auto" w:sz="4" w:space="0"/>
              <w:left w:val="single" w:color="auto" w:sz="4" w:space="0"/>
              <w:bottom w:val="single" w:color="auto" w:sz="4" w:space="0"/>
            </w:tcBorders>
            <w:noWrap/>
            <w:vAlign w:val="center"/>
          </w:tcPr>
          <w:p w14:paraId="69D4CA07">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本项目不收取履约保证金</w:t>
            </w:r>
          </w:p>
        </w:tc>
      </w:tr>
      <w:tr w14:paraId="1EB08B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851" w:type="dxa"/>
            <w:tcBorders>
              <w:top w:val="single" w:color="auto" w:sz="4" w:space="0"/>
              <w:bottom w:val="single" w:color="auto" w:sz="4" w:space="0"/>
              <w:right w:val="single" w:color="auto" w:sz="4" w:space="0"/>
            </w:tcBorders>
            <w:noWrap/>
            <w:vAlign w:val="center"/>
          </w:tcPr>
          <w:p w14:paraId="245CC479">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w:t>
            </w:r>
          </w:p>
        </w:tc>
        <w:tc>
          <w:tcPr>
            <w:tcW w:w="1876" w:type="dxa"/>
            <w:tcBorders>
              <w:top w:val="single" w:color="auto" w:sz="4" w:space="0"/>
              <w:left w:val="single" w:color="auto" w:sz="4" w:space="0"/>
              <w:bottom w:val="single" w:color="auto" w:sz="4" w:space="0"/>
              <w:right w:val="single" w:color="auto" w:sz="4" w:space="0"/>
            </w:tcBorders>
            <w:noWrap/>
            <w:vAlign w:val="center"/>
          </w:tcPr>
          <w:p w14:paraId="43973D97">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付款方式</w:t>
            </w:r>
          </w:p>
        </w:tc>
        <w:tc>
          <w:tcPr>
            <w:tcW w:w="6705" w:type="dxa"/>
            <w:tcBorders>
              <w:top w:val="single" w:color="auto" w:sz="4" w:space="0"/>
              <w:left w:val="single" w:color="auto" w:sz="4" w:space="0"/>
              <w:bottom w:val="single" w:color="auto" w:sz="4" w:space="0"/>
            </w:tcBorders>
            <w:noWrap/>
            <w:vAlign w:val="center"/>
          </w:tcPr>
          <w:p w14:paraId="51B212F5">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详见合同</w:t>
            </w:r>
          </w:p>
        </w:tc>
      </w:tr>
      <w:tr w14:paraId="6106DB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51" w:type="dxa"/>
            <w:tcBorders>
              <w:top w:val="single" w:color="auto" w:sz="4" w:space="0"/>
              <w:bottom w:val="single" w:color="auto" w:sz="4" w:space="0"/>
              <w:right w:val="single" w:color="auto" w:sz="4" w:space="0"/>
            </w:tcBorders>
            <w:noWrap/>
            <w:vAlign w:val="center"/>
          </w:tcPr>
          <w:p w14:paraId="159A5A2B">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27</w:t>
            </w:r>
          </w:p>
        </w:tc>
        <w:tc>
          <w:tcPr>
            <w:tcW w:w="1876" w:type="dxa"/>
            <w:tcBorders>
              <w:top w:val="single" w:color="auto" w:sz="4" w:space="0"/>
              <w:left w:val="single" w:color="auto" w:sz="4" w:space="0"/>
              <w:bottom w:val="single" w:color="auto" w:sz="4" w:space="0"/>
              <w:right w:val="single" w:color="auto" w:sz="4" w:space="0"/>
            </w:tcBorders>
            <w:noWrap/>
            <w:vAlign w:val="center"/>
          </w:tcPr>
          <w:p w14:paraId="203F38F2">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其他</w:t>
            </w:r>
          </w:p>
        </w:tc>
        <w:tc>
          <w:tcPr>
            <w:tcW w:w="6705" w:type="dxa"/>
            <w:tcBorders>
              <w:top w:val="single" w:color="auto" w:sz="4" w:space="0"/>
              <w:left w:val="single" w:color="auto" w:sz="4" w:space="0"/>
              <w:bottom w:val="single" w:color="auto" w:sz="4" w:space="0"/>
            </w:tcBorders>
            <w:noWrap/>
            <w:vAlign w:val="center"/>
          </w:tcPr>
          <w:p w14:paraId="33301601">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本项目按服务类以公开招标方式实施采购</w:t>
            </w:r>
          </w:p>
        </w:tc>
      </w:tr>
      <w:tr w14:paraId="2A1F8A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9" w:hRule="atLeast"/>
          <w:jc w:val="center"/>
        </w:trPr>
        <w:tc>
          <w:tcPr>
            <w:tcW w:w="851" w:type="dxa"/>
            <w:tcBorders>
              <w:top w:val="single" w:color="auto" w:sz="4" w:space="0"/>
              <w:bottom w:val="single" w:color="auto" w:sz="4" w:space="0"/>
              <w:right w:val="single" w:color="auto" w:sz="4" w:space="0"/>
            </w:tcBorders>
            <w:noWrap/>
            <w:vAlign w:val="center"/>
          </w:tcPr>
          <w:p w14:paraId="6A3CC034">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28</w:t>
            </w:r>
          </w:p>
        </w:tc>
        <w:tc>
          <w:tcPr>
            <w:tcW w:w="1876" w:type="dxa"/>
            <w:tcBorders>
              <w:top w:val="single" w:color="auto" w:sz="4" w:space="0"/>
              <w:left w:val="single" w:color="auto" w:sz="4" w:space="0"/>
              <w:bottom w:val="single" w:color="auto" w:sz="4" w:space="0"/>
              <w:right w:val="single" w:color="auto" w:sz="4" w:space="0"/>
            </w:tcBorders>
            <w:noWrap/>
            <w:vAlign w:val="center"/>
          </w:tcPr>
          <w:p w14:paraId="70C9947B">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是否委托定标</w:t>
            </w:r>
          </w:p>
        </w:tc>
        <w:tc>
          <w:tcPr>
            <w:tcW w:w="6705" w:type="dxa"/>
            <w:tcBorders>
              <w:top w:val="single" w:color="auto" w:sz="4" w:space="0"/>
              <w:left w:val="single" w:color="auto" w:sz="4" w:space="0"/>
              <w:bottom w:val="single" w:color="auto" w:sz="4" w:space="0"/>
            </w:tcBorders>
            <w:noWrap/>
            <w:vAlign w:val="center"/>
          </w:tcPr>
          <w:p w14:paraId="3321A341">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否</w:t>
            </w:r>
          </w:p>
        </w:tc>
      </w:tr>
      <w:tr w14:paraId="653069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9" w:hRule="atLeast"/>
          <w:jc w:val="center"/>
        </w:trPr>
        <w:tc>
          <w:tcPr>
            <w:tcW w:w="851" w:type="dxa"/>
            <w:vMerge w:val="restart"/>
            <w:tcBorders>
              <w:top w:val="single" w:color="auto" w:sz="4" w:space="0"/>
              <w:right w:val="single" w:color="auto" w:sz="4" w:space="0"/>
            </w:tcBorders>
            <w:noWrap/>
            <w:vAlign w:val="center"/>
          </w:tcPr>
          <w:p w14:paraId="1D0CCBC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29</w:t>
            </w:r>
          </w:p>
        </w:tc>
        <w:tc>
          <w:tcPr>
            <w:tcW w:w="1876" w:type="dxa"/>
            <w:tcBorders>
              <w:top w:val="single" w:color="auto" w:sz="4" w:space="0"/>
              <w:left w:val="single" w:color="auto" w:sz="4" w:space="0"/>
              <w:bottom w:val="single" w:color="auto" w:sz="4" w:space="0"/>
              <w:right w:val="single" w:color="auto" w:sz="4" w:space="0"/>
            </w:tcBorders>
            <w:noWrap/>
            <w:vAlign w:val="center"/>
          </w:tcPr>
          <w:p w14:paraId="7E660B85">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代理服务费</w:t>
            </w:r>
          </w:p>
        </w:tc>
        <w:tc>
          <w:tcPr>
            <w:tcW w:w="6705" w:type="dxa"/>
            <w:tcBorders>
              <w:top w:val="single" w:color="auto" w:sz="4" w:space="0"/>
              <w:left w:val="single" w:color="auto" w:sz="4" w:space="0"/>
              <w:bottom w:val="single" w:color="auto" w:sz="4" w:space="0"/>
            </w:tcBorders>
            <w:noWrap/>
            <w:vAlign w:val="center"/>
          </w:tcPr>
          <w:p w14:paraId="2C5BF51A">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代理服务费人民币</w:t>
            </w:r>
            <w:r>
              <w:rPr>
                <w:rFonts w:hint="eastAsia" w:ascii="仿宋_GB2312" w:hAnsi="仿宋_GB2312" w:eastAsia="仿宋_GB2312" w:cs="仿宋_GB2312"/>
                <w:sz w:val="24"/>
                <w:szCs w:val="24"/>
                <w:highlight w:val="none"/>
                <w:lang w:val="en-US" w:eastAsia="zh-CN"/>
              </w:rPr>
              <w:t>30</w:t>
            </w:r>
            <w:r>
              <w:rPr>
                <w:rFonts w:hint="eastAsia" w:ascii="仿宋_GB2312" w:hAnsi="仿宋_GB2312" w:eastAsia="仿宋_GB2312" w:cs="仿宋_GB2312"/>
                <w:sz w:val="24"/>
                <w:szCs w:val="24"/>
                <w:highlight w:val="none"/>
              </w:rPr>
              <w:t>00.00元/家。由中标人在领取中标通知书的同时向招标公司全额交纳。</w:t>
            </w:r>
          </w:p>
          <w:p w14:paraId="61E08429">
            <w:pPr>
              <w:snapToGrid w:val="0"/>
              <w:spacing w:line="360" w:lineRule="auto"/>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开户名：山东宏达工程管理有限公司</w:t>
            </w:r>
          </w:p>
          <w:p w14:paraId="4A172DDD">
            <w:pPr>
              <w:snapToGrid w:val="0"/>
              <w:spacing w:line="360" w:lineRule="auto"/>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开户银行：中国建设银行威海分行</w:t>
            </w:r>
          </w:p>
          <w:p w14:paraId="0FF6BB93">
            <w:pPr>
              <w:snapToGrid w:val="0"/>
              <w:spacing w:line="360" w:lineRule="auto"/>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账号：37001706708050007566</w:t>
            </w:r>
          </w:p>
          <w:p w14:paraId="68493D1D">
            <w:pPr>
              <w:pStyle w:val="37"/>
              <w:rPr>
                <w:rFonts w:hint="eastAsia" w:ascii="仿宋_GB2312" w:hAnsi="仿宋_GB2312" w:eastAsia="仿宋_GB2312" w:cs="仿宋_GB2312"/>
                <w:highlight w:val="none"/>
              </w:rPr>
            </w:pPr>
          </w:p>
        </w:tc>
      </w:tr>
      <w:tr w14:paraId="6618E3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51" w:type="dxa"/>
            <w:vMerge w:val="continue"/>
            <w:tcBorders>
              <w:bottom w:val="single" w:color="auto" w:sz="4" w:space="0"/>
              <w:right w:val="single" w:color="auto" w:sz="4" w:space="0"/>
            </w:tcBorders>
            <w:noWrap/>
            <w:vAlign w:val="center"/>
          </w:tcPr>
          <w:p w14:paraId="73967E33">
            <w:pPr>
              <w:snapToGrid w:val="0"/>
              <w:spacing w:line="360" w:lineRule="auto"/>
              <w:jc w:val="center"/>
              <w:rPr>
                <w:rFonts w:hint="eastAsia" w:ascii="仿宋_GB2312" w:hAnsi="仿宋_GB2312" w:eastAsia="仿宋_GB2312" w:cs="仿宋_GB2312"/>
                <w:sz w:val="24"/>
                <w:szCs w:val="24"/>
                <w:highlight w:val="none"/>
              </w:rPr>
            </w:pPr>
          </w:p>
        </w:tc>
        <w:tc>
          <w:tcPr>
            <w:tcW w:w="1876" w:type="dxa"/>
            <w:tcBorders>
              <w:top w:val="single" w:color="auto" w:sz="4" w:space="0"/>
              <w:left w:val="single" w:color="auto" w:sz="4" w:space="0"/>
              <w:bottom w:val="single" w:color="auto" w:sz="4" w:space="0"/>
              <w:right w:val="single" w:color="auto" w:sz="4" w:space="0"/>
            </w:tcBorders>
            <w:noWrap/>
            <w:vAlign w:val="center"/>
          </w:tcPr>
          <w:p w14:paraId="2DD5EA7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专家评审费</w:t>
            </w:r>
          </w:p>
        </w:tc>
        <w:tc>
          <w:tcPr>
            <w:tcW w:w="6705" w:type="dxa"/>
            <w:tcBorders>
              <w:top w:val="single" w:color="auto" w:sz="4" w:space="0"/>
              <w:left w:val="single" w:color="auto" w:sz="4" w:space="0"/>
              <w:bottom w:val="single" w:color="auto" w:sz="4" w:space="0"/>
            </w:tcBorders>
            <w:noWrap/>
            <w:vAlign w:val="center"/>
          </w:tcPr>
          <w:p w14:paraId="4FF21584">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专家评审费由中标人支付，按实收取。</w:t>
            </w:r>
          </w:p>
        </w:tc>
      </w:tr>
      <w:tr w14:paraId="419796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51" w:type="dxa"/>
            <w:tcBorders>
              <w:top w:val="single" w:color="auto" w:sz="4" w:space="0"/>
              <w:right w:val="single" w:color="auto" w:sz="4" w:space="0"/>
            </w:tcBorders>
            <w:noWrap/>
            <w:vAlign w:val="center"/>
          </w:tcPr>
          <w:p w14:paraId="25D71512">
            <w:pPr>
              <w:snapToGrid w:val="0"/>
              <w:spacing w:line="360" w:lineRule="auto"/>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4"/>
                <w:szCs w:val="24"/>
                <w:highlight w:val="none"/>
              </w:rPr>
              <w:t>30</w:t>
            </w:r>
          </w:p>
        </w:tc>
        <w:tc>
          <w:tcPr>
            <w:tcW w:w="1876" w:type="dxa"/>
            <w:tcBorders>
              <w:top w:val="single" w:color="auto" w:sz="4" w:space="0"/>
              <w:left w:val="single" w:color="auto" w:sz="4" w:space="0"/>
              <w:bottom w:val="single" w:color="auto" w:sz="4" w:space="0"/>
              <w:right w:val="single" w:color="auto" w:sz="4" w:space="0"/>
            </w:tcBorders>
            <w:noWrap/>
            <w:vAlign w:val="center"/>
          </w:tcPr>
          <w:p w14:paraId="7488BD8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特别提示</w:t>
            </w:r>
          </w:p>
        </w:tc>
        <w:tc>
          <w:tcPr>
            <w:tcW w:w="6705" w:type="dxa"/>
            <w:tcBorders>
              <w:top w:val="single" w:color="auto" w:sz="4" w:space="0"/>
              <w:left w:val="single" w:color="auto" w:sz="4" w:space="0"/>
              <w:bottom w:val="single" w:color="auto" w:sz="4" w:space="0"/>
            </w:tcBorders>
            <w:noWrap/>
            <w:vAlign w:val="center"/>
          </w:tcPr>
          <w:p w14:paraId="6D65B680">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本项目进行网上开标，不接受投标人到现场参加开标活动；投标人请提前熟悉交易系统（国企采购供应商操作手册网址：</w:t>
            </w:r>
          </w:p>
          <w:p w14:paraId="2C28A534">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http：//ggzyjy.weihai.cn/bszn/005005/20200820/ee51cd3e-144e-497c-9fde-deff112be090.html；），通过交易系统线上参加开标活动，不熟悉系统操作产生的风险由投标人承担”。</w:t>
            </w:r>
          </w:p>
        </w:tc>
      </w:tr>
    </w:tbl>
    <w:p w14:paraId="6FBF4484">
      <w:pPr>
        <w:snapToGrid w:val="0"/>
        <w:spacing w:line="400" w:lineRule="exact"/>
        <w:jc w:val="center"/>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br w:type="page"/>
      </w:r>
      <w:r>
        <w:rPr>
          <w:rFonts w:hint="eastAsia" w:ascii="仿宋_GB2312" w:hAnsi="仿宋_GB2312" w:eastAsia="仿宋_GB2312" w:cs="仿宋_GB2312"/>
          <w:b/>
          <w:bCs/>
          <w:sz w:val="28"/>
          <w:szCs w:val="28"/>
          <w:highlight w:val="none"/>
        </w:rPr>
        <w:t>实质性条款一览表</w:t>
      </w:r>
    </w:p>
    <w:p w14:paraId="0EA08B67">
      <w:pPr>
        <w:snapToGrid w:val="0"/>
        <w:spacing w:line="400" w:lineRule="exact"/>
        <w:jc w:val="left"/>
        <w:rPr>
          <w:rFonts w:hint="eastAsia" w:ascii="仿宋_GB2312" w:hAnsi="仿宋_GB2312" w:eastAsia="仿宋_GB2312" w:cs="仿宋_GB2312"/>
          <w:sz w:val="24"/>
          <w:szCs w:val="24"/>
          <w:highlight w:val="none"/>
        </w:rPr>
      </w:pPr>
    </w:p>
    <w:p w14:paraId="0A7A9198">
      <w:pPr>
        <w:snapToGrid w:val="0"/>
        <w:spacing w:line="360" w:lineRule="auto"/>
        <w:ind w:firstLine="56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说明：本表系招标文件及修改性文件中涉及的所有实质性条款的汇总。不允许有任何负偏离，否则投标将被否决。</w:t>
      </w:r>
    </w:p>
    <w:tbl>
      <w:tblPr>
        <w:tblStyle w:val="4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948"/>
        <w:gridCol w:w="5989"/>
      </w:tblGrid>
      <w:tr w14:paraId="5ACA3B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908" w:type="dxa"/>
            <w:tcBorders>
              <w:top w:val="single" w:color="auto" w:sz="4" w:space="0"/>
              <w:bottom w:val="single" w:color="auto" w:sz="4" w:space="0"/>
              <w:right w:val="single" w:color="auto" w:sz="4" w:space="0"/>
            </w:tcBorders>
            <w:noWrap/>
            <w:vAlign w:val="center"/>
          </w:tcPr>
          <w:p w14:paraId="0A5108CF">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序号</w:t>
            </w:r>
          </w:p>
        </w:tc>
        <w:tc>
          <w:tcPr>
            <w:tcW w:w="1948" w:type="dxa"/>
            <w:tcBorders>
              <w:top w:val="single" w:color="auto" w:sz="4" w:space="0"/>
              <w:left w:val="single" w:color="auto" w:sz="4" w:space="0"/>
              <w:bottom w:val="single" w:color="auto" w:sz="4" w:space="0"/>
              <w:right w:val="single" w:color="auto" w:sz="4" w:space="0"/>
            </w:tcBorders>
            <w:noWrap/>
            <w:vAlign w:val="center"/>
          </w:tcPr>
          <w:p w14:paraId="18765701">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项目名称</w:t>
            </w:r>
          </w:p>
        </w:tc>
        <w:tc>
          <w:tcPr>
            <w:tcW w:w="5989" w:type="dxa"/>
            <w:tcBorders>
              <w:top w:val="single" w:color="auto" w:sz="4" w:space="0"/>
              <w:left w:val="single" w:color="auto" w:sz="4" w:space="0"/>
              <w:bottom w:val="single" w:color="auto" w:sz="4" w:space="0"/>
            </w:tcBorders>
            <w:noWrap/>
            <w:vAlign w:val="center"/>
          </w:tcPr>
          <w:p w14:paraId="165D91E6">
            <w:pPr>
              <w:snapToGrid w:val="0"/>
              <w:spacing w:line="360" w:lineRule="auto"/>
              <w:ind w:firstLine="482" w:firstLineChars="201"/>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内       容</w:t>
            </w:r>
          </w:p>
        </w:tc>
      </w:tr>
      <w:tr w14:paraId="400DD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ign w:val="center"/>
          </w:tcPr>
          <w:p w14:paraId="5835FE75">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1948" w:type="dxa"/>
            <w:tcBorders>
              <w:top w:val="single" w:color="auto" w:sz="4" w:space="0"/>
              <w:left w:val="single" w:color="auto" w:sz="4" w:space="0"/>
              <w:bottom w:val="single" w:color="auto" w:sz="4" w:space="0"/>
              <w:right w:val="single" w:color="auto" w:sz="4" w:space="0"/>
            </w:tcBorders>
            <w:noWrap/>
            <w:vAlign w:val="center"/>
          </w:tcPr>
          <w:p w14:paraId="7C605630">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资格性评审</w:t>
            </w:r>
          </w:p>
        </w:tc>
        <w:tc>
          <w:tcPr>
            <w:tcW w:w="5989" w:type="dxa"/>
            <w:tcBorders>
              <w:top w:val="single" w:color="auto" w:sz="4" w:space="0"/>
              <w:left w:val="single" w:color="auto" w:sz="4" w:space="0"/>
              <w:bottom w:val="single" w:color="auto" w:sz="4" w:space="0"/>
            </w:tcBorders>
            <w:noWrap/>
          </w:tcPr>
          <w:p w14:paraId="3690C6C3">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1、有效的营业执照副本扫描件；</w:t>
            </w:r>
          </w:p>
          <w:p w14:paraId="46DA13A7">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2、法人授权委托书、被授权人身份证扫描件（若法人参与投标只需提供法人身份证明文件扫描件）；</w:t>
            </w:r>
          </w:p>
          <w:p w14:paraId="7C8A2225">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3、投标人参与投标的声明函；</w:t>
            </w:r>
          </w:p>
          <w:p w14:paraId="02F5F1F5">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4、具有依法缴纳税收和社会保障资金的良好记录，附投标人近期的完税及交纳社保资金证明的复印件；</w:t>
            </w:r>
          </w:p>
          <w:p w14:paraId="0215E352">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5、投标人自行编制的</w:t>
            </w:r>
            <w:r>
              <w:rPr>
                <w:rFonts w:hint="eastAsia" w:ascii="仿宋_GB2312" w:hAnsi="仿宋_GB2312" w:eastAsia="仿宋_GB2312" w:cs="仿宋_GB2312"/>
                <w:kern w:val="2"/>
                <w:sz w:val="24"/>
                <w:highlight w:val="none"/>
                <w:lang w:val="en-US" w:eastAsia="zh-CN"/>
              </w:rPr>
              <w:t>近一年度</w:t>
            </w:r>
            <w:r>
              <w:rPr>
                <w:rFonts w:hint="eastAsia" w:ascii="仿宋_GB2312" w:hAnsi="仿宋_GB2312" w:eastAsia="仿宋_GB2312" w:cs="仿宋_GB2312"/>
                <w:kern w:val="2"/>
                <w:sz w:val="24"/>
                <w:highlight w:val="none"/>
              </w:rPr>
              <w:t>公司财务报表或由中介机构出具的近一年度财务审计报告书扫描件（2026年以后成立新公司须提供自成立至今的公司财务报表复印件）；</w:t>
            </w:r>
          </w:p>
          <w:p w14:paraId="20E3400B">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6、投标人、法定代表人、授权委托人未被最高法院列入失信被执行人网上截图(查询网址：http://zxgk.court.gov.cn/shixin/)；</w:t>
            </w:r>
          </w:p>
          <w:p w14:paraId="5AFBC08C">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7、投标人近一年在“信用中国”或“信用中国（山东）”无严重失信记录；附信用中国（www.creditchina.gov.cn）或信用中国（山东）（credit.shandong.gov.cn ）查询的信用信息报告；</w:t>
            </w:r>
          </w:p>
          <w:p w14:paraId="11FC6E28">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8、交纳投标保证金的证明材料（两者缺一不可）：a.企业银行基本账户开户证明（如开户许可证或银行开户证明等）、b.电汇凭证或电子汇款截图扫描件；</w:t>
            </w:r>
          </w:p>
        </w:tc>
      </w:tr>
      <w:tr w14:paraId="4741CC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908" w:type="dxa"/>
            <w:tcBorders>
              <w:top w:val="single" w:color="auto" w:sz="4" w:space="0"/>
              <w:bottom w:val="single" w:color="auto" w:sz="4" w:space="0"/>
              <w:right w:val="single" w:color="auto" w:sz="4" w:space="0"/>
            </w:tcBorders>
            <w:noWrap/>
            <w:vAlign w:val="center"/>
          </w:tcPr>
          <w:p w14:paraId="28867C2D">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p>
        </w:tc>
        <w:tc>
          <w:tcPr>
            <w:tcW w:w="1948" w:type="dxa"/>
            <w:tcBorders>
              <w:top w:val="single" w:color="auto" w:sz="4" w:space="0"/>
              <w:left w:val="single" w:color="auto" w:sz="4" w:space="0"/>
              <w:bottom w:val="single" w:color="auto" w:sz="4" w:space="0"/>
              <w:right w:val="single" w:color="auto" w:sz="4" w:space="0"/>
            </w:tcBorders>
            <w:noWrap/>
            <w:vAlign w:val="center"/>
          </w:tcPr>
          <w:p w14:paraId="17A760E3">
            <w:pPr>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符合性评审</w:t>
            </w:r>
          </w:p>
        </w:tc>
        <w:tc>
          <w:tcPr>
            <w:tcW w:w="5989" w:type="dxa"/>
            <w:tcBorders>
              <w:top w:val="single" w:color="auto" w:sz="4" w:space="0"/>
              <w:left w:val="single" w:color="auto" w:sz="4" w:space="0"/>
              <w:bottom w:val="single" w:color="auto" w:sz="4" w:space="0"/>
            </w:tcBorders>
            <w:noWrap/>
            <w:vAlign w:val="center"/>
          </w:tcPr>
          <w:p w14:paraId="551C3B21">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 xml:space="preserve">1.投标文件不按规定签署及盖章的； </w:t>
            </w:r>
          </w:p>
          <w:p w14:paraId="50E9B781">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2.服务期等方面没有实质性满足公开招标文件要求；</w:t>
            </w:r>
          </w:p>
          <w:p w14:paraId="478EB1CE">
            <w:pPr>
              <w:pStyle w:val="18"/>
              <w:spacing w:line="380" w:lineRule="exact"/>
              <w:rPr>
                <w:rFonts w:hint="eastAsia" w:ascii="仿宋_GB2312" w:hAnsi="仿宋_GB2312" w:eastAsia="仿宋_GB2312" w:cs="仿宋_GB2312"/>
                <w:kern w:val="2"/>
                <w:sz w:val="24"/>
                <w:highlight w:val="none"/>
              </w:rPr>
            </w:pPr>
            <w:r>
              <w:rPr>
                <w:rFonts w:hint="eastAsia" w:ascii="仿宋_GB2312" w:hAnsi="仿宋_GB2312" w:eastAsia="仿宋_GB2312" w:cs="仿宋_GB2312"/>
                <w:kern w:val="2"/>
                <w:sz w:val="24"/>
                <w:highlight w:val="none"/>
              </w:rPr>
              <w:t>3.参加同一项目的不同供应商电子投标（响应）文件的文件上传机器码（MAC地址）一致或使用的电子密钥相同的，将做无效响应；</w:t>
            </w:r>
          </w:p>
          <w:p w14:paraId="493CF6EE">
            <w:pPr>
              <w:pStyle w:val="18"/>
              <w:spacing w:line="380" w:lineRule="exact"/>
              <w:rPr>
                <w:rFonts w:hint="eastAsia" w:ascii="仿宋_GB2312" w:hAnsi="仿宋_GB2312" w:eastAsia="仿宋_GB2312" w:cs="仿宋_GB2312"/>
                <w:highlight w:val="none"/>
              </w:rPr>
            </w:pPr>
            <w:r>
              <w:rPr>
                <w:rFonts w:hint="eastAsia" w:ascii="仿宋_GB2312" w:hAnsi="仿宋_GB2312" w:eastAsia="仿宋_GB2312" w:cs="仿宋_GB2312"/>
                <w:kern w:val="2"/>
                <w:sz w:val="24"/>
                <w:highlight w:val="none"/>
              </w:rPr>
              <w:t>4.评标委员会认为不符合公开招标文件其他实质性要求或法律法规规定的其他情形。</w:t>
            </w:r>
          </w:p>
        </w:tc>
      </w:tr>
    </w:tbl>
    <w:p w14:paraId="1F3F0D65">
      <w:pPr>
        <w:spacing w:line="460" w:lineRule="exact"/>
        <w:ind w:firstLine="703" w:firstLineChars="25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8"/>
          <w:szCs w:val="28"/>
          <w:highlight w:val="none"/>
        </w:rPr>
        <w:br w:type="page"/>
      </w:r>
      <w:r>
        <w:rPr>
          <w:rFonts w:hint="eastAsia" w:ascii="仿宋_GB2312" w:hAnsi="仿宋_GB2312" w:eastAsia="仿宋_GB2312" w:cs="仿宋_GB2312"/>
          <w:b/>
          <w:sz w:val="24"/>
          <w:szCs w:val="24"/>
          <w:highlight w:val="none"/>
        </w:rPr>
        <w:t>一、说明</w:t>
      </w:r>
    </w:p>
    <w:p w14:paraId="6DDFBBF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25E9D67E">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1.适用范围</w:t>
      </w:r>
    </w:p>
    <w:p w14:paraId="3588A938">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 本招标文件仅适用于本次招标公告中所涉及的项目和内容。</w:t>
      </w:r>
    </w:p>
    <w:p w14:paraId="3BF1CC6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 本招标文件的解释权为招标代理机构，以书面解释为准。</w:t>
      </w:r>
    </w:p>
    <w:p w14:paraId="37B43B82">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 招标文件未做须知明示，而又有相关法律、法规规定的，从其规定。</w:t>
      </w:r>
    </w:p>
    <w:p w14:paraId="498155A4">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2.相关要求</w:t>
      </w:r>
    </w:p>
    <w:p w14:paraId="0051B042">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2.1投标人应承担所有与准备和参加投标有关的费用。不论投标结果如何，招标代理机构和招标人均无义务和责任承担这些费用。</w:t>
      </w:r>
    </w:p>
    <w:p w14:paraId="1B2298B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 本项目若涉及采购货物，则合格的货物及相应服务应满足以下要求：</w:t>
      </w:r>
    </w:p>
    <w:p w14:paraId="5B9ACE3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2.2.1 必须是全新、未使用过的原装合格正品（包括零部件），如安装或配置了软件的，须为正版软件。</w:t>
      </w:r>
    </w:p>
    <w:p w14:paraId="4AD1A9D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2.2.2 国产的货物及其有关服务必须符合中华人民共和国的设计和制造生产标准或行业标准。招标公告有其他要求的，亦应符合其要求。</w:t>
      </w:r>
    </w:p>
    <w:p w14:paraId="552A590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1C1361D1">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2.2.4 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E6CA4B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投标人应通过威海市国有企业阳光采购电子化服务平台获取招标文件，并通过该平台网上上传电子投标文件，未通过平台上传电子投标文件的，为无效投标（响应）。获取招标文件的投标人不足3家的，本项目废标。</w:t>
      </w:r>
    </w:p>
    <w:p w14:paraId="11F015BD">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二、招标文件</w:t>
      </w:r>
    </w:p>
    <w:p w14:paraId="01C102DC">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3.招标文件的构成</w:t>
      </w:r>
    </w:p>
    <w:p w14:paraId="139CAB2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由本文件（word格式）和数据文件（excel格式）及补充文件构成，采用压缩包电子版文件格式提供。</w:t>
      </w:r>
    </w:p>
    <w:p w14:paraId="4559782E">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3.1 本文件（word格式）由下列文件组成：</w:t>
      </w:r>
    </w:p>
    <w:p w14:paraId="3C54216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（1）招标公告</w:t>
      </w:r>
    </w:p>
    <w:p w14:paraId="7B851E9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（2）投标人须知</w:t>
      </w:r>
    </w:p>
    <w:p w14:paraId="720C0BA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（3）采购内容与要求</w:t>
      </w:r>
    </w:p>
    <w:p w14:paraId="7965DBF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（4）评审原则和方法</w:t>
      </w:r>
    </w:p>
    <w:p w14:paraId="71C1F7C5">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（5）投标文件格式</w:t>
      </w:r>
    </w:p>
    <w:p w14:paraId="7A03E258">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（6）合同（范本）</w:t>
      </w:r>
    </w:p>
    <w:p w14:paraId="6EBED965">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（7）在招标过程中由招标人或招标代理机构发出的修正和补充文件等（如有）</w:t>
      </w:r>
    </w:p>
    <w:p w14:paraId="11DDDAF8">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3.2 数据文件（excel格式）由下列文件组成：</w:t>
      </w:r>
    </w:p>
    <w:p w14:paraId="7E432AE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（1）封面</w:t>
      </w:r>
    </w:p>
    <w:p w14:paraId="38A4CEE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（2）投标报价表（含明细）</w:t>
      </w:r>
    </w:p>
    <w:p w14:paraId="1AED6E79">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（3）需求响应表（如有）</w:t>
      </w:r>
    </w:p>
    <w:p w14:paraId="06F1175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（4）评审对照表</w:t>
      </w:r>
    </w:p>
    <w:p w14:paraId="6D39444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（5）评分对照表（如有）</w:t>
      </w:r>
    </w:p>
    <w:p w14:paraId="7661D07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48D87E6C">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4.招标文件的澄清</w:t>
      </w:r>
    </w:p>
    <w:p w14:paraId="117391AE">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4.1投标人在收到招标文件后，对招标文件若有任何疑问或要求澄清招标文件的，应在投标截止前2日内按“投标须知前附表”第四项向招标代理机构提出，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7E328C8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4.2投标人在规定的时间内未对招标文件澄清或提出疑问的，招标代理机构将视其为接受招标文件的所有条款，对招标文件没有异议，此后也不再受理对招标文件的相关质疑。</w:t>
      </w:r>
    </w:p>
    <w:p w14:paraId="084675FB">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5.招标文件的修改</w:t>
      </w:r>
    </w:p>
    <w:p w14:paraId="62E4C660">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5.l 在投标截止时间3日以前，无论出于何种原因，招标代理机构或招标人可主动或在解答投标人提出的疑问时对招标文件进行修改。</w:t>
      </w:r>
    </w:p>
    <w:p w14:paraId="69C64920">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5.2 修改后的内容是招标文件的组成部分，招标人、招标代理机构将会通过“威海市公共资源交易网”，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309B81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B15603A">
      <w:pPr>
        <w:spacing w:line="460" w:lineRule="exact"/>
        <w:ind w:firstLine="484"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三、投标文件的编制</w:t>
      </w:r>
    </w:p>
    <w:p w14:paraId="62FEF4B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6.投标文件编制要求</w:t>
      </w:r>
    </w:p>
    <w:p w14:paraId="680B225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6.1投标人编写的文件和往来信件应以简体中文书写。如果投标文件或与投标有关的其它文件、信件及来往函电以其它语言书写的，投标人应将其译成中文，如未翻译该文件为无效文件。</w:t>
      </w:r>
    </w:p>
    <w:p w14:paraId="16ED247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6.2投标文件中使用的计量单位应使用中华人民共和国法定计量单位。</w:t>
      </w:r>
    </w:p>
    <w:p w14:paraId="156308C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56600E8E">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6.4投标人应按招标文件中提供的投标文件格式（详见第五部分投标文件格式）编写投标文件，并使用A4规格编制。投标文件应编写目录，具有结构清晰的文档结构图（打开word视图中的“文档结构图”后能看到详细章节），页码连续。</w:t>
      </w:r>
    </w:p>
    <w:p w14:paraId="70CBC45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1946ECDD">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可在页码索引处填写1。</w:t>
      </w:r>
    </w:p>
    <w:p w14:paraId="40FB0A98">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15FDE91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6.8投标文件具有法律效力，投标人与招标代理机构或招标人任何人的口头协议不影响投标文件的任何条款和内容。</w:t>
      </w:r>
    </w:p>
    <w:p w14:paraId="7E092A7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6.9招标人或招标代理机构均无义务向投标人解释其中标或未中标的原因，且无论投标人是否中标，投标人所递交的投标文件均不予退还，不提供副本拷贝。</w:t>
      </w:r>
    </w:p>
    <w:p w14:paraId="1AFBB800">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7.数据文件编制要求</w:t>
      </w:r>
    </w:p>
    <w:p w14:paraId="03953CF5">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7.1投标人须从所投项目的招标文件压缩包内对应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3D61EC3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706AE22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7.3投标人在对数据文件电子签章前，应按照上述2项的要求进行认真检查、确认。因投标人自身原因所导致其投标失败的，须自行承担相关责任。</w:t>
      </w:r>
    </w:p>
    <w:p w14:paraId="39FF451B">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8.文件构成</w:t>
      </w:r>
    </w:p>
    <w:p w14:paraId="3316BC9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投标人应按项目编制投标文件，每个项目的投标文件分两册，必须包括：投标文件（pdf格式）（第一册）、数据文件（PDF格式）（第二册），以上内容缺一不可，否则为</w:t>
      </w:r>
      <w:r>
        <w:rPr>
          <w:rFonts w:hint="eastAsia" w:ascii="仿宋_GB2312" w:hAnsi="仿宋_GB2312" w:eastAsia="仿宋_GB2312" w:cs="仿宋_GB2312"/>
          <w:b/>
          <w:sz w:val="24"/>
          <w:szCs w:val="24"/>
          <w:highlight w:val="none"/>
        </w:rPr>
        <w:t>无效投标（响应）</w:t>
      </w:r>
      <w:r>
        <w:rPr>
          <w:rFonts w:hint="eastAsia" w:ascii="仿宋_GB2312" w:hAnsi="仿宋_GB2312" w:eastAsia="仿宋_GB2312" w:cs="仿宋_GB2312"/>
          <w:sz w:val="24"/>
          <w:szCs w:val="24"/>
          <w:highlight w:val="none"/>
        </w:rPr>
        <w:t>。</w:t>
      </w:r>
    </w:p>
    <w:p w14:paraId="7170ADD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8.1投标人编制的投标文件（pdf格式）（第一册）应包括但不少于下列内容：</w:t>
      </w:r>
    </w:p>
    <w:p w14:paraId="68BD81E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（1）投标文件封面（格式见本文件第五章）</w:t>
      </w:r>
    </w:p>
    <w:p w14:paraId="723CA20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（2）投标文件目录</w:t>
      </w:r>
    </w:p>
    <w:p w14:paraId="2E2E1AA9">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（3）投标承诺函（格式见本文件第五章）</w:t>
      </w:r>
    </w:p>
    <w:p w14:paraId="3F5B1EB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（4）投标人资格证明文件</w:t>
      </w:r>
    </w:p>
    <w:p w14:paraId="70CC514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1、有效的营业执照副本扫描件；</w:t>
      </w:r>
    </w:p>
    <w:p w14:paraId="5DAC67C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2、法人授权委托书、被授权人身份证扫描件（若法人参与投标只需提供法人身份证明文件扫描件）；</w:t>
      </w:r>
    </w:p>
    <w:p w14:paraId="25F095D7">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3、投标人参与投标的声明函；</w:t>
      </w:r>
    </w:p>
    <w:p w14:paraId="694C22C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4、具有依法缴纳税收和社会保障资金的良好记录，附投标人近期的完税及交纳社保资金证明的复印件；</w:t>
      </w:r>
    </w:p>
    <w:p w14:paraId="7B37EC8C">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5、投标人自行编制的近一年度公司财务报表或由中介机构出具的近一年度财务审计报告书扫描件（2026年以后成立新公司须提供自成立至今的公司财务报表复印件）；</w:t>
      </w:r>
    </w:p>
    <w:p w14:paraId="66AAC91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6、投标人、法定代表人、授权委托人未被最高法院列入失信被执行人网上截图(查询网址：</w:t>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HYPERLINK "http://zxgk.court.gov.cn/shixin/" </w:instrText>
      </w:r>
      <w:r>
        <w:rPr>
          <w:rFonts w:hint="eastAsia" w:ascii="仿宋_GB2312" w:hAnsi="仿宋_GB2312" w:eastAsia="仿宋_GB2312" w:cs="仿宋_GB2312"/>
          <w:highlight w:val="none"/>
        </w:rPr>
        <w:fldChar w:fldCharType="separate"/>
      </w:r>
      <w:r>
        <w:rPr>
          <w:rStyle w:val="50"/>
          <w:rFonts w:hint="eastAsia" w:ascii="仿宋_GB2312" w:hAnsi="仿宋_GB2312" w:eastAsia="仿宋_GB2312" w:cs="仿宋_GB2312"/>
          <w:sz w:val="24"/>
          <w:szCs w:val="24"/>
          <w:highlight w:val="none"/>
        </w:rPr>
        <w:t>http://zxgk.court.gov.cn/shixin/</w:t>
      </w:r>
      <w:r>
        <w:rPr>
          <w:rStyle w:val="50"/>
          <w:rFonts w:hint="eastAsia" w:ascii="仿宋_GB2312" w:hAnsi="仿宋_GB2312" w:eastAsia="仿宋_GB2312" w:cs="仿宋_GB2312"/>
          <w:sz w:val="24"/>
          <w:szCs w:val="24"/>
          <w:highlight w:val="none"/>
        </w:rPr>
        <w:fldChar w:fldCharType="end"/>
      </w:r>
      <w:r>
        <w:rPr>
          <w:rFonts w:hint="eastAsia" w:ascii="仿宋_GB2312" w:hAnsi="仿宋_GB2312" w:eastAsia="仿宋_GB2312" w:cs="仿宋_GB2312"/>
          <w:sz w:val="24"/>
          <w:szCs w:val="24"/>
          <w:highlight w:val="none"/>
        </w:rPr>
        <w:t>)；</w:t>
      </w:r>
    </w:p>
    <w:p w14:paraId="5E8B836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7、投标人近一年在“信用中国”或“信用中国（山东）”无严重失信记录；附信用中国（www.creditchina.gov.cn）或信用中国（山东）（credit.shandong.gov.cn ）查询的信用信息报告；</w:t>
      </w:r>
    </w:p>
    <w:p w14:paraId="2B0C9E9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8、交纳投标保证金的证明材料（两者缺一不可）：a.企业银行基本账户开户证明（如开户许可证或银行开户证明等）、b.电汇凭证或电子汇款截图扫描件；</w:t>
      </w:r>
    </w:p>
    <w:p w14:paraId="3EE981D6">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以上所有资质资格证明文件均需加盖投标人签章。</w:t>
      </w:r>
    </w:p>
    <w:p w14:paraId="2AD061E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）投标人基本情况表；</w:t>
      </w:r>
    </w:p>
    <w:p w14:paraId="7091BD56">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）投标人近年企业类似业绩汇总表；</w:t>
      </w:r>
    </w:p>
    <w:p w14:paraId="61762E75">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）投标人</w:t>
      </w:r>
      <w:r>
        <w:rPr>
          <w:rFonts w:hint="eastAsia" w:ascii="仿宋_GB2312" w:hAnsi="仿宋_GB2312" w:eastAsia="仿宋_GB2312" w:cs="仿宋_GB2312"/>
          <w:sz w:val="24"/>
          <w:szCs w:val="24"/>
          <w:highlight w:val="none"/>
          <w:lang w:val="en-US" w:eastAsia="zh-CN"/>
        </w:rPr>
        <w:t>实力及</w:t>
      </w:r>
      <w:r>
        <w:rPr>
          <w:rFonts w:hint="eastAsia" w:ascii="仿宋_GB2312" w:hAnsi="仿宋_GB2312" w:eastAsia="仿宋_GB2312" w:cs="仿宋_GB2312"/>
          <w:sz w:val="24"/>
          <w:szCs w:val="24"/>
          <w:highlight w:val="none"/>
        </w:rPr>
        <w:t>优势说明；</w:t>
      </w:r>
    </w:p>
    <w:p w14:paraId="130EA01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8</w:t>
      </w:r>
      <w:r>
        <w:rPr>
          <w:rFonts w:hint="eastAsia" w:ascii="仿宋_GB2312" w:hAnsi="仿宋_GB2312" w:eastAsia="仿宋_GB2312" w:cs="仿宋_GB2312"/>
          <w:sz w:val="24"/>
          <w:szCs w:val="24"/>
          <w:highlight w:val="none"/>
        </w:rPr>
        <w:t>）技术文件，包括但不限于以下内容：</w:t>
      </w:r>
    </w:p>
    <w:p w14:paraId="2A3DC4E6">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①苗木质量标准及保证措施；</w:t>
      </w:r>
    </w:p>
    <w:p w14:paraId="05BC6CE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②供货方案；</w:t>
      </w:r>
    </w:p>
    <w:p w14:paraId="7EB19E97">
      <w:pPr>
        <w:snapToGrid w:val="0"/>
        <w:spacing w:line="360" w:lineRule="auto"/>
        <w:ind w:firstLine="480" w:firstLineChars="200"/>
        <w:jc w:val="left"/>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③售后服务承诺</w:t>
      </w:r>
      <w:r>
        <w:rPr>
          <w:rFonts w:hint="eastAsia" w:ascii="仿宋_GB2312" w:hAnsi="仿宋_GB2312" w:eastAsia="仿宋_GB2312" w:cs="仿宋_GB2312"/>
          <w:sz w:val="24"/>
          <w:szCs w:val="24"/>
          <w:highlight w:val="none"/>
          <w:lang w:eastAsia="zh-CN"/>
        </w:rPr>
        <w:t>；</w:t>
      </w:r>
    </w:p>
    <w:p w14:paraId="6A9DF881">
      <w:pPr>
        <w:snapToGrid w:val="0"/>
        <w:spacing w:line="360" w:lineRule="auto"/>
        <w:ind w:firstLine="480" w:firstLineChars="200"/>
        <w:jc w:val="left"/>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（9）招标文件要求的及投标人认为需要提供的其他资料</w:t>
      </w:r>
      <w:r>
        <w:rPr>
          <w:rFonts w:hint="eastAsia" w:ascii="仿宋_GB2312" w:hAnsi="仿宋_GB2312" w:eastAsia="仿宋_GB2312" w:cs="仿宋_GB2312"/>
          <w:sz w:val="24"/>
          <w:szCs w:val="24"/>
          <w:highlight w:val="none"/>
          <w:lang w:eastAsia="zh-CN"/>
        </w:rPr>
        <w:t>。</w:t>
      </w:r>
    </w:p>
    <w:p w14:paraId="5B334ECC">
      <w:pPr>
        <w:wordWrap w:val="0"/>
        <w:snapToGrid w:val="0"/>
        <w:spacing w:line="360" w:lineRule="auto"/>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8.2数据文件（PDF格式）（第二册）</w:t>
      </w:r>
    </w:p>
    <w:p w14:paraId="531DD959">
      <w:pPr>
        <w:wordWrap w:val="0"/>
        <w:snapToGrid w:val="0"/>
        <w:spacing w:line="360" w:lineRule="auto"/>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须从本项目招标文件压缩包内获取对应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6BC5DC39">
      <w:pPr>
        <w:wordWrap w:val="0"/>
        <w:snapToGrid w:val="0"/>
        <w:spacing w:line="360" w:lineRule="auto"/>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（1）封面</w:t>
      </w:r>
    </w:p>
    <w:p w14:paraId="1B30B7E2">
      <w:pPr>
        <w:wordWrap w:val="0"/>
        <w:snapToGrid w:val="0"/>
        <w:spacing w:line="360" w:lineRule="auto"/>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（2）投标报价表（含明细）</w:t>
      </w:r>
    </w:p>
    <w:p w14:paraId="299C909B">
      <w:pPr>
        <w:wordWrap w:val="0"/>
        <w:snapToGrid w:val="0"/>
        <w:spacing w:line="360" w:lineRule="auto"/>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（3）需求响应表（如有）</w:t>
      </w:r>
    </w:p>
    <w:p w14:paraId="048874F1">
      <w:pPr>
        <w:wordWrap w:val="0"/>
        <w:snapToGrid w:val="0"/>
        <w:spacing w:line="360" w:lineRule="auto"/>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（4）评审对照表</w:t>
      </w:r>
    </w:p>
    <w:p w14:paraId="4684CE69">
      <w:pPr>
        <w:wordWrap w:val="0"/>
        <w:snapToGrid w:val="0"/>
        <w:spacing w:line="360" w:lineRule="auto"/>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（5）评分对照表（如有）</w:t>
      </w:r>
    </w:p>
    <w:p w14:paraId="03D92E6D">
      <w:pPr>
        <w:snapToGrid w:val="0"/>
        <w:spacing w:line="360" w:lineRule="auto"/>
        <w:ind w:firstLine="482"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9.投标报价</w:t>
      </w:r>
    </w:p>
    <w:p w14:paraId="3F3A7FD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9.1投标人应按照“第三章 采购内容与要求”的服务内容以及合同条款进行服务。</w:t>
      </w:r>
    </w:p>
    <w:p w14:paraId="08F9F30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9.2投标人应按数据文件“投标报价表（含明细）”要求的统一格式填写，表格中单价处填写“0”即可，并加盖电子公章。不填写可能会导致数据文件无法正常上传。</w:t>
      </w:r>
    </w:p>
    <w:p w14:paraId="1BEE2FAE">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9.3《投标报价表（含明细）》填写时应响应下列要求：</w:t>
      </w:r>
    </w:p>
    <w:p w14:paraId="4D688F75">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投标人须严格按照报价明细表说明进行填写，报价明细表中 “*”是必填项，任何必填项为空时都可能导致本次投标无效。</w:t>
      </w:r>
    </w:p>
    <w:p w14:paraId="70DA01CC">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9.4《需求响应表（如有）》填写时应响应下列要求：</w:t>
      </w:r>
    </w:p>
    <w:p w14:paraId="59B98CB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（1）有底色标识的单元格须填写，有“*”的列是必输项，任何必输项为空都可能导致本次投标无效；</w:t>
      </w:r>
    </w:p>
    <w:p w14:paraId="013E236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（2）如想拷贝数据到某个待填写单元格，应采用选择性粘贴(只粘贴文本)，否则单元格填写无效或被锁死；</w:t>
      </w:r>
    </w:p>
    <w:p w14:paraId="12F79617">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（3）当招标需求列的内容显示不完整时，请点击编辑栏进行查看；</w:t>
      </w:r>
    </w:p>
    <w:p w14:paraId="0730BB2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（4）响应需求请按照商品(服务)的招标需求的逐一说明，如实填写。</w:t>
      </w:r>
    </w:p>
    <w:p w14:paraId="7D4B3EB7">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（5）按照该表显示位置加盖一个电子印章；</w:t>
      </w:r>
    </w:p>
    <w:p w14:paraId="72EDF09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（6）该表为固定格式且有数字指纹，必须在原表上填写，填写完毕后只可保存不可另存。删除该表、增加该表、增加行列、删除行列、对固定格式的任何改动均会导致无效投标；</w:t>
      </w:r>
    </w:p>
    <w:p w14:paraId="5CE808EA">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10.联合体投标</w:t>
      </w:r>
    </w:p>
    <w:p w14:paraId="388B96D9">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两个以上的自然人、法人或者其他组织可以组成一个联合体，以一个投标人的身份共同参加投标。</w:t>
      </w:r>
    </w:p>
    <w:p w14:paraId="30B817B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10.1以联合体形式进行投标的，应当向招标人提交联合协议，载明联合体各方承担的工作和义务。联合体各方应当共同与招标人签订采购合同，就采购合同约定的事项对招标人承担连带责任。</w:t>
      </w:r>
    </w:p>
    <w:p w14:paraId="5473A3C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10.2联合体中有同类资质的投标人按照联合体分工承担相同工作的，应当按照资质等级较低的投标人确定资质等级。</w:t>
      </w:r>
    </w:p>
    <w:p w14:paraId="64E14E4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6F9AB28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10.4以联合体形式参加投标活动的，联合体各方不得再单独参加或者与其他投标人另外组成联合体参加同一合同项下的投标活动。</w:t>
      </w:r>
    </w:p>
    <w:p w14:paraId="600E23FC">
      <w:pPr>
        <w:snapToGrid w:val="0"/>
        <w:spacing w:line="360" w:lineRule="auto"/>
        <w:ind w:firstLine="482"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本项目是否接受联合体投标详见《投标须知前附表》。</w:t>
      </w:r>
    </w:p>
    <w:p w14:paraId="53C0C547">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11.关于分包</w:t>
      </w:r>
    </w:p>
    <w:p w14:paraId="01B8D87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本项目不允许分包。</w:t>
      </w:r>
    </w:p>
    <w:p w14:paraId="5ED5A707">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12.现场踏勘</w:t>
      </w:r>
    </w:p>
    <w:p w14:paraId="32A4B42D">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7BF97FB7">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12.2投标人及其人员经过招标人的允许，可以踏勘目的进入招标人的项目现场。若本项目招标文件要求投标人于统一时间地点踏勘现场的，投标人应当按时前往。</w:t>
      </w:r>
    </w:p>
    <w:p w14:paraId="53E50D2D">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12.3除招标人的原因外，投标人自行负责在踏勘现场中所发生的人员伤亡和财产损失。</w:t>
      </w:r>
    </w:p>
    <w:p w14:paraId="6D51E80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12.4未参与现场踏勘不作为否定投标人资格的理由。</w:t>
      </w:r>
    </w:p>
    <w:p w14:paraId="345591E3">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本项目是否组织现场踏勘详见《投标须知前附表》。</w:t>
      </w:r>
    </w:p>
    <w:p w14:paraId="2C0BE04A">
      <w:pPr>
        <w:snapToGrid w:val="0"/>
        <w:spacing w:line="360" w:lineRule="auto"/>
        <w:ind w:firstLine="482"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13.投标有效期</w:t>
      </w:r>
    </w:p>
    <w:p w14:paraId="28C53F5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13.1从开标之日起，投标有效期为90天。投标有效期短于90天的，其投标为无效投标。</w:t>
      </w:r>
    </w:p>
    <w:p w14:paraId="3837BE3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5B05E8E5">
      <w:pPr>
        <w:snapToGrid w:val="0"/>
        <w:spacing w:line="360" w:lineRule="auto"/>
        <w:ind w:firstLine="482"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14.投标保证金：详见《投标须知前附表》</w:t>
      </w:r>
    </w:p>
    <w:p w14:paraId="28C07E6E">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14.1投标保证金于确定中标候选人后五个工作日内退还未入围候选投标人的保证金及同期银行利息；确定中标人后五个工作日内退还剩余所有投标人的保证金及同期银行利息。合同签订后退还中标人的投标保证金及同期银行利息；非中标人原因未能签订合同的，应在招标人作出处理结果之日起五个工作日内退还中标人的保证金及同期银行利息。采购项目流标（废标）的，应在确定流标（废标）之日起五个工作日内退还所有投标人的保证金及同期银行利息。</w:t>
      </w:r>
    </w:p>
    <w:p w14:paraId="00475C3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14.2有下列情况之一的，投标保证金</w:t>
      </w:r>
      <w:r>
        <w:rPr>
          <w:rFonts w:hint="eastAsia" w:ascii="仿宋_GB2312" w:hAnsi="仿宋_GB2312" w:eastAsia="仿宋_GB2312" w:cs="仿宋_GB2312"/>
          <w:b/>
          <w:bCs/>
          <w:sz w:val="24"/>
          <w:szCs w:val="24"/>
          <w:highlight w:val="none"/>
        </w:rPr>
        <w:t>不予返还</w:t>
      </w:r>
      <w:r>
        <w:rPr>
          <w:rFonts w:hint="eastAsia" w:ascii="仿宋_GB2312" w:hAnsi="仿宋_GB2312" w:eastAsia="仿宋_GB2312" w:cs="仿宋_GB2312"/>
          <w:sz w:val="24"/>
          <w:szCs w:val="24"/>
          <w:highlight w:val="none"/>
        </w:rPr>
        <w:t>。</w:t>
      </w:r>
    </w:p>
    <w:p w14:paraId="7E930E6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(1)投标人提供不真实资格、资质证明文件的；</w:t>
      </w:r>
    </w:p>
    <w:p w14:paraId="4ADD73E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(2)在投标有效期内撤回投标的；</w:t>
      </w:r>
    </w:p>
    <w:p w14:paraId="489FDFF5">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(3)除因不可抗力或招标文件认可的情形以外，中标人不与招标人签订合同的；</w:t>
      </w:r>
    </w:p>
    <w:p w14:paraId="149E4CD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(4)投标人与招标人、其他投标人或者招标代理机构恶意串通的；</w:t>
      </w:r>
    </w:p>
    <w:p w14:paraId="3579D0A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(5)评标委员会认定的其他事项。</w:t>
      </w:r>
    </w:p>
    <w:p w14:paraId="2269C23F">
      <w:pPr>
        <w:snapToGrid w:val="0"/>
        <w:spacing w:line="360" w:lineRule="auto"/>
        <w:ind w:firstLine="480"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sz w:val="24"/>
          <w:szCs w:val="24"/>
          <w:highlight w:val="none"/>
        </w:rPr>
        <w:t>对以提供虚假材料或恶意串通或采取不正当竞争手段谋取中标的投标人，一经发现将依法取消其投标人资格，投标保证金不予返还，列入平台黑名单。</w:t>
      </w:r>
    </w:p>
    <w:p w14:paraId="2B7E31CE">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15.履约保证金的交纳与返还</w:t>
      </w:r>
    </w:p>
    <w:p w14:paraId="2E9E82D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该项目无需交纳履约保证金。</w:t>
      </w:r>
    </w:p>
    <w:p w14:paraId="23A0189C">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16.投标文件的数量和签署</w:t>
      </w:r>
    </w:p>
    <w:p w14:paraId="028F081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16.1投标文件（pdf格式）（第一册）1份</w:t>
      </w:r>
    </w:p>
    <w:p w14:paraId="1C1DED2C">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16.1.1投标人应使用带电子签章功能的CA锁对投标文件须盖章或签名的部位加盖电子印章（单位电子公章、法定代表人电子人名章），电子印章与实物印章具有同等法律效力。</w:t>
      </w:r>
    </w:p>
    <w:p w14:paraId="49397B1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16.1.2投标人应首先编制word格式投标文件，最后通过</w:t>
      </w:r>
      <w:r>
        <w:rPr>
          <w:rFonts w:hint="eastAsia" w:ascii="仿宋_GB2312" w:hAnsi="仿宋_GB2312" w:eastAsia="仿宋_GB2312" w:cs="仿宋_GB2312"/>
          <w:b/>
          <w:bCs/>
          <w:sz w:val="24"/>
          <w:szCs w:val="24"/>
          <w:highlight w:val="none"/>
        </w:rPr>
        <w:t>威海市国企采购电子交易系统</w:t>
      </w:r>
      <w:r>
        <w:rPr>
          <w:rFonts w:hint="eastAsia" w:ascii="仿宋_GB2312" w:hAnsi="仿宋_GB2312" w:eastAsia="仿宋_GB2312" w:cs="仿宋_GB2312"/>
          <w:sz w:val="24"/>
          <w:szCs w:val="24"/>
          <w:highlight w:val="none"/>
        </w:rPr>
        <w:t>的文件签章菜单的标书签章功能转换为pdf格式（或者其他pdf转换工具），之后通过签章功能在pdf文件上逐页加盖电子印章并保存到本地计算机，加盖了电子印章的pdf文件即为最终的投标文件。</w:t>
      </w:r>
    </w:p>
    <w:p w14:paraId="5658A04D">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16.1.3文件中要求法定代表人签字或签章的须加盖法定代表人电子人名章。</w:t>
      </w:r>
    </w:p>
    <w:p w14:paraId="5566A65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16.1.4须被授权人签字的，被授权人又无电子章，在word编制时可将被授权人手写签字扫描后的图片粘贴到投标文件中对应位置，并加盖单位电子公章。</w:t>
      </w:r>
    </w:p>
    <w:p w14:paraId="29E6BAC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16.1.5可使用系统的批量盖章功能快速签章。但须逐页浏览检查并注意印章重叠及完整性。</w:t>
      </w:r>
    </w:p>
    <w:p w14:paraId="7D2BA44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16.1.6采用扫描粘贴投标人公章或扫描法定代表人人名章而不加盖单位电子公章的为</w:t>
      </w:r>
      <w:r>
        <w:rPr>
          <w:rFonts w:hint="eastAsia" w:ascii="仿宋_GB2312" w:hAnsi="仿宋_GB2312" w:eastAsia="仿宋_GB2312" w:cs="仿宋_GB2312"/>
          <w:b/>
          <w:bCs/>
          <w:sz w:val="24"/>
          <w:szCs w:val="24"/>
          <w:highlight w:val="none"/>
        </w:rPr>
        <w:t>无效投标</w:t>
      </w:r>
      <w:r>
        <w:rPr>
          <w:rFonts w:hint="eastAsia" w:ascii="仿宋_GB2312" w:hAnsi="仿宋_GB2312" w:eastAsia="仿宋_GB2312" w:cs="仿宋_GB2312"/>
          <w:sz w:val="24"/>
          <w:szCs w:val="24"/>
          <w:highlight w:val="none"/>
        </w:rPr>
        <w:t>。</w:t>
      </w:r>
    </w:p>
    <w:p w14:paraId="6696483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16.2数据文件（PDF格式）（第二册）1份</w:t>
      </w:r>
    </w:p>
    <w:p w14:paraId="08B48F7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16.2.1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4D5753E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16.2.2文件中要求法定代表人签字或签章的须加盖法定代表人电子人名章。</w:t>
      </w:r>
    </w:p>
    <w:p w14:paraId="4A3B8CC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16.2.3采用扫描粘贴投标人公章或法定代表人人名章的为</w:t>
      </w:r>
      <w:r>
        <w:rPr>
          <w:rFonts w:hint="eastAsia" w:ascii="仿宋_GB2312" w:hAnsi="仿宋_GB2312" w:eastAsia="仿宋_GB2312" w:cs="仿宋_GB2312"/>
          <w:b/>
          <w:bCs/>
          <w:sz w:val="24"/>
          <w:szCs w:val="24"/>
          <w:highlight w:val="none"/>
        </w:rPr>
        <w:t>无效投标</w:t>
      </w:r>
      <w:r>
        <w:rPr>
          <w:rFonts w:hint="eastAsia" w:ascii="仿宋_GB2312" w:hAnsi="仿宋_GB2312" w:eastAsia="仿宋_GB2312" w:cs="仿宋_GB2312"/>
          <w:sz w:val="24"/>
          <w:szCs w:val="24"/>
          <w:highlight w:val="none"/>
        </w:rPr>
        <w:t>。</w:t>
      </w:r>
    </w:p>
    <w:p w14:paraId="40505A1E">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四、投标文件的递交</w:t>
      </w:r>
    </w:p>
    <w:p w14:paraId="7690F649">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17.投标文件的密封和标记</w:t>
      </w:r>
    </w:p>
    <w:p w14:paraId="35B9811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17.1电子投标文件的密封和标记</w:t>
      </w:r>
    </w:p>
    <w:p w14:paraId="5DDF8B8D">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17.1.1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48792C5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17.2文件递交</w:t>
      </w:r>
    </w:p>
    <w:p w14:paraId="0832EA56">
      <w:pPr>
        <w:snapToGrid w:val="0"/>
        <w:spacing w:line="360" w:lineRule="auto"/>
        <w:ind w:firstLine="480"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sz w:val="24"/>
          <w:szCs w:val="24"/>
          <w:highlight w:val="none"/>
        </w:rPr>
        <w:t>17.2.1投标人应在投标须知前附表规定的时间前在威海市国有企业阳光采购电子化服务平台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_GB2312" w:eastAsia="仿宋_GB2312" w:cs="仿宋_GB2312"/>
          <w:b/>
          <w:bCs/>
          <w:sz w:val="24"/>
          <w:szCs w:val="24"/>
          <w:highlight w:val="none"/>
        </w:rPr>
        <w:t>其投标将会被判定为无效。</w:t>
      </w:r>
    </w:p>
    <w:p w14:paraId="53A90404">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17.2.2投标人须牢记投标加密密码，该密码将用于开标时解密其电子投标文件，如忘记密码或输入错误密码超过5次，其递交的电子投标文件将无法解密，导致无法提取数据和供他人阅读文件，致使其投标失败。</w:t>
      </w:r>
    </w:p>
    <w:p w14:paraId="6E2B63C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17.2.3除投标须知前附表另有规定外，招标代理机构拒绝接收纸质投标文件。</w:t>
      </w:r>
    </w:p>
    <w:p w14:paraId="66EB8D06">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17.2.4投标人应将网上递交的已盖章未加密的数据文件和投标文件谨慎保存备份，以便启动应急开标程序时备案使用。</w:t>
      </w:r>
    </w:p>
    <w:p w14:paraId="4267D946">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18.投标截止期</w:t>
      </w:r>
    </w:p>
    <w:p w14:paraId="3907E86E">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本次招标的投标截止期见《投标须知前附表》。</w:t>
      </w:r>
    </w:p>
    <w:p w14:paraId="63E06B84">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19.迟交的投标文件</w:t>
      </w:r>
    </w:p>
    <w:p w14:paraId="386AAA7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威海市国有企业阳光采购电子化服务平台无法接收投标截止期后递交的投标文件。</w:t>
      </w:r>
    </w:p>
    <w:p w14:paraId="74D861BE">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20.现场演示/样品递交</w:t>
      </w:r>
    </w:p>
    <w:p w14:paraId="26018397">
      <w:p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是否要求投标人提供演示/提交样品，详见招标文件《投标须知前附表》的有关规定。</w:t>
      </w:r>
    </w:p>
    <w:p w14:paraId="102BBD1D">
      <w:pPr>
        <w:snapToGrid w:val="0"/>
        <w:spacing w:line="360" w:lineRule="auto"/>
        <w:ind w:firstLine="482"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21.投标文件的修改和撤回</w:t>
      </w:r>
    </w:p>
    <w:p w14:paraId="34E5C5E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21.1投标人必须在规定的投标截止期之前将修改的投标文件和数据文件上传到威海市国企采购电子交易系统,在投标截止期之后，投标人不得对其投标文件做任何修改。</w:t>
      </w:r>
    </w:p>
    <w:p w14:paraId="3619498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21.2投标人在递交投标文件后，可以在投标截止期之前撤回其投标。</w:t>
      </w:r>
    </w:p>
    <w:p w14:paraId="3C0CC6E8">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21.3开标后不允许对投标文件做实质性修改和补充，不得撤回投标文件。</w:t>
      </w:r>
      <w:bookmarkStart w:id="2" w:name="_Toc484525621"/>
    </w:p>
    <w:p w14:paraId="1F8C1B2E">
      <w:pPr>
        <w:numPr>
          <w:ilvl w:val="0"/>
          <w:numId w:val="2"/>
        </w:numPr>
        <w:snapToGrid w:val="0"/>
        <w:spacing w:line="360" w:lineRule="auto"/>
        <w:ind w:firstLine="482"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开标与评审</w:t>
      </w:r>
    </w:p>
    <w:p w14:paraId="1C19E7B2">
      <w:pPr>
        <w:tabs>
          <w:tab w:val="left" w:pos="540"/>
        </w:tabs>
        <w:adjustRightInd w:val="0"/>
        <w:snapToGrid w:val="0"/>
        <w:spacing w:line="360" w:lineRule="auto"/>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22、开标</w:t>
      </w:r>
    </w:p>
    <w:p w14:paraId="7E439EA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22.1投标截止时间结束后，实质性响应的投标人不足3家的不得开标。</w:t>
      </w:r>
    </w:p>
    <w:p w14:paraId="16CB6A1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22.2招标代理机构在招标公告规定的时间和地点组织开标。到现场开标的投标人须携带CA锁和笔记本电脑，以便进行开标操作（是否允许现场开标详见投标人须知前附表）。不到现场开标（报价）的投标人需提前准备已配置好环境的电脑,在规定的时间进行远程开标（报价）的各项操作。</w:t>
      </w:r>
    </w:p>
    <w:p w14:paraId="4FC947F9">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22.3现场开标和远程开标的投标人代表应在签到表格相应位置上加盖CA锁中的法定代表人电子人名章以证明其出席，在开标时间前未完成签到的将会被视作认同开标结果。</w:t>
      </w:r>
    </w:p>
    <w:p w14:paraId="45CB1EF6">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22.4《投标须知前附表》规定了文件解密时间，投标人输入密码错误次数过多、未能按时完成解密、其《数据文件》填写、盖章不规范等导致系统无法解析的，将会被视为无效投标（响应）。</w:t>
      </w:r>
    </w:p>
    <w:p w14:paraId="547006D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22.5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289FEEE">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22.6录音、录像：威海市公共资源交易中心负责从递交投标文件开始到确定成交结果全过程的录音、录像工作，确保声音清楚、图像清晰、内容无遗漏。</w:t>
      </w:r>
    </w:p>
    <w:p w14:paraId="0BE14BB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22.7评审过程中，如遇特殊情况，服从威海市公共资源交易中心场地调配，并遵守相关规章制度。</w:t>
      </w:r>
    </w:p>
    <w:p w14:paraId="3505EF0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22.8对投标文件报价出现前后不一致的，按以下规定修正：</w:t>
      </w:r>
    </w:p>
    <w:p w14:paraId="22DF31F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（1）“投标（报价）一览表”的报价与“报价明细表”的报价不一致的，以“投标（报价）一览表”的报价为准；</w:t>
      </w:r>
    </w:p>
    <w:p w14:paraId="30E7704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（2）大写金额和小写金额不一致的，以大写金额为准；</w:t>
      </w:r>
    </w:p>
    <w:p w14:paraId="0F7CE6EC">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（3）单价金额小数点或者百分比有明显错位的，以投标（报价）一览表的总价为准，并修改单价。</w:t>
      </w:r>
    </w:p>
    <w:p w14:paraId="5863DDA8">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（4）总价金额与按单价汇总金额不一致的，以单价金额计算结果为准。</w:t>
      </w:r>
    </w:p>
    <w:p w14:paraId="797BA8A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（5）同时出现两种以上不一致的，按照前款规定的顺序修正。修正后的报价经投标人确认后产生约束力，投标人不确认的，其投标无效。</w:t>
      </w:r>
    </w:p>
    <w:p w14:paraId="1275D7E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22.9公开报价程序</w:t>
      </w:r>
    </w:p>
    <w:p w14:paraId="325ABB2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22.9.1签到：在响应须知前附表规定的时间完成签到。</w:t>
      </w:r>
    </w:p>
    <w:p w14:paraId="5DD0BFA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22.9.2启动开标：工作人员在响应须知前附表规定的时间启动开标。</w:t>
      </w:r>
    </w:p>
    <w:p w14:paraId="37516EB8">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22.9.3解密：工作人员启动开始解密指令，投标人开始输入解密密码，解密时间到后工作人员启动停止解密指令。</w:t>
      </w:r>
    </w:p>
    <w:p w14:paraId="33E283D6">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22.9.4唱标：停止解密后，系统将自动提取各投标人数据文件中的相关数据生成投标（报价）一览表。投标人应及时关注报价过程，查看报价结果并在投标（报价）一览表上进行电子签署。若投标人不进行相关签署，将被视为其对投标（报价）一览表中所载内容无疑议。</w:t>
      </w:r>
    </w:p>
    <w:p w14:paraId="7EB6565D">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22.10应急报价程序</w:t>
      </w:r>
    </w:p>
    <w:p w14:paraId="3ED3C395">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电子开标过程中如出现下列情况，导致系统无法正常运行，或者无法保证开标过程的公平、公正和信息安全时，经与行政监督部门沟通后可启动应急开标程序。</w:t>
      </w:r>
    </w:p>
    <w:p w14:paraId="314127E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（1）系统服务器发生故障，无法访问或无法使用系统；</w:t>
      </w:r>
    </w:p>
    <w:p w14:paraId="1F6B6D97">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（2）系统的软件或数据库出现错误，不能进行正常操作；</w:t>
      </w:r>
    </w:p>
    <w:p w14:paraId="539A5EE5">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（3）系统发现有安全漏洞，有潜在的泄密危险；</w:t>
      </w:r>
    </w:p>
    <w:p w14:paraId="4F7B4AD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（4）病毒发作或受到外来病毒的攻击；</w:t>
      </w:r>
    </w:p>
    <w:p w14:paraId="41108F49">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（5）其他无法保证开标过程公平、公正和信息安全的情形。</w:t>
      </w:r>
    </w:p>
    <w:p w14:paraId="5EB4025E">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应急开标程序包括：</w:t>
      </w:r>
    </w:p>
    <w:p w14:paraId="12A286BB">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（1）对未在系统中开标的可暂停开标；</w:t>
      </w:r>
    </w:p>
    <w:p w14:paraId="1EAE36D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（2）对已在系统中开标的应停止，等待系统恢复正常后再组织进行开标。</w:t>
      </w:r>
    </w:p>
    <w:p w14:paraId="0D353E3C">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无效投标（响应）处理。</w:t>
      </w:r>
    </w:p>
    <w:p w14:paraId="56D65698">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备案功能故障且系统长时间无法恢复正常的，在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行承担。对未按规定递交或递交的文件未按要求进行编制、签署的投标人作无效投标（响应）处理。</w:t>
      </w:r>
    </w:p>
    <w:p w14:paraId="37BDC43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22.11应急开标电子邮件递交规定</w:t>
      </w:r>
    </w:p>
    <w:p w14:paraId="4B751594">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接收电子邮箱：</w:t>
      </w:r>
      <w:r>
        <w:rPr>
          <w:rFonts w:hint="eastAsia" w:ascii="仿宋_GB2312" w:hAnsi="仿宋_GB2312" w:eastAsia="仿宋_GB2312" w:cs="仿宋_GB2312"/>
          <w:sz w:val="24"/>
          <w:szCs w:val="24"/>
          <w:highlight w:val="none"/>
          <w:lang w:val="en-US" w:eastAsia="zh-CN"/>
        </w:rPr>
        <w:t>SD</w:t>
      </w:r>
      <w:r>
        <w:rPr>
          <w:rFonts w:hint="eastAsia" w:ascii="仿宋_GB2312" w:hAnsi="仿宋_GB2312" w:eastAsia="仿宋_GB2312" w:cs="仿宋_GB2312"/>
          <w:sz w:val="24"/>
          <w:szCs w:val="24"/>
          <w:highlight w:val="none"/>
        </w:rPr>
        <w:t>HDZBDL123@126.com</w:t>
      </w:r>
    </w:p>
    <w:p w14:paraId="04E7D38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递交时间：以电子邮件或电话通知的时间为准；</w:t>
      </w:r>
    </w:p>
    <w:p w14:paraId="3DDA162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邮件数量：一封；</w:t>
      </w:r>
    </w:p>
    <w:p w14:paraId="2887D2A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邮件主题：项目编号、投标人名称；</w:t>
      </w:r>
    </w:p>
    <w:p w14:paraId="305DA5E7">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3BD3DBF">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22.12启动电子邮件开标流程</w:t>
      </w:r>
    </w:p>
    <w:p w14:paraId="371B044E">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工作人员电话通知所有投标人启动应急开标程序；</w:t>
      </w:r>
    </w:p>
    <w:p w14:paraId="19D19C21">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投标人收到通知后在规定时间内通过电子邮件递交投标文件（在非应急开标期间招标代理机构不接受、不处理任何通过电子邮件提交的投标文件）；</w:t>
      </w:r>
    </w:p>
    <w:p w14:paraId="1B382A80">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递交截止时间到，工作人员开始下载投标文件，将投标报价形成开标报告并邮件回复各投标人；</w:t>
      </w:r>
    </w:p>
    <w:p w14:paraId="2BB429F7">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投标人确认报价并邮件回复，不及时回复的视为对开标报告的内容无异议。</w:t>
      </w:r>
    </w:p>
    <w:p w14:paraId="08C87A6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23.评标委员会的组成和评标方法</w:t>
      </w:r>
    </w:p>
    <w:p w14:paraId="3E91371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23.1招标代理机构负责组织评标工作，具体评审事务由依法组建的评标委员会负责，根据本项目的特点组建评标委员会，其成员由有关经济、技术等方面的5名专家组成。评标委员会的专家依法从阳光国企采购主管部门组建的专家库中随机抽取产生。情况特殊的，通过随机方式难以确定合适的评审专家的项目，经主管部门同意，招标人可以自行选定评审专家。</w:t>
      </w:r>
    </w:p>
    <w:p w14:paraId="14B740E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304981F0">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23.3评标委员会成员职责：</w:t>
      </w:r>
    </w:p>
    <w:p w14:paraId="2411647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（1）评标前，评标委员会成员应当主动确认与投标人及其制造商是否有利害关系。如有利害关系应当主动回避，如无利害关系，应当在含有相关内容的《无利害关系声明》上签字；</w:t>
      </w:r>
    </w:p>
    <w:p w14:paraId="632D4FB2">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（2）按照招标文件中确定的评标办法，对投标文件的内容进行评审，并对评审结果承担责任；</w:t>
      </w:r>
    </w:p>
    <w:p w14:paraId="5522751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（3）对评标过程和结果，以及投标人的商业秘密进行保密；</w:t>
      </w:r>
    </w:p>
    <w:p w14:paraId="1DB289C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（4）在评标委员会集体起草的评标报告上签字；</w:t>
      </w:r>
    </w:p>
    <w:p w14:paraId="731F2018">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（5）配合招标代理机构答复投标人质疑；</w:t>
      </w:r>
    </w:p>
    <w:p w14:paraId="24CDF9B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（6）配合主管部门处理投标人投诉；</w:t>
      </w:r>
    </w:p>
    <w:p w14:paraId="502A268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（7）向招标人反映评标工作中的问题，提出意见和建议。</w:t>
      </w:r>
    </w:p>
    <w:p w14:paraId="0FEA1B2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23.4评标委员会集体职责：</w:t>
      </w:r>
    </w:p>
    <w:p w14:paraId="2ADE5AF1">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180C573">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（2）配合招标人和招标代理机构答复投标人的质疑；</w:t>
      </w:r>
    </w:p>
    <w:p w14:paraId="2B51796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（3）配合主管部门做好投诉处理工作；</w:t>
      </w:r>
    </w:p>
    <w:p w14:paraId="241BF88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（4）必要时，向投标人解释评标结果；</w:t>
      </w:r>
    </w:p>
    <w:p w14:paraId="0A3027D1">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（5）向主管部门或者有关部门报告非法干预评标工作的行为。</w:t>
      </w:r>
    </w:p>
    <w:p w14:paraId="7F37FEF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23.5招标代理机构或招标人的职责：</w:t>
      </w:r>
    </w:p>
    <w:p w14:paraId="53B0D7A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（1）核对评审专家身份和招标人委托授权，对评审专家在采购活动中的职责履行情况予以记录，并及时将有关违法违规行为向主管部门报告；</w:t>
      </w:r>
    </w:p>
    <w:p w14:paraId="51031EE6">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（2）宣布评标纪律；</w:t>
      </w:r>
    </w:p>
    <w:p w14:paraId="5183F09E">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（3）公布投标人名单，告知评审专家应当回避的情形；</w:t>
      </w:r>
    </w:p>
    <w:p w14:paraId="30F76A96">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（4）组织评标委员会推选评标组长，招标人代表不得担任组长；</w:t>
      </w:r>
    </w:p>
    <w:p w14:paraId="1C226AD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（5）在评标期间采取必要的通讯管理措施，保证评标活动不受外界干扰；</w:t>
      </w:r>
    </w:p>
    <w:p w14:paraId="62DA5C6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（6）根据评标委员会的要求介绍阳光国企采购相关政策法规、招标文件；</w:t>
      </w:r>
    </w:p>
    <w:p w14:paraId="66E8830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（7）维护评标秩序，监督评标委员会依照招标文件规定的评标程序、方法和标准进行独立评审，及时制止和纠正招标人代表、评审专家的倾向性言论或者违法违规行为；</w:t>
      </w:r>
    </w:p>
    <w:p w14:paraId="40CB924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7453CD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（9）评审工作完成后，按照规定向评审专家支付劳务报酬和异地评审差旅费，不得向评审专家以外的其他人员支付评审劳务报酬；</w:t>
      </w:r>
    </w:p>
    <w:p w14:paraId="7451AE7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（10）处理与评标有关的其他事项。</w:t>
      </w:r>
    </w:p>
    <w:p w14:paraId="75278A5D">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招标人可以在评标前说明项目背景和采购需求，说明内容不得含有歧视性、倾向性意见，不得超出招标文件所述范围。说明应当提交书面材料，并随招标文件一并存档。</w:t>
      </w:r>
    </w:p>
    <w:p w14:paraId="35983DC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23.6评标委员会采用集中办公、封闭方式进行评审。评标前，招标代理机构工作人员向评标委员会成员宣布评标纪律和工作规则。评标委员会成员签署《无利害关系声明表》，并遵照执行。</w:t>
      </w:r>
    </w:p>
    <w:p w14:paraId="260C865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23.7评标委员会成员对与自己有利害关系的评标项目应当主动提出回避。</w:t>
      </w:r>
    </w:p>
    <w:p w14:paraId="2692743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23.8评标委员会将按照招标文件确定的评标原则和方法进行评标。招标人对投标人进行资格性审查，评标委员会对投标文件的评审内容分为符合性审查、商务评议、技术评议和价格评议。</w:t>
      </w:r>
    </w:p>
    <w:p w14:paraId="76C6D61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23.9评标委员会独立履行下列职责：</w:t>
      </w:r>
    </w:p>
    <w:p w14:paraId="1E09E721">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（1）审查、评价投标文件是否符合招标文件的商务、技术等实质性要求；</w:t>
      </w:r>
    </w:p>
    <w:p w14:paraId="57D30A4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（2）要求投标人对投标文件有关事项作出澄清或者说明；</w:t>
      </w:r>
    </w:p>
    <w:p w14:paraId="24D3CA6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（3）对投标文件进行比较和评价；</w:t>
      </w:r>
    </w:p>
    <w:p w14:paraId="42443BD8">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（4）确定中标候选人名单，以及根据招标人委托直接确定中标人；</w:t>
      </w:r>
    </w:p>
    <w:p w14:paraId="56204DD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（5）向招标人、招标代理机构或者有关部门报告评标中发现的违法行为。</w:t>
      </w:r>
    </w:p>
    <w:p w14:paraId="5B5B4CE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14:paraId="05AA9C25">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无法及时补足评标委员会成员的，招标代理机构应当停止评标活动，封存所有投标文件和开标、评标资料，依法重新组建评标委员会进行评标。原评标委员会作出的评标意见无效。</w:t>
      </w:r>
    </w:p>
    <w:p w14:paraId="25C953B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招标代理机构应当将变更、重新组建评标委员会的情况予以记录，并随招标文件一并存档。</w:t>
      </w:r>
    </w:p>
    <w:p w14:paraId="4A1ED9AE">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24.投标文件的初审</w:t>
      </w:r>
    </w:p>
    <w:p w14:paraId="4B2D1A5E">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24.1资格性审查。在招标项目开标结束后,评标委员会应当依照有关法律和招标文件的规定对投标人的资格进行审查。合格投标人不足3家的，不得评标。在资格性检查时,如有下列情况之一的，经招标人认定，视为非实质性响应，为无效投标（响应）：</w:t>
      </w:r>
    </w:p>
    <w:p w14:paraId="4A304F8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（1）与招标人存在利害关系且可能影响采购活动的公正性；</w:t>
      </w:r>
    </w:p>
    <w:p w14:paraId="397EEDD1">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（2）与本采购项目的其他投标人为同一个单位负责人；</w:t>
      </w:r>
    </w:p>
    <w:p w14:paraId="1CE81F8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（3）与本采购项目的其他投标人存在控股、管理关系；</w:t>
      </w:r>
    </w:p>
    <w:p w14:paraId="799A65C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（4）为本采购项目提供过设计、编制技术规范和其他文件的咨询服务；</w:t>
      </w:r>
    </w:p>
    <w:p w14:paraId="6CB77466">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（5）为本工程项目的相关监理人，或者与本工程项目的相关监理人存在隶属关系或者其他利害关系；</w:t>
      </w:r>
    </w:p>
    <w:p w14:paraId="4206C9CE">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（6）为本采购项目的代建人；</w:t>
      </w:r>
    </w:p>
    <w:p w14:paraId="1C2ACC6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（7）为本采购项目的招标代理机构；</w:t>
      </w:r>
    </w:p>
    <w:p w14:paraId="42992B3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（8）与本采购项目的监理人或代建人或招标代理机构同为一个法定代表人；</w:t>
      </w:r>
    </w:p>
    <w:p w14:paraId="6085449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（9）与本采购项目的监理人或代建人或招标代理机构存在控股或参股关系；</w:t>
      </w:r>
    </w:p>
    <w:p w14:paraId="4530D1CE">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（10）被依法暂停或者取消投标资格；</w:t>
      </w:r>
    </w:p>
    <w:p w14:paraId="583ADA8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（11）被责令停产停业、暂扣或者吊销许可证、暂扣或者吊销执照；</w:t>
      </w:r>
    </w:p>
    <w:p w14:paraId="2764C7E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（12）进入清算程序，或被宣告破产，或其他丧失履约能力的情形；</w:t>
      </w:r>
    </w:p>
    <w:p w14:paraId="01B60A1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（13）法律法规规定的其他情形。</w:t>
      </w:r>
    </w:p>
    <w:p w14:paraId="4B60C85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（14）投标人资格证明文件不满足招标文件要求和过期失效的。</w:t>
      </w:r>
    </w:p>
    <w:p w14:paraId="094ADF2D">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12EF55D9">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具体内容详见《投标须知》-《实质性条款一览表》中符合性审查条件。</w:t>
      </w:r>
    </w:p>
    <w:p w14:paraId="7AE09A7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24.3投标人有下列情形之一的，视为投标人串通投标，其投标无效：</w:t>
      </w:r>
    </w:p>
    <w:p w14:paraId="3E26C1AD">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（1）不同投标人的投标文件由同一单位或者个人编制的；</w:t>
      </w:r>
    </w:p>
    <w:p w14:paraId="59CD421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（2）不同投标人使用同一个投标人或者同一个自然人的IP地址、设备下载招标文件或者制作、上传投标文件的；</w:t>
      </w:r>
    </w:p>
    <w:p w14:paraId="4A8C62B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（3）不同投标人委托同一单位或者个人办理投标事宜；</w:t>
      </w:r>
    </w:p>
    <w:p w14:paraId="6222CD9D">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（4）不同投标人的投标文件载明的项目管理成员或者联系人员为同一人；</w:t>
      </w:r>
    </w:p>
    <w:p w14:paraId="6CCA22D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（5）不同投标人的投标文件重要内容异常一致、或者投标报价呈现规律性差异；</w:t>
      </w:r>
    </w:p>
    <w:p w14:paraId="552F9938">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（6）不同投标人编制的投标文件存在两处以上错误一致的；</w:t>
      </w:r>
    </w:p>
    <w:p w14:paraId="197B3061">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（7）不同投标人的投标文件相互混装；</w:t>
      </w:r>
    </w:p>
    <w:p w14:paraId="4915CF5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（8）不同投标人的投标保证金从同一单位或者个人的账户转出；</w:t>
      </w:r>
    </w:p>
    <w:p w14:paraId="2D0A26EE">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（9）不同投标人制作的电子投标文件经系统审查存在cpu 编码、硬盘编码及 MAC地址三项编码均相同的。</w:t>
      </w:r>
    </w:p>
    <w:p w14:paraId="54C3E33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24.4投标截止后投标人不足3家或者通过资格审查或符合性审查的投标人不足3家的，除采购任务取消情形外，按照以下方式处理：</w:t>
      </w:r>
    </w:p>
    <w:p w14:paraId="0C8D50CD">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（1）招标文件存在不合理条款或者招标程序不符合规定的，招标人、招标代理机构改正后依法重新招标；</w:t>
      </w:r>
    </w:p>
    <w:p w14:paraId="5F685C3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（2）招标文件没有不合理条款、招标程序符合规定，需要采用其他招标方式招标的，招标人应当依法报主管部门批准。</w:t>
      </w:r>
    </w:p>
    <w:p w14:paraId="7F7BE359">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25.投标文件的澄清</w:t>
      </w:r>
    </w:p>
    <w:p w14:paraId="0990DF0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FD823A1">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A72B35D">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26.投标文件的评价</w:t>
      </w:r>
    </w:p>
    <w:p w14:paraId="562966AC">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26.1评标委员会只对确定为实质响应招标文件要求的投标文件进行评价和比较。必要时需标明评审理由。</w:t>
      </w:r>
    </w:p>
    <w:p w14:paraId="295882B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26.2评审采用百分制。评标委员会各成员分别独立对实质上响应投标文件的投标人进行逐项评价打分，对评标委员会各成员每一因素的打分汇总后的得分为投标人的得分，汇总得分保留两位小数。</w:t>
      </w:r>
    </w:p>
    <w:p w14:paraId="4F91A236">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26.3评标采用综合评分法的，价格分值根据投标人上传的《投标（报价）一览表》中的投标报价，依据规定公式计算，其结果由评标委员会所有成员签字确认。</w:t>
      </w:r>
    </w:p>
    <w:p w14:paraId="45CA653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招标代理机构工作人员负责复核、统计评标委员会成员的评审情况，发现评审意见有失公正时，提请该评标委员会成员修改评审意见，并形成书面意见备查。</w:t>
      </w:r>
    </w:p>
    <w:p w14:paraId="4D462B1E">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26.4评审时除考虑投标人的报价之外，还将考虑以下因素：</w:t>
      </w:r>
    </w:p>
    <w:p w14:paraId="2B65ACF6">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（1）投标文件的响应状况（包括是否按照招标文件要求制作）；</w:t>
      </w:r>
    </w:p>
    <w:p w14:paraId="26C17FF1">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（2）招标文件规定的评审因素。</w:t>
      </w:r>
    </w:p>
    <w:p w14:paraId="382B8D15">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069F7F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09F97FA1">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89A8900">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27.废标条款</w:t>
      </w:r>
    </w:p>
    <w:p w14:paraId="2D6D8DDD">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在招标采购中，出现下列情形之一的，应予废标：</w:t>
      </w:r>
    </w:p>
    <w:p w14:paraId="109544C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（1）符合专业条件的投标人或者对招标文件作实质响应的投标人不足3家的；</w:t>
      </w:r>
    </w:p>
    <w:p w14:paraId="60A38EEA">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（2）出现影响采购公正的违法、违规行为的；</w:t>
      </w:r>
    </w:p>
    <w:p w14:paraId="0DAAD79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（3）因重大变故，招标人采购任务取消的。</w:t>
      </w:r>
    </w:p>
    <w:p w14:paraId="08154151">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六、定标</w:t>
      </w:r>
    </w:p>
    <w:p w14:paraId="4F1839E0">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28.定标</w:t>
      </w:r>
    </w:p>
    <w:p w14:paraId="65F5E93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28.1评标委员会按照招标文件确定的评标方法、步骤、标准，对投标文件进行评审。评标结束后，对投标人的评审名次进行排序，并根据招标人的授权确定综合得分排名</w:t>
      </w:r>
      <w:r>
        <w:rPr>
          <w:rFonts w:hint="eastAsia" w:ascii="仿宋_GB2312" w:hAnsi="仿宋_GB2312" w:eastAsia="仿宋_GB2312" w:cs="仿宋_GB2312"/>
          <w:sz w:val="24"/>
          <w:szCs w:val="24"/>
          <w:highlight w:val="none"/>
          <w:lang w:val="en-US" w:eastAsia="zh-CN"/>
        </w:rPr>
        <w:t>前五</w:t>
      </w:r>
      <w:r>
        <w:rPr>
          <w:rFonts w:hint="eastAsia" w:ascii="仿宋_GB2312" w:hAnsi="仿宋_GB2312" w:eastAsia="仿宋_GB2312" w:cs="仿宋_GB2312"/>
          <w:sz w:val="24"/>
          <w:szCs w:val="24"/>
          <w:highlight w:val="none"/>
        </w:rPr>
        <w:t>的投标人为中标候选人，根据全体评标成员签字的原始评标记录和评标结果编写评标报告。</w:t>
      </w:r>
    </w:p>
    <w:p w14:paraId="1CDC04E5">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28.2评委会所有成员应当在评标报告上签字确认，评标报告的主要内容包括：</w:t>
      </w:r>
    </w:p>
    <w:p w14:paraId="2F3AD3D0">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（1）招标公告刊登的媒体名称、开标日期和地点；</w:t>
      </w:r>
    </w:p>
    <w:p w14:paraId="73F4A0A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（2）投标人名单和评标委员会成员名单；</w:t>
      </w:r>
    </w:p>
    <w:p w14:paraId="10931F7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（3）评标方法和评标标准；</w:t>
      </w:r>
    </w:p>
    <w:p w14:paraId="5B44ACF2">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（4）开标记录和评标情况及说明，包括投标无效投标人名单及原因；</w:t>
      </w:r>
    </w:p>
    <w:p w14:paraId="2D1040C0">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（5）评标结果，确定的中标候选人名单或者经招标人委托直接确定的中标人；</w:t>
      </w:r>
    </w:p>
    <w:p w14:paraId="693BA5F5">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（6）其他需要说明的情况，包括评标过程中投标人根据评标委员会要求进行澄清、说明或者补正，评标委员会成员的更换等。</w:t>
      </w:r>
    </w:p>
    <w:p w14:paraId="1CB6B18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28.3中标人在规定的期限内无正当理由拒绝签订合同、放弃中标；因不可抗力不能履行合同；不按照要求提交履约保证金；或者被查实存在影响中标结果的违法行为等；或者经查实满足不了招标人要求的；或者其他不符合中标条件的情形，招标人可以按照评标委员会提出的投标人排序依次确定其他投标人为中标人，也可以重新招标。</w:t>
      </w:r>
    </w:p>
    <w:p w14:paraId="123B5076">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七、结果公告</w:t>
      </w:r>
    </w:p>
    <w:p w14:paraId="668F04D9">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29.结果公告</w:t>
      </w:r>
    </w:p>
    <w:p w14:paraId="77FB88B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29.1招标代理机构自中标人确定之日起2个工作日内，在发布招标公告媒体上公告中标结果。中标公告期限为1个工作日。中标公告应当包括下列内容：</w:t>
      </w:r>
    </w:p>
    <w:p w14:paraId="765758B0">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（1）招标人、招标代理机构的名称、地址和联系方式；</w:t>
      </w:r>
    </w:p>
    <w:p w14:paraId="299BCAF5">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（2）项目名称和项目编号；</w:t>
      </w:r>
    </w:p>
    <w:p w14:paraId="5889FB80">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（3）中标人名称和中标金额；</w:t>
      </w:r>
    </w:p>
    <w:p w14:paraId="4E58C215">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29.2招标代理机构应当在公告中标结果的同时，向中标人发出《中标通知书》；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2F000D25">
      <w:pPr>
        <w:spacing w:line="460" w:lineRule="exact"/>
        <w:ind w:firstLine="482" w:firstLineChars="201"/>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八、质疑</w:t>
      </w:r>
    </w:p>
    <w:p w14:paraId="27AC8792">
      <w:pPr>
        <w:spacing w:line="460" w:lineRule="exact"/>
        <w:ind w:firstLine="482" w:firstLineChars="201"/>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30.质疑</w:t>
      </w:r>
    </w:p>
    <w:p w14:paraId="4EC2228D">
      <w:pPr>
        <w:spacing w:line="460" w:lineRule="exact"/>
        <w:ind w:firstLine="482" w:firstLineChars="201"/>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30.1投标人对采购活动事项有疑问的，可以向招标人和招标代理机构提出询问，招标人和招标代理机构应当在3个工作日内做出答复，但答复的内容不得涉及商业秘密。投标人提出的询问或者质疑超出招标人对招标代理机构委托授权范围的，招标代理机构应当告知其向招标人提出。</w:t>
      </w:r>
    </w:p>
    <w:p w14:paraId="458CFD66">
      <w:pPr>
        <w:spacing w:line="460" w:lineRule="exact"/>
        <w:ind w:firstLine="482" w:firstLineChars="201"/>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30.2投标人认为招标文件使自己的权益受到损害的，应当在投标截止时间前2日内向招标代理机构提供书面质疑，由招标人和招标代理机构按规定予以答复。</w:t>
      </w:r>
    </w:p>
    <w:p w14:paraId="39D00FC8">
      <w:pPr>
        <w:spacing w:line="460" w:lineRule="exact"/>
        <w:ind w:firstLine="482" w:firstLineChars="201"/>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30.3投标人对采购过程提出质疑的，可以在质疑采购程序环节结束之日，以书面形式向招标人和招标代理机构提出质疑。招标人和招标代理机构应当在收到投标人的书面质疑后7个工作日内做出书面答复，但答复的内容不得涉及商业秘密。</w:t>
      </w:r>
    </w:p>
    <w:p w14:paraId="4905639C">
      <w:pPr>
        <w:spacing w:line="460" w:lineRule="exact"/>
        <w:ind w:firstLine="482" w:firstLineChars="201"/>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30.4投标人认为中标结果使自己的权益受到损害的，应当在中标结果公告期限届满之日起7个工作日内提出质疑，招标人和招标代理机构应当在收到投标人的书面质疑后7个工作日内做出书面答复，但答复的内容不得涉及商业秘密。</w:t>
      </w:r>
    </w:p>
    <w:p w14:paraId="5C5CACA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30.5招标人或者招标代理机构收到投标人的书面质疑后，应当签收回执。</w:t>
      </w:r>
    </w:p>
    <w:p w14:paraId="5E61AD0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30.6招标人或者招标代理机构应当自签收回执之日起7个工作日内对质疑事项依法予以处理并作出答复，书面通知提出质疑的投标人和相关的其他投标人。质疑事项成立的，应当中止采购活动并予以纠正。</w:t>
      </w:r>
    </w:p>
    <w:p w14:paraId="4DC9088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30.7投标人在法定质疑期内一次性提出针对同一采购程序环节的质疑。</w:t>
      </w:r>
    </w:p>
    <w:p w14:paraId="3C36667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30.8质疑采用实名制，为了使提出的质疑事项在规定时间内得到有效答复、处理，提交的质疑函应当包括以下内容，且质疑人应当是参与所质疑项目采购活动的投标人。</w:t>
      </w:r>
    </w:p>
    <w:p w14:paraId="5270ECC9">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（1）投标人的姓名或名称、地址（邮箱）、邮编、联系人及联系电话；</w:t>
      </w:r>
    </w:p>
    <w:p w14:paraId="16EAAA3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（2）质疑项目的名称、编号；</w:t>
      </w:r>
    </w:p>
    <w:p w14:paraId="652B51C5">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（3）具体、明确的质疑事项和与质疑事项相关的请求；</w:t>
      </w:r>
    </w:p>
    <w:p w14:paraId="45F76A03">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（4）事实依据；</w:t>
      </w:r>
    </w:p>
    <w:p w14:paraId="5134937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（5）必要的法律依据；</w:t>
      </w:r>
    </w:p>
    <w:p w14:paraId="5F8C785E">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（6）提出质疑的日期。</w:t>
      </w:r>
    </w:p>
    <w:p w14:paraId="08543A2E">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30.9投标人为自然人的，应当由本人签字；投标人为法人或者其他组织的，应当由法定代表人、主要负责人，或者其被授权人签字或者盖章，并加盖公章。</w:t>
      </w:r>
    </w:p>
    <w:p w14:paraId="20F74327">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30.10有下列情况之一的质疑不予受理：</w:t>
      </w:r>
    </w:p>
    <w:p w14:paraId="27C0CE3D">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（1）无质疑函件或质疑函件缺少投标人法人印章、投标人法定代表人签字、有效授权书和联系方式之一的质疑；</w:t>
      </w:r>
    </w:p>
    <w:p w14:paraId="3D4D9EF0">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（2）质疑函件无实质性内容或佐证文件资料，主观臆断及推理得出结论的质疑；</w:t>
      </w:r>
    </w:p>
    <w:p w14:paraId="6011DAC4">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（3）相应证明材料不真实或来源不合法的质疑；</w:t>
      </w:r>
    </w:p>
    <w:p w14:paraId="19E783E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（4）未按规定时间或超过公示期提出的质疑；</w:t>
      </w:r>
    </w:p>
    <w:p w14:paraId="795B75EB">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30.11对捏造事实，提供虚假材料或者以非法手段取得证明材料进行恶意质疑的，一经查实，将列入平台黑名单。</w:t>
      </w:r>
    </w:p>
    <w:p w14:paraId="792BA1C8">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九、签订合同</w:t>
      </w:r>
    </w:p>
    <w:p w14:paraId="5D906E04">
      <w:pPr>
        <w:spacing w:line="460" w:lineRule="exact"/>
        <w:ind w:firstLine="484" w:firstLineChars="201"/>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31.合同的签订</w:t>
      </w:r>
    </w:p>
    <w:p w14:paraId="44DB74C2">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31.1中标通知书发出之日起30日内，按招标文件、中标人的投标文件签订合同。招标人应当自合同签订之日起5个工作日内，将合同上传至威海市国有企业阳光采购电子化服务平台同时在指定的媒介上公告，但合同中涉及国家秘密、商业秘密的内容除外。</w:t>
      </w:r>
    </w:p>
    <w:p w14:paraId="2C65C08D">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44CCB2F">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31.3中标人在规定时间内无正当理由拒绝与招标人签订合同的，有效投标人符合法定数量的，招标人可以按照评审报告推荐的投标人名单排序，确定下一名投标人为中标人，也可以重新开展招标活动。</w:t>
      </w:r>
    </w:p>
    <w:p w14:paraId="3F5B2CE6">
      <w:pPr>
        <w:spacing w:line="460" w:lineRule="exact"/>
        <w:ind w:firstLine="482" w:firstLineChars="20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31.4合同的履行、违约责任和解决争议的方法适用《中华人民共和国民法典》。</w:t>
      </w:r>
    </w:p>
    <w:p w14:paraId="7CD36E4C">
      <w:pPr>
        <w:spacing w:line="460" w:lineRule="exact"/>
        <w:ind w:firstLine="562" w:firstLineChars="201"/>
        <w:rPr>
          <w:rFonts w:hint="eastAsia" w:ascii="仿宋_GB2312" w:hAnsi="仿宋_GB2312" w:eastAsia="仿宋_GB2312" w:cs="仿宋_GB2312"/>
          <w:sz w:val="28"/>
          <w:szCs w:val="28"/>
          <w:highlight w:val="none"/>
        </w:rPr>
        <w:sectPr>
          <w:footerReference r:id="rId8" w:type="default"/>
          <w:pgSz w:w="11906" w:h="16838"/>
          <w:pgMar w:top="1418" w:right="1418" w:bottom="1418" w:left="1418" w:header="851" w:footer="992" w:gutter="0"/>
          <w:pgNumType w:start="1"/>
          <w:cols w:space="720" w:num="1"/>
          <w:docGrid w:type="lines" w:linePitch="312" w:charSpace="0"/>
        </w:sectPr>
      </w:pPr>
    </w:p>
    <w:p w14:paraId="62AA27CE">
      <w:pPr>
        <w:pStyle w:val="3"/>
        <w:rPr>
          <w:rFonts w:hint="eastAsia" w:ascii="仿宋_GB2312" w:hAnsi="仿宋_GB2312" w:eastAsia="仿宋_GB2312" w:cs="仿宋_GB2312"/>
          <w:b/>
          <w:sz w:val="44"/>
          <w:szCs w:val="44"/>
          <w:highlight w:val="none"/>
        </w:rPr>
      </w:pPr>
      <w:bookmarkStart w:id="3" w:name="_Toc199927043"/>
      <w:r>
        <w:rPr>
          <w:rFonts w:hint="eastAsia" w:ascii="仿宋_GB2312" w:hAnsi="仿宋_GB2312" w:eastAsia="仿宋_GB2312" w:cs="仿宋_GB2312"/>
          <w:b/>
          <w:sz w:val="44"/>
          <w:szCs w:val="44"/>
          <w:highlight w:val="none"/>
        </w:rPr>
        <w:t>第三章  采购内容与要求</w:t>
      </w:r>
      <w:bookmarkEnd w:id="3"/>
    </w:p>
    <w:p w14:paraId="2F92D304">
      <w:pPr>
        <w:spacing w:line="460" w:lineRule="exact"/>
        <w:ind w:firstLine="482" w:firstLineChars="200"/>
        <w:jc w:val="left"/>
        <w:rPr>
          <w:rFonts w:hint="eastAsia" w:ascii="仿宋_GB2312" w:hAnsi="仿宋_GB2312" w:eastAsia="仿宋_GB2312" w:cs="仿宋_GB2312"/>
          <w:b/>
          <w:sz w:val="24"/>
          <w:szCs w:val="24"/>
          <w:highlight w:val="none"/>
        </w:rPr>
      </w:pPr>
    </w:p>
    <w:p w14:paraId="31926297">
      <w:pPr>
        <w:snapToGrid w:val="0"/>
        <w:spacing w:line="360" w:lineRule="auto"/>
        <w:ind w:firstLine="482"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b/>
          <w:sz w:val="24"/>
          <w:szCs w:val="28"/>
          <w:highlight w:val="none"/>
        </w:rPr>
        <w:t>一、项目名称：</w:t>
      </w:r>
      <w:r>
        <w:rPr>
          <w:rFonts w:hint="eastAsia" w:ascii="仿宋_GB2312" w:hAnsi="仿宋_GB2312" w:eastAsia="仿宋_GB2312" w:cs="仿宋_GB2312"/>
          <w:sz w:val="24"/>
          <w:szCs w:val="28"/>
          <w:highlight w:val="none"/>
        </w:rPr>
        <w:t>选定苗木供应单位</w:t>
      </w:r>
    </w:p>
    <w:p w14:paraId="5980259D">
      <w:pPr>
        <w:snapToGrid w:val="0"/>
        <w:spacing w:line="360" w:lineRule="auto"/>
        <w:ind w:firstLine="482"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b/>
          <w:sz w:val="24"/>
          <w:szCs w:val="24"/>
          <w:highlight w:val="none"/>
        </w:rPr>
        <w:t>二、项目概况：</w:t>
      </w:r>
      <w:r>
        <w:rPr>
          <w:rFonts w:hint="eastAsia" w:ascii="仿宋_GB2312" w:hAnsi="仿宋_GB2312" w:eastAsia="仿宋_GB2312" w:cs="仿宋_GB2312"/>
          <w:sz w:val="24"/>
          <w:szCs w:val="28"/>
          <w:highlight w:val="none"/>
        </w:rPr>
        <w:t>通过公开招标的方式，择优选定不超过五家苗木供应单位。</w:t>
      </w:r>
    </w:p>
    <w:p w14:paraId="5405A510">
      <w:pPr>
        <w:spacing w:line="460" w:lineRule="exact"/>
        <w:ind w:firstLine="482" w:firstLineChars="2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三、投标人的资格要求</w:t>
      </w:r>
    </w:p>
    <w:p w14:paraId="40EB42E5">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详见招标公告《三、投标人资格要求》。</w:t>
      </w:r>
    </w:p>
    <w:p w14:paraId="3763828D">
      <w:pPr>
        <w:spacing w:line="460" w:lineRule="exact"/>
        <w:ind w:firstLine="482" w:firstLineChars="20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四、服务期限</w:t>
      </w:r>
    </w:p>
    <w:p w14:paraId="11BEDB74">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自合同签订之日起2年。</w:t>
      </w:r>
    </w:p>
    <w:p w14:paraId="1C167392">
      <w:pPr>
        <w:spacing w:line="460" w:lineRule="exact"/>
        <w:ind w:firstLine="482" w:firstLineChars="20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五、对苗木供应单位的要求：</w:t>
      </w:r>
    </w:p>
    <w:p w14:paraId="44C8B8AC">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1.乔木要求：树冠完整饱满，树型饱满，土球完好，要求半干半湿，根系发育良好。苗木高度及分枝点高度应与苗木供应清单一致，树皮无机械损伤和病虫害。</w:t>
      </w:r>
    </w:p>
    <w:p w14:paraId="70359FF5">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2.灌木及球类植物要求：冠幅饱满、土球完好、匀称，苗木高度、冠幅与苗木供应清单一致，根系发育良好，生长健壮，无病虫害。</w:t>
      </w:r>
    </w:p>
    <w:p w14:paraId="0AB2A750">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3.地被类植物要求：高度冠幅符合设计要求，植株低矮紧凑生长健壮，苗龄适中，无病虫害及断枝。</w:t>
      </w:r>
    </w:p>
    <w:p w14:paraId="32CEAD22">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4.花卉类植物要求：株高、冠幅、盆径满足采购人要求，叶片无病虫害斑点以及黄叶，根系健康无烂根且含水量适中，花数和叶片数不得低于采购人要求或行业相关标准。</w:t>
      </w:r>
    </w:p>
    <w:p w14:paraId="3CBF0B75">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5.草皮类植物要求：草坪卷或草坪块生长密度统一，土层厚度统一（相差不超过0.5厘米），无杂草，草色纯正、根系发育良好，生长健壮，无病虫害。</w:t>
      </w:r>
    </w:p>
    <w:p w14:paraId="771EE053">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6.种子要求：种子色泽新鲜、颗粒饱满、含水量适度，混合比例、每克粒数以及出芽率等应满足规范或者采购人要求。</w:t>
      </w:r>
    </w:p>
    <w:p w14:paraId="4D790492">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7.起挖运输要求：苗木起挖后必须尽快装车运输，不得滞留苗圃内；带土球苗应在圃地灌水渗透后起苗，保持土球完整不散；土质松散的苗圃内应采取相应措施加固土球，不得散球进场；乔灌木装车应对土球采取保护措施，不得使土球因过度受力破损；耐阴性花卉植被应夜间起挖保湿，不得强光高温下起挖，严防日灼或脱水。  </w:t>
      </w:r>
    </w:p>
    <w:p w14:paraId="40CC9C32">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长途运输应采取覆盖等措施防风，保证苗木不枯叶脱水；高温季节运输应分层堆放，覆盖防晒，洒水保湿，并采取增加竹笼、冰块等措施通风降温，严禁暴晒以及烧苗；裸根苗木必须随挖随运，本地苗木当天送达，长途运输起挖至进场时间不得超过24小时，根部应蘸泥浆，保持根系湿润。盆育花苗去盆时，应保持盆土不散，起苗后种植前，应注意保鲜，花苗不得萎蔫。地被类苗木应按株分组装车，不得单株散置装车。</w:t>
      </w:r>
    </w:p>
    <w:p w14:paraId="4B09F047">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所有苗木要适宜威海地区的土壤和气候条件。规格必须达到苗木清单中所有规定规格，形状及品质符合采购人要求并且供货商在供货时需按照相关规定提供植物检疫证书。供货商苗木质量不合格的，苗木不予验收，因苗木质量问题造成的损失，由供货商承担。</w:t>
      </w:r>
    </w:p>
    <w:p w14:paraId="206C6409">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9.供货商交付时应按采购人实际指定的时间和地点完成各批次的供货。</w:t>
      </w:r>
    </w:p>
    <w:p w14:paraId="456B169A">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10.供货商在合同履行过程中若出现违约情形的，采购人有权解除合同；若供货商违约行为给采购人造成损失的，还需另行赔偿。上述赔偿金额，采购人有权从供货商结款中直接扣除。</w:t>
      </w:r>
    </w:p>
    <w:p w14:paraId="52B61AD3">
      <w:pPr>
        <w:spacing w:line="460" w:lineRule="exact"/>
        <w:ind w:firstLine="482" w:firstLineChars="200"/>
        <w:rPr>
          <w:rFonts w:hint="eastAsia" w:ascii="仿宋_GB2312" w:hAnsi="仿宋_GB2312" w:eastAsia="仿宋_GB2312" w:cs="仿宋_GB2312"/>
          <w:highlight w:val="none"/>
        </w:rPr>
      </w:pPr>
      <w:r>
        <w:rPr>
          <w:rFonts w:hint="eastAsia" w:ascii="仿宋_GB2312" w:hAnsi="仿宋_GB2312" w:eastAsia="仿宋_GB2312" w:cs="仿宋_GB2312"/>
          <w:b/>
          <w:sz w:val="24"/>
          <w:szCs w:val="24"/>
          <w:highlight w:val="none"/>
        </w:rPr>
        <w:t>六、从入围苗木供应单位中选取供货商的方式：</w:t>
      </w:r>
    </w:p>
    <w:p w14:paraId="62632C66">
      <w:pPr>
        <w:spacing w:line="4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采购人根据实际需要在询价平台公开询价，入围供应单位在平台报价，总价最低者确定为标的供货商。</w:t>
      </w:r>
    </w:p>
    <w:p w14:paraId="2AF79AA2">
      <w:pPr>
        <w:spacing w:line="460" w:lineRule="exact"/>
        <w:ind w:firstLine="482" w:firstLineChars="20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七、付款方式：</w:t>
      </w:r>
    </w:p>
    <w:p w14:paraId="4AB1D80B">
      <w:pPr>
        <w:spacing w:line="460" w:lineRule="exact"/>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采购的苗木到场并验收合格后，年底前付当年苗木款的50%，第二年年底前至全款的80%，剩余20%尾款于第三年年底前无息付清。采购人可采用现金、商业承兑汇票等方式结算苗木款。</w:t>
      </w:r>
    </w:p>
    <w:p w14:paraId="348C6B68">
      <w:pPr>
        <w:pStyle w:val="2"/>
        <w:rPr>
          <w:rFonts w:hint="eastAsia" w:ascii="仿宋_GB2312" w:hAnsi="仿宋_GB2312" w:eastAsia="仿宋_GB2312" w:cs="仿宋_GB2312"/>
          <w:highlight w:val="none"/>
          <w:lang w:eastAsia="zh-CN"/>
        </w:rPr>
      </w:pPr>
    </w:p>
    <w:p w14:paraId="54AC7D53">
      <w:pPr>
        <w:pStyle w:val="2"/>
        <w:rPr>
          <w:rFonts w:hint="eastAsia" w:ascii="仿宋_GB2312" w:hAnsi="仿宋_GB2312" w:eastAsia="仿宋_GB2312" w:cs="仿宋_GB2312"/>
          <w:highlight w:val="none"/>
          <w:lang w:eastAsia="zh-CN"/>
        </w:rPr>
      </w:pPr>
    </w:p>
    <w:p w14:paraId="49257654">
      <w:pPr>
        <w:pStyle w:val="2"/>
        <w:rPr>
          <w:rFonts w:hint="eastAsia" w:ascii="仿宋_GB2312" w:hAnsi="仿宋_GB2312" w:eastAsia="仿宋_GB2312" w:cs="仿宋_GB2312"/>
          <w:highlight w:val="none"/>
          <w:lang w:eastAsia="zh-CN"/>
        </w:rPr>
      </w:pPr>
    </w:p>
    <w:p w14:paraId="4C630797">
      <w:pPr>
        <w:pStyle w:val="2"/>
        <w:rPr>
          <w:rFonts w:hint="eastAsia" w:ascii="仿宋_GB2312" w:hAnsi="仿宋_GB2312" w:eastAsia="仿宋_GB2312" w:cs="仿宋_GB2312"/>
          <w:highlight w:val="none"/>
          <w:lang w:eastAsia="zh-CN"/>
        </w:rPr>
      </w:pPr>
    </w:p>
    <w:p w14:paraId="1DACCF23">
      <w:pPr>
        <w:pStyle w:val="2"/>
        <w:rPr>
          <w:rFonts w:hint="eastAsia" w:ascii="仿宋_GB2312" w:hAnsi="仿宋_GB2312" w:eastAsia="仿宋_GB2312" w:cs="仿宋_GB2312"/>
          <w:highlight w:val="none"/>
          <w:lang w:eastAsia="zh-CN"/>
        </w:rPr>
      </w:pPr>
    </w:p>
    <w:p w14:paraId="42157AD2">
      <w:pPr>
        <w:pStyle w:val="2"/>
        <w:rPr>
          <w:rFonts w:hint="eastAsia" w:ascii="仿宋_GB2312" w:hAnsi="仿宋_GB2312" w:eastAsia="仿宋_GB2312" w:cs="仿宋_GB2312"/>
          <w:highlight w:val="none"/>
          <w:lang w:eastAsia="zh-CN"/>
        </w:rPr>
      </w:pPr>
    </w:p>
    <w:p w14:paraId="5C27521D">
      <w:pPr>
        <w:pStyle w:val="2"/>
        <w:rPr>
          <w:rFonts w:hint="eastAsia" w:ascii="仿宋_GB2312" w:hAnsi="仿宋_GB2312" w:eastAsia="仿宋_GB2312" w:cs="仿宋_GB2312"/>
          <w:highlight w:val="none"/>
          <w:lang w:eastAsia="zh-CN"/>
        </w:rPr>
      </w:pPr>
    </w:p>
    <w:p w14:paraId="4122E758">
      <w:pPr>
        <w:pStyle w:val="2"/>
        <w:rPr>
          <w:rFonts w:hint="eastAsia" w:ascii="仿宋_GB2312" w:hAnsi="仿宋_GB2312" w:eastAsia="仿宋_GB2312" w:cs="仿宋_GB2312"/>
          <w:highlight w:val="none"/>
          <w:lang w:eastAsia="zh-CN"/>
        </w:rPr>
      </w:pPr>
    </w:p>
    <w:p w14:paraId="068ED8A4">
      <w:pPr>
        <w:pStyle w:val="2"/>
        <w:rPr>
          <w:rFonts w:hint="eastAsia" w:ascii="仿宋_GB2312" w:hAnsi="仿宋_GB2312" w:eastAsia="仿宋_GB2312" w:cs="仿宋_GB2312"/>
          <w:highlight w:val="none"/>
          <w:lang w:eastAsia="zh-CN"/>
        </w:rPr>
      </w:pPr>
    </w:p>
    <w:p w14:paraId="2F7FE5F1">
      <w:pPr>
        <w:pStyle w:val="2"/>
        <w:rPr>
          <w:rFonts w:hint="eastAsia" w:ascii="仿宋_GB2312" w:hAnsi="仿宋_GB2312" w:eastAsia="仿宋_GB2312" w:cs="仿宋_GB2312"/>
          <w:highlight w:val="none"/>
          <w:lang w:eastAsia="zh-CN"/>
        </w:rPr>
      </w:pPr>
    </w:p>
    <w:p w14:paraId="7D274BE3">
      <w:pPr>
        <w:pStyle w:val="2"/>
        <w:rPr>
          <w:rFonts w:hint="eastAsia" w:ascii="仿宋_GB2312" w:hAnsi="仿宋_GB2312" w:eastAsia="仿宋_GB2312" w:cs="仿宋_GB2312"/>
          <w:highlight w:val="none"/>
          <w:lang w:eastAsia="zh-CN"/>
        </w:rPr>
      </w:pPr>
    </w:p>
    <w:p w14:paraId="068E0A38">
      <w:pPr>
        <w:pStyle w:val="2"/>
        <w:rPr>
          <w:rFonts w:hint="eastAsia" w:ascii="仿宋_GB2312" w:hAnsi="仿宋_GB2312" w:eastAsia="仿宋_GB2312" w:cs="仿宋_GB2312"/>
          <w:highlight w:val="none"/>
          <w:lang w:eastAsia="zh-CN"/>
        </w:rPr>
      </w:pPr>
    </w:p>
    <w:p w14:paraId="316E344A">
      <w:pPr>
        <w:pStyle w:val="2"/>
        <w:rPr>
          <w:rFonts w:hint="eastAsia" w:ascii="仿宋_GB2312" w:hAnsi="仿宋_GB2312" w:eastAsia="仿宋_GB2312" w:cs="仿宋_GB2312"/>
          <w:highlight w:val="none"/>
          <w:lang w:eastAsia="zh-CN"/>
        </w:rPr>
      </w:pPr>
    </w:p>
    <w:p w14:paraId="054FC2A8">
      <w:pPr>
        <w:pStyle w:val="3"/>
        <w:rPr>
          <w:rFonts w:hint="eastAsia" w:ascii="仿宋_GB2312" w:hAnsi="仿宋_GB2312" w:eastAsia="仿宋_GB2312" w:cs="仿宋_GB2312"/>
          <w:b/>
          <w:sz w:val="44"/>
          <w:szCs w:val="44"/>
          <w:highlight w:val="none"/>
        </w:rPr>
      </w:pPr>
      <w:bookmarkStart w:id="4" w:name="_Toc199927044"/>
      <w:r>
        <w:rPr>
          <w:rFonts w:hint="eastAsia" w:ascii="仿宋_GB2312" w:hAnsi="仿宋_GB2312" w:eastAsia="仿宋_GB2312" w:cs="仿宋_GB2312"/>
          <w:b/>
          <w:sz w:val="44"/>
          <w:szCs w:val="44"/>
          <w:highlight w:val="none"/>
        </w:rPr>
        <w:t>第四章  评标、定标</w:t>
      </w:r>
      <w:bookmarkEnd w:id="4"/>
    </w:p>
    <w:p w14:paraId="594233BA">
      <w:pPr>
        <w:snapToGrid w:val="0"/>
        <w:spacing w:line="360" w:lineRule="auto"/>
        <w:ind w:firstLine="480" w:firstLineChars="200"/>
        <w:jc w:val="left"/>
        <w:rPr>
          <w:rFonts w:hint="eastAsia" w:ascii="仿宋_GB2312" w:hAnsi="仿宋_GB2312" w:eastAsia="仿宋_GB2312" w:cs="仿宋_GB2312"/>
          <w:sz w:val="24"/>
          <w:szCs w:val="24"/>
          <w:highlight w:val="none"/>
        </w:rPr>
      </w:pPr>
    </w:p>
    <w:p w14:paraId="77562108">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一、评标原则</w:t>
      </w:r>
    </w:p>
    <w:p w14:paraId="65E70F0B">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“公平、公正、科学、择优”为本次评标的基本原则，评标委员会将按照这一原则的要求，公正、平等地对待各投标人，同时，在评标时恪守以下原则：</w:t>
      </w:r>
    </w:p>
    <w:p w14:paraId="43E42A8C">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1.客观性原则：评标委员会将严格按照招标文件的要求，对投标人的投标文件进行认真评审，评标委员会对投标文件的评审仅依据投标文件本身，而不依靠投标文件以外的任何因素。</w:t>
      </w:r>
    </w:p>
    <w:p w14:paraId="3F8245D3">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2.统一性原则：评标委员会将按照统一的评标原则和评标方法，采用统一标准进行评标。</w:t>
      </w:r>
    </w:p>
    <w:p w14:paraId="11806D52">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3.独立性原则：评标工作在评标委员会内部独立进行，不受外界任何因素的干扰和影响。</w:t>
      </w:r>
    </w:p>
    <w:p w14:paraId="3E5A3088">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4.保密性原则：评标委员会及熟知情况的有关工作人员必须对每位评委的评标意见和投标人的商业秘密严格保密，不得外泄。</w:t>
      </w:r>
    </w:p>
    <w:p w14:paraId="444D94FF">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5.综合性原则：评标委员会将综合分析、评审投标人的各项指标，而不以单项指标的优劣评定出中标人。</w:t>
      </w:r>
    </w:p>
    <w:p w14:paraId="2D1AB471">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二、评标程序</w:t>
      </w:r>
    </w:p>
    <w:p w14:paraId="2226BD8B">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 xml:space="preserve">1. </w:t>
      </w:r>
      <w:r>
        <w:rPr>
          <w:rFonts w:hint="eastAsia" w:ascii="仿宋_GB2312" w:hAnsi="仿宋_GB2312" w:eastAsia="仿宋_GB2312" w:cs="仿宋_GB2312"/>
          <w:bCs/>
          <w:sz w:val="24"/>
          <w:szCs w:val="28"/>
          <w:highlight w:val="none"/>
        </w:rPr>
        <w:t>评标委员会将按照招标文件的规定对投标文件进行资格性和符合性审查，以确定投标文件的有效性</w:t>
      </w:r>
      <w:r>
        <w:rPr>
          <w:rFonts w:hint="eastAsia" w:ascii="仿宋_GB2312" w:hAnsi="仿宋_GB2312" w:eastAsia="仿宋_GB2312" w:cs="仿宋_GB2312"/>
          <w:sz w:val="24"/>
          <w:szCs w:val="28"/>
          <w:highlight w:val="none"/>
        </w:rPr>
        <w:t>。</w:t>
      </w:r>
    </w:p>
    <w:p w14:paraId="6996B4C7">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2. 不允许偏离的实质性要求和条件（出现下列情形之一的，视为对招标文件未做出实质性响应，按照无效投标处理）：</w:t>
      </w:r>
    </w:p>
    <w:p w14:paraId="025894D1">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(1)投标文件不完整的；</w:t>
      </w:r>
    </w:p>
    <w:p w14:paraId="083E7D58">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(2)未按规定提交投标保证金的；</w:t>
      </w:r>
    </w:p>
    <w:p w14:paraId="265C11B2">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(3)资质、资格证明文件不完整或不符合要求的；</w:t>
      </w:r>
    </w:p>
    <w:p w14:paraId="2F4AA078">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(4)投标文件未按规定签署及盖章的；</w:t>
      </w:r>
    </w:p>
    <w:p w14:paraId="17DCFACC">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(5)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w:t>
      </w:r>
    </w:p>
    <w:p w14:paraId="01ACF9DD">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(6)投标人的法定代表人或授权代表不在规定时间内答疑或澄清的；</w:t>
      </w:r>
    </w:p>
    <w:p w14:paraId="7DA0CC0C">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(7)投标有效期比招标文件规定短的；</w:t>
      </w:r>
    </w:p>
    <w:p w14:paraId="42D5F314">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(8)报价、服务方案及售后服务承诺等不能满足招标文件要求的；</w:t>
      </w:r>
    </w:p>
    <w:p w14:paraId="5E0C4A06">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(9)不同投标人单位负责人为同一人或者存在直接控股、管理关系的；</w:t>
      </w:r>
    </w:p>
    <w:p w14:paraId="65F0737C">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(10)投标文件含有招标人不能接受的附加条件的；</w:t>
      </w:r>
    </w:p>
    <w:p w14:paraId="558AE54B">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(11)评标委员会认为不符合招标文件其他实质性要求或法律规定的。</w:t>
      </w:r>
    </w:p>
    <w:p w14:paraId="27D383C8">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14:paraId="4B7C1043">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4.询标和澄清</w:t>
      </w:r>
    </w:p>
    <w:p w14:paraId="0413B273">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DBD72AC">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(2)投标人依据评审要求进行澄清、说明或者补正的内容构成投标文件的组成部分。</w:t>
      </w:r>
    </w:p>
    <w:p w14:paraId="4ABB831F">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5.比较与评价</w:t>
      </w:r>
    </w:p>
    <w:p w14:paraId="44D7B7E4">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评标委员会按招标文件中规定的评标方法和评标标准对有效投标文件的商务和技术进行评估，综合比较和评价，按综合得分高低列出排序表，若总分相同，以报价得分高的排前；若总分、价格得分都相同，则以管理运营方面得分高的排前。</w:t>
      </w:r>
    </w:p>
    <w:p w14:paraId="58DCFBB3">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6.出现下列情况之一的，均予以废标</w:t>
      </w:r>
    </w:p>
    <w:p w14:paraId="5B54BBC2">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(1)合格的投标人不足三家的；</w:t>
      </w:r>
    </w:p>
    <w:p w14:paraId="65A1826A">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(2)出现影响采购公正的违法、违规行为的；</w:t>
      </w:r>
    </w:p>
    <w:p w14:paraId="0AF01F51">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(3)因重大变故，采购任务取消的。</w:t>
      </w:r>
    </w:p>
    <w:p w14:paraId="52088550">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7.评标方法</w:t>
      </w:r>
    </w:p>
    <w:p w14:paraId="767CD271">
      <w:pPr>
        <w:snapToGrid w:val="0"/>
        <w:spacing w:line="360" w:lineRule="auto"/>
        <w:ind w:firstLine="480" w:firstLineChars="200"/>
        <w:jc w:val="left"/>
        <w:rPr>
          <w:rFonts w:hint="eastAsia" w:ascii="仿宋_GB2312" w:hAnsi="仿宋_GB2312" w:eastAsia="仿宋_GB2312" w:cs="仿宋_GB2312"/>
          <w:sz w:val="24"/>
          <w:szCs w:val="28"/>
          <w:highlight w:val="none"/>
        </w:rPr>
      </w:pPr>
      <w:r>
        <w:rPr>
          <w:rFonts w:hint="eastAsia" w:ascii="仿宋_GB2312" w:hAnsi="仿宋_GB2312" w:eastAsia="仿宋_GB2312" w:cs="仿宋_GB2312"/>
          <w:sz w:val="24"/>
          <w:szCs w:val="28"/>
          <w:highlight w:val="none"/>
        </w:rPr>
        <w:t>(1)评标方法：综合评分法，即投标人的投标文件满足招标文件全部实质性要求，对评审因素的量化指标进行打分，按照综合得分由高到低的顺序确定投标人排序。</w:t>
      </w:r>
    </w:p>
    <w:p w14:paraId="56BDFE20">
      <w:pPr>
        <w:snapToGrid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(2)评标细则：</w:t>
      </w:r>
    </w:p>
    <w:tbl>
      <w:tblPr>
        <w:tblStyle w:val="43"/>
        <w:tblW w:w="9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992"/>
        <w:gridCol w:w="6804"/>
      </w:tblGrid>
      <w:tr w14:paraId="7DD6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476" w:type="dxa"/>
            <w:vAlign w:val="center"/>
          </w:tcPr>
          <w:p w14:paraId="585E34FF">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评分项目</w:t>
            </w:r>
          </w:p>
        </w:tc>
        <w:tc>
          <w:tcPr>
            <w:tcW w:w="992" w:type="dxa"/>
            <w:vAlign w:val="center"/>
          </w:tcPr>
          <w:p w14:paraId="32A10FC3">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分值</w:t>
            </w:r>
          </w:p>
        </w:tc>
        <w:tc>
          <w:tcPr>
            <w:tcW w:w="6804" w:type="dxa"/>
            <w:vAlign w:val="center"/>
          </w:tcPr>
          <w:p w14:paraId="57A7DB2C">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评分标准</w:t>
            </w:r>
          </w:p>
        </w:tc>
      </w:tr>
      <w:tr w14:paraId="07F7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476" w:type="dxa"/>
            <w:vAlign w:val="center"/>
          </w:tcPr>
          <w:p w14:paraId="2290E350">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sz w:val="24"/>
                <w:szCs w:val="24"/>
                <w:highlight w:val="none"/>
                <w:lang w:val="en-US" w:eastAsia="zh-CN"/>
              </w:rPr>
              <w:t>企业实力及</w:t>
            </w:r>
            <w:r>
              <w:rPr>
                <w:rFonts w:hint="eastAsia" w:ascii="仿宋_GB2312" w:hAnsi="仿宋_GB2312" w:eastAsia="仿宋_GB2312" w:cs="仿宋_GB2312"/>
                <w:sz w:val="24"/>
                <w:szCs w:val="24"/>
                <w:highlight w:val="none"/>
              </w:rPr>
              <w:t>优势说明</w:t>
            </w:r>
          </w:p>
        </w:tc>
        <w:tc>
          <w:tcPr>
            <w:tcW w:w="992" w:type="dxa"/>
            <w:vAlign w:val="center"/>
          </w:tcPr>
          <w:p w14:paraId="1C02489D">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20</w:t>
            </w:r>
          </w:p>
        </w:tc>
        <w:tc>
          <w:tcPr>
            <w:tcW w:w="6804" w:type="dxa"/>
          </w:tcPr>
          <w:p w14:paraId="3E073BB1">
            <w:pPr>
              <w:spacing w:line="480" w:lineRule="exact"/>
              <w:ind w:firstLine="9" w:firstLineChars="4"/>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由评委根据投标人所报的企业基本情况、履约能力、承揽项目能力及社会荣誉等资信情况等方面在1分-20分之间进行酌情打分。</w:t>
            </w:r>
          </w:p>
          <w:p w14:paraId="41D8D199">
            <w:pPr>
              <w:spacing w:line="480" w:lineRule="exact"/>
              <w:ind w:firstLine="9" w:firstLineChars="4"/>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注：未提供者此项不得分。</w:t>
            </w:r>
          </w:p>
        </w:tc>
      </w:tr>
      <w:tr w14:paraId="383E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476" w:type="dxa"/>
            <w:vAlign w:val="center"/>
          </w:tcPr>
          <w:p w14:paraId="2F8121C3">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业绩</w:t>
            </w:r>
          </w:p>
        </w:tc>
        <w:tc>
          <w:tcPr>
            <w:tcW w:w="992" w:type="dxa"/>
            <w:vAlign w:val="center"/>
          </w:tcPr>
          <w:p w14:paraId="4506C851">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10</w:t>
            </w:r>
          </w:p>
        </w:tc>
        <w:tc>
          <w:tcPr>
            <w:tcW w:w="6804" w:type="dxa"/>
          </w:tcPr>
          <w:p w14:paraId="2783FBA3">
            <w:pPr>
              <w:spacing w:line="480" w:lineRule="exact"/>
              <w:ind w:firstLine="9" w:firstLineChars="4"/>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投标人自2023年1月1日至投标截止时间所承揽的类似项目业绩，本项最高得10分。</w:t>
            </w:r>
          </w:p>
          <w:p w14:paraId="7BABF7DB">
            <w:pPr>
              <w:spacing w:line="480" w:lineRule="exact"/>
              <w:ind w:firstLine="9" w:firstLineChars="4"/>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（1）单项合同额≤20万元每项得0.5分；</w:t>
            </w:r>
          </w:p>
          <w:p w14:paraId="4175304E">
            <w:pPr>
              <w:spacing w:line="480" w:lineRule="exact"/>
              <w:ind w:firstLine="9" w:firstLineChars="4"/>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（2）20万元＜单项合同额＜50万元每项得1分；</w:t>
            </w:r>
          </w:p>
          <w:p w14:paraId="1B674B66">
            <w:pPr>
              <w:spacing w:line="480" w:lineRule="exact"/>
              <w:ind w:firstLine="9" w:firstLineChars="4"/>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（3）单项合同额≥50万元每项得1.5分。</w:t>
            </w:r>
          </w:p>
          <w:p w14:paraId="0F59AFBC">
            <w:pPr>
              <w:spacing w:line="480" w:lineRule="exact"/>
              <w:ind w:firstLine="9" w:firstLineChars="4"/>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注：</w:t>
            </w:r>
          </w:p>
          <w:p w14:paraId="1C950B82">
            <w:pPr>
              <w:spacing w:line="480" w:lineRule="exact"/>
              <w:ind w:firstLine="9" w:firstLineChars="4"/>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1、需</w:t>
            </w:r>
            <w:r>
              <w:rPr>
                <w:rFonts w:hint="eastAsia" w:ascii="仿宋_GB2312" w:hAnsi="仿宋_GB2312" w:eastAsia="仿宋_GB2312" w:cs="仿宋_GB2312"/>
                <w:bCs/>
                <w:sz w:val="24"/>
                <w:szCs w:val="24"/>
                <w:highlight w:val="none"/>
                <w:shd w:val="clear" w:color="auto" w:fill="FFFFFF"/>
                <w:lang w:val="en-US" w:eastAsia="zh-CN"/>
              </w:rPr>
              <w:t>提供合同原件扫描件（扫描件不清晰或者未在要求时间范围内的视为无效证明材料，不予计分）</w:t>
            </w:r>
            <w:r>
              <w:rPr>
                <w:rFonts w:hint="eastAsia" w:ascii="仿宋_GB2312" w:hAnsi="仿宋_GB2312" w:eastAsia="仿宋_GB2312" w:cs="仿宋_GB2312"/>
                <w:bCs/>
                <w:sz w:val="24"/>
                <w:szCs w:val="24"/>
                <w:highlight w:val="none"/>
                <w:shd w:val="clear" w:color="auto" w:fill="FFFFFF"/>
              </w:rPr>
              <w:t>，合同扫描件应能体现履约合同各方名称、项目名称及项目主要工作内容、合同额、各方盖章页、合同签订时间，时间以合同签订时间为准，否则不得分。</w:t>
            </w:r>
          </w:p>
          <w:p w14:paraId="2EE56285">
            <w:pPr>
              <w:spacing w:line="480" w:lineRule="exact"/>
              <w:ind w:firstLine="9" w:firstLineChars="4"/>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2、类似项目业绩指：能体现同类供货内容的项目。</w:t>
            </w:r>
          </w:p>
        </w:tc>
      </w:tr>
      <w:tr w14:paraId="7D3F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476" w:type="dxa"/>
            <w:vAlign w:val="center"/>
          </w:tcPr>
          <w:p w14:paraId="43145477">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苗木质量标准及保证措施</w:t>
            </w:r>
          </w:p>
        </w:tc>
        <w:tc>
          <w:tcPr>
            <w:tcW w:w="992" w:type="dxa"/>
            <w:vAlign w:val="center"/>
          </w:tcPr>
          <w:p w14:paraId="5B423246">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40</w:t>
            </w:r>
          </w:p>
        </w:tc>
        <w:tc>
          <w:tcPr>
            <w:tcW w:w="6804" w:type="dxa"/>
            <w:vAlign w:val="center"/>
          </w:tcPr>
          <w:p w14:paraId="3E93A40D">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投标人提供的所有苗木应保证能够适应威海地区的土壤和气候条件，且生长良好、根系完好发达、无病虫害、树形丰满、枝条均匀、全株无任何损伤，并提供对应的质量保证措施等。由评委审核各投标人的苗木质量标准及保证措施后按以下标准进行打分：</w:t>
            </w:r>
          </w:p>
          <w:p w14:paraId="7E452C15">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【2</w:t>
            </w:r>
            <w:r>
              <w:rPr>
                <w:rFonts w:hint="eastAsia" w:ascii="仿宋_GB2312" w:hAnsi="仿宋_GB2312" w:eastAsia="仿宋_GB2312" w:cs="仿宋_GB2312"/>
                <w:bCs/>
                <w:sz w:val="24"/>
                <w:szCs w:val="24"/>
                <w:highlight w:val="none"/>
                <w:shd w:val="clear" w:color="auto" w:fill="FFFFFF"/>
                <w:lang w:val="en-US" w:eastAsia="zh-CN"/>
              </w:rPr>
              <w:t>6.1</w:t>
            </w:r>
            <w:r>
              <w:rPr>
                <w:rFonts w:hint="eastAsia" w:ascii="仿宋_GB2312" w:hAnsi="仿宋_GB2312" w:eastAsia="仿宋_GB2312" w:cs="仿宋_GB2312"/>
                <w:bCs/>
                <w:sz w:val="24"/>
                <w:szCs w:val="24"/>
                <w:highlight w:val="none"/>
                <w:shd w:val="clear" w:color="auto" w:fill="FFFFFF"/>
              </w:rPr>
              <w:t>分-40分】：投标人提报的苗木质量标准及保证措施详细、完善，可行性高。</w:t>
            </w:r>
          </w:p>
          <w:p w14:paraId="362D8620">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【1</w:t>
            </w:r>
            <w:r>
              <w:rPr>
                <w:rFonts w:hint="eastAsia" w:ascii="仿宋_GB2312" w:hAnsi="仿宋_GB2312" w:eastAsia="仿宋_GB2312" w:cs="仿宋_GB2312"/>
                <w:bCs/>
                <w:sz w:val="24"/>
                <w:szCs w:val="24"/>
                <w:highlight w:val="none"/>
                <w:shd w:val="clear" w:color="auto" w:fill="FFFFFF"/>
                <w:lang w:val="en-US" w:eastAsia="zh-CN"/>
              </w:rPr>
              <w:t>3.1</w:t>
            </w:r>
            <w:r>
              <w:rPr>
                <w:rFonts w:hint="eastAsia" w:ascii="仿宋_GB2312" w:hAnsi="仿宋_GB2312" w:eastAsia="仿宋_GB2312" w:cs="仿宋_GB2312"/>
                <w:bCs/>
                <w:sz w:val="24"/>
                <w:szCs w:val="24"/>
                <w:highlight w:val="none"/>
                <w:shd w:val="clear" w:color="auto" w:fill="FFFFFF"/>
              </w:rPr>
              <w:t>分-2</w:t>
            </w:r>
            <w:r>
              <w:rPr>
                <w:rFonts w:hint="eastAsia" w:ascii="仿宋_GB2312" w:hAnsi="仿宋_GB2312" w:eastAsia="仿宋_GB2312" w:cs="仿宋_GB2312"/>
                <w:bCs/>
                <w:sz w:val="24"/>
                <w:szCs w:val="24"/>
                <w:highlight w:val="none"/>
                <w:shd w:val="clear" w:color="auto" w:fill="FFFFFF"/>
                <w:lang w:val="en-US" w:eastAsia="zh-CN"/>
              </w:rPr>
              <w:t>6</w:t>
            </w:r>
            <w:r>
              <w:rPr>
                <w:rFonts w:hint="eastAsia" w:ascii="仿宋_GB2312" w:hAnsi="仿宋_GB2312" w:eastAsia="仿宋_GB2312" w:cs="仿宋_GB2312"/>
                <w:bCs/>
                <w:sz w:val="24"/>
                <w:szCs w:val="24"/>
                <w:highlight w:val="none"/>
                <w:shd w:val="clear" w:color="auto" w:fill="FFFFFF"/>
              </w:rPr>
              <w:t>分（含）】：投标人提报的苗木质量标准及保证措施合理，可行性较高。</w:t>
            </w:r>
          </w:p>
          <w:p w14:paraId="0D012853">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w:t>
            </w:r>
            <w:r>
              <w:rPr>
                <w:rFonts w:hint="eastAsia" w:ascii="仿宋_GB2312" w:hAnsi="仿宋_GB2312" w:eastAsia="仿宋_GB2312" w:cs="仿宋_GB2312"/>
                <w:bCs/>
                <w:sz w:val="24"/>
                <w:szCs w:val="24"/>
                <w:highlight w:val="none"/>
                <w:shd w:val="clear" w:color="auto" w:fill="FFFFFF"/>
                <w:lang w:val="en-US" w:eastAsia="zh-CN"/>
              </w:rPr>
              <w:t>0</w:t>
            </w:r>
            <w:r>
              <w:rPr>
                <w:rFonts w:hint="eastAsia" w:ascii="仿宋_GB2312" w:hAnsi="仿宋_GB2312" w:eastAsia="仿宋_GB2312" w:cs="仿宋_GB2312"/>
                <w:bCs/>
                <w:sz w:val="24"/>
                <w:szCs w:val="24"/>
                <w:highlight w:val="none"/>
                <w:shd w:val="clear" w:color="auto" w:fill="FFFFFF"/>
              </w:rPr>
              <w:t>分-13分（含）】：投标人提报的的苗木质量标准及保证措施仅能满足基本要求。</w:t>
            </w:r>
          </w:p>
          <w:p w14:paraId="284FC577">
            <w:pPr>
              <w:spacing w:line="48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bCs/>
                <w:sz w:val="24"/>
                <w:szCs w:val="24"/>
                <w:highlight w:val="none"/>
                <w:shd w:val="clear" w:color="auto" w:fill="FFFFFF"/>
              </w:rPr>
              <w:t>注：未提供者此项不得分。</w:t>
            </w:r>
          </w:p>
        </w:tc>
      </w:tr>
      <w:tr w14:paraId="374A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476" w:type="dxa"/>
            <w:vAlign w:val="center"/>
          </w:tcPr>
          <w:p w14:paraId="66C2E713">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供货方案</w:t>
            </w:r>
          </w:p>
        </w:tc>
        <w:tc>
          <w:tcPr>
            <w:tcW w:w="992" w:type="dxa"/>
            <w:vAlign w:val="center"/>
          </w:tcPr>
          <w:p w14:paraId="7BF83EC3">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20</w:t>
            </w:r>
          </w:p>
        </w:tc>
        <w:tc>
          <w:tcPr>
            <w:tcW w:w="6804" w:type="dxa"/>
            <w:vAlign w:val="center"/>
          </w:tcPr>
          <w:p w14:paraId="15B6C19D">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由评委审核各投标人的供货方案内容、响应时间及运输时间、送货人员和配备的交通设施数量等，按以下标准进行打分：</w:t>
            </w:r>
          </w:p>
          <w:p w14:paraId="2E9D45E8">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【1</w:t>
            </w:r>
            <w:r>
              <w:rPr>
                <w:rFonts w:hint="eastAsia" w:ascii="仿宋_GB2312" w:hAnsi="仿宋_GB2312" w:eastAsia="仿宋_GB2312" w:cs="仿宋_GB2312"/>
                <w:bCs/>
                <w:sz w:val="24"/>
                <w:szCs w:val="24"/>
                <w:highlight w:val="none"/>
                <w:shd w:val="clear" w:color="auto" w:fill="FFFFFF"/>
                <w:lang w:val="en-US" w:eastAsia="zh-CN"/>
              </w:rPr>
              <w:t>5.1</w:t>
            </w:r>
            <w:r>
              <w:rPr>
                <w:rFonts w:hint="eastAsia" w:ascii="仿宋_GB2312" w:hAnsi="仿宋_GB2312" w:eastAsia="仿宋_GB2312" w:cs="仿宋_GB2312"/>
                <w:bCs/>
                <w:sz w:val="24"/>
                <w:szCs w:val="24"/>
                <w:highlight w:val="none"/>
                <w:shd w:val="clear" w:color="auto" w:fill="FFFFFF"/>
              </w:rPr>
              <w:t>分-20分】:投标人提报的供货方案内容完善，响应时间及运输时间迅速，送货人员和交通设施数量充足，能够很好的满足项目服务需要。</w:t>
            </w:r>
          </w:p>
          <w:p w14:paraId="653A6843">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【1</w:t>
            </w:r>
            <w:r>
              <w:rPr>
                <w:rFonts w:hint="eastAsia" w:ascii="仿宋_GB2312" w:hAnsi="仿宋_GB2312" w:eastAsia="仿宋_GB2312" w:cs="仿宋_GB2312"/>
                <w:bCs/>
                <w:sz w:val="24"/>
                <w:szCs w:val="24"/>
                <w:highlight w:val="none"/>
                <w:shd w:val="clear" w:color="auto" w:fill="FFFFFF"/>
                <w:lang w:val="en-US" w:eastAsia="zh-CN"/>
              </w:rPr>
              <w:t>0.1</w:t>
            </w:r>
            <w:r>
              <w:rPr>
                <w:rFonts w:hint="eastAsia" w:ascii="仿宋_GB2312" w:hAnsi="仿宋_GB2312" w:eastAsia="仿宋_GB2312" w:cs="仿宋_GB2312"/>
                <w:bCs/>
                <w:sz w:val="24"/>
                <w:szCs w:val="24"/>
                <w:highlight w:val="none"/>
                <w:shd w:val="clear" w:color="auto" w:fill="FFFFFF"/>
              </w:rPr>
              <w:t>分-15分（含）】:投标人提报的供货方案内容全面，响应时间及运输时间及时，送货人员和交通设施数量比较充足，能够满足项目服务需要。</w:t>
            </w:r>
          </w:p>
          <w:p w14:paraId="10198844">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w:t>
            </w:r>
            <w:r>
              <w:rPr>
                <w:rFonts w:hint="eastAsia" w:ascii="仿宋_GB2312" w:hAnsi="仿宋_GB2312" w:eastAsia="仿宋_GB2312" w:cs="仿宋_GB2312"/>
                <w:bCs/>
                <w:sz w:val="24"/>
                <w:szCs w:val="24"/>
                <w:highlight w:val="none"/>
                <w:shd w:val="clear" w:color="auto" w:fill="FFFFFF"/>
                <w:lang w:val="en-US" w:eastAsia="zh-CN"/>
              </w:rPr>
              <w:t>0</w:t>
            </w:r>
            <w:r>
              <w:rPr>
                <w:rFonts w:hint="eastAsia" w:ascii="仿宋_GB2312" w:hAnsi="仿宋_GB2312" w:eastAsia="仿宋_GB2312" w:cs="仿宋_GB2312"/>
                <w:bCs/>
                <w:sz w:val="24"/>
                <w:szCs w:val="24"/>
                <w:highlight w:val="none"/>
                <w:shd w:val="clear" w:color="auto" w:fill="FFFFFF"/>
              </w:rPr>
              <w:t>分-10分（含）】:投标人提报的供货方案内容简单或有瑕疵，送货服务人员和交通设施仅能基本满足项目服务的需要。</w:t>
            </w:r>
          </w:p>
          <w:p w14:paraId="7D9D4881">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注：投标文件中需提供送货人员劳动合同和交通设施的所有权或使用权证明材料（自有或租赁均可），未提供者此项不得分。</w:t>
            </w:r>
          </w:p>
        </w:tc>
      </w:tr>
      <w:tr w14:paraId="40EA5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476" w:type="dxa"/>
            <w:vAlign w:val="center"/>
          </w:tcPr>
          <w:p w14:paraId="4AB4064B">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售后服务</w:t>
            </w:r>
          </w:p>
          <w:p w14:paraId="6E05CD8C">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承诺</w:t>
            </w:r>
          </w:p>
        </w:tc>
        <w:tc>
          <w:tcPr>
            <w:tcW w:w="992" w:type="dxa"/>
            <w:vAlign w:val="center"/>
          </w:tcPr>
          <w:p w14:paraId="3D08C835">
            <w:pPr>
              <w:spacing w:line="480" w:lineRule="exact"/>
              <w:jc w:val="center"/>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10</w:t>
            </w:r>
          </w:p>
        </w:tc>
        <w:tc>
          <w:tcPr>
            <w:tcW w:w="6804" w:type="dxa"/>
            <w:vAlign w:val="center"/>
          </w:tcPr>
          <w:p w14:paraId="44338304">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由评委审核各投标人的售后服务团队、服务方案、售后服务响应时间等按以下标准以进行打分：</w:t>
            </w:r>
          </w:p>
          <w:p w14:paraId="45DA2D31">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w:t>
            </w:r>
            <w:r>
              <w:rPr>
                <w:rFonts w:hint="eastAsia" w:ascii="仿宋_GB2312" w:hAnsi="仿宋_GB2312" w:eastAsia="仿宋_GB2312" w:cs="仿宋_GB2312"/>
                <w:bCs/>
                <w:sz w:val="24"/>
                <w:szCs w:val="24"/>
                <w:highlight w:val="none"/>
                <w:shd w:val="clear" w:color="auto" w:fill="FFFFFF"/>
                <w:lang w:val="en-US" w:eastAsia="zh-CN"/>
              </w:rPr>
              <w:t>6.1</w:t>
            </w:r>
            <w:r>
              <w:rPr>
                <w:rFonts w:hint="eastAsia" w:ascii="仿宋_GB2312" w:hAnsi="仿宋_GB2312" w:eastAsia="仿宋_GB2312" w:cs="仿宋_GB2312"/>
                <w:bCs/>
                <w:sz w:val="24"/>
                <w:szCs w:val="24"/>
                <w:highlight w:val="none"/>
                <w:shd w:val="clear" w:color="auto" w:fill="FFFFFF"/>
              </w:rPr>
              <w:t>分-10分】具有良好的售后服务团队，响应时间快速、服务方案周详；提供详尽的售后服务承诺和计划安排，提供多种额外的评委认为有价值的服务承诺，需提供有效证明。</w:t>
            </w:r>
          </w:p>
          <w:p w14:paraId="32ACEF77">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w:t>
            </w:r>
            <w:r>
              <w:rPr>
                <w:rFonts w:hint="eastAsia" w:ascii="仿宋_GB2312" w:hAnsi="仿宋_GB2312" w:eastAsia="仿宋_GB2312" w:cs="仿宋_GB2312"/>
                <w:bCs/>
                <w:sz w:val="24"/>
                <w:szCs w:val="24"/>
                <w:highlight w:val="none"/>
                <w:shd w:val="clear" w:color="auto" w:fill="FFFFFF"/>
                <w:lang w:val="en-US" w:eastAsia="zh-CN"/>
              </w:rPr>
              <w:t>3.1</w:t>
            </w:r>
            <w:r>
              <w:rPr>
                <w:rFonts w:hint="eastAsia" w:ascii="仿宋_GB2312" w:hAnsi="仿宋_GB2312" w:eastAsia="仿宋_GB2312" w:cs="仿宋_GB2312"/>
                <w:bCs/>
                <w:sz w:val="24"/>
                <w:szCs w:val="24"/>
                <w:highlight w:val="none"/>
                <w:shd w:val="clear" w:color="auto" w:fill="FFFFFF"/>
              </w:rPr>
              <w:t>分-6分（含）】售后服务方案较好，但服务水平等承诺的较低。</w:t>
            </w:r>
          </w:p>
          <w:p w14:paraId="3BF7AD29">
            <w:pPr>
              <w:spacing w:line="480" w:lineRule="exact"/>
              <w:rPr>
                <w:rFonts w:hint="eastAsia" w:ascii="仿宋_GB2312" w:hAnsi="仿宋_GB2312" w:eastAsia="仿宋_GB2312" w:cs="仿宋_GB2312"/>
                <w:bCs/>
                <w:sz w:val="24"/>
                <w:szCs w:val="24"/>
                <w:highlight w:val="none"/>
                <w:shd w:val="clear" w:color="auto" w:fill="FFFFFF"/>
              </w:rPr>
            </w:pPr>
            <w:r>
              <w:rPr>
                <w:rFonts w:hint="eastAsia" w:ascii="仿宋_GB2312" w:hAnsi="仿宋_GB2312" w:eastAsia="仿宋_GB2312" w:cs="仿宋_GB2312"/>
                <w:bCs/>
                <w:sz w:val="24"/>
                <w:szCs w:val="24"/>
                <w:highlight w:val="none"/>
                <w:shd w:val="clear" w:color="auto" w:fill="FFFFFF"/>
              </w:rPr>
              <w:t>【</w:t>
            </w:r>
            <w:r>
              <w:rPr>
                <w:rFonts w:hint="eastAsia" w:ascii="仿宋_GB2312" w:hAnsi="仿宋_GB2312" w:eastAsia="仿宋_GB2312" w:cs="仿宋_GB2312"/>
                <w:bCs/>
                <w:sz w:val="24"/>
                <w:szCs w:val="24"/>
                <w:highlight w:val="none"/>
                <w:shd w:val="clear" w:color="auto" w:fill="FFFFFF"/>
                <w:lang w:val="en-US" w:eastAsia="zh-CN"/>
              </w:rPr>
              <w:t>0</w:t>
            </w:r>
            <w:r>
              <w:rPr>
                <w:rFonts w:hint="eastAsia" w:ascii="仿宋_GB2312" w:hAnsi="仿宋_GB2312" w:eastAsia="仿宋_GB2312" w:cs="仿宋_GB2312"/>
                <w:bCs/>
                <w:sz w:val="24"/>
                <w:szCs w:val="24"/>
                <w:highlight w:val="none"/>
                <w:shd w:val="clear" w:color="auto" w:fill="FFFFFF"/>
              </w:rPr>
              <w:t>分-3分（含）】售后服务方案十分简陋或存在部分缺陷，承诺的服务水平很低。</w:t>
            </w:r>
          </w:p>
          <w:p w14:paraId="3C8951FB">
            <w:pPr>
              <w:spacing w:line="48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bCs/>
                <w:sz w:val="24"/>
                <w:szCs w:val="24"/>
                <w:highlight w:val="none"/>
                <w:shd w:val="clear" w:color="auto" w:fill="FFFFFF"/>
              </w:rPr>
              <w:t>注：未提供者此项不得分。</w:t>
            </w:r>
          </w:p>
        </w:tc>
      </w:tr>
    </w:tbl>
    <w:p w14:paraId="40D51B0F">
      <w:pPr>
        <w:pStyle w:val="2"/>
        <w:rPr>
          <w:rFonts w:hint="eastAsia" w:ascii="仿宋_GB2312" w:hAnsi="仿宋_GB2312" w:eastAsia="仿宋_GB2312" w:cs="仿宋_GB2312"/>
          <w:highlight w:val="none"/>
          <w:lang w:eastAsia="zh-CN"/>
        </w:rPr>
      </w:pPr>
    </w:p>
    <w:p w14:paraId="270190EA">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注：a、本细则只针对有效投标文件予以评分。</w:t>
      </w:r>
    </w:p>
    <w:p w14:paraId="537BA1C0">
      <w:pPr>
        <w:snapToGrid w:val="0"/>
        <w:spacing w:line="360" w:lineRule="auto"/>
        <w:ind w:firstLine="960" w:firstLine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b、</w:t>
      </w:r>
      <w:r>
        <w:rPr>
          <w:rFonts w:hint="eastAsia" w:ascii="仿宋_GB2312" w:hAnsi="仿宋_GB2312" w:eastAsia="仿宋_GB2312" w:cs="仿宋_GB2312"/>
          <w:bCs/>
          <w:sz w:val="24"/>
          <w:highlight w:val="none"/>
        </w:rPr>
        <w:t>汇总各评委打分进行算术平均，计算出各投标人的综合得分</w:t>
      </w:r>
      <w:r>
        <w:rPr>
          <w:rFonts w:hint="eastAsia" w:ascii="仿宋_GB2312" w:hAnsi="仿宋_GB2312" w:eastAsia="仿宋_GB2312" w:cs="仿宋_GB2312"/>
          <w:sz w:val="24"/>
          <w:szCs w:val="24"/>
          <w:highlight w:val="none"/>
        </w:rPr>
        <w:t>。</w:t>
      </w:r>
    </w:p>
    <w:p w14:paraId="1FB11442">
      <w:pPr>
        <w:snapToGrid w:val="0"/>
        <w:spacing w:line="360" w:lineRule="auto"/>
        <w:ind w:firstLine="960" w:firstLine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c、计算得分时，四舍五入保留至小数点后二位。</w:t>
      </w:r>
    </w:p>
    <w:p w14:paraId="29CC7EDE">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三、定标</w:t>
      </w:r>
    </w:p>
    <w:p w14:paraId="75BA05D3">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1、评委根据招标文件载明的评标细则进行综合评审，并按评审后得分由高到低顺序排列，将综合得分排序前</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的投标人确定为中标候选人。</w:t>
      </w:r>
    </w:p>
    <w:p w14:paraId="14842C89">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2、评标结束后，公示无异议确定中标候选人为中标人。如发现中标候选人存在与招标文件、投标文件不符或弄虚作假等其它违法行为，经招标人同意取消中标人资格，由排名次之的投标人中标，依次类推或重新招标。  </w:t>
      </w:r>
    </w:p>
    <w:p w14:paraId="5D158B32">
      <w:pPr>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3、评标结果将在威海市公共资源交易网（http://ggzyjy.weihai.cn/）、</w:t>
      </w:r>
    </w:p>
    <w:p w14:paraId="7B00800D">
      <w:pPr>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中国招标投标公共服务平台（http://www.cebpubservice.com/）、威海市环通产业投资集团有限公司官网招采平台（http://hcct.weihaihuancui.cn/Bid.html?rid=1&amp;cid=4#pgmd）发布予以公告。</w:t>
      </w:r>
    </w:p>
    <w:p w14:paraId="7D8BAF9F">
      <w:pPr>
        <w:pStyle w:val="18"/>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 xml:space="preserve">    4、</w:t>
      </w:r>
      <w:r>
        <w:rPr>
          <w:rFonts w:hint="eastAsia" w:ascii="仿宋_GB2312" w:hAnsi="仿宋_GB2312" w:eastAsia="仿宋_GB2312" w:cs="仿宋_GB2312"/>
          <w:bCs/>
          <w:sz w:val="24"/>
          <w:highlight w:val="none"/>
        </w:rPr>
        <w:t>评标结果公告后，由招标人和招标代理机构双方联合向中标人签发中标通知书。</w:t>
      </w:r>
    </w:p>
    <w:p w14:paraId="3AE92920">
      <w:pPr>
        <w:rPr>
          <w:rFonts w:hint="eastAsia" w:ascii="仿宋_GB2312" w:hAnsi="仿宋_GB2312" w:eastAsia="仿宋_GB2312" w:cs="仿宋_GB2312"/>
          <w:highlight w:val="none"/>
        </w:rPr>
      </w:pPr>
    </w:p>
    <w:p w14:paraId="7C16A369">
      <w:pPr>
        <w:rPr>
          <w:rFonts w:hint="eastAsia" w:ascii="仿宋_GB2312" w:hAnsi="仿宋_GB2312" w:eastAsia="仿宋_GB2312" w:cs="仿宋_GB2312"/>
          <w:highlight w:val="none"/>
        </w:rPr>
      </w:pPr>
    </w:p>
    <w:p w14:paraId="4CD4AACA">
      <w:pPr>
        <w:rPr>
          <w:rFonts w:hint="eastAsia" w:ascii="仿宋_GB2312" w:hAnsi="仿宋_GB2312" w:eastAsia="仿宋_GB2312" w:cs="仿宋_GB2312"/>
          <w:highlight w:val="none"/>
        </w:rPr>
      </w:pPr>
    </w:p>
    <w:p w14:paraId="60B43E14">
      <w:pPr>
        <w:rPr>
          <w:rFonts w:hint="eastAsia" w:ascii="仿宋_GB2312" w:hAnsi="仿宋_GB2312" w:eastAsia="仿宋_GB2312" w:cs="仿宋_GB2312"/>
          <w:highlight w:val="none"/>
        </w:rPr>
      </w:pPr>
    </w:p>
    <w:p w14:paraId="695DC68D">
      <w:pPr>
        <w:rPr>
          <w:rFonts w:hint="eastAsia" w:ascii="仿宋_GB2312" w:hAnsi="仿宋_GB2312" w:eastAsia="仿宋_GB2312" w:cs="仿宋_GB2312"/>
          <w:highlight w:val="none"/>
        </w:rPr>
      </w:pPr>
    </w:p>
    <w:p w14:paraId="6B7637F0">
      <w:pPr>
        <w:rPr>
          <w:rFonts w:hint="eastAsia" w:ascii="仿宋_GB2312" w:hAnsi="仿宋_GB2312" w:eastAsia="仿宋_GB2312" w:cs="仿宋_GB2312"/>
          <w:highlight w:val="none"/>
        </w:rPr>
      </w:pPr>
    </w:p>
    <w:p w14:paraId="4AC6C67C">
      <w:pPr>
        <w:pStyle w:val="2"/>
        <w:rPr>
          <w:rFonts w:hint="eastAsia" w:ascii="仿宋_GB2312" w:hAnsi="仿宋_GB2312" w:eastAsia="仿宋_GB2312" w:cs="仿宋_GB2312"/>
          <w:highlight w:val="none"/>
          <w:lang w:eastAsia="zh-CN"/>
        </w:rPr>
      </w:pPr>
    </w:p>
    <w:p w14:paraId="6A779413">
      <w:pPr>
        <w:pStyle w:val="2"/>
        <w:rPr>
          <w:rFonts w:hint="eastAsia" w:ascii="仿宋_GB2312" w:hAnsi="仿宋_GB2312" w:eastAsia="仿宋_GB2312" w:cs="仿宋_GB2312"/>
          <w:highlight w:val="none"/>
          <w:lang w:eastAsia="zh-CN"/>
        </w:rPr>
      </w:pPr>
    </w:p>
    <w:p w14:paraId="3E5A3798">
      <w:pPr>
        <w:pStyle w:val="2"/>
        <w:rPr>
          <w:rFonts w:hint="eastAsia" w:ascii="仿宋_GB2312" w:hAnsi="仿宋_GB2312" w:eastAsia="仿宋_GB2312" w:cs="仿宋_GB2312"/>
          <w:highlight w:val="none"/>
          <w:lang w:eastAsia="zh-CN"/>
        </w:rPr>
      </w:pPr>
    </w:p>
    <w:p w14:paraId="76AA9FDB">
      <w:pPr>
        <w:pStyle w:val="2"/>
        <w:rPr>
          <w:rFonts w:hint="eastAsia" w:ascii="仿宋_GB2312" w:hAnsi="仿宋_GB2312" w:eastAsia="仿宋_GB2312" w:cs="仿宋_GB2312"/>
          <w:highlight w:val="none"/>
          <w:lang w:eastAsia="zh-CN"/>
        </w:rPr>
      </w:pPr>
    </w:p>
    <w:p w14:paraId="6D18BE98">
      <w:pPr>
        <w:rPr>
          <w:rFonts w:hint="eastAsia" w:ascii="仿宋_GB2312" w:hAnsi="仿宋_GB2312" w:eastAsia="仿宋_GB2312" w:cs="仿宋_GB2312"/>
          <w:highlight w:val="none"/>
        </w:rPr>
      </w:pPr>
    </w:p>
    <w:p w14:paraId="6CC15F75">
      <w:pPr>
        <w:pStyle w:val="2"/>
        <w:rPr>
          <w:rFonts w:hint="eastAsia" w:ascii="仿宋_GB2312" w:hAnsi="仿宋_GB2312" w:eastAsia="仿宋_GB2312" w:cs="仿宋_GB2312"/>
          <w:highlight w:val="none"/>
          <w:lang w:eastAsia="zh-CN"/>
        </w:rPr>
      </w:pPr>
    </w:p>
    <w:p w14:paraId="3C7F6FE0">
      <w:pPr>
        <w:pStyle w:val="2"/>
        <w:rPr>
          <w:rFonts w:hint="eastAsia" w:ascii="仿宋_GB2312" w:hAnsi="仿宋_GB2312" w:eastAsia="仿宋_GB2312" w:cs="仿宋_GB2312"/>
          <w:highlight w:val="none"/>
          <w:lang w:eastAsia="zh-CN"/>
        </w:rPr>
      </w:pPr>
    </w:p>
    <w:p w14:paraId="42E247A4">
      <w:pPr>
        <w:pStyle w:val="2"/>
        <w:rPr>
          <w:rFonts w:hint="eastAsia" w:ascii="仿宋_GB2312" w:hAnsi="仿宋_GB2312" w:eastAsia="仿宋_GB2312" w:cs="仿宋_GB2312"/>
          <w:highlight w:val="none"/>
          <w:lang w:eastAsia="zh-CN"/>
        </w:rPr>
      </w:pPr>
    </w:p>
    <w:p w14:paraId="7BFA7AB8">
      <w:pPr>
        <w:pStyle w:val="2"/>
        <w:rPr>
          <w:rFonts w:hint="eastAsia" w:ascii="仿宋_GB2312" w:hAnsi="仿宋_GB2312" w:eastAsia="仿宋_GB2312" w:cs="仿宋_GB2312"/>
          <w:highlight w:val="none"/>
          <w:lang w:eastAsia="zh-CN"/>
        </w:rPr>
      </w:pPr>
    </w:p>
    <w:p w14:paraId="3C386023">
      <w:pPr>
        <w:pStyle w:val="2"/>
        <w:rPr>
          <w:rFonts w:hint="eastAsia" w:ascii="仿宋_GB2312" w:hAnsi="仿宋_GB2312" w:eastAsia="仿宋_GB2312" w:cs="仿宋_GB2312"/>
          <w:highlight w:val="none"/>
          <w:lang w:eastAsia="zh-CN"/>
        </w:rPr>
      </w:pPr>
    </w:p>
    <w:p w14:paraId="5BE31CA7">
      <w:pPr>
        <w:pStyle w:val="2"/>
        <w:rPr>
          <w:rFonts w:hint="eastAsia" w:ascii="仿宋_GB2312" w:hAnsi="仿宋_GB2312" w:eastAsia="仿宋_GB2312" w:cs="仿宋_GB2312"/>
          <w:highlight w:val="none"/>
          <w:lang w:eastAsia="zh-CN"/>
        </w:rPr>
      </w:pPr>
    </w:p>
    <w:p w14:paraId="7DF1194E">
      <w:pPr>
        <w:pStyle w:val="2"/>
        <w:rPr>
          <w:rFonts w:hint="eastAsia" w:ascii="仿宋_GB2312" w:hAnsi="仿宋_GB2312" w:eastAsia="仿宋_GB2312" w:cs="仿宋_GB2312"/>
          <w:highlight w:val="none"/>
          <w:lang w:eastAsia="zh-CN"/>
        </w:rPr>
      </w:pPr>
    </w:p>
    <w:p w14:paraId="3D51619D">
      <w:pPr>
        <w:pStyle w:val="2"/>
        <w:rPr>
          <w:rFonts w:hint="eastAsia" w:ascii="仿宋_GB2312" w:hAnsi="仿宋_GB2312" w:eastAsia="仿宋_GB2312" w:cs="仿宋_GB2312"/>
          <w:highlight w:val="none"/>
          <w:lang w:eastAsia="zh-CN"/>
        </w:rPr>
      </w:pPr>
    </w:p>
    <w:p w14:paraId="52CAFB7E">
      <w:pPr>
        <w:pStyle w:val="2"/>
        <w:rPr>
          <w:rFonts w:hint="eastAsia" w:ascii="仿宋_GB2312" w:hAnsi="仿宋_GB2312" w:eastAsia="仿宋_GB2312" w:cs="仿宋_GB2312"/>
          <w:highlight w:val="none"/>
          <w:lang w:eastAsia="zh-CN"/>
        </w:rPr>
      </w:pPr>
    </w:p>
    <w:p w14:paraId="13E1EEB1">
      <w:pPr>
        <w:pStyle w:val="2"/>
        <w:rPr>
          <w:rFonts w:hint="eastAsia" w:ascii="仿宋_GB2312" w:hAnsi="仿宋_GB2312" w:eastAsia="仿宋_GB2312" w:cs="仿宋_GB2312"/>
          <w:highlight w:val="none"/>
          <w:lang w:eastAsia="zh-CN"/>
        </w:rPr>
      </w:pPr>
    </w:p>
    <w:p w14:paraId="1AF05131">
      <w:pPr>
        <w:pStyle w:val="2"/>
        <w:rPr>
          <w:rFonts w:hint="eastAsia" w:ascii="仿宋_GB2312" w:hAnsi="仿宋_GB2312" w:eastAsia="仿宋_GB2312" w:cs="仿宋_GB2312"/>
          <w:highlight w:val="none"/>
          <w:lang w:eastAsia="zh-CN"/>
        </w:rPr>
      </w:pPr>
    </w:p>
    <w:p w14:paraId="14C5FFF6">
      <w:pPr>
        <w:pStyle w:val="2"/>
        <w:rPr>
          <w:rFonts w:hint="eastAsia" w:ascii="仿宋_GB2312" w:hAnsi="仿宋_GB2312" w:eastAsia="仿宋_GB2312" w:cs="仿宋_GB2312"/>
          <w:highlight w:val="none"/>
          <w:lang w:eastAsia="zh-CN"/>
        </w:rPr>
      </w:pPr>
    </w:p>
    <w:p w14:paraId="15ED78A9">
      <w:pPr>
        <w:pStyle w:val="2"/>
        <w:rPr>
          <w:rFonts w:hint="eastAsia" w:ascii="仿宋_GB2312" w:hAnsi="仿宋_GB2312" w:eastAsia="仿宋_GB2312" w:cs="仿宋_GB2312"/>
          <w:highlight w:val="none"/>
          <w:lang w:eastAsia="zh-CN"/>
        </w:rPr>
      </w:pPr>
    </w:p>
    <w:p w14:paraId="7E439FDF">
      <w:pPr>
        <w:pStyle w:val="2"/>
        <w:rPr>
          <w:rFonts w:hint="eastAsia" w:ascii="仿宋_GB2312" w:hAnsi="仿宋_GB2312" w:eastAsia="仿宋_GB2312" w:cs="仿宋_GB2312"/>
          <w:highlight w:val="none"/>
          <w:lang w:eastAsia="zh-CN"/>
        </w:rPr>
      </w:pPr>
    </w:p>
    <w:p w14:paraId="731ABF38">
      <w:pPr>
        <w:rPr>
          <w:rFonts w:hint="eastAsia" w:ascii="仿宋_GB2312" w:hAnsi="仿宋_GB2312" w:eastAsia="仿宋_GB2312" w:cs="仿宋_GB2312"/>
          <w:highlight w:val="none"/>
        </w:rPr>
      </w:pPr>
    </w:p>
    <w:p w14:paraId="3015CFC5">
      <w:pPr>
        <w:pStyle w:val="3"/>
        <w:rPr>
          <w:rFonts w:hint="eastAsia" w:ascii="仿宋_GB2312" w:hAnsi="仿宋_GB2312" w:eastAsia="仿宋_GB2312" w:cs="仿宋_GB2312"/>
          <w:b/>
          <w:sz w:val="44"/>
          <w:szCs w:val="44"/>
          <w:highlight w:val="none"/>
        </w:rPr>
      </w:pPr>
      <w:bookmarkStart w:id="5" w:name="_Toc199927045"/>
      <w:r>
        <w:rPr>
          <w:rFonts w:hint="eastAsia" w:ascii="仿宋_GB2312" w:hAnsi="仿宋_GB2312" w:eastAsia="仿宋_GB2312" w:cs="仿宋_GB2312"/>
          <w:b/>
          <w:sz w:val="44"/>
          <w:szCs w:val="44"/>
          <w:highlight w:val="none"/>
        </w:rPr>
        <w:t>第五章  投标文件（格式）</w:t>
      </w:r>
      <w:bookmarkEnd w:id="5"/>
    </w:p>
    <w:p w14:paraId="5D0463A9">
      <w:pPr>
        <w:spacing w:line="460" w:lineRule="exact"/>
        <w:jc w:val="left"/>
        <w:rPr>
          <w:rFonts w:hint="eastAsia" w:ascii="仿宋_GB2312" w:hAnsi="仿宋_GB2312" w:eastAsia="仿宋_GB2312" w:cs="仿宋_GB2312"/>
          <w:b/>
          <w:kern w:val="0"/>
          <w:sz w:val="24"/>
          <w:szCs w:val="24"/>
          <w:highlight w:val="none"/>
        </w:rPr>
      </w:pPr>
      <w:r>
        <w:rPr>
          <w:rFonts w:hint="eastAsia" w:ascii="仿宋_GB2312" w:hAnsi="仿宋_GB2312" w:eastAsia="仿宋_GB2312" w:cs="仿宋_GB2312"/>
          <w:sz w:val="24"/>
          <w:szCs w:val="24"/>
          <w:highlight w:val="none"/>
        </w:rPr>
        <w:fldChar w:fldCharType="begin"/>
      </w:r>
      <w:r>
        <w:rPr>
          <w:rFonts w:hint="eastAsia" w:ascii="仿宋_GB2312" w:hAnsi="仿宋_GB2312" w:eastAsia="仿宋_GB2312" w:cs="仿宋_GB2312"/>
          <w:sz w:val="24"/>
          <w:szCs w:val="24"/>
          <w:highlight w:val="none"/>
        </w:rPr>
        <w:instrText xml:space="preserve">&lt;MK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Pr>
          <w:rFonts w:hint="eastAsia" w:ascii="仿宋_GB2312" w:hAnsi="仿宋_GB2312" w:eastAsia="仿宋_GB2312" w:cs="仿宋_GB2312"/>
          <w:sz w:val="24"/>
          <w:szCs w:val="24"/>
          <w:highlight w:val="none"/>
        </w:rPr>
        <w:fldChar w:fldCharType="separate"/>
      </w:r>
      <w:r>
        <w:rPr>
          <w:rFonts w:hint="eastAsia" w:ascii="仿宋_GB2312" w:hAnsi="仿宋_GB2312" w:eastAsia="仿宋_GB2312" w:cs="仿宋_GB2312"/>
          <w:sz w:val="24"/>
          <w:szCs w:val="24"/>
          <w:highlight w:val="none"/>
        </w:rPr>
        <w:t>!异常的公式结尾</w:t>
      </w:r>
      <w:r>
        <w:rPr>
          <w:rFonts w:hint="eastAsia" w:ascii="仿宋_GB2312" w:hAnsi="仿宋_GB2312" w:eastAsia="仿宋_GB2312" w:cs="仿宋_GB2312"/>
          <w:sz w:val="24"/>
          <w:szCs w:val="24"/>
          <w:highlight w:val="none"/>
        </w:rPr>
        <w:fldChar w:fldCharType="end"/>
      </w:r>
      <w:r>
        <w:rPr>
          <w:rFonts w:hint="eastAsia" w:ascii="仿宋_GB2312" w:hAnsi="仿宋_GB2312" w:eastAsia="仿宋_GB2312" w:cs="仿宋_GB2312"/>
          <w:sz w:val="24"/>
          <w:szCs w:val="24"/>
          <w:highlight w:val="none"/>
        </w:rPr>
        <w:fldChar w:fldCharType="begin"/>
      </w:r>
      <w:r>
        <w:rPr>
          <w:rFonts w:hint="eastAsia" w:ascii="仿宋_GB2312" w:hAnsi="仿宋_GB2312" w:eastAsia="仿宋_GB2312" w:cs="仿宋_GB2312"/>
          <w:sz w:val="24"/>
          <w:szCs w:val="24"/>
          <w:highlight w:val="none"/>
        </w:rPr>
        <w:instrText xml:space="preserve">&lt;MK cmd="bus"&gt;&lt;def type="query" recs="org"&gt;" select b3.unitaddr,b3.zipcode,b3.linkman,b3.linkphone,b3.uniturl,b2.organName from gp_project b1,bas_organ b2,gp_agent b3 where b1.agentOrgan=b2.organId and b2.organId=b3.organid and b1.projectid ="+NFV("pro.projectid",-1) &lt;/def&gt;&lt;/MK&gt;</w:instrText>
      </w:r>
      <w:r>
        <w:rPr>
          <w:rFonts w:hint="eastAsia" w:ascii="仿宋_GB2312" w:hAnsi="仿宋_GB2312" w:eastAsia="仿宋_GB2312" w:cs="仿宋_GB2312"/>
          <w:sz w:val="24"/>
          <w:szCs w:val="24"/>
          <w:highlight w:val="none"/>
        </w:rPr>
        <w:fldChar w:fldCharType="separate"/>
      </w:r>
      <w:r>
        <w:rPr>
          <w:rFonts w:hint="eastAsia" w:ascii="仿宋_GB2312" w:hAnsi="仿宋_GB2312" w:eastAsia="仿宋_GB2312" w:cs="仿宋_GB2312"/>
          <w:sz w:val="24"/>
          <w:szCs w:val="24"/>
          <w:highlight w:val="none"/>
        </w:rPr>
        <w:t>!异常的公式结尾</w:t>
      </w:r>
      <w:r>
        <w:rPr>
          <w:rFonts w:hint="eastAsia" w:ascii="仿宋_GB2312" w:hAnsi="仿宋_GB2312" w:eastAsia="仿宋_GB2312" w:cs="仿宋_GB2312"/>
          <w:sz w:val="24"/>
          <w:szCs w:val="24"/>
          <w:highlight w:val="none"/>
        </w:rPr>
        <w:fldChar w:fldCharType="end"/>
      </w:r>
      <w:r>
        <w:rPr>
          <w:rFonts w:hint="eastAsia" w:ascii="仿宋_GB2312" w:hAnsi="仿宋_GB2312" w:eastAsia="仿宋_GB2312" w:cs="仿宋_GB2312"/>
          <w:sz w:val="24"/>
          <w:szCs w:val="24"/>
          <w:highlight w:val="none"/>
        </w:rPr>
        <w:fldChar w:fldCharType="begin"/>
      </w:r>
      <w:r>
        <w:rPr>
          <w:rFonts w:hint="eastAsia" w:ascii="仿宋_GB2312" w:hAnsi="仿宋_GB2312" w:eastAsia="仿宋_GB2312" w:cs="仿宋_GB2312"/>
          <w:sz w:val="24"/>
          <w:szCs w:val="24"/>
          <w:highlight w:val="none"/>
        </w:rPr>
        <w:instrText xml:space="preserve">&lt;MK cmd="bus"&gt;&lt;def type="query" recs="totle"&gt;"SELECT sum(a.budgetAmount) budgettotle from gp_goods a,gp_package b,gp_packageScheme c WHERE a.packageId=b.packageId AND b.packageSchemeId=c.packageSchemeId AND c.schemeId ="+NFV("schemeid",-1)&lt;/def&gt;&lt;/MK&gt;</w:instrText>
      </w:r>
      <w:r>
        <w:rPr>
          <w:rFonts w:hint="eastAsia" w:ascii="仿宋_GB2312" w:hAnsi="仿宋_GB2312" w:eastAsia="仿宋_GB2312" w:cs="仿宋_GB2312"/>
          <w:sz w:val="24"/>
          <w:szCs w:val="24"/>
          <w:highlight w:val="none"/>
        </w:rPr>
        <w:fldChar w:fldCharType="end"/>
      </w:r>
      <w:r>
        <w:rPr>
          <w:rFonts w:hint="eastAsia" w:ascii="仿宋_GB2312" w:hAnsi="仿宋_GB2312" w:eastAsia="仿宋_GB2312" w:cs="仿宋_GB2312"/>
          <w:sz w:val="24"/>
          <w:szCs w:val="24"/>
          <w:highlight w:val="none"/>
        </w:rPr>
        <w:fldChar w:fldCharType="begin"/>
      </w:r>
      <w:r>
        <w:rPr>
          <w:rFonts w:hint="eastAsia" w:ascii="仿宋_GB2312" w:hAnsi="仿宋_GB2312" w:eastAsia="仿宋_GB2312" w:cs="仿宋_GB2312"/>
          <w:sz w:val="24"/>
          <w:szCs w:val="24"/>
          <w:highlight w:val="none"/>
        </w:rPr>
        <w:instrText xml:space="preserve">&lt;MK cmd="bus"&gt;&lt;def type="query" recs="allbuyer"&gt;"SELECT DISTINCT d.organName FROM gp_plan a,bas_organ d WHERE a.buyer=d.organId AND a.planid IN (SELECT b.planId FROM gp_package b,gp_packageScheme c WHERE b.packageSchemeId=c.packageSchemeId AND c.schemeId="+NFV("schemeid")+")"&lt;/def&gt;&lt;/MK&gt;</w:instrText>
      </w:r>
      <w:r>
        <w:rPr>
          <w:rFonts w:hint="eastAsia" w:ascii="仿宋_GB2312" w:hAnsi="仿宋_GB2312" w:eastAsia="仿宋_GB2312" w:cs="仿宋_GB2312"/>
          <w:sz w:val="24"/>
          <w:szCs w:val="24"/>
          <w:highlight w:val="none"/>
        </w:rPr>
        <w:fldChar w:fldCharType="end"/>
      </w:r>
      <w:r>
        <w:rPr>
          <w:rFonts w:hint="eastAsia" w:ascii="仿宋_GB2312" w:hAnsi="仿宋_GB2312" w:eastAsia="仿宋_GB2312" w:cs="仿宋_GB2312"/>
          <w:sz w:val="24"/>
          <w:szCs w:val="24"/>
          <w:highlight w:val="none"/>
        </w:rPr>
        <w:fldChar w:fldCharType="begin"/>
      </w:r>
      <w:r>
        <w:rPr>
          <w:rFonts w:hint="eastAsia" w:ascii="仿宋_GB2312" w:hAnsi="仿宋_GB2312" w:eastAsia="仿宋_GB2312" w:cs="仿宋_GB2312"/>
          <w:sz w:val="24"/>
          <w:szCs w:val="24"/>
          <w:highlight w:val="none"/>
        </w:rPr>
        <w:instrText xml:space="preserve">&lt;MK cmd="bus"&gt;&lt;def type="query" recs="filecode"&gt;" SELECT a.grantSymbol FROM gp_plan a WHERE a.planid IN (SELECT DISTINCT b.planId FROM gp_package b,gp_packageScheme c WHERE b.packageSchemeId=c.packageSchemeId AND c.schemeId="+NFV("schemeid")+")"&lt;/def&gt;&lt;/MK&gt;</w:instrText>
      </w:r>
      <w:r>
        <w:rPr>
          <w:rFonts w:hint="eastAsia" w:ascii="仿宋_GB2312" w:hAnsi="仿宋_GB2312" w:eastAsia="仿宋_GB2312" w:cs="仿宋_GB2312"/>
          <w:sz w:val="24"/>
          <w:szCs w:val="24"/>
          <w:highlight w:val="none"/>
        </w:rPr>
        <w:fldChar w:fldCharType="end"/>
      </w:r>
      <w:r>
        <w:rPr>
          <w:rFonts w:hint="eastAsia" w:ascii="仿宋_GB2312" w:hAnsi="仿宋_GB2312" w:eastAsia="仿宋_GB2312" w:cs="仿宋_GB2312"/>
          <w:sz w:val="24"/>
          <w:szCs w:val="24"/>
          <w:highlight w:val="none"/>
        </w:rPr>
        <w:fldChar w:fldCharType="begin"/>
      </w:r>
      <w:r>
        <w:rPr>
          <w:rFonts w:hint="eastAsia" w:ascii="仿宋_GB2312" w:hAnsi="仿宋_GB2312" w:eastAsia="仿宋_GB2312" w:cs="仿宋_GB2312"/>
          <w:sz w:val="24"/>
          <w:szCs w:val="24"/>
          <w:highlight w:val="none"/>
        </w:rPr>
        <w:instrText xml:space="preserve">&lt;MK cmd="bus"&gt;&lt;def type="query" recs="mypro"&gt;" select a.agentOrgan,c.organname from gp_project a,gp_projectScheme b,bas_organ c where a.projectId=b.projectId and a.agentorgan=c.organid and b.schemeId="+NFV("schemeid",-1)&lt;/def&gt;&lt;/MK&gt;</w:instrText>
      </w:r>
      <w:r>
        <w:rPr>
          <w:rFonts w:hint="eastAsia" w:ascii="仿宋_GB2312" w:hAnsi="仿宋_GB2312" w:eastAsia="仿宋_GB2312" w:cs="仿宋_GB2312"/>
          <w:sz w:val="24"/>
          <w:szCs w:val="24"/>
          <w:highlight w:val="none"/>
        </w:rPr>
        <w:fldChar w:fldCharType="separate"/>
      </w:r>
      <w:r>
        <w:rPr>
          <w:rFonts w:hint="eastAsia" w:ascii="仿宋_GB2312" w:hAnsi="仿宋_GB2312" w:eastAsia="仿宋_GB2312" w:cs="仿宋_GB2312"/>
          <w:sz w:val="24"/>
          <w:szCs w:val="24"/>
          <w:highlight w:val="none"/>
        </w:rPr>
        <w:t>!异常的公式结尾</w:t>
      </w:r>
      <w:r>
        <w:rPr>
          <w:rFonts w:hint="eastAsia" w:ascii="仿宋_GB2312" w:hAnsi="仿宋_GB2312" w:eastAsia="仿宋_GB2312" w:cs="仿宋_GB2312"/>
          <w:sz w:val="24"/>
          <w:szCs w:val="24"/>
          <w:highlight w:val="none"/>
        </w:rPr>
        <w:fldChar w:fldCharType="end"/>
      </w:r>
    </w:p>
    <w:p w14:paraId="2D4D0907">
      <w:pPr>
        <w:jc w:val="right"/>
        <w:rPr>
          <w:rFonts w:hint="eastAsia" w:ascii="仿宋_GB2312" w:hAnsi="仿宋_GB2312" w:eastAsia="仿宋_GB2312" w:cs="仿宋_GB2312"/>
          <w:bCs/>
          <w:sz w:val="24"/>
          <w:szCs w:val="24"/>
          <w:highlight w:val="none"/>
        </w:rPr>
      </w:pPr>
      <w:r>
        <w:rPr>
          <w:rFonts w:hint="eastAsia" w:ascii="仿宋_GB2312" w:hAnsi="仿宋_GB2312" w:eastAsia="仿宋_GB2312" w:cs="仿宋_GB2312"/>
          <w:sz w:val="30"/>
          <w:szCs w:val="30"/>
          <w:highlight w:val="none"/>
        </w:rPr>
        <w:t>正本（或副本）</w:t>
      </w:r>
    </w:p>
    <w:p w14:paraId="533169BC">
      <w:pPr>
        <w:pStyle w:val="2"/>
        <w:rPr>
          <w:rFonts w:hint="eastAsia" w:ascii="仿宋_GB2312" w:hAnsi="仿宋_GB2312" w:eastAsia="仿宋_GB2312" w:cs="仿宋_GB2312"/>
          <w:bCs/>
          <w:sz w:val="28"/>
          <w:szCs w:val="28"/>
          <w:highlight w:val="none"/>
          <w:lang w:eastAsia="zh-CN"/>
        </w:rPr>
      </w:pPr>
    </w:p>
    <w:p w14:paraId="50247B4F">
      <w:pPr>
        <w:pStyle w:val="2"/>
        <w:rPr>
          <w:rFonts w:hint="eastAsia" w:ascii="仿宋_GB2312" w:hAnsi="仿宋_GB2312" w:eastAsia="仿宋_GB2312" w:cs="仿宋_GB2312"/>
          <w:bCs/>
          <w:sz w:val="28"/>
          <w:szCs w:val="28"/>
          <w:highlight w:val="none"/>
          <w:lang w:eastAsia="zh-CN"/>
        </w:rPr>
      </w:pPr>
    </w:p>
    <w:p w14:paraId="706D6F65">
      <w:pPr>
        <w:pStyle w:val="24"/>
        <w:jc w:val="center"/>
        <w:rPr>
          <w:rFonts w:hint="eastAsia" w:ascii="仿宋_GB2312" w:hAnsi="仿宋_GB2312" w:eastAsia="仿宋_GB2312" w:cs="仿宋_GB2312"/>
          <w:sz w:val="52"/>
          <w:szCs w:val="52"/>
          <w:highlight w:val="none"/>
        </w:rPr>
      </w:pPr>
      <w:bookmarkStart w:id="6" w:name="_Toc9916"/>
      <w:bookmarkStart w:id="7" w:name="_Toc4600"/>
      <w:r>
        <w:rPr>
          <w:rFonts w:hint="eastAsia" w:ascii="仿宋_GB2312" w:hAnsi="仿宋_GB2312" w:eastAsia="仿宋_GB2312" w:cs="仿宋_GB2312"/>
          <w:sz w:val="72"/>
          <w:szCs w:val="72"/>
          <w:highlight w:val="none"/>
        </w:rPr>
        <w:t>投 标 文 件</w:t>
      </w:r>
      <w:bookmarkEnd w:id="6"/>
      <w:bookmarkEnd w:id="7"/>
    </w:p>
    <w:p w14:paraId="2B62BAD7">
      <w:pPr>
        <w:jc w:val="center"/>
        <w:rPr>
          <w:rFonts w:hint="eastAsia" w:ascii="仿宋_GB2312" w:hAnsi="仿宋_GB2312" w:eastAsia="仿宋_GB2312" w:cs="仿宋_GB2312"/>
          <w:sz w:val="28"/>
          <w:szCs w:val="28"/>
          <w:highlight w:val="none"/>
        </w:rPr>
      </w:pPr>
    </w:p>
    <w:p w14:paraId="79C1D333">
      <w:pPr>
        <w:jc w:val="center"/>
        <w:rPr>
          <w:rFonts w:hint="eastAsia" w:ascii="仿宋_GB2312" w:hAnsi="仿宋_GB2312" w:eastAsia="仿宋_GB2312" w:cs="仿宋_GB2312"/>
          <w:b/>
          <w:bCs/>
          <w:sz w:val="72"/>
          <w:szCs w:val="72"/>
          <w:highlight w:val="none"/>
        </w:rPr>
      </w:pPr>
      <w:bookmarkStart w:id="8" w:name="_Toc28885"/>
      <w:bookmarkStart w:id="9" w:name="_Toc66522268"/>
      <w:bookmarkStart w:id="10" w:name="_Toc69311491"/>
      <w:r>
        <w:rPr>
          <w:rFonts w:hint="eastAsia" w:ascii="仿宋_GB2312" w:hAnsi="仿宋_GB2312" w:eastAsia="仿宋_GB2312" w:cs="仿宋_GB2312"/>
          <w:sz w:val="52"/>
          <w:szCs w:val="52"/>
          <w:highlight w:val="none"/>
        </w:rPr>
        <w:t>（第一册）</w:t>
      </w:r>
      <w:bookmarkEnd w:id="8"/>
      <w:bookmarkEnd w:id="9"/>
      <w:bookmarkEnd w:id="10"/>
    </w:p>
    <w:p w14:paraId="5AF1EBB8">
      <w:pPr>
        <w:jc w:val="center"/>
        <w:rPr>
          <w:rFonts w:hint="eastAsia" w:ascii="仿宋_GB2312" w:hAnsi="仿宋_GB2312" w:eastAsia="仿宋_GB2312" w:cs="仿宋_GB2312"/>
          <w:sz w:val="28"/>
          <w:szCs w:val="28"/>
          <w:highlight w:val="none"/>
        </w:rPr>
      </w:pPr>
    </w:p>
    <w:p w14:paraId="57C609F2">
      <w:pPr>
        <w:pStyle w:val="2"/>
        <w:rPr>
          <w:rFonts w:hint="eastAsia" w:ascii="仿宋_GB2312" w:hAnsi="仿宋_GB2312" w:eastAsia="仿宋_GB2312" w:cs="仿宋_GB2312"/>
          <w:highlight w:val="none"/>
          <w:lang w:eastAsia="zh-CN"/>
        </w:rPr>
      </w:pPr>
    </w:p>
    <w:p w14:paraId="443343AC">
      <w:pPr>
        <w:ind w:firstLine="840" w:firstLineChars="300"/>
        <w:jc w:val="left"/>
        <w:rPr>
          <w:rFonts w:hint="eastAsia" w:ascii="仿宋_GB2312" w:hAnsi="仿宋_GB2312" w:eastAsia="仿宋_GB2312" w:cs="仿宋_GB2312"/>
          <w:bCs/>
          <w:sz w:val="28"/>
          <w:szCs w:val="28"/>
          <w:highlight w:val="none"/>
        </w:rPr>
      </w:pPr>
    </w:p>
    <w:p w14:paraId="77031D95">
      <w:pPr>
        <w:widowControl/>
        <w:spacing w:before="75"/>
        <w:ind w:firstLine="2800" w:firstLineChars="1000"/>
        <w:rPr>
          <w:rFonts w:hint="eastAsia" w:ascii="仿宋_GB2312" w:hAnsi="仿宋_GB2312" w:eastAsia="仿宋_GB2312" w:cs="仿宋_GB2312"/>
          <w:sz w:val="28"/>
          <w:szCs w:val="28"/>
          <w:highlight w:val="none"/>
        </w:rPr>
      </w:pPr>
      <w:bookmarkStart w:id="11" w:name="_Toc1736"/>
      <w:bookmarkStart w:id="12" w:name="_Toc9505"/>
      <w:r>
        <w:rPr>
          <w:rFonts w:hint="eastAsia" w:ascii="仿宋_GB2312" w:hAnsi="仿宋_GB2312" w:eastAsia="仿宋_GB2312" w:cs="仿宋_GB2312"/>
          <w:sz w:val="28"/>
          <w:szCs w:val="28"/>
          <w:highlight w:val="none"/>
        </w:rPr>
        <w:t>项目名称：</w:t>
      </w:r>
      <w:bookmarkEnd w:id="11"/>
      <w:bookmarkEnd w:id="12"/>
      <w:r>
        <w:rPr>
          <w:rFonts w:hint="eastAsia" w:ascii="仿宋_GB2312" w:hAnsi="仿宋_GB2312" w:eastAsia="仿宋_GB2312" w:cs="仿宋_GB2312"/>
          <w:sz w:val="28"/>
          <w:szCs w:val="28"/>
          <w:highlight w:val="none"/>
        </w:rPr>
        <w:t>选定苗木供应单位</w:t>
      </w:r>
    </w:p>
    <w:p w14:paraId="168E40E8">
      <w:pPr>
        <w:widowControl/>
        <w:spacing w:before="75"/>
        <w:ind w:firstLine="2800" w:firstLineChars="1000"/>
        <w:rPr>
          <w:rFonts w:hint="eastAsia" w:ascii="仿宋_GB2312" w:hAnsi="仿宋_GB2312" w:eastAsia="仿宋_GB2312" w:cs="仿宋_GB2312"/>
          <w:sz w:val="28"/>
          <w:szCs w:val="28"/>
          <w:highlight w:val="none"/>
        </w:rPr>
      </w:pPr>
      <w:bookmarkStart w:id="13" w:name="_Toc28304"/>
      <w:bookmarkStart w:id="14" w:name="_Toc29187"/>
      <w:r>
        <w:rPr>
          <w:rFonts w:hint="eastAsia" w:ascii="仿宋_GB2312" w:hAnsi="仿宋_GB2312" w:eastAsia="仿宋_GB2312" w:cs="仿宋_GB2312"/>
          <w:sz w:val="28"/>
          <w:szCs w:val="28"/>
          <w:highlight w:val="none"/>
        </w:rPr>
        <w:t>招标编号：</w:t>
      </w:r>
      <w:bookmarkEnd w:id="13"/>
      <w:bookmarkEnd w:id="14"/>
      <w:r>
        <w:rPr>
          <w:rFonts w:hint="eastAsia" w:ascii="仿宋_GB2312" w:hAnsi="仿宋_GB2312" w:eastAsia="仿宋_GB2312" w:cs="仿宋_GB2312"/>
          <w:sz w:val="28"/>
          <w:szCs w:val="28"/>
          <w:highlight w:val="none"/>
        </w:rPr>
        <w:t>PURM202606050002</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 xml:space="preserve"> </w:t>
      </w:r>
    </w:p>
    <w:p w14:paraId="54FB2B86">
      <w:pPr>
        <w:pStyle w:val="24"/>
        <w:ind w:firstLine="1470" w:firstLineChars="700"/>
        <w:rPr>
          <w:rFonts w:hint="eastAsia" w:ascii="仿宋_GB2312" w:hAnsi="仿宋_GB2312" w:eastAsia="仿宋_GB2312" w:cs="仿宋_GB2312"/>
          <w:szCs w:val="28"/>
          <w:highlight w:val="none"/>
        </w:rPr>
      </w:pPr>
    </w:p>
    <w:p w14:paraId="78776CE5">
      <w:pPr>
        <w:jc w:val="left"/>
        <w:rPr>
          <w:rFonts w:hint="eastAsia" w:ascii="仿宋_GB2312" w:hAnsi="仿宋_GB2312" w:eastAsia="仿宋_GB2312" w:cs="仿宋_GB2312"/>
          <w:sz w:val="28"/>
          <w:szCs w:val="28"/>
          <w:highlight w:val="none"/>
        </w:rPr>
      </w:pPr>
    </w:p>
    <w:p w14:paraId="048698C2">
      <w:pPr>
        <w:pStyle w:val="2"/>
        <w:rPr>
          <w:rFonts w:hint="eastAsia" w:ascii="仿宋_GB2312" w:hAnsi="仿宋_GB2312" w:eastAsia="仿宋_GB2312" w:cs="仿宋_GB2312"/>
          <w:kern w:val="0"/>
          <w:sz w:val="28"/>
          <w:szCs w:val="28"/>
          <w:highlight w:val="none"/>
          <w:lang w:eastAsia="zh-CN"/>
        </w:rPr>
      </w:pPr>
    </w:p>
    <w:p w14:paraId="263AEAA8">
      <w:pPr>
        <w:pStyle w:val="2"/>
        <w:rPr>
          <w:rFonts w:hint="eastAsia" w:ascii="仿宋_GB2312" w:hAnsi="仿宋_GB2312" w:eastAsia="仿宋_GB2312" w:cs="仿宋_GB2312"/>
          <w:kern w:val="0"/>
          <w:sz w:val="28"/>
          <w:szCs w:val="28"/>
          <w:highlight w:val="none"/>
          <w:lang w:eastAsia="zh-CN"/>
        </w:rPr>
      </w:pPr>
    </w:p>
    <w:p w14:paraId="3CDF1FA2">
      <w:pPr>
        <w:pStyle w:val="2"/>
        <w:jc w:val="center"/>
        <w:rPr>
          <w:rFonts w:hint="eastAsia" w:ascii="仿宋_GB2312" w:hAnsi="仿宋_GB2312" w:eastAsia="仿宋_GB2312" w:cs="仿宋_GB2312"/>
          <w:sz w:val="28"/>
          <w:szCs w:val="28"/>
          <w:highlight w:val="none"/>
          <w:lang w:eastAsia="zh-CN"/>
        </w:rPr>
      </w:pPr>
      <w:bookmarkStart w:id="15" w:name="_Toc6911"/>
      <w:bookmarkStart w:id="16" w:name="_Toc17680"/>
      <w:r>
        <w:rPr>
          <w:rFonts w:hint="eastAsia" w:ascii="仿宋_GB2312" w:hAnsi="仿宋_GB2312" w:eastAsia="仿宋_GB2312" w:cs="仿宋_GB2312"/>
          <w:sz w:val="28"/>
          <w:szCs w:val="28"/>
          <w:highlight w:val="none"/>
          <w:lang w:eastAsia="zh-CN"/>
        </w:rPr>
        <w:t>投标人名称（盖章）： ***有限公司</w:t>
      </w:r>
      <w:bookmarkEnd w:id="15"/>
      <w:bookmarkEnd w:id="16"/>
    </w:p>
    <w:p w14:paraId="072F9830">
      <w:pPr>
        <w:pStyle w:val="24"/>
        <w:jc w:val="center"/>
        <w:rPr>
          <w:rFonts w:hint="eastAsia" w:ascii="仿宋_GB2312" w:hAnsi="仿宋_GB2312" w:eastAsia="仿宋_GB2312" w:cs="仿宋_GB2312"/>
          <w:sz w:val="28"/>
          <w:szCs w:val="28"/>
          <w:highlight w:val="none"/>
        </w:rPr>
      </w:pPr>
      <w:bookmarkStart w:id="17" w:name="_Toc30197"/>
      <w:bookmarkStart w:id="18" w:name="_Toc9494"/>
      <w:r>
        <w:rPr>
          <w:rFonts w:hint="eastAsia" w:ascii="仿宋_GB2312" w:hAnsi="仿宋_GB2312" w:eastAsia="仿宋_GB2312" w:cs="仿宋_GB2312"/>
          <w:sz w:val="28"/>
          <w:szCs w:val="28"/>
          <w:highlight w:val="none"/>
        </w:rPr>
        <w:t>日  期：   年  月  日</w:t>
      </w:r>
      <w:bookmarkEnd w:id="17"/>
      <w:bookmarkEnd w:id="18"/>
    </w:p>
    <w:p w14:paraId="5D3B719C">
      <w:pPr>
        <w:rPr>
          <w:ins w:id="0" w:author="User" w:date="2023-03-07T19:01:00Z"/>
          <w:rFonts w:hint="eastAsia" w:ascii="仿宋_GB2312" w:hAnsi="仿宋_GB2312" w:eastAsia="仿宋_GB2312" w:cs="仿宋_GB2312"/>
          <w:highlight w:val="none"/>
        </w:rPr>
      </w:pPr>
    </w:p>
    <w:p w14:paraId="3D940417">
      <w:pPr>
        <w:pStyle w:val="24"/>
        <w:jc w:val="center"/>
        <w:rPr>
          <w:rFonts w:hint="eastAsia" w:ascii="仿宋_GB2312" w:hAnsi="仿宋_GB2312" w:eastAsia="仿宋_GB2312" w:cs="仿宋_GB2312"/>
          <w:sz w:val="28"/>
          <w:szCs w:val="28"/>
          <w:highlight w:val="none"/>
        </w:rPr>
      </w:pPr>
    </w:p>
    <w:p w14:paraId="3A8A1795">
      <w:pPr>
        <w:pStyle w:val="24"/>
        <w:jc w:val="center"/>
        <w:rPr>
          <w:rFonts w:hint="eastAsia" w:ascii="仿宋_GB2312" w:hAnsi="仿宋_GB2312" w:eastAsia="仿宋_GB2312" w:cs="仿宋_GB2312"/>
          <w:sz w:val="28"/>
          <w:szCs w:val="28"/>
          <w:highlight w:val="none"/>
        </w:rPr>
      </w:pPr>
    </w:p>
    <w:p w14:paraId="11CE8296">
      <w:pPr>
        <w:jc w:val="center"/>
        <w:rPr>
          <w:rStyle w:val="54"/>
          <w:rFonts w:hint="eastAsia" w:ascii="仿宋_GB2312" w:hAnsi="仿宋_GB2312" w:eastAsia="仿宋_GB2312" w:cs="仿宋_GB2312"/>
          <w:highlight w:val="none"/>
        </w:rPr>
      </w:pPr>
    </w:p>
    <w:p w14:paraId="5CF0F55C">
      <w:pPr>
        <w:jc w:val="center"/>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目  录</w:t>
      </w:r>
    </w:p>
    <w:p w14:paraId="5C97D31C">
      <w:pPr>
        <w:snapToGrid w:val="0"/>
        <w:spacing w:line="360" w:lineRule="auto"/>
        <w:rPr>
          <w:rFonts w:hint="eastAsia" w:ascii="仿宋_GB2312" w:hAnsi="仿宋_GB2312" w:eastAsia="仿宋_GB2312" w:cs="仿宋_GB2312"/>
          <w:b/>
          <w:sz w:val="24"/>
          <w:szCs w:val="24"/>
          <w:highlight w:val="none"/>
        </w:rPr>
      </w:pPr>
    </w:p>
    <w:p w14:paraId="6C45D56F">
      <w:pPr>
        <w:pStyle w:val="31"/>
        <w:rPr>
          <w:rFonts w:hint="eastAsia" w:ascii="仿宋_GB2312" w:hAnsi="仿宋_GB2312" w:eastAsia="仿宋_GB2312" w:cs="仿宋_GB2312"/>
          <w:b w:val="0"/>
          <w:sz w:val="24"/>
          <w:szCs w:val="24"/>
          <w:highlight w:val="none"/>
        </w:rPr>
      </w:pPr>
    </w:p>
    <w:p w14:paraId="5C6DD49D">
      <w:pPr>
        <w:rPr>
          <w:rFonts w:hint="eastAsia" w:ascii="仿宋_GB2312" w:hAnsi="仿宋_GB2312" w:eastAsia="仿宋_GB2312" w:cs="仿宋_GB2312"/>
          <w:b/>
          <w:sz w:val="24"/>
          <w:szCs w:val="24"/>
          <w:highlight w:val="none"/>
        </w:rPr>
      </w:pPr>
    </w:p>
    <w:p w14:paraId="0E603FD0">
      <w:pPr>
        <w:pStyle w:val="31"/>
        <w:rPr>
          <w:rFonts w:hint="eastAsia" w:ascii="仿宋_GB2312" w:hAnsi="仿宋_GB2312" w:eastAsia="仿宋_GB2312" w:cs="仿宋_GB2312"/>
          <w:b w:val="0"/>
          <w:sz w:val="24"/>
          <w:szCs w:val="24"/>
          <w:highlight w:val="none"/>
        </w:rPr>
      </w:pPr>
    </w:p>
    <w:p w14:paraId="6466E358">
      <w:pPr>
        <w:rPr>
          <w:rFonts w:hint="eastAsia" w:ascii="仿宋_GB2312" w:hAnsi="仿宋_GB2312" w:eastAsia="仿宋_GB2312" w:cs="仿宋_GB2312"/>
          <w:b/>
          <w:sz w:val="24"/>
          <w:szCs w:val="24"/>
          <w:highlight w:val="none"/>
        </w:rPr>
      </w:pPr>
    </w:p>
    <w:p w14:paraId="0245095B">
      <w:pPr>
        <w:pStyle w:val="31"/>
        <w:rPr>
          <w:rFonts w:hint="eastAsia" w:ascii="仿宋_GB2312" w:hAnsi="仿宋_GB2312" w:eastAsia="仿宋_GB2312" w:cs="仿宋_GB2312"/>
          <w:b w:val="0"/>
          <w:sz w:val="24"/>
          <w:szCs w:val="24"/>
          <w:highlight w:val="none"/>
        </w:rPr>
      </w:pPr>
    </w:p>
    <w:p w14:paraId="09FD4C0E">
      <w:pPr>
        <w:rPr>
          <w:rFonts w:hint="eastAsia" w:ascii="仿宋_GB2312" w:hAnsi="仿宋_GB2312" w:eastAsia="仿宋_GB2312" w:cs="仿宋_GB2312"/>
          <w:b/>
          <w:sz w:val="24"/>
          <w:szCs w:val="24"/>
          <w:highlight w:val="none"/>
        </w:rPr>
      </w:pPr>
    </w:p>
    <w:p w14:paraId="155382DC">
      <w:pPr>
        <w:pStyle w:val="31"/>
        <w:rPr>
          <w:rFonts w:hint="eastAsia" w:ascii="仿宋_GB2312" w:hAnsi="仿宋_GB2312" w:eastAsia="仿宋_GB2312" w:cs="仿宋_GB2312"/>
          <w:b w:val="0"/>
          <w:sz w:val="24"/>
          <w:szCs w:val="24"/>
          <w:highlight w:val="none"/>
        </w:rPr>
      </w:pPr>
    </w:p>
    <w:p w14:paraId="735DBC89">
      <w:pPr>
        <w:rPr>
          <w:rFonts w:hint="eastAsia" w:ascii="仿宋_GB2312" w:hAnsi="仿宋_GB2312" w:eastAsia="仿宋_GB2312" w:cs="仿宋_GB2312"/>
          <w:b/>
          <w:sz w:val="24"/>
          <w:szCs w:val="24"/>
          <w:highlight w:val="none"/>
        </w:rPr>
      </w:pPr>
    </w:p>
    <w:p w14:paraId="12A25C0D">
      <w:pPr>
        <w:pStyle w:val="31"/>
        <w:rPr>
          <w:rFonts w:hint="eastAsia" w:ascii="仿宋_GB2312" w:hAnsi="仿宋_GB2312" w:eastAsia="仿宋_GB2312" w:cs="仿宋_GB2312"/>
          <w:b w:val="0"/>
          <w:sz w:val="24"/>
          <w:szCs w:val="24"/>
          <w:highlight w:val="none"/>
        </w:rPr>
      </w:pPr>
    </w:p>
    <w:p w14:paraId="14D0767B">
      <w:pPr>
        <w:rPr>
          <w:rFonts w:hint="eastAsia" w:ascii="仿宋_GB2312" w:hAnsi="仿宋_GB2312" w:eastAsia="仿宋_GB2312" w:cs="仿宋_GB2312"/>
          <w:b/>
          <w:sz w:val="24"/>
          <w:szCs w:val="24"/>
          <w:highlight w:val="none"/>
        </w:rPr>
      </w:pPr>
    </w:p>
    <w:p w14:paraId="50AE5646">
      <w:pPr>
        <w:pStyle w:val="31"/>
        <w:rPr>
          <w:rFonts w:hint="eastAsia" w:ascii="仿宋_GB2312" w:hAnsi="仿宋_GB2312" w:eastAsia="仿宋_GB2312" w:cs="仿宋_GB2312"/>
          <w:b w:val="0"/>
          <w:sz w:val="24"/>
          <w:szCs w:val="24"/>
          <w:highlight w:val="none"/>
        </w:rPr>
      </w:pPr>
    </w:p>
    <w:p w14:paraId="6EC1D9FD">
      <w:pPr>
        <w:rPr>
          <w:rFonts w:hint="eastAsia" w:ascii="仿宋_GB2312" w:hAnsi="仿宋_GB2312" w:eastAsia="仿宋_GB2312" w:cs="仿宋_GB2312"/>
          <w:b/>
          <w:sz w:val="24"/>
          <w:szCs w:val="24"/>
          <w:highlight w:val="none"/>
        </w:rPr>
      </w:pPr>
    </w:p>
    <w:p w14:paraId="7FE2198A">
      <w:pPr>
        <w:pStyle w:val="31"/>
        <w:rPr>
          <w:rFonts w:hint="eastAsia" w:ascii="仿宋_GB2312" w:hAnsi="仿宋_GB2312" w:eastAsia="仿宋_GB2312" w:cs="仿宋_GB2312"/>
          <w:b w:val="0"/>
          <w:sz w:val="24"/>
          <w:szCs w:val="24"/>
          <w:highlight w:val="none"/>
        </w:rPr>
      </w:pPr>
    </w:p>
    <w:p w14:paraId="10DFC636">
      <w:pPr>
        <w:rPr>
          <w:rFonts w:hint="eastAsia" w:ascii="仿宋_GB2312" w:hAnsi="仿宋_GB2312" w:eastAsia="仿宋_GB2312" w:cs="仿宋_GB2312"/>
          <w:b/>
          <w:sz w:val="24"/>
          <w:szCs w:val="24"/>
          <w:highlight w:val="none"/>
        </w:rPr>
      </w:pPr>
    </w:p>
    <w:p w14:paraId="45E1B45E">
      <w:pPr>
        <w:pStyle w:val="31"/>
        <w:rPr>
          <w:rFonts w:hint="eastAsia" w:ascii="仿宋_GB2312" w:hAnsi="仿宋_GB2312" w:eastAsia="仿宋_GB2312" w:cs="仿宋_GB2312"/>
          <w:b w:val="0"/>
          <w:sz w:val="24"/>
          <w:szCs w:val="24"/>
          <w:highlight w:val="none"/>
        </w:rPr>
      </w:pPr>
    </w:p>
    <w:p w14:paraId="5C732CCA">
      <w:pPr>
        <w:rPr>
          <w:rFonts w:hint="eastAsia" w:ascii="仿宋_GB2312" w:hAnsi="仿宋_GB2312" w:eastAsia="仿宋_GB2312" w:cs="仿宋_GB2312"/>
          <w:b/>
          <w:sz w:val="24"/>
          <w:szCs w:val="24"/>
          <w:highlight w:val="none"/>
        </w:rPr>
      </w:pPr>
    </w:p>
    <w:p w14:paraId="4784B600">
      <w:pPr>
        <w:pStyle w:val="31"/>
        <w:rPr>
          <w:rFonts w:hint="eastAsia" w:ascii="仿宋_GB2312" w:hAnsi="仿宋_GB2312" w:eastAsia="仿宋_GB2312" w:cs="仿宋_GB2312"/>
          <w:sz w:val="24"/>
          <w:szCs w:val="24"/>
          <w:highlight w:val="none"/>
        </w:rPr>
      </w:pPr>
    </w:p>
    <w:p w14:paraId="42BEE028">
      <w:pPr>
        <w:rPr>
          <w:rFonts w:hint="eastAsia" w:ascii="仿宋_GB2312" w:hAnsi="仿宋_GB2312" w:eastAsia="仿宋_GB2312" w:cs="仿宋_GB2312"/>
          <w:sz w:val="24"/>
          <w:szCs w:val="24"/>
          <w:highlight w:val="none"/>
        </w:rPr>
      </w:pPr>
    </w:p>
    <w:p w14:paraId="1A6C6061">
      <w:pPr>
        <w:pStyle w:val="128"/>
        <w:rPr>
          <w:rFonts w:hint="eastAsia" w:ascii="仿宋_GB2312" w:hAnsi="仿宋_GB2312" w:eastAsia="仿宋_GB2312" w:cs="仿宋_GB2312"/>
          <w:szCs w:val="24"/>
          <w:highlight w:val="none"/>
        </w:rPr>
      </w:pPr>
    </w:p>
    <w:p w14:paraId="01DDB90A">
      <w:pPr>
        <w:pStyle w:val="128"/>
        <w:rPr>
          <w:rFonts w:hint="eastAsia" w:ascii="仿宋_GB2312" w:hAnsi="仿宋_GB2312" w:eastAsia="仿宋_GB2312" w:cs="仿宋_GB2312"/>
          <w:szCs w:val="24"/>
          <w:highlight w:val="none"/>
        </w:rPr>
      </w:pPr>
    </w:p>
    <w:p w14:paraId="2AB6D7B9">
      <w:pPr>
        <w:jc w:val="center"/>
        <w:rPr>
          <w:rStyle w:val="54"/>
          <w:rFonts w:hint="eastAsia" w:ascii="仿宋_GB2312" w:hAnsi="仿宋_GB2312" w:eastAsia="仿宋_GB2312" w:cs="仿宋_GB2312"/>
          <w:highlight w:val="none"/>
        </w:rPr>
      </w:pPr>
      <w:r>
        <w:rPr>
          <w:rFonts w:hint="eastAsia" w:ascii="仿宋_GB2312" w:hAnsi="仿宋_GB2312" w:eastAsia="仿宋_GB2312" w:cs="仿宋_GB2312"/>
          <w:sz w:val="24"/>
          <w:szCs w:val="24"/>
          <w:highlight w:val="none"/>
        </w:rPr>
        <w:br w:type="page"/>
      </w:r>
      <w:r>
        <w:rPr>
          <w:rStyle w:val="54"/>
          <w:rFonts w:hint="eastAsia" w:ascii="仿宋_GB2312" w:hAnsi="仿宋_GB2312" w:eastAsia="仿宋_GB2312" w:cs="仿宋_GB2312"/>
          <w:highlight w:val="none"/>
        </w:rPr>
        <w:t>投标承诺函</w:t>
      </w:r>
    </w:p>
    <w:p w14:paraId="34BE7F5E">
      <w:pPr>
        <w:pStyle w:val="2"/>
        <w:rPr>
          <w:rFonts w:hint="eastAsia" w:ascii="仿宋_GB2312" w:hAnsi="仿宋_GB2312" w:eastAsia="仿宋_GB2312" w:cs="仿宋_GB2312"/>
          <w:highlight w:val="none"/>
          <w:lang w:eastAsia="zh-CN"/>
        </w:rPr>
      </w:pPr>
    </w:p>
    <w:p w14:paraId="3BFB5421">
      <w:pPr>
        <w:snapToGrid w:val="0"/>
        <w:spacing w:line="47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sz w:val="24"/>
          <w:szCs w:val="24"/>
          <w:highlight w:val="none"/>
        </w:rPr>
        <w:t>山东宏达工程管理有限公司</w:t>
      </w:r>
      <w:r>
        <w:rPr>
          <w:rFonts w:hint="eastAsia" w:ascii="仿宋_GB2312" w:hAnsi="仿宋_GB2312" w:eastAsia="仿宋_GB2312" w:cs="仿宋_GB2312"/>
          <w:kern w:val="0"/>
          <w:sz w:val="24"/>
          <w:szCs w:val="24"/>
          <w:highlight w:val="none"/>
        </w:rPr>
        <w:t>：</w:t>
      </w:r>
    </w:p>
    <w:p w14:paraId="26512134">
      <w:pPr>
        <w:widowControl/>
        <w:spacing w:before="75"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我方根据编号为</w:t>
      </w:r>
      <w:r>
        <w:rPr>
          <w:rFonts w:hint="eastAsia" w:ascii="仿宋_GB2312" w:hAnsi="仿宋_GB2312" w:eastAsia="仿宋_GB2312" w:cs="仿宋_GB2312"/>
          <w:kern w:val="0"/>
          <w:sz w:val="24"/>
          <w:szCs w:val="24"/>
          <w:highlight w:val="none"/>
          <w:u w:val="single"/>
        </w:rPr>
        <w:t xml:space="preserve"> PURM202606050002 </w:t>
      </w:r>
      <w:r>
        <w:rPr>
          <w:rFonts w:hint="eastAsia" w:ascii="仿宋_GB2312" w:hAnsi="仿宋_GB2312" w:eastAsia="仿宋_GB2312" w:cs="仿宋_GB2312"/>
          <w:kern w:val="0"/>
          <w:sz w:val="24"/>
          <w:szCs w:val="24"/>
          <w:highlight w:val="none"/>
        </w:rPr>
        <w:t>的招标文件的要求，经详细研究，决定参加投标。</w:t>
      </w:r>
    </w:p>
    <w:p w14:paraId="770CCC13">
      <w:pPr>
        <w:snapToGrid w:val="0"/>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 我方接受本招标文件中关于电子招投标的各项规定，遵守《中华人民共和国电子签名法》关于电子签名的各项规定。我方愿意按照招标文件的规定和要求提供服务。</w:t>
      </w:r>
    </w:p>
    <w:p w14:paraId="18507C07">
      <w:pPr>
        <w:snapToGrid w:val="0"/>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2.我方同意90天的投标有效期，严格遵守投标文件的各项承诺。在此期限届满之前，本投标文件始终对我方具有约束力，并随时接受中标。我方承诺在投标有效期内不修改、撤销投标文件。</w:t>
      </w:r>
    </w:p>
    <w:p w14:paraId="1B950F68">
      <w:pPr>
        <w:snapToGrid w:val="0"/>
        <w:spacing w:line="470" w:lineRule="exact"/>
        <w:ind w:firstLine="480" w:firstLineChars="200"/>
        <w:rPr>
          <w:rFonts w:hint="eastAsia" w:ascii="仿宋_GB2312" w:hAnsi="仿宋_GB2312" w:eastAsia="仿宋_GB2312" w:cs="仿宋_GB2312"/>
          <w:b/>
          <w:strike/>
          <w:kern w:val="0"/>
          <w:sz w:val="24"/>
          <w:szCs w:val="24"/>
          <w:highlight w:val="none"/>
        </w:rPr>
      </w:pPr>
      <w:r>
        <w:rPr>
          <w:rFonts w:hint="eastAsia" w:ascii="仿宋_GB2312" w:hAnsi="仿宋_GB2312" w:eastAsia="仿宋_GB2312" w:cs="仿宋_GB2312"/>
          <w:kern w:val="0"/>
          <w:sz w:val="24"/>
          <w:szCs w:val="24"/>
          <w:highlight w:val="none"/>
        </w:rPr>
        <w:t>3. 我方愿意遵守本招标文件的规定和要求，并提供招标文件中要求的所有资料，若投标文件中存在虚假资料的，则视为我方隐瞒真实情况、提供虚假资料，我方愿意接受主管部门做出的行政处罚。</w:t>
      </w:r>
    </w:p>
    <w:p w14:paraId="7111EC69">
      <w:pPr>
        <w:snapToGrid w:val="0"/>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4.</w:t>
      </w:r>
      <w:r>
        <w:rPr>
          <w:rFonts w:hint="eastAsia" w:ascii="仿宋_GB2312" w:hAnsi="仿宋_GB2312" w:eastAsia="仿宋_GB2312" w:cs="仿宋_GB2312"/>
          <w:highlight w:val="none"/>
        </w:rPr>
        <w:t xml:space="preserve"> </w:t>
      </w:r>
      <w:r>
        <w:rPr>
          <w:rFonts w:hint="eastAsia" w:ascii="仿宋_GB2312" w:hAnsi="仿宋_GB2312" w:eastAsia="仿宋_GB2312" w:cs="仿宋_GB2312"/>
          <w:kern w:val="0"/>
          <w:sz w:val="24"/>
          <w:szCs w:val="24"/>
          <w:highlight w:val="none"/>
        </w:rPr>
        <w:t>我方愿意按招标文件规定，全额交纳投标保证金（若有）。</w:t>
      </w:r>
    </w:p>
    <w:p w14:paraId="2A4DB10D">
      <w:pPr>
        <w:snapToGrid w:val="0"/>
        <w:spacing w:line="470" w:lineRule="exact"/>
        <w:ind w:firstLine="360" w:firstLineChars="15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xml:space="preserve"> 5.如果我方中标：</w:t>
      </w:r>
    </w:p>
    <w:p w14:paraId="75BB49E6">
      <w:pPr>
        <w:snapToGrid w:val="0"/>
        <w:spacing w:line="470" w:lineRule="exact"/>
        <w:ind w:firstLine="360" w:firstLineChars="15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（1）我方承诺在中标通知书发出后，在规定期限内与招标人签订合同；</w:t>
      </w:r>
    </w:p>
    <w:p w14:paraId="21DB21E7">
      <w:pPr>
        <w:snapToGrid w:val="0"/>
        <w:spacing w:line="470" w:lineRule="exact"/>
        <w:ind w:firstLine="360" w:firstLineChars="15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（2）我方承诺在合同约定的期限内，按期、保质、保量完成服务任务；</w:t>
      </w:r>
    </w:p>
    <w:p w14:paraId="57F6005D">
      <w:pPr>
        <w:snapToGrid w:val="0"/>
        <w:spacing w:line="470" w:lineRule="exact"/>
        <w:ind w:firstLine="360" w:firstLineChars="15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（3）我方承诺响应招标文件中的付款方式。</w:t>
      </w:r>
    </w:p>
    <w:p w14:paraId="62186DFF">
      <w:pPr>
        <w:snapToGrid w:val="0"/>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6.我方在此声明，所递交的投标文件及有关资料内容完整、真实和准确，如有弄虚作假，一旦中标将取消中标资格。</w:t>
      </w:r>
    </w:p>
    <w:p w14:paraId="3BD8D9B8">
      <w:pPr>
        <w:snapToGrid w:val="0"/>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7.所有有关本报价的函电，请按下列地址联系：</w:t>
      </w:r>
    </w:p>
    <w:p w14:paraId="21F60603">
      <w:pPr>
        <w:pStyle w:val="24"/>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单    位：                     邮政编码：</w:t>
      </w:r>
    </w:p>
    <w:p w14:paraId="5871403F">
      <w:pPr>
        <w:pStyle w:val="24"/>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地    址：                     联 系 人：</w:t>
      </w:r>
    </w:p>
    <w:p w14:paraId="3C090E45">
      <w:pPr>
        <w:pStyle w:val="24"/>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电    话：                     传    真：</w:t>
      </w:r>
    </w:p>
    <w:p w14:paraId="6A6EB8FF">
      <w:pPr>
        <w:pStyle w:val="24"/>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开户名称：                     开户银行：</w:t>
      </w:r>
    </w:p>
    <w:p w14:paraId="1096DC62">
      <w:pPr>
        <w:pStyle w:val="24"/>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开户账号：</w:t>
      </w:r>
    </w:p>
    <w:p w14:paraId="77F9F6DC">
      <w:pPr>
        <w:pStyle w:val="24"/>
        <w:spacing w:line="47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kern w:val="0"/>
          <w:sz w:val="24"/>
          <w:szCs w:val="24"/>
          <w:highlight w:val="none"/>
        </w:rPr>
        <w:t>投标人：（盖章</w:t>
      </w:r>
      <w:r>
        <w:rPr>
          <w:rFonts w:hint="eastAsia" w:ascii="仿宋_GB2312" w:hAnsi="仿宋_GB2312" w:eastAsia="仿宋_GB2312" w:cs="仿宋_GB2312"/>
          <w:sz w:val="24"/>
          <w:szCs w:val="24"/>
          <w:highlight w:val="none"/>
        </w:rPr>
        <w:t>）</w:t>
      </w:r>
    </w:p>
    <w:p w14:paraId="687DD92F">
      <w:pPr>
        <w:spacing w:line="47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sz w:val="24"/>
          <w:szCs w:val="24"/>
          <w:highlight w:val="none"/>
        </w:rPr>
        <w:t>法定代表人或委托代理人：</w:t>
      </w:r>
      <w:r>
        <w:rPr>
          <w:rFonts w:hint="eastAsia" w:ascii="仿宋_GB2312" w:hAnsi="仿宋_GB2312" w:eastAsia="仿宋_GB2312" w:cs="仿宋_GB2312"/>
          <w:sz w:val="24"/>
          <w:szCs w:val="24"/>
          <w:highlight w:val="none"/>
          <w:lang w:val="zh-CN"/>
        </w:rPr>
        <w:t xml:space="preserve">（签字或盖章）   </w:t>
      </w:r>
      <w:r>
        <w:rPr>
          <w:rFonts w:hint="eastAsia" w:ascii="仿宋_GB2312" w:hAnsi="仿宋_GB2312" w:eastAsia="仿宋_GB2312" w:cs="仿宋_GB2312"/>
          <w:kern w:val="0"/>
          <w:sz w:val="24"/>
          <w:szCs w:val="24"/>
          <w:highlight w:val="none"/>
        </w:rPr>
        <w:t>日　　期：</w:t>
      </w:r>
    </w:p>
    <w:p w14:paraId="0C1BABDA">
      <w:pPr>
        <w:pStyle w:val="24"/>
        <w:tabs>
          <w:tab w:val="left" w:pos="580"/>
        </w:tabs>
        <w:snapToGrid w:val="0"/>
        <w:spacing w:line="360" w:lineRule="auto"/>
        <w:ind w:right="560"/>
        <w:jc w:val="center"/>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有效的营业执照副本扫描件</w:t>
      </w:r>
    </w:p>
    <w:p w14:paraId="63334B23">
      <w:pPr>
        <w:pStyle w:val="24"/>
        <w:tabs>
          <w:tab w:val="left" w:pos="580"/>
        </w:tabs>
        <w:snapToGrid w:val="0"/>
        <w:spacing w:line="360" w:lineRule="auto"/>
        <w:ind w:right="560"/>
        <w:jc w:val="center"/>
        <w:rPr>
          <w:rStyle w:val="54"/>
          <w:rFonts w:hint="eastAsia" w:ascii="仿宋_GB2312" w:hAnsi="仿宋_GB2312" w:eastAsia="仿宋_GB2312" w:cs="仿宋_GB2312"/>
          <w:highlight w:val="none"/>
        </w:rPr>
      </w:pPr>
    </w:p>
    <w:p w14:paraId="4AF0CD3E">
      <w:pPr>
        <w:widowControl/>
        <w:jc w:val="left"/>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br w:type="page"/>
      </w:r>
    </w:p>
    <w:p w14:paraId="47B39AAA">
      <w:pPr>
        <w:pStyle w:val="24"/>
        <w:tabs>
          <w:tab w:val="left" w:pos="580"/>
        </w:tabs>
        <w:snapToGrid w:val="0"/>
        <w:spacing w:line="360" w:lineRule="auto"/>
        <w:ind w:right="560"/>
        <w:jc w:val="center"/>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法人授权委托书</w:t>
      </w:r>
    </w:p>
    <w:p w14:paraId="2C1FD4C0">
      <w:pPr>
        <w:pStyle w:val="24"/>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本授权书声明：注册于</w:t>
      </w:r>
      <w:r>
        <w:rPr>
          <w:rFonts w:hint="eastAsia" w:ascii="仿宋_GB2312" w:hAnsi="仿宋_GB2312" w:eastAsia="仿宋_GB2312" w:cs="仿宋_GB2312"/>
          <w:sz w:val="24"/>
          <w:szCs w:val="24"/>
          <w:highlight w:val="none"/>
          <w:u w:val="single"/>
        </w:rPr>
        <w:t xml:space="preserve">   (国家或地区的名称)  </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u w:val="single"/>
        </w:rPr>
        <w:t xml:space="preserve">  (公司名称)  </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u w:val="single"/>
        </w:rPr>
        <w:t xml:space="preserve"> (法人代表姓名、职务)  </w:t>
      </w:r>
      <w:r>
        <w:rPr>
          <w:rFonts w:hint="eastAsia" w:ascii="仿宋_GB2312" w:hAnsi="仿宋_GB2312" w:eastAsia="仿宋_GB2312" w:cs="仿宋_GB2312"/>
          <w:sz w:val="24"/>
          <w:szCs w:val="24"/>
          <w:highlight w:val="none"/>
        </w:rPr>
        <w:t>，代表本公司授权</w:t>
      </w:r>
      <w:r>
        <w:rPr>
          <w:rFonts w:hint="eastAsia" w:ascii="仿宋_GB2312" w:hAnsi="仿宋_GB2312" w:eastAsia="仿宋_GB2312" w:cs="仿宋_GB2312"/>
          <w:sz w:val="24"/>
          <w:szCs w:val="24"/>
          <w:highlight w:val="none"/>
          <w:u w:val="single"/>
        </w:rPr>
        <w:t xml:space="preserve">  (被授权单位名称)  </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u w:val="single"/>
        </w:rPr>
        <w:t xml:space="preserve">        (被授权人的姓名、职务)</w:t>
      </w:r>
      <w:r>
        <w:rPr>
          <w:rFonts w:hint="eastAsia" w:ascii="仿宋_GB2312" w:hAnsi="仿宋_GB2312" w:eastAsia="仿宋_GB2312" w:cs="仿宋_GB2312"/>
          <w:sz w:val="24"/>
          <w:szCs w:val="24"/>
          <w:highlight w:val="none"/>
        </w:rPr>
        <w:t>为本公司的合法代理人，参加编号为</w:t>
      </w:r>
      <w:r>
        <w:rPr>
          <w:rFonts w:hint="eastAsia" w:ascii="仿宋_GB2312" w:hAnsi="仿宋_GB2312" w:eastAsia="仿宋_GB2312" w:cs="仿宋_GB2312"/>
          <w:sz w:val="24"/>
          <w:highlight w:val="none"/>
          <w:u w:val="single"/>
        </w:rPr>
        <w:t xml:space="preserve"> PURM202606050002 </w:t>
      </w:r>
      <w:r>
        <w:rPr>
          <w:rFonts w:hint="eastAsia" w:ascii="仿宋_GB2312" w:hAnsi="仿宋_GB2312" w:eastAsia="仿宋_GB2312" w:cs="仿宋_GB2312"/>
          <w:sz w:val="24"/>
          <w:szCs w:val="24"/>
          <w:highlight w:val="none"/>
        </w:rPr>
        <w:t>号的公开招标采购活动，以本公司名义处理一切与之有关的事宜。</w:t>
      </w:r>
    </w:p>
    <w:p w14:paraId="1EA12D03">
      <w:pPr>
        <w:pStyle w:val="24"/>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如果本公司在此次采购活动中中标，被授权人有权代表本公司签署合同。</w:t>
      </w:r>
    </w:p>
    <w:p w14:paraId="0F4D6041">
      <w:pPr>
        <w:pStyle w:val="24"/>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本授权书于 年 月 日法定代表人签字或盖章并由被授权人签字、单位盖章生效，特此声明。</w:t>
      </w:r>
    </w:p>
    <w:p w14:paraId="716B8C9E">
      <w:pPr>
        <w:pStyle w:val="24"/>
        <w:spacing w:line="52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被授权人无转委托权。</w:t>
      </w:r>
    </w:p>
    <w:p w14:paraId="17A1750F">
      <w:pPr>
        <w:pStyle w:val="24"/>
        <w:spacing w:line="520" w:lineRule="exact"/>
        <w:ind w:firstLine="1111"/>
        <w:rPr>
          <w:rFonts w:hint="eastAsia" w:ascii="仿宋_GB2312" w:hAnsi="仿宋_GB2312" w:eastAsia="仿宋_GB2312" w:cs="仿宋_GB2312"/>
          <w:sz w:val="24"/>
          <w:szCs w:val="24"/>
          <w:highlight w:val="none"/>
        </w:rPr>
      </w:pPr>
    </w:p>
    <w:p w14:paraId="2ECA5D7B">
      <w:pPr>
        <w:pStyle w:val="24"/>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法定代表人（签字或盖章）：</w:t>
      </w:r>
    </w:p>
    <w:p w14:paraId="407CB6BA">
      <w:pPr>
        <w:pStyle w:val="24"/>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被授权人（签字）：</w:t>
      </w:r>
    </w:p>
    <w:p w14:paraId="39ADA0A7">
      <w:pPr>
        <w:pStyle w:val="24"/>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投标人（盖单位章）:</w:t>
      </w:r>
    </w:p>
    <w:p w14:paraId="133351AD">
      <w:pPr>
        <w:pStyle w:val="24"/>
        <w:spacing w:line="520" w:lineRule="exact"/>
        <w:rPr>
          <w:rFonts w:hint="eastAsia" w:ascii="仿宋_GB2312" w:hAnsi="仿宋_GB2312" w:eastAsia="仿宋_GB2312" w:cs="仿宋_GB2312"/>
          <w:sz w:val="24"/>
          <w:szCs w:val="24"/>
          <w:highlight w:val="none"/>
        </w:rPr>
      </w:pPr>
    </w:p>
    <w:p w14:paraId="660B5B8E">
      <w:pPr>
        <w:pStyle w:val="24"/>
        <w:spacing w:line="520" w:lineRule="exact"/>
        <w:rPr>
          <w:rFonts w:hint="eastAsia" w:ascii="仿宋_GB2312" w:hAnsi="仿宋_GB2312" w:eastAsia="仿宋_GB2312" w:cs="仿宋_GB2312"/>
          <w:sz w:val="24"/>
          <w:szCs w:val="24"/>
          <w:highlight w:val="none"/>
        </w:rPr>
      </w:pPr>
    </w:p>
    <w:tbl>
      <w:tblPr>
        <w:tblStyle w:val="4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8"/>
      </w:tblGrid>
      <w:tr w14:paraId="037F0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5668" w:type="dxa"/>
            <w:noWrap/>
            <w:vAlign w:val="center"/>
          </w:tcPr>
          <w:p w14:paraId="68A85C9A">
            <w:pPr>
              <w:pStyle w:val="38"/>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highlight w:val="none"/>
              </w:rPr>
              <w:t>（</w:t>
            </w:r>
            <w:r>
              <w:rPr>
                <w:rFonts w:hint="eastAsia" w:ascii="仿宋_GB2312" w:hAnsi="仿宋_GB2312" w:eastAsia="仿宋_GB2312" w:cs="仿宋_GB2312"/>
                <w:b/>
                <w:bCs/>
                <w:color w:val="auto"/>
                <w:kern w:val="2"/>
                <w:highlight w:val="none"/>
              </w:rPr>
              <w:t>附：法定代表人及被授权人身份证双面扫描件</w:t>
            </w:r>
            <w:r>
              <w:rPr>
                <w:rFonts w:hint="eastAsia" w:ascii="仿宋_GB2312" w:hAnsi="仿宋_GB2312" w:eastAsia="仿宋_GB2312" w:cs="仿宋_GB2312"/>
                <w:color w:val="auto"/>
                <w:kern w:val="2"/>
                <w:highlight w:val="none"/>
              </w:rPr>
              <w:t>）</w:t>
            </w:r>
          </w:p>
        </w:tc>
      </w:tr>
    </w:tbl>
    <w:p w14:paraId="5F796659">
      <w:pPr>
        <w:snapToGrid w:val="0"/>
        <w:spacing w:line="360" w:lineRule="auto"/>
        <w:ind w:firstLine="480" w:firstLineChars="200"/>
        <w:jc w:val="left"/>
        <w:rPr>
          <w:rFonts w:hint="eastAsia" w:ascii="仿宋_GB2312" w:hAnsi="仿宋_GB2312" w:eastAsia="仿宋_GB2312" w:cs="仿宋_GB2312"/>
          <w:sz w:val="24"/>
          <w:szCs w:val="24"/>
          <w:highlight w:val="none"/>
        </w:rPr>
      </w:pPr>
    </w:p>
    <w:p w14:paraId="4977EE99">
      <w:pPr>
        <w:snapToGrid w:val="0"/>
        <w:spacing w:line="360" w:lineRule="auto"/>
        <w:ind w:firstLine="480" w:firstLineChars="200"/>
        <w:jc w:val="left"/>
        <w:rPr>
          <w:rFonts w:hint="eastAsia" w:ascii="仿宋_GB2312" w:hAnsi="仿宋_GB2312" w:eastAsia="仿宋_GB2312" w:cs="仿宋_GB2312"/>
          <w:sz w:val="24"/>
          <w:szCs w:val="24"/>
          <w:highlight w:val="none"/>
        </w:rPr>
      </w:pPr>
    </w:p>
    <w:p w14:paraId="243A0254">
      <w:pPr>
        <w:snapToGrid w:val="0"/>
        <w:spacing w:line="360" w:lineRule="auto"/>
        <w:ind w:firstLine="480" w:firstLineChars="200"/>
        <w:jc w:val="left"/>
        <w:rPr>
          <w:rFonts w:hint="eastAsia" w:ascii="仿宋_GB2312" w:hAnsi="仿宋_GB2312" w:eastAsia="仿宋_GB2312" w:cs="仿宋_GB2312"/>
          <w:sz w:val="24"/>
          <w:szCs w:val="24"/>
          <w:highlight w:val="none"/>
        </w:rPr>
      </w:pPr>
    </w:p>
    <w:p w14:paraId="637BA88A">
      <w:pPr>
        <w:snapToGrid w:val="0"/>
        <w:spacing w:line="360" w:lineRule="auto"/>
        <w:ind w:firstLine="480" w:firstLineChars="200"/>
        <w:jc w:val="left"/>
        <w:rPr>
          <w:rFonts w:hint="eastAsia" w:ascii="仿宋_GB2312" w:hAnsi="仿宋_GB2312" w:eastAsia="仿宋_GB2312" w:cs="仿宋_GB2312"/>
          <w:sz w:val="24"/>
          <w:szCs w:val="24"/>
          <w:highlight w:val="none"/>
        </w:rPr>
      </w:pPr>
    </w:p>
    <w:p w14:paraId="18980CFF">
      <w:pPr>
        <w:snapToGrid w:val="0"/>
        <w:spacing w:line="360" w:lineRule="auto"/>
        <w:ind w:firstLine="480" w:firstLineChars="200"/>
        <w:jc w:val="left"/>
        <w:rPr>
          <w:rFonts w:hint="eastAsia" w:ascii="仿宋_GB2312" w:hAnsi="仿宋_GB2312" w:eastAsia="仿宋_GB2312" w:cs="仿宋_GB2312"/>
          <w:sz w:val="24"/>
          <w:szCs w:val="24"/>
          <w:highlight w:val="none"/>
        </w:rPr>
      </w:pPr>
    </w:p>
    <w:p w14:paraId="38C35ABE">
      <w:pPr>
        <w:snapToGrid w:val="0"/>
        <w:spacing w:line="360" w:lineRule="auto"/>
        <w:ind w:firstLine="480" w:firstLineChars="200"/>
        <w:jc w:val="left"/>
        <w:rPr>
          <w:rFonts w:hint="eastAsia" w:ascii="仿宋_GB2312" w:hAnsi="仿宋_GB2312" w:eastAsia="仿宋_GB2312" w:cs="仿宋_GB2312"/>
          <w:sz w:val="24"/>
          <w:szCs w:val="24"/>
          <w:highlight w:val="none"/>
        </w:rPr>
      </w:pPr>
    </w:p>
    <w:p w14:paraId="3B556D14">
      <w:pPr>
        <w:snapToGrid w:val="0"/>
        <w:spacing w:line="360" w:lineRule="auto"/>
        <w:ind w:firstLine="480" w:firstLineChars="200"/>
        <w:jc w:val="left"/>
        <w:rPr>
          <w:rFonts w:hint="eastAsia" w:ascii="仿宋_GB2312" w:hAnsi="仿宋_GB2312" w:eastAsia="仿宋_GB2312" w:cs="仿宋_GB2312"/>
          <w:sz w:val="24"/>
          <w:szCs w:val="24"/>
          <w:highlight w:val="none"/>
        </w:rPr>
      </w:pPr>
    </w:p>
    <w:p w14:paraId="111717D4">
      <w:pPr>
        <w:snapToGrid w:val="0"/>
        <w:spacing w:line="360" w:lineRule="auto"/>
        <w:ind w:firstLine="480" w:firstLineChars="200"/>
        <w:jc w:val="left"/>
        <w:rPr>
          <w:rFonts w:hint="eastAsia" w:ascii="仿宋_GB2312" w:hAnsi="仿宋_GB2312" w:eastAsia="仿宋_GB2312" w:cs="仿宋_GB2312"/>
          <w:sz w:val="24"/>
          <w:szCs w:val="24"/>
          <w:highlight w:val="none"/>
        </w:rPr>
      </w:pPr>
    </w:p>
    <w:p w14:paraId="771BBB15">
      <w:pPr>
        <w:pStyle w:val="24"/>
        <w:tabs>
          <w:tab w:val="left" w:pos="580"/>
        </w:tabs>
        <w:ind w:right="560"/>
        <w:jc w:val="center"/>
        <w:rPr>
          <w:rStyle w:val="54"/>
          <w:rFonts w:hint="eastAsia" w:ascii="仿宋_GB2312" w:hAnsi="仿宋_GB2312" w:eastAsia="仿宋_GB2312" w:cs="仿宋_GB2312"/>
          <w:highlight w:val="none"/>
        </w:rPr>
      </w:pPr>
    </w:p>
    <w:p w14:paraId="48469790">
      <w:pPr>
        <w:pStyle w:val="24"/>
        <w:tabs>
          <w:tab w:val="left" w:pos="580"/>
        </w:tabs>
        <w:ind w:right="560"/>
        <w:jc w:val="center"/>
        <w:rPr>
          <w:rStyle w:val="54"/>
          <w:rFonts w:hint="eastAsia" w:ascii="仿宋_GB2312" w:hAnsi="仿宋_GB2312" w:eastAsia="仿宋_GB2312" w:cs="仿宋_GB2312"/>
          <w:highlight w:val="none"/>
        </w:rPr>
      </w:pPr>
    </w:p>
    <w:p w14:paraId="2D8AF85E">
      <w:pPr>
        <w:pStyle w:val="24"/>
        <w:tabs>
          <w:tab w:val="left" w:pos="580"/>
        </w:tabs>
        <w:ind w:right="560"/>
        <w:jc w:val="center"/>
        <w:rPr>
          <w:rStyle w:val="54"/>
          <w:rFonts w:hint="eastAsia" w:ascii="仿宋_GB2312" w:hAnsi="仿宋_GB2312" w:eastAsia="仿宋_GB2312" w:cs="仿宋_GB2312"/>
          <w:highlight w:val="none"/>
        </w:rPr>
      </w:pPr>
    </w:p>
    <w:p w14:paraId="2FBB19A4">
      <w:pPr>
        <w:snapToGrid w:val="0"/>
        <w:spacing w:line="360" w:lineRule="auto"/>
        <w:ind w:firstLine="240" w:firstLineChars="100"/>
        <w:rPr>
          <w:rFonts w:hint="eastAsia" w:ascii="仿宋_GB2312" w:hAnsi="仿宋_GB2312" w:eastAsia="仿宋_GB2312" w:cs="仿宋_GB2312"/>
          <w:sz w:val="24"/>
          <w:szCs w:val="24"/>
          <w:highlight w:val="none"/>
        </w:rPr>
      </w:pPr>
    </w:p>
    <w:bookmarkEnd w:id="2"/>
    <w:p w14:paraId="7750CF6F">
      <w:pPr>
        <w:snapToGrid w:val="0"/>
        <w:spacing w:line="360" w:lineRule="auto"/>
        <w:ind w:firstLine="321" w:firstLineChars="100"/>
        <w:jc w:val="center"/>
        <w:rPr>
          <w:rStyle w:val="54"/>
          <w:rFonts w:hint="eastAsia" w:ascii="仿宋_GB2312" w:hAnsi="仿宋_GB2312" w:eastAsia="仿宋_GB2312" w:cs="仿宋_GB2312"/>
          <w:highlight w:val="none"/>
        </w:rPr>
      </w:pPr>
      <w:bookmarkStart w:id="19" w:name="_Toc54185497"/>
      <w:bookmarkStart w:id="20" w:name="_Hlk58231454"/>
      <w:r>
        <w:rPr>
          <w:rStyle w:val="54"/>
          <w:rFonts w:hint="eastAsia" w:ascii="仿宋_GB2312" w:hAnsi="仿宋_GB2312" w:eastAsia="仿宋_GB2312" w:cs="仿宋_GB2312"/>
          <w:highlight w:val="none"/>
        </w:rPr>
        <w:t>投标人参与投标的声明函</w:t>
      </w:r>
    </w:p>
    <w:p w14:paraId="1C68A7A9">
      <w:pPr>
        <w:pStyle w:val="24"/>
        <w:spacing w:line="520" w:lineRule="exact"/>
        <w:jc w:val="right"/>
        <w:rPr>
          <w:rFonts w:hint="eastAsia" w:ascii="仿宋_GB2312" w:hAnsi="仿宋_GB2312" w:eastAsia="仿宋_GB2312" w:cs="仿宋_GB2312"/>
          <w:b/>
          <w:bCs/>
          <w:sz w:val="28"/>
          <w:szCs w:val="28"/>
          <w:highlight w:val="none"/>
        </w:rPr>
      </w:pPr>
    </w:p>
    <w:p w14:paraId="6E065D49">
      <w:pPr>
        <w:pStyle w:val="24"/>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本单位郑重承诺如下：</w:t>
      </w:r>
    </w:p>
    <w:p w14:paraId="1DB55939">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1.具有独立承担民事责任的能力；</w:t>
      </w:r>
    </w:p>
    <w:p w14:paraId="75C41CA1">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2.具有良好的商业信誉和健全的财务会计制度；</w:t>
      </w:r>
    </w:p>
    <w:p w14:paraId="67B43843">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3.具有履行合同所必需的设备和专业技术能力；</w:t>
      </w:r>
    </w:p>
    <w:p w14:paraId="66A169D7">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4.有依法缴纳税收和社会保障资金的良好记录；</w:t>
      </w:r>
    </w:p>
    <w:p w14:paraId="2778C7C6">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5.参加本次采购活动前三年内，在经营活动中没有重大违法记录；</w:t>
      </w:r>
    </w:p>
    <w:p w14:paraId="5C6B61F8">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w:t>
      </w:r>
      <w:r>
        <w:rPr>
          <w:rFonts w:hint="eastAsia" w:ascii="仿宋_GB2312" w:hAnsi="仿宋_GB2312" w:eastAsia="仿宋_GB2312" w:cs="仿宋_GB2312"/>
          <w:sz w:val="24"/>
          <w:highlight w:val="none"/>
          <w:lang w:val="en-US" w:eastAsia="zh-CN"/>
        </w:rPr>
        <w:t>.</w:t>
      </w:r>
      <w:r>
        <w:rPr>
          <w:rFonts w:hint="eastAsia" w:ascii="仿宋_GB2312" w:hAnsi="仿宋_GB2312" w:eastAsia="仿宋_GB2312" w:cs="仿宋_GB2312"/>
          <w:sz w:val="24"/>
          <w:highlight w:val="none"/>
        </w:rPr>
        <w:t>投标单位及法人代表</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授权委托</w:t>
      </w:r>
      <w:r>
        <w:rPr>
          <w:rFonts w:hint="eastAsia" w:ascii="仿宋_GB2312" w:hAnsi="仿宋_GB2312" w:eastAsia="仿宋_GB2312" w:cs="仿宋_GB2312"/>
          <w:sz w:val="24"/>
          <w:highlight w:val="none"/>
        </w:rPr>
        <w:t>人未被最高法院列入失信被执行人；</w:t>
      </w:r>
    </w:p>
    <w:p w14:paraId="3273C10E">
      <w:pPr>
        <w:widowControl/>
        <w:snapToGrid w:val="0"/>
        <w:spacing w:line="360" w:lineRule="auto"/>
        <w:ind w:right="-197" w:rightChars="-94"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7</w:t>
      </w:r>
      <w:r>
        <w:rPr>
          <w:rFonts w:hint="eastAsia" w:ascii="仿宋_GB2312" w:hAnsi="仿宋_GB2312" w:eastAsia="仿宋_GB2312" w:cs="仿宋_GB2312"/>
          <w:sz w:val="24"/>
          <w:highlight w:val="none"/>
          <w:lang w:val="en-US" w:eastAsia="zh-CN"/>
        </w:rPr>
        <w:t>.</w:t>
      </w:r>
      <w:r>
        <w:rPr>
          <w:rFonts w:hint="eastAsia" w:ascii="仿宋_GB2312" w:hAnsi="仿宋_GB2312" w:eastAsia="仿宋_GB2312" w:cs="仿宋_GB2312"/>
          <w:sz w:val="24"/>
          <w:highlight w:val="none"/>
        </w:rPr>
        <w:t>投标单位近一年在“信用中国”或“信用中国（山东）”无严重失信记录；</w:t>
      </w:r>
    </w:p>
    <w:p w14:paraId="00066330">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8</w:t>
      </w:r>
      <w:r>
        <w:rPr>
          <w:rFonts w:hint="eastAsia" w:ascii="仿宋_GB2312" w:hAnsi="仿宋_GB2312" w:eastAsia="仿宋_GB2312" w:cs="仿宋_GB2312"/>
          <w:sz w:val="24"/>
          <w:highlight w:val="none"/>
          <w:lang w:val="en-US" w:eastAsia="zh-CN"/>
        </w:rPr>
        <w:t>.</w:t>
      </w:r>
      <w:r>
        <w:rPr>
          <w:rFonts w:hint="eastAsia" w:ascii="仿宋_GB2312" w:hAnsi="仿宋_GB2312" w:eastAsia="仿宋_GB2312" w:cs="仿宋_GB2312"/>
          <w:sz w:val="24"/>
          <w:highlight w:val="none"/>
        </w:rPr>
        <w:t>符合法律、行政法规及招标文件规定的其他要求；</w:t>
      </w:r>
    </w:p>
    <w:p w14:paraId="00100EFB">
      <w:pPr>
        <w:widowControl/>
        <w:snapToGrid w:val="0"/>
        <w:spacing w:line="360" w:lineRule="auto"/>
        <w:ind w:firstLine="5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9</w:t>
      </w:r>
      <w:r>
        <w:rPr>
          <w:rFonts w:hint="eastAsia" w:ascii="仿宋_GB2312" w:hAnsi="仿宋_GB2312" w:eastAsia="仿宋_GB2312" w:cs="仿宋_GB2312"/>
          <w:sz w:val="24"/>
          <w:highlight w:val="none"/>
          <w:lang w:val="en-US" w:eastAsia="zh-CN"/>
        </w:rPr>
        <w:t>.</w:t>
      </w:r>
      <w:r>
        <w:rPr>
          <w:rFonts w:hint="eastAsia" w:ascii="仿宋_GB2312" w:hAnsi="仿宋_GB2312" w:eastAsia="仿宋_GB2312" w:cs="仿宋_GB2312"/>
          <w:sz w:val="24"/>
          <w:highlight w:val="none"/>
        </w:rPr>
        <w:t>投标单位非联合体投标。</w:t>
      </w:r>
    </w:p>
    <w:p w14:paraId="00FFF91E">
      <w:pPr>
        <w:pStyle w:val="24"/>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若我单位提供虚假承诺，我单位同意所递交的投标文件作无效处理，并愿意接受通报，按照有关法律法规规定接受处罚，由此造成的一切经济责任和法律责任由我单位自行承担。</w:t>
      </w:r>
    </w:p>
    <w:p w14:paraId="5FED7067">
      <w:pPr>
        <w:pStyle w:val="24"/>
        <w:spacing w:line="460" w:lineRule="exact"/>
        <w:ind w:firstLine="480" w:firstLineChars="200"/>
        <w:rPr>
          <w:rFonts w:hint="eastAsia" w:ascii="仿宋_GB2312" w:hAnsi="仿宋_GB2312" w:eastAsia="仿宋_GB2312" w:cs="仿宋_GB2312"/>
          <w:sz w:val="24"/>
          <w:szCs w:val="24"/>
          <w:highlight w:val="none"/>
        </w:rPr>
      </w:pPr>
    </w:p>
    <w:p w14:paraId="7B751FDD">
      <w:pPr>
        <w:pStyle w:val="24"/>
        <w:spacing w:line="460" w:lineRule="exact"/>
        <w:ind w:firstLine="480" w:firstLineChars="200"/>
        <w:rPr>
          <w:rFonts w:hint="eastAsia" w:ascii="仿宋_GB2312" w:hAnsi="仿宋_GB2312" w:eastAsia="仿宋_GB2312" w:cs="仿宋_GB2312"/>
          <w:sz w:val="24"/>
          <w:szCs w:val="24"/>
          <w:highlight w:val="none"/>
        </w:rPr>
      </w:pPr>
    </w:p>
    <w:p w14:paraId="71E8CF6D">
      <w:pPr>
        <w:spacing w:line="460" w:lineRule="exact"/>
        <w:ind w:firstLine="3960" w:firstLineChars="16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投标人（盖章）： </w:t>
      </w:r>
    </w:p>
    <w:p w14:paraId="47A0691A">
      <w:pPr>
        <w:spacing w:line="460" w:lineRule="exact"/>
        <w:ind w:firstLine="3960" w:firstLineChars="1650"/>
        <w:rPr>
          <w:rFonts w:hint="eastAsia" w:ascii="仿宋_GB2312" w:hAnsi="仿宋_GB2312" w:eastAsia="仿宋_GB2312" w:cs="仿宋_GB2312"/>
          <w:sz w:val="24"/>
          <w:highlight w:val="none"/>
        </w:rPr>
      </w:pPr>
    </w:p>
    <w:p w14:paraId="5D77FA4A">
      <w:pPr>
        <w:spacing w:line="460" w:lineRule="exact"/>
        <w:ind w:firstLine="3960" w:firstLineChars="16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法定代表人（签字或盖章）：</w:t>
      </w:r>
    </w:p>
    <w:p w14:paraId="714CEBCE">
      <w:pPr>
        <w:spacing w:line="460" w:lineRule="exact"/>
        <w:ind w:firstLine="3373" w:firstLineChars="1400"/>
        <w:jc w:val="right"/>
        <w:rPr>
          <w:rFonts w:hint="eastAsia" w:ascii="仿宋_GB2312" w:hAnsi="仿宋_GB2312" w:eastAsia="仿宋_GB2312" w:cs="仿宋_GB2312"/>
          <w:b/>
          <w:bCs/>
          <w:sz w:val="24"/>
          <w:highlight w:val="none"/>
        </w:rPr>
      </w:pPr>
    </w:p>
    <w:p w14:paraId="6C6F05FE">
      <w:pPr>
        <w:pStyle w:val="24"/>
        <w:spacing w:line="460" w:lineRule="exact"/>
        <w:ind w:right="560"/>
        <w:jc w:val="righ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年   月   日</w:t>
      </w:r>
    </w:p>
    <w:p w14:paraId="069E93BD">
      <w:pPr>
        <w:pStyle w:val="24"/>
        <w:spacing w:line="460" w:lineRule="exact"/>
        <w:ind w:right="560"/>
        <w:jc w:val="right"/>
        <w:rPr>
          <w:rFonts w:hint="eastAsia" w:ascii="仿宋_GB2312" w:hAnsi="仿宋_GB2312" w:eastAsia="仿宋_GB2312" w:cs="仿宋_GB2312"/>
          <w:sz w:val="24"/>
          <w:szCs w:val="24"/>
          <w:highlight w:val="none"/>
        </w:rPr>
      </w:pPr>
    </w:p>
    <w:p w14:paraId="1D93863B">
      <w:pPr>
        <w:pStyle w:val="24"/>
        <w:spacing w:line="460" w:lineRule="exact"/>
        <w:ind w:right="560"/>
        <w:jc w:val="right"/>
        <w:rPr>
          <w:rFonts w:hint="eastAsia" w:ascii="仿宋_GB2312" w:hAnsi="仿宋_GB2312" w:eastAsia="仿宋_GB2312" w:cs="仿宋_GB2312"/>
          <w:sz w:val="24"/>
          <w:szCs w:val="24"/>
          <w:highlight w:val="none"/>
        </w:rPr>
      </w:pPr>
    </w:p>
    <w:p w14:paraId="0571823E">
      <w:pPr>
        <w:pStyle w:val="24"/>
        <w:spacing w:line="460" w:lineRule="exact"/>
        <w:ind w:right="560"/>
        <w:jc w:val="right"/>
        <w:rPr>
          <w:rFonts w:hint="eastAsia" w:ascii="仿宋_GB2312" w:hAnsi="仿宋_GB2312" w:eastAsia="仿宋_GB2312" w:cs="仿宋_GB2312"/>
          <w:sz w:val="24"/>
          <w:szCs w:val="24"/>
          <w:highlight w:val="none"/>
        </w:rPr>
      </w:pPr>
    </w:p>
    <w:p w14:paraId="199B5700">
      <w:pPr>
        <w:pStyle w:val="24"/>
        <w:spacing w:line="460" w:lineRule="exact"/>
        <w:ind w:right="560"/>
        <w:jc w:val="right"/>
        <w:rPr>
          <w:rFonts w:hint="eastAsia" w:ascii="仿宋_GB2312" w:hAnsi="仿宋_GB2312" w:eastAsia="仿宋_GB2312" w:cs="仿宋_GB2312"/>
          <w:sz w:val="24"/>
          <w:szCs w:val="24"/>
          <w:highlight w:val="none"/>
        </w:rPr>
      </w:pPr>
    </w:p>
    <w:p w14:paraId="0768355F">
      <w:pPr>
        <w:pStyle w:val="24"/>
        <w:spacing w:line="460" w:lineRule="exact"/>
        <w:ind w:right="560"/>
        <w:jc w:val="right"/>
        <w:rPr>
          <w:rFonts w:hint="eastAsia" w:ascii="仿宋_GB2312" w:hAnsi="仿宋_GB2312" w:eastAsia="仿宋_GB2312" w:cs="仿宋_GB2312"/>
          <w:sz w:val="24"/>
          <w:szCs w:val="24"/>
          <w:highlight w:val="none"/>
        </w:rPr>
      </w:pPr>
    </w:p>
    <w:p w14:paraId="1042AAE9">
      <w:pPr>
        <w:widowControl/>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br w:type="page"/>
      </w:r>
    </w:p>
    <w:p w14:paraId="3DABA46A">
      <w:pPr>
        <w:keepNext/>
        <w:keepLines/>
        <w:spacing w:before="120" w:after="120" w:line="560" w:lineRule="exact"/>
        <w:jc w:val="center"/>
        <w:outlineLvl w:val="2"/>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具有依法缴纳税收和社会保障资金的良好记录，附投标人近期的完税及交纳社保资金证明的复印件</w:t>
      </w:r>
    </w:p>
    <w:p w14:paraId="0B6A4A95">
      <w:pPr>
        <w:pStyle w:val="2"/>
        <w:rPr>
          <w:rStyle w:val="54"/>
          <w:rFonts w:hint="eastAsia" w:ascii="仿宋_GB2312" w:hAnsi="仿宋_GB2312" w:eastAsia="仿宋_GB2312" w:cs="仿宋_GB2312"/>
          <w:highlight w:val="none"/>
          <w:lang w:eastAsia="zh-CN"/>
        </w:rPr>
      </w:pPr>
      <w:r>
        <w:rPr>
          <w:rStyle w:val="54"/>
          <w:rFonts w:hint="eastAsia" w:ascii="仿宋_GB2312" w:hAnsi="仿宋_GB2312" w:eastAsia="仿宋_GB2312" w:cs="仿宋_GB2312"/>
          <w:highlight w:val="none"/>
          <w:lang w:eastAsia="zh-CN"/>
        </w:rPr>
        <w:br w:type="page"/>
      </w:r>
    </w:p>
    <w:p w14:paraId="3CED0DF9">
      <w:pPr>
        <w:jc w:val="center"/>
        <w:rPr>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投标人自行编制的</w:t>
      </w:r>
      <w:r>
        <w:rPr>
          <w:rStyle w:val="54"/>
          <w:rFonts w:hint="eastAsia" w:ascii="仿宋_GB2312" w:hAnsi="仿宋_GB2312" w:eastAsia="仿宋_GB2312" w:cs="仿宋_GB2312"/>
          <w:highlight w:val="none"/>
          <w:lang w:val="en-US" w:eastAsia="zh-CN"/>
        </w:rPr>
        <w:t>近一年度</w:t>
      </w:r>
      <w:r>
        <w:rPr>
          <w:rStyle w:val="54"/>
          <w:rFonts w:hint="eastAsia" w:ascii="仿宋_GB2312" w:hAnsi="仿宋_GB2312" w:eastAsia="仿宋_GB2312" w:cs="仿宋_GB2312"/>
          <w:highlight w:val="none"/>
        </w:rPr>
        <w:t>公司财务报表或由中介机构出具的近一年度财务审计报告书扫描件（2026年以后成立新公司须提供自成立至今的公司财务报表复印件）</w:t>
      </w:r>
    </w:p>
    <w:p w14:paraId="77477AF2">
      <w:pPr>
        <w:pStyle w:val="2"/>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br w:type="page"/>
      </w:r>
    </w:p>
    <w:p w14:paraId="253FD4DD">
      <w:pPr>
        <w:keepNext/>
        <w:keepLines/>
        <w:spacing w:before="120" w:after="120" w:line="560" w:lineRule="exact"/>
        <w:jc w:val="center"/>
        <w:outlineLvl w:val="2"/>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投标人、法定代表人、授权委托人未被最高法院列入失信被执行人网上截图(查询网址：http://zxgk.court.gov.cn/shixin/)；</w:t>
      </w:r>
    </w:p>
    <w:p w14:paraId="6826C64D">
      <w:pPr>
        <w:widowControl/>
        <w:snapToGrid w:val="0"/>
        <w:spacing w:line="360" w:lineRule="auto"/>
        <w:ind w:firstLine="556"/>
        <w:rPr>
          <w:rFonts w:hint="eastAsia" w:ascii="仿宋_GB2312" w:hAnsi="仿宋_GB2312" w:eastAsia="仿宋_GB2312" w:cs="仿宋_GB2312"/>
          <w:sz w:val="24"/>
          <w:highlight w:val="none"/>
        </w:rPr>
      </w:pPr>
    </w:p>
    <w:p w14:paraId="027D4813">
      <w:pPr>
        <w:widowControl/>
        <w:snapToGrid w:val="0"/>
        <w:spacing w:line="360" w:lineRule="auto"/>
        <w:ind w:firstLine="556"/>
        <w:rPr>
          <w:rFonts w:hint="eastAsia" w:ascii="仿宋_GB2312" w:hAnsi="仿宋_GB2312" w:eastAsia="仿宋_GB2312" w:cs="仿宋_GB2312"/>
          <w:sz w:val="24"/>
          <w:highlight w:val="none"/>
        </w:rPr>
      </w:pPr>
    </w:p>
    <w:p w14:paraId="45A7CB45">
      <w:pPr>
        <w:widowControl/>
        <w:snapToGrid w:val="0"/>
        <w:spacing w:line="360" w:lineRule="auto"/>
        <w:ind w:firstLine="556"/>
        <w:rPr>
          <w:rFonts w:hint="eastAsia" w:ascii="仿宋_GB2312" w:hAnsi="仿宋_GB2312" w:eastAsia="仿宋_GB2312" w:cs="仿宋_GB2312"/>
          <w:sz w:val="24"/>
          <w:highlight w:val="none"/>
        </w:rPr>
      </w:pPr>
    </w:p>
    <w:p w14:paraId="6D0872AC">
      <w:pPr>
        <w:widowControl/>
        <w:snapToGrid w:val="0"/>
        <w:spacing w:line="360" w:lineRule="auto"/>
        <w:ind w:firstLine="556"/>
        <w:rPr>
          <w:rFonts w:hint="eastAsia" w:ascii="仿宋_GB2312" w:hAnsi="仿宋_GB2312" w:eastAsia="仿宋_GB2312" w:cs="仿宋_GB2312"/>
          <w:sz w:val="24"/>
          <w:highlight w:val="none"/>
        </w:rPr>
      </w:pPr>
    </w:p>
    <w:p w14:paraId="6FE03C3F">
      <w:pPr>
        <w:widowControl/>
        <w:snapToGrid w:val="0"/>
        <w:spacing w:line="360" w:lineRule="auto"/>
        <w:ind w:firstLine="556"/>
        <w:rPr>
          <w:rFonts w:hint="eastAsia" w:ascii="仿宋_GB2312" w:hAnsi="仿宋_GB2312" w:eastAsia="仿宋_GB2312" w:cs="仿宋_GB2312"/>
          <w:sz w:val="24"/>
          <w:highlight w:val="none"/>
        </w:rPr>
      </w:pPr>
    </w:p>
    <w:p w14:paraId="6759DC64">
      <w:pPr>
        <w:widowControl/>
        <w:snapToGrid w:val="0"/>
        <w:spacing w:line="360" w:lineRule="auto"/>
        <w:ind w:firstLine="556"/>
        <w:rPr>
          <w:rFonts w:hint="eastAsia" w:ascii="仿宋_GB2312" w:hAnsi="仿宋_GB2312" w:eastAsia="仿宋_GB2312" w:cs="仿宋_GB2312"/>
          <w:sz w:val="24"/>
          <w:highlight w:val="none"/>
        </w:rPr>
      </w:pPr>
    </w:p>
    <w:p w14:paraId="0EB2A451">
      <w:pPr>
        <w:widowControl/>
        <w:snapToGrid w:val="0"/>
        <w:spacing w:line="360" w:lineRule="auto"/>
        <w:ind w:firstLine="556"/>
        <w:rPr>
          <w:rFonts w:hint="eastAsia" w:ascii="仿宋_GB2312" w:hAnsi="仿宋_GB2312" w:eastAsia="仿宋_GB2312" w:cs="仿宋_GB2312"/>
          <w:sz w:val="24"/>
          <w:highlight w:val="none"/>
        </w:rPr>
      </w:pPr>
    </w:p>
    <w:p w14:paraId="38A1E66C">
      <w:pPr>
        <w:widowControl/>
        <w:snapToGrid w:val="0"/>
        <w:spacing w:line="360" w:lineRule="auto"/>
        <w:ind w:firstLine="556"/>
        <w:rPr>
          <w:rFonts w:hint="eastAsia" w:ascii="仿宋_GB2312" w:hAnsi="仿宋_GB2312" w:eastAsia="仿宋_GB2312" w:cs="仿宋_GB2312"/>
          <w:sz w:val="24"/>
          <w:highlight w:val="none"/>
        </w:rPr>
      </w:pPr>
    </w:p>
    <w:p w14:paraId="46D3DAFE">
      <w:pPr>
        <w:widowControl/>
        <w:snapToGrid w:val="0"/>
        <w:spacing w:line="360" w:lineRule="auto"/>
        <w:ind w:firstLine="556"/>
        <w:rPr>
          <w:rFonts w:hint="eastAsia" w:ascii="仿宋_GB2312" w:hAnsi="仿宋_GB2312" w:eastAsia="仿宋_GB2312" w:cs="仿宋_GB2312"/>
          <w:sz w:val="24"/>
          <w:highlight w:val="none"/>
        </w:rPr>
      </w:pPr>
    </w:p>
    <w:p w14:paraId="4385DAF8">
      <w:pPr>
        <w:widowControl/>
        <w:snapToGrid w:val="0"/>
        <w:spacing w:line="360" w:lineRule="auto"/>
        <w:ind w:firstLine="556"/>
        <w:rPr>
          <w:rFonts w:hint="eastAsia" w:ascii="仿宋_GB2312" w:hAnsi="仿宋_GB2312" w:eastAsia="仿宋_GB2312" w:cs="仿宋_GB2312"/>
          <w:sz w:val="24"/>
          <w:highlight w:val="none"/>
        </w:rPr>
      </w:pPr>
    </w:p>
    <w:p w14:paraId="18BEA20B">
      <w:pPr>
        <w:widowControl/>
        <w:snapToGrid w:val="0"/>
        <w:spacing w:line="360" w:lineRule="auto"/>
        <w:ind w:firstLine="556"/>
        <w:rPr>
          <w:rFonts w:hint="eastAsia" w:ascii="仿宋_GB2312" w:hAnsi="仿宋_GB2312" w:eastAsia="仿宋_GB2312" w:cs="仿宋_GB2312"/>
          <w:sz w:val="24"/>
          <w:highlight w:val="none"/>
        </w:rPr>
      </w:pPr>
    </w:p>
    <w:p w14:paraId="0E64E284">
      <w:pPr>
        <w:widowControl/>
        <w:snapToGrid w:val="0"/>
        <w:spacing w:line="360" w:lineRule="auto"/>
        <w:ind w:firstLine="556"/>
        <w:rPr>
          <w:rFonts w:hint="eastAsia" w:ascii="仿宋_GB2312" w:hAnsi="仿宋_GB2312" w:eastAsia="仿宋_GB2312" w:cs="仿宋_GB2312"/>
          <w:sz w:val="24"/>
          <w:highlight w:val="none"/>
        </w:rPr>
      </w:pPr>
    </w:p>
    <w:p w14:paraId="639FB70F">
      <w:pPr>
        <w:widowControl/>
        <w:snapToGrid w:val="0"/>
        <w:spacing w:line="360" w:lineRule="auto"/>
        <w:ind w:firstLine="556"/>
        <w:rPr>
          <w:rFonts w:hint="eastAsia" w:ascii="仿宋_GB2312" w:hAnsi="仿宋_GB2312" w:eastAsia="仿宋_GB2312" w:cs="仿宋_GB2312"/>
          <w:sz w:val="24"/>
          <w:highlight w:val="none"/>
        </w:rPr>
      </w:pPr>
    </w:p>
    <w:p w14:paraId="4598408B">
      <w:pPr>
        <w:widowControl/>
        <w:snapToGrid w:val="0"/>
        <w:spacing w:line="360" w:lineRule="auto"/>
        <w:ind w:firstLine="556"/>
        <w:rPr>
          <w:rFonts w:hint="eastAsia" w:ascii="仿宋_GB2312" w:hAnsi="仿宋_GB2312" w:eastAsia="仿宋_GB2312" w:cs="仿宋_GB2312"/>
          <w:sz w:val="24"/>
          <w:highlight w:val="none"/>
        </w:rPr>
      </w:pPr>
    </w:p>
    <w:p w14:paraId="4C760282">
      <w:pPr>
        <w:widowControl/>
        <w:snapToGrid w:val="0"/>
        <w:spacing w:line="360" w:lineRule="auto"/>
        <w:ind w:firstLine="556"/>
        <w:rPr>
          <w:rFonts w:hint="eastAsia" w:ascii="仿宋_GB2312" w:hAnsi="仿宋_GB2312" w:eastAsia="仿宋_GB2312" w:cs="仿宋_GB2312"/>
          <w:sz w:val="24"/>
          <w:highlight w:val="none"/>
        </w:rPr>
      </w:pPr>
    </w:p>
    <w:p w14:paraId="74157C9C">
      <w:pPr>
        <w:widowControl/>
        <w:snapToGrid w:val="0"/>
        <w:spacing w:line="360" w:lineRule="auto"/>
        <w:ind w:firstLine="556"/>
        <w:rPr>
          <w:rFonts w:hint="eastAsia" w:ascii="仿宋_GB2312" w:hAnsi="仿宋_GB2312" w:eastAsia="仿宋_GB2312" w:cs="仿宋_GB2312"/>
          <w:sz w:val="24"/>
          <w:highlight w:val="none"/>
        </w:rPr>
      </w:pPr>
    </w:p>
    <w:p w14:paraId="5C24BF88">
      <w:pPr>
        <w:widowControl/>
        <w:snapToGrid w:val="0"/>
        <w:spacing w:line="360" w:lineRule="auto"/>
        <w:ind w:firstLine="556"/>
        <w:rPr>
          <w:rFonts w:hint="eastAsia" w:ascii="仿宋_GB2312" w:hAnsi="仿宋_GB2312" w:eastAsia="仿宋_GB2312" w:cs="仿宋_GB2312"/>
          <w:sz w:val="24"/>
          <w:highlight w:val="none"/>
        </w:rPr>
      </w:pPr>
    </w:p>
    <w:p w14:paraId="49D742E4">
      <w:pPr>
        <w:widowControl/>
        <w:snapToGrid w:val="0"/>
        <w:spacing w:line="360" w:lineRule="auto"/>
        <w:ind w:firstLine="556"/>
        <w:rPr>
          <w:rFonts w:hint="eastAsia" w:ascii="仿宋_GB2312" w:hAnsi="仿宋_GB2312" w:eastAsia="仿宋_GB2312" w:cs="仿宋_GB2312"/>
          <w:sz w:val="24"/>
          <w:highlight w:val="none"/>
        </w:rPr>
      </w:pPr>
    </w:p>
    <w:p w14:paraId="50F5E9F8">
      <w:pPr>
        <w:widowControl/>
        <w:snapToGrid w:val="0"/>
        <w:spacing w:line="360" w:lineRule="auto"/>
        <w:ind w:firstLine="556"/>
        <w:rPr>
          <w:rFonts w:hint="eastAsia" w:ascii="仿宋_GB2312" w:hAnsi="仿宋_GB2312" w:eastAsia="仿宋_GB2312" w:cs="仿宋_GB2312"/>
          <w:sz w:val="24"/>
          <w:highlight w:val="none"/>
        </w:rPr>
      </w:pPr>
    </w:p>
    <w:p w14:paraId="254E7837">
      <w:pPr>
        <w:widowControl/>
        <w:snapToGrid w:val="0"/>
        <w:spacing w:line="360" w:lineRule="auto"/>
        <w:ind w:firstLine="556"/>
        <w:rPr>
          <w:rFonts w:hint="eastAsia" w:ascii="仿宋_GB2312" w:hAnsi="仿宋_GB2312" w:eastAsia="仿宋_GB2312" w:cs="仿宋_GB2312"/>
          <w:sz w:val="24"/>
          <w:highlight w:val="none"/>
        </w:rPr>
      </w:pPr>
    </w:p>
    <w:p w14:paraId="34004E13">
      <w:pPr>
        <w:widowControl/>
        <w:snapToGrid w:val="0"/>
        <w:spacing w:line="360" w:lineRule="auto"/>
        <w:ind w:firstLine="556"/>
        <w:rPr>
          <w:rFonts w:hint="eastAsia" w:ascii="仿宋_GB2312" w:hAnsi="仿宋_GB2312" w:eastAsia="仿宋_GB2312" w:cs="仿宋_GB2312"/>
          <w:sz w:val="24"/>
          <w:highlight w:val="none"/>
        </w:rPr>
      </w:pPr>
    </w:p>
    <w:p w14:paraId="3D5576BE">
      <w:pPr>
        <w:widowControl/>
        <w:snapToGrid w:val="0"/>
        <w:spacing w:line="360" w:lineRule="auto"/>
        <w:ind w:firstLine="556"/>
        <w:rPr>
          <w:rFonts w:hint="eastAsia" w:ascii="仿宋_GB2312" w:hAnsi="仿宋_GB2312" w:eastAsia="仿宋_GB2312" w:cs="仿宋_GB2312"/>
          <w:sz w:val="24"/>
          <w:highlight w:val="none"/>
        </w:rPr>
      </w:pPr>
    </w:p>
    <w:p w14:paraId="65A7C39D">
      <w:pPr>
        <w:widowControl/>
        <w:snapToGrid w:val="0"/>
        <w:spacing w:line="360" w:lineRule="auto"/>
        <w:ind w:firstLine="556"/>
        <w:rPr>
          <w:rFonts w:hint="eastAsia" w:ascii="仿宋_GB2312" w:hAnsi="仿宋_GB2312" w:eastAsia="仿宋_GB2312" w:cs="仿宋_GB2312"/>
          <w:sz w:val="24"/>
          <w:highlight w:val="none"/>
        </w:rPr>
      </w:pPr>
    </w:p>
    <w:p w14:paraId="07531C26">
      <w:pPr>
        <w:widowControl/>
        <w:snapToGrid w:val="0"/>
        <w:spacing w:line="360" w:lineRule="auto"/>
        <w:ind w:firstLine="556"/>
        <w:rPr>
          <w:rFonts w:hint="eastAsia" w:ascii="仿宋_GB2312" w:hAnsi="仿宋_GB2312" w:eastAsia="仿宋_GB2312" w:cs="仿宋_GB2312"/>
          <w:sz w:val="24"/>
          <w:highlight w:val="none"/>
        </w:rPr>
      </w:pPr>
    </w:p>
    <w:p w14:paraId="08832FA0">
      <w:pPr>
        <w:pStyle w:val="2"/>
        <w:rPr>
          <w:rFonts w:hint="eastAsia" w:ascii="仿宋_GB2312" w:hAnsi="仿宋_GB2312" w:eastAsia="仿宋_GB2312" w:cs="仿宋_GB2312"/>
          <w:highlight w:val="none"/>
          <w:lang w:eastAsia="zh-CN"/>
        </w:rPr>
      </w:pPr>
    </w:p>
    <w:p w14:paraId="2EBE8C06">
      <w:pPr>
        <w:keepNext/>
        <w:keepLines/>
        <w:spacing w:before="120" w:after="120" w:line="560" w:lineRule="exact"/>
        <w:jc w:val="center"/>
        <w:outlineLvl w:val="2"/>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投标人近一年在“信用中国”或“信用中国（山东）”无严重失信记录；附信用中国（www.creditchina.gov.cn）或信用中国（山东）（credit.shandong.gov.cn ）查询的信用信息报告</w:t>
      </w:r>
    </w:p>
    <w:p w14:paraId="0FF31B74">
      <w:pPr>
        <w:pStyle w:val="24"/>
        <w:spacing w:line="460" w:lineRule="exact"/>
        <w:ind w:right="560"/>
        <w:jc w:val="right"/>
        <w:rPr>
          <w:rFonts w:hint="eastAsia" w:ascii="仿宋_GB2312" w:hAnsi="仿宋_GB2312" w:eastAsia="仿宋_GB2312" w:cs="仿宋_GB2312"/>
          <w:sz w:val="24"/>
          <w:szCs w:val="24"/>
          <w:highlight w:val="none"/>
        </w:rPr>
      </w:pPr>
    </w:p>
    <w:p w14:paraId="7D35C20B">
      <w:pPr>
        <w:pStyle w:val="24"/>
        <w:spacing w:line="460" w:lineRule="exact"/>
        <w:ind w:right="560"/>
        <w:jc w:val="right"/>
        <w:rPr>
          <w:rFonts w:hint="eastAsia" w:ascii="仿宋_GB2312" w:hAnsi="仿宋_GB2312" w:eastAsia="仿宋_GB2312" w:cs="仿宋_GB2312"/>
          <w:sz w:val="24"/>
          <w:szCs w:val="24"/>
          <w:highlight w:val="none"/>
        </w:rPr>
      </w:pPr>
    </w:p>
    <w:p w14:paraId="720575ED">
      <w:pPr>
        <w:pStyle w:val="24"/>
        <w:spacing w:line="460" w:lineRule="exact"/>
        <w:ind w:right="560"/>
        <w:jc w:val="right"/>
        <w:rPr>
          <w:rFonts w:hint="eastAsia" w:ascii="仿宋_GB2312" w:hAnsi="仿宋_GB2312" w:eastAsia="仿宋_GB2312" w:cs="仿宋_GB2312"/>
          <w:sz w:val="24"/>
          <w:szCs w:val="24"/>
          <w:highlight w:val="none"/>
        </w:rPr>
      </w:pPr>
    </w:p>
    <w:p w14:paraId="09F01BB7">
      <w:pPr>
        <w:pStyle w:val="24"/>
        <w:spacing w:line="460" w:lineRule="exact"/>
        <w:ind w:right="560"/>
        <w:jc w:val="right"/>
        <w:rPr>
          <w:rFonts w:hint="eastAsia" w:ascii="仿宋_GB2312" w:hAnsi="仿宋_GB2312" w:eastAsia="仿宋_GB2312" w:cs="仿宋_GB2312"/>
          <w:sz w:val="24"/>
          <w:szCs w:val="24"/>
          <w:highlight w:val="none"/>
        </w:rPr>
      </w:pPr>
    </w:p>
    <w:p w14:paraId="3D49D100">
      <w:pPr>
        <w:pStyle w:val="24"/>
        <w:spacing w:line="460" w:lineRule="exact"/>
        <w:ind w:right="560"/>
        <w:jc w:val="right"/>
        <w:rPr>
          <w:rFonts w:hint="eastAsia" w:ascii="仿宋_GB2312" w:hAnsi="仿宋_GB2312" w:eastAsia="仿宋_GB2312" w:cs="仿宋_GB2312"/>
          <w:sz w:val="24"/>
          <w:szCs w:val="24"/>
          <w:highlight w:val="none"/>
        </w:rPr>
      </w:pPr>
    </w:p>
    <w:p w14:paraId="0A48C59C">
      <w:pPr>
        <w:pStyle w:val="24"/>
        <w:spacing w:line="460" w:lineRule="exact"/>
        <w:ind w:right="560"/>
        <w:jc w:val="right"/>
        <w:rPr>
          <w:rFonts w:hint="eastAsia" w:ascii="仿宋_GB2312" w:hAnsi="仿宋_GB2312" w:eastAsia="仿宋_GB2312" w:cs="仿宋_GB2312"/>
          <w:sz w:val="24"/>
          <w:szCs w:val="24"/>
          <w:highlight w:val="none"/>
        </w:rPr>
      </w:pPr>
    </w:p>
    <w:p w14:paraId="0A6011DB">
      <w:pPr>
        <w:pStyle w:val="24"/>
        <w:spacing w:line="460" w:lineRule="exact"/>
        <w:ind w:right="560"/>
        <w:jc w:val="right"/>
        <w:rPr>
          <w:rFonts w:hint="eastAsia" w:ascii="仿宋_GB2312" w:hAnsi="仿宋_GB2312" w:eastAsia="仿宋_GB2312" w:cs="仿宋_GB2312"/>
          <w:sz w:val="24"/>
          <w:szCs w:val="24"/>
          <w:highlight w:val="none"/>
        </w:rPr>
      </w:pPr>
    </w:p>
    <w:p w14:paraId="3E059F19">
      <w:pPr>
        <w:pStyle w:val="24"/>
        <w:spacing w:line="460" w:lineRule="exact"/>
        <w:ind w:right="560"/>
        <w:jc w:val="right"/>
        <w:rPr>
          <w:rFonts w:hint="eastAsia" w:ascii="仿宋_GB2312" w:hAnsi="仿宋_GB2312" w:eastAsia="仿宋_GB2312" w:cs="仿宋_GB2312"/>
          <w:sz w:val="24"/>
          <w:szCs w:val="24"/>
          <w:highlight w:val="none"/>
        </w:rPr>
      </w:pPr>
    </w:p>
    <w:p w14:paraId="68544260">
      <w:pPr>
        <w:pStyle w:val="24"/>
        <w:spacing w:line="460" w:lineRule="exact"/>
        <w:ind w:right="560"/>
        <w:jc w:val="right"/>
        <w:rPr>
          <w:rFonts w:hint="eastAsia" w:ascii="仿宋_GB2312" w:hAnsi="仿宋_GB2312" w:eastAsia="仿宋_GB2312" w:cs="仿宋_GB2312"/>
          <w:sz w:val="24"/>
          <w:szCs w:val="24"/>
          <w:highlight w:val="none"/>
        </w:rPr>
      </w:pPr>
    </w:p>
    <w:p w14:paraId="1D004753">
      <w:pPr>
        <w:pStyle w:val="24"/>
        <w:spacing w:line="460" w:lineRule="exact"/>
        <w:ind w:right="560"/>
        <w:jc w:val="right"/>
        <w:rPr>
          <w:rFonts w:hint="eastAsia" w:ascii="仿宋_GB2312" w:hAnsi="仿宋_GB2312" w:eastAsia="仿宋_GB2312" w:cs="仿宋_GB2312"/>
          <w:sz w:val="24"/>
          <w:szCs w:val="24"/>
          <w:highlight w:val="none"/>
        </w:rPr>
      </w:pPr>
    </w:p>
    <w:p w14:paraId="7EA488B3">
      <w:pPr>
        <w:pStyle w:val="24"/>
        <w:spacing w:line="460" w:lineRule="exact"/>
        <w:ind w:right="560"/>
        <w:jc w:val="right"/>
        <w:rPr>
          <w:rFonts w:hint="eastAsia" w:ascii="仿宋_GB2312" w:hAnsi="仿宋_GB2312" w:eastAsia="仿宋_GB2312" w:cs="仿宋_GB2312"/>
          <w:sz w:val="24"/>
          <w:szCs w:val="24"/>
          <w:highlight w:val="none"/>
        </w:rPr>
      </w:pPr>
    </w:p>
    <w:p w14:paraId="13DB12B1">
      <w:pPr>
        <w:pStyle w:val="24"/>
        <w:spacing w:line="460" w:lineRule="exact"/>
        <w:ind w:right="560"/>
        <w:jc w:val="right"/>
        <w:rPr>
          <w:rFonts w:hint="eastAsia" w:ascii="仿宋_GB2312" w:hAnsi="仿宋_GB2312" w:eastAsia="仿宋_GB2312" w:cs="仿宋_GB2312"/>
          <w:sz w:val="24"/>
          <w:szCs w:val="24"/>
          <w:highlight w:val="none"/>
        </w:rPr>
      </w:pPr>
    </w:p>
    <w:p w14:paraId="44E92CE4">
      <w:pPr>
        <w:pStyle w:val="24"/>
        <w:spacing w:line="460" w:lineRule="exact"/>
        <w:ind w:right="560"/>
        <w:jc w:val="right"/>
        <w:rPr>
          <w:rFonts w:hint="eastAsia" w:ascii="仿宋_GB2312" w:hAnsi="仿宋_GB2312" w:eastAsia="仿宋_GB2312" w:cs="仿宋_GB2312"/>
          <w:sz w:val="24"/>
          <w:szCs w:val="24"/>
          <w:highlight w:val="none"/>
        </w:rPr>
      </w:pPr>
    </w:p>
    <w:p w14:paraId="4F6E5694">
      <w:pPr>
        <w:pStyle w:val="24"/>
        <w:spacing w:line="460" w:lineRule="exact"/>
        <w:ind w:right="560"/>
        <w:jc w:val="right"/>
        <w:rPr>
          <w:rFonts w:hint="eastAsia" w:ascii="仿宋_GB2312" w:hAnsi="仿宋_GB2312" w:eastAsia="仿宋_GB2312" w:cs="仿宋_GB2312"/>
          <w:sz w:val="24"/>
          <w:szCs w:val="24"/>
          <w:highlight w:val="none"/>
        </w:rPr>
      </w:pPr>
    </w:p>
    <w:p w14:paraId="0A2086A6">
      <w:pPr>
        <w:pStyle w:val="24"/>
        <w:spacing w:line="460" w:lineRule="exact"/>
        <w:ind w:right="560"/>
        <w:jc w:val="right"/>
        <w:rPr>
          <w:rFonts w:hint="eastAsia" w:ascii="仿宋_GB2312" w:hAnsi="仿宋_GB2312" w:eastAsia="仿宋_GB2312" w:cs="仿宋_GB2312"/>
          <w:sz w:val="24"/>
          <w:szCs w:val="24"/>
          <w:highlight w:val="none"/>
        </w:rPr>
      </w:pPr>
    </w:p>
    <w:p w14:paraId="75D84890">
      <w:pPr>
        <w:pStyle w:val="24"/>
        <w:spacing w:line="460" w:lineRule="exact"/>
        <w:ind w:right="560"/>
        <w:jc w:val="right"/>
        <w:rPr>
          <w:rFonts w:hint="eastAsia" w:ascii="仿宋_GB2312" w:hAnsi="仿宋_GB2312" w:eastAsia="仿宋_GB2312" w:cs="仿宋_GB2312"/>
          <w:sz w:val="24"/>
          <w:szCs w:val="24"/>
          <w:highlight w:val="none"/>
        </w:rPr>
      </w:pPr>
    </w:p>
    <w:p w14:paraId="156D3882">
      <w:pPr>
        <w:pStyle w:val="24"/>
        <w:spacing w:line="460" w:lineRule="exact"/>
        <w:ind w:right="560"/>
        <w:jc w:val="right"/>
        <w:rPr>
          <w:rFonts w:hint="eastAsia" w:ascii="仿宋_GB2312" w:hAnsi="仿宋_GB2312" w:eastAsia="仿宋_GB2312" w:cs="仿宋_GB2312"/>
          <w:sz w:val="24"/>
          <w:szCs w:val="24"/>
          <w:highlight w:val="none"/>
        </w:rPr>
      </w:pPr>
    </w:p>
    <w:p w14:paraId="0C9068C0">
      <w:pPr>
        <w:pStyle w:val="24"/>
        <w:spacing w:line="460" w:lineRule="exact"/>
        <w:ind w:right="560"/>
        <w:jc w:val="right"/>
        <w:rPr>
          <w:rFonts w:hint="eastAsia" w:ascii="仿宋_GB2312" w:hAnsi="仿宋_GB2312" w:eastAsia="仿宋_GB2312" w:cs="仿宋_GB2312"/>
          <w:sz w:val="24"/>
          <w:szCs w:val="24"/>
          <w:highlight w:val="none"/>
        </w:rPr>
      </w:pPr>
    </w:p>
    <w:p w14:paraId="265930F4">
      <w:pPr>
        <w:pStyle w:val="24"/>
        <w:spacing w:line="460" w:lineRule="exact"/>
        <w:ind w:right="560"/>
        <w:jc w:val="right"/>
        <w:rPr>
          <w:rFonts w:hint="eastAsia" w:ascii="仿宋_GB2312" w:hAnsi="仿宋_GB2312" w:eastAsia="仿宋_GB2312" w:cs="仿宋_GB2312"/>
          <w:sz w:val="24"/>
          <w:szCs w:val="24"/>
          <w:highlight w:val="none"/>
        </w:rPr>
      </w:pPr>
    </w:p>
    <w:p w14:paraId="64F3811F">
      <w:pPr>
        <w:pStyle w:val="24"/>
        <w:spacing w:line="460" w:lineRule="exact"/>
        <w:ind w:right="560"/>
        <w:jc w:val="right"/>
        <w:rPr>
          <w:rFonts w:hint="eastAsia" w:ascii="仿宋_GB2312" w:hAnsi="仿宋_GB2312" w:eastAsia="仿宋_GB2312" w:cs="仿宋_GB2312"/>
          <w:sz w:val="24"/>
          <w:szCs w:val="24"/>
          <w:highlight w:val="none"/>
        </w:rPr>
      </w:pPr>
    </w:p>
    <w:p w14:paraId="1539CB52">
      <w:pPr>
        <w:pStyle w:val="24"/>
        <w:spacing w:line="460" w:lineRule="exact"/>
        <w:ind w:right="560"/>
        <w:jc w:val="right"/>
        <w:rPr>
          <w:rFonts w:hint="eastAsia" w:ascii="仿宋_GB2312" w:hAnsi="仿宋_GB2312" w:eastAsia="仿宋_GB2312" w:cs="仿宋_GB2312"/>
          <w:sz w:val="24"/>
          <w:szCs w:val="24"/>
          <w:highlight w:val="none"/>
        </w:rPr>
      </w:pPr>
    </w:p>
    <w:p w14:paraId="0459419B">
      <w:pPr>
        <w:pStyle w:val="24"/>
        <w:spacing w:line="460" w:lineRule="exact"/>
        <w:ind w:right="560"/>
        <w:jc w:val="right"/>
        <w:rPr>
          <w:rFonts w:hint="eastAsia" w:ascii="仿宋_GB2312" w:hAnsi="仿宋_GB2312" w:eastAsia="仿宋_GB2312" w:cs="仿宋_GB2312"/>
          <w:sz w:val="24"/>
          <w:szCs w:val="24"/>
          <w:highlight w:val="none"/>
        </w:rPr>
      </w:pPr>
    </w:p>
    <w:p w14:paraId="45323E6E">
      <w:pPr>
        <w:pStyle w:val="24"/>
        <w:spacing w:line="460" w:lineRule="exact"/>
        <w:ind w:right="560"/>
        <w:jc w:val="right"/>
        <w:rPr>
          <w:rFonts w:hint="eastAsia" w:ascii="仿宋_GB2312" w:hAnsi="仿宋_GB2312" w:eastAsia="仿宋_GB2312" w:cs="仿宋_GB2312"/>
          <w:sz w:val="24"/>
          <w:szCs w:val="24"/>
          <w:highlight w:val="none"/>
        </w:rPr>
      </w:pPr>
    </w:p>
    <w:p w14:paraId="06E40FBB">
      <w:pPr>
        <w:pStyle w:val="24"/>
        <w:spacing w:line="460" w:lineRule="exact"/>
        <w:ind w:right="560"/>
        <w:jc w:val="right"/>
        <w:rPr>
          <w:rFonts w:hint="eastAsia" w:ascii="仿宋_GB2312" w:hAnsi="仿宋_GB2312" w:eastAsia="仿宋_GB2312" w:cs="仿宋_GB2312"/>
          <w:sz w:val="24"/>
          <w:szCs w:val="24"/>
          <w:highlight w:val="none"/>
        </w:rPr>
      </w:pPr>
    </w:p>
    <w:p w14:paraId="5CAF1AD1">
      <w:pPr>
        <w:pStyle w:val="24"/>
        <w:spacing w:line="460" w:lineRule="exact"/>
        <w:ind w:right="560"/>
        <w:jc w:val="right"/>
        <w:rPr>
          <w:rFonts w:hint="eastAsia" w:ascii="仿宋_GB2312" w:hAnsi="仿宋_GB2312" w:eastAsia="仿宋_GB2312" w:cs="仿宋_GB2312"/>
          <w:sz w:val="24"/>
          <w:szCs w:val="24"/>
          <w:highlight w:val="none"/>
        </w:rPr>
      </w:pPr>
    </w:p>
    <w:p w14:paraId="2DC8214C">
      <w:pPr>
        <w:keepNext/>
        <w:keepLines/>
        <w:spacing w:before="120" w:after="120" w:line="560" w:lineRule="exact"/>
        <w:jc w:val="center"/>
        <w:outlineLvl w:val="2"/>
        <w:rPr>
          <w:rStyle w:val="54"/>
          <w:rFonts w:hint="eastAsia" w:ascii="仿宋_GB2312" w:hAnsi="仿宋_GB2312" w:eastAsia="仿宋_GB2312" w:cs="仿宋_GB2312"/>
          <w:color w:val="FF0000"/>
          <w:highlight w:val="none"/>
        </w:rPr>
      </w:pPr>
      <w:r>
        <w:rPr>
          <w:rStyle w:val="54"/>
          <w:rFonts w:hint="eastAsia" w:ascii="仿宋_GB2312" w:hAnsi="仿宋_GB2312" w:eastAsia="仿宋_GB2312" w:cs="仿宋_GB2312"/>
          <w:highlight w:val="none"/>
        </w:rPr>
        <w:t>交纳投标保证金的证明材料（两者缺一不可）：a.企业银行基本账户开户证明（如开户许可证或银行开户证明等）、b.电汇凭证或电子汇款截图扫描件</w:t>
      </w:r>
    </w:p>
    <w:p w14:paraId="4B489F82">
      <w:pPr>
        <w:pStyle w:val="13"/>
        <w:ind w:firstLine="400"/>
        <w:rPr>
          <w:rFonts w:hint="eastAsia" w:ascii="仿宋_GB2312" w:hAnsi="仿宋_GB2312" w:eastAsia="仿宋_GB2312" w:cs="仿宋_GB2312"/>
          <w:highlight w:val="none"/>
        </w:rPr>
      </w:pPr>
      <w:r>
        <w:rPr>
          <w:rFonts w:hint="eastAsia" w:ascii="仿宋_GB2312" w:hAnsi="仿宋_GB2312" w:eastAsia="仿宋_GB2312" w:cs="仿宋_GB2312"/>
          <w:highlight w:val="none"/>
        </w:rPr>
        <w:br w:type="page"/>
      </w:r>
    </w:p>
    <w:bookmarkEnd w:id="19"/>
    <w:bookmarkEnd w:id="20"/>
    <w:p w14:paraId="2A1A2888">
      <w:pPr>
        <w:pStyle w:val="24"/>
        <w:tabs>
          <w:tab w:val="left" w:pos="580"/>
        </w:tabs>
        <w:ind w:right="560"/>
        <w:jc w:val="center"/>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 xml:space="preserve">投标人基本情况表 </w:t>
      </w:r>
    </w:p>
    <w:p w14:paraId="1C22BFD9">
      <w:pPr>
        <w:pStyle w:val="24"/>
        <w:tabs>
          <w:tab w:val="left" w:pos="580"/>
        </w:tabs>
        <w:ind w:right="560"/>
        <w:jc w:val="center"/>
        <w:rPr>
          <w:rFonts w:hint="eastAsia" w:ascii="仿宋_GB2312" w:hAnsi="仿宋_GB2312" w:eastAsia="仿宋_GB2312" w:cs="仿宋_GB2312"/>
          <w:b/>
          <w:bCs/>
          <w:sz w:val="24"/>
          <w:szCs w:val="24"/>
          <w:highlight w:val="none"/>
        </w:rPr>
      </w:pPr>
    </w:p>
    <w:tbl>
      <w:tblPr>
        <w:tblStyle w:val="43"/>
        <w:tblW w:w="8844" w:type="dxa"/>
        <w:tblInd w:w="0" w:type="dxa"/>
        <w:tblLayout w:type="fixed"/>
        <w:tblCellMar>
          <w:top w:w="0" w:type="dxa"/>
          <w:left w:w="108" w:type="dxa"/>
          <w:bottom w:w="0" w:type="dxa"/>
          <w:right w:w="108" w:type="dxa"/>
        </w:tblCellMar>
      </w:tblPr>
      <w:tblGrid>
        <w:gridCol w:w="1819"/>
        <w:gridCol w:w="1130"/>
        <w:gridCol w:w="815"/>
        <w:gridCol w:w="1326"/>
        <w:gridCol w:w="329"/>
        <w:gridCol w:w="1298"/>
        <w:gridCol w:w="837"/>
        <w:gridCol w:w="1290"/>
      </w:tblGrid>
      <w:tr w14:paraId="45AC7361">
        <w:tblPrEx>
          <w:tblCellMar>
            <w:top w:w="0" w:type="dxa"/>
            <w:left w:w="108" w:type="dxa"/>
            <w:bottom w:w="0" w:type="dxa"/>
            <w:right w:w="108" w:type="dxa"/>
          </w:tblCellMar>
        </w:tblPrEx>
        <w:trPr>
          <w:trHeight w:val="489" w:hRule="atLeast"/>
        </w:trPr>
        <w:tc>
          <w:tcPr>
            <w:tcW w:w="1819" w:type="dxa"/>
            <w:tcBorders>
              <w:top w:val="single" w:color="auto" w:sz="4" w:space="0"/>
              <w:left w:val="single" w:color="auto" w:sz="4" w:space="0"/>
              <w:bottom w:val="single" w:color="auto" w:sz="4" w:space="0"/>
              <w:right w:val="single" w:color="auto" w:sz="4" w:space="0"/>
            </w:tcBorders>
            <w:noWrap/>
            <w:vAlign w:val="center"/>
          </w:tcPr>
          <w:p w14:paraId="6A399B90">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投标人名称</w:t>
            </w:r>
          </w:p>
        </w:tc>
        <w:tc>
          <w:tcPr>
            <w:tcW w:w="7025" w:type="dxa"/>
            <w:gridSpan w:val="7"/>
            <w:tcBorders>
              <w:top w:val="single" w:color="auto" w:sz="4" w:space="0"/>
              <w:left w:val="nil"/>
              <w:bottom w:val="single" w:color="auto" w:sz="4" w:space="0"/>
              <w:right w:val="single" w:color="auto" w:sz="4" w:space="0"/>
            </w:tcBorders>
            <w:noWrap/>
            <w:vAlign w:val="center"/>
          </w:tcPr>
          <w:p w14:paraId="4E9F8857">
            <w:pPr>
              <w:topLinePunct/>
              <w:snapToGrid w:val="0"/>
              <w:spacing w:line="240" w:lineRule="atLeast"/>
              <w:jc w:val="center"/>
              <w:rPr>
                <w:rFonts w:hint="eastAsia" w:ascii="仿宋_GB2312" w:hAnsi="仿宋_GB2312" w:eastAsia="仿宋_GB2312" w:cs="仿宋_GB2312"/>
                <w:sz w:val="24"/>
                <w:szCs w:val="24"/>
                <w:highlight w:val="none"/>
              </w:rPr>
            </w:pPr>
          </w:p>
        </w:tc>
      </w:tr>
      <w:tr w14:paraId="4BB28D8A">
        <w:tblPrEx>
          <w:tblCellMar>
            <w:top w:w="0" w:type="dxa"/>
            <w:left w:w="108" w:type="dxa"/>
            <w:bottom w:w="0" w:type="dxa"/>
            <w:right w:w="108" w:type="dxa"/>
          </w:tblCellMar>
        </w:tblPrEx>
        <w:trPr>
          <w:trHeight w:val="616" w:hRule="atLeast"/>
        </w:trPr>
        <w:tc>
          <w:tcPr>
            <w:tcW w:w="1819" w:type="dxa"/>
            <w:tcBorders>
              <w:top w:val="single" w:color="auto" w:sz="4" w:space="0"/>
              <w:left w:val="single" w:color="auto" w:sz="4" w:space="0"/>
              <w:bottom w:val="single" w:color="auto" w:sz="4" w:space="0"/>
              <w:right w:val="single" w:color="auto" w:sz="4" w:space="0"/>
            </w:tcBorders>
            <w:noWrap/>
            <w:vAlign w:val="center"/>
          </w:tcPr>
          <w:p w14:paraId="04C032CB">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注册地址</w:t>
            </w:r>
          </w:p>
        </w:tc>
        <w:tc>
          <w:tcPr>
            <w:tcW w:w="3600" w:type="dxa"/>
            <w:gridSpan w:val="4"/>
            <w:tcBorders>
              <w:top w:val="single" w:color="auto" w:sz="4" w:space="0"/>
              <w:left w:val="nil"/>
              <w:bottom w:val="single" w:color="auto" w:sz="4" w:space="0"/>
              <w:right w:val="single" w:color="auto" w:sz="4" w:space="0"/>
            </w:tcBorders>
            <w:noWrap/>
            <w:vAlign w:val="center"/>
          </w:tcPr>
          <w:p w14:paraId="1C7D16DD">
            <w:pPr>
              <w:topLinePunct/>
              <w:snapToGrid w:val="0"/>
              <w:spacing w:line="240" w:lineRule="atLeast"/>
              <w:jc w:val="center"/>
              <w:rPr>
                <w:rFonts w:hint="eastAsia" w:ascii="仿宋_GB2312" w:hAnsi="仿宋_GB2312" w:eastAsia="仿宋_GB2312" w:cs="仿宋_GB2312"/>
                <w:sz w:val="24"/>
                <w:szCs w:val="24"/>
                <w:highlight w:val="none"/>
              </w:rPr>
            </w:pPr>
          </w:p>
        </w:tc>
        <w:tc>
          <w:tcPr>
            <w:tcW w:w="1298" w:type="dxa"/>
            <w:tcBorders>
              <w:top w:val="single" w:color="auto" w:sz="4" w:space="0"/>
              <w:left w:val="nil"/>
              <w:bottom w:val="single" w:color="auto" w:sz="4" w:space="0"/>
              <w:right w:val="single" w:color="auto" w:sz="4" w:space="0"/>
            </w:tcBorders>
            <w:noWrap/>
            <w:vAlign w:val="center"/>
          </w:tcPr>
          <w:p w14:paraId="355DE86D">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邮政编码</w:t>
            </w:r>
          </w:p>
        </w:tc>
        <w:tc>
          <w:tcPr>
            <w:tcW w:w="2127" w:type="dxa"/>
            <w:gridSpan w:val="2"/>
            <w:tcBorders>
              <w:top w:val="single" w:color="auto" w:sz="4" w:space="0"/>
              <w:left w:val="nil"/>
              <w:bottom w:val="single" w:color="auto" w:sz="4" w:space="0"/>
              <w:right w:val="single" w:color="auto" w:sz="4" w:space="0"/>
            </w:tcBorders>
            <w:noWrap/>
            <w:vAlign w:val="center"/>
          </w:tcPr>
          <w:p w14:paraId="52E09FC8">
            <w:pPr>
              <w:topLinePunct/>
              <w:snapToGrid w:val="0"/>
              <w:spacing w:line="240" w:lineRule="atLeast"/>
              <w:jc w:val="center"/>
              <w:rPr>
                <w:rFonts w:hint="eastAsia" w:ascii="仿宋_GB2312" w:hAnsi="仿宋_GB2312" w:eastAsia="仿宋_GB2312" w:cs="仿宋_GB2312"/>
                <w:sz w:val="24"/>
                <w:szCs w:val="24"/>
                <w:highlight w:val="none"/>
              </w:rPr>
            </w:pPr>
          </w:p>
        </w:tc>
      </w:tr>
      <w:tr w14:paraId="1BEA9FBC">
        <w:tblPrEx>
          <w:tblCellMar>
            <w:top w:w="0" w:type="dxa"/>
            <w:left w:w="108" w:type="dxa"/>
            <w:bottom w:w="0" w:type="dxa"/>
            <w:right w:w="108" w:type="dxa"/>
          </w:tblCellMar>
        </w:tblPrEx>
        <w:trPr>
          <w:cantSplit/>
          <w:trHeight w:val="610" w:hRule="atLeast"/>
        </w:trPr>
        <w:tc>
          <w:tcPr>
            <w:tcW w:w="1819" w:type="dxa"/>
            <w:vMerge w:val="restart"/>
            <w:tcBorders>
              <w:top w:val="nil"/>
              <w:left w:val="single" w:color="auto" w:sz="4" w:space="0"/>
              <w:bottom w:val="single" w:color="auto" w:sz="4" w:space="0"/>
              <w:right w:val="single" w:color="auto" w:sz="4" w:space="0"/>
            </w:tcBorders>
            <w:noWrap/>
            <w:vAlign w:val="center"/>
          </w:tcPr>
          <w:p w14:paraId="6658E453">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联系方式</w:t>
            </w:r>
          </w:p>
        </w:tc>
        <w:tc>
          <w:tcPr>
            <w:tcW w:w="1130" w:type="dxa"/>
            <w:tcBorders>
              <w:top w:val="single" w:color="auto" w:sz="4" w:space="0"/>
              <w:left w:val="nil"/>
              <w:bottom w:val="single" w:color="auto" w:sz="4" w:space="0"/>
              <w:right w:val="single" w:color="auto" w:sz="4" w:space="0"/>
            </w:tcBorders>
            <w:noWrap/>
            <w:vAlign w:val="center"/>
          </w:tcPr>
          <w:p w14:paraId="38EC33E7">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联系人</w:t>
            </w:r>
          </w:p>
        </w:tc>
        <w:tc>
          <w:tcPr>
            <w:tcW w:w="2470" w:type="dxa"/>
            <w:gridSpan w:val="3"/>
            <w:tcBorders>
              <w:top w:val="single" w:color="auto" w:sz="4" w:space="0"/>
              <w:left w:val="nil"/>
              <w:bottom w:val="single" w:color="auto" w:sz="4" w:space="0"/>
              <w:right w:val="single" w:color="auto" w:sz="4" w:space="0"/>
            </w:tcBorders>
            <w:noWrap/>
            <w:vAlign w:val="center"/>
          </w:tcPr>
          <w:p w14:paraId="727A7C19">
            <w:pPr>
              <w:topLinePunct/>
              <w:snapToGrid w:val="0"/>
              <w:spacing w:line="240" w:lineRule="atLeast"/>
              <w:jc w:val="center"/>
              <w:rPr>
                <w:rFonts w:hint="eastAsia" w:ascii="仿宋_GB2312" w:hAnsi="仿宋_GB2312" w:eastAsia="仿宋_GB2312" w:cs="仿宋_GB2312"/>
                <w:sz w:val="24"/>
                <w:szCs w:val="24"/>
                <w:highlight w:val="none"/>
              </w:rPr>
            </w:pPr>
          </w:p>
        </w:tc>
        <w:tc>
          <w:tcPr>
            <w:tcW w:w="1298" w:type="dxa"/>
            <w:tcBorders>
              <w:top w:val="single" w:color="auto" w:sz="4" w:space="0"/>
              <w:left w:val="nil"/>
              <w:bottom w:val="single" w:color="auto" w:sz="4" w:space="0"/>
              <w:right w:val="single" w:color="auto" w:sz="4" w:space="0"/>
            </w:tcBorders>
            <w:noWrap/>
            <w:vAlign w:val="center"/>
          </w:tcPr>
          <w:p w14:paraId="16D97801">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电 话</w:t>
            </w:r>
          </w:p>
        </w:tc>
        <w:tc>
          <w:tcPr>
            <w:tcW w:w="2127" w:type="dxa"/>
            <w:gridSpan w:val="2"/>
            <w:tcBorders>
              <w:top w:val="single" w:color="auto" w:sz="4" w:space="0"/>
              <w:left w:val="nil"/>
              <w:bottom w:val="single" w:color="auto" w:sz="4" w:space="0"/>
              <w:right w:val="single" w:color="auto" w:sz="4" w:space="0"/>
            </w:tcBorders>
            <w:noWrap/>
            <w:vAlign w:val="center"/>
          </w:tcPr>
          <w:p w14:paraId="39AE0814">
            <w:pPr>
              <w:topLinePunct/>
              <w:snapToGrid w:val="0"/>
              <w:spacing w:line="240" w:lineRule="atLeast"/>
              <w:jc w:val="center"/>
              <w:rPr>
                <w:rFonts w:hint="eastAsia" w:ascii="仿宋_GB2312" w:hAnsi="仿宋_GB2312" w:eastAsia="仿宋_GB2312" w:cs="仿宋_GB2312"/>
                <w:sz w:val="24"/>
                <w:szCs w:val="24"/>
                <w:highlight w:val="none"/>
              </w:rPr>
            </w:pPr>
          </w:p>
        </w:tc>
      </w:tr>
      <w:tr w14:paraId="0B62945D">
        <w:tblPrEx>
          <w:tblCellMar>
            <w:top w:w="0" w:type="dxa"/>
            <w:left w:w="108" w:type="dxa"/>
            <w:bottom w:w="0" w:type="dxa"/>
            <w:right w:w="108" w:type="dxa"/>
          </w:tblCellMar>
        </w:tblPrEx>
        <w:trPr>
          <w:cantSplit/>
          <w:trHeight w:val="618" w:hRule="atLeast"/>
        </w:trPr>
        <w:tc>
          <w:tcPr>
            <w:tcW w:w="1819" w:type="dxa"/>
            <w:vMerge w:val="continue"/>
            <w:tcBorders>
              <w:top w:val="nil"/>
              <w:left w:val="single" w:color="auto" w:sz="4" w:space="0"/>
              <w:bottom w:val="single" w:color="auto" w:sz="4" w:space="0"/>
              <w:right w:val="single" w:color="auto" w:sz="4" w:space="0"/>
            </w:tcBorders>
            <w:noWrap/>
            <w:vAlign w:val="center"/>
          </w:tcPr>
          <w:p w14:paraId="19837929">
            <w:pPr>
              <w:widowControl/>
              <w:snapToGrid w:val="0"/>
              <w:spacing w:line="240" w:lineRule="atLeast"/>
              <w:jc w:val="left"/>
              <w:rPr>
                <w:rFonts w:hint="eastAsia" w:ascii="仿宋_GB2312" w:hAnsi="仿宋_GB2312" w:eastAsia="仿宋_GB2312" w:cs="仿宋_GB2312"/>
                <w:sz w:val="24"/>
                <w:szCs w:val="24"/>
                <w:highlight w:val="none"/>
              </w:rPr>
            </w:pPr>
          </w:p>
        </w:tc>
        <w:tc>
          <w:tcPr>
            <w:tcW w:w="1130" w:type="dxa"/>
            <w:tcBorders>
              <w:top w:val="single" w:color="auto" w:sz="4" w:space="0"/>
              <w:left w:val="nil"/>
              <w:bottom w:val="single" w:color="auto" w:sz="4" w:space="0"/>
              <w:right w:val="single" w:color="auto" w:sz="4" w:space="0"/>
            </w:tcBorders>
            <w:noWrap/>
            <w:vAlign w:val="center"/>
          </w:tcPr>
          <w:p w14:paraId="539DFBEB">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470" w:type="dxa"/>
            <w:gridSpan w:val="3"/>
            <w:tcBorders>
              <w:top w:val="single" w:color="auto" w:sz="4" w:space="0"/>
              <w:left w:val="nil"/>
              <w:bottom w:val="single" w:color="auto" w:sz="4" w:space="0"/>
              <w:right w:val="single" w:color="auto" w:sz="4" w:space="0"/>
            </w:tcBorders>
            <w:noWrap/>
            <w:vAlign w:val="center"/>
          </w:tcPr>
          <w:p w14:paraId="3602EC55">
            <w:pPr>
              <w:topLinePunct/>
              <w:snapToGrid w:val="0"/>
              <w:spacing w:line="240" w:lineRule="atLeast"/>
              <w:jc w:val="center"/>
              <w:rPr>
                <w:rFonts w:hint="eastAsia" w:ascii="仿宋_GB2312" w:hAnsi="仿宋_GB2312" w:eastAsia="仿宋_GB2312" w:cs="仿宋_GB2312"/>
                <w:sz w:val="24"/>
                <w:szCs w:val="24"/>
                <w:highlight w:val="none"/>
              </w:rPr>
            </w:pPr>
          </w:p>
        </w:tc>
        <w:tc>
          <w:tcPr>
            <w:tcW w:w="1298" w:type="dxa"/>
            <w:tcBorders>
              <w:top w:val="single" w:color="auto" w:sz="4" w:space="0"/>
              <w:left w:val="nil"/>
              <w:bottom w:val="single" w:color="auto" w:sz="4" w:space="0"/>
              <w:right w:val="single" w:color="auto" w:sz="4" w:space="0"/>
            </w:tcBorders>
            <w:noWrap/>
            <w:vAlign w:val="center"/>
          </w:tcPr>
          <w:p w14:paraId="301814CA">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网 址</w:t>
            </w:r>
          </w:p>
        </w:tc>
        <w:tc>
          <w:tcPr>
            <w:tcW w:w="2127" w:type="dxa"/>
            <w:gridSpan w:val="2"/>
            <w:tcBorders>
              <w:top w:val="single" w:color="auto" w:sz="4" w:space="0"/>
              <w:left w:val="nil"/>
              <w:bottom w:val="single" w:color="auto" w:sz="4" w:space="0"/>
              <w:right w:val="single" w:color="auto" w:sz="4" w:space="0"/>
            </w:tcBorders>
            <w:noWrap/>
            <w:vAlign w:val="center"/>
          </w:tcPr>
          <w:p w14:paraId="58F61E96">
            <w:pPr>
              <w:topLinePunct/>
              <w:snapToGrid w:val="0"/>
              <w:spacing w:line="240" w:lineRule="atLeast"/>
              <w:jc w:val="center"/>
              <w:rPr>
                <w:rFonts w:hint="eastAsia" w:ascii="仿宋_GB2312" w:hAnsi="仿宋_GB2312" w:eastAsia="仿宋_GB2312" w:cs="仿宋_GB2312"/>
                <w:sz w:val="24"/>
                <w:szCs w:val="24"/>
                <w:highlight w:val="none"/>
              </w:rPr>
            </w:pPr>
          </w:p>
        </w:tc>
      </w:tr>
      <w:tr w14:paraId="14CDABBD">
        <w:tblPrEx>
          <w:tblCellMar>
            <w:top w:w="0" w:type="dxa"/>
            <w:left w:w="108" w:type="dxa"/>
            <w:bottom w:w="0" w:type="dxa"/>
            <w:right w:w="108" w:type="dxa"/>
          </w:tblCellMar>
        </w:tblPrEx>
        <w:trPr>
          <w:trHeight w:val="613" w:hRule="atLeast"/>
        </w:trPr>
        <w:tc>
          <w:tcPr>
            <w:tcW w:w="1819" w:type="dxa"/>
            <w:tcBorders>
              <w:top w:val="single" w:color="auto" w:sz="4" w:space="0"/>
              <w:left w:val="single" w:color="auto" w:sz="4" w:space="0"/>
              <w:bottom w:val="single" w:color="auto" w:sz="4" w:space="0"/>
              <w:right w:val="single" w:color="auto" w:sz="4" w:space="0"/>
            </w:tcBorders>
            <w:noWrap/>
            <w:vAlign w:val="center"/>
          </w:tcPr>
          <w:p w14:paraId="7A71CB46">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法定代表人</w:t>
            </w:r>
          </w:p>
        </w:tc>
        <w:tc>
          <w:tcPr>
            <w:tcW w:w="1130" w:type="dxa"/>
            <w:tcBorders>
              <w:top w:val="single" w:color="auto" w:sz="4" w:space="0"/>
              <w:left w:val="nil"/>
              <w:bottom w:val="single" w:color="auto" w:sz="4" w:space="0"/>
              <w:right w:val="single" w:color="auto" w:sz="4" w:space="0"/>
            </w:tcBorders>
            <w:noWrap/>
            <w:vAlign w:val="center"/>
          </w:tcPr>
          <w:p w14:paraId="5BDC6928">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姓名</w:t>
            </w:r>
          </w:p>
        </w:tc>
        <w:tc>
          <w:tcPr>
            <w:tcW w:w="815" w:type="dxa"/>
            <w:tcBorders>
              <w:top w:val="single" w:color="auto" w:sz="4" w:space="0"/>
              <w:left w:val="nil"/>
              <w:bottom w:val="single" w:color="auto" w:sz="4" w:space="0"/>
              <w:right w:val="single" w:color="auto" w:sz="4" w:space="0"/>
            </w:tcBorders>
            <w:noWrap/>
            <w:vAlign w:val="center"/>
          </w:tcPr>
          <w:p w14:paraId="6C51C41D">
            <w:pPr>
              <w:topLinePunct/>
              <w:snapToGrid w:val="0"/>
              <w:spacing w:line="240" w:lineRule="atLeast"/>
              <w:jc w:val="center"/>
              <w:rPr>
                <w:rFonts w:hint="eastAsia" w:ascii="仿宋_GB2312" w:hAnsi="仿宋_GB2312" w:eastAsia="仿宋_GB2312" w:cs="仿宋_GB2312"/>
                <w:sz w:val="24"/>
                <w:szCs w:val="24"/>
                <w:highlight w:val="none"/>
              </w:rPr>
            </w:pPr>
          </w:p>
        </w:tc>
        <w:tc>
          <w:tcPr>
            <w:tcW w:w="1326" w:type="dxa"/>
            <w:tcBorders>
              <w:top w:val="single" w:color="auto" w:sz="4" w:space="0"/>
              <w:left w:val="nil"/>
              <w:bottom w:val="single" w:color="auto" w:sz="4" w:space="0"/>
              <w:right w:val="single" w:color="auto" w:sz="4" w:space="0"/>
            </w:tcBorders>
            <w:noWrap/>
            <w:vAlign w:val="center"/>
          </w:tcPr>
          <w:p w14:paraId="2C970448">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技术职称</w:t>
            </w:r>
          </w:p>
        </w:tc>
        <w:tc>
          <w:tcPr>
            <w:tcW w:w="1627" w:type="dxa"/>
            <w:gridSpan w:val="2"/>
            <w:tcBorders>
              <w:top w:val="single" w:color="auto" w:sz="4" w:space="0"/>
              <w:left w:val="nil"/>
              <w:bottom w:val="single" w:color="auto" w:sz="4" w:space="0"/>
              <w:right w:val="single" w:color="auto" w:sz="4" w:space="0"/>
            </w:tcBorders>
            <w:noWrap/>
            <w:vAlign w:val="center"/>
          </w:tcPr>
          <w:p w14:paraId="77F024BB">
            <w:pPr>
              <w:topLinePunct/>
              <w:snapToGrid w:val="0"/>
              <w:spacing w:line="240" w:lineRule="atLeast"/>
              <w:jc w:val="center"/>
              <w:rPr>
                <w:rFonts w:hint="eastAsia" w:ascii="仿宋_GB2312" w:hAnsi="仿宋_GB2312" w:eastAsia="仿宋_GB2312" w:cs="仿宋_GB2312"/>
                <w:sz w:val="24"/>
                <w:szCs w:val="24"/>
                <w:highlight w:val="none"/>
              </w:rPr>
            </w:pPr>
          </w:p>
        </w:tc>
        <w:tc>
          <w:tcPr>
            <w:tcW w:w="837" w:type="dxa"/>
            <w:tcBorders>
              <w:top w:val="single" w:color="auto" w:sz="4" w:space="0"/>
              <w:left w:val="nil"/>
              <w:bottom w:val="single" w:color="auto" w:sz="4" w:space="0"/>
              <w:right w:val="single" w:color="auto" w:sz="4" w:space="0"/>
            </w:tcBorders>
            <w:noWrap/>
            <w:vAlign w:val="center"/>
          </w:tcPr>
          <w:p w14:paraId="167D49F0">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电话</w:t>
            </w:r>
          </w:p>
        </w:tc>
        <w:tc>
          <w:tcPr>
            <w:tcW w:w="1290" w:type="dxa"/>
            <w:tcBorders>
              <w:top w:val="single" w:color="auto" w:sz="4" w:space="0"/>
              <w:left w:val="nil"/>
              <w:bottom w:val="single" w:color="auto" w:sz="4" w:space="0"/>
              <w:right w:val="single" w:color="auto" w:sz="4" w:space="0"/>
            </w:tcBorders>
            <w:noWrap/>
            <w:vAlign w:val="center"/>
          </w:tcPr>
          <w:p w14:paraId="1507E7E1">
            <w:pPr>
              <w:topLinePunct/>
              <w:snapToGrid w:val="0"/>
              <w:spacing w:line="240" w:lineRule="atLeast"/>
              <w:jc w:val="center"/>
              <w:rPr>
                <w:rFonts w:hint="eastAsia" w:ascii="仿宋_GB2312" w:hAnsi="仿宋_GB2312" w:eastAsia="仿宋_GB2312" w:cs="仿宋_GB2312"/>
                <w:sz w:val="24"/>
                <w:szCs w:val="24"/>
                <w:highlight w:val="none"/>
              </w:rPr>
            </w:pPr>
          </w:p>
        </w:tc>
      </w:tr>
      <w:tr w14:paraId="5F8ADD41">
        <w:tblPrEx>
          <w:tblCellMar>
            <w:top w:w="0" w:type="dxa"/>
            <w:left w:w="108" w:type="dxa"/>
            <w:bottom w:w="0" w:type="dxa"/>
            <w:right w:w="108" w:type="dxa"/>
          </w:tblCellMar>
        </w:tblPrEx>
        <w:trPr>
          <w:trHeight w:val="1140" w:hRule="atLeast"/>
        </w:trPr>
        <w:tc>
          <w:tcPr>
            <w:tcW w:w="1819" w:type="dxa"/>
            <w:tcBorders>
              <w:top w:val="single" w:color="auto" w:sz="4" w:space="0"/>
              <w:left w:val="single" w:color="auto" w:sz="4" w:space="0"/>
              <w:right w:val="single" w:color="auto" w:sz="4" w:space="0"/>
            </w:tcBorders>
            <w:noWrap/>
            <w:vAlign w:val="center"/>
          </w:tcPr>
          <w:p w14:paraId="465B28A1">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成立时间</w:t>
            </w:r>
          </w:p>
        </w:tc>
        <w:tc>
          <w:tcPr>
            <w:tcW w:w="1945" w:type="dxa"/>
            <w:gridSpan w:val="2"/>
            <w:tcBorders>
              <w:top w:val="single" w:color="auto" w:sz="4" w:space="0"/>
              <w:left w:val="nil"/>
              <w:right w:val="single" w:color="auto" w:sz="4" w:space="0"/>
            </w:tcBorders>
            <w:noWrap/>
            <w:vAlign w:val="center"/>
          </w:tcPr>
          <w:p w14:paraId="6CEEBF11">
            <w:pPr>
              <w:topLinePunct/>
              <w:snapToGrid w:val="0"/>
              <w:spacing w:line="240" w:lineRule="atLeast"/>
              <w:jc w:val="center"/>
              <w:rPr>
                <w:rFonts w:hint="eastAsia" w:ascii="仿宋_GB2312" w:hAnsi="仿宋_GB2312" w:eastAsia="仿宋_GB2312" w:cs="仿宋_GB2312"/>
                <w:sz w:val="24"/>
                <w:szCs w:val="24"/>
                <w:highlight w:val="none"/>
              </w:rPr>
            </w:pPr>
          </w:p>
        </w:tc>
        <w:tc>
          <w:tcPr>
            <w:tcW w:w="5080" w:type="dxa"/>
            <w:gridSpan w:val="5"/>
            <w:tcBorders>
              <w:top w:val="single" w:color="auto" w:sz="4" w:space="0"/>
              <w:left w:val="nil"/>
              <w:bottom w:val="single" w:color="auto" w:sz="4" w:space="0"/>
              <w:right w:val="single" w:color="auto" w:sz="4" w:space="0"/>
            </w:tcBorders>
            <w:noWrap/>
            <w:vAlign w:val="center"/>
          </w:tcPr>
          <w:p w14:paraId="02119D15">
            <w:pPr>
              <w:topLinePunct/>
              <w:snapToGrid w:val="0"/>
              <w:spacing w:line="240" w:lineRule="atLeas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r>
      <w:tr w14:paraId="152462B8">
        <w:tblPrEx>
          <w:tblCellMar>
            <w:top w:w="0" w:type="dxa"/>
            <w:left w:w="108" w:type="dxa"/>
            <w:bottom w:w="0" w:type="dxa"/>
            <w:right w:w="108" w:type="dxa"/>
          </w:tblCellMar>
        </w:tblPrEx>
        <w:trPr>
          <w:cantSplit/>
          <w:trHeight w:val="615" w:hRule="atLeast"/>
        </w:trPr>
        <w:tc>
          <w:tcPr>
            <w:tcW w:w="1819" w:type="dxa"/>
            <w:tcBorders>
              <w:top w:val="single" w:color="auto" w:sz="4" w:space="0"/>
              <w:left w:val="single" w:color="auto" w:sz="4" w:space="0"/>
              <w:bottom w:val="single" w:color="auto" w:sz="4" w:space="0"/>
              <w:right w:val="single" w:color="auto" w:sz="4" w:space="0"/>
            </w:tcBorders>
            <w:noWrap/>
            <w:vAlign w:val="center"/>
          </w:tcPr>
          <w:p w14:paraId="00D865A4">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营业执照号</w:t>
            </w:r>
          </w:p>
        </w:tc>
        <w:tc>
          <w:tcPr>
            <w:tcW w:w="7025" w:type="dxa"/>
            <w:gridSpan w:val="7"/>
            <w:tcBorders>
              <w:top w:val="single" w:color="auto" w:sz="4" w:space="0"/>
              <w:left w:val="nil"/>
              <w:bottom w:val="single" w:color="auto" w:sz="4" w:space="0"/>
              <w:right w:val="single" w:color="auto" w:sz="4" w:space="0"/>
            </w:tcBorders>
            <w:noWrap/>
            <w:vAlign w:val="center"/>
          </w:tcPr>
          <w:p w14:paraId="59D39A28">
            <w:pPr>
              <w:topLinePunct/>
              <w:snapToGrid w:val="0"/>
              <w:spacing w:line="240" w:lineRule="atLeast"/>
              <w:jc w:val="center"/>
              <w:rPr>
                <w:rFonts w:hint="eastAsia" w:ascii="仿宋_GB2312" w:hAnsi="仿宋_GB2312" w:eastAsia="仿宋_GB2312" w:cs="仿宋_GB2312"/>
                <w:sz w:val="24"/>
                <w:szCs w:val="24"/>
                <w:highlight w:val="none"/>
              </w:rPr>
            </w:pPr>
          </w:p>
        </w:tc>
      </w:tr>
      <w:tr w14:paraId="27F66F05">
        <w:tblPrEx>
          <w:tblCellMar>
            <w:top w:w="0" w:type="dxa"/>
            <w:left w:w="108" w:type="dxa"/>
            <w:bottom w:w="0" w:type="dxa"/>
            <w:right w:w="108" w:type="dxa"/>
          </w:tblCellMar>
        </w:tblPrEx>
        <w:trPr>
          <w:cantSplit/>
          <w:trHeight w:val="609" w:hRule="atLeast"/>
        </w:trPr>
        <w:tc>
          <w:tcPr>
            <w:tcW w:w="1819" w:type="dxa"/>
            <w:tcBorders>
              <w:top w:val="single" w:color="auto" w:sz="4" w:space="0"/>
              <w:left w:val="single" w:color="auto" w:sz="4" w:space="0"/>
              <w:bottom w:val="single" w:color="auto" w:sz="4" w:space="0"/>
              <w:right w:val="single" w:color="auto" w:sz="4" w:space="0"/>
            </w:tcBorders>
            <w:noWrap/>
            <w:vAlign w:val="center"/>
          </w:tcPr>
          <w:p w14:paraId="6AE30E64">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注册资金</w:t>
            </w:r>
          </w:p>
        </w:tc>
        <w:tc>
          <w:tcPr>
            <w:tcW w:w="7025" w:type="dxa"/>
            <w:gridSpan w:val="7"/>
            <w:tcBorders>
              <w:top w:val="single" w:color="auto" w:sz="4" w:space="0"/>
              <w:left w:val="nil"/>
              <w:bottom w:val="single" w:color="auto" w:sz="4" w:space="0"/>
              <w:right w:val="single" w:color="auto" w:sz="4" w:space="0"/>
            </w:tcBorders>
            <w:noWrap/>
            <w:vAlign w:val="center"/>
          </w:tcPr>
          <w:p w14:paraId="38B19212">
            <w:pPr>
              <w:topLinePunct/>
              <w:snapToGrid w:val="0"/>
              <w:spacing w:line="240" w:lineRule="atLeast"/>
              <w:jc w:val="center"/>
              <w:rPr>
                <w:rFonts w:hint="eastAsia" w:ascii="仿宋_GB2312" w:hAnsi="仿宋_GB2312" w:eastAsia="仿宋_GB2312" w:cs="仿宋_GB2312"/>
                <w:sz w:val="24"/>
                <w:szCs w:val="24"/>
                <w:highlight w:val="none"/>
              </w:rPr>
            </w:pPr>
          </w:p>
        </w:tc>
      </w:tr>
      <w:tr w14:paraId="25B92AA5">
        <w:tblPrEx>
          <w:tblCellMar>
            <w:top w:w="0" w:type="dxa"/>
            <w:left w:w="108" w:type="dxa"/>
            <w:bottom w:w="0" w:type="dxa"/>
            <w:right w:w="108" w:type="dxa"/>
          </w:tblCellMar>
        </w:tblPrEx>
        <w:trPr>
          <w:cantSplit/>
          <w:trHeight w:val="631" w:hRule="atLeast"/>
        </w:trPr>
        <w:tc>
          <w:tcPr>
            <w:tcW w:w="1819" w:type="dxa"/>
            <w:tcBorders>
              <w:top w:val="single" w:color="auto" w:sz="4" w:space="0"/>
              <w:left w:val="single" w:color="auto" w:sz="4" w:space="0"/>
              <w:bottom w:val="single" w:color="auto" w:sz="4" w:space="0"/>
              <w:right w:val="single" w:color="auto" w:sz="4" w:space="0"/>
            </w:tcBorders>
            <w:noWrap/>
            <w:vAlign w:val="center"/>
          </w:tcPr>
          <w:p w14:paraId="1C9B2F6A">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基本账户</w:t>
            </w:r>
          </w:p>
          <w:p w14:paraId="5D2C47F5">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开户银行</w:t>
            </w:r>
          </w:p>
        </w:tc>
        <w:tc>
          <w:tcPr>
            <w:tcW w:w="7025" w:type="dxa"/>
            <w:gridSpan w:val="7"/>
            <w:tcBorders>
              <w:top w:val="single" w:color="auto" w:sz="4" w:space="0"/>
              <w:left w:val="nil"/>
              <w:bottom w:val="single" w:color="auto" w:sz="4" w:space="0"/>
              <w:right w:val="single" w:color="auto" w:sz="4" w:space="0"/>
            </w:tcBorders>
            <w:noWrap/>
            <w:vAlign w:val="center"/>
          </w:tcPr>
          <w:p w14:paraId="6F580828">
            <w:pPr>
              <w:topLinePunct/>
              <w:snapToGrid w:val="0"/>
              <w:spacing w:line="240" w:lineRule="atLeast"/>
              <w:jc w:val="center"/>
              <w:rPr>
                <w:rFonts w:hint="eastAsia" w:ascii="仿宋_GB2312" w:hAnsi="仿宋_GB2312" w:eastAsia="仿宋_GB2312" w:cs="仿宋_GB2312"/>
                <w:sz w:val="24"/>
                <w:szCs w:val="24"/>
                <w:highlight w:val="none"/>
              </w:rPr>
            </w:pPr>
          </w:p>
        </w:tc>
      </w:tr>
      <w:tr w14:paraId="7792AC85">
        <w:tblPrEx>
          <w:tblCellMar>
            <w:top w:w="0" w:type="dxa"/>
            <w:left w:w="108" w:type="dxa"/>
            <w:bottom w:w="0" w:type="dxa"/>
            <w:right w:w="108" w:type="dxa"/>
          </w:tblCellMar>
        </w:tblPrEx>
        <w:trPr>
          <w:cantSplit/>
          <w:trHeight w:val="410" w:hRule="atLeast"/>
        </w:trPr>
        <w:tc>
          <w:tcPr>
            <w:tcW w:w="1819" w:type="dxa"/>
            <w:tcBorders>
              <w:top w:val="single" w:color="auto" w:sz="4" w:space="0"/>
              <w:left w:val="single" w:color="auto" w:sz="4" w:space="0"/>
              <w:bottom w:val="single" w:color="auto" w:sz="4" w:space="0"/>
              <w:right w:val="single" w:color="auto" w:sz="4" w:space="0"/>
            </w:tcBorders>
            <w:noWrap/>
            <w:vAlign w:val="center"/>
          </w:tcPr>
          <w:p w14:paraId="0099F16A">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基本账户账号</w:t>
            </w:r>
          </w:p>
        </w:tc>
        <w:tc>
          <w:tcPr>
            <w:tcW w:w="7025" w:type="dxa"/>
            <w:gridSpan w:val="7"/>
            <w:tcBorders>
              <w:top w:val="single" w:color="auto" w:sz="4" w:space="0"/>
              <w:left w:val="nil"/>
              <w:bottom w:val="single" w:color="auto" w:sz="4" w:space="0"/>
              <w:right w:val="single" w:color="auto" w:sz="4" w:space="0"/>
            </w:tcBorders>
            <w:noWrap/>
            <w:vAlign w:val="center"/>
          </w:tcPr>
          <w:p w14:paraId="08901F0F">
            <w:pPr>
              <w:topLinePunct/>
              <w:snapToGrid w:val="0"/>
              <w:spacing w:line="240" w:lineRule="atLeast"/>
              <w:jc w:val="center"/>
              <w:rPr>
                <w:rFonts w:hint="eastAsia" w:ascii="仿宋_GB2312" w:hAnsi="仿宋_GB2312" w:eastAsia="仿宋_GB2312" w:cs="仿宋_GB2312"/>
                <w:sz w:val="24"/>
                <w:szCs w:val="24"/>
                <w:highlight w:val="none"/>
              </w:rPr>
            </w:pPr>
          </w:p>
        </w:tc>
      </w:tr>
      <w:tr w14:paraId="0AB6E4F9">
        <w:tblPrEx>
          <w:tblCellMar>
            <w:top w:w="0" w:type="dxa"/>
            <w:left w:w="108" w:type="dxa"/>
            <w:bottom w:w="0" w:type="dxa"/>
            <w:right w:w="108" w:type="dxa"/>
          </w:tblCellMar>
        </w:tblPrEx>
        <w:trPr>
          <w:trHeight w:val="1585" w:hRule="atLeast"/>
        </w:trPr>
        <w:tc>
          <w:tcPr>
            <w:tcW w:w="1819" w:type="dxa"/>
            <w:tcBorders>
              <w:top w:val="single" w:color="auto" w:sz="4" w:space="0"/>
              <w:left w:val="single" w:color="auto" w:sz="4" w:space="0"/>
              <w:right w:val="single" w:color="auto" w:sz="4" w:space="0"/>
            </w:tcBorders>
            <w:noWrap/>
            <w:vAlign w:val="center"/>
          </w:tcPr>
          <w:p w14:paraId="7145504C">
            <w:pPr>
              <w:topLinePunct/>
              <w:snapToGrid w:val="0"/>
              <w:spacing w:line="240" w:lineRule="atLeast"/>
              <w:ind w:firstLine="240" w:firstLineChars="1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经营范围</w:t>
            </w:r>
          </w:p>
        </w:tc>
        <w:tc>
          <w:tcPr>
            <w:tcW w:w="7025" w:type="dxa"/>
            <w:gridSpan w:val="7"/>
            <w:tcBorders>
              <w:top w:val="single" w:color="auto" w:sz="4" w:space="0"/>
              <w:left w:val="nil"/>
              <w:right w:val="single" w:color="auto" w:sz="4" w:space="0"/>
            </w:tcBorders>
            <w:noWrap/>
            <w:vAlign w:val="center"/>
          </w:tcPr>
          <w:p w14:paraId="7E1D2D41">
            <w:pPr>
              <w:topLinePunct/>
              <w:snapToGrid w:val="0"/>
              <w:spacing w:line="240" w:lineRule="atLeast"/>
              <w:rPr>
                <w:rFonts w:hint="eastAsia" w:ascii="仿宋_GB2312" w:hAnsi="仿宋_GB2312" w:eastAsia="仿宋_GB2312" w:cs="仿宋_GB2312"/>
                <w:sz w:val="24"/>
                <w:szCs w:val="24"/>
                <w:highlight w:val="none"/>
              </w:rPr>
            </w:pPr>
          </w:p>
        </w:tc>
      </w:tr>
      <w:tr w14:paraId="52D14878">
        <w:tblPrEx>
          <w:tblCellMar>
            <w:top w:w="0" w:type="dxa"/>
            <w:left w:w="108" w:type="dxa"/>
            <w:bottom w:w="0" w:type="dxa"/>
            <w:right w:w="108" w:type="dxa"/>
          </w:tblCellMar>
        </w:tblPrEx>
        <w:trPr>
          <w:trHeight w:val="1038" w:hRule="atLeast"/>
        </w:trPr>
        <w:tc>
          <w:tcPr>
            <w:tcW w:w="1819" w:type="dxa"/>
            <w:tcBorders>
              <w:top w:val="single" w:color="auto" w:sz="4" w:space="0"/>
              <w:left w:val="single" w:color="auto" w:sz="4" w:space="0"/>
              <w:bottom w:val="single" w:color="auto" w:sz="4" w:space="0"/>
              <w:right w:val="single" w:color="auto" w:sz="4" w:space="0"/>
            </w:tcBorders>
            <w:noWrap/>
            <w:vAlign w:val="center"/>
          </w:tcPr>
          <w:p w14:paraId="31F9CC22">
            <w:pPr>
              <w:topLinePunct/>
              <w:snapToGrid w:val="0"/>
              <w:spacing w:line="240" w:lineRule="atLeas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备注</w:t>
            </w:r>
          </w:p>
        </w:tc>
        <w:tc>
          <w:tcPr>
            <w:tcW w:w="7025" w:type="dxa"/>
            <w:gridSpan w:val="7"/>
            <w:tcBorders>
              <w:top w:val="single" w:color="auto" w:sz="4" w:space="0"/>
              <w:left w:val="nil"/>
              <w:bottom w:val="single" w:color="auto" w:sz="4" w:space="0"/>
              <w:right w:val="single" w:color="auto" w:sz="4" w:space="0"/>
            </w:tcBorders>
            <w:noWrap/>
            <w:vAlign w:val="center"/>
          </w:tcPr>
          <w:p w14:paraId="612AC9D4">
            <w:pPr>
              <w:topLinePunct/>
              <w:snapToGrid w:val="0"/>
              <w:spacing w:line="240" w:lineRule="atLeast"/>
              <w:jc w:val="center"/>
              <w:rPr>
                <w:rFonts w:hint="eastAsia" w:ascii="仿宋_GB2312" w:hAnsi="仿宋_GB2312" w:eastAsia="仿宋_GB2312" w:cs="仿宋_GB2312"/>
                <w:sz w:val="24"/>
                <w:szCs w:val="24"/>
                <w:highlight w:val="none"/>
              </w:rPr>
            </w:pPr>
          </w:p>
        </w:tc>
      </w:tr>
    </w:tbl>
    <w:p w14:paraId="77192A7A">
      <w:pPr>
        <w:spacing w:line="360" w:lineRule="auto"/>
        <w:rPr>
          <w:rFonts w:hint="eastAsia" w:ascii="仿宋_GB2312" w:hAnsi="仿宋_GB2312" w:eastAsia="仿宋_GB2312" w:cs="仿宋_GB2312"/>
          <w:b/>
          <w:sz w:val="24"/>
          <w:highlight w:val="none"/>
        </w:rPr>
      </w:pPr>
    </w:p>
    <w:p w14:paraId="7876511C">
      <w:pPr>
        <w:snapToGrid w:val="0"/>
        <w:spacing w:line="360" w:lineRule="auto"/>
        <w:ind w:firstLine="240" w:firstLineChars="1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投标人（盖章）：</w:t>
      </w:r>
    </w:p>
    <w:p w14:paraId="6DF6CBD1">
      <w:pPr>
        <w:snapToGrid w:val="0"/>
        <w:spacing w:line="360" w:lineRule="auto"/>
        <w:ind w:firstLine="240" w:firstLineChars="1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法定代表人或委托代理人</w:t>
      </w:r>
      <w:r>
        <w:rPr>
          <w:rFonts w:hint="eastAsia" w:ascii="仿宋_GB2312" w:hAnsi="仿宋_GB2312" w:eastAsia="仿宋_GB2312" w:cs="仿宋_GB2312"/>
          <w:sz w:val="24"/>
          <w:szCs w:val="24"/>
          <w:highlight w:val="none"/>
          <w:lang w:val="zh-CN"/>
        </w:rPr>
        <w:t>（签字或盖章）：</w:t>
      </w:r>
    </w:p>
    <w:p w14:paraId="70A74FA2">
      <w:pPr>
        <w:snapToGrid w:val="0"/>
        <w:spacing w:line="360" w:lineRule="auto"/>
        <w:ind w:firstLine="240" w:firstLineChars="1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sz w:val="24"/>
          <w:szCs w:val="24"/>
          <w:highlight w:val="none"/>
        </w:rPr>
        <w:t>日期：</w:t>
      </w:r>
    </w:p>
    <w:p w14:paraId="40C9E929">
      <w:pPr>
        <w:snapToGrid w:val="0"/>
        <w:spacing w:line="560" w:lineRule="exact"/>
        <w:ind w:firstLine="422" w:firstLineChars="201"/>
        <w:jc w:val="center"/>
        <w:rPr>
          <w:rFonts w:hint="eastAsia" w:ascii="仿宋_GB2312" w:hAnsi="仿宋_GB2312" w:eastAsia="仿宋_GB2312" w:cs="仿宋_GB2312"/>
          <w:highlight w:val="none"/>
        </w:rPr>
      </w:pPr>
    </w:p>
    <w:p w14:paraId="5D64A86B">
      <w:pPr>
        <w:pStyle w:val="2"/>
        <w:rPr>
          <w:rFonts w:hint="eastAsia" w:ascii="仿宋_GB2312" w:hAnsi="仿宋_GB2312" w:eastAsia="仿宋_GB2312" w:cs="仿宋_GB2312"/>
          <w:highlight w:val="none"/>
          <w:lang w:eastAsia="zh-CN"/>
        </w:rPr>
      </w:pPr>
    </w:p>
    <w:p w14:paraId="02C2A027">
      <w:pPr>
        <w:pStyle w:val="2"/>
        <w:rPr>
          <w:rFonts w:hint="eastAsia" w:ascii="仿宋_GB2312" w:hAnsi="仿宋_GB2312" w:eastAsia="仿宋_GB2312" w:cs="仿宋_GB2312"/>
          <w:highlight w:val="none"/>
          <w:lang w:eastAsia="zh-CN"/>
        </w:rPr>
      </w:pPr>
    </w:p>
    <w:p w14:paraId="1402E77D">
      <w:pPr>
        <w:pStyle w:val="2"/>
        <w:rPr>
          <w:rFonts w:hint="eastAsia" w:ascii="仿宋_GB2312" w:hAnsi="仿宋_GB2312" w:eastAsia="仿宋_GB2312" w:cs="仿宋_GB2312"/>
          <w:highlight w:val="none"/>
          <w:lang w:eastAsia="zh-CN"/>
        </w:rPr>
      </w:pPr>
    </w:p>
    <w:p w14:paraId="0376D436">
      <w:pPr>
        <w:snapToGrid w:val="0"/>
        <w:spacing w:line="560" w:lineRule="exact"/>
        <w:ind w:firstLine="646" w:firstLineChars="201"/>
        <w:jc w:val="center"/>
        <w:rPr>
          <w:rFonts w:hint="eastAsia" w:ascii="仿宋_GB2312" w:hAnsi="仿宋_GB2312" w:eastAsia="仿宋_GB2312" w:cs="仿宋_GB2312"/>
          <w:sz w:val="30"/>
          <w:szCs w:val="30"/>
          <w:highlight w:val="none"/>
        </w:rPr>
      </w:pPr>
      <w:r>
        <w:rPr>
          <w:rStyle w:val="54"/>
          <w:rFonts w:hint="eastAsia" w:ascii="仿宋_GB2312" w:hAnsi="仿宋_GB2312" w:eastAsia="仿宋_GB2312" w:cs="仿宋_GB2312"/>
          <w:highlight w:val="none"/>
        </w:rPr>
        <w:t>投标人近年企业类似业绩汇总表</w:t>
      </w:r>
    </w:p>
    <w:tbl>
      <w:tblPr>
        <w:tblStyle w:val="4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606"/>
        <w:gridCol w:w="2016"/>
        <w:gridCol w:w="1530"/>
        <w:gridCol w:w="1799"/>
        <w:gridCol w:w="1669"/>
      </w:tblGrid>
      <w:tr w14:paraId="752E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atLeast"/>
          <w:jc w:val="center"/>
        </w:trPr>
        <w:tc>
          <w:tcPr>
            <w:tcW w:w="1011" w:type="dxa"/>
            <w:noWrap/>
            <w:vAlign w:val="center"/>
          </w:tcPr>
          <w:p w14:paraId="5D770118">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序号</w:t>
            </w:r>
          </w:p>
        </w:tc>
        <w:tc>
          <w:tcPr>
            <w:tcW w:w="1606" w:type="dxa"/>
            <w:noWrap/>
            <w:vAlign w:val="center"/>
          </w:tcPr>
          <w:p w14:paraId="2EA48546">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项目名称</w:t>
            </w:r>
          </w:p>
        </w:tc>
        <w:tc>
          <w:tcPr>
            <w:tcW w:w="2016" w:type="dxa"/>
            <w:noWrap/>
            <w:vAlign w:val="center"/>
          </w:tcPr>
          <w:p w14:paraId="445425EE">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招标（用户）单位</w:t>
            </w:r>
          </w:p>
        </w:tc>
        <w:tc>
          <w:tcPr>
            <w:tcW w:w="1530" w:type="dxa"/>
            <w:noWrap/>
            <w:vAlign w:val="center"/>
          </w:tcPr>
          <w:p w14:paraId="08928B4C">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合同额</w:t>
            </w:r>
          </w:p>
          <w:p w14:paraId="2F58D3F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（万元）</w:t>
            </w:r>
          </w:p>
        </w:tc>
        <w:tc>
          <w:tcPr>
            <w:tcW w:w="1799" w:type="dxa"/>
            <w:noWrap/>
            <w:vAlign w:val="center"/>
          </w:tcPr>
          <w:p w14:paraId="580671C6">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合同签订</w:t>
            </w:r>
          </w:p>
          <w:p w14:paraId="2ED8C018">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时间</w:t>
            </w:r>
          </w:p>
        </w:tc>
        <w:tc>
          <w:tcPr>
            <w:tcW w:w="1669" w:type="dxa"/>
            <w:noWrap/>
            <w:vAlign w:val="center"/>
          </w:tcPr>
          <w:p w14:paraId="65351AB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电话/联系人</w:t>
            </w:r>
          </w:p>
        </w:tc>
      </w:tr>
      <w:tr w14:paraId="135D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011" w:type="dxa"/>
            <w:noWrap/>
            <w:vAlign w:val="center"/>
          </w:tcPr>
          <w:p w14:paraId="4D92CC2E">
            <w:pPr>
              <w:jc w:val="center"/>
              <w:rPr>
                <w:rFonts w:hint="eastAsia" w:ascii="仿宋_GB2312" w:hAnsi="仿宋_GB2312" w:eastAsia="仿宋_GB2312" w:cs="仿宋_GB2312"/>
                <w:szCs w:val="21"/>
                <w:highlight w:val="none"/>
              </w:rPr>
            </w:pPr>
          </w:p>
        </w:tc>
        <w:tc>
          <w:tcPr>
            <w:tcW w:w="1606" w:type="dxa"/>
            <w:noWrap/>
            <w:vAlign w:val="center"/>
          </w:tcPr>
          <w:p w14:paraId="1AE6E958">
            <w:pPr>
              <w:jc w:val="center"/>
              <w:rPr>
                <w:rFonts w:hint="eastAsia" w:ascii="仿宋_GB2312" w:hAnsi="仿宋_GB2312" w:eastAsia="仿宋_GB2312" w:cs="仿宋_GB2312"/>
                <w:szCs w:val="21"/>
                <w:highlight w:val="none"/>
              </w:rPr>
            </w:pPr>
          </w:p>
        </w:tc>
        <w:tc>
          <w:tcPr>
            <w:tcW w:w="2016" w:type="dxa"/>
            <w:noWrap/>
            <w:vAlign w:val="center"/>
          </w:tcPr>
          <w:p w14:paraId="23312582">
            <w:pPr>
              <w:jc w:val="center"/>
              <w:rPr>
                <w:rFonts w:hint="eastAsia" w:ascii="仿宋_GB2312" w:hAnsi="仿宋_GB2312" w:eastAsia="仿宋_GB2312" w:cs="仿宋_GB2312"/>
                <w:szCs w:val="21"/>
                <w:highlight w:val="none"/>
              </w:rPr>
            </w:pPr>
          </w:p>
        </w:tc>
        <w:tc>
          <w:tcPr>
            <w:tcW w:w="1530" w:type="dxa"/>
            <w:noWrap/>
            <w:vAlign w:val="center"/>
          </w:tcPr>
          <w:p w14:paraId="50A3A177">
            <w:pPr>
              <w:jc w:val="center"/>
              <w:rPr>
                <w:rFonts w:hint="eastAsia" w:ascii="仿宋_GB2312" w:hAnsi="仿宋_GB2312" w:eastAsia="仿宋_GB2312" w:cs="仿宋_GB2312"/>
                <w:szCs w:val="21"/>
                <w:highlight w:val="none"/>
              </w:rPr>
            </w:pPr>
          </w:p>
        </w:tc>
        <w:tc>
          <w:tcPr>
            <w:tcW w:w="1799" w:type="dxa"/>
            <w:noWrap/>
            <w:vAlign w:val="center"/>
          </w:tcPr>
          <w:p w14:paraId="21E2BAF7">
            <w:pPr>
              <w:jc w:val="center"/>
              <w:rPr>
                <w:rFonts w:hint="eastAsia" w:ascii="仿宋_GB2312" w:hAnsi="仿宋_GB2312" w:eastAsia="仿宋_GB2312" w:cs="仿宋_GB2312"/>
                <w:szCs w:val="21"/>
                <w:highlight w:val="none"/>
              </w:rPr>
            </w:pPr>
          </w:p>
        </w:tc>
        <w:tc>
          <w:tcPr>
            <w:tcW w:w="1669" w:type="dxa"/>
            <w:noWrap/>
          </w:tcPr>
          <w:p w14:paraId="62CDE4EA">
            <w:pPr>
              <w:jc w:val="center"/>
              <w:rPr>
                <w:rFonts w:hint="eastAsia" w:ascii="仿宋_GB2312" w:hAnsi="仿宋_GB2312" w:eastAsia="仿宋_GB2312" w:cs="仿宋_GB2312"/>
                <w:szCs w:val="21"/>
                <w:highlight w:val="none"/>
              </w:rPr>
            </w:pPr>
          </w:p>
        </w:tc>
      </w:tr>
      <w:tr w14:paraId="3FEE5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011" w:type="dxa"/>
            <w:noWrap/>
            <w:vAlign w:val="center"/>
          </w:tcPr>
          <w:p w14:paraId="79843D50">
            <w:pPr>
              <w:jc w:val="center"/>
              <w:rPr>
                <w:rFonts w:hint="eastAsia" w:ascii="仿宋_GB2312" w:hAnsi="仿宋_GB2312" w:eastAsia="仿宋_GB2312" w:cs="仿宋_GB2312"/>
                <w:szCs w:val="21"/>
                <w:highlight w:val="none"/>
              </w:rPr>
            </w:pPr>
          </w:p>
        </w:tc>
        <w:tc>
          <w:tcPr>
            <w:tcW w:w="1606" w:type="dxa"/>
            <w:noWrap/>
            <w:vAlign w:val="center"/>
          </w:tcPr>
          <w:p w14:paraId="26A36312">
            <w:pPr>
              <w:jc w:val="center"/>
              <w:rPr>
                <w:rFonts w:hint="eastAsia" w:ascii="仿宋_GB2312" w:hAnsi="仿宋_GB2312" w:eastAsia="仿宋_GB2312" w:cs="仿宋_GB2312"/>
                <w:szCs w:val="21"/>
                <w:highlight w:val="none"/>
              </w:rPr>
            </w:pPr>
          </w:p>
        </w:tc>
        <w:tc>
          <w:tcPr>
            <w:tcW w:w="2016" w:type="dxa"/>
            <w:noWrap/>
            <w:vAlign w:val="center"/>
          </w:tcPr>
          <w:p w14:paraId="524A209B">
            <w:pPr>
              <w:jc w:val="center"/>
              <w:rPr>
                <w:rFonts w:hint="eastAsia" w:ascii="仿宋_GB2312" w:hAnsi="仿宋_GB2312" w:eastAsia="仿宋_GB2312" w:cs="仿宋_GB2312"/>
                <w:szCs w:val="21"/>
                <w:highlight w:val="none"/>
              </w:rPr>
            </w:pPr>
          </w:p>
        </w:tc>
        <w:tc>
          <w:tcPr>
            <w:tcW w:w="1530" w:type="dxa"/>
            <w:noWrap/>
            <w:vAlign w:val="center"/>
          </w:tcPr>
          <w:p w14:paraId="5553636C">
            <w:pPr>
              <w:jc w:val="center"/>
              <w:rPr>
                <w:rFonts w:hint="eastAsia" w:ascii="仿宋_GB2312" w:hAnsi="仿宋_GB2312" w:eastAsia="仿宋_GB2312" w:cs="仿宋_GB2312"/>
                <w:szCs w:val="21"/>
                <w:highlight w:val="none"/>
              </w:rPr>
            </w:pPr>
          </w:p>
        </w:tc>
        <w:tc>
          <w:tcPr>
            <w:tcW w:w="1799" w:type="dxa"/>
            <w:noWrap/>
            <w:vAlign w:val="center"/>
          </w:tcPr>
          <w:p w14:paraId="189B010F">
            <w:pPr>
              <w:jc w:val="center"/>
              <w:rPr>
                <w:rFonts w:hint="eastAsia" w:ascii="仿宋_GB2312" w:hAnsi="仿宋_GB2312" w:eastAsia="仿宋_GB2312" w:cs="仿宋_GB2312"/>
                <w:szCs w:val="21"/>
                <w:highlight w:val="none"/>
              </w:rPr>
            </w:pPr>
          </w:p>
        </w:tc>
        <w:tc>
          <w:tcPr>
            <w:tcW w:w="1669" w:type="dxa"/>
            <w:noWrap/>
          </w:tcPr>
          <w:p w14:paraId="7B321177">
            <w:pPr>
              <w:jc w:val="center"/>
              <w:rPr>
                <w:rFonts w:hint="eastAsia" w:ascii="仿宋_GB2312" w:hAnsi="仿宋_GB2312" w:eastAsia="仿宋_GB2312" w:cs="仿宋_GB2312"/>
                <w:szCs w:val="21"/>
                <w:highlight w:val="none"/>
              </w:rPr>
            </w:pPr>
          </w:p>
        </w:tc>
      </w:tr>
      <w:tr w14:paraId="0D4B6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011" w:type="dxa"/>
            <w:noWrap/>
            <w:vAlign w:val="center"/>
          </w:tcPr>
          <w:p w14:paraId="7A35DB0A">
            <w:pPr>
              <w:jc w:val="center"/>
              <w:rPr>
                <w:rFonts w:hint="eastAsia" w:ascii="仿宋_GB2312" w:hAnsi="仿宋_GB2312" w:eastAsia="仿宋_GB2312" w:cs="仿宋_GB2312"/>
                <w:szCs w:val="21"/>
                <w:highlight w:val="none"/>
              </w:rPr>
            </w:pPr>
          </w:p>
        </w:tc>
        <w:tc>
          <w:tcPr>
            <w:tcW w:w="1606" w:type="dxa"/>
            <w:noWrap/>
            <w:vAlign w:val="center"/>
          </w:tcPr>
          <w:p w14:paraId="121161EB">
            <w:pPr>
              <w:jc w:val="center"/>
              <w:rPr>
                <w:rFonts w:hint="eastAsia" w:ascii="仿宋_GB2312" w:hAnsi="仿宋_GB2312" w:eastAsia="仿宋_GB2312" w:cs="仿宋_GB2312"/>
                <w:szCs w:val="21"/>
                <w:highlight w:val="none"/>
              </w:rPr>
            </w:pPr>
          </w:p>
        </w:tc>
        <w:tc>
          <w:tcPr>
            <w:tcW w:w="2016" w:type="dxa"/>
            <w:noWrap/>
            <w:vAlign w:val="center"/>
          </w:tcPr>
          <w:p w14:paraId="502B8271">
            <w:pPr>
              <w:jc w:val="center"/>
              <w:rPr>
                <w:rFonts w:hint="eastAsia" w:ascii="仿宋_GB2312" w:hAnsi="仿宋_GB2312" w:eastAsia="仿宋_GB2312" w:cs="仿宋_GB2312"/>
                <w:szCs w:val="21"/>
                <w:highlight w:val="none"/>
              </w:rPr>
            </w:pPr>
          </w:p>
        </w:tc>
        <w:tc>
          <w:tcPr>
            <w:tcW w:w="1530" w:type="dxa"/>
            <w:noWrap/>
            <w:vAlign w:val="center"/>
          </w:tcPr>
          <w:p w14:paraId="48D8C6B2">
            <w:pPr>
              <w:jc w:val="center"/>
              <w:rPr>
                <w:rFonts w:hint="eastAsia" w:ascii="仿宋_GB2312" w:hAnsi="仿宋_GB2312" w:eastAsia="仿宋_GB2312" w:cs="仿宋_GB2312"/>
                <w:szCs w:val="21"/>
                <w:highlight w:val="none"/>
              </w:rPr>
            </w:pPr>
          </w:p>
        </w:tc>
        <w:tc>
          <w:tcPr>
            <w:tcW w:w="1799" w:type="dxa"/>
            <w:noWrap/>
            <w:vAlign w:val="center"/>
          </w:tcPr>
          <w:p w14:paraId="22368064">
            <w:pPr>
              <w:jc w:val="center"/>
              <w:rPr>
                <w:rFonts w:hint="eastAsia" w:ascii="仿宋_GB2312" w:hAnsi="仿宋_GB2312" w:eastAsia="仿宋_GB2312" w:cs="仿宋_GB2312"/>
                <w:szCs w:val="21"/>
                <w:highlight w:val="none"/>
              </w:rPr>
            </w:pPr>
          </w:p>
        </w:tc>
        <w:tc>
          <w:tcPr>
            <w:tcW w:w="1669" w:type="dxa"/>
            <w:noWrap/>
          </w:tcPr>
          <w:p w14:paraId="08419590">
            <w:pPr>
              <w:jc w:val="center"/>
              <w:rPr>
                <w:rFonts w:hint="eastAsia" w:ascii="仿宋_GB2312" w:hAnsi="仿宋_GB2312" w:eastAsia="仿宋_GB2312" w:cs="仿宋_GB2312"/>
                <w:szCs w:val="21"/>
                <w:highlight w:val="none"/>
              </w:rPr>
            </w:pPr>
          </w:p>
        </w:tc>
      </w:tr>
      <w:tr w14:paraId="5DD40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011" w:type="dxa"/>
            <w:noWrap/>
          </w:tcPr>
          <w:p w14:paraId="6B2D6AFF">
            <w:pPr>
              <w:rPr>
                <w:rFonts w:hint="eastAsia" w:ascii="仿宋_GB2312" w:hAnsi="仿宋_GB2312" w:eastAsia="仿宋_GB2312" w:cs="仿宋_GB2312"/>
                <w:szCs w:val="21"/>
                <w:highlight w:val="none"/>
              </w:rPr>
            </w:pPr>
          </w:p>
        </w:tc>
        <w:tc>
          <w:tcPr>
            <w:tcW w:w="1606" w:type="dxa"/>
            <w:noWrap/>
          </w:tcPr>
          <w:p w14:paraId="30579D0A">
            <w:pPr>
              <w:rPr>
                <w:rFonts w:hint="eastAsia" w:ascii="仿宋_GB2312" w:hAnsi="仿宋_GB2312" w:eastAsia="仿宋_GB2312" w:cs="仿宋_GB2312"/>
                <w:szCs w:val="21"/>
                <w:highlight w:val="none"/>
              </w:rPr>
            </w:pPr>
          </w:p>
        </w:tc>
        <w:tc>
          <w:tcPr>
            <w:tcW w:w="2016" w:type="dxa"/>
            <w:noWrap/>
          </w:tcPr>
          <w:p w14:paraId="5DF10DAC">
            <w:pPr>
              <w:rPr>
                <w:rFonts w:hint="eastAsia" w:ascii="仿宋_GB2312" w:hAnsi="仿宋_GB2312" w:eastAsia="仿宋_GB2312" w:cs="仿宋_GB2312"/>
                <w:szCs w:val="21"/>
                <w:highlight w:val="none"/>
              </w:rPr>
            </w:pPr>
          </w:p>
        </w:tc>
        <w:tc>
          <w:tcPr>
            <w:tcW w:w="1530" w:type="dxa"/>
            <w:noWrap/>
          </w:tcPr>
          <w:p w14:paraId="351DF49B">
            <w:pPr>
              <w:rPr>
                <w:rFonts w:hint="eastAsia" w:ascii="仿宋_GB2312" w:hAnsi="仿宋_GB2312" w:eastAsia="仿宋_GB2312" w:cs="仿宋_GB2312"/>
                <w:szCs w:val="21"/>
                <w:highlight w:val="none"/>
              </w:rPr>
            </w:pPr>
          </w:p>
        </w:tc>
        <w:tc>
          <w:tcPr>
            <w:tcW w:w="1799" w:type="dxa"/>
            <w:noWrap/>
          </w:tcPr>
          <w:p w14:paraId="72C191D7">
            <w:pPr>
              <w:rPr>
                <w:rFonts w:hint="eastAsia" w:ascii="仿宋_GB2312" w:hAnsi="仿宋_GB2312" w:eastAsia="仿宋_GB2312" w:cs="仿宋_GB2312"/>
                <w:szCs w:val="21"/>
                <w:highlight w:val="none"/>
              </w:rPr>
            </w:pPr>
          </w:p>
        </w:tc>
        <w:tc>
          <w:tcPr>
            <w:tcW w:w="1669" w:type="dxa"/>
            <w:noWrap/>
          </w:tcPr>
          <w:p w14:paraId="03ABC6B3">
            <w:pPr>
              <w:rPr>
                <w:rFonts w:hint="eastAsia" w:ascii="仿宋_GB2312" w:hAnsi="仿宋_GB2312" w:eastAsia="仿宋_GB2312" w:cs="仿宋_GB2312"/>
                <w:szCs w:val="21"/>
                <w:highlight w:val="none"/>
              </w:rPr>
            </w:pPr>
          </w:p>
        </w:tc>
      </w:tr>
      <w:tr w14:paraId="63D6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011" w:type="dxa"/>
            <w:noWrap/>
          </w:tcPr>
          <w:p w14:paraId="1F6D7036">
            <w:pPr>
              <w:rPr>
                <w:rFonts w:hint="eastAsia" w:ascii="仿宋_GB2312" w:hAnsi="仿宋_GB2312" w:eastAsia="仿宋_GB2312" w:cs="仿宋_GB2312"/>
                <w:szCs w:val="21"/>
                <w:highlight w:val="none"/>
              </w:rPr>
            </w:pPr>
          </w:p>
        </w:tc>
        <w:tc>
          <w:tcPr>
            <w:tcW w:w="1606" w:type="dxa"/>
            <w:noWrap/>
          </w:tcPr>
          <w:p w14:paraId="4AC83790">
            <w:pPr>
              <w:rPr>
                <w:rFonts w:hint="eastAsia" w:ascii="仿宋_GB2312" w:hAnsi="仿宋_GB2312" w:eastAsia="仿宋_GB2312" w:cs="仿宋_GB2312"/>
                <w:szCs w:val="21"/>
                <w:highlight w:val="none"/>
              </w:rPr>
            </w:pPr>
          </w:p>
        </w:tc>
        <w:tc>
          <w:tcPr>
            <w:tcW w:w="2016" w:type="dxa"/>
            <w:noWrap/>
          </w:tcPr>
          <w:p w14:paraId="78F4BBB8">
            <w:pPr>
              <w:rPr>
                <w:rFonts w:hint="eastAsia" w:ascii="仿宋_GB2312" w:hAnsi="仿宋_GB2312" w:eastAsia="仿宋_GB2312" w:cs="仿宋_GB2312"/>
                <w:szCs w:val="21"/>
                <w:highlight w:val="none"/>
              </w:rPr>
            </w:pPr>
          </w:p>
        </w:tc>
        <w:tc>
          <w:tcPr>
            <w:tcW w:w="1530" w:type="dxa"/>
            <w:noWrap/>
          </w:tcPr>
          <w:p w14:paraId="7238DAB6">
            <w:pPr>
              <w:rPr>
                <w:rFonts w:hint="eastAsia" w:ascii="仿宋_GB2312" w:hAnsi="仿宋_GB2312" w:eastAsia="仿宋_GB2312" w:cs="仿宋_GB2312"/>
                <w:szCs w:val="21"/>
                <w:highlight w:val="none"/>
              </w:rPr>
            </w:pPr>
          </w:p>
        </w:tc>
        <w:tc>
          <w:tcPr>
            <w:tcW w:w="1799" w:type="dxa"/>
            <w:noWrap/>
          </w:tcPr>
          <w:p w14:paraId="2B33AD60">
            <w:pPr>
              <w:rPr>
                <w:rFonts w:hint="eastAsia" w:ascii="仿宋_GB2312" w:hAnsi="仿宋_GB2312" w:eastAsia="仿宋_GB2312" w:cs="仿宋_GB2312"/>
                <w:szCs w:val="21"/>
                <w:highlight w:val="none"/>
              </w:rPr>
            </w:pPr>
          </w:p>
        </w:tc>
        <w:tc>
          <w:tcPr>
            <w:tcW w:w="1669" w:type="dxa"/>
            <w:noWrap/>
          </w:tcPr>
          <w:p w14:paraId="60668583">
            <w:pPr>
              <w:rPr>
                <w:rFonts w:hint="eastAsia" w:ascii="仿宋_GB2312" w:hAnsi="仿宋_GB2312" w:eastAsia="仿宋_GB2312" w:cs="仿宋_GB2312"/>
                <w:szCs w:val="21"/>
                <w:highlight w:val="none"/>
              </w:rPr>
            </w:pPr>
          </w:p>
        </w:tc>
      </w:tr>
      <w:tr w14:paraId="1C3A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011" w:type="dxa"/>
            <w:noWrap/>
          </w:tcPr>
          <w:p w14:paraId="794CA516">
            <w:pPr>
              <w:rPr>
                <w:rFonts w:hint="eastAsia" w:ascii="仿宋_GB2312" w:hAnsi="仿宋_GB2312" w:eastAsia="仿宋_GB2312" w:cs="仿宋_GB2312"/>
                <w:szCs w:val="21"/>
                <w:highlight w:val="none"/>
              </w:rPr>
            </w:pPr>
          </w:p>
        </w:tc>
        <w:tc>
          <w:tcPr>
            <w:tcW w:w="1606" w:type="dxa"/>
            <w:noWrap/>
          </w:tcPr>
          <w:p w14:paraId="35174A4E">
            <w:pPr>
              <w:rPr>
                <w:rFonts w:hint="eastAsia" w:ascii="仿宋_GB2312" w:hAnsi="仿宋_GB2312" w:eastAsia="仿宋_GB2312" w:cs="仿宋_GB2312"/>
                <w:szCs w:val="21"/>
                <w:highlight w:val="none"/>
              </w:rPr>
            </w:pPr>
          </w:p>
        </w:tc>
        <w:tc>
          <w:tcPr>
            <w:tcW w:w="2016" w:type="dxa"/>
            <w:noWrap/>
          </w:tcPr>
          <w:p w14:paraId="2EA0567D">
            <w:pPr>
              <w:rPr>
                <w:rFonts w:hint="eastAsia" w:ascii="仿宋_GB2312" w:hAnsi="仿宋_GB2312" w:eastAsia="仿宋_GB2312" w:cs="仿宋_GB2312"/>
                <w:szCs w:val="21"/>
                <w:highlight w:val="none"/>
              </w:rPr>
            </w:pPr>
          </w:p>
        </w:tc>
        <w:tc>
          <w:tcPr>
            <w:tcW w:w="1530" w:type="dxa"/>
            <w:noWrap/>
          </w:tcPr>
          <w:p w14:paraId="72D9105D">
            <w:pPr>
              <w:rPr>
                <w:rFonts w:hint="eastAsia" w:ascii="仿宋_GB2312" w:hAnsi="仿宋_GB2312" w:eastAsia="仿宋_GB2312" w:cs="仿宋_GB2312"/>
                <w:szCs w:val="21"/>
                <w:highlight w:val="none"/>
              </w:rPr>
            </w:pPr>
          </w:p>
        </w:tc>
        <w:tc>
          <w:tcPr>
            <w:tcW w:w="1799" w:type="dxa"/>
            <w:noWrap/>
          </w:tcPr>
          <w:p w14:paraId="2DB57790">
            <w:pPr>
              <w:rPr>
                <w:rFonts w:hint="eastAsia" w:ascii="仿宋_GB2312" w:hAnsi="仿宋_GB2312" w:eastAsia="仿宋_GB2312" w:cs="仿宋_GB2312"/>
                <w:szCs w:val="21"/>
                <w:highlight w:val="none"/>
              </w:rPr>
            </w:pPr>
          </w:p>
        </w:tc>
        <w:tc>
          <w:tcPr>
            <w:tcW w:w="1669" w:type="dxa"/>
            <w:noWrap/>
          </w:tcPr>
          <w:p w14:paraId="653D7FCC">
            <w:pPr>
              <w:rPr>
                <w:rFonts w:hint="eastAsia" w:ascii="仿宋_GB2312" w:hAnsi="仿宋_GB2312" w:eastAsia="仿宋_GB2312" w:cs="仿宋_GB2312"/>
                <w:szCs w:val="21"/>
                <w:highlight w:val="none"/>
              </w:rPr>
            </w:pPr>
          </w:p>
        </w:tc>
      </w:tr>
    </w:tbl>
    <w:p w14:paraId="52710CF7">
      <w:pPr>
        <w:snapToGrid w:val="0"/>
        <w:spacing w:line="360" w:lineRule="auto"/>
        <w:ind w:firstLine="240" w:firstLineChars="1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附：评标办法要求的相关证明材料扫描件。</w:t>
      </w:r>
    </w:p>
    <w:p w14:paraId="5375CA41">
      <w:pPr>
        <w:snapToGrid w:val="0"/>
        <w:spacing w:line="360" w:lineRule="auto"/>
        <w:ind w:firstLine="240" w:firstLineChars="100"/>
        <w:rPr>
          <w:rFonts w:hint="eastAsia" w:ascii="仿宋_GB2312" w:hAnsi="仿宋_GB2312" w:eastAsia="仿宋_GB2312" w:cs="仿宋_GB2312"/>
          <w:sz w:val="24"/>
          <w:szCs w:val="24"/>
          <w:highlight w:val="none"/>
        </w:rPr>
      </w:pPr>
    </w:p>
    <w:p w14:paraId="1F8E1B93">
      <w:pPr>
        <w:snapToGrid w:val="0"/>
        <w:spacing w:line="360" w:lineRule="auto"/>
        <w:ind w:firstLine="240" w:firstLineChars="1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投标人（盖章）：</w:t>
      </w:r>
    </w:p>
    <w:p w14:paraId="37419D58">
      <w:pPr>
        <w:snapToGrid w:val="0"/>
        <w:spacing w:line="360" w:lineRule="auto"/>
        <w:ind w:firstLine="240" w:firstLineChars="1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法定代表人或委托代理人</w:t>
      </w:r>
      <w:r>
        <w:rPr>
          <w:rFonts w:hint="eastAsia" w:ascii="仿宋_GB2312" w:hAnsi="仿宋_GB2312" w:eastAsia="仿宋_GB2312" w:cs="仿宋_GB2312"/>
          <w:sz w:val="24"/>
          <w:szCs w:val="24"/>
          <w:highlight w:val="none"/>
          <w:lang w:val="zh-CN"/>
        </w:rPr>
        <w:t>（签字或盖章）：</w:t>
      </w:r>
    </w:p>
    <w:p w14:paraId="12586335">
      <w:pPr>
        <w:pStyle w:val="31"/>
        <w:tabs>
          <w:tab w:val="right" w:leader="dot" w:pos="8834"/>
          <w:tab w:val="clear" w:pos="8985"/>
        </w:tabs>
        <w:ind w:firstLine="240" w:firstLineChars="100"/>
        <w:jc w:val="both"/>
        <w:rPr>
          <w:rFonts w:hint="eastAsia" w:ascii="仿宋_GB2312" w:hAnsi="仿宋_GB2312" w:eastAsia="仿宋_GB2312" w:cs="仿宋_GB2312"/>
          <w:b w:val="0"/>
          <w:bCs w:val="0"/>
          <w:caps w:val="0"/>
          <w:kern w:val="2"/>
          <w:sz w:val="24"/>
          <w:szCs w:val="24"/>
          <w:highlight w:val="none"/>
        </w:rPr>
      </w:pPr>
      <w:r>
        <w:rPr>
          <w:rFonts w:hint="eastAsia" w:ascii="仿宋_GB2312" w:hAnsi="仿宋_GB2312" w:eastAsia="仿宋_GB2312" w:cs="仿宋_GB2312"/>
          <w:b w:val="0"/>
          <w:bCs w:val="0"/>
          <w:caps w:val="0"/>
          <w:kern w:val="2"/>
          <w:sz w:val="24"/>
          <w:szCs w:val="24"/>
          <w:highlight w:val="none"/>
        </w:rPr>
        <w:t>日  期：</w:t>
      </w:r>
    </w:p>
    <w:p w14:paraId="3095A917">
      <w:pPr>
        <w:rPr>
          <w:rFonts w:hint="eastAsia" w:ascii="仿宋_GB2312" w:hAnsi="仿宋_GB2312" w:eastAsia="仿宋_GB2312" w:cs="仿宋_GB2312"/>
          <w:highlight w:val="none"/>
        </w:rPr>
      </w:pPr>
    </w:p>
    <w:p w14:paraId="0F88C12C">
      <w:pPr>
        <w:pStyle w:val="2"/>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br w:type="page"/>
      </w:r>
    </w:p>
    <w:p w14:paraId="25F8B767">
      <w:pPr>
        <w:spacing w:line="360" w:lineRule="auto"/>
        <w:jc w:val="center"/>
        <w:rPr>
          <w:rFonts w:hint="eastAsia" w:ascii="仿宋_GB2312" w:hAnsi="仿宋_GB2312" w:eastAsia="仿宋_GB2312" w:cs="仿宋_GB2312"/>
          <w:b/>
          <w:sz w:val="36"/>
          <w:szCs w:val="36"/>
          <w:highlight w:val="none"/>
        </w:rPr>
        <w:sectPr>
          <w:headerReference r:id="rId9" w:type="default"/>
          <w:footerReference r:id="rId10" w:type="default"/>
          <w:pgSz w:w="11906" w:h="16838"/>
          <w:pgMar w:top="1440" w:right="1800" w:bottom="1440" w:left="1800" w:header="851" w:footer="992" w:gutter="0"/>
          <w:cols w:space="720" w:num="1"/>
          <w:docGrid w:type="lines" w:linePitch="312" w:charSpace="0"/>
        </w:sectPr>
      </w:pPr>
    </w:p>
    <w:p w14:paraId="29343DFE">
      <w:pPr>
        <w:spacing w:line="360" w:lineRule="auto"/>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企业实力及优势说明</w:t>
      </w:r>
    </w:p>
    <w:p w14:paraId="747C4009">
      <w:pPr>
        <w:pStyle w:val="2"/>
        <w:rPr>
          <w:rFonts w:hint="eastAsia" w:ascii="仿宋_GB2312" w:hAnsi="仿宋_GB2312" w:eastAsia="仿宋_GB2312" w:cs="仿宋_GB2312"/>
          <w:b/>
          <w:sz w:val="36"/>
          <w:szCs w:val="36"/>
          <w:highlight w:val="none"/>
        </w:rPr>
      </w:pPr>
    </w:p>
    <w:p w14:paraId="62DA06E8">
      <w:pPr>
        <w:pStyle w:val="2"/>
        <w:rPr>
          <w:rFonts w:hint="eastAsia" w:ascii="仿宋_GB2312" w:hAnsi="仿宋_GB2312" w:eastAsia="仿宋_GB2312" w:cs="仿宋_GB2312"/>
          <w:b/>
          <w:sz w:val="36"/>
          <w:szCs w:val="36"/>
          <w:highlight w:val="none"/>
        </w:rPr>
      </w:pPr>
    </w:p>
    <w:p w14:paraId="7BB08367">
      <w:pPr>
        <w:pStyle w:val="2"/>
        <w:rPr>
          <w:rFonts w:hint="eastAsia" w:ascii="仿宋_GB2312" w:hAnsi="仿宋_GB2312" w:eastAsia="仿宋_GB2312" w:cs="仿宋_GB2312"/>
          <w:b/>
          <w:sz w:val="36"/>
          <w:szCs w:val="36"/>
          <w:highlight w:val="none"/>
        </w:rPr>
      </w:pPr>
    </w:p>
    <w:p w14:paraId="0CBBB5F7">
      <w:pPr>
        <w:pStyle w:val="2"/>
        <w:rPr>
          <w:rFonts w:hint="eastAsia" w:ascii="仿宋_GB2312" w:hAnsi="仿宋_GB2312" w:eastAsia="仿宋_GB2312" w:cs="仿宋_GB2312"/>
          <w:b/>
          <w:sz w:val="36"/>
          <w:szCs w:val="36"/>
          <w:highlight w:val="none"/>
        </w:rPr>
      </w:pPr>
    </w:p>
    <w:p w14:paraId="46BF89E3">
      <w:pPr>
        <w:pStyle w:val="2"/>
        <w:rPr>
          <w:rFonts w:hint="eastAsia" w:ascii="仿宋_GB2312" w:hAnsi="仿宋_GB2312" w:eastAsia="仿宋_GB2312" w:cs="仿宋_GB2312"/>
          <w:b/>
          <w:sz w:val="36"/>
          <w:szCs w:val="36"/>
          <w:highlight w:val="none"/>
        </w:rPr>
      </w:pPr>
    </w:p>
    <w:p w14:paraId="0FEC0D31">
      <w:pPr>
        <w:pStyle w:val="2"/>
        <w:rPr>
          <w:rFonts w:hint="eastAsia" w:ascii="仿宋_GB2312" w:hAnsi="仿宋_GB2312" w:eastAsia="仿宋_GB2312" w:cs="仿宋_GB2312"/>
          <w:b/>
          <w:sz w:val="36"/>
          <w:szCs w:val="36"/>
          <w:highlight w:val="none"/>
        </w:rPr>
      </w:pPr>
    </w:p>
    <w:p w14:paraId="113E5316">
      <w:pPr>
        <w:pStyle w:val="2"/>
        <w:rPr>
          <w:rFonts w:hint="eastAsia" w:ascii="仿宋_GB2312" w:hAnsi="仿宋_GB2312" w:eastAsia="仿宋_GB2312" w:cs="仿宋_GB2312"/>
          <w:b/>
          <w:sz w:val="36"/>
          <w:szCs w:val="36"/>
          <w:highlight w:val="none"/>
        </w:rPr>
      </w:pPr>
    </w:p>
    <w:p w14:paraId="15A26DA5">
      <w:pPr>
        <w:pStyle w:val="2"/>
        <w:rPr>
          <w:rFonts w:hint="eastAsia" w:ascii="仿宋_GB2312" w:hAnsi="仿宋_GB2312" w:eastAsia="仿宋_GB2312" w:cs="仿宋_GB2312"/>
          <w:b/>
          <w:sz w:val="36"/>
          <w:szCs w:val="36"/>
          <w:highlight w:val="none"/>
        </w:rPr>
      </w:pPr>
    </w:p>
    <w:p w14:paraId="36EADE9A">
      <w:pPr>
        <w:pStyle w:val="2"/>
        <w:rPr>
          <w:rFonts w:hint="eastAsia" w:ascii="仿宋_GB2312" w:hAnsi="仿宋_GB2312" w:eastAsia="仿宋_GB2312" w:cs="仿宋_GB2312"/>
          <w:b/>
          <w:sz w:val="36"/>
          <w:szCs w:val="36"/>
          <w:highlight w:val="none"/>
        </w:rPr>
      </w:pPr>
    </w:p>
    <w:p w14:paraId="0504BB51">
      <w:pPr>
        <w:pStyle w:val="2"/>
        <w:rPr>
          <w:rFonts w:hint="eastAsia" w:ascii="仿宋_GB2312" w:hAnsi="仿宋_GB2312" w:eastAsia="仿宋_GB2312" w:cs="仿宋_GB2312"/>
          <w:b/>
          <w:sz w:val="36"/>
          <w:szCs w:val="36"/>
          <w:highlight w:val="none"/>
        </w:rPr>
      </w:pPr>
    </w:p>
    <w:p w14:paraId="32C79ACC">
      <w:pPr>
        <w:pStyle w:val="2"/>
        <w:rPr>
          <w:rFonts w:hint="eastAsia" w:ascii="仿宋_GB2312" w:hAnsi="仿宋_GB2312" w:eastAsia="仿宋_GB2312" w:cs="仿宋_GB2312"/>
          <w:b/>
          <w:sz w:val="36"/>
          <w:szCs w:val="36"/>
          <w:highlight w:val="none"/>
        </w:rPr>
      </w:pPr>
    </w:p>
    <w:p w14:paraId="56E6E740">
      <w:pPr>
        <w:pStyle w:val="2"/>
        <w:rPr>
          <w:rFonts w:hint="eastAsia" w:ascii="仿宋_GB2312" w:hAnsi="仿宋_GB2312" w:eastAsia="仿宋_GB2312" w:cs="仿宋_GB2312"/>
          <w:b/>
          <w:sz w:val="36"/>
          <w:szCs w:val="36"/>
          <w:highlight w:val="none"/>
        </w:rPr>
      </w:pPr>
    </w:p>
    <w:p w14:paraId="7A559884">
      <w:pPr>
        <w:pStyle w:val="2"/>
        <w:rPr>
          <w:rFonts w:hint="eastAsia" w:ascii="仿宋_GB2312" w:hAnsi="仿宋_GB2312" w:eastAsia="仿宋_GB2312" w:cs="仿宋_GB2312"/>
          <w:b/>
          <w:sz w:val="36"/>
          <w:szCs w:val="36"/>
          <w:highlight w:val="none"/>
        </w:rPr>
      </w:pPr>
    </w:p>
    <w:p w14:paraId="12C6412B">
      <w:pPr>
        <w:snapToGrid w:val="0"/>
        <w:spacing w:line="360" w:lineRule="auto"/>
        <w:ind w:firstLine="240" w:firstLineChars="1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投标人（盖章）：</w:t>
      </w:r>
    </w:p>
    <w:p w14:paraId="020CF776">
      <w:pPr>
        <w:snapToGrid w:val="0"/>
        <w:spacing w:line="360" w:lineRule="auto"/>
        <w:ind w:firstLine="240" w:firstLineChars="1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法定代表人或委托代理人</w:t>
      </w:r>
      <w:r>
        <w:rPr>
          <w:rFonts w:hint="eastAsia" w:ascii="仿宋_GB2312" w:hAnsi="仿宋_GB2312" w:eastAsia="仿宋_GB2312" w:cs="仿宋_GB2312"/>
          <w:sz w:val="24"/>
          <w:szCs w:val="24"/>
          <w:highlight w:val="none"/>
          <w:lang w:val="zh-CN"/>
        </w:rPr>
        <w:t>（签字或盖章）：</w:t>
      </w:r>
    </w:p>
    <w:p w14:paraId="3AD060B0">
      <w:pPr>
        <w:pStyle w:val="31"/>
        <w:tabs>
          <w:tab w:val="right" w:leader="dot" w:pos="8834"/>
          <w:tab w:val="clear" w:pos="8985"/>
        </w:tabs>
        <w:ind w:firstLine="240" w:firstLineChars="100"/>
        <w:jc w:val="both"/>
        <w:rPr>
          <w:rFonts w:hint="eastAsia" w:ascii="仿宋_GB2312" w:hAnsi="仿宋_GB2312" w:eastAsia="仿宋_GB2312" w:cs="仿宋_GB2312"/>
          <w:b w:val="0"/>
          <w:bCs w:val="0"/>
          <w:caps w:val="0"/>
          <w:kern w:val="2"/>
          <w:sz w:val="24"/>
          <w:szCs w:val="24"/>
          <w:highlight w:val="none"/>
        </w:rPr>
      </w:pPr>
      <w:r>
        <w:rPr>
          <w:rFonts w:hint="eastAsia" w:ascii="仿宋_GB2312" w:hAnsi="仿宋_GB2312" w:eastAsia="仿宋_GB2312" w:cs="仿宋_GB2312"/>
          <w:b w:val="0"/>
          <w:bCs w:val="0"/>
          <w:caps w:val="0"/>
          <w:kern w:val="2"/>
          <w:sz w:val="24"/>
          <w:szCs w:val="24"/>
          <w:highlight w:val="none"/>
        </w:rPr>
        <w:t>日  期：</w:t>
      </w:r>
    </w:p>
    <w:p w14:paraId="17353B90">
      <w:pPr>
        <w:pStyle w:val="2"/>
        <w:rPr>
          <w:rFonts w:hint="eastAsia" w:ascii="仿宋_GB2312" w:hAnsi="仿宋_GB2312" w:eastAsia="仿宋_GB2312" w:cs="仿宋_GB2312"/>
          <w:b/>
          <w:sz w:val="36"/>
          <w:szCs w:val="36"/>
          <w:highlight w:val="none"/>
        </w:rPr>
        <w:sectPr>
          <w:pgSz w:w="11906" w:h="16838"/>
          <w:pgMar w:top="1440" w:right="1800" w:bottom="1440" w:left="1800" w:header="851" w:footer="992" w:gutter="0"/>
          <w:cols w:space="720" w:num="1"/>
          <w:docGrid w:type="lines" w:linePitch="312" w:charSpace="0"/>
        </w:sectPr>
      </w:pPr>
    </w:p>
    <w:p w14:paraId="4CD705A3">
      <w:pPr>
        <w:spacing w:line="360" w:lineRule="auto"/>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投标偏离表</w:t>
      </w:r>
    </w:p>
    <w:p w14:paraId="7178C10D">
      <w:pPr>
        <w:jc w:val="center"/>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（包括技术规格、参数和商务条款偏离）</w:t>
      </w:r>
    </w:p>
    <w:tbl>
      <w:tblPr>
        <w:tblStyle w:val="43"/>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
        <w:gridCol w:w="1262"/>
        <w:gridCol w:w="3540"/>
        <w:gridCol w:w="1263"/>
        <w:gridCol w:w="2496"/>
      </w:tblGrid>
      <w:tr w14:paraId="7973F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478" w:type="dxa"/>
            <w:vMerge w:val="restart"/>
            <w:vAlign w:val="center"/>
          </w:tcPr>
          <w:p w14:paraId="7150480E">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序号</w:t>
            </w:r>
          </w:p>
        </w:tc>
        <w:tc>
          <w:tcPr>
            <w:tcW w:w="4802" w:type="dxa"/>
            <w:gridSpan w:val="2"/>
            <w:vAlign w:val="center"/>
          </w:tcPr>
          <w:p w14:paraId="19891A5D">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招标文件条款</w:t>
            </w:r>
          </w:p>
        </w:tc>
        <w:tc>
          <w:tcPr>
            <w:tcW w:w="3759" w:type="dxa"/>
            <w:gridSpan w:val="2"/>
            <w:vAlign w:val="center"/>
          </w:tcPr>
          <w:p w14:paraId="0DD7E371">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投标文件条款</w:t>
            </w:r>
          </w:p>
        </w:tc>
      </w:tr>
      <w:tr w14:paraId="61731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trPr>
        <w:tc>
          <w:tcPr>
            <w:tcW w:w="478" w:type="dxa"/>
            <w:vMerge w:val="continue"/>
            <w:vAlign w:val="center"/>
          </w:tcPr>
          <w:p w14:paraId="54643375">
            <w:pPr>
              <w:spacing w:line="480" w:lineRule="exact"/>
              <w:jc w:val="center"/>
              <w:rPr>
                <w:rFonts w:hint="eastAsia" w:ascii="仿宋_GB2312" w:hAnsi="仿宋_GB2312" w:eastAsia="仿宋_GB2312" w:cs="仿宋_GB2312"/>
                <w:highlight w:val="none"/>
              </w:rPr>
            </w:pPr>
          </w:p>
        </w:tc>
        <w:tc>
          <w:tcPr>
            <w:tcW w:w="1262" w:type="dxa"/>
            <w:vAlign w:val="center"/>
          </w:tcPr>
          <w:p w14:paraId="55CF75FF">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条款号</w:t>
            </w:r>
          </w:p>
        </w:tc>
        <w:tc>
          <w:tcPr>
            <w:tcW w:w="3540" w:type="dxa"/>
            <w:vAlign w:val="center"/>
          </w:tcPr>
          <w:p w14:paraId="45C63A4D">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招标文件的内容</w:t>
            </w:r>
          </w:p>
        </w:tc>
        <w:tc>
          <w:tcPr>
            <w:tcW w:w="1263" w:type="dxa"/>
            <w:vAlign w:val="center"/>
          </w:tcPr>
          <w:p w14:paraId="1469DD43">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条款号</w:t>
            </w:r>
          </w:p>
        </w:tc>
        <w:tc>
          <w:tcPr>
            <w:tcW w:w="2496" w:type="dxa"/>
            <w:vAlign w:val="center"/>
          </w:tcPr>
          <w:p w14:paraId="2D02E1CE">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投标文件偏离内容</w:t>
            </w:r>
          </w:p>
        </w:tc>
      </w:tr>
      <w:tr w14:paraId="6C56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478" w:type="dxa"/>
            <w:vAlign w:val="center"/>
          </w:tcPr>
          <w:p w14:paraId="7D3334AE">
            <w:pPr>
              <w:spacing w:line="480" w:lineRule="exact"/>
              <w:jc w:val="center"/>
              <w:rPr>
                <w:rFonts w:hint="eastAsia" w:ascii="仿宋_GB2312" w:hAnsi="仿宋_GB2312" w:eastAsia="仿宋_GB2312" w:cs="仿宋_GB2312"/>
                <w:sz w:val="28"/>
                <w:szCs w:val="24"/>
                <w:highlight w:val="none"/>
              </w:rPr>
            </w:pPr>
          </w:p>
        </w:tc>
        <w:tc>
          <w:tcPr>
            <w:tcW w:w="1262" w:type="dxa"/>
            <w:vAlign w:val="center"/>
          </w:tcPr>
          <w:p w14:paraId="28F1F18A">
            <w:pPr>
              <w:spacing w:line="480" w:lineRule="exact"/>
              <w:jc w:val="center"/>
              <w:rPr>
                <w:rFonts w:hint="eastAsia" w:ascii="仿宋_GB2312" w:hAnsi="仿宋_GB2312" w:eastAsia="仿宋_GB2312" w:cs="仿宋_GB2312"/>
                <w:sz w:val="28"/>
                <w:szCs w:val="24"/>
                <w:highlight w:val="none"/>
              </w:rPr>
            </w:pPr>
          </w:p>
        </w:tc>
        <w:tc>
          <w:tcPr>
            <w:tcW w:w="3540" w:type="dxa"/>
            <w:vAlign w:val="center"/>
          </w:tcPr>
          <w:p w14:paraId="26012A57">
            <w:pPr>
              <w:spacing w:line="480" w:lineRule="exact"/>
              <w:jc w:val="center"/>
              <w:rPr>
                <w:rFonts w:hint="eastAsia" w:ascii="仿宋_GB2312" w:hAnsi="仿宋_GB2312" w:eastAsia="仿宋_GB2312" w:cs="仿宋_GB2312"/>
                <w:sz w:val="28"/>
                <w:szCs w:val="24"/>
                <w:highlight w:val="none"/>
              </w:rPr>
            </w:pPr>
          </w:p>
        </w:tc>
        <w:tc>
          <w:tcPr>
            <w:tcW w:w="1263" w:type="dxa"/>
            <w:vAlign w:val="center"/>
          </w:tcPr>
          <w:p w14:paraId="17B9D5AE">
            <w:pPr>
              <w:spacing w:line="480" w:lineRule="exact"/>
              <w:jc w:val="center"/>
              <w:rPr>
                <w:rFonts w:hint="eastAsia" w:ascii="仿宋_GB2312" w:hAnsi="仿宋_GB2312" w:eastAsia="仿宋_GB2312" w:cs="仿宋_GB2312"/>
                <w:sz w:val="28"/>
                <w:szCs w:val="24"/>
                <w:highlight w:val="none"/>
              </w:rPr>
            </w:pPr>
          </w:p>
        </w:tc>
        <w:tc>
          <w:tcPr>
            <w:tcW w:w="2496" w:type="dxa"/>
            <w:vAlign w:val="center"/>
          </w:tcPr>
          <w:p w14:paraId="77209257">
            <w:pPr>
              <w:spacing w:line="480" w:lineRule="exact"/>
              <w:jc w:val="center"/>
              <w:rPr>
                <w:rFonts w:hint="eastAsia" w:ascii="仿宋_GB2312" w:hAnsi="仿宋_GB2312" w:eastAsia="仿宋_GB2312" w:cs="仿宋_GB2312"/>
                <w:sz w:val="28"/>
                <w:szCs w:val="24"/>
                <w:highlight w:val="none"/>
              </w:rPr>
            </w:pPr>
          </w:p>
        </w:tc>
      </w:tr>
      <w:tr w14:paraId="4D61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478" w:type="dxa"/>
            <w:vAlign w:val="center"/>
          </w:tcPr>
          <w:p w14:paraId="3CD4909C">
            <w:pPr>
              <w:spacing w:line="480" w:lineRule="exact"/>
              <w:jc w:val="center"/>
              <w:rPr>
                <w:rFonts w:hint="eastAsia" w:ascii="仿宋_GB2312" w:hAnsi="仿宋_GB2312" w:eastAsia="仿宋_GB2312" w:cs="仿宋_GB2312"/>
                <w:sz w:val="28"/>
                <w:szCs w:val="24"/>
                <w:highlight w:val="none"/>
              </w:rPr>
            </w:pPr>
          </w:p>
        </w:tc>
        <w:tc>
          <w:tcPr>
            <w:tcW w:w="1262" w:type="dxa"/>
            <w:vAlign w:val="center"/>
          </w:tcPr>
          <w:p w14:paraId="7EBAD77A">
            <w:pPr>
              <w:spacing w:line="480" w:lineRule="exact"/>
              <w:jc w:val="center"/>
              <w:rPr>
                <w:rFonts w:hint="eastAsia" w:ascii="仿宋_GB2312" w:hAnsi="仿宋_GB2312" w:eastAsia="仿宋_GB2312" w:cs="仿宋_GB2312"/>
                <w:sz w:val="28"/>
                <w:szCs w:val="24"/>
                <w:highlight w:val="none"/>
              </w:rPr>
            </w:pPr>
          </w:p>
        </w:tc>
        <w:tc>
          <w:tcPr>
            <w:tcW w:w="3540" w:type="dxa"/>
            <w:vAlign w:val="center"/>
          </w:tcPr>
          <w:p w14:paraId="7A665D0E">
            <w:pPr>
              <w:spacing w:line="480" w:lineRule="exact"/>
              <w:jc w:val="center"/>
              <w:rPr>
                <w:rFonts w:hint="eastAsia" w:ascii="仿宋_GB2312" w:hAnsi="仿宋_GB2312" w:eastAsia="仿宋_GB2312" w:cs="仿宋_GB2312"/>
                <w:sz w:val="28"/>
                <w:szCs w:val="24"/>
                <w:highlight w:val="none"/>
              </w:rPr>
            </w:pPr>
          </w:p>
        </w:tc>
        <w:tc>
          <w:tcPr>
            <w:tcW w:w="1263" w:type="dxa"/>
            <w:vAlign w:val="center"/>
          </w:tcPr>
          <w:p w14:paraId="3E346756">
            <w:pPr>
              <w:spacing w:line="480" w:lineRule="exact"/>
              <w:jc w:val="center"/>
              <w:rPr>
                <w:rFonts w:hint="eastAsia" w:ascii="仿宋_GB2312" w:hAnsi="仿宋_GB2312" w:eastAsia="仿宋_GB2312" w:cs="仿宋_GB2312"/>
                <w:sz w:val="28"/>
                <w:szCs w:val="24"/>
                <w:highlight w:val="none"/>
              </w:rPr>
            </w:pPr>
          </w:p>
        </w:tc>
        <w:tc>
          <w:tcPr>
            <w:tcW w:w="2496" w:type="dxa"/>
            <w:vAlign w:val="center"/>
          </w:tcPr>
          <w:p w14:paraId="7ADEA863">
            <w:pPr>
              <w:spacing w:line="480" w:lineRule="exact"/>
              <w:jc w:val="center"/>
              <w:rPr>
                <w:rFonts w:hint="eastAsia" w:ascii="仿宋_GB2312" w:hAnsi="仿宋_GB2312" w:eastAsia="仿宋_GB2312" w:cs="仿宋_GB2312"/>
                <w:sz w:val="28"/>
                <w:szCs w:val="24"/>
                <w:highlight w:val="none"/>
              </w:rPr>
            </w:pPr>
          </w:p>
        </w:tc>
      </w:tr>
      <w:tr w14:paraId="514C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478" w:type="dxa"/>
            <w:vAlign w:val="center"/>
          </w:tcPr>
          <w:p w14:paraId="197D7B2D">
            <w:pPr>
              <w:spacing w:line="480" w:lineRule="exact"/>
              <w:jc w:val="center"/>
              <w:rPr>
                <w:rFonts w:hint="eastAsia" w:ascii="仿宋_GB2312" w:hAnsi="仿宋_GB2312" w:eastAsia="仿宋_GB2312" w:cs="仿宋_GB2312"/>
                <w:sz w:val="28"/>
                <w:szCs w:val="24"/>
                <w:highlight w:val="none"/>
              </w:rPr>
            </w:pPr>
          </w:p>
        </w:tc>
        <w:tc>
          <w:tcPr>
            <w:tcW w:w="1262" w:type="dxa"/>
            <w:vAlign w:val="center"/>
          </w:tcPr>
          <w:p w14:paraId="24966965">
            <w:pPr>
              <w:spacing w:line="480" w:lineRule="exact"/>
              <w:jc w:val="center"/>
              <w:rPr>
                <w:rFonts w:hint="eastAsia" w:ascii="仿宋_GB2312" w:hAnsi="仿宋_GB2312" w:eastAsia="仿宋_GB2312" w:cs="仿宋_GB2312"/>
                <w:sz w:val="28"/>
                <w:szCs w:val="24"/>
                <w:highlight w:val="none"/>
              </w:rPr>
            </w:pPr>
          </w:p>
        </w:tc>
        <w:tc>
          <w:tcPr>
            <w:tcW w:w="3540" w:type="dxa"/>
            <w:vAlign w:val="center"/>
          </w:tcPr>
          <w:p w14:paraId="68697A63">
            <w:pPr>
              <w:spacing w:line="480" w:lineRule="exact"/>
              <w:jc w:val="center"/>
              <w:rPr>
                <w:rFonts w:hint="eastAsia" w:ascii="仿宋_GB2312" w:hAnsi="仿宋_GB2312" w:eastAsia="仿宋_GB2312" w:cs="仿宋_GB2312"/>
                <w:sz w:val="28"/>
                <w:szCs w:val="24"/>
                <w:highlight w:val="none"/>
              </w:rPr>
            </w:pPr>
          </w:p>
        </w:tc>
        <w:tc>
          <w:tcPr>
            <w:tcW w:w="1263" w:type="dxa"/>
            <w:vAlign w:val="center"/>
          </w:tcPr>
          <w:p w14:paraId="4CB0F2B5">
            <w:pPr>
              <w:spacing w:line="480" w:lineRule="exact"/>
              <w:jc w:val="center"/>
              <w:rPr>
                <w:rFonts w:hint="eastAsia" w:ascii="仿宋_GB2312" w:hAnsi="仿宋_GB2312" w:eastAsia="仿宋_GB2312" w:cs="仿宋_GB2312"/>
                <w:sz w:val="28"/>
                <w:szCs w:val="24"/>
                <w:highlight w:val="none"/>
              </w:rPr>
            </w:pPr>
          </w:p>
        </w:tc>
        <w:tc>
          <w:tcPr>
            <w:tcW w:w="2496" w:type="dxa"/>
            <w:vAlign w:val="center"/>
          </w:tcPr>
          <w:p w14:paraId="00FFB1EE">
            <w:pPr>
              <w:spacing w:line="480" w:lineRule="exact"/>
              <w:jc w:val="center"/>
              <w:rPr>
                <w:rFonts w:hint="eastAsia" w:ascii="仿宋_GB2312" w:hAnsi="仿宋_GB2312" w:eastAsia="仿宋_GB2312" w:cs="仿宋_GB2312"/>
                <w:sz w:val="28"/>
                <w:szCs w:val="24"/>
                <w:highlight w:val="none"/>
              </w:rPr>
            </w:pPr>
          </w:p>
        </w:tc>
      </w:tr>
      <w:tr w14:paraId="043A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478" w:type="dxa"/>
            <w:vAlign w:val="center"/>
          </w:tcPr>
          <w:p w14:paraId="143DEDDB">
            <w:pPr>
              <w:spacing w:line="480" w:lineRule="exact"/>
              <w:jc w:val="center"/>
              <w:rPr>
                <w:rFonts w:hint="eastAsia" w:ascii="仿宋_GB2312" w:hAnsi="仿宋_GB2312" w:eastAsia="仿宋_GB2312" w:cs="仿宋_GB2312"/>
                <w:sz w:val="28"/>
                <w:szCs w:val="24"/>
                <w:highlight w:val="none"/>
              </w:rPr>
            </w:pPr>
          </w:p>
        </w:tc>
        <w:tc>
          <w:tcPr>
            <w:tcW w:w="1262" w:type="dxa"/>
            <w:vAlign w:val="center"/>
          </w:tcPr>
          <w:p w14:paraId="3B44F610">
            <w:pPr>
              <w:spacing w:line="480" w:lineRule="exact"/>
              <w:jc w:val="center"/>
              <w:rPr>
                <w:rFonts w:hint="eastAsia" w:ascii="仿宋_GB2312" w:hAnsi="仿宋_GB2312" w:eastAsia="仿宋_GB2312" w:cs="仿宋_GB2312"/>
                <w:sz w:val="28"/>
                <w:szCs w:val="24"/>
                <w:highlight w:val="none"/>
              </w:rPr>
            </w:pPr>
          </w:p>
        </w:tc>
        <w:tc>
          <w:tcPr>
            <w:tcW w:w="3540" w:type="dxa"/>
            <w:vAlign w:val="center"/>
          </w:tcPr>
          <w:p w14:paraId="70D41613">
            <w:pPr>
              <w:spacing w:line="480" w:lineRule="exact"/>
              <w:jc w:val="center"/>
              <w:rPr>
                <w:rFonts w:hint="eastAsia" w:ascii="仿宋_GB2312" w:hAnsi="仿宋_GB2312" w:eastAsia="仿宋_GB2312" w:cs="仿宋_GB2312"/>
                <w:sz w:val="28"/>
                <w:szCs w:val="24"/>
                <w:highlight w:val="none"/>
              </w:rPr>
            </w:pPr>
          </w:p>
        </w:tc>
        <w:tc>
          <w:tcPr>
            <w:tcW w:w="1263" w:type="dxa"/>
            <w:vAlign w:val="center"/>
          </w:tcPr>
          <w:p w14:paraId="75B66202">
            <w:pPr>
              <w:spacing w:line="480" w:lineRule="exact"/>
              <w:jc w:val="center"/>
              <w:rPr>
                <w:rFonts w:hint="eastAsia" w:ascii="仿宋_GB2312" w:hAnsi="仿宋_GB2312" w:eastAsia="仿宋_GB2312" w:cs="仿宋_GB2312"/>
                <w:sz w:val="28"/>
                <w:szCs w:val="24"/>
                <w:highlight w:val="none"/>
              </w:rPr>
            </w:pPr>
          </w:p>
        </w:tc>
        <w:tc>
          <w:tcPr>
            <w:tcW w:w="2496" w:type="dxa"/>
            <w:vAlign w:val="center"/>
          </w:tcPr>
          <w:p w14:paraId="329AC6E1">
            <w:pPr>
              <w:spacing w:line="480" w:lineRule="exact"/>
              <w:jc w:val="center"/>
              <w:rPr>
                <w:rFonts w:hint="eastAsia" w:ascii="仿宋_GB2312" w:hAnsi="仿宋_GB2312" w:eastAsia="仿宋_GB2312" w:cs="仿宋_GB2312"/>
                <w:sz w:val="28"/>
                <w:szCs w:val="24"/>
                <w:highlight w:val="none"/>
              </w:rPr>
            </w:pPr>
          </w:p>
        </w:tc>
      </w:tr>
      <w:tr w14:paraId="777FC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478" w:type="dxa"/>
            <w:vAlign w:val="center"/>
          </w:tcPr>
          <w:p w14:paraId="29FFCDCC">
            <w:pPr>
              <w:spacing w:line="480" w:lineRule="exact"/>
              <w:jc w:val="center"/>
              <w:rPr>
                <w:rFonts w:hint="eastAsia" w:ascii="仿宋_GB2312" w:hAnsi="仿宋_GB2312" w:eastAsia="仿宋_GB2312" w:cs="仿宋_GB2312"/>
                <w:sz w:val="28"/>
                <w:szCs w:val="24"/>
                <w:highlight w:val="none"/>
              </w:rPr>
            </w:pPr>
          </w:p>
        </w:tc>
        <w:tc>
          <w:tcPr>
            <w:tcW w:w="1262" w:type="dxa"/>
            <w:vAlign w:val="center"/>
          </w:tcPr>
          <w:p w14:paraId="3B63AF9A">
            <w:pPr>
              <w:spacing w:line="480" w:lineRule="exact"/>
              <w:jc w:val="center"/>
              <w:rPr>
                <w:rFonts w:hint="eastAsia" w:ascii="仿宋_GB2312" w:hAnsi="仿宋_GB2312" w:eastAsia="仿宋_GB2312" w:cs="仿宋_GB2312"/>
                <w:sz w:val="28"/>
                <w:szCs w:val="24"/>
                <w:highlight w:val="none"/>
              </w:rPr>
            </w:pPr>
          </w:p>
        </w:tc>
        <w:tc>
          <w:tcPr>
            <w:tcW w:w="3540" w:type="dxa"/>
            <w:vAlign w:val="center"/>
          </w:tcPr>
          <w:p w14:paraId="14935572">
            <w:pPr>
              <w:spacing w:line="480" w:lineRule="exact"/>
              <w:jc w:val="center"/>
              <w:rPr>
                <w:rFonts w:hint="eastAsia" w:ascii="仿宋_GB2312" w:hAnsi="仿宋_GB2312" w:eastAsia="仿宋_GB2312" w:cs="仿宋_GB2312"/>
                <w:sz w:val="28"/>
                <w:szCs w:val="24"/>
                <w:highlight w:val="none"/>
              </w:rPr>
            </w:pPr>
          </w:p>
        </w:tc>
        <w:tc>
          <w:tcPr>
            <w:tcW w:w="1263" w:type="dxa"/>
            <w:vAlign w:val="center"/>
          </w:tcPr>
          <w:p w14:paraId="657F69C1">
            <w:pPr>
              <w:spacing w:line="480" w:lineRule="exact"/>
              <w:jc w:val="center"/>
              <w:rPr>
                <w:rFonts w:hint="eastAsia" w:ascii="仿宋_GB2312" w:hAnsi="仿宋_GB2312" w:eastAsia="仿宋_GB2312" w:cs="仿宋_GB2312"/>
                <w:sz w:val="28"/>
                <w:szCs w:val="24"/>
                <w:highlight w:val="none"/>
              </w:rPr>
            </w:pPr>
          </w:p>
        </w:tc>
        <w:tc>
          <w:tcPr>
            <w:tcW w:w="2496" w:type="dxa"/>
            <w:vAlign w:val="center"/>
          </w:tcPr>
          <w:p w14:paraId="6EE02748">
            <w:pPr>
              <w:spacing w:line="480" w:lineRule="exact"/>
              <w:jc w:val="center"/>
              <w:rPr>
                <w:rFonts w:hint="eastAsia" w:ascii="仿宋_GB2312" w:hAnsi="仿宋_GB2312" w:eastAsia="仿宋_GB2312" w:cs="仿宋_GB2312"/>
                <w:sz w:val="28"/>
                <w:szCs w:val="24"/>
                <w:highlight w:val="none"/>
              </w:rPr>
            </w:pPr>
          </w:p>
        </w:tc>
      </w:tr>
      <w:tr w14:paraId="6A5C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478" w:type="dxa"/>
            <w:vAlign w:val="center"/>
          </w:tcPr>
          <w:p w14:paraId="13D294EA">
            <w:pPr>
              <w:spacing w:line="480" w:lineRule="exact"/>
              <w:jc w:val="center"/>
              <w:rPr>
                <w:rFonts w:hint="eastAsia" w:ascii="仿宋_GB2312" w:hAnsi="仿宋_GB2312" w:eastAsia="仿宋_GB2312" w:cs="仿宋_GB2312"/>
                <w:sz w:val="28"/>
                <w:szCs w:val="24"/>
                <w:highlight w:val="none"/>
              </w:rPr>
            </w:pPr>
          </w:p>
        </w:tc>
        <w:tc>
          <w:tcPr>
            <w:tcW w:w="1262" w:type="dxa"/>
            <w:vAlign w:val="center"/>
          </w:tcPr>
          <w:p w14:paraId="78B75EA1">
            <w:pPr>
              <w:spacing w:line="480" w:lineRule="exact"/>
              <w:jc w:val="center"/>
              <w:rPr>
                <w:rFonts w:hint="eastAsia" w:ascii="仿宋_GB2312" w:hAnsi="仿宋_GB2312" w:eastAsia="仿宋_GB2312" w:cs="仿宋_GB2312"/>
                <w:sz w:val="28"/>
                <w:szCs w:val="24"/>
                <w:highlight w:val="none"/>
              </w:rPr>
            </w:pPr>
          </w:p>
        </w:tc>
        <w:tc>
          <w:tcPr>
            <w:tcW w:w="3540" w:type="dxa"/>
            <w:vAlign w:val="center"/>
          </w:tcPr>
          <w:p w14:paraId="7E9AAAAF">
            <w:pPr>
              <w:spacing w:line="480" w:lineRule="exact"/>
              <w:jc w:val="center"/>
              <w:rPr>
                <w:rFonts w:hint="eastAsia" w:ascii="仿宋_GB2312" w:hAnsi="仿宋_GB2312" w:eastAsia="仿宋_GB2312" w:cs="仿宋_GB2312"/>
                <w:sz w:val="28"/>
                <w:szCs w:val="24"/>
                <w:highlight w:val="none"/>
              </w:rPr>
            </w:pPr>
          </w:p>
        </w:tc>
        <w:tc>
          <w:tcPr>
            <w:tcW w:w="1263" w:type="dxa"/>
            <w:vAlign w:val="center"/>
          </w:tcPr>
          <w:p w14:paraId="244EE5A2">
            <w:pPr>
              <w:spacing w:line="480" w:lineRule="exact"/>
              <w:jc w:val="center"/>
              <w:rPr>
                <w:rFonts w:hint="eastAsia" w:ascii="仿宋_GB2312" w:hAnsi="仿宋_GB2312" w:eastAsia="仿宋_GB2312" w:cs="仿宋_GB2312"/>
                <w:sz w:val="28"/>
                <w:szCs w:val="24"/>
                <w:highlight w:val="none"/>
              </w:rPr>
            </w:pPr>
          </w:p>
        </w:tc>
        <w:tc>
          <w:tcPr>
            <w:tcW w:w="2496" w:type="dxa"/>
            <w:vAlign w:val="center"/>
          </w:tcPr>
          <w:p w14:paraId="03E430FF">
            <w:pPr>
              <w:spacing w:line="480" w:lineRule="exact"/>
              <w:jc w:val="center"/>
              <w:rPr>
                <w:rFonts w:hint="eastAsia" w:ascii="仿宋_GB2312" w:hAnsi="仿宋_GB2312" w:eastAsia="仿宋_GB2312" w:cs="仿宋_GB2312"/>
                <w:sz w:val="28"/>
                <w:szCs w:val="24"/>
                <w:highlight w:val="none"/>
              </w:rPr>
            </w:pPr>
          </w:p>
        </w:tc>
      </w:tr>
      <w:tr w14:paraId="369B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478" w:type="dxa"/>
            <w:vAlign w:val="center"/>
          </w:tcPr>
          <w:p w14:paraId="53CDB570">
            <w:pPr>
              <w:spacing w:line="480" w:lineRule="exact"/>
              <w:jc w:val="center"/>
              <w:rPr>
                <w:rFonts w:hint="eastAsia" w:ascii="仿宋_GB2312" w:hAnsi="仿宋_GB2312" w:eastAsia="仿宋_GB2312" w:cs="仿宋_GB2312"/>
                <w:sz w:val="28"/>
                <w:szCs w:val="24"/>
                <w:highlight w:val="none"/>
              </w:rPr>
            </w:pPr>
          </w:p>
        </w:tc>
        <w:tc>
          <w:tcPr>
            <w:tcW w:w="1262" w:type="dxa"/>
            <w:vAlign w:val="center"/>
          </w:tcPr>
          <w:p w14:paraId="60BAEA52">
            <w:pPr>
              <w:spacing w:line="480" w:lineRule="exact"/>
              <w:jc w:val="center"/>
              <w:rPr>
                <w:rFonts w:hint="eastAsia" w:ascii="仿宋_GB2312" w:hAnsi="仿宋_GB2312" w:eastAsia="仿宋_GB2312" w:cs="仿宋_GB2312"/>
                <w:sz w:val="28"/>
                <w:szCs w:val="24"/>
                <w:highlight w:val="none"/>
              </w:rPr>
            </w:pPr>
          </w:p>
        </w:tc>
        <w:tc>
          <w:tcPr>
            <w:tcW w:w="3540" w:type="dxa"/>
            <w:vAlign w:val="center"/>
          </w:tcPr>
          <w:p w14:paraId="4818797A">
            <w:pPr>
              <w:spacing w:line="480" w:lineRule="exact"/>
              <w:jc w:val="center"/>
              <w:rPr>
                <w:rFonts w:hint="eastAsia" w:ascii="仿宋_GB2312" w:hAnsi="仿宋_GB2312" w:eastAsia="仿宋_GB2312" w:cs="仿宋_GB2312"/>
                <w:sz w:val="28"/>
                <w:szCs w:val="24"/>
                <w:highlight w:val="none"/>
              </w:rPr>
            </w:pPr>
          </w:p>
        </w:tc>
        <w:tc>
          <w:tcPr>
            <w:tcW w:w="1263" w:type="dxa"/>
            <w:vAlign w:val="center"/>
          </w:tcPr>
          <w:p w14:paraId="314CB63F">
            <w:pPr>
              <w:spacing w:line="480" w:lineRule="exact"/>
              <w:jc w:val="center"/>
              <w:rPr>
                <w:rFonts w:hint="eastAsia" w:ascii="仿宋_GB2312" w:hAnsi="仿宋_GB2312" w:eastAsia="仿宋_GB2312" w:cs="仿宋_GB2312"/>
                <w:sz w:val="28"/>
                <w:szCs w:val="24"/>
                <w:highlight w:val="none"/>
              </w:rPr>
            </w:pPr>
          </w:p>
        </w:tc>
        <w:tc>
          <w:tcPr>
            <w:tcW w:w="2496" w:type="dxa"/>
            <w:vAlign w:val="center"/>
          </w:tcPr>
          <w:p w14:paraId="0174921A">
            <w:pPr>
              <w:spacing w:line="480" w:lineRule="exact"/>
              <w:jc w:val="center"/>
              <w:rPr>
                <w:rFonts w:hint="eastAsia" w:ascii="仿宋_GB2312" w:hAnsi="仿宋_GB2312" w:eastAsia="仿宋_GB2312" w:cs="仿宋_GB2312"/>
                <w:sz w:val="28"/>
                <w:szCs w:val="24"/>
                <w:highlight w:val="none"/>
              </w:rPr>
            </w:pPr>
          </w:p>
        </w:tc>
      </w:tr>
    </w:tbl>
    <w:p w14:paraId="7BD0C897">
      <w:pPr>
        <w:spacing w:line="48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注：无偏离可填写“无”字，有偏离必须在本表列明，实际存在负偏离而在本表内没有列明的，视为虚假投标。</w:t>
      </w:r>
    </w:p>
    <w:p w14:paraId="209F0B87">
      <w:pPr>
        <w:ind w:firstLine="480" w:firstLineChars="200"/>
        <w:rPr>
          <w:rFonts w:hint="eastAsia" w:ascii="仿宋_GB2312" w:hAnsi="仿宋_GB2312" w:eastAsia="仿宋_GB2312" w:cs="仿宋_GB2312"/>
          <w:sz w:val="24"/>
          <w:szCs w:val="24"/>
          <w:highlight w:val="none"/>
        </w:rPr>
      </w:pPr>
    </w:p>
    <w:p w14:paraId="02336DCA">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投标人（盖章）：</w:t>
      </w:r>
    </w:p>
    <w:p w14:paraId="55EF902E">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法定代表人或委托代理人（签字或盖章）：</w:t>
      </w:r>
    </w:p>
    <w:p w14:paraId="50CFC14F">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日  期：</w:t>
      </w:r>
    </w:p>
    <w:p w14:paraId="0D8432B6">
      <w:pPr>
        <w:pStyle w:val="37"/>
        <w:rPr>
          <w:rFonts w:hint="eastAsia" w:ascii="仿宋_GB2312" w:hAnsi="仿宋_GB2312" w:eastAsia="仿宋_GB2312" w:cs="仿宋_GB2312"/>
          <w:highlight w:val="none"/>
        </w:rPr>
      </w:pPr>
    </w:p>
    <w:p w14:paraId="0E10C0FB">
      <w:pPr>
        <w:pStyle w:val="37"/>
        <w:rPr>
          <w:rFonts w:hint="eastAsia" w:ascii="仿宋_GB2312" w:hAnsi="仿宋_GB2312" w:eastAsia="仿宋_GB2312" w:cs="仿宋_GB2312"/>
          <w:highlight w:val="none"/>
        </w:rPr>
      </w:pPr>
    </w:p>
    <w:p w14:paraId="4D2613F5">
      <w:pPr>
        <w:pStyle w:val="37"/>
        <w:rPr>
          <w:rFonts w:hint="eastAsia" w:ascii="仿宋_GB2312" w:hAnsi="仿宋_GB2312" w:eastAsia="仿宋_GB2312" w:cs="仿宋_GB2312"/>
          <w:highlight w:val="none"/>
        </w:rPr>
      </w:pPr>
    </w:p>
    <w:p w14:paraId="151033DA">
      <w:pPr>
        <w:pStyle w:val="37"/>
        <w:rPr>
          <w:rFonts w:hint="eastAsia" w:ascii="仿宋_GB2312" w:hAnsi="仿宋_GB2312" w:eastAsia="仿宋_GB2312" w:cs="仿宋_GB2312"/>
          <w:highlight w:val="none"/>
        </w:rPr>
      </w:pPr>
    </w:p>
    <w:p w14:paraId="0B590B16">
      <w:pPr>
        <w:pStyle w:val="37"/>
        <w:rPr>
          <w:rFonts w:hint="eastAsia" w:ascii="仿宋_GB2312" w:hAnsi="仿宋_GB2312" w:eastAsia="仿宋_GB2312" w:cs="仿宋_GB2312"/>
          <w:highlight w:val="none"/>
        </w:rPr>
      </w:pPr>
    </w:p>
    <w:p w14:paraId="39E9A696">
      <w:pPr>
        <w:pStyle w:val="37"/>
        <w:rPr>
          <w:rFonts w:hint="eastAsia" w:ascii="仿宋_GB2312" w:hAnsi="仿宋_GB2312" w:eastAsia="仿宋_GB2312" w:cs="仿宋_GB2312"/>
          <w:highlight w:val="none"/>
        </w:rPr>
      </w:pPr>
    </w:p>
    <w:p w14:paraId="05C7E2E1">
      <w:pPr>
        <w:pStyle w:val="37"/>
        <w:rPr>
          <w:rFonts w:hint="eastAsia" w:ascii="仿宋_GB2312" w:hAnsi="仿宋_GB2312" w:eastAsia="仿宋_GB2312" w:cs="仿宋_GB2312"/>
          <w:highlight w:val="none"/>
        </w:rPr>
      </w:pPr>
    </w:p>
    <w:p w14:paraId="68D404B0">
      <w:pPr>
        <w:pStyle w:val="37"/>
        <w:rPr>
          <w:rFonts w:hint="eastAsia" w:ascii="仿宋_GB2312" w:hAnsi="仿宋_GB2312" w:eastAsia="仿宋_GB2312" w:cs="仿宋_GB2312"/>
          <w:highlight w:val="none"/>
        </w:rPr>
      </w:pPr>
    </w:p>
    <w:p w14:paraId="68CC3703">
      <w:pPr>
        <w:pStyle w:val="37"/>
        <w:rPr>
          <w:rFonts w:hint="eastAsia" w:ascii="仿宋_GB2312" w:hAnsi="仿宋_GB2312" w:eastAsia="仿宋_GB2312" w:cs="仿宋_GB2312"/>
          <w:highlight w:val="none"/>
        </w:rPr>
      </w:pPr>
    </w:p>
    <w:p w14:paraId="12A1D2A4">
      <w:pPr>
        <w:pStyle w:val="37"/>
        <w:rPr>
          <w:rFonts w:hint="eastAsia" w:ascii="仿宋_GB2312" w:hAnsi="仿宋_GB2312" w:eastAsia="仿宋_GB2312" w:cs="仿宋_GB2312"/>
          <w:highlight w:val="none"/>
        </w:rPr>
      </w:pPr>
    </w:p>
    <w:p w14:paraId="2BBA6910">
      <w:pPr>
        <w:pStyle w:val="37"/>
        <w:rPr>
          <w:rFonts w:hint="eastAsia" w:ascii="仿宋_GB2312" w:hAnsi="仿宋_GB2312" w:eastAsia="仿宋_GB2312" w:cs="仿宋_GB2312"/>
          <w:highlight w:val="none"/>
        </w:rPr>
      </w:pPr>
    </w:p>
    <w:p w14:paraId="3802836C">
      <w:pPr>
        <w:pStyle w:val="37"/>
        <w:rPr>
          <w:rFonts w:hint="eastAsia" w:ascii="仿宋_GB2312" w:hAnsi="仿宋_GB2312" w:eastAsia="仿宋_GB2312" w:cs="仿宋_GB2312"/>
          <w:highlight w:val="none"/>
        </w:rPr>
      </w:pPr>
    </w:p>
    <w:p w14:paraId="0819D970">
      <w:pPr>
        <w:pStyle w:val="37"/>
        <w:rPr>
          <w:rFonts w:hint="eastAsia" w:ascii="仿宋_GB2312" w:hAnsi="仿宋_GB2312" w:eastAsia="仿宋_GB2312" w:cs="仿宋_GB2312"/>
          <w:highlight w:val="none"/>
        </w:rPr>
      </w:pPr>
    </w:p>
    <w:p w14:paraId="44019762">
      <w:pPr>
        <w:pStyle w:val="37"/>
        <w:rPr>
          <w:rFonts w:hint="eastAsia" w:ascii="仿宋_GB2312" w:hAnsi="仿宋_GB2312" w:eastAsia="仿宋_GB2312" w:cs="仿宋_GB2312"/>
          <w:highlight w:val="none"/>
        </w:rPr>
      </w:pPr>
    </w:p>
    <w:p w14:paraId="702241A0">
      <w:pPr>
        <w:pStyle w:val="37"/>
        <w:rPr>
          <w:rFonts w:hint="eastAsia" w:ascii="仿宋_GB2312" w:hAnsi="仿宋_GB2312" w:eastAsia="仿宋_GB2312" w:cs="仿宋_GB2312"/>
          <w:highlight w:val="none"/>
        </w:rPr>
      </w:pPr>
    </w:p>
    <w:p w14:paraId="51A3F353">
      <w:pPr>
        <w:pStyle w:val="37"/>
        <w:rPr>
          <w:rFonts w:hint="eastAsia" w:ascii="仿宋_GB2312" w:hAnsi="仿宋_GB2312" w:eastAsia="仿宋_GB2312" w:cs="仿宋_GB2312"/>
          <w:highlight w:val="none"/>
        </w:rPr>
      </w:pPr>
    </w:p>
    <w:p w14:paraId="50DAEC12">
      <w:pPr>
        <w:snapToGrid w:val="0"/>
        <w:spacing w:line="560" w:lineRule="exact"/>
        <w:ind w:firstLine="646" w:firstLineChars="201"/>
        <w:jc w:val="center"/>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技术文件，包括但不限于以下内容：</w:t>
      </w:r>
    </w:p>
    <w:p w14:paraId="6E2261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highlight w:val="none"/>
        </w:rPr>
      </w:pPr>
    </w:p>
    <w:p w14:paraId="7CFA75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highlight w:val="none"/>
        </w:rPr>
      </w:pPr>
      <w:r>
        <w:rPr>
          <w:rFonts w:hint="eastAsia" w:ascii="仿宋_GB2312" w:hAnsi="仿宋_GB2312" w:eastAsia="仿宋_GB2312" w:cs="仿宋_GB2312"/>
          <w:sz w:val="24"/>
          <w:szCs w:val="24"/>
          <w:highlight w:val="none"/>
        </w:rPr>
        <w:t>（根据评标办法对以下内容进行描述）</w:t>
      </w:r>
    </w:p>
    <w:p w14:paraId="003D9F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①苗木质量标准及保证措施；</w:t>
      </w:r>
    </w:p>
    <w:p w14:paraId="408A851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②供货方案；</w:t>
      </w:r>
    </w:p>
    <w:p w14:paraId="41690FA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③售后服务承诺</w:t>
      </w:r>
    </w:p>
    <w:p w14:paraId="45EDBF48">
      <w:pPr>
        <w:spacing w:line="520" w:lineRule="exact"/>
        <w:ind w:firstLine="551" w:firstLineChars="197"/>
        <w:rPr>
          <w:rFonts w:hint="eastAsia" w:ascii="仿宋_GB2312" w:hAnsi="仿宋_GB2312" w:eastAsia="仿宋_GB2312" w:cs="仿宋_GB2312"/>
          <w:bCs/>
          <w:sz w:val="28"/>
          <w:szCs w:val="32"/>
          <w:highlight w:val="none"/>
        </w:rPr>
      </w:pPr>
    </w:p>
    <w:p w14:paraId="635DF686">
      <w:pPr>
        <w:spacing w:line="500" w:lineRule="exact"/>
        <w:jc w:val="center"/>
        <w:rPr>
          <w:rFonts w:hint="eastAsia" w:ascii="仿宋_GB2312" w:hAnsi="仿宋_GB2312" w:eastAsia="仿宋_GB2312" w:cs="仿宋_GB2312"/>
          <w:sz w:val="24"/>
          <w:szCs w:val="24"/>
          <w:highlight w:val="none"/>
        </w:rPr>
      </w:pPr>
    </w:p>
    <w:p w14:paraId="6085A709">
      <w:pPr>
        <w:pStyle w:val="123"/>
        <w:spacing w:line="400" w:lineRule="exact"/>
        <w:jc w:val="center"/>
        <w:rPr>
          <w:rFonts w:hint="eastAsia" w:ascii="仿宋_GB2312" w:hAnsi="仿宋_GB2312" w:eastAsia="仿宋_GB2312" w:cs="仿宋_GB2312"/>
          <w:sz w:val="24"/>
          <w:szCs w:val="24"/>
          <w:highlight w:val="none"/>
          <w:lang w:eastAsia="zh-CN"/>
        </w:rPr>
      </w:pPr>
    </w:p>
    <w:p w14:paraId="28708430">
      <w:pPr>
        <w:pStyle w:val="123"/>
        <w:spacing w:line="400" w:lineRule="exact"/>
        <w:jc w:val="center"/>
        <w:rPr>
          <w:rFonts w:hint="eastAsia" w:ascii="仿宋_GB2312" w:hAnsi="仿宋_GB2312" w:eastAsia="仿宋_GB2312" w:cs="仿宋_GB2312"/>
          <w:sz w:val="28"/>
          <w:szCs w:val="28"/>
          <w:highlight w:val="none"/>
          <w:lang w:eastAsia="zh-CN"/>
        </w:rPr>
      </w:pPr>
    </w:p>
    <w:p w14:paraId="080FB82A">
      <w:pPr>
        <w:pStyle w:val="123"/>
        <w:spacing w:line="400" w:lineRule="exact"/>
        <w:jc w:val="center"/>
        <w:rPr>
          <w:rFonts w:hint="eastAsia" w:ascii="仿宋_GB2312" w:hAnsi="仿宋_GB2312" w:eastAsia="仿宋_GB2312" w:cs="仿宋_GB2312"/>
          <w:sz w:val="28"/>
          <w:szCs w:val="28"/>
          <w:highlight w:val="none"/>
          <w:lang w:eastAsia="zh-CN"/>
        </w:rPr>
      </w:pPr>
    </w:p>
    <w:p w14:paraId="3B67D2F6">
      <w:pPr>
        <w:pStyle w:val="123"/>
        <w:spacing w:line="400" w:lineRule="exact"/>
        <w:jc w:val="center"/>
        <w:rPr>
          <w:rFonts w:hint="eastAsia" w:ascii="仿宋_GB2312" w:hAnsi="仿宋_GB2312" w:eastAsia="仿宋_GB2312" w:cs="仿宋_GB2312"/>
          <w:sz w:val="28"/>
          <w:szCs w:val="28"/>
          <w:highlight w:val="none"/>
          <w:lang w:eastAsia="zh-CN"/>
        </w:rPr>
      </w:pPr>
    </w:p>
    <w:p w14:paraId="02BC126B">
      <w:pPr>
        <w:rPr>
          <w:rFonts w:hint="eastAsia" w:ascii="仿宋_GB2312" w:hAnsi="仿宋_GB2312" w:eastAsia="仿宋_GB2312" w:cs="仿宋_GB2312"/>
          <w:sz w:val="24"/>
          <w:szCs w:val="24"/>
          <w:highlight w:val="none"/>
        </w:rPr>
      </w:pPr>
    </w:p>
    <w:p w14:paraId="75833A64">
      <w:pPr>
        <w:pStyle w:val="18"/>
        <w:rPr>
          <w:rFonts w:hint="eastAsia" w:ascii="仿宋_GB2312" w:hAnsi="仿宋_GB2312" w:eastAsia="仿宋_GB2312" w:cs="仿宋_GB2312"/>
          <w:highlight w:val="none"/>
        </w:rPr>
      </w:pPr>
    </w:p>
    <w:p w14:paraId="76CD7522">
      <w:pPr>
        <w:rPr>
          <w:rFonts w:hint="eastAsia" w:ascii="仿宋_GB2312" w:hAnsi="仿宋_GB2312" w:eastAsia="仿宋_GB2312" w:cs="仿宋_GB2312"/>
          <w:highlight w:val="none"/>
        </w:rPr>
      </w:pPr>
    </w:p>
    <w:p w14:paraId="6A0F7052">
      <w:pPr>
        <w:pStyle w:val="2"/>
        <w:rPr>
          <w:rFonts w:hint="eastAsia" w:ascii="仿宋_GB2312" w:hAnsi="仿宋_GB2312" w:eastAsia="仿宋_GB2312" w:cs="仿宋_GB2312"/>
          <w:highlight w:val="none"/>
          <w:lang w:eastAsia="zh-CN"/>
        </w:rPr>
      </w:pPr>
    </w:p>
    <w:p w14:paraId="2A3AE52A">
      <w:pPr>
        <w:pStyle w:val="2"/>
        <w:rPr>
          <w:rFonts w:hint="eastAsia" w:ascii="仿宋_GB2312" w:hAnsi="仿宋_GB2312" w:eastAsia="仿宋_GB2312" w:cs="仿宋_GB2312"/>
          <w:highlight w:val="none"/>
          <w:lang w:eastAsia="zh-CN"/>
        </w:rPr>
      </w:pPr>
    </w:p>
    <w:p w14:paraId="5D5BA57B">
      <w:pPr>
        <w:pStyle w:val="2"/>
        <w:rPr>
          <w:rFonts w:hint="eastAsia" w:ascii="仿宋_GB2312" w:hAnsi="仿宋_GB2312" w:eastAsia="仿宋_GB2312" w:cs="仿宋_GB2312"/>
          <w:highlight w:val="none"/>
          <w:lang w:eastAsia="zh-CN"/>
        </w:rPr>
      </w:pPr>
    </w:p>
    <w:p w14:paraId="4DF7FEFA">
      <w:pPr>
        <w:pStyle w:val="2"/>
        <w:rPr>
          <w:rFonts w:hint="eastAsia" w:ascii="仿宋_GB2312" w:hAnsi="仿宋_GB2312" w:eastAsia="仿宋_GB2312" w:cs="仿宋_GB2312"/>
          <w:highlight w:val="none"/>
          <w:lang w:eastAsia="zh-CN"/>
        </w:rPr>
      </w:pPr>
    </w:p>
    <w:p w14:paraId="6C93B5F1">
      <w:pPr>
        <w:pStyle w:val="2"/>
        <w:rPr>
          <w:rFonts w:hint="eastAsia" w:ascii="仿宋_GB2312" w:hAnsi="仿宋_GB2312" w:eastAsia="仿宋_GB2312" w:cs="仿宋_GB2312"/>
          <w:highlight w:val="none"/>
          <w:lang w:eastAsia="zh-CN"/>
        </w:rPr>
      </w:pPr>
    </w:p>
    <w:p w14:paraId="32993553">
      <w:pPr>
        <w:pStyle w:val="2"/>
        <w:rPr>
          <w:rFonts w:hint="eastAsia" w:ascii="仿宋_GB2312" w:hAnsi="仿宋_GB2312" w:eastAsia="仿宋_GB2312" w:cs="仿宋_GB2312"/>
          <w:highlight w:val="none"/>
          <w:lang w:eastAsia="zh-CN"/>
        </w:rPr>
      </w:pPr>
    </w:p>
    <w:p w14:paraId="7688F47B">
      <w:pPr>
        <w:pStyle w:val="2"/>
        <w:rPr>
          <w:rFonts w:hint="eastAsia" w:ascii="仿宋_GB2312" w:hAnsi="仿宋_GB2312" w:eastAsia="仿宋_GB2312" w:cs="仿宋_GB2312"/>
          <w:highlight w:val="none"/>
          <w:lang w:eastAsia="zh-CN"/>
        </w:rPr>
      </w:pPr>
    </w:p>
    <w:p w14:paraId="0A1EAAA1">
      <w:pPr>
        <w:pStyle w:val="2"/>
        <w:rPr>
          <w:rFonts w:hint="eastAsia" w:ascii="仿宋_GB2312" w:hAnsi="仿宋_GB2312" w:eastAsia="仿宋_GB2312" w:cs="仿宋_GB2312"/>
          <w:highlight w:val="none"/>
          <w:lang w:eastAsia="zh-CN"/>
        </w:rPr>
      </w:pPr>
    </w:p>
    <w:p w14:paraId="69466D05">
      <w:pPr>
        <w:pStyle w:val="2"/>
        <w:rPr>
          <w:rFonts w:hint="eastAsia" w:ascii="仿宋_GB2312" w:hAnsi="仿宋_GB2312" w:eastAsia="仿宋_GB2312" w:cs="仿宋_GB2312"/>
          <w:highlight w:val="none"/>
          <w:lang w:eastAsia="zh-CN"/>
        </w:rPr>
      </w:pPr>
    </w:p>
    <w:p w14:paraId="0D7001E6">
      <w:pPr>
        <w:pStyle w:val="2"/>
        <w:rPr>
          <w:rFonts w:hint="eastAsia" w:ascii="仿宋_GB2312" w:hAnsi="仿宋_GB2312" w:eastAsia="仿宋_GB2312" w:cs="仿宋_GB2312"/>
          <w:highlight w:val="none"/>
          <w:lang w:eastAsia="zh-CN"/>
        </w:rPr>
      </w:pPr>
    </w:p>
    <w:p w14:paraId="75A57F79">
      <w:pPr>
        <w:pStyle w:val="2"/>
        <w:rPr>
          <w:rFonts w:hint="eastAsia" w:ascii="仿宋_GB2312" w:hAnsi="仿宋_GB2312" w:eastAsia="仿宋_GB2312" w:cs="仿宋_GB2312"/>
          <w:highlight w:val="none"/>
          <w:lang w:eastAsia="zh-CN"/>
        </w:rPr>
      </w:pPr>
    </w:p>
    <w:p w14:paraId="7274A3D4">
      <w:pPr>
        <w:pStyle w:val="2"/>
        <w:rPr>
          <w:rFonts w:hint="eastAsia" w:ascii="仿宋_GB2312" w:hAnsi="仿宋_GB2312" w:eastAsia="仿宋_GB2312" w:cs="仿宋_GB2312"/>
          <w:highlight w:val="none"/>
          <w:lang w:eastAsia="zh-CN"/>
        </w:rPr>
      </w:pPr>
    </w:p>
    <w:p w14:paraId="1C185DDF">
      <w:pPr>
        <w:pStyle w:val="2"/>
        <w:rPr>
          <w:rFonts w:hint="eastAsia" w:ascii="仿宋_GB2312" w:hAnsi="仿宋_GB2312" w:eastAsia="仿宋_GB2312" w:cs="仿宋_GB2312"/>
          <w:highlight w:val="none"/>
          <w:lang w:eastAsia="zh-CN"/>
        </w:rPr>
      </w:pPr>
    </w:p>
    <w:p w14:paraId="53FF84DC">
      <w:pPr>
        <w:pStyle w:val="2"/>
        <w:rPr>
          <w:rFonts w:hint="eastAsia" w:ascii="仿宋_GB2312" w:hAnsi="仿宋_GB2312" w:eastAsia="仿宋_GB2312" w:cs="仿宋_GB2312"/>
          <w:highlight w:val="none"/>
          <w:lang w:eastAsia="zh-CN"/>
        </w:rPr>
      </w:pPr>
    </w:p>
    <w:p w14:paraId="293D9772">
      <w:pPr>
        <w:pStyle w:val="2"/>
        <w:rPr>
          <w:rFonts w:hint="eastAsia" w:ascii="仿宋_GB2312" w:hAnsi="仿宋_GB2312" w:eastAsia="仿宋_GB2312" w:cs="仿宋_GB2312"/>
          <w:highlight w:val="none"/>
          <w:lang w:eastAsia="zh-CN"/>
        </w:rPr>
      </w:pPr>
    </w:p>
    <w:p w14:paraId="400BEC4A">
      <w:pPr>
        <w:pStyle w:val="2"/>
        <w:rPr>
          <w:rFonts w:hint="eastAsia" w:ascii="仿宋_GB2312" w:hAnsi="仿宋_GB2312" w:eastAsia="仿宋_GB2312" w:cs="仿宋_GB2312"/>
          <w:highlight w:val="none"/>
          <w:lang w:eastAsia="zh-CN"/>
        </w:rPr>
      </w:pPr>
    </w:p>
    <w:p w14:paraId="3D0C4FA1">
      <w:pPr>
        <w:pStyle w:val="2"/>
        <w:rPr>
          <w:rFonts w:hint="eastAsia" w:ascii="仿宋_GB2312" w:hAnsi="仿宋_GB2312" w:eastAsia="仿宋_GB2312" w:cs="仿宋_GB2312"/>
          <w:highlight w:val="none"/>
          <w:lang w:eastAsia="zh-CN"/>
        </w:rPr>
      </w:pPr>
    </w:p>
    <w:p w14:paraId="7AF178E6">
      <w:pPr>
        <w:pStyle w:val="2"/>
        <w:rPr>
          <w:rFonts w:hint="eastAsia" w:ascii="仿宋_GB2312" w:hAnsi="仿宋_GB2312" w:eastAsia="仿宋_GB2312" w:cs="仿宋_GB2312"/>
          <w:highlight w:val="none"/>
          <w:lang w:eastAsia="zh-CN"/>
        </w:rPr>
      </w:pPr>
    </w:p>
    <w:p w14:paraId="747BBBF2">
      <w:pPr>
        <w:pStyle w:val="2"/>
        <w:rPr>
          <w:rFonts w:hint="eastAsia" w:ascii="仿宋_GB2312" w:hAnsi="仿宋_GB2312" w:eastAsia="仿宋_GB2312" w:cs="仿宋_GB2312"/>
          <w:highlight w:val="none"/>
          <w:lang w:eastAsia="zh-CN"/>
        </w:rPr>
      </w:pPr>
    </w:p>
    <w:p w14:paraId="46ECC011">
      <w:pPr>
        <w:pStyle w:val="2"/>
        <w:rPr>
          <w:rFonts w:hint="eastAsia" w:ascii="仿宋_GB2312" w:hAnsi="仿宋_GB2312" w:eastAsia="仿宋_GB2312" w:cs="仿宋_GB2312"/>
          <w:highlight w:val="none"/>
          <w:lang w:eastAsia="zh-CN"/>
        </w:rPr>
      </w:pPr>
    </w:p>
    <w:p w14:paraId="523DC618">
      <w:pPr>
        <w:pStyle w:val="2"/>
        <w:rPr>
          <w:rFonts w:hint="eastAsia" w:ascii="仿宋_GB2312" w:hAnsi="仿宋_GB2312" w:eastAsia="仿宋_GB2312" w:cs="仿宋_GB2312"/>
          <w:highlight w:val="none"/>
          <w:lang w:eastAsia="zh-CN"/>
        </w:rPr>
      </w:pPr>
    </w:p>
    <w:p w14:paraId="3531D28C">
      <w:pPr>
        <w:pStyle w:val="2"/>
        <w:rPr>
          <w:rFonts w:hint="eastAsia" w:ascii="仿宋_GB2312" w:hAnsi="仿宋_GB2312" w:eastAsia="仿宋_GB2312" w:cs="仿宋_GB2312"/>
          <w:highlight w:val="none"/>
          <w:lang w:eastAsia="zh-CN"/>
        </w:rPr>
      </w:pPr>
    </w:p>
    <w:p w14:paraId="63BB8443">
      <w:pPr>
        <w:pStyle w:val="2"/>
        <w:rPr>
          <w:rFonts w:hint="eastAsia" w:ascii="仿宋_GB2312" w:hAnsi="仿宋_GB2312" w:eastAsia="仿宋_GB2312" w:cs="仿宋_GB2312"/>
          <w:highlight w:val="none"/>
          <w:lang w:eastAsia="zh-CN"/>
        </w:rPr>
      </w:pPr>
    </w:p>
    <w:p w14:paraId="6F50C882">
      <w:pPr>
        <w:pStyle w:val="2"/>
        <w:rPr>
          <w:rFonts w:hint="eastAsia" w:ascii="仿宋_GB2312" w:hAnsi="仿宋_GB2312" w:eastAsia="仿宋_GB2312" w:cs="仿宋_GB2312"/>
          <w:highlight w:val="none"/>
          <w:lang w:eastAsia="zh-CN"/>
        </w:rPr>
      </w:pPr>
    </w:p>
    <w:p w14:paraId="4C186ED5">
      <w:pPr>
        <w:jc w:val="center"/>
        <w:rPr>
          <w:rStyle w:val="54"/>
          <w:rFonts w:hint="eastAsia" w:ascii="仿宋_GB2312" w:hAnsi="仿宋_GB2312" w:eastAsia="仿宋_GB2312" w:cs="仿宋_GB2312"/>
          <w:highlight w:val="none"/>
        </w:rPr>
      </w:pPr>
      <w:r>
        <w:rPr>
          <w:rStyle w:val="54"/>
          <w:rFonts w:hint="eastAsia" w:ascii="仿宋_GB2312" w:hAnsi="仿宋_GB2312" w:eastAsia="仿宋_GB2312" w:cs="仿宋_GB2312"/>
          <w:highlight w:val="none"/>
        </w:rPr>
        <w:t>招标文件要求的及投标人认为需要提供的其他资料</w:t>
      </w:r>
    </w:p>
    <w:p w14:paraId="59B6EB50">
      <w:pPr>
        <w:spacing w:line="520" w:lineRule="exact"/>
        <w:ind w:firstLine="472" w:firstLineChars="197"/>
        <w:jc w:val="center"/>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（包括但不限于机动车登记证和行驶证扫描件、证明材料等）</w:t>
      </w:r>
    </w:p>
    <w:p w14:paraId="337A3252">
      <w:pPr>
        <w:pStyle w:val="2"/>
        <w:rPr>
          <w:rFonts w:hint="eastAsia" w:ascii="仿宋_GB2312" w:hAnsi="仿宋_GB2312" w:eastAsia="仿宋_GB2312" w:cs="仿宋_GB2312"/>
          <w:highlight w:val="none"/>
          <w:lang w:eastAsia="zh-CN"/>
        </w:rPr>
      </w:pPr>
    </w:p>
    <w:p w14:paraId="473F9F36">
      <w:pPr>
        <w:rPr>
          <w:rFonts w:hint="eastAsia" w:ascii="仿宋_GB2312" w:hAnsi="仿宋_GB2312" w:eastAsia="仿宋_GB2312" w:cs="仿宋_GB2312"/>
          <w:highlight w:val="none"/>
        </w:rPr>
      </w:pPr>
    </w:p>
    <w:p w14:paraId="03FB7B7B">
      <w:pPr>
        <w:rPr>
          <w:rFonts w:hint="eastAsia" w:ascii="仿宋_GB2312" w:hAnsi="仿宋_GB2312" w:eastAsia="仿宋_GB2312" w:cs="仿宋_GB2312"/>
          <w:highlight w:val="none"/>
        </w:rPr>
      </w:pPr>
    </w:p>
    <w:p w14:paraId="4429B474">
      <w:pPr>
        <w:pStyle w:val="2"/>
        <w:rPr>
          <w:rFonts w:hint="eastAsia" w:ascii="仿宋_GB2312" w:hAnsi="仿宋_GB2312" w:eastAsia="仿宋_GB2312" w:cs="仿宋_GB2312"/>
          <w:highlight w:val="none"/>
          <w:lang w:eastAsia="zh-CN"/>
        </w:rPr>
      </w:pPr>
    </w:p>
    <w:p w14:paraId="5688A529">
      <w:pPr>
        <w:pStyle w:val="2"/>
        <w:rPr>
          <w:rFonts w:hint="eastAsia" w:ascii="仿宋_GB2312" w:hAnsi="仿宋_GB2312" w:eastAsia="仿宋_GB2312" w:cs="仿宋_GB2312"/>
          <w:highlight w:val="none"/>
          <w:lang w:eastAsia="zh-CN"/>
        </w:rPr>
      </w:pPr>
    </w:p>
    <w:p w14:paraId="13660822">
      <w:pPr>
        <w:pStyle w:val="2"/>
        <w:rPr>
          <w:rFonts w:hint="eastAsia" w:ascii="仿宋_GB2312" w:hAnsi="仿宋_GB2312" w:eastAsia="仿宋_GB2312" w:cs="仿宋_GB2312"/>
          <w:highlight w:val="none"/>
          <w:lang w:eastAsia="zh-CN"/>
        </w:rPr>
      </w:pPr>
    </w:p>
    <w:p w14:paraId="49F300D2">
      <w:pPr>
        <w:pStyle w:val="2"/>
        <w:rPr>
          <w:rFonts w:hint="eastAsia" w:ascii="仿宋_GB2312" w:hAnsi="仿宋_GB2312" w:eastAsia="仿宋_GB2312" w:cs="仿宋_GB2312"/>
          <w:highlight w:val="none"/>
          <w:lang w:eastAsia="zh-CN"/>
        </w:rPr>
      </w:pPr>
    </w:p>
    <w:p w14:paraId="0E3851AF">
      <w:pPr>
        <w:pStyle w:val="2"/>
        <w:rPr>
          <w:rFonts w:hint="eastAsia" w:ascii="仿宋_GB2312" w:hAnsi="仿宋_GB2312" w:eastAsia="仿宋_GB2312" w:cs="仿宋_GB2312"/>
          <w:highlight w:val="none"/>
          <w:lang w:eastAsia="zh-CN"/>
        </w:rPr>
      </w:pPr>
    </w:p>
    <w:p w14:paraId="249E6623">
      <w:pPr>
        <w:pStyle w:val="2"/>
        <w:rPr>
          <w:rFonts w:hint="eastAsia" w:ascii="仿宋_GB2312" w:hAnsi="仿宋_GB2312" w:eastAsia="仿宋_GB2312" w:cs="仿宋_GB2312"/>
          <w:highlight w:val="none"/>
          <w:lang w:eastAsia="zh-CN"/>
        </w:rPr>
      </w:pPr>
    </w:p>
    <w:p w14:paraId="0F4F940E">
      <w:pPr>
        <w:pStyle w:val="2"/>
        <w:rPr>
          <w:rFonts w:hint="eastAsia" w:ascii="仿宋_GB2312" w:hAnsi="仿宋_GB2312" w:eastAsia="仿宋_GB2312" w:cs="仿宋_GB2312"/>
          <w:highlight w:val="none"/>
          <w:lang w:eastAsia="zh-CN"/>
        </w:rPr>
      </w:pPr>
    </w:p>
    <w:p w14:paraId="2E64B507">
      <w:pPr>
        <w:pStyle w:val="2"/>
        <w:rPr>
          <w:rFonts w:hint="eastAsia" w:ascii="仿宋_GB2312" w:hAnsi="仿宋_GB2312" w:eastAsia="仿宋_GB2312" w:cs="仿宋_GB2312"/>
          <w:highlight w:val="none"/>
          <w:lang w:eastAsia="zh-CN"/>
        </w:rPr>
      </w:pPr>
    </w:p>
    <w:p w14:paraId="73D59687">
      <w:pPr>
        <w:pStyle w:val="2"/>
        <w:rPr>
          <w:rFonts w:hint="eastAsia" w:ascii="仿宋_GB2312" w:hAnsi="仿宋_GB2312" w:eastAsia="仿宋_GB2312" w:cs="仿宋_GB2312"/>
          <w:highlight w:val="none"/>
          <w:lang w:eastAsia="zh-CN"/>
        </w:rPr>
      </w:pPr>
    </w:p>
    <w:p w14:paraId="6C19D72D">
      <w:pPr>
        <w:pStyle w:val="2"/>
        <w:rPr>
          <w:rFonts w:hint="eastAsia" w:ascii="仿宋_GB2312" w:hAnsi="仿宋_GB2312" w:eastAsia="仿宋_GB2312" w:cs="仿宋_GB2312"/>
          <w:highlight w:val="none"/>
          <w:lang w:eastAsia="zh-CN"/>
        </w:rPr>
      </w:pPr>
    </w:p>
    <w:p w14:paraId="2D1819E7">
      <w:pPr>
        <w:pStyle w:val="2"/>
        <w:rPr>
          <w:rFonts w:hint="eastAsia" w:ascii="仿宋_GB2312" w:hAnsi="仿宋_GB2312" w:eastAsia="仿宋_GB2312" w:cs="仿宋_GB2312"/>
          <w:highlight w:val="none"/>
          <w:lang w:eastAsia="zh-CN"/>
        </w:rPr>
      </w:pPr>
    </w:p>
    <w:p w14:paraId="2DD32E21">
      <w:pPr>
        <w:pStyle w:val="2"/>
        <w:rPr>
          <w:rFonts w:hint="eastAsia" w:ascii="仿宋_GB2312" w:hAnsi="仿宋_GB2312" w:eastAsia="仿宋_GB2312" w:cs="仿宋_GB2312"/>
          <w:highlight w:val="none"/>
          <w:lang w:eastAsia="zh-CN"/>
        </w:rPr>
      </w:pPr>
    </w:p>
    <w:p w14:paraId="401C3E3C">
      <w:pPr>
        <w:pStyle w:val="2"/>
        <w:rPr>
          <w:rFonts w:hint="eastAsia" w:ascii="仿宋_GB2312" w:hAnsi="仿宋_GB2312" w:eastAsia="仿宋_GB2312" w:cs="仿宋_GB2312"/>
          <w:highlight w:val="none"/>
          <w:lang w:eastAsia="zh-CN"/>
        </w:rPr>
      </w:pPr>
    </w:p>
    <w:p w14:paraId="5D7403BD">
      <w:pPr>
        <w:pStyle w:val="2"/>
        <w:rPr>
          <w:rFonts w:hint="eastAsia" w:ascii="仿宋_GB2312" w:hAnsi="仿宋_GB2312" w:eastAsia="仿宋_GB2312" w:cs="仿宋_GB2312"/>
          <w:highlight w:val="none"/>
          <w:lang w:eastAsia="zh-CN"/>
        </w:rPr>
      </w:pPr>
    </w:p>
    <w:p w14:paraId="2C678232">
      <w:pPr>
        <w:pStyle w:val="2"/>
        <w:rPr>
          <w:rFonts w:hint="eastAsia" w:ascii="仿宋_GB2312" w:hAnsi="仿宋_GB2312" w:eastAsia="仿宋_GB2312" w:cs="仿宋_GB2312"/>
          <w:highlight w:val="none"/>
          <w:lang w:eastAsia="zh-CN"/>
        </w:rPr>
      </w:pPr>
    </w:p>
    <w:p w14:paraId="4AEE12A4">
      <w:pPr>
        <w:pStyle w:val="2"/>
        <w:rPr>
          <w:rFonts w:hint="eastAsia" w:ascii="仿宋_GB2312" w:hAnsi="仿宋_GB2312" w:eastAsia="仿宋_GB2312" w:cs="仿宋_GB2312"/>
          <w:highlight w:val="none"/>
          <w:lang w:eastAsia="zh-CN"/>
        </w:rPr>
      </w:pPr>
    </w:p>
    <w:p w14:paraId="734422F3">
      <w:pPr>
        <w:pStyle w:val="2"/>
        <w:rPr>
          <w:rFonts w:hint="eastAsia" w:ascii="仿宋_GB2312" w:hAnsi="仿宋_GB2312" w:eastAsia="仿宋_GB2312" w:cs="仿宋_GB2312"/>
          <w:highlight w:val="none"/>
          <w:lang w:eastAsia="zh-CN"/>
        </w:rPr>
      </w:pPr>
    </w:p>
    <w:p w14:paraId="778D7F80">
      <w:pPr>
        <w:pStyle w:val="2"/>
        <w:rPr>
          <w:rFonts w:hint="eastAsia" w:ascii="仿宋_GB2312" w:hAnsi="仿宋_GB2312" w:eastAsia="仿宋_GB2312" w:cs="仿宋_GB2312"/>
          <w:highlight w:val="none"/>
          <w:lang w:eastAsia="zh-CN"/>
        </w:rPr>
      </w:pPr>
    </w:p>
    <w:p w14:paraId="6C819AB7">
      <w:pPr>
        <w:pStyle w:val="2"/>
        <w:rPr>
          <w:rFonts w:hint="eastAsia" w:ascii="仿宋_GB2312" w:hAnsi="仿宋_GB2312" w:eastAsia="仿宋_GB2312" w:cs="仿宋_GB2312"/>
          <w:highlight w:val="none"/>
          <w:lang w:eastAsia="zh-CN"/>
        </w:rPr>
      </w:pPr>
    </w:p>
    <w:p w14:paraId="789C582F">
      <w:pPr>
        <w:pStyle w:val="2"/>
        <w:rPr>
          <w:rFonts w:hint="eastAsia" w:ascii="仿宋_GB2312" w:hAnsi="仿宋_GB2312" w:eastAsia="仿宋_GB2312" w:cs="仿宋_GB2312"/>
          <w:highlight w:val="none"/>
          <w:lang w:eastAsia="zh-CN"/>
        </w:rPr>
      </w:pPr>
    </w:p>
    <w:p w14:paraId="5B5DE43E">
      <w:pPr>
        <w:pStyle w:val="2"/>
        <w:rPr>
          <w:rFonts w:hint="eastAsia" w:ascii="仿宋_GB2312" w:hAnsi="仿宋_GB2312" w:eastAsia="仿宋_GB2312" w:cs="仿宋_GB2312"/>
          <w:highlight w:val="none"/>
          <w:lang w:eastAsia="zh-CN"/>
        </w:rPr>
      </w:pPr>
    </w:p>
    <w:p w14:paraId="4B6366AF">
      <w:pPr>
        <w:pStyle w:val="2"/>
        <w:rPr>
          <w:rFonts w:hint="eastAsia" w:ascii="仿宋_GB2312" w:hAnsi="仿宋_GB2312" w:eastAsia="仿宋_GB2312" w:cs="仿宋_GB2312"/>
          <w:highlight w:val="none"/>
          <w:lang w:eastAsia="zh-CN"/>
        </w:rPr>
      </w:pPr>
    </w:p>
    <w:p w14:paraId="07B109E5">
      <w:pPr>
        <w:pStyle w:val="2"/>
        <w:rPr>
          <w:rFonts w:hint="eastAsia" w:ascii="仿宋_GB2312" w:hAnsi="仿宋_GB2312" w:eastAsia="仿宋_GB2312" w:cs="仿宋_GB2312"/>
          <w:highlight w:val="none"/>
          <w:lang w:eastAsia="zh-CN"/>
        </w:rPr>
      </w:pPr>
    </w:p>
    <w:p w14:paraId="278B19C8">
      <w:pPr>
        <w:pStyle w:val="2"/>
        <w:rPr>
          <w:rFonts w:hint="eastAsia" w:ascii="仿宋_GB2312" w:hAnsi="仿宋_GB2312" w:eastAsia="仿宋_GB2312" w:cs="仿宋_GB2312"/>
          <w:highlight w:val="none"/>
          <w:lang w:eastAsia="zh-CN"/>
        </w:rPr>
      </w:pPr>
    </w:p>
    <w:p w14:paraId="346C8E00">
      <w:pPr>
        <w:pStyle w:val="2"/>
        <w:rPr>
          <w:rFonts w:hint="eastAsia" w:ascii="仿宋_GB2312" w:hAnsi="仿宋_GB2312" w:eastAsia="仿宋_GB2312" w:cs="仿宋_GB2312"/>
          <w:highlight w:val="none"/>
          <w:lang w:eastAsia="zh-CN"/>
        </w:rPr>
      </w:pPr>
    </w:p>
    <w:p w14:paraId="3C802EA0">
      <w:pPr>
        <w:pStyle w:val="2"/>
        <w:rPr>
          <w:rFonts w:hint="eastAsia" w:ascii="仿宋_GB2312" w:hAnsi="仿宋_GB2312" w:eastAsia="仿宋_GB2312" w:cs="仿宋_GB2312"/>
          <w:highlight w:val="none"/>
          <w:lang w:eastAsia="zh-CN"/>
        </w:rPr>
      </w:pPr>
    </w:p>
    <w:p w14:paraId="2B41215F">
      <w:pPr>
        <w:pStyle w:val="2"/>
        <w:rPr>
          <w:rFonts w:hint="eastAsia" w:ascii="仿宋_GB2312" w:hAnsi="仿宋_GB2312" w:eastAsia="仿宋_GB2312" w:cs="仿宋_GB2312"/>
          <w:highlight w:val="none"/>
          <w:lang w:eastAsia="zh-CN"/>
        </w:rPr>
      </w:pPr>
    </w:p>
    <w:p w14:paraId="6293DCEA">
      <w:pPr>
        <w:pStyle w:val="2"/>
        <w:rPr>
          <w:rFonts w:hint="eastAsia" w:ascii="仿宋_GB2312" w:hAnsi="仿宋_GB2312" w:eastAsia="仿宋_GB2312" w:cs="仿宋_GB2312"/>
          <w:highlight w:val="none"/>
          <w:lang w:eastAsia="zh-CN"/>
        </w:rPr>
      </w:pPr>
    </w:p>
    <w:p w14:paraId="2801A313">
      <w:pPr>
        <w:pStyle w:val="2"/>
        <w:rPr>
          <w:rFonts w:hint="eastAsia" w:ascii="仿宋_GB2312" w:hAnsi="仿宋_GB2312" w:eastAsia="仿宋_GB2312" w:cs="仿宋_GB2312"/>
          <w:highlight w:val="none"/>
          <w:lang w:eastAsia="zh-CN"/>
        </w:rPr>
      </w:pPr>
    </w:p>
    <w:p w14:paraId="5750E0E8">
      <w:pPr>
        <w:pStyle w:val="2"/>
        <w:rPr>
          <w:rFonts w:hint="eastAsia" w:ascii="仿宋_GB2312" w:hAnsi="仿宋_GB2312" w:eastAsia="仿宋_GB2312" w:cs="仿宋_GB2312"/>
          <w:highlight w:val="none"/>
          <w:lang w:eastAsia="zh-CN"/>
        </w:rPr>
      </w:pPr>
    </w:p>
    <w:p w14:paraId="0F381DA0">
      <w:pPr>
        <w:pStyle w:val="2"/>
        <w:rPr>
          <w:rFonts w:hint="eastAsia" w:ascii="仿宋_GB2312" w:hAnsi="仿宋_GB2312" w:eastAsia="仿宋_GB2312" w:cs="仿宋_GB2312"/>
          <w:highlight w:val="none"/>
          <w:lang w:eastAsia="zh-CN"/>
        </w:rPr>
      </w:pPr>
    </w:p>
    <w:p w14:paraId="5D44BA85">
      <w:pPr>
        <w:pStyle w:val="2"/>
        <w:rPr>
          <w:rFonts w:hint="eastAsia" w:ascii="仿宋_GB2312" w:hAnsi="仿宋_GB2312" w:eastAsia="仿宋_GB2312" w:cs="仿宋_GB2312"/>
          <w:highlight w:val="none"/>
          <w:lang w:eastAsia="zh-CN"/>
        </w:rPr>
      </w:pPr>
    </w:p>
    <w:p w14:paraId="03E8390C">
      <w:pPr>
        <w:pStyle w:val="2"/>
        <w:rPr>
          <w:rFonts w:hint="eastAsia" w:ascii="仿宋_GB2312" w:hAnsi="仿宋_GB2312" w:eastAsia="仿宋_GB2312" w:cs="仿宋_GB2312"/>
          <w:highlight w:val="none"/>
          <w:lang w:eastAsia="zh-CN"/>
        </w:rPr>
      </w:pPr>
    </w:p>
    <w:p w14:paraId="4ED3940B">
      <w:pPr>
        <w:pStyle w:val="2"/>
        <w:rPr>
          <w:rFonts w:hint="eastAsia" w:ascii="仿宋_GB2312" w:hAnsi="仿宋_GB2312" w:eastAsia="仿宋_GB2312" w:cs="仿宋_GB2312"/>
          <w:highlight w:val="none"/>
          <w:lang w:eastAsia="zh-CN"/>
        </w:rPr>
      </w:pPr>
    </w:p>
    <w:p w14:paraId="71C9F9FA">
      <w:pPr>
        <w:pStyle w:val="2"/>
        <w:rPr>
          <w:rFonts w:hint="eastAsia" w:ascii="仿宋_GB2312" w:hAnsi="仿宋_GB2312" w:eastAsia="仿宋_GB2312" w:cs="仿宋_GB2312"/>
          <w:highlight w:val="none"/>
          <w:lang w:eastAsia="zh-CN"/>
        </w:rPr>
      </w:pPr>
    </w:p>
    <w:p w14:paraId="12AF9AC2">
      <w:pPr>
        <w:pStyle w:val="2"/>
        <w:rPr>
          <w:rFonts w:hint="eastAsia" w:ascii="仿宋_GB2312" w:hAnsi="仿宋_GB2312" w:eastAsia="仿宋_GB2312" w:cs="仿宋_GB2312"/>
          <w:highlight w:val="none"/>
          <w:lang w:eastAsia="zh-CN"/>
        </w:rPr>
      </w:pPr>
    </w:p>
    <w:p w14:paraId="5F116CA1">
      <w:pPr>
        <w:pStyle w:val="3"/>
        <w:rPr>
          <w:rFonts w:hint="eastAsia" w:ascii="仿宋_GB2312" w:hAnsi="仿宋_GB2312" w:eastAsia="仿宋_GB2312" w:cs="仿宋_GB2312"/>
          <w:b/>
          <w:sz w:val="44"/>
          <w:szCs w:val="44"/>
          <w:highlight w:val="none"/>
        </w:rPr>
      </w:pPr>
      <w:r>
        <w:rPr>
          <w:rFonts w:hint="eastAsia" w:ascii="仿宋_GB2312" w:hAnsi="仿宋_GB2312" w:eastAsia="仿宋_GB2312" w:cs="仿宋_GB2312"/>
          <w:b/>
          <w:sz w:val="44"/>
          <w:szCs w:val="44"/>
          <w:highlight w:val="none"/>
        </w:rPr>
        <w:pict>
          <v:rect id="KGD_Gobal1" o:spid="_x0000_s2050"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10pt;margin-top:10pt;height:5pt;width:5pt;visibility:hidden;z-index:251660288;mso-width-relative:page;mso-height-relative:page;" coordsize="21600,21600">
            <v:path/>
            <v:fill focussize="0,0"/>
            <v:stroke/>
            <v:imagedata o:title=""/>
            <o:lock v:ext="edit"/>
          </v:rect>
        </w:pict>
      </w:r>
      <w:bookmarkStart w:id="21" w:name="_Toc199927046"/>
      <w:r>
        <w:rPr>
          <w:rFonts w:hint="eastAsia" w:ascii="仿宋_GB2312" w:hAnsi="仿宋_GB2312" w:eastAsia="仿宋_GB2312" w:cs="仿宋_GB2312"/>
          <w:b/>
          <w:sz w:val="44"/>
          <w:szCs w:val="44"/>
          <w:highlight w:val="none"/>
        </w:rPr>
        <w:t>第六章  合同书（范本）</w:t>
      </w:r>
      <w:bookmarkEnd w:id="21"/>
    </w:p>
    <w:p w14:paraId="088B28C9">
      <w:pPr>
        <w:widowControl/>
        <w:spacing w:line="600" w:lineRule="exact"/>
        <w:jc w:val="center"/>
        <w:rPr>
          <w:rFonts w:hint="eastAsia" w:ascii="仿宋_GB2312" w:hAnsi="仿宋_GB2312" w:eastAsia="仿宋_GB2312" w:cs="仿宋_GB2312"/>
          <w:b/>
          <w:sz w:val="32"/>
          <w:highlight w:val="none"/>
        </w:rPr>
      </w:pPr>
      <w:r>
        <w:rPr>
          <w:rFonts w:hint="eastAsia" w:ascii="仿宋_GB2312" w:hAnsi="仿宋_GB2312" w:eastAsia="仿宋_GB2312" w:cs="仿宋_GB2312"/>
          <w:b/>
          <w:sz w:val="32"/>
          <w:highlight w:val="none"/>
        </w:rPr>
        <w:t>选定苗木供应单位入围合同</w:t>
      </w:r>
    </w:p>
    <w:p w14:paraId="589D509A">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采购方（甲方）：</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b/>
          <w:sz w:val="24"/>
          <w:szCs w:val="24"/>
          <w:highlight w:val="none"/>
          <w:u w:val="single"/>
        </w:rPr>
        <w:t>威海市环翠园林工程有限公司</w:t>
      </w:r>
      <w:r>
        <w:rPr>
          <w:rFonts w:hint="eastAsia" w:ascii="仿宋_GB2312" w:hAnsi="仿宋_GB2312" w:eastAsia="仿宋_GB2312" w:cs="仿宋_GB2312"/>
          <w:sz w:val="24"/>
          <w:szCs w:val="24"/>
          <w:highlight w:val="none"/>
          <w:u w:val="single"/>
        </w:rPr>
        <w:t xml:space="preserve">  </w:t>
      </w:r>
    </w:p>
    <w:p w14:paraId="53D8E248">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供货方（乙方）：</w:t>
      </w:r>
      <w:r>
        <w:rPr>
          <w:rFonts w:hint="eastAsia" w:ascii="仿宋_GB2312" w:hAnsi="仿宋_GB2312" w:eastAsia="仿宋_GB2312" w:cs="仿宋_GB2312"/>
          <w:sz w:val="24"/>
          <w:szCs w:val="24"/>
          <w:highlight w:val="none"/>
          <w:u w:val="single"/>
        </w:rPr>
        <w:t xml:space="preserve">                              </w:t>
      </w:r>
    </w:p>
    <w:p w14:paraId="4FF85A8A">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按照《中华人民共和国民法典》及有关法律规定，甲乙双方本着诚实信用、平等互惠、长期合作的原则，经双方友好协商签订协议，就为 </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签订以下合同条款：</w:t>
      </w:r>
    </w:p>
    <w:p w14:paraId="41C3B016">
      <w:pPr>
        <w:keepNext w:val="0"/>
        <w:keepLines w:val="0"/>
        <w:pageBreakBefore w:val="0"/>
        <w:kinsoku/>
        <w:wordWrap/>
        <w:overflowPunct/>
        <w:topLinePunct w:val="0"/>
        <w:autoSpaceDE/>
        <w:autoSpaceDN/>
        <w:bidi w:val="0"/>
        <w:adjustRightInd/>
        <w:snapToGrid/>
        <w:spacing w:line="600" w:lineRule="exact"/>
        <w:ind w:firstLine="240" w:firstLineChars="1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一、入围后苗木供货商的选定：</w:t>
      </w:r>
    </w:p>
    <w:p w14:paraId="23869E31">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甲方根据自已的实际需要在询价平台公开询价，入围供应</w:t>
      </w:r>
      <w:r>
        <w:rPr>
          <w:rFonts w:hint="eastAsia" w:ascii="仿宋_GB2312" w:hAnsi="仿宋_GB2312" w:eastAsia="仿宋_GB2312" w:cs="仿宋_GB2312"/>
          <w:sz w:val="24"/>
          <w:szCs w:val="24"/>
          <w:highlight w:val="none"/>
          <w:lang w:eastAsia="zh-CN"/>
        </w:rPr>
        <w:t>单位</w:t>
      </w:r>
      <w:r>
        <w:rPr>
          <w:rFonts w:hint="eastAsia" w:ascii="仿宋_GB2312" w:hAnsi="仿宋_GB2312" w:eastAsia="仿宋_GB2312" w:cs="仿宋_GB2312"/>
          <w:sz w:val="24"/>
          <w:szCs w:val="24"/>
          <w:highlight w:val="none"/>
        </w:rPr>
        <w:t>在平台报价，总价最低者确定为标的供</w:t>
      </w:r>
      <w:r>
        <w:rPr>
          <w:rFonts w:hint="eastAsia" w:ascii="仿宋_GB2312" w:hAnsi="仿宋_GB2312" w:eastAsia="仿宋_GB2312" w:cs="仿宋_GB2312"/>
          <w:sz w:val="24"/>
          <w:szCs w:val="24"/>
          <w:highlight w:val="none"/>
          <w:lang w:eastAsia="zh-CN"/>
        </w:rPr>
        <w:t>货</w:t>
      </w:r>
      <w:r>
        <w:rPr>
          <w:rFonts w:hint="eastAsia" w:ascii="仿宋_GB2312" w:hAnsi="仿宋_GB2312" w:eastAsia="仿宋_GB2312" w:cs="仿宋_GB2312"/>
          <w:sz w:val="24"/>
          <w:szCs w:val="24"/>
          <w:highlight w:val="none"/>
        </w:rPr>
        <w:t>商。</w:t>
      </w:r>
    </w:p>
    <w:p w14:paraId="76754A98">
      <w:pPr>
        <w:keepNext w:val="0"/>
        <w:keepLines w:val="0"/>
        <w:pageBreakBefore w:val="0"/>
        <w:kinsoku/>
        <w:wordWrap/>
        <w:overflowPunct/>
        <w:topLinePunct w:val="0"/>
        <w:autoSpaceDE/>
        <w:autoSpaceDN/>
        <w:bidi w:val="0"/>
        <w:adjustRightInd/>
        <w:snapToGrid/>
        <w:spacing w:line="600" w:lineRule="exact"/>
        <w:ind w:firstLine="240" w:firstLineChars="1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二、苗木付款方式：</w:t>
      </w:r>
    </w:p>
    <w:p w14:paraId="28695424">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1、苗木的价格为苗木的包干结算单价，包含但不限于苗木的采购、起挖、包装、运输、装卸、检测、验收、税金、利润等。具体苗木数量以平台发布为准，具体的进场日期以及批次以甲方通知为准，</w:t>
      </w:r>
      <w:r>
        <w:rPr>
          <w:rFonts w:hint="eastAsia" w:ascii="仿宋_GB2312" w:hAnsi="仿宋_GB2312" w:eastAsia="仿宋_GB2312" w:cs="仿宋_GB2312"/>
          <w:sz w:val="24"/>
          <w:szCs w:val="24"/>
          <w:highlight w:val="none"/>
        </w:rPr>
        <w:t>按实际供货数量结算</w:t>
      </w:r>
      <w:r>
        <w:rPr>
          <w:rFonts w:hint="eastAsia" w:ascii="仿宋_GB2312" w:hAnsi="仿宋_GB2312" w:eastAsia="仿宋_GB2312" w:cs="仿宋_GB2312"/>
          <w:color w:val="auto"/>
          <w:sz w:val="24"/>
          <w:szCs w:val="24"/>
          <w:highlight w:val="none"/>
        </w:rPr>
        <w:t>。苗木送到甲方指定工地位置。</w:t>
      </w:r>
    </w:p>
    <w:p w14:paraId="7042A52D">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2、乙方将单项工程采购的苗木明细报甲方进行核对苗木的规格、数量，核对无误后，甲方工作人员签字确认，乙方开具正规增值税专用发票</w:t>
      </w:r>
      <w:r>
        <w:rPr>
          <w:rFonts w:hint="eastAsia" w:ascii="仿宋_GB2312" w:hAnsi="仿宋_GB2312" w:eastAsia="仿宋_GB2312" w:cs="仿宋_GB2312"/>
          <w:sz w:val="24"/>
          <w:szCs w:val="24"/>
          <w:highlight w:val="none"/>
          <w:lang w:eastAsia="zh-CN"/>
        </w:rPr>
        <w:t>。</w:t>
      </w:r>
    </w:p>
    <w:p w14:paraId="1E97DD45">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3、采购的苗木到场并验收合格后</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年底前付当年苗木款的50%，第二年年底前至全款的80%，剩余20%尾款于第三年年底前无息付清。甲方可采用现金、商业承兑汇票等方式结算苗木款。如苗木的质量、规格不合格或不符合约定，甲方拒绝付款，所产生的任何费用均由乙方自行承担。</w:t>
      </w:r>
    </w:p>
    <w:p w14:paraId="48F088B6">
      <w:pPr>
        <w:keepNext w:val="0"/>
        <w:keepLines w:val="0"/>
        <w:pageBreakBefore w:val="0"/>
        <w:kinsoku/>
        <w:wordWrap/>
        <w:overflowPunct/>
        <w:topLinePunct w:val="0"/>
        <w:autoSpaceDE/>
        <w:autoSpaceDN/>
        <w:bidi w:val="0"/>
        <w:adjustRightInd/>
        <w:snapToGrid/>
        <w:spacing w:line="600" w:lineRule="exact"/>
        <w:ind w:firstLine="240" w:firstLineChars="1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三、</w:t>
      </w:r>
      <w:r>
        <w:rPr>
          <w:rFonts w:hint="eastAsia" w:ascii="仿宋_GB2312" w:hAnsi="仿宋_GB2312" w:eastAsia="仿宋_GB2312" w:cs="仿宋_GB2312"/>
          <w:sz w:val="24"/>
          <w:szCs w:val="24"/>
          <w:highlight w:val="none"/>
          <w:lang w:eastAsia="zh-CN"/>
        </w:rPr>
        <w:t>合同服务期：</w:t>
      </w:r>
      <w:r>
        <w:rPr>
          <w:rFonts w:hint="eastAsia" w:ascii="仿宋_GB2312" w:hAnsi="仿宋_GB2312" w:eastAsia="仿宋_GB2312" w:cs="仿宋_GB2312"/>
          <w:sz w:val="24"/>
          <w:szCs w:val="24"/>
          <w:highlight w:val="none"/>
          <w:lang w:val="en-US" w:eastAsia="zh-CN"/>
        </w:rPr>
        <w:t>自合同签订之日起2年</w:t>
      </w:r>
      <w:r>
        <w:rPr>
          <w:rFonts w:hint="eastAsia" w:ascii="仿宋_GB2312" w:hAnsi="仿宋_GB2312" w:eastAsia="仿宋_GB2312" w:cs="仿宋_GB2312"/>
          <w:sz w:val="24"/>
          <w:szCs w:val="24"/>
          <w:highlight w:val="none"/>
          <w:lang w:eastAsia="zh-CN"/>
        </w:rPr>
        <w:t>。</w:t>
      </w:r>
    </w:p>
    <w:p w14:paraId="3456366D">
      <w:pPr>
        <w:keepNext w:val="0"/>
        <w:keepLines w:val="0"/>
        <w:pageBreakBefore w:val="0"/>
        <w:kinsoku/>
        <w:wordWrap/>
        <w:overflowPunct/>
        <w:topLinePunct w:val="0"/>
        <w:autoSpaceDE/>
        <w:autoSpaceDN/>
        <w:bidi w:val="0"/>
        <w:adjustRightInd/>
        <w:snapToGrid/>
        <w:spacing w:line="600" w:lineRule="exact"/>
        <w:ind w:left="0" w:leftChars="0" w:firstLine="720" w:firstLineChars="3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苗木供应时间：以甲方通知的苗木到场时间要求为准</w:t>
      </w:r>
      <w:r>
        <w:rPr>
          <w:rFonts w:hint="eastAsia" w:ascii="仿宋_GB2312" w:hAnsi="仿宋_GB2312" w:eastAsia="仿宋_GB2312" w:cs="仿宋_GB2312"/>
          <w:sz w:val="24"/>
          <w:szCs w:val="24"/>
          <w:highlight w:val="none"/>
          <w:lang w:eastAsia="zh-CN"/>
        </w:rPr>
        <w:t>。</w:t>
      </w:r>
    </w:p>
    <w:p w14:paraId="4DBC3604">
      <w:pPr>
        <w:keepNext w:val="0"/>
        <w:keepLines w:val="0"/>
        <w:pageBreakBefore w:val="0"/>
        <w:kinsoku/>
        <w:wordWrap/>
        <w:overflowPunct/>
        <w:topLinePunct w:val="0"/>
        <w:autoSpaceDE/>
        <w:autoSpaceDN/>
        <w:bidi w:val="0"/>
        <w:adjustRightInd/>
        <w:snapToGrid/>
        <w:spacing w:line="600" w:lineRule="exact"/>
        <w:ind w:firstLine="240" w:firstLineChars="1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四、质量要求：</w:t>
      </w:r>
    </w:p>
    <w:p w14:paraId="1585340A">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所有苗木应有甲方代表现场验收：</w:t>
      </w:r>
    </w:p>
    <w:p w14:paraId="63213CAA">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1、乔木要求：树冠完整饱满，树型饱满，土球完好，要求半干半湿，根系发育良好。苗木高度及分枝点高度应与苗木供应清单一致，树皮无机械损伤和病虫害。</w:t>
      </w:r>
    </w:p>
    <w:p w14:paraId="7128482D">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2、灌木及球类植物要求：冠幅饱满、土球完好、匀称，苗木高度、冠幅与苗木供应清单一致，根系发育良好，生长健壮，无病虫害。</w:t>
      </w:r>
    </w:p>
    <w:p w14:paraId="08D57321">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3、地被类植物要求：高度冠幅符合设计要求，植株低矮紧凑生长健壮，苗龄适中，无病虫害及断枝。</w:t>
      </w:r>
    </w:p>
    <w:p w14:paraId="02E5FEFB">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4、花卉类植物要求：株高、冠幅、盆径满足甲方要求，叶片无病虫害斑点以及黄叶，根系健康无烂根且含水量适中，花数和叶片数不得低于甲方要求或行业相关标准。</w:t>
      </w:r>
    </w:p>
    <w:p w14:paraId="12096D44">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5、草皮类植物要求：草坪卷或草坪块生长密度统一，土层厚度统一（相差不超过0.5厘米），无杂草，草色纯正、根系发育良好，生长健壮，无病虫害。</w:t>
      </w:r>
    </w:p>
    <w:p w14:paraId="14F69298">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6、种子要求：种子色泽新鲜、颗粒饱满、含水量适度，混合比例、每克粒数以及出芽率等应满足规范或者甲方要求。</w:t>
      </w:r>
    </w:p>
    <w:p w14:paraId="6857BF80">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、起挖运输要求：</w:t>
      </w:r>
    </w:p>
    <w:p w14:paraId="65BF3507">
      <w:pPr>
        <w:keepNext w:val="0"/>
        <w:keepLines w:val="0"/>
        <w:pageBreakBefore w:val="0"/>
        <w:kinsoku/>
        <w:wordWrap/>
        <w:overflowPunct/>
        <w:topLinePunct w:val="0"/>
        <w:autoSpaceDE/>
        <w:autoSpaceDN/>
        <w:bidi w:val="0"/>
        <w:adjustRightInd/>
        <w:snapToGrid/>
        <w:spacing w:line="600" w:lineRule="exact"/>
        <w:ind w:firstLine="42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苗木起挖后必须尽快装车运输，不得滞留苗圃内；带土球苗应在圃地灌水渗透后起苗，保持土球完整不散；土质松散的苗圃内应采取相应措施加固土球，不得散球进场；乔灌木装车应对土球采取保护措施，不得使土球因过度受力破损；耐阴性花卉植被应夜间起挖保湿，不得强光高温下起挖，严防日灼或脱水。  </w:t>
      </w:r>
    </w:p>
    <w:p w14:paraId="22446119">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长途运输应采取覆盖等措施防风，保证苗木不枯叶脱水；高温季节运输应分层堆放，覆盖防晒，洒水保湿，并采取增加竹笼、冰块等措施通风降温，严禁暴晒以及烧苗；裸根苗木必须随挖随运，本地苗木当天送达，长途运输起挖至进场时间不得超过24小时，根部应蘸泥浆，保持根系湿润。盆育花苗去盆时，应保持盆土不散，起苗后种植前，应注意保鲜，花苗不得萎蔫。地被类苗木应按株分组装车，不得单株散置装车</w:t>
      </w:r>
      <w:r>
        <w:rPr>
          <w:rFonts w:hint="eastAsia" w:ascii="仿宋_GB2312" w:hAnsi="仿宋_GB2312" w:eastAsia="仿宋_GB2312" w:cs="仿宋_GB2312"/>
          <w:sz w:val="24"/>
          <w:szCs w:val="24"/>
          <w:highlight w:val="none"/>
          <w:lang w:eastAsia="zh-CN"/>
        </w:rPr>
        <w:t>。</w:t>
      </w:r>
    </w:p>
    <w:p w14:paraId="76C92FDF">
      <w:pPr>
        <w:keepNext w:val="0"/>
        <w:keepLines w:val="0"/>
        <w:pageBreakBefore w:val="0"/>
        <w:numPr>
          <w:ilvl w:val="0"/>
          <w:numId w:val="0"/>
        </w:numPr>
        <w:kinsoku/>
        <w:wordWrap/>
        <w:overflowPunct/>
        <w:topLinePunct w:val="0"/>
        <w:autoSpaceDE/>
        <w:autoSpaceDN/>
        <w:bidi w:val="0"/>
        <w:adjustRightInd/>
        <w:snapToGrid/>
        <w:spacing w:line="600" w:lineRule="exact"/>
        <w:ind w:firstLine="240" w:firstLineChars="1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8、</w:t>
      </w:r>
      <w:r>
        <w:rPr>
          <w:rFonts w:hint="eastAsia" w:ascii="仿宋_GB2312" w:hAnsi="仿宋_GB2312" w:eastAsia="仿宋_GB2312" w:cs="仿宋_GB2312"/>
          <w:sz w:val="24"/>
          <w:szCs w:val="24"/>
          <w:highlight w:val="none"/>
        </w:rPr>
        <w:t>所有苗木要适宜威海地区的土壤和气候条件。规格必须达到苗木清单中所有规定规格，形状及品质符合甲方要求并且供</w:t>
      </w:r>
      <w:r>
        <w:rPr>
          <w:rFonts w:hint="eastAsia" w:ascii="仿宋_GB2312" w:hAnsi="仿宋_GB2312" w:eastAsia="仿宋_GB2312" w:cs="仿宋_GB2312"/>
          <w:sz w:val="24"/>
          <w:szCs w:val="24"/>
          <w:highlight w:val="none"/>
          <w:lang w:eastAsia="zh-CN"/>
        </w:rPr>
        <w:t>货</w:t>
      </w:r>
      <w:r>
        <w:rPr>
          <w:rFonts w:hint="eastAsia" w:ascii="仿宋_GB2312" w:hAnsi="仿宋_GB2312" w:eastAsia="仿宋_GB2312" w:cs="仿宋_GB2312"/>
          <w:sz w:val="24"/>
          <w:szCs w:val="24"/>
          <w:highlight w:val="none"/>
        </w:rPr>
        <w:t>商在供货时需按照相关规定提供植物检疫证书。供</w:t>
      </w:r>
      <w:r>
        <w:rPr>
          <w:rFonts w:hint="eastAsia" w:ascii="仿宋_GB2312" w:hAnsi="仿宋_GB2312" w:eastAsia="仿宋_GB2312" w:cs="仿宋_GB2312"/>
          <w:sz w:val="24"/>
          <w:szCs w:val="24"/>
          <w:highlight w:val="none"/>
          <w:lang w:eastAsia="zh-CN"/>
        </w:rPr>
        <w:t>货</w:t>
      </w:r>
      <w:r>
        <w:rPr>
          <w:rFonts w:hint="eastAsia" w:ascii="仿宋_GB2312" w:hAnsi="仿宋_GB2312" w:eastAsia="仿宋_GB2312" w:cs="仿宋_GB2312"/>
          <w:sz w:val="24"/>
          <w:szCs w:val="24"/>
          <w:highlight w:val="none"/>
        </w:rPr>
        <w:t>商苗木质量不合格的，苗木不予验收， 因苗木质量问题造成的损失，由供货商承担。</w:t>
      </w:r>
    </w:p>
    <w:p w14:paraId="6B998B17">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五、双方责任：</w:t>
      </w:r>
    </w:p>
    <w:p w14:paraId="76DF1FC9">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1、甲方在规定期限内按时支付乙方苗木款。</w:t>
      </w:r>
    </w:p>
    <w:p w14:paraId="09DBA9B9">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2、甲方不承担苗木到达指定地点前的任何风险。</w:t>
      </w:r>
    </w:p>
    <w:p w14:paraId="30A37654">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3、甲方应及时组织人员与乙方代表进行苗木验收及数量的核对确认工作。</w:t>
      </w:r>
    </w:p>
    <w:p w14:paraId="04CCAA98">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乙方交付时应按甲方实际指定的时间和地点完成各批次的供货。若因乙方原因，苗木不能及时运到甲方指定地点（超过规定时间24小时），对此造成的后果，乙方必须无条件承担，甲方有权解除合同，并且要求乙方赔偿由此造成的损失。</w:t>
      </w:r>
    </w:p>
    <w:p w14:paraId="334518C4">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5、因甲方原因或不可抗力引起的约定供货日期延误，可办理顺延签证或由双方协商解决。</w:t>
      </w:r>
    </w:p>
    <w:p w14:paraId="65D4A986">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6、供货商在合同履行过程中若出现违约情形的，甲方有权解除合同；若供货商违约行为给甲方造成损失的</w:t>
      </w:r>
      <w:r>
        <w:rPr>
          <w:rFonts w:hint="eastAsia" w:ascii="仿宋_GB2312" w:hAnsi="仿宋_GB2312" w:eastAsia="仿宋_GB2312" w:cs="仿宋_GB2312"/>
          <w:color w:val="auto"/>
          <w:sz w:val="24"/>
          <w:szCs w:val="24"/>
          <w:highlight w:val="none"/>
          <w:lang w:val="en-US" w:eastAsia="zh-CN"/>
        </w:rPr>
        <w:t>(含工期延误的费用；苗木栽植、养护、清除以及因相关操作产生的其他费用，包括但不限于防寒保温费、遮荫费、非常规支撑费、软式通气管费、措施费等)</w:t>
      </w:r>
      <w:r>
        <w:rPr>
          <w:rFonts w:hint="eastAsia" w:ascii="仿宋_GB2312" w:hAnsi="仿宋_GB2312" w:eastAsia="仿宋_GB2312" w:cs="仿宋_GB2312"/>
          <w:color w:val="auto"/>
          <w:sz w:val="24"/>
          <w:szCs w:val="24"/>
          <w:highlight w:val="none"/>
        </w:rPr>
        <w:t>，还需另行赔偿。上述赔偿金额，甲方有权从供货商结款中直接扣除。</w:t>
      </w:r>
    </w:p>
    <w:p w14:paraId="251F32E6">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发生合同纠纷时，甲乙双方应通过友好协商解决；如协商不一致，可向甲方住所地法院，即环翠区法院提起诉讼。违约方应当承担守约方因此所遭受的损失，包括但不限于律师费、诉讼费、保全费、保全保险费等。</w:t>
      </w:r>
    </w:p>
    <w:p w14:paraId="27496760">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8、本合同一式肆份，乙方持壹份，甲方持叁份。具有平等的法律效力。</w:t>
      </w:r>
    </w:p>
    <w:p w14:paraId="1A51448F">
      <w:pPr>
        <w:keepNext w:val="0"/>
        <w:keepLines w:val="0"/>
        <w:pageBreakBefore w:val="0"/>
        <w:widowControl w:val="0"/>
        <w:kinsoku/>
        <w:wordWrap/>
        <w:overflowPunct/>
        <w:topLinePunct w:val="0"/>
        <w:autoSpaceDE/>
        <w:autoSpaceDN/>
        <w:bidi w:val="0"/>
        <w:adjustRightInd/>
        <w:snapToGrid/>
        <w:spacing w:after="120" w:line="600" w:lineRule="exact"/>
        <w:jc w:val="both"/>
        <w:textAlignment w:val="auto"/>
        <w:rPr>
          <w:rFonts w:hint="eastAsia" w:ascii="仿宋_GB2312" w:hAnsi="仿宋_GB2312" w:eastAsia="仿宋_GB2312" w:cs="仿宋_GB2312"/>
          <w:kern w:val="0"/>
          <w:sz w:val="24"/>
          <w:szCs w:val="24"/>
          <w:highlight w:val="none"/>
          <w:lang w:val="en-US" w:eastAsia="zh-CN" w:bidi="ar-SA"/>
        </w:rPr>
      </w:pPr>
    </w:p>
    <w:p w14:paraId="66AD7293">
      <w:pPr>
        <w:keepNext w:val="0"/>
        <w:keepLines w:val="0"/>
        <w:pageBreakBefore w:val="0"/>
        <w:widowControl w:val="0"/>
        <w:tabs>
          <w:tab w:val="left" w:pos="900"/>
        </w:tabs>
        <w:kinsoku/>
        <w:wordWrap/>
        <w:overflowPunct/>
        <w:topLinePunct w:val="0"/>
        <w:autoSpaceDE/>
        <w:autoSpaceDN/>
        <w:bidi w:val="0"/>
        <w:adjustRightInd/>
        <w:snapToGrid/>
        <w:spacing w:line="600" w:lineRule="exact"/>
        <w:ind w:left="1410" w:leftChars="100" w:hanging="1200" w:hangingChars="500"/>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 xml:space="preserve">甲  方: 威海市环翠园林工程有限公司  乙  方: </w:t>
      </w:r>
    </w:p>
    <w:p w14:paraId="6F7E810E">
      <w:pPr>
        <w:keepNext w:val="0"/>
        <w:keepLines w:val="0"/>
        <w:pageBreakBefore w:val="0"/>
        <w:widowControl w:val="0"/>
        <w:tabs>
          <w:tab w:val="left" w:pos="900"/>
        </w:tabs>
        <w:kinsoku/>
        <w:wordWrap/>
        <w:overflowPunct/>
        <w:topLinePunct w:val="0"/>
        <w:autoSpaceDE/>
        <w:autoSpaceDN/>
        <w:bidi w:val="0"/>
        <w:adjustRightInd/>
        <w:snapToGrid/>
        <w:spacing w:line="600" w:lineRule="exact"/>
        <w:ind w:left="1410" w:leftChars="100" w:hanging="1200" w:hangingChars="500"/>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法定代表人或其委托代理人：        法定代表人或其委托代理人：</w:t>
      </w:r>
    </w:p>
    <w:p w14:paraId="017B8AF3">
      <w:pPr>
        <w:keepNext w:val="0"/>
        <w:keepLines w:val="0"/>
        <w:pageBreakBefore w:val="0"/>
        <w:widowControl w:val="0"/>
        <w:tabs>
          <w:tab w:val="left" w:pos="900"/>
        </w:tabs>
        <w:kinsoku/>
        <w:wordWrap/>
        <w:overflowPunct/>
        <w:topLinePunct w:val="0"/>
        <w:autoSpaceDE/>
        <w:autoSpaceDN/>
        <w:bidi w:val="0"/>
        <w:adjustRightInd/>
        <w:snapToGrid/>
        <w:spacing w:line="600" w:lineRule="exact"/>
        <w:ind w:left="1410" w:leftChars="100" w:hanging="1200" w:hangingChars="500"/>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 xml:space="preserve">    （签字或盖章）                 （签字或盖章）</w:t>
      </w:r>
    </w:p>
    <w:p w14:paraId="2F023F24">
      <w:pPr>
        <w:keepNext w:val="0"/>
        <w:keepLines w:val="0"/>
        <w:pageBreakBefore w:val="0"/>
        <w:widowControl w:val="0"/>
        <w:tabs>
          <w:tab w:val="left" w:pos="900"/>
        </w:tabs>
        <w:kinsoku/>
        <w:wordWrap/>
        <w:overflowPunct/>
        <w:topLinePunct w:val="0"/>
        <w:autoSpaceDE/>
        <w:autoSpaceDN/>
        <w:bidi w:val="0"/>
        <w:adjustRightInd/>
        <w:snapToGrid/>
        <w:spacing w:line="600" w:lineRule="exact"/>
        <w:ind w:left="1410" w:leftChars="100" w:hanging="1200" w:hangingChars="500"/>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组织机构代码：91371002MA3F21LU9A    组织机构代码：</w:t>
      </w:r>
    </w:p>
    <w:p w14:paraId="4EF646DF">
      <w:pPr>
        <w:keepNext w:val="0"/>
        <w:keepLines w:val="0"/>
        <w:pageBreakBefore w:val="0"/>
        <w:widowControl w:val="0"/>
        <w:tabs>
          <w:tab w:val="left" w:pos="900"/>
        </w:tabs>
        <w:kinsoku/>
        <w:wordWrap/>
        <w:overflowPunct/>
        <w:topLinePunct w:val="0"/>
        <w:autoSpaceDE/>
        <w:autoSpaceDN/>
        <w:bidi w:val="0"/>
        <w:adjustRightInd/>
        <w:snapToGrid/>
        <w:spacing w:line="600" w:lineRule="exact"/>
        <w:ind w:left="1410" w:leftChars="100" w:hanging="1200" w:hangingChars="500"/>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地址：威海市环翠区望岛工业园        地址：</w:t>
      </w:r>
    </w:p>
    <w:p w14:paraId="6F013EA6">
      <w:pPr>
        <w:keepNext w:val="0"/>
        <w:keepLines w:val="0"/>
        <w:pageBreakBefore w:val="0"/>
        <w:widowControl w:val="0"/>
        <w:tabs>
          <w:tab w:val="left" w:pos="900"/>
        </w:tabs>
        <w:kinsoku/>
        <w:wordWrap/>
        <w:overflowPunct/>
        <w:topLinePunct w:val="0"/>
        <w:autoSpaceDE/>
        <w:autoSpaceDN/>
        <w:bidi w:val="0"/>
        <w:adjustRightInd/>
        <w:snapToGrid/>
        <w:spacing w:line="600" w:lineRule="exact"/>
        <w:ind w:left="1410" w:leftChars="100" w:hanging="1200" w:hangingChars="500"/>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电  话：0631-5327707                电  话：</w:t>
      </w:r>
    </w:p>
    <w:p w14:paraId="5863AE61">
      <w:pPr>
        <w:keepNext w:val="0"/>
        <w:keepLines w:val="0"/>
        <w:pageBreakBefore w:val="0"/>
        <w:widowControl w:val="0"/>
        <w:tabs>
          <w:tab w:val="left" w:pos="900"/>
        </w:tabs>
        <w:kinsoku/>
        <w:wordWrap/>
        <w:overflowPunct/>
        <w:topLinePunct w:val="0"/>
        <w:autoSpaceDE/>
        <w:autoSpaceDN/>
        <w:bidi w:val="0"/>
        <w:adjustRightInd/>
        <w:snapToGrid/>
        <w:spacing w:line="600" w:lineRule="exact"/>
        <w:ind w:left="1410" w:leftChars="100" w:hanging="1200" w:hangingChars="500"/>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开户银行：建行威海环翠支行          开户银行：</w:t>
      </w:r>
    </w:p>
    <w:p w14:paraId="38CFA102">
      <w:pPr>
        <w:keepNext w:val="0"/>
        <w:keepLines w:val="0"/>
        <w:pageBreakBefore w:val="0"/>
        <w:widowControl w:val="0"/>
        <w:tabs>
          <w:tab w:val="left" w:pos="900"/>
        </w:tabs>
        <w:kinsoku/>
        <w:wordWrap/>
        <w:overflowPunct/>
        <w:topLinePunct w:val="0"/>
        <w:autoSpaceDE/>
        <w:autoSpaceDN/>
        <w:bidi w:val="0"/>
        <w:adjustRightInd/>
        <w:snapToGrid/>
        <w:spacing w:line="600" w:lineRule="exact"/>
        <w:ind w:left="1410" w:leftChars="100" w:hanging="1200" w:hangingChars="500"/>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账  号：37050170610100000336        账  号：</w:t>
      </w:r>
    </w:p>
    <w:p w14:paraId="2F1A4C5B">
      <w:pPr>
        <w:keepNext w:val="0"/>
        <w:keepLines w:val="0"/>
        <w:pageBreakBefore w:val="0"/>
        <w:widowControl w:val="0"/>
        <w:tabs>
          <w:tab w:val="left" w:pos="900"/>
        </w:tabs>
        <w:kinsoku/>
        <w:wordWrap/>
        <w:overflowPunct/>
        <w:topLinePunct w:val="0"/>
        <w:autoSpaceDE/>
        <w:autoSpaceDN/>
        <w:bidi w:val="0"/>
        <w:adjustRightInd/>
        <w:snapToGrid/>
        <w:spacing w:line="600" w:lineRule="exact"/>
        <w:ind w:left="1410" w:leftChars="100" w:hanging="1200" w:hangingChars="500"/>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签订日期：    年  月  日          签订日期：    年  月  日</w:t>
      </w:r>
    </w:p>
    <w:p w14:paraId="5D779376">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highlight w:val="none"/>
        </w:rPr>
      </w:pPr>
    </w:p>
    <w:p w14:paraId="0395E5D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127A46D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58FA1D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64D697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4DDB49B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106958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6580B73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09ABF75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1BD86D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297CCC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48A130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7CBC68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p>
    <w:p w14:paraId="7B96FE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威海市环翠</w:t>
      </w:r>
      <w:r>
        <w:rPr>
          <w:rFonts w:hint="eastAsia" w:ascii="仿宋_GB2312" w:hAnsi="仿宋_GB2312" w:eastAsia="仿宋_GB2312" w:cs="仿宋_GB2312"/>
          <w:b/>
          <w:bCs/>
          <w:sz w:val="36"/>
          <w:szCs w:val="36"/>
          <w:highlight w:val="none"/>
          <w:lang w:val="en-US" w:eastAsia="zh-CN"/>
        </w:rPr>
        <w:t>园林工程</w:t>
      </w:r>
      <w:r>
        <w:rPr>
          <w:rFonts w:hint="eastAsia" w:ascii="仿宋_GB2312" w:hAnsi="仿宋_GB2312" w:eastAsia="仿宋_GB2312" w:cs="仿宋_GB2312"/>
          <w:b/>
          <w:bCs/>
          <w:sz w:val="36"/>
          <w:szCs w:val="36"/>
          <w:highlight w:val="none"/>
        </w:rPr>
        <w:t>有限公司</w:t>
      </w:r>
    </w:p>
    <w:p w14:paraId="276D69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廉洁合作协议</w:t>
      </w:r>
    </w:p>
    <w:p w14:paraId="3CAD7A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4"/>
          <w:szCs w:val="24"/>
          <w:highlight w:val="none"/>
        </w:rPr>
      </w:pPr>
    </w:p>
    <w:p w14:paraId="703F634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签订方名称：威海市</w:t>
      </w:r>
      <w:r>
        <w:rPr>
          <w:rFonts w:hint="eastAsia" w:ascii="仿宋_GB2312" w:hAnsi="仿宋_GB2312" w:eastAsia="仿宋_GB2312" w:cs="仿宋_GB2312"/>
          <w:sz w:val="24"/>
          <w:szCs w:val="24"/>
          <w:highlight w:val="none"/>
          <w:lang w:val="en-US" w:eastAsia="zh-CN"/>
        </w:rPr>
        <w:t>环翠园林工程</w:t>
      </w:r>
      <w:r>
        <w:rPr>
          <w:rFonts w:hint="eastAsia" w:ascii="仿宋_GB2312" w:hAnsi="仿宋_GB2312" w:eastAsia="仿宋_GB2312" w:cs="仿宋_GB2312"/>
          <w:sz w:val="24"/>
          <w:szCs w:val="24"/>
          <w:highlight w:val="none"/>
        </w:rPr>
        <w:t>有限公司（简称</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w:t>
      </w:r>
    </w:p>
    <w:p w14:paraId="24534FD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签订方名称</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（简称合作单位）</w:t>
      </w:r>
    </w:p>
    <w:p w14:paraId="7D74476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p>
    <w:p w14:paraId="2F8A7DE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ab/>
      </w:r>
      <w:r>
        <w:rPr>
          <w:rFonts w:hint="eastAsia" w:ascii="仿宋_GB2312" w:hAnsi="仿宋_GB2312" w:eastAsia="仿宋_GB2312" w:cs="仿宋_GB2312"/>
          <w:sz w:val="24"/>
          <w:szCs w:val="24"/>
          <w:highlight w:val="none"/>
        </w:rPr>
        <w:t>为</w:t>
      </w:r>
      <w:r>
        <w:rPr>
          <w:rFonts w:hint="eastAsia" w:ascii="仿宋_GB2312" w:hAnsi="仿宋_GB2312" w:eastAsia="仿宋_GB2312" w:cs="仿宋_GB2312"/>
          <w:sz w:val="24"/>
          <w:szCs w:val="24"/>
          <w:highlight w:val="none"/>
          <w:lang w:val="en-US" w:eastAsia="zh-CN"/>
        </w:rPr>
        <w:t>促进</w:t>
      </w:r>
      <w:r>
        <w:rPr>
          <w:rFonts w:hint="eastAsia" w:ascii="仿宋_GB2312" w:hAnsi="仿宋_GB2312" w:eastAsia="仿宋_GB2312" w:cs="仿宋_GB2312"/>
          <w:sz w:val="24"/>
          <w:szCs w:val="24"/>
          <w:highlight w:val="none"/>
        </w:rPr>
        <w:t>双方廉洁高效合作、双方工作人员廉洁从业，经双方共同协商，就业务往来中的廉洁事宜达成一致意见，签订如下协议：</w:t>
      </w:r>
    </w:p>
    <w:p w14:paraId="14D5ABC4">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第一条 双方的责任</w:t>
      </w:r>
    </w:p>
    <w:p w14:paraId="06255C6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（一）严格遵守党和国家有关法律法规及</w:t>
      </w:r>
      <w:r>
        <w:rPr>
          <w:rFonts w:hint="eastAsia" w:ascii="仿宋_GB2312" w:hAnsi="仿宋_GB2312" w:eastAsia="仿宋_GB2312" w:cs="仿宋_GB2312"/>
          <w:sz w:val="24"/>
          <w:szCs w:val="24"/>
          <w:highlight w:val="none"/>
          <w:lang w:val="en-US" w:eastAsia="zh-CN"/>
        </w:rPr>
        <w:t>环翠园林</w:t>
      </w:r>
      <w:r>
        <w:rPr>
          <w:rFonts w:hint="eastAsia" w:ascii="仿宋_GB2312" w:hAnsi="仿宋_GB2312" w:eastAsia="仿宋_GB2312" w:cs="仿宋_GB2312"/>
          <w:sz w:val="24"/>
          <w:szCs w:val="24"/>
          <w:highlight w:val="none"/>
        </w:rPr>
        <w:t>公司有关廉洁从业的制度规定。</w:t>
      </w:r>
    </w:p>
    <w:p w14:paraId="7EF03A0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（二）双方本着公开、公平、诚信的原则，自觉</w:t>
      </w:r>
      <w:r>
        <w:rPr>
          <w:rFonts w:hint="eastAsia" w:ascii="仿宋_GB2312" w:hAnsi="仿宋_GB2312" w:eastAsia="仿宋_GB2312" w:cs="仿宋_GB2312"/>
          <w:sz w:val="24"/>
          <w:szCs w:val="24"/>
          <w:highlight w:val="none"/>
          <w:lang w:val="en-US" w:eastAsia="zh-CN"/>
        </w:rPr>
        <w:t>遵守协议约定</w:t>
      </w:r>
      <w:r>
        <w:rPr>
          <w:rFonts w:hint="eastAsia" w:ascii="仿宋_GB2312" w:hAnsi="仿宋_GB2312" w:eastAsia="仿宋_GB2312" w:cs="仿宋_GB2312"/>
          <w:sz w:val="24"/>
          <w:szCs w:val="24"/>
          <w:highlight w:val="none"/>
        </w:rPr>
        <w:t>，不得损害国家、集体利益以及个人合法权益。</w:t>
      </w:r>
    </w:p>
    <w:p w14:paraId="1757BE1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（三）双方要加强互相监督，对违反协议行为及时提醒并予以纠正，发现违法违纪行为及时</w:t>
      </w:r>
      <w:r>
        <w:rPr>
          <w:rFonts w:hint="eastAsia" w:ascii="仿宋_GB2312" w:hAnsi="仿宋_GB2312" w:eastAsia="仿宋_GB2312" w:cs="仿宋_GB2312"/>
          <w:sz w:val="24"/>
          <w:szCs w:val="24"/>
          <w:highlight w:val="none"/>
          <w:lang w:val="en-US" w:eastAsia="zh-CN"/>
        </w:rPr>
        <w:t>告知</w:t>
      </w:r>
      <w:r>
        <w:rPr>
          <w:rFonts w:hint="eastAsia" w:ascii="仿宋_GB2312" w:hAnsi="仿宋_GB2312" w:eastAsia="仿宋_GB2312" w:cs="仿宋_GB2312"/>
          <w:sz w:val="24"/>
          <w:szCs w:val="24"/>
          <w:highlight w:val="none"/>
        </w:rPr>
        <w:t>区城投公司纪检监察机构（</w:t>
      </w:r>
      <w:r>
        <w:rPr>
          <w:rFonts w:hint="eastAsia" w:ascii="仿宋_GB2312" w:hAnsi="仿宋_GB2312" w:eastAsia="仿宋_GB2312" w:cs="仿宋_GB2312"/>
          <w:sz w:val="24"/>
          <w:szCs w:val="24"/>
          <w:highlight w:val="none"/>
          <w:lang w:val="en-US" w:eastAsia="zh-CN"/>
        </w:rPr>
        <w:t>详见第四条</w:t>
      </w:r>
      <w:r>
        <w:rPr>
          <w:rFonts w:hint="eastAsia" w:ascii="仿宋_GB2312" w:hAnsi="仿宋_GB2312" w:eastAsia="仿宋_GB2312" w:cs="仿宋_GB2312"/>
          <w:sz w:val="24"/>
          <w:szCs w:val="24"/>
          <w:highlight w:val="none"/>
        </w:rPr>
        <w:t>）。</w:t>
      </w:r>
    </w:p>
    <w:p w14:paraId="666FCCA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（四）对违反《廉洁合作协议》约定的行为，</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按照有关规定给予本公司相关责任人党纪、政纪处分，涉嫌犯罪的，移交司法机关追究刑事责任；合作单位人员存在</w:t>
      </w:r>
      <w:r>
        <w:rPr>
          <w:rFonts w:hint="eastAsia" w:ascii="仿宋_GB2312" w:hAnsi="仿宋_GB2312" w:eastAsia="仿宋_GB2312" w:cs="仿宋_GB2312"/>
          <w:sz w:val="24"/>
          <w:szCs w:val="24"/>
          <w:highlight w:val="none"/>
          <w:lang w:val="en-US" w:eastAsia="zh-CN"/>
        </w:rPr>
        <w:t>违反职业操守</w:t>
      </w:r>
      <w:r>
        <w:rPr>
          <w:rFonts w:hint="eastAsia" w:ascii="仿宋_GB2312" w:hAnsi="仿宋_GB2312" w:eastAsia="仿宋_GB2312" w:cs="仿宋_GB2312"/>
          <w:sz w:val="24"/>
          <w:szCs w:val="24"/>
          <w:highlight w:val="none"/>
        </w:rPr>
        <w:t>行为的，</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有权利要求合作单位对</w:t>
      </w:r>
      <w:r>
        <w:rPr>
          <w:rFonts w:hint="eastAsia" w:ascii="仿宋_GB2312" w:hAnsi="仿宋_GB2312" w:eastAsia="仿宋_GB2312" w:cs="仿宋_GB2312"/>
          <w:sz w:val="24"/>
          <w:szCs w:val="24"/>
          <w:highlight w:val="none"/>
          <w:lang w:val="en-US" w:eastAsia="zh-CN"/>
        </w:rPr>
        <w:t>其</w:t>
      </w:r>
      <w:r>
        <w:rPr>
          <w:rFonts w:hint="eastAsia" w:ascii="仿宋_GB2312" w:hAnsi="仿宋_GB2312" w:eastAsia="仿宋_GB2312" w:cs="仿宋_GB2312"/>
          <w:sz w:val="24"/>
          <w:szCs w:val="24"/>
          <w:highlight w:val="none"/>
        </w:rPr>
        <w:t>人员进行查处，并保留终止相关合同、将合作单位列入合作伙伴黑名单的权利。</w:t>
      </w:r>
    </w:p>
    <w:p w14:paraId="377E739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的《廉洁合作协议》管理人员或</w:t>
      </w:r>
      <w:r>
        <w:rPr>
          <w:rFonts w:hint="eastAsia" w:ascii="仿宋_GB2312" w:hAnsi="仿宋_GB2312" w:eastAsia="仿宋_GB2312" w:cs="仿宋_GB2312"/>
          <w:sz w:val="24"/>
          <w:szCs w:val="24"/>
          <w:highlight w:val="none"/>
          <w:lang w:val="en-US" w:eastAsia="zh-CN"/>
        </w:rPr>
        <w:t>区城投公司</w:t>
      </w:r>
      <w:r>
        <w:rPr>
          <w:rFonts w:hint="eastAsia" w:ascii="仿宋_GB2312" w:hAnsi="仿宋_GB2312" w:eastAsia="仿宋_GB2312" w:cs="仿宋_GB2312"/>
          <w:sz w:val="24"/>
          <w:szCs w:val="24"/>
          <w:highlight w:val="none"/>
        </w:rPr>
        <w:t>纪检监察人员在对合同执行情况进行检查或抽查时，合作单位</w:t>
      </w:r>
      <w:r>
        <w:rPr>
          <w:rFonts w:hint="eastAsia" w:ascii="仿宋_GB2312" w:hAnsi="仿宋_GB2312" w:eastAsia="仿宋_GB2312" w:cs="仿宋_GB2312"/>
          <w:sz w:val="24"/>
          <w:szCs w:val="24"/>
          <w:highlight w:val="none"/>
          <w:lang w:val="en-US" w:eastAsia="zh-CN"/>
        </w:rPr>
        <w:t>应</w:t>
      </w:r>
      <w:r>
        <w:rPr>
          <w:rFonts w:hint="eastAsia" w:ascii="仿宋_GB2312" w:hAnsi="仿宋_GB2312" w:eastAsia="仿宋_GB2312" w:cs="仿宋_GB2312"/>
          <w:sz w:val="24"/>
          <w:szCs w:val="24"/>
          <w:highlight w:val="none"/>
        </w:rPr>
        <w:t>给予配合。双方人员存在弄虚作假、玩忽职守、包庇纵容等行为的，双方单位均应对责任人进行</w:t>
      </w:r>
      <w:r>
        <w:rPr>
          <w:rFonts w:hint="eastAsia" w:ascii="仿宋_GB2312" w:hAnsi="仿宋_GB2312" w:eastAsia="仿宋_GB2312" w:cs="仿宋_GB2312"/>
          <w:sz w:val="24"/>
          <w:szCs w:val="24"/>
          <w:highlight w:val="none"/>
          <w:lang w:val="en-US" w:eastAsia="zh-CN"/>
        </w:rPr>
        <w:t>处置</w:t>
      </w:r>
      <w:r>
        <w:rPr>
          <w:rFonts w:hint="eastAsia" w:ascii="仿宋_GB2312" w:hAnsi="仿宋_GB2312" w:eastAsia="仿宋_GB2312" w:cs="仿宋_GB2312"/>
          <w:sz w:val="24"/>
          <w:szCs w:val="24"/>
          <w:highlight w:val="none"/>
        </w:rPr>
        <w:t>。</w:t>
      </w:r>
    </w:p>
    <w:p w14:paraId="52432CB2">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 xml:space="preserve">第二条 </w:t>
      </w:r>
      <w:r>
        <w:rPr>
          <w:rFonts w:hint="eastAsia" w:ascii="仿宋_GB2312" w:hAnsi="仿宋_GB2312" w:eastAsia="仿宋_GB2312" w:cs="仿宋_GB2312"/>
          <w:b/>
          <w:bCs/>
          <w:sz w:val="24"/>
          <w:szCs w:val="24"/>
          <w:highlight w:val="none"/>
          <w:lang w:val="en-US" w:eastAsia="zh-CN"/>
        </w:rPr>
        <w:t>环翠园林公司</w:t>
      </w:r>
      <w:r>
        <w:rPr>
          <w:rFonts w:hint="eastAsia" w:ascii="仿宋_GB2312" w:hAnsi="仿宋_GB2312" w:eastAsia="仿宋_GB2312" w:cs="仿宋_GB2312"/>
          <w:b/>
          <w:bCs/>
          <w:sz w:val="24"/>
          <w:szCs w:val="24"/>
          <w:highlight w:val="none"/>
        </w:rPr>
        <w:t>义务</w:t>
      </w:r>
    </w:p>
    <w:p w14:paraId="6BD6126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在业务委托过程中，应做到公平、公正、公开，禁止暗箱操作</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不得泄露应当保密的项目信息。</w:t>
      </w:r>
    </w:p>
    <w:p w14:paraId="260DB68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w:t>
      </w:r>
      <w:r>
        <w:rPr>
          <w:rFonts w:hint="eastAsia" w:ascii="仿宋_GB2312" w:hAnsi="仿宋_GB2312" w:eastAsia="仿宋_GB2312" w:cs="仿宋_GB2312"/>
          <w:sz w:val="24"/>
          <w:szCs w:val="24"/>
          <w:highlight w:val="none"/>
          <w:lang w:val="en-US" w:eastAsia="zh-CN"/>
        </w:rPr>
        <w:t>得</w:t>
      </w:r>
      <w:r>
        <w:rPr>
          <w:rFonts w:hint="eastAsia" w:ascii="仿宋_GB2312" w:hAnsi="仿宋_GB2312" w:eastAsia="仿宋_GB2312" w:cs="仿宋_GB2312"/>
          <w:sz w:val="24"/>
          <w:szCs w:val="24"/>
          <w:highlight w:val="none"/>
        </w:rPr>
        <w:t>要求对方报销应由本人支付的费用等；不得吃拿卡要或变相吃拿卡要。</w:t>
      </w:r>
    </w:p>
    <w:p w14:paraId="09DBC83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人员若违反《廉洁合作协议》约定，按照有关规定给予党纪政务处分；涉嫌犯罪的，按照有关程序移送司法机关处理。</w:t>
      </w:r>
    </w:p>
    <w:p w14:paraId="7829BAE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人员不得为合作单位</w:t>
      </w:r>
      <w:r>
        <w:rPr>
          <w:rFonts w:hint="eastAsia" w:ascii="仿宋_GB2312" w:hAnsi="仿宋_GB2312" w:eastAsia="仿宋_GB2312" w:cs="仿宋_GB2312"/>
          <w:sz w:val="24"/>
          <w:szCs w:val="24"/>
          <w:highlight w:val="none"/>
          <w:lang w:val="en-US" w:eastAsia="zh-CN"/>
        </w:rPr>
        <w:t>超合同约定比例结算款项</w:t>
      </w:r>
      <w:r>
        <w:rPr>
          <w:rFonts w:hint="eastAsia" w:ascii="仿宋_GB2312" w:hAnsi="仿宋_GB2312" w:eastAsia="仿宋_GB2312" w:cs="仿宋_GB2312"/>
          <w:sz w:val="24"/>
          <w:szCs w:val="24"/>
          <w:highlight w:val="none"/>
        </w:rPr>
        <w:t>、多计量、多签证或故意降低验收标准，并从中谋取私利。</w:t>
      </w:r>
    </w:p>
    <w:p w14:paraId="4D74081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人员不得利用计量、结算、支付等职务权利，故意刁难合作单位以谋取私利。</w:t>
      </w:r>
    </w:p>
    <w:p w14:paraId="0146BB8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（六）</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人员发现合作单位人员行贿以及其他违反《廉洁合作协议》的行为，有义务向区城投公司纪检监察机构或其他相关部门举报。</w:t>
      </w:r>
    </w:p>
    <w:p w14:paraId="6B451B0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（七）对合作单位所属机构和人员存在违反 《廉洁合作协议》约定的行为，</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应收集汇总有关违规证据，</w:t>
      </w:r>
      <w:r>
        <w:rPr>
          <w:rFonts w:hint="eastAsia" w:ascii="仿宋_GB2312" w:hAnsi="仿宋_GB2312" w:eastAsia="仿宋_GB2312" w:cs="仿宋_GB2312"/>
          <w:sz w:val="24"/>
          <w:szCs w:val="24"/>
          <w:highlight w:val="none"/>
          <w:lang w:val="en-US" w:eastAsia="zh-CN"/>
        </w:rPr>
        <w:t>配合合作单位调查处置</w:t>
      </w:r>
      <w:r>
        <w:rPr>
          <w:rFonts w:hint="eastAsia" w:ascii="仿宋_GB2312" w:hAnsi="仿宋_GB2312" w:eastAsia="仿宋_GB2312" w:cs="仿宋_GB2312"/>
          <w:sz w:val="24"/>
          <w:szCs w:val="24"/>
          <w:highlight w:val="none"/>
        </w:rPr>
        <w:t>。</w:t>
      </w:r>
    </w:p>
    <w:p w14:paraId="6F518E2C">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第三条 合作单位义务</w:t>
      </w:r>
    </w:p>
    <w:p w14:paraId="16E6541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（一）合作单位不得有围标、串标、泄露双方机密，排挤其他经营者的公平竞争，在预决算、招投标和商务报价中弄虚作假、恶意高估冒算或故意以低价扰乱招投标等违反商业道德、扰乱正常竞争秩序等行为。</w:t>
      </w:r>
    </w:p>
    <w:p w14:paraId="6CBA782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（二）合作单位人员不得为获取合作利益</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人员送礼、行贿，不得有向</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人员提供宴请和娱乐活动及其他有违反法律法规和廉洁从业规定、影响公平交易的行为。</w:t>
      </w:r>
    </w:p>
    <w:p w14:paraId="286BA66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（三）合作单位应对其所属机构和人员严格执行《廉洁合作协议》提出明确的要求，并加强监督和管理。</w:t>
      </w:r>
    </w:p>
    <w:p w14:paraId="36EB5A9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（四）合作单位应积极配合区城投公司纪检监察机构开展各项检查、核实工作</w:t>
      </w:r>
      <w:r>
        <w:rPr>
          <w:rFonts w:hint="eastAsia" w:ascii="仿宋_GB2312" w:hAnsi="仿宋_GB2312" w:eastAsia="仿宋_GB2312" w:cs="仿宋_GB2312"/>
          <w:sz w:val="24"/>
          <w:szCs w:val="24"/>
          <w:highlight w:val="none"/>
          <w:lang w:eastAsia="zh-CN"/>
        </w:rPr>
        <w:t>。</w:t>
      </w:r>
    </w:p>
    <w:p w14:paraId="2606F4F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（五）合作单位发现</w:t>
      </w:r>
      <w:r>
        <w:rPr>
          <w:rFonts w:hint="eastAsia" w:ascii="仿宋_GB2312" w:hAnsi="仿宋_GB2312" w:eastAsia="仿宋_GB2312" w:cs="仿宋_GB2312"/>
          <w:sz w:val="24"/>
          <w:szCs w:val="24"/>
          <w:highlight w:val="none"/>
          <w:lang w:val="en-US" w:eastAsia="zh-CN"/>
        </w:rPr>
        <w:t>环翠园林公司</w:t>
      </w:r>
      <w:r>
        <w:rPr>
          <w:rFonts w:hint="eastAsia" w:ascii="仿宋_GB2312" w:hAnsi="仿宋_GB2312" w:eastAsia="仿宋_GB2312" w:cs="仿宋_GB2312"/>
          <w:sz w:val="24"/>
          <w:szCs w:val="24"/>
          <w:highlight w:val="none"/>
        </w:rPr>
        <w:t>人员有索贿行为、受贿行为及其他不廉洁行为时，应向区城投公司纪检监察机构或其他相关部门举报，并有义务提供</w:t>
      </w:r>
      <w:r>
        <w:rPr>
          <w:rFonts w:hint="eastAsia" w:ascii="仿宋_GB2312" w:hAnsi="仿宋_GB2312" w:eastAsia="仿宋_GB2312" w:cs="仿宋_GB2312"/>
          <w:sz w:val="24"/>
          <w:szCs w:val="24"/>
          <w:highlight w:val="none"/>
          <w:lang w:val="en-US" w:eastAsia="zh-CN"/>
        </w:rPr>
        <w:t>相</w:t>
      </w:r>
      <w:r>
        <w:rPr>
          <w:rFonts w:hint="eastAsia" w:ascii="仿宋_GB2312" w:hAnsi="仿宋_GB2312" w:eastAsia="仿宋_GB2312" w:cs="仿宋_GB2312"/>
          <w:sz w:val="24"/>
          <w:szCs w:val="24"/>
          <w:highlight w:val="none"/>
        </w:rPr>
        <w:t>关证据。</w:t>
      </w:r>
    </w:p>
    <w:p w14:paraId="3B4F9BE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第四条</w:t>
      </w:r>
      <w:r>
        <w:rPr>
          <w:rFonts w:hint="eastAsia" w:ascii="仿宋_GB2312" w:hAnsi="仿宋_GB2312" w:eastAsia="仿宋_GB2312" w:cs="仿宋_GB2312"/>
          <w:b/>
          <w:bCs/>
          <w:sz w:val="24"/>
          <w:szCs w:val="24"/>
          <w:highlight w:val="none"/>
          <w:lang w:val="en-US" w:eastAsia="zh-CN"/>
        </w:rPr>
        <w:t xml:space="preserve"> </w:t>
      </w:r>
      <w:r>
        <w:rPr>
          <w:rFonts w:hint="eastAsia" w:ascii="仿宋_GB2312" w:hAnsi="仿宋_GB2312" w:eastAsia="仿宋_GB2312" w:cs="仿宋_GB2312"/>
          <w:sz w:val="24"/>
          <w:szCs w:val="24"/>
          <w:highlight w:val="none"/>
        </w:rPr>
        <w:t>区城投公司纪检监察机构受理举报电话：</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 xml:space="preserve">0631-5239953  </w:t>
      </w:r>
      <w:r>
        <w:rPr>
          <w:rFonts w:hint="eastAsia" w:ascii="仿宋_GB2312" w:hAnsi="仿宋_GB2312" w:eastAsia="仿宋_GB2312" w:cs="仿宋_GB2312"/>
          <w:sz w:val="24"/>
          <w:szCs w:val="24"/>
          <w:highlight w:val="none"/>
          <w:u w:val="none"/>
        </w:rPr>
        <w:t>。</w:t>
      </w:r>
    </w:p>
    <w:p w14:paraId="603CA0D0">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第五条</w:t>
      </w:r>
      <w:r>
        <w:rPr>
          <w:rFonts w:hint="eastAsia" w:ascii="仿宋_GB2312" w:hAnsi="仿宋_GB2312" w:eastAsia="仿宋_GB2312" w:cs="仿宋_GB2312"/>
          <w:b/>
          <w:bCs/>
          <w:sz w:val="24"/>
          <w:szCs w:val="24"/>
          <w:highlight w:val="none"/>
          <w:lang w:val="en-US" w:eastAsia="zh-CN"/>
        </w:rPr>
        <w:t xml:space="preserve"> </w:t>
      </w:r>
      <w:r>
        <w:rPr>
          <w:rFonts w:hint="eastAsia" w:ascii="仿宋_GB2312" w:hAnsi="仿宋_GB2312" w:eastAsia="仿宋_GB2312" w:cs="仿宋_GB2312"/>
          <w:sz w:val="24"/>
          <w:szCs w:val="24"/>
          <w:highlight w:val="none"/>
        </w:rPr>
        <w:t>本协议双方签字盖章后生效，有效期与</w:t>
      </w:r>
      <w:r>
        <w:rPr>
          <w:rFonts w:hint="eastAsia" w:ascii="仿宋_GB2312" w:hAnsi="仿宋_GB2312" w:eastAsia="仿宋_GB2312" w:cs="仿宋_GB2312"/>
          <w:sz w:val="24"/>
          <w:szCs w:val="24"/>
          <w:highlight w:val="none"/>
          <w:lang w:val="en-US" w:eastAsia="zh-CN"/>
        </w:rPr>
        <w:t>主</w:t>
      </w:r>
      <w:r>
        <w:rPr>
          <w:rFonts w:hint="eastAsia" w:ascii="仿宋_GB2312" w:hAnsi="仿宋_GB2312" w:eastAsia="仿宋_GB2312" w:cs="仿宋_GB2312"/>
          <w:sz w:val="24"/>
          <w:szCs w:val="24"/>
          <w:highlight w:val="none"/>
        </w:rPr>
        <w:t>合同一致。</w:t>
      </w:r>
    </w:p>
    <w:p w14:paraId="423B1890">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第六条</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本协议一式两份，双方各执一份。</w:t>
      </w:r>
    </w:p>
    <w:p w14:paraId="69517F5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24"/>
          <w:szCs w:val="24"/>
          <w:highlight w:val="none"/>
        </w:rPr>
      </w:pPr>
    </w:p>
    <w:p w14:paraId="066DEA8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威海市环翠</w:t>
      </w:r>
      <w:r>
        <w:rPr>
          <w:rFonts w:hint="eastAsia" w:ascii="仿宋_GB2312" w:hAnsi="仿宋_GB2312" w:eastAsia="仿宋_GB2312" w:cs="仿宋_GB2312"/>
          <w:sz w:val="24"/>
          <w:szCs w:val="24"/>
          <w:highlight w:val="none"/>
          <w:lang w:val="en-US" w:eastAsia="zh-CN"/>
        </w:rPr>
        <w:t>园林工程</w:t>
      </w:r>
      <w:r>
        <w:rPr>
          <w:rFonts w:hint="eastAsia" w:ascii="仿宋_GB2312" w:hAnsi="仿宋_GB2312" w:eastAsia="仿宋_GB2312" w:cs="仿宋_GB2312"/>
          <w:sz w:val="24"/>
          <w:szCs w:val="24"/>
          <w:highlight w:val="none"/>
        </w:rPr>
        <w:t>有限公司（公章）</w:t>
      </w:r>
      <w:r>
        <w:rPr>
          <w:rFonts w:hint="eastAsia" w:ascii="仿宋_GB2312" w:hAnsi="仿宋_GB2312" w:eastAsia="仿宋_GB2312" w:cs="仿宋_GB2312"/>
          <w:sz w:val="24"/>
          <w:szCs w:val="24"/>
          <w:highlight w:val="none"/>
          <w:lang w:val="en-US" w:eastAsia="zh-CN"/>
        </w:rPr>
        <w:t xml:space="preserve">         （公章）</w:t>
      </w:r>
    </w:p>
    <w:p w14:paraId="38E36FE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24"/>
          <w:szCs w:val="24"/>
          <w:highlight w:val="none"/>
        </w:rPr>
      </w:pPr>
    </w:p>
    <w:p w14:paraId="1A2127B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负责人或授权人：（签字）</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合作单位负责人：（签字）</w:t>
      </w:r>
    </w:p>
    <w:p w14:paraId="3B9607F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月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日</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日</w:t>
      </w:r>
    </w:p>
    <w:p w14:paraId="633B7CAF">
      <w:pPr>
        <w:spacing w:line="600" w:lineRule="exact"/>
        <w:ind w:firstLine="480" w:firstLineChars="200"/>
        <w:rPr>
          <w:rFonts w:hint="eastAsia" w:ascii="仿宋_GB2312" w:hAnsi="仿宋_GB2312" w:eastAsia="仿宋_GB2312" w:cs="仿宋_GB2312"/>
          <w:sz w:val="24"/>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BF2A0">
    <w:pPr>
      <w:pStyle w:val="2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BD019">
    <w:pPr>
      <w:pStyle w:val="29"/>
      <w:framePr w:wrap="around" w:vAnchor="text" w:hAnchor="margin" w:xAlign="center" w:y="1"/>
      <w:rPr>
        <w:rStyle w:val="47"/>
      </w:rPr>
    </w:pPr>
    <w:r>
      <w:fldChar w:fldCharType="begin"/>
    </w:r>
    <w:r>
      <w:rPr>
        <w:rStyle w:val="47"/>
      </w:rPr>
      <w:instrText xml:space="preserve">PAGE  </w:instrText>
    </w:r>
    <w:r>
      <w:fldChar w:fldCharType="separate"/>
    </w:r>
    <w:r>
      <w:rPr>
        <w:rStyle w:val="47"/>
      </w:rPr>
      <w:t>63</w:t>
    </w:r>
    <w:r>
      <w:fldChar w:fldCharType="end"/>
    </w:r>
  </w:p>
  <w:p w14:paraId="66EECCA1">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C0DF">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1228">
    <w:pPr>
      <w:jc w:val="center"/>
    </w:pPr>
    <w:r>
      <w:fldChar w:fldCharType="begin"/>
    </w:r>
    <w:r>
      <w:instrText xml:space="preserve"> PAGE   \* MERGEFORMAT </w:instrText>
    </w:r>
    <w:r>
      <w:fldChar w:fldCharType="separate"/>
    </w:r>
    <w:r>
      <w:t>29</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C3392">
    <w:pPr>
      <w:pStyle w:val="29"/>
      <w:ind w:right="360" w:firstLine="360"/>
    </w:pPr>
    <w:r>
      <w:pict>
        <v:shape id="文本框 2079"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8HkWnLAQAAnQMAAA4AAAAAAAAAAQAgAAAAHgEAAGRycy9lMm9E&#10;b2MueG1sUEsFBgAAAAAGAAYAWQEAAFsFAAAAAA==&#10;">
          <v:path/>
          <v:fill on="f" focussize="0,0"/>
          <v:stroke on="f" joinstyle="miter"/>
          <v:imagedata o:title=""/>
          <o:lock v:ext="edit"/>
          <v:textbox inset="0mm,0mm,0mm,0mm" style="mso-fit-shape-to-text:t;">
            <w:txbxContent>
              <w:p w14:paraId="166F833C">
                <w:pPr>
                  <w:pStyle w:val="29"/>
                </w:pPr>
                <w:r>
                  <w:fldChar w:fldCharType="begin"/>
                </w:r>
                <w:r>
                  <w:instrText xml:space="preserve"> PAGE  \* MERGEFORMAT </w:instrText>
                </w:r>
                <w:r>
                  <w:fldChar w:fldCharType="separate"/>
                </w:r>
                <w:r>
                  <w:t>56</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FB2B3">
    <w:pPr>
      <w:pStyle w:val="30"/>
      <w:pBdr>
        <w:bottom w:val="single" w:color="auto" w:sz="4" w:space="0"/>
      </w:pBdr>
      <w:jc w:val="right"/>
      <w:rPr>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348A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A7638"/>
  <w:p w14:paraId="3323FA33">
    <w:pPr>
      <w:pStyle w:val="30"/>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7C8371"/>
    <w:multiLevelType w:val="singleLevel"/>
    <w:tmpl w:val="4A7C8371"/>
    <w:lvl w:ilvl="0" w:tentative="0">
      <w:start w:val="5"/>
      <w:numFmt w:val="chineseCounting"/>
      <w:suff w:val="nothing"/>
      <w:lvlText w:val="%1、"/>
      <w:lvlJc w:val="left"/>
      <w:rPr>
        <w:rFonts w:hint="eastAsia"/>
      </w:rPr>
    </w:lvl>
  </w:abstractNum>
  <w:abstractNum w:abstractNumId="1">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c2YTg4ZGZlZTM2OTdiODQ1MzU2MTY0YTVkZTY4YmYifQ=="/>
  </w:docVars>
  <w:rsids>
    <w:rsidRoot w:val="008F3DF1"/>
    <w:rsid w:val="00001097"/>
    <w:rsid w:val="00001EEB"/>
    <w:rsid w:val="00004569"/>
    <w:rsid w:val="00005498"/>
    <w:rsid w:val="00006D10"/>
    <w:rsid w:val="000117EA"/>
    <w:rsid w:val="00022305"/>
    <w:rsid w:val="000272B4"/>
    <w:rsid w:val="000277D5"/>
    <w:rsid w:val="0003051D"/>
    <w:rsid w:val="00030827"/>
    <w:rsid w:val="0003305A"/>
    <w:rsid w:val="000373A0"/>
    <w:rsid w:val="00043684"/>
    <w:rsid w:val="00044EEB"/>
    <w:rsid w:val="00047054"/>
    <w:rsid w:val="00047A50"/>
    <w:rsid w:val="00050922"/>
    <w:rsid w:val="00051702"/>
    <w:rsid w:val="00055043"/>
    <w:rsid w:val="00056B75"/>
    <w:rsid w:val="000606AA"/>
    <w:rsid w:val="00065FB3"/>
    <w:rsid w:val="00067A3D"/>
    <w:rsid w:val="000704BE"/>
    <w:rsid w:val="00081F64"/>
    <w:rsid w:val="00082F2A"/>
    <w:rsid w:val="00083027"/>
    <w:rsid w:val="000942AF"/>
    <w:rsid w:val="000964DA"/>
    <w:rsid w:val="000A214E"/>
    <w:rsid w:val="000A2F7C"/>
    <w:rsid w:val="000A6A61"/>
    <w:rsid w:val="000B1253"/>
    <w:rsid w:val="000B132A"/>
    <w:rsid w:val="000B1F3B"/>
    <w:rsid w:val="000B3C6F"/>
    <w:rsid w:val="000C0D3A"/>
    <w:rsid w:val="000D1532"/>
    <w:rsid w:val="000E389B"/>
    <w:rsid w:val="00107EA2"/>
    <w:rsid w:val="00110B6E"/>
    <w:rsid w:val="00127DE4"/>
    <w:rsid w:val="0013384F"/>
    <w:rsid w:val="001362B1"/>
    <w:rsid w:val="0014461E"/>
    <w:rsid w:val="00145E92"/>
    <w:rsid w:val="001468AC"/>
    <w:rsid w:val="00150C4A"/>
    <w:rsid w:val="0015451E"/>
    <w:rsid w:val="00155C06"/>
    <w:rsid w:val="0015679B"/>
    <w:rsid w:val="00161970"/>
    <w:rsid w:val="00163DC6"/>
    <w:rsid w:val="00167551"/>
    <w:rsid w:val="001733A2"/>
    <w:rsid w:val="00173E84"/>
    <w:rsid w:val="00177698"/>
    <w:rsid w:val="00182031"/>
    <w:rsid w:val="00192F9A"/>
    <w:rsid w:val="001932FB"/>
    <w:rsid w:val="00194CBF"/>
    <w:rsid w:val="001B6EB6"/>
    <w:rsid w:val="001C028C"/>
    <w:rsid w:val="001C1933"/>
    <w:rsid w:val="001C5C87"/>
    <w:rsid w:val="001D6A49"/>
    <w:rsid w:val="001E0006"/>
    <w:rsid w:val="001E1C07"/>
    <w:rsid w:val="001E3E5D"/>
    <w:rsid w:val="001E4407"/>
    <w:rsid w:val="001E7459"/>
    <w:rsid w:val="001F17F0"/>
    <w:rsid w:val="001F2DC2"/>
    <w:rsid w:val="001F3AEC"/>
    <w:rsid w:val="001F7B40"/>
    <w:rsid w:val="00211BDC"/>
    <w:rsid w:val="00230593"/>
    <w:rsid w:val="0024454D"/>
    <w:rsid w:val="00251A84"/>
    <w:rsid w:val="002534D2"/>
    <w:rsid w:val="002569A0"/>
    <w:rsid w:val="00260399"/>
    <w:rsid w:val="00260C29"/>
    <w:rsid w:val="00265571"/>
    <w:rsid w:val="002752D8"/>
    <w:rsid w:val="002753AA"/>
    <w:rsid w:val="00277BB4"/>
    <w:rsid w:val="002842BA"/>
    <w:rsid w:val="00284F7E"/>
    <w:rsid w:val="002853E1"/>
    <w:rsid w:val="00285CC0"/>
    <w:rsid w:val="00286BC9"/>
    <w:rsid w:val="00287530"/>
    <w:rsid w:val="00294959"/>
    <w:rsid w:val="002A1F22"/>
    <w:rsid w:val="002A5A31"/>
    <w:rsid w:val="002C29EE"/>
    <w:rsid w:val="002C312A"/>
    <w:rsid w:val="002C55BB"/>
    <w:rsid w:val="002D777A"/>
    <w:rsid w:val="002E0D8C"/>
    <w:rsid w:val="002E32BC"/>
    <w:rsid w:val="002E7C2F"/>
    <w:rsid w:val="00300433"/>
    <w:rsid w:val="00301D0D"/>
    <w:rsid w:val="003024DF"/>
    <w:rsid w:val="00306940"/>
    <w:rsid w:val="00310A46"/>
    <w:rsid w:val="00311618"/>
    <w:rsid w:val="00312D2B"/>
    <w:rsid w:val="0031477B"/>
    <w:rsid w:val="00314DFE"/>
    <w:rsid w:val="00327676"/>
    <w:rsid w:val="00330228"/>
    <w:rsid w:val="00330847"/>
    <w:rsid w:val="00332D58"/>
    <w:rsid w:val="0034436D"/>
    <w:rsid w:val="00352CF0"/>
    <w:rsid w:val="00352DAD"/>
    <w:rsid w:val="00354EE7"/>
    <w:rsid w:val="0036017F"/>
    <w:rsid w:val="00362F3B"/>
    <w:rsid w:val="00363D2C"/>
    <w:rsid w:val="0036644D"/>
    <w:rsid w:val="00373CC1"/>
    <w:rsid w:val="00375C4E"/>
    <w:rsid w:val="00376188"/>
    <w:rsid w:val="0038349C"/>
    <w:rsid w:val="00383BB6"/>
    <w:rsid w:val="0039198D"/>
    <w:rsid w:val="00393BC5"/>
    <w:rsid w:val="00394F4B"/>
    <w:rsid w:val="003A1493"/>
    <w:rsid w:val="003A3EC6"/>
    <w:rsid w:val="003A3FE6"/>
    <w:rsid w:val="003A7992"/>
    <w:rsid w:val="003B1643"/>
    <w:rsid w:val="003B1696"/>
    <w:rsid w:val="003B19EC"/>
    <w:rsid w:val="003B2C33"/>
    <w:rsid w:val="003B4FE6"/>
    <w:rsid w:val="003C31AF"/>
    <w:rsid w:val="003C786A"/>
    <w:rsid w:val="003D46FB"/>
    <w:rsid w:val="003E4A5E"/>
    <w:rsid w:val="003E4E43"/>
    <w:rsid w:val="003F5A2E"/>
    <w:rsid w:val="003F6736"/>
    <w:rsid w:val="004110FA"/>
    <w:rsid w:val="00414EA6"/>
    <w:rsid w:val="00415AF4"/>
    <w:rsid w:val="00417BE6"/>
    <w:rsid w:val="004209CE"/>
    <w:rsid w:val="00426399"/>
    <w:rsid w:val="00427656"/>
    <w:rsid w:val="00430E75"/>
    <w:rsid w:val="00440A56"/>
    <w:rsid w:val="00444CC2"/>
    <w:rsid w:val="00450CE7"/>
    <w:rsid w:val="0045361C"/>
    <w:rsid w:val="00457574"/>
    <w:rsid w:val="00460E90"/>
    <w:rsid w:val="0048129C"/>
    <w:rsid w:val="00484781"/>
    <w:rsid w:val="00487305"/>
    <w:rsid w:val="004A2B83"/>
    <w:rsid w:val="004A3BDA"/>
    <w:rsid w:val="004B652B"/>
    <w:rsid w:val="004B6CDB"/>
    <w:rsid w:val="004C1ECF"/>
    <w:rsid w:val="004C1F62"/>
    <w:rsid w:val="004C4C92"/>
    <w:rsid w:val="004D63A2"/>
    <w:rsid w:val="004E1B87"/>
    <w:rsid w:val="004E4AB5"/>
    <w:rsid w:val="004F2786"/>
    <w:rsid w:val="004F762C"/>
    <w:rsid w:val="00505A2E"/>
    <w:rsid w:val="00507C57"/>
    <w:rsid w:val="00511CE6"/>
    <w:rsid w:val="00514BCC"/>
    <w:rsid w:val="00516B33"/>
    <w:rsid w:val="00520CB3"/>
    <w:rsid w:val="0052117E"/>
    <w:rsid w:val="00524172"/>
    <w:rsid w:val="0053199F"/>
    <w:rsid w:val="005415C3"/>
    <w:rsid w:val="005460DD"/>
    <w:rsid w:val="00546386"/>
    <w:rsid w:val="00552AE5"/>
    <w:rsid w:val="00553506"/>
    <w:rsid w:val="0055409C"/>
    <w:rsid w:val="005554F6"/>
    <w:rsid w:val="00560643"/>
    <w:rsid w:val="00562B47"/>
    <w:rsid w:val="00563750"/>
    <w:rsid w:val="00564C14"/>
    <w:rsid w:val="0058558C"/>
    <w:rsid w:val="00592B3A"/>
    <w:rsid w:val="005A054B"/>
    <w:rsid w:val="005A784E"/>
    <w:rsid w:val="005B38BC"/>
    <w:rsid w:val="005B4A29"/>
    <w:rsid w:val="005C0585"/>
    <w:rsid w:val="005D3984"/>
    <w:rsid w:val="005D6E53"/>
    <w:rsid w:val="005E21D0"/>
    <w:rsid w:val="005E2813"/>
    <w:rsid w:val="005E3E7F"/>
    <w:rsid w:val="005E4EBA"/>
    <w:rsid w:val="005F0DCB"/>
    <w:rsid w:val="005F417C"/>
    <w:rsid w:val="00607AD5"/>
    <w:rsid w:val="006125DF"/>
    <w:rsid w:val="00615531"/>
    <w:rsid w:val="00623641"/>
    <w:rsid w:val="00625739"/>
    <w:rsid w:val="0062705B"/>
    <w:rsid w:val="0064616C"/>
    <w:rsid w:val="00647D9F"/>
    <w:rsid w:val="006504F3"/>
    <w:rsid w:val="00653A5B"/>
    <w:rsid w:val="00657775"/>
    <w:rsid w:val="00657C47"/>
    <w:rsid w:val="00660BFF"/>
    <w:rsid w:val="00667621"/>
    <w:rsid w:val="00676CA8"/>
    <w:rsid w:val="00681D60"/>
    <w:rsid w:val="00682207"/>
    <w:rsid w:val="0068532C"/>
    <w:rsid w:val="00687417"/>
    <w:rsid w:val="00692C25"/>
    <w:rsid w:val="00696455"/>
    <w:rsid w:val="006A186C"/>
    <w:rsid w:val="006A46D7"/>
    <w:rsid w:val="006B76FC"/>
    <w:rsid w:val="006B78A4"/>
    <w:rsid w:val="006C0B82"/>
    <w:rsid w:val="006C5153"/>
    <w:rsid w:val="006D3E35"/>
    <w:rsid w:val="006F0029"/>
    <w:rsid w:val="006F72C9"/>
    <w:rsid w:val="007051BD"/>
    <w:rsid w:val="00726129"/>
    <w:rsid w:val="007311D8"/>
    <w:rsid w:val="0074251B"/>
    <w:rsid w:val="00750C0F"/>
    <w:rsid w:val="007514FF"/>
    <w:rsid w:val="00756AC0"/>
    <w:rsid w:val="00772362"/>
    <w:rsid w:val="00775586"/>
    <w:rsid w:val="00783B52"/>
    <w:rsid w:val="0079111F"/>
    <w:rsid w:val="00795C0A"/>
    <w:rsid w:val="00795C58"/>
    <w:rsid w:val="007A7B7D"/>
    <w:rsid w:val="007A7CB4"/>
    <w:rsid w:val="007B0FEA"/>
    <w:rsid w:val="007B7D73"/>
    <w:rsid w:val="007C2F52"/>
    <w:rsid w:val="007C5012"/>
    <w:rsid w:val="007D23CB"/>
    <w:rsid w:val="007D4C1B"/>
    <w:rsid w:val="007D5D6A"/>
    <w:rsid w:val="007D728B"/>
    <w:rsid w:val="007F173D"/>
    <w:rsid w:val="007F1952"/>
    <w:rsid w:val="007F1D25"/>
    <w:rsid w:val="007F6E8B"/>
    <w:rsid w:val="007F714D"/>
    <w:rsid w:val="00800DF8"/>
    <w:rsid w:val="00800F6E"/>
    <w:rsid w:val="00802499"/>
    <w:rsid w:val="008037C5"/>
    <w:rsid w:val="00805EAA"/>
    <w:rsid w:val="00810DC7"/>
    <w:rsid w:val="00811816"/>
    <w:rsid w:val="0081598D"/>
    <w:rsid w:val="00816127"/>
    <w:rsid w:val="00816763"/>
    <w:rsid w:val="0082546B"/>
    <w:rsid w:val="00837187"/>
    <w:rsid w:val="00840900"/>
    <w:rsid w:val="00840E07"/>
    <w:rsid w:val="00847F5A"/>
    <w:rsid w:val="00850B9B"/>
    <w:rsid w:val="00857E27"/>
    <w:rsid w:val="00860907"/>
    <w:rsid w:val="00867C46"/>
    <w:rsid w:val="00871A69"/>
    <w:rsid w:val="0087284F"/>
    <w:rsid w:val="008819C5"/>
    <w:rsid w:val="00882F42"/>
    <w:rsid w:val="00883698"/>
    <w:rsid w:val="00885830"/>
    <w:rsid w:val="008962BF"/>
    <w:rsid w:val="0089690A"/>
    <w:rsid w:val="008A6458"/>
    <w:rsid w:val="008B06F2"/>
    <w:rsid w:val="008B3EA7"/>
    <w:rsid w:val="008C18EF"/>
    <w:rsid w:val="008C56A2"/>
    <w:rsid w:val="008D4D5E"/>
    <w:rsid w:val="008D52BA"/>
    <w:rsid w:val="008D792A"/>
    <w:rsid w:val="008D7C67"/>
    <w:rsid w:val="008E195A"/>
    <w:rsid w:val="008E3310"/>
    <w:rsid w:val="008E3B87"/>
    <w:rsid w:val="008F13A0"/>
    <w:rsid w:val="008F3DF1"/>
    <w:rsid w:val="008F534B"/>
    <w:rsid w:val="00901321"/>
    <w:rsid w:val="0090626B"/>
    <w:rsid w:val="00924ED9"/>
    <w:rsid w:val="009332D5"/>
    <w:rsid w:val="00935714"/>
    <w:rsid w:val="009361A2"/>
    <w:rsid w:val="00937269"/>
    <w:rsid w:val="00940322"/>
    <w:rsid w:val="009405CA"/>
    <w:rsid w:val="009407A0"/>
    <w:rsid w:val="009410C1"/>
    <w:rsid w:val="009461A4"/>
    <w:rsid w:val="009517B0"/>
    <w:rsid w:val="009563F9"/>
    <w:rsid w:val="00961E92"/>
    <w:rsid w:val="009651AE"/>
    <w:rsid w:val="00966CBF"/>
    <w:rsid w:val="0097112E"/>
    <w:rsid w:val="009725E8"/>
    <w:rsid w:val="0097499D"/>
    <w:rsid w:val="009777FB"/>
    <w:rsid w:val="00981628"/>
    <w:rsid w:val="00987177"/>
    <w:rsid w:val="0099080F"/>
    <w:rsid w:val="00996578"/>
    <w:rsid w:val="009A285D"/>
    <w:rsid w:val="009A617D"/>
    <w:rsid w:val="009B18A9"/>
    <w:rsid w:val="009B2656"/>
    <w:rsid w:val="009B6BEE"/>
    <w:rsid w:val="009B6F7C"/>
    <w:rsid w:val="009C489A"/>
    <w:rsid w:val="009D4073"/>
    <w:rsid w:val="009D611D"/>
    <w:rsid w:val="009E7A5E"/>
    <w:rsid w:val="009F2176"/>
    <w:rsid w:val="009F2C01"/>
    <w:rsid w:val="00A13F7F"/>
    <w:rsid w:val="00A252DA"/>
    <w:rsid w:val="00A27EC4"/>
    <w:rsid w:val="00A32E58"/>
    <w:rsid w:val="00A43550"/>
    <w:rsid w:val="00A44254"/>
    <w:rsid w:val="00A460D0"/>
    <w:rsid w:val="00A518B2"/>
    <w:rsid w:val="00A52201"/>
    <w:rsid w:val="00A567C1"/>
    <w:rsid w:val="00A600B9"/>
    <w:rsid w:val="00A61BAB"/>
    <w:rsid w:val="00A70151"/>
    <w:rsid w:val="00A708C3"/>
    <w:rsid w:val="00A71E6D"/>
    <w:rsid w:val="00A721A8"/>
    <w:rsid w:val="00A736AB"/>
    <w:rsid w:val="00A74972"/>
    <w:rsid w:val="00A81147"/>
    <w:rsid w:val="00A81177"/>
    <w:rsid w:val="00A81341"/>
    <w:rsid w:val="00A81498"/>
    <w:rsid w:val="00A84EAF"/>
    <w:rsid w:val="00A91C21"/>
    <w:rsid w:val="00AA05FF"/>
    <w:rsid w:val="00AA1CFD"/>
    <w:rsid w:val="00AA2F7D"/>
    <w:rsid w:val="00AA3130"/>
    <w:rsid w:val="00AA5B55"/>
    <w:rsid w:val="00AA6780"/>
    <w:rsid w:val="00AB46CE"/>
    <w:rsid w:val="00AB7744"/>
    <w:rsid w:val="00AD05A5"/>
    <w:rsid w:val="00AD388E"/>
    <w:rsid w:val="00AD52A9"/>
    <w:rsid w:val="00AE402E"/>
    <w:rsid w:val="00AE43AB"/>
    <w:rsid w:val="00AE66CD"/>
    <w:rsid w:val="00AE6B76"/>
    <w:rsid w:val="00AF174B"/>
    <w:rsid w:val="00AF3217"/>
    <w:rsid w:val="00B06783"/>
    <w:rsid w:val="00B1033C"/>
    <w:rsid w:val="00B16566"/>
    <w:rsid w:val="00B17B7E"/>
    <w:rsid w:val="00B20821"/>
    <w:rsid w:val="00B21447"/>
    <w:rsid w:val="00B248ED"/>
    <w:rsid w:val="00B250E0"/>
    <w:rsid w:val="00B26CA8"/>
    <w:rsid w:val="00B36557"/>
    <w:rsid w:val="00B465C3"/>
    <w:rsid w:val="00B477A1"/>
    <w:rsid w:val="00B52602"/>
    <w:rsid w:val="00B60ADB"/>
    <w:rsid w:val="00B63330"/>
    <w:rsid w:val="00B73EA6"/>
    <w:rsid w:val="00B86BB5"/>
    <w:rsid w:val="00B90ECE"/>
    <w:rsid w:val="00B9450B"/>
    <w:rsid w:val="00BB09CD"/>
    <w:rsid w:val="00BB3C18"/>
    <w:rsid w:val="00BB5666"/>
    <w:rsid w:val="00BB7F4D"/>
    <w:rsid w:val="00BC379D"/>
    <w:rsid w:val="00BC4913"/>
    <w:rsid w:val="00BC70F3"/>
    <w:rsid w:val="00BD08A4"/>
    <w:rsid w:val="00BD0DF6"/>
    <w:rsid w:val="00BD14EE"/>
    <w:rsid w:val="00BE01F4"/>
    <w:rsid w:val="00BE1B0D"/>
    <w:rsid w:val="00BE449B"/>
    <w:rsid w:val="00BE4F37"/>
    <w:rsid w:val="00BE5DE9"/>
    <w:rsid w:val="00BF220D"/>
    <w:rsid w:val="00C00455"/>
    <w:rsid w:val="00C15293"/>
    <w:rsid w:val="00C155F3"/>
    <w:rsid w:val="00C15C16"/>
    <w:rsid w:val="00C16E49"/>
    <w:rsid w:val="00C17511"/>
    <w:rsid w:val="00C20489"/>
    <w:rsid w:val="00C312E2"/>
    <w:rsid w:val="00C356C5"/>
    <w:rsid w:val="00C37264"/>
    <w:rsid w:val="00C40C13"/>
    <w:rsid w:val="00C4154D"/>
    <w:rsid w:val="00C418A0"/>
    <w:rsid w:val="00C529D7"/>
    <w:rsid w:val="00C52D25"/>
    <w:rsid w:val="00C56BE0"/>
    <w:rsid w:val="00C5767A"/>
    <w:rsid w:val="00C65FED"/>
    <w:rsid w:val="00C7305E"/>
    <w:rsid w:val="00C7323A"/>
    <w:rsid w:val="00C7641F"/>
    <w:rsid w:val="00C778AC"/>
    <w:rsid w:val="00C84D45"/>
    <w:rsid w:val="00C91282"/>
    <w:rsid w:val="00C91C98"/>
    <w:rsid w:val="00C9245C"/>
    <w:rsid w:val="00C93A2A"/>
    <w:rsid w:val="00C94FCC"/>
    <w:rsid w:val="00C96C6E"/>
    <w:rsid w:val="00CA7B1A"/>
    <w:rsid w:val="00CB61D2"/>
    <w:rsid w:val="00CB6A22"/>
    <w:rsid w:val="00CB7E89"/>
    <w:rsid w:val="00CB7FB6"/>
    <w:rsid w:val="00CD66B9"/>
    <w:rsid w:val="00CD7796"/>
    <w:rsid w:val="00CE02B1"/>
    <w:rsid w:val="00CE34F3"/>
    <w:rsid w:val="00CE6C41"/>
    <w:rsid w:val="00D04DB3"/>
    <w:rsid w:val="00D14791"/>
    <w:rsid w:val="00D1715D"/>
    <w:rsid w:val="00D1735A"/>
    <w:rsid w:val="00D2661E"/>
    <w:rsid w:val="00D308E4"/>
    <w:rsid w:val="00D320F1"/>
    <w:rsid w:val="00D3584E"/>
    <w:rsid w:val="00D43E2F"/>
    <w:rsid w:val="00D469DA"/>
    <w:rsid w:val="00D559AA"/>
    <w:rsid w:val="00D61453"/>
    <w:rsid w:val="00D727FF"/>
    <w:rsid w:val="00D75048"/>
    <w:rsid w:val="00D77C16"/>
    <w:rsid w:val="00D83D7C"/>
    <w:rsid w:val="00D84682"/>
    <w:rsid w:val="00D84F5E"/>
    <w:rsid w:val="00D86210"/>
    <w:rsid w:val="00D90408"/>
    <w:rsid w:val="00D9095E"/>
    <w:rsid w:val="00D91B31"/>
    <w:rsid w:val="00D92578"/>
    <w:rsid w:val="00DA169F"/>
    <w:rsid w:val="00DA1997"/>
    <w:rsid w:val="00DA407F"/>
    <w:rsid w:val="00DA4BAE"/>
    <w:rsid w:val="00DB1F28"/>
    <w:rsid w:val="00DB2F09"/>
    <w:rsid w:val="00DB706F"/>
    <w:rsid w:val="00DC34BE"/>
    <w:rsid w:val="00DC5E54"/>
    <w:rsid w:val="00DD63E2"/>
    <w:rsid w:val="00DF18E1"/>
    <w:rsid w:val="00DF3CC7"/>
    <w:rsid w:val="00E01FF6"/>
    <w:rsid w:val="00E2098E"/>
    <w:rsid w:val="00E218EF"/>
    <w:rsid w:val="00E3672E"/>
    <w:rsid w:val="00E36C39"/>
    <w:rsid w:val="00E43B95"/>
    <w:rsid w:val="00E715EE"/>
    <w:rsid w:val="00E73497"/>
    <w:rsid w:val="00E83FA3"/>
    <w:rsid w:val="00E8520E"/>
    <w:rsid w:val="00E85609"/>
    <w:rsid w:val="00E85C45"/>
    <w:rsid w:val="00E9270B"/>
    <w:rsid w:val="00EA0359"/>
    <w:rsid w:val="00EA360F"/>
    <w:rsid w:val="00EA77E8"/>
    <w:rsid w:val="00EB233E"/>
    <w:rsid w:val="00EC23C3"/>
    <w:rsid w:val="00EC4A8F"/>
    <w:rsid w:val="00EC5ECC"/>
    <w:rsid w:val="00ED008E"/>
    <w:rsid w:val="00ED0A1D"/>
    <w:rsid w:val="00ED2128"/>
    <w:rsid w:val="00ED686A"/>
    <w:rsid w:val="00EE209D"/>
    <w:rsid w:val="00EE4BB6"/>
    <w:rsid w:val="00EF1F51"/>
    <w:rsid w:val="00EF7D30"/>
    <w:rsid w:val="00F024AC"/>
    <w:rsid w:val="00F051C8"/>
    <w:rsid w:val="00F152CD"/>
    <w:rsid w:val="00F20752"/>
    <w:rsid w:val="00F2277A"/>
    <w:rsid w:val="00F249A9"/>
    <w:rsid w:val="00F32B1D"/>
    <w:rsid w:val="00F52F6A"/>
    <w:rsid w:val="00F609EA"/>
    <w:rsid w:val="00F6341E"/>
    <w:rsid w:val="00F63E87"/>
    <w:rsid w:val="00F66E57"/>
    <w:rsid w:val="00F71475"/>
    <w:rsid w:val="00F74837"/>
    <w:rsid w:val="00F800AE"/>
    <w:rsid w:val="00F85924"/>
    <w:rsid w:val="00FA4386"/>
    <w:rsid w:val="00FA5573"/>
    <w:rsid w:val="00FB6586"/>
    <w:rsid w:val="00FC3118"/>
    <w:rsid w:val="00FC44D5"/>
    <w:rsid w:val="00FC7994"/>
    <w:rsid w:val="00FD1F98"/>
    <w:rsid w:val="00FE22C5"/>
    <w:rsid w:val="00FE24C2"/>
    <w:rsid w:val="00FE52CE"/>
    <w:rsid w:val="011D2710"/>
    <w:rsid w:val="014662E5"/>
    <w:rsid w:val="0167607D"/>
    <w:rsid w:val="01A429C4"/>
    <w:rsid w:val="01F0738A"/>
    <w:rsid w:val="02177F85"/>
    <w:rsid w:val="02353D88"/>
    <w:rsid w:val="0235701A"/>
    <w:rsid w:val="024042FF"/>
    <w:rsid w:val="02781179"/>
    <w:rsid w:val="027A6ED9"/>
    <w:rsid w:val="02824CC5"/>
    <w:rsid w:val="029641FE"/>
    <w:rsid w:val="029B4BDE"/>
    <w:rsid w:val="02BA785F"/>
    <w:rsid w:val="02DD166D"/>
    <w:rsid w:val="030C12D6"/>
    <w:rsid w:val="030D0562"/>
    <w:rsid w:val="032269F9"/>
    <w:rsid w:val="034C5CC5"/>
    <w:rsid w:val="036362FF"/>
    <w:rsid w:val="03B46C2F"/>
    <w:rsid w:val="03C83B81"/>
    <w:rsid w:val="03CC5523"/>
    <w:rsid w:val="03D63101"/>
    <w:rsid w:val="03E80687"/>
    <w:rsid w:val="03F96EEA"/>
    <w:rsid w:val="04227975"/>
    <w:rsid w:val="042F2022"/>
    <w:rsid w:val="04405650"/>
    <w:rsid w:val="044D337D"/>
    <w:rsid w:val="044E498E"/>
    <w:rsid w:val="046833C2"/>
    <w:rsid w:val="046B128A"/>
    <w:rsid w:val="04C664EC"/>
    <w:rsid w:val="05002B6F"/>
    <w:rsid w:val="052E5261"/>
    <w:rsid w:val="05340028"/>
    <w:rsid w:val="057925EE"/>
    <w:rsid w:val="05810D93"/>
    <w:rsid w:val="05AB2274"/>
    <w:rsid w:val="05B05264"/>
    <w:rsid w:val="05B25CDD"/>
    <w:rsid w:val="05C5009B"/>
    <w:rsid w:val="05D264BC"/>
    <w:rsid w:val="05FB58E4"/>
    <w:rsid w:val="05FC2702"/>
    <w:rsid w:val="05FF2708"/>
    <w:rsid w:val="062C0CFF"/>
    <w:rsid w:val="062C6F51"/>
    <w:rsid w:val="064B46E9"/>
    <w:rsid w:val="068942CF"/>
    <w:rsid w:val="06AE4995"/>
    <w:rsid w:val="06C57454"/>
    <w:rsid w:val="06D575E9"/>
    <w:rsid w:val="06DC2725"/>
    <w:rsid w:val="06E41B13"/>
    <w:rsid w:val="06F02EAA"/>
    <w:rsid w:val="06F37A6F"/>
    <w:rsid w:val="07035DDF"/>
    <w:rsid w:val="070C513D"/>
    <w:rsid w:val="073C40D7"/>
    <w:rsid w:val="075065BC"/>
    <w:rsid w:val="075859CA"/>
    <w:rsid w:val="07601EE6"/>
    <w:rsid w:val="0790350F"/>
    <w:rsid w:val="07A110A1"/>
    <w:rsid w:val="07A9241E"/>
    <w:rsid w:val="07C05F49"/>
    <w:rsid w:val="07C5014F"/>
    <w:rsid w:val="07F0151B"/>
    <w:rsid w:val="07FF7B32"/>
    <w:rsid w:val="08501519"/>
    <w:rsid w:val="08DF5A76"/>
    <w:rsid w:val="08E753B1"/>
    <w:rsid w:val="08EC5AB8"/>
    <w:rsid w:val="09183BE9"/>
    <w:rsid w:val="093A2A85"/>
    <w:rsid w:val="095D4CBB"/>
    <w:rsid w:val="097D1A3A"/>
    <w:rsid w:val="098556EA"/>
    <w:rsid w:val="09903745"/>
    <w:rsid w:val="09A34AFA"/>
    <w:rsid w:val="09A36D0A"/>
    <w:rsid w:val="09AD47F6"/>
    <w:rsid w:val="09CD66ED"/>
    <w:rsid w:val="09F72AC1"/>
    <w:rsid w:val="0A1B11B8"/>
    <w:rsid w:val="0A2A092A"/>
    <w:rsid w:val="0A341FB8"/>
    <w:rsid w:val="0A554394"/>
    <w:rsid w:val="0A570314"/>
    <w:rsid w:val="0A5F5B47"/>
    <w:rsid w:val="0A657257"/>
    <w:rsid w:val="0A8F5D00"/>
    <w:rsid w:val="0AE5409F"/>
    <w:rsid w:val="0B160E3A"/>
    <w:rsid w:val="0B386398"/>
    <w:rsid w:val="0B424B21"/>
    <w:rsid w:val="0B626891"/>
    <w:rsid w:val="0B756CA4"/>
    <w:rsid w:val="0B7A3E5C"/>
    <w:rsid w:val="0B8F053D"/>
    <w:rsid w:val="0B925AA8"/>
    <w:rsid w:val="0BB646CE"/>
    <w:rsid w:val="0C0627BD"/>
    <w:rsid w:val="0C135734"/>
    <w:rsid w:val="0C18633A"/>
    <w:rsid w:val="0C1C1F89"/>
    <w:rsid w:val="0C2914EF"/>
    <w:rsid w:val="0C34090D"/>
    <w:rsid w:val="0C457C25"/>
    <w:rsid w:val="0C5D4565"/>
    <w:rsid w:val="0C8B2017"/>
    <w:rsid w:val="0CBF0B1F"/>
    <w:rsid w:val="0CC81D6E"/>
    <w:rsid w:val="0CD619C5"/>
    <w:rsid w:val="0CDB0BB0"/>
    <w:rsid w:val="0CDC4881"/>
    <w:rsid w:val="0CE259CF"/>
    <w:rsid w:val="0CF3147A"/>
    <w:rsid w:val="0CF77927"/>
    <w:rsid w:val="0D2552B6"/>
    <w:rsid w:val="0D37494D"/>
    <w:rsid w:val="0D4D0858"/>
    <w:rsid w:val="0D520C28"/>
    <w:rsid w:val="0D80418A"/>
    <w:rsid w:val="0D896A37"/>
    <w:rsid w:val="0D9A7BCF"/>
    <w:rsid w:val="0DA210F7"/>
    <w:rsid w:val="0DB93115"/>
    <w:rsid w:val="0DCD726B"/>
    <w:rsid w:val="0E3B5426"/>
    <w:rsid w:val="0E3C619F"/>
    <w:rsid w:val="0E4A4287"/>
    <w:rsid w:val="0E610693"/>
    <w:rsid w:val="0ECC22F5"/>
    <w:rsid w:val="0ED6779A"/>
    <w:rsid w:val="0EED1A94"/>
    <w:rsid w:val="0EF2184E"/>
    <w:rsid w:val="0F386A33"/>
    <w:rsid w:val="0F576BBF"/>
    <w:rsid w:val="0F73312A"/>
    <w:rsid w:val="0F7A6C1A"/>
    <w:rsid w:val="0F9067A2"/>
    <w:rsid w:val="0F977995"/>
    <w:rsid w:val="0FED0CC1"/>
    <w:rsid w:val="101F1AFE"/>
    <w:rsid w:val="102D43F4"/>
    <w:rsid w:val="102E6638"/>
    <w:rsid w:val="10491322"/>
    <w:rsid w:val="104B1D7A"/>
    <w:rsid w:val="1068327B"/>
    <w:rsid w:val="10945B2B"/>
    <w:rsid w:val="10B519F5"/>
    <w:rsid w:val="10C27E81"/>
    <w:rsid w:val="10EA2BC5"/>
    <w:rsid w:val="11020FDA"/>
    <w:rsid w:val="1111719F"/>
    <w:rsid w:val="11234E22"/>
    <w:rsid w:val="112E5EC1"/>
    <w:rsid w:val="11531836"/>
    <w:rsid w:val="11545714"/>
    <w:rsid w:val="116C7384"/>
    <w:rsid w:val="118F1D90"/>
    <w:rsid w:val="11A13EDE"/>
    <w:rsid w:val="11E61AA8"/>
    <w:rsid w:val="121454E1"/>
    <w:rsid w:val="1221676B"/>
    <w:rsid w:val="122E0B69"/>
    <w:rsid w:val="12327377"/>
    <w:rsid w:val="123A7923"/>
    <w:rsid w:val="123C676E"/>
    <w:rsid w:val="123C7B76"/>
    <w:rsid w:val="12507F30"/>
    <w:rsid w:val="12672719"/>
    <w:rsid w:val="12B75DF4"/>
    <w:rsid w:val="12DC3AAD"/>
    <w:rsid w:val="12DF4EFA"/>
    <w:rsid w:val="13160D6D"/>
    <w:rsid w:val="13611008"/>
    <w:rsid w:val="138A7DEE"/>
    <w:rsid w:val="13954398"/>
    <w:rsid w:val="13CF528F"/>
    <w:rsid w:val="140758A9"/>
    <w:rsid w:val="1455034B"/>
    <w:rsid w:val="1466753F"/>
    <w:rsid w:val="14916D6D"/>
    <w:rsid w:val="149E06F3"/>
    <w:rsid w:val="149F5D04"/>
    <w:rsid w:val="14A16FA7"/>
    <w:rsid w:val="14E57FEC"/>
    <w:rsid w:val="154A1877"/>
    <w:rsid w:val="15591B19"/>
    <w:rsid w:val="156C1118"/>
    <w:rsid w:val="156F4252"/>
    <w:rsid w:val="15822B08"/>
    <w:rsid w:val="15825B8D"/>
    <w:rsid w:val="158B15A9"/>
    <w:rsid w:val="15CF16A7"/>
    <w:rsid w:val="15E61E1D"/>
    <w:rsid w:val="160A4F1B"/>
    <w:rsid w:val="16113804"/>
    <w:rsid w:val="16502C55"/>
    <w:rsid w:val="168129A1"/>
    <w:rsid w:val="168641FF"/>
    <w:rsid w:val="16AB538A"/>
    <w:rsid w:val="16BA5882"/>
    <w:rsid w:val="17011D34"/>
    <w:rsid w:val="173A7142"/>
    <w:rsid w:val="17465999"/>
    <w:rsid w:val="176D366C"/>
    <w:rsid w:val="17792DE2"/>
    <w:rsid w:val="17830E97"/>
    <w:rsid w:val="178A6818"/>
    <w:rsid w:val="178B26E1"/>
    <w:rsid w:val="179E7583"/>
    <w:rsid w:val="17A50911"/>
    <w:rsid w:val="17CD02B2"/>
    <w:rsid w:val="17D17958"/>
    <w:rsid w:val="17DB2585"/>
    <w:rsid w:val="18047377"/>
    <w:rsid w:val="18206C5C"/>
    <w:rsid w:val="182C27BF"/>
    <w:rsid w:val="18315A8D"/>
    <w:rsid w:val="1839248F"/>
    <w:rsid w:val="184E2D57"/>
    <w:rsid w:val="18680F34"/>
    <w:rsid w:val="18786643"/>
    <w:rsid w:val="18967879"/>
    <w:rsid w:val="18C82B09"/>
    <w:rsid w:val="18D641E0"/>
    <w:rsid w:val="190306EA"/>
    <w:rsid w:val="190D2C12"/>
    <w:rsid w:val="19137AFC"/>
    <w:rsid w:val="192931F7"/>
    <w:rsid w:val="194F6D87"/>
    <w:rsid w:val="198B3B6C"/>
    <w:rsid w:val="198D3D88"/>
    <w:rsid w:val="19B603CE"/>
    <w:rsid w:val="19C611BF"/>
    <w:rsid w:val="1A1B1771"/>
    <w:rsid w:val="1A361F09"/>
    <w:rsid w:val="1A3A6D82"/>
    <w:rsid w:val="1A473F02"/>
    <w:rsid w:val="1A4B5D9C"/>
    <w:rsid w:val="1A5E29B4"/>
    <w:rsid w:val="1A7578F5"/>
    <w:rsid w:val="1AE5597B"/>
    <w:rsid w:val="1AEE6276"/>
    <w:rsid w:val="1B010B08"/>
    <w:rsid w:val="1B053F89"/>
    <w:rsid w:val="1B063878"/>
    <w:rsid w:val="1B19740E"/>
    <w:rsid w:val="1B38452B"/>
    <w:rsid w:val="1B4A0B86"/>
    <w:rsid w:val="1B5669ED"/>
    <w:rsid w:val="1BA53154"/>
    <w:rsid w:val="1BAE5928"/>
    <w:rsid w:val="1BB67C61"/>
    <w:rsid w:val="1BC0327E"/>
    <w:rsid w:val="1BCC127E"/>
    <w:rsid w:val="1BED1043"/>
    <w:rsid w:val="1BF15F68"/>
    <w:rsid w:val="1C0325E7"/>
    <w:rsid w:val="1C26359D"/>
    <w:rsid w:val="1C2D7127"/>
    <w:rsid w:val="1C4A7CD9"/>
    <w:rsid w:val="1C5A43C0"/>
    <w:rsid w:val="1C637276"/>
    <w:rsid w:val="1C68527F"/>
    <w:rsid w:val="1C694A85"/>
    <w:rsid w:val="1CA10EA8"/>
    <w:rsid w:val="1CA53161"/>
    <w:rsid w:val="1CDA32BD"/>
    <w:rsid w:val="1D1C3424"/>
    <w:rsid w:val="1D2B73AA"/>
    <w:rsid w:val="1D3B285E"/>
    <w:rsid w:val="1D4E1C0E"/>
    <w:rsid w:val="1D5C4168"/>
    <w:rsid w:val="1D8E3FE2"/>
    <w:rsid w:val="1DA80CB0"/>
    <w:rsid w:val="1DB81982"/>
    <w:rsid w:val="1DCC2B35"/>
    <w:rsid w:val="1DDF1907"/>
    <w:rsid w:val="1DE63A32"/>
    <w:rsid w:val="1DEE66A6"/>
    <w:rsid w:val="1DF43546"/>
    <w:rsid w:val="1E25740F"/>
    <w:rsid w:val="1E2D2C93"/>
    <w:rsid w:val="1E4B079E"/>
    <w:rsid w:val="1E7546E7"/>
    <w:rsid w:val="1EA41352"/>
    <w:rsid w:val="1EBE7B5F"/>
    <w:rsid w:val="1ED03DDD"/>
    <w:rsid w:val="1ED7421B"/>
    <w:rsid w:val="1EF361FC"/>
    <w:rsid w:val="1F115F89"/>
    <w:rsid w:val="1F3977A1"/>
    <w:rsid w:val="1F403C04"/>
    <w:rsid w:val="1F5275D0"/>
    <w:rsid w:val="1F587BD1"/>
    <w:rsid w:val="1F79683E"/>
    <w:rsid w:val="1F8060E8"/>
    <w:rsid w:val="1F8C2F94"/>
    <w:rsid w:val="1FA93DCE"/>
    <w:rsid w:val="1FB869AF"/>
    <w:rsid w:val="1FD55EF7"/>
    <w:rsid w:val="1FD75EB6"/>
    <w:rsid w:val="1FDE25C4"/>
    <w:rsid w:val="1FF37860"/>
    <w:rsid w:val="20383FBF"/>
    <w:rsid w:val="2041347F"/>
    <w:rsid w:val="20547378"/>
    <w:rsid w:val="2063580D"/>
    <w:rsid w:val="206A39DF"/>
    <w:rsid w:val="207F12DB"/>
    <w:rsid w:val="208D7246"/>
    <w:rsid w:val="208D7F0D"/>
    <w:rsid w:val="20E51C8A"/>
    <w:rsid w:val="211329C7"/>
    <w:rsid w:val="212C3E51"/>
    <w:rsid w:val="21726D2D"/>
    <w:rsid w:val="219336C8"/>
    <w:rsid w:val="21983162"/>
    <w:rsid w:val="21C51B9B"/>
    <w:rsid w:val="21E95252"/>
    <w:rsid w:val="21ED5D8B"/>
    <w:rsid w:val="222C235B"/>
    <w:rsid w:val="22423E6F"/>
    <w:rsid w:val="225D2138"/>
    <w:rsid w:val="2273571C"/>
    <w:rsid w:val="22A33BE9"/>
    <w:rsid w:val="22B97646"/>
    <w:rsid w:val="22C22BD0"/>
    <w:rsid w:val="22D6731B"/>
    <w:rsid w:val="22E2309D"/>
    <w:rsid w:val="22E461E8"/>
    <w:rsid w:val="231A1E2F"/>
    <w:rsid w:val="23203A15"/>
    <w:rsid w:val="234A015A"/>
    <w:rsid w:val="234E371B"/>
    <w:rsid w:val="23814537"/>
    <w:rsid w:val="238A6DD4"/>
    <w:rsid w:val="239239A3"/>
    <w:rsid w:val="239F2BE0"/>
    <w:rsid w:val="23A66C64"/>
    <w:rsid w:val="23C910B8"/>
    <w:rsid w:val="23DD0DC1"/>
    <w:rsid w:val="23DF3EF5"/>
    <w:rsid w:val="23FD7579"/>
    <w:rsid w:val="24026328"/>
    <w:rsid w:val="241308D1"/>
    <w:rsid w:val="24376D95"/>
    <w:rsid w:val="2446347C"/>
    <w:rsid w:val="245F5471"/>
    <w:rsid w:val="24705167"/>
    <w:rsid w:val="24A6070F"/>
    <w:rsid w:val="24D648FD"/>
    <w:rsid w:val="24E36F6F"/>
    <w:rsid w:val="250F7572"/>
    <w:rsid w:val="25284930"/>
    <w:rsid w:val="2538015C"/>
    <w:rsid w:val="25387FF3"/>
    <w:rsid w:val="255F01E8"/>
    <w:rsid w:val="25744B26"/>
    <w:rsid w:val="258A442B"/>
    <w:rsid w:val="25955E94"/>
    <w:rsid w:val="259869A0"/>
    <w:rsid w:val="259C42F4"/>
    <w:rsid w:val="259E2948"/>
    <w:rsid w:val="25A6736C"/>
    <w:rsid w:val="25AB4561"/>
    <w:rsid w:val="25BA66A4"/>
    <w:rsid w:val="25F235C9"/>
    <w:rsid w:val="263A6E83"/>
    <w:rsid w:val="264E6325"/>
    <w:rsid w:val="268E439F"/>
    <w:rsid w:val="26BB1EFF"/>
    <w:rsid w:val="26C37006"/>
    <w:rsid w:val="26D0702D"/>
    <w:rsid w:val="26D63EA4"/>
    <w:rsid w:val="26FE2F77"/>
    <w:rsid w:val="272E7D11"/>
    <w:rsid w:val="2735773E"/>
    <w:rsid w:val="273723B8"/>
    <w:rsid w:val="27AA7A9F"/>
    <w:rsid w:val="27B02D22"/>
    <w:rsid w:val="27EA0323"/>
    <w:rsid w:val="281A3E23"/>
    <w:rsid w:val="28213FE4"/>
    <w:rsid w:val="2828647E"/>
    <w:rsid w:val="28482380"/>
    <w:rsid w:val="285525AD"/>
    <w:rsid w:val="2869419F"/>
    <w:rsid w:val="286D43E2"/>
    <w:rsid w:val="288F4569"/>
    <w:rsid w:val="288F53F1"/>
    <w:rsid w:val="289155E7"/>
    <w:rsid w:val="28925AEF"/>
    <w:rsid w:val="289E100A"/>
    <w:rsid w:val="28A77FC3"/>
    <w:rsid w:val="28B72F53"/>
    <w:rsid w:val="28DB5455"/>
    <w:rsid w:val="28FE42F5"/>
    <w:rsid w:val="2918671D"/>
    <w:rsid w:val="291F7550"/>
    <w:rsid w:val="294E3459"/>
    <w:rsid w:val="29714AF7"/>
    <w:rsid w:val="2973261D"/>
    <w:rsid w:val="298421FA"/>
    <w:rsid w:val="29986528"/>
    <w:rsid w:val="29D33424"/>
    <w:rsid w:val="29D76DDE"/>
    <w:rsid w:val="29F60480"/>
    <w:rsid w:val="2A03224A"/>
    <w:rsid w:val="2A1D4F05"/>
    <w:rsid w:val="2A212FE9"/>
    <w:rsid w:val="2A64640A"/>
    <w:rsid w:val="2A6D4BE6"/>
    <w:rsid w:val="2A740F74"/>
    <w:rsid w:val="2ABE34FC"/>
    <w:rsid w:val="2AD6404F"/>
    <w:rsid w:val="2ADF65D1"/>
    <w:rsid w:val="2AE46A49"/>
    <w:rsid w:val="2AE933FA"/>
    <w:rsid w:val="2AF524C9"/>
    <w:rsid w:val="2AFC6660"/>
    <w:rsid w:val="2B012AFC"/>
    <w:rsid w:val="2B163BA8"/>
    <w:rsid w:val="2B3260B1"/>
    <w:rsid w:val="2B6C130E"/>
    <w:rsid w:val="2B821C36"/>
    <w:rsid w:val="2B8653D7"/>
    <w:rsid w:val="2B8F7DE5"/>
    <w:rsid w:val="2B991AB0"/>
    <w:rsid w:val="2B9A32DD"/>
    <w:rsid w:val="2BAD10B9"/>
    <w:rsid w:val="2BBE50F8"/>
    <w:rsid w:val="2BC10E1F"/>
    <w:rsid w:val="2BC3727F"/>
    <w:rsid w:val="2BD646AB"/>
    <w:rsid w:val="2BD65BF0"/>
    <w:rsid w:val="2BFE054A"/>
    <w:rsid w:val="2C14781C"/>
    <w:rsid w:val="2C1F4644"/>
    <w:rsid w:val="2C22032B"/>
    <w:rsid w:val="2C370C91"/>
    <w:rsid w:val="2C500DB6"/>
    <w:rsid w:val="2C5129BE"/>
    <w:rsid w:val="2C636C83"/>
    <w:rsid w:val="2C8F606E"/>
    <w:rsid w:val="2C9201A7"/>
    <w:rsid w:val="2D340528"/>
    <w:rsid w:val="2D5950F9"/>
    <w:rsid w:val="2D690EB3"/>
    <w:rsid w:val="2D6A0A20"/>
    <w:rsid w:val="2D6A0BD2"/>
    <w:rsid w:val="2D7B0A35"/>
    <w:rsid w:val="2D7C322C"/>
    <w:rsid w:val="2D9963F0"/>
    <w:rsid w:val="2DD815E9"/>
    <w:rsid w:val="2DFF7E13"/>
    <w:rsid w:val="2E307109"/>
    <w:rsid w:val="2E55688B"/>
    <w:rsid w:val="2E5D564A"/>
    <w:rsid w:val="2E662641"/>
    <w:rsid w:val="2EC1789A"/>
    <w:rsid w:val="2ED93E9A"/>
    <w:rsid w:val="2EF33DED"/>
    <w:rsid w:val="2EF97A69"/>
    <w:rsid w:val="2F087457"/>
    <w:rsid w:val="2F3747C7"/>
    <w:rsid w:val="2F5249F1"/>
    <w:rsid w:val="2F570B40"/>
    <w:rsid w:val="2F706AEA"/>
    <w:rsid w:val="2F7C1D5D"/>
    <w:rsid w:val="2FD96182"/>
    <w:rsid w:val="2FDA485F"/>
    <w:rsid w:val="2FDF3637"/>
    <w:rsid w:val="2FE0420E"/>
    <w:rsid w:val="2FF6062F"/>
    <w:rsid w:val="2FF878AE"/>
    <w:rsid w:val="304A079B"/>
    <w:rsid w:val="30753630"/>
    <w:rsid w:val="307A601C"/>
    <w:rsid w:val="308412B2"/>
    <w:rsid w:val="308F5231"/>
    <w:rsid w:val="30956790"/>
    <w:rsid w:val="309733E0"/>
    <w:rsid w:val="30B7653F"/>
    <w:rsid w:val="30D7595B"/>
    <w:rsid w:val="30F05FA9"/>
    <w:rsid w:val="3104545D"/>
    <w:rsid w:val="313408A9"/>
    <w:rsid w:val="317C04DD"/>
    <w:rsid w:val="317F2365"/>
    <w:rsid w:val="31852E91"/>
    <w:rsid w:val="31937418"/>
    <w:rsid w:val="31C41D9F"/>
    <w:rsid w:val="31E24A78"/>
    <w:rsid w:val="32031D3C"/>
    <w:rsid w:val="32270BFE"/>
    <w:rsid w:val="32425283"/>
    <w:rsid w:val="32456B71"/>
    <w:rsid w:val="324A2C59"/>
    <w:rsid w:val="32551920"/>
    <w:rsid w:val="327171C3"/>
    <w:rsid w:val="3275460B"/>
    <w:rsid w:val="328D0842"/>
    <w:rsid w:val="32A47CEB"/>
    <w:rsid w:val="32AF0E50"/>
    <w:rsid w:val="32C7442C"/>
    <w:rsid w:val="32C87360"/>
    <w:rsid w:val="32E537EE"/>
    <w:rsid w:val="32EE43FB"/>
    <w:rsid w:val="32F14154"/>
    <w:rsid w:val="32F83B93"/>
    <w:rsid w:val="332166B4"/>
    <w:rsid w:val="332C6C18"/>
    <w:rsid w:val="3342680C"/>
    <w:rsid w:val="3349529A"/>
    <w:rsid w:val="33886F6E"/>
    <w:rsid w:val="339C6C14"/>
    <w:rsid w:val="33D501B4"/>
    <w:rsid w:val="33E86ECF"/>
    <w:rsid w:val="33FE6433"/>
    <w:rsid w:val="33FF433C"/>
    <w:rsid w:val="34203D24"/>
    <w:rsid w:val="342C36D8"/>
    <w:rsid w:val="342C7F98"/>
    <w:rsid w:val="344613FC"/>
    <w:rsid w:val="34717656"/>
    <w:rsid w:val="34E65F7C"/>
    <w:rsid w:val="34EF3DF8"/>
    <w:rsid w:val="351E41D5"/>
    <w:rsid w:val="35614329"/>
    <w:rsid w:val="359F2565"/>
    <w:rsid w:val="35EE3B1E"/>
    <w:rsid w:val="35F404F8"/>
    <w:rsid w:val="35F83427"/>
    <w:rsid w:val="360269EC"/>
    <w:rsid w:val="365608DA"/>
    <w:rsid w:val="36960324"/>
    <w:rsid w:val="369C1094"/>
    <w:rsid w:val="36AC6D79"/>
    <w:rsid w:val="36B10C29"/>
    <w:rsid w:val="36B35051"/>
    <w:rsid w:val="36B65F8F"/>
    <w:rsid w:val="36C01346"/>
    <w:rsid w:val="36C02C1A"/>
    <w:rsid w:val="36E42DAC"/>
    <w:rsid w:val="370B587C"/>
    <w:rsid w:val="37332976"/>
    <w:rsid w:val="37830AB3"/>
    <w:rsid w:val="37841E99"/>
    <w:rsid w:val="37CC561A"/>
    <w:rsid w:val="37D86DCA"/>
    <w:rsid w:val="37DF62BC"/>
    <w:rsid w:val="381B27FE"/>
    <w:rsid w:val="385F174D"/>
    <w:rsid w:val="38787078"/>
    <w:rsid w:val="38811F86"/>
    <w:rsid w:val="38910B38"/>
    <w:rsid w:val="38AB0A1E"/>
    <w:rsid w:val="38B606A0"/>
    <w:rsid w:val="38C316CD"/>
    <w:rsid w:val="38D5160D"/>
    <w:rsid w:val="38E85EFA"/>
    <w:rsid w:val="38F56527"/>
    <w:rsid w:val="38F848ED"/>
    <w:rsid w:val="38FC4ABF"/>
    <w:rsid w:val="3903575F"/>
    <w:rsid w:val="392A6A70"/>
    <w:rsid w:val="393A6F47"/>
    <w:rsid w:val="394836C2"/>
    <w:rsid w:val="395D0B68"/>
    <w:rsid w:val="39642CEC"/>
    <w:rsid w:val="39A405D1"/>
    <w:rsid w:val="39AC145A"/>
    <w:rsid w:val="39C04597"/>
    <w:rsid w:val="39D75800"/>
    <w:rsid w:val="3A390F8B"/>
    <w:rsid w:val="3A47705C"/>
    <w:rsid w:val="3A696BE8"/>
    <w:rsid w:val="3A6B3806"/>
    <w:rsid w:val="3A7254FB"/>
    <w:rsid w:val="3A7D7122"/>
    <w:rsid w:val="3AA16444"/>
    <w:rsid w:val="3AA811CB"/>
    <w:rsid w:val="3AAD7959"/>
    <w:rsid w:val="3ACF167E"/>
    <w:rsid w:val="3AD26028"/>
    <w:rsid w:val="3AD67E83"/>
    <w:rsid w:val="3AF50E8B"/>
    <w:rsid w:val="3AF70A78"/>
    <w:rsid w:val="3B225E84"/>
    <w:rsid w:val="3B47390A"/>
    <w:rsid w:val="3B560DC8"/>
    <w:rsid w:val="3B892A46"/>
    <w:rsid w:val="3B911029"/>
    <w:rsid w:val="3B9308FD"/>
    <w:rsid w:val="3B962A7A"/>
    <w:rsid w:val="3BD3363D"/>
    <w:rsid w:val="3BE06A18"/>
    <w:rsid w:val="3BE71216"/>
    <w:rsid w:val="3BFC2946"/>
    <w:rsid w:val="3C0B0DDB"/>
    <w:rsid w:val="3C0C16CC"/>
    <w:rsid w:val="3C0E40ED"/>
    <w:rsid w:val="3C1001A0"/>
    <w:rsid w:val="3C430575"/>
    <w:rsid w:val="3C581B20"/>
    <w:rsid w:val="3C5C711F"/>
    <w:rsid w:val="3C695EBC"/>
    <w:rsid w:val="3CF14BB1"/>
    <w:rsid w:val="3D1B24D3"/>
    <w:rsid w:val="3D2B2B8C"/>
    <w:rsid w:val="3D4445A5"/>
    <w:rsid w:val="3D55642B"/>
    <w:rsid w:val="3D695DB9"/>
    <w:rsid w:val="3D751FF7"/>
    <w:rsid w:val="3D87623F"/>
    <w:rsid w:val="3DA70E77"/>
    <w:rsid w:val="3DB67215"/>
    <w:rsid w:val="3DC91476"/>
    <w:rsid w:val="3DC92CFC"/>
    <w:rsid w:val="3DF614B8"/>
    <w:rsid w:val="3E0F771B"/>
    <w:rsid w:val="3E2F7005"/>
    <w:rsid w:val="3E391C30"/>
    <w:rsid w:val="3E3B010A"/>
    <w:rsid w:val="3E3D0FF4"/>
    <w:rsid w:val="3E3E2DD6"/>
    <w:rsid w:val="3E433262"/>
    <w:rsid w:val="3E500B55"/>
    <w:rsid w:val="3E950E30"/>
    <w:rsid w:val="3EA51073"/>
    <w:rsid w:val="3EAF0C25"/>
    <w:rsid w:val="3EAF4ABF"/>
    <w:rsid w:val="3EE4324A"/>
    <w:rsid w:val="3EF30EB6"/>
    <w:rsid w:val="3F1011A1"/>
    <w:rsid w:val="3F4047C8"/>
    <w:rsid w:val="3F583F90"/>
    <w:rsid w:val="3F6470DE"/>
    <w:rsid w:val="3F6525B0"/>
    <w:rsid w:val="3F69024A"/>
    <w:rsid w:val="3F76656C"/>
    <w:rsid w:val="3F83115D"/>
    <w:rsid w:val="3F8526D6"/>
    <w:rsid w:val="3F866C15"/>
    <w:rsid w:val="3FBA1CCE"/>
    <w:rsid w:val="3FD84DCB"/>
    <w:rsid w:val="401453DC"/>
    <w:rsid w:val="401A0D8A"/>
    <w:rsid w:val="40265D04"/>
    <w:rsid w:val="40393804"/>
    <w:rsid w:val="404F5BCD"/>
    <w:rsid w:val="40561BEE"/>
    <w:rsid w:val="405975F3"/>
    <w:rsid w:val="40771177"/>
    <w:rsid w:val="407D1B7C"/>
    <w:rsid w:val="40915F1D"/>
    <w:rsid w:val="40D043A1"/>
    <w:rsid w:val="40D4443D"/>
    <w:rsid w:val="40D914A8"/>
    <w:rsid w:val="40EF620F"/>
    <w:rsid w:val="410A4A33"/>
    <w:rsid w:val="41173D7E"/>
    <w:rsid w:val="412B3CE0"/>
    <w:rsid w:val="415A6F31"/>
    <w:rsid w:val="41B0609E"/>
    <w:rsid w:val="41E77BF5"/>
    <w:rsid w:val="41F30347"/>
    <w:rsid w:val="4207790D"/>
    <w:rsid w:val="4212091B"/>
    <w:rsid w:val="421B789E"/>
    <w:rsid w:val="42480341"/>
    <w:rsid w:val="425404AC"/>
    <w:rsid w:val="4263164B"/>
    <w:rsid w:val="42940440"/>
    <w:rsid w:val="42C56F23"/>
    <w:rsid w:val="42C70660"/>
    <w:rsid w:val="42DF6B1E"/>
    <w:rsid w:val="436D276B"/>
    <w:rsid w:val="43BB350B"/>
    <w:rsid w:val="43BE419D"/>
    <w:rsid w:val="43E863A3"/>
    <w:rsid w:val="440C749E"/>
    <w:rsid w:val="440D1EAD"/>
    <w:rsid w:val="44253E1C"/>
    <w:rsid w:val="447119F7"/>
    <w:rsid w:val="44750934"/>
    <w:rsid w:val="44896B05"/>
    <w:rsid w:val="44A41DCD"/>
    <w:rsid w:val="44B50B65"/>
    <w:rsid w:val="44CF49A9"/>
    <w:rsid w:val="44E430F9"/>
    <w:rsid w:val="44E725FB"/>
    <w:rsid w:val="4508410A"/>
    <w:rsid w:val="4545717E"/>
    <w:rsid w:val="457A4B71"/>
    <w:rsid w:val="457C53C2"/>
    <w:rsid w:val="458D460F"/>
    <w:rsid w:val="458F3914"/>
    <w:rsid w:val="4591040A"/>
    <w:rsid w:val="459C29C3"/>
    <w:rsid w:val="45A32335"/>
    <w:rsid w:val="45B01E02"/>
    <w:rsid w:val="45B95404"/>
    <w:rsid w:val="45C559B5"/>
    <w:rsid w:val="45E83867"/>
    <w:rsid w:val="45F46709"/>
    <w:rsid w:val="46401681"/>
    <w:rsid w:val="46447925"/>
    <w:rsid w:val="464E18BF"/>
    <w:rsid w:val="465A3418"/>
    <w:rsid w:val="465C4E26"/>
    <w:rsid w:val="4668519E"/>
    <w:rsid w:val="46961862"/>
    <w:rsid w:val="46971BE9"/>
    <w:rsid w:val="46991E4C"/>
    <w:rsid w:val="46D85D5E"/>
    <w:rsid w:val="46DF3991"/>
    <w:rsid w:val="46F711A8"/>
    <w:rsid w:val="46F71C68"/>
    <w:rsid w:val="46FE7568"/>
    <w:rsid w:val="47024B89"/>
    <w:rsid w:val="47062619"/>
    <w:rsid w:val="47086643"/>
    <w:rsid w:val="47526238"/>
    <w:rsid w:val="475B6037"/>
    <w:rsid w:val="475F1429"/>
    <w:rsid w:val="47627A51"/>
    <w:rsid w:val="47725557"/>
    <w:rsid w:val="479D6BD4"/>
    <w:rsid w:val="47A14409"/>
    <w:rsid w:val="47A9027D"/>
    <w:rsid w:val="47B852D4"/>
    <w:rsid w:val="47BD1CB4"/>
    <w:rsid w:val="47EF3A41"/>
    <w:rsid w:val="47FE06FF"/>
    <w:rsid w:val="480C2BDB"/>
    <w:rsid w:val="48297024"/>
    <w:rsid w:val="486A2C72"/>
    <w:rsid w:val="48722D74"/>
    <w:rsid w:val="48757D08"/>
    <w:rsid w:val="488F6F88"/>
    <w:rsid w:val="48B22532"/>
    <w:rsid w:val="48BF0117"/>
    <w:rsid w:val="48EC6F54"/>
    <w:rsid w:val="48F25C1E"/>
    <w:rsid w:val="491822FA"/>
    <w:rsid w:val="492B0DD8"/>
    <w:rsid w:val="49383D01"/>
    <w:rsid w:val="4952517C"/>
    <w:rsid w:val="495A7327"/>
    <w:rsid w:val="496352B3"/>
    <w:rsid w:val="497E0A06"/>
    <w:rsid w:val="49826A75"/>
    <w:rsid w:val="4984005B"/>
    <w:rsid w:val="498E0956"/>
    <w:rsid w:val="49BC1967"/>
    <w:rsid w:val="49DE03C4"/>
    <w:rsid w:val="49ED222C"/>
    <w:rsid w:val="4A083E1D"/>
    <w:rsid w:val="4A0A75B1"/>
    <w:rsid w:val="4A0E7992"/>
    <w:rsid w:val="4A1F71D6"/>
    <w:rsid w:val="4A3E5E5F"/>
    <w:rsid w:val="4A477482"/>
    <w:rsid w:val="4A4863E2"/>
    <w:rsid w:val="4A585B4D"/>
    <w:rsid w:val="4A792DD8"/>
    <w:rsid w:val="4A8D1D4A"/>
    <w:rsid w:val="4AC64383"/>
    <w:rsid w:val="4B0978CD"/>
    <w:rsid w:val="4B0A0695"/>
    <w:rsid w:val="4B274E75"/>
    <w:rsid w:val="4B4C5715"/>
    <w:rsid w:val="4B524B95"/>
    <w:rsid w:val="4B553A9B"/>
    <w:rsid w:val="4B663B5F"/>
    <w:rsid w:val="4B691F21"/>
    <w:rsid w:val="4B7C595F"/>
    <w:rsid w:val="4B943ABE"/>
    <w:rsid w:val="4B9F7900"/>
    <w:rsid w:val="4BB22DE9"/>
    <w:rsid w:val="4BBE5E9B"/>
    <w:rsid w:val="4BE520F9"/>
    <w:rsid w:val="4BE60631"/>
    <w:rsid w:val="4BF86BB6"/>
    <w:rsid w:val="4C14380B"/>
    <w:rsid w:val="4C63421F"/>
    <w:rsid w:val="4C677F20"/>
    <w:rsid w:val="4C8F5111"/>
    <w:rsid w:val="4CAE17B4"/>
    <w:rsid w:val="4CBF4695"/>
    <w:rsid w:val="4CF90F82"/>
    <w:rsid w:val="4D161EE5"/>
    <w:rsid w:val="4D6D377D"/>
    <w:rsid w:val="4DB43081"/>
    <w:rsid w:val="4DCF21E7"/>
    <w:rsid w:val="4DDB28E8"/>
    <w:rsid w:val="4DEB45C9"/>
    <w:rsid w:val="4E2E73A4"/>
    <w:rsid w:val="4E375AF4"/>
    <w:rsid w:val="4E560982"/>
    <w:rsid w:val="4E71155A"/>
    <w:rsid w:val="4E7A61EA"/>
    <w:rsid w:val="4E80566E"/>
    <w:rsid w:val="4E8B7741"/>
    <w:rsid w:val="4E8E7A37"/>
    <w:rsid w:val="4EB602BA"/>
    <w:rsid w:val="4EB925DF"/>
    <w:rsid w:val="4EC17015"/>
    <w:rsid w:val="4ECD0381"/>
    <w:rsid w:val="4F205EC6"/>
    <w:rsid w:val="4F440671"/>
    <w:rsid w:val="4F542EE9"/>
    <w:rsid w:val="4F6E7B4A"/>
    <w:rsid w:val="4F8F00CE"/>
    <w:rsid w:val="4FA40ED3"/>
    <w:rsid w:val="4FB530E0"/>
    <w:rsid w:val="4FF65EED"/>
    <w:rsid w:val="50144F8D"/>
    <w:rsid w:val="502B121C"/>
    <w:rsid w:val="50677322"/>
    <w:rsid w:val="50707007"/>
    <w:rsid w:val="50B92BBB"/>
    <w:rsid w:val="50D17AA6"/>
    <w:rsid w:val="50D67F03"/>
    <w:rsid w:val="51173778"/>
    <w:rsid w:val="514815F2"/>
    <w:rsid w:val="515A3939"/>
    <w:rsid w:val="51600D2D"/>
    <w:rsid w:val="51780AD1"/>
    <w:rsid w:val="51E23039"/>
    <w:rsid w:val="51F90505"/>
    <w:rsid w:val="520873C6"/>
    <w:rsid w:val="52250CAC"/>
    <w:rsid w:val="522B0CD4"/>
    <w:rsid w:val="52316F69"/>
    <w:rsid w:val="5247586A"/>
    <w:rsid w:val="52555B9D"/>
    <w:rsid w:val="52724788"/>
    <w:rsid w:val="527414FE"/>
    <w:rsid w:val="52A07C95"/>
    <w:rsid w:val="52A4265F"/>
    <w:rsid w:val="52DE4138"/>
    <w:rsid w:val="52E64399"/>
    <w:rsid w:val="52EC506B"/>
    <w:rsid w:val="53092936"/>
    <w:rsid w:val="530A5DB9"/>
    <w:rsid w:val="5325057D"/>
    <w:rsid w:val="53270C19"/>
    <w:rsid w:val="532A2228"/>
    <w:rsid w:val="533B1054"/>
    <w:rsid w:val="533E3036"/>
    <w:rsid w:val="534558E3"/>
    <w:rsid w:val="53620E89"/>
    <w:rsid w:val="53646B78"/>
    <w:rsid w:val="5385050F"/>
    <w:rsid w:val="538C3DBD"/>
    <w:rsid w:val="53903F6C"/>
    <w:rsid w:val="539565B4"/>
    <w:rsid w:val="53966D85"/>
    <w:rsid w:val="539C2B73"/>
    <w:rsid w:val="53B611D5"/>
    <w:rsid w:val="53D63625"/>
    <w:rsid w:val="53ED176C"/>
    <w:rsid w:val="54613836"/>
    <w:rsid w:val="54624EB9"/>
    <w:rsid w:val="546B1FBF"/>
    <w:rsid w:val="54853FEB"/>
    <w:rsid w:val="54945958"/>
    <w:rsid w:val="54977258"/>
    <w:rsid w:val="54CF5594"/>
    <w:rsid w:val="54D73AF9"/>
    <w:rsid w:val="550A57EF"/>
    <w:rsid w:val="553843E9"/>
    <w:rsid w:val="553A3880"/>
    <w:rsid w:val="55407026"/>
    <w:rsid w:val="55956812"/>
    <w:rsid w:val="55A23C55"/>
    <w:rsid w:val="55B40C78"/>
    <w:rsid w:val="56396002"/>
    <w:rsid w:val="564B1F7F"/>
    <w:rsid w:val="567B624D"/>
    <w:rsid w:val="567D7FF9"/>
    <w:rsid w:val="56821074"/>
    <w:rsid w:val="56892CAB"/>
    <w:rsid w:val="568F468B"/>
    <w:rsid w:val="569577C7"/>
    <w:rsid w:val="56D71B8E"/>
    <w:rsid w:val="56D82C86"/>
    <w:rsid w:val="57372602"/>
    <w:rsid w:val="573E1AD9"/>
    <w:rsid w:val="5766071B"/>
    <w:rsid w:val="576750CD"/>
    <w:rsid w:val="57877110"/>
    <w:rsid w:val="578E60AD"/>
    <w:rsid w:val="57A64363"/>
    <w:rsid w:val="57C85FAD"/>
    <w:rsid w:val="57DF51BF"/>
    <w:rsid w:val="57E75E01"/>
    <w:rsid w:val="57E924B0"/>
    <w:rsid w:val="58030761"/>
    <w:rsid w:val="581C353D"/>
    <w:rsid w:val="582E6BC9"/>
    <w:rsid w:val="583A74BC"/>
    <w:rsid w:val="584F4B0D"/>
    <w:rsid w:val="587F332E"/>
    <w:rsid w:val="588418A2"/>
    <w:rsid w:val="58A921CB"/>
    <w:rsid w:val="58AE76F6"/>
    <w:rsid w:val="58B04D05"/>
    <w:rsid w:val="59152C4E"/>
    <w:rsid w:val="59180DE0"/>
    <w:rsid w:val="595C7663"/>
    <w:rsid w:val="595D0116"/>
    <w:rsid w:val="596179CA"/>
    <w:rsid w:val="59651C4E"/>
    <w:rsid w:val="597D243F"/>
    <w:rsid w:val="59885927"/>
    <w:rsid w:val="59907E48"/>
    <w:rsid w:val="59CF065B"/>
    <w:rsid w:val="59DC02C3"/>
    <w:rsid w:val="59DF08BF"/>
    <w:rsid w:val="59F56F6B"/>
    <w:rsid w:val="5A0B106E"/>
    <w:rsid w:val="5A2861BE"/>
    <w:rsid w:val="5A2E5F69"/>
    <w:rsid w:val="5A3617C7"/>
    <w:rsid w:val="5A387422"/>
    <w:rsid w:val="5A3E5E0C"/>
    <w:rsid w:val="5A6976FE"/>
    <w:rsid w:val="5A892D74"/>
    <w:rsid w:val="5A985AD8"/>
    <w:rsid w:val="5AA4733F"/>
    <w:rsid w:val="5AAA1E61"/>
    <w:rsid w:val="5AAC4F84"/>
    <w:rsid w:val="5AB11CC7"/>
    <w:rsid w:val="5AB843A8"/>
    <w:rsid w:val="5ABF408D"/>
    <w:rsid w:val="5AD7215D"/>
    <w:rsid w:val="5AE876A9"/>
    <w:rsid w:val="5B0905B8"/>
    <w:rsid w:val="5B194F45"/>
    <w:rsid w:val="5B1F3D9E"/>
    <w:rsid w:val="5B6876DE"/>
    <w:rsid w:val="5B6F3900"/>
    <w:rsid w:val="5B8D7738"/>
    <w:rsid w:val="5B9202EE"/>
    <w:rsid w:val="5B9919F1"/>
    <w:rsid w:val="5BAC0E1A"/>
    <w:rsid w:val="5BB60907"/>
    <w:rsid w:val="5BD85DEB"/>
    <w:rsid w:val="5BEA5EBF"/>
    <w:rsid w:val="5BF926CB"/>
    <w:rsid w:val="5C3D5DC7"/>
    <w:rsid w:val="5C5E4709"/>
    <w:rsid w:val="5C8408F0"/>
    <w:rsid w:val="5CB00D05"/>
    <w:rsid w:val="5CD07360"/>
    <w:rsid w:val="5CE03458"/>
    <w:rsid w:val="5D17355C"/>
    <w:rsid w:val="5D1C1B57"/>
    <w:rsid w:val="5D1F1727"/>
    <w:rsid w:val="5D211DB5"/>
    <w:rsid w:val="5D4D5789"/>
    <w:rsid w:val="5D4D6706"/>
    <w:rsid w:val="5D573851"/>
    <w:rsid w:val="5D5B1575"/>
    <w:rsid w:val="5D823CF9"/>
    <w:rsid w:val="5D9C51D6"/>
    <w:rsid w:val="5DA82D7C"/>
    <w:rsid w:val="5DB84613"/>
    <w:rsid w:val="5DB9023F"/>
    <w:rsid w:val="5DCD225D"/>
    <w:rsid w:val="5DD12E21"/>
    <w:rsid w:val="5DD9055F"/>
    <w:rsid w:val="5E1C76D1"/>
    <w:rsid w:val="5E245DC5"/>
    <w:rsid w:val="5E3C2170"/>
    <w:rsid w:val="5E3F235B"/>
    <w:rsid w:val="5E581806"/>
    <w:rsid w:val="5E79607B"/>
    <w:rsid w:val="5E8B1BDC"/>
    <w:rsid w:val="5E9828A0"/>
    <w:rsid w:val="5ECC4991"/>
    <w:rsid w:val="5EF91F57"/>
    <w:rsid w:val="5F010537"/>
    <w:rsid w:val="5F0A1550"/>
    <w:rsid w:val="5F296CFF"/>
    <w:rsid w:val="5F603A10"/>
    <w:rsid w:val="5F7B6E45"/>
    <w:rsid w:val="5F8108E9"/>
    <w:rsid w:val="5F8A6636"/>
    <w:rsid w:val="5F952071"/>
    <w:rsid w:val="5FBC2C06"/>
    <w:rsid w:val="600357A2"/>
    <w:rsid w:val="60334760"/>
    <w:rsid w:val="604C7149"/>
    <w:rsid w:val="60617832"/>
    <w:rsid w:val="60836644"/>
    <w:rsid w:val="608D6B18"/>
    <w:rsid w:val="608F57DC"/>
    <w:rsid w:val="60A8239F"/>
    <w:rsid w:val="60B80DB8"/>
    <w:rsid w:val="60C27DDA"/>
    <w:rsid w:val="610A1493"/>
    <w:rsid w:val="610C1348"/>
    <w:rsid w:val="610C731A"/>
    <w:rsid w:val="61154161"/>
    <w:rsid w:val="61255CB7"/>
    <w:rsid w:val="612F453E"/>
    <w:rsid w:val="61385935"/>
    <w:rsid w:val="615A7643"/>
    <w:rsid w:val="616B2317"/>
    <w:rsid w:val="617F102D"/>
    <w:rsid w:val="61A75C3A"/>
    <w:rsid w:val="61AA4A49"/>
    <w:rsid w:val="61BE7AEB"/>
    <w:rsid w:val="61E1377C"/>
    <w:rsid w:val="61E84C4F"/>
    <w:rsid w:val="61FC694D"/>
    <w:rsid w:val="62081078"/>
    <w:rsid w:val="620A4E86"/>
    <w:rsid w:val="621E5F08"/>
    <w:rsid w:val="623954AB"/>
    <w:rsid w:val="62506D7A"/>
    <w:rsid w:val="627776D2"/>
    <w:rsid w:val="62840F16"/>
    <w:rsid w:val="62997217"/>
    <w:rsid w:val="62D46144"/>
    <w:rsid w:val="62DC76C6"/>
    <w:rsid w:val="62F51111"/>
    <w:rsid w:val="631B5D38"/>
    <w:rsid w:val="63204B24"/>
    <w:rsid w:val="63261243"/>
    <w:rsid w:val="635A2F9C"/>
    <w:rsid w:val="636F6429"/>
    <w:rsid w:val="637F36E5"/>
    <w:rsid w:val="6393508F"/>
    <w:rsid w:val="639A466F"/>
    <w:rsid w:val="63BF0338"/>
    <w:rsid w:val="63C17E4E"/>
    <w:rsid w:val="63ED7DC4"/>
    <w:rsid w:val="63F16900"/>
    <w:rsid w:val="64020661"/>
    <w:rsid w:val="640B574E"/>
    <w:rsid w:val="6423369D"/>
    <w:rsid w:val="64481FE3"/>
    <w:rsid w:val="64701DDC"/>
    <w:rsid w:val="647750E4"/>
    <w:rsid w:val="648237E2"/>
    <w:rsid w:val="64AE1287"/>
    <w:rsid w:val="64B80F38"/>
    <w:rsid w:val="64B84E99"/>
    <w:rsid w:val="64DA2415"/>
    <w:rsid w:val="64DB327A"/>
    <w:rsid w:val="64E416F6"/>
    <w:rsid w:val="64FC5F28"/>
    <w:rsid w:val="65624D19"/>
    <w:rsid w:val="658F55F4"/>
    <w:rsid w:val="65905F2A"/>
    <w:rsid w:val="65906309"/>
    <w:rsid w:val="65C504AF"/>
    <w:rsid w:val="65CA12D0"/>
    <w:rsid w:val="65D8613A"/>
    <w:rsid w:val="65D8743E"/>
    <w:rsid w:val="65F848FD"/>
    <w:rsid w:val="65FA51A8"/>
    <w:rsid w:val="65FB00E6"/>
    <w:rsid w:val="661D1487"/>
    <w:rsid w:val="664E0694"/>
    <w:rsid w:val="664E34EF"/>
    <w:rsid w:val="667129E8"/>
    <w:rsid w:val="669F075C"/>
    <w:rsid w:val="669F3353"/>
    <w:rsid w:val="66A029FE"/>
    <w:rsid w:val="66A5371E"/>
    <w:rsid w:val="66BE68C6"/>
    <w:rsid w:val="66ED711B"/>
    <w:rsid w:val="6704060C"/>
    <w:rsid w:val="674E307B"/>
    <w:rsid w:val="67670D0C"/>
    <w:rsid w:val="67A2035E"/>
    <w:rsid w:val="67CC7679"/>
    <w:rsid w:val="67D87F26"/>
    <w:rsid w:val="67E34F94"/>
    <w:rsid w:val="67E70CDD"/>
    <w:rsid w:val="67E97973"/>
    <w:rsid w:val="68371A53"/>
    <w:rsid w:val="68514F94"/>
    <w:rsid w:val="685B571B"/>
    <w:rsid w:val="68635ADE"/>
    <w:rsid w:val="68A22855"/>
    <w:rsid w:val="68CA0D5A"/>
    <w:rsid w:val="693C4933"/>
    <w:rsid w:val="693F2021"/>
    <w:rsid w:val="6944743F"/>
    <w:rsid w:val="697209A4"/>
    <w:rsid w:val="697936DF"/>
    <w:rsid w:val="69A70DF7"/>
    <w:rsid w:val="69B53FB1"/>
    <w:rsid w:val="69D4305F"/>
    <w:rsid w:val="6A0F78DE"/>
    <w:rsid w:val="6A152CA1"/>
    <w:rsid w:val="6A2E4344"/>
    <w:rsid w:val="6A3D2826"/>
    <w:rsid w:val="6A955B90"/>
    <w:rsid w:val="6A961782"/>
    <w:rsid w:val="6AB57FE0"/>
    <w:rsid w:val="6ABE6E95"/>
    <w:rsid w:val="6AC02E1B"/>
    <w:rsid w:val="6ACC0E5B"/>
    <w:rsid w:val="6ACD5200"/>
    <w:rsid w:val="6AD37293"/>
    <w:rsid w:val="6AF42ACD"/>
    <w:rsid w:val="6B0B2C71"/>
    <w:rsid w:val="6B2A452A"/>
    <w:rsid w:val="6B4C266D"/>
    <w:rsid w:val="6B572BE0"/>
    <w:rsid w:val="6B583567"/>
    <w:rsid w:val="6B95409A"/>
    <w:rsid w:val="6BAA3BFF"/>
    <w:rsid w:val="6BCA06F6"/>
    <w:rsid w:val="6BEC5C84"/>
    <w:rsid w:val="6C0E0099"/>
    <w:rsid w:val="6C111F83"/>
    <w:rsid w:val="6C153260"/>
    <w:rsid w:val="6C300330"/>
    <w:rsid w:val="6C445178"/>
    <w:rsid w:val="6C4D41DC"/>
    <w:rsid w:val="6C64734B"/>
    <w:rsid w:val="6C657755"/>
    <w:rsid w:val="6C6B2037"/>
    <w:rsid w:val="6C8012FC"/>
    <w:rsid w:val="6C834E0F"/>
    <w:rsid w:val="6CA20189"/>
    <w:rsid w:val="6CAD529C"/>
    <w:rsid w:val="6CD72490"/>
    <w:rsid w:val="6CE97F9C"/>
    <w:rsid w:val="6CED097F"/>
    <w:rsid w:val="6CEF3EC4"/>
    <w:rsid w:val="6CF6216A"/>
    <w:rsid w:val="6CF7043C"/>
    <w:rsid w:val="6D0470CE"/>
    <w:rsid w:val="6D1B5B49"/>
    <w:rsid w:val="6D360C7F"/>
    <w:rsid w:val="6D602490"/>
    <w:rsid w:val="6D8C0711"/>
    <w:rsid w:val="6D9D0385"/>
    <w:rsid w:val="6DA32372"/>
    <w:rsid w:val="6DCF13B9"/>
    <w:rsid w:val="6DDC76CA"/>
    <w:rsid w:val="6DE36C13"/>
    <w:rsid w:val="6DEA43BB"/>
    <w:rsid w:val="6DFE061E"/>
    <w:rsid w:val="6E2E7E8E"/>
    <w:rsid w:val="6E2F6031"/>
    <w:rsid w:val="6E443B55"/>
    <w:rsid w:val="6E490430"/>
    <w:rsid w:val="6E7A2187"/>
    <w:rsid w:val="6E91041D"/>
    <w:rsid w:val="6E966AF8"/>
    <w:rsid w:val="6E9C74ED"/>
    <w:rsid w:val="6EC32CCC"/>
    <w:rsid w:val="6EE07AA3"/>
    <w:rsid w:val="6F0B2A24"/>
    <w:rsid w:val="6F2828ED"/>
    <w:rsid w:val="6F40431D"/>
    <w:rsid w:val="6F4108FD"/>
    <w:rsid w:val="6F614779"/>
    <w:rsid w:val="6F6252A5"/>
    <w:rsid w:val="6F807787"/>
    <w:rsid w:val="6F864F77"/>
    <w:rsid w:val="6F8C5D20"/>
    <w:rsid w:val="6FA535AD"/>
    <w:rsid w:val="6FAB7356"/>
    <w:rsid w:val="6FAD1286"/>
    <w:rsid w:val="6FE659F4"/>
    <w:rsid w:val="700617FD"/>
    <w:rsid w:val="700A492A"/>
    <w:rsid w:val="700F0193"/>
    <w:rsid w:val="70316798"/>
    <w:rsid w:val="70341C53"/>
    <w:rsid w:val="7048272A"/>
    <w:rsid w:val="705336EA"/>
    <w:rsid w:val="705566AD"/>
    <w:rsid w:val="7056191E"/>
    <w:rsid w:val="705C55FA"/>
    <w:rsid w:val="706436E2"/>
    <w:rsid w:val="707219BA"/>
    <w:rsid w:val="707F11A9"/>
    <w:rsid w:val="709B56A6"/>
    <w:rsid w:val="70B6087A"/>
    <w:rsid w:val="70D12C65"/>
    <w:rsid w:val="70D23762"/>
    <w:rsid w:val="71077514"/>
    <w:rsid w:val="710F044A"/>
    <w:rsid w:val="710F474F"/>
    <w:rsid w:val="71121CE9"/>
    <w:rsid w:val="711B41F8"/>
    <w:rsid w:val="71217AAC"/>
    <w:rsid w:val="71384F8A"/>
    <w:rsid w:val="715B7B07"/>
    <w:rsid w:val="717464FF"/>
    <w:rsid w:val="717838E9"/>
    <w:rsid w:val="718D36B9"/>
    <w:rsid w:val="7191080A"/>
    <w:rsid w:val="719D54F4"/>
    <w:rsid w:val="71F966DF"/>
    <w:rsid w:val="72072AB1"/>
    <w:rsid w:val="720C2B60"/>
    <w:rsid w:val="72166769"/>
    <w:rsid w:val="72181CB5"/>
    <w:rsid w:val="723D56C9"/>
    <w:rsid w:val="724C122A"/>
    <w:rsid w:val="725950D2"/>
    <w:rsid w:val="72604CD6"/>
    <w:rsid w:val="726B447D"/>
    <w:rsid w:val="72A72905"/>
    <w:rsid w:val="72AB7696"/>
    <w:rsid w:val="72EB2808"/>
    <w:rsid w:val="73010243"/>
    <w:rsid w:val="73327FCA"/>
    <w:rsid w:val="733B10CF"/>
    <w:rsid w:val="733B30AC"/>
    <w:rsid w:val="73753887"/>
    <w:rsid w:val="737C6E2E"/>
    <w:rsid w:val="73951FDA"/>
    <w:rsid w:val="73982AE0"/>
    <w:rsid w:val="739F538A"/>
    <w:rsid w:val="73E75E56"/>
    <w:rsid w:val="73EF1E6D"/>
    <w:rsid w:val="74153D34"/>
    <w:rsid w:val="74371717"/>
    <w:rsid w:val="7458574B"/>
    <w:rsid w:val="74602D6B"/>
    <w:rsid w:val="74603D6D"/>
    <w:rsid w:val="74615AEE"/>
    <w:rsid w:val="746871FA"/>
    <w:rsid w:val="747420CC"/>
    <w:rsid w:val="747E0938"/>
    <w:rsid w:val="748339B4"/>
    <w:rsid w:val="748A5C74"/>
    <w:rsid w:val="748D33EA"/>
    <w:rsid w:val="749B0732"/>
    <w:rsid w:val="74A1414C"/>
    <w:rsid w:val="74B06FDA"/>
    <w:rsid w:val="74B55DA6"/>
    <w:rsid w:val="74D552C0"/>
    <w:rsid w:val="74D94493"/>
    <w:rsid w:val="74EE3CE4"/>
    <w:rsid w:val="75116475"/>
    <w:rsid w:val="752A3B98"/>
    <w:rsid w:val="75482567"/>
    <w:rsid w:val="75685A1E"/>
    <w:rsid w:val="75687FE9"/>
    <w:rsid w:val="75A34131"/>
    <w:rsid w:val="75B5256F"/>
    <w:rsid w:val="75BD4891"/>
    <w:rsid w:val="75BF63D6"/>
    <w:rsid w:val="75F40A2B"/>
    <w:rsid w:val="76074E01"/>
    <w:rsid w:val="764B14F2"/>
    <w:rsid w:val="764B18AA"/>
    <w:rsid w:val="76572164"/>
    <w:rsid w:val="76577553"/>
    <w:rsid w:val="768355B1"/>
    <w:rsid w:val="7691510D"/>
    <w:rsid w:val="76922E6B"/>
    <w:rsid w:val="76A13C9D"/>
    <w:rsid w:val="76A55630"/>
    <w:rsid w:val="76C66F98"/>
    <w:rsid w:val="76D11BD5"/>
    <w:rsid w:val="76D71980"/>
    <w:rsid w:val="76D87530"/>
    <w:rsid w:val="76DF6245"/>
    <w:rsid w:val="77076F46"/>
    <w:rsid w:val="771221B4"/>
    <w:rsid w:val="7712230A"/>
    <w:rsid w:val="771335FC"/>
    <w:rsid w:val="772E4ACD"/>
    <w:rsid w:val="77511F80"/>
    <w:rsid w:val="776970C2"/>
    <w:rsid w:val="77866F8C"/>
    <w:rsid w:val="77C66299"/>
    <w:rsid w:val="77C95202"/>
    <w:rsid w:val="77CB499F"/>
    <w:rsid w:val="77D2148E"/>
    <w:rsid w:val="77E03007"/>
    <w:rsid w:val="77E334BC"/>
    <w:rsid w:val="77F171BF"/>
    <w:rsid w:val="78124A54"/>
    <w:rsid w:val="781C2FFB"/>
    <w:rsid w:val="7827031A"/>
    <w:rsid w:val="782D3362"/>
    <w:rsid w:val="783F09AA"/>
    <w:rsid w:val="784851FE"/>
    <w:rsid w:val="78710953"/>
    <w:rsid w:val="7876543E"/>
    <w:rsid w:val="788D434B"/>
    <w:rsid w:val="788F2E8E"/>
    <w:rsid w:val="78963EC5"/>
    <w:rsid w:val="789B7D2E"/>
    <w:rsid w:val="78D80742"/>
    <w:rsid w:val="78F008DC"/>
    <w:rsid w:val="794F5DED"/>
    <w:rsid w:val="79B706C6"/>
    <w:rsid w:val="79BA3EBF"/>
    <w:rsid w:val="79D40750"/>
    <w:rsid w:val="7A14448A"/>
    <w:rsid w:val="7A15269A"/>
    <w:rsid w:val="7A195E57"/>
    <w:rsid w:val="7A1E2C47"/>
    <w:rsid w:val="7A3A405E"/>
    <w:rsid w:val="7A5C2227"/>
    <w:rsid w:val="7A9231A9"/>
    <w:rsid w:val="7AA949B4"/>
    <w:rsid w:val="7AAE2C70"/>
    <w:rsid w:val="7ACC1A18"/>
    <w:rsid w:val="7ACF2DEC"/>
    <w:rsid w:val="7AD50F5F"/>
    <w:rsid w:val="7B2E5C1C"/>
    <w:rsid w:val="7B571375"/>
    <w:rsid w:val="7B592B92"/>
    <w:rsid w:val="7BBA01B1"/>
    <w:rsid w:val="7BBD4BB0"/>
    <w:rsid w:val="7BC934AC"/>
    <w:rsid w:val="7BE115A8"/>
    <w:rsid w:val="7C104DAC"/>
    <w:rsid w:val="7C4C17A9"/>
    <w:rsid w:val="7C9D3EA5"/>
    <w:rsid w:val="7CD3662F"/>
    <w:rsid w:val="7D142945"/>
    <w:rsid w:val="7D2E1610"/>
    <w:rsid w:val="7D2E5047"/>
    <w:rsid w:val="7D4104C7"/>
    <w:rsid w:val="7D552901"/>
    <w:rsid w:val="7D567401"/>
    <w:rsid w:val="7D605B8A"/>
    <w:rsid w:val="7D671202"/>
    <w:rsid w:val="7D717436"/>
    <w:rsid w:val="7D773700"/>
    <w:rsid w:val="7D8555F0"/>
    <w:rsid w:val="7DAB117E"/>
    <w:rsid w:val="7DB50E2C"/>
    <w:rsid w:val="7E1948EB"/>
    <w:rsid w:val="7E1D3A7B"/>
    <w:rsid w:val="7E2A79E3"/>
    <w:rsid w:val="7E3C2153"/>
    <w:rsid w:val="7E484C48"/>
    <w:rsid w:val="7E492AC2"/>
    <w:rsid w:val="7E623703"/>
    <w:rsid w:val="7E6B6EDC"/>
    <w:rsid w:val="7E714D2D"/>
    <w:rsid w:val="7E881640"/>
    <w:rsid w:val="7E896766"/>
    <w:rsid w:val="7EBC147F"/>
    <w:rsid w:val="7ECD7971"/>
    <w:rsid w:val="7EE2719E"/>
    <w:rsid w:val="7EF936FE"/>
    <w:rsid w:val="7F397B88"/>
    <w:rsid w:val="7F4B7E2D"/>
    <w:rsid w:val="7F564788"/>
    <w:rsid w:val="7F8527B8"/>
    <w:rsid w:val="7F857B2A"/>
    <w:rsid w:val="7F8D435A"/>
    <w:rsid w:val="7F9B74A5"/>
    <w:rsid w:val="7F9F200D"/>
    <w:rsid w:val="7FA2248A"/>
    <w:rsid w:val="7FA60EE7"/>
    <w:rsid w:val="7FC26F52"/>
    <w:rsid w:val="7FC96491"/>
    <w:rsid w:val="7FF31F60"/>
    <w:rsid w:val="7FF61C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53"/>
    <w:qFormat/>
    <w:uiPriority w:val="0"/>
    <w:pPr>
      <w:keepNext/>
      <w:widowControl/>
      <w:numPr>
        <w:ilvl w:val="0"/>
        <w:numId w:val="1"/>
      </w:numPr>
      <w:jc w:val="center"/>
      <w:outlineLvl w:val="0"/>
    </w:pPr>
    <w:rPr>
      <w:rFonts w:ascii="黑体" w:eastAsia="黑体"/>
      <w:kern w:val="0"/>
      <w:sz w:val="52"/>
      <w:szCs w:val="20"/>
    </w:rPr>
  </w:style>
  <w:style w:type="paragraph" w:styleId="4">
    <w:name w:val="heading 2"/>
    <w:basedOn w:val="3"/>
    <w:next w:val="1"/>
    <w:link w:val="54"/>
    <w:qFormat/>
    <w:uiPriority w:val="0"/>
    <w:pPr>
      <w:keepLines/>
      <w:spacing w:before="260" w:after="260" w:line="416" w:lineRule="auto"/>
      <w:outlineLvl w:val="1"/>
    </w:pPr>
    <w:rPr>
      <w:rFonts w:ascii="Arial" w:hAnsi="Arial"/>
      <w:b/>
      <w:bCs/>
      <w:sz w:val="32"/>
      <w:szCs w:val="32"/>
    </w:rPr>
  </w:style>
  <w:style w:type="paragraph" w:styleId="5">
    <w:name w:val="heading 3"/>
    <w:basedOn w:val="4"/>
    <w:next w:val="1"/>
    <w:link w:val="55"/>
    <w:qFormat/>
    <w:uiPriority w:val="0"/>
    <w:pPr>
      <w:numPr>
        <w:ilvl w:val="2"/>
      </w:numPr>
      <w:spacing w:before="120" w:after="120" w:line="360" w:lineRule="auto"/>
      <w:outlineLvl w:val="2"/>
    </w:pPr>
    <w:rPr>
      <w:b w:val="0"/>
      <w:szCs w:val="20"/>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rPr>
  </w:style>
  <w:style w:type="paragraph" w:styleId="7">
    <w:name w:val="heading 5"/>
    <w:basedOn w:val="1"/>
    <w:next w:val="1"/>
    <w:qFormat/>
    <w:uiPriority w:val="0"/>
    <w:pPr>
      <w:keepNext/>
      <w:keepLines/>
      <w:spacing w:before="280" w:after="290" w:line="372" w:lineRule="auto"/>
      <w:outlineLvl w:val="4"/>
    </w:pPr>
    <w:rPr>
      <w:b/>
      <w:bCs/>
      <w:sz w:val="28"/>
      <w:szCs w:val="28"/>
    </w:rPr>
  </w:style>
  <w:style w:type="paragraph" w:styleId="8">
    <w:name w:val="heading 6"/>
    <w:basedOn w:val="1"/>
    <w:next w:val="1"/>
    <w:link w:val="56"/>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szCs w:val="24"/>
    </w:rPr>
  </w:style>
  <w:style w:type="paragraph" w:styleId="9">
    <w:name w:val="heading 7"/>
    <w:basedOn w:val="1"/>
    <w:next w:val="1"/>
    <w:link w:val="57"/>
    <w:qFormat/>
    <w:uiPriority w:val="0"/>
    <w:pPr>
      <w:keepNext/>
      <w:keepLines/>
      <w:widowControl/>
      <w:numPr>
        <w:ilvl w:val="6"/>
        <w:numId w:val="1"/>
      </w:numPr>
      <w:spacing w:before="240" w:after="64" w:line="320" w:lineRule="auto"/>
      <w:jc w:val="left"/>
      <w:outlineLvl w:val="6"/>
    </w:pPr>
    <w:rPr>
      <w:b/>
      <w:bCs/>
      <w:kern w:val="0"/>
      <w:sz w:val="24"/>
      <w:szCs w:val="24"/>
    </w:rPr>
  </w:style>
  <w:style w:type="paragraph" w:styleId="10">
    <w:name w:val="heading 8"/>
    <w:basedOn w:val="1"/>
    <w:next w:val="1"/>
    <w:link w:val="58"/>
    <w:qFormat/>
    <w:uiPriority w:val="0"/>
    <w:pPr>
      <w:keepNext/>
      <w:keepLines/>
      <w:widowControl/>
      <w:numPr>
        <w:ilvl w:val="7"/>
        <w:numId w:val="1"/>
      </w:numPr>
      <w:spacing w:before="240" w:after="64" w:line="320" w:lineRule="auto"/>
      <w:jc w:val="left"/>
      <w:outlineLvl w:val="7"/>
    </w:pPr>
    <w:rPr>
      <w:rFonts w:ascii="Arial" w:hAnsi="Arial" w:eastAsia="黑体"/>
      <w:kern w:val="0"/>
      <w:sz w:val="24"/>
      <w:szCs w:val="24"/>
    </w:rPr>
  </w:style>
  <w:style w:type="paragraph" w:styleId="11">
    <w:name w:val="heading 9"/>
    <w:basedOn w:val="1"/>
    <w:next w:val="1"/>
    <w:link w:val="59"/>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link w:val="14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lang w:eastAsia="en-US"/>
    </w:rPr>
  </w:style>
  <w:style w:type="paragraph" w:styleId="12">
    <w:name w:val="toc 7"/>
    <w:basedOn w:val="1"/>
    <w:next w:val="1"/>
    <w:semiHidden/>
    <w:qFormat/>
    <w:uiPriority w:val="0"/>
    <w:pPr>
      <w:ind w:left="1200"/>
      <w:jc w:val="left"/>
    </w:pPr>
    <w:rPr>
      <w:kern w:val="0"/>
      <w:sz w:val="18"/>
      <w:szCs w:val="18"/>
    </w:rPr>
  </w:style>
  <w:style w:type="paragraph" w:styleId="13">
    <w:name w:val="Normal Indent"/>
    <w:basedOn w:val="1"/>
    <w:next w:val="1"/>
    <w:qFormat/>
    <w:uiPriority w:val="0"/>
    <w:pPr>
      <w:ind w:firstLine="420" w:firstLineChars="200"/>
    </w:pPr>
    <w:rPr>
      <w:rFonts w:ascii="宋体" w:hAnsi="宋体"/>
      <w:kern w:val="0"/>
      <w:sz w:val="20"/>
      <w:szCs w:val="24"/>
    </w:rPr>
  </w:style>
  <w:style w:type="paragraph" w:styleId="14">
    <w:name w:val="caption"/>
    <w:basedOn w:val="1"/>
    <w:next w:val="1"/>
    <w:qFormat/>
    <w:uiPriority w:val="99"/>
    <w:pPr>
      <w:spacing w:before="152" w:after="160"/>
    </w:pPr>
    <w:rPr>
      <w:rFonts w:ascii="Arial" w:hAnsi="Arial" w:eastAsia="黑体" w:cs="Arial"/>
      <w:sz w:val="20"/>
      <w:szCs w:val="20"/>
    </w:rPr>
  </w:style>
  <w:style w:type="paragraph" w:styleId="15">
    <w:name w:val="Document Map"/>
    <w:basedOn w:val="1"/>
    <w:link w:val="60"/>
    <w:semiHidden/>
    <w:qFormat/>
    <w:uiPriority w:val="0"/>
    <w:pPr>
      <w:shd w:val="clear" w:color="auto" w:fill="000080"/>
    </w:pPr>
    <w:rPr>
      <w:rFonts w:ascii="宋体" w:hAnsi="宋体"/>
      <w:kern w:val="0"/>
      <w:sz w:val="20"/>
      <w:szCs w:val="24"/>
    </w:rPr>
  </w:style>
  <w:style w:type="paragraph" w:styleId="16">
    <w:name w:val="toa heading"/>
    <w:basedOn w:val="1"/>
    <w:next w:val="1"/>
    <w:qFormat/>
    <w:uiPriority w:val="0"/>
    <w:pPr>
      <w:spacing w:before="120"/>
    </w:pPr>
    <w:rPr>
      <w:rFonts w:ascii="Arial" w:hAnsi="Arial" w:cs="Arial"/>
      <w:sz w:val="24"/>
    </w:rPr>
  </w:style>
  <w:style w:type="paragraph" w:styleId="17">
    <w:name w:val="annotation text"/>
    <w:basedOn w:val="1"/>
    <w:link w:val="61"/>
    <w:qFormat/>
    <w:uiPriority w:val="0"/>
    <w:pPr>
      <w:jc w:val="left"/>
    </w:pPr>
    <w:rPr>
      <w:rFonts w:ascii="Courier New" w:hAnsi="Courier New"/>
      <w:color w:val="000000"/>
      <w:kern w:val="0"/>
      <w:sz w:val="24"/>
      <w:szCs w:val="24"/>
      <w:lang w:val="zh-CN"/>
    </w:rPr>
  </w:style>
  <w:style w:type="paragraph" w:styleId="18">
    <w:name w:val="Body Text"/>
    <w:basedOn w:val="1"/>
    <w:next w:val="1"/>
    <w:link w:val="62"/>
    <w:qFormat/>
    <w:uiPriority w:val="0"/>
    <w:pPr>
      <w:spacing w:after="120"/>
    </w:pPr>
    <w:rPr>
      <w:rFonts w:ascii="宋体" w:hAnsi="宋体"/>
      <w:kern w:val="0"/>
      <w:sz w:val="20"/>
      <w:szCs w:val="24"/>
    </w:rPr>
  </w:style>
  <w:style w:type="paragraph" w:styleId="19">
    <w:name w:val="Body Text Indent"/>
    <w:basedOn w:val="1"/>
    <w:next w:val="20"/>
    <w:link w:val="63"/>
    <w:qFormat/>
    <w:uiPriority w:val="0"/>
    <w:pPr>
      <w:spacing w:after="120"/>
      <w:ind w:left="420" w:leftChars="200"/>
    </w:pPr>
    <w:rPr>
      <w:rFonts w:ascii="宋体" w:hAnsi="宋体"/>
      <w:kern w:val="0"/>
      <w:sz w:val="20"/>
      <w:szCs w:val="24"/>
    </w:rPr>
  </w:style>
  <w:style w:type="paragraph" w:styleId="20">
    <w:name w:val="envelope return"/>
    <w:basedOn w:val="1"/>
    <w:qFormat/>
    <w:uiPriority w:val="0"/>
    <w:pPr>
      <w:snapToGrid w:val="0"/>
      <w:spacing w:line="360" w:lineRule="auto"/>
      <w:ind w:firstLine="200" w:firstLineChars="200"/>
    </w:pPr>
    <w:rPr>
      <w:rFonts w:ascii="Arial" w:hAnsi="Arial" w:cs="Arial"/>
      <w:sz w:val="24"/>
      <w:szCs w:val="24"/>
    </w:rPr>
  </w:style>
  <w:style w:type="paragraph" w:styleId="21">
    <w:name w:val="Block Text"/>
    <w:basedOn w:val="1"/>
    <w:qFormat/>
    <w:uiPriority w:val="0"/>
    <w:pPr>
      <w:ind w:left="-4" w:right="-108"/>
    </w:pPr>
    <w:rPr>
      <w:rFonts w:ascii="宋体"/>
      <w:sz w:val="28"/>
      <w:szCs w:val="20"/>
    </w:rPr>
  </w:style>
  <w:style w:type="paragraph" w:styleId="22">
    <w:name w:val="toc 5"/>
    <w:basedOn w:val="1"/>
    <w:next w:val="1"/>
    <w:semiHidden/>
    <w:qFormat/>
    <w:uiPriority w:val="0"/>
    <w:pPr>
      <w:ind w:left="800"/>
      <w:jc w:val="left"/>
    </w:pPr>
    <w:rPr>
      <w:kern w:val="0"/>
      <w:sz w:val="18"/>
      <w:szCs w:val="18"/>
    </w:rPr>
  </w:style>
  <w:style w:type="paragraph" w:styleId="23">
    <w:name w:val="toc 3"/>
    <w:basedOn w:val="1"/>
    <w:next w:val="1"/>
    <w:semiHidden/>
    <w:qFormat/>
    <w:uiPriority w:val="0"/>
    <w:pPr>
      <w:ind w:left="400"/>
      <w:jc w:val="left"/>
    </w:pPr>
    <w:rPr>
      <w:i/>
      <w:iCs/>
      <w:kern w:val="0"/>
      <w:sz w:val="20"/>
      <w:szCs w:val="20"/>
    </w:rPr>
  </w:style>
  <w:style w:type="paragraph" w:styleId="24">
    <w:name w:val="Plain Text"/>
    <w:basedOn w:val="1"/>
    <w:link w:val="64"/>
    <w:qFormat/>
    <w:uiPriority w:val="0"/>
    <w:rPr>
      <w:rFonts w:ascii="宋体" w:hAnsi="Courier New"/>
      <w:szCs w:val="20"/>
    </w:rPr>
  </w:style>
  <w:style w:type="paragraph" w:styleId="25">
    <w:name w:val="toc 8"/>
    <w:basedOn w:val="1"/>
    <w:next w:val="1"/>
    <w:semiHidden/>
    <w:qFormat/>
    <w:uiPriority w:val="0"/>
    <w:pPr>
      <w:ind w:left="1400"/>
      <w:jc w:val="left"/>
    </w:pPr>
    <w:rPr>
      <w:kern w:val="0"/>
      <w:sz w:val="18"/>
      <w:szCs w:val="18"/>
    </w:rPr>
  </w:style>
  <w:style w:type="paragraph" w:styleId="26">
    <w:name w:val="Date"/>
    <w:basedOn w:val="1"/>
    <w:next w:val="1"/>
    <w:link w:val="65"/>
    <w:unhideWhenUsed/>
    <w:qFormat/>
    <w:uiPriority w:val="99"/>
    <w:pPr>
      <w:ind w:left="100" w:leftChars="2500"/>
    </w:pPr>
  </w:style>
  <w:style w:type="paragraph" w:styleId="27">
    <w:name w:val="Body Text Indent 2"/>
    <w:basedOn w:val="1"/>
    <w:link w:val="66"/>
    <w:qFormat/>
    <w:uiPriority w:val="0"/>
    <w:pPr>
      <w:spacing w:after="120" w:line="480" w:lineRule="auto"/>
      <w:ind w:left="420" w:leftChars="200"/>
    </w:pPr>
    <w:rPr>
      <w:rFonts w:ascii="宋体" w:hAnsi="宋体"/>
      <w:kern w:val="0"/>
      <w:sz w:val="20"/>
      <w:szCs w:val="24"/>
    </w:rPr>
  </w:style>
  <w:style w:type="paragraph" w:styleId="28">
    <w:name w:val="Balloon Text"/>
    <w:basedOn w:val="1"/>
    <w:link w:val="67"/>
    <w:unhideWhenUsed/>
    <w:qFormat/>
    <w:uiPriority w:val="99"/>
    <w:rPr>
      <w:kern w:val="0"/>
      <w:sz w:val="18"/>
      <w:szCs w:val="18"/>
    </w:rPr>
  </w:style>
  <w:style w:type="paragraph" w:styleId="29">
    <w:name w:val="footer"/>
    <w:basedOn w:val="1"/>
    <w:link w:val="68"/>
    <w:unhideWhenUsed/>
    <w:qFormat/>
    <w:uiPriority w:val="99"/>
    <w:pPr>
      <w:tabs>
        <w:tab w:val="center" w:pos="4153"/>
        <w:tab w:val="right" w:pos="8306"/>
      </w:tabs>
      <w:snapToGrid w:val="0"/>
      <w:jc w:val="left"/>
    </w:pPr>
    <w:rPr>
      <w:kern w:val="0"/>
      <w:sz w:val="18"/>
      <w:szCs w:val="18"/>
    </w:rPr>
  </w:style>
  <w:style w:type="paragraph" w:styleId="30">
    <w:name w:val="header"/>
    <w:basedOn w:val="1"/>
    <w:link w:val="6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1">
    <w:name w:val="toc 1"/>
    <w:basedOn w:val="1"/>
    <w:next w:val="1"/>
    <w:qFormat/>
    <w:uiPriority w:val="39"/>
    <w:pPr>
      <w:tabs>
        <w:tab w:val="right" w:leader="dot" w:pos="8985"/>
      </w:tabs>
      <w:snapToGrid w:val="0"/>
      <w:spacing w:before="120" w:after="120" w:line="360" w:lineRule="auto"/>
      <w:jc w:val="center"/>
    </w:pPr>
    <w:rPr>
      <w:b/>
      <w:bCs/>
      <w:caps/>
      <w:kern w:val="0"/>
      <w:sz w:val="32"/>
      <w:szCs w:val="32"/>
    </w:rPr>
  </w:style>
  <w:style w:type="paragraph" w:styleId="32">
    <w:name w:val="toc 4"/>
    <w:basedOn w:val="1"/>
    <w:next w:val="1"/>
    <w:semiHidden/>
    <w:qFormat/>
    <w:uiPriority w:val="0"/>
    <w:pPr>
      <w:ind w:left="600"/>
      <w:jc w:val="left"/>
    </w:pPr>
    <w:rPr>
      <w:kern w:val="0"/>
      <w:sz w:val="18"/>
      <w:szCs w:val="18"/>
    </w:rPr>
  </w:style>
  <w:style w:type="paragraph" w:styleId="33">
    <w:name w:val="toc 6"/>
    <w:basedOn w:val="1"/>
    <w:next w:val="1"/>
    <w:semiHidden/>
    <w:qFormat/>
    <w:uiPriority w:val="0"/>
    <w:pPr>
      <w:ind w:left="1000"/>
      <w:jc w:val="left"/>
    </w:pPr>
    <w:rPr>
      <w:kern w:val="0"/>
      <w:sz w:val="18"/>
      <w:szCs w:val="18"/>
    </w:rPr>
  </w:style>
  <w:style w:type="paragraph" w:styleId="34">
    <w:name w:val="Body Text Indent 3"/>
    <w:basedOn w:val="1"/>
    <w:qFormat/>
    <w:uiPriority w:val="0"/>
    <w:pPr>
      <w:ind w:firstLine="420" w:firstLineChars="150"/>
    </w:pPr>
    <w:rPr>
      <w:sz w:val="28"/>
    </w:rPr>
  </w:style>
  <w:style w:type="paragraph" w:styleId="35">
    <w:name w:val="toc 2"/>
    <w:basedOn w:val="1"/>
    <w:next w:val="1"/>
    <w:semiHidden/>
    <w:qFormat/>
    <w:uiPriority w:val="0"/>
    <w:pPr>
      <w:tabs>
        <w:tab w:val="right" w:leader="dot" w:pos="8985"/>
      </w:tabs>
      <w:snapToGrid w:val="0"/>
      <w:ind w:left="198"/>
      <w:jc w:val="left"/>
    </w:pPr>
    <w:rPr>
      <w:smallCaps/>
      <w:kern w:val="0"/>
      <w:sz w:val="20"/>
      <w:szCs w:val="20"/>
    </w:rPr>
  </w:style>
  <w:style w:type="paragraph" w:styleId="36">
    <w:name w:val="toc 9"/>
    <w:basedOn w:val="1"/>
    <w:next w:val="1"/>
    <w:semiHidden/>
    <w:qFormat/>
    <w:uiPriority w:val="0"/>
    <w:pPr>
      <w:ind w:left="1600"/>
      <w:jc w:val="left"/>
    </w:pPr>
    <w:rPr>
      <w:kern w:val="0"/>
      <w:sz w:val="18"/>
      <w:szCs w:val="18"/>
    </w:rPr>
  </w:style>
  <w:style w:type="paragraph" w:styleId="37">
    <w:name w:val="Body Text 2"/>
    <w:basedOn w:val="1"/>
    <w:qFormat/>
    <w:uiPriority w:val="0"/>
    <w:pPr>
      <w:spacing w:line="200" w:lineRule="exact"/>
      <w:jc w:val="center"/>
    </w:pPr>
    <w:rPr>
      <w:rFonts w:ascii="宋体" w:hAnsi="宋体"/>
      <w:color w:val="000000"/>
      <w:sz w:val="18"/>
      <w:szCs w:val="18"/>
    </w:rPr>
  </w:style>
  <w:style w:type="paragraph" w:styleId="38">
    <w:name w:val="Normal (Web)"/>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styleId="39">
    <w:name w:val="Title"/>
    <w:basedOn w:val="1"/>
    <w:next w:val="1"/>
    <w:link w:val="70"/>
    <w:qFormat/>
    <w:uiPriority w:val="0"/>
    <w:pPr>
      <w:spacing w:before="240" w:after="60"/>
      <w:jc w:val="center"/>
      <w:outlineLvl w:val="0"/>
    </w:pPr>
    <w:rPr>
      <w:rFonts w:ascii="Arial" w:hAnsi="Arial"/>
      <w:b/>
      <w:bCs/>
      <w:kern w:val="0"/>
      <w:sz w:val="32"/>
      <w:szCs w:val="32"/>
    </w:rPr>
  </w:style>
  <w:style w:type="paragraph" w:styleId="40">
    <w:name w:val="annotation subject"/>
    <w:basedOn w:val="17"/>
    <w:next w:val="17"/>
    <w:link w:val="71"/>
    <w:semiHidden/>
    <w:qFormat/>
    <w:uiPriority w:val="0"/>
    <w:rPr>
      <w:rFonts w:ascii="宋体" w:hAnsi="宋体"/>
      <w:b/>
      <w:bCs/>
    </w:rPr>
  </w:style>
  <w:style w:type="paragraph" w:styleId="41">
    <w:name w:val="Body Text First Indent"/>
    <w:basedOn w:val="18"/>
    <w:qFormat/>
    <w:uiPriority w:val="99"/>
    <w:pPr>
      <w:ind w:firstLine="420" w:firstLineChars="100"/>
    </w:pPr>
    <w:rPr>
      <w:sz w:val="21"/>
    </w:rPr>
  </w:style>
  <w:style w:type="paragraph" w:styleId="42">
    <w:name w:val="Body Text First Indent 2"/>
    <w:basedOn w:val="19"/>
    <w:next w:val="1"/>
    <w:qFormat/>
    <w:uiPriority w:val="0"/>
    <w:pPr>
      <w:spacing w:beforeLines="50" w:afterLines="50" w:line="360" w:lineRule="auto"/>
      <w:ind w:firstLine="420" w:firstLineChars="200"/>
    </w:pPr>
    <w:rPr>
      <w:rFonts w:ascii="Times New Roman" w:hAnsi="Times New Roman"/>
      <w:sz w:val="24"/>
    </w:r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22"/>
    <w:rPr>
      <w:b/>
    </w:rPr>
  </w:style>
  <w:style w:type="character" w:styleId="47">
    <w:name w:val="page number"/>
    <w:qFormat/>
    <w:uiPriority w:val="0"/>
  </w:style>
  <w:style w:type="character" w:styleId="48">
    <w:name w:val="FollowedHyperlink"/>
    <w:qFormat/>
    <w:uiPriority w:val="0"/>
    <w:rPr>
      <w:rFonts w:hint="eastAsia" w:ascii="微软雅黑" w:hAnsi="微软雅黑" w:eastAsia="微软雅黑" w:cs="微软雅黑"/>
      <w:color w:val="333333"/>
      <w:sz w:val="21"/>
      <w:szCs w:val="21"/>
      <w:u w:val="none"/>
    </w:rPr>
  </w:style>
  <w:style w:type="character" w:styleId="49">
    <w:name w:val="Emphasis"/>
    <w:qFormat/>
    <w:uiPriority w:val="20"/>
  </w:style>
  <w:style w:type="character" w:styleId="50">
    <w:name w:val="Hyperlink"/>
    <w:qFormat/>
    <w:uiPriority w:val="99"/>
    <w:rPr>
      <w:rFonts w:hint="eastAsia" w:ascii="微软雅黑" w:hAnsi="微软雅黑" w:eastAsia="微软雅黑" w:cs="微软雅黑"/>
      <w:color w:val="333333"/>
      <w:sz w:val="21"/>
      <w:szCs w:val="21"/>
      <w:u w:val="none"/>
    </w:rPr>
  </w:style>
  <w:style w:type="character" w:styleId="51">
    <w:name w:val="annotation reference"/>
    <w:qFormat/>
    <w:uiPriority w:val="0"/>
    <w:rPr>
      <w:sz w:val="21"/>
      <w:szCs w:val="21"/>
    </w:rPr>
  </w:style>
  <w:style w:type="character" w:styleId="52">
    <w:name w:val="HTML Cite"/>
    <w:unhideWhenUsed/>
    <w:qFormat/>
    <w:uiPriority w:val="99"/>
  </w:style>
  <w:style w:type="character" w:customStyle="1" w:styleId="53">
    <w:name w:val="标题 1 Char"/>
    <w:link w:val="3"/>
    <w:qFormat/>
    <w:uiPriority w:val="0"/>
    <w:rPr>
      <w:rFonts w:ascii="黑体" w:eastAsia="黑体"/>
      <w:sz w:val="52"/>
    </w:rPr>
  </w:style>
  <w:style w:type="character" w:customStyle="1" w:styleId="54">
    <w:name w:val="标题 2 Char"/>
    <w:link w:val="4"/>
    <w:qFormat/>
    <w:uiPriority w:val="0"/>
    <w:rPr>
      <w:rFonts w:ascii="Arial" w:hAnsi="Arial" w:eastAsia="黑体"/>
      <w:b/>
      <w:bCs/>
      <w:sz w:val="32"/>
      <w:szCs w:val="32"/>
    </w:rPr>
  </w:style>
  <w:style w:type="character" w:customStyle="1" w:styleId="55">
    <w:name w:val="标题 3 Char"/>
    <w:link w:val="5"/>
    <w:qFormat/>
    <w:uiPriority w:val="0"/>
    <w:rPr>
      <w:rFonts w:ascii="Times New Roman" w:hAnsi="Times New Roman"/>
      <w:b/>
      <w:sz w:val="32"/>
    </w:rPr>
  </w:style>
  <w:style w:type="character" w:customStyle="1" w:styleId="56">
    <w:name w:val="标题 6 Char"/>
    <w:link w:val="8"/>
    <w:qFormat/>
    <w:uiPriority w:val="0"/>
    <w:rPr>
      <w:rFonts w:ascii="Arial" w:hAnsi="Arial" w:eastAsia="黑体"/>
      <w:b/>
      <w:bCs/>
      <w:sz w:val="24"/>
      <w:szCs w:val="24"/>
    </w:rPr>
  </w:style>
  <w:style w:type="character" w:customStyle="1" w:styleId="57">
    <w:name w:val="标题 7 Char"/>
    <w:link w:val="9"/>
    <w:qFormat/>
    <w:uiPriority w:val="0"/>
    <w:rPr>
      <w:rFonts w:ascii="Times New Roman" w:hAnsi="Times New Roman"/>
      <w:b/>
      <w:bCs/>
      <w:sz w:val="24"/>
      <w:szCs w:val="24"/>
    </w:rPr>
  </w:style>
  <w:style w:type="character" w:customStyle="1" w:styleId="58">
    <w:name w:val="标题 8 Char"/>
    <w:link w:val="10"/>
    <w:qFormat/>
    <w:uiPriority w:val="0"/>
    <w:rPr>
      <w:rFonts w:ascii="Arial" w:hAnsi="Arial" w:eastAsia="黑体"/>
      <w:sz w:val="24"/>
      <w:szCs w:val="24"/>
    </w:rPr>
  </w:style>
  <w:style w:type="character" w:customStyle="1" w:styleId="59">
    <w:name w:val="标题 9 Char"/>
    <w:link w:val="11"/>
    <w:qFormat/>
    <w:uiPriority w:val="0"/>
    <w:rPr>
      <w:rFonts w:ascii="Arial" w:hAnsi="Arial" w:eastAsia="黑体"/>
      <w:sz w:val="21"/>
      <w:szCs w:val="21"/>
    </w:rPr>
  </w:style>
  <w:style w:type="character" w:customStyle="1" w:styleId="60">
    <w:name w:val="文档结构图 Char"/>
    <w:link w:val="15"/>
    <w:semiHidden/>
    <w:qFormat/>
    <w:uiPriority w:val="0"/>
    <w:rPr>
      <w:rFonts w:ascii="宋体" w:hAnsi="宋体"/>
      <w:szCs w:val="24"/>
      <w:shd w:val="clear" w:color="auto" w:fill="000080"/>
    </w:rPr>
  </w:style>
  <w:style w:type="character" w:customStyle="1" w:styleId="61">
    <w:name w:val="批注文字 Char"/>
    <w:link w:val="17"/>
    <w:qFormat/>
    <w:uiPriority w:val="0"/>
    <w:rPr>
      <w:rFonts w:ascii="Courier New" w:hAnsi="Courier New" w:eastAsia="宋体" w:cs="Courier New"/>
      <w:color w:val="000000"/>
      <w:kern w:val="0"/>
      <w:sz w:val="24"/>
      <w:szCs w:val="24"/>
      <w:lang w:val="zh-CN"/>
    </w:rPr>
  </w:style>
  <w:style w:type="character" w:customStyle="1" w:styleId="62">
    <w:name w:val="正文文本 Char"/>
    <w:link w:val="18"/>
    <w:qFormat/>
    <w:uiPriority w:val="0"/>
    <w:rPr>
      <w:rFonts w:ascii="宋体" w:hAnsi="宋体"/>
      <w:szCs w:val="24"/>
    </w:rPr>
  </w:style>
  <w:style w:type="character" w:customStyle="1" w:styleId="63">
    <w:name w:val="正文文本缩进 Char"/>
    <w:link w:val="19"/>
    <w:qFormat/>
    <w:uiPriority w:val="0"/>
    <w:rPr>
      <w:rFonts w:ascii="宋体" w:hAnsi="宋体"/>
      <w:szCs w:val="24"/>
    </w:rPr>
  </w:style>
  <w:style w:type="character" w:customStyle="1" w:styleId="64">
    <w:name w:val="纯文本 Char"/>
    <w:link w:val="24"/>
    <w:qFormat/>
    <w:uiPriority w:val="0"/>
    <w:rPr>
      <w:rFonts w:ascii="宋体" w:hAnsi="Courier New"/>
      <w:kern w:val="2"/>
      <w:sz w:val="21"/>
    </w:rPr>
  </w:style>
  <w:style w:type="character" w:customStyle="1" w:styleId="65">
    <w:name w:val="日期 Char"/>
    <w:link w:val="26"/>
    <w:semiHidden/>
    <w:qFormat/>
    <w:uiPriority w:val="99"/>
  </w:style>
  <w:style w:type="character" w:customStyle="1" w:styleId="66">
    <w:name w:val="正文文本缩进 2 Char"/>
    <w:link w:val="27"/>
    <w:qFormat/>
    <w:uiPriority w:val="0"/>
    <w:rPr>
      <w:rFonts w:ascii="宋体" w:hAnsi="宋体"/>
      <w:szCs w:val="24"/>
    </w:rPr>
  </w:style>
  <w:style w:type="character" w:customStyle="1" w:styleId="67">
    <w:name w:val="批注框文本 Char"/>
    <w:link w:val="28"/>
    <w:semiHidden/>
    <w:qFormat/>
    <w:uiPriority w:val="99"/>
    <w:rPr>
      <w:sz w:val="18"/>
      <w:szCs w:val="18"/>
    </w:rPr>
  </w:style>
  <w:style w:type="character" w:customStyle="1" w:styleId="68">
    <w:name w:val="页脚 Char"/>
    <w:link w:val="29"/>
    <w:qFormat/>
    <w:uiPriority w:val="99"/>
    <w:rPr>
      <w:sz w:val="18"/>
      <w:szCs w:val="18"/>
    </w:rPr>
  </w:style>
  <w:style w:type="character" w:customStyle="1" w:styleId="69">
    <w:name w:val="页眉 Char"/>
    <w:link w:val="30"/>
    <w:qFormat/>
    <w:uiPriority w:val="99"/>
    <w:rPr>
      <w:sz w:val="18"/>
      <w:szCs w:val="18"/>
    </w:rPr>
  </w:style>
  <w:style w:type="character" w:customStyle="1" w:styleId="70">
    <w:name w:val="标题 Char"/>
    <w:link w:val="39"/>
    <w:qFormat/>
    <w:uiPriority w:val="0"/>
    <w:rPr>
      <w:rFonts w:ascii="Arial" w:hAnsi="Arial" w:cs="Arial"/>
      <w:b/>
      <w:bCs/>
      <w:sz w:val="32"/>
      <w:szCs w:val="32"/>
    </w:rPr>
  </w:style>
  <w:style w:type="character" w:customStyle="1" w:styleId="71">
    <w:name w:val="批注主题 Char"/>
    <w:link w:val="40"/>
    <w:semiHidden/>
    <w:qFormat/>
    <w:uiPriority w:val="0"/>
    <w:rPr>
      <w:rFonts w:ascii="宋体" w:hAnsi="宋体" w:eastAsia="宋体" w:cs="Courier New"/>
      <w:b/>
      <w:bCs/>
      <w:color w:val="000000"/>
      <w:kern w:val="0"/>
      <w:sz w:val="24"/>
      <w:szCs w:val="24"/>
      <w:lang w:val="zh-CN"/>
    </w:rPr>
  </w:style>
  <w:style w:type="character" w:customStyle="1" w:styleId="72">
    <w:name w:val="flatpickr-day"/>
    <w:qFormat/>
    <w:uiPriority w:val="0"/>
  </w:style>
  <w:style w:type="character" w:customStyle="1" w:styleId="73">
    <w:name w:val="NormalCharacter"/>
    <w:qFormat/>
    <w:uiPriority w:val="0"/>
    <w:rPr>
      <w:kern w:val="2"/>
      <w:sz w:val="21"/>
      <w:szCs w:val="21"/>
      <w:lang w:val="en-US" w:eastAsia="zh-CN" w:bidi="ar-SA"/>
    </w:rPr>
  </w:style>
  <w:style w:type="character" w:customStyle="1" w:styleId="74">
    <w:name w:val="font31"/>
    <w:qFormat/>
    <w:uiPriority w:val="0"/>
    <w:rPr>
      <w:rFonts w:hint="eastAsia" w:ascii="宋体" w:hAnsi="宋体" w:eastAsia="宋体" w:cs="宋体"/>
      <w:color w:val="000000"/>
      <w:sz w:val="22"/>
      <w:szCs w:val="22"/>
      <w:u w:val="none"/>
    </w:rPr>
  </w:style>
  <w:style w:type="character" w:customStyle="1" w:styleId="75">
    <w:name w:val="flatpickr-day2"/>
    <w:qFormat/>
    <w:uiPriority w:val="0"/>
  </w:style>
  <w:style w:type="character" w:customStyle="1" w:styleId="76">
    <w:name w:val="正文文本 (2)_"/>
    <w:link w:val="77"/>
    <w:qFormat/>
    <w:uiPriority w:val="0"/>
    <w:rPr>
      <w:rFonts w:ascii="MingLiU" w:eastAsia="MingLiU" w:cs="MingLiU"/>
      <w:sz w:val="22"/>
      <w:shd w:val="clear" w:color="auto" w:fill="FFFFFF"/>
    </w:rPr>
  </w:style>
  <w:style w:type="paragraph" w:customStyle="1" w:styleId="77">
    <w:name w:val="正文文本 (2)1"/>
    <w:basedOn w:val="1"/>
    <w:link w:val="76"/>
    <w:qFormat/>
    <w:uiPriority w:val="0"/>
    <w:pPr>
      <w:shd w:val="clear" w:color="auto" w:fill="FFFFFF"/>
      <w:spacing w:before="340" w:after="340" w:line="220" w:lineRule="exact"/>
      <w:jc w:val="distribute"/>
    </w:pPr>
    <w:rPr>
      <w:rFonts w:ascii="MingLiU" w:eastAsia="MingLiU"/>
      <w:kern w:val="0"/>
      <w:sz w:val="22"/>
      <w:szCs w:val="20"/>
    </w:rPr>
  </w:style>
  <w:style w:type="character" w:customStyle="1" w:styleId="78">
    <w:name w:val="font13"/>
    <w:qFormat/>
    <w:uiPriority w:val="0"/>
    <w:rPr>
      <w:rFonts w:hint="eastAsia" w:ascii="宋体" w:hAnsi="宋体" w:eastAsia="宋体" w:cs="宋体"/>
      <w:b/>
      <w:color w:val="FF0000"/>
      <w:sz w:val="18"/>
      <w:szCs w:val="18"/>
      <w:u w:val="none"/>
    </w:rPr>
  </w:style>
  <w:style w:type="character" w:customStyle="1" w:styleId="79">
    <w:name w:val="font141"/>
    <w:qFormat/>
    <w:uiPriority w:val="0"/>
    <w:rPr>
      <w:rFonts w:hint="eastAsia" w:ascii="宋体" w:hAnsi="宋体" w:eastAsia="宋体" w:cs="宋体"/>
      <w:b/>
      <w:color w:val="000000"/>
      <w:sz w:val="22"/>
      <w:szCs w:val="22"/>
      <w:u w:val="none"/>
    </w:rPr>
  </w:style>
  <w:style w:type="character" w:customStyle="1" w:styleId="80">
    <w:name w:val="正文文本 (3)_"/>
    <w:link w:val="81"/>
    <w:qFormat/>
    <w:uiPriority w:val="0"/>
    <w:rPr>
      <w:rFonts w:ascii="MingLiU" w:eastAsia="MingLiU" w:cs="MingLiU"/>
      <w:spacing w:val="50"/>
      <w:sz w:val="50"/>
      <w:szCs w:val="50"/>
      <w:shd w:val="clear" w:color="auto" w:fill="FFFFFF"/>
    </w:rPr>
  </w:style>
  <w:style w:type="paragraph" w:customStyle="1" w:styleId="81">
    <w:name w:val="正文文本 (3)"/>
    <w:basedOn w:val="1"/>
    <w:link w:val="80"/>
    <w:qFormat/>
    <w:uiPriority w:val="0"/>
    <w:pPr>
      <w:shd w:val="clear" w:color="auto" w:fill="FFFFFF"/>
      <w:spacing w:after="1020" w:line="500" w:lineRule="exact"/>
      <w:jc w:val="left"/>
    </w:pPr>
    <w:rPr>
      <w:rFonts w:ascii="MingLiU" w:eastAsia="MingLiU"/>
      <w:spacing w:val="50"/>
      <w:kern w:val="0"/>
      <w:sz w:val="50"/>
      <w:szCs w:val="50"/>
    </w:rPr>
  </w:style>
  <w:style w:type="character" w:customStyle="1" w:styleId="82">
    <w:name w:val="font132"/>
    <w:qFormat/>
    <w:uiPriority w:val="0"/>
    <w:rPr>
      <w:rFonts w:hint="eastAsia" w:ascii="宋体" w:hAnsi="宋体" w:eastAsia="宋体" w:cs="宋体"/>
      <w:b/>
      <w:color w:val="FF0000"/>
      <w:sz w:val="22"/>
      <w:szCs w:val="22"/>
      <w:u w:val="none"/>
    </w:rPr>
  </w:style>
  <w:style w:type="character" w:customStyle="1" w:styleId="83">
    <w:name w:val="textcontents"/>
    <w:qFormat/>
    <w:uiPriority w:val="0"/>
  </w:style>
  <w:style w:type="character" w:customStyle="1" w:styleId="84">
    <w:name w:val="font131"/>
    <w:qFormat/>
    <w:uiPriority w:val="0"/>
    <w:rPr>
      <w:rFonts w:hint="eastAsia" w:ascii="宋体" w:hAnsi="宋体" w:eastAsia="宋体" w:cs="宋体"/>
      <w:b/>
      <w:bCs/>
      <w:color w:val="FF0000"/>
      <w:sz w:val="20"/>
      <w:szCs w:val="20"/>
      <w:u w:val="none"/>
    </w:rPr>
  </w:style>
  <w:style w:type="character" w:customStyle="1" w:styleId="85">
    <w:name w:val="font81"/>
    <w:qFormat/>
    <w:uiPriority w:val="0"/>
    <w:rPr>
      <w:rFonts w:hint="eastAsia" w:ascii="宋体" w:hAnsi="宋体" w:eastAsia="宋体" w:cs="宋体"/>
      <w:b/>
      <w:color w:val="000000"/>
      <w:sz w:val="18"/>
      <w:szCs w:val="18"/>
      <w:u w:val="none"/>
    </w:rPr>
  </w:style>
  <w:style w:type="character" w:customStyle="1" w:styleId="86">
    <w:name w:val="font01"/>
    <w:qFormat/>
    <w:uiPriority w:val="0"/>
    <w:rPr>
      <w:rFonts w:hint="eastAsia" w:ascii="宋体" w:hAnsi="宋体" w:eastAsia="宋体" w:cs="宋体"/>
      <w:b/>
      <w:color w:val="FF0000"/>
      <w:sz w:val="20"/>
      <w:szCs w:val="20"/>
      <w:u w:val="none"/>
    </w:rPr>
  </w:style>
  <w:style w:type="character" w:customStyle="1" w:styleId="87">
    <w:name w:val="标题 2 Char Char Char Char Char Char Char Char Char Char Char Char Char Char Char Char Char Char Char Char Char"/>
    <w:qFormat/>
    <w:uiPriority w:val="0"/>
  </w:style>
  <w:style w:type="character" w:customStyle="1" w:styleId="88">
    <w:name w:val="font112"/>
    <w:qFormat/>
    <w:uiPriority w:val="0"/>
    <w:rPr>
      <w:rFonts w:hint="eastAsia" w:ascii="宋体" w:hAnsi="宋体" w:eastAsia="宋体" w:cs="宋体"/>
      <w:color w:val="000000"/>
      <w:sz w:val="20"/>
      <w:szCs w:val="20"/>
      <w:u w:val="none"/>
    </w:rPr>
  </w:style>
  <w:style w:type="character" w:customStyle="1" w:styleId="89">
    <w:name w:val="title"/>
    <w:qFormat/>
    <w:uiPriority w:val="0"/>
  </w:style>
  <w:style w:type="character" w:customStyle="1" w:styleId="90">
    <w:name w:val="flatpickr-weekday2"/>
    <w:qFormat/>
    <w:uiPriority w:val="0"/>
    <w:rPr>
      <w:b/>
      <w:bCs/>
      <w:sz w:val="21"/>
      <w:szCs w:val="21"/>
    </w:rPr>
  </w:style>
  <w:style w:type="character" w:customStyle="1" w:styleId="91">
    <w:name w:val="正文文本 (2)"/>
    <w:qFormat/>
    <w:uiPriority w:val="0"/>
    <w:rPr>
      <w:rFonts w:ascii="MingLiU" w:eastAsia="MingLiU" w:cs="MingLiU"/>
      <w:sz w:val="22"/>
      <w:shd w:val="clear" w:color="auto" w:fill="FFFFFF"/>
    </w:rPr>
  </w:style>
  <w:style w:type="character" w:customStyle="1" w:styleId="92">
    <w:name w:val="flatpickr-weekday"/>
    <w:qFormat/>
    <w:uiPriority w:val="0"/>
    <w:rPr>
      <w:b/>
      <w:bCs/>
      <w:sz w:val="21"/>
      <w:szCs w:val="21"/>
    </w:rPr>
  </w:style>
  <w:style w:type="character" w:customStyle="1" w:styleId="93">
    <w:name w:val="font121"/>
    <w:qFormat/>
    <w:uiPriority w:val="0"/>
    <w:rPr>
      <w:rFonts w:hint="eastAsia" w:ascii="宋体" w:hAnsi="宋体" w:eastAsia="宋体" w:cs="宋体"/>
      <w:color w:val="000000"/>
      <w:sz w:val="20"/>
      <w:szCs w:val="20"/>
      <w:u w:val="none"/>
    </w:rPr>
  </w:style>
  <w:style w:type="character" w:customStyle="1" w:styleId="94">
    <w:name w:val="font51"/>
    <w:qFormat/>
    <w:uiPriority w:val="0"/>
    <w:rPr>
      <w:rFonts w:hint="eastAsia" w:ascii="宋体" w:hAnsi="宋体" w:eastAsia="宋体" w:cs="宋体"/>
      <w:b/>
      <w:bCs/>
      <w:color w:val="000000"/>
      <w:sz w:val="22"/>
      <w:szCs w:val="22"/>
      <w:u w:val="none"/>
    </w:rPr>
  </w:style>
  <w:style w:type="character" w:customStyle="1" w:styleId="95">
    <w:name w:val="layui-laypage-curr"/>
    <w:qFormat/>
    <w:uiPriority w:val="0"/>
  </w:style>
  <w:style w:type="character" w:customStyle="1" w:styleId="96">
    <w:name w:val="first-child"/>
    <w:qFormat/>
    <w:uiPriority w:val="0"/>
  </w:style>
  <w:style w:type="character" w:customStyle="1" w:styleId="97">
    <w:name w:val="font41"/>
    <w:qFormat/>
    <w:uiPriority w:val="0"/>
    <w:rPr>
      <w:rFonts w:hint="eastAsia" w:ascii="宋体" w:hAnsi="宋体" w:eastAsia="宋体" w:cs="宋体"/>
      <w:color w:val="000000"/>
      <w:sz w:val="20"/>
      <w:szCs w:val="20"/>
      <w:u w:val="none"/>
    </w:rPr>
  </w:style>
  <w:style w:type="character" w:customStyle="1" w:styleId="98">
    <w:name w:val="layui-layer-tabnow"/>
    <w:qFormat/>
    <w:uiPriority w:val="0"/>
    <w:rPr>
      <w:bdr w:val="single" w:color="CCCCCC" w:sz="6" w:space="0"/>
      <w:shd w:val="clear" w:color="auto" w:fill="FFFFFF"/>
    </w:rPr>
  </w:style>
  <w:style w:type="paragraph" w:customStyle="1" w:styleId="99">
    <w:name w:val="GCEBStyles0"/>
    <w:basedOn w:val="1"/>
    <w:qFormat/>
    <w:uiPriority w:val="0"/>
    <w:pPr>
      <w:jc w:val="left"/>
      <w:outlineLvl w:val="0"/>
    </w:pPr>
    <w:rPr>
      <w:rFonts w:ascii="宋体" w:hAnsi="宋体"/>
      <w:b/>
      <w:bCs/>
      <w:kern w:val="0"/>
      <w:sz w:val="44"/>
      <w:szCs w:val="24"/>
    </w:rPr>
  </w:style>
  <w:style w:type="paragraph" w:customStyle="1" w:styleId="100">
    <w:name w:val="GCEBStyles5"/>
    <w:basedOn w:val="1"/>
    <w:qFormat/>
    <w:uiPriority w:val="0"/>
    <w:pPr>
      <w:jc w:val="left"/>
      <w:outlineLvl w:val="5"/>
    </w:pPr>
    <w:rPr>
      <w:rFonts w:ascii="黑体" w:hAnsi="宋体" w:eastAsia="黑体"/>
      <w:b/>
      <w:bCs/>
      <w:kern w:val="0"/>
      <w:sz w:val="24"/>
      <w:szCs w:val="24"/>
    </w:rPr>
  </w:style>
  <w:style w:type="paragraph" w:customStyle="1" w:styleId="101">
    <w:name w:val="xl35"/>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102">
    <w:name w:val="xl34"/>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103">
    <w:name w:val="大标题"/>
    <w:basedOn w:val="39"/>
    <w:next w:val="42"/>
    <w:qFormat/>
    <w:uiPriority w:val="0"/>
    <w:pPr>
      <w:adjustRightInd w:val="0"/>
      <w:spacing w:line="360" w:lineRule="auto"/>
      <w:ind w:firstLine="200" w:firstLineChars="200"/>
    </w:pPr>
    <w:rPr>
      <w:rFonts w:ascii="宋体" w:hAnsi="宋体"/>
      <w:bCs w:val="0"/>
      <w:szCs w:val="20"/>
    </w:rPr>
  </w:style>
  <w:style w:type="paragraph" w:styleId="104">
    <w:name w:val="List Paragraph"/>
    <w:basedOn w:val="1"/>
    <w:qFormat/>
    <w:uiPriority w:val="99"/>
    <w:pPr>
      <w:ind w:firstLine="420" w:firstLineChars="200"/>
    </w:pPr>
    <w:rPr>
      <w:szCs w:val="21"/>
    </w:rPr>
  </w:style>
  <w:style w:type="paragraph" w:customStyle="1" w:styleId="105">
    <w:name w:val="xl37"/>
    <w:basedOn w:val="1"/>
    <w:qFormat/>
    <w:uiPriority w:val="0"/>
    <w:pPr>
      <w:widowControl/>
      <w:pBdr>
        <w:top w:val="single" w:color="auto" w:sz="4" w:space="0"/>
        <w:left w:val="single" w:color="auto" w:sz="4" w:space="0"/>
        <w:bottom w:val="double" w:color="auto" w:sz="6" w:space="0"/>
        <w:right w:val="double" w:color="auto" w:sz="6" w:space="0"/>
      </w:pBdr>
      <w:spacing w:before="100" w:beforeAutospacing="1" w:after="100" w:afterAutospacing="1"/>
      <w:jc w:val="center"/>
    </w:pPr>
    <w:rPr>
      <w:rFonts w:ascii="宋体" w:hAnsi="宋体" w:cs="宋体"/>
      <w:kern w:val="0"/>
      <w:sz w:val="20"/>
      <w:szCs w:val="20"/>
    </w:rPr>
  </w:style>
  <w:style w:type="paragraph" w:customStyle="1" w:styleId="106">
    <w:name w:val="xl32"/>
    <w:basedOn w:val="1"/>
    <w:qFormat/>
    <w:uiPriority w:val="0"/>
    <w:pPr>
      <w:widowControl/>
      <w:pBdr>
        <w:bottom w:val="single" w:color="auto" w:sz="4" w:space="0"/>
      </w:pBdr>
      <w:spacing w:before="100" w:beforeAutospacing="1" w:after="100" w:afterAutospacing="1"/>
      <w:jc w:val="center"/>
      <w:textAlignment w:val="center"/>
    </w:pPr>
    <w:rPr>
      <w:rFonts w:ascii="宋体" w:hAnsi="宋体"/>
      <w:kern w:val="0"/>
      <w:sz w:val="32"/>
      <w:szCs w:val="32"/>
    </w:rPr>
  </w:style>
  <w:style w:type="paragraph" w:customStyle="1" w:styleId="107">
    <w:name w:val="xl33"/>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108">
    <w:name w:val="xl30"/>
    <w:basedOn w:val="1"/>
    <w:qFormat/>
    <w:uiPriority w:val="0"/>
    <w:pPr>
      <w:widowControl/>
      <w:spacing w:before="100" w:beforeAutospacing="1" w:after="100" w:afterAutospacing="1"/>
      <w:jc w:val="center"/>
      <w:textAlignment w:val="center"/>
    </w:pPr>
    <w:rPr>
      <w:rFonts w:ascii="宋体" w:hAnsi="宋体"/>
      <w:b/>
      <w:bCs/>
      <w:kern w:val="0"/>
      <w:sz w:val="48"/>
      <w:szCs w:val="48"/>
    </w:rPr>
  </w:style>
  <w:style w:type="paragraph" w:customStyle="1" w:styleId="109">
    <w:name w:val="GCEBStyles4"/>
    <w:basedOn w:val="1"/>
    <w:qFormat/>
    <w:uiPriority w:val="0"/>
    <w:pPr>
      <w:jc w:val="left"/>
      <w:outlineLvl w:val="4"/>
    </w:pPr>
    <w:rPr>
      <w:rFonts w:ascii="宋体" w:hAnsi="宋体"/>
      <w:b/>
      <w:bCs/>
      <w:kern w:val="0"/>
      <w:sz w:val="28"/>
      <w:szCs w:val="24"/>
    </w:rPr>
  </w:style>
  <w:style w:type="paragraph" w:customStyle="1" w:styleId="110">
    <w:name w:val="GCEBStyles6"/>
    <w:basedOn w:val="1"/>
    <w:qFormat/>
    <w:uiPriority w:val="0"/>
    <w:pPr>
      <w:jc w:val="left"/>
      <w:outlineLvl w:val="6"/>
    </w:pPr>
    <w:rPr>
      <w:rFonts w:ascii="宋体" w:hAnsi="宋体"/>
      <w:b/>
      <w:bCs/>
      <w:kern w:val="0"/>
      <w:sz w:val="24"/>
      <w:szCs w:val="24"/>
    </w:rPr>
  </w:style>
  <w:style w:type="paragraph" w:customStyle="1" w:styleId="111">
    <w:name w:val="GCEBStyles1"/>
    <w:basedOn w:val="1"/>
    <w:qFormat/>
    <w:uiPriority w:val="0"/>
    <w:pPr>
      <w:jc w:val="left"/>
      <w:outlineLvl w:val="1"/>
    </w:pPr>
    <w:rPr>
      <w:rFonts w:ascii="黑体" w:hAnsi="宋体" w:eastAsia="黑体"/>
      <w:b/>
      <w:bCs/>
      <w:kern w:val="0"/>
      <w:sz w:val="32"/>
      <w:szCs w:val="24"/>
    </w:rPr>
  </w:style>
  <w:style w:type="paragraph" w:customStyle="1" w:styleId="112">
    <w:name w:val="xl29"/>
    <w:basedOn w:val="1"/>
    <w:qFormat/>
    <w:uiPriority w:val="0"/>
    <w:pPr>
      <w:widowControl/>
      <w:spacing w:before="100" w:beforeAutospacing="1" w:after="100" w:afterAutospacing="1"/>
      <w:jc w:val="center"/>
    </w:pPr>
    <w:rPr>
      <w:rFonts w:ascii="宋体" w:hAnsi="宋体"/>
      <w:kern w:val="0"/>
      <w:sz w:val="24"/>
      <w:szCs w:val="24"/>
      <w:u w:val="single"/>
    </w:rPr>
  </w:style>
  <w:style w:type="paragraph" w:customStyle="1" w:styleId="113">
    <w:name w:val="font7"/>
    <w:basedOn w:val="1"/>
    <w:qFormat/>
    <w:uiPriority w:val="0"/>
    <w:pPr>
      <w:widowControl/>
      <w:spacing w:before="100" w:beforeAutospacing="1" w:after="100" w:afterAutospacing="1"/>
      <w:jc w:val="left"/>
    </w:pPr>
    <w:rPr>
      <w:b/>
      <w:bCs/>
      <w:kern w:val="0"/>
      <w:sz w:val="48"/>
      <w:szCs w:val="48"/>
    </w:rPr>
  </w:style>
  <w:style w:type="paragraph" w:customStyle="1" w:styleId="114">
    <w:name w:val="xl28"/>
    <w:basedOn w:val="1"/>
    <w:qFormat/>
    <w:uiPriority w:val="0"/>
    <w:pPr>
      <w:widowControl/>
      <w:spacing w:before="100" w:beforeAutospacing="1" w:after="100" w:afterAutospacing="1"/>
      <w:jc w:val="center"/>
    </w:pPr>
    <w:rPr>
      <w:rFonts w:hint="eastAsia" w:ascii="黑体" w:hAnsi="宋体" w:eastAsia="黑体"/>
      <w:kern w:val="0"/>
      <w:sz w:val="48"/>
      <w:szCs w:val="48"/>
      <w:u w:val="single"/>
    </w:rPr>
  </w:style>
  <w:style w:type="paragraph" w:customStyle="1" w:styleId="115">
    <w:name w:val="xl24"/>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116">
    <w:name w:val="Char"/>
    <w:basedOn w:val="15"/>
    <w:qFormat/>
    <w:uiPriority w:val="0"/>
    <w:pPr>
      <w:widowControl/>
    </w:pPr>
    <w:rPr>
      <w:rFonts w:ascii="Tahoma" w:hAnsi="Tahoma"/>
      <w:kern w:val="2"/>
      <w:sz w:val="24"/>
    </w:rPr>
  </w:style>
  <w:style w:type="paragraph" w:customStyle="1" w:styleId="117">
    <w:name w:val="GCEBStyles7"/>
    <w:basedOn w:val="1"/>
    <w:qFormat/>
    <w:uiPriority w:val="0"/>
    <w:pPr>
      <w:jc w:val="left"/>
      <w:outlineLvl w:val="7"/>
    </w:pPr>
    <w:rPr>
      <w:rFonts w:ascii="黑体" w:hAnsi="宋体" w:eastAsia="黑体"/>
      <w:bCs/>
      <w:kern w:val="0"/>
      <w:sz w:val="24"/>
      <w:szCs w:val="24"/>
    </w:rPr>
  </w:style>
  <w:style w:type="paragraph" w:customStyle="1" w:styleId="118">
    <w:name w:val="样式1"/>
    <w:basedOn w:val="1"/>
    <w:qFormat/>
    <w:uiPriority w:val="0"/>
    <w:pPr>
      <w:widowControl/>
      <w:jc w:val="center"/>
    </w:pPr>
    <w:rPr>
      <w:rFonts w:ascii="宋体" w:cs="Arial"/>
      <w:bCs/>
      <w:kern w:val="0"/>
      <w:sz w:val="24"/>
      <w:u w:val="single"/>
    </w:rPr>
  </w:style>
  <w:style w:type="paragraph" w:customStyle="1" w:styleId="119">
    <w:name w:val="xl31"/>
    <w:basedOn w:val="1"/>
    <w:qFormat/>
    <w:uiPriority w:val="0"/>
    <w:pPr>
      <w:widowControl/>
      <w:spacing w:before="100" w:beforeAutospacing="1" w:after="100" w:afterAutospacing="1"/>
      <w:jc w:val="center"/>
      <w:textAlignment w:val="center"/>
    </w:pPr>
    <w:rPr>
      <w:rFonts w:ascii="宋体" w:hAnsi="宋体"/>
      <w:kern w:val="0"/>
      <w:sz w:val="24"/>
      <w:szCs w:val="24"/>
    </w:rPr>
  </w:style>
  <w:style w:type="paragraph" w:customStyle="1" w:styleId="120">
    <w:name w:val="Char Char"/>
    <w:basedOn w:val="1"/>
    <w:qFormat/>
    <w:uiPriority w:val="0"/>
    <w:pPr>
      <w:ind w:firstLine="200" w:firstLineChars="200"/>
    </w:pPr>
    <w:rPr>
      <w:szCs w:val="24"/>
    </w:rPr>
  </w:style>
  <w:style w:type="paragraph" w:customStyle="1" w:styleId="121">
    <w:name w:val="xl23"/>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122">
    <w:name w:val="样式29"/>
    <w:basedOn w:val="1"/>
    <w:qFormat/>
    <w:uiPriority w:val="0"/>
    <w:pPr>
      <w:widowControl/>
      <w:spacing w:before="100" w:beforeAutospacing="1" w:after="100" w:afterAutospacing="1" w:line="440" w:lineRule="exact"/>
      <w:ind w:firstLine="200" w:firstLineChars="200"/>
      <w:jc w:val="left"/>
    </w:pPr>
    <w:rPr>
      <w:rFonts w:eastAsia="楷体_GB2312"/>
      <w:spacing w:val="6"/>
      <w:kern w:val="0"/>
      <w:sz w:val="24"/>
      <w:szCs w:val="20"/>
    </w:rPr>
  </w:style>
  <w:style w:type="paragraph" w:customStyle="1" w:styleId="123">
    <w:name w:val="Table Paragraph"/>
    <w:basedOn w:val="1"/>
    <w:qFormat/>
    <w:uiPriority w:val="1"/>
    <w:pPr>
      <w:jc w:val="left"/>
    </w:pPr>
    <w:rPr>
      <w:rFonts w:cs="宋体"/>
      <w:sz w:val="22"/>
      <w:lang w:eastAsia="en-US"/>
    </w:rPr>
  </w:style>
  <w:style w:type="paragraph" w:customStyle="1" w:styleId="124">
    <w:name w:val="xl26"/>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125">
    <w:name w:val="GCEBStyles2"/>
    <w:basedOn w:val="1"/>
    <w:qFormat/>
    <w:uiPriority w:val="0"/>
    <w:pPr>
      <w:jc w:val="left"/>
      <w:outlineLvl w:val="2"/>
    </w:pPr>
    <w:rPr>
      <w:rFonts w:ascii="宋体" w:hAnsi="宋体"/>
      <w:b/>
      <w:bCs/>
      <w:kern w:val="0"/>
      <w:sz w:val="32"/>
      <w:szCs w:val="24"/>
    </w:rPr>
  </w:style>
  <w:style w:type="paragraph" w:customStyle="1" w:styleId="126">
    <w:name w:val="Default"/>
    <w:next w:val="103"/>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27">
    <w:name w:val="xl27"/>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128">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9">
    <w:name w:val="xl25"/>
    <w:basedOn w:val="1"/>
    <w:qFormat/>
    <w:uiPriority w:val="0"/>
    <w:pPr>
      <w:widowControl/>
      <w:spacing w:before="100" w:beforeAutospacing="1" w:after="100" w:afterAutospacing="1"/>
      <w:jc w:val="center"/>
      <w:textAlignment w:val="center"/>
    </w:pPr>
    <w:rPr>
      <w:rFonts w:ascii="宋体" w:hAnsi="宋体"/>
      <w:kern w:val="0"/>
      <w:sz w:val="32"/>
      <w:szCs w:val="32"/>
    </w:rPr>
  </w:style>
  <w:style w:type="paragraph" w:customStyle="1" w:styleId="130">
    <w:name w:val="GCEBStyles8"/>
    <w:basedOn w:val="1"/>
    <w:qFormat/>
    <w:uiPriority w:val="0"/>
    <w:pPr>
      <w:jc w:val="left"/>
      <w:outlineLvl w:val="8"/>
    </w:pPr>
    <w:rPr>
      <w:rFonts w:ascii="黑体" w:hAnsi="宋体" w:eastAsia="黑体"/>
      <w:bCs/>
      <w:kern w:val="0"/>
      <w:szCs w:val="24"/>
    </w:rPr>
  </w:style>
  <w:style w:type="paragraph" w:customStyle="1" w:styleId="131">
    <w:name w:val="xl22"/>
    <w:basedOn w:val="1"/>
    <w:qFormat/>
    <w:uiPriority w:val="0"/>
    <w:pPr>
      <w:widowControl/>
      <w:spacing w:before="100" w:beforeAutospacing="1" w:after="100" w:afterAutospacing="1"/>
      <w:jc w:val="left"/>
    </w:pPr>
    <w:rPr>
      <w:rFonts w:ascii="宋体" w:hAnsi="宋体"/>
      <w:kern w:val="0"/>
      <w:sz w:val="32"/>
      <w:szCs w:val="32"/>
    </w:rPr>
  </w:style>
  <w:style w:type="paragraph" w:customStyle="1" w:styleId="132">
    <w:name w:val="WPSOffice手动目录 1"/>
    <w:qFormat/>
    <w:uiPriority w:val="0"/>
    <w:rPr>
      <w:rFonts w:ascii="Times New Roman" w:hAnsi="Times New Roman" w:eastAsia="宋体" w:cs="Times New Roman"/>
      <w:lang w:val="en-US" w:eastAsia="zh-CN" w:bidi="ar-SA"/>
    </w:rPr>
  </w:style>
  <w:style w:type="paragraph" w:customStyle="1" w:styleId="133">
    <w:name w:val="GCEBStyles9"/>
    <w:basedOn w:val="1"/>
    <w:qFormat/>
    <w:uiPriority w:val="0"/>
    <w:pPr>
      <w:jc w:val="left"/>
    </w:pPr>
    <w:rPr>
      <w:rFonts w:ascii="黑体" w:hAnsi="宋体" w:eastAsia="黑体"/>
      <w:bCs/>
      <w:kern w:val="0"/>
      <w:szCs w:val="24"/>
    </w:rPr>
  </w:style>
  <w:style w:type="paragraph" w:customStyle="1" w:styleId="13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35">
    <w:name w:val="xl36"/>
    <w:basedOn w:val="1"/>
    <w:qFormat/>
    <w:uiPriority w:val="0"/>
    <w:pPr>
      <w:widowControl/>
      <w:pBdr>
        <w:top w:val="single" w:color="auto" w:sz="4" w:space="0"/>
        <w:left w:val="single" w:color="auto" w:sz="4" w:space="0"/>
        <w:bottom w:val="double" w:color="auto" w:sz="6"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3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37">
    <w:name w:val="font6"/>
    <w:basedOn w:val="1"/>
    <w:qFormat/>
    <w:uiPriority w:val="0"/>
    <w:pPr>
      <w:widowControl/>
      <w:spacing w:before="100" w:beforeAutospacing="1" w:after="100" w:afterAutospacing="1"/>
      <w:jc w:val="left"/>
    </w:pPr>
    <w:rPr>
      <w:rFonts w:hint="eastAsia" w:ascii="宋体" w:hAnsi="宋体"/>
      <w:b/>
      <w:bCs/>
      <w:kern w:val="0"/>
      <w:sz w:val="48"/>
      <w:szCs w:val="48"/>
    </w:rPr>
  </w:style>
  <w:style w:type="paragraph" w:customStyle="1" w:styleId="138">
    <w:name w:val="GCEBStyles3"/>
    <w:basedOn w:val="1"/>
    <w:qFormat/>
    <w:uiPriority w:val="0"/>
    <w:pPr>
      <w:jc w:val="left"/>
      <w:outlineLvl w:val="3"/>
    </w:pPr>
    <w:rPr>
      <w:rFonts w:ascii="黑体" w:hAnsi="宋体" w:eastAsia="黑体"/>
      <w:b/>
      <w:bCs/>
      <w:kern w:val="0"/>
      <w:sz w:val="28"/>
      <w:szCs w:val="24"/>
    </w:rPr>
  </w:style>
  <w:style w:type="character" w:customStyle="1" w:styleId="139">
    <w:name w:val="layui-this"/>
    <w:qFormat/>
    <w:uiPriority w:val="0"/>
    <w:rPr>
      <w:bdr w:val="single" w:color="EEEEEE" w:sz="6" w:space="0"/>
      <w:shd w:val="clear" w:color="auto" w:fill="FFFFFF"/>
    </w:rPr>
  </w:style>
  <w:style w:type="paragraph" w:customStyle="1" w:styleId="140">
    <w:name w:val="BodyText"/>
    <w:basedOn w:val="1"/>
    <w:next w:val="1"/>
    <w:qFormat/>
    <w:uiPriority w:val="0"/>
    <w:pPr>
      <w:tabs>
        <w:tab w:val="left" w:pos="562"/>
        <w:tab w:val="left" w:pos="3372"/>
        <w:tab w:val="left" w:pos="3653"/>
      </w:tabs>
      <w:textAlignment w:val="baseline"/>
    </w:pPr>
  </w:style>
  <w:style w:type="table" w:customStyle="1" w:styleId="141">
    <w:name w:val="网格型1"/>
    <w:basedOn w:val="43"/>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2">
    <w:name w:val="HTML 预设格式 Char"/>
    <w:basedOn w:val="45"/>
    <w:link w:val="2"/>
    <w:qFormat/>
    <w:uiPriority w:val="99"/>
    <w:rPr>
      <w:rFonts w:ascii="Courier New" w:hAnsi="Courier New" w:cs="Courier New"/>
      <w:kern w:val="2"/>
      <w:sz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62</Pages>
  <Words>7709</Words>
  <Characters>8771</Characters>
  <Lines>238</Lines>
  <Paragraphs>67</Paragraphs>
  <TotalTime>573</TotalTime>
  <ScaleCrop>false</ScaleCrop>
  <LinksUpToDate>false</LinksUpToDate>
  <CharactersWithSpaces>8917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2025-06-09T02:50:00Z</dcterms:created>
  <dc:creator>Sky123.Org</dc:creator>
  <cp:lastModifiedBy>Xxx</cp:lastModifiedBy>
  <cp:lastPrinted>2026-06-08T00:44:00Z</cp:lastPrinted>
  <dcterms:modified xsi:type="dcterms:W3CDTF">2026-06-12T07:17:47Z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C773AE8E8823428AB1CD1B379E098FCA</vt:lpwstr>
  </property>
  <property fmtid="{D5CDD505-2E9C-101B-9397-08002B2CF9AE}" pid="4" name="KSOTemplateDocerSaveRecord">
    <vt:lpwstr>eyJoZGlkIjoiODA0MDUwNmM1MDJjNWUxZTgzNzQ4NmQwOWFhMTM3ODEiLCJ1c2VySWQiOiIzNjMwMzg4ODYifQ==</vt:lpwstr>
  </property>
</Properties>
</file>