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C7ECA6">
      <w:pPr>
        <w:spacing w:line="360" w:lineRule="exact"/>
        <w:rPr>
          <w:rFonts w:ascii="宋体" w:hAnsi="宋体"/>
          <w:szCs w:val="21"/>
          <w:highlight w:val="none"/>
        </w:rPr>
      </w:pPr>
    </w:p>
    <w:p w14:paraId="612A67C9">
      <w:pPr>
        <w:spacing w:before="624" w:beforeLines="200" w:line="360" w:lineRule="auto"/>
        <w:jc w:val="center"/>
        <w:rPr>
          <w:rFonts w:hint="eastAsia" w:ascii="仿宋" w:hAnsi="仿宋" w:eastAsia="仿宋" w:cs="仿宋"/>
          <w:b/>
          <w:bCs/>
          <w:kern w:val="0"/>
          <w:sz w:val="48"/>
          <w:szCs w:val="48"/>
          <w:highlight w:val="none"/>
        </w:rPr>
      </w:pPr>
      <w:r>
        <w:rPr>
          <w:rFonts w:hint="eastAsia" w:ascii="仿宋" w:hAnsi="仿宋" w:eastAsia="仿宋" w:cs="仿宋"/>
          <w:b/>
          <w:bCs/>
          <w:kern w:val="0"/>
          <w:sz w:val="52"/>
          <w:szCs w:val="52"/>
          <w:highlight w:val="none"/>
        </w:rPr>
        <w:t>荣成海达置业有限公司</w:t>
      </w:r>
    </w:p>
    <w:p w14:paraId="0FCC835F">
      <w:pPr>
        <w:spacing w:before="624" w:beforeLines="200" w:line="360" w:lineRule="auto"/>
        <w:jc w:val="center"/>
        <w:rPr>
          <w:rFonts w:hint="eastAsia" w:ascii="仿宋" w:hAnsi="仿宋" w:eastAsia="仿宋" w:cs="仿宋"/>
          <w:b/>
          <w:bCs/>
          <w:kern w:val="0"/>
          <w:sz w:val="52"/>
          <w:szCs w:val="52"/>
          <w:highlight w:val="none"/>
        </w:rPr>
      </w:pPr>
      <w:r>
        <w:rPr>
          <w:rFonts w:hint="eastAsia" w:ascii="仿宋" w:hAnsi="仿宋" w:eastAsia="仿宋" w:cs="仿宋"/>
          <w:b/>
          <w:bCs/>
          <w:kern w:val="0"/>
          <w:sz w:val="52"/>
          <w:szCs w:val="52"/>
          <w:highlight w:val="none"/>
        </w:rPr>
        <w:t>公开招标文件</w:t>
      </w:r>
    </w:p>
    <w:p w14:paraId="1A1107C4">
      <w:pPr>
        <w:spacing w:line="360" w:lineRule="auto"/>
        <w:ind w:firstLine="723" w:firstLineChars="201"/>
        <w:jc w:val="left"/>
        <w:rPr>
          <w:rFonts w:ascii="宋体" w:hAnsi="宋体"/>
          <w:sz w:val="36"/>
          <w:szCs w:val="36"/>
          <w:highlight w:val="none"/>
        </w:rPr>
      </w:pPr>
    </w:p>
    <w:p w14:paraId="39CC12E9">
      <w:pPr>
        <w:spacing w:line="360" w:lineRule="auto"/>
        <w:jc w:val="left"/>
        <w:rPr>
          <w:rFonts w:ascii="宋体" w:hAnsi="宋体"/>
          <w:sz w:val="36"/>
          <w:szCs w:val="36"/>
          <w:highlight w:val="none"/>
        </w:rPr>
      </w:pPr>
    </w:p>
    <w:p w14:paraId="34E87E16">
      <w:pPr>
        <w:spacing w:line="520" w:lineRule="exact"/>
        <w:ind w:left="2796" w:leftChars="471" w:hanging="1807" w:hangingChars="500"/>
        <w:jc w:val="left"/>
        <w:rPr>
          <w:rFonts w:hint="eastAsia" w:ascii="仿宋_GB2312" w:hAnsi="仿宋" w:eastAsia="仿宋_GB2312" w:cs="方正楷体简体"/>
          <w:b/>
          <w:bCs/>
          <w:sz w:val="36"/>
          <w:szCs w:val="36"/>
          <w:highlight w:val="none"/>
        </w:rPr>
      </w:pPr>
      <w:r>
        <w:rPr>
          <w:rFonts w:hint="eastAsia" w:ascii="仿宋_GB2312" w:hAnsi="仿宋" w:eastAsia="仿宋_GB2312" w:cs="方正楷体简体"/>
          <w:b/>
          <w:sz w:val="36"/>
          <w:szCs w:val="36"/>
          <w:highlight w:val="none"/>
        </w:rPr>
        <w:t>项目名称：</w:t>
      </w:r>
      <w:r>
        <w:rPr>
          <w:rFonts w:hint="eastAsia" w:ascii="仿宋_GB2312" w:hAnsi="仿宋" w:eastAsia="仿宋_GB2312" w:cs="方正楷体简体"/>
          <w:b/>
          <w:bCs/>
          <w:sz w:val="36"/>
          <w:szCs w:val="36"/>
          <w:highlight w:val="none"/>
        </w:rPr>
        <w:t>朝阳港码头道路建设工程</w:t>
      </w:r>
    </w:p>
    <w:p w14:paraId="3BDB57A3">
      <w:pPr>
        <w:spacing w:line="520" w:lineRule="exact"/>
        <w:ind w:left="2254" w:leftChars="471" w:hanging="1265" w:hangingChars="350"/>
        <w:jc w:val="left"/>
        <w:rPr>
          <w:rFonts w:hint="eastAsia" w:ascii="仿宋_GB2312" w:hAnsi="仿宋" w:eastAsia="仿宋_GB2312" w:cs="方正楷体简体"/>
          <w:b/>
          <w:bCs/>
          <w:sz w:val="36"/>
          <w:szCs w:val="36"/>
          <w:highlight w:val="none"/>
        </w:rPr>
      </w:pPr>
      <w:r>
        <w:rPr>
          <w:rFonts w:hint="eastAsia" w:ascii="仿宋_GB2312" w:hAnsi="仿宋" w:eastAsia="仿宋_GB2312" w:cs="方正楷体简体"/>
          <w:b/>
          <w:sz w:val="36"/>
          <w:szCs w:val="36"/>
          <w:highlight w:val="none"/>
        </w:rPr>
        <w:t>项目编号：</w:t>
      </w:r>
      <w:r>
        <w:rPr>
          <w:rFonts w:hint="eastAsia" w:ascii="仿宋_GB2312" w:hAnsi="仿宋" w:eastAsia="仿宋_GB2312" w:cs="方正楷体简体"/>
          <w:b/>
          <w:bCs/>
          <w:sz w:val="36"/>
          <w:szCs w:val="36"/>
          <w:highlight w:val="none"/>
        </w:rPr>
        <w:t>HYJZFCG2026-036</w:t>
      </w:r>
    </w:p>
    <w:p w14:paraId="2D9E8CB4">
      <w:pPr>
        <w:spacing w:line="520" w:lineRule="exact"/>
        <w:ind w:left="2796" w:leftChars="471" w:hanging="1807" w:hangingChars="500"/>
        <w:jc w:val="left"/>
        <w:rPr>
          <w:rFonts w:ascii="仿宋_GB2312" w:hAnsi="仿宋" w:eastAsia="仿宋_GB2312" w:cs="方正楷体简体"/>
          <w:b/>
          <w:bCs/>
          <w:sz w:val="36"/>
          <w:szCs w:val="36"/>
          <w:highlight w:val="none"/>
        </w:rPr>
      </w:pPr>
      <w:r>
        <w:rPr>
          <w:rFonts w:hint="eastAsia" w:ascii="仿宋_GB2312" w:hAnsi="仿宋" w:eastAsia="仿宋_GB2312" w:cs="方正楷体简体"/>
          <w:b/>
          <w:bCs/>
          <w:sz w:val="36"/>
          <w:szCs w:val="36"/>
          <w:highlight w:val="none"/>
        </w:rPr>
        <w:t>包段名称：朝阳港码头道路建设工程(第001包，共1包)</w:t>
      </w:r>
    </w:p>
    <w:p w14:paraId="1F75354F">
      <w:pPr>
        <w:spacing w:line="520" w:lineRule="exact"/>
        <w:ind w:left="2254" w:leftChars="471" w:hanging="1265" w:hangingChars="350"/>
        <w:jc w:val="left"/>
        <w:rPr>
          <w:rFonts w:hint="eastAsia" w:ascii="仿宋_GB2312" w:hAnsi="仿宋" w:eastAsia="仿宋_GB2312" w:cs="方正楷体简体"/>
          <w:b/>
          <w:bCs/>
          <w:sz w:val="36"/>
          <w:szCs w:val="36"/>
          <w:highlight w:val="none"/>
        </w:rPr>
      </w:pPr>
      <w:r>
        <w:rPr>
          <w:rFonts w:hint="eastAsia" w:ascii="仿宋_GB2312" w:hAnsi="仿宋" w:eastAsia="仿宋_GB2312" w:cs="方正楷体简体"/>
          <w:b/>
          <w:bCs/>
          <w:sz w:val="36"/>
          <w:szCs w:val="36"/>
          <w:highlight w:val="none"/>
        </w:rPr>
        <w:t>采购方式：公开招标</w:t>
      </w:r>
    </w:p>
    <w:p w14:paraId="20B566CF">
      <w:pPr>
        <w:spacing w:line="360" w:lineRule="auto"/>
        <w:rPr>
          <w:rFonts w:ascii="仿宋_GB2312" w:hAnsi="仿宋" w:eastAsia="仿宋_GB2312" w:cs="方正楷体简体"/>
          <w:b/>
          <w:sz w:val="16"/>
          <w:szCs w:val="36"/>
          <w:highlight w:val="none"/>
        </w:rPr>
      </w:pPr>
    </w:p>
    <w:p w14:paraId="14A4B56B">
      <w:pPr>
        <w:spacing w:line="360" w:lineRule="auto"/>
        <w:rPr>
          <w:rFonts w:ascii="仿宋_GB2312" w:hAnsi="仿宋" w:eastAsia="仿宋_GB2312" w:cs="方正楷体简体"/>
          <w:b/>
          <w:sz w:val="18"/>
          <w:szCs w:val="36"/>
          <w:highlight w:val="none"/>
        </w:rPr>
      </w:pPr>
    </w:p>
    <w:p w14:paraId="5C57CD98">
      <w:pPr>
        <w:pStyle w:val="12"/>
        <w:rPr>
          <w:rFonts w:ascii="仿宋_GB2312" w:hAnsi="仿宋" w:eastAsia="仿宋_GB2312" w:cs="方正楷体简体"/>
          <w:b/>
          <w:sz w:val="18"/>
          <w:szCs w:val="36"/>
          <w:highlight w:val="none"/>
        </w:rPr>
      </w:pPr>
    </w:p>
    <w:p w14:paraId="57719179">
      <w:pPr>
        <w:pStyle w:val="12"/>
        <w:rPr>
          <w:rFonts w:ascii="仿宋_GB2312" w:hAnsi="仿宋" w:eastAsia="仿宋_GB2312" w:cs="方正楷体简体"/>
          <w:b/>
          <w:sz w:val="18"/>
          <w:szCs w:val="36"/>
          <w:highlight w:val="none"/>
        </w:rPr>
      </w:pPr>
    </w:p>
    <w:p w14:paraId="6C4D9AE7">
      <w:pPr>
        <w:pStyle w:val="12"/>
        <w:rPr>
          <w:rFonts w:ascii="仿宋_GB2312" w:hAnsi="仿宋" w:eastAsia="仿宋_GB2312" w:cs="方正楷体简体"/>
          <w:b/>
          <w:sz w:val="18"/>
          <w:szCs w:val="36"/>
          <w:highlight w:val="none"/>
        </w:rPr>
      </w:pPr>
    </w:p>
    <w:p w14:paraId="2027B5DF">
      <w:pPr>
        <w:pStyle w:val="12"/>
        <w:rPr>
          <w:rFonts w:ascii="仿宋_GB2312" w:hAnsi="仿宋" w:eastAsia="仿宋_GB2312" w:cs="方正楷体简体"/>
          <w:b/>
          <w:sz w:val="18"/>
          <w:szCs w:val="36"/>
          <w:highlight w:val="none"/>
        </w:rPr>
      </w:pPr>
    </w:p>
    <w:p w14:paraId="5C35B3FF">
      <w:pPr>
        <w:pStyle w:val="12"/>
        <w:rPr>
          <w:rFonts w:ascii="仿宋_GB2312" w:hAnsi="仿宋" w:eastAsia="仿宋_GB2312" w:cs="方正楷体简体"/>
          <w:b/>
          <w:sz w:val="18"/>
          <w:szCs w:val="36"/>
          <w:highlight w:val="none"/>
        </w:rPr>
      </w:pPr>
    </w:p>
    <w:p w14:paraId="7856C4F7">
      <w:pPr>
        <w:pStyle w:val="12"/>
        <w:rPr>
          <w:rFonts w:ascii="仿宋_GB2312" w:hAnsi="仿宋" w:eastAsia="仿宋_GB2312" w:cs="方正楷体简体"/>
          <w:b/>
          <w:sz w:val="18"/>
          <w:szCs w:val="36"/>
          <w:highlight w:val="none"/>
        </w:rPr>
      </w:pPr>
    </w:p>
    <w:p w14:paraId="6FC56BF8">
      <w:pPr>
        <w:spacing w:line="360" w:lineRule="auto"/>
        <w:ind w:firstLine="363" w:firstLineChars="201"/>
        <w:jc w:val="center"/>
        <w:rPr>
          <w:rFonts w:ascii="仿宋_GB2312" w:hAnsi="仿宋" w:eastAsia="仿宋_GB2312" w:cs="方正楷体简体"/>
          <w:b/>
          <w:sz w:val="18"/>
          <w:szCs w:val="36"/>
          <w:highlight w:val="none"/>
        </w:rPr>
      </w:pPr>
    </w:p>
    <w:p w14:paraId="593B86BE">
      <w:pPr>
        <w:spacing w:before="156" w:beforeLines="50" w:line="360" w:lineRule="auto"/>
        <w:jc w:val="center"/>
        <w:rPr>
          <w:rFonts w:hint="eastAsia" w:ascii="仿宋_GB2312" w:hAnsi="仿宋" w:eastAsia="仿宋_GB2312"/>
          <w:b/>
          <w:bCs/>
          <w:kern w:val="0"/>
          <w:sz w:val="36"/>
          <w:szCs w:val="36"/>
          <w:highlight w:val="none"/>
        </w:rPr>
      </w:pPr>
      <w:r>
        <w:rPr>
          <w:rFonts w:hint="eastAsia" w:ascii="仿宋_GB2312" w:hAnsi="仿宋" w:eastAsia="仿宋_GB2312" w:cs="方正楷体简体"/>
          <w:b/>
          <w:sz w:val="36"/>
          <w:szCs w:val="36"/>
          <w:highlight w:val="none"/>
        </w:rPr>
        <w:t>代理机构：山东华维工程咨询有限公司</w:t>
      </w:r>
    </w:p>
    <w:p w14:paraId="7B88F572">
      <w:pPr>
        <w:spacing w:before="156" w:beforeLines="50" w:line="360" w:lineRule="auto"/>
        <w:jc w:val="center"/>
        <w:rPr>
          <w:rFonts w:hint="eastAsia" w:ascii="黑体" w:hAnsi="黑体" w:eastAsia="仿宋_GB2312" w:cs="方正小标宋简体"/>
          <w:kern w:val="0"/>
          <w:sz w:val="52"/>
          <w:szCs w:val="52"/>
          <w:highlight w:val="none"/>
        </w:rPr>
        <w:sectPr>
          <w:headerReference r:id="rId3" w:type="default"/>
          <w:pgSz w:w="11906" w:h="16838"/>
          <w:pgMar w:top="1440" w:right="1080" w:bottom="1440" w:left="1080" w:header="851" w:footer="992" w:gutter="0"/>
          <w:pgNumType w:start="1"/>
          <w:cols w:space="720" w:num="1"/>
          <w:docGrid w:type="lines" w:linePitch="312" w:charSpace="0"/>
        </w:sectPr>
      </w:pPr>
      <w:r>
        <w:rPr>
          <w:rFonts w:hint="eastAsia" w:ascii="仿宋_GB2312" w:hAnsi="仿宋" w:eastAsia="仿宋_GB2312" w:cs="方正楷体简体"/>
          <w:b/>
          <w:sz w:val="36"/>
          <w:szCs w:val="36"/>
          <w:highlight w:val="none"/>
        </w:rPr>
        <w:t>编制时间：</w:t>
      </w:r>
      <w:bookmarkStart w:id="0" w:name="_Toc413596380"/>
      <w:bookmarkStart w:id="1" w:name="_Toc382129898"/>
      <w:r>
        <w:rPr>
          <w:rFonts w:hint="eastAsia" w:ascii="仿宋_GB2312" w:hAnsi="仿宋" w:eastAsia="仿宋_GB2312" w:cs="方正楷体简体"/>
          <w:b/>
          <w:sz w:val="36"/>
          <w:szCs w:val="36"/>
          <w:highlight w:val="none"/>
        </w:rPr>
        <w:t>2026年09月</w:t>
      </w:r>
      <w:r>
        <w:rPr>
          <w:rFonts w:hint="eastAsia" w:ascii="仿宋_GB2312" w:hAnsi="仿宋" w:eastAsia="仿宋_GB2312" w:cs="方正楷体简体"/>
          <w:b/>
          <w:sz w:val="36"/>
          <w:szCs w:val="36"/>
          <w:highlight w:val="none"/>
          <w:lang w:val="en-US" w:eastAsia="zh-CN"/>
        </w:rPr>
        <w:t>15</w:t>
      </w:r>
      <w:r>
        <w:rPr>
          <w:rFonts w:hint="eastAsia" w:ascii="仿宋_GB2312" w:hAnsi="仿宋" w:eastAsia="仿宋_GB2312" w:cs="方正楷体简体"/>
          <w:b/>
          <w:sz w:val="36"/>
          <w:szCs w:val="36"/>
          <w:highlight w:val="none"/>
        </w:rPr>
        <w:t>日</w:t>
      </w:r>
    </w:p>
    <w:p w14:paraId="510E0A6F">
      <w:pPr>
        <w:spacing w:line="360" w:lineRule="auto"/>
        <w:jc w:val="center"/>
        <w:rPr>
          <w:rFonts w:hint="eastAsia" w:ascii="黑体" w:hAnsi="黑体" w:eastAsia="黑体" w:cs="方正小标宋简体"/>
          <w:kern w:val="0"/>
          <w:sz w:val="52"/>
          <w:szCs w:val="52"/>
          <w:highlight w:val="none"/>
        </w:rPr>
      </w:pPr>
    </w:p>
    <w:p w14:paraId="1EF26921">
      <w:pPr>
        <w:spacing w:line="360" w:lineRule="auto"/>
        <w:jc w:val="center"/>
        <w:rPr>
          <w:rFonts w:hint="eastAsia" w:ascii="仿宋" w:hAnsi="仿宋" w:eastAsia="仿宋" w:cs="仿宋"/>
          <w:b/>
          <w:sz w:val="44"/>
          <w:szCs w:val="44"/>
          <w:highlight w:val="none"/>
        </w:rPr>
      </w:pPr>
      <w:r>
        <w:rPr>
          <w:rFonts w:hint="eastAsia" w:ascii="仿宋" w:hAnsi="仿宋" w:eastAsia="仿宋" w:cs="仿宋"/>
          <w:kern w:val="0"/>
          <w:sz w:val="52"/>
          <w:szCs w:val="52"/>
          <w:highlight w:val="none"/>
        </w:rPr>
        <w:t>目  录</w:t>
      </w:r>
    </w:p>
    <w:p w14:paraId="54CDED21">
      <w:pPr>
        <w:spacing w:line="560" w:lineRule="exact"/>
        <w:ind w:firstLine="562" w:firstLineChars="201"/>
        <w:jc w:val="left"/>
        <w:rPr>
          <w:rFonts w:ascii="宋体" w:hAnsi="宋体" w:cs="方正楷体简体"/>
          <w:sz w:val="28"/>
          <w:szCs w:val="28"/>
          <w:highlight w:val="none"/>
        </w:rPr>
      </w:pPr>
    </w:p>
    <w:p w14:paraId="003F23E4">
      <w:pPr>
        <w:spacing w:line="720" w:lineRule="exact"/>
        <w:ind w:firstLine="562" w:firstLineChars="200"/>
        <w:jc w:val="left"/>
        <w:rPr>
          <w:rFonts w:ascii="宋体" w:hAnsi="宋体" w:cs="宋体"/>
          <w:sz w:val="24"/>
          <w:szCs w:val="44"/>
          <w:highlight w:val="none"/>
        </w:rPr>
      </w:pPr>
      <w:r>
        <w:rPr>
          <w:rFonts w:hint="eastAsia" w:ascii="仿宋_GB2312" w:hAnsi="黑体" w:eastAsia="仿宋_GB2312" w:cs="宋体"/>
          <w:b/>
          <w:bCs/>
          <w:caps/>
          <w:sz w:val="28"/>
          <w:szCs w:val="28"/>
          <w:highlight w:val="none"/>
        </w:rPr>
        <w:t>第一章   招标公告</w:t>
      </w:r>
    </w:p>
    <w:p w14:paraId="6BC7A4BF">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第二章   投标须知</w:t>
      </w:r>
    </w:p>
    <w:p w14:paraId="23153BB9">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第三章   采购内容与要求</w:t>
      </w:r>
    </w:p>
    <w:p w14:paraId="3CE44934">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第四章   评标原则和方法</w:t>
      </w:r>
    </w:p>
    <w:p w14:paraId="6C480F24">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第五章   投标文件格式与要求</w:t>
      </w:r>
    </w:p>
    <w:p w14:paraId="0A544DC0">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第六章   采购合同（范本）</w:t>
      </w:r>
    </w:p>
    <w:p w14:paraId="4A59FA2E">
      <w:pPr>
        <w:spacing w:line="560" w:lineRule="exact"/>
        <w:ind w:firstLine="424" w:firstLineChars="151"/>
        <w:jc w:val="left"/>
        <w:rPr>
          <w:rFonts w:ascii="仿宋_GB2312" w:hAnsi="宋体" w:eastAsia="仿宋_GB2312"/>
          <w:b/>
          <w:bCs/>
          <w:caps/>
          <w:sz w:val="28"/>
          <w:szCs w:val="28"/>
          <w:highlight w:val="none"/>
        </w:rPr>
      </w:pPr>
    </w:p>
    <w:p w14:paraId="774621D6">
      <w:pPr>
        <w:rPr>
          <w:rFonts w:ascii="宋体" w:hAnsi="宋体"/>
          <w:kern w:val="0"/>
          <w:highlight w:val="none"/>
        </w:rPr>
        <w:sectPr>
          <w:headerReference r:id="rId4" w:type="default"/>
          <w:pgSz w:w="11906" w:h="16838"/>
          <w:pgMar w:top="1440" w:right="1080" w:bottom="1440" w:left="1080" w:header="851" w:footer="992" w:gutter="0"/>
          <w:pgNumType w:start="1"/>
          <w:cols w:space="720" w:num="1"/>
          <w:docGrid w:type="lines" w:linePitch="312" w:charSpace="0"/>
        </w:sectPr>
      </w:pPr>
    </w:p>
    <w:bookmarkEnd w:id="0"/>
    <w:bookmarkEnd w:id="1"/>
    <w:p w14:paraId="2E603EF2">
      <w:pPr>
        <w:pStyle w:val="28"/>
        <w:numPr>
          <w:ilvl w:val="0"/>
          <w:numId w:val="1"/>
        </w:numPr>
        <w:spacing w:before="100" w:beforeAutospacing="1" w:after="100" w:afterAutospacing="1" w:line="415" w:lineRule="auto"/>
        <w:rPr>
          <w:rFonts w:hint="eastAsia" w:ascii="仿宋" w:hAnsi="仿宋" w:eastAsia="仿宋" w:cs="仿宋"/>
          <w:sz w:val="24"/>
          <w:szCs w:val="44"/>
          <w:highlight w:val="none"/>
        </w:rPr>
      </w:pPr>
      <w:bookmarkStart w:id="2" w:name="_Toc266431116"/>
      <w:bookmarkStart w:id="3" w:name="_Toc253045125"/>
      <w:r>
        <w:rPr>
          <w:rFonts w:hint="eastAsia" w:ascii="仿宋" w:hAnsi="仿宋" w:eastAsia="仿宋" w:cs="仿宋"/>
          <w:sz w:val="44"/>
          <w:szCs w:val="44"/>
          <w:highlight w:val="none"/>
        </w:rPr>
        <w:t>招标公告</w:t>
      </w:r>
    </w:p>
    <w:p w14:paraId="6B0D87C0">
      <w:pPr>
        <w:rPr>
          <w:highlight w:val="none"/>
        </w:rPr>
      </w:pPr>
    </w:p>
    <w:p w14:paraId="3E7F1F52">
      <w:pPr>
        <w:rPr>
          <w:highlight w:val="none"/>
        </w:rPr>
        <w:sectPr>
          <w:headerReference r:id="rId6" w:type="first"/>
          <w:footerReference r:id="rId7" w:type="default"/>
          <w:headerReference r:id="rId5" w:type="even"/>
          <w:pgSz w:w="11906" w:h="16838"/>
          <w:pgMar w:top="1440" w:right="1077" w:bottom="1440" w:left="1077" w:header="851" w:footer="992" w:gutter="0"/>
          <w:pgNumType w:start="1"/>
          <w:cols w:space="720" w:num="1"/>
          <w:docGrid w:type="lines" w:linePitch="312" w:charSpace="0"/>
        </w:sectPr>
      </w:pPr>
    </w:p>
    <w:p w14:paraId="00A08C72">
      <w:pPr>
        <w:jc w:val="center"/>
        <w:rPr>
          <w:rFonts w:hint="eastAsia" w:ascii="方正小标宋简体" w:eastAsia="方正小标宋简体"/>
          <w:b/>
          <w:sz w:val="30"/>
          <w:szCs w:val="30"/>
          <w:highlight w:val="none"/>
        </w:rPr>
      </w:pPr>
      <w:bookmarkStart w:id="4" w:name="_Toc382129899"/>
      <w:bookmarkStart w:id="5" w:name="_Toc413596381"/>
      <w:r>
        <w:rPr>
          <w:rFonts w:hint="eastAsia" w:ascii="仿宋" w:hAnsi="仿宋" w:eastAsia="仿宋" w:cs="仿宋"/>
          <w:b/>
          <w:sz w:val="30"/>
          <w:szCs w:val="30"/>
          <w:highlight w:val="none"/>
        </w:rPr>
        <w:t>荣成海达置业有限公司朝阳港码头道路建设工程公开招标采购公告</w:t>
      </w:r>
    </w:p>
    <w:p w14:paraId="441BA99C">
      <w:pPr>
        <w:spacing w:line="560" w:lineRule="exact"/>
        <w:rPr>
          <w:rFonts w:hint="eastAsia" w:ascii="黑体" w:hAnsi="黑体" w:eastAsia="黑体" w:cs="宋体"/>
          <w:kern w:val="0"/>
          <w:sz w:val="28"/>
          <w:szCs w:val="28"/>
          <w:highlight w:val="none"/>
        </w:rPr>
      </w:pPr>
    </w:p>
    <w:p w14:paraId="789BFBBF">
      <w:pPr>
        <w:widowControl/>
        <w:shd w:val="clear" w:color="auto" w:fill="FCFCFC"/>
        <w:spacing w:line="266" w:lineRule="atLeast"/>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项目概况</w:t>
      </w:r>
    </w:p>
    <w:p w14:paraId="428CA41F">
      <w:pPr>
        <w:widowControl/>
        <w:shd w:val="clear" w:color="auto" w:fill="FCFCFC"/>
        <w:spacing w:line="266" w:lineRule="atLeast"/>
        <w:ind w:firstLine="56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朝阳港码头道路建设工程招标项目的潜在投标人应在威海市公共资源交易网（荣成市）首页右侧“交易服务一网通办系统-（新版）一网通办系统”进行平台切换点击“国企采购”进入国有企业阳光采购电子化服务平台获取招标文件，并于2026年09月</w:t>
      </w:r>
      <w:r>
        <w:rPr>
          <w:rFonts w:hint="eastAsia" w:ascii="仿宋_GB2312" w:hAnsi="仿宋" w:eastAsia="仿宋_GB2312" w:cs="宋体"/>
          <w:spacing w:val="8"/>
          <w:kern w:val="0"/>
          <w:sz w:val="28"/>
          <w:szCs w:val="28"/>
          <w:highlight w:val="none"/>
          <w:lang w:val="en-US" w:eastAsia="zh-CN"/>
        </w:rPr>
        <w:t>23</w:t>
      </w:r>
      <w:r>
        <w:rPr>
          <w:rFonts w:hint="eastAsia" w:ascii="仿宋_GB2312" w:hAnsi="仿宋" w:eastAsia="仿宋_GB2312" w:cs="宋体"/>
          <w:spacing w:val="8"/>
          <w:kern w:val="0"/>
          <w:sz w:val="28"/>
          <w:szCs w:val="28"/>
          <w:highlight w:val="none"/>
        </w:rPr>
        <w:t>日</w:t>
      </w:r>
      <w:r>
        <w:rPr>
          <w:rFonts w:hint="eastAsia" w:ascii="仿宋_GB2312" w:hAnsi="仿宋" w:eastAsia="仿宋_GB2312" w:cs="宋体"/>
          <w:spacing w:val="8"/>
          <w:kern w:val="0"/>
          <w:sz w:val="28"/>
          <w:szCs w:val="28"/>
          <w:highlight w:val="none"/>
          <w:lang w:val="en-US" w:eastAsia="zh-CN"/>
        </w:rPr>
        <w:t>14</w:t>
      </w:r>
      <w:r>
        <w:rPr>
          <w:rFonts w:hint="eastAsia" w:ascii="仿宋_GB2312" w:hAnsi="仿宋" w:eastAsia="仿宋_GB2312" w:cs="宋体"/>
          <w:spacing w:val="8"/>
          <w:kern w:val="0"/>
          <w:sz w:val="28"/>
          <w:szCs w:val="28"/>
          <w:highlight w:val="none"/>
        </w:rPr>
        <w:t>时00分（北京时间）前递交投标文件。</w:t>
      </w:r>
    </w:p>
    <w:p w14:paraId="35C2DABB">
      <w:pPr>
        <w:spacing w:line="560" w:lineRule="exact"/>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一、项目基本情况</w:t>
      </w:r>
    </w:p>
    <w:p w14:paraId="34A9160E">
      <w:pPr>
        <w:widowControl/>
        <w:adjustRightInd w:val="0"/>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项目编号：HYJZFCG2026-036</w:t>
      </w:r>
    </w:p>
    <w:p w14:paraId="649DCB4D">
      <w:pPr>
        <w:widowControl/>
        <w:spacing w:line="56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项目名称：朝阳港码头道路建设工程</w:t>
      </w:r>
    </w:p>
    <w:p w14:paraId="0D572887">
      <w:pPr>
        <w:widowControl/>
        <w:spacing w:line="560" w:lineRule="exact"/>
        <w:ind w:firstLine="592" w:firstLineChars="200"/>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采购项目分包情况：</w:t>
      </w:r>
    </w:p>
    <w:tbl>
      <w:tblPr>
        <w:tblStyle w:val="31"/>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500"/>
        <w:gridCol w:w="1036"/>
        <w:gridCol w:w="1653"/>
        <w:gridCol w:w="1686"/>
        <w:gridCol w:w="1107"/>
        <w:gridCol w:w="1146"/>
      </w:tblGrid>
      <w:tr w14:paraId="43205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851" w:type="dxa"/>
            <w:tcBorders>
              <w:bottom w:val="single" w:color="auto" w:sz="4" w:space="0"/>
            </w:tcBorders>
            <w:noWrap w:val="0"/>
            <w:vAlign w:val="center"/>
          </w:tcPr>
          <w:p w14:paraId="4686F754">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标包</w:t>
            </w:r>
          </w:p>
        </w:tc>
        <w:tc>
          <w:tcPr>
            <w:tcW w:w="2500" w:type="dxa"/>
            <w:noWrap w:val="0"/>
            <w:vAlign w:val="center"/>
          </w:tcPr>
          <w:p w14:paraId="1E731B93">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项目名称</w:t>
            </w:r>
          </w:p>
        </w:tc>
        <w:tc>
          <w:tcPr>
            <w:tcW w:w="1036" w:type="dxa"/>
            <w:noWrap w:val="0"/>
            <w:vAlign w:val="center"/>
          </w:tcPr>
          <w:p w14:paraId="599617F4">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数量</w:t>
            </w:r>
          </w:p>
        </w:tc>
        <w:tc>
          <w:tcPr>
            <w:tcW w:w="1653" w:type="dxa"/>
            <w:tcBorders>
              <w:right w:val="single" w:color="auto" w:sz="4" w:space="0"/>
            </w:tcBorders>
            <w:noWrap w:val="0"/>
            <w:vAlign w:val="center"/>
          </w:tcPr>
          <w:p w14:paraId="18D2F593">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包预算金额</w:t>
            </w:r>
          </w:p>
          <w:p w14:paraId="097CAFB6">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（元）</w:t>
            </w:r>
          </w:p>
        </w:tc>
        <w:tc>
          <w:tcPr>
            <w:tcW w:w="1686" w:type="dxa"/>
            <w:noWrap w:val="0"/>
            <w:vAlign w:val="center"/>
          </w:tcPr>
          <w:p w14:paraId="6B30597C">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最高限价（元）</w:t>
            </w:r>
          </w:p>
        </w:tc>
        <w:tc>
          <w:tcPr>
            <w:tcW w:w="1107" w:type="dxa"/>
            <w:tcBorders>
              <w:right w:val="single" w:color="auto" w:sz="4" w:space="0"/>
            </w:tcBorders>
            <w:noWrap w:val="0"/>
            <w:vAlign w:val="center"/>
          </w:tcPr>
          <w:p w14:paraId="5DFA451B">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采购需求</w:t>
            </w:r>
          </w:p>
        </w:tc>
        <w:tc>
          <w:tcPr>
            <w:tcW w:w="1146" w:type="dxa"/>
            <w:tcBorders>
              <w:right w:val="single" w:color="auto" w:sz="4" w:space="0"/>
            </w:tcBorders>
            <w:noWrap w:val="0"/>
            <w:vAlign w:val="center"/>
          </w:tcPr>
          <w:p w14:paraId="52B890E0">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合同履行期限</w:t>
            </w:r>
          </w:p>
        </w:tc>
      </w:tr>
      <w:tr w14:paraId="33301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851" w:type="dxa"/>
            <w:tcBorders>
              <w:top w:val="single" w:color="auto" w:sz="4" w:space="0"/>
              <w:bottom w:val="single" w:color="auto" w:sz="4" w:space="0"/>
            </w:tcBorders>
            <w:noWrap w:val="0"/>
            <w:vAlign w:val="center"/>
          </w:tcPr>
          <w:p w14:paraId="239D8DDF">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001</w:t>
            </w:r>
          </w:p>
        </w:tc>
        <w:tc>
          <w:tcPr>
            <w:tcW w:w="2500" w:type="dxa"/>
            <w:noWrap w:val="0"/>
            <w:vAlign w:val="center"/>
          </w:tcPr>
          <w:p w14:paraId="308C3888">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仿宋" w:eastAsia="仿宋_GB2312" w:cs="宋体"/>
                <w:spacing w:val="8"/>
                <w:kern w:val="0"/>
                <w:sz w:val="28"/>
                <w:szCs w:val="28"/>
                <w:highlight w:val="none"/>
              </w:rPr>
              <w:t>朝阳港码头道路建设工程</w:t>
            </w:r>
          </w:p>
        </w:tc>
        <w:tc>
          <w:tcPr>
            <w:tcW w:w="1036" w:type="dxa"/>
            <w:noWrap w:val="0"/>
            <w:vAlign w:val="center"/>
          </w:tcPr>
          <w:p w14:paraId="236AEFA4">
            <w:pPr>
              <w:widowControl/>
              <w:adjustRightInd w:val="0"/>
              <w:spacing w:line="520" w:lineRule="exact"/>
              <w:jc w:val="center"/>
              <w:rPr>
                <w:rFonts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1宗</w:t>
            </w:r>
          </w:p>
        </w:tc>
        <w:tc>
          <w:tcPr>
            <w:tcW w:w="1653" w:type="dxa"/>
            <w:tcBorders>
              <w:right w:val="single" w:color="auto" w:sz="4" w:space="0"/>
            </w:tcBorders>
            <w:noWrap w:val="0"/>
            <w:vAlign w:val="center"/>
          </w:tcPr>
          <w:p w14:paraId="7B358DFA">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881170.16</w:t>
            </w:r>
          </w:p>
        </w:tc>
        <w:tc>
          <w:tcPr>
            <w:tcW w:w="1686" w:type="dxa"/>
            <w:noWrap w:val="0"/>
            <w:vAlign w:val="center"/>
          </w:tcPr>
          <w:p w14:paraId="2BB1A109">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881170.16</w:t>
            </w:r>
          </w:p>
        </w:tc>
        <w:tc>
          <w:tcPr>
            <w:tcW w:w="1107" w:type="dxa"/>
            <w:tcBorders>
              <w:right w:val="single" w:color="auto" w:sz="4" w:space="0"/>
            </w:tcBorders>
            <w:noWrap w:val="0"/>
            <w:vAlign w:val="center"/>
          </w:tcPr>
          <w:p w14:paraId="09ECDBDA">
            <w:pPr>
              <w:widowControl/>
              <w:adjustRightInd w:val="0"/>
              <w:spacing w:line="520" w:lineRule="exact"/>
              <w:jc w:val="center"/>
              <w:rPr>
                <w:rFonts w:ascii="仿宋_GB2312" w:hAnsi="宋体" w:eastAsia="仿宋_GB2312" w:cs="宋体"/>
                <w:kern w:val="0"/>
                <w:sz w:val="28"/>
                <w:szCs w:val="28"/>
                <w:highlight w:val="none"/>
              </w:rPr>
            </w:pPr>
            <w:r>
              <w:rPr>
                <w:rFonts w:ascii="仿宋_GB2312" w:hAnsi="宋体" w:eastAsia="仿宋_GB2312" w:cs="宋体"/>
                <w:kern w:val="0"/>
                <w:sz w:val="28"/>
                <w:szCs w:val="28"/>
                <w:highlight w:val="none"/>
              </w:rPr>
              <w:t>详见</w:t>
            </w:r>
            <w:r>
              <w:rPr>
                <w:rFonts w:hint="eastAsia" w:ascii="仿宋_GB2312" w:hAnsi="宋体" w:eastAsia="仿宋_GB2312" w:cs="宋体"/>
                <w:kern w:val="0"/>
                <w:sz w:val="28"/>
                <w:szCs w:val="28"/>
                <w:highlight w:val="none"/>
              </w:rPr>
              <w:t>招标文件</w:t>
            </w:r>
          </w:p>
        </w:tc>
        <w:tc>
          <w:tcPr>
            <w:tcW w:w="1146" w:type="dxa"/>
            <w:tcBorders>
              <w:right w:val="single" w:color="auto" w:sz="4" w:space="0"/>
            </w:tcBorders>
            <w:noWrap w:val="0"/>
            <w:vAlign w:val="center"/>
          </w:tcPr>
          <w:p w14:paraId="4BB2B004">
            <w:pPr>
              <w:widowControl/>
              <w:adjustRightInd w:val="0"/>
              <w:spacing w:line="520" w:lineRule="exact"/>
              <w:jc w:val="center"/>
              <w:rPr>
                <w:rFonts w:ascii="仿宋_GB2312" w:hAnsi="宋体" w:eastAsia="仿宋_GB2312" w:cs="宋体"/>
                <w:kern w:val="0"/>
                <w:sz w:val="28"/>
                <w:szCs w:val="28"/>
                <w:highlight w:val="none"/>
              </w:rPr>
            </w:pPr>
            <w:r>
              <w:rPr>
                <w:rFonts w:ascii="仿宋_GB2312" w:hAnsi="宋体" w:eastAsia="仿宋_GB2312" w:cs="宋体"/>
                <w:kern w:val="0"/>
                <w:sz w:val="28"/>
                <w:szCs w:val="28"/>
                <w:highlight w:val="none"/>
              </w:rPr>
              <w:t>详见</w:t>
            </w:r>
            <w:r>
              <w:rPr>
                <w:rFonts w:hint="eastAsia" w:ascii="仿宋_GB2312" w:hAnsi="宋体" w:eastAsia="仿宋_GB2312" w:cs="宋体"/>
                <w:kern w:val="0"/>
                <w:sz w:val="28"/>
                <w:szCs w:val="28"/>
                <w:highlight w:val="none"/>
              </w:rPr>
              <w:t>招标文件</w:t>
            </w:r>
          </w:p>
        </w:tc>
      </w:tr>
    </w:tbl>
    <w:p w14:paraId="6EBEAA96">
      <w:pPr>
        <w:widowControl/>
        <w:spacing w:line="56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本项目不接受联合体投标。</w:t>
      </w:r>
    </w:p>
    <w:p w14:paraId="2B88C660">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二、投标人的资格要求：</w:t>
      </w:r>
    </w:p>
    <w:p w14:paraId="2EA91434">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1.投标人具有独立承担民事责任的能力；</w:t>
      </w:r>
    </w:p>
    <w:p w14:paraId="5F15F2F2">
      <w:pPr>
        <w:widowControl/>
        <w:spacing w:line="520" w:lineRule="exact"/>
        <w:ind w:firstLine="592" w:firstLineChars="200"/>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2.投标人具有市政公用工程施工总承包三级及以上资质，同时具有安全生产许可证；</w:t>
      </w:r>
    </w:p>
    <w:p w14:paraId="3354A733">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3.投标人具有履行合同所必需的设备和专业技术能力，并能提供优质的服务；</w:t>
      </w:r>
    </w:p>
    <w:p w14:paraId="57F960F7">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4.投标人具有依法缴纳税收和社会保障资金的良好记录；</w:t>
      </w:r>
    </w:p>
    <w:p w14:paraId="6CF54D8B">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5.投标人具有良好的商业信誉和健全的财务会计制度及履约能力；</w:t>
      </w:r>
    </w:p>
    <w:p w14:paraId="3D67EAD2">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6.投标人参加采购活动前3年内在经营活动中没有重大违法记录;</w:t>
      </w:r>
    </w:p>
    <w:p w14:paraId="1921550A">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7.投标人、法定代表人、授权委托人、项目经理未被最高法院列入失信被执行人；</w:t>
      </w:r>
    </w:p>
    <w:p w14:paraId="3B7F748B">
      <w:pPr>
        <w:spacing w:line="56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8.投标人近一年在"信用中国"或"信用山东"无严重失信记录。</w:t>
      </w:r>
    </w:p>
    <w:p w14:paraId="5F1FFA54">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三、获取招标文件时间及地点：</w:t>
      </w:r>
    </w:p>
    <w:p w14:paraId="304BFF20">
      <w:pPr>
        <w:widowControl/>
        <w:spacing w:line="520" w:lineRule="exact"/>
        <w:ind w:firstLine="539"/>
        <w:rPr>
          <w:rFonts w:ascii="仿宋_GB2312" w:hAnsi="黑体" w:eastAsia="仿宋_GB2312" w:cs="宋体"/>
          <w:spacing w:val="8"/>
          <w:kern w:val="0"/>
          <w:sz w:val="28"/>
          <w:szCs w:val="28"/>
          <w:highlight w:val="none"/>
        </w:rPr>
      </w:pPr>
      <w:r>
        <w:rPr>
          <w:rFonts w:hint="eastAsia" w:ascii="仿宋_GB2312" w:hAnsi="黑体" w:eastAsia="仿宋_GB2312" w:cs="宋体"/>
          <w:spacing w:val="8"/>
          <w:kern w:val="0"/>
          <w:sz w:val="28"/>
          <w:szCs w:val="28"/>
          <w:highlight w:val="none"/>
        </w:rPr>
        <w:t>1.获取时间：</w:t>
      </w:r>
      <w:r>
        <w:rPr>
          <w:rFonts w:hint="eastAsia" w:ascii="仿宋_GB2312" w:hAnsi="仿宋" w:eastAsia="仿宋_GB2312" w:cs="宋体"/>
          <w:spacing w:val="8"/>
          <w:kern w:val="0"/>
          <w:sz w:val="28"/>
          <w:szCs w:val="28"/>
          <w:highlight w:val="none"/>
        </w:rPr>
        <w:t>2026年09月</w:t>
      </w:r>
      <w:r>
        <w:rPr>
          <w:rFonts w:hint="eastAsia" w:ascii="仿宋_GB2312" w:hAnsi="仿宋" w:eastAsia="仿宋_GB2312" w:cs="宋体"/>
          <w:spacing w:val="8"/>
          <w:kern w:val="0"/>
          <w:sz w:val="28"/>
          <w:szCs w:val="28"/>
          <w:highlight w:val="none"/>
          <w:lang w:val="en-US" w:eastAsia="zh-CN"/>
        </w:rPr>
        <w:t>15</w:t>
      </w:r>
      <w:r>
        <w:rPr>
          <w:rFonts w:hint="eastAsia" w:ascii="仿宋_GB2312" w:hAnsi="仿宋" w:eastAsia="仿宋_GB2312" w:cs="宋体"/>
          <w:spacing w:val="8"/>
          <w:kern w:val="0"/>
          <w:sz w:val="28"/>
          <w:szCs w:val="28"/>
          <w:highlight w:val="none"/>
        </w:rPr>
        <w:t>日17时30分至2026年09月</w:t>
      </w:r>
      <w:r>
        <w:rPr>
          <w:rFonts w:hint="eastAsia" w:ascii="仿宋_GB2312" w:hAnsi="仿宋" w:eastAsia="仿宋_GB2312" w:cs="宋体"/>
          <w:spacing w:val="8"/>
          <w:kern w:val="0"/>
          <w:sz w:val="28"/>
          <w:szCs w:val="28"/>
          <w:highlight w:val="none"/>
          <w:lang w:val="en-US" w:eastAsia="zh-CN"/>
        </w:rPr>
        <w:t>20</w:t>
      </w:r>
      <w:r>
        <w:rPr>
          <w:rFonts w:hint="eastAsia" w:ascii="仿宋_GB2312" w:hAnsi="仿宋" w:eastAsia="仿宋_GB2312" w:cs="宋体"/>
          <w:spacing w:val="8"/>
          <w:kern w:val="0"/>
          <w:sz w:val="28"/>
          <w:szCs w:val="28"/>
          <w:highlight w:val="none"/>
        </w:rPr>
        <w:t>日17时30分（北京时间）</w:t>
      </w:r>
    </w:p>
    <w:p w14:paraId="04C9CC2F">
      <w:pPr>
        <w:keepNext w:val="0"/>
        <w:keepLines w:val="0"/>
        <w:pageBreakBefore w:val="0"/>
        <w:widowControl/>
        <w:shd w:val="clear" w:color="auto" w:fill="FCFCFC"/>
        <w:kinsoku/>
        <w:wordWrap w:val="0"/>
        <w:overflowPunct/>
        <w:topLinePunct w:val="0"/>
        <w:autoSpaceDE/>
        <w:autoSpaceDN/>
        <w:bidi w:val="0"/>
        <w:adjustRightInd/>
        <w:snapToGrid/>
        <w:spacing w:line="266" w:lineRule="atLeast"/>
        <w:ind w:firstLine="561"/>
        <w:jc w:val="left"/>
        <w:textAlignment w:val="auto"/>
        <w:rPr>
          <w:rFonts w:hint="eastAsia" w:ascii="仿宋_GB2312" w:hAnsi="仿宋" w:eastAsia="仿宋_GB2312" w:cs="宋体"/>
          <w:spacing w:val="8"/>
          <w:kern w:val="0"/>
          <w:sz w:val="28"/>
          <w:szCs w:val="28"/>
          <w:highlight w:val="none"/>
        </w:rPr>
      </w:pPr>
      <w:r>
        <w:rPr>
          <w:rFonts w:hint="eastAsia" w:ascii="仿宋_GB2312" w:hAnsi="黑体" w:eastAsia="仿宋_GB2312" w:cs="宋体"/>
          <w:spacing w:val="8"/>
          <w:kern w:val="0"/>
          <w:sz w:val="28"/>
          <w:szCs w:val="28"/>
          <w:highlight w:val="none"/>
        </w:rPr>
        <w:t>2.</w:t>
      </w:r>
      <w:r>
        <w:rPr>
          <w:rFonts w:hint="eastAsia" w:ascii="仿宋_GB2312" w:hAnsi="仿宋" w:eastAsia="仿宋_GB2312" w:cs="宋体"/>
          <w:spacing w:val="8"/>
          <w:kern w:val="0"/>
          <w:sz w:val="28"/>
          <w:szCs w:val="28"/>
          <w:highlight w:val="none"/>
        </w:rPr>
        <w:t>获取地址：登录“威海市公共资源交易网（荣成市）”首页右侧“交易服务一网通办系统-（新版）一网通办系统”进行“平台切换”，点击“国企采购”进入国企阳光采购平台获取文件(网址：http://ggzyjy.weihai.cn/rongcheng/)。逾期无法从威海市国有企业阳光采购电子化服务平台中获取文件，未在规定时间内从系统中获取采购文件的投标单位将无法提交电子投标（响应）文件。交易服务一网通办系统技术支持电话：0631-5311569，技术支持群（处理注册，登录，完善信息，CA绑定问题）：1143439694。CA办理咨询电话：0631-5172975。国企采购系统联系方式：技术支持电话：17863029936，技术支持群（供应商）：1046971257。</w:t>
      </w:r>
    </w:p>
    <w:p w14:paraId="6F1C26A3">
      <w:pPr>
        <w:widowControl/>
        <w:shd w:val="clear" w:color="auto" w:fill="FCFCFC"/>
        <w:spacing w:line="266" w:lineRule="atLeast"/>
        <w:ind w:firstLine="560"/>
        <w:jc w:val="left"/>
        <w:rPr>
          <w:rFonts w:hint="eastAsia" w:ascii="仿宋_GB2312" w:hAnsi="黑体"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注：未注册用户请先免费注册。在“威海市国有企业阳光采购电子化服务平台”（威海市公共资源交易网（荣成市）首页右侧“交易服务一网通办系统-（新版）一网通办系统”进行平台切换点击“国企采购”进入国有企业阳光采购电子化服务平台）登录端口注册登记，并办理“安全证书（CA）”和“电子签章”进行获取文件。“安全证书（CA）”和“电子签章”办理请按照“威海市公共资源交易网（荣成市）”右侧“CA办理”中“CA证书办理介绍”进行办理。</w:t>
      </w:r>
    </w:p>
    <w:p w14:paraId="7170FF9E">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四、投标文件提交</w:t>
      </w:r>
    </w:p>
    <w:p w14:paraId="33589560">
      <w:pPr>
        <w:widowControl/>
        <w:adjustRightInd w:val="0"/>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时间：2026年09月</w:t>
      </w:r>
      <w:r>
        <w:rPr>
          <w:rFonts w:hint="eastAsia" w:ascii="仿宋_GB2312" w:hAnsi="仿宋" w:eastAsia="仿宋_GB2312" w:cs="宋体"/>
          <w:spacing w:val="8"/>
          <w:kern w:val="0"/>
          <w:sz w:val="28"/>
          <w:szCs w:val="28"/>
          <w:highlight w:val="none"/>
          <w:lang w:val="en-US" w:eastAsia="zh-CN"/>
        </w:rPr>
        <w:t>15</w:t>
      </w:r>
      <w:r>
        <w:rPr>
          <w:rFonts w:hint="eastAsia" w:ascii="仿宋_GB2312" w:hAnsi="仿宋" w:eastAsia="仿宋_GB2312" w:cs="宋体"/>
          <w:spacing w:val="8"/>
          <w:kern w:val="0"/>
          <w:sz w:val="28"/>
          <w:szCs w:val="28"/>
          <w:highlight w:val="none"/>
        </w:rPr>
        <w:t>日18时30分至2026年09月</w:t>
      </w:r>
      <w:r>
        <w:rPr>
          <w:rFonts w:hint="eastAsia" w:ascii="仿宋_GB2312" w:hAnsi="仿宋" w:eastAsia="仿宋_GB2312" w:cs="宋体"/>
          <w:spacing w:val="8"/>
          <w:kern w:val="0"/>
          <w:sz w:val="28"/>
          <w:szCs w:val="28"/>
          <w:highlight w:val="none"/>
          <w:lang w:val="en-US" w:eastAsia="zh-CN"/>
        </w:rPr>
        <w:t>23</w:t>
      </w:r>
      <w:r>
        <w:rPr>
          <w:rFonts w:hint="eastAsia" w:ascii="仿宋_GB2312" w:hAnsi="仿宋" w:eastAsia="仿宋_GB2312" w:cs="宋体"/>
          <w:spacing w:val="8"/>
          <w:kern w:val="0"/>
          <w:sz w:val="28"/>
          <w:szCs w:val="28"/>
          <w:highlight w:val="none"/>
        </w:rPr>
        <w:t>日</w:t>
      </w:r>
      <w:r>
        <w:rPr>
          <w:rFonts w:hint="eastAsia" w:ascii="仿宋_GB2312" w:hAnsi="仿宋" w:eastAsia="仿宋_GB2312" w:cs="宋体"/>
          <w:spacing w:val="8"/>
          <w:kern w:val="0"/>
          <w:sz w:val="28"/>
          <w:szCs w:val="28"/>
          <w:highlight w:val="none"/>
          <w:lang w:val="en-US" w:eastAsia="zh-CN"/>
        </w:rPr>
        <w:t>14</w:t>
      </w:r>
      <w:r>
        <w:rPr>
          <w:rFonts w:hint="eastAsia" w:ascii="仿宋_GB2312" w:hAnsi="仿宋" w:eastAsia="仿宋_GB2312" w:cs="宋体"/>
          <w:spacing w:val="8"/>
          <w:kern w:val="0"/>
          <w:sz w:val="28"/>
          <w:szCs w:val="28"/>
          <w:highlight w:val="none"/>
        </w:rPr>
        <w:t>时00分</w:t>
      </w:r>
    </w:p>
    <w:p w14:paraId="6CCF6F9C">
      <w:pPr>
        <w:widowControl/>
        <w:adjustRightInd w:val="0"/>
        <w:spacing w:line="520" w:lineRule="exact"/>
        <w:ind w:firstLine="592" w:firstLineChars="200"/>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地点：</w:t>
      </w:r>
      <w:r>
        <w:rPr>
          <w:rFonts w:hint="eastAsia" w:ascii="仿宋_GB2312" w:hAnsi="仿宋" w:eastAsia="仿宋_GB2312" w:cs="宋体"/>
          <w:spacing w:val="8"/>
          <w:sz w:val="28"/>
          <w:szCs w:val="28"/>
          <w:highlight w:val="none"/>
        </w:rPr>
        <w:t>登录“威海市公共资源交易网（荣成市）”首页右侧“交易服务一网通办系统-（新版）一网通办系统”进行“平台切换”点击“国企采购”进入国企阳光采购平台进行提交。已在威海市国有企业阳光采购电子化服务平台获取文件的供应商在规定时间内递交电子投标文件</w:t>
      </w:r>
      <w:r>
        <w:rPr>
          <w:rFonts w:hint="eastAsia" w:ascii="仿宋_GB2312" w:hAnsi="仿宋" w:eastAsia="仿宋_GB2312" w:cs="宋体"/>
          <w:spacing w:val="8"/>
          <w:kern w:val="0"/>
          <w:sz w:val="28"/>
          <w:szCs w:val="28"/>
          <w:highlight w:val="none"/>
        </w:rPr>
        <w:t>。</w:t>
      </w:r>
    </w:p>
    <w:p w14:paraId="5D6D106F">
      <w:pPr>
        <w:spacing w:line="560" w:lineRule="exact"/>
        <w:ind w:firstLine="562" w:firstLineChars="200"/>
        <w:rPr>
          <w:rFonts w:hint="eastAsia" w:ascii="黑体" w:hAnsi="黑体" w:eastAsia="黑体" w:cs="宋体"/>
          <w:kern w:val="0"/>
          <w:sz w:val="28"/>
          <w:szCs w:val="28"/>
          <w:highlight w:val="none"/>
        </w:rPr>
      </w:pPr>
      <w:r>
        <w:rPr>
          <w:rFonts w:hint="eastAsia" w:ascii="仿宋" w:hAnsi="仿宋" w:eastAsia="仿宋" w:cs="仿宋"/>
          <w:b/>
          <w:bCs/>
          <w:kern w:val="0"/>
          <w:sz w:val="28"/>
          <w:szCs w:val="28"/>
          <w:highlight w:val="none"/>
        </w:rPr>
        <w:t>五、开启</w:t>
      </w:r>
    </w:p>
    <w:p w14:paraId="63631F04">
      <w:pPr>
        <w:widowControl/>
        <w:adjustRightInd w:val="0"/>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时间：2026年09月</w:t>
      </w:r>
      <w:r>
        <w:rPr>
          <w:rFonts w:hint="eastAsia" w:ascii="仿宋_GB2312" w:hAnsi="仿宋" w:eastAsia="仿宋_GB2312" w:cs="宋体"/>
          <w:spacing w:val="8"/>
          <w:kern w:val="0"/>
          <w:sz w:val="28"/>
          <w:szCs w:val="28"/>
          <w:highlight w:val="none"/>
          <w:lang w:val="en-US" w:eastAsia="zh-CN"/>
        </w:rPr>
        <w:t>23</w:t>
      </w:r>
      <w:r>
        <w:rPr>
          <w:rFonts w:hint="eastAsia" w:ascii="仿宋_GB2312" w:hAnsi="仿宋" w:eastAsia="仿宋_GB2312" w:cs="宋体"/>
          <w:spacing w:val="8"/>
          <w:kern w:val="0"/>
          <w:sz w:val="28"/>
          <w:szCs w:val="28"/>
          <w:highlight w:val="none"/>
        </w:rPr>
        <w:t>日</w:t>
      </w:r>
      <w:r>
        <w:rPr>
          <w:rFonts w:hint="eastAsia" w:ascii="仿宋_GB2312" w:hAnsi="仿宋" w:eastAsia="仿宋_GB2312" w:cs="宋体"/>
          <w:spacing w:val="8"/>
          <w:kern w:val="0"/>
          <w:sz w:val="28"/>
          <w:szCs w:val="28"/>
          <w:highlight w:val="none"/>
          <w:lang w:val="en-US" w:eastAsia="zh-CN"/>
        </w:rPr>
        <w:t>14</w:t>
      </w:r>
      <w:r>
        <w:rPr>
          <w:rFonts w:hint="eastAsia" w:ascii="仿宋_GB2312" w:hAnsi="仿宋" w:eastAsia="仿宋_GB2312" w:cs="宋体"/>
          <w:spacing w:val="8"/>
          <w:kern w:val="0"/>
          <w:sz w:val="28"/>
          <w:szCs w:val="28"/>
          <w:highlight w:val="none"/>
        </w:rPr>
        <w:t>时00分（北京时间）</w:t>
      </w:r>
    </w:p>
    <w:p w14:paraId="51C1ADBD">
      <w:pPr>
        <w:widowControl/>
        <w:adjustRightInd w:val="0"/>
        <w:spacing w:line="520" w:lineRule="exact"/>
        <w:ind w:firstLine="592" w:firstLineChars="200"/>
        <w:jc w:val="left"/>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地点：威海市公共资源交易中心荣成分中心三楼开标</w:t>
      </w:r>
      <w:r>
        <w:rPr>
          <w:rFonts w:hint="eastAsia" w:ascii="仿宋_GB2312" w:hAnsi="仿宋" w:eastAsia="仿宋_GB2312" w:cs="宋体"/>
          <w:spacing w:val="8"/>
          <w:kern w:val="0"/>
          <w:sz w:val="28"/>
          <w:szCs w:val="28"/>
          <w:highlight w:val="none"/>
          <w:lang w:val="en-US" w:eastAsia="zh-CN"/>
        </w:rPr>
        <w:t>三</w:t>
      </w:r>
      <w:r>
        <w:rPr>
          <w:rFonts w:hint="eastAsia" w:ascii="仿宋_GB2312" w:hAnsi="仿宋" w:eastAsia="仿宋_GB2312" w:cs="宋体"/>
          <w:spacing w:val="8"/>
          <w:kern w:val="0"/>
          <w:sz w:val="28"/>
          <w:szCs w:val="28"/>
          <w:highlight w:val="none"/>
        </w:rPr>
        <w:t>室（荣成市河阳东路81号,荣成经济技术开发区热电厂东200米路南）</w:t>
      </w:r>
    </w:p>
    <w:p w14:paraId="3F34CE93">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六、其他补充事宜</w:t>
      </w:r>
    </w:p>
    <w:p w14:paraId="63B6E3F4">
      <w:pPr>
        <w:widowControl/>
        <w:spacing w:line="520" w:lineRule="exact"/>
        <w:ind w:firstLine="592" w:firstLineChars="200"/>
        <w:rPr>
          <w:rFonts w:ascii="仿宋_GB2312" w:hAnsi="微软雅黑" w:eastAsia="仿宋_GB2312" w:cs="宋体"/>
          <w:spacing w:val="8"/>
          <w:kern w:val="0"/>
          <w:sz w:val="28"/>
          <w:szCs w:val="28"/>
          <w:highlight w:val="none"/>
        </w:rPr>
      </w:pPr>
      <w:r>
        <w:rPr>
          <w:rFonts w:hint="eastAsia" w:ascii="仿宋_GB2312" w:hAnsi="仿宋" w:eastAsia="仿宋_GB2312" w:cs="宋体"/>
          <w:spacing w:val="8"/>
          <w:sz w:val="28"/>
          <w:szCs w:val="28"/>
          <w:highlight w:val="none"/>
        </w:rPr>
        <w:t>本项目实行全流程电子化，实行远程解密，投标人无需到现场，并保持通讯畅通，</w:t>
      </w:r>
      <w:r>
        <w:rPr>
          <w:rFonts w:hint="eastAsia" w:ascii="仿宋_GB2312" w:hAnsi="仿宋" w:eastAsia="仿宋_GB2312" w:cs="宋体"/>
          <w:b/>
          <w:bCs/>
          <w:spacing w:val="8"/>
          <w:sz w:val="28"/>
          <w:szCs w:val="28"/>
          <w:highlight w:val="none"/>
        </w:rPr>
        <w:t>提前在个人电脑上进行测试确保音频、视频功能可正常使用</w:t>
      </w:r>
      <w:r>
        <w:rPr>
          <w:rFonts w:hint="eastAsia" w:ascii="仿宋_GB2312" w:hAnsi="仿宋" w:eastAsia="仿宋_GB2312" w:cs="宋体"/>
          <w:spacing w:val="8"/>
          <w:sz w:val="28"/>
          <w:szCs w:val="28"/>
          <w:highlight w:val="none"/>
        </w:rPr>
        <w:t>。因通讯不畅造成的一切后果由投标人自行承担。</w:t>
      </w:r>
    </w:p>
    <w:p w14:paraId="51E9C64B">
      <w:pPr>
        <w:spacing w:line="560" w:lineRule="exact"/>
        <w:ind w:firstLine="562" w:firstLineChars="200"/>
        <w:rPr>
          <w:rFonts w:hint="eastAsia" w:ascii="黑体" w:hAnsi="黑体" w:eastAsia="黑体" w:cs="宋体"/>
          <w:kern w:val="0"/>
          <w:sz w:val="28"/>
          <w:szCs w:val="28"/>
          <w:highlight w:val="none"/>
        </w:rPr>
      </w:pPr>
      <w:r>
        <w:rPr>
          <w:rFonts w:hint="eastAsia" w:ascii="仿宋" w:hAnsi="仿宋" w:eastAsia="仿宋" w:cs="仿宋"/>
          <w:b/>
          <w:bCs/>
          <w:kern w:val="0"/>
          <w:sz w:val="28"/>
          <w:szCs w:val="28"/>
          <w:highlight w:val="none"/>
        </w:rPr>
        <w:t>七、对本次采购提出询问，请按以下方式联系。</w:t>
      </w:r>
    </w:p>
    <w:p w14:paraId="6A86F5EC">
      <w:pPr>
        <w:widowControl/>
        <w:spacing w:line="520" w:lineRule="exact"/>
        <w:ind w:firstLine="592" w:firstLineChars="200"/>
        <w:jc w:val="left"/>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1.采购人信息</w:t>
      </w:r>
    </w:p>
    <w:p w14:paraId="7CBE1C60">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采购人：荣成海达置业有限公司</w:t>
      </w:r>
    </w:p>
    <w:p w14:paraId="4B87F38D">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采购人地址：荣成市成山镇</w:t>
      </w:r>
    </w:p>
    <w:p w14:paraId="113A187C">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联系电话：18563108935</w:t>
      </w:r>
    </w:p>
    <w:p w14:paraId="0F62EEF4">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2.采购代理机构信息</w:t>
      </w:r>
    </w:p>
    <w:p w14:paraId="6985CCFD">
      <w:pPr>
        <w:spacing w:before="240" w:line="360" w:lineRule="auto"/>
        <w:ind w:firstLine="592" w:firstLineChars="200"/>
        <w:contextualSpacing/>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名  称：山东华维工程咨询有限公司</w:t>
      </w:r>
    </w:p>
    <w:p w14:paraId="51746CA6">
      <w:pPr>
        <w:spacing w:before="240" w:line="360" w:lineRule="auto"/>
        <w:ind w:firstLine="592" w:firstLineChars="200"/>
        <w:contextualSpacing/>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地  址：荣成市经济开发区荷田东路201号</w:t>
      </w:r>
    </w:p>
    <w:p w14:paraId="2C5FF92F">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联系方式：0631-7562629</w:t>
      </w:r>
    </w:p>
    <w:p w14:paraId="7BE20EB4">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3.项目联系方式</w:t>
      </w:r>
    </w:p>
    <w:p w14:paraId="43FDE9FB">
      <w:pPr>
        <w:spacing w:before="240" w:line="360" w:lineRule="auto"/>
        <w:ind w:firstLine="592" w:firstLineChars="200"/>
        <w:contextualSpacing/>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项目联系人：王新丽</w:t>
      </w:r>
    </w:p>
    <w:p w14:paraId="2B329F39">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电  话：0631-7562629</w:t>
      </w:r>
    </w:p>
    <w:p w14:paraId="73CE654C">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八、发布公告的媒介</w:t>
      </w:r>
    </w:p>
    <w:p w14:paraId="479E7A53">
      <w:pPr>
        <w:widowControl/>
        <w:spacing w:line="520" w:lineRule="exact"/>
        <w:ind w:firstLine="592" w:firstLineChars="200"/>
        <w:rPr>
          <w:rFonts w:ascii="仿宋_GB2312" w:hAnsi="仿宋" w:eastAsia="仿宋_GB2312" w:cs="宋体"/>
          <w:spacing w:val="8"/>
          <w:kern w:val="0"/>
          <w:sz w:val="28"/>
          <w:szCs w:val="28"/>
          <w:highlight w:val="none"/>
        </w:rPr>
      </w:pPr>
      <w:bookmarkStart w:id="6" w:name="_Toc39827536"/>
      <w:bookmarkStart w:id="7" w:name="_Toc39827471"/>
      <w:bookmarkStart w:id="8" w:name="_Toc38213886"/>
      <w:bookmarkStart w:id="9" w:name="_Toc39827101"/>
      <w:bookmarkStart w:id="10" w:name="_Toc487214774"/>
      <w:bookmarkStart w:id="11" w:name="_Toc487729876"/>
      <w:bookmarkStart w:id="12" w:name="_Toc449193539"/>
      <w:bookmarkStart w:id="13" w:name="_Toc449194190"/>
      <w:r>
        <w:rPr>
          <w:rFonts w:hint="eastAsia" w:ascii="仿宋_GB2312" w:hAnsi="仿宋" w:eastAsia="仿宋_GB2312" w:cs="宋体"/>
          <w:spacing w:val="8"/>
          <w:kern w:val="0"/>
          <w:sz w:val="28"/>
          <w:szCs w:val="28"/>
          <w:highlight w:val="none"/>
        </w:rPr>
        <w:t>本次公告在中国招标投标公共服务平台（www.cebpubservice.com）、威海市公共资源交易网（http://ggzyjy.weihai.cn/）、威海市公共资源交易网（荣成市）（http://ggzyjy.weihai.cn/rongcheng/）同时发布，其它媒介转发无效。</w:t>
      </w:r>
      <w:bookmarkEnd w:id="6"/>
      <w:bookmarkEnd w:id="7"/>
      <w:bookmarkEnd w:id="8"/>
      <w:bookmarkEnd w:id="9"/>
    </w:p>
    <w:bookmarkEnd w:id="10"/>
    <w:bookmarkEnd w:id="11"/>
    <w:bookmarkEnd w:id="12"/>
    <w:bookmarkEnd w:id="13"/>
    <w:p w14:paraId="3B5A48B0">
      <w:pPr>
        <w:widowControl/>
        <w:adjustRightInd w:val="0"/>
        <w:spacing w:line="520" w:lineRule="exact"/>
        <w:ind w:firstLine="592" w:firstLineChars="200"/>
        <w:jc w:val="left"/>
        <w:rPr>
          <w:rFonts w:ascii="仿宋_GB2312" w:hAnsi="仿宋" w:eastAsia="仿宋_GB2312" w:cs="宋体"/>
          <w:spacing w:val="8"/>
          <w:kern w:val="0"/>
          <w:sz w:val="28"/>
          <w:szCs w:val="28"/>
          <w:highlight w:val="none"/>
        </w:rPr>
      </w:pPr>
    </w:p>
    <w:p w14:paraId="0DCE9D18">
      <w:pPr>
        <w:spacing w:line="520" w:lineRule="exact"/>
        <w:jc w:val="right"/>
        <w:rPr>
          <w:rFonts w:hint="eastAsia" w:ascii="仿宋_GB2312" w:hAnsi="宋体" w:eastAsia="仿宋_GB2312"/>
          <w:sz w:val="28"/>
          <w:szCs w:val="28"/>
          <w:highlight w:val="none"/>
        </w:rPr>
      </w:pPr>
      <w:r>
        <w:rPr>
          <w:rFonts w:hint="eastAsia" w:ascii="仿宋_GB2312" w:hAnsi="宋体" w:eastAsia="仿宋_GB2312" w:cs="宋体"/>
          <w:kern w:val="0"/>
          <w:sz w:val="28"/>
          <w:szCs w:val="28"/>
          <w:highlight w:val="none"/>
        </w:rPr>
        <w:t>发布人：山东华维工程咨询有限公司</w:t>
      </w:r>
    </w:p>
    <w:p w14:paraId="7BF0AED7">
      <w:pPr>
        <w:widowControl/>
        <w:wordWrap w:val="0"/>
        <w:adjustRightInd w:val="0"/>
        <w:spacing w:line="520" w:lineRule="exact"/>
        <w:ind w:left="-240"/>
        <w:jc w:val="right"/>
        <w:rPr>
          <w:rFonts w:ascii="宋体" w:hAnsi="宋体" w:cs="宋体"/>
          <w:kern w:val="0"/>
          <w:sz w:val="24"/>
          <w:highlight w:val="none"/>
        </w:rPr>
      </w:pPr>
      <w:r>
        <w:rPr>
          <w:rFonts w:hint="eastAsia" w:ascii="仿宋_GB2312" w:hAnsi="宋体" w:eastAsia="仿宋_GB2312" w:cs="宋体"/>
          <w:kern w:val="0"/>
          <w:sz w:val="28"/>
          <w:szCs w:val="28"/>
          <w:highlight w:val="none"/>
        </w:rPr>
        <w:t>发布时间：2026年09月</w:t>
      </w:r>
      <w:r>
        <w:rPr>
          <w:rFonts w:hint="eastAsia" w:ascii="仿宋_GB2312" w:hAnsi="宋体" w:eastAsia="仿宋_GB2312" w:cs="宋体"/>
          <w:kern w:val="0"/>
          <w:sz w:val="28"/>
          <w:szCs w:val="28"/>
          <w:highlight w:val="none"/>
          <w:lang w:val="en-US" w:eastAsia="zh-CN"/>
        </w:rPr>
        <w:t>15</w:t>
      </w:r>
      <w:bookmarkStart w:id="597" w:name="_GoBack"/>
      <w:bookmarkEnd w:id="597"/>
      <w:r>
        <w:rPr>
          <w:rFonts w:hint="eastAsia" w:ascii="仿宋_GB2312" w:hAnsi="宋体" w:eastAsia="仿宋_GB2312" w:cs="宋体"/>
          <w:kern w:val="0"/>
          <w:sz w:val="28"/>
          <w:szCs w:val="28"/>
          <w:highlight w:val="none"/>
        </w:rPr>
        <w:t>日</w:t>
      </w:r>
    </w:p>
    <w:p w14:paraId="044CD997">
      <w:pPr>
        <w:widowControl/>
        <w:spacing w:line="360" w:lineRule="auto"/>
        <w:rPr>
          <w:rFonts w:hint="eastAsia" w:ascii="宋体" w:hAnsi="宋体"/>
          <w:sz w:val="24"/>
          <w:szCs w:val="21"/>
          <w:highlight w:val="none"/>
        </w:rPr>
      </w:pPr>
    </w:p>
    <w:p w14:paraId="6EA06AEA">
      <w:pPr>
        <w:widowControl/>
        <w:spacing w:line="360" w:lineRule="auto"/>
        <w:rPr>
          <w:rFonts w:ascii="宋体" w:hAnsi="宋体"/>
          <w:sz w:val="24"/>
          <w:szCs w:val="21"/>
          <w:highlight w:val="none"/>
        </w:rPr>
        <w:sectPr>
          <w:pgSz w:w="11906" w:h="16838"/>
          <w:pgMar w:top="1440" w:right="1080" w:bottom="1440" w:left="1080" w:header="851" w:footer="992" w:gutter="0"/>
          <w:cols w:space="720" w:num="1"/>
          <w:docGrid w:type="lines" w:linePitch="312" w:charSpace="0"/>
        </w:sectPr>
      </w:pPr>
    </w:p>
    <w:bookmarkEnd w:id="2"/>
    <w:bookmarkEnd w:id="3"/>
    <w:bookmarkEnd w:id="4"/>
    <w:bookmarkEnd w:id="5"/>
    <w:p w14:paraId="2B85F081">
      <w:pPr>
        <w:pStyle w:val="28"/>
        <w:numPr>
          <w:ilvl w:val="0"/>
          <w:numId w:val="1"/>
        </w:numPr>
        <w:spacing w:before="100" w:beforeAutospacing="1" w:after="100" w:afterAutospacing="1" w:line="415" w:lineRule="auto"/>
        <w:rPr>
          <w:rFonts w:ascii="楷体_GB2312" w:hAnsi="宋体" w:eastAsia="楷体_GB2312" w:cs="宋体"/>
          <w:sz w:val="44"/>
          <w:szCs w:val="44"/>
          <w:highlight w:val="none"/>
        </w:rPr>
      </w:pPr>
      <w:bookmarkStart w:id="14" w:name="_Toc413596395"/>
      <w:bookmarkStart w:id="15" w:name="_Toc382129913"/>
      <w:bookmarkStart w:id="16" w:name="_Toc266431126"/>
      <w:r>
        <w:rPr>
          <w:rFonts w:hint="eastAsia" w:ascii="仿宋" w:hAnsi="仿宋" w:eastAsia="仿宋" w:cs="仿宋"/>
          <w:sz w:val="44"/>
          <w:szCs w:val="44"/>
          <w:highlight w:val="none"/>
        </w:rPr>
        <w:t>投标须知</w:t>
      </w:r>
    </w:p>
    <w:p w14:paraId="2961E48F">
      <w:pPr>
        <w:rPr>
          <w:highlight w:val="none"/>
        </w:rPr>
      </w:pPr>
    </w:p>
    <w:p w14:paraId="52E37B34">
      <w:pPr>
        <w:rPr>
          <w:highlight w:val="none"/>
        </w:rPr>
        <w:sectPr>
          <w:pgSz w:w="11906" w:h="16838"/>
          <w:pgMar w:top="1440" w:right="1077" w:bottom="1440" w:left="1077" w:header="851" w:footer="992" w:gutter="0"/>
          <w:cols w:space="720" w:num="1"/>
          <w:docGrid w:type="lines" w:linePitch="312" w:charSpace="0"/>
        </w:sectPr>
      </w:pPr>
    </w:p>
    <w:p w14:paraId="5CBFEB61">
      <w:pPr>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投标须知前附表</w:t>
      </w:r>
    </w:p>
    <w:p w14:paraId="08D17DCB">
      <w:pPr>
        <w:ind w:firstLine="643" w:firstLineChars="201"/>
        <w:jc w:val="center"/>
        <w:rPr>
          <w:rFonts w:ascii="宋体" w:hAnsi="宋体"/>
          <w:sz w:val="32"/>
          <w:szCs w:val="32"/>
          <w:highlight w:val="none"/>
        </w:rPr>
      </w:pP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1"/>
        <w:gridCol w:w="2241"/>
        <w:gridCol w:w="6413"/>
      </w:tblGrid>
      <w:tr w14:paraId="5FEF4C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851" w:type="dxa"/>
            <w:tcBorders>
              <w:top w:val="single" w:color="auto" w:sz="4" w:space="0"/>
              <w:bottom w:val="single" w:color="auto" w:sz="4" w:space="0"/>
              <w:right w:val="single" w:color="auto" w:sz="4" w:space="0"/>
            </w:tcBorders>
            <w:noWrap w:val="0"/>
            <w:vAlign w:val="center"/>
          </w:tcPr>
          <w:p w14:paraId="742AF6BB">
            <w:pPr>
              <w:snapToGrid w:val="0"/>
              <w:spacing w:line="440" w:lineRule="exact"/>
              <w:jc w:val="center"/>
              <w:rPr>
                <w:sz w:val="24"/>
                <w:highlight w:val="none"/>
              </w:rPr>
            </w:pPr>
            <w:r>
              <w:rPr>
                <w:rFonts w:ascii="仿宋_GB2312" w:hAnsi="宋体" w:eastAsia="仿宋_GB2312"/>
                <w:sz w:val="28"/>
                <w:szCs w:val="28"/>
                <w:highlight w:val="none"/>
              </w:rPr>
              <w:t>序号</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81B89E5">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项    目</w:t>
            </w:r>
          </w:p>
        </w:tc>
        <w:tc>
          <w:tcPr>
            <w:tcW w:w="6413" w:type="dxa"/>
            <w:tcBorders>
              <w:top w:val="single" w:color="auto" w:sz="4" w:space="0"/>
              <w:left w:val="single" w:color="auto" w:sz="4" w:space="0"/>
              <w:bottom w:val="single" w:color="auto" w:sz="4" w:space="0"/>
            </w:tcBorders>
            <w:noWrap w:val="0"/>
            <w:vAlign w:val="center"/>
          </w:tcPr>
          <w:p w14:paraId="1415033F">
            <w:pPr>
              <w:snapToGrid w:val="0"/>
              <w:spacing w:line="440" w:lineRule="exact"/>
              <w:ind w:left="57" w:firstLine="562" w:firstLineChars="201"/>
              <w:jc w:val="center"/>
              <w:rPr>
                <w:rFonts w:ascii="仿宋_GB2312" w:hAnsi="宋体" w:eastAsia="仿宋_GB2312"/>
                <w:sz w:val="28"/>
                <w:szCs w:val="28"/>
                <w:highlight w:val="none"/>
              </w:rPr>
            </w:pPr>
            <w:r>
              <w:rPr>
                <w:rFonts w:ascii="仿宋_GB2312" w:hAnsi="宋体" w:eastAsia="仿宋_GB2312"/>
                <w:sz w:val="28"/>
                <w:szCs w:val="28"/>
                <w:highlight w:val="none"/>
              </w:rPr>
              <w:t>内           容</w:t>
            </w:r>
          </w:p>
        </w:tc>
      </w:tr>
      <w:tr w14:paraId="02D5BC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851" w:type="dxa"/>
            <w:tcBorders>
              <w:top w:val="single" w:color="auto" w:sz="4" w:space="0"/>
              <w:bottom w:val="single" w:color="auto" w:sz="4" w:space="0"/>
              <w:right w:val="single" w:color="auto" w:sz="4" w:space="0"/>
            </w:tcBorders>
            <w:noWrap w:val="0"/>
            <w:vAlign w:val="center"/>
          </w:tcPr>
          <w:p w14:paraId="4EEA4614">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7E8D16E">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项目名称</w:t>
            </w:r>
          </w:p>
        </w:tc>
        <w:tc>
          <w:tcPr>
            <w:tcW w:w="6413" w:type="dxa"/>
            <w:tcBorders>
              <w:top w:val="single" w:color="auto" w:sz="4" w:space="0"/>
              <w:left w:val="single" w:color="auto" w:sz="4" w:space="0"/>
              <w:bottom w:val="single" w:color="auto" w:sz="4" w:space="0"/>
            </w:tcBorders>
            <w:noWrap w:val="0"/>
            <w:vAlign w:val="center"/>
          </w:tcPr>
          <w:p w14:paraId="18ADEC20">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朝阳港码头道路建设工程</w:t>
            </w:r>
          </w:p>
        </w:tc>
      </w:tr>
      <w:tr w14:paraId="120AA12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851" w:type="dxa"/>
            <w:tcBorders>
              <w:top w:val="single" w:color="auto" w:sz="4" w:space="0"/>
              <w:bottom w:val="single" w:color="auto" w:sz="4" w:space="0"/>
              <w:right w:val="single" w:color="auto" w:sz="4" w:space="0"/>
            </w:tcBorders>
            <w:noWrap w:val="0"/>
            <w:vAlign w:val="center"/>
          </w:tcPr>
          <w:p w14:paraId="3D310839">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43A2B5F">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项目编号</w:t>
            </w:r>
          </w:p>
        </w:tc>
        <w:tc>
          <w:tcPr>
            <w:tcW w:w="6413" w:type="dxa"/>
            <w:tcBorders>
              <w:top w:val="single" w:color="auto" w:sz="4" w:space="0"/>
              <w:left w:val="single" w:color="auto" w:sz="4" w:space="0"/>
              <w:bottom w:val="single" w:color="auto" w:sz="4" w:space="0"/>
            </w:tcBorders>
            <w:noWrap w:val="0"/>
            <w:vAlign w:val="center"/>
          </w:tcPr>
          <w:p w14:paraId="35C51C40">
            <w:pPr>
              <w:snapToGrid w:val="0"/>
              <w:spacing w:line="440" w:lineRule="exact"/>
              <w:jc w:val="left"/>
              <w:rPr>
                <w:rFonts w:hint="eastAsia" w:ascii="仿宋_GB2312" w:hAnsi="宋体" w:eastAsia="仿宋_GB2312"/>
                <w:sz w:val="28"/>
                <w:szCs w:val="28"/>
                <w:highlight w:val="none"/>
              </w:rPr>
            </w:pPr>
            <w:r>
              <w:rPr>
                <w:rFonts w:hint="eastAsia" w:ascii="仿宋_GB2312" w:hAnsi="仿宋" w:eastAsia="仿宋_GB2312" w:cs="宋体"/>
                <w:spacing w:val="8"/>
                <w:kern w:val="0"/>
                <w:sz w:val="28"/>
                <w:szCs w:val="28"/>
                <w:highlight w:val="none"/>
              </w:rPr>
              <w:t>HYJZFCG2026-036</w:t>
            </w:r>
          </w:p>
        </w:tc>
      </w:tr>
      <w:tr w14:paraId="7D4940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16658926">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6C8220E">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采购人</w:t>
            </w:r>
          </w:p>
        </w:tc>
        <w:tc>
          <w:tcPr>
            <w:tcW w:w="6413" w:type="dxa"/>
            <w:tcBorders>
              <w:top w:val="single" w:color="auto" w:sz="4" w:space="0"/>
              <w:left w:val="single" w:color="auto" w:sz="4" w:space="0"/>
              <w:bottom w:val="single" w:color="auto" w:sz="4" w:space="0"/>
            </w:tcBorders>
            <w:noWrap w:val="0"/>
            <w:vAlign w:val="center"/>
          </w:tcPr>
          <w:p w14:paraId="2AC78719">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采购人：荣成海达置业有限公司</w:t>
            </w:r>
          </w:p>
          <w:p w14:paraId="6B40F43A">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采购人地址：荣成市好运角旅游度假区</w:t>
            </w:r>
          </w:p>
          <w:p w14:paraId="647E3B9F">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联系人：于涛</w:t>
            </w:r>
          </w:p>
          <w:p w14:paraId="06400DD8">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联系电话：18563108935</w:t>
            </w:r>
          </w:p>
        </w:tc>
      </w:tr>
      <w:tr w14:paraId="53B956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73A65BAD">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9A31B0D">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采购</w:t>
            </w:r>
            <w:r>
              <w:rPr>
                <w:rFonts w:hint="eastAsia" w:ascii="仿宋_GB2312" w:hAnsi="宋体" w:eastAsia="仿宋_GB2312"/>
                <w:sz w:val="28"/>
                <w:szCs w:val="28"/>
                <w:highlight w:val="none"/>
              </w:rPr>
              <w:t>代理</w:t>
            </w:r>
            <w:r>
              <w:rPr>
                <w:rFonts w:ascii="仿宋_GB2312" w:hAnsi="宋体" w:eastAsia="仿宋_GB2312"/>
                <w:sz w:val="28"/>
                <w:szCs w:val="28"/>
                <w:highlight w:val="none"/>
              </w:rPr>
              <w:t>机构</w:t>
            </w:r>
          </w:p>
        </w:tc>
        <w:tc>
          <w:tcPr>
            <w:tcW w:w="6413" w:type="dxa"/>
            <w:tcBorders>
              <w:top w:val="single" w:color="auto" w:sz="4" w:space="0"/>
              <w:left w:val="single" w:color="auto" w:sz="4" w:space="0"/>
              <w:bottom w:val="single" w:color="auto" w:sz="4" w:space="0"/>
            </w:tcBorders>
            <w:noWrap w:val="0"/>
            <w:vAlign w:val="center"/>
          </w:tcPr>
          <w:p w14:paraId="4A9DD193">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代理机构：山东华维工程咨询有限公司</w:t>
            </w:r>
          </w:p>
          <w:p w14:paraId="6C77A985">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地  址：荣成市经济开发区荷田东路201号</w:t>
            </w:r>
          </w:p>
          <w:p w14:paraId="02FD56BB">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联系方式：王新丽</w:t>
            </w:r>
          </w:p>
          <w:p w14:paraId="71C9A57F">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联系电话：0631-7562629</w:t>
            </w:r>
          </w:p>
        </w:tc>
      </w:tr>
      <w:tr w14:paraId="1BDAF5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46C3A767">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F259113">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项目详细情况</w:t>
            </w:r>
          </w:p>
        </w:tc>
        <w:tc>
          <w:tcPr>
            <w:tcW w:w="6413" w:type="dxa"/>
            <w:tcBorders>
              <w:top w:val="single" w:color="auto" w:sz="4" w:space="0"/>
              <w:left w:val="single" w:color="auto" w:sz="4" w:space="0"/>
              <w:bottom w:val="single" w:color="auto" w:sz="4" w:space="0"/>
            </w:tcBorders>
            <w:noWrap w:val="0"/>
            <w:vAlign w:val="center"/>
          </w:tcPr>
          <w:p w14:paraId="46CDE355">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1"/>
                <w:highlight w:val="none"/>
              </w:rPr>
              <w:t>项目概况：朝阳港码头道路建设工程，位于荣成市朝阳港码头，</w:t>
            </w:r>
            <w:r>
              <w:rPr>
                <w:rFonts w:hint="eastAsia" w:ascii="仿宋_GB2312" w:hAnsi="宋体" w:eastAsia="仿宋_GB2312"/>
                <w:sz w:val="28"/>
                <w:szCs w:val="28"/>
                <w:highlight w:val="none"/>
              </w:rPr>
              <w:t>工程内容包括道路硬化、管道敷设、护栏等项目等，</w:t>
            </w:r>
            <w:r>
              <w:rPr>
                <w:rFonts w:hint="eastAsia" w:ascii="仿宋_GB2312" w:hAnsi="宋体" w:eastAsia="仿宋_GB2312"/>
                <w:sz w:val="28"/>
                <w:szCs w:val="21"/>
                <w:highlight w:val="none"/>
              </w:rPr>
              <w:t>详见工程量清单。</w:t>
            </w:r>
          </w:p>
          <w:p w14:paraId="406FAC38">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质量标准：达到现行国家质量验收规范合格标准。</w:t>
            </w:r>
          </w:p>
          <w:p w14:paraId="2A70A77A">
            <w:pPr>
              <w:snapToGrid w:val="0"/>
              <w:spacing w:line="440" w:lineRule="exact"/>
              <w:jc w:val="left"/>
              <w:rPr>
                <w:rFonts w:hint="eastAsia" w:ascii="仿宋_GB2312" w:hAnsi="宋体" w:eastAsia="仿宋_GB2312"/>
                <w:sz w:val="28"/>
                <w:szCs w:val="21"/>
                <w:highlight w:val="none"/>
              </w:rPr>
            </w:pPr>
            <w:r>
              <w:rPr>
                <w:rFonts w:hint="eastAsia" w:ascii="仿宋_GB2312" w:hAnsi="宋体" w:eastAsia="仿宋_GB2312"/>
                <w:sz w:val="28"/>
                <w:szCs w:val="28"/>
                <w:highlight w:val="none"/>
              </w:rPr>
              <w:t>建设地点：荣成市好运角</w:t>
            </w:r>
            <w:r>
              <w:rPr>
                <w:rFonts w:hint="eastAsia" w:ascii="仿宋_GB2312" w:hAnsi="宋体" w:eastAsia="仿宋_GB2312"/>
                <w:sz w:val="28"/>
                <w:szCs w:val="21"/>
                <w:highlight w:val="none"/>
              </w:rPr>
              <w:t>朝阳港码头</w:t>
            </w:r>
          </w:p>
          <w:p w14:paraId="63CF7F80">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工程保修期：2年</w:t>
            </w:r>
          </w:p>
          <w:p w14:paraId="77C8E989">
            <w:pPr>
              <w:pStyle w:val="12"/>
              <w:spacing w:after="0" w:line="500" w:lineRule="exact"/>
              <w:rPr>
                <w:rFonts w:ascii="仿宋_GB2312" w:hAnsi="宋体" w:eastAsia="仿宋_GB2312"/>
                <w:kern w:val="2"/>
                <w:sz w:val="28"/>
                <w:szCs w:val="28"/>
                <w:highlight w:val="none"/>
              </w:rPr>
            </w:pPr>
            <w:r>
              <w:rPr>
                <w:rFonts w:hint="eastAsia" w:ascii="仿宋_GB2312" w:hAnsi="宋体" w:eastAsia="仿宋_GB2312"/>
                <w:sz w:val="28"/>
                <w:szCs w:val="28"/>
                <w:highlight w:val="none"/>
              </w:rPr>
              <w:t>计划工期：60日历天，</w:t>
            </w:r>
            <w:r>
              <w:rPr>
                <w:rFonts w:hint="eastAsia" w:ascii="仿宋_GB2312" w:hAnsi="宋体" w:eastAsia="仿宋_GB2312"/>
                <w:kern w:val="2"/>
                <w:sz w:val="28"/>
                <w:szCs w:val="28"/>
                <w:highlight w:val="none"/>
              </w:rPr>
              <w:t>实际开竣工日期由建设单位根据工程实际情况确定，中标单位应予遵守。</w:t>
            </w:r>
          </w:p>
          <w:p w14:paraId="33DB66A2">
            <w:pPr>
              <w:pStyle w:val="12"/>
              <w:spacing w:after="0" w:line="50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预算控制价：人民币881170.16元（超过上限控制价的报价为无效报价）</w:t>
            </w:r>
          </w:p>
        </w:tc>
      </w:tr>
      <w:tr w14:paraId="51B008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79" w:hRule="atLeast"/>
          <w:jc w:val="center"/>
        </w:trPr>
        <w:tc>
          <w:tcPr>
            <w:tcW w:w="851" w:type="dxa"/>
            <w:tcBorders>
              <w:top w:val="single" w:color="auto" w:sz="4" w:space="0"/>
              <w:bottom w:val="single" w:color="auto" w:sz="4" w:space="0"/>
              <w:right w:val="single" w:color="auto" w:sz="4" w:space="0"/>
            </w:tcBorders>
            <w:noWrap w:val="0"/>
            <w:vAlign w:val="center"/>
          </w:tcPr>
          <w:p w14:paraId="775562B1">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C547DFE">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资金来源及比例</w:t>
            </w:r>
          </w:p>
        </w:tc>
        <w:tc>
          <w:tcPr>
            <w:tcW w:w="6413" w:type="dxa"/>
            <w:tcBorders>
              <w:top w:val="single" w:color="auto" w:sz="4" w:space="0"/>
              <w:left w:val="single" w:color="auto" w:sz="4" w:space="0"/>
              <w:bottom w:val="single" w:color="auto" w:sz="4" w:space="0"/>
            </w:tcBorders>
            <w:noWrap w:val="0"/>
            <w:vAlign w:val="center"/>
          </w:tcPr>
          <w:p w14:paraId="713ED662">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100%自筹资金</w:t>
            </w:r>
          </w:p>
        </w:tc>
      </w:tr>
      <w:tr w14:paraId="4E837E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67" w:hRule="atLeast"/>
          <w:jc w:val="center"/>
        </w:trPr>
        <w:tc>
          <w:tcPr>
            <w:tcW w:w="851" w:type="dxa"/>
            <w:tcBorders>
              <w:top w:val="single" w:color="auto" w:sz="4" w:space="0"/>
              <w:bottom w:val="single" w:color="auto" w:sz="4" w:space="0"/>
              <w:right w:val="single" w:color="auto" w:sz="4" w:space="0"/>
            </w:tcBorders>
            <w:noWrap w:val="0"/>
            <w:vAlign w:val="center"/>
          </w:tcPr>
          <w:p w14:paraId="7016BE7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0CCBDD9">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落实情况</w:t>
            </w:r>
          </w:p>
        </w:tc>
        <w:tc>
          <w:tcPr>
            <w:tcW w:w="6413" w:type="dxa"/>
            <w:tcBorders>
              <w:top w:val="single" w:color="auto" w:sz="4" w:space="0"/>
              <w:left w:val="single" w:color="auto" w:sz="4" w:space="0"/>
              <w:bottom w:val="single" w:color="auto" w:sz="4" w:space="0"/>
            </w:tcBorders>
            <w:noWrap w:val="0"/>
            <w:vAlign w:val="center"/>
          </w:tcPr>
          <w:p w14:paraId="38303B4A">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已落实</w:t>
            </w:r>
          </w:p>
        </w:tc>
      </w:tr>
      <w:tr w14:paraId="59D984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5F86DD32">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B0BE5B1">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电子投标</w:t>
            </w:r>
          </w:p>
          <w:p w14:paraId="06D3926D">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特别提示</w:t>
            </w:r>
          </w:p>
        </w:tc>
        <w:tc>
          <w:tcPr>
            <w:tcW w:w="6413" w:type="dxa"/>
            <w:tcBorders>
              <w:top w:val="single" w:color="auto" w:sz="4" w:space="0"/>
              <w:left w:val="single" w:color="auto" w:sz="4" w:space="0"/>
              <w:bottom w:val="single" w:color="auto" w:sz="4" w:space="0"/>
            </w:tcBorders>
            <w:noWrap w:val="0"/>
            <w:vAlign w:val="center"/>
          </w:tcPr>
          <w:p w14:paraId="3FD24BA4">
            <w:pPr>
              <w:snapToGrid w:val="0"/>
              <w:spacing w:line="440" w:lineRule="exact"/>
              <w:ind w:right="-105" w:rightChars="-50"/>
              <w:rPr>
                <w:rFonts w:ascii="仿宋_GB2312" w:hAnsi="宋体" w:eastAsia="仿宋_GB2312"/>
                <w:sz w:val="28"/>
                <w:szCs w:val="28"/>
                <w:highlight w:val="none"/>
              </w:rPr>
            </w:pPr>
            <w:r>
              <w:rPr>
                <w:rFonts w:hint="eastAsia" w:ascii="仿宋_GB2312" w:hAnsi="宋体" w:eastAsia="仿宋_GB2312"/>
                <w:sz w:val="28"/>
                <w:szCs w:val="28"/>
                <w:highlight w:val="none"/>
              </w:rPr>
              <w:t>1．登录威海市公共资源交易网（荣成市）（http://ggzyjy.weihai.cn/rongcheng/</w:t>
            </w:r>
            <w:r>
              <w:rPr>
                <w:rFonts w:hint="eastAsia" w:ascii="仿宋_GB2312" w:hAnsi="仿宋" w:eastAsia="仿宋_GB2312" w:cs="宋体"/>
                <w:spacing w:val="8"/>
                <w:kern w:val="0"/>
                <w:sz w:val="28"/>
                <w:szCs w:val="28"/>
                <w:highlight w:val="none"/>
              </w:rPr>
              <w:t>）</w:t>
            </w:r>
            <w:r>
              <w:rPr>
                <w:rFonts w:hint="eastAsia" w:ascii="仿宋_GB2312" w:hAnsi="宋体" w:eastAsia="仿宋_GB2312"/>
                <w:sz w:val="28"/>
                <w:szCs w:val="28"/>
                <w:highlight w:val="none"/>
              </w:rPr>
              <w:t>（右上角【国企采购】按钮）进入“威海市国有企业阳光采购电子化服务平台”进行注册，取得用户名和密码（已经完成注册无须重复注册）；首次注册投标人应及时安全证书（CA锁）及电子签章。</w:t>
            </w:r>
          </w:p>
          <w:p w14:paraId="2B5E308E">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2．</w:t>
            </w:r>
            <w:r>
              <w:rPr>
                <w:rFonts w:hint="eastAsia" w:ascii="仿宋_GB2312" w:hAnsi="宋体" w:eastAsia="仿宋_GB2312"/>
                <w:b/>
                <w:sz w:val="28"/>
                <w:szCs w:val="28"/>
                <w:highlight w:val="none"/>
              </w:rPr>
              <w:t>本项目必须网上递交投标文件</w:t>
            </w:r>
            <w:r>
              <w:rPr>
                <w:rFonts w:hint="eastAsia" w:ascii="仿宋_GB2312" w:hAnsi="宋体" w:eastAsia="仿宋_GB2312"/>
                <w:sz w:val="28"/>
                <w:szCs w:val="28"/>
                <w:highlight w:val="none"/>
              </w:rPr>
              <w:t>，参与本项目投标人应利用办理好的CA锁登录威海市国有企业阳光采购电子化服务平台进行采购文件的获取、文件下载和网上递交投标文件，且安全证书（CA锁）在有效期内。</w:t>
            </w:r>
          </w:p>
          <w:p w14:paraId="589398EF">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3．电子投标文件制作及递交等有关操作见本文件及威海市公共资源交易网）办事指南栏目-国企采购专区-《新版威海市国有企业阳光采购服务平台操作演示视频（供应商）》，网址: https://ggzyjy.weihai.cn/weihai/bszn/005005/20260109/315a049e-0d75-4f85-8634-00d90a843936.html、投标文件制作及系统使用咨询电话：17863029936；平台QQ服务群：1046971257。</w:t>
            </w:r>
          </w:p>
          <w:p w14:paraId="5B7756E0">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6634001D">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0915D5CD">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6．电子投标文件必需有电子签章方为合法的投标文件，未对电子投标文件进行电子签章的，将作为无效</w:t>
            </w:r>
            <w:r>
              <w:rPr>
                <w:rFonts w:hint="eastAsia" w:ascii="仿宋_GB2312" w:hAnsi="仿宋" w:eastAsia="仿宋_GB2312" w:cs="宋体"/>
                <w:sz w:val="28"/>
                <w:szCs w:val="28"/>
                <w:highlight w:val="none"/>
              </w:rPr>
              <w:t>投标</w:t>
            </w:r>
            <w:r>
              <w:rPr>
                <w:rFonts w:hint="eastAsia" w:ascii="仿宋_GB2312" w:hAnsi="宋体" w:eastAsia="仿宋_GB2312"/>
                <w:sz w:val="28"/>
                <w:szCs w:val="28"/>
                <w:highlight w:val="none"/>
              </w:rPr>
              <w:t>处理。电子投标文件的电子签章要求：在生成电子投标文件pdf格式时，都必须对电子投标文件进行电子签章；签章时需要将电子签章签署到相应的位置中。</w:t>
            </w:r>
          </w:p>
          <w:p w14:paraId="00F3333B">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7．投标人投标文件中的相关扫描件应保证清晰度，无法辨认的评审时受到影响的，由投标人承担相应责任。</w:t>
            </w:r>
          </w:p>
          <w:p w14:paraId="6022DCDE">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8．除网上递交电子投标文件外，如有要求递交相关资质证明文件原件的，还须按其要求独立密封递交（被授权人身份证原件除外）。</w:t>
            </w:r>
          </w:p>
          <w:p w14:paraId="6847B504">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9．投标人应充分考虑到网上递交投标文件会发生的故障和风险。对发生的任何故障和风险造成投标人报价内容不一致或利益受损或投标失败的，采购人及</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不承担任何责任。</w:t>
            </w:r>
          </w:p>
        </w:tc>
      </w:tr>
      <w:tr w14:paraId="7780B1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02AEF051">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060A562">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资质证明文件</w:t>
            </w:r>
          </w:p>
          <w:p w14:paraId="3A1BE0D5">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原件</w:t>
            </w:r>
          </w:p>
        </w:tc>
        <w:tc>
          <w:tcPr>
            <w:tcW w:w="6413" w:type="dxa"/>
            <w:tcBorders>
              <w:top w:val="single" w:color="auto" w:sz="4" w:space="0"/>
              <w:left w:val="single" w:color="auto" w:sz="4" w:space="0"/>
              <w:bottom w:val="single" w:color="auto" w:sz="4" w:space="0"/>
            </w:tcBorders>
            <w:noWrap w:val="0"/>
            <w:vAlign w:val="center"/>
          </w:tcPr>
          <w:p w14:paraId="19BEFE32">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除到达现场的被授权人提供身份证原件外，无需提供其他资质证明文件原件</w:t>
            </w:r>
          </w:p>
        </w:tc>
      </w:tr>
      <w:tr w14:paraId="1B0BC2D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6E8B4B0C">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10</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7F29103">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w:t>
            </w:r>
            <w:r>
              <w:rPr>
                <w:rFonts w:ascii="仿宋_GB2312" w:hAnsi="宋体" w:eastAsia="仿宋_GB2312"/>
                <w:sz w:val="28"/>
                <w:szCs w:val="28"/>
                <w:highlight w:val="none"/>
              </w:rPr>
              <w:t>文件份数</w:t>
            </w:r>
          </w:p>
        </w:tc>
        <w:tc>
          <w:tcPr>
            <w:tcW w:w="6413" w:type="dxa"/>
            <w:tcBorders>
              <w:top w:val="single" w:color="auto" w:sz="4" w:space="0"/>
              <w:left w:val="single" w:color="auto" w:sz="4" w:space="0"/>
              <w:bottom w:val="single" w:color="auto" w:sz="4" w:space="0"/>
            </w:tcBorders>
            <w:noWrap w:val="0"/>
            <w:vAlign w:val="center"/>
          </w:tcPr>
          <w:p w14:paraId="6D2F27E4">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网上按时递交投标文件1份</w:t>
            </w:r>
          </w:p>
        </w:tc>
      </w:tr>
      <w:tr w14:paraId="2CDC073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5B5C5FF6">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4643D27">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实物样品</w:t>
            </w:r>
          </w:p>
        </w:tc>
        <w:tc>
          <w:tcPr>
            <w:tcW w:w="6413" w:type="dxa"/>
            <w:tcBorders>
              <w:top w:val="single" w:color="auto" w:sz="4" w:space="0"/>
              <w:left w:val="single" w:color="auto" w:sz="4" w:space="0"/>
              <w:bottom w:val="single" w:color="auto" w:sz="4" w:space="0"/>
            </w:tcBorders>
            <w:noWrap w:val="0"/>
            <w:vAlign w:val="center"/>
          </w:tcPr>
          <w:p w14:paraId="1510951E">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1"/>
                <w:highlight w:val="none"/>
              </w:rPr>
              <w:t>无</w:t>
            </w:r>
          </w:p>
        </w:tc>
      </w:tr>
      <w:tr w14:paraId="171122F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075B44EF">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FD91730">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现场踏勘</w:t>
            </w:r>
          </w:p>
        </w:tc>
        <w:tc>
          <w:tcPr>
            <w:tcW w:w="6413" w:type="dxa"/>
            <w:tcBorders>
              <w:top w:val="single" w:color="auto" w:sz="4" w:space="0"/>
              <w:left w:val="single" w:color="auto" w:sz="4" w:space="0"/>
              <w:bottom w:val="single" w:color="auto" w:sz="4" w:space="0"/>
            </w:tcBorders>
            <w:noWrap w:val="0"/>
            <w:vAlign w:val="center"/>
          </w:tcPr>
          <w:p w14:paraId="05CF8B60">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不组织</w:t>
            </w:r>
          </w:p>
        </w:tc>
      </w:tr>
      <w:tr w14:paraId="3FDD34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55C0B33B">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234F8DF">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投标预备会</w:t>
            </w:r>
          </w:p>
        </w:tc>
        <w:tc>
          <w:tcPr>
            <w:tcW w:w="6413" w:type="dxa"/>
            <w:tcBorders>
              <w:top w:val="single" w:color="auto" w:sz="4" w:space="0"/>
              <w:left w:val="single" w:color="auto" w:sz="4" w:space="0"/>
              <w:bottom w:val="single" w:color="auto" w:sz="4" w:space="0"/>
            </w:tcBorders>
            <w:noWrap w:val="0"/>
            <w:vAlign w:val="center"/>
          </w:tcPr>
          <w:p w14:paraId="51344126">
            <w:pPr>
              <w:spacing w:line="440" w:lineRule="exact"/>
              <w:textAlignment w:val="top"/>
              <w:rPr>
                <w:rFonts w:ascii="仿宋_GB2312" w:hAnsi="宋体" w:eastAsia="仿宋_GB2312"/>
                <w:sz w:val="28"/>
                <w:szCs w:val="28"/>
                <w:highlight w:val="none"/>
              </w:rPr>
            </w:pPr>
            <w:r>
              <w:rPr>
                <w:rFonts w:hint="eastAsia" w:ascii="仿宋_GB2312" w:hAnsi="宋体" w:eastAsia="仿宋_GB2312"/>
                <w:sz w:val="28"/>
                <w:szCs w:val="28"/>
                <w:highlight w:val="none"/>
              </w:rPr>
              <w:t xml:space="preserve">不召开 </w:t>
            </w:r>
          </w:p>
        </w:tc>
      </w:tr>
      <w:tr w14:paraId="66CED2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851" w:type="dxa"/>
            <w:tcBorders>
              <w:top w:val="single" w:color="auto" w:sz="4" w:space="0"/>
              <w:bottom w:val="single" w:color="auto" w:sz="4" w:space="0"/>
              <w:right w:val="single" w:color="auto" w:sz="4" w:space="0"/>
            </w:tcBorders>
            <w:noWrap w:val="0"/>
            <w:vAlign w:val="center"/>
          </w:tcPr>
          <w:p w14:paraId="7E62CE0B">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8B3757D">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投标有效期</w:t>
            </w:r>
          </w:p>
        </w:tc>
        <w:tc>
          <w:tcPr>
            <w:tcW w:w="6413" w:type="dxa"/>
            <w:tcBorders>
              <w:top w:val="single" w:color="auto" w:sz="4" w:space="0"/>
              <w:left w:val="single" w:color="auto" w:sz="4" w:space="0"/>
              <w:bottom w:val="single" w:color="auto" w:sz="4" w:space="0"/>
            </w:tcBorders>
            <w:noWrap w:val="0"/>
            <w:vAlign w:val="center"/>
          </w:tcPr>
          <w:p w14:paraId="7F19CE9E">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公开报价之日起90日</w:t>
            </w:r>
          </w:p>
        </w:tc>
      </w:tr>
      <w:tr w14:paraId="591014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851" w:type="dxa"/>
            <w:tcBorders>
              <w:top w:val="single" w:color="auto" w:sz="4" w:space="0"/>
              <w:bottom w:val="single" w:color="auto" w:sz="4" w:space="0"/>
              <w:right w:val="single" w:color="auto" w:sz="4" w:space="0"/>
            </w:tcBorders>
            <w:noWrap w:val="0"/>
            <w:vAlign w:val="center"/>
          </w:tcPr>
          <w:p w14:paraId="3C5F535C">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8084337">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投标文件</w:t>
            </w:r>
            <w:r>
              <w:rPr>
                <w:rFonts w:ascii="仿宋_GB2312" w:hAnsi="宋体" w:eastAsia="仿宋_GB2312"/>
                <w:sz w:val="28"/>
                <w:szCs w:val="28"/>
                <w:highlight w:val="none"/>
              </w:rPr>
              <w:t>递交时间</w:t>
            </w:r>
            <w:r>
              <w:rPr>
                <w:rFonts w:hint="eastAsia" w:ascii="仿宋_GB2312" w:hAnsi="宋体" w:eastAsia="仿宋_GB2312"/>
                <w:sz w:val="28"/>
                <w:szCs w:val="28"/>
                <w:highlight w:val="none"/>
              </w:rPr>
              <w:t>及地点</w:t>
            </w:r>
          </w:p>
        </w:tc>
        <w:tc>
          <w:tcPr>
            <w:tcW w:w="6413" w:type="dxa"/>
            <w:tcBorders>
              <w:top w:val="single" w:color="auto" w:sz="4" w:space="0"/>
              <w:left w:val="single" w:color="auto" w:sz="4" w:space="0"/>
              <w:bottom w:val="single" w:color="auto" w:sz="4" w:space="0"/>
            </w:tcBorders>
            <w:noWrap w:val="0"/>
            <w:vAlign w:val="center"/>
          </w:tcPr>
          <w:p w14:paraId="7AAF9D41">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电子投标文件递交时间：详见第一章招标公告</w:t>
            </w:r>
          </w:p>
          <w:p w14:paraId="53719332">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递交网址：详见第一章招标公告</w:t>
            </w:r>
          </w:p>
        </w:tc>
      </w:tr>
      <w:tr w14:paraId="314F69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jc w:val="center"/>
        </w:trPr>
        <w:tc>
          <w:tcPr>
            <w:tcW w:w="851" w:type="dxa"/>
            <w:tcBorders>
              <w:top w:val="single" w:color="auto" w:sz="4" w:space="0"/>
              <w:bottom w:val="single" w:color="auto" w:sz="4" w:space="0"/>
              <w:right w:val="single" w:color="auto" w:sz="4" w:space="0"/>
            </w:tcBorders>
            <w:noWrap w:val="0"/>
            <w:vAlign w:val="center"/>
          </w:tcPr>
          <w:p w14:paraId="645A1321">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3118CF8A">
            <w:pPr>
              <w:snapToGrid w:val="0"/>
              <w:spacing w:line="56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开标地点</w:t>
            </w:r>
          </w:p>
        </w:tc>
        <w:tc>
          <w:tcPr>
            <w:tcW w:w="6413" w:type="dxa"/>
            <w:tcBorders>
              <w:top w:val="single" w:color="auto" w:sz="4" w:space="0"/>
              <w:left w:val="single" w:color="auto" w:sz="4" w:space="0"/>
              <w:bottom w:val="single" w:color="auto" w:sz="4" w:space="0"/>
            </w:tcBorders>
            <w:noWrap w:val="0"/>
            <w:vAlign w:val="center"/>
          </w:tcPr>
          <w:p w14:paraId="275400C0">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详见第一章招标公告</w:t>
            </w:r>
          </w:p>
        </w:tc>
      </w:tr>
      <w:tr w14:paraId="0B2A8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1FDCABBA">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382CB5F">
            <w:pPr>
              <w:snapToGrid w:val="0"/>
              <w:spacing w:line="560" w:lineRule="exact"/>
              <w:jc w:val="center"/>
              <w:rPr>
                <w:rFonts w:ascii="仿宋_GB2312" w:eastAsia="仿宋_GB2312"/>
                <w:sz w:val="28"/>
                <w:szCs w:val="28"/>
                <w:highlight w:val="none"/>
              </w:rPr>
            </w:pPr>
            <w:r>
              <w:rPr>
                <w:rFonts w:hint="eastAsia" w:ascii="仿宋_GB2312" w:hAnsi="宋体" w:eastAsia="仿宋_GB2312"/>
                <w:sz w:val="28"/>
                <w:szCs w:val="28"/>
                <w:highlight w:val="none"/>
              </w:rPr>
              <w:t>开标方式</w:t>
            </w:r>
          </w:p>
        </w:tc>
        <w:tc>
          <w:tcPr>
            <w:tcW w:w="6413" w:type="dxa"/>
            <w:tcBorders>
              <w:top w:val="single" w:color="auto" w:sz="4" w:space="0"/>
              <w:left w:val="single" w:color="auto" w:sz="4" w:space="0"/>
              <w:bottom w:val="single" w:color="auto" w:sz="4" w:space="0"/>
            </w:tcBorders>
            <w:noWrap w:val="0"/>
            <w:vAlign w:val="center"/>
          </w:tcPr>
          <w:p w14:paraId="185A2ED0">
            <w:pPr>
              <w:snapToGrid w:val="0"/>
              <w:spacing w:line="440" w:lineRule="exact"/>
              <w:ind w:right="-105" w:rightChars="-50"/>
              <w:jc w:val="left"/>
              <w:rPr>
                <w:rFonts w:ascii="仿宋_GB2312" w:eastAsia="仿宋_GB2312"/>
                <w:sz w:val="28"/>
                <w:szCs w:val="28"/>
                <w:highlight w:val="none"/>
              </w:rPr>
            </w:pPr>
            <w:r>
              <w:rPr>
                <w:rFonts w:hint="eastAsia" w:ascii="仿宋_GB2312" w:hAnsi="宋体" w:eastAsia="仿宋_GB2312"/>
                <w:sz w:val="28"/>
                <w:szCs w:val="28"/>
                <w:highlight w:val="none"/>
              </w:rPr>
              <w:t>详见第一章招标公告</w:t>
            </w:r>
          </w:p>
        </w:tc>
      </w:tr>
      <w:tr w14:paraId="41953B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51BE0E9F">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375078B0">
            <w:pPr>
              <w:snapToGrid w:val="0"/>
              <w:spacing w:line="56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开标方式</w:t>
            </w:r>
          </w:p>
        </w:tc>
        <w:tc>
          <w:tcPr>
            <w:tcW w:w="6413" w:type="dxa"/>
            <w:tcBorders>
              <w:top w:val="single" w:color="auto" w:sz="4" w:space="0"/>
              <w:left w:val="single" w:color="auto" w:sz="4" w:space="0"/>
              <w:bottom w:val="single" w:color="auto" w:sz="4" w:space="0"/>
            </w:tcBorders>
            <w:noWrap w:val="0"/>
            <w:vAlign w:val="center"/>
          </w:tcPr>
          <w:p w14:paraId="7E4B48CA">
            <w:pPr>
              <w:snapToGrid w:val="0"/>
              <w:spacing w:line="440" w:lineRule="exact"/>
              <w:ind w:right="-105" w:rightChars="-50"/>
              <w:rPr>
                <w:rFonts w:ascii="仿宋_GB2312" w:hAnsi="宋体" w:eastAsia="仿宋_GB2312"/>
                <w:sz w:val="28"/>
                <w:szCs w:val="28"/>
                <w:highlight w:val="none"/>
              </w:rPr>
            </w:pPr>
            <w:r>
              <w:rPr>
                <w:rFonts w:hint="eastAsia" w:ascii="仿宋_GB2312" w:eastAsia="仿宋_GB2312"/>
                <w:sz w:val="28"/>
                <w:szCs w:val="28"/>
                <w:highlight w:val="none"/>
              </w:rPr>
              <w:t>本项目实行全流程电子化，实行远程解密，投标人无需到现场，并保持通讯畅通，提前在个人电脑上进行测试确保音频、视频功能可正常使用。因通讯不畅造成的一切后果由供应商自行承担。</w:t>
            </w:r>
          </w:p>
        </w:tc>
      </w:tr>
      <w:tr w14:paraId="49E8A4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77B97A7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8AF8F46">
            <w:pPr>
              <w:snapToGrid w:val="0"/>
              <w:spacing w:line="56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开标程序</w:t>
            </w:r>
          </w:p>
        </w:tc>
        <w:tc>
          <w:tcPr>
            <w:tcW w:w="6413" w:type="dxa"/>
            <w:tcBorders>
              <w:top w:val="single" w:color="auto" w:sz="4" w:space="0"/>
              <w:left w:val="single" w:color="auto" w:sz="4" w:space="0"/>
              <w:bottom w:val="single" w:color="auto" w:sz="4" w:space="0"/>
            </w:tcBorders>
            <w:noWrap w:val="0"/>
            <w:vAlign w:val="center"/>
          </w:tcPr>
          <w:p w14:paraId="7394BEAC">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签到时间：报价时间前30分钟内完成</w:t>
            </w:r>
          </w:p>
          <w:p w14:paraId="7C928B9B">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解密时间：开始解密后20分钟内完成</w:t>
            </w:r>
          </w:p>
        </w:tc>
      </w:tr>
      <w:tr w14:paraId="410A87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851" w:type="dxa"/>
            <w:tcBorders>
              <w:top w:val="single" w:color="auto" w:sz="4" w:space="0"/>
              <w:bottom w:val="single" w:color="auto" w:sz="4" w:space="0"/>
              <w:right w:val="single" w:color="auto" w:sz="4" w:space="0"/>
            </w:tcBorders>
            <w:noWrap w:val="0"/>
            <w:vAlign w:val="center"/>
          </w:tcPr>
          <w:p w14:paraId="214C9AED">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20</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451E330">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资格审查方式</w:t>
            </w:r>
          </w:p>
        </w:tc>
        <w:tc>
          <w:tcPr>
            <w:tcW w:w="6413" w:type="dxa"/>
            <w:tcBorders>
              <w:top w:val="single" w:color="auto" w:sz="4" w:space="0"/>
              <w:left w:val="single" w:color="auto" w:sz="4" w:space="0"/>
              <w:bottom w:val="single" w:color="auto" w:sz="4" w:space="0"/>
            </w:tcBorders>
            <w:noWrap w:val="0"/>
            <w:vAlign w:val="center"/>
          </w:tcPr>
          <w:p w14:paraId="3913438C">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资格后审</w:t>
            </w:r>
          </w:p>
        </w:tc>
      </w:tr>
      <w:tr w14:paraId="095A6C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851" w:type="dxa"/>
            <w:tcBorders>
              <w:top w:val="single" w:color="auto" w:sz="4" w:space="0"/>
              <w:bottom w:val="single" w:color="auto" w:sz="4" w:space="0"/>
              <w:right w:val="single" w:color="auto" w:sz="4" w:space="0"/>
            </w:tcBorders>
            <w:noWrap w:val="0"/>
            <w:vAlign w:val="center"/>
          </w:tcPr>
          <w:p w14:paraId="7505CF10">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44E79F2">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评审</w:t>
            </w:r>
            <w:r>
              <w:rPr>
                <w:rFonts w:ascii="仿宋_GB2312" w:hAnsi="宋体" w:eastAsia="仿宋_GB2312"/>
                <w:sz w:val="28"/>
                <w:szCs w:val="28"/>
                <w:highlight w:val="none"/>
              </w:rPr>
              <w:t>办法</w:t>
            </w:r>
          </w:p>
        </w:tc>
        <w:tc>
          <w:tcPr>
            <w:tcW w:w="6413" w:type="dxa"/>
            <w:tcBorders>
              <w:top w:val="single" w:color="auto" w:sz="4" w:space="0"/>
              <w:left w:val="single" w:color="auto" w:sz="4" w:space="0"/>
              <w:bottom w:val="single" w:color="auto" w:sz="4" w:space="0"/>
            </w:tcBorders>
            <w:noWrap w:val="0"/>
            <w:vAlign w:val="center"/>
          </w:tcPr>
          <w:p w14:paraId="6424109C">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综合评分法</w:t>
            </w:r>
          </w:p>
        </w:tc>
      </w:tr>
      <w:tr w14:paraId="492F08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4B17EBE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7BADCB0">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联合体报价</w:t>
            </w:r>
          </w:p>
        </w:tc>
        <w:tc>
          <w:tcPr>
            <w:tcW w:w="6413" w:type="dxa"/>
            <w:tcBorders>
              <w:top w:val="single" w:color="auto" w:sz="4" w:space="0"/>
              <w:left w:val="single" w:color="auto" w:sz="4" w:space="0"/>
              <w:bottom w:val="single" w:color="auto" w:sz="4" w:space="0"/>
            </w:tcBorders>
            <w:noWrap w:val="0"/>
            <w:vAlign w:val="center"/>
          </w:tcPr>
          <w:p w14:paraId="1013F240">
            <w:pPr>
              <w:snapToGrid w:val="0"/>
              <w:spacing w:line="440" w:lineRule="exact"/>
              <w:jc w:val="left"/>
              <w:rPr>
                <w:rFonts w:ascii="仿宋_GB2312" w:hAnsi="宋体" w:eastAsia="仿宋_GB2312"/>
                <w:sz w:val="28"/>
                <w:szCs w:val="28"/>
                <w:highlight w:val="none"/>
              </w:rPr>
            </w:pPr>
            <w:r>
              <w:rPr>
                <w:rFonts w:ascii="仿宋_GB2312" w:hAnsi="宋体" w:eastAsia="仿宋_GB2312"/>
                <w:sz w:val="28"/>
                <w:szCs w:val="28"/>
                <w:highlight w:val="none"/>
              </w:rPr>
              <w:t>不允许</w:t>
            </w:r>
          </w:p>
        </w:tc>
      </w:tr>
      <w:tr w14:paraId="37495E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4CAA773C">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3923B2C">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分（转）包</w:t>
            </w:r>
          </w:p>
        </w:tc>
        <w:tc>
          <w:tcPr>
            <w:tcW w:w="6413" w:type="dxa"/>
            <w:tcBorders>
              <w:top w:val="single" w:color="auto" w:sz="4" w:space="0"/>
              <w:left w:val="single" w:color="auto" w:sz="4" w:space="0"/>
              <w:bottom w:val="single" w:color="auto" w:sz="4" w:space="0"/>
            </w:tcBorders>
            <w:noWrap w:val="0"/>
            <w:vAlign w:val="center"/>
          </w:tcPr>
          <w:p w14:paraId="1E9B1294">
            <w:pPr>
              <w:snapToGrid w:val="0"/>
              <w:spacing w:line="440" w:lineRule="exact"/>
              <w:jc w:val="left"/>
              <w:rPr>
                <w:rFonts w:ascii="仿宋_GB2312" w:hAnsi="宋体" w:eastAsia="仿宋_GB2312"/>
                <w:sz w:val="28"/>
                <w:szCs w:val="28"/>
                <w:highlight w:val="none"/>
              </w:rPr>
            </w:pPr>
            <w:r>
              <w:rPr>
                <w:rFonts w:ascii="仿宋_GB2312" w:hAnsi="宋体" w:eastAsia="仿宋_GB2312"/>
                <w:sz w:val="28"/>
                <w:szCs w:val="28"/>
                <w:highlight w:val="none"/>
              </w:rPr>
              <w:t>不允许</w:t>
            </w:r>
          </w:p>
        </w:tc>
      </w:tr>
      <w:tr w14:paraId="15677D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0C587C53">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C537CF3">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w:t>
            </w:r>
            <w:r>
              <w:rPr>
                <w:rFonts w:ascii="仿宋_GB2312" w:hAnsi="宋体" w:eastAsia="仿宋_GB2312"/>
                <w:sz w:val="28"/>
                <w:szCs w:val="28"/>
                <w:highlight w:val="none"/>
              </w:rPr>
              <w:t>保证金</w:t>
            </w:r>
          </w:p>
        </w:tc>
        <w:tc>
          <w:tcPr>
            <w:tcW w:w="6413" w:type="dxa"/>
            <w:tcBorders>
              <w:top w:val="single" w:color="auto" w:sz="4" w:space="0"/>
              <w:left w:val="single" w:color="auto" w:sz="4" w:space="0"/>
              <w:bottom w:val="single" w:color="auto" w:sz="4" w:space="0"/>
            </w:tcBorders>
            <w:noWrap w:val="0"/>
            <w:vAlign w:val="center"/>
          </w:tcPr>
          <w:p w14:paraId="31882E57">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本项目不收取投标</w:t>
            </w:r>
            <w:r>
              <w:rPr>
                <w:rFonts w:ascii="仿宋_GB2312" w:hAnsi="宋体" w:eastAsia="仿宋_GB2312"/>
                <w:sz w:val="28"/>
                <w:szCs w:val="28"/>
                <w:highlight w:val="none"/>
              </w:rPr>
              <w:t>保证金</w:t>
            </w:r>
          </w:p>
        </w:tc>
      </w:tr>
      <w:tr w14:paraId="751F214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77778C98">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07A58C8">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履约保证金</w:t>
            </w:r>
          </w:p>
        </w:tc>
        <w:tc>
          <w:tcPr>
            <w:tcW w:w="6413" w:type="dxa"/>
            <w:tcBorders>
              <w:top w:val="single" w:color="auto" w:sz="4" w:space="0"/>
              <w:left w:val="single" w:color="auto" w:sz="4" w:space="0"/>
              <w:bottom w:val="single" w:color="auto" w:sz="4" w:space="0"/>
            </w:tcBorders>
            <w:noWrap w:val="0"/>
            <w:vAlign w:val="center"/>
          </w:tcPr>
          <w:p w14:paraId="79108633">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本项目不收取履约保证金</w:t>
            </w:r>
          </w:p>
        </w:tc>
      </w:tr>
      <w:tr w14:paraId="6033CB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50EB4259">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B90713A">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付款方式</w:t>
            </w:r>
          </w:p>
        </w:tc>
        <w:tc>
          <w:tcPr>
            <w:tcW w:w="6413" w:type="dxa"/>
            <w:tcBorders>
              <w:top w:val="single" w:color="auto" w:sz="4" w:space="0"/>
              <w:left w:val="single" w:color="auto" w:sz="4" w:space="0"/>
              <w:bottom w:val="single" w:color="auto" w:sz="4" w:space="0"/>
            </w:tcBorders>
            <w:noWrap w:val="0"/>
            <w:vAlign w:val="center"/>
          </w:tcPr>
          <w:p w14:paraId="466CBDDF">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1"/>
                <w:highlight w:val="none"/>
              </w:rPr>
              <w:t>本项目无预付款，按照招标人拨款进度付款</w:t>
            </w:r>
          </w:p>
        </w:tc>
      </w:tr>
      <w:tr w14:paraId="404316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0E7E902A">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2A4FAF9">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其他</w:t>
            </w:r>
          </w:p>
        </w:tc>
        <w:tc>
          <w:tcPr>
            <w:tcW w:w="6413" w:type="dxa"/>
            <w:tcBorders>
              <w:top w:val="single" w:color="auto" w:sz="4" w:space="0"/>
              <w:left w:val="single" w:color="auto" w:sz="4" w:space="0"/>
              <w:bottom w:val="single" w:color="auto" w:sz="4" w:space="0"/>
            </w:tcBorders>
            <w:noWrap w:val="0"/>
            <w:vAlign w:val="center"/>
          </w:tcPr>
          <w:p w14:paraId="1498395F">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本项目按工程类以公开招标方式实施采购</w:t>
            </w:r>
          </w:p>
        </w:tc>
      </w:tr>
      <w:tr w14:paraId="056C627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15559463">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DD0B8AF">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是否委托定标</w:t>
            </w:r>
          </w:p>
        </w:tc>
        <w:tc>
          <w:tcPr>
            <w:tcW w:w="6413" w:type="dxa"/>
            <w:tcBorders>
              <w:top w:val="single" w:color="auto" w:sz="4" w:space="0"/>
              <w:left w:val="single" w:color="auto" w:sz="4" w:space="0"/>
              <w:bottom w:val="single" w:color="auto" w:sz="4" w:space="0"/>
            </w:tcBorders>
            <w:noWrap w:val="0"/>
            <w:vAlign w:val="center"/>
          </w:tcPr>
          <w:p w14:paraId="34DA2AD3">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是</w:t>
            </w:r>
          </w:p>
        </w:tc>
      </w:tr>
      <w:tr w14:paraId="3802EA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4C8FCFA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A9E87F5">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代理服务费</w:t>
            </w:r>
          </w:p>
        </w:tc>
        <w:tc>
          <w:tcPr>
            <w:tcW w:w="6413" w:type="dxa"/>
            <w:tcBorders>
              <w:top w:val="single" w:color="auto" w:sz="4" w:space="0"/>
              <w:left w:val="single" w:color="auto" w:sz="4" w:space="0"/>
              <w:bottom w:val="single" w:color="auto" w:sz="4" w:space="0"/>
            </w:tcBorders>
            <w:noWrap w:val="0"/>
            <w:vAlign w:val="center"/>
          </w:tcPr>
          <w:p w14:paraId="315D3ECE">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中标人需要交纳代理服务费及清单编制费。代理服务费按照下表中</w:t>
            </w:r>
            <w:r>
              <w:rPr>
                <w:rFonts w:hint="eastAsia" w:ascii="仿宋_GB2312" w:hAnsi="宋体" w:eastAsia="仿宋_GB2312"/>
                <w:b/>
                <w:bCs/>
                <w:sz w:val="28"/>
                <w:szCs w:val="28"/>
                <w:highlight w:val="none"/>
              </w:rPr>
              <w:t>工程类</w:t>
            </w:r>
            <w:r>
              <w:rPr>
                <w:rFonts w:hint="eastAsia" w:ascii="仿宋_GB2312" w:hAnsi="宋体" w:eastAsia="仿宋_GB2312"/>
                <w:sz w:val="28"/>
                <w:szCs w:val="28"/>
                <w:highlight w:val="none"/>
              </w:rPr>
              <w:t>招标代理费标准收取，由中标人在签订合同前向招标公司全额交纳。</w:t>
            </w:r>
          </w:p>
          <w:tbl>
            <w:tblPr>
              <w:tblStyle w:val="31"/>
              <w:tblpPr w:vertAnchor="text" w:horzAnchor="page" w:tblpX="284" w:tblpY="2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54"/>
              <w:gridCol w:w="1241"/>
              <w:gridCol w:w="1180"/>
              <w:gridCol w:w="1103"/>
            </w:tblGrid>
            <w:tr w14:paraId="22DDD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54" w:hRule="exact"/>
              </w:trPr>
              <w:tc>
                <w:tcPr>
                  <w:tcW w:w="2054" w:type="dxa"/>
                  <w:noWrap w:val="0"/>
                  <w:vAlign w:val="center"/>
                </w:tcPr>
                <w:p w14:paraId="78504B02">
                  <w:pPr>
                    <w:autoSpaceDE w:val="0"/>
                    <w:autoSpaceDN w:val="0"/>
                    <w:spacing w:line="12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服务类型/费率</w:t>
                  </w:r>
                </w:p>
                <w:p w14:paraId="0780CDAD">
                  <w:pPr>
                    <w:spacing w:line="120" w:lineRule="auto"/>
                    <w:jc w:val="left"/>
                    <w:rPr>
                      <w:rFonts w:hint="eastAsia" w:ascii="仿宋" w:hAnsi="仿宋" w:eastAsia="仿宋" w:cs="仿宋"/>
                      <w:sz w:val="24"/>
                      <w:highlight w:val="none"/>
                    </w:rPr>
                  </w:pPr>
                  <w:r>
                    <w:rPr>
                      <w:rFonts w:hint="eastAsia" w:ascii="仿宋" w:hAnsi="仿宋" w:eastAsia="仿宋" w:cs="仿宋"/>
                      <w:sz w:val="24"/>
                      <w:highlight w:val="none"/>
                    </w:rPr>
                    <w:t>中标金额（万元）</w:t>
                  </w:r>
                </w:p>
              </w:tc>
              <w:tc>
                <w:tcPr>
                  <w:tcW w:w="1241" w:type="dxa"/>
                  <w:noWrap w:val="0"/>
                  <w:vAlign w:val="center"/>
                </w:tcPr>
                <w:p w14:paraId="1EA8707D">
                  <w:pPr>
                    <w:jc w:val="center"/>
                    <w:rPr>
                      <w:rFonts w:hint="eastAsia" w:ascii="仿宋" w:hAnsi="仿宋" w:eastAsia="仿宋" w:cs="仿宋"/>
                      <w:sz w:val="24"/>
                      <w:highlight w:val="none"/>
                    </w:rPr>
                  </w:pPr>
                  <w:r>
                    <w:rPr>
                      <w:rFonts w:hint="eastAsia" w:ascii="仿宋" w:hAnsi="仿宋" w:eastAsia="仿宋" w:cs="仿宋"/>
                      <w:sz w:val="24"/>
                      <w:highlight w:val="none"/>
                    </w:rPr>
                    <w:t>货物招标</w:t>
                  </w:r>
                </w:p>
              </w:tc>
              <w:tc>
                <w:tcPr>
                  <w:tcW w:w="1180" w:type="dxa"/>
                  <w:noWrap w:val="0"/>
                  <w:vAlign w:val="center"/>
                </w:tcPr>
                <w:p w14:paraId="34122B3B">
                  <w:pPr>
                    <w:jc w:val="center"/>
                    <w:rPr>
                      <w:rFonts w:hint="eastAsia" w:ascii="仿宋" w:hAnsi="仿宋" w:eastAsia="仿宋" w:cs="仿宋"/>
                      <w:sz w:val="24"/>
                      <w:highlight w:val="none"/>
                    </w:rPr>
                  </w:pPr>
                  <w:r>
                    <w:rPr>
                      <w:rFonts w:hint="eastAsia" w:ascii="仿宋" w:hAnsi="仿宋" w:eastAsia="仿宋" w:cs="仿宋"/>
                      <w:sz w:val="24"/>
                      <w:highlight w:val="none"/>
                    </w:rPr>
                    <w:t>服务招标</w:t>
                  </w:r>
                </w:p>
              </w:tc>
              <w:tc>
                <w:tcPr>
                  <w:tcW w:w="1103" w:type="dxa"/>
                  <w:noWrap w:val="0"/>
                  <w:vAlign w:val="center"/>
                </w:tcPr>
                <w:p w14:paraId="7D2AEC09">
                  <w:pPr>
                    <w:jc w:val="center"/>
                    <w:rPr>
                      <w:rFonts w:hint="eastAsia" w:ascii="仿宋" w:hAnsi="仿宋" w:eastAsia="仿宋" w:cs="仿宋"/>
                      <w:sz w:val="24"/>
                      <w:highlight w:val="none"/>
                    </w:rPr>
                  </w:pPr>
                  <w:r>
                    <w:rPr>
                      <w:rFonts w:hint="eastAsia" w:ascii="仿宋" w:hAnsi="仿宋" w:eastAsia="仿宋" w:cs="仿宋"/>
                      <w:sz w:val="24"/>
                      <w:highlight w:val="none"/>
                    </w:rPr>
                    <w:t>工程招标</w:t>
                  </w:r>
                </w:p>
              </w:tc>
            </w:tr>
            <w:tr w14:paraId="2818F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6ADC0208">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100 以下</w:t>
                  </w:r>
                </w:p>
              </w:tc>
              <w:tc>
                <w:tcPr>
                  <w:tcW w:w="1241" w:type="dxa"/>
                  <w:noWrap w:val="0"/>
                  <w:vAlign w:val="center"/>
                </w:tcPr>
                <w:p w14:paraId="11F5962E">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1.5%</w:t>
                  </w:r>
                </w:p>
              </w:tc>
              <w:tc>
                <w:tcPr>
                  <w:tcW w:w="1180" w:type="dxa"/>
                  <w:noWrap w:val="0"/>
                  <w:vAlign w:val="center"/>
                </w:tcPr>
                <w:p w14:paraId="52B7D0EA">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1.5%</w:t>
                  </w:r>
                </w:p>
              </w:tc>
              <w:tc>
                <w:tcPr>
                  <w:tcW w:w="1103" w:type="dxa"/>
                  <w:noWrap w:val="0"/>
                  <w:vAlign w:val="center"/>
                </w:tcPr>
                <w:p w14:paraId="61900F19">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w:t>
                  </w:r>
                </w:p>
              </w:tc>
            </w:tr>
            <w:tr w14:paraId="750CB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723993EE">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100-500</w:t>
                  </w:r>
                </w:p>
              </w:tc>
              <w:tc>
                <w:tcPr>
                  <w:tcW w:w="1241" w:type="dxa"/>
                  <w:noWrap w:val="0"/>
                  <w:vAlign w:val="center"/>
                </w:tcPr>
                <w:p w14:paraId="10CD09E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1.1%</w:t>
                  </w:r>
                </w:p>
              </w:tc>
              <w:tc>
                <w:tcPr>
                  <w:tcW w:w="1180" w:type="dxa"/>
                  <w:noWrap w:val="0"/>
                  <w:vAlign w:val="center"/>
                </w:tcPr>
                <w:p w14:paraId="030971C7">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0.8%</w:t>
                  </w:r>
                </w:p>
              </w:tc>
              <w:tc>
                <w:tcPr>
                  <w:tcW w:w="1103" w:type="dxa"/>
                  <w:noWrap w:val="0"/>
                  <w:vAlign w:val="center"/>
                </w:tcPr>
                <w:p w14:paraId="1933391C">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0.7%</w:t>
                  </w:r>
                </w:p>
              </w:tc>
            </w:tr>
            <w:tr w14:paraId="08EA6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1" w:hRule="exact"/>
              </w:trPr>
              <w:tc>
                <w:tcPr>
                  <w:tcW w:w="2054" w:type="dxa"/>
                  <w:noWrap w:val="0"/>
                  <w:vAlign w:val="center"/>
                </w:tcPr>
                <w:p w14:paraId="4F87EA74">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500-1000</w:t>
                  </w:r>
                </w:p>
              </w:tc>
              <w:tc>
                <w:tcPr>
                  <w:tcW w:w="1241" w:type="dxa"/>
                  <w:noWrap w:val="0"/>
                  <w:vAlign w:val="center"/>
                </w:tcPr>
                <w:p w14:paraId="376FB4FA">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0.8%</w:t>
                  </w:r>
                </w:p>
              </w:tc>
              <w:tc>
                <w:tcPr>
                  <w:tcW w:w="1180" w:type="dxa"/>
                  <w:noWrap w:val="0"/>
                  <w:vAlign w:val="center"/>
                </w:tcPr>
                <w:p w14:paraId="1EC680ED">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0.45%</w:t>
                  </w:r>
                </w:p>
              </w:tc>
              <w:tc>
                <w:tcPr>
                  <w:tcW w:w="1103" w:type="dxa"/>
                  <w:noWrap w:val="0"/>
                  <w:vAlign w:val="center"/>
                </w:tcPr>
                <w:p w14:paraId="4BF63A2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0.55%</w:t>
                  </w:r>
                </w:p>
              </w:tc>
            </w:tr>
            <w:tr w14:paraId="36563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0BD415D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1000-5000</w:t>
                  </w:r>
                </w:p>
              </w:tc>
              <w:tc>
                <w:tcPr>
                  <w:tcW w:w="1241" w:type="dxa"/>
                  <w:noWrap w:val="0"/>
                  <w:vAlign w:val="center"/>
                </w:tcPr>
                <w:p w14:paraId="4AC5F6B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0.5%</w:t>
                  </w:r>
                </w:p>
              </w:tc>
              <w:tc>
                <w:tcPr>
                  <w:tcW w:w="1180" w:type="dxa"/>
                  <w:noWrap w:val="0"/>
                  <w:vAlign w:val="center"/>
                </w:tcPr>
                <w:p w14:paraId="549A7FDD">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0.25%</w:t>
                  </w:r>
                </w:p>
              </w:tc>
              <w:tc>
                <w:tcPr>
                  <w:tcW w:w="1103" w:type="dxa"/>
                  <w:noWrap w:val="0"/>
                  <w:vAlign w:val="center"/>
                </w:tcPr>
                <w:p w14:paraId="61486024">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0.35%</w:t>
                  </w:r>
                </w:p>
              </w:tc>
            </w:tr>
            <w:tr w14:paraId="7B23C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6CD6839E">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5000-10000</w:t>
                  </w:r>
                </w:p>
              </w:tc>
              <w:tc>
                <w:tcPr>
                  <w:tcW w:w="1241" w:type="dxa"/>
                  <w:noWrap w:val="0"/>
                  <w:vAlign w:val="center"/>
                </w:tcPr>
                <w:p w14:paraId="4F039942">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0.25%</w:t>
                  </w:r>
                </w:p>
              </w:tc>
              <w:tc>
                <w:tcPr>
                  <w:tcW w:w="1180" w:type="dxa"/>
                  <w:noWrap w:val="0"/>
                  <w:vAlign w:val="center"/>
                </w:tcPr>
                <w:p w14:paraId="52E4B06C">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0.1%</w:t>
                  </w:r>
                </w:p>
              </w:tc>
              <w:tc>
                <w:tcPr>
                  <w:tcW w:w="1103" w:type="dxa"/>
                  <w:noWrap w:val="0"/>
                  <w:vAlign w:val="center"/>
                </w:tcPr>
                <w:p w14:paraId="6C17A08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0.2%</w:t>
                  </w:r>
                </w:p>
              </w:tc>
            </w:tr>
            <w:tr w14:paraId="1F8E1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0" w:hRule="exact"/>
              </w:trPr>
              <w:tc>
                <w:tcPr>
                  <w:tcW w:w="2054" w:type="dxa"/>
                  <w:noWrap w:val="0"/>
                  <w:vAlign w:val="center"/>
                </w:tcPr>
                <w:p w14:paraId="143C16C7">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 亿～5 亿</w:t>
                  </w:r>
                </w:p>
              </w:tc>
              <w:tc>
                <w:tcPr>
                  <w:tcW w:w="1241" w:type="dxa"/>
                  <w:noWrap w:val="0"/>
                  <w:vAlign w:val="center"/>
                </w:tcPr>
                <w:p w14:paraId="35A33337">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0.05%</w:t>
                  </w:r>
                </w:p>
              </w:tc>
              <w:tc>
                <w:tcPr>
                  <w:tcW w:w="1180" w:type="dxa"/>
                  <w:noWrap w:val="0"/>
                  <w:vAlign w:val="center"/>
                </w:tcPr>
                <w:p w14:paraId="2CD3AC84">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0.05%</w:t>
                  </w:r>
                </w:p>
              </w:tc>
              <w:tc>
                <w:tcPr>
                  <w:tcW w:w="1103" w:type="dxa"/>
                  <w:noWrap w:val="0"/>
                  <w:vAlign w:val="center"/>
                </w:tcPr>
                <w:p w14:paraId="0CCDADD1">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0.05%</w:t>
                  </w:r>
                </w:p>
              </w:tc>
            </w:tr>
          </w:tbl>
          <w:p w14:paraId="6F043BA1">
            <w:pPr>
              <w:pStyle w:val="12"/>
              <w:rPr>
                <w:rFonts w:hint="eastAsia" w:ascii="宋体" w:hAnsi="宋体"/>
                <w:highlight w:val="none"/>
              </w:rPr>
            </w:pPr>
          </w:p>
          <w:p w14:paraId="1EEF6560">
            <w:pPr>
              <w:snapToGrid w:val="0"/>
              <w:spacing w:line="440" w:lineRule="exact"/>
              <w:jc w:val="left"/>
              <w:rPr>
                <w:rFonts w:hint="eastAsia" w:ascii="仿宋_GB2312" w:hAnsi="宋体" w:eastAsia="仿宋_GB2312"/>
                <w:sz w:val="28"/>
                <w:szCs w:val="28"/>
                <w:highlight w:val="none"/>
              </w:rPr>
            </w:pPr>
          </w:p>
          <w:p w14:paraId="06F45E39">
            <w:pPr>
              <w:snapToGrid w:val="0"/>
              <w:spacing w:line="440" w:lineRule="exact"/>
              <w:jc w:val="left"/>
              <w:rPr>
                <w:rFonts w:hint="eastAsia" w:ascii="仿宋_GB2312" w:hAnsi="宋体" w:eastAsia="仿宋_GB2312"/>
                <w:sz w:val="28"/>
                <w:szCs w:val="28"/>
                <w:highlight w:val="none"/>
              </w:rPr>
            </w:pPr>
          </w:p>
          <w:p w14:paraId="68C5DB6F">
            <w:pPr>
              <w:snapToGrid w:val="0"/>
              <w:spacing w:line="440" w:lineRule="exact"/>
              <w:jc w:val="left"/>
              <w:rPr>
                <w:rFonts w:hint="eastAsia" w:ascii="仿宋_GB2312" w:hAnsi="宋体" w:eastAsia="仿宋_GB2312"/>
                <w:sz w:val="28"/>
                <w:szCs w:val="28"/>
                <w:highlight w:val="none"/>
              </w:rPr>
            </w:pPr>
          </w:p>
          <w:p w14:paraId="71415CBB">
            <w:pPr>
              <w:snapToGrid w:val="0"/>
              <w:spacing w:line="440" w:lineRule="exact"/>
              <w:jc w:val="left"/>
              <w:rPr>
                <w:rFonts w:hint="eastAsia" w:ascii="仿宋_GB2312" w:hAnsi="宋体" w:eastAsia="仿宋_GB2312"/>
                <w:sz w:val="28"/>
                <w:szCs w:val="28"/>
                <w:highlight w:val="none"/>
              </w:rPr>
            </w:pPr>
          </w:p>
          <w:p w14:paraId="4A082EAF">
            <w:pPr>
              <w:snapToGrid w:val="0"/>
              <w:spacing w:line="440" w:lineRule="exact"/>
              <w:jc w:val="left"/>
              <w:rPr>
                <w:rFonts w:hint="eastAsia" w:ascii="仿宋_GB2312" w:hAnsi="宋体" w:eastAsia="仿宋_GB2312"/>
                <w:sz w:val="28"/>
                <w:szCs w:val="28"/>
                <w:highlight w:val="none"/>
              </w:rPr>
            </w:pPr>
          </w:p>
          <w:p w14:paraId="7EA278A4">
            <w:pPr>
              <w:snapToGrid w:val="0"/>
              <w:spacing w:line="440" w:lineRule="exact"/>
              <w:jc w:val="left"/>
              <w:rPr>
                <w:rFonts w:hint="eastAsia" w:ascii="仿宋_GB2312" w:hAnsi="宋体" w:eastAsia="仿宋_GB2312"/>
                <w:sz w:val="28"/>
                <w:szCs w:val="28"/>
                <w:highlight w:val="none"/>
              </w:rPr>
            </w:pPr>
          </w:p>
          <w:p w14:paraId="503D5F2D">
            <w:pPr>
              <w:snapToGrid w:val="0"/>
              <w:spacing w:line="440" w:lineRule="exact"/>
              <w:jc w:val="left"/>
              <w:rPr>
                <w:rFonts w:hint="eastAsia" w:ascii="仿宋_GB2312" w:hAnsi="宋体" w:eastAsia="仿宋_GB2312"/>
                <w:sz w:val="28"/>
                <w:szCs w:val="28"/>
                <w:highlight w:val="none"/>
              </w:rPr>
            </w:pPr>
          </w:p>
          <w:p w14:paraId="2F10C168">
            <w:pPr>
              <w:snapToGrid w:val="0"/>
              <w:spacing w:line="440" w:lineRule="exact"/>
              <w:jc w:val="left"/>
              <w:rPr>
                <w:rFonts w:hint="eastAsia" w:ascii="仿宋_GB2312" w:hAnsi="宋体" w:eastAsia="仿宋_GB2312"/>
                <w:sz w:val="28"/>
                <w:szCs w:val="28"/>
                <w:highlight w:val="none"/>
              </w:rPr>
            </w:pPr>
          </w:p>
          <w:p w14:paraId="35D38354">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交费时间及交费方式：中标人在签订合同前以电汇或现金形式缴纳。</w:t>
            </w:r>
          </w:p>
          <w:p w14:paraId="1818F845">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收款单位：山东华维工程咨询有限公司</w:t>
            </w:r>
          </w:p>
          <w:p w14:paraId="02D8D451">
            <w:pPr>
              <w:snapToGrid w:val="0"/>
              <w:spacing w:line="440" w:lineRule="exact"/>
              <w:jc w:val="left"/>
              <w:rPr>
                <w:rFonts w:hint="eastAsia" w:ascii="仿宋_GB2312" w:hAnsi="宋体" w:eastAsia="仿宋_GB2312"/>
                <w:sz w:val="28"/>
                <w:szCs w:val="28"/>
                <w:highlight w:val="none"/>
              </w:rPr>
            </w:pPr>
            <w:r>
              <w:rPr>
                <w:rFonts w:hint="eastAsia" w:ascii="宋体" w:hAnsi="宋体" w:cs="宋体"/>
                <w:sz w:val="28"/>
                <w:szCs w:val="28"/>
                <w:highlight w:val="none"/>
              </w:rPr>
              <w:t>开户行：</w:t>
            </w:r>
            <w:r>
              <w:rPr>
                <w:rFonts w:hint="eastAsia" w:ascii="仿宋_GB2312" w:hAnsi="宋体" w:eastAsia="仿宋_GB2312"/>
                <w:sz w:val="28"/>
                <w:szCs w:val="28"/>
                <w:highlight w:val="none"/>
              </w:rPr>
              <w:t>青</w:t>
            </w:r>
            <w:r>
              <w:rPr>
                <w:rFonts w:hint="eastAsia" w:ascii="仿宋_GB2312" w:hAnsi="宋体" w:eastAsia="仿宋_GB2312" w:cs="Times New Roman"/>
                <w:sz w:val="28"/>
                <w:szCs w:val="28"/>
                <w:highlight w:val="none"/>
              </w:rPr>
              <w:t>岛银行股份有限公司威海荣成支行    账号：832020200233283</w:t>
            </w:r>
          </w:p>
          <w:p w14:paraId="6831D60E">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（备注：项目编号+代理服务费）</w:t>
            </w:r>
          </w:p>
          <w:p w14:paraId="2E6AF134">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联系人：王新丽  联系电话：0631-7562629</w:t>
            </w:r>
          </w:p>
        </w:tc>
      </w:tr>
    </w:tbl>
    <w:p w14:paraId="44842BFF">
      <w:pPr>
        <w:ind w:firstLine="643" w:firstLineChars="201"/>
        <w:jc w:val="center"/>
        <w:rPr>
          <w:rFonts w:eastAsia="黑体"/>
          <w:sz w:val="32"/>
          <w:szCs w:val="32"/>
          <w:highlight w:val="none"/>
        </w:rPr>
      </w:pPr>
    </w:p>
    <w:p w14:paraId="33A099A4">
      <w:pPr>
        <w:spacing w:line="560" w:lineRule="exact"/>
        <w:ind w:firstLine="646" w:firstLineChars="201"/>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《实质性条款一览表》</w:t>
      </w:r>
    </w:p>
    <w:p w14:paraId="10C8F213">
      <w:pPr>
        <w:snapToGrid w:val="0"/>
        <w:ind w:firstLine="560"/>
        <w:jc w:val="left"/>
        <w:rPr>
          <w:rFonts w:ascii="仿宋_GB2312" w:eastAsia="仿宋_GB2312"/>
          <w:sz w:val="28"/>
          <w:szCs w:val="28"/>
          <w:highlight w:val="none"/>
        </w:rPr>
      </w:pPr>
      <w:r>
        <w:rPr>
          <w:rFonts w:hint="eastAsia" w:ascii="仿宋_GB2312" w:eastAsia="仿宋_GB2312"/>
          <w:sz w:val="28"/>
          <w:szCs w:val="28"/>
          <w:highlight w:val="none"/>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8"/>
        <w:gridCol w:w="2155"/>
        <w:gridCol w:w="6533"/>
      </w:tblGrid>
      <w:tr w14:paraId="24E724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noWrap w:val="0"/>
            <w:vAlign w:val="center"/>
          </w:tcPr>
          <w:p w14:paraId="73EC8CA8">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序号</w:t>
            </w:r>
          </w:p>
        </w:tc>
        <w:tc>
          <w:tcPr>
            <w:tcW w:w="2155" w:type="dxa"/>
            <w:tcBorders>
              <w:top w:val="single" w:color="auto" w:sz="4" w:space="0"/>
              <w:left w:val="single" w:color="auto" w:sz="4" w:space="0"/>
              <w:bottom w:val="single" w:color="auto" w:sz="4" w:space="0"/>
              <w:right w:val="single" w:color="auto" w:sz="4" w:space="0"/>
            </w:tcBorders>
            <w:noWrap w:val="0"/>
            <w:vAlign w:val="center"/>
          </w:tcPr>
          <w:p w14:paraId="7C8749A5">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项目名称</w:t>
            </w:r>
          </w:p>
        </w:tc>
        <w:tc>
          <w:tcPr>
            <w:tcW w:w="6533" w:type="dxa"/>
            <w:tcBorders>
              <w:top w:val="single" w:color="auto" w:sz="4" w:space="0"/>
              <w:left w:val="single" w:color="auto" w:sz="4" w:space="0"/>
              <w:bottom w:val="single" w:color="auto" w:sz="4" w:space="0"/>
            </w:tcBorders>
            <w:noWrap w:val="0"/>
            <w:vAlign w:val="center"/>
          </w:tcPr>
          <w:p w14:paraId="067F8B82">
            <w:pPr>
              <w:snapToGrid w:val="0"/>
              <w:spacing w:line="440" w:lineRule="exact"/>
              <w:ind w:firstLine="562" w:firstLineChars="201"/>
              <w:jc w:val="center"/>
              <w:rPr>
                <w:rFonts w:hint="eastAsia" w:ascii="仿宋_GB2312" w:eastAsia="仿宋_GB2312"/>
                <w:sz w:val="28"/>
                <w:szCs w:val="28"/>
                <w:highlight w:val="none"/>
              </w:rPr>
            </w:pPr>
            <w:r>
              <w:rPr>
                <w:rFonts w:hint="eastAsia" w:ascii="仿宋_GB2312" w:eastAsia="仿宋_GB2312"/>
                <w:sz w:val="28"/>
                <w:szCs w:val="28"/>
                <w:highlight w:val="none"/>
              </w:rPr>
              <w:t>内       容</w:t>
            </w:r>
          </w:p>
        </w:tc>
      </w:tr>
      <w:tr w14:paraId="6606A1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noWrap w:val="0"/>
            <w:vAlign w:val="center"/>
          </w:tcPr>
          <w:p w14:paraId="533DBDB8">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1</w:t>
            </w:r>
          </w:p>
        </w:tc>
        <w:tc>
          <w:tcPr>
            <w:tcW w:w="2155" w:type="dxa"/>
            <w:tcBorders>
              <w:top w:val="single" w:color="auto" w:sz="4" w:space="0"/>
              <w:left w:val="single" w:color="auto" w:sz="4" w:space="0"/>
              <w:bottom w:val="single" w:color="auto" w:sz="4" w:space="0"/>
              <w:right w:val="single" w:color="auto" w:sz="4" w:space="0"/>
            </w:tcBorders>
            <w:noWrap w:val="0"/>
            <w:vAlign w:val="center"/>
          </w:tcPr>
          <w:p w14:paraId="34346201">
            <w:pPr>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资格性评审</w:t>
            </w:r>
          </w:p>
        </w:tc>
        <w:tc>
          <w:tcPr>
            <w:tcW w:w="6533" w:type="dxa"/>
            <w:tcBorders>
              <w:top w:val="single" w:color="auto" w:sz="4" w:space="0"/>
              <w:left w:val="single" w:color="auto" w:sz="4" w:space="0"/>
              <w:bottom w:val="single" w:color="auto" w:sz="4" w:space="0"/>
            </w:tcBorders>
            <w:noWrap w:val="0"/>
            <w:vAlign w:val="top"/>
          </w:tcPr>
          <w:p w14:paraId="528C9E44">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1.合法有效的营业执照副本扫描件；</w:t>
            </w:r>
          </w:p>
          <w:p w14:paraId="007B51C1">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2.法定代表人授权委托书；被授权人身份证扫描件（若投标人到现场参与开标，须提供被授权人身份证原件校验）；（格式见本文件第五章）</w:t>
            </w:r>
          </w:p>
          <w:p w14:paraId="3A29DF6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若投标单位代表为企业法定代表人/单位负责人的，则只需提供企业法定代表人/单位负责人身份证扫描件(加盖投标单位公章，并持身份证原件现场校验)；</w:t>
            </w:r>
          </w:p>
          <w:p w14:paraId="320E767A">
            <w:pPr>
              <w:spacing w:line="440" w:lineRule="exac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3.提供投标人市政公用工程施工总承包三级及以上资质证书扫描件，同时提供安全生产许可证证书扫描件；</w:t>
            </w:r>
          </w:p>
          <w:p w14:paraId="77F34411">
            <w:pPr>
              <w:spacing w:line="440" w:lineRule="exac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4.</w:t>
            </w:r>
            <w:r>
              <w:rPr>
                <w:rFonts w:ascii="仿宋_GB2312" w:hAnsi="仿宋" w:eastAsia="仿宋_GB2312" w:cs="宋体"/>
                <w:spacing w:val="8"/>
                <w:kern w:val="0"/>
                <w:sz w:val="28"/>
                <w:szCs w:val="28"/>
                <w:highlight w:val="none"/>
              </w:rPr>
              <w:t>提供项目负责人</w:t>
            </w:r>
            <w:r>
              <w:rPr>
                <w:rFonts w:hint="eastAsia" w:ascii="仿宋_GB2312" w:hAnsi="仿宋" w:eastAsia="仿宋_GB2312" w:cs="宋体"/>
                <w:spacing w:val="8"/>
                <w:kern w:val="0"/>
                <w:sz w:val="28"/>
                <w:szCs w:val="28"/>
                <w:highlight w:val="none"/>
              </w:rPr>
              <w:t>市政公用工程贰级及以上注册建造师执业资格</w:t>
            </w:r>
            <w:r>
              <w:rPr>
                <w:rFonts w:ascii="仿宋_GB2312" w:hAnsi="仿宋" w:eastAsia="仿宋_GB2312" w:cs="宋体"/>
                <w:spacing w:val="8"/>
                <w:kern w:val="0"/>
                <w:sz w:val="28"/>
                <w:szCs w:val="28"/>
                <w:highlight w:val="none"/>
              </w:rPr>
              <w:t>证书</w:t>
            </w:r>
            <w:r>
              <w:rPr>
                <w:rFonts w:hint="eastAsia" w:ascii="仿宋_GB2312" w:hAnsi="仿宋" w:eastAsia="仿宋_GB2312" w:cs="宋体"/>
                <w:spacing w:val="8"/>
                <w:kern w:val="0"/>
                <w:sz w:val="28"/>
                <w:szCs w:val="28"/>
                <w:highlight w:val="none"/>
              </w:rPr>
              <w:t>扫描件，同时提供</w:t>
            </w:r>
            <w:r>
              <w:rPr>
                <w:rFonts w:ascii="仿宋_GB2312" w:hAnsi="仿宋" w:eastAsia="仿宋_GB2312" w:cs="宋体"/>
                <w:spacing w:val="8"/>
                <w:kern w:val="0"/>
                <w:sz w:val="28"/>
                <w:szCs w:val="28"/>
                <w:highlight w:val="none"/>
              </w:rPr>
              <w:t>安全生产考核合格证（B证）证书</w:t>
            </w:r>
            <w:r>
              <w:rPr>
                <w:rFonts w:hint="eastAsia" w:ascii="仿宋_GB2312" w:hAnsi="仿宋" w:eastAsia="仿宋_GB2312" w:cs="宋体"/>
                <w:spacing w:val="8"/>
                <w:kern w:val="0"/>
                <w:sz w:val="28"/>
                <w:szCs w:val="28"/>
                <w:highlight w:val="none"/>
              </w:rPr>
              <w:t>扫描件</w:t>
            </w:r>
            <w:r>
              <w:rPr>
                <w:rFonts w:hint="eastAsia" w:ascii="仿宋_GB2312" w:hAnsi="宋体" w:eastAsia="仿宋_GB2312"/>
                <w:sz w:val="28"/>
                <w:szCs w:val="28"/>
                <w:highlight w:val="none"/>
              </w:rPr>
              <w:t>；</w:t>
            </w:r>
          </w:p>
          <w:p w14:paraId="4FE71972">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5．投标人的依法缴纳税收和社会保障资金的声明（格式自定）、投标人近期的缴纳税收凭证扫描件及交纳社保资金凭证的扫描件；</w:t>
            </w:r>
          </w:p>
          <w:p w14:paraId="7427BD4E">
            <w:pPr>
              <w:pStyle w:val="12"/>
              <w:spacing w:after="0"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6.投标人参加采购活动前3年内无重大违法记录声明；</w:t>
            </w:r>
          </w:p>
          <w:p w14:paraId="1A1E239A">
            <w:pPr>
              <w:pStyle w:val="12"/>
              <w:spacing w:after="0"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7.具有履行合同所必需的设备和专业技术能力承诺函（格式自定）；</w:t>
            </w:r>
          </w:p>
          <w:p w14:paraId="075881B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8．财务状况报告等相关材料</w:t>
            </w:r>
          </w:p>
          <w:p w14:paraId="58860E14">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A.投标人自行编制的2025年度公司财务报表或由中介机构出具的2025年度财务审计报告书扫描件；</w:t>
            </w:r>
          </w:p>
          <w:p w14:paraId="33726C8D">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B.银行出具的有效期内的资信证明扫描件。</w:t>
            </w:r>
          </w:p>
          <w:p w14:paraId="407D0D56">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注：A、B两项提供任意一项均可。；</w:t>
            </w:r>
          </w:p>
          <w:p w14:paraId="4A1E1A4F">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9．投标人、法定代表人、授权委托人</w:t>
            </w:r>
            <w:r>
              <w:rPr>
                <w:rFonts w:hint="eastAsia" w:ascii="仿宋_GB2312" w:hAnsi="仿宋" w:eastAsia="仿宋_GB2312" w:cs="宋体"/>
                <w:spacing w:val="8"/>
                <w:kern w:val="0"/>
                <w:sz w:val="28"/>
                <w:szCs w:val="28"/>
                <w:highlight w:val="none"/>
              </w:rPr>
              <w:t>、项目经理</w:t>
            </w:r>
            <w:r>
              <w:rPr>
                <w:rFonts w:hint="eastAsia" w:ascii="仿宋_GB2312" w:hAnsi="宋体" w:eastAsia="仿宋_GB2312"/>
                <w:sz w:val="28"/>
                <w:szCs w:val="28"/>
                <w:highlight w:val="none"/>
              </w:rPr>
              <w:t>未被最高法院列入失信被执行人；</w:t>
            </w:r>
          </w:p>
          <w:p w14:paraId="317FB78F">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10．投标人近一年在"信用中国"或"信用山东"无严重失信记录的信用报告或截图；</w:t>
            </w:r>
          </w:p>
          <w:p w14:paraId="0266F0D4">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11.不存在招标文件规定的资格审查不通过的情形；</w:t>
            </w:r>
          </w:p>
          <w:p w14:paraId="143E99A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12.本项目不接受联合体投标。</w:t>
            </w:r>
          </w:p>
        </w:tc>
      </w:tr>
      <w:tr w14:paraId="79B010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59" w:hRule="atLeast"/>
          <w:jc w:val="center"/>
        </w:trPr>
        <w:tc>
          <w:tcPr>
            <w:tcW w:w="908" w:type="dxa"/>
            <w:tcBorders>
              <w:top w:val="single" w:color="auto" w:sz="4" w:space="0"/>
              <w:bottom w:val="single" w:color="auto" w:sz="4" w:space="0"/>
              <w:right w:val="single" w:color="auto" w:sz="4" w:space="0"/>
            </w:tcBorders>
            <w:noWrap w:val="0"/>
            <w:vAlign w:val="center"/>
          </w:tcPr>
          <w:p w14:paraId="7D39271C">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2</w:t>
            </w:r>
          </w:p>
        </w:tc>
        <w:tc>
          <w:tcPr>
            <w:tcW w:w="2155" w:type="dxa"/>
            <w:tcBorders>
              <w:top w:val="single" w:color="auto" w:sz="4" w:space="0"/>
              <w:left w:val="single" w:color="auto" w:sz="4" w:space="0"/>
              <w:bottom w:val="single" w:color="auto" w:sz="4" w:space="0"/>
              <w:right w:val="single" w:color="auto" w:sz="4" w:space="0"/>
            </w:tcBorders>
            <w:noWrap w:val="0"/>
            <w:vAlign w:val="center"/>
          </w:tcPr>
          <w:p w14:paraId="3019E352">
            <w:pPr>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符合性评审</w:t>
            </w:r>
          </w:p>
        </w:tc>
        <w:tc>
          <w:tcPr>
            <w:tcW w:w="6533" w:type="dxa"/>
            <w:tcBorders>
              <w:top w:val="single" w:color="auto" w:sz="4" w:space="0"/>
              <w:left w:val="single" w:color="auto" w:sz="4" w:space="0"/>
              <w:bottom w:val="single" w:color="auto" w:sz="4" w:space="0"/>
            </w:tcBorders>
            <w:noWrap w:val="0"/>
            <w:vAlign w:val="center"/>
          </w:tcPr>
          <w:p w14:paraId="7B7E6F4A">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1.投标文件按规定签署及盖章的；</w:t>
            </w:r>
          </w:p>
          <w:p w14:paraId="47A1E7F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2.总报价未超出上限控制价或预算的；</w:t>
            </w:r>
          </w:p>
          <w:p w14:paraId="3C78F2F0">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3.投标人的被授权人在规定时间内答疑或澄清的；</w:t>
            </w:r>
          </w:p>
          <w:p w14:paraId="1CCD28CE">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4.投标文件无采购人不能接受的附加条件的；</w:t>
            </w:r>
          </w:p>
          <w:p w14:paraId="5EB0935D">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5.不存在投标有效期比招标文件规定短的；</w:t>
            </w:r>
          </w:p>
          <w:p w14:paraId="7D14A8A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6.工期、工程保修期等能满足招标文件要求的；</w:t>
            </w:r>
          </w:p>
          <w:p w14:paraId="32ECC88E">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7.无评审小组认为投标人的报价明显低于其他通过符合性审查的投标人的报价，有可能影响产品质量或者不能诚信履约的，应当要求其在评标现场合理的时间内提供书面说明，必要时提交相关证明材料；投标人不能证明其报价合理性的，评审小组应当将其作为无效投标处理；</w:t>
            </w:r>
          </w:p>
          <w:p w14:paraId="25EDFECA">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8.无评审小组认为不符合招标文件其他实质性要求或法律规定的情形；</w:t>
            </w:r>
          </w:p>
          <w:p w14:paraId="6D98CB9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9.不存在招标文件规定的关于投标人串通投标的情形及其他投标无效的情形。</w:t>
            </w:r>
          </w:p>
        </w:tc>
      </w:tr>
    </w:tbl>
    <w:p w14:paraId="2968A009">
      <w:pPr>
        <w:rPr>
          <w:rFonts w:ascii="宋体" w:hAnsi="宋体"/>
          <w:szCs w:val="28"/>
          <w:highlight w:val="none"/>
        </w:rPr>
      </w:pPr>
    </w:p>
    <w:p w14:paraId="7E30597D">
      <w:pPr>
        <w:pStyle w:val="4"/>
        <w:spacing w:before="0" w:after="0" w:line="560" w:lineRule="exact"/>
        <w:ind w:firstLine="643" w:firstLineChars="200"/>
        <w:rPr>
          <w:rFonts w:ascii="黑体" w:hAnsi="黑体" w:eastAsia="黑体"/>
          <w:b w:val="0"/>
          <w:highlight w:val="none"/>
        </w:rPr>
      </w:pPr>
      <w:r>
        <w:rPr>
          <w:rFonts w:hint="eastAsia" w:ascii="宋体" w:hAnsi="宋体"/>
          <w:highlight w:val="none"/>
        </w:rPr>
        <w:br w:type="page"/>
      </w:r>
      <w:r>
        <w:rPr>
          <w:rFonts w:hint="eastAsia" w:ascii="仿宋" w:hAnsi="仿宋" w:eastAsia="仿宋" w:cs="仿宋"/>
          <w:b/>
          <w:bCs w:val="0"/>
          <w:highlight w:val="none"/>
        </w:rPr>
        <w:t>一、说明</w:t>
      </w:r>
    </w:p>
    <w:p w14:paraId="7AFF026B">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采购文件关于电子招投标各项规定。</w:t>
      </w:r>
    </w:p>
    <w:p w14:paraId="6FB676D5">
      <w:pPr>
        <w:snapToGrid w:val="0"/>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1.适用范围</w:t>
      </w:r>
    </w:p>
    <w:p w14:paraId="61AFE58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1.1 本招标文件仅适用于本次采购公告中所涉及的项目和内容。</w:t>
      </w:r>
    </w:p>
    <w:p w14:paraId="2D837DF3">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1.2 本招标文件的解释权为</w:t>
      </w:r>
      <w:r>
        <w:rPr>
          <w:rFonts w:ascii="仿宋_GB2312" w:hAnsi="宋体" w:eastAsia="仿宋_GB2312"/>
          <w:sz w:val="28"/>
          <w:szCs w:val="28"/>
          <w:highlight w:val="none"/>
        </w:rPr>
        <w:t>采购代理机构</w:t>
      </w:r>
      <w:r>
        <w:rPr>
          <w:rFonts w:hint="eastAsia" w:ascii="仿宋_GB2312" w:hAnsi="仿宋" w:eastAsia="仿宋_GB2312" w:cs="宋体"/>
          <w:sz w:val="28"/>
          <w:szCs w:val="28"/>
          <w:highlight w:val="none"/>
        </w:rPr>
        <w:t>，以书面解释为准</w:t>
      </w:r>
      <w:r>
        <w:rPr>
          <w:rFonts w:hint="eastAsia" w:ascii="仿宋_GB2312" w:hAnsi="宋体" w:eastAsia="仿宋_GB2312"/>
          <w:sz w:val="28"/>
          <w:szCs w:val="28"/>
          <w:highlight w:val="none"/>
        </w:rPr>
        <w:t>。</w:t>
      </w:r>
    </w:p>
    <w:p w14:paraId="3E2F7F19">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1.3</w:t>
      </w:r>
      <w:r>
        <w:rPr>
          <w:rFonts w:hint="eastAsia" w:ascii="仿宋_GB2312" w:hAnsi="宋体" w:eastAsia="仿宋_GB2312"/>
          <w:sz w:val="28"/>
          <w:szCs w:val="28"/>
          <w:highlight w:val="none"/>
        </w:rPr>
        <w:t>本招标文件</w:t>
      </w:r>
      <w:r>
        <w:rPr>
          <w:rFonts w:hint="eastAsia" w:ascii="仿宋_GB2312" w:hAnsi="仿宋" w:eastAsia="仿宋_GB2312" w:cs="宋体"/>
          <w:sz w:val="28"/>
          <w:szCs w:val="28"/>
          <w:highlight w:val="none"/>
        </w:rPr>
        <w:t>未做须知明示，而又有相关法律、法规规定的，从其规定。</w:t>
      </w:r>
    </w:p>
    <w:p w14:paraId="5CEBCD7D">
      <w:pPr>
        <w:snapToGrid w:val="0"/>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2.相关要求</w:t>
      </w:r>
    </w:p>
    <w:p w14:paraId="5A0F9E1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2.1 投标人应承担所有与准备和参加报价的全部费用。不论电子投标结果如何，</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和采购人均无义务和责任承担这些费用。</w:t>
      </w:r>
    </w:p>
    <w:p w14:paraId="029680A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 本项目若涉及采购货物，则合格的货物及相应服务应满足以下要求：</w:t>
      </w:r>
    </w:p>
    <w:p w14:paraId="6DEB5C8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2.2.1 必须是全新、未使用过的原装合格正品（包括零部件），如安装或配置了软件的，须为正版软件。</w:t>
      </w:r>
    </w:p>
    <w:p w14:paraId="2ED59F4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2.2.2 国产的货物及其有关服务必须符合中华人民共和国的设计和制造生产标准或行业标准。招标公告有其他要求的，亦应符合其要求。</w:t>
      </w:r>
    </w:p>
    <w:p w14:paraId="2303D86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2.2.3进口货物及其有关服务必须符合原产地和/或中华人民共和国的设计和制造生产标准或行业标准。进口的货物必须具有合法的进口手续和途径，并通过中华人民共和国商检部门检验。招标公告有其他要求的，亦应符合其要求。</w:t>
      </w:r>
    </w:p>
    <w:p w14:paraId="613A4253">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2.2.4 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B99CED1">
      <w:pPr>
        <w:snapToGrid w:val="0"/>
        <w:spacing w:line="560" w:lineRule="exact"/>
        <w:ind w:firstLine="565" w:firstLineChars="201"/>
        <w:rPr>
          <w:rFonts w:hint="eastAsia" w:ascii="仿宋_GB2312" w:hAnsi="宋体" w:eastAsia="仿宋_GB2312"/>
          <w:b/>
          <w:sz w:val="28"/>
          <w:szCs w:val="28"/>
          <w:highlight w:val="none"/>
        </w:rPr>
      </w:pPr>
      <w:r>
        <w:rPr>
          <w:rFonts w:hint="eastAsia" w:ascii="仿宋_GB2312" w:hAnsi="宋体" w:eastAsia="仿宋_GB2312"/>
          <w:b/>
          <w:sz w:val="28"/>
          <w:szCs w:val="28"/>
          <w:highlight w:val="none"/>
        </w:rPr>
        <w:t>2.3投标人应通过威海市公共资源交易网（荣成市）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w:t>
      </w:r>
    </w:p>
    <w:p w14:paraId="5BDE662D">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二、招标文件</w:t>
      </w:r>
    </w:p>
    <w:p w14:paraId="3E605FC1">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3.招标文件的构成</w:t>
      </w:r>
    </w:p>
    <w:p w14:paraId="389CD17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由各包段本文件（word格式）和各包段的数据文件（excel格式）构成，采用压缩包电子版文件格式提供。</w:t>
      </w:r>
    </w:p>
    <w:p w14:paraId="55DDE27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3.1 本文件（word格式）由下列文件组成：</w:t>
      </w:r>
    </w:p>
    <w:p w14:paraId="097706A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（1）招标公告</w:t>
      </w:r>
    </w:p>
    <w:p w14:paraId="626BB6B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（2）投标须知</w:t>
      </w:r>
    </w:p>
    <w:p w14:paraId="275539C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（3）采购内容与要求</w:t>
      </w:r>
    </w:p>
    <w:p w14:paraId="37FBF9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（4）评审原则和方法</w:t>
      </w:r>
    </w:p>
    <w:p w14:paraId="674FB5D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（5）投标文件格式</w:t>
      </w:r>
    </w:p>
    <w:p w14:paraId="7470670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（6）采购合同（范本）</w:t>
      </w:r>
    </w:p>
    <w:p w14:paraId="455E0C6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（7）在采购过程中由采购人或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发出的修正和补充文件等（如有）</w:t>
      </w:r>
    </w:p>
    <w:p w14:paraId="7B0A544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3.2 数据文件（excel格式）由下列文件组成：</w:t>
      </w:r>
    </w:p>
    <w:p w14:paraId="1D52EB7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（1）封面</w:t>
      </w:r>
    </w:p>
    <w:p w14:paraId="56382DE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（2）投标报价表（含明细）</w:t>
      </w:r>
    </w:p>
    <w:p w14:paraId="14028E6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（3）需求响应表（如有）</w:t>
      </w:r>
    </w:p>
    <w:p w14:paraId="0E9464C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（4）评审对照表</w:t>
      </w:r>
    </w:p>
    <w:p w14:paraId="3C0B55C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（5）评分对照表（如有）</w:t>
      </w:r>
    </w:p>
    <w:p w14:paraId="221B5B2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3.3 投标人应认真阅读招标文件中所有的事项、格式、条款和技术规范、参数及要求等，如果投标人没有按照招标文件要求提交全部资料，或者投标人没有对招标文件在各方面都做出实质性响应，其风险应由投标人自行承担并根据有关政策和条款规定，其投标有可能被拒绝，或者被认定为无效投标。</w:t>
      </w:r>
    </w:p>
    <w:p w14:paraId="34011F3C">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4.招标文件的澄清</w:t>
      </w:r>
    </w:p>
    <w:p w14:paraId="6FED1D0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4.1</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在收到招标文件后，对招标文件若有任何疑问或要求澄清招标文件的，应在投标截止前2日内按“投标须知前附表”第四项向</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提出，必要时</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将协助采购人组织所有获取采购文件</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举行答疑会，</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根据需要主动对招标文件进行必要的澄清或根据</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的要求对招标文件做出澄清，都将以原网站公开发布形式（包括电子交易系统推送）答复或发送给所有</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。澄清文件作为招标文件的组成部分，对</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起约束作用。</w:t>
      </w:r>
    </w:p>
    <w:p w14:paraId="6D368DB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4.2投标人在规定的时间内未对招标文件澄清或提出疑问的，</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将视其为接受招标文件的所有条款，对招标文件没有异议，此后也不再受理对招标文件的相关质疑。</w:t>
      </w:r>
    </w:p>
    <w:p w14:paraId="7B5D522F">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5.招标文件的修改</w:t>
      </w:r>
    </w:p>
    <w:p w14:paraId="00DAAD4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5.l 在投标截止时间2日以前，无论出于何种原因，采购代理机构或采购人可主动或在解答投标人提出的疑问时对招标文件进行修改。</w:t>
      </w:r>
    </w:p>
    <w:p w14:paraId="4FFEF52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5.2 修改后的内容是招标文件的组成部分，采购人、采购代理机构将会通过原发布媒体，以更正公告形式（电子交易系统发送更正提醒通知）一并告知所有潜在投标人，并对潜在投标人具有约束力。潜在投标人在收到上述通知后，应立即以书面形式向采购代理机构或采购人确认，如在24小时内无书面回函则视为同意修改内容，并有义务履行相应的义务。</w:t>
      </w:r>
    </w:p>
    <w:p w14:paraId="27CF71FF">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5.3澄清或者修改的内容可能影响投标文件编制的，采购人或采购代理机构将在投标截止时间2日前，通过原发布媒体发布公告的形式（电子交易系统内发送更正提醒通知）通知所有获取招标文件的潜在投标人（采购文件变更的，投标人必须从电子交易系统中重新下载采购文件，并在新下载文件的基础上编制投标文件）；不足2日的，采购人或者采购代理机构将顺延提交投标文件的截止时间。</w:t>
      </w:r>
    </w:p>
    <w:p w14:paraId="19773E37">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三、投标文件的编制</w:t>
      </w:r>
    </w:p>
    <w:p w14:paraId="5451E60F">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6.投标文件编制要求</w:t>
      </w:r>
    </w:p>
    <w:p w14:paraId="734A892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6.1投标人编写的文件和往来信件应以简体中文书写。如果投标文件或与投标有关的其它文件、信件及来往函电以其它语言书写的，投标人应将其译成中文，如未翻译该文件为无效文件。</w:t>
      </w:r>
    </w:p>
    <w:p w14:paraId="0F03DD3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6.2投标文件中使用的计量单位应使用中华人民共和国法定计量单位。</w:t>
      </w:r>
    </w:p>
    <w:p w14:paraId="2A2A163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6.3投标人必须保证投标文件所提供的全部资料真实可靠，并接受采购人或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3AF1511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6.4投标人应按招标文件中提供的投标文件格式（详见第五章 投标文件格式）按包段编写投标文件，并使用A4规格编制。投标文件应编写目录，具有结构清晰的文档结构图（打开word视图中的“文档结构图”后能看到详细章节），页码连续。</w:t>
      </w:r>
    </w:p>
    <w:p w14:paraId="1567F60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6.5</w:t>
      </w:r>
      <w:r>
        <w:rPr>
          <w:rFonts w:hint="eastAsia" w:ascii="仿宋_GB2312" w:hAnsi="宋体" w:eastAsia="仿宋_GB2312"/>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793B8860">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6.6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highlight w:val="none"/>
        </w:rPr>
        <w:t>对于不涉及或无法填写的评审项（评分项）（例如：报价），可在页码索引处填写1。</w:t>
      </w:r>
    </w:p>
    <w:p w14:paraId="022515C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6.7为了保证系统整体效率，系统对所投递的电子文件有大小的限制，因此，投标人应尽可能降低本文件的大小，小尺寸投标文件将使递交更快捷、减少差错发生几率，避免投标截止时间前未能完整上传文件。</w:t>
      </w:r>
    </w:p>
    <w:p w14:paraId="0BB9C94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6.8投标文件具有法律效力，投标人与</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或采购人任何人的口头协议不影响投标文件的任何条款和内容。</w:t>
      </w:r>
    </w:p>
    <w:p w14:paraId="0368D89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6.9采购人或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均无义务向投标人解释其中标或未中标的原因，且无论投标人是否中标，投标人所递交的投标文件均不予退还，不提供副本拷贝。</w:t>
      </w:r>
    </w:p>
    <w:p w14:paraId="2BBEDD3A">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7.数据文件编制要求</w:t>
      </w:r>
    </w:p>
    <w:p w14:paraId="5AFB872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7.1投标人须从所投项目的招标文件压缩包内对应包段目录下获取本文件</w:t>
      </w:r>
      <w:r>
        <w:rPr>
          <w:rFonts w:hint="eastAsia" w:ascii="仿宋_GB2312" w:hAnsi="宋体" w:eastAsia="仿宋_GB2312"/>
          <w:sz w:val="28"/>
          <w:szCs w:val="28"/>
          <w:highlight w:val="none"/>
        </w:rPr>
        <w:t>（变更后的数据文件需要重新下载）</w:t>
      </w:r>
      <w:r>
        <w:rPr>
          <w:rFonts w:hint="eastAsia" w:ascii="仿宋_GB2312" w:hAnsi="仿宋" w:eastAsia="仿宋_GB2312" w:cs="宋体"/>
          <w:sz w:val="28"/>
          <w:szCs w:val="28"/>
          <w:highlight w:val="none"/>
        </w:rPr>
        <w:t>，必须在原文件上严格按照其中要求填写，其内部已约定好固定格式和相关内容，且带有特定的唯一性数字指纹，对采用非该文件基础上编制或对该文件进行任何工作表、表格行、表格列的增减</w:t>
      </w:r>
      <w:r>
        <w:rPr>
          <w:rFonts w:eastAsia="仿宋_GB2312" w:cs="宋体"/>
          <w:sz w:val="28"/>
          <w:szCs w:val="28"/>
          <w:highlight w:val="none"/>
        </w:rPr>
        <w:t>、对工作表先后顺序的变动，</w:t>
      </w:r>
      <w:r>
        <w:rPr>
          <w:rFonts w:hint="eastAsia" w:ascii="仿宋_GB2312" w:hAnsi="仿宋" w:eastAsia="仿宋_GB2312" w:cs="宋体"/>
          <w:sz w:val="28"/>
          <w:szCs w:val="28"/>
          <w:highlight w:val="none"/>
        </w:rPr>
        <w:t>以及对锁定区域内的数据进行更改、</w:t>
      </w:r>
      <w:r>
        <w:rPr>
          <w:rFonts w:hint="eastAsia" w:ascii="仿宋_GB2312" w:hAnsi="仿宋" w:eastAsia="仿宋_GB2312" w:cs="宋体"/>
          <w:b/>
          <w:sz w:val="28"/>
          <w:szCs w:val="28"/>
          <w:highlight w:val="none"/>
        </w:rPr>
        <w:t>文件另存到其他文件</w:t>
      </w:r>
      <w:r>
        <w:rPr>
          <w:rFonts w:hint="eastAsia" w:ascii="仿宋_GB2312" w:hAnsi="仿宋" w:eastAsia="仿宋_GB2312" w:cs="宋体"/>
          <w:sz w:val="28"/>
          <w:szCs w:val="28"/>
          <w:highlight w:val="none"/>
        </w:rPr>
        <w:t>等违规性操作，都会破坏本文件中的数字指纹，导致系统无法接收该文件使其</w:t>
      </w:r>
      <w:r>
        <w:rPr>
          <w:rFonts w:hint="eastAsia" w:ascii="仿宋_GB2312" w:hAnsi="仿宋" w:eastAsia="仿宋_GB2312" w:cs="宋体"/>
          <w:b/>
          <w:sz w:val="28"/>
          <w:szCs w:val="28"/>
          <w:highlight w:val="none"/>
        </w:rPr>
        <w:t>投标失败</w:t>
      </w:r>
      <w:r>
        <w:rPr>
          <w:rFonts w:hint="eastAsia" w:ascii="仿宋_GB2312" w:hAnsi="仿宋" w:eastAsia="仿宋_GB2312" w:cs="宋体"/>
          <w:sz w:val="28"/>
          <w:szCs w:val="28"/>
          <w:highlight w:val="none"/>
        </w:rPr>
        <w:t>。</w:t>
      </w:r>
    </w:p>
    <w:p w14:paraId="066894C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highlight w:val="none"/>
        </w:rPr>
        <w:t>投标失败</w:t>
      </w:r>
      <w:r>
        <w:rPr>
          <w:rFonts w:hint="eastAsia" w:ascii="仿宋_GB2312" w:hAnsi="仿宋" w:eastAsia="仿宋_GB2312" w:cs="宋体"/>
          <w:sz w:val="28"/>
          <w:szCs w:val="28"/>
          <w:highlight w:val="none"/>
        </w:rPr>
        <w:t>。</w:t>
      </w:r>
    </w:p>
    <w:p w14:paraId="040E9E2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7.3投标人在对数据文件电子签章前，应按照上述2项的要求进行认真检查、确认。因投标人自身原因所导致其投标失败的，须自行承担相关责任。</w:t>
      </w:r>
    </w:p>
    <w:p w14:paraId="3CFD0ED7">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8.文件构成</w:t>
      </w:r>
    </w:p>
    <w:p w14:paraId="70A7EAA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投标人应按不同包段分别编制投标文件，每个包段的投标文件分两册必须包括：投标文件（pdf格式）（第一册）、数据文件（PDF格式）（第二册），以上内容缺一不可，否则为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45DB180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8.1投标人编制的投标文件（pdf格式）（第一册）应包括但不少于下列内容：</w:t>
      </w:r>
    </w:p>
    <w:p w14:paraId="412FE8C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（1）投标文件封面（格式见本文件第五章）</w:t>
      </w:r>
    </w:p>
    <w:p w14:paraId="62C0823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（2）投标文件目录</w:t>
      </w:r>
    </w:p>
    <w:p w14:paraId="231B0274">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（3）投标承诺函（格式见本文件第五章）</w:t>
      </w:r>
    </w:p>
    <w:p w14:paraId="4194B0FE">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（4）工程量清单（格式见本文件第五章）</w:t>
      </w:r>
    </w:p>
    <w:p w14:paraId="1CA34C59">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（5）投标人资格证明文件</w:t>
      </w:r>
    </w:p>
    <w:p w14:paraId="6E2A5891">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①合法有效的营业执照副本扫描件；</w:t>
      </w:r>
    </w:p>
    <w:p w14:paraId="4D0E7B2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②法定代表人授权委托书；被授权人身份证扫描件（若投标人到现场参与开标，须提供被授权人身份证原件校验）；</w:t>
      </w:r>
      <w:r>
        <w:rPr>
          <w:rFonts w:hint="eastAsia" w:ascii="仿宋_GB2312" w:hAnsi="仿宋" w:eastAsia="仿宋_GB2312" w:cs="宋体"/>
          <w:sz w:val="28"/>
          <w:szCs w:val="28"/>
          <w:highlight w:val="none"/>
        </w:rPr>
        <w:t>（格式见本文件第五章）</w:t>
      </w:r>
    </w:p>
    <w:p w14:paraId="5E66074B">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若投标单位代表为企业法定代表人/单位负责人的，则只需提供企业法定代表人/单位负责人身份证扫描件(加盖投标单位公章，并持身份证原件现场校验)；</w:t>
      </w:r>
    </w:p>
    <w:p w14:paraId="2703B615">
      <w:pPr>
        <w:snapToGrid w:val="0"/>
        <w:spacing w:line="560" w:lineRule="exact"/>
        <w:ind w:firstLine="562" w:firstLineChars="201"/>
        <w:rPr>
          <w:rFonts w:hint="eastAsia" w:ascii="仿宋_GB2312" w:hAnsi="仿宋" w:eastAsia="仿宋_GB2312" w:cs="宋体"/>
          <w:spacing w:val="8"/>
          <w:kern w:val="0"/>
          <w:sz w:val="28"/>
          <w:szCs w:val="28"/>
          <w:highlight w:val="none"/>
        </w:rPr>
      </w:pPr>
      <w:r>
        <w:rPr>
          <w:rFonts w:hint="eastAsia" w:ascii="仿宋_GB2312" w:hAnsi="宋体" w:eastAsia="仿宋_GB2312"/>
          <w:sz w:val="28"/>
          <w:szCs w:val="28"/>
          <w:highlight w:val="none"/>
        </w:rPr>
        <w:t>③</w:t>
      </w:r>
      <w:r>
        <w:rPr>
          <w:rFonts w:hint="eastAsia" w:ascii="仿宋_GB2312" w:hAnsi="仿宋" w:eastAsia="仿宋_GB2312" w:cs="宋体"/>
          <w:spacing w:val="8"/>
          <w:kern w:val="0"/>
          <w:sz w:val="28"/>
          <w:szCs w:val="28"/>
          <w:highlight w:val="none"/>
        </w:rPr>
        <w:t>提供投标人市政公用工程施工总承包三级及以上资质证书扫描件，同时提供安全生产许可证证书扫描件；</w:t>
      </w:r>
    </w:p>
    <w:p w14:paraId="5E4A2EA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④</w:t>
      </w:r>
      <w:r>
        <w:rPr>
          <w:rFonts w:ascii="仿宋_GB2312" w:hAnsi="仿宋" w:eastAsia="仿宋_GB2312" w:cs="宋体"/>
          <w:spacing w:val="8"/>
          <w:kern w:val="0"/>
          <w:sz w:val="28"/>
          <w:szCs w:val="28"/>
          <w:highlight w:val="none"/>
        </w:rPr>
        <w:t>提供项目负责人</w:t>
      </w:r>
      <w:r>
        <w:rPr>
          <w:rFonts w:hint="eastAsia" w:ascii="仿宋_GB2312" w:hAnsi="仿宋" w:eastAsia="仿宋_GB2312" w:cs="宋体"/>
          <w:spacing w:val="8"/>
          <w:kern w:val="0"/>
          <w:sz w:val="28"/>
          <w:szCs w:val="28"/>
          <w:highlight w:val="none"/>
        </w:rPr>
        <w:t>市政公用工程贰级及以上注册建造师执业资格</w:t>
      </w:r>
      <w:r>
        <w:rPr>
          <w:rFonts w:ascii="仿宋_GB2312" w:hAnsi="仿宋" w:eastAsia="仿宋_GB2312" w:cs="宋体"/>
          <w:spacing w:val="8"/>
          <w:kern w:val="0"/>
          <w:sz w:val="28"/>
          <w:szCs w:val="28"/>
          <w:highlight w:val="none"/>
        </w:rPr>
        <w:t>证书</w:t>
      </w:r>
      <w:r>
        <w:rPr>
          <w:rFonts w:hint="eastAsia" w:ascii="仿宋_GB2312" w:hAnsi="仿宋" w:eastAsia="仿宋_GB2312" w:cs="宋体"/>
          <w:spacing w:val="8"/>
          <w:kern w:val="0"/>
          <w:sz w:val="28"/>
          <w:szCs w:val="28"/>
          <w:highlight w:val="none"/>
        </w:rPr>
        <w:t>扫描件，同时提供</w:t>
      </w:r>
      <w:r>
        <w:rPr>
          <w:rFonts w:ascii="仿宋_GB2312" w:hAnsi="仿宋" w:eastAsia="仿宋_GB2312" w:cs="宋体"/>
          <w:spacing w:val="8"/>
          <w:kern w:val="0"/>
          <w:sz w:val="28"/>
          <w:szCs w:val="28"/>
          <w:highlight w:val="none"/>
        </w:rPr>
        <w:t>安全生产考核合格证（B证）证书</w:t>
      </w:r>
      <w:r>
        <w:rPr>
          <w:rFonts w:hint="eastAsia" w:ascii="仿宋_GB2312" w:hAnsi="仿宋" w:eastAsia="仿宋_GB2312" w:cs="宋体"/>
          <w:spacing w:val="8"/>
          <w:kern w:val="0"/>
          <w:sz w:val="28"/>
          <w:szCs w:val="28"/>
          <w:highlight w:val="none"/>
        </w:rPr>
        <w:t>扫描件</w:t>
      </w:r>
      <w:r>
        <w:rPr>
          <w:rFonts w:hint="eastAsia" w:ascii="仿宋_GB2312" w:hAnsi="宋体" w:eastAsia="仿宋_GB2312"/>
          <w:sz w:val="28"/>
          <w:szCs w:val="28"/>
          <w:highlight w:val="none"/>
        </w:rPr>
        <w:t>；</w:t>
      </w:r>
    </w:p>
    <w:p w14:paraId="18AEBCC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⑤投标人的依法缴纳税收和社会保障资金的声明（格式自定）、投标人近期的缴纳税收凭证扫描件及交纳社保资金凭证的扫描件；</w:t>
      </w:r>
    </w:p>
    <w:p w14:paraId="7CD5AF91">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⑥投标人具有履行合同所必需的设备和专业技术能力承诺函（格式自拟）；</w:t>
      </w:r>
    </w:p>
    <w:p w14:paraId="3F547D11">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⑦财务状况报告等相关材料</w:t>
      </w:r>
    </w:p>
    <w:p w14:paraId="1649811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A.投标人自行编制的2025年度公司财务报表或由中介机构出具的2025年度财务审计报告书扫描件；</w:t>
      </w:r>
    </w:p>
    <w:p w14:paraId="2DBC3AA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B.银行出具的有效期内的资信证明扫描件。</w:t>
      </w:r>
    </w:p>
    <w:p w14:paraId="54749EF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注：A、B两项提供任意一项均可。</w:t>
      </w:r>
    </w:p>
    <w:p w14:paraId="5B069C6F">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⑧投标人参加采购活动前3年内无重大违法记录声明；</w:t>
      </w:r>
    </w:p>
    <w:p w14:paraId="55351CE5">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⑨投标人近一年在"信用中国"（网址https://www.creditchina.gov.cn/）或"信用山东"（网址https://credit.shandong.gov.cn/）无严重失信记录的信用报告或截图；</w:t>
      </w:r>
    </w:p>
    <w:p w14:paraId="09605A0B">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⑩投标人、法定代表人、授权委托人</w:t>
      </w:r>
      <w:r>
        <w:rPr>
          <w:rFonts w:hint="eastAsia" w:ascii="仿宋_GB2312" w:hAnsi="仿宋" w:eastAsia="仿宋_GB2312" w:cs="宋体"/>
          <w:spacing w:val="8"/>
          <w:kern w:val="0"/>
          <w:sz w:val="28"/>
          <w:szCs w:val="28"/>
          <w:highlight w:val="none"/>
        </w:rPr>
        <w:t>、项目经理</w:t>
      </w:r>
      <w:r>
        <w:rPr>
          <w:rFonts w:hint="eastAsia" w:ascii="仿宋_GB2312" w:hAnsi="宋体" w:eastAsia="仿宋_GB2312"/>
          <w:sz w:val="28"/>
          <w:szCs w:val="28"/>
          <w:highlight w:val="none"/>
        </w:rPr>
        <w:t>未被最高法院列入失信被执行人截图（网址</w:t>
      </w:r>
      <w:r>
        <w:rPr>
          <w:rFonts w:hint="eastAsia" w:ascii="仿宋_GB2312" w:hAnsi="宋体" w:eastAsia="仿宋_GB2312"/>
          <w:sz w:val="28"/>
          <w:szCs w:val="28"/>
          <w:highlight w:val="none"/>
        </w:rPr>
        <w:fldChar w:fldCharType="begin"/>
      </w:r>
      <w:r>
        <w:rPr>
          <w:rFonts w:hint="eastAsia" w:ascii="仿宋_GB2312" w:hAnsi="宋体" w:eastAsia="仿宋_GB2312"/>
          <w:sz w:val="28"/>
          <w:szCs w:val="28"/>
          <w:highlight w:val="none"/>
        </w:rPr>
        <w:instrText xml:space="preserve"> HYPERLINK "http://shixin.court.gov.cn/index.html" </w:instrText>
      </w:r>
      <w:r>
        <w:rPr>
          <w:rFonts w:hint="eastAsia" w:ascii="仿宋_GB2312" w:hAnsi="宋体" w:eastAsia="仿宋_GB2312"/>
          <w:sz w:val="28"/>
          <w:szCs w:val="28"/>
          <w:highlight w:val="none"/>
        </w:rPr>
        <w:fldChar w:fldCharType="separate"/>
      </w:r>
      <w:r>
        <w:rPr>
          <w:rFonts w:hint="eastAsia" w:ascii="仿宋_GB2312" w:hAnsi="宋体" w:eastAsia="仿宋_GB2312"/>
          <w:sz w:val="28"/>
          <w:szCs w:val="28"/>
          <w:highlight w:val="none"/>
        </w:rPr>
        <w:t>http://zxgk.court.gov.cn/shixin/</w:t>
      </w:r>
      <w:r>
        <w:rPr>
          <w:rFonts w:hint="eastAsia" w:ascii="仿宋_GB2312" w:hAnsi="宋体" w:eastAsia="仿宋_GB2312"/>
          <w:sz w:val="28"/>
          <w:szCs w:val="28"/>
          <w:highlight w:val="none"/>
        </w:rPr>
        <w:fldChar w:fldCharType="end"/>
      </w:r>
      <w:r>
        <w:rPr>
          <w:rFonts w:hint="eastAsia" w:ascii="仿宋_GB2312" w:hAnsi="宋体" w:eastAsia="仿宋_GB2312"/>
          <w:sz w:val="28"/>
          <w:szCs w:val="28"/>
          <w:highlight w:val="none"/>
        </w:rPr>
        <w:t>）；</w:t>
      </w:r>
    </w:p>
    <w:p w14:paraId="7452BA5E">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⑪招标文件公告中要求的有关资质资格文件；</w:t>
      </w:r>
    </w:p>
    <w:p w14:paraId="6DBB1BC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⑫投标人认为需要提供的资质资格证明文件。</w:t>
      </w:r>
    </w:p>
    <w:p w14:paraId="497393FA">
      <w:pPr>
        <w:snapToGrid w:val="0"/>
        <w:spacing w:line="560" w:lineRule="exact"/>
        <w:ind w:firstLine="565" w:firstLineChars="201"/>
        <w:rPr>
          <w:rFonts w:hint="eastAsia" w:ascii="仿宋_GB2312" w:hAnsi="宋体" w:eastAsia="仿宋_GB2312"/>
          <w:sz w:val="28"/>
          <w:szCs w:val="28"/>
          <w:highlight w:val="none"/>
        </w:rPr>
      </w:pPr>
      <w:r>
        <w:rPr>
          <w:rFonts w:hint="eastAsia" w:ascii="仿宋_GB2312" w:hAnsi="宋体" w:eastAsia="仿宋_GB2312"/>
          <w:b/>
          <w:sz w:val="28"/>
          <w:szCs w:val="28"/>
          <w:highlight w:val="none"/>
        </w:rPr>
        <w:t>以上所有资质资格证明文件均需加盖投标人签章</w:t>
      </w:r>
      <w:r>
        <w:rPr>
          <w:rFonts w:hint="eastAsia" w:ascii="仿宋_GB2312" w:hAnsi="宋体" w:eastAsia="仿宋_GB2312"/>
          <w:sz w:val="28"/>
          <w:szCs w:val="28"/>
          <w:highlight w:val="none"/>
        </w:rPr>
        <w:t>。</w:t>
      </w:r>
    </w:p>
    <w:p w14:paraId="40157DE5">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（6）商务文件部分</w:t>
      </w:r>
    </w:p>
    <w:p w14:paraId="5960EEF7">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①报价编制说明；</w:t>
      </w:r>
    </w:p>
    <w:p w14:paraId="3A38F513">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②关于质量、工期、服务等方面的承诺及合理化建议；</w:t>
      </w:r>
    </w:p>
    <w:p w14:paraId="00845006">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③投标人基本情况（格式见本文件第五章）；</w:t>
      </w:r>
    </w:p>
    <w:p w14:paraId="68A69429">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④拟投入本项目的人员配备</w:t>
      </w:r>
      <w:r>
        <w:rPr>
          <w:rFonts w:hint="eastAsia" w:ascii="仿宋_GB2312" w:hAnsi="仿宋" w:eastAsia="仿宋_GB2312" w:cs="宋体"/>
          <w:sz w:val="28"/>
          <w:szCs w:val="28"/>
          <w:highlight w:val="none"/>
        </w:rPr>
        <w:t>（格式见本文件第五章）</w:t>
      </w:r>
      <w:r>
        <w:rPr>
          <w:rFonts w:hint="eastAsia" w:ascii="仿宋_GB2312" w:hAnsi="宋体" w:eastAsia="仿宋_GB2312"/>
          <w:sz w:val="28"/>
          <w:szCs w:val="28"/>
          <w:highlight w:val="none"/>
        </w:rPr>
        <w:t>；</w:t>
      </w:r>
    </w:p>
    <w:p w14:paraId="1B8E301F">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⑤拟投入的主要施工机械设备表</w:t>
      </w:r>
      <w:r>
        <w:rPr>
          <w:rFonts w:hint="eastAsia" w:ascii="仿宋_GB2312" w:hAnsi="仿宋" w:eastAsia="仿宋_GB2312" w:cs="宋体"/>
          <w:sz w:val="28"/>
          <w:szCs w:val="28"/>
          <w:highlight w:val="none"/>
        </w:rPr>
        <w:t>（格式见本文件第五章）</w:t>
      </w:r>
      <w:r>
        <w:rPr>
          <w:rFonts w:hint="eastAsia" w:ascii="仿宋_GB2312" w:hAnsi="宋体" w:eastAsia="仿宋_GB2312"/>
          <w:sz w:val="28"/>
          <w:szCs w:val="28"/>
          <w:highlight w:val="none"/>
        </w:rPr>
        <w:t>；</w:t>
      </w:r>
    </w:p>
    <w:p w14:paraId="362895CA">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⑥投标偏离表</w:t>
      </w:r>
      <w:r>
        <w:rPr>
          <w:rFonts w:hint="eastAsia" w:ascii="仿宋_GB2312" w:hAnsi="仿宋" w:eastAsia="仿宋_GB2312" w:cs="宋体"/>
          <w:sz w:val="28"/>
          <w:szCs w:val="28"/>
          <w:highlight w:val="none"/>
        </w:rPr>
        <w:t>（格式见本文件第五章）</w:t>
      </w:r>
      <w:r>
        <w:rPr>
          <w:rFonts w:hint="eastAsia" w:ascii="仿宋_GB2312" w:hAnsi="宋体" w:eastAsia="仿宋_GB2312"/>
          <w:sz w:val="28"/>
          <w:szCs w:val="28"/>
          <w:highlight w:val="none"/>
        </w:rPr>
        <w:t>；</w:t>
      </w:r>
    </w:p>
    <w:p w14:paraId="749F8E2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⑦投标人认为需要说明的其他内容及招标文件要求的其他内容；</w:t>
      </w:r>
    </w:p>
    <w:p w14:paraId="203B55D8">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⑧要求采购人提供的配合。</w:t>
      </w:r>
    </w:p>
    <w:p w14:paraId="2092050A">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（7）</w:t>
      </w:r>
      <w:r>
        <w:rPr>
          <w:rFonts w:hint="eastAsia" w:ascii="仿宋_GB2312" w:hAnsi="宋体" w:eastAsia="仿宋_GB2312"/>
          <w:sz w:val="28"/>
          <w:szCs w:val="28"/>
          <w:highlight w:val="none"/>
        </w:rPr>
        <w:t>技术文件部分（施工组织设计），包括但不限于以下内容：</w:t>
      </w:r>
    </w:p>
    <w:p w14:paraId="19301BC0">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①对工程整体有深刻认识，表述清晰完整，施工段划分、临时设施、临时道路、施工总平面图布置设计合理；</w:t>
      </w:r>
    </w:p>
    <w:p w14:paraId="45840C78">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②施工方案和技术措施合理，对关键工序和关键部位施工具有针对性，措施得力、经济、安全、可行；</w:t>
      </w:r>
    </w:p>
    <w:p w14:paraId="6EC2553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③有完整的质量保证措施，先进可行，有针对本工程的通病治理措施；</w:t>
      </w:r>
    </w:p>
    <w:p w14:paraId="7A56FE99">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④针对项目实际情况有完整的安全文明措施和应急救援预案，且措施齐全，预案可行；</w:t>
      </w:r>
    </w:p>
    <w:p w14:paraId="44E42E54">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⑤环境保护措施安全得力，减少噪音、降低环境污染、扬尘治理措施、地下管线及其他地上地下设施的保护加固措施等，季节性施工方案；</w:t>
      </w:r>
    </w:p>
    <w:p w14:paraId="1B7B7C9A">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⑥施工进度计划和进度措施（包括以横道图或标明关键线路的网络进度计划、保障进度计划需要的主要施工机械设备、劳动力需求计划及保证措施、材料设备进场计划及其他保证措施等）；</w:t>
      </w:r>
    </w:p>
    <w:p w14:paraId="526B8E25">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⑦资源配备计划。投入的劳动力、机械设备等计划合理，与进度计划呼应，满足施工需求；</w:t>
      </w:r>
    </w:p>
    <w:p w14:paraId="53B28702">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⑧项目管理机构人员配备齐全合理；</w:t>
      </w:r>
    </w:p>
    <w:p w14:paraId="2B72FC8E">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⑨成品保护、工程保修制度等；</w:t>
      </w:r>
    </w:p>
    <w:p w14:paraId="1AFDE097">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⑩围挡设置、车辆运输、施工现场保护措施等；扬尘治理、工程施工管理、施工机具管理、物料堆放、建筑垃圾减量化目标和措施、施工废水排放措施等。</w:t>
      </w:r>
    </w:p>
    <w:p w14:paraId="5247E34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8.2数据文件（PDF格式）（第二册）</w:t>
      </w:r>
    </w:p>
    <w:p w14:paraId="566E2BC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须从本项目招标文件压缩包内获取对应包段的数据文件（EXCEL格式），并严格按照要求填写。填写完成后在威海市国企采购电子交易系统中上传该数据文件（EXCEL格式），系统将自动转换为PDF格式，再加盖投标人电子印章，未按要求填写或盖章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。数据文件（PDF格式）包含下列内容：</w:t>
      </w:r>
    </w:p>
    <w:p w14:paraId="498729E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（1）封面</w:t>
      </w:r>
    </w:p>
    <w:p w14:paraId="6D6EBFB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（2）投标报价表（含明细）</w:t>
      </w:r>
    </w:p>
    <w:p w14:paraId="3B2AF346">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（3）需求响应表（如有）</w:t>
      </w:r>
    </w:p>
    <w:p w14:paraId="5E72D056">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（4）评审对照表</w:t>
      </w:r>
    </w:p>
    <w:p w14:paraId="346A80D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（5）评分对照表（如有）</w:t>
      </w:r>
    </w:p>
    <w:p w14:paraId="103DE3E8">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9.投标报价</w:t>
      </w:r>
    </w:p>
    <w:p w14:paraId="6966FBC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9.1投标人所提供的工程或服务均以人民币报价，精确到小数点后两位。</w:t>
      </w:r>
    </w:p>
    <w:p w14:paraId="6CBC785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9.2投标人应按照“第三章采购内容与要求”的服务内容、责任范围以及合同条款进行报价。并按数据文件中“投标报价表（含明细）”规定的格式报出分项价格和总价。</w:t>
      </w:r>
    </w:p>
    <w:p w14:paraId="50C0295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9.3投标人应按数据文件“投标报价表（含明细）”要求的统一格式填写，并加盖电子公章。</w:t>
      </w:r>
    </w:p>
    <w:p w14:paraId="7494D6C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9.4《投标报价表（含明细）》填写时应响应下列要求：</w:t>
      </w:r>
    </w:p>
    <w:p w14:paraId="5128053E">
      <w:pPr>
        <w:snapToGrid w:val="0"/>
        <w:spacing w:line="560" w:lineRule="exact"/>
        <w:ind w:firstLine="843" w:firstLineChars="300"/>
        <w:rPr>
          <w:rFonts w:hint="eastAsia" w:ascii="仿宋" w:hAnsi="仿宋" w:eastAsia="仿宋" w:cs="仿宋"/>
          <w:sz w:val="28"/>
          <w:szCs w:val="28"/>
          <w:highlight w:val="none"/>
        </w:rPr>
      </w:pPr>
      <w:r>
        <w:rPr>
          <w:rFonts w:hint="eastAsia" w:ascii="仿宋" w:hAnsi="仿宋" w:eastAsia="仿宋" w:cs="仿宋"/>
          <w:b/>
          <w:sz w:val="28"/>
          <w:szCs w:val="28"/>
          <w:highlight w:val="none"/>
        </w:rPr>
        <w:t>报价说明与工程量清单说明不一致的以清单说明为准。</w:t>
      </w:r>
    </w:p>
    <w:p w14:paraId="6F6AD27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投标人参与投标视为已考察工程现场、对现场原有的工程情况（包括工地位置情况、道路、存贮空间、装运限制及任何其他足以影响报价的情况）已较为了解和充分预计，并能根据已了解情况合理组织完成施工，现场原有工程的实际情况（包括与建筑施工单位交接过程中的各种因素）视为在报价中已充分考虑。</w:t>
      </w:r>
    </w:p>
    <w:p w14:paraId="4D095931">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2）投标人在报价时，应根据企业自身实力结合市场信息，充分考虑市场竞争因素和市场风险进行自主报价。工程量计价表中的综合单价为全费用综合单价，包括为完成工程量清单中的所需的一切人工费、材料费、施工机械使用费、制作费、运输费、安装费、超高费、管理费利润、规费、税金、招标代理费、清单编制费、其它费用、完成本工程所需的所有检验检测试验费、二次倒运费、措施费、进行综合验收时发生的费用、已完工程成品保护费责任以及合同中明确的所有责任、义务和不可抗力以外一定范围风险及修建临时便道（含临时征费、 青苗补偿费、征地复原费）现场安全文明施工措施费、冬季施工费等所有费用。招标人提供的工程量清单中的数量仅作为投标报价的工程基础，不做为结算支付的依据。工程结算时以业主及财审部门核实的实际完成工程量作为结算依据。</w:t>
      </w:r>
    </w:p>
    <w:p w14:paraId="6B953247">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（3）投标人编制的部分综合单价出现畸高，则采购人有权要求投标人更改为合理价格，如在评标时没有发现，签订合同或结算时也需要做出相应调整。但投标人报价明显低于市场价时，则不调整。</w:t>
      </w:r>
    </w:p>
    <w:p w14:paraId="34B4EFCA">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（4）报价应考虑在建设过程中发生诸如市场物价浮动和政策性调价等而可能产生的风险因素。</w:t>
      </w:r>
    </w:p>
    <w:p w14:paraId="0041CA56">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（5）投标人应综合考虑施工现场非正常施工因素增加的费用。</w:t>
      </w:r>
    </w:p>
    <w:p w14:paraId="38283970">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（6）施工现场所用的水电费应包含在报价中，结算时不再增加此类费用。</w:t>
      </w:r>
    </w:p>
    <w:p w14:paraId="6D6C022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7）总包服务费及配合费由专业分包单位与总包单位协商，支付给总包单位。专业分包单位须服从施工总承包单位在工程安全、质量、进度等方面的统一协调与管理。总包服务费及配合费投标单位综合考虑在投标报价中，结算时不再单独计取。</w:t>
      </w:r>
    </w:p>
    <w:p w14:paraId="3C42E6E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（8）投标人须严格按照报价明细表说明进行填写，报价</w:t>
      </w:r>
      <w:r>
        <w:rPr>
          <w:rFonts w:ascii="仿宋_GB2312" w:hAnsi="宋体" w:eastAsia="仿宋_GB2312"/>
          <w:sz w:val="28"/>
          <w:szCs w:val="28"/>
          <w:highlight w:val="none"/>
        </w:rPr>
        <w:t>明细</w:t>
      </w:r>
      <w:r>
        <w:rPr>
          <w:rFonts w:hint="eastAsia" w:ascii="仿宋_GB2312" w:hAnsi="宋体" w:eastAsia="仿宋_GB2312"/>
          <w:sz w:val="28"/>
          <w:szCs w:val="28"/>
          <w:highlight w:val="none"/>
        </w:rPr>
        <w:t>表中 “*”是必填项，任何必填项为空时都可能导致本次报价无效。</w:t>
      </w:r>
    </w:p>
    <w:p w14:paraId="6692B516">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宋体" w:eastAsia="仿宋_GB2312"/>
          <w:sz w:val="28"/>
          <w:szCs w:val="28"/>
          <w:highlight w:val="none"/>
        </w:rPr>
        <w:t>（9）</w:t>
      </w:r>
      <w:r>
        <w:rPr>
          <w:rFonts w:hint="eastAsia" w:ascii="仿宋_GB2312" w:hAnsi="仿宋" w:eastAsia="仿宋_GB2312" w:cs="宋体"/>
          <w:sz w:val="28"/>
          <w:szCs w:val="28"/>
          <w:highlight w:val="none"/>
        </w:rPr>
        <w:t>《投标报价表</w:t>
      </w:r>
      <w:r>
        <w:rPr>
          <w:rFonts w:hint="eastAsia" w:ascii="仿宋_GB2312" w:hAnsi="宋体" w:eastAsia="仿宋_GB2312"/>
          <w:sz w:val="28"/>
          <w:szCs w:val="28"/>
          <w:highlight w:val="none"/>
        </w:rPr>
        <w:t>（含明细）</w:t>
      </w:r>
      <w:r>
        <w:rPr>
          <w:rFonts w:hint="eastAsia" w:ascii="仿宋_GB2312" w:hAnsi="仿宋" w:eastAsia="仿宋_GB2312" w:cs="宋体"/>
          <w:sz w:val="28"/>
          <w:szCs w:val="28"/>
          <w:highlight w:val="none"/>
        </w:rPr>
        <w:t>》中“报价产品的型号”，型号填写的一般规则为：品牌+产品型号。</w:t>
      </w:r>
    </w:p>
    <w:p w14:paraId="3A0BC9F3">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（10）</w:t>
      </w:r>
      <w:r>
        <w:rPr>
          <w:rFonts w:hint="eastAsia" w:ascii="仿宋_GB2312" w:hAnsi="仿宋" w:eastAsia="仿宋_GB2312" w:cs="宋体"/>
          <w:sz w:val="28"/>
          <w:szCs w:val="28"/>
          <w:highlight w:val="none"/>
        </w:rPr>
        <w:t>《投标报价表</w:t>
      </w:r>
      <w:r>
        <w:rPr>
          <w:rFonts w:hint="eastAsia" w:ascii="仿宋_GB2312" w:hAnsi="宋体" w:eastAsia="仿宋_GB2312"/>
          <w:sz w:val="28"/>
          <w:szCs w:val="28"/>
          <w:highlight w:val="none"/>
        </w:rPr>
        <w:t>（含明细）</w:t>
      </w:r>
      <w:r>
        <w:rPr>
          <w:rFonts w:hint="eastAsia" w:ascii="仿宋_GB2312" w:hAnsi="仿宋" w:eastAsia="仿宋_GB2312" w:cs="宋体"/>
          <w:sz w:val="28"/>
          <w:szCs w:val="28"/>
          <w:highlight w:val="none"/>
        </w:rPr>
        <w:t>》</w:t>
      </w:r>
      <w:r>
        <w:rPr>
          <w:rFonts w:hint="eastAsia" w:ascii="仿宋_GB2312" w:hAnsi="宋体" w:eastAsia="仿宋_GB2312"/>
          <w:sz w:val="28"/>
          <w:szCs w:val="28"/>
          <w:highlight w:val="none"/>
        </w:rPr>
        <w:t>中合价将由单价*数量自动计算，无需手工录入。</w:t>
      </w:r>
    </w:p>
    <w:p w14:paraId="34652ADC">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9</w:t>
      </w:r>
      <w:r>
        <w:rPr>
          <w:rFonts w:ascii="仿宋_GB2312" w:hAnsi="宋体" w:eastAsia="仿宋_GB2312"/>
          <w:sz w:val="28"/>
          <w:szCs w:val="28"/>
          <w:highlight w:val="none"/>
        </w:rPr>
        <w:t>.5</w:t>
      </w:r>
      <w:r>
        <w:rPr>
          <w:rFonts w:hint="eastAsia" w:ascii="仿宋_GB2312" w:hAnsi="宋体" w:eastAsia="仿宋_GB2312"/>
          <w:sz w:val="28"/>
          <w:szCs w:val="28"/>
          <w:highlight w:val="none"/>
        </w:rPr>
        <w:t xml:space="preserve"> </w:t>
      </w:r>
      <w:r>
        <w:rPr>
          <w:rFonts w:hint="eastAsia" w:ascii="仿宋_GB2312" w:hAnsi="仿宋" w:eastAsia="仿宋_GB2312" w:cs="宋体"/>
          <w:sz w:val="28"/>
          <w:szCs w:val="28"/>
          <w:highlight w:val="none"/>
        </w:rPr>
        <w:t>《</w:t>
      </w:r>
      <w:r>
        <w:rPr>
          <w:rFonts w:ascii="仿宋_GB2312" w:hAnsi="仿宋" w:eastAsia="仿宋_GB2312" w:cs="宋体"/>
          <w:sz w:val="28"/>
          <w:szCs w:val="28"/>
          <w:highlight w:val="none"/>
        </w:rPr>
        <w:t>需求响应表</w:t>
      </w:r>
      <w:r>
        <w:rPr>
          <w:rFonts w:hint="eastAsia" w:ascii="仿宋_GB2312" w:hAnsi="仿宋" w:eastAsia="仿宋_GB2312" w:cs="宋体"/>
          <w:sz w:val="28"/>
          <w:szCs w:val="28"/>
          <w:highlight w:val="none"/>
        </w:rPr>
        <w:t>（如有）》</w:t>
      </w:r>
      <w:r>
        <w:rPr>
          <w:rFonts w:ascii="仿宋_GB2312" w:hAnsi="宋体" w:eastAsia="仿宋_GB2312"/>
          <w:sz w:val="28"/>
          <w:szCs w:val="28"/>
          <w:highlight w:val="none"/>
        </w:rPr>
        <w:t>填写时应响应下列要求：</w:t>
      </w:r>
    </w:p>
    <w:p w14:paraId="1A2CDE3E">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（1）有底色标识的单元格须填写，有“*”的列是必输项，任何必输项为空都可能导致您的本次</w:t>
      </w:r>
      <w:r>
        <w:rPr>
          <w:rFonts w:hint="eastAsia" w:ascii="仿宋_GB2312" w:hAnsi="宋体" w:eastAsia="仿宋_GB2312"/>
          <w:sz w:val="28"/>
          <w:szCs w:val="28"/>
          <w:highlight w:val="none"/>
        </w:rPr>
        <w:t>投标</w:t>
      </w:r>
      <w:r>
        <w:rPr>
          <w:rFonts w:ascii="仿宋_GB2312" w:hAnsi="宋体" w:eastAsia="仿宋_GB2312"/>
          <w:sz w:val="28"/>
          <w:szCs w:val="28"/>
          <w:highlight w:val="none"/>
        </w:rPr>
        <w:t>无效；</w:t>
      </w:r>
    </w:p>
    <w:p w14:paraId="3AAB2C50">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（2）如想拷贝数据到某个待填写单元格，应采用选择性粘贴(只粘贴文本)，否则单元格填写无效或被锁死；</w:t>
      </w:r>
    </w:p>
    <w:p w14:paraId="5AC53939">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（3）当招标需求列的内容显示不完整时，请点击编辑栏进行查看；</w:t>
      </w:r>
    </w:p>
    <w:p w14:paraId="7F86F8C6">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（4）响应需求请按照商品(服务)的招标需求的逐一说明，如实填写。“响应需求”中需详细列明所报产品（服务）的明细；若与</w:t>
      </w:r>
      <w:r>
        <w:rPr>
          <w:rFonts w:hint="eastAsia" w:ascii="仿宋_GB2312" w:hAnsi="宋体" w:eastAsia="仿宋_GB2312"/>
          <w:sz w:val="28"/>
          <w:szCs w:val="28"/>
          <w:highlight w:val="none"/>
        </w:rPr>
        <w:t>投标文件</w:t>
      </w:r>
      <w:r>
        <w:rPr>
          <w:rFonts w:ascii="仿宋_GB2312" w:hAnsi="宋体" w:eastAsia="仿宋_GB2312"/>
          <w:sz w:val="28"/>
          <w:szCs w:val="28"/>
          <w:highlight w:val="none"/>
        </w:rPr>
        <w:t>中提供的产品检测报告（如有）、生产厂家出具的产品彩页等证明材料的实质性响应情况不一致，按</w:t>
      </w:r>
      <w:r>
        <w:rPr>
          <w:rFonts w:ascii="仿宋_GB2312" w:hAnsi="宋体" w:eastAsia="仿宋_GB2312"/>
          <w:b/>
          <w:sz w:val="28"/>
          <w:szCs w:val="28"/>
          <w:highlight w:val="none"/>
        </w:rPr>
        <w:t>无效</w:t>
      </w:r>
      <w:r>
        <w:rPr>
          <w:rFonts w:hint="eastAsia" w:ascii="仿宋_GB2312" w:hAnsi="宋体" w:eastAsia="仿宋_GB2312"/>
          <w:b/>
          <w:sz w:val="28"/>
          <w:szCs w:val="28"/>
          <w:highlight w:val="none"/>
        </w:rPr>
        <w:t>投标</w:t>
      </w:r>
      <w:r>
        <w:rPr>
          <w:rFonts w:ascii="仿宋_GB2312" w:hAnsi="宋体" w:eastAsia="仿宋_GB2312"/>
          <w:b/>
          <w:sz w:val="28"/>
          <w:szCs w:val="28"/>
          <w:highlight w:val="none"/>
        </w:rPr>
        <w:t>处理</w:t>
      </w:r>
      <w:r>
        <w:rPr>
          <w:rFonts w:ascii="仿宋_GB2312" w:hAnsi="宋体" w:eastAsia="仿宋_GB2312"/>
          <w:sz w:val="28"/>
          <w:szCs w:val="28"/>
          <w:highlight w:val="none"/>
        </w:rPr>
        <w:t>。</w:t>
      </w:r>
    </w:p>
    <w:p w14:paraId="79A57491">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（5）按照该表显示位置加盖一个电子印章；</w:t>
      </w:r>
    </w:p>
    <w:p w14:paraId="55A69771">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（6）该表为固定格式且有数字指纹，必须在原表上填写，填写完毕后只可保存不可另存。删除该表、增加该表、增加行列、删除行列、对固定格式的任何改动均会导致</w:t>
      </w:r>
      <w:r>
        <w:rPr>
          <w:rFonts w:ascii="仿宋_GB2312" w:hAnsi="宋体" w:eastAsia="仿宋_GB2312"/>
          <w:b/>
          <w:sz w:val="28"/>
          <w:szCs w:val="28"/>
          <w:highlight w:val="none"/>
        </w:rPr>
        <w:t>无效</w:t>
      </w:r>
      <w:r>
        <w:rPr>
          <w:rFonts w:hint="eastAsia" w:ascii="仿宋_GB2312" w:hAnsi="宋体" w:eastAsia="仿宋_GB2312"/>
          <w:b/>
          <w:sz w:val="28"/>
          <w:szCs w:val="28"/>
          <w:highlight w:val="none"/>
        </w:rPr>
        <w:t>投标</w:t>
      </w:r>
      <w:r>
        <w:rPr>
          <w:rFonts w:ascii="仿宋_GB2312" w:hAnsi="宋体" w:eastAsia="仿宋_GB2312"/>
          <w:sz w:val="28"/>
          <w:szCs w:val="28"/>
          <w:highlight w:val="none"/>
        </w:rPr>
        <w:t>；</w:t>
      </w:r>
    </w:p>
    <w:p w14:paraId="521D83C9">
      <w:pPr>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9.6 投标人的报价在合同执行过程中是固定不变的，不得以任何理由改变。所有价格折扣、优惠条件必须在报价明细表中注明，否则评审时不予认可。</w:t>
      </w:r>
    </w:p>
    <w:p w14:paraId="0A4A7CC3">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10.联合体投标</w:t>
      </w:r>
    </w:p>
    <w:p w14:paraId="30D71FE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两个以上的自然人、法人或者其他组织可以组成一个联合体，以一个</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的身份共同参加国企采购。</w:t>
      </w:r>
    </w:p>
    <w:p w14:paraId="22E0D36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10.1以联合体形式进行国企采购的，参加联合体的</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均应当具备国企采购法第二十二条规定的条件，并应当向采购人提交联合协议，载明联合体各方承担的工作和义务。联合体各方应当共同与采购人签订采购合同，就采购合同约定的事项对采购人承担连带责任。</w:t>
      </w:r>
    </w:p>
    <w:p w14:paraId="1AE57D5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10.2联合体中有同类资质的投标人按照联合体分工承担相同工作的，应当按照资质等级较低的投标人确定资质等级。</w:t>
      </w:r>
    </w:p>
    <w:p w14:paraId="4C9CEED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10.3联合体的各方应当共同推荐一名联合体投标授权代表方，由联合体各方提交一份授权书，证明其有资格代表联合体各方签署投标文件，该授权书作为投标文件的组成部分一并提交给</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w:t>
      </w:r>
    </w:p>
    <w:p w14:paraId="0F5E969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10.4以联合体形式参加国企采购活动的，联合体各方不得再单独参加或者与其他</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另外组成联合体参加同一合同项下的国采购活动。</w:t>
      </w:r>
    </w:p>
    <w:p w14:paraId="4FC735A1">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本项目是否接受联合体投标详见《投标须知前附表》。</w:t>
      </w:r>
    </w:p>
    <w:p w14:paraId="29490A53">
      <w:pPr>
        <w:spacing w:line="560" w:lineRule="exact"/>
        <w:ind w:firstLine="565" w:firstLineChars="201"/>
        <w:rPr>
          <w:rFonts w:hint="eastAsia" w:ascii="楷体_GB2312" w:hAnsi="仿宋" w:eastAsia="楷体_GB2312" w:cs="宋体"/>
          <w:b/>
          <w:sz w:val="28"/>
          <w:szCs w:val="28"/>
          <w:highlight w:val="none"/>
        </w:rPr>
      </w:pPr>
      <w:r>
        <w:rPr>
          <w:rFonts w:hint="eastAsia" w:ascii="仿宋" w:hAnsi="仿宋" w:eastAsia="仿宋" w:cs="仿宋"/>
          <w:b/>
          <w:sz w:val="28"/>
          <w:szCs w:val="28"/>
          <w:highlight w:val="none"/>
        </w:rPr>
        <w:t>11.关于分包</w:t>
      </w:r>
    </w:p>
    <w:p w14:paraId="37FD75C6">
      <w:pPr>
        <w:spacing w:line="560" w:lineRule="exact"/>
        <w:ind w:firstLine="560" w:firstLineChars="200"/>
        <w:rPr>
          <w:rFonts w:ascii="楷体_GB2312" w:hAnsi="仿宋" w:eastAsia="楷体_GB2312" w:cs="宋体"/>
          <w:b/>
          <w:sz w:val="28"/>
          <w:szCs w:val="28"/>
          <w:highlight w:val="none"/>
        </w:rPr>
      </w:pPr>
      <w:r>
        <w:rPr>
          <w:rFonts w:hint="eastAsia" w:ascii="仿宋_GB2312" w:hAnsi="宋体" w:eastAsia="仿宋_GB2312"/>
          <w:sz w:val="28"/>
          <w:szCs w:val="28"/>
          <w:highlight w:val="none"/>
        </w:rPr>
        <w:t>本项目不允许分包。</w:t>
      </w:r>
    </w:p>
    <w:p w14:paraId="2564845E">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12.现场踏勘</w:t>
      </w:r>
    </w:p>
    <w:p w14:paraId="590D56B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12.1如有需要，</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或采购人将组织投标人对项目现场及周围环境进行踏勘，以便投标人获取有关编制投标文件和签署合同所需的所有资料。踏勘现场所发生的费用由投标人自己承担，投标人应按招标公告所约定的时间、地点踏勘现场。</w:t>
      </w:r>
    </w:p>
    <w:p w14:paraId="256CD5A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12.2投标人及其人员经过采购人的允许，可以踏勘目的进入采购单位的项目现场。若本项目招标文件要求投标人于统一时间地点踏勘现场的，投标人应当按时前往。</w:t>
      </w:r>
    </w:p>
    <w:p w14:paraId="0316BE9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12.3除招标人的原因外，投标人自行负责在踏勘现场中所发生的人员伤亡和财产损失。</w:t>
      </w:r>
    </w:p>
    <w:p w14:paraId="6E8AA5C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12.4未参与现场踏勘不作为否定投标人资格的理由。</w:t>
      </w:r>
    </w:p>
    <w:p w14:paraId="24D9B4A2">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本项目是否组织现场踏勘详见《投标须知前附表》</w:t>
      </w:r>
    </w:p>
    <w:p w14:paraId="68345DF9">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13.投标的有效期</w:t>
      </w:r>
    </w:p>
    <w:p w14:paraId="5F4656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13.1从开标之日起，投标有效期为90天。投标有效期短于90天的，其投标为无效投标。</w:t>
      </w:r>
    </w:p>
    <w:p w14:paraId="03216727">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13.2特殊情况下，在投标有效期满之前，</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可以要求投标人延长投标有效期，投标人可以书面形式拒绝或接受上述要求。同意延长投标有效期的投标人不得修改投标文件的实质性内容。</w:t>
      </w:r>
    </w:p>
    <w:p w14:paraId="71292CBC">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14.投标保证金</w:t>
      </w:r>
    </w:p>
    <w:p w14:paraId="117717BD">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14.1.本项目不收取投标保证金。</w:t>
      </w:r>
    </w:p>
    <w:p w14:paraId="015FD74B">
      <w:pPr>
        <w:pStyle w:val="27"/>
        <w:widowControl w:val="0"/>
        <w:spacing w:before="0" w:beforeAutospacing="0" w:after="0" w:afterAutospacing="0" w:line="560" w:lineRule="exact"/>
        <w:ind w:firstLine="640"/>
        <w:jc w:val="both"/>
        <w:rPr>
          <w:rFonts w:hint="eastAsia" w:ascii="仿宋_GB2312" w:hAnsi="仿宋" w:eastAsia="仿宋_GB2312"/>
          <w:sz w:val="28"/>
          <w:szCs w:val="28"/>
          <w:highlight w:val="none"/>
        </w:rPr>
      </w:pPr>
      <w:r>
        <w:rPr>
          <w:rFonts w:hint="eastAsia" w:ascii="仿宋_GB2312" w:eastAsia="仿宋_GB2312"/>
          <w:b/>
          <w:sz w:val="28"/>
          <w:szCs w:val="28"/>
          <w:highlight w:val="none"/>
        </w:rPr>
        <w:t>本项目投标保证金收取情况见《投标须知前附表》。</w:t>
      </w:r>
    </w:p>
    <w:p w14:paraId="284F3235">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15.履约保证金的交纳与返还</w:t>
      </w:r>
    </w:p>
    <w:p w14:paraId="7D98547D">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该项目无需交纳履约保证金。</w:t>
      </w:r>
    </w:p>
    <w:p w14:paraId="535F2AE7">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16.投标文件的数量和签署</w:t>
      </w:r>
    </w:p>
    <w:p w14:paraId="36DCD40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16.1投标文件（pdf格式）（第一册）1份</w:t>
      </w:r>
    </w:p>
    <w:p w14:paraId="710B12D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16.1.1投标人应使用带电子签章功能的CA锁对投标文件须盖章或签名的部位加盖电子印章（单位电子公章、法定代表人电子人名章），电子印章与实物印章具有同等法律效力。</w:t>
      </w:r>
    </w:p>
    <w:p w14:paraId="785EBEA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16.1.2投标人应首先编制word格式投标文件，最后通过威海市国企采购</w:t>
      </w:r>
      <w:r>
        <w:rPr>
          <w:rFonts w:hint="eastAsia" w:ascii="仿宋_GB2312" w:hAnsi="仿宋" w:eastAsia="仿宋_GB2312" w:cs="宋体"/>
          <w:b/>
          <w:sz w:val="28"/>
          <w:szCs w:val="28"/>
          <w:highlight w:val="none"/>
        </w:rPr>
        <w:t>电子交易系统</w:t>
      </w:r>
      <w:r>
        <w:rPr>
          <w:rFonts w:hint="eastAsia" w:ascii="仿宋_GB2312" w:hAnsi="仿宋" w:eastAsia="仿宋_GB2312" w:cs="宋体"/>
          <w:sz w:val="28"/>
          <w:szCs w:val="28"/>
          <w:highlight w:val="none"/>
        </w:rPr>
        <w:t>的文件签章菜单的标书签章功能转换为pdf格式（或者其他pdf转换工具），之后通过签章功能在pdf文件上逐页加盖电子印章并保存到本地计算机，加盖了电子印章的pdf文件即为最终的投标文件。</w:t>
      </w:r>
    </w:p>
    <w:p w14:paraId="0522D2E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16.1.3文件中要求法定代表人签字或签章的须加盖法定代表人电子人名章。</w:t>
      </w:r>
    </w:p>
    <w:p w14:paraId="7065EF42">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16.1.4</w:t>
      </w:r>
      <w:r>
        <w:rPr>
          <w:rFonts w:hint="eastAsia" w:ascii="仿宋_GB2312" w:hAnsi="宋体" w:eastAsia="仿宋_GB2312"/>
          <w:sz w:val="28"/>
          <w:szCs w:val="28"/>
          <w:highlight w:val="none"/>
        </w:rPr>
        <w:t>须被授权人签字的，被授权人又无电子章，在word编制时可将被授权人手写签字扫描后的图片粘贴到投标文件中对应位置，并加盖单位电子公章。</w:t>
      </w:r>
    </w:p>
    <w:p w14:paraId="6B6C71D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16.1.5</w:t>
      </w:r>
      <w:r>
        <w:rPr>
          <w:rFonts w:hint="eastAsia" w:ascii="仿宋_GB2312" w:hAnsi="宋体" w:eastAsia="仿宋_GB2312"/>
          <w:sz w:val="28"/>
          <w:szCs w:val="28"/>
          <w:highlight w:val="none"/>
        </w:rPr>
        <w:t>可使用系统的批量盖章功能快速签章。但须逐页浏览检查并注意印章重叠及完整性。</w:t>
      </w:r>
    </w:p>
    <w:p w14:paraId="16DCAF8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16.1.6采用扫描粘贴投标人公章或扫描法定代表人人名章而不加盖单位电子公章的为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0BD77A8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16.2数据文件（PDF格式）（第二册）1份</w:t>
      </w:r>
    </w:p>
    <w:p w14:paraId="0A211F2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16.2.1投标人将填写完毕的数据文件（EXCEL格式），通过威海市国企采购电子交易系统中“文件签章”菜单的“数据签章”功能上传数据文件（EXCEL格式），系统自动转换为PDF格式，加盖电子印章后保存到本地计算机。加盖了电子印章的文件即为最终的数据文件（PDF格式）用于投标。</w:t>
      </w:r>
    </w:p>
    <w:p w14:paraId="2293996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16.2.2</w:t>
      </w:r>
      <w:r>
        <w:rPr>
          <w:rFonts w:hint="eastAsia" w:ascii="仿宋_GB2312" w:hAnsi="宋体" w:eastAsia="仿宋_GB2312"/>
          <w:sz w:val="28"/>
          <w:szCs w:val="28"/>
          <w:highlight w:val="none"/>
        </w:rPr>
        <w:t>文件中要求法定代表人签字或签章的须加盖法定代表人电子人名章。</w:t>
      </w:r>
    </w:p>
    <w:p w14:paraId="62F2304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16.2.3采用扫描粘贴投标人公章或法定代表人人名章的为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4769AB75">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四、投标文件的递交</w:t>
      </w:r>
    </w:p>
    <w:p w14:paraId="10C5830E">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17.投标文件的密封和标记</w:t>
      </w:r>
    </w:p>
    <w:p w14:paraId="7125B179">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17.1电子投标文件的密封和标记</w:t>
      </w:r>
    </w:p>
    <w:p w14:paraId="248D59B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17.1.1加盖了电子印章的电子投标文件（PDF格式）和数据文件（PDF格式）须在威海市国企采购电子交易系统的“我的投标”界面进行提交，提交前系统会自动在本地进行加密和数字签名，加密和电子签章后的文件除了会上传到系统中之外还会同步保存到本地计算机。</w:t>
      </w:r>
    </w:p>
    <w:p w14:paraId="483F0506">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17.2资质证明文件原件的密封和标记</w:t>
      </w:r>
    </w:p>
    <w:p w14:paraId="075212A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17.2.1投标须知前附表要求提供资质证明文件原件的，投标人应使用密封袋将资质证明文件原件密封（身份证原件除外），加盖公章并标明投标人（单位）名称、项目名称、项目编号、所投包号以及“资质证明文件原件”字样，粘贴密封条，注明“于*年*月*日 *:*之前不准启封”（</w:t>
      </w:r>
      <w:r>
        <w:rPr>
          <w:rFonts w:hint="eastAsia" w:ascii="仿宋_GB2312" w:hAnsi="仿宋" w:eastAsia="仿宋_GB2312" w:cs="宋体"/>
          <w:b/>
          <w:sz w:val="28"/>
          <w:szCs w:val="28"/>
          <w:highlight w:val="none"/>
        </w:rPr>
        <w:t>开标时间</w:t>
      </w:r>
      <w:r>
        <w:rPr>
          <w:rFonts w:hint="eastAsia" w:ascii="仿宋_GB2312" w:hAnsi="仿宋" w:eastAsia="仿宋_GB2312" w:cs="宋体"/>
          <w:sz w:val="28"/>
          <w:szCs w:val="28"/>
          <w:highlight w:val="none"/>
        </w:rPr>
        <w:t xml:space="preserve">）的字样。加盖公章或由法定代表人或经其正式授权的代表在旁边签字。 </w:t>
      </w:r>
    </w:p>
    <w:p w14:paraId="4FE01AF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17.2.2投标人按上述规定进行密封和标记后，按照招标文件的要求送达指定地点。</w:t>
      </w:r>
    </w:p>
    <w:p w14:paraId="2C33AB1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17.2.3如果未按上述规定进行密封和标记，采购代理机构对误投或提前启封概不负责。</w:t>
      </w:r>
    </w:p>
    <w:p w14:paraId="7BDA9498">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17.3文件递交</w:t>
      </w:r>
    </w:p>
    <w:p w14:paraId="0ECE6DA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17.3.1投标人应在投标须知前附表规定的时间前在威海市</w:t>
      </w:r>
      <w:r>
        <w:rPr>
          <w:rFonts w:hint="eastAsia" w:ascii="仿宋_GB2312" w:hAnsi="宋体" w:eastAsia="仿宋_GB2312"/>
          <w:sz w:val="28"/>
          <w:szCs w:val="28"/>
          <w:highlight w:val="none"/>
        </w:rPr>
        <w:t>国有企业阳光采购电子化服务平台上</w:t>
      </w:r>
      <w:r>
        <w:rPr>
          <w:rFonts w:hint="eastAsia" w:ascii="仿宋_GB2312" w:hAnsi="仿宋" w:eastAsia="仿宋_GB2312" w:cs="宋体"/>
          <w:sz w:val="28"/>
          <w:szCs w:val="28"/>
          <w:highlight w:val="none"/>
        </w:rPr>
        <w:t>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highlight w:val="none"/>
        </w:rPr>
        <w:t>其投标将会被判定为无效。</w:t>
      </w:r>
    </w:p>
    <w:p w14:paraId="741EBE11">
      <w:pPr>
        <w:spacing w:line="560" w:lineRule="exact"/>
        <w:ind w:firstLine="565" w:firstLineChars="201"/>
        <w:rPr>
          <w:rFonts w:ascii="仿宋_GB2312" w:hAnsi="仿宋" w:eastAsia="仿宋_GB2312" w:cs="宋体"/>
          <w:sz w:val="28"/>
          <w:szCs w:val="28"/>
          <w:highlight w:val="none"/>
        </w:rPr>
      </w:pPr>
      <w:r>
        <w:rPr>
          <w:rFonts w:hint="eastAsia" w:ascii="仿宋_GB2312" w:hAnsi="仿宋" w:eastAsia="仿宋_GB2312" w:cs="宋体"/>
          <w:b/>
          <w:sz w:val="28"/>
          <w:szCs w:val="28"/>
          <w:highlight w:val="none"/>
        </w:rPr>
        <w:t>17.3.2投标人须牢记投标加密密码，该密码将用于开标时解密其电子投标文件，如忘记密码或输入错误密码超过5次，其递交的电子投标文件将无法解密，导致无法提取数据和供他人阅读文件，致使其投标失败。</w:t>
      </w:r>
    </w:p>
    <w:p w14:paraId="7BB9950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17.3.3除投标须知前附表另有规定外，采购代理机构拒绝接收纸质投标文件。</w:t>
      </w:r>
    </w:p>
    <w:p w14:paraId="74CFFFD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17.3.4投标人应将网上递交的已盖章未加密的数据文件和投标文件谨慎保存备份，以便启动应急开标程序时备案使用。</w:t>
      </w:r>
    </w:p>
    <w:p w14:paraId="225051DE">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18.投标截止期</w:t>
      </w:r>
    </w:p>
    <w:p w14:paraId="718019E4">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本次招标的投标截止期见《投标须知前附表》。</w:t>
      </w:r>
    </w:p>
    <w:p w14:paraId="64605EED">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19.迟交的投标文件</w:t>
      </w:r>
    </w:p>
    <w:p w14:paraId="0BD3E053">
      <w:pPr>
        <w:snapToGrid w:val="0"/>
        <w:spacing w:line="560" w:lineRule="exact"/>
        <w:ind w:firstLine="562" w:firstLineChars="201"/>
        <w:rPr>
          <w:rFonts w:ascii="仿宋_GB2312" w:hAnsi="宋体" w:eastAsia="仿宋_GB2312"/>
          <w:sz w:val="28"/>
          <w:szCs w:val="28"/>
          <w:highlight w:val="none"/>
        </w:rPr>
      </w:pPr>
      <w:bookmarkStart w:id="17" w:name="_Toc429313655"/>
      <w:r>
        <w:rPr>
          <w:rFonts w:hint="eastAsia" w:ascii="仿宋_GB2312" w:hAnsi="宋体" w:eastAsia="仿宋_GB2312"/>
          <w:sz w:val="28"/>
          <w:szCs w:val="28"/>
          <w:highlight w:val="none"/>
        </w:rPr>
        <w:t>威海市国有企业阳光采购电子化服务平台无法接收投标截止期后递交的投标文件。</w:t>
      </w:r>
    </w:p>
    <w:p w14:paraId="0FF63A94">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20.</w:t>
      </w:r>
      <w:bookmarkEnd w:id="17"/>
      <w:r>
        <w:rPr>
          <w:rFonts w:hint="eastAsia" w:ascii="仿宋" w:hAnsi="仿宋" w:eastAsia="仿宋" w:cs="仿宋"/>
          <w:b/>
          <w:sz w:val="28"/>
          <w:szCs w:val="28"/>
          <w:highlight w:val="none"/>
        </w:rPr>
        <w:t>现场演示/样品递交</w:t>
      </w:r>
    </w:p>
    <w:p w14:paraId="5AF85FF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20.1采购人可以要求投标人对其提供的信息化、自动化等相关类别服务进行演示。</w:t>
      </w:r>
      <w:r>
        <w:rPr>
          <w:rFonts w:hint="eastAsia" w:ascii="仿宋_GB2312" w:hAnsi="仿宋" w:eastAsia="仿宋_GB2312" w:cs="宋体"/>
          <w:sz w:val="28"/>
          <w:szCs w:val="28"/>
          <w:highlight w:val="none"/>
        </w:rPr>
        <w:t>投标人可以到现场演示，也可以使用系统“网上评标”中的“谈判”功能与评标专家进行远程演示。</w:t>
      </w:r>
    </w:p>
    <w:p w14:paraId="7163C59D">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20.2若服务项目涉及货物时，采购人可以要求投标人提供样品，样品作为投标文件的一部分。未中标投标人提供的样品将于评审结束后退还。中标人的样品由采购人保留，作为验收的依据。</w:t>
      </w:r>
    </w:p>
    <w:p w14:paraId="4EB6C44E">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是否要求投标人</w:t>
      </w:r>
      <w:r>
        <w:rPr>
          <w:rFonts w:hint="eastAsia" w:ascii="仿宋_GB2312" w:hAnsi="宋体" w:eastAsia="仿宋_GB2312"/>
          <w:b/>
          <w:sz w:val="28"/>
          <w:szCs w:val="28"/>
          <w:highlight w:val="none"/>
        </w:rPr>
        <w:t>提供演示/提交样品</w:t>
      </w:r>
      <w:r>
        <w:rPr>
          <w:rFonts w:hint="eastAsia" w:ascii="仿宋_GB2312" w:hAnsi="仿宋" w:eastAsia="仿宋_GB2312" w:cs="宋体"/>
          <w:b/>
          <w:sz w:val="28"/>
          <w:szCs w:val="28"/>
          <w:highlight w:val="none"/>
        </w:rPr>
        <w:t>，详见招标文件《投标须知前附表》的有关规定。</w:t>
      </w:r>
    </w:p>
    <w:p w14:paraId="04DC938C">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21.投标文件的修改和撤回</w:t>
      </w:r>
    </w:p>
    <w:p w14:paraId="08CBF56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21.1投标人必须在规定的投标截止期之前将修改的投标文件和数据文件上传到威海市国企采购电子交易系统,在投标截止期之后，投标人不得对其投标文件做任何修改。</w:t>
      </w:r>
    </w:p>
    <w:p w14:paraId="6EC300E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21.2投标人在递交投标文件后，可以在投标截止期之前撤回其投标。</w:t>
      </w:r>
    </w:p>
    <w:p w14:paraId="5440CF6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21.3开标后不允许对投标文件做实质性修改和补充，不得撤回投标文件。</w:t>
      </w:r>
    </w:p>
    <w:p w14:paraId="4153A1C9">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五、开标与评审</w:t>
      </w:r>
    </w:p>
    <w:p w14:paraId="5A6B2194">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22.开标</w:t>
      </w:r>
    </w:p>
    <w:p w14:paraId="7B61FED1">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22.1投标截止时间结束后，投标人不足3家的不得开标。</w:t>
      </w:r>
    </w:p>
    <w:p w14:paraId="5D671BD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22.2</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48E077B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highlight w:val="none"/>
        </w:rPr>
        <w:t>视作</w:t>
      </w:r>
      <w:r>
        <w:rPr>
          <w:rFonts w:hint="eastAsia" w:ascii="仿宋_GB2312" w:hAnsi="仿宋" w:eastAsia="仿宋_GB2312" w:cs="宋体"/>
          <w:sz w:val="28"/>
          <w:szCs w:val="28"/>
          <w:highlight w:val="none"/>
        </w:rPr>
        <w:t>认同开标结果。</w:t>
      </w:r>
    </w:p>
    <w:p w14:paraId="6F8069E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4DFD1A3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22.5开标过程应当由采购人或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负责记录，最终形成开标一览表并由各投标人代表和相关工作人员签字或盖章确认。</w:t>
      </w:r>
    </w:p>
    <w:p w14:paraId="3BF4DFC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22.6投标人代表对开标过程和开标记录有疑义，以及认为采购人、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相关工作人员有需要回避的情形的，应当场提出询问或者回避申请。采购人、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对投标人代表提出的询问或者回避申请应当及时处理。</w:t>
      </w:r>
    </w:p>
    <w:p w14:paraId="38196D6D">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22.7录音、录像：</w:t>
      </w:r>
      <w:r>
        <w:rPr>
          <w:rFonts w:hint="eastAsia" w:ascii="仿宋_GB2312" w:hAnsi="宋体" w:eastAsia="仿宋_GB2312"/>
          <w:sz w:val="28"/>
          <w:szCs w:val="28"/>
          <w:highlight w:val="none"/>
        </w:rPr>
        <w:t>荣成市公共资源交易中心负责从递交投标文件开始到确定中标结果全过程的录音、录像工作，确保声音清楚、图像清晰、内容无遗漏。</w:t>
      </w:r>
    </w:p>
    <w:p w14:paraId="486C428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22.8报价过程中，如遇特殊情况，服从荣成市公共资源交易中心场地调配，并遵守相关规章制度。</w:t>
      </w:r>
    </w:p>
    <w:p w14:paraId="122C9CBB">
      <w:pPr>
        <w:spacing w:line="560" w:lineRule="exact"/>
        <w:ind w:firstLine="560" w:firstLineChars="200"/>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22.9对投标文件报价出现前后不一致的，按以下规定修正：</w:t>
      </w:r>
    </w:p>
    <w:p w14:paraId="30104E1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（1）“投标（报价）一览表”的报价与“报价明细表”的报价不一致的，以“投标（报价）一览表”的报价为准；</w:t>
      </w:r>
    </w:p>
    <w:p w14:paraId="7E6539A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（2）大写金额和小写金额不一致的，以大写金额为准；</w:t>
      </w:r>
    </w:p>
    <w:p w14:paraId="03CE7D6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（3）单价金额小数点或者百分比有明显错位的，以投标（报价）一览表的总价为准，并修改单价。</w:t>
      </w:r>
    </w:p>
    <w:p w14:paraId="16FE94B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（4）总价金额与按单价汇总金额不一致的，以单价金额计算结果为准。</w:t>
      </w:r>
    </w:p>
    <w:p w14:paraId="6657D02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（5）同时出现两种以上不一致的，按照前款规定的顺序修正。修正后的报价经投标人确认后产生约束力，投标人不确认的，其投标无效。</w:t>
      </w:r>
    </w:p>
    <w:p w14:paraId="6994A5C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22.10开标程序</w:t>
      </w:r>
    </w:p>
    <w:p w14:paraId="27DECC5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22.10.1签到：在投标须知前附表规定的时间完成签到。</w:t>
      </w:r>
    </w:p>
    <w:p w14:paraId="7F5B81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22.10.2开标：工作人员在投标须知前附表规定的开标时间启动开标。</w:t>
      </w:r>
    </w:p>
    <w:p w14:paraId="57EB0CF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22.10.3解密：开标后工作人员启动开始解密指令，投标人开始输入解密密码，解密时间到后工作人员启动停止解密指令。</w:t>
      </w:r>
    </w:p>
    <w:p w14:paraId="7EF377A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22.10.4唱标：停止解密后现场工作人员将根据电子交易系统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视为其对开标一览表中所载内容无疑议。</w:t>
      </w:r>
    </w:p>
    <w:p w14:paraId="11075EF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22.10.5投标人可使用电子交易系统“网上开标”中的“看直播”功能参与开标程序。</w:t>
      </w:r>
    </w:p>
    <w:p w14:paraId="04F9B62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22.11应急开标程序</w:t>
      </w:r>
    </w:p>
    <w:p w14:paraId="0A00415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电子开标过程中如出现下列情况，导致系统无法正常运行，或者无法保证开标过程的公平、公正和信息安全时，经与采购人沟通后可启动应急开标程序。</w:t>
      </w:r>
    </w:p>
    <w:p w14:paraId="7AF3F9C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（1）系统服务器发生故障，无法访问或无法使用系统；</w:t>
      </w:r>
    </w:p>
    <w:p w14:paraId="1478C8A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（2）系统的软件或数据库出现错误，不能进行正常操作；</w:t>
      </w:r>
    </w:p>
    <w:p w14:paraId="4E1677D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（3）系统发现有安全漏洞，有潜在的泄密危险；</w:t>
      </w:r>
    </w:p>
    <w:p w14:paraId="36C830C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（4）病毒发作或受到外来病毒的攻击；</w:t>
      </w:r>
    </w:p>
    <w:p w14:paraId="2A532B5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（5）其他无法保证开标过程公平、公正和信息安全的情形。</w:t>
      </w:r>
    </w:p>
    <w:p w14:paraId="397984F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应急开标程序包括：</w:t>
      </w:r>
    </w:p>
    <w:p w14:paraId="7CD2E81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（1）对</w:t>
      </w:r>
      <w:r>
        <w:rPr>
          <w:rFonts w:ascii="仿宋_GB2312" w:hAnsi="仿宋" w:eastAsia="仿宋_GB2312" w:cs="宋体"/>
          <w:sz w:val="28"/>
          <w:szCs w:val="28"/>
          <w:highlight w:val="none"/>
        </w:rPr>
        <w:t>未在系统中开标的可暂停开标</w:t>
      </w:r>
      <w:r>
        <w:rPr>
          <w:rFonts w:hint="eastAsia" w:ascii="仿宋_GB2312" w:hAnsi="仿宋" w:eastAsia="仿宋_GB2312" w:cs="宋体"/>
          <w:sz w:val="28"/>
          <w:szCs w:val="28"/>
          <w:highlight w:val="none"/>
        </w:rPr>
        <w:t>；</w:t>
      </w:r>
    </w:p>
    <w:p w14:paraId="39F3E17D">
      <w:pPr>
        <w:spacing w:line="560" w:lineRule="exact"/>
        <w:ind w:firstLine="562" w:firstLineChars="201"/>
        <w:rPr>
          <w:rFonts w:ascii="仿宋_GB2312" w:hAnsi="仿宋" w:eastAsia="仿宋_GB2312" w:cs="宋体"/>
          <w:sz w:val="28"/>
          <w:szCs w:val="28"/>
          <w:highlight w:val="none"/>
        </w:rPr>
      </w:pPr>
      <w:r>
        <w:rPr>
          <w:rFonts w:ascii="仿宋_GB2312" w:hAnsi="仿宋" w:eastAsia="仿宋_GB2312" w:cs="宋体"/>
          <w:sz w:val="28"/>
          <w:szCs w:val="28"/>
          <w:highlight w:val="none"/>
        </w:rPr>
        <w:t>（</w:t>
      </w:r>
      <w:r>
        <w:rPr>
          <w:rFonts w:hint="eastAsia" w:ascii="仿宋_GB2312" w:hAnsi="仿宋" w:eastAsia="仿宋_GB2312" w:cs="宋体"/>
          <w:sz w:val="28"/>
          <w:szCs w:val="28"/>
          <w:highlight w:val="none"/>
        </w:rPr>
        <w:t>2）对</w:t>
      </w:r>
      <w:r>
        <w:rPr>
          <w:rFonts w:ascii="仿宋_GB2312" w:hAnsi="仿宋" w:eastAsia="仿宋_GB2312" w:cs="宋体"/>
          <w:sz w:val="28"/>
          <w:szCs w:val="28"/>
          <w:highlight w:val="none"/>
        </w:rPr>
        <w:t>已在系统中开标的</w:t>
      </w:r>
      <w:r>
        <w:rPr>
          <w:rFonts w:hint="eastAsia" w:ascii="仿宋_GB2312" w:hAnsi="仿宋" w:eastAsia="仿宋_GB2312" w:cs="宋体"/>
          <w:sz w:val="28"/>
          <w:szCs w:val="28"/>
          <w:highlight w:val="none"/>
        </w:rPr>
        <w:t>应停止，等待系统恢复正常后再组织进行开标</w:t>
      </w:r>
      <w:r>
        <w:rPr>
          <w:rFonts w:ascii="仿宋_GB2312" w:hAnsi="仿宋" w:eastAsia="仿宋_GB2312" w:cs="宋体"/>
          <w:sz w:val="28"/>
          <w:szCs w:val="28"/>
          <w:highlight w:val="none"/>
        </w:rPr>
        <w:t>。</w:t>
      </w:r>
    </w:p>
    <w:p w14:paraId="4F82A516">
      <w:pPr>
        <w:spacing w:line="560" w:lineRule="exact"/>
        <w:ind w:firstLine="562" w:firstLineChars="201"/>
        <w:rPr>
          <w:rFonts w:ascii="仿宋_GB2312" w:hAnsi="仿宋" w:eastAsia="仿宋_GB2312" w:cs="宋体"/>
          <w:b/>
          <w:sz w:val="28"/>
          <w:szCs w:val="28"/>
          <w:highlight w:val="none"/>
        </w:rPr>
      </w:pPr>
      <w:r>
        <w:rPr>
          <w:rFonts w:hint="eastAsia" w:ascii="仿宋_GB2312" w:hAnsi="仿宋" w:eastAsia="仿宋_GB2312" w:cs="宋体"/>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highlight w:val="none"/>
        </w:rPr>
        <w:t>无效投标处理。</w:t>
      </w:r>
    </w:p>
    <w:p w14:paraId="32D498D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w:t>
      </w:r>
      <w:r>
        <w:rPr>
          <w:rFonts w:hint="eastAsia" w:ascii="仿宋_GB2312" w:hAnsi="仿宋" w:eastAsia="仿宋_GB2312" w:cs="宋体"/>
          <w:b/>
          <w:sz w:val="28"/>
          <w:szCs w:val="28"/>
          <w:highlight w:val="none"/>
        </w:rPr>
        <w:t>无效投标处理</w:t>
      </w:r>
      <w:r>
        <w:rPr>
          <w:rFonts w:hint="eastAsia" w:ascii="仿宋_GB2312" w:hAnsi="仿宋" w:eastAsia="仿宋_GB2312" w:cs="宋体"/>
          <w:sz w:val="28"/>
          <w:szCs w:val="28"/>
          <w:highlight w:val="none"/>
        </w:rPr>
        <w:t>。</w:t>
      </w:r>
    </w:p>
    <w:p w14:paraId="240D10C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22.12应急开标电子邮件递交规定</w:t>
      </w:r>
    </w:p>
    <w:p w14:paraId="10A8A590">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接收电子邮箱</w:t>
      </w:r>
      <w:bookmarkStart w:id="18" w:name="OLE_LINK1"/>
      <w:r>
        <w:rPr>
          <w:rFonts w:hint="eastAsia" w:ascii="仿宋_GB2312" w:hAnsi="仿宋" w:eastAsia="仿宋_GB2312" w:cs="宋体"/>
          <w:sz w:val="28"/>
          <w:szCs w:val="28"/>
          <w:highlight w:val="none"/>
        </w:rPr>
        <w:t>：</w:t>
      </w:r>
      <w:r>
        <w:rPr>
          <w:rFonts w:ascii="仿宋_GB2312" w:hAnsi="仿宋" w:eastAsia="仿宋_GB2312" w:cs="宋体"/>
          <w:sz w:val="28"/>
          <w:szCs w:val="28"/>
          <w:highlight w:val="none"/>
        </w:rPr>
        <w:fldChar w:fldCharType="begin"/>
      </w:r>
      <w:r>
        <w:rPr>
          <w:rFonts w:ascii="仿宋_GB2312" w:hAnsi="仿宋" w:eastAsia="仿宋_GB2312" w:cs="宋体"/>
          <w:sz w:val="28"/>
          <w:szCs w:val="28"/>
          <w:highlight w:val="none"/>
        </w:rPr>
        <w:instrText xml:space="preserve"> HYPERLINK "mailto:</w:instrText>
      </w:r>
      <w:r>
        <w:rPr>
          <w:rFonts w:hint="eastAsia" w:ascii="仿宋_GB2312" w:hAnsi="仿宋" w:eastAsia="仿宋_GB2312" w:cs="宋体"/>
          <w:sz w:val="28"/>
          <w:szCs w:val="28"/>
          <w:highlight w:val="none"/>
        </w:rPr>
        <w:instrText xml:space="preserve">sdhwrc@163.com</w:instrText>
      </w:r>
      <w:r>
        <w:rPr>
          <w:rFonts w:ascii="仿宋_GB2312" w:hAnsi="仿宋" w:eastAsia="仿宋_GB2312" w:cs="宋体"/>
          <w:sz w:val="28"/>
          <w:szCs w:val="28"/>
          <w:highlight w:val="none"/>
        </w:rPr>
        <w:instrText xml:space="preserve">" </w:instrText>
      </w:r>
      <w:r>
        <w:rPr>
          <w:rFonts w:ascii="仿宋_GB2312" w:hAnsi="仿宋" w:eastAsia="仿宋_GB2312" w:cs="宋体"/>
          <w:sz w:val="28"/>
          <w:szCs w:val="28"/>
          <w:highlight w:val="none"/>
        </w:rPr>
        <w:fldChar w:fldCharType="separate"/>
      </w:r>
      <w:r>
        <w:rPr>
          <w:rStyle w:val="37"/>
          <w:rFonts w:hint="eastAsia" w:ascii="仿宋_GB2312" w:hAnsi="仿宋" w:eastAsia="仿宋_GB2312" w:cs="宋体"/>
          <w:sz w:val="28"/>
          <w:szCs w:val="28"/>
          <w:highlight w:val="none"/>
        </w:rPr>
        <w:t>sdhwrc@163.com</w:t>
      </w:r>
      <w:r>
        <w:rPr>
          <w:rFonts w:ascii="仿宋_GB2312" w:hAnsi="仿宋" w:eastAsia="仿宋_GB2312" w:cs="宋体"/>
          <w:sz w:val="28"/>
          <w:szCs w:val="28"/>
          <w:highlight w:val="none"/>
        </w:rPr>
        <w:fldChar w:fldCharType="end"/>
      </w:r>
      <w:bookmarkEnd w:id="18"/>
    </w:p>
    <w:p w14:paraId="449F295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递交时间：以电子邮件或电话通知的时间为准；</w:t>
      </w:r>
    </w:p>
    <w:p w14:paraId="71C9652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邮件数量：一封；</w:t>
      </w:r>
    </w:p>
    <w:p w14:paraId="7D1B254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邮件主题：项目编号、投标人名称；</w:t>
      </w:r>
    </w:p>
    <w:p w14:paraId="1407511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文件，导致投标无效。</w:t>
      </w:r>
    </w:p>
    <w:p w14:paraId="26B5CF0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22.13启动电子邮件开标流程</w:t>
      </w:r>
    </w:p>
    <w:p w14:paraId="30EFCBC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工作人员电话通知所有投标人启动应急开标程序；</w:t>
      </w:r>
    </w:p>
    <w:p w14:paraId="695D659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投标人收到通知后在规定时间内通过电子邮件递交投标文件（在非应急开标期间</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不接受、不处理任何通过电子邮件提交的投标文件）；</w:t>
      </w:r>
    </w:p>
    <w:p w14:paraId="0070524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递交截止时间到，工作人员开始下载投标文件，将投标报价形成开标报告并邮件回复各投标人；</w:t>
      </w:r>
    </w:p>
    <w:p w14:paraId="5EE153F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投标人确认报价并邮件回复，不及时回复的视为对开标报告的内容无异议。</w:t>
      </w:r>
    </w:p>
    <w:p w14:paraId="1DED338F">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23.评标委员会的组成和评标方法</w:t>
      </w:r>
    </w:p>
    <w:p w14:paraId="5863454E">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仿宋" w:eastAsia="仿宋_GB2312" w:cs="宋体"/>
          <w:sz w:val="28"/>
          <w:szCs w:val="28"/>
          <w:highlight w:val="none"/>
        </w:rPr>
        <w:t>23.1</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负责组织评标工作，具体评审事务由依法组建的评标委员会负责，评标委员会成员由采购人代表和评审专家5人以上的单数组成，其中专家人数不得少于评标委员会成员总数的2/3。情况特殊的，通过随机方式难以确定合适的评审专家的项目，经主管部门同意，采购人可以自行选定评审专家。</w:t>
      </w:r>
    </w:p>
    <w:p w14:paraId="3A149086">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23.2</w:t>
      </w:r>
      <w:r>
        <w:rPr>
          <w:rFonts w:hint="eastAsia" w:ascii="仿宋_GB2312" w:hAnsi="宋体" w:eastAsia="仿宋_GB2312"/>
          <w:sz w:val="28"/>
          <w:szCs w:val="28"/>
          <w:highlight w:val="none"/>
        </w:rPr>
        <w:t>采购人员及相关人员与投标人有利害关系的应当回避。曾参与招标文件征询意见或论证的专家，不得再作为评审专家参加评审。采购人不得以专家身份参与本项目的评审。采购人和</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工作人员离职或退休不满三年的，不能作为专家参加评审工作。</w:t>
      </w:r>
    </w:p>
    <w:p w14:paraId="09AB715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23.3评标委员会成员职责：</w:t>
      </w:r>
    </w:p>
    <w:p w14:paraId="71A620F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0B702F0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（2）按照招标文件中确定的评标办法，对投标文件的内容进行评审，并对评审结果承担责任；</w:t>
      </w:r>
    </w:p>
    <w:p w14:paraId="0976A98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（3）对评标过程和结果，以及投标人的商业秘密进行保密；</w:t>
      </w:r>
    </w:p>
    <w:p w14:paraId="6C1D1C8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（4）在评标委员会集体起草的评标报告上签字；</w:t>
      </w:r>
    </w:p>
    <w:p w14:paraId="544BDD8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（5）配合</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答复投标人质疑；</w:t>
      </w:r>
    </w:p>
    <w:p w14:paraId="3B9EBD44">
      <w:pPr>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（6）向采购人反映评审工作中的问题，提出意见和建议。</w:t>
      </w:r>
    </w:p>
    <w:p w14:paraId="644792A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23.4评标委员会集体职责：</w:t>
      </w:r>
    </w:p>
    <w:p w14:paraId="24F8049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按照各成员评审意见推荐中标候选人，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175A526A">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（2）配合采购人和</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答复投标人的质疑；</w:t>
      </w:r>
    </w:p>
    <w:p w14:paraId="3D650D0C">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（3）必要时，向投标人解释评审结果；</w:t>
      </w:r>
    </w:p>
    <w:p w14:paraId="5F3243AB">
      <w:pPr>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（4）向主管部门或者有关部门报告非法干预评审工作的行为。</w:t>
      </w:r>
    </w:p>
    <w:p w14:paraId="156E2DEF">
      <w:pPr>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23.5采购代理机构或采购人的职责：</w:t>
      </w:r>
    </w:p>
    <w:p w14:paraId="4FC3619A">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（1）核对评标小组专家身份和采购人代表授权函，对评标小组专家在采购活动中的职责履行情况予以记录，并及时将有关违法违规行为向主管部门报告；</w:t>
      </w:r>
    </w:p>
    <w:p w14:paraId="4877061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（2）宣布评审纪律；</w:t>
      </w:r>
    </w:p>
    <w:p w14:paraId="6C8CA99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（3）公布投标人名单，告知评标小组专家应当回避的情形；</w:t>
      </w:r>
    </w:p>
    <w:p w14:paraId="315040A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（4）在评审期间采取必要的通讯管理措施，保证评审活动不受外界干扰；</w:t>
      </w:r>
    </w:p>
    <w:p w14:paraId="62B709D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（5）根据评标小组的要求介绍采购相关政策法规、招标文件；</w:t>
      </w:r>
    </w:p>
    <w:p w14:paraId="08516E7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（6）维护评审秩序，监督评标小组依照招标文件规定的评标程序、方法和标准进行独立评审，及时制止和纠正采购人代表、评审专家的倾向性言论或者违法违规行为；</w:t>
      </w:r>
    </w:p>
    <w:p w14:paraId="448E41FA">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7）核对评审结果，存在分值汇总计算错误的、分项评分超出评分标准范围的、评标委员会成员对客观评审因素评分不一致的，经评标委员会认定评分畸高畸低的情形，要求评标小组复核或者书面说明理由，评标小组拒绝的，应予记录并向主管部门报告。</w:t>
      </w:r>
    </w:p>
    <w:p w14:paraId="08455F9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8）评审工作完成后，按照规定向评审专家支付劳务报酬和异地评审差旅费，不得向评审专家以外的其他人员支付评审劳务报酬；专家劳务报酬标准参照山东省财政厅《关于印发&lt;山东省政府采购评审劳务报酬标准&gt;的通知》（鲁财采〔2017〕28号）规定执行。</w:t>
      </w:r>
    </w:p>
    <w:p w14:paraId="15A9288D">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（9）处理与评审有关的其他事项。</w:t>
      </w:r>
    </w:p>
    <w:p w14:paraId="5D53FA6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采购人可以在评审前说明项目背景和采购需求，说明内容不得含有歧视性、倾向性意见，不得超出招标文件所述范围。说明应当提交书面材料，并随采购文件一并存档。</w:t>
      </w:r>
    </w:p>
    <w:p w14:paraId="0F6F5DF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23.6评标委员会采用集中办公、封闭方式进行评审。评标前，</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工作人员向评标委员会成员宣布评标纪律和工作规则。评标委员会成员签署《无利害关系声明表》，并遵照执行。</w:t>
      </w:r>
    </w:p>
    <w:p w14:paraId="3CA6252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23.7评标委员会成员对与自己有利害关系的评标项目应当主动提出回避。</w:t>
      </w:r>
    </w:p>
    <w:p w14:paraId="7B63F41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23.8评标委员会将按照招标文件确定的评标原则和方法进行评标。评标委员会对投标文件的评审内容分为资格性审查、符合性审查、商务评议、技术评议和价格评议。</w:t>
      </w:r>
    </w:p>
    <w:p w14:paraId="66E0065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23.9评标委员会独立履行下列职责：</w:t>
      </w:r>
    </w:p>
    <w:p w14:paraId="6D16422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（1）审查、评价投标文件是否符合招标文件的商务、技术等实质性要求；</w:t>
      </w:r>
    </w:p>
    <w:p w14:paraId="4CF76BF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（2）要求投标人对投标文件有关事项作出澄清或者说明；</w:t>
      </w:r>
    </w:p>
    <w:p w14:paraId="5C63F41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（3）对投标文件进行比较和评价；</w:t>
      </w:r>
    </w:p>
    <w:p w14:paraId="4BCDA7A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（4）确定中标候选人名单，以及根据采购人委托直接确定中标人；</w:t>
      </w:r>
    </w:p>
    <w:p w14:paraId="61817DE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（5）向采购人、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或者有关部门报告评标中发现的违法行为。</w:t>
      </w:r>
    </w:p>
    <w:p w14:paraId="2FD0AE0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23.10 评标中因评标委员会成员缺席、回避或者健康等特殊原因导致评标委员会组成不符合本办法规定的，采购人应当依法补足后继续评标。被更换的评标委员会成员所作出的评标意见无效。</w:t>
      </w:r>
    </w:p>
    <w:p w14:paraId="3C76400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无法及时补足评标委员会成员的，</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应当停止评标活动，封存所有投标文件和开标、评标资料，依法重新组建评标委员会进行评标。原评标委员会作出的评标意见无效。</w:t>
      </w:r>
    </w:p>
    <w:p w14:paraId="51E18862">
      <w:pPr>
        <w:spacing w:line="560" w:lineRule="exact"/>
        <w:ind w:firstLine="562" w:firstLineChars="201"/>
        <w:rPr>
          <w:rFonts w:ascii="仿宋_GB2312" w:hAnsi="仿宋" w:eastAsia="仿宋_GB2312" w:cs="宋体"/>
          <w:sz w:val="28"/>
          <w:szCs w:val="28"/>
          <w:highlight w:val="none"/>
        </w:rPr>
      </w:pPr>
      <w:r>
        <w:rPr>
          <w:rFonts w:hint="eastAsia" w:ascii="仿宋_GB2312" w:hAnsi="宋体" w:eastAsia="仿宋_GB2312"/>
          <w:sz w:val="28"/>
          <w:szCs w:val="28"/>
          <w:highlight w:val="none"/>
        </w:rPr>
        <w:fldChar w:fldCharType="begin"/>
      </w:r>
      <w:r>
        <w:rPr>
          <w:rFonts w:hint="eastAsia" w:ascii="仿宋_GB2312" w:hAnsi="宋体" w:eastAsia="仿宋_GB2312"/>
          <w:sz w:val="28"/>
          <w:szCs w:val="28"/>
          <w:highlight w:val="none"/>
        </w:rPr>
        <w:instrText xml:space="preserve">&lt;MK&gt;org.organname&lt;/MK&gt;</w:instrText>
      </w:r>
      <w:r>
        <w:rPr>
          <w:rFonts w:hint="eastAsia" w:ascii="仿宋_GB2312" w:hAnsi="宋体" w:eastAsia="仿宋_GB2312"/>
          <w:sz w:val="28"/>
          <w:szCs w:val="28"/>
          <w:highlight w:val="none"/>
        </w:rPr>
        <w:fldChar w:fldCharType="end"/>
      </w:r>
      <w:r>
        <w:rPr>
          <w:rFonts w:hint="eastAsia" w:ascii="仿宋_GB2312" w:hAnsi="仿宋" w:eastAsia="仿宋_GB2312" w:cs="宋体"/>
          <w:sz w:val="28"/>
          <w:szCs w:val="28"/>
          <w:highlight w:val="none"/>
        </w:rPr>
        <w:t>应当将变更、重新组建评标委员会的情况予以记录，并随采购文件一并存档。</w:t>
      </w:r>
    </w:p>
    <w:p w14:paraId="03B23F35">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24.投标文件的初审</w:t>
      </w:r>
    </w:p>
    <w:p w14:paraId="2C64F38E">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24.1资格性审查。在采购项目开标结束后,评标委员会对投标人的资格进行审查。合格投标人不足3家的，不得评标。在资格性检查时,如有下列情况之一的，经评标委员会认定，视为非实质性响应，为无效投标：</w:t>
      </w:r>
    </w:p>
    <w:p w14:paraId="2F9E309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（1）与采购人存在利害关系且可能影响采购活动的公正性；</w:t>
      </w:r>
    </w:p>
    <w:p w14:paraId="59BF7531">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（2）与本采购项目的其他投标人为同一个单位负责人；</w:t>
      </w:r>
    </w:p>
    <w:p w14:paraId="1BDB653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（3）与本采购项目的其他投标人存在控股、管理关系；</w:t>
      </w:r>
    </w:p>
    <w:p w14:paraId="7399052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（4）为本采购项目提供过设计、编制技术规范和其他文件的咨询服务；</w:t>
      </w:r>
    </w:p>
    <w:p w14:paraId="0CAA152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（5）为本工程项目的相关监理人，或者与本工程项目的相关监理人存在隶属关系或者其他利害关系；</w:t>
      </w:r>
    </w:p>
    <w:p w14:paraId="4EAEF708">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（6）为本采购项目的代建人；</w:t>
      </w:r>
    </w:p>
    <w:p w14:paraId="767ED88D">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（7）为本采购项目的招标代理机构；</w:t>
      </w:r>
    </w:p>
    <w:p w14:paraId="4AA0062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（8）与本采购项目的监理人或代建人或招标代理机构同为一个法定代表人；</w:t>
      </w:r>
    </w:p>
    <w:p w14:paraId="0DFE020A">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（9）与本采购项目的监理人或代建人或招标代理机构存在控股或参股关系；</w:t>
      </w:r>
    </w:p>
    <w:p w14:paraId="64BDBF0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（10）被依法暂停或者取消投标资格；</w:t>
      </w:r>
    </w:p>
    <w:p w14:paraId="46A6F7DB">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（11）被责令停产停业、暂扣或者吊销许可证、暂扣或者吊销执照；</w:t>
      </w:r>
    </w:p>
    <w:p w14:paraId="17848714">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（12）进入清算程序，或被宣告破产，或其他丧失履约能力的情形；</w:t>
      </w:r>
    </w:p>
    <w:p w14:paraId="7885A143">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（13）法律法规规定的其他情形。</w:t>
      </w:r>
    </w:p>
    <w:p w14:paraId="05264CCF">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（14）投标人资格证明文件不满足招标文件要求和过期失效的。</w:t>
      </w:r>
    </w:p>
    <w:p w14:paraId="7E4C8567">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24.2符合性审查。</w:t>
      </w:r>
    </w:p>
    <w:p w14:paraId="70717F06">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24.2.1评标委员会应当对符合资格的投标人的投标文件进行符合性审查，以确定其是否满足招标文件的实质性要求。评标委员会决定投标的响应性只根据投标文件本身的内容，而不依据外部的证据。在符合性检查时,如有不满足下列情况之一的，经评标委员会认定，视为非实质性响应，为无效投标。</w:t>
      </w:r>
    </w:p>
    <w:p w14:paraId="6624DD4A">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具体内容详见《投标须知》-《实质性条款一览表》中符合性审查条件。</w:t>
      </w:r>
    </w:p>
    <w:p w14:paraId="6EB3875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24.2.2投标人有下列情形之一的，视为投标人串通投标，其投标无效：</w:t>
      </w:r>
    </w:p>
    <w:p w14:paraId="336277B8">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（1）不同投标人的投标文件由同一单位或者个人编制的；</w:t>
      </w:r>
    </w:p>
    <w:p w14:paraId="4DC9CCD3">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（2）不同投标人使用同一个投标单位或者同一个自然人的IP地址、设备下载采购文件或者制作、上传投标文件的；</w:t>
      </w:r>
    </w:p>
    <w:p w14:paraId="0CB82572">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（3）不同投标人委托同一单位或者个人办理投标事宜；</w:t>
      </w:r>
    </w:p>
    <w:p w14:paraId="7EA9B017">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（4）不同投标人的投标文件载明的项目管理成员或者联系人员为同一人；</w:t>
      </w:r>
    </w:p>
    <w:p w14:paraId="49EC821F">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（5）不同投标人的投标文件重要内容异常一致、或者投标报价呈现规律性差异；</w:t>
      </w:r>
    </w:p>
    <w:p w14:paraId="69EA11CC">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（6）不同投标人编制的投标文件存在两处以上错误一致的；</w:t>
      </w:r>
    </w:p>
    <w:p w14:paraId="06EB3CEB">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（7）不同投标人的投标文件相互混装；</w:t>
      </w:r>
    </w:p>
    <w:p w14:paraId="39937B7A">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（8）不同投标人的投标保证金从同一单位或者个人的账户转出；</w:t>
      </w:r>
    </w:p>
    <w:p w14:paraId="3DDACD17">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（9）不同投标人制作的电子投标文件经系统审查存在cpu编码、硬盘编码及MAC地址三项编码均相同的。</w:t>
      </w:r>
    </w:p>
    <w:p w14:paraId="7D6D3A9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24.3投标截止后投标人不足3家或者通过资格审查或符合性审查的投标人不足3家的，除采购任务取消情形外，按照以下方式处理：</w:t>
      </w:r>
    </w:p>
    <w:p w14:paraId="5E3474D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（1）招标文件存在不合理条款或者招标程序不符合规定的，采购人、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改正后依法重新招标；</w:t>
      </w:r>
    </w:p>
    <w:p w14:paraId="23BCD98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（2）招标文件没有不合理条款、招标程序符合规定，需要采用其他采购方式采购的，采购人应当依法报主管部门批准。</w:t>
      </w:r>
    </w:p>
    <w:p w14:paraId="70A6D420">
      <w:pPr>
        <w:spacing w:line="560" w:lineRule="exact"/>
        <w:ind w:firstLine="565" w:firstLineChars="201"/>
        <w:rPr>
          <w:rFonts w:ascii="楷体_GB2312" w:hAnsi="仿宋" w:eastAsia="楷体_GB2312" w:cs="宋体"/>
          <w:b/>
          <w:sz w:val="28"/>
          <w:szCs w:val="28"/>
          <w:highlight w:val="none"/>
        </w:rPr>
      </w:pPr>
      <w:r>
        <w:rPr>
          <w:rFonts w:hint="eastAsia" w:ascii="仿宋" w:hAnsi="仿宋" w:eastAsia="仿宋" w:cs="仿宋"/>
          <w:b/>
          <w:sz w:val="28"/>
          <w:szCs w:val="28"/>
          <w:highlight w:val="none"/>
        </w:rPr>
        <w:t>25.投标文件的澄清</w:t>
      </w:r>
    </w:p>
    <w:p w14:paraId="39364DA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25.1评标委员会有权向投标人询标，对于投标文件中含义不明确、同类问题表述不一致或者有明显文字和计算错误的内容，评标委员会应当以书面形式要求投标人作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0FE9759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25.2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235C659">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26.投标文件的评价</w:t>
      </w:r>
    </w:p>
    <w:p w14:paraId="2C9DC868">
      <w:pPr>
        <w:spacing w:line="560" w:lineRule="exact"/>
        <w:ind w:firstLine="562" w:firstLineChars="201"/>
        <w:rPr>
          <w:rFonts w:hint="eastAsia" w:ascii="楷体_GB2312" w:hAnsi="仿宋" w:eastAsia="楷体_GB2312" w:cs="宋体"/>
          <w:b/>
          <w:sz w:val="28"/>
          <w:szCs w:val="28"/>
          <w:highlight w:val="none"/>
        </w:rPr>
      </w:pPr>
      <w:r>
        <w:rPr>
          <w:rFonts w:hint="eastAsia" w:ascii="仿宋_GB2312" w:hAnsi="宋体" w:eastAsia="仿宋_GB2312"/>
          <w:sz w:val="28"/>
          <w:szCs w:val="28"/>
          <w:highlight w:val="none"/>
        </w:rPr>
        <w:t>26.1评审采用百分制。评标委员会各成员分别独立对实质上响应投标文件的投标人进行逐项评价打分，对评标委员会各成员每一因素的打分汇总后的得分为投标人的得分，汇总得分保留两位小数。</w:t>
      </w:r>
    </w:p>
    <w:p w14:paraId="4D4F611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26.2评标委员会只对确定为实质响应招标文件要求的投标文件进行评价和比较。必要时需标明评审理由。</w:t>
      </w:r>
    </w:p>
    <w:p w14:paraId="01B9CE4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26.3评标采用综合评分法的，价格分值由评审系统根据投标人上传的《投标（报价）一览表》中的投标报价，依据规定公式自动计算，其结果由评标委员会所有成员签字确认。</w:t>
      </w:r>
    </w:p>
    <w:p w14:paraId="3166420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代理机构工作人员负责复核、统计评标委员会成员的评审情况，发现评审意见有失公正时，提请该评标委员会成员修改评审意见，并形成书面意见备查。</w:t>
      </w:r>
    </w:p>
    <w:p w14:paraId="282A7E9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26.4评审时除考虑投标人的报价之外，还将考虑以下因素：</w:t>
      </w:r>
    </w:p>
    <w:p w14:paraId="772100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（1）投标文件的响应状况（包括是否按照招标文件要求制作）；</w:t>
      </w:r>
    </w:p>
    <w:p w14:paraId="35F0454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（2）投标产品的技术性能、功能、质量等指标的响应情况，包括其响应是否有技术佐证文件的支持；</w:t>
      </w:r>
    </w:p>
    <w:p w14:paraId="6B83262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（3）服务方案（包括本地化服务机构和人员、服务响应时间、安装调试、培训方案等）、服务期、服务体系和业绩等；</w:t>
      </w:r>
    </w:p>
    <w:p w14:paraId="300B5B0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（4）招标文件规定的其它评审因素。</w:t>
      </w:r>
    </w:p>
    <w:p w14:paraId="310D5D5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26.5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46DA413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26.6评标委员会发现招标文件存在歧义、重大缺陷导致评标工作无法进行，或者招标文件内容违反国家有关强制性规定的，应当停止评标工作，与采购人或者</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沟通并作书面记录。采购人确认后，应当修改招标文件，重新组织采购活动。</w:t>
      </w:r>
    </w:p>
    <w:p w14:paraId="5BAE29B3">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26.7投标人应当遵循公平竞争的原则，不得恶意串通，不得妨碍其他投标人的竞争行为，不得损坏采购人或者其他投标人的合法权益。在评标过程中发现投标人有上述情形的，评标委员会应当认定其投标无效。</w:t>
      </w:r>
    </w:p>
    <w:p w14:paraId="0FCCFA4D">
      <w:pPr>
        <w:spacing w:line="560" w:lineRule="exact"/>
        <w:ind w:firstLine="565" w:firstLineChars="201"/>
        <w:rPr>
          <w:rFonts w:ascii="楷体_GB2312" w:hAnsi="仿宋" w:eastAsia="楷体_GB2312" w:cs="宋体"/>
          <w:b/>
          <w:sz w:val="28"/>
          <w:szCs w:val="28"/>
          <w:highlight w:val="none"/>
        </w:rPr>
      </w:pPr>
      <w:r>
        <w:rPr>
          <w:rFonts w:hint="eastAsia" w:ascii="仿宋" w:hAnsi="仿宋" w:eastAsia="仿宋" w:cs="仿宋"/>
          <w:b/>
          <w:sz w:val="28"/>
          <w:szCs w:val="28"/>
          <w:highlight w:val="none"/>
        </w:rPr>
        <w:t>27.废标条款</w:t>
      </w:r>
    </w:p>
    <w:p w14:paraId="0037998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在招标采购中，出现下列情形之一的，应予废标：</w:t>
      </w:r>
    </w:p>
    <w:p w14:paraId="0A2AEBB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（1）符合专业条件的</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或者对招标文件作实质响应的</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不足3家的；</w:t>
      </w:r>
    </w:p>
    <w:p w14:paraId="1F4BA86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（2）出现影响采购公正的违法、违规行为的；</w:t>
      </w:r>
    </w:p>
    <w:p w14:paraId="7F011A1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（3）所有投标报价均超过招标文件中规定的预算金额，采购人不能支付的；</w:t>
      </w:r>
    </w:p>
    <w:p w14:paraId="0299D0C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（4）因重大变故，采购人采购任务取消的。</w:t>
      </w:r>
    </w:p>
    <w:p w14:paraId="014CED02">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六、定标</w:t>
      </w:r>
    </w:p>
    <w:p w14:paraId="3D2B57D7">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5A618434">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28.2评标委员会所有成员应当在评标报告上签字确认，评标报告的主要内容包括：</w:t>
      </w:r>
    </w:p>
    <w:p w14:paraId="25ECEFC4">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（1）招标公告刊登的媒介名称、开标日期和地点；</w:t>
      </w:r>
    </w:p>
    <w:p w14:paraId="5E6D7A45">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（2）投标人名单和评标委员会成员名单；</w:t>
      </w:r>
    </w:p>
    <w:p w14:paraId="64CF88AA">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（3）评标方法和评标标准；</w:t>
      </w:r>
    </w:p>
    <w:p w14:paraId="78AC5F5B">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（4）开标记录和评标情况及说明，包括投标无效投标人名单及原因；</w:t>
      </w:r>
    </w:p>
    <w:p w14:paraId="3B99FA80">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（5）评标结果，确定的中标候选人名单或者经采购人委托直接确定的中标人；</w:t>
      </w:r>
    </w:p>
    <w:p w14:paraId="518005A4">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（6）其他需要说明的情况，包括评标过程中投标人根据评标委员会要求进行澄清、说明或者补正，评标委员会成员的更换等。</w:t>
      </w:r>
    </w:p>
    <w:p w14:paraId="2D3C3D9E">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28.3由评标委员会直接确定预中标候选人的，采购代理机构自评标结束之日起2个工作日内在指定媒体上公布评标结果；需要采购人确认的，采购代理机构自评标结束之日起2个工作日内，将评标报告送交采购人。采购人应当自收到评标报告之日起5个工作日内在评标报告确定的中标候选人名单中按顺序确定预中标人。</w:t>
      </w:r>
    </w:p>
    <w:p w14:paraId="0E3F7956">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28.4评标结果汇总完成后，除下列情形外，任何人不得修改评标结果：</w:t>
      </w:r>
    </w:p>
    <w:p w14:paraId="4DD69600">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（1）分值汇总计算错误的；</w:t>
      </w:r>
    </w:p>
    <w:p w14:paraId="6FC4BEE6">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（2）分项评分超出评分标准范围的；</w:t>
      </w:r>
    </w:p>
    <w:p w14:paraId="14AEF46E">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（3）评标委员会成员对客观评审因素评分不一致的；</w:t>
      </w:r>
    </w:p>
    <w:p w14:paraId="0E2608E1">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（4）经评标委员会认定评分畸高、畸低的。</w:t>
      </w:r>
    </w:p>
    <w:p w14:paraId="6084D183">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28.5评标报告签署前，经复核发现存在以上情形之一的，评标委员会应当当场修改评标结果，并在评标报告中记载；评标报告签署后，采购人或采购代理机构发现存在以上情形之一的，应当组织原评标委员会进行重新评审，重新评审改变结果的，书面报告本级主管部门。投标人对本条上述情形提出质疑的，采购人或者采购代理机构可以组织原评标委员会进行重新评审，重新评审改变评标结果的，应当书面报告主管部门部门。</w:t>
      </w:r>
    </w:p>
    <w:p w14:paraId="100236D1">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28.6中标人在规定的期限内无正当理由拒绝签订合同，采购人可以按照评审报告推荐的中标候选人名单排序，确定下一候选人为中标人，也可以重新开展招标活动。</w:t>
      </w:r>
    </w:p>
    <w:p w14:paraId="6AA1733C">
      <w:pPr>
        <w:pStyle w:val="4"/>
        <w:ind w:firstLine="643"/>
        <w:rPr>
          <w:rFonts w:hint="eastAsia" w:ascii="仿宋" w:hAnsi="仿宋" w:eastAsia="仿宋" w:cs="仿宋"/>
          <w:highlight w:val="none"/>
        </w:rPr>
      </w:pPr>
      <w:r>
        <w:rPr>
          <w:rFonts w:hint="eastAsia" w:ascii="仿宋" w:hAnsi="仿宋" w:eastAsia="仿宋" w:cs="仿宋"/>
          <w:highlight w:val="none"/>
        </w:rPr>
        <w:t>七、公告</w:t>
      </w:r>
    </w:p>
    <w:p w14:paraId="5B8F57F9">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29.结果公示</w:t>
      </w:r>
    </w:p>
    <w:p w14:paraId="4F1114A0">
      <w:pPr>
        <w:snapToGrid w:val="0"/>
        <w:spacing w:line="360" w:lineRule="auto"/>
        <w:ind w:firstLine="560" w:firstLineChars="200"/>
        <w:rPr>
          <w:rFonts w:hint="eastAsia" w:ascii="仿宋_GB2312" w:hAnsi="仿宋" w:eastAsia="仿宋_GB2312" w:cs="宋体"/>
          <w:sz w:val="28"/>
          <w:szCs w:val="28"/>
          <w:highlight w:val="none"/>
        </w:rPr>
      </w:pPr>
      <w:r>
        <w:rPr>
          <w:rFonts w:hint="eastAsia" w:ascii="仿宋_GB2312" w:hAnsi="宋体" w:eastAsia="仿宋_GB2312"/>
          <w:sz w:val="28"/>
          <w:szCs w:val="28"/>
          <w:highlight w:val="none"/>
        </w:rPr>
        <w:t>采购人或采购代理机构自收到评标报告之日起3日内在原采购公告发布媒体公示中标候选人，公示期3日。</w:t>
      </w:r>
      <w:r>
        <w:rPr>
          <w:rFonts w:hint="eastAsia" w:ascii="仿宋_GB2312" w:hAnsi="仿宋" w:eastAsia="仿宋_GB2312" w:cs="宋体"/>
          <w:sz w:val="28"/>
          <w:szCs w:val="28"/>
          <w:highlight w:val="none"/>
        </w:rPr>
        <w:t>由评标评审委员会直接定标的项目不需要公示中标候选人。</w:t>
      </w:r>
    </w:p>
    <w:p w14:paraId="6B1E17F3">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30.结果公告</w:t>
      </w:r>
    </w:p>
    <w:p w14:paraId="2F3E7BD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采购人或采购代理机构应当自定标结束之日起3日内在原采购公告发布媒体发布中标公告，有效期1个工作日。</w:t>
      </w:r>
    </w:p>
    <w:p w14:paraId="72EED9A3">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31.签发中标通知书</w:t>
      </w:r>
    </w:p>
    <w:p w14:paraId="7699FA6E">
      <w:pPr>
        <w:pStyle w:val="27"/>
        <w:widowControl w:val="0"/>
        <w:spacing w:before="0" w:beforeAutospacing="0" w:after="0" w:afterAutospacing="0" w:line="560" w:lineRule="exact"/>
        <w:ind w:firstLine="560" w:firstLineChars="200"/>
        <w:jc w:val="both"/>
        <w:rPr>
          <w:rFonts w:ascii="仿宋_GB2312" w:hAnsi="仿宋" w:eastAsia="仿宋_GB2312"/>
          <w:kern w:val="2"/>
          <w:sz w:val="28"/>
          <w:szCs w:val="28"/>
          <w:highlight w:val="none"/>
        </w:rPr>
      </w:pPr>
      <w:r>
        <w:rPr>
          <w:rFonts w:hint="eastAsia" w:ascii="仿宋_GB2312" w:hAnsi="仿宋" w:eastAsia="仿宋_GB2312"/>
          <w:kern w:val="2"/>
          <w:sz w:val="28"/>
          <w:szCs w:val="28"/>
          <w:highlight w:val="none"/>
        </w:rPr>
        <w:t>中标公告发布同时采购人</w:t>
      </w:r>
      <w:r>
        <w:rPr>
          <w:rFonts w:hint="eastAsia" w:ascii="仿宋_GB2312" w:eastAsia="仿宋_GB2312"/>
          <w:sz w:val="28"/>
          <w:szCs w:val="28"/>
          <w:highlight w:val="none"/>
        </w:rPr>
        <w:t>和采购代理机构</w:t>
      </w:r>
      <w:r>
        <w:rPr>
          <w:rFonts w:hint="eastAsia" w:ascii="仿宋_GB2312" w:hAnsi="仿宋" w:eastAsia="仿宋_GB2312"/>
          <w:kern w:val="2"/>
          <w:sz w:val="28"/>
          <w:szCs w:val="28"/>
          <w:highlight w:val="none"/>
        </w:rPr>
        <w:t>应当向中标人发出中标通知书，并同时将中标结果通知所有未中标的投标人。对未通过资格审查的投标人，应当告知其未通过的原因；《中标通知书》是合同的组成部分,对中标人和采购人具有同等法律效力。《中标通知书》发出后，采购人不得违法改变中标结果，中标人无正当理由不得放弃中标。</w:t>
      </w:r>
    </w:p>
    <w:p w14:paraId="69988A81">
      <w:pPr>
        <w:pStyle w:val="4"/>
        <w:ind w:firstLine="643"/>
        <w:rPr>
          <w:rFonts w:hint="eastAsia" w:ascii="仿宋" w:hAnsi="仿宋" w:eastAsia="仿宋" w:cs="仿宋"/>
          <w:highlight w:val="none"/>
        </w:rPr>
      </w:pPr>
      <w:r>
        <w:rPr>
          <w:rFonts w:hint="eastAsia" w:ascii="仿宋" w:hAnsi="仿宋" w:eastAsia="仿宋" w:cs="仿宋"/>
          <w:highlight w:val="none"/>
        </w:rPr>
        <w:t>八、质疑</w:t>
      </w:r>
    </w:p>
    <w:p w14:paraId="07A9BEBB">
      <w:pPr>
        <w:snapToGrid w:val="0"/>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32.质疑</w:t>
      </w:r>
    </w:p>
    <w:p w14:paraId="654397E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32.1投标人认为采购公告、资格预审公告、采购文件、开评标过程、中标候选人公示、中标结果使自己的权益受到损害的，在国企采购电子交易系统向采购人或者采购代理机构提出质疑。对采购文件的异议，采购人和采购代理机构应当在收到异议后1日内做出答复；其他异议，采购人和</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应当在收到质疑后7日内做出答复；但答复的内容不得涉及商业秘密。投标人提出的质疑超出采购人对</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委托授权范围的，</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应当告知投标人向采购人提出。投标人应按照下列时间规定进行质疑；</w:t>
      </w:r>
    </w:p>
    <w:p w14:paraId="3809E312">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（1）对采购公告或资格预审公告有异议的，应当在公告期截止前2日内提出；</w:t>
      </w:r>
    </w:p>
    <w:p w14:paraId="79E220F0">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（2）潜在投标人已依法获取其可质疑的采购文件的，可以对该文件提出质疑。对采购文件提出质疑的，应当在投标截止前2日内提出。</w:t>
      </w:r>
    </w:p>
    <w:p w14:paraId="124A49C2">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（3）对开标有异议的，应当在开标期间提出；</w:t>
      </w:r>
    </w:p>
    <w:p w14:paraId="5C08FF65">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（4）对评标结果有异议的，应当在成交公示期间提出；</w:t>
      </w:r>
    </w:p>
    <w:p w14:paraId="2EDB0B1C">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（5）对定标结果有异议的，应当在中标公告有效期提出。</w:t>
      </w:r>
    </w:p>
    <w:p w14:paraId="34BF332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32.2提出质疑的投标人应当是参与本项目采购活动的投标人。</w:t>
      </w:r>
    </w:p>
    <w:p w14:paraId="2414ABEE">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32.3投标人应在法定质疑期内一次性提出针对同一采购程序环节的质疑。</w:t>
      </w:r>
    </w:p>
    <w:p w14:paraId="4D746E0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32.4 质疑采用实名制，为了使提出的质疑事项在规定时间内得到有效答复、处理，提交的质疑函务必提供以下内容。</w:t>
      </w:r>
    </w:p>
    <w:p w14:paraId="73CB69E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（1）投标人的姓名或名称、地址（邮箱）、邮编、联系人及联系电话；</w:t>
      </w:r>
    </w:p>
    <w:p w14:paraId="654A23D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（2）质疑项目的名称、编号；</w:t>
      </w:r>
    </w:p>
    <w:p w14:paraId="4DBE7DC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（3）具体、明确的质疑事项和与质疑事项相关的请求；</w:t>
      </w:r>
    </w:p>
    <w:p w14:paraId="44B797C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（4）事实依据；</w:t>
      </w:r>
    </w:p>
    <w:p w14:paraId="46C5953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（5）必要的法律依据；</w:t>
      </w:r>
    </w:p>
    <w:p w14:paraId="7D7C330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（6）提出质疑的日期。</w:t>
      </w:r>
    </w:p>
    <w:p w14:paraId="74DB39E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投标人为法人或者其他组织的，应当由法定代表人、单位负责人，或者其被授权人签字或者盖章，并加盖公章。</w:t>
      </w:r>
    </w:p>
    <w:p w14:paraId="5FFD0059">
      <w:pPr>
        <w:snapToGrid w:val="0"/>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32.5采购人或</w:t>
      </w:r>
      <w:r>
        <w:rPr>
          <w:rFonts w:ascii="仿宋_GB2312" w:hAnsi="仿宋" w:eastAsia="仿宋_GB2312" w:cs="宋体"/>
          <w:sz w:val="28"/>
          <w:szCs w:val="28"/>
          <w:highlight w:val="none"/>
        </w:rPr>
        <w:t>采购代理机构</w:t>
      </w:r>
      <w:r>
        <w:rPr>
          <w:rFonts w:hint="eastAsia" w:ascii="仿宋_GB2312" w:hAnsi="仿宋" w:eastAsia="仿宋_GB2312" w:cs="宋体"/>
          <w:sz w:val="28"/>
          <w:szCs w:val="28"/>
          <w:highlight w:val="none"/>
        </w:rPr>
        <w:t>正式受理后方可生效。否则，为无效质疑。</w:t>
      </w:r>
    </w:p>
    <w:p w14:paraId="3F7FF36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32.6 有下列情况之一的质疑不予受理：</w:t>
      </w:r>
    </w:p>
    <w:p w14:paraId="10438B3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（1）无质疑函件或质疑函件缺少投标人法人印章、投标人法定代表人签字、有效授权书和联系方式之一的质疑；</w:t>
      </w:r>
    </w:p>
    <w:p w14:paraId="1F1D180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（2）质疑函件无实质性内容或佐证文件资料，主观臆断及推理得出结论的质疑；</w:t>
      </w:r>
    </w:p>
    <w:p w14:paraId="0FC173A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（3）相应证明材料不真实或来源不合法的质疑；</w:t>
      </w:r>
    </w:p>
    <w:p w14:paraId="13FB89A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（4）未按规定时间或超过公示期限提出的质疑；</w:t>
      </w:r>
    </w:p>
    <w:p w14:paraId="40F0C035">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32.7对捏造事实，提供虚假材料或者以非法手段取得证明材料进行恶意质疑的，一经查实，将列入平台黑名单。</w:t>
      </w:r>
    </w:p>
    <w:p w14:paraId="7B88D318">
      <w:pPr>
        <w:pStyle w:val="4"/>
        <w:ind w:firstLine="643"/>
        <w:rPr>
          <w:rFonts w:hint="eastAsia" w:ascii="仿宋" w:hAnsi="仿宋" w:eastAsia="仿宋" w:cs="仿宋"/>
          <w:highlight w:val="none"/>
        </w:rPr>
      </w:pPr>
      <w:r>
        <w:rPr>
          <w:rFonts w:hint="eastAsia" w:ascii="仿宋" w:hAnsi="仿宋" w:eastAsia="仿宋" w:cs="仿宋"/>
          <w:highlight w:val="none"/>
        </w:rPr>
        <w:t>九、签订合同</w:t>
      </w:r>
    </w:p>
    <w:p w14:paraId="61CCFB9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中标通知书发出之日起30日内，按采购文件、中标人的投标文件签订采购合同。采购人应当自采购合同签订之日起5个工作日内，将采购合同上传至威海市国有企业阳光采购电子化服务平台同时在指定的媒体上公告，但采购合同中涉及国家秘密、商业秘密的内容除外。</w:t>
      </w:r>
    </w:p>
    <w:p w14:paraId="7F2AAA2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采购人应当按照招标文件和中标人投标文件的规定，与中标人签订书面合同。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响应、答疑情况进行修改补充，自签订之日起生效。</w:t>
      </w:r>
    </w:p>
    <w:p w14:paraId="32DD5E7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中标人在规定时间内无正当理由拒绝与采购人签订合同的，有效投标人符合法定数量的，采购人可以按照评审报告推荐的中标候选人名单排序，确定下一候选人为中标人，也可以重新开展采购活动。</w:t>
      </w:r>
    </w:p>
    <w:p w14:paraId="3D22A685">
      <w:pPr>
        <w:snapToGrid w:val="0"/>
        <w:spacing w:line="560" w:lineRule="exact"/>
        <w:ind w:firstLine="562" w:firstLineChars="201"/>
        <w:rPr>
          <w:rFonts w:ascii="宋体" w:hAnsi="宋体"/>
          <w:sz w:val="24"/>
          <w:highlight w:val="none"/>
        </w:rPr>
      </w:pPr>
      <w:r>
        <w:rPr>
          <w:rFonts w:hint="eastAsia" w:ascii="仿宋_GB2312" w:hAnsi="宋体" w:eastAsia="仿宋_GB2312"/>
          <w:sz w:val="28"/>
          <w:szCs w:val="28"/>
          <w:highlight w:val="none"/>
        </w:rPr>
        <w:t>采购合同的履行、违约责任和解决争议的方法适用《中华人民共和国民法典》。</w:t>
      </w:r>
    </w:p>
    <w:p w14:paraId="3615BE1D">
      <w:pPr>
        <w:spacing w:line="560" w:lineRule="exact"/>
        <w:rPr>
          <w:rFonts w:ascii="宋体" w:hAnsi="宋体"/>
          <w:sz w:val="24"/>
          <w:highlight w:val="none"/>
        </w:rPr>
        <w:sectPr>
          <w:pgSz w:w="11906" w:h="16838"/>
          <w:pgMar w:top="1440" w:right="1080" w:bottom="1440" w:left="1080" w:header="851" w:footer="992" w:gutter="0"/>
          <w:cols w:space="720" w:num="1"/>
          <w:docGrid w:type="lines" w:linePitch="312" w:charSpace="0"/>
        </w:sectPr>
      </w:pPr>
    </w:p>
    <w:p w14:paraId="1D52A591">
      <w:pPr>
        <w:pStyle w:val="28"/>
        <w:numPr>
          <w:ilvl w:val="0"/>
          <w:numId w:val="1"/>
        </w:numPr>
        <w:spacing w:before="100" w:beforeAutospacing="1" w:after="100" w:afterAutospacing="1" w:line="415" w:lineRule="auto"/>
        <w:rPr>
          <w:rFonts w:ascii="楷体_GB2312" w:hAnsi="宋体" w:eastAsia="楷体_GB2312" w:cs="宋体"/>
          <w:sz w:val="44"/>
          <w:szCs w:val="44"/>
          <w:highlight w:val="none"/>
        </w:rPr>
      </w:pPr>
      <w:r>
        <w:rPr>
          <w:rFonts w:hint="eastAsia" w:ascii="仿宋" w:hAnsi="仿宋" w:eastAsia="仿宋" w:cs="仿宋"/>
          <w:sz w:val="44"/>
          <w:szCs w:val="44"/>
          <w:highlight w:val="none"/>
        </w:rPr>
        <w:t xml:space="preserve"> 采购内容与要求</w:t>
      </w:r>
    </w:p>
    <w:p w14:paraId="2F1427E1">
      <w:pPr>
        <w:pStyle w:val="12"/>
        <w:rPr>
          <w:highlight w:val="none"/>
        </w:rPr>
        <w:sectPr>
          <w:headerReference r:id="rId9" w:type="first"/>
          <w:footerReference r:id="rId10" w:type="default"/>
          <w:headerReference r:id="rId8" w:type="even"/>
          <w:pgSz w:w="11906" w:h="16838"/>
          <w:pgMar w:top="1440" w:right="1077" w:bottom="1440" w:left="1077" w:header="851" w:footer="992" w:gutter="0"/>
          <w:cols w:space="720" w:num="1"/>
          <w:docGrid w:type="lines" w:linePitch="312" w:charSpace="0"/>
        </w:sectPr>
      </w:pPr>
    </w:p>
    <w:bookmarkEnd w:id="14"/>
    <w:bookmarkEnd w:id="15"/>
    <w:bookmarkEnd w:id="16"/>
    <w:p w14:paraId="7E58D7F8">
      <w:pPr>
        <w:widowControl/>
        <w:spacing w:line="560" w:lineRule="exact"/>
        <w:ind w:firstLine="643" w:firstLineChars="200"/>
        <w:jc w:val="center"/>
        <w:rPr>
          <w:rFonts w:hint="eastAsia" w:ascii="仿宋" w:hAnsi="仿宋" w:eastAsia="仿宋" w:cs="仿宋"/>
          <w:b/>
          <w:bCs/>
          <w:kern w:val="44"/>
          <w:sz w:val="32"/>
          <w:szCs w:val="30"/>
          <w:highlight w:val="none"/>
        </w:rPr>
      </w:pPr>
      <w:bookmarkStart w:id="19" w:name="_Toc518982213"/>
      <w:bookmarkStart w:id="20" w:name="_Toc266431156"/>
      <w:bookmarkStart w:id="21" w:name="_Toc382129915"/>
      <w:bookmarkStart w:id="22" w:name="_Toc413596397"/>
      <w:r>
        <w:rPr>
          <w:rFonts w:hint="eastAsia" w:ascii="仿宋" w:hAnsi="仿宋" w:eastAsia="仿宋" w:cs="仿宋"/>
          <w:b/>
          <w:bCs/>
          <w:kern w:val="44"/>
          <w:sz w:val="32"/>
          <w:szCs w:val="30"/>
          <w:highlight w:val="none"/>
        </w:rPr>
        <w:t>第一部分 项目背景</w:t>
      </w:r>
      <w:bookmarkEnd w:id="19"/>
    </w:p>
    <w:p w14:paraId="344DCA59">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一、项目概况</w:t>
      </w:r>
    </w:p>
    <w:p w14:paraId="5DBE28A7">
      <w:pPr>
        <w:spacing w:line="560" w:lineRule="exact"/>
        <w:ind w:firstLine="560" w:firstLineChars="200"/>
        <w:rPr>
          <w:rFonts w:hint="eastAsia" w:ascii="仿宋_GB2312" w:hAnsi="宋体" w:eastAsia="仿宋_GB2312"/>
          <w:sz w:val="28"/>
          <w:szCs w:val="21"/>
          <w:highlight w:val="none"/>
        </w:rPr>
      </w:pPr>
      <w:r>
        <w:rPr>
          <w:rFonts w:hint="eastAsia" w:ascii="仿宋_GB2312" w:hAnsi="宋体" w:eastAsia="仿宋_GB2312"/>
          <w:sz w:val="28"/>
          <w:szCs w:val="21"/>
          <w:highlight w:val="none"/>
        </w:rPr>
        <w:t>项目名称：</w:t>
      </w:r>
      <w:r>
        <w:rPr>
          <w:rFonts w:hint="eastAsia" w:ascii="仿宋_GB2312" w:hAnsi="宋体" w:eastAsia="仿宋_GB2312"/>
          <w:sz w:val="28"/>
          <w:szCs w:val="28"/>
          <w:highlight w:val="none"/>
        </w:rPr>
        <w:t>朝阳港码头道路建设工程</w:t>
      </w:r>
    </w:p>
    <w:p w14:paraId="6FDD9E8D">
      <w:pPr>
        <w:spacing w:line="560" w:lineRule="exact"/>
        <w:ind w:firstLine="560" w:firstLineChars="200"/>
        <w:rPr>
          <w:rFonts w:hint="eastAsia" w:ascii="仿宋_GB2312" w:hAnsi="宋体" w:eastAsia="仿宋_GB2312"/>
          <w:sz w:val="28"/>
          <w:szCs w:val="21"/>
          <w:highlight w:val="none"/>
        </w:rPr>
      </w:pPr>
      <w:r>
        <w:rPr>
          <w:rFonts w:hint="eastAsia" w:ascii="仿宋_GB2312" w:hAnsi="宋体" w:eastAsia="仿宋_GB2312"/>
          <w:sz w:val="28"/>
          <w:szCs w:val="21"/>
          <w:highlight w:val="none"/>
        </w:rPr>
        <w:t>项目编号：</w:t>
      </w:r>
      <w:r>
        <w:rPr>
          <w:rFonts w:hint="eastAsia" w:ascii="仿宋_GB2312" w:hAnsi="宋体" w:eastAsia="仿宋_GB2312"/>
          <w:sz w:val="28"/>
          <w:szCs w:val="28"/>
          <w:highlight w:val="none"/>
        </w:rPr>
        <w:t>HYJZFCG2026-036</w:t>
      </w:r>
    </w:p>
    <w:p w14:paraId="5ADDC1E6">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项目概况说明：</w:t>
      </w:r>
      <w:r>
        <w:rPr>
          <w:rFonts w:hint="eastAsia" w:ascii="仿宋_GB2312" w:hAnsi="宋体" w:eastAsia="仿宋_GB2312"/>
          <w:sz w:val="28"/>
          <w:szCs w:val="28"/>
          <w:highlight w:val="none"/>
        </w:rPr>
        <w:t>朝阳港码头道路建设工程，位于荣成市朝阳港码头，工程内容包括</w:t>
      </w:r>
      <w:r>
        <w:rPr>
          <w:rFonts w:hint="eastAsia" w:ascii="仿宋" w:hAnsi="仿宋" w:eastAsia="仿宋" w:cs="仿宋"/>
          <w:sz w:val="28"/>
          <w:szCs w:val="28"/>
          <w:highlight w:val="none"/>
        </w:rPr>
        <w:t>路面硬化约5462平米、钢筋混凝土管道铺设约24米，</w:t>
      </w:r>
      <w:r>
        <w:rPr>
          <w:rFonts w:hint="eastAsia" w:ascii="仿宋_GB2312" w:hAnsi="宋体" w:eastAsia="仿宋_GB2312"/>
          <w:sz w:val="28"/>
          <w:szCs w:val="28"/>
          <w:highlight w:val="none"/>
        </w:rPr>
        <w:t>详见工程量清单。</w:t>
      </w:r>
    </w:p>
    <w:p w14:paraId="6D59B6D6">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二、采购目标</w:t>
      </w:r>
    </w:p>
    <w:p w14:paraId="640F93BC">
      <w:pPr>
        <w:pStyle w:val="2"/>
        <w:spacing w:line="560" w:lineRule="exact"/>
        <w:ind w:firstLine="560"/>
        <w:rPr>
          <w:rFonts w:ascii="仿宋_GB2312" w:hAnsi="宋体" w:eastAsia="仿宋_GB2312"/>
          <w:sz w:val="28"/>
          <w:highlight w:val="none"/>
        </w:rPr>
      </w:pPr>
      <w:r>
        <w:rPr>
          <w:rFonts w:hint="eastAsia" w:ascii="仿宋_GB2312" w:hAnsi="宋体" w:eastAsia="仿宋_GB2312"/>
          <w:sz w:val="28"/>
          <w:highlight w:val="none"/>
        </w:rPr>
        <w:t>采购标的需实现的功能或者目标：</w:t>
      </w:r>
      <w:r>
        <w:rPr>
          <w:rFonts w:hint="eastAsia" w:ascii="仿宋_GB2312" w:hAnsi="宋体" w:eastAsia="仿宋_GB2312"/>
          <w:sz w:val="28"/>
          <w:szCs w:val="28"/>
          <w:highlight w:val="none"/>
        </w:rPr>
        <w:t>达到现行国家质量验收规范合格标准。</w:t>
      </w:r>
    </w:p>
    <w:p w14:paraId="34355051">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三、采购预算</w:t>
      </w:r>
    </w:p>
    <w:p w14:paraId="24DD5DF3">
      <w:pPr>
        <w:pStyle w:val="2"/>
        <w:spacing w:line="560" w:lineRule="exact"/>
        <w:ind w:firstLine="560"/>
        <w:rPr>
          <w:rFonts w:hint="eastAsia" w:ascii="仿宋_GB2312" w:hAnsi="宋体" w:eastAsia="仿宋_GB2312"/>
          <w:sz w:val="28"/>
          <w:szCs w:val="28"/>
          <w:highlight w:val="none"/>
        </w:rPr>
      </w:pPr>
      <w:r>
        <w:rPr>
          <w:rFonts w:hint="eastAsia" w:ascii="仿宋_GB2312" w:hAnsi="宋体" w:eastAsia="仿宋_GB2312"/>
          <w:sz w:val="28"/>
          <w:szCs w:val="28"/>
          <w:highlight w:val="none"/>
        </w:rPr>
        <w:t>本项目包段的采购预算金额为人民币881170.16元。</w:t>
      </w:r>
    </w:p>
    <w:p w14:paraId="6DEEE7A5">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四、采购方式</w:t>
      </w:r>
    </w:p>
    <w:p w14:paraId="63C69BD2">
      <w:pPr>
        <w:pStyle w:val="2"/>
        <w:spacing w:line="560" w:lineRule="exact"/>
        <w:ind w:firstLine="560"/>
        <w:rPr>
          <w:rFonts w:ascii="仿宋_GB2312" w:hAnsi="宋体" w:eastAsia="仿宋_GB2312"/>
          <w:sz w:val="28"/>
          <w:highlight w:val="none"/>
        </w:rPr>
      </w:pPr>
      <w:r>
        <w:rPr>
          <w:rFonts w:hint="eastAsia" w:ascii="仿宋_GB2312" w:hAnsi="宋体" w:eastAsia="仿宋_GB2312"/>
          <w:sz w:val="28"/>
          <w:highlight w:val="none"/>
        </w:rPr>
        <w:t>本项目包段采用公开招标方式进行采购。</w:t>
      </w:r>
    </w:p>
    <w:p w14:paraId="321E4FA5">
      <w:pPr>
        <w:widowControl/>
        <w:spacing w:line="560" w:lineRule="exact"/>
        <w:ind w:firstLine="643" w:firstLineChars="200"/>
        <w:jc w:val="center"/>
        <w:rPr>
          <w:rFonts w:ascii="楷体_GB2312" w:hAnsi="宋体" w:eastAsia="楷体_GB2312"/>
          <w:b/>
          <w:bCs/>
          <w:kern w:val="44"/>
          <w:sz w:val="32"/>
          <w:szCs w:val="30"/>
          <w:highlight w:val="none"/>
        </w:rPr>
        <w:sectPr>
          <w:headerReference r:id="rId11" w:type="even"/>
          <w:footerReference r:id="rId12" w:type="even"/>
          <w:pgSz w:w="11906" w:h="16838"/>
          <w:pgMar w:top="1440" w:right="1077" w:bottom="1440" w:left="1077" w:header="851" w:footer="992" w:gutter="0"/>
          <w:cols w:space="720" w:num="1"/>
          <w:docGrid w:type="lines" w:linePitch="312" w:charSpace="0"/>
        </w:sectPr>
      </w:pPr>
    </w:p>
    <w:p w14:paraId="7F52D955">
      <w:pPr>
        <w:widowControl/>
        <w:spacing w:line="560" w:lineRule="exact"/>
        <w:ind w:firstLine="643" w:firstLineChars="200"/>
        <w:jc w:val="center"/>
        <w:rPr>
          <w:rFonts w:hint="eastAsia" w:ascii="仿宋" w:hAnsi="仿宋" w:eastAsia="仿宋" w:cs="仿宋"/>
          <w:b/>
          <w:bCs/>
          <w:kern w:val="44"/>
          <w:sz w:val="32"/>
          <w:szCs w:val="30"/>
          <w:highlight w:val="none"/>
        </w:rPr>
      </w:pPr>
      <w:r>
        <w:rPr>
          <w:rFonts w:hint="eastAsia" w:ascii="仿宋" w:hAnsi="仿宋" w:eastAsia="仿宋" w:cs="仿宋"/>
          <w:b/>
          <w:bCs/>
          <w:kern w:val="44"/>
          <w:sz w:val="32"/>
          <w:szCs w:val="30"/>
          <w:highlight w:val="none"/>
        </w:rPr>
        <w:t>第二部分</w:t>
      </w:r>
      <w:bookmarkStart w:id="23" w:name="_Toc509997285"/>
      <w:bookmarkStart w:id="24" w:name="_Toc518982215"/>
      <w:r>
        <w:rPr>
          <w:rFonts w:hint="eastAsia" w:ascii="仿宋" w:hAnsi="仿宋" w:eastAsia="仿宋" w:cs="仿宋"/>
          <w:b/>
          <w:bCs/>
          <w:kern w:val="44"/>
          <w:sz w:val="32"/>
          <w:szCs w:val="30"/>
          <w:highlight w:val="none"/>
        </w:rPr>
        <w:t xml:space="preserve"> 技术要求</w:t>
      </w:r>
      <w:bookmarkEnd w:id="23"/>
      <w:bookmarkEnd w:id="24"/>
    </w:p>
    <w:p w14:paraId="725E1BD0">
      <w:pPr>
        <w:spacing w:line="560" w:lineRule="exact"/>
        <w:ind w:firstLine="562" w:firstLineChars="200"/>
        <w:rPr>
          <w:rFonts w:hint="eastAsia" w:ascii="黑体" w:hAnsi="黑体" w:eastAsia="黑体"/>
          <w:b/>
          <w:sz w:val="28"/>
          <w:szCs w:val="21"/>
          <w:highlight w:val="none"/>
        </w:rPr>
      </w:pPr>
    </w:p>
    <w:p w14:paraId="1B74A2EC">
      <w:pPr>
        <w:pStyle w:val="2"/>
        <w:spacing w:line="560" w:lineRule="exact"/>
        <w:ind w:firstLine="0" w:firstLineChars="0"/>
        <w:rPr>
          <w:rFonts w:ascii="黑体" w:hAnsi="黑体" w:eastAsia="黑体"/>
          <w:b/>
          <w:sz w:val="28"/>
          <w:highlight w:val="none"/>
        </w:rPr>
      </w:pPr>
      <w:bookmarkStart w:id="25" w:name="_Toc491270023"/>
      <w:bookmarkStart w:id="26" w:name="_Toc502740285"/>
      <w:r>
        <w:rPr>
          <w:rFonts w:hint="eastAsia" w:ascii="仿宋" w:hAnsi="仿宋" w:eastAsia="仿宋" w:cs="仿宋"/>
          <w:b/>
          <w:sz w:val="28"/>
          <w:highlight w:val="none"/>
        </w:rPr>
        <w:t>一、清单编制说明</w:t>
      </w:r>
    </w:p>
    <w:bookmarkEnd w:id="25"/>
    <w:bookmarkEnd w:id="26"/>
    <w:p w14:paraId="1416F033">
      <w:pPr>
        <w:pStyle w:val="2"/>
        <w:spacing w:line="560" w:lineRule="exact"/>
        <w:ind w:firstLine="560"/>
        <w:rPr>
          <w:rFonts w:hint="eastAsia" w:ascii="仿宋_GB2312" w:hAnsi="宋体" w:eastAsia="仿宋_GB2312" w:cs="Times New Roman"/>
          <w:b/>
          <w:bCs/>
          <w:sz w:val="28"/>
          <w:szCs w:val="28"/>
          <w:highlight w:val="none"/>
        </w:rPr>
      </w:pPr>
      <w:r>
        <w:rPr>
          <w:rFonts w:hint="eastAsia" w:ascii="仿宋_GB2312" w:hAnsi="宋体" w:eastAsia="仿宋_GB2312" w:cs="Times New Roman"/>
          <w:b/>
          <w:bCs/>
          <w:sz w:val="28"/>
          <w:szCs w:val="28"/>
          <w:highlight w:val="none"/>
        </w:rPr>
        <w:t>1. 工程量清单说明</w:t>
      </w:r>
    </w:p>
    <w:p w14:paraId="443A6AB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1.1 本工程量清单是根据招标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3E183AA1">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1.2 本工程量清单应与招标文件中的投标人须知、通用合同条款、专用合同条款、技术标准和要求及图纸等一起阅读和理解。</w:t>
      </w:r>
    </w:p>
    <w:p w14:paraId="09AB271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1.3 本工程量清单仅是投标报价的共同基础，实际工程计量和工程价款的支付应遵循合同条款的约定和第七章“技术标准和要求”的有关规定。</w:t>
      </w:r>
    </w:p>
    <w:p w14:paraId="496F3CFD">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1.4 补充子目工程量计算规则及子目工作内容说明：无。</w:t>
      </w:r>
    </w:p>
    <w:p w14:paraId="3C03B711">
      <w:pPr>
        <w:pStyle w:val="2"/>
        <w:spacing w:line="560" w:lineRule="exact"/>
        <w:ind w:firstLine="560"/>
        <w:rPr>
          <w:rFonts w:hint="eastAsia" w:ascii="仿宋_GB2312" w:hAnsi="宋体" w:eastAsia="仿宋_GB2312" w:cs="Times New Roman"/>
          <w:b/>
          <w:bCs/>
          <w:sz w:val="28"/>
          <w:szCs w:val="28"/>
          <w:highlight w:val="none"/>
        </w:rPr>
      </w:pPr>
      <w:bookmarkStart w:id="27" w:name="_Toc415033346"/>
      <w:bookmarkStart w:id="28" w:name="_Toc247085857"/>
      <w:bookmarkStart w:id="29" w:name="_Toc144974836"/>
      <w:bookmarkStart w:id="30" w:name="_Toc246996342"/>
      <w:bookmarkStart w:id="31" w:name="_Toc367176227"/>
      <w:bookmarkStart w:id="32" w:name="_Toc502740286"/>
      <w:bookmarkStart w:id="33" w:name="_Toc152042556"/>
      <w:bookmarkStart w:id="34" w:name="_Toc179632791"/>
      <w:bookmarkStart w:id="35" w:name="_Toc152045774"/>
      <w:bookmarkStart w:id="36" w:name="_Toc246997085"/>
      <w:bookmarkStart w:id="37" w:name="_Toc474327810"/>
      <w:bookmarkStart w:id="38" w:name="_Toc491270024"/>
      <w:r>
        <w:rPr>
          <w:rFonts w:hint="eastAsia" w:ascii="仿宋_GB2312" w:hAnsi="宋体" w:eastAsia="仿宋_GB2312" w:cs="Times New Roman"/>
          <w:b/>
          <w:bCs/>
          <w:sz w:val="28"/>
          <w:szCs w:val="28"/>
          <w:highlight w:val="none"/>
        </w:rPr>
        <w:t>2. 投标报价说明</w:t>
      </w:r>
      <w:bookmarkEnd w:id="27"/>
      <w:bookmarkEnd w:id="28"/>
      <w:bookmarkEnd w:id="29"/>
      <w:bookmarkEnd w:id="30"/>
      <w:bookmarkEnd w:id="31"/>
      <w:bookmarkEnd w:id="32"/>
      <w:bookmarkEnd w:id="33"/>
      <w:bookmarkEnd w:id="34"/>
      <w:bookmarkEnd w:id="35"/>
      <w:bookmarkEnd w:id="36"/>
      <w:bookmarkEnd w:id="37"/>
      <w:bookmarkEnd w:id="38"/>
    </w:p>
    <w:p w14:paraId="47547DBE">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一、报价人须知：</w:t>
      </w:r>
    </w:p>
    <w:p w14:paraId="38334C0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1.应按工程量清单及其计价格式规定的内容进行编制、填写、签字、盖章。</w:t>
      </w:r>
    </w:p>
    <w:p w14:paraId="0ECA664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2.工程量清单及其计价格式中的任何内容不得随意删除或涂改。</w:t>
      </w:r>
    </w:p>
    <w:p w14:paraId="70690145">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3.工程量清单计价格式中列明的所有需要填报的单价和合价，投标人均应填报，未填报的单价和合价，视为此项费用已包含在工程量清单的其他单价和合价内。</w:t>
      </w:r>
    </w:p>
    <w:p w14:paraId="0F13EC6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4.金额（价格）均以人民币表示。</w:t>
      </w:r>
    </w:p>
    <w:p w14:paraId="451FF0F3">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rPr>
        <w:t>二、工程名称：</w:t>
      </w:r>
      <w:r>
        <w:rPr>
          <w:rFonts w:hint="eastAsia" w:ascii="仿宋_GB2312" w:hAnsi="宋体" w:eastAsia="仿宋_GB2312" w:cs="Times New Roman"/>
          <w:sz w:val="28"/>
          <w:szCs w:val="28"/>
          <w:highlight w:val="none"/>
          <w:lang w:val="en-US" w:eastAsia="zh-CN"/>
        </w:rPr>
        <w:t>朝阳港码头道路建设工程</w:t>
      </w:r>
    </w:p>
    <w:p w14:paraId="04668D37">
      <w:pPr>
        <w:pStyle w:val="2"/>
        <w:spacing w:line="560" w:lineRule="exact"/>
        <w:ind w:firstLine="560"/>
        <w:rPr>
          <w:rFonts w:hint="default"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rPr>
        <w:t>三、工</w:t>
      </w:r>
      <w:r>
        <w:rPr>
          <w:rFonts w:hint="eastAsia" w:ascii="仿宋_GB2312" w:hAnsi="宋体" w:eastAsia="仿宋_GB2312" w:cs="Times New Roman"/>
          <w:sz w:val="28"/>
          <w:szCs w:val="28"/>
          <w:highlight w:val="none"/>
          <w:lang w:eastAsia="zh-CN"/>
        </w:rPr>
        <w:t>程概况：</w:t>
      </w:r>
      <w:r>
        <w:rPr>
          <w:rFonts w:hint="eastAsia" w:ascii="仿宋_GB2312" w:hAnsi="宋体" w:eastAsia="仿宋_GB2312" w:cs="Times New Roman"/>
          <w:sz w:val="28"/>
          <w:szCs w:val="28"/>
          <w:highlight w:val="none"/>
          <w:lang w:val="en-US" w:eastAsia="zh-CN"/>
        </w:rPr>
        <w:t>项目</w:t>
      </w:r>
      <w:r>
        <w:rPr>
          <w:rFonts w:hint="eastAsia" w:ascii="仿宋_GB2312" w:hAnsi="宋体" w:eastAsia="仿宋_GB2312" w:cs="Times New Roman"/>
          <w:sz w:val="28"/>
          <w:szCs w:val="28"/>
          <w:highlight w:val="none"/>
          <w:lang w:eastAsia="zh-CN"/>
        </w:rPr>
        <w:t>位于荣成市。路面硬化约</w:t>
      </w:r>
      <w:r>
        <w:rPr>
          <w:rFonts w:hint="eastAsia" w:ascii="仿宋_GB2312" w:hAnsi="宋体" w:eastAsia="仿宋_GB2312" w:cs="Times New Roman"/>
          <w:sz w:val="28"/>
          <w:szCs w:val="28"/>
          <w:highlight w:val="none"/>
          <w:lang w:val="en-US" w:eastAsia="zh-CN"/>
        </w:rPr>
        <w:t>5462平米、钢筋混凝土管道铺设约24米。</w:t>
      </w:r>
    </w:p>
    <w:p w14:paraId="4A75BD29">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四、工程招标范围：设计图纸范围内的道路硬化、管道敷设、护栏等项目，具体以工程量清单为准。</w:t>
      </w:r>
    </w:p>
    <w:p w14:paraId="1F723CB7">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五、工程质量：达到国家验收规范合格标准。</w:t>
      </w:r>
    </w:p>
    <w:p w14:paraId="77CF1F07">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六、编制依据：</w:t>
      </w:r>
    </w:p>
    <w:p w14:paraId="3DE5BE52">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1.建设部《</w:t>
      </w:r>
      <w:r>
        <w:rPr>
          <w:rFonts w:hint="eastAsia" w:ascii="仿宋_GB2312" w:hAnsi="宋体" w:eastAsia="仿宋_GB2312" w:cs="Times New Roman"/>
          <w:sz w:val="28"/>
          <w:szCs w:val="28"/>
          <w:highlight w:val="none"/>
          <w:lang w:eastAsia="zh-CN"/>
        </w:rPr>
        <w:t>市政</w:t>
      </w:r>
      <w:r>
        <w:rPr>
          <w:rFonts w:hint="eastAsia" w:ascii="仿宋_GB2312" w:hAnsi="宋体" w:eastAsia="仿宋_GB2312" w:cs="Times New Roman"/>
          <w:sz w:val="28"/>
          <w:szCs w:val="28"/>
          <w:highlight w:val="none"/>
        </w:rPr>
        <w:t>工程工程量清单计价规范》(GB50</w:t>
      </w:r>
      <w:r>
        <w:rPr>
          <w:rFonts w:hint="eastAsia" w:ascii="仿宋_GB2312" w:hAnsi="宋体" w:eastAsia="仿宋_GB2312" w:cs="Times New Roman"/>
          <w:sz w:val="28"/>
          <w:szCs w:val="28"/>
          <w:highlight w:val="none"/>
          <w:lang w:val="en-US" w:eastAsia="zh-CN"/>
        </w:rPr>
        <w:t>857</w:t>
      </w:r>
      <w:r>
        <w:rPr>
          <w:rFonts w:hint="eastAsia" w:ascii="仿宋_GB2312" w:hAnsi="宋体" w:eastAsia="仿宋_GB2312" w:cs="Times New Roman"/>
          <w:sz w:val="28"/>
          <w:szCs w:val="28"/>
          <w:highlight w:val="none"/>
        </w:rPr>
        <w:t>-201</w:t>
      </w:r>
      <w:r>
        <w:rPr>
          <w:rFonts w:hint="eastAsia" w:ascii="仿宋_GB2312" w:hAnsi="宋体" w:eastAsia="仿宋_GB2312" w:cs="Times New Roman"/>
          <w:sz w:val="28"/>
          <w:szCs w:val="28"/>
          <w:highlight w:val="none"/>
          <w:lang w:val="en-US" w:eastAsia="zh-CN"/>
        </w:rPr>
        <w:t>3</w:t>
      </w:r>
      <w:r>
        <w:rPr>
          <w:rFonts w:hint="eastAsia" w:ascii="仿宋_GB2312" w:hAnsi="宋体" w:eastAsia="仿宋_GB2312" w:cs="Times New Roman"/>
          <w:sz w:val="28"/>
          <w:szCs w:val="28"/>
          <w:highlight w:val="none"/>
        </w:rPr>
        <w:t>)；</w:t>
      </w:r>
    </w:p>
    <w:p w14:paraId="28E23E60">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2.</w:t>
      </w:r>
      <w:r>
        <w:rPr>
          <w:rFonts w:hint="eastAsia" w:ascii="仿宋_GB2312" w:hAnsi="宋体" w:eastAsia="仿宋_GB2312" w:cs="Times New Roman"/>
          <w:sz w:val="28"/>
          <w:szCs w:val="28"/>
          <w:highlight w:val="none"/>
        </w:rPr>
        <w:t>《</w:t>
      </w:r>
      <w:r>
        <w:rPr>
          <w:rFonts w:hint="eastAsia" w:ascii="仿宋_GB2312" w:hAnsi="宋体" w:eastAsia="仿宋_GB2312" w:cs="Times New Roman"/>
          <w:sz w:val="28"/>
          <w:szCs w:val="28"/>
          <w:highlight w:val="none"/>
          <w:lang w:val="en-US" w:eastAsia="zh-CN"/>
        </w:rPr>
        <w:t>山东省市政工程费用项目组成及计算规则》(2022)</w:t>
      </w:r>
    </w:p>
    <w:p w14:paraId="46637DA3">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3.设计施工图纸及相关设计答疑等资料；</w:t>
      </w:r>
    </w:p>
    <w:p w14:paraId="02BD4CA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lang w:val="en-US" w:eastAsia="zh-CN"/>
        </w:rPr>
        <w:t>4</w:t>
      </w:r>
      <w:r>
        <w:rPr>
          <w:rFonts w:hint="eastAsia" w:ascii="仿宋_GB2312" w:hAnsi="宋体" w:eastAsia="仿宋_GB2312" w:cs="Times New Roman"/>
          <w:sz w:val="28"/>
          <w:szCs w:val="28"/>
          <w:highlight w:val="none"/>
        </w:rPr>
        <w:t>.与建设项目相关的标准设计图集、规范、技术资料等；</w:t>
      </w:r>
    </w:p>
    <w:p w14:paraId="7718A8A6">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5.施工现场情况、工程特点及常规施工方案。</w:t>
      </w:r>
    </w:p>
    <w:p w14:paraId="20BF1A1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七、清单项目中凡注明“以下、以内、小于”字样者，均包括本身；注明“以上、以外、大于”字样者，均不包括本身。</w:t>
      </w:r>
    </w:p>
    <w:p w14:paraId="0FAAD996">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八、投标单位参与投标视为已考察工程现场，对现场情况（包括工地位置情况、道路、存贮空间、各种材料制作加工场地、装运限制及任何其他足以影响报价的情况）已较为了解和充分预计，并能根据已了解情况合理组织完成施工。现场原有工程的实际情况（包括与其他专业施工单位交接过程中的各种因素）、大型机械进场时间导致机械降效、场地安排、扬尘治理、裸露部分覆盖、安全文明施工等工程实际发生费用视为在报价中已充分考虑，任何因忽视或误解工地情况而导致的索赔或工期延长将不被批准。</w:t>
      </w:r>
    </w:p>
    <w:p w14:paraId="5853521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九、投标单位在投标报价时，应根据现场条件、招标文件要求，按照《</w:t>
      </w:r>
      <w:r>
        <w:rPr>
          <w:rFonts w:hint="eastAsia" w:ascii="仿宋_GB2312" w:hAnsi="宋体" w:eastAsia="仿宋_GB2312" w:cs="Times New Roman"/>
          <w:sz w:val="28"/>
          <w:szCs w:val="28"/>
          <w:highlight w:val="none"/>
          <w:lang w:eastAsia="zh-CN"/>
        </w:rPr>
        <w:t>市政</w:t>
      </w:r>
      <w:r>
        <w:rPr>
          <w:rFonts w:hint="eastAsia" w:ascii="仿宋_GB2312" w:hAnsi="宋体" w:eastAsia="仿宋_GB2312" w:cs="Times New Roman"/>
          <w:sz w:val="28"/>
          <w:szCs w:val="28"/>
          <w:highlight w:val="none"/>
        </w:rPr>
        <w:t>工程工程量清单计价规范》、</w:t>
      </w:r>
      <w:r>
        <w:rPr>
          <w:rFonts w:hint="eastAsia" w:ascii="仿宋_GB2312" w:hAnsi="宋体" w:eastAsia="仿宋_GB2312" w:cs="Times New Roman"/>
          <w:sz w:val="28"/>
          <w:szCs w:val="28"/>
          <w:highlight w:val="none"/>
          <w:lang w:val="en-US" w:eastAsia="zh-CN"/>
        </w:rPr>
        <w:t>.</w:t>
      </w:r>
      <w:r>
        <w:rPr>
          <w:rFonts w:hint="eastAsia" w:ascii="仿宋_GB2312" w:hAnsi="宋体" w:eastAsia="仿宋_GB2312" w:cs="Times New Roman"/>
          <w:sz w:val="28"/>
          <w:szCs w:val="28"/>
          <w:highlight w:val="none"/>
        </w:rPr>
        <w:t>《</w:t>
      </w:r>
      <w:r>
        <w:rPr>
          <w:rFonts w:hint="eastAsia" w:ascii="仿宋_GB2312" w:hAnsi="宋体" w:eastAsia="仿宋_GB2312" w:cs="Times New Roman"/>
          <w:sz w:val="28"/>
          <w:szCs w:val="28"/>
          <w:highlight w:val="none"/>
          <w:lang w:val="en-US" w:eastAsia="zh-CN"/>
        </w:rPr>
        <w:t>山东省市政工程费用项目组成及计算规则》</w:t>
      </w:r>
      <w:r>
        <w:rPr>
          <w:rFonts w:hint="eastAsia" w:ascii="仿宋_GB2312" w:hAnsi="宋体" w:eastAsia="仿宋_GB2312" w:cs="Times New Roman"/>
          <w:sz w:val="28"/>
          <w:szCs w:val="28"/>
          <w:highlight w:val="none"/>
        </w:rPr>
        <w:t>、本清单说明及子目规定的计算规则，结合施工方案、技术规范、技术装备、技术能力、施工管理经验及市场行情等规定综合分析及测算，在保证成本且有适当利润的前提下填报。</w:t>
      </w:r>
    </w:p>
    <w:p w14:paraId="543490F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十、投标单位在投标报价时，应考虑本工程的招标范围、工期要求与承包方式、以及不同专业交叉作业影响，并将与此有关的可能产生的费用考虑在相应的投标报价中。</w:t>
      </w:r>
    </w:p>
    <w:p w14:paraId="1A96CF8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一、投标单位在投标报价时，应根据企业自身实力结合市场信息，充分考虑市场竞争因素和市场风险进行自主报价。工程量清单计价表中的综合单价应包括完成本项目（清单子目）内容所需的人工费、材料费、机械使用费、大型机械进出场费、制作费、运输费、安装费、管理费、利润、措施费、其它费用、规费、税金、损耗等，并考虑风险因素，以及为完成本工程项目（清单子目）的施工所发生于该工程施工前和施工过程中技术、生活、安全等方面的非工程实体项目费用，以及招标文件和合同中明确的其他责任和义务。</w:t>
      </w:r>
    </w:p>
    <w:p w14:paraId="1A9AD13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十二、投标单位应详细填写工程量清单计价表中的每一项综合单价及合价，如某一项没有填写视为已包括在其它项目清单的综合单价及总价内。</w:t>
      </w:r>
    </w:p>
    <w:p w14:paraId="1AA3CBD1">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三</w:t>
      </w:r>
      <w:r>
        <w:rPr>
          <w:rFonts w:hint="eastAsia" w:ascii="仿宋_GB2312" w:hAnsi="宋体" w:eastAsia="仿宋_GB2312" w:cs="Times New Roman"/>
          <w:sz w:val="28"/>
          <w:szCs w:val="28"/>
          <w:highlight w:val="none"/>
        </w:rPr>
        <w:t>、投标人必须完成所有按国家相关法律法规、行业规范等文件要求完成的检测和验收，由此产生的费用投标人在报价时须予以考虑，结算时不增加此部分费用。</w:t>
      </w:r>
    </w:p>
    <w:p w14:paraId="4737EFF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四</w:t>
      </w:r>
      <w:r>
        <w:rPr>
          <w:rFonts w:hint="eastAsia" w:ascii="仿宋_GB2312" w:hAnsi="宋体" w:eastAsia="仿宋_GB2312" w:cs="Times New Roman"/>
          <w:sz w:val="28"/>
          <w:szCs w:val="28"/>
          <w:highlight w:val="none"/>
        </w:rPr>
        <w:t>、工程施工中，为保证工程质量，施工单位自行采取的施工工艺措施项目，均由投标单位在报价时自行考虑，结算时不增加此部分费用。</w:t>
      </w:r>
    </w:p>
    <w:p w14:paraId="3B59B6D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五</w:t>
      </w:r>
      <w:r>
        <w:rPr>
          <w:rFonts w:hint="eastAsia" w:ascii="仿宋_GB2312" w:hAnsi="宋体" w:eastAsia="仿宋_GB2312" w:cs="Times New Roman"/>
          <w:sz w:val="28"/>
          <w:szCs w:val="28"/>
          <w:highlight w:val="none"/>
        </w:rPr>
        <w:t>、所有材料均应选用符合国标的产品，甲方规定品牌的要在主材表中注明选用材料的品牌，所有由投标单位自主报价的材料，采购前中标单位均须提供样品，经招标人同意后方可使用；若中标单位提供的样品或因其它的原因达不到招标人的要求，招标人有权指定供应商，一切费用由中标单位承担。</w:t>
      </w:r>
    </w:p>
    <w:p w14:paraId="1C5B74B5">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六</w:t>
      </w:r>
      <w:r>
        <w:rPr>
          <w:rFonts w:hint="eastAsia" w:ascii="仿宋_GB2312" w:hAnsi="宋体" w:eastAsia="仿宋_GB2312" w:cs="Times New Roman"/>
          <w:sz w:val="28"/>
          <w:szCs w:val="28"/>
          <w:highlight w:val="none"/>
        </w:rPr>
        <w:t>、投标报价中的规费、税金为不可竞争费用，所有清单项目均应按相应规定足额计取；投标人在投标报价中，不得对上述费用进行让利或者优惠，否则否决其投标。本工程报价中应包含社会保障费，结算时按规定执行。</w:t>
      </w:r>
    </w:p>
    <w:p w14:paraId="527DDE3E">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七</w:t>
      </w:r>
      <w:r>
        <w:rPr>
          <w:rFonts w:hint="eastAsia" w:ascii="仿宋_GB2312" w:hAnsi="宋体" w:eastAsia="仿宋_GB2312" w:cs="Times New Roman"/>
          <w:sz w:val="28"/>
          <w:szCs w:val="28"/>
          <w:highlight w:val="none"/>
        </w:rPr>
        <w:t>、投标人在投标报价时，应综合考虑以下费用：</w:t>
      </w:r>
    </w:p>
    <w:p w14:paraId="56E491B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1.图纸与清单不符的以清单为准，清单未注明的以图纸为准。</w:t>
      </w:r>
    </w:p>
    <w:p w14:paraId="50FEB743">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2.工程量清单中的工作内容和项目特征描述，均为分部分项清单项目的主要内容。若有未列全的其他内容由投标人按照招标文件、设计图纸、规范等资料要求综合考虑；设计及规范等资料未明确的由投标人根据现场考察、施工经验和相关资料综合考虑；或于答疑前书面提出，在答疑时统一解决。所有分部分项工程量清单均以完成该清单项目的所有内容为准考虑到综合报价中，结算时不予调整。结算时对清单特征描述中未施工的部分予以相应的扣除。</w:t>
      </w:r>
    </w:p>
    <w:p w14:paraId="40BD2DA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3. “材料暂估价一览表”“费用暂估价一览表”中已给定的材料及费用价格为暂估价格，报价时按暂估价格进入综合单价，结算时按照业主认定的实际价格调整。其他没有暂估价格的材料由施工单位自主报价，结算时不再调整。</w:t>
      </w:r>
    </w:p>
    <w:p w14:paraId="3513BA7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 xml:space="preserve">4. </w:t>
      </w:r>
      <w:r>
        <w:rPr>
          <w:rFonts w:hint="eastAsia" w:ascii="仿宋_GB2312" w:hAnsi="宋体" w:eastAsia="仿宋_GB2312" w:cs="Times New Roman"/>
          <w:sz w:val="28"/>
          <w:szCs w:val="28"/>
          <w:highlight w:val="none"/>
          <w:lang w:eastAsia="zh-CN"/>
        </w:rPr>
        <w:t>“其他项目清单与计价汇总表”中的</w:t>
      </w:r>
      <w:r>
        <w:rPr>
          <w:rFonts w:hint="eastAsia" w:ascii="仿宋_GB2312" w:hAnsi="宋体" w:eastAsia="仿宋_GB2312" w:cs="Times New Roman"/>
          <w:sz w:val="28"/>
          <w:szCs w:val="28"/>
          <w:highlight w:val="none"/>
        </w:rPr>
        <w:t>“暂列金额”</w:t>
      </w:r>
      <w:r>
        <w:rPr>
          <w:rFonts w:hint="eastAsia" w:ascii="仿宋_GB2312" w:hAnsi="宋体" w:eastAsia="仿宋_GB2312" w:cs="Times New Roman"/>
          <w:sz w:val="28"/>
          <w:szCs w:val="28"/>
          <w:highlight w:val="none"/>
          <w:lang w:eastAsia="zh-CN"/>
        </w:rPr>
        <w:t>、“承包人专业工程暂估价”</w:t>
      </w:r>
      <w:r>
        <w:rPr>
          <w:rFonts w:hint="eastAsia" w:ascii="仿宋_GB2312" w:hAnsi="宋体" w:eastAsia="仿宋_GB2312" w:cs="Times New Roman"/>
          <w:sz w:val="28"/>
          <w:szCs w:val="28"/>
          <w:highlight w:val="none"/>
        </w:rPr>
        <w:t>所列项目按已给定金额计入投标报价，其中各项费用已包含规费、税金。</w:t>
      </w:r>
    </w:p>
    <w:p w14:paraId="4A58A943">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5.本工程的主要材料，建设单位都有提出更换的权力，因建设单位提出材料变更导致材料产生差价建设单位给予找补差价，但差价不再参与取费,只计取规费与税金。</w:t>
      </w:r>
    </w:p>
    <w:p w14:paraId="2217FF7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6.无论招标人是否给出暂估价格，本工程的材料、设备，招标人保留自行采购的权利。</w:t>
      </w:r>
    </w:p>
    <w:p w14:paraId="25E6FA4D">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7.所有投标报价材料均应包括其采购保管费用，运输费、施工现场内外搬运费、二次倒运费、检验试验费等所有费用，并根据实际情况考虑材料的损耗率，在结算中，不再考虑损耗及运距等因素而调整综合单价。</w:t>
      </w:r>
    </w:p>
    <w:p w14:paraId="4C42A194">
      <w:pPr>
        <w:pStyle w:val="2"/>
        <w:spacing w:line="560" w:lineRule="exact"/>
        <w:ind w:firstLine="560"/>
        <w:rPr>
          <w:rFonts w:hint="eastAsia" w:ascii="仿宋_GB2312" w:hAnsi="宋体" w:eastAsia="仿宋_GB2312" w:cs="Times New Roman"/>
          <w:sz w:val="28"/>
          <w:szCs w:val="28"/>
          <w:highlight w:val="none"/>
          <w:lang w:eastAsia="zh-CN"/>
        </w:rPr>
      </w:pPr>
      <w:r>
        <w:rPr>
          <w:rFonts w:hint="eastAsia" w:ascii="仿宋_GB2312" w:hAnsi="宋体" w:eastAsia="仿宋_GB2312" w:cs="Times New Roman"/>
          <w:sz w:val="28"/>
          <w:szCs w:val="28"/>
          <w:highlight w:val="none"/>
        </w:rPr>
        <w:t>8.施工现场临时场地、临时水、电已开通至</w:t>
      </w:r>
      <w:r>
        <w:rPr>
          <w:rFonts w:hint="eastAsia" w:ascii="仿宋_GB2312" w:hAnsi="宋体" w:eastAsia="仿宋_GB2312" w:cs="Times New Roman"/>
          <w:sz w:val="28"/>
          <w:szCs w:val="28"/>
          <w:highlight w:val="none"/>
          <w:lang w:eastAsia="zh-CN"/>
        </w:rPr>
        <w:t>用地</w:t>
      </w:r>
      <w:r>
        <w:rPr>
          <w:rFonts w:hint="eastAsia" w:ascii="仿宋_GB2312" w:hAnsi="宋体" w:eastAsia="仿宋_GB2312" w:cs="Times New Roman"/>
          <w:sz w:val="28"/>
          <w:szCs w:val="28"/>
          <w:highlight w:val="none"/>
        </w:rPr>
        <w:t>红线内，红线内的所有临设费用(包括施工单位利用地下水的费用）、用电费用由投标单位自行解决，并且根据水源电源接入点及平面布置，所需费用全部包含在相应的投标报价中，结算时不增加此部分费用。</w:t>
      </w:r>
      <w:r>
        <w:rPr>
          <w:rFonts w:hint="eastAsia" w:ascii="仿宋_GB2312" w:hAnsi="宋体" w:eastAsia="仿宋_GB2312" w:cs="Times New Roman"/>
          <w:sz w:val="28"/>
          <w:szCs w:val="28"/>
          <w:highlight w:val="none"/>
          <w:lang w:eastAsia="zh-CN"/>
        </w:rPr>
        <w:t>若建设单位未能将施工电源接通至用地红线内，由此产生的自备发电机组（含租赁、燃油、进出场安拆）等全部费用，另行签证计取，不计入投标报价。</w:t>
      </w:r>
    </w:p>
    <w:p w14:paraId="1612F989">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9.在施工过程中可能产生的扬尘、噪音、车辆进出等因素，不得对周围居民的安全、财产及正常生活等造成影响，需采取的措施及费用均需考虑在投标报价当中；若因此引起纠纷及损失，均由投标单位自行解决。</w:t>
      </w:r>
    </w:p>
    <w:p w14:paraId="6B4B534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10.中标单位为本工程提供的各类车辆及机械设备费用，包括机械设备的进出场、装卸、拼装、交通标示牌、警示牌等所有费用，应包括在清单报价中，投标单位应充分考虑施工过程中发生的各种机械的多次进出场和机械停滞的费用及风险费用，结算时不再增加此部分费用。</w:t>
      </w:r>
    </w:p>
    <w:p w14:paraId="669B253C">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11.填报综合单价时应考虑完成本项目（清单子目）内容所需的人工费、材料费、机械使用费、管理费、利润、规费、税金，并考虑与此项目有关的风险因素等一切费用，结算时不再调整。</w:t>
      </w:r>
    </w:p>
    <w:p w14:paraId="20F74D5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12.投标报价要充分考虑施工过程中不可避免的赶工期增加费，结算不予调整。</w:t>
      </w:r>
    </w:p>
    <w:p w14:paraId="670FD98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八</w:t>
      </w:r>
      <w:r>
        <w:rPr>
          <w:rFonts w:hint="eastAsia" w:ascii="仿宋_GB2312" w:hAnsi="宋体" w:eastAsia="仿宋_GB2312" w:cs="Times New Roman"/>
          <w:sz w:val="28"/>
          <w:szCs w:val="28"/>
          <w:highlight w:val="none"/>
        </w:rPr>
        <w:t>、建筑工程清单报价时，投标人应注意：</w:t>
      </w:r>
    </w:p>
    <w:p w14:paraId="48946CD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 xml:space="preserve"> 1.土方挖填运的报价应综合开挖、</w:t>
      </w:r>
      <w:r>
        <w:rPr>
          <w:rFonts w:hint="eastAsia" w:ascii="仿宋_GB2312" w:hAnsi="宋体" w:eastAsia="仿宋_GB2312" w:cs="Times New Roman"/>
          <w:sz w:val="28"/>
          <w:szCs w:val="28"/>
          <w:highlight w:val="none"/>
          <w:lang w:val="en-US" w:eastAsia="zh-CN"/>
        </w:rPr>
        <w:t>回填、</w:t>
      </w:r>
      <w:r>
        <w:rPr>
          <w:rFonts w:hint="eastAsia" w:ascii="仿宋_GB2312" w:hAnsi="宋体" w:eastAsia="仿宋_GB2312" w:cs="Times New Roman"/>
          <w:sz w:val="28"/>
          <w:szCs w:val="28"/>
          <w:highlight w:val="none"/>
        </w:rPr>
        <w:t>人工清槽、钎探、灌砂、堆放、倒运、运输的费用</w:t>
      </w:r>
      <w:r>
        <w:rPr>
          <w:rFonts w:hint="eastAsia" w:ascii="仿宋_GB2312" w:hAnsi="宋体" w:eastAsia="仿宋_GB2312" w:cs="Times New Roman"/>
          <w:sz w:val="28"/>
          <w:szCs w:val="28"/>
          <w:highlight w:val="none"/>
          <w:lang w:val="en-US" w:eastAsia="zh-CN"/>
        </w:rPr>
        <w:t>。</w:t>
      </w:r>
      <w:r>
        <w:rPr>
          <w:rFonts w:hint="eastAsia" w:ascii="仿宋_GB2312" w:hAnsi="宋体" w:eastAsia="仿宋_GB2312" w:cs="Times New Roman"/>
          <w:sz w:val="28"/>
          <w:szCs w:val="28"/>
          <w:highlight w:val="none"/>
        </w:rPr>
        <w:t xml:space="preserve">根据施工组织设计并结合现场实际情况综合考虑运输距离、运输方式等相关因素，由投标单位根据现场情况综合报价。 </w:t>
      </w:r>
    </w:p>
    <w:p w14:paraId="4ECBC939">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2.工程施工中砼的报价应包含砼、运输费、各种方式的泵送费、添加剂（包括抗渗剂、防冻剂、泵送剂等）的费用。商品砼的泵送时产生的组管、洗管、配合泵送的所有材料及人工机械费，各种泵的电费燃料费等，投标报价中应综合考虑，结算时与此有关的费用不另外调整。结算时混凝土标号与清单不一致，可找补不同标号的差价，差价只计取规费、税金。</w:t>
      </w:r>
    </w:p>
    <w:p w14:paraId="1519068C">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 xml:space="preserve">3.所有涉及砂浆项目的报价应结合本工程的实际情况和政府的相关规定考虑砂浆的施工方式，实际施工中无论是否采用预拌或采用现场搅拌，结算中均不调整报价中的单价。砂浆价格应综合考虑砂浆罐的租赁费，结算时不再另计取。结算时砂浆的品种及标号与清单不一致，可找补不同标号的差价，差价只计取规费、税金。 </w:t>
      </w:r>
    </w:p>
    <w:p w14:paraId="6C9775C3">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lang w:val="en-US" w:eastAsia="zh-CN"/>
        </w:rPr>
        <w:t>4</w:t>
      </w:r>
      <w:r>
        <w:rPr>
          <w:rFonts w:hint="eastAsia" w:ascii="仿宋_GB2312" w:hAnsi="宋体" w:eastAsia="仿宋_GB2312" w:cs="Times New Roman"/>
          <w:sz w:val="28"/>
          <w:szCs w:val="28"/>
          <w:highlight w:val="none"/>
        </w:rPr>
        <w:t>.钢筋材料的抗震要求、对焊接头等应考虑在相应的钢筋报价中，未来结算时不因此调整任何费用。如设计或规范要求可采用焊接方式的， 无论实际是否采用焊接，结算</w:t>
      </w:r>
      <w:r>
        <w:rPr>
          <w:rFonts w:hint="eastAsia" w:ascii="仿宋_GB2312" w:hAnsi="宋体" w:eastAsia="仿宋_GB2312" w:cs="Times New Roman"/>
          <w:sz w:val="28"/>
          <w:szCs w:val="28"/>
          <w:highlight w:val="none"/>
          <w:lang w:val="en-US" w:eastAsia="zh-CN"/>
        </w:rPr>
        <w:t>时</w:t>
      </w:r>
      <w:r>
        <w:rPr>
          <w:rFonts w:hint="eastAsia" w:ascii="仿宋_GB2312" w:hAnsi="宋体" w:eastAsia="仿宋_GB2312" w:cs="Times New Roman"/>
          <w:sz w:val="28"/>
          <w:szCs w:val="28"/>
          <w:highlight w:val="none"/>
        </w:rPr>
        <w:t>不再另外搭接费用。 钢筋的定尺长度综合考虑，结算时不调整。</w:t>
      </w:r>
    </w:p>
    <w:p w14:paraId="5BCEB31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二十、特别说明：</w:t>
      </w:r>
    </w:p>
    <w:p w14:paraId="7D2C3470">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工程量清单单价采用全费用单价报价模式，投标单价中需综合考虑为完成工程量清单中的每一项目所需的人工、材料、施工机械使用费、管理费、利润、措施费、其它费用、检验费、规费、税金以及合同中明确的所有责任、义务和不可抗力以外一定范围风险等所有费用。招标人提供的工程量清单中的数量为估算数，仅做投标用，不做为结算支付的依据。工程结算时以业主及财审部门核实的实际完成工程量作为结算依据。</w:t>
      </w:r>
    </w:p>
    <w:p w14:paraId="4D9789E6">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rPr>
        <w:t>2、</w:t>
      </w:r>
      <w:r>
        <w:rPr>
          <w:rFonts w:hint="eastAsia" w:ascii="仿宋_GB2312" w:hAnsi="宋体" w:eastAsia="仿宋_GB2312" w:cs="Times New Roman"/>
          <w:sz w:val="28"/>
          <w:szCs w:val="28"/>
          <w:highlight w:val="none"/>
          <w:lang w:val="en-US" w:eastAsia="zh-CN"/>
        </w:rPr>
        <w:t>变更价款确定原则：</w:t>
      </w:r>
    </w:p>
    <w:p w14:paraId="1E74E44D">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（1）清单中已有适用于变更工程的价格，按清单已有的价格变更清单价款。</w:t>
      </w:r>
    </w:p>
    <w:p w14:paraId="25EDCFC0">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（2）清单中只有类似于变更工程的价格，可以参照类似价格变更清单价款。</w:t>
      </w:r>
    </w:p>
    <w:p w14:paraId="0A72EDE3">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3）已标价工程量清单中无相同项目及类似项目单价的按以下方式结算：市场上有单列价的项目按市场价计算；套用定额的项目采用2016版山东省工程消耗量相关定额，价目表、定额人工及相关费率按省市相关规定执行，人工按117元找差价，相关材料价格按财审部门确认的同期价格计算，其中套用建筑、安装（不含设备、电缆）、装饰的项目工程造价下浮7%，套用市政、园林绿化工程的项目造价下浮2%；房建类的维修改造项目，套定额部分不下浮。在上述下浮比的基础上再按照中标价与控制价之间的下浮比例下浮，中标价与控制价之间的下浮比例小于5%的按5%执行，单列项及设备不下浮。若招标清单内项目实际完成工程量超过招标清单工程量15%的，则超过部分价格按2013版《建设工程工程量清单计价规范》确定。</w:t>
      </w:r>
    </w:p>
    <w:p w14:paraId="13D2113B">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3、投标报价时须按营改增后的计价依据执行，采用增值税一般计税方法。</w:t>
      </w:r>
    </w:p>
    <w:p w14:paraId="5A9DD2FB">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4、投标单位在投标报价时，按照一般计税法进行报价，增值税税率为9%。中标后需按规定开具增值税专用发票。若出现因中标单位纳税资格所开具的增值税专用发票税率与投标税率不一致的情况，最终结算时税率按照中标单位实际开具的增值税专用发票税率调整，仅调整税率差额，其他影响因素不调整，即调后的总造价=[投标税率工程总造价/（1+ 投标税率）]*(1+实际税率)。规费费率按现行规定计取。</w:t>
      </w:r>
    </w:p>
    <w:p w14:paraId="329AAE75">
      <w:pPr>
        <w:pStyle w:val="2"/>
        <w:spacing w:line="560" w:lineRule="exact"/>
        <w:ind w:firstLine="560"/>
        <w:rPr>
          <w:rFonts w:hint="eastAsia" w:ascii="宋体" w:hAnsi="宋体" w:eastAsia="宋体" w:cs="宋体"/>
          <w:sz w:val="24"/>
          <w:szCs w:val="24"/>
          <w:highlight w:val="none"/>
          <w:lang w:val="en-US" w:eastAsia="zh-CN"/>
        </w:rPr>
      </w:pPr>
      <w:r>
        <w:rPr>
          <w:rFonts w:hint="eastAsia" w:ascii="仿宋_GB2312" w:hAnsi="宋体" w:eastAsia="仿宋_GB2312" w:cs="Times New Roman"/>
          <w:sz w:val="28"/>
          <w:szCs w:val="28"/>
          <w:highlight w:val="none"/>
          <w:lang w:val="en-US" w:eastAsia="zh-CN"/>
        </w:rPr>
        <w:t>5、本工程所有砼均为商品砼，砂浆为预拌砂浆。</w:t>
      </w:r>
    </w:p>
    <w:p w14:paraId="453FF598">
      <w:pPr>
        <w:pStyle w:val="2"/>
        <w:spacing w:line="560" w:lineRule="exact"/>
        <w:rPr>
          <w:rFonts w:hint="eastAsia" w:ascii="仿宋_GB2312" w:hAnsi="宋体" w:eastAsia="仿宋_GB2312"/>
          <w:sz w:val="28"/>
          <w:szCs w:val="28"/>
          <w:highlight w:val="none"/>
          <w:u w:val="single"/>
        </w:rPr>
      </w:pPr>
      <w:r>
        <w:rPr>
          <w:rFonts w:hint="eastAsia" w:ascii="仿宋" w:hAnsi="仿宋" w:eastAsia="仿宋" w:cs="仿宋"/>
          <w:b/>
          <w:sz w:val="28"/>
          <w:highlight w:val="none"/>
        </w:rPr>
        <w:t>二、计划工期</w:t>
      </w:r>
      <w:r>
        <w:rPr>
          <w:rFonts w:hint="eastAsia" w:ascii="黑体" w:hAnsi="黑体" w:eastAsia="黑体"/>
          <w:b/>
          <w:sz w:val="28"/>
          <w:highlight w:val="none"/>
        </w:rPr>
        <w:t>：</w:t>
      </w:r>
      <w:r>
        <w:rPr>
          <w:rFonts w:hint="eastAsia" w:ascii="仿宋_GB2312" w:hAnsi="宋体" w:eastAsia="仿宋_GB2312"/>
          <w:sz w:val="28"/>
          <w:szCs w:val="28"/>
          <w:highlight w:val="none"/>
          <w:u w:val="none"/>
        </w:rPr>
        <w:t>60日历天</w:t>
      </w:r>
      <w:r>
        <w:rPr>
          <w:rFonts w:ascii="仿宋_GB2312" w:hAnsi="宋体" w:eastAsia="仿宋_GB2312"/>
          <w:sz w:val="28"/>
          <w:szCs w:val="28"/>
          <w:highlight w:val="none"/>
          <w:u w:val="none"/>
        </w:rPr>
        <w:t>，</w:t>
      </w:r>
      <w:r>
        <w:rPr>
          <w:rFonts w:hint="eastAsia" w:ascii="仿宋_GB2312" w:hAnsi="宋体" w:eastAsia="仿宋_GB2312"/>
          <w:sz w:val="28"/>
          <w:szCs w:val="28"/>
          <w:highlight w:val="none"/>
          <w:u w:val="none"/>
        </w:rPr>
        <w:t>实际开竣工日期由建设单位根据工程实际情况确定，中标单位应予遵守。</w:t>
      </w:r>
    </w:p>
    <w:p w14:paraId="2E943FD5">
      <w:pPr>
        <w:pStyle w:val="2"/>
        <w:spacing w:line="560" w:lineRule="exact"/>
        <w:ind w:firstLine="562"/>
        <w:rPr>
          <w:rFonts w:hint="eastAsia" w:ascii="仿宋_GB2312" w:hAnsi="宋体" w:eastAsia="仿宋_GB2312"/>
          <w:sz w:val="28"/>
          <w:szCs w:val="28"/>
          <w:highlight w:val="none"/>
          <w:u w:val="single"/>
        </w:rPr>
      </w:pPr>
      <w:r>
        <w:rPr>
          <w:rFonts w:hint="eastAsia" w:ascii="仿宋" w:hAnsi="仿宋" w:eastAsia="仿宋" w:cs="仿宋"/>
          <w:b/>
          <w:sz w:val="28"/>
          <w:highlight w:val="none"/>
        </w:rPr>
        <w:t>三、工程保修期</w:t>
      </w:r>
      <w:r>
        <w:rPr>
          <w:rFonts w:hint="eastAsia" w:ascii="仿宋_GB2312" w:hAnsi="宋体" w:eastAsia="仿宋_GB2312"/>
          <w:sz w:val="28"/>
          <w:szCs w:val="28"/>
          <w:highlight w:val="none"/>
          <w:u w:val="none"/>
        </w:rPr>
        <w:t>：2年</w:t>
      </w:r>
    </w:p>
    <w:p w14:paraId="3F057678">
      <w:pPr>
        <w:spacing w:line="560" w:lineRule="exact"/>
        <w:ind w:firstLine="562" w:firstLineChars="200"/>
        <w:rPr>
          <w:rFonts w:ascii="仿宋_GB2312" w:hAnsi="宋体" w:eastAsia="黑体"/>
          <w:sz w:val="28"/>
          <w:szCs w:val="28"/>
          <w:highlight w:val="none"/>
        </w:rPr>
      </w:pPr>
      <w:r>
        <w:rPr>
          <w:rFonts w:hint="eastAsia" w:ascii="仿宋" w:hAnsi="仿宋" w:eastAsia="仿宋" w:cs="仿宋"/>
          <w:b/>
          <w:sz w:val="28"/>
          <w:szCs w:val="21"/>
          <w:highlight w:val="none"/>
        </w:rPr>
        <w:t>四、施工地点</w:t>
      </w:r>
      <w:r>
        <w:rPr>
          <w:rFonts w:hint="eastAsia" w:ascii="黑体" w:hAnsi="黑体" w:eastAsia="黑体"/>
          <w:b/>
          <w:sz w:val="28"/>
          <w:szCs w:val="21"/>
          <w:highlight w:val="none"/>
        </w:rPr>
        <w:t>：</w:t>
      </w:r>
      <w:r>
        <w:rPr>
          <w:rFonts w:hint="eastAsia" w:ascii="仿宋_GB2312" w:hAnsi="宋体" w:eastAsia="仿宋_GB2312"/>
          <w:sz w:val="28"/>
          <w:szCs w:val="28"/>
          <w:highlight w:val="none"/>
        </w:rPr>
        <w:t>荣成市朝阳港码头</w:t>
      </w:r>
    </w:p>
    <w:p w14:paraId="0537461B">
      <w:pPr>
        <w:spacing w:line="560" w:lineRule="exact"/>
        <w:ind w:firstLine="562" w:firstLineChars="200"/>
        <w:rPr>
          <w:rFonts w:hint="eastAsia" w:ascii="仿宋_GB2312" w:hAnsi="宋体" w:eastAsia="黑体"/>
          <w:sz w:val="28"/>
          <w:szCs w:val="28"/>
          <w:highlight w:val="none"/>
        </w:rPr>
      </w:pPr>
      <w:r>
        <w:rPr>
          <w:rFonts w:hint="eastAsia" w:ascii="仿宋" w:hAnsi="仿宋" w:eastAsia="仿宋" w:cs="仿宋"/>
          <w:b/>
          <w:sz w:val="28"/>
          <w:szCs w:val="21"/>
          <w:highlight w:val="none"/>
        </w:rPr>
        <w:t>五、付款方式</w:t>
      </w:r>
      <w:r>
        <w:rPr>
          <w:rFonts w:hint="eastAsia" w:ascii="黑体" w:hAnsi="黑体" w:eastAsia="黑体"/>
          <w:b/>
          <w:sz w:val="28"/>
          <w:szCs w:val="21"/>
          <w:highlight w:val="none"/>
        </w:rPr>
        <w:t>：</w:t>
      </w:r>
      <w:r>
        <w:rPr>
          <w:rFonts w:hint="eastAsia" w:ascii="仿宋_GB2312" w:hAnsi="宋体" w:eastAsia="仿宋_GB2312"/>
          <w:sz w:val="28"/>
          <w:szCs w:val="28"/>
          <w:highlight w:val="none"/>
        </w:rPr>
        <w:t>本项目无预付款，按照招标人拨款进度付款。</w:t>
      </w:r>
    </w:p>
    <w:p w14:paraId="367D324A">
      <w:pPr>
        <w:pStyle w:val="2"/>
        <w:spacing w:line="560" w:lineRule="exact"/>
        <w:ind w:firstLine="562"/>
        <w:rPr>
          <w:rFonts w:hint="eastAsia" w:ascii="仿宋" w:hAnsi="仿宋" w:eastAsia="仿宋" w:cs="仿宋"/>
          <w:b/>
          <w:sz w:val="28"/>
          <w:highlight w:val="none"/>
        </w:rPr>
      </w:pPr>
      <w:r>
        <w:rPr>
          <w:rFonts w:hint="eastAsia" w:ascii="仿宋" w:hAnsi="仿宋" w:eastAsia="仿宋" w:cs="仿宋"/>
          <w:b/>
          <w:sz w:val="28"/>
          <w:highlight w:val="none"/>
        </w:rPr>
        <w:t xml:space="preserve">六、采购人联系方式 </w:t>
      </w:r>
    </w:p>
    <w:p w14:paraId="10B492EE">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采购人：荣成海达置业有限公司</w:t>
      </w:r>
    </w:p>
    <w:p w14:paraId="01666ACB">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采购人地址：荣成市好运角旅游度假区</w:t>
      </w:r>
    </w:p>
    <w:p w14:paraId="306317C1">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联系人：于涛</w:t>
      </w:r>
    </w:p>
    <w:p w14:paraId="22863BCD">
      <w:pPr>
        <w:widowControl/>
        <w:spacing w:line="520" w:lineRule="exact"/>
        <w:ind w:firstLine="592" w:firstLineChars="200"/>
        <w:jc w:val="left"/>
        <w:rPr>
          <w:rFonts w:hint="eastAsia" w:ascii="仿宋_GB2312" w:hAnsi="仿宋" w:eastAsia="仿宋_GB2312" w:cs="宋体"/>
          <w:spacing w:val="8"/>
          <w:kern w:val="0"/>
          <w:sz w:val="28"/>
          <w:szCs w:val="28"/>
          <w:highlight w:val="none"/>
        </w:rPr>
        <w:sectPr>
          <w:headerReference r:id="rId13" w:type="default"/>
          <w:pgSz w:w="11906" w:h="16838"/>
          <w:pgMar w:top="1440" w:right="1077" w:bottom="1440" w:left="1077" w:header="851" w:footer="992" w:gutter="0"/>
          <w:cols w:space="720" w:num="1"/>
          <w:docGrid w:type="lines" w:linePitch="312" w:charSpace="0"/>
        </w:sectPr>
      </w:pPr>
      <w:r>
        <w:rPr>
          <w:rFonts w:hint="eastAsia" w:ascii="仿宋_GB2312" w:hAnsi="仿宋" w:eastAsia="仿宋_GB2312" w:cs="宋体"/>
          <w:spacing w:val="8"/>
          <w:kern w:val="0"/>
          <w:sz w:val="28"/>
          <w:szCs w:val="28"/>
          <w:highlight w:val="none"/>
        </w:rPr>
        <w:t>联系电话：18563108935</w:t>
      </w:r>
    </w:p>
    <w:p w14:paraId="7C1557E1">
      <w:pPr>
        <w:pStyle w:val="12"/>
        <w:jc w:val="left"/>
        <w:rPr>
          <w:rFonts w:hint="eastAsia" w:ascii="楷体_GB2312" w:hAnsi="宋体" w:eastAsia="楷体_GB2312" w:cs="宋体"/>
          <w:b/>
          <w:bCs/>
          <w:kern w:val="2"/>
          <w:sz w:val="44"/>
          <w:szCs w:val="44"/>
          <w:highlight w:val="none"/>
        </w:rPr>
      </w:pPr>
      <w:r>
        <w:rPr>
          <w:rFonts w:hint="eastAsia" w:ascii="仿宋" w:hAnsi="仿宋" w:eastAsia="仿宋" w:cs="仿宋"/>
          <w:b/>
          <w:kern w:val="2"/>
          <w:sz w:val="28"/>
          <w:szCs w:val="21"/>
          <w:highlight w:val="none"/>
        </w:rPr>
        <w:t>补充文件：</w:t>
      </w:r>
    </w:p>
    <w:p w14:paraId="18354D4B">
      <w:pPr>
        <w:pStyle w:val="12"/>
        <w:jc w:val="center"/>
        <w:rPr>
          <w:rFonts w:hint="eastAsia" w:ascii="仿宋" w:hAnsi="仿宋" w:eastAsia="仿宋" w:cs="仿宋"/>
          <w:b/>
          <w:bCs/>
          <w:kern w:val="2"/>
          <w:sz w:val="44"/>
          <w:szCs w:val="44"/>
          <w:highlight w:val="none"/>
        </w:rPr>
      </w:pPr>
      <w:r>
        <w:rPr>
          <w:rFonts w:hint="eastAsia" w:ascii="仿宋" w:hAnsi="仿宋" w:eastAsia="仿宋" w:cs="仿宋"/>
          <w:b/>
          <w:bCs/>
          <w:sz w:val="36"/>
          <w:szCs w:val="36"/>
          <w:highlight w:val="none"/>
          <w:lang w:bidi="ar"/>
        </w:rPr>
        <w:t>工程量清单</w:t>
      </w:r>
    </w:p>
    <w:p w14:paraId="31942252">
      <w:pPr>
        <w:pStyle w:val="12"/>
        <w:rPr>
          <w:rFonts w:hint="eastAsia" w:ascii="楷体_GB2312" w:hAnsi="宋体" w:eastAsia="楷体_GB2312" w:cs="宋体"/>
          <w:b/>
          <w:bCs/>
          <w:kern w:val="2"/>
          <w:sz w:val="44"/>
          <w:szCs w:val="44"/>
          <w:highlight w:val="none"/>
        </w:rPr>
      </w:pPr>
      <w:r>
        <w:rPr>
          <w:rFonts w:hint="eastAsia" w:ascii="宋体" w:hAnsi="宋体" w:cs="宋体"/>
          <w:sz w:val="18"/>
          <w:szCs w:val="18"/>
          <w:highlight w:val="none"/>
          <w:lang w:bidi="ar"/>
        </w:rPr>
        <w:t>工程名称:朝阳港码头道路建设工程</w:t>
      </w:r>
    </w:p>
    <w:tbl>
      <w:tblPr>
        <w:tblStyle w:val="31"/>
        <w:tblW w:w="9156" w:type="dxa"/>
        <w:tblInd w:w="93" w:type="dxa"/>
        <w:tblLayout w:type="autofit"/>
        <w:tblCellMar>
          <w:top w:w="0" w:type="dxa"/>
          <w:left w:w="108" w:type="dxa"/>
          <w:bottom w:w="0" w:type="dxa"/>
          <w:right w:w="108" w:type="dxa"/>
        </w:tblCellMar>
      </w:tblPr>
      <w:tblGrid>
        <w:gridCol w:w="489"/>
        <w:gridCol w:w="1400"/>
        <w:gridCol w:w="2843"/>
        <w:gridCol w:w="535"/>
        <w:gridCol w:w="846"/>
        <w:gridCol w:w="936"/>
        <w:gridCol w:w="1202"/>
        <w:gridCol w:w="905"/>
      </w:tblGrid>
      <w:tr w14:paraId="3D87FB25">
        <w:tblPrEx>
          <w:tblCellMar>
            <w:top w:w="0" w:type="dxa"/>
            <w:left w:w="108" w:type="dxa"/>
            <w:bottom w:w="0" w:type="dxa"/>
            <w:right w:w="108" w:type="dxa"/>
          </w:tblCellMar>
        </w:tblPrEx>
        <w:trPr>
          <w:trHeight w:val="264" w:hRule="atLeast"/>
        </w:trPr>
        <w:tc>
          <w:tcPr>
            <w:tcW w:w="489" w:type="dxa"/>
            <w:vMerge w:val="restart"/>
            <w:tcBorders>
              <w:top w:val="single" w:color="000000" w:sz="4" w:space="0"/>
              <w:left w:val="single" w:color="000000" w:sz="4" w:space="0"/>
              <w:bottom w:val="single" w:color="000000" w:sz="4" w:space="0"/>
              <w:right w:val="single" w:color="000000" w:sz="4" w:space="0"/>
            </w:tcBorders>
            <w:noWrap w:val="0"/>
            <w:vAlign w:val="center"/>
          </w:tcPr>
          <w:p w14:paraId="1B4A945A">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序号</w:t>
            </w:r>
          </w:p>
        </w:tc>
        <w:tc>
          <w:tcPr>
            <w:tcW w:w="1400" w:type="dxa"/>
            <w:vMerge w:val="restart"/>
            <w:tcBorders>
              <w:top w:val="single" w:color="000000" w:sz="4" w:space="0"/>
              <w:left w:val="single" w:color="000000" w:sz="4" w:space="0"/>
              <w:bottom w:val="single" w:color="000000" w:sz="4" w:space="0"/>
              <w:right w:val="single" w:color="000000" w:sz="4" w:space="0"/>
            </w:tcBorders>
            <w:noWrap w:val="0"/>
            <w:vAlign w:val="center"/>
          </w:tcPr>
          <w:p w14:paraId="52C98590">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项目编码</w:t>
            </w:r>
          </w:p>
        </w:tc>
        <w:tc>
          <w:tcPr>
            <w:tcW w:w="2843" w:type="dxa"/>
            <w:vMerge w:val="restart"/>
            <w:tcBorders>
              <w:top w:val="single" w:color="000000" w:sz="4" w:space="0"/>
              <w:left w:val="single" w:color="000000" w:sz="4" w:space="0"/>
              <w:bottom w:val="single" w:color="000000" w:sz="4" w:space="0"/>
              <w:right w:val="single" w:color="000000" w:sz="4" w:space="0"/>
            </w:tcBorders>
            <w:noWrap w:val="0"/>
            <w:vAlign w:val="center"/>
          </w:tcPr>
          <w:p w14:paraId="192DF597">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项目名称</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项目特征</w:t>
            </w:r>
          </w:p>
        </w:tc>
        <w:tc>
          <w:tcPr>
            <w:tcW w:w="535" w:type="dxa"/>
            <w:vMerge w:val="restart"/>
            <w:tcBorders>
              <w:top w:val="single" w:color="000000" w:sz="4" w:space="0"/>
              <w:left w:val="single" w:color="000000" w:sz="4" w:space="0"/>
              <w:bottom w:val="single" w:color="000000" w:sz="4" w:space="0"/>
              <w:right w:val="single" w:color="000000" w:sz="4" w:space="0"/>
            </w:tcBorders>
            <w:noWrap w:val="0"/>
            <w:vAlign w:val="center"/>
          </w:tcPr>
          <w:p w14:paraId="30570319">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计量</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单位</w:t>
            </w:r>
          </w:p>
        </w:tc>
        <w:tc>
          <w:tcPr>
            <w:tcW w:w="846" w:type="dxa"/>
            <w:vMerge w:val="restart"/>
            <w:tcBorders>
              <w:top w:val="single" w:color="000000" w:sz="4" w:space="0"/>
              <w:left w:val="single" w:color="000000" w:sz="4" w:space="0"/>
              <w:bottom w:val="single" w:color="000000" w:sz="4" w:space="0"/>
              <w:right w:val="single" w:color="000000" w:sz="4" w:space="0"/>
            </w:tcBorders>
            <w:noWrap w:val="0"/>
            <w:vAlign w:val="center"/>
          </w:tcPr>
          <w:p w14:paraId="536B72A7">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工程量</w:t>
            </w:r>
          </w:p>
        </w:tc>
        <w:tc>
          <w:tcPr>
            <w:tcW w:w="3043" w:type="dxa"/>
            <w:gridSpan w:val="3"/>
            <w:tcBorders>
              <w:top w:val="single" w:color="000000" w:sz="4" w:space="0"/>
              <w:left w:val="single" w:color="000000" w:sz="4" w:space="0"/>
              <w:bottom w:val="single" w:color="000000" w:sz="4" w:space="0"/>
              <w:right w:val="single" w:color="000000" w:sz="4" w:space="0"/>
            </w:tcBorders>
            <w:noWrap w:val="0"/>
            <w:vAlign w:val="center"/>
          </w:tcPr>
          <w:p w14:paraId="10C9199E">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金额（元）</w:t>
            </w:r>
          </w:p>
        </w:tc>
      </w:tr>
      <w:tr w14:paraId="0BB669B8">
        <w:tblPrEx>
          <w:tblCellMar>
            <w:top w:w="0" w:type="dxa"/>
            <w:left w:w="108" w:type="dxa"/>
            <w:bottom w:w="0" w:type="dxa"/>
            <w:right w:w="108" w:type="dxa"/>
          </w:tblCellMar>
        </w:tblPrEx>
        <w:trPr>
          <w:trHeight w:val="384" w:hRule="atLeast"/>
        </w:trPr>
        <w:tc>
          <w:tcPr>
            <w:tcW w:w="489" w:type="dxa"/>
            <w:vMerge w:val="continue"/>
            <w:tcBorders>
              <w:top w:val="single" w:color="000000" w:sz="4" w:space="0"/>
              <w:left w:val="single" w:color="000000" w:sz="4" w:space="0"/>
              <w:bottom w:val="single" w:color="000000" w:sz="4" w:space="0"/>
              <w:right w:val="single" w:color="000000" w:sz="4" w:space="0"/>
            </w:tcBorders>
            <w:noWrap w:val="0"/>
            <w:vAlign w:val="center"/>
          </w:tcPr>
          <w:p w14:paraId="00957749">
            <w:pPr>
              <w:jc w:val="center"/>
              <w:rPr>
                <w:rFonts w:hint="eastAsia" w:ascii="宋体" w:hAnsi="宋体" w:cs="宋体"/>
                <w:b/>
                <w:bCs/>
                <w:color w:val="000000"/>
                <w:sz w:val="16"/>
                <w:szCs w:val="16"/>
                <w:highlight w:val="none"/>
              </w:rPr>
            </w:pPr>
          </w:p>
        </w:tc>
        <w:tc>
          <w:tcPr>
            <w:tcW w:w="14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243BB7F1">
            <w:pPr>
              <w:jc w:val="center"/>
              <w:rPr>
                <w:rFonts w:hint="eastAsia" w:ascii="宋体" w:hAnsi="宋体" w:cs="宋体"/>
                <w:b/>
                <w:bCs/>
                <w:color w:val="000000"/>
                <w:sz w:val="16"/>
                <w:szCs w:val="16"/>
                <w:highlight w:val="none"/>
              </w:rPr>
            </w:pPr>
          </w:p>
        </w:tc>
        <w:tc>
          <w:tcPr>
            <w:tcW w:w="2843" w:type="dxa"/>
            <w:vMerge w:val="continue"/>
            <w:tcBorders>
              <w:top w:val="single" w:color="000000" w:sz="4" w:space="0"/>
              <w:left w:val="single" w:color="000000" w:sz="4" w:space="0"/>
              <w:bottom w:val="single" w:color="000000" w:sz="4" w:space="0"/>
              <w:right w:val="single" w:color="000000" w:sz="4" w:space="0"/>
            </w:tcBorders>
            <w:noWrap w:val="0"/>
            <w:vAlign w:val="center"/>
          </w:tcPr>
          <w:p w14:paraId="06CA6780">
            <w:pPr>
              <w:jc w:val="center"/>
              <w:rPr>
                <w:rFonts w:hint="eastAsia" w:ascii="宋体" w:hAnsi="宋体" w:cs="宋体"/>
                <w:b/>
                <w:bCs/>
                <w:color w:val="000000"/>
                <w:sz w:val="16"/>
                <w:szCs w:val="16"/>
                <w:highlight w:val="none"/>
              </w:rPr>
            </w:pPr>
          </w:p>
        </w:tc>
        <w:tc>
          <w:tcPr>
            <w:tcW w:w="535" w:type="dxa"/>
            <w:vMerge w:val="continue"/>
            <w:tcBorders>
              <w:top w:val="single" w:color="000000" w:sz="4" w:space="0"/>
              <w:left w:val="single" w:color="000000" w:sz="4" w:space="0"/>
              <w:bottom w:val="single" w:color="000000" w:sz="4" w:space="0"/>
              <w:right w:val="single" w:color="000000" w:sz="4" w:space="0"/>
            </w:tcBorders>
            <w:noWrap w:val="0"/>
            <w:vAlign w:val="center"/>
          </w:tcPr>
          <w:p w14:paraId="11D241A5">
            <w:pPr>
              <w:jc w:val="center"/>
              <w:rPr>
                <w:rFonts w:hint="eastAsia" w:ascii="宋体" w:hAnsi="宋体" w:cs="宋体"/>
                <w:b/>
                <w:bCs/>
                <w:color w:val="000000"/>
                <w:sz w:val="16"/>
                <w:szCs w:val="16"/>
                <w:highlight w:val="none"/>
              </w:rPr>
            </w:pPr>
          </w:p>
        </w:tc>
        <w:tc>
          <w:tcPr>
            <w:tcW w:w="8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6360C863">
            <w:pPr>
              <w:jc w:val="center"/>
              <w:rPr>
                <w:rFonts w:hint="eastAsia" w:ascii="宋体" w:hAnsi="宋体" w:cs="宋体"/>
                <w:b/>
                <w:bCs/>
                <w:color w:val="000000"/>
                <w:sz w:val="16"/>
                <w:szCs w:val="16"/>
                <w:highlight w:val="none"/>
              </w:rPr>
            </w:pPr>
          </w:p>
        </w:tc>
        <w:tc>
          <w:tcPr>
            <w:tcW w:w="936" w:type="dxa"/>
            <w:tcBorders>
              <w:top w:val="single" w:color="000000" w:sz="4" w:space="0"/>
              <w:left w:val="single" w:color="000000" w:sz="4" w:space="0"/>
              <w:bottom w:val="single" w:color="000000" w:sz="4" w:space="0"/>
              <w:right w:val="single" w:color="000000" w:sz="4" w:space="0"/>
            </w:tcBorders>
            <w:noWrap w:val="0"/>
            <w:vAlign w:val="center"/>
          </w:tcPr>
          <w:p w14:paraId="2102A131">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综合单价</w:t>
            </w:r>
          </w:p>
        </w:tc>
        <w:tc>
          <w:tcPr>
            <w:tcW w:w="1202" w:type="dxa"/>
            <w:tcBorders>
              <w:top w:val="single" w:color="000000" w:sz="4" w:space="0"/>
              <w:left w:val="single" w:color="000000" w:sz="4" w:space="0"/>
              <w:bottom w:val="single" w:color="000000" w:sz="4" w:space="0"/>
              <w:right w:val="single" w:color="000000" w:sz="4" w:space="0"/>
            </w:tcBorders>
            <w:noWrap w:val="0"/>
            <w:vAlign w:val="center"/>
          </w:tcPr>
          <w:p w14:paraId="6C9EE5D1">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合价</w:t>
            </w:r>
          </w:p>
        </w:tc>
        <w:tc>
          <w:tcPr>
            <w:tcW w:w="905" w:type="dxa"/>
            <w:tcBorders>
              <w:top w:val="single" w:color="000000" w:sz="4" w:space="0"/>
              <w:left w:val="single" w:color="000000" w:sz="4" w:space="0"/>
              <w:bottom w:val="single" w:color="000000" w:sz="4" w:space="0"/>
              <w:right w:val="single" w:color="000000" w:sz="4" w:space="0"/>
            </w:tcBorders>
            <w:noWrap w:val="0"/>
            <w:vAlign w:val="center"/>
          </w:tcPr>
          <w:p w14:paraId="1A5EADA7">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备注</w:t>
            </w:r>
          </w:p>
        </w:tc>
      </w:tr>
      <w:tr w14:paraId="4D0BEF0B">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4AB69345">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25B16FB">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38C104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朝阳港码头道路建设工程</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2041B6C6">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90A9D3">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2E8C24">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37283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52547F">
            <w:pPr>
              <w:widowControl/>
              <w:jc w:val="right"/>
              <w:textAlignment w:val="center"/>
              <w:rPr>
                <w:rFonts w:hint="eastAsia" w:ascii="宋体" w:hAnsi="宋体" w:cs="宋体"/>
                <w:color w:val="000000"/>
                <w:sz w:val="18"/>
                <w:szCs w:val="18"/>
                <w:highlight w:val="none"/>
              </w:rPr>
            </w:pPr>
          </w:p>
        </w:tc>
      </w:tr>
      <w:tr w14:paraId="6A0DAB31">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0660A0D7">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952477B">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57DC357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市政工程</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8EE45ED">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6DB217">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7D9932">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CBB49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66E7E2">
            <w:pPr>
              <w:widowControl/>
              <w:jc w:val="right"/>
              <w:textAlignment w:val="center"/>
              <w:rPr>
                <w:rFonts w:hint="eastAsia" w:ascii="宋体" w:hAnsi="宋体" w:cs="宋体"/>
                <w:color w:val="000000"/>
                <w:sz w:val="18"/>
                <w:szCs w:val="18"/>
                <w:highlight w:val="none"/>
              </w:rPr>
            </w:pPr>
          </w:p>
        </w:tc>
      </w:tr>
      <w:tr w14:paraId="0A0ECB5A">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87F7BD6">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6D180825">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BC523F7">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道路工程</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3433CE49">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30B827">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A6461F">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CD819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1899F3">
            <w:pPr>
              <w:widowControl/>
              <w:jc w:val="right"/>
              <w:textAlignment w:val="center"/>
              <w:rPr>
                <w:rFonts w:hint="eastAsia" w:ascii="宋体" w:hAnsi="宋体" w:cs="宋体"/>
                <w:color w:val="000000"/>
                <w:sz w:val="18"/>
                <w:szCs w:val="18"/>
                <w:highlight w:val="none"/>
              </w:rPr>
            </w:pPr>
          </w:p>
        </w:tc>
      </w:tr>
      <w:tr w14:paraId="6CB96432">
        <w:tblPrEx>
          <w:tblCellMar>
            <w:top w:w="0" w:type="dxa"/>
            <w:left w:w="108" w:type="dxa"/>
            <w:bottom w:w="0" w:type="dxa"/>
            <w:right w:w="108" w:type="dxa"/>
          </w:tblCellMar>
        </w:tblPrEx>
        <w:trPr>
          <w:trHeight w:val="1080"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A97DA7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0FC484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5EB7259F">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路床(槽)整形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1.部位：道路路基</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2.厚度：±30cm以内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3.压实度：大于等于94%，重型压实标准</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5D773AF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201C6C">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5720.00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25EC5C">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52BBD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993CAF">
            <w:pPr>
              <w:jc w:val="right"/>
              <w:rPr>
                <w:rFonts w:hint="eastAsia" w:ascii="宋体" w:hAnsi="宋体" w:cs="宋体"/>
                <w:color w:val="000000"/>
                <w:sz w:val="18"/>
                <w:szCs w:val="18"/>
                <w:highlight w:val="none"/>
              </w:rPr>
            </w:pPr>
          </w:p>
        </w:tc>
      </w:tr>
      <w:tr w14:paraId="5FE3CA21">
        <w:tblPrEx>
          <w:tblCellMar>
            <w:top w:w="0" w:type="dxa"/>
            <w:left w:w="108" w:type="dxa"/>
            <w:bottom w:w="0" w:type="dxa"/>
            <w:right w:w="108" w:type="dxa"/>
          </w:tblCellMar>
        </w:tblPrEx>
        <w:trPr>
          <w:trHeight w:val="237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E12B42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B68AC02">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22CDA8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0FB104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0260D3">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2838.89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74EF4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551A7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DFFA8F">
            <w:pPr>
              <w:jc w:val="right"/>
              <w:rPr>
                <w:rFonts w:hint="eastAsia" w:ascii="宋体" w:hAnsi="宋体" w:cs="宋体"/>
                <w:color w:val="000000"/>
                <w:sz w:val="18"/>
                <w:szCs w:val="18"/>
                <w:highlight w:val="none"/>
              </w:rPr>
            </w:pPr>
          </w:p>
        </w:tc>
      </w:tr>
      <w:tr w14:paraId="56D631A2">
        <w:tblPrEx>
          <w:tblCellMar>
            <w:top w:w="0" w:type="dxa"/>
            <w:left w:w="108" w:type="dxa"/>
            <w:bottom w:w="0" w:type="dxa"/>
            <w:right w:w="108" w:type="dxa"/>
          </w:tblCellMar>
        </w:tblPrEx>
        <w:trPr>
          <w:trHeight w:val="1080"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1C0FB76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3</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3B52D3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040202011001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12CA2D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碎石垫层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1.材料品种、规格:级配碎石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2.厚度:15cm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3.含运输、摊铺、碾压、养护等所需一切工序</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01212E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9D708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5677.76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6F824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FCCA4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22C3E9">
            <w:pPr>
              <w:jc w:val="right"/>
              <w:rPr>
                <w:rFonts w:hint="eastAsia" w:ascii="宋体" w:hAnsi="宋体" w:cs="宋体"/>
                <w:color w:val="000000"/>
                <w:sz w:val="18"/>
                <w:szCs w:val="18"/>
                <w:highlight w:val="none"/>
              </w:rPr>
            </w:pPr>
          </w:p>
        </w:tc>
      </w:tr>
      <w:tr w14:paraId="54F219C2">
        <w:tblPrEx>
          <w:tblCellMar>
            <w:top w:w="0" w:type="dxa"/>
            <w:left w:w="108" w:type="dxa"/>
            <w:bottom w:w="0" w:type="dxa"/>
            <w:right w:w="108" w:type="dxa"/>
          </w:tblCellMar>
        </w:tblPrEx>
        <w:trPr>
          <w:trHeight w:val="692"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AD500A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4</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2249A25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040203007001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E7F714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水泥混凝土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1.厚度：20cm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2.混凝土强度等级：C30</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3.其他：含模板制作、安装、拆除、混凝土拌和、运输、浇筑、伸缩缝、传力杆、分隔缝、表面拉毛处理等工作内容</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606416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BE022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5461.39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76849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5C38B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1209DB">
            <w:pPr>
              <w:jc w:val="right"/>
              <w:rPr>
                <w:rFonts w:hint="eastAsia" w:ascii="宋体" w:hAnsi="宋体" w:cs="宋体"/>
                <w:color w:val="000000"/>
                <w:sz w:val="18"/>
                <w:szCs w:val="18"/>
                <w:highlight w:val="none"/>
              </w:rPr>
            </w:pPr>
          </w:p>
        </w:tc>
      </w:tr>
      <w:tr w14:paraId="1F29575B">
        <w:tblPrEx>
          <w:tblCellMar>
            <w:top w:w="0" w:type="dxa"/>
            <w:left w:w="108" w:type="dxa"/>
            <w:bottom w:w="0" w:type="dxa"/>
            <w:right w:w="108" w:type="dxa"/>
          </w:tblCellMar>
        </w:tblPrEx>
        <w:trPr>
          <w:trHeight w:val="237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304291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EC96BFF">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7B51F6F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机械挖填运沟槽土方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5652ED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69A0D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180.68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CD945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9FA3C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455D57">
            <w:pPr>
              <w:jc w:val="right"/>
              <w:rPr>
                <w:rFonts w:hint="eastAsia" w:ascii="宋体" w:hAnsi="宋体" w:cs="宋体"/>
                <w:color w:val="000000"/>
                <w:sz w:val="18"/>
                <w:szCs w:val="18"/>
                <w:highlight w:val="none"/>
              </w:rPr>
            </w:pPr>
          </w:p>
        </w:tc>
      </w:tr>
      <w:tr w14:paraId="5ADA8B4D">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656BB1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56117EE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DECD38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2.填方材料品种：中粗砂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15B917A5">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D576E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36752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818B1A">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1EFC46">
            <w:pPr>
              <w:jc w:val="right"/>
              <w:rPr>
                <w:rFonts w:hint="eastAsia" w:ascii="宋体" w:hAnsi="宋体" w:cs="宋体"/>
                <w:color w:val="000000"/>
                <w:sz w:val="18"/>
                <w:szCs w:val="18"/>
                <w:highlight w:val="none"/>
              </w:rPr>
            </w:pPr>
          </w:p>
        </w:tc>
      </w:tr>
      <w:tr w14:paraId="440CFC8B">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77923EB8">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A9346B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040202001003</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3C8F2F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2.填方材料品种：原土回填</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64F6EC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3CE19E">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66.25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56390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D478D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07582B">
            <w:pPr>
              <w:jc w:val="right"/>
              <w:rPr>
                <w:rFonts w:hint="eastAsia" w:ascii="宋体" w:hAnsi="宋体" w:cs="宋体"/>
                <w:color w:val="000000"/>
                <w:sz w:val="18"/>
                <w:szCs w:val="18"/>
                <w:highlight w:val="none"/>
              </w:rPr>
            </w:pPr>
          </w:p>
        </w:tc>
      </w:tr>
      <w:tr w14:paraId="5CD84B1D">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07336FA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1205829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040202001004</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91CDD7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2.填方材料品种：风化料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3D9255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6ED15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22.92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92AEA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88C1D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31FAF6">
            <w:pPr>
              <w:jc w:val="right"/>
              <w:rPr>
                <w:rFonts w:hint="eastAsia" w:ascii="宋体" w:hAnsi="宋体" w:cs="宋体"/>
                <w:color w:val="000000"/>
                <w:sz w:val="18"/>
                <w:szCs w:val="18"/>
                <w:highlight w:val="none"/>
              </w:rPr>
            </w:pPr>
          </w:p>
        </w:tc>
      </w:tr>
      <w:tr w14:paraId="21AC963E">
        <w:tblPrEx>
          <w:tblCellMar>
            <w:top w:w="0" w:type="dxa"/>
            <w:left w:w="108" w:type="dxa"/>
            <w:bottom w:w="0" w:type="dxa"/>
            <w:right w:w="108" w:type="dxa"/>
          </w:tblCellMar>
        </w:tblPrEx>
        <w:trPr>
          <w:trHeight w:val="1512"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E02073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2AF196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F9B5E7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1.管材规格：DN800mmIII级钢筋混凝土管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2.接口形式：橡胶圈接口，接口缝用发泡填充。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3.管有筋无筋：有</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4.其他：闭水试验</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1740185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7EAF4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24.00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3597F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AC3C1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EA5273">
            <w:pPr>
              <w:jc w:val="right"/>
              <w:rPr>
                <w:rFonts w:hint="eastAsia" w:ascii="宋体" w:hAnsi="宋体" w:cs="宋体"/>
                <w:color w:val="000000"/>
                <w:sz w:val="18"/>
                <w:szCs w:val="18"/>
                <w:highlight w:val="none"/>
              </w:rPr>
            </w:pPr>
          </w:p>
        </w:tc>
      </w:tr>
      <w:tr w14:paraId="4D50CDC5">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3513D90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1AD090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72962E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1.材料：C25混凝土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 xml:space="preserve">2.部位：过路管道基础 </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3.含模板等措施费用</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46F70A8">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2F20D2">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8.26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F7878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1D820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C9B977">
            <w:pPr>
              <w:jc w:val="right"/>
              <w:rPr>
                <w:rFonts w:hint="eastAsia" w:ascii="宋体" w:hAnsi="宋体" w:cs="宋体"/>
                <w:color w:val="000000"/>
                <w:sz w:val="18"/>
                <w:szCs w:val="18"/>
                <w:highlight w:val="none"/>
              </w:rPr>
            </w:pPr>
          </w:p>
        </w:tc>
      </w:tr>
      <w:tr w14:paraId="14BFBB3C">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710F834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11</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26AE0A8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040202001005</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1D14376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3.回填要求：压实系数不小于0.97</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59E294E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9340E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65.69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78EF2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37363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28B0EA">
            <w:pPr>
              <w:jc w:val="right"/>
              <w:rPr>
                <w:rFonts w:hint="eastAsia" w:ascii="宋体" w:hAnsi="宋体" w:cs="宋体"/>
                <w:color w:val="000000"/>
                <w:sz w:val="18"/>
                <w:szCs w:val="18"/>
                <w:highlight w:val="none"/>
              </w:rPr>
            </w:pPr>
          </w:p>
        </w:tc>
      </w:tr>
      <w:tr w14:paraId="01FAD89A">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EBCEFD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12</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0298EEF7">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040305003001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D3FC60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浆砌块料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CF96A9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FECCFA">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7.38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3E670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F0B55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BB1D89">
            <w:pPr>
              <w:jc w:val="right"/>
              <w:rPr>
                <w:rFonts w:hint="eastAsia" w:ascii="宋体" w:hAnsi="宋体" w:cs="宋体"/>
                <w:color w:val="000000"/>
                <w:sz w:val="18"/>
                <w:szCs w:val="18"/>
                <w:highlight w:val="none"/>
              </w:rPr>
            </w:pPr>
          </w:p>
        </w:tc>
      </w:tr>
      <w:tr w14:paraId="3C03E179">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D9B521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13</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08E1D4E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1153D3F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D365CB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C73FB3">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0.98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C6B2FA">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CB8C5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F77F8C">
            <w:pPr>
              <w:jc w:val="right"/>
              <w:rPr>
                <w:rFonts w:hint="eastAsia" w:ascii="宋体" w:hAnsi="宋体" w:cs="宋体"/>
                <w:color w:val="000000"/>
                <w:sz w:val="18"/>
                <w:szCs w:val="18"/>
                <w:highlight w:val="none"/>
              </w:rPr>
            </w:pPr>
          </w:p>
        </w:tc>
      </w:tr>
      <w:tr w14:paraId="23782343">
        <w:tblPrEx>
          <w:tblCellMar>
            <w:top w:w="0" w:type="dxa"/>
            <w:left w:w="108" w:type="dxa"/>
            <w:bottom w:w="0" w:type="dxa"/>
            <w:right w:w="108" w:type="dxa"/>
          </w:tblCellMar>
        </w:tblPrEx>
        <w:trPr>
          <w:trHeight w:val="648"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3CF52868">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14</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696311C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5B2A02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2.材料品种：砂垫层</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39E26B4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2F9F9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0.79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597D2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F90C5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AE287B">
            <w:pPr>
              <w:jc w:val="right"/>
              <w:rPr>
                <w:rFonts w:hint="eastAsia" w:ascii="宋体" w:hAnsi="宋体" w:cs="宋体"/>
                <w:color w:val="000000"/>
                <w:sz w:val="18"/>
                <w:szCs w:val="18"/>
                <w:highlight w:val="none"/>
              </w:rPr>
            </w:pPr>
          </w:p>
        </w:tc>
      </w:tr>
      <w:tr w14:paraId="73090397">
        <w:tblPrEx>
          <w:tblCellMar>
            <w:top w:w="0" w:type="dxa"/>
            <w:left w:w="108" w:type="dxa"/>
            <w:bottom w:w="0" w:type="dxa"/>
            <w:right w:w="108" w:type="dxa"/>
          </w:tblCellMar>
        </w:tblPrEx>
        <w:trPr>
          <w:trHeight w:val="648"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48645E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15</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2A99C79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040308001001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D36B89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勾缝</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1.部位：八字翼墙外露面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2.材质：M10水泥砂浆勾平缝</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6ADF86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C733F2">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81A07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2A133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253012">
            <w:pPr>
              <w:jc w:val="right"/>
              <w:rPr>
                <w:rFonts w:hint="eastAsia" w:ascii="宋体" w:hAnsi="宋体" w:cs="宋体"/>
                <w:color w:val="000000"/>
                <w:sz w:val="18"/>
                <w:szCs w:val="18"/>
                <w:highlight w:val="none"/>
              </w:rPr>
            </w:pPr>
          </w:p>
        </w:tc>
      </w:tr>
      <w:tr w14:paraId="3528887B">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71CA202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16</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357EA0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040303016001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021F8A8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混凝土挡墙压顶</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1.混凝土强度：C30商砼</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2.断面尺寸：综合考虑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3.其他：含模板等措施费用</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C34197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4280BA">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C6C99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75F3B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67719D">
            <w:pPr>
              <w:jc w:val="right"/>
              <w:rPr>
                <w:rFonts w:hint="eastAsia" w:ascii="宋体" w:hAnsi="宋体" w:cs="宋体"/>
                <w:color w:val="000000"/>
                <w:sz w:val="18"/>
                <w:szCs w:val="18"/>
                <w:highlight w:val="none"/>
              </w:rPr>
            </w:pPr>
          </w:p>
        </w:tc>
      </w:tr>
      <w:tr w14:paraId="43116E5E">
        <w:tblPrEx>
          <w:tblCellMar>
            <w:top w:w="0" w:type="dxa"/>
            <w:left w:w="108" w:type="dxa"/>
            <w:bottom w:w="0" w:type="dxa"/>
            <w:right w:w="108" w:type="dxa"/>
          </w:tblCellMar>
        </w:tblPrEx>
        <w:trPr>
          <w:trHeight w:val="648"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59DFE36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17</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191F744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040901001001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CEB531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现浇构件钢筋</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1.规格:φ8三级钢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2.预制或现浇:现浇</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A06204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t</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F2ECBC">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0.01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264B3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53996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EDD424">
            <w:pPr>
              <w:jc w:val="right"/>
              <w:rPr>
                <w:rFonts w:hint="eastAsia" w:ascii="宋体" w:hAnsi="宋体" w:cs="宋体"/>
                <w:color w:val="000000"/>
                <w:sz w:val="18"/>
                <w:szCs w:val="18"/>
                <w:highlight w:val="none"/>
              </w:rPr>
            </w:pPr>
          </w:p>
        </w:tc>
      </w:tr>
      <w:tr w14:paraId="0AAC7E36">
        <w:tblPrEx>
          <w:tblCellMar>
            <w:top w:w="0" w:type="dxa"/>
            <w:left w:w="108" w:type="dxa"/>
            <w:bottom w:w="0" w:type="dxa"/>
            <w:right w:w="108" w:type="dxa"/>
          </w:tblCellMar>
        </w:tblPrEx>
        <w:trPr>
          <w:trHeight w:val="2160"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317C40C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A428F2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040309001001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904F0F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金属护栏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1.护栏材质、规格:一 (C) 级波形梁护栏，梁板310*85*2.5mm,立柱φ114*4.5mm,托架300*7*4.5mm，梁板高度600mm，立柱埋深1400mm,立柱间距2m.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2.包含基础、钻孔、喷漆防腐除锈、各连接固定件及安装防护费用，具体详参《公路交通安全设施设计细则》UTG/T D81一2017）附录C。</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7C6C68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B1C2B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85.30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CE267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13160C">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9ED9E6">
            <w:pPr>
              <w:jc w:val="right"/>
              <w:rPr>
                <w:rFonts w:hint="eastAsia" w:ascii="宋体" w:hAnsi="宋体" w:cs="宋体"/>
                <w:color w:val="000000"/>
                <w:sz w:val="18"/>
                <w:szCs w:val="18"/>
                <w:highlight w:val="none"/>
              </w:rPr>
            </w:pPr>
          </w:p>
        </w:tc>
      </w:tr>
      <w:tr w14:paraId="1A2BBBEF">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0D64168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19</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1DAB32CA">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4BFD2DD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暂列金额</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7A03BB5">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2A82E9">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A39216">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90000.00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B0C99F">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E73A67">
            <w:pPr>
              <w:jc w:val="right"/>
              <w:rPr>
                <w:rFonts w:hint="eastAsia" w:ascii="宋体" w:hAnsi="宋体" w:cs="宋体"/>
                <w:color w:val="000000"/>
                <w:sz w:val="18"/>
                <w:szCs w:val="18"/>
                <w:highlight w:val="none"/>
              </w:rPr>
            </w:pPr>
          </w:p>
        </w:tc>
      </w:tr>
      <w:tr w14:paraId="395C8AE5">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507586C9">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DF21D05">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112A797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合计</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914663C">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F25F41">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8BDE21">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BCD78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864A38">
            <w:pPr>
              <w:jc w:val="right"/>
              <w:rPr>
                <w:rFonts w:hint="eastAsia" w:ascii="宋体" w:hAnsi="宋体" w:cs="宋体"/>
                <w:color w:val="000000"/>
                <w:sz w:val="18"/>
                <w:szCs w:val="18"/>
                <w:highlight w:val="none"/>
              </w:rPr>
            </w:pPr>
          </w:p>
        </w:tc>
      </w:tr>
    </w:tbl>
    <w:p w14:paraId="0C7A631A">
      <w:pPr>
        <w:pStyle w:val="12"/>
        <w:rPr>
          <w:rFonts w:hint="eastAsia" w:ascii="楷体_GB2312" w:hAnsi="宋体" w:eastAsia="楷体_GB2312" w:cs="宋体"/>
          <w:b/>
          <w:bCs/>
          <w:kern w:val="2"/>
          <w:sz w:val="44"/>
          <w:szCs w:val="44"/>
          <w:highlight w:val="none"/>
        </w:rPr>
        <w:sectPr>
          <w:pgSz w:w="11906" w:h="16838"/>
          <w:pgMar w:top="1440" w:right="1077" w:bottom="1440" w:left="1077" w:header="851" w:footer="992" w:gutter="0"/>
          <w:cols w:space="720" w:num="1"/>
          <w:docGrid w:type="lines" w:linePitch="312" w:charSpace="0"/>
        </w:sectPr>
      </w:pPr>
    </w:p>
    <w:p w14:paraId="6A4B4C9C">
      <w:pPr>
        <w:pStyle w:val="28"/>
        <w:numPr>
          <w:ilvl w:val="0"/>
          <w:numId w:val="1"/>
        </w:numPr>
        <w:spacing w:before="100" w:beforeAutospacing="1" w:after="100" w:afterAutospacing="1" w:line="415" w:lineRule="auto"/>
        <w:rPr>
          <w:rFonts w:hint="eastAsia" w:ascii="仿宋" w:hAnsi="仿宋" w:eastAsia="仿宋" w:cs="仿宋"/>
          <w:sz w:val="44"/>
          <w:szCs w:val="44"/>
          <w:highlight w:val="none"/>
        </w:rPr>
      </w:pPr>
      <w:r>
        <w:rPr>
          <w:rFonts w:hint="eastAsia" w:ascii="仿宋" w:hAnsi="仿宋" w:eastAsia="仿宋" w:cs="仿宋"/>
          <w:sz w:val="44"/>
          <w:szCs w:val="44"/>
          <w:highlight w:val="none"/>
        </w:rPr>
        <w:t xml:space="preserve"> 评标原则、程序与方法</w:t>
      </w:r>
    </w:p>
    <w:p w14:paraId="67686261">
      <w:pPr>
        <w:spacing w:line="720" w:lineRule="auto"/>
        <w:ind w:firstLine="562" w:firstLineChars="200"/>
        <w:rPr>
          <w:rFonts w:hint="eastAsia" w:ascii="仿宋" w:hAnsi="仿宋" w:eastAsia="仿宋" w:cs="仿宋"/>
          <w:b/>
          <w:sz w:val="28"/>
          <w:szCs w:val="28"/>
          <w:highlight w:val="none"/>
        </w:rPr>
      </w:pPr>
      <w:r>
        <w:rPr>
          <w:rFonts w:hint="eastAsia" w:ascii="仿宋" w:hAnsi="仿宋" w:eastAsia="仿宋" w:cs="仿宋"/>
          <w:b/>
          <w:sz w:val="28"/>
          <w:szCs w:val="28"/>
          <w:highlight w:val="none"/>
        </w:rPr>
        <w:t xml:space="preserve">一、评审原则 </w:t>
      </w:r>
    </w:p>
    <w:p w14:paraId="07BBB11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“公平、公正、科学、择优”为本次评标的基本原则，评标委员会将按照这一原则的要求，公正、平等地对待各投标人，同时，在评标时恪守以下原则：</w:t>
      </w:r>
    </w:p>
    <w:p w14:paraId="48E7237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59D749F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2.统一性原则：评标委员会将按照统一的评标原则和评标方法，采用统一标准进行评标。</w:t>
      </w:r>
    </w:p>
    <w:p w14:paraId="0954958B">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3.独立性原则：评标工作在评标委员会内部独立进行，不受外界任何因素的干扰和影响。</w:t>
      </w:r>
    </w:p>
    <w:p w14:paraId="01FF44A0">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4.保密性原则：评标委员会及熟知情况的有关工作人员必须对每位评委的评标意见和投标人的商业秘密严格保密，不得外泄。</w:t>
      </w:r>
    </w:p>
    <w:p w14:paraId="18696DB9">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5.综合性原则：评标委员会将综合分析、评审投标人的各项指标，而不以单项指标的优劣评定出中标人。</w:t>
      </w:r>
    </w:p>
    <w:p w14:paraId="1D12ED2E">
      <w:pPr>
        <w:spacing w:line="720" w:lineRule="auto"/>
        <w:ind w:firstLine="562" w:firstLineChars="200"/>
        <w:rPr>
          <w:rFonts w:hint="eastAsia" w:ascii="仿宋" w:hAnsi="仿宋" w:eastAsia="仿宋" w:cs="仿宋"/>
          <w:b/>
          <w:sz w:val="28"/>
          <w:szCs w:val="28"/>
          <w:highlight w:val="none"/>
        </w:rPr>
      </w:pPr>
      <w:r>
        <w:rPr>
          <w:rFonts w:hint="eastAsia" w:ascii="仿宋" w:hAnsi="仿宋" w:eastAsia="仿宋" w:cs="仿宋"/>
          <w:b/>
          <w:sz w:val="28"/>
          <w:szCs w:val="28"/>
          <w:highlight w:val="none"/>
        </w:rPr>
        <w:t>二、评标程序</w:t>
      </w:r>
    </w:p>
    <w:p w14:paraId="69CFEDDF">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1．宣布评标纪律；</w:t>
      </w:r>
    </w:p>
    <w:p w14:paraId="6B5F088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2．公布投标人名单，告知评审专家应当回避的情形；</w:t>
      </w:r>
    </w:p>
    <w:p w14:paraId="1CE029E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3．组织评标委员会推选评标组长，采购人代表不得担任组长；</w:t>
      </w:r>
    </w:p>
    <w:p w14:paraId="14D1D16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4．核对评审专家身份和采购人代表授权函。</w:t>
      </w:r>
    </w:p>
    <w:p w14:paraId="503F745D">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5．开标结束后，采购人或者采购代理机构依法对投标人的资格进行审查。</w:t>
      </w:r>
    </w:p>
    <w:p w14:paraId="14C98AC4">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6．评标委员会对符合资格的投标人的投标文件进行符合性审查，以确定其是否满足招标文件的实质性要求。</w:t>
      </w:r>
    </w:p>
    <w:p w14:paraId="51316CD6">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7．出现下列情形之一的，视为对招标文件未做出实质性响应，按照无效投标处理。</w:t>
      </w:r>
    </w:p>
    <w:p w14:paraId="1091006E">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详见《投标须知前附表》-《实质性条款一览表》中符合性检查条款。</w:t>
      </w:r>
    </w:p>
    <w:p w14:paraId="507556E5">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E7FF6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9.澄清、说明或者补正</w:t>
      </w:r>
    </w:p>
    <w:p w14:paraId="56C02BEA">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6652B60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(2)投标人依据评审要求进行澄清、说明或者补正的内容构成投标文件的组成部分。</w:t>
      </w:r>
    </w:p>
    <w:p w14:paraId="5DA80712">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10.比较与评价</w:t>
      </w:r>
    </w:p>
    <w:p w14:paraId="0F0706A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评标委员会按招标文件中规定的评标方法和评标标准对有效投标文件的商务和技术进行评估，综合比较和评价，按综合得分高低列出中标候选人排序，若总分相同，以报价得分高的排前；若总分、价格得分都相同，则以投标技术方面得分高的排前。</w:t>
      </w:r>
    </w:p>
    <w:p w14:paraId="0534640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11.出现下列情况之一的，均予以废标</w:t>
      </w:r>
    </w:p>
    <w:p w14:paraId="6319EBF0">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(1)合格的投标人或参加投标的企业不足三家的；</w:t>
      </w:r>
    </w:p>
    <w:p w14:paraId="1C138F3B">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(2)出现影响采购公正的违法、违规行为的；</w:t>
      </w:r>
    </w:p>
    <w:p w14:paraId="0DA49B08">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(3)投标人的报价均超过了预算上限价格，采购人不能支付的；</w:t>
      </w:r>
    </w:p>
    <w:p w14:paraId="1FE8FBEA">
      <w:pPr>
        <w:spacing w:line="520" w:lineRule="exact"/>
        <w:ind w:firstLine="560" w:firstLineChars="200"/>
        <w:rPr>
          <w:rFonts w:ascii="宋体" w:hAnsi="宋体"/>
          <w:sz w:val="24"/>
          <w:szCs w:val="21"/>
          <w:highlight w:val="none"/>
        </w:rPr>
      </w:pPr>
      <w:r>
        <w:rPr>
          <w:rFonts w:hint="eastAsia" w:ascii="仿宋_GB2312" w:hAnsi="宋体" w:eastAsia="仿宋_GB2312"/>
          <w:sz w:val="28"/>
          <w:szCs w:val="21"/>
          <w:highlight w:val="none"/>
        </w:rPr>
        <w:t>(4)因重大变故，采购任务取消的。</w:t>
      </w:r>
    </w:p>
    <w:p w14:paraId="1E128D57">
      <w:pPr>
        <w:spacing w:line="720" w:lineRule="auto"/>
        <w:ind w:firstLine="562" w:firstLineChars="200"/>
        <w:rPr>
          <w:rFonts w:hint="eastAsia" w:ascii="仿宋" w:hAnsi="仿宋" w:eastAsia="仿宋" w:cs="仿宋"/>
          <w:b/>
          <w:sz w:val="28"/>
          <w:szCs w:val="28"/>
          <w:highlight w:val="none"/>
        </w:rPr>
      </w:pPr>
      <w:r>
        <w:rPr>
          <w:rFonts w:hint="eastAsia" w:ascii="仿宋" w:hAnsi="仿宋" w:eastAsia="仿宋" w:cs="仿宋"/>
          <w:b/>
          <w:sz w:val="28"/>
          <w:szCs w:val="28"/>
          <w:highlight w:val="none"/>
        </w:rPr>
        <w:t>三、评标方法</w:t>
      </w:r>
    </w:p>
    <w:p w14:paraId="54A7C5AD">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（1）评标方法：综合评分法，即投标人的投标文件满足招标文件全部实质性要求，对评审因素的量化指标进行打分，按照评审得分由高到低的顺序确定投标人排序。</w:t>
      </w:r>
    </w:p>
    <w:p w14:paraId="2EC98CAF">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（2）评标细则</w:t>
      </w:r>
    </w:p>
    <w:tbl>
      <w:tblPr>
        <w:tblStyle w:val="31"/>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026"/>
        <w:gridCol w:w="5328"/>
        <w:gridCol w:w="821"/>
        <w:gridCol w:w="978"/>
      </w:tblGrid>
      <w:tr w14:paraId="61F7E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noWrap w:val="0"/>
            <w:vAlign w:val="center"/>
          </w:tcPr>
          <w:p w14:paraId="766232C7">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编号</w:t>
            </w:r>
          </w:p>
        </w:tc>
        <w:tc>
          <w:tcPr>
            <w:tcW w:w="773" w:type="dxa"/>
            <w:shd w:val="clear" w:color="auto" w:fill="D9D9D9"/>
            <w:noWrap w:val="0"/>
            <w:vAlign w:val="center"/>
          </w:tcPr>
          <w:p w14:paraId="1ADE3F6E">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类型</w:t>
            </w:r>
          </w:p>
        </w:tc>
        <w:tc>
          <w:tcPr>
            <w:tcW w:w="1026" w:type="dxa"/>
            <w:shd w:val="clear" w:color="auto" w:fill="D9D9D9"/>
            <w:noWrap w:val="0"/>
            <w:vAlign w:val="center"/>
          </w:tcPr>
          <w:p w14:paraId="26CF55C0">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评分标题</w:t>
            </w:r>
          </w:p>
        </w:tc>
        <w:tc>
          <w:tcPr>
            <w:tcW w:w="5328" w:type="dxa"/>
            <w:shd w:val="clear" w:color="auto" w:fill="D9D9D9"/>
            <w:noWrap w:val="0"/>
            <w:vAlign w:val="center"/>
          </w:tcPr>
          <w:p w14:paraId="5076ECE4">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评分标准</w:t>
            </w:r>
          </w:p>
        </w:tc>
        <w:tc>
          <w:tcPr>
            <w:tcW w:w="821" w:type="dxa"/>
            <w:shd w:val="clear" w:color="auto" w:fill="D9D9D9"/>
            <w:noWrap w:val="0"/>
            <w:vAlign w:val="center"/>
          </w:tcPr>
          <w:p w14:paraId="52A131D1">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性质</w:t>
            </w:r>
          </w:p>
        </w:tc>
        <w:tc>
          <w:tcPr>
            <w:tcW w:w="978" w:type="dxa"/>
            <w:shd w:val="clear" w:color="auto" w:fill="D9D9D9"/>
            <w:noWrap w:val="0"/>
            <w:vAlign w:val="center"/>
          </w:tcPr>
          <w:p w14:paraId="284D3C23">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分数</w:t>
            </w:r>
          </w:p>
        </w:tc>
      </w:tr>
      <w:tr w14:paraId="19D751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68D3757E">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1.01</w:t>
            </w:r>
          </w:p>
        </w:tc>
        <w:tc>
          <w:tcPr>
            <w:tcW w:w="773" w:type="dxa"/>
            <w:noWrap w:val="0"/>
            <w:vAlign w:val="center"/>
          </w:tcPr>
          <w:p w14:paraId="141E383D">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价格</w:t>
            </w:r>
          </w:p>
        </w:tc>
        <w:tc>
          <w:tcPr>
            <w:tcW w:w="1026" w:type="dxa"/>
            <w:noWrap w:val="0"/>
            <w:vAlign w:val="center"/>
          </w:tcPr>
          <w:p w14:paraId="43B7A180">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报价</w:t>
            </w:r>
          </w:p>
        </w:tc>
        <w:tc>
          <w:tcPr>
            <w:tcW w:w="5328" w:type="dxa"/>
            <w:noWrap w:val="0"/>
            <w:vAlign w:val="center"/>
          </w:tcPr>
          <w:p w14:paraId="043BAB26">
            <w:pPr>
              <w:tabs>
                <w:tab w:val="left" w:pos="540"/>
              </w:tabs>
              <w:rPr>
                <w:rFonts w:hint="eastAsia" w:ascii="仿宋_GB2312" w:hAnsi="仿宋" w:eastAsia="仿宋_GB2312"/>
                <w:bCs/>
                <w:sz w:val="24"/>
                <w:highlight w:val="none"/>
              </w:rPr>
            </w:pPr>
            <w:r>
              <w:rPr>
                <w:rFonts w:hint="eastAsia" w:ascii="仿宋_GB2312" w:hAnsi="黑体" w:eastAsia="仿宋_GB2312" w:cs="方正楷体简体"/>
                <w:sz w:val="24"/>
                <w:highlight w:val="none"/>
              </w:rPr>
              <w:t>本项目报价需手动计算，请在报价栏中填写实际投标报价金额。</w:t>
            </w:r>
          </w:p>
        </w:tc>
        <w:tc>
          <w:tcPr>
            <w:tcW w:w="821" w:type="dxa"/>
            <w:noWrap w:val="0"/>
            <w:vAlign w:val="center"/>
          </w:tcPr>
          <w:p w14:paraId="403FDAA2">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系统分</w:t>
            </w:r>
          </w:p>
        </w:tc>
        <w:tc>
          <w:tcPr>
            <w:tcW w:w="978" w:type="dxa"/>
            <w:noWrap w:val="0"/>
            <w:vAlign w:val="center"/>
          </w:tcPr>
          <w:p w14:paraId="35E32308">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0.00</w:t>
            </w:r>
          </w:p>
        </w:tc>
      </w:tr>
      <w:tr w14:paraId="5582CC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0B45D5E2">
            <w:pPr>
              <w:pStyle w:val="8"/>
              <w:ind w:firstLine="0"/>
              <w:jc w:val="center"/>
              <w:rPr>
                <w:rFonts w:ascii="仿宋_GB2312" w:hAnsi="宋体" w:eastAsia="仿宋_GB2312"/>
                <w:sz w:val="24"/>
                <w:szCs w:val="24"/>
                <w:highlight w:val="none"/>
              </w:rPr>
            </w:pPr>
            <w:r>
              <w:rPr>
                <w:rFonts w:hint="eastAsia" w:ascii="仿宋_GB2312" w:hAnsi="黑体" w:eastAsia="仿宋_GB2312" w:cs="方正楷体简体"/>
                <w:sz w:val="24"/>
                <w:szCs w:val="24"/>
                <w:highlight w:val="none"/>
              </w:rPr>
              <w:t>2.01</w:t>
            </w:r>
          </w:p>
        </w:tc>
        <w:tc>
          <w:tcPr>
            <w:tcW w:w="773" w:type="dxa"/>
            <w:noWrap w:val="0"/>
            <w:vAlign w:val="center"/>
          </w:tcPr>
          <w:p w14:paraId="5C55489D">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商务</w:t>
            </w:r>
          </w:p>
        </w:tc>
        <w:tc>
          <w:tcPr>
            <w:tcW w:w="1026" w:type="dxa"/>
            <w:noWrap w:val="0"/>
            <w:vAlign w:val="center"/>
          </w:tcPr>
          <w:p w14:paraId="175E9DAD">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报   价</w:t>
            </w:r>
          </w:p>
        </w:tc>
        <w:tc>
          <w:tcPr>
            <w:tcW w:w="5328" w:type="dxa"/>
            <w:noWrap w:val="0"/>
            <w:vAlign w:val="center"/>
          </w:tcPr>
          <w:p w14:paraId="267D9694">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评标基准价的计算方法：</w:t>
            </w:r>
          </w:p>
          <w:p w14:paraId="383E88E9">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当有效投标单位家数＞5 家，评标基准价=（所有投标人的有效报价之和-有效报价的最高值-有效报价的最低值）算术平均值；</w:t>
            </w:r>
          </w:p>
          <w:p w14:paraId="69D3C5D7">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当有效投标单位数≤5 家，评标基准价=所有投标人的有效报价的算术平均值；</w:t>
            </w:r>
          </w:p>
          <w:p w14:paraId="715CC5B7">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投标报价等于评标基准价得分30分。投标报价每高于评标基准价1%扣0.5分，每低于评标基准价1%扣0.3分，最低计至0分。偏离不足1%的，按照插入法计算得分，得分精确到小数点后2位。</w:t>
            </w:r>
          </w:p>
        </w:tc>
        <w:tc>
          <w:tcPr>
            <w:tcW w:w="821" w:type="dxa"/>
            <w:noWrap w:val="0"/>
            <w:vAlign w:val="center"/>
          </w:tcPr>
          <w:p w14:paraId="057CBB73">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价格分</w:t>
            </w:r>
          </w:p>
        </w:tc>
        <w:tc>
          <w:tcPr>
            <w:tcW w:w="978" w:type="dxa"/>
            <w:noWrap w:val="0"/>
            <w:vAlign w:val="center"/>
          </w:tcPr>
          <w:p w14:paraId="14992301">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30.00</w:t>
            </w:r>
          </w:p>
        </w:tc>
      </w:tr>
      <w:tr w14:paraId="47FEB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4AC75E73">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2.02</w:t>
            </w:r>
          </w:p>
        </w:tc>
        <w:tc>
          <w:tcPr>
            <w:tcW w:w="773" w:type="dxa"/>
            <w:noWrap w:val="0"/>
            <w:vAlign w:val="center"/>
          </w:tcPr>
          <w:p w14:paraId="0F74B831">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商务</w:t>
            </w:r>
          </w:p>
        </w:tc>
        <w:tc>
          <w:tcPr>
            <w:tcW w:w="1026" w:type="dxa"/>
            <w:noWrap w:val="0"/>
            <w:vAlign w:val="center"/>
          </w:tcPr>
          <w:p w14:paraId="3B543C71">
            <w:pPr>
              <w:spacing w:line="440" w:lineRule="exact"/>
              <w:jc w:val="center"/>
              <w:rPr>
                <w:rFonts w:hint="eastAsia" w:ascii="仿宋_GB2312" w:eastAsia="仿宋_GB2312"/>
                <w:sz w:val="24"/>
                <w:highlight w:val="none"/>
              </w:rPr>
            </w:pPr>
            <w:r>
              <w:rPr>
                <w:rFonts w:hint="eastAsia" w:ascii="仿宋_GB2312" w:eastAsia="仿宋_GB2312"/>
                <w:sz w:val="24"/>
                <w:highlight w:val="none"/>
              </w:rPr>
              <w:t>项目管理机构</w:t>
            </w:r>
          </w:p>
        </w:tc>
        <w:tc>
          <w:tcPr>
            <w:tcW w:w="5328" w:type="dxa"/>
            <w:noWrap w:val="0"/>
            <w:vAlign w:val="center"/>
          </w:tcPr>
          <w:p w14:paraId="04AD8207">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技术负责人必须持工程系列中级及以上职称或建设类注册证书。其他关键岗位管理人员（施工员、质量员、专职安全员、机械员）配备齐全，分工明确得7分；</w:t>
            </w:r>
          </w:p>
          <w:p w14:paraId="6F18530E">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注：项目管理班子配备不符合上述要求的最低标准的，不得分。项目经理、技术负责人须附相关证书。项目管理机构成员必须为投标单位的正式员工，并附当地社会保障机构的社保网上查询截图或社保证明材料，否则不得分。</w:t>
            </w:r>
          </w:p>
        </w:tc>
        <w:tc>
          <w:tcPr>
            <w:tcW w:w="821" w:type="dxa"/>
            <w:noWrap w:val="0"/>
            <w:vAlign w:val="center"/>
          </w:tcPr>
          <w:p w14:paraId="06C53861">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客观分</w:t>
            </w:r>
          </w:p>
        </w:tc>
        <w:tc>
          <w:tcPr>
            <w:tcW w:w="978" w:type="dxa"/>
            <w:noWrap w:val="0"/>
            <w:vAlign w:val="center"/>
          </w:tcPr>
          <w:p w14:paraId="4182CDDB">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7.00</w:t>
            </w:r>
          </w:p>
        </w:tc>
      </w:tr>
      <w:tr w14:paraId="28FF63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7A7E1048">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3.01</w:t>
            </w:r>
          </w:p>
        </w:tc>
        <w:tc>
          <w:tcPr>
            <w:tcW w:w="773" w:type="dxa"/>
            <w:noWrap w:val="0"/>
            <w:vAlign w:val="center"/>
          </w:tcPr>
          <w:p w14:paraId="11318422">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技术</w:t>
            </w:r>
          </w:p>
        </w:tc>
        <w:tc>
          <w:tcPr>
            <w:tcW w:w="1026" w:type="dxa"/>
            <w:noWrap w:val="0"/>
            <w:vAlign w:val="center"/>
          </w:tcPr>
          <w:p w14:paraId="20DD4D83">
            <w:pPr>
              <w:spacing w:line="440" w:lineRule="exact"/>
              <w:jc w:val="center"/>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技术方案（施工组织设计）</w:t>
            </w:r>
          </w:p>
        </w:tc>
        <w:tc>
          <w:tcPr>
            <w:tcW w:w="5328" w:type="dxa"/>
            <w:noWrap w:val="0"/>
            <w:vAlign w:val="center"/>
          </w:tcPr>
          <w:p w14:paraId="5C169FE6">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①对工程整体有深刻认识，表述清晰完整，施工段划分、临时设施、临时道路、施工总平面图布置设计合理；</w:t>
            </w:r>
          </w:p>
          <w:p w14:paraId="3DB7F1F9">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②施工方案和技术措施合理，对关键工序和关键部位施工具有针对性，措施得力、经济、安全、可行；</w:t>
            </w:r>
          </w:p>
          <w:p w14:paraId="450F2370">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③有完整的质量保证措施，先进可行，有针对本工程的通病治理措施；</w:t>
            </w:r>
          </w:p>
          <w:p w14:paraId="2E99D328">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④针对项目实际情况有完整的安全文明措施和应急救援预案，且措施齐全，预案可行；</w:t>
            </w:r>
          </w:p>
          <w:p w14:paraId="68B0E35F">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⑤环境保护措施安全得力，减少噪音、降低环境污染、扬尘治理措施、地下管线及其他地上地下设施的保护加固措施等，季节性施工方案；</w:t>
            </w:r>
          </w:p>
          <w:p w14:paraId="5EF0CDA9">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⑥施工进度计划和进度措施（包括以横道图或标明关键线路的网络进度计划、保障进度计划需要的主要施工机械设备、劳动力需求计划及保证措施、材料设备进场计划及其他保证措施等）；</w:t>
            </w:r>
          </w:p>
          <w:p w14:paraId="7506E22B">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⑦资源配备计划。投入的劳动力、机械设备等计划合理，与进度计划呼应，满足施工需求；</w:t>
            </w:r>
          </w:p>
          <w:p w14:paraId="5610EB7A">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⑧项目管理机构人员配备齐全合理；</w:t>
            </w:r>
          </w:p>
          <w:p w14:paraId="13468EB1">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⑨成品保护、工程保修制度等；</w:t>
            </w:r>
          </w:p>
          <w:p w14:paraId="14A899F7">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⑩围挡设置、车辆运输、施工现场保护措施等；扬尘治理、工程施工管理、施工机具管理、物料堆放、建筑垃圾减量化目标和措施、施工废水排放措施等。</w:t>
            </w:r>
          </w:p>
          <w:p w14:paraId="469FADA3">
            <w:pPr>
              <w:spacing w:line="400" w:lineRule="exact"/>
              <w:rPr>
                <w:highlight w:val="none"/>
              </w:rPr>
            </w:pPr>
            <w:r>
              <w:rPr>
                <w:rFonts w:hint="eastAsia" w:ascii="仿宋_GB2312" w:hAnsi="黑体" w:eastAsia="仿宋_GB2312" w:cs="方正楷体简体"/>
                <w:sz w:val="24"/>
                <w:highlight w:val="none"/>
              </w:rPr>
              <w:t>由评委会成员根据投标人施工组织设计编制情况进行打分。第1-10项，每项4.5分。</w:t>
            </w:r>
          </w:p>
        </w:tc>
        <w:tc>
          <w:tcPr>
            <w:tcW w:w="821" w:type="dxa"/>
            <w:noWrap w:val="0"/>
            <w:vAlign w:val="center"/>
          </w:tcPr>
          <w:p w14:paraId="1ADABCEA">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主观分</w:t>
            </w:r>
          </w:p>
        </w:tc>
        <w:tc>
          <w:tcPr>
            <w:tcW w:w="978" w:type="dxa"/>
            <w:noWrap w:val="0"/>
            <w:vAlign w:val="center"/>
          </w:tcPr>
          <w:p w14:paraId="743EF963">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45.00</w:t>
            </w:r>
          </w:p>
        </w:tc>
      </w:tr>
      <w:tr w14:paraId="698EED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265EEE8D">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4.01</w:t>
            </w:r>
          </w:p>
        </w:tc>
        <w:tc>
          <w:tcPr>
            <w:tcW w:w="773" w:type="dxa"/>
            <w:noWrap w:val="0"/>
            <w:vAlign w:val="center"/>
          </w:tcPr>
          <w:p w14:paraId="118B02FB">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服务</w:t>
            </w:r>
          </w:p>
        </w:tc>
        <w:tc>
          <w:tcPr>
            <w:tcW w:w="1026" w:type="dxa"/>
            <w:noWrap w:val="0"/>
            <w:vAlign w:val="center"/>
          </w:tcPr>
          <w:p w14:paraId="444E8B62">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服务承诺</w:t>
            </w:r>
          </w:p>
        </w:tc>
        <w:tc>
          <w:tcPr>
            <w:tcW w:w="5328" w:type="dxa"/>
            <w:noWrap w:val="0"/>
            <w:vAlign w:val="center"/>
          </w:tcPr>
          <w:p w14:paraId="4E895377">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由评委根据投标单位提供的售后服务情况进行打分：</w:t>
            </w:r>
          </w:p>
          <w:p w14:paraId="276F88EE">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【13-18分】：投标单位承诺的售后服务内容全面、修复方案措施完善，故障、技术支持响应和解决问题时间快，有突出的售后服务优势。</w:t>
            </w:r>
          </w:p>
          <w:p w14:paraId="455B4710">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【7-13分】：投标单位承诺的服务内容一般，响应和解决问题时间偏长，能够满足招标人实际使用要求。</w:t>
            </w:r>
          </w:p>
          <w:p w14:paraId="3E44BC11">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【0-7分】：投标单位承诺的服务内容十分简陋或存在瑕疵，承诺的服务水平低，仅能满足招标人基本使用要求。</w:t>
            </w:r>
          </w:p>
        </w:tc>
        <w:tc>
          <w:tcPr>
            <w:tcW w:w="821" w:type="dxa"/>
            <w:noWrap w:val="0"/>
            <w:vAlign w:val="center"/>
          </w:tcPr>
          <w:p w14:paraId="60604860">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主观分</w:t>
            </w:r>
          </w:p>
        </w:tc>
        <w:tc>
          <w:tcPr>
            <w:tcW w:w="978" w:type="dxa"/>
            <w:noWrap w:val="0"/>
            <w:vAlign w:val="center"/>
          </w:tcPr>
          <w:p w14:paraId="6F8E2D30">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18.00</w:t>
            </w:r>
          </w:p>
        </w:tc>
      </w:tr>
    </w:tbl>
    <w:p w14:paraId="60F37C09">
      <w:pPr>
        <w:spacing w:line="520" w:lineRule="exact"/>
        <w:ind w:firstLine="420" w:firstLineChars="200"/>
        <w:rPr>
          <w:rFonts w:ascii="仿宋_GB2312" w:hAnsi="宋体" w:eastAsia="仿宋_GB2312"/>
          <w:szCs w:val="21"/>
          <w:highlight w:val="none"/>
        </w:rPr>
      </w:pPr>
    </w:p>
    <w:p w14:paraId="2C844DF9">
      <w:pPr>
        <w:spacing w:line="520" w:lineRule="exact"/>
        <w:ind w:firstLine="420" w:firstLineChars="200"/>
        <w:rPr>
          <w:rFonts w:ascii="仿宋_GB2312" w:hAnsi="宋体" w:eastAsia="仿宋_GB2312"/>
          <w:szCs w:val="21"/>
          <w:highlight w:val="none"/>
        </w:rPr>
        <w:sectPr>
          <w:headerReference r:id="rId15" w:type="first"/>
          <w:footerReference r:id="rId16" w:type="default"/>
          <w:headerReference r:id="rId14" w:type="even"/>
          <w:pgSz w:w="11906" w:h="16838"/>
          <w:pgMar w:top="1440" w:right="1080" w:bottom="1440" w:left="1080" w:header="851" w:footer="992" w:gutter="0"/>
          <w:cols w:space="720" w:num="1"/>
          <w:docGrid w:type="lines" w:linePitch="312" w:charSpace="0"/>
        </w:sectPr>
      </w:pPr>
    </w:p>
    <w:bookmarkEnd w:id="20"/>
    <w:bookmarkEnd w:id="21"/>
    <w:bookmarkEnd w:id="22"/>
    <w:p w14:paraId="5DCD7FB0">
      <w:pPr>
        <w:numPr>
          <w:ilvl w:val="0"/>
          <w:numId w:val="1"/>
        </w:numPr>
        <w:spacing w:before="100" w:beforeAutospacing="1" w:after="100" w:afterAutospacing="1" w:line="415" w:lineRule="auto"/>
        <w:jc w:val="center"/>
        <w:outlineLvl w:val="0"/>
        <w:rPr>
          <w:rFonts w:hint="eastAsia" w:ascii="仿宋" w:hAnsi="仿宋" w:eastAsia="仿宋" w:cs="仿宋"/>
          <w:b/>
          <w:bCs/>
          <w:sz w:val="44"/>
          <w:szCs w:val="44"/>
          <w:highlight w:val="none"/>
        </w:rPr>
        <w:sectPr>
          <w:footerReference r:id="rId17" w:type="default"/>
          <w:pgSz w:w="11906" w:h="16838"/>
          <w:pgMar w:top="1440" w:right="1077" w:bottom="1440" w:left="1077" w:header="851" w:footer="992" w:gutter="0"/>
          <w:cols w:space="720" w:num="1"/>
          <w:docGrid w:linePitch="312" w:charSpace="0"/>
        </w:sectPr>
      </w:pPr>
      <w:r>
        <w:rPr>
          <w:rFonts w:hint="eastAsia" w:ascii="仿宋" w:hAnsi="仿宋" w:eastAsia="仿宋" w:cs="仿宋"/>
          <w:b/>
          <w:bCs/>
          <w:sz w:val="44"/>
          <w:szCs w:val="44"/>
          <w:highlight w:val="none"/>
        </w:rPr>
        <w:t xml:space="preserve">  投标文件格式</w:t>
      </w:r>
    </w:p>
    <w:p w14:paraId="32B8DB4C">
      <w:pPr>
        <w:spacing w:line="460" w:lineRule="exact"/>
        <w:jc w:val="left"/>
        <w:rPr>
          <w:b/>
          <w:kern w:val="0"/>
          <w:sz w:val="24"/>
          <w:highlight w:val="none"/>
        </w:rPr>
      </w:pPr>
      <w:r>
        <w:rPr>
          <w:rFonts w:ascii="宋体" w:hAnsi="宋体" w:cs="Lucida Sans Unicode"/>
          <w:sz w:val="24"/>
          <w:highlight w:val="none"/>
        </w:rPr>
        <w:fldChar w:fldCharType="begin"/>
      </w:r>
      <w:r>
        <w:rPr>
          <w:rFonts w:ascii="宋体" w:hAnsi="宋体" w:cs="Lucida Sans Unicode"/>
          <w:sz w:val="24"/>
          <w:highlight w:val="none"/>
        </w:rPr>
        <w:instrText xml:space="preserve">&lt;MK</w:instrText>
      </w:r>
      <w:r>
        <w:rPr>
          <w:rFonts w:hint="eastAsia" w:ascii="宋体" w:hAnsi="宋体" w:cs="Lucida Sans Unicode"/>
          <w:sz w:val="24"/>
          <w:highlight w:val="none"/>
        </w:rPr>
        <w:instrText xml:space="preserve"> cmd="bus"</w:instrText>
      </w:r>
      <w:r>
        <w:rPr>
          <w:rFonts w:ascii="宋体" w:hAnsi="宋体" w:cs="Lucida Sans Unicode"/>
          <w:sz w:val="24"/>
          <w:highlight w:val="none"/>
        </w:rPr>
        <w:instrText xml:space="preserve">&gt;</w:instrText>
      </w:r>
      <w:r>
        <w:rPr>
          <w:rFonts w:hint="eastAsia" w:ascii="宋体" w:hAnsi="宋体" w:cs="Lucida Sans Unicode"/>
          <w:sz w:val="24"/>
          <w:highlight w:val="none"/>
        </w:rPr>
        <w:instrText xml:space="preserve">&lt;def type="query" recs="pro"&gt;"</w:instrText>
      </w:r>
      <w:r>
        <w:rPr>
          <w:sz w:val="24"/>
          <w:highlight w:val="none"/>
        </w:rPr>
        <w:instrText xml:space="preserve"> </w:instrText>
      </w:r>
      <w:r>
        <w:rPr>
          <w:rFonts w:ascii="宋体" w:hAnsi="宋体" w:cs="Lucida Sans Unicode"/>
          <w:sz w:val="24"/>
          <w:highlight w:val="none"/>
        </w:rPr>
        <w:instrText xml:space="preserve">select </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.tradeWay,a.projectCode,a.projectName,</w:instrText>
      </w:r>
      <w:r>
        <w:rPr>
          <w:rFonts w:hint="eastAsia" w:ascii="宋体" w:hAnsi="宋体" w:cs="Lucida Sans Unicode"/>
          <w:sz w:val="24"/>
          <w:highlight w:val="none"/>
        </w:rPr>
        <w:instrText xml:space="preserve">b.schemecode,b.</w:instrText>
      </w:r>
      <w:r>
        <w:rPr>
          <w:rFonts w:ascii="宋体" w:hAnsi="宋体" w:cs="Lucida Sans Unicode"/>
          <w:sz w:val="24"/>
          <w:highlight w:val="none"/>
        </w:rPr>
        <w:instrText xml:space="preserve">saleMode</w:instrText>
      </w:r>
      <w:r>
        <w:rPr>
          <w:rFonts w:hint="eastAsia" w:ascii="宋体" w:hAnsi="宋体" w:cs="Lucida Sans Unicode"/>
          <w:sz w:val="24"/>
          <w:highlight w:val="none"/>
        </w:rPr>
        <w:instrText xml:space="preserve">,b.applycost,</w:instrText>
      </w:r>
      <w:r>
        <w:rPr>
          <w:rFonts w:ascii="宋体" w:hAnsi="宋体" w:cs="Lucida Sans Unicode"/>
          <w:sz w:val="24"/>
          <w:highlight w:val="none"/>
        </w:rPr>
        <w:instrText xml:space="preserve">b.applystart,b.applystop,b.deliverstop,b.openstart,b.openaddr</w:instrText>
      </w:r>
      <w:r>
        <w:rPr>
          <w:rFonts w:hint="eastAsia" w:ascii="宋体" w:hAnsi="宋体" w:cs="Lucida Sans Unicode"/>
          <w:sz w:val="24"/>
          <w:highlight w:val="none"/>
        </w:rPr>
        <w:instrText xml:space="preserve">,a.projectid,b.</w:instrText>
      </w:r>
      <w:r>
        <w:rPr>
          <w:rFonts w:ascii="宋体" w:hAnsi="宋体" w:cs="Lucida Sans Unicode"/>
          <w:sz w:val="24"/>
          <w:highlight w:val="none"/>
        </w:rPr>
        <w:instrText xml:space="preserve">bidvalidity</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canjoint</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judgecount from gp_project a,gp_projectScheme b where a.projectId=b.projectId and </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.schemeId=</w:instrText>
      </w:r>
      <w:r>
        <w:rPr>
          <w:rFonts w:hint="eastAsia" w:ascii="宋体" w:hAnsi="宋体" w:cs="Lucida Sans Unicode"/>
          <w:sz w:val="24"/>
          <w:highlight w:val="none"/>
        </w:rPr>
        <w:instrText xml:space="preserve">"+NFV("</w:instrText>
      </w:r>
      <w:r>
        <w:rPr>
          <w:rFonts w:ascii="宋体" w:hAnsi="宋体" w:cs="Lucida Sans Unicode"/>
          <w:sz w:val="24"/>
          <w:highlight w:val="none"/>
        </w:rPr>
        <w:instrText xml:space="preserve">scheme</w:instrText>
      </w:r>
      <w:r>
        <w:rPr>
          <w:rFonts w:hint="eastAsia" w:ascii="宋体" w:hAnsi="宋体" w:cs="Lucida Sans Unicode"/>
          <w:sz w:val="24"/>
          <w:highlight w:val="none"/>
        </w:rPr>
        <w:instrText xml:space="preserve">i</w:instrText>
      </w:r>
      <w:r>
        <w:rPr>
          <w:rFonts w:ascii="宋体" w:hAnsi="宋体" w:cs="Lucida Sans Unicode"/>
          <w:sz w:val="24"/>
          <w:highlight w:val="none"/>
        </w:rPr>
        <w:instrText xml:space="preserve">d</w:instrText>
      </w:r>
      <w:r>
        <w:rPr>
          <w:rFonts w:hint="eastAsia" w:ascii="宋体" w:hAnsi="宋体" w:cs="Lucida Sans Unicode"/>
          <w:sz w:val="24"/>
          <w:highlight w:val="none"/>
        </w:rPr>
        <w:instrText xml:space="preserve">",-1) &lt;/def&gt;</w:instrText>
      </w:r>
      <w:r>
        <w:rPr>
          <w:rFonts w:ascii="宋体" w:hAnsi="宋体" w:cs="Lucida Sans Unicode"/>
          <w:sz w:val="24"/>
          <w:highlight w:val="none"/>
        </w:rPr>
        <w:instrText xml:space="preserve">&lt;/MK&gt;</w:instrText>
      </w:r>
      <w:r>
        <w:rPr>
          <w:rFonts w:ascii="宋体" w:hAnsi="宋体" w:cs="Lucida Sans Unicode"/>
          <w:sz w:val="24"/>
          <w:highlight w:val="none"/>
        </w:rPr>
        <w:fldChar w:fldCharType="separate"/>
      </w:r>
      <w:r>
        <w:rPr>
          <w:rFonts w:ascii="宋体" w:hAnsi="宋体" w:cs="Lucida Sans Unicode"/>
          <w:sz w:val="24"/>
          <w:highlight w:val="none"/>
        </w:rPr>
        <w:t>!异常的公式结尾</w:t>
      </w:r>
      <w:r>
        <w:rPr>
          <w:rFonts w:ascii="宋体" w:hAnsi="宋体" w:cs="Lucida Sans Unicode"/>
          <w:sz w:val="24"/>
          <w:highlight w:val="none"/>
        </w:rPr>
        <w:fldChar w:fldCharType="end"/>
      </w:r>
      <w:r>
        <w:rPr>
          <w:rFonts w:ascii="宋体" w:hAnsi="宋体" w:cs="Lucida Sans Unicode"/>
          <w:sz w:val="24"/>
          <w:highlight w:val="none"/>
        </w:rPr>
        <w:fldChar w:fldCharType="begin"/>
      </w:r>
      <w:r>
        <w:rPr>
          <w:rFonts w:ascii="宋体" w:hAnsi="宋体" w:cs="Lucida Sans Unicode"/>
          <w:sz w:val="24"/>
          <w:highlight w:val="none"/>
        </w:rPr>
        <w:instrText xml:space="preserve">&lt;MK</w:instrText>
      </w:r>
      <w:r>
        <w:rPr>
          <w:rFonts w:hint="eastAsia" w:ascii="宋体" w:hAnsi="宋体" w:cs="Lucida Sans Unicode"/>
          <w:sz w:val="24"/>
          <w:highlight w:val="none"/>
        </w:rPr>
        <w:instrText xml:space="preserve"> cmd="bus"</w:instrText>
      </w:r>
      <w:r>
        <w:rPr>
          <w:rFonts w:ascii="宋体" w:hAnsi="宋体" w:cs="Lucida Sans Unicode"/>
          <w:sz w:val="24"/>
          <w:highlight w:val="none"/>
        </w:rPr>
        <w:instrText xml:space="preserve">&gt;</w:instrText>
      </w:r>
      <w:r>
        <w:rPr>
          <w:rFonts w:hint="eastAsia" w:ascii="宋体" w:hAnsi="宋体" w:cs="Lucida Sans Unicode"/>
          <w:sz w:val="24"/>
          <w:highlight w:val="none"/>
        </w:rPr>
        <w:instrText xml:space="preserve">&lt;def type="query" recs="org"&gt;"</w:instrText>
      </w:r>
      <w:r>
        <w:rPr>
          <w:sz w:val="24"/>
          <w:highlight w:val="none"/>
        </w:rPr>
        <w:instrText xml:space="preserve"> </w:instrText>
      </w:r>
      <w:r>
        <w:rPr>
          <w:rFonts w:ascii="宋体" w:hAnsi="宋体" w:cs="Lucida Sans Unicode"/>
          <w:sz w:val="24"/>
          <w:highlight w:val="none"/>
        </w:rPr>
        <w:instrText xml:space="preserve">select b3.unitaddr,b3.zipcode,b3.linkman,b3.linkphone,</w:instrText>
      </w:r>
      <w:r>
        <w:rPr>
          <w:rFonts w:hint="eastAsia" w:ascii="宋体" w:hAnsi="宋体" w:cs="Lucida Sans Unicode"/>
          <w:sz w:val="24"/>
          <w:highlight w:val="none"/>
        </w:rPr>
        <w:instrText xml:space="preserve">b3.uniturl,</w:instrText>
      </w:r>
      <w:r>
        <w:rPr>
          <w:rFonts w:ascii="宋体" w:hAnsi="宋体" w:cs="Lucida Sans Unicode"/>
          <w:sz w:val="24"/>
          <w:highlight w:val="none"/>
        </w:rPr>
        <w:instrText xml:space="preserve">b2.organName from gp_project b1,bas_organ b2,gp_agent b3 where b1.agentOrgan=b2.organId and b2.organId=b3.org</w:instrText>
      </w:r>
      <w:r>
        <w:rPr>
          <w:rFonts w:hint="eastAsia" w:ascii="宋体" w:hAnsi="宋体" w:cs="Lucida Sans Unicode"/>
          <w:sz w:val="24"/>
          <w:highlight w:val="none"/>
        </w:rPr>
        <w:instrText xml:space="preserve">anid </w:instrText>
      </w:r>
      <w:r>
        <w:rPr>
          <w:rFonts w:ascii="宋体" w:hAnsi="宋体" w:cs="Lucida Sans Unicode"/>
          <w:sz w:val="24"/>
          <w:highlight w:val="none"/>
        </w:rPr>
        <w:instrText xml:space="preserve">and b1.</w:instrText>
      </w:r>
      <w:r>
        <w:rPr>
          <w:rFonts w:hint="eastAsia" w:ascii="宋体" w:hAnsi="宋体" w:cs="Lucida Sans Unicode"/>
          <w:sz w:val="24"/>
          <w:highlight w:val="none"/>
        </w:rPr>
        <w:instrText xml:space="preserve">projectid</w:instrText>
      </w:r>
      <w:r>
        <w:rPr>
          <w:rFonts w:ascii="宋体" w:hAnsi="宋体" w:cs="Lucida Sans Unicode"/>
          <w:sz w:val="24"/>
          <w:highlight w:val="none"/>
        </w:rPr>
        <w:instrText xml:space="preserve"> =</w:instrText>
      </w:r>
      <w:r>
        <w:rPr>
          <w:rFonts w:hint="eastAsia" w:ascii="宋体" w:hAnsi="宋体" w:cs="Lucida Sans Unicode"/>
          <w:sz w:val="24"/>
          <w:highlight w:val="none"/>
        </w:rPr>
        <w:instrText xml:space="preserve">"+NFV("pro.projectid",-1) &lt;/def&gt;</w:instrText>
      </w:r>
      <w:r>
        <w:rPr>
          <w:rFonts w:ascii="宋体" w:hAnsi="宋体" w:cs="Lucida Sans Unicode"/>
          <w:sz w:val="24"/>
          <w:highlight w:val="none"/>
        </w:rPr>
        <w:instrText xml:space="preserve">&lt;/MK&gt;</w:instrText>
      </w:r>
      <w:r>
        <w:rPr>
          <w:rFonts w:ascii="宋体" w:hAnsi="宋体" w:cs="Lucida Sans Unicode"/>
          <w:sz w:val="24"/>
          <w:highlight w:val="none"/>
        </w:rPr>
        <w:fldChar w:fldCharType="separate"/>
      </w:r>
      <w:r>
        <w:rPr>
          <w:rFonts w:ascii="宋体" w:hAnsi="宋体" w:cs="Lucida Sans Unicode"/>
          <w:sz w:val="24"/>
          <w:highlight w:val="none"/>
        </w:rPr>
        <w:t>!异常的公式结尾</w:t>
      </w:r>
      <w:r>
        <w:rPr>
          <w:rFonts w:ascii="宋体" w:hAnsi="宋体" w:cs="Lucida Sans Unicode"/>
          <w:sz w:val="24"/>
          <w:highlight w:val="none"/>
        </w:rPr>
        <w:fldChar w:fldCharType="end"/>
      </w:r>
      <w:r>
        <w:rPr>
          <w:rFonts w:ascii="宋体" w:hAnsi="宋体"/>
          <w:sz w:val="24"/>
          <w:highlight w:val="none"/>
        </w:rPr>
        <w:fldChar w:fldCharType="begin"/>
      </w:r>
      <w:r>
        <w:rPr>
          <w:rFonts w:ascii="宋体" w:hAnsi="宋体"/>
          <w:sz w:val="24"/>
          <w:highlight w:val="none"/>
        </w:rPr>
        <w:instrText xml:space="preserve">&lt;MK cmd="bus"&gt;&lt;def type="query" recs="</w:instrText>
      </w:r>
      <w:r>
        <w:rPr>
          <w:rFonts w:hint="eastAsia" w:ascii="宋体" w:hAnsi="宋体"/>
          <w:sz w:val="24"/>
          <w:highlight w:val="none"/>
        </w:rPr>
        <w:instrText xml:space="preserve">totle</w:instrText>
      </w:r>
      <w:r>
        <w:rPr>
          <w:rFonts w:ascii="宋体" w:hAnsi="宋体"/>
          <w:sz w:val="24"/>
          <w:highlight w:val="none"/>
        </w:rPr>
        <w:instrText xml:space="preserve">"&gt;"SELECT</w:instrText>
      </w:r>
      <w:r>
        <w:rPr>
          <w:rFonts w:hint="eastAsia" w:ascii="宋体" w:hAnsi="宋体"/>
          <w:sz w:val="24"/>
          <w:highlight w:val="none"/>
        </w:rPr>
        <w:instrText xml:space="preserve"> sum(a.</w:instrText>
      </w:r>
      <w:r>
        <w:rPr>
          <w:rFonts w:ascii="宋体" w:hAnsi="宋体"/>
          <w:sz w:val="24"/>
          <w:highlight w:val="none"/>
        </w:rPr>
        <w:instrText xml:space="preserve">budgetAmount</w:instrText>
      </w:r>
      <w:r>
        <w:rPr>
          <w:rFonts w:hint="eastAsia" w:ascii="宋体" w:hAnsi="宋体"/>
          <w:sz w:val="24"/>
          <w:highlight w:val="none"/>
        </w:rPr>
        <w:instrText xml:space="preserve">) budgettotle</w:instrText>
      </w:r>
      <w:r>
        <w:rPr>
          <w:rFonts w:ascii="宋体" w:hAnsi="宋体"/>
          <w:sz w:val="24"/>
          <w:highlight w:val="none"/>
        </w:rPr>
        <w:instrText xml:space="preserve"> </w:instrText>
      </w:r>
      <w:r>
        <w:rPr>
          <w:rFonts w:hint="eastAsia" w:ascii="宋体" w:hAnsi="宋体"/>
          <w:sz w:val="24"/>
          <w:highlight w:val="none"/>
        </w:rPr>
        <w:instrText xml:space="preserve">from </w:instrText>
      </w:r>
      <w:r>
        <w:rPr>
          <w:rFonts w:ascii="宋体" w:hAnsi="宋体"/>
          <w:sz w:val="24"/>
          <w:highlight w:val="none"/>
        </w:rPr>
        <w:instrText xml:space="preserve">gp_goods a,gp_package b,gp_packageScheme c WHERE a.packageId=b.packageId AND b.packageSchemeId=c.packageSchemeId AND</w:instrText>
      </w:r>
      <w:r>
        <w:rPr>
          <w:rFonts w:hint="eastAsia" w:ascii="宋体" w:hAnsi="宋体"/>
          <w:sz w:val="24"/>
          <w:highlight w:val="none"/>
        </w:rPr>
        <w:instrText xml:space="preserve"> </w:instrText>
      </w:r>
      <w:r>
        <w:rPr>
          <w:rFonts w:ascii="宋体" w:hAnsi="宋体"/>
          <w:sz w:val="24"/>
          <w:highlight w:val="none"/>
        </w:rPr>
        <w:instrText xml:space="preserve">c.schemeId</w:instrText>
      </w:r>
      <w:r>
        <w:rPr>
          <w:rFonts w:hint="eastAsia" w:ascii="宋体" w:hAnsi="宋体"/>
          <w:sz w:val="24"/>
          <w:highlight w:val="none"/>
        </w:rPr>
        <w:instrText xml:space="preserve"> ="+NFV("schemeid",-1)</w:instrText>
      </w:r>
      <w:r>
        <w:rPr>
          <w:rFonts w:ascii="宋体" w:hAnsi="宋体"/>
          <w:sz w:val="24"/>
          <w:highlight w:val="none"/>
        </w:rPr>
        <w:instrText xml:space="preserve">&lt;/def&gt;&lt;/MK&gt;</w:instrText>
      </w:r>
      <w:r>
        <w:rPr>
          <w:rFonts w:ascii="宋体" w:hAnsi="宋体"/>
          <w:sz w:val="24"/>
          <w:highlight w:val="none"/>
        </w:rPr>
        <w:fldChar w:fldCharType="end"/>
      </w:r>
      <w:r>
        <w:rPr>
          <w:rFonts w:ascii="宋体" w:hAnsi="宋体" w:cs="Lucida Sans Unicode"/>
          <w:sz w:val="24"/>
          <w:highlight w:val="none"/>
        </w:rPr>
        <w:fldChar w:fldCharType="begin"/>
      </w:r>
      <w:r>
        <w:rPr>
          <w:rFonts w:ascii="宋体" w:hAnsi="宋体" w:cs="Lucida Sans Unicode"/>
          <w:sz w:val="24"/>
          <w:highlight w:val="none"/>
        </w:rPr>
        <w:instrText xml:space="preserve">&lt;MK cmd="</w:instrText>
      </w:r>
      <w:r>
        <w:rPr>
          <w:rFonts w:hint="eastAsia" w:ascii="宋体" w:hAnsi="宋体" w:cs="Lucida Sans Unicode"/>
          <w:sz w:val="24"/>
          <w:highlight w:val="none"/>
        </w:rPr>
        <w:instrText xml:space="preserve">bus</w:instrText>
      </w:r>
      <w:r>
        <w:rPr>
          <w:rFonts w:ascii="宋体" w:hAnsi="宋体" w:cs="Lucida Sans Unicode"/>
          <w:sz w:val="24"/>
          <w:highlight w:val="none"/>
        </w:rPr>
        <w:instrText xml:space="preserve">"&gt;&lt;def type="query" recs="allbuyer"&gt;"SELECT DISTINCT d.organName FROM gp_plan a,bas_organ d WHERE a.buyer=d.organId AND a.planid IN (SELECT b.planId FROM gp_package b,gp_packageScheme c WHERE b.packageSchemeId=c.packageSchemeId AND c.schemeId="+NFV("schemeid")+")"&lt;/def&gt;&lt;/MK&gt;</w:instrText>
      </w:r>
      <w:r>
        <w:rPr>
          <w:rFonts w:ascii="宋体" w:hAnsi="宋体" w:cs="Lucida Sans Unicode"/>
          <w:sz w:val="24"/>
          <w:highlight w:val="none"/>
        </w:rPr>
        <w:fldChar w:fldCharType="end"/>
      </w:r>
      <w:r>
        <w:rPr>
          <w:rFonts w:ascii="宋体" w:hAnsi="宋体" w:cs="Lucida Sans Unicode"/>
          <w:sz w:val="24"/>
          <w:highlight w:val="none"/>
        </w:rPr>
        <w:fldChar w:fldCharType="begin"/>
      </w:r>
      <w:r>
        <w:rPr>
          <w:rFonts w:ascii="宋体" w:hAnsi="宋体" w:cs="Lucida Sans Unicode"/>
          <w:sz w:val="24"/>
          <w:highlight w:val="none"/>
        </w:rPr>
        <w:instrText xml:space="preserve">&lt;MK cmd="</w:instrText>
      </w:r>
      <w:r>
        <w:rPr>
          <w:rFonts w:hint="eastAsia" w:ascii="宋体" w:hAnsi="宋体" w:cs="Lucida Sans Unicode"/>
          <w:sz w:val="24"/>
          <w:highlight w:val="none"/>
        </w:rPr>
        <w:instrText xml:space="preserve">bus</w:instrText>
      </w:r>
      <w:r>
        <w:rPr>
          <w:rFonts w:ascii="宋体" w:hAnsi="宋体" w:cs="Lucida Sans Unicode"/>
          <w:sz w:val="24"/>
          <w:highlight w:val="none"/>
        </w:rPr>
        <w:instrText xml:space="preserve">"&gt;&lt;def type="query" recs="filecode"&gt;" SELECT a.grantSymbol FROM gp_plan a WHERE a.planid IN (SELECT DISTINCT b.planId FROM gp_package b,gp_packageScheme c WHERE b.packageSchemeId=c.packageSchemeId AND c.schemeId="+NFV("schemeid")+")"&lt;/def&gt;&lt;/MK&gt;</w:instrText>
      </w:r>
      <w:r>
        <w:rPr>
          <w:rFonts w:ascii="宋体" w:hAnsi="宋体" w:cs="Lucida Sans Unicode"/>
          <w:sz w:val="24"/>
          <w:highlight w:val="none"/>
        </w:rPr>
        <w:fldChar w:fldCharType="end"/>
      </w:r>
      <w:r>
        <w:rPr>
          <w:rFonts w:ascii="宋体" w:hAnsi="宋体" w:cs="Lucida Sans Unicode"/>
          <w:highlight w:val="none"/>
        </w:rPr>
        <w:fldChar w:fldCharType="begin"/>
      </w:r>
      <w:r>
        <w:rPr>
          <w:rFonts w:ascii="宋体" w:hAnsi="宋体" w:cs="Lucida Sans Unicode"/>
          <w:highlight w:val="none"/>
        </w:rPr>
        <w:instrText xml:space="preserve">&lt;MK</w:instrText>
      </w:r>
      <w:r>
        <w:rPr>
          <w:rFonts w:hint="eastAsia" w:ascii="宋体" w:hAnsi="宋体" w:cs="Lucida Sans Unicode"/>
          <w:highlight w:val="none"/>
        </w:rPr>
        <w:instrText xml:space="preserve"> cmd="bus"</w:instrText>
      </w:r>
      <w:r>
        <w:rPr>
          <w:rFonts w:ascii="宋体" w:hAnsi="宋体" w:cs="Lucida Sans Unicode"/>
          <w:highlight w:val="none"/>
        </w:rPr>
        <w:instrText xml:space="preserve">&gt;</w:instrText>
      </w:r>
      <w:r>
        <w:rPr>
          <w:rFonts w:hint="eastAsia" w:ascii="宋体" w:hAnsi="宋体" w:cs="Lucida Sans Unicode"/>
          <w:highlight w:val="none"/>
        </w:rPr>
        <w:instrText xml:space="preserve">&lt;def type="query" recs="mypro"&gt;"</w:instrText>
      </w:r>
      <w:r>
        <w:rPr>
          <w:rFonts w:ascii="宋体" w:hAnsi="宋体" w:cs="Lucida Sans Unicode"/>
          <w:highlight w:val="none"/>
        </w:rPr>
        <w:instrText xml:space="preserve"> select </w:instrText>
      </w:r>
      <w:r>
        <w:rPr>
          <w:rFonts w:hint="eastAsia" w:ascii="宋体" w:hAnsi="宋体" w:cs="Lucida Sans Unicode"/>
          <w:highlight w:val="none"/>
        </w:rPr>
        <w:instrText xml:space="preserve">a.agentOrgan,c.organname</w:instrText>
      </w:r>
      <w:r>
        <w:rPr>
          <w:rFonts w:ascii="宋体" w:hAnsi="宋体" w:cs="Lucida Sans Unicode"/>
          <w:highlight w:val="none"/>
        </w:rPr>
        <w:instrText xml:space="preserve"> from gp_project a,gp_projectScheme b</w:instrText>
      </w:r>
      <w:r>
        <w:rPr>
          <w:rFonts w:hint="eastAsia" w:ascii="宋体" w:hAnsi="宋体" w:cs="Lucida Sans Unicode"/>
          <w:highlight w:val="none"/>
        </w:rPr>
        <w:instrText xml:space="preserve">,bas_organ c</w:instrText>
      </w:r>
      <w:r>
        <w:rPr>
          <w:rFonts w:ascii="宋体" w:hAnsi="宋体" w:cs="Lucida Sans Unicode"/>
          <w:highlight w:val="none"/>
        </w:rPr>
        <w:instrText xml:space="preserve"> where a.projectId=b.projectId</w:instrText>
      </w:r>
      <w:r>
        <w:rPr>
          <w:rFonts w:hint="eastAsia" w:ascii="宋体" w:hAnsi="宋体" w:cs="Lucida Sans Unicode"/>
          <w:highlight w:val="none"/>
        </w:rPr>
        <w:instrText xml:space="preserve"> and a.agentorgan=c.organid</w:instrText>
      </w:r>
      <w:r>
        <w:rPr>
          <w:rFonts w:ascii="宋体" w:hAnsi="宋体" w:cs="Lucida Sans Unicode"/>
          <w:highlight w:val="none"/>
        </w:rPr>
        <w:instrText xml:space="preserve"> and </w:instrText>
      </w:r>
      <w:r>
        <w:rPr>
          <w:rFonts w:hint="eastAsia" w:ascii="宋体" w:hAnsi="宋体" w:cs="Lucida Sans Unicode"/>
          <w:highlight w:val="none"/>
        </w:rPr>
        <w:instrText xml:space="preserve">b</w:instrText>
      </w:r>
      <w:r>
        <w:rPr>
          <w:rFonts w:ascii="宋体" w:hAnsi="宋体" w:cs="Lucida Sans Unicode"/>
          <w:highlight w:val="none"/>
        </w:rPr>
        <w:instrText xml:space="preserve">.schemeId="</w:instrText>
      </w:r>
      <w:r>
        <w:rPr>
          <w:rFonts w:hint="eastAsia" w:ascii="宋体" w:hAnsi="宋体" w:cs="Lucida Sans Unicode"/>
          <w:highlight w:val="none"/>
        </w:rPr>
        <w:instrText xml:space="preserve">+NFV("</w:instrText>
      </w:r>
      <w:r>
        <w:rPr>
          <w:rFonts w:ascii="宋体" w:hAnsi="宋体" w:cs="Lucida Sans Unicode"/>
          <w:highlight w:val="none"/>
        </w:rPr>
        <w:instrText xml:space="preserve">schemeid</w:instrText>
      </w:r>
      <w:r>
        <w:rPr>
          <w:rFonts w:hint="eastAsia" w:ascii="宋体" w:hAnsi="宋体" w:cs="Lucida Sans Unicode"/>
          <w:highlight w:val="none"/>
        </w:rPr>
        <w:instrText xml:space="preserve">",-1)&lt;/def&gt;</w:instrText>
      </w:r>
      <w:r>
        <w:rPr>
          <w:rFonts w:ascii="宋体" w:hAnsi="宋体" w:cs="Lucida Sans Unicode"/>
          <w:highlight w:val="none"/>
        </w:rPr>
        <w:instrText xml:space="preserve">&lt;/MK&gt;</w:instrText>
      </w:r>
      <w:r>
        <w:rPr>
          <w:rFonts w:ascii="宋体" w:hAnsi="宋体" w:cs="Lucida Sans Unicode"/>
          <w:highlight w:val="none"/>
        </w:rPr>
        <w:fldChar w:fldCharType="separate"/>
      </w:r>
      <w:r>
        <w:rPr>
          <w:rFonts w:ascii="宋体" w:hAnsi="宋体" w:cs="Lucida Sans Unicode"/>
          <w:highlight w:val="none"/>
        </w:rPr>
        <w:t>!异常的公式结尾</w:t>
      </w:r>
      <w:r>
        <w:rPr>
          <w:rFonts w:ascii="宋体" w:hAnsi="宋体" w:cs="Lucida Sans Unicode"/>
          <w:highlight w:val="none"/>
        </w:rPr>
        <w:fldChar w:fldCharType="end"/>
      </w:r>
      <w:bookmarkStart w:id="39" w:name="_Hlk525721599"/>
    </w:p>
    <w:p w14:paraId="705F91EE">
      <w:pPr>
        <w:jc w:val="center"/>
        <w:rPr>
          <w:rFonts w:hint="eastAsia" w:ascii="方正小标宋简体" w:hAnsi="仿宋" w:eastAsia="方正小标宋简体"/>
          <w:bCs/>
          <w:sz w:val="84"/>
          <w:highlight w:val="none"/>
        </w:rPr>
      </w:pPr>
    </w:p>
    <w:p w14:paraId="6765AF2B">
      <w:pPr>
        <w:jc w:val="center"/>
        <w:rPr>
          <w:rFonts w:hint="eastAsia" w:ascii="方正小标宋简体" w:hAnsi="仿宋" w:eastAsia="方正小标宋简体"/>
          <w:bCs/>
          <w:sz w:val="84"/>
          <w:highlight w:val="none"/>
        </w:rPr>
      </w:pPr>
    </w:p>
    <w:p w14:paraId="59050E59">
      <w:pPr>
        <w:jc w:val="center"/>
        <w:rPr>
          <w:rFonts w:hint="eastAsia" w:ascii="仿宋" w:hAnsi="仿宋" w:eastAsia="仿宋" w:cs="仿宋"/>
          <w:b/>
          <w:bCs w:val="0"/>
          <w:sz w:val="84"/>
          <w:highlight w:val="none"/>
        </w:rPr>
      </w:pPr>
      <w:r>
        <w:rPr>
          <w:rFonts w:hint="eastAsia" w:ascii="仿宋" w:hAnsi="仿宋" w:eastAsia="仿宋" w:cs="仿宋"/>
          <w:b/>
          <w:bCs w:val="0"/>
          <w:sz w:val="84"/>
          <w:highlight w:val="none"/>
        </w:rPr>
        <w:t>投 标 文 件</w:t>
      </w:r>
    </w:p>
    <w:p w14:paraId="44003551">
      <w:pPr>
        <w:jc w:val="center"/>
        <w:rPr>
          <w:rFonts w:ascii="仿宋_GB2312" w:hAnsi="仿宋" w:eastAsia="仿宋_GB2312"/>
          <w:sz w:val="72"/>
          <w:highlight w:val="none"/>
        </w:rPr>
      </w:pPr>
      <w:r>
        <w:rPr>
          <w:rFonts w:hint="eastAsia" w:ascii="仿宋_GB2312" w:hAnsi="仿宋" w:eastAsia="仿宋_GB2312"/>
          <w:b/>
          <w:bCs w:val="0"/>
          <w:sz w:val="72"/>
          <w:highlight w:val="none"/>
        </w:rPr>
        <w:t>（第一册）</w:t>
      </w:r>
    </w:p>
    <w:p w14:paraId="39E729E8">
      <w:pPr>
        <w:jc w:val="center"/>
        <w:rPr>
          <w:rFonts w:ascii="仿宋" w:hAnsi="仿宋" w:eastAsia="仿宋"/>
          <w:sz w:val="72"/>
          <w:highlight w:val="none"/>
        </w:rPr>
      </w:pPr>
    </w:p>
    <w:p w14:paraId="5FCB5DDB">
      <w:pPr>
        <w:jc w:val="center"/>
        <w:rPr>
          <w:rFonts w:ascii="仿宋" w:hAnsi="仿宋" w:eastAsia="仿宋"/>
          <w:sz w:val="72"/>
          <w:highlight w:val="none"/>
        </w:rPr>
      </w:pPr>
    </w:p>
    <w:p w14:paraId="3CB8459B">
      <w:pPr>
        <w:ind w:left="1260" w:leftChars="600"/>
        <w:jc w:val="left"/>
        <w:rPr>
          <w:rFonts w:ascii="仿宋_GB2312" w:hAnsi="宋体" w:eastAsia="仿宋_GB2312"/>
          <w:sz w:val="36"/>
          <w:szCs w:val="36"/>
          <w:highlight w:val="none"/>
        </w:rPr>
      </w:pPr>
      <w:r>
        <w:rPr>
          <w:rFonts w:hint="eastAsia" w:ascii="仿宋_GB2312" w:hAnsi="宋体" w:eastAsia="仿宋_GB2312"/>
          <w:bCs/>
          <w:sz w:val="36"/>
          <w:szCs w:val="36"/>
          <w:highlight w:val="none"/>
        </w:rPr>
        <w:t>采购项目：</w:t>
      </w:r>
    </w:p>
    <w:p w14:paraId="32D390A6">
      <w:pPr>
        <w:ind w:left="1260" w:leftChars="600"/>
        <w:jc w:val="left"/>
        <w:rPr>
          <w:rFonts w:ascii="仿宋_GB2312" w:hAnsi="宋体" w:eastAsia="仿宋_GB2312"/>
          <w:sz w:val="36"/>
          <w:szCs w:val="36"/>
          <w:highlight w:val="none"/>
        </w:rPr>
      </w:pPr>
      <w:r>
        <w:rPr>
          <w:rFonts w:hint="eastAsia" w:ascii="仿宋_GB2312" w:hAnsi="宋体" w:eastAsia="仿宋_GB2312"/>
          <w:bCs/>
          <w:sz w:val="36"/>
          <w:szCs w:val="36"/>
          <w:highlight w:val="none"/>
        </w:rPr>
        <w:t>采购编号：</w:t>
      </w:r>
    </w:p>
    <w:p w14:paraId="0F9787C6">
      <w:pPr>
        <w:ind w:left="1260" w:leftChars="600"/>
        <w:jc w:val="left"/>
        <w:rPr>
          <w:rFonts w:ascii="仿宋_GB2312" w:hAnsi="宋体" w:eastAsia="仿宋_GB2312"/>
          <w:bCs/>
          <w:sz w:val="36"/>
          <w:szCs w:val="36"/>
          <w:highlight w:val="none"/>
        </w:rPr>
      </w:pPr>
      <w:r>
        <w:rPr>
          <w:rFonts w:hint="eastAsia" w:ascii="仿宋_GB2312" w:hAnsi="宋体" w:eastAsia="仿宋_GB2312"/>
          <w:bCs/>
          <w:sz w:val="36"/>
          <w:szCs w:val="36"/>
          <w:highlight w:val="none"/>
        </w:rPr>
        <w:t>所投包段：</w:t>
      </w:r>
    </w:p>
    <w:p w14:paraId="1ACBBF23">
      <w:pPr>
        <w:jc w:val="left"/>
        <w:rPr>
          <w:rFonts w:ascii="仿宋" w:hAnsi="仿宋" w:eastAsia="仿宋"/>
          <w:sz w:val="44"/>
          <w:highlight w:val="none"/>
        </w:rPr>
      </w:pPr>
    </w:p>
    <w:p w14:paraId="0451CD4F">
      <w:pPr>
        <w:jc w:val="left"/>
        <w:rPr>
          <w:rFonts w:ascii="仿宋" w:hAnsi="仿宋" w:eastAsia="仿宋"/>
          <w:sz w:val="36"/>
          <w:highlight w:val="none"/>
        </w:rPr>
      </w:pPr>
    </w:p>
    <w:p w14:paraId="2E468D52">
      <w:pPr>
        <w:pStyle w:val="12"/>
        <w:rPr>
          <w:rFonts w:ascii="仿宋" w:hAnsi="仿宋" w:eastAsia="仿宋"/>
          <w:sz w:val="36"/>
          <w:highlight w:val="none"/>
        </w:rPr>
      </w:pPr>
    </w:p>
    <w:p w14:paraId="7C05ECF4">
      <w:pPr>
        <w:pStyle w:val="12"/>
        <w:rPr>
          <w:rFonts w:ascii="仿宋" w:hAnsi="仿宋" w:eastAsia="仿宋"/>
          <w:sz w:val="36"/>
          <w:highlight w:val="none"/>
        </w:rPr>
      </w:pPr>
    </w:p>
    <w:p w14:paraId="373A5A82">
      <w:pPr>
        <w:tabs>
          <w:tab w:val="left" w:pos="580"/>
        </w:tabs>
        <w:ind w:left="185" w:leftChars="88" w:firstLine="1800" w:firstLineChars="500"/>
        <w:rPr>
          <w:rFonts w:ascii="仿宋" w:hAnsi="仿宋" w:eastAsia="仿宋"/>
          <w:kern w:val="0"/>
          <w:sz w:val="36"/>
          <w:szCs w:val="21"/>
          <w:highlight w:val="none"/>
        </w:rPr>
      </w:pPr>
    </w:p>
    <w:p w14:paraId="2B767838">
      <w:pPr>
        <w:tabs>
          <w:tab w:val="left" w:pos="580"/>
        </w:tabs>
        <w:ind w:left="185" w:leftChars="88" w:firstLine="1800" w:firstLineChars="500"/>
        <w:rPr>
          <w:rFonts w:ascii="仿宋_GB2312" w:hAnsi="仿宋" w:eastAsia="仿宋_GB2312"/>
          <w:kern w:val="0"/>
          <w:sz w:val="36"/>
          <w:szCs w:val="36"/>
          <w:highlight w:val="none"/>
        </w:rPr>
      </w:pPr>
    </w:p>
    <w:p w14:paraId="2A4131A1">
      <w:pPr>
        <w:tabs>
          <w:tab w:val="left" w:pos="580"/>
        </w:tabs>
        <w:ind w:firstLine="1800" w:firstLineChars="500"/>
        <w:rPr>
          <w:rFonts w:ascii="仿宋_GB2312" w:hAnsi="仿宋" w:eastAsia="仿宋_GB2312"/>
          <w:kern w:val="0"/>
          <w:sz w:val="36"/>
          <w:szCs w:val="36"/>
          <w:highlight w:val="none"/>
        </w:rPr>
      </w:pPr>
      <w:r>
        <w:rPr>
          <w:rFonts w:hint="eastAsia" w:ascii="仿宋_GB2312" w:hAnsi="仿宋" w:eastAsia="仿宋_GB2312"/>
          <w:kern w:val="0"/>
          <w:sz w:val="36"/>
          <w:szCs w:val="36"/>
          <w:highlight w:val="none"/>
        </w:rPr>
        <w:t>投标人名称：***有限公司</w:t>
      </w:r>
    </w:p>
    <w:p w14:paraId="665F90B4">
      <w:pPr>
        <w:tabs>
          <w:tab w:val="left" w:pos="580"/>
        </w:tabs>
        <w:ind w:firstLine="1800" w:firstLineChars="500"/>
        <w:rPr>
          <w:rFonts w:ascii="仿宋_GB2312" w:hAnsi="仿宋" w:eastAsia="仿宋_GB2312"/>
          <w:kern w:val="0"/>
          <w:sz w:val="36"/>
          <w:szCs w:val="36"/>
          <w:highlight w:val="none"/>
        </w:rPr>
      </w:pPr>
      <w:r>
        <w:rPr>
          <w:rFonts w:hint="eastAsia" w:ascii="仿宋_GB2312" w:hAnsi="仿宋" w:eastAsia="仿宋_GB2312"/>
          <w:kern w:val="0"/>
          <w:sz w:val="36"/>
          <w:szCs w:val="36"/>
          <w:highlight w:val="none"/>
        </w:rPr>
        <w:t>日      期：   年  月  日</w:t>
      </w:r>
    </w:p>
    <w:p w14:paraId="0882C0F8">
      <w:pPr>
        <w:tabs>
          <w:tab w:val="left" w:pos="580"/>
        </w:tabs>
        <w:ind w:firstLine="1800" w:firstLineChars="500"/>
        <w:rPr>
          <w:rFonts w:ascii="仿宋_GB2312" w:hAnsi="仿宋" w:eastAsia="仿宋_GB2312"/>
          <w:kern w:val="0"/>
          <w:sz w:val="36"/>
          <w:szCs w:val="36"/>
          <w:highlight w:val="none"/>
        </w:rPr>
      </w:pPr>
    </w:p>
    <w:p w14:paraId="0D87C706">
      <w:pPr>
        <w:rPr>
          <w:highlight w:val="none"/>
        </w:rPr>
      </w:pPr>
    </w:p>
    <w:p w14:paraId="1095C6D0">
      <w:pPr>
        <w:widowControl/>
        <w:jc w:val="right"/>
        <w:rPr>
          <w:rFonts w:ascii="仿宋_GB2312" w:hAnsi="宋体" w:eastAsia="仿宋_GB2312"/>
          <w:b/>
          <w:bCs/>
          <w:sz w:val="30"/>
          <w:szCs w:val="30"/>
          <w:highlight w:val="none"/>
        </w:rPr>
        <w:sectPr>
          <w:headerReference r:id="rId18" w:type="default"/>
          <w:pgSz w:w="11906" w:h="16838"/>
          <w:pgMar w:top="1440" w:right="1077" w:bottom="1440" w:left="1077" w:header="851" w:footer="992" w:gutter="0"/>
          <w:cols w:space="720" w:num="1"/>
          <w:docGrid w:linePitch="312" w:charSpace="0"/>
        </w:sectPr>
      </w:pPr>
    </w:p>
    <w:p w14:paraId="2C9FC851">
      <w:pPr>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目录</w:t>
      </w:r>
    </w:p>
    <w:p w14:paraId="573ACA73">
      <w:pPr>
        <w:jc w:val="center"/>
        <w:rPr>
          <w:rFonts w:ascii="仿宋_GB2312" w:hAnsi="宋体" w:eastAsia="仿宋_GB2312"/>
          <w:b/>
          <w:bCs/>
          <w:sz w:val="30"/>
          <w:szCs w:val="30"/>
          <w:highlight w:val="none"/>
        </w:rPr>
      </w:pPr>
      <w:r>
        <w:rPr>
          <w:rFonts w:hint="eastAsia" w:ascii="仿宋_GB2312" w:hAnsi="宋体" w:eastAsia="仿宋_GB2312"/>
          <w:b/>
          <w:bCs/>
          <w:sz w:val="30"/>
          <w:szCs w:val="30"/>
          <w:highlight w:val="none"/>
        </w:rPr>
        <w:t>（由投标人自行编制）</w:t>
      </w:r>
    </w:p>
    <w:p w14:paraId="0AD976F2">
      <w:pPr>
        <w:jc w:val="center"/>
        <w:rPr>
          <w:rFonts w:hint="eastAsia" w:ascii="仿宋" w:hAnsi="仿宋" w:eastAsia="仿宋" w:cs="仿宋"/>
          <w:bCs/>
          <w:sz w:val="44"/>
          <w:szCs w:val="32"/>
          <w:highlight w:val="none"/>
        </w:rPr>
      </w:pPr>
      <w:r>
        <w:rPr>
          <w:rFonts w:ascii="仿宋_GB2312" w:hAnsi="宋体" w:eastAsia="仿宋_GB2312"/>
          <w:b/>
          <w:bCs/>
          <w:sz w:val="30"/>
          <w:szCs w:val="30"/>
          <w:highlight w:val="none"/>
        </w:rPr>
        <w:br w:type="page"/>
      </w:r>
      <w:bookmarkStart w:id="40" w:name="_Toc524682807"/>
      <w:r>
        <w:rPr>
          <w:rFonts w:hint="eastAsia" w:ascii="仿宋" w:hAnsi="仿宋" w:eastAsia="仿宋" w:cs="仿宋"/>
          <w:b/>
          <w:bCs w:val="0"/>
          <w:sz w:val="44"/>
          <w:szCs w:val="32"/>
          <w:highlight w:val="none"/>
        </w:rPr>
        <w:t>投标承诺函</w:t>
      </w:r>
      <w:bookmarkEnd w:id="40"/>
    </w:p>
    <w:p w14:paraId="2D3720C1">
      <w:pPr>
        <w:spacing w:line="560" w:lineRule="exact"/>
        <w:rPr>
          <w:rFonts w:ascii="仿宋_GB2312" w:hAnsi="仿宋" w:eastAsia="仿宋_GB2312"/>
          <w:kern w:val="0"/>
          <w:sz w:val="30"/>
          <w:szCs w:val="30"/>
          <w:highlight w:val="none"/>
        </w:rPr>
      </w:pPr>
      <w:r>
        <w:rPr>
          <w:rFonts w:hint="eastAsia" w:ascii="仿宋_GB2312" w:hAnsi="仿宋" w:eastAsia="仿宋_GB2312"/>
          <w:sz w:val="30"/>
          <w:szCs w:val="30"/>
          <w:highlight w:val="none"/>
        </w:rPr>
        <w:t>山东华维工程咨询有限公司</w:t>
      </w:r>
      <w:r>
        <w:rPr>
          <w:rFonts w:hint="eastAsia" w:ascii="仿宋_GB2312" w:hAnsi="仿宋" w:eastAsia="仿宋_GB2312"/>
          <w:kern w:val="0"/>
          <w:sz w:val="30"/>
          <w:szCs w:val="30"/>
          <w:highlight w:val="none"/>
        </w:rPr>
        <w:t>：</w:t>
      </w:r>
    </w:p>
    <w:p w14:paraId="6C0A03BB">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我方根据项目编号为</w:t>
      </w:r>
      <w:r>
        <w:rPr>
          <w:rFonts w:hint="eastAsia" w:ascii="仿宋_GB2312" w:hAnsi="仿宋" w:eastAsia="仿宋_GB2312"/>
          <w:sz w:val="30"/>
          <w:szCs w:val="30"/>
          <w:highlight w:val="none"/>
        </w:rPr>
        <w:t>HYJZFCG2026-036 朝阳港码头道路建设工程</w:t>
      </w:r>
      <w:r>
        <w:rPr>
          <w:rFonts w:hint="eastAsia" w:ascii="仿宋_GB2312" w:hAnsi="宋体" w:eastAsia="仿宋_GB2312" w:cs="宋体"/>
          <w:kern w:val="0"/>
          <w:sz w:val="30"/>
          <w:szCs w:val="30"/>
          <w:highlight w:val="none"/>
        </w:rPr>
        <w:t>的</w:t>
      </w:r>
      <w:r>
        <w:rPr>
          <w:rFonts w:hint="eastAsia" w:ascii="仿宋_GB2312" w:hAnsi="仿宋" w:eastAsia="仿宋_GB2312"/>
          <w:kern w:val="0"/>
          <w:sz w:val="30"/>
          <w:szCs w:val="30"/>
          <w:highlight w:val="none"/>
        </w:rPr>
        <w:t>招标文件的要求，经详细研究决定参加投标。</w:t>
      </w:r>
    </w:p>
    <w:p w14:paraId="6B660E45">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1.我方接受本采购文件中关于电子招投标的各项规定，遵守《中华人民共和国电子签名法》关于电子签名的各项规定。我方愿意按照招标文件的规定和要求提供货物及服务，报价详见《开标（报价）一览表》。</w:t>
      </w:r>
    </w:p>
    <w:p w14:paraId="08140ED3">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2.我方同意</w:t>
      </w:r>
      <w:r>
        <w:rPr>
          <w:rFonts w:hint="eastAsia" w:ascii="仿宋_GB2312" w:hAnsi="宋体" w:eastAsia="仿宋_GB2312" w:cs="宋体"/>
          <w:kern w:val="0"/>
          <w:sz w:val="30"/>
          <w:szCs w:val="30"/>
          <w:highlight w:val="none"/>
        </w:rPr>
        <w:t>90天</w:t>
      </w:r>
      <w:r>
        <w:rPr>
          <w:rFonts w:hint="eastAsia" w:ascii="仿宋_GB2312" w:hAnsi="仿宋" w:eastAsia="仿宋_GB2312"/>
          <w:kern w:val="0"/>
          <w:sz w:val="30"/>
          <w:szCs w:val="30"/>
          <w:highlight w:val="none"/>
        </w:rPr>
        <w:t>的投标有效期，严格遵守投标文件的各项承诺。在此期限届满之前，本投标文件始终对我方具有约束力，并随时接受成交。我方承诺在投标有效期内不修改、撤销投标文件。</w:t>
      </w:r>
    </w:p>
    <w:p w14:paraId="38E92D88">
      <w:pPr>
        <w:spacing w:line="560" w:lineRule="exact"/>
        <w:ind w:firstLine="600" w:firstLineChars="200"/>
        <w:rPr>
          <w:rFonts w:ascii="仿宋_GB2312" w:hAnsi="仿宋" w:eastAsia="仿宋_GB2312"/>
          <w:b/>
          <w:strike/>
          <w:kern w:val="0"/>
          <w:sz w:val="30"/>
          <w:szCs w:val="30"/>
          <w:highlight w:val="none"/>
        </w:rPr>
      </w:pPr>
      <w:r>
        <w:rPr>
          <w:rFonts w:hint="eastAsia" w:ascii="仿宋_GB2312" w:hAnsi="仿宋" w:eastAsia="仿宋_GB2312"/>
          <w:kern w:val="0"/>
          <w:sz w:val="30"/>
          <w:szCs w:val="30"/>
          <w:highlight w:val="none"/>
        </w:rPr>
        <w:t>3.我方愿意遵守本采购文件的规定和要求并提供招标文件中要求的所有资料，若投标文件中存在虚假资料的，则视为我方隐瞒真实情况、提供虚假资料，我方愿意接受主管部门做出的行政处罚。</w:t>
      </w:r>
    </w:p>
    <w:p w14:paraId="05014E7D">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4.我方同意最低价是成交的主要选择标准，但不是唯一的选择标准。</w:t>
      </w:r>
    </w:p>
    <w:p w14:paraId="7CB1F25F">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5.如果我方成交：</w:t>
      </w:r>
    </w:p>
    <w:p w14:paraId="07A26496">
      <w:pPr>
        <w:spacing w:line="560" w:lineRule="exact"/>
        <w:ind w:firstLine="450" w:firstLineChars="15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（1）我方承诺在中标通知书发出后，在规定期限内与采购人签订合同；</w:t>
      </w:r>
    </w:p>
    <w:p w14:paraId="18FDCC4E">
      <w:pPr>
        <w:spacing w:line="560" w:lineRule="exact"/>
        <w:ind w:left="298" w:leftChars="142" w:firstLine="150" w:firstLineChars="5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（2）我方承诺在合同约定的期限内，按期、保质、保量完成施工和服务任务；</w:t>
      </w:r>
    </w:p>
    <w:p w14:paraId="27D19452">
      <w:pPr>
        <w:spacing w:line="560" w:lineRule="exact"/>
        <w:ind w:firstLine="450" w:firstLineChars="15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（3）我方承诺将按照招标文件的规定全额交纳代理服务费。</w:t>
      </w:r>
    </w:p>
    <w:p w14:paraId="07F491D0">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6.所有有关本报价的函电，请按下列地址联系：</w:t>
      </w:r>
    </w:p>
    <w:p w14:paraId="50C72645">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单    位：                     邮政编码：</w:t>
      </w:r>
    </w:p>
    <w:p w14:paraId="018552E5">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地    址：                     联 系 人：</w:t>
      </w:r>
    </w:p>
    <w:p w14:paraId="4800AD7C">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电    话：                     传    真：</w:t>
      </w:r>
    </w:p>
    <w:p w14:paraId="58257850">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开户名称：</w:t>
      </w:r>
    </w:p>
    <w:p w14:paraId="7FCC2A59">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开户银行：</w:t>
      </w:r>
    </w:p>
    <w:p w14:paraId="5E60BD80">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开户帐号：</w:t>
      </w:r>
    </w:p>
    <w:p w14:paraId="2CEFCACE">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投标人（签章）：</w:t>
      </w:r>
    </w:p>
    <w:p w14:paraId="1BF1CC47">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法定代表人或被授权人（签字或签章）：</w:t>
      </w:r>
    </w:p>
    <w:p w14:paraId="794496E0">
      <w:pPr>
        <w:spacing w:line="560" w:lineRule="exact"/>
        <w:ind w:firstLine="600" w:firstLineChars="200"/>
        <w:rPr>
          <w:rFonts w:hint="eastAsia" w:ascii="仿宋_GB2312" w:hAnsi="仿宋" w:eastAsia="仿宋_GB2312"/>
          <w:kern w:val="0"/>
          <w:sz w:val="30"/>
          <w:szCs w:val="30"/>
          <w:highlight w:val="none"/>
        </w:rPr>
        <w:sectPr>
          <w:headerReference r:id="rId19" w:type="default"/>
          <w:pgSz w:w="11906" w:h="16838"/>
          <w:pgMar w:top="1440" w:right="1080" w:bottom="1440" w:left="1080" w:header="851" w:footer="992" w:gutter="0"/>
          <w:cols w:space="720" w:num="1"/>
          <w:docGrid w:type="lines" w:linePitch="312" w:charSpace="0"/>
        </w:sectPr>
      </w:pPr>
      <w:r>
        <w:rPr>
          <w:rFonts w:hint="eastAsia" w:ascii="仿宋_GB2312" w:hAnsi="仿宋" w:eastAsia="仿宋_GB2312"/>
          <w:kern w:val="0"/>
          <w:sz w:val="30"/>
          <w:szCs w:val="30"/>
          <w:highlight w:val="none"/>
        </w:rPr>
        <w:t xml:space="preserve">开标日期：××年××月××日 </w:t>
      </w:r>
    </w:p>
    <w:bookmarkEnd w:id="39"/>
    <w:p w14:paraId="58A59BED">
      <w:pPr>
        <w:pStyle w:val="12"/>
        <w:jc w:val="center"/>
        <w:rPr>
          <w:rFonts w:hint="eastAsia" w:ascii="仿宋" w:hAnsi="仿宋" w:eastAsia="仿宋" w:cs="仿宋"/>
          <w:b/>
          <w:bCs/>
          <w:sz w:val="36"/>
          <w:szCs w:val="36"/>
          <w:highlight w:val="none"/>
          <w:lang w:bidi="ar"/>
        </w:rPr>
      </w:pPr>
      <w:bookmarkStart w:id="41" w:name="_Toc523388132"/>
      <w:r>
        <w:rPr>
          <w:rFonts w:hint="eastAsia" w:ascii="仿宋" w:hAnsi="仿宋" w:eastAsia="仿宋" w:cs="仿宋"/>
          <w:b/>
          <w:bCs/>
          <w:sz w:val="36"/>
          <w:szCs w:val="36"/>
          <w:highlight w:val="none"/>
          <w:lang w:bidi="ar"/>
        </w:rPr>
        <w:t>工程量清单</w:t>
      </w:r>
    </w:p>
    <w:p w14:paraId="1C521B8D">
      <w:pPr>
        <w:pStyle w:val="12"/>
        <w:rPr>
          <w:rFonts w:hint="eastAsia" w:ascii="楷体_GB2312" w:hAnsi="宋体" w:eastAsia="楷体_GB2312" w:cs="宋体"/>
          <w:b/>
          <w:bCs/>
          <w:kern w:val="2"/>
          <w:sz w:val="44"/>
          <w:szCs w:val="44"/>
          <w:highlight w:val="none"/>
        </w:rPr>
      </w:pPr>
      <w:r>
        <w:rPr>
          <w:rFonts w:hint="eastAsia" w:ascii="宋体" w:hAnsi="宋体" w:cs="宋体"/>
          <w:sz w:val="18"/>
          <w:szCs w:val="18"/>
          <w:highlight w:val="none"/>
          <w:lang w:bidi="ar"/>
        </w:rPr>
        <w:t>工程名称:朝阳港码头道路建设工程</w:t>
      </w:r>
    </w:p>
    <w:tbl>
      <w:tblPr>
        <w:tblStyle w:val="31"/>
        <w:tblW w:w="9617" w:type="dxa"/>
        <w:tblInd w:w="93" w:type="dxa"/>
        <w:tblLayout w:type="autofit"/>
        <w:tblCellMar>
          <w:top w:w="0" w:type="dxa"/>
          <w:left w:w="108" w:type="dxa"/>
          <w:bottom w:w="0" w:type="dxa"/>
          <w:right w:w="108" w:type="dxa"/>
        </w:tblCellMar>
      </w:tblPr>
      <w:tblGrid>
        <w:gridCol w:w="513"/>
        <w:gridCol w:w="1470"/>
        <w:gridCol w:w="2987"/>
        <w:gridCol w:w="562"/>
        <w:gridCol w:w="888"/>
        <w:gridCol w:w="983"/>
        <w:gridCol w:w="1262"/>
        <w:gridCol w:w="952"/>
      </w:tblGrid>
      <w:tr w14:paraId="1657EA20">
        <w:tblPrEx>
          <w:tblCellMar>
            <w:top w:w="0" w:type="dxa"/>
            <w:left w:w="108" w:type="dxa"/>
            <w:bottom w:w="0" w:type="dxa"/>
            <w:right w:w="108" w:type="dxa"/>
          </w:tblCellMar>
        </w:tblPrEx>
        <w:trPr>
          <w:trHeight w:val="349" w:hRule="atLeast"/>
        </w:trPr>
        <w:tc>
          <w:tcPr>
            <w:tcW w:w="513" w:type="dxa"/>
            <w:vMerge w:val="restart"/>
            <w:tcBorders>
              <w:top w:val="single" w:color="000000" w:sz="4" w:space="0"/>
              <w:left w:val="single" w:color="000000" w:sz="4" w:space="0"/>
              <w:bottom w:val="single" w:color="000000" w:sz="4" w:space="0"/>
              <w:right w:val="single" w:color="000000" w:sz="4" w:space="0"/>
            </w:tcBorders>
            <w:noWrap w:val="0"/>
            <w:vAlign w:val="center"/>
          </w:tcPr>
          <w:p w14:paraId="33875030">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序号</w:t>
            </w:r>
          </w:p>
        </w:tc>
        <w:tc>
          <w:tcPr>
            <w:tcW w:w="1470" w:type="dxa"/>
            <w:vMerge w:val="restart"/>
            <w:tcBorders>
              <w:top w:val="single" w:color="000000" w:sz="4" w:space="0"/>
              <w:left w:val="single" w:color="000000" w:sz="4" w:space="0"/>
              <w:bottom w:val="single" w:color="000000" w:sz="4" w:space="0"/>
              <w:right w:val="single" w:color="000000" w:sz="4" w:space="0"/>
            </w:tcBorders>
            <w:noWrap w:val="0"/>
            <w:vAlign w:val="center"/>
          </w:tcPr>
          <w:p w14:paraId="14E1988B">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项目编码</w:t>
            </w:r>
          </w:p>
        </w:tc>
        <w:tc>
          <w:tcPr>
            <w:tcW w:w="2987" w:type="dxa"/>
            <w:vMerge w:val="restart"/>
            <w:tcBorders>
              <w:top w:val="single" w:color="000000" w:sz="4" w:space="0"/>
              <w:left w:val="single" w:color="000000" w:sz="4" w:space="0"/>
              <w:bottom w:val="single" w:color="000000" w:sz="4" w:space="0"/>
              <w:right w:val="single" w:color="000000" w:sz="4" w:space="0"/>
            </w:tcBorders>
            <w:noWrap w:val="0"/>
            <w:vAlign w:val="center"/>
          </w:tcPr>
          <w:p w14:paraId="45B48FA9">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项目名称</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项目特征</w:t>
            </w:r>
          </w:p>
        </w:tc>
        <w:tc>
          <w:tcPr>
            <w:tcW w:w="562" w:type="dxa"/>
            <w:vMerge w:val="restart"/>
            <w:tcBorders>
              <w:top w:val="single" w:color="000000" w:sz="4" w:space="0"/>
              <w:left w:val="single" w:color="000000" w:sz="4" w:space="0"/>
              <w:bottom w:val="single" w:color="000000" w:sz="4" w:space="0"/>
              <w:right w:val="single" w:color="000000" w:sz="4" w:space="0"/>
            </w:tcBorders>
            <w:noWrap w:val="0"/>
            <w:vAlign w:val="center"/>
          </w:tcPr>
          <w:p w14:paraId="00AA59AB">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计量</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单位</w:t>
            </w:r>
          </w:p>
        </w:tc>
        <w:tc>
          <w:tcPr>
            <w:tcW w:w="888" w:type="dxa"/>
            <w:vMerge w:val="restart"/>
            <w:tcBorders>
              <w:top w:val="single" w:color="000000" w:sz="4" w:space="0"/>
              <w:left w:val="single" w:color="000000" w:sz="4" w:space="0"/>
              <w:bottom w:val="single" w:color="000000" w:sz="4" w:space="0"/>
              <w:right w:val="single" w:color="000000" w:sz="4" w:space="0"/>
            </w:tcBorders>
            <w:noWrap w:val="0"/>
            <w:vAlign w:val="center"/>
          </w:tcPr>
          <w:p w14:paraId="53140E81">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工程量</w:t>
            </w:r>
          </w:p>
        </w:tc>
        <w:tc>
          <w:tcPr>
            <w:tcW w:w="3197" w:type="dxa"/>
            <w:gridSpan w:val="3"/>
            <w:tcBorders>
              <w:top w:val="single" w:color="000000" w:sz="4" w:space="0"/>
              <w:left w:val="single" w:color="000000" w:sz="4" w:space="0"/>
              <w:bottom w:val="single" w:color="000000" w:sz="4" w:space="0"/>
              <w:right w:val="single" w:color="000000" w:sz="4" w:space="0"/>
            </w:tcBorders>
            <w:noWrap w:val="0"/>
            <w:vAlign w:val="center"/>
          </w:tcPr>
          <w:p w14:paraId="61CEF75F">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金额（元）</w:t>
            </w:r>
          </w:p>
        </w:tc>
      </w:tr>
      <w:tr w14:paraId="431CD56B">
        <w:tblPrEx>
          <w:tblCellMar>
            <w:top w:w="0" w:type="dxa"/>
            <w:left w:w="108" w:type="dxa"/>
            <w:bottom w:w="0" w:type="dxa"/>
            <w:right w:w="108" w:type="dxa"/>
          </w:tblCellMar>
        </w:tblPrEx>
        <w:trPr>
          <w:trHeight w:val="976" w:hRule="atLeast"/>
        </w:trPr>
        <w:tc>
          <w:tcPr>
            <w:tcW w:w="513" w:type="dxa"/>
            <w:vMerge w:val="continue"/>
            <w:tcBorders>
              <w:top w:val="single" w:color="000000" w:sz="4" w:space="0"/>
              <w:left w:val="single" w:color="000000" w:sz="4" w:space="0"/>
              <w:bottom w:val="single" w:color="000000" w:sz="4" w:space="0"/>
              <w:right w:val="single" w:color="000000" w:sz="4" w:space="0"/>
            </w:tcBorders>
            <w:noWrap w:val="0"/>
            <w:vAlign w:val="center"/>
          </w:tcPr>
          <w:p w14:paraId="1BED0EE7">
            <w:pPr>
              <w:jc w:val="center"/>
              <w:rPr>
                <w:rFonts w:hint="eastAsia" w:ascii="宋体" w:hAnsi="宋体" w:cs="宋体"/>
                <w:b/>
                <w:bCs/>
                <w:color w:val="000000"/>
                <w:sz w:val="16"/>
                <w:szCs w:val="16"/>
                <w:highlight w:val="none"/>
              </w:rPr>
            </w:pPr>
          </w:p>
        </w:tc>
        <w:tc>
          <w:tcPr>
            <w:tcW w:w="1470" w:type="dxa"/>
            <w:vMerge w:val="continue"/>
            <w:tcBorders>
              <w:top w:val="single" w:color="000000" w:sz="4" w:space="0"/>
              <w:left w:val="single" w:color="000000" w:sz="4" w:space="0"/>
              <w:bottom w:val="single" w:color="000000" w:sz="4" w:space="0"/>
              <w:right w:val="single" w:color="000000" w:sz="4" w:space="0"/>
            </w:tcBorders>
            <w:noWrap w:val="0"/>
            <w:vAlign w:val="center"/>
          </w:tcPr>
          <w:p w14:paraId="65726A5C">
            <w:pPr>
              <w:jc w:val="center"/>
              <w:rPr>
                <w:rFonts w:hint="eastAsia" w:ascii="宋体" w:hAnsi="宋体" w:cs="宋体"/>
                <w:b/>
                <w:bCs/>
                <w:color w:val="000000"/>
                <w:sz w:val="16"/>
                <w:szCs w:val="16"/>
                <w:highlight w:val="none"/>
              </w:rPr>
            </w:pPr>
          </w:p>
        </w:tc>
        <w:tc>
          <w:tcPr>
            <w:tcW w:w="2987" w:type="dxa"/>
            <w:vMerge w:val="continue"/>
            <w:tcBorders>
              <w:top w:val="single" w:color="000000" w:sz="4" w:space="0"/>
              <w:left w:val="single" w:color="000000" w:sz="4" w:space="0"/>
              <w:bottom w:val="single" w:color="000000" w:sz="4" w:space="0"/>
              <w:right w:val="single" w:color="000000" w:sz="4" w:space="0"/>
            </w:tcBorders>
            <w:noWrap w:val="0"/>
            <w:vAlign w:val="center"/>
          </w:tcPr>
          <w:p w14:paraId="140AB7FB">
            <w:pPr>
              <w:jc w:val="center"/>
              <w:rPr>
                <w:rFonts w:hint="eastAsia" w:ascii="宋体" w:hAnsi="宋体" w:cs="宋体"/>
                <w:b/>
                <w:bCs/>
                <w:color w:val="000000"/>
                <w:sz w:val="16"/>
                <w:szCs w:val="16"/>
                <w:highlight w:val="none"/>
              </w:rPr>
            </w:pPr>
          </w:p>
        </w:tc>
        <w:tc>
          <w:tcPr>
            <w:tcW w:w="56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459B14C">
            <w:pPr>
              <w:jc w:val="center"/>
              <w:rPr>
                <w:rFonts w:hint="eastAsia" w:ascii="宋体" w:hAnsi="宋体" w:cs="宋体"/>
                <w:b/>
                <w:bCs/>
                <w:color w:val="000000"/>
                <w:sz w:val="16"/>
                <w:szCs w:val="16"/>
                <w:highlight w:val="none"/>
              </w:rPr>
            </w:pPr>
          </w:p>
        </w:tc>
        <w:tc>
          <w:tcPr>
            <w:tcW w:w="888" w:type="dxa"/>
            <w:vMerge w:val="continue"/>
            <w:tcBorders>
              <w:top w:val="single" w:color="000000" w:sz="4" w:space="0"/>
              <w:left w:val="single" w:color="000000" w:sz="4" w:space="0"/>
              <w:bottom w:val="single" w:color="000000" w:sz="4" w:space="0"/>
              <w:right w:val="single" w:color="000000" w:sz="4" w:space="0"/>
            </w:tcBorders>
            <w:noWrap w:val="0"/>
            <w:vAlign w:val="center"/>
          </w:tcPr>
          <w:p w14:paraId="43D4CAF4">
            <w:pPr>
              <w:jc w:val="center"/>
              <w:rPr>
                <w:rFonts w:hint="eastAsia" w:ascii="宋体" w:hAnsi="宋体" w:cs="宋体"/>
                <w:b/>
                <w:bCs/>
                <w:color w:val="000000"/>
                <w:sz w:val="16"/>
                <w:szCs w:val="16"/>
                <w:highlight w:val="none"/>
              </w:rPr>
            </w:pPr>
          </w:p>
        </w:tc>
        <w:tc>
          <w:tcPr>
            <w:tcW w:w="983" w:type="dxa"/>
            <w:tcBorders>
              <w:top w:val="single" w:color="000000" w:sz="4" w:space="0"/>
              <w:left w:val="single" w:color="000000" w:sz="4" w:space="0"/>
              <w:bottom w:val="single" w:color="000000" w:sz="4" w:space="0"/>
              <w:right w:val="single" w:color="000000" w:sz="4" w:space="0"/>
            </w:tcBorders>
            <w:noWrap w:val="0"/>
            <w:vAlign w:val="center"/>
          </w:tcPr>
          <w:p w14:paraId="3096AA5A">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综合单价</w:t>
            </w:r>
          </w:p>
        </w:tc>
        <w:tc>
          <w:tcPr>
            <w:tcW w:w="1262" w:type="dxa"/>
            <w:tcBorders>
              <w:top w:val="single" w:color="000000" w:sz="4" w:space="0"/>
              <w:left w:val="single" w:color="000000" w:sz="4" w:space="0"/>
              <w:bottom w:val="single" w:color="000000" w:sz="4" w:space="0"/>
              <w:right w:val="single" w:color="000000" w:sz="4" w:space="0"/>
            </w:tcBorders>
            <w:noWrap w:val="0"/>
            <w:vAlign w:val="center"/>
          </w:tcPr>
          <w:p w14:paraId="00BAE725">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合价</w:t>
            </w:r>
          </w:p>
        </w:tc>
        <w:tc>
          <w:tcPr>
            <w:tcW w:w="952" w:type="dxa"/>
            <w:tcBorders>
              <w:top w:val="single" w:color="000000" w:sz="4" w:space="0"/>
              <w:left w:val="single" w:color="000000" w:sz="4" w:space="0"/>
              <w:bottom w:val="single" w:color="000000" w:sz="4" w:space="0"/>
              <w:right w:val="single" w:color="000000" w:sz="4" w:space="0"/>
            </w:tcBorders>
            <w:noWrap w:val="0"/>
            <w:vAlign w:val="center"/>
          </w:tcPr>
          <w:p w14:paraId="1536F32D">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备注</w:t>
            </w:r>
          </w:p>
        </w:tc>
      </w:tr>
      <w:tr w14:paraId="2311DA8B">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2F979E7A">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4C9FF2B">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24E4CD47">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朝阳港码头道路建设工程</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267061B1">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1DA9B8">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B65EB3">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E3606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44A80C">
            <w:pPr>
              <w:widowControl/>
              <w:jc w:val="right"/>
              <w:textAlignment w:val="center"/>
              <w:rPr>
                <w:rFonts w:hint="eastAsia" w:ascii="宋体" w:hAnsi="宋体" w:cs="宋体"/>
                <w:color w:val="000000"/>
                <w:sz w:val="18"/>
                <w:szCs w:val="18"/>
                <w:highlight w:val="none"/>
              </w:rPr>
            </w:pPr>
          </w:p>
        </w:tc>
      </w:tr>
      <w:tr w14:paraId="28A3447F">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6BF59CD0">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9C39C34">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2D0567D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市政工程</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24EF4C94">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03A946">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9FE1A9">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E18AA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84FC7A">
            <w:pPr>
              <w:widowControl/>
              <w:jc w:val="right"/>
              <w:textAlignment w:val="center"/>
              <w:rPr>
                <w:rFonts w:hint="eastAsia" w:ascii="宋体" w:hAnsi="宋体" w:cs="宋体"/>
                <w:color w:val="000000"/>
                <w:sz w:val="18"/>
                <w:szCs w:val="18"/>
                <w:highlight w:val="none"/>
              </w:rPr>
            </w:pPr>
          </w:p>
        </w:tc>
      </w:tr>
      <w:tr w14:paraId="6D23AB1A">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7E795A08">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43463B89">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534C4FC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道路工程</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552AD1C">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0F29F9">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6EDB48">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6AEFF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BB6BB8">
            <w:pPr>
              <w:widowControl/>
              <w:jc w:val="right"/>
              <w:textAlignment w:val="center"/>
              <w:rPr>
                <w:rFonts w:hint="eastAsia" w:ascii="宋体" w:hAnsi="宋体" w:cs="宋体"/>
                <w:color w:val="000000"/>
                <w:sz w:val="18"/>
                <w:szCs w:val="18"/>
                <w:highlight w:val="none"/>
              </w:rPr>
            </w:pPr>
          </w:p>
        </w:tc>
      </w:tr>
      <w:tr w14:paraId="441EF40F">
        <w:tblPrEx>
          <w:tblCellMar>
            <w:top w:w="0" w:type="dxa"/>
            <w:left w:w="108" w:type="dxa"/>
            <w:bottom w:w="0" w:type="dxa"/>
            <w:right w:w="108" w:type="dxa"/>
          </w:tblCellMar>
        </w:tblPrEx>
        <w:trPr>
          <w:trHeight w:val="1654"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7B230B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0662EEC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7E7A744A">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路床(槽)整形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1.部位：道路路基</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2.厚度：±30cm以内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3.压实度：大于等于94%，重型压实标准</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409CFDA5">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F4B69D">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5720.00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E2D42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4354C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8A130E">
            <w:pPr>
              <w:jc w:val="right"/>
              <w:rPr>
                <w:rFonts w:hint="eastAsia" w:ascii="宋体" w:hAnsi="宋体" w:cs="宋体"/>
                <w:color w:val="000000"/>
                <w:sz w:val="18"/>
                <w:szCs w:val="18"/>
                <w:highlight w:val="none"/>
              </w:rPr>
            </w:pPr>
          </w:p>
        </w:tc>
      </w:tr>
      <w:tr w14:paraId="36767AAE">
        <w:tblPrEx>
          <w:tblCellMar>
            <w:top w:w="0" w:type="dxa"/>
            <w:left w:w="108" w:type="dxa"/>
            <w:bottom w:w="0" w:type="dxa"/>
            <w:right w:w="108" w:type="dxa"/>
          </w:tblCellMar>
        </w:tblPrEx>
        <w:trPr>
          <w:trHeight w:val="3615"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FD33DE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682E734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2F60FBB">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1CAC48C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414F29">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2838.89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D8008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DE25C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294705">
            <w:pPr>
              <w:jc w:val="right"/>
              <w:rPr>
                <w:rFonts w:hint="eastAsia" w:ascii="宋体" w:hAnsi="宋体" w:cs="宋体"/>
                <w:color w:val="000000"/>
                <w:sz w:val="18"/>
                <w:szCs w:val="18"/>
                <w:highlight w:val="none"/>
              </w:rPr>
            </w:pPr>
          </w:p>
        </w:tc>
      </w:tr>
      <w:tr w14:paraId="1B09CB01">
        <w:tblPrEx>
          <w:tblCellMar>
            <w:top w:w="0" w:type="dxa"/>
            <w:left w:w="108" w:type="dxa"/>
            <w:bottom w:w="0" w:type="dxa"/>
            <w:right w:w="108" w:type="dxa"/>
          </w:tblCellMar>
        </w:tblPrEx>
        <w:trPr>
          <w:trHeight w:val="1654"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CFEF18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3</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9F50B8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040202011001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0F3C78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碎石垫层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1.材料品种、规格:级配碎石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2.厚度:15cm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3.含运输、摊铺、碾压、养护等所需一切工序</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451FEFA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167E1E">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5677.76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3010D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A4D86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4E97AF">
            <w:pPr>
              <w:jc w:val="right"/>
              <w:rPr>
                <w:rFonts w:hint="eastAsia" w:ascii="宋体" w:hAnsi="宋体" w:cs="宋体"/>
                <w:color w:val="000000"/>
                <w:sz w:val="18"/>
                <w:szCs w:val="18"/>
                <w:highlight w:val="none"/>
              </w:rPr>
            </w:pPr>
          </w:p>
        </w:tc>
      </w:tr>
      <w:tr w14:paraId="379DF685">
        <w:tblPrEx>
          <w:tblCellMar>
            <w:top w:w="0" w:type="dxa"/>
            <w:left w:w="108" w:type="dxa"/>
            <w:bottom w:w="0" w:type="dxa"/>
            <w:right w:w="108" w:type="dxa"/>
          </w:tblCellMar>
        </w:tblPrEx>
        <w:trPr>
          <w:trHeight w:val="230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21896934">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4</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3AB363D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040203007001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06274712">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水泥混凝土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1.厚度：20cm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2.混凝土强度等级：C30</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3.其他：含模板制作、安装、拆除、混凝土拌和、运输、浇筑、伸缩缝、传力杆、分隔缝、表面拉毛处理等工作内容</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19D992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F4ABF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5461.39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A008B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6B139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D001A2">
            <w:pPr>
              <w:jc w:val="right"/>
              <w:rPr>
                <w:rFonts w:hint="eastAsia" w:ascii="宋体" w:hAnsi="宋体" w:cs="宋体"/>
                <w:color w:val="000000"/>
                <w:sz w:val="18"/>
                <w:szCs w:val="18"/>
                <w:highlight w:val="none"/>
              </w:rPr>
            </w:pPr>
          </w:p>
        </w:tc>
      </w:tr>
      <w:tr w14:paraId="686A1DC2">
        <w:tblPrEx>
          <w:tblCellMar>
            <w:top w:w="0" w:type="dxa"/>
            <w:left w:w="108" w:type="dxa"/>
            <w:bottom w:w="0" w:type="dxa"/>
            <w:right w:w="108" w:type="dxa"/>
          </w:tblCellMar>
        </w:tblPrEx>
        <w:trPr>
          <w:trHeight w:val="3615"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454A2DF">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52988ED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7CE6003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机械挖填运沟槽土方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61E5975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1431D8">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180.68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6973B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A5DC1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81C845">
            <w:pPr>
              <w:jc w:val="right"/>
              <w:rPr>
                <w:rFonts w:hint="eastAsia" w:ascii="宋体" w:hAnsi="宋体" w:cs="宋体"/>
                <w:color w:val="000000"/>
                <w:sz w:val="18"/>
                <w:szCs w:val="18"/>
                <w:highlight w:val="none"/>
              </w:rPr>
            </w:pPr>
          </w:p>
        </w:tc>
      </w:tr>
      <w:tr w14:paraId="31ADD97E">
        <w:tblPrEx>
          <w:tblCellMar>
            <w:top w:w="0" w:type="dxa"/>
            <w:left w:w="108" w:type="dxa"/>
            <w:bottom w:w="0" w:type="dxa"/>
            <w:right w:w="108" w:type="dxa"/>
          </w:tblCellMar>
        </w:tblPrEx>
        <w:trPr>
          <w:trHeight w:val="1981"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F83A07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648544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C6BEDC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2.填方材料品种：中粗砂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1598BB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D025DB">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4B760B">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80E98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C287B4">
            <w:pPr>
              <w:jc w:val="right"/>
              <w:rPr>
                <w:rFonts w:hint="eastAsia" w:ascii="宋体" w:hAnsi="宋体" w:cs="宋体"/>
                <w:color w:val="000000"/>
                <w:sz w:val="18"/>
                <w:szCs w:val="18"/>
                <w:highlight w:val="none"/>
              </w:rPr>
            </w:pPr>
          </w:p>
        </w:tc>
      </w:tr>
      <w:tr w14:paraId="49B960DA">
        <w:tblPrEx>
          <w:tblCellMar>
            <w:top w:w="0" w:type="dxa"/>
            <w:left w:w="108" w:type="dxa"/>
            <w:bottom w:w="0" w:type="dxa"/>
            <w:right w:w="108" w:type="dxa"/>
          </w:tblCellMar>
        </w:tblPrEx>
        <w:trPr>
          <w:trHeight w:val="1981"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70BA8C5F">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B47D69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040202001003</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20A1D81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2.填方材料品种：原土回填</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1D91934F">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243FE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66.25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4C728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71A75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ECC46C">
            <w:pPr>
              <w:jc w:val="right"/>
              <w:rPr>
                <w:rFonts w:hint="eastAsia" w:ascii="宋体" w:hAnsi="宋体" w:cs="宋体"/>
                <w:color w:val="000000"/>
                <w:sz w:val="18"/>
                <w:szCs w:val="18"/>
                <w:highlight w:val="none"/>
              </w:rPr>
            </w:pPr>
          </w:p>
        </w:tc>
      </w:tr>
      <w:tr w14:paraId="073F752C">
        <w:tblPrEx>
          <w:tblCellMar>
            <w:top w:w="0" w:type="dxa"/>
            <w:left w:w="108" w:type="dxa"/>
            <w:bottom w:w="0" w:type="dxa"/>
            <w:right w:w="108" w:type="dxa"/>
          </w:tblCellMar>
        </w:tblPrEx>
        <w:trPr>
          <w:trHeight w:val="1981"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2BDCFFE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07F94C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040202001004</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150D7CE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2.填方材料品种：风化料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3E75A47">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3A5847">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22.92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9B5E5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E6E5C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F7057B">
            <w:pPr>
              <w:jc w:val="right"/>
              <w:rPr>
                <w:rFonts w:hint="eastAsia" w:ascii="宋体" w:hAnsi="宋体" w:cs="宋体"/>
                <w:color w:val="000000"/>
                <w:sz w:val="18"/>
                <w:szCs w:val="18"/>
                <w:highlight w:val="none"/>
              </w:rPr>
            </w:pPr>
          </w:p>
        </w:tc>
      </w:tr>
      <w:tr w14:paraId="6272DDE3">
        <w:tblPrEx>
          <w:tblCellMar>
            <w:top w:w="0" w:type="dxa"/>
            <w:left w:w="108" w:type="dxa"/>
            <w:bottom w:w="0" w:type="dxa"/>
            <w:right w:w="108" w:type="dxa"/>
          </w:tblCellMar>
        </w:tblPrEx>
        <w:trPr>
          <w:trHeight w:val="230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0298EF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5FF869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E9178E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1.管材规格：DN800mmIII级钢筋混凝土管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2.接口形式：橡胶圈接口，接口缝用发泡填充。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3.管有筋无筋：有</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4.其他：闭水试验</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63DDB16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0C0816">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24.00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3A99E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238155">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0EF76A">
            <w:pPr>
              <w:jc w:val="right"/>
              <w:rPr>
                <w:rFonts w:hint="eastAsia" w:ascii="宋体" w:hAnsi="宋体" w:cs="宋体"/>
                <w:color w:val="000000"/>
                <w:sz w:val="18"/>
                <w:szCs w:val="18"/>
                <w:highlight w:val="none"/>
              </w:rPr>
            </w:pPr>
          </w:p>
        </w:tc>
      </w:tr>
      <w:tr w14:paraId="2BBFD872">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1B622B1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7867373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72127C5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1.材料：C25混凝土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 xml:space="preserve">2.部位：过路管道基础 </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3.含模板等措施费用</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4E7FAB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5BB59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8.26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040C6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C0F3C5">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21FA74">
            <w:pPr>
              <w:jc w:val="right"/>
              <w:rPr>
                <w:rFonts w:hint="eastAsia" w:ascii="宋体" w:hAnsi="宋体" w:cs="宋体"/>
                <w:color w:val="000000"/>
                <w:sz w:val="18"/>
                <w:szCs w:val="18"/>
                <w:highlight w:val="none"/>
              </w:rPr>
            </w:pPr>
          </w:p>
        </w:tc>
      </w:tr>
      <w:tr w14:paraId="3BDEBB8E">
        <w:tblPrEx>
          <w:tblCellMar>
            <w:top w:w="0" w:type="dxa"/>
            <w:left w:w="108" w:type="dxa"/>
            <w:bottom w:w="0" w:type="dxa"/>
            <w:right w:w="108" w:type="dxa"/>
          </w:tblCellMar>
        </w:tblPrEx>
        <w:trPr>
          <w:trHeight w:val="1928"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E4D638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11</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3B44DA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040202001005</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19F6DE1A">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3.回填要求：压实系数不小于0.97</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6BDB195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6874C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65.69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322FE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84841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3B5451">
            <w:pPr>
              <w:jc w:val="right"/>
              <w:rPr>
                <w:rFonts w:hint="eastAsia" w:ascii="宋体" w:hAnsi="宋体" w:cs="宋体"/>
                <w:color w:val="000000"/>
                <w:sz w:val="18"/>
                <w:szCs w:val="18"/>
                <w:highlight w:val="none"/>
              </w:rPr>
            </w:pPr>
          </w:p>
        </w:tc>
      </w:tr>
      <w:tr w14:paraId="47F72E18">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583AFF2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12</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EBAE312">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040305003001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99B3AD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浆砌块料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50CA96E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65B56A">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7.38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8F12A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9D461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07F63B">
            <w:pPr>
              <w:jc w:val="right"/>
              <w:rPr>
                <w:rFonts w:hint="eastAsia" w:ascii="宋体" w:hAnsi="宋体" w:cs="宋体"/>
                <w:color w:val="000000"/>
                <w:sz w:val="18"/>
                <w:szCs w:val="18"/>
                <w:highlight w:val="none"/>
              </w:rPr>
            </w:pPr>
          </w:p>
        </w:tc>
      </w:tr>
      <w:tr w14:paraId="4849F20D">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F877A9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13</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28240D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7DE78C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46D5B93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1637E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0.98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49F97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6C69B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6033F2">
            <w:pPr>
              <w:jc w:val="right"/>
              <w:rPr>
                <w:rFonts w:hint="eastAsia" w:ascii="宋体" w:hAnsi="宋体" w:cs="宋体"/>
                <w:color w:val="000000"/>
                <w:sz w:val="18"/>
                <w:szCs w:val="18"/>
                <w:highlight w:val="none"/>
              </w:rPr>
            </w:pPr>
          </w:p>
        </w:tc>
      </w:tr>
      <w:tr w14:paraId="577D2698">
        <w:tblPrEx>
          <w:tblCellMar>
            <w:top w:w="0" w:type="dxa"/>
            <w:left w:w="108" w:type="dxa"/>
            <w:bottom w:w="0" w:type="dxa"/>
            <w:right w:w="108" w:type="dxa"/>
          </w:tblCellMar>
        </w:tblPrEx>
        <w:trPr>
          <w:trHeight w:val="100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647DA68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14</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C2434D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A1FF23B">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2.材料品种：砂垫层</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382A073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EA5007">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0.79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3B3FF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B4B23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D35169">
            <w:pPr>
              <w:jc w:val="right"/>
              <w:rPr>
                <w:rFonts w:hint="eastAsia" w:ascii="宋体" w:hAnsi="宋体" w:cs="宋体"/>
                <w:color w:val="000000"/>
                <w:sz w:val="18"/>
                <w:szCs w:val="18"/>
                <w:highlight w:val="none"/>
              </w:rPr>
            </w:pPr>
          </w:p>
        </w:tc>
      </w:tr>
      <w:tr w14:paraId="5A00E7A7">
        <w:tblPrEx>
          <w:tblCellMar>
            <w:top w:w="0" w:type="dxa"/>
            <w:left w:w="108" w:type="dxa"/>
            <w:bottom w:w="0" w:type="dxa"/>
            <w:right w:w="108" w:type="dxa"/>
          </w:tblCellMar>
        </w:tblPrEx>
        <w:trPr>
          <w:trHeight w:val="100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D2233A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15</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949F8F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040308001001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54C0B00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勾缝</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1.部位：八字翼墙外露面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2.材质：M10水泥砂浆勾平缝</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00A65A0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1F69B7">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632D2C">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45A5E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3A8079">
            <w:pPr>
              <w:jc w:val="right"/>
              <w:rPr>
                <w:rFonts w:hint="eastAsia" w:ascii="宋体" w:hAnsi="宋体" w:cs="宋体"/>
                <w:color w:val="000000"/>
                <w:sz w:val="18"/>
                <w:szCs w:val="18"/>
                <w:highlight w:val="none"/>
              </w:rPr>
            </w:pPr>
          </w:p>
        </w:tc>
      </w:tr>
      <w:tr w14:paraId="425F58ED">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15A2C6F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16</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4109F81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040303016001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723F46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混凝土挡墙压顶</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1.混凝土强度：C30商砼</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2.断面尺寸：综合考虑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3.其他：含模板等措施费用</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3652AA8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DF6919">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DF70C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17A0B5">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8A8CD0">
            <w:pPr>
              <w:jc w:val="right"/>
              <w:rPr>
                <w:rFonts w:hint="eastAsia" w:ascii="宋体" w:hAnsi="宋体" w:cs="宋体"/>
                <w:color w:val="000000"/>
                <w:sz w:val="18"/>
                <w:szCs w:val="18"/>
                <w:highlight w:val="none"/>
              </w:rPr>
            </w:pPr>
          </w:p>
        </w:tc>
      </w:tr>
      <w:tr w14:paraId="1A90F628">
        <w:tblPrEx>
          <w:tblCellMar>
            <w:top w:w="0" w:type="dxa"/>
            <w:left w:w="108" w:type="dxa"/>
            <w:bottom w:w="0" w:type="dxa"/>
            <w:right w:w="108" w:type="dxa"/>
          </w:tblCellMar>
        </w:tblPrEx>
        <w:trPr>
          <w:trHeight w:val="100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BB75F9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17</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6935CC4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040901001001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C44E44F">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现浇构件钢筋</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1.规格:φ8三级钢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2.预制或现浇:现浇</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824388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t</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8E8F2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0.01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7887C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46295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5A9C38">
            <w:pPr>
              <w:jc w:val="right"/>
              <w:rPr>
                <w:rFonts w:hint="eastAsia" w:ascii="宋体" w:hAnsi="宋体" w:cs="宋体"/>
                <w:color w:val="000000"/>
                <w:sz w:val="18"/>
                <w:szCs w:val="18"/>
                <w:highlight w:val="none"/>
              </w:rPr>
            </w:pPr>
          </w:p>
        </w:tc>
      </w:tr>
      <w:tr w14:paraId="6ABEDE56">
        <w:tblPrEx>
          <w:tblCellMar>
            <w:top w:w="0" w:type="dxa"/>
            <w:left w:w="108" w:type="dxa"/>
            <w:bottom w:w="0" w:type="dxa"/>
            <w:right w:w="108" w:type="dxa"/>
          </w:tblCellMar>
        </w:tblPrEx>
        <w:trPr>
          <w:trHeight w:val="3288"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965EAE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74AE5A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040309001001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182F27A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金属护栏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1.护栏材质、规格:一 (C) 级波形梁护栏，梁板310*85*2.5mm,立柱φ114*4.5mm,托架300*7*4.5mm，梁板高度600mm，立柱埋深1400mm,立柱间距2m.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2.包含基础、钻孔、喷漆防腐除锈、各连接固定件及安装防护费用，具体详参《公路交通安全设施设计细则》UTG/T D81一2017）附录C。</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4CAE84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E10E5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85.30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23E2C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43433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7E75B6">
            <w:pPr>
              <w:jc w:val="right"/>
              <w:rPr>
                <w:rFonts w:hint="eastAsia" w:ascii="宋体" w:hAnsi="宋体" w:cs="宋体"/>
                <w:color w:val="000000"/>
                <w:sz w:val="18"/>
                <w:szCs w:val="18"/>
                <w:highlight w:val="none"/>
              </w:rPr>
            </w:pPr>
          </w:p>
        </w:tc>
      </w:tr>
      <w:tr w14:paraId="0AD74CD3">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360D53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19</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B7CB129">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6158179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暂列金额</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04A6A24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B09D2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83F883">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90000.00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63E1EC">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55F804">
            <w:pPr>
              <w:jc w:val="right"/>
              <w:rPr>
                <w:rFonts w:hint="eastAsia" w:ascii="宋体" w:hAnsi="宋体" w:cs="宋体"/>
                <w:color w:val="000000"/>
                <w:sz w:val="18"/>
                <w:szCs w:val="18"/>
                <w:highlight w:val="none"/>
              </w:rPr>
            </w:pPr>
          </w:p>
        </w:tc>
      </w:tr>
      <w:tr w14:paraId="051ED4E0">
        <w:tblPrEx>
          <w:tblCellMar>
            <w:top w:w="0" w:type="dxa"/>
            <w:left w:w="108" w:type="dxa"/>
            <w:bottom w:w="0" w:type="dxa"/>
            <w:right w:w="108" w:type="dxa"/>
          </w:tblCellMar>
        </w:tblPrEx>
        <w:trPr>
          <w:trHeight w:val="38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69D31D17">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21B58CF">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60F5B17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合计</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3AEB46B3">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B260D5">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27A064">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253D0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734245">
            <w:pPr>
              <w:jc w:val="right"/>
              <w:rPr>
                <w:rFonts w:hint="eastAsia" w:ascii="宋体" w:hAnsi="宋体" w:cs="宋体"/>
                <w:color w:val="000000"/>
                <w:sz w:val="18"/>
                <w:szCs w:val="18"/>
                <w:highlight w:val="none"/>
              </w:rPr>
            </w:pPr>
          </w:p>
        </w:tc>
      </w:tr>
    </w:tbl>
    <w:p w14:paraId="21F991F0">
      <w:pPr>
        <w:pStyle w:val="12"/>
        <w:rPr>
          <w:rFonts w:hint="eastAsia" w:ascii="黑体" w:hAnsi="宋体" w:eastAsia="黑体" w:cs="黑体"/>
          <w:b/>
          <w:bCs/>
          <w:sz w:val="36"/>
          <w:szCs w:val="36"/>
          <w:highlight w:val="none"/>
          <w:lang w:bidi="ar"/>
        </w:rPr>
      </w:pPr>
    </w:p>
    <w:p w14:paraId="5EBDC37A">
      <w:pPr>
        <w:pStyle w:val="12"/>
        <w:rPr>
          <w:rFonts w:hint="eastAsia" w:ascii="宋体" w:hAnsi="宋体" w:cs="宋体"/>
          <w:b/>
          <w:bCs/>
          <w:highlight w:val="none"/>
          <w:lang w:bidi="ar"/>
        </w:rPr>
      </w:pPr>
      <w:r>
        <w:rPr>
          <w:rFonts w:hint="eastAsia" w:ascii="仿宋" w:hAnsi="仿宋" w:eastAsia="仿宋" w:cs="仿宋"/>
          <w:b/>
          <w:bCs/>
          <w:highlight w:val="none"/>
          <w:lang w:bidi="ar"/>
        </w:rPr>
        <w:t>注：工程量清单详见《补充文件》。清单中的数量为估算数，仅做投标用，不做为结算支付的依据。项目结算时以采购人及财审部门核实的实际完成工程量作为结算依据。</w:t>
      </w:r>
    </w:p>
    <w:p w14:paraId="185F42C7">
      <w:pPr>
        <w:pStyle w:val="12"/>
        <w:rPr>
          <w:rFonts w:hint="eastAsia"/>
          <w:highlight w:val="none"/>
        </w:rPr>
      </w:pPr>
    </w:p>
    <w:p w14:paraId="2AF8F956">
      <w:pPr>
        <w:tabs>
          <w:tab w:val="left" w:pos="5580"/>
        </w:tabs>
        <w:spacing w:line="360" w:lineRule="auto"/>
        <w:jc w:val="center"/>
        <w:rPr>
          <w:rFonts w:ascii="仿宋_GB2312" w:hAnsi="宋体" w:eastAsia="仿宋_GB2312"/>
          <w:kern w:val="0"/>
          <w:sz w:val="28"/>
          <w:szCs w:val="28"/>
          <w:highlight w:val="none"/>
        </w:rPr>
      </w:pPr>
      <w:r>
        <w:rPr>
          <w:rFonts w:hint="eastAsia" w:ascii="仿宋_GB2312" w:eastAsia="仿宋_GB2312"/>
          <w:kern w:val="0"/>
          <w:sz w:val="28"/>
          <w:szCs w:val="28"/>
          <w:highlight w:val="none"/>
        </w:rPr>
        <w:t>投标人（签章）：</w:t>
      </w:r>
      <w:r>
        <w:rPr>
          <w:rFonts w:hint="eastAsia" w:ascii="仿宋_GB2312" w:eastAsia="仿宋_GB2312"/>
          <w:kern w:val="0"/>
          <w:sz w:val="28"/>
          <w:szCs w:val="28"/>
          <w:highlight w:val="none"/>
          <w:u w:val="single"/>
        </w:rPr>
        <w:t xml:space="preserve">                      </w:t>
      </w:r>
    </w:p>
    <w:p w14:paraId="6CAC15D3">
      <w:pPr>
        <w:tabs>
          <w:tab w:val="left" w:pos="5580"/>
        </w:tabs>
        <w:spacing w:line="360" w:lineRule="auto"/>
        <w:ind w:firstLine="4132" w:firstLineChars="1476"/>
        <w:jc w:val="right"/>
        <w:rPr>
          <w:rFonts w:ascii="仿宋_GB2312" w:eastAsia="仿宋_GB2312"/>
          <w:kern w:val="0"/>
          <w:sz w:val="28"/>
          <w:szCs w:val="28"/>
          <w:highlight w:val="none"/>
        </w:rPr>
      </w:pPr>
    </w:p>
    <w:p w14:paraId="0542CA25">
      <w:pPr>
        <w:tabs>
          <w:tab w:val="left" w:pos="5580"/>
        </w:tabs>
        <w:spacing w:line="360" w:lineRule="auto"/>
        <w:ind w:right="560"/>
        <w:jc w:val="center"/>
        <w:rPr>
          <w:rFonts w:ascii="仿宋_GB2312" w:eastAsia="仿宋_GB2312"/>
          <w:kern w:val="0"/>
          <w:sz w:val="28"/>
          <w:szCs w:val="28"/>
          <w:highlight w:val="none"/>
        </w:rPr>
      </w:pPr>
      <w:r>
        <w:rPr>
          <w:rFonts w:hint="eastAsia" w:ascii="仿宋_GB2312" w:hAnsi="仿宋" w:eastAsia="仿宋_GB2312"/>
          <w:bCs/>
          <w:kern w:val="0"/>
          <w:sz w:val="28"/>
          <w:szCs w:val="28"/>
          <w:highlight w:val="none"/>
        </w:rPr>
        <w:t>法定代表人签章：</w:t>
      </w:r>
      <w:r>
        <w:rPr>
          <w:rFonts w:hint="eastAsia" w:ascii="仿宋_GB2312" w:hAnsi="仿宋" w:eastAsia="仿宋_GB2312"/>
          <w:bCs/>
          <w:kern w:val="0"/>
          <w:sz w:val="28"/>
          <w:szCs w:val="28"/>
          <w:highlight w:val="none"/>
          <w:u w:val="single"/>
        </w:rPr>
        <w:t xml:space="preserve">                          </w:t>
      </w:r>
    </w:p>
    <w:p w14:paraId="53755E2C">
      <w:pPr>
        <w:pStyle w:val="12"/>
        <w:rPr>
          <w:rFonts w:hint="eastAsia"/>
          <w:highlight w:val="none"/>
        </w:rPr>
        <w:sectPr>
          <w:pgSz w:w="11906" w:h="16838"/>
          <w:pgMar w:top="1440" w:right="1080" w:bottom="1440" w:left="1080" w:header="851" w:footer="992" w:gutter="0"/>
          <w:cols w:space="720" w:num="1"/>
          <w:docGrid w:type="lines" w:linePitch="312" w:charSpace="0"/>
        </w:sectPr>
      </w:pPr>
    </w:p>
    <w:p w14:paraId="2F3431CE">
      <w:pPr>
        <w:keepNext/>
        <w:keepLines/>
        <w:spacing w:before="120" w:after="120" w:line="560" w:lineRule="exact"/>
        <w:jc w:val="center"/>
        <w:outlineLvl w:val="1"/>
        <w:rPr>
          <w:rFonts w:hint="eastAsia" w:ascii="仿宋" w:hAnsi="仿宋" w:eastAsia="仿宋" w:cs="仿宋"/>
          <w:b/>
          <w:bCs w:val="0"/>
          <w:sz w:val="44"/>
          <w:szCs w:val="32"/>
          <w:highlight w:val="none"/>
        </w:rPr>
      </w:pPr>
      <w:r>
        <w:rPr>
          <w:rFonts w:hint="eastAsia" w:ascii="仿宋" w:hAnsi="仿宋" w:eastAsia="仿宋" w:cs="仿宋"/>
          <w:b/>
          <w:bCs w:val="0"/>
          <w:sz w:val="44"/>
          <w:szCs w:val="32"/>
          <w:highlight w:val="none"/>
        </w:rPr>
        <w:t>投标人资格证明文件</w:t>
      </w:r>
      <w:bookmarkEnd w:id="41"/>
    </w:p>
    <w:p w14:paraId="39737107">
      <w:pPr>
        <w:snapToGrid w:val="0"/>
        <w:spacing w:line="560" w:lineRule="exact"/>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合法有效的营业执照副本扫描件</w:t>
      </w:r>
    </w:p>
    <w:p w14:paraId="4F8D8AD2">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614AE297">
      <w:pPr>
        <w:snapToGrid w:val="0"/>
        <w:spacing w:line="560" w:lineRule="exact"/>
        <w:ind w:firstLine="562" w:firstLineChars="201"/>
        <w:jc w:val="center"/>
        <w:rPr>
          <w:rFonts w:hint="eastAsia" w:ascii="仿宋_GB2312" w:hAnsi="宋体" w:eastAsia="仿宋_GB2312"/>
          <w:sz w:val="28"/>
          <w:szCs w:val="28"/>
          <w:highlight w:val="none"/>
        </w:rPr>
      </w:pPr>
    </w:p>
    <w:p w14:paraId="6FB132F7">
      <w:pPr>
        <w:snapToGrid w:val="0"/>
        <w:spacing w:line="560" w:lineRule="exact"/>
        <w:ind w:firstLine="562" w:firstLineChars="201"/>
        <w:jc w:val="center"/>
        <w:rPr>
          <w:rFonts w:hint="eastAsia" w:ascii="仿宋_GB2312" w:hAnsi="宋体" w:eastAsia="仿宋_GB2312"/>
          <w:sz w:val="28"/>
          <w:szCs w:val="28"/>
          <w:highlight w:val="none"/>
        </w:rPr>
      </w:pPr>
    </w:p>
    <w:p w14:paraId="04C9D512">
      <w:pPr>
        <w:snapToGrid w:val="0"/>
        <w:spacing w:line="560" w:lineRule="exact"/>
        <w:ind w:firstLine="562" w:firstLineChars="201"/>
        <w:jc w:val="center"/>
        <w:rPr>
          <w:rFonts w:hint="eastAsia" w:ascii="仿宋_GB2312" w:hAnsi="宋体" w:eastAsia="仿宋_GB2312"/>
          <w:sz w:val="28"/>
          <w:szCs w:val="28"/>
          <w:highlight w:val="none"/>
        </w:rPr>
      </w:pPr>
    </w:p>
    <w:p w14:paraId="4C8CBA7D">
      <w:pPr>
        <w:snapToGrid w:val="0"/>
        <w:spacing w:line="560" w:lineRule="exact"/>
        <w:ind w:firstLine="562" w:firstLineChars="201"/>
        <w:jc w:val="center"/>
        <w:rPr>
          <w:rFonts w:hint="eastAsia" w:ascii="仿宋_GB2312" w:hAnsi="宋体" w:eastAsia="仿宋_GB2312"/>
          <w:sz w:val="28"/>
          <w:szCs w:val="28"/>
          <w:highlight w:val="none"/>
        </w:rPr>
      </w:pPr>
    </w:p>
    <w:p w14:paraId="258DFAA0">
      <w:pPr>
        <w:snapToGrid w:val="0"/>
        <w:spacing w:line="560" w:lineRule="exact"/>
        <w:ind w:firstLine="562" w:firstLineChars="201"/>
        <w:jc w:val="center"/>
        <w:rPr>
          <w:rFonts w:hint="eastAsia" w:ascii="仿宋_GB2312" w:hAnsi="宋体" w:eastAsia="仿宋_GB2312"/>
          <w:sz w:val="28"/>
          <w:szCs w:val="28"/>
          <w:highlight w:val="none"/>
        </w:rPr>
      </w:pPr>
    </w:p>
    <w:p w14:paraId="5F07DF91">
      <w:pPr>
        <w:snapToGrid w:val="0"/>
        <w:spacing w:line="560" w:lineRule="exact"/>
        <w:ind w:firstLine="562" w:firstLineChars="201"/>
        <w:jc w:val="center"/>
        <w:rPr>
          <w:rFonts w:hint="eastAsia" w:ascii="仿宋_GB2312" w:hAnsi="宋体" w:eastAsia="仿宋_GB2312"/>
          <w:sz w:val="28"/>
          <w:szCs w:val="28"/>
          <w:highlight w:val="none"/>
        </w:rPr>
      </w:pPr>
    </w:p>
    <w:p w14:paraId="20D647D5">
      <w:pPr>
        <w:snapToGrid w:val="0"/>
        <w:spacing w:line="560" w:lineRule="exact"/>
        <w:ind w:firstLine="562" w:firstLineChars="201"/>
        <w:jc w:val="center"/>
        <w:rPr>
          <w:rFonts w:hint="eastAsia" w:ascii="仿宋_GB2312" w:hAnsi="宋体" w:eastAsia="仿宋_GB2312"/>
          <w:sz w:val="28"/>
          <w:szCs w:val="28"/>
          <w:highlight w:val="none"/>
        </w:rPr>
      </w:pPr>
    </w:p>
    <w:p w14:paraId="20ADCA16">
      <w:pPr>
        <w:snapToGrid w:val="0"/>
        <w:spacing w:line="560" w:lineRule="exact"/>
        <w:ind w:firstLine="562" w:firstLineChars="201"/>
        <w:jc w:val="center"/>
        <w:rPr>
          <w:rFonts w:hint="eastAsia" w:ascii="仿宋_GB2312" w:hAnsi="宋体" w:eastAsia="仿宋_GB2312"/>
          <w:sz w:val="28"/>
          <w:szCs w:val="28"/>
          <w:highlight w:val="none"/>
        </w:rPr>
      </w:pPr>
    </w:p>
    <w:p w14:paraId="07225D79">
      <w:pPr>
        <w:snapToGrid w:val="0"/>
        <w:spacing w:line="560" w:lineRule="exact"/>
        <w:ind w:firstLine="562" w:firstLineChars="201"/>
        <w:jc w:val="center"/>
        <w:rPr>
          <w:rFonts w:hint="eastAsia" w:ascii="仿宋_GB2312" w:hAnsi="宋体" w:eastAsia="仿宋_GB2312"/>
          <w:sz w:val="28"/>
          <w:szCs w:val="28"/>
          <w:highlight w:val="none"/>
        </w:rPr>
      </w:pPr>
    </w:p>
    <w:p w14:paraId="00B703FA">
      <w:pPr>
        <w:snapToGrid w:val="0"/>
        <w:spacing w:line="560" w:lineRule="exact"/>
        <w:ind w:firstLine="562" w:firstLineChars="201"/>
        <w:jc w:val="center"/>
        <w:rPr>
          <w:rFonts w:hint="eastAsia" w:ascii="仿宋_GB2312" w:eastAsia="仿宋_GB2312"/>
          <w:sz w:val="28"/>
          <w:szCs w:val="28"/>
          <w:highlight w:val="none"/>
        </w:rPr>
      </w:pPr>
    </w:p>
    <w:p w14:paraId="69921C0C">
      <w:pPr>
        <w:pStyle w:val="12"/>
        <w:jc w:val="center"/>
        <w:rPr>
          <w:rFonts w:ascii="仿宋" w:hAnsi="仿宋" w:eastAsia="仿宋" w:cs="仿宋"/>
          <w:b/>
          <w:bCs/>
          <w:sz w:val="32"/>
          <w:szCs w:val="32"/>
          <w:highlight w:val="none"/>
        </w:rPr>
      </w:pPr>
      <w:r>
        <w:rPr>
          <w:rFonts w:hint="eastAsia" w:ascii="仿宋_GB2312" w:hAnsi="宋体" w:eastAsia="仿宋_GB2312"/>
          <w:sz w:val="28"/>
          <w:szCs w:val="28"/>
          <w:highlight w:val="none"/>
        </w:rPr>
        <w:br w:type="page"/>
      </w:r>
      <w:r>
        <w:rPr>
          <w:rFonts w:hint="eastAsia" w:ascii="仿宋" w:hAnsi="仿宋" w:eastAsia="仿宋" w:cs="仿宋"/>
          <w:b/>
          <w:bCs/>
          <w:sz w:val="32"/>
          <w:szCs w:val="32"/>
          <w:highlight w:val="none"/>
        </w:rPr>
        <w:t>法定代表人或负责人身份证明书</w:t>
      </w:r>
    </w:p>
    <w:p w14:paraId="13A7CC58">
      <w:pPr>
        <w:ind w:right="840"/>
        <w:jc w:val="center"/>
        <w:rPr>
          <w:rFonts w:ascii="仿宋" w:hAnsi="仿宋" w:eastAsia="仿宋" w:cs="仿宋"/>
          <w:highlight w:val="none"/>
        </w:rPr>
      </w:pPr>
    </w:p>
    <w:p w14:paraId="38C534B1">
      <w:pPr>
        <w:spacing w:line="560" w:lineRule="exact"/>
        <w:rPr>
          <w:rFonts w:ascii="仿宋" w:hAnsi="仿宋" w:eastAsia="仿宋" w:cs="仿宋"/>
          <w:kern w:val="0"/>
          <w:sz w:val="30"/>
          <w:szCs w:val="30"/>
          <w:highlight w:val="none"/>
        </w:rPr>
      </w:pPr>
      <w:r>
        <w:rPr>
          <w:rFonts w:hint="eastAsia" w:ascii="仿宋" w:hAnsi="仿宋" w:eastAsia="仿宋" w:cs="仿宋"/>
          <w:sz w:val="30"/>
          <w:szCs w:val="30"/>
          <w:highlight w:val="none"/>
        </w:rPr>
        <w:t>致山东华维工程咨询有限公司</w:t>
      </w:r>
      <w:r>
        <w:rPr>
          <w:rFonts w:hint="eastAsia" w:ascii="仿宋" w:hAnsi="仿宋" w:eastAsia="仿宋" w:cs="仿宋"/>
          <w:kern w:val="0"/>
          <w:sz w:val="30"/>
          <w:szCs w:val="30"/>
          <w:highlight w:val="none"/>
        </w:rPr>
        <w:t>：</w:t>
      </w:r>
    </w:p>
    <w:p w14:paraId="5743B0FE">
      <w:pPr>
        <w:tabs>
          <w:tab w:val="left" w:pos="5580"/>
        </w:tabs>
        <w:spacing w:line="600" w:lineRule="exact"/>
        <w:ind w:left="1100" w:leftChars="-29" w:hanging="1161"/>
        <w:rPr>
          <w:rFonts w:ascii="仿宋" w:hAnsi="仿宋" w:eastAsia="仿宋" w:cs="仿宋"/>
          <w:sz w:val="32"/>
          <w:szCs w:val="32"/>
          <w:highlight w:val="none"/>
        </w:rPr>
      </w:pPr>
    </w:p>
    <w:p w14:paraId="4944AB6D">
      <w:pPr>
        <w:tabs>
          <w:tab w:val="left" w:pos="5580"/>
        </w:tabs>
        <w:spacing w:line="600" w:lineRule="exact"/>
        <w:ind w:left="-113" w:leftChars="-54" w:firstLine="640" w:firstLineChars="200"/>
        <w:rPr>
          <w:rFonts w:ascii="仿宋" w:hAnsi="仿宋" w:eastAsia="仿宋" w:cs="仿宋"/>
          <w:sz w:val="32"/>
          <w:szCs w:val="32"/>
          <w:highlight w:val="none"/>
        </w:rPr>
      </w:pPr>
      <w:r>
        <w:rPr>
          <w:rFonts w:hint="eastAsia" w:ascii="仿宋" w:hAnsi="仿宋" w:eastAsia="仿宋" w:cs="仿宋"/>
          <w:sz w:val="32"/>
          <w:szCs w:val="32"/>
          <w:highlight w:val="none"/>
        </w:rPr>
        <w:t>（姓名、性别、年龄、身份证号码）在我单位任       （董事长、总经理等）职务，是我单位的法定代表人/负责人。</w:t>
      </w:r>
    </w:p>
    <w:p w14:paraId="36AF4D91">
      <w:pPr>
        <w:tabs>
          <w:tab w:val="left" w:pos="5580"/>
        </w:tabs>
        <w:spacing w:line="600" w:lineRule="exact"/>
        <w:rPr>
          <w:rFonts w:ascii="仿宋" w:hAnsi="仿宋" w:eastAsia="仿宋" w:cs="仿宋"/>
          <w:sz w:val="32"/>
          <w:szCs w:val="32"/>
          <w:highlight w:val="none"/>
        </w:rPr>
      </w:pPr>
    </w:p>
    <w:p w14:paraId="5139FE3C">
      <w:pPr>
        <w:tabs>
          <w:tab w:val="left" w:pos="5580"/>
        </w:tabs>
        <w:spacing w:line="600" w:lineRule="exact"/>
        <w:ind w:left="1080" w:leftChars="257" w:hanging="540"/>
        <w:rPr>
          <w:rFonts w:ascii="仿宋" w:hAnsi="仿宋" w:eastAsia="仿宋" w:cs="仿宋"/>
          <w:sz w:val="32"/>
          <w:szCs w:val="32"/>
          <w:highlight w:val="none"/>
        </w:rPr>
      </w:pPr>
      <w:r>
        <w:rPr>
          <w:rFonts w:hint="eastAsia" w:ascii="仿宋" w:hAnsi="仿宋" w:eastAsia="仿宋" w:cs="仿宋"/>
          <w:sz w:val="32"/>
          <w:szCs w:val="32"/>
          <w:highlight w:val="none"/>
        </w:rPr>
        <w:t>特此证明。</w:t>
      </w:r>
    </w:p>
    <w:p w14:paraId="39818609">
      <w:pPr>
        <w:spacing w:line="600" w:lineRule="exact"/>
        <w:rPr>
          <w:rFonts w:ascii="仿宋" w:hAnsi="仿宋" w:eastAsia="仿宋" w:cs="仿宋"/>
          <w:sz w:val="32"/>
          <w:szCs w:val="32"/>
          <w:highlight w:val="none"/>
        </w:rPr>
      </w:pPr>
    </w:p>
    <w:p w14:paraId="2F6EB932">
      <w:pPr>
        <w:tabs>
          <w:tab w:val="left" w:pos="5580"/>
        </w:tabs>
        <w:spacing w:line="600" w:lineRule="exact"/>
        <w:ind w:left="-540" w:leftChars="-257" w:right="960" w:firstLine="1200" w:firstLineChars="375"/>
        <w:jc w:val="right"/>
        <w:rPr>
          <w:rFonts w:ascii="仿宋" w:hAnsi="仿宋" w:eastAsia="仿宋" w:cs="仿宋"/>
          <w:sz w:val="32"/>
          <w:szCs w:val="32"/>
          <w:highlight w:val="none"/>
        </w:rPr>
      </w:pPr>
      <w:r>
        <w:rPr>
          <w:rFonts w:hint="eastAsia" w:ascii="仿宋" w:hAnsi="仿宋" w:eastAsia="仿宋" w:cs="仿宋"/>
          <w:sz w:val="32"/>
          <w:szCs w:val="32"/>
          <w:highlight w:val="none"/>
        </w:rPr>
        <w:t xml:space="preserve">投标人名称（公章）： </w:t>
      </w:r>
    </w:p>
    <w:tbl>
      <w:tblPr>
        <w:tblStyle w:val="31"/>
        <w:tblpPr w:leftFromText="180" w:rightFromText="180" w:vertAnchor="text" w:horzAnchor="margin" w:tblpY="73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86"/>
      </w:tblGrid>
      <w:tr w14:paraId="4783F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9" w:hRule="atLeast"/>
        </w:trPr>
        <w:tc>
          <w:tcPr>
            <w:tcW w:w="4786" w:type="dxa"/>
            <w:noWrap w:val="0"/>
            <w:vAlign w:val="center"/>
          </w:tcPr>
          <w:p w14:paraId="6D46D7EA">
            <w:pPr>
              <w:widowControl/>
              <w:spacing w:beforeAutospacing="1" w:afterAutospacing="1" w:line="360" w:lineRule="auto"/>
              <w:jc w:val="center"/>
              <w:rPr>
                <w:rFonts w:ascii="仿宋" w:hAnsi="仿宋" w:eastAsia="仿宋" w:cs="仿宋"/>
                <w:kern w:val="0"/>
                <w:sz w:val="32"/>
                <w:szCs w:val="32"/>
                <w:highlight w:val="none"/>
              </w:rPr>
            </w:pPr>
            <w:r>
              <w:rPr>
                <w:rFonts w:hint="eastAsia" w:ascii="仿宋" w:hAnsi="仿宋" w:eastAsia="仿宋" w:cs="仿宋"/>
                <w:sz w:val="32"/>
                <w:szCs w:val="32"/>
                <w:highlight w:val="none"/>
              </w:rPr>
              <w:t>法定代表人身份证扫描件正面</w:t>
            </w:r>
          </w:p>
        </w:tc>
      </w:tr>
    </w:tbl>
    <w:p w14:paraId="2BDFA59C">
      <w:pPr>
        <w:spacing w:line="560" w:lineRule="exact"/>
        <w:ind w:firstLine="640" w:firstLineChars="200"/>
        <w:jc w:val="left"/>
        <w:rPr>
          <w:rFonts w:ascii="仿宋" w:hAnsi="仿宋" w:eastAsia="仿宋" w:cs="仿宋"/>
          <w:kern w:val="0"/>
          <w:sz w:val="32"/>
          <w:szCs w:val="32"/>
          <w:highlight w:val="none"/>
        </w:rPr>
      </w:pPr>
    </w:p>
    <w:tbl>
      <w:tblPr>
        <w:tblStyle w:val="31"/>
        <w:tblpPr w:leftFromText="180" w:rightFromText="180" w:vertAnchor="text" w:horzAnchor="margin" w:tblpXSpec="right" w:tblpY="21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tblGrid>
      <w:tr w14:paraId="027A7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2" w:hRule="atLeast"/>
        </w:trPr>
        <w:tc>
          <w:tcPr>
            <w:tcW w:w="4503" w:type="dxa"/>
            <w:noWrap w:val="0"/>
            <w:vAlign w:val="center"/>
          </w:tcPr>
          <w:p w14:paraId="3D17CB80">
            <w:pPr>
              <w:widowControl/>
              <w:spacing w:beforeAutospacing="1" w:afterAutospacing="1" w:line="360" w:lineRule="auto"/>
              <w:jc w:val="center"/>
              <w:rPr>
                <w:rFonts w:ascii="仿宋" w:hAnsi="仿宋" w:eastAsia="仿宋" w:cs="仿宋"/>
                <w:kern w:val="0"/>
                <w:sz w:val="32"/>
                <w:szCs w:val="32"/>
                <w:highlight w:val="none"/>
              </w:rPr>
            </w:pPr>
            <w:r>
              <w:rPr>
                <w:rFonts w:hint="eastAsia" w:ascii="仿宋" w:hAnsi="仿宋" w:eastAsia="仿宋" w:cs="仿宋"/>
                <w:sz w:val="32"/>
                <w:szCs w:val="32"/>
                <w:highlight w:val="none"/>
              </w:rPr>
              <w:t>法定代表人身份证扫描件反面</w:t>
            </w:r>
          </w:p>
        </w:tc>
      </w:tr>
    </w:tbl>
    <w:p w14:paraId="5747D48A">
      <w:pPr>
        <w:jc w:val="center"/>
        <w:rPr>
          <w:highlight w:val="none"/>
        </w:rPr>
        <w:sectPr>
          <w:headerReference r:id="rId20" w:type="default"/>
          <w:pgSz w:w="11906" w:h="16838"/>
          <w:pgMar w:top="1440" w:right="1080" w:bottom="1440" w:left="1080" w:header="851" w:footer="992" w:gutter="0"/>
          <w:cols w:space="720" w:num="1"/>
          <w:docGrid w:type="lines" w:linePitch="312" w:charSpace="0"/>
        </w:sectPr>
      </w:pPr>
    </w:p>
    <w:p w14:paraId="285CF47A">
      <w:pPr>
        <w:widowControl/>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法人授权委托书</w:t>
      </w:r>
    </w:p>
    <w:p w14:paraId="52B4DAC8">
      <w:pPr>
        <w:widowControl/>
        <w:adjustRightInd w:val="0"/>
        <w:spacing w:line="520" w:lineRule="exact"/>
        <w:ind w:firstLine="640" w:firstLineChars="200"/>
        <w:jc w:val="left"/>
        <w:rPr>
          <w:highlight w:val="none"/>
        </w:rPr>
      </w:pPr>
      <w:r>
        <w:rPr>
          <w:rFonts w:hint="eastAsia" w:ascii="仿宋_GB2312" w:hAnsi="仿宋" w:eastAsia="仿宋_GB2312"/>
          <w:sz w:val="32"/>
          <w:szCs w:val="32"/>
          <w:highlight w:val="none"/>
        </w:rPr>
        <w:t>本授权书声明：注册于</w:t>
      </w:r>
      <w:r>
        <w:rPr>
          <w:rFonts w:hint="eastAsia" w:ascii="仿宋_GB2312" w:hAnsi="仿宋" w:eastAsia="仿宋_GB2312"/>
          <w:sz w:val="32"/>
          <w:szCs w:val="32"/>
          <w:highlight w:val="none"/>
          <w:u w:val="single"/>
        </w:rPr>
        <w:t xml:space="preserve">   （国家或地区的名称）  </w:t>
      </w:r>
      <w:r>
        <w:rPr>
          <w:rFonts w:hint="eastAsia" w:ascii="仿宋_GB2312" w:hAnsi="仿宋" w:eastAsia="仿宋_GB2312"/>
          <w:sz w:val="32"/>
          <w:szCs w:val="32"/>
          <w:highlight w:val="none"/>
        </w:rPr>
        <w:t>的</w:t>
      </w:r>
      <w:r>
        <w:rPr>
          <w:rFonts w:hint="eastAsia" w:ascii="仿宋_GB2312" w:hAnsi="仿宋" w:eastAsia="仿宋_GB2312"/>
          <w:sz w:val="32"/>
          <w:szCs w:val="32"/>
          <w:highlight w:val="none"/>
          <w:u w:val="single"/>
        </w:rPr>
        <w:t xml:space="preserve">  （公司名称）  </w:t>
      </w:r>
      <w:r>
        <w:rPr>
          <w:rFonts w:hint="eastAsia" w:ascii="仿宋_GB2312" w:hAnsi="仿宋" w:eastAsia="仿宋_GB2312"/>
          <w:sz w:val="32"/>
          <w:szCs w:val="32"/>
          <w:highlight w:val="none"/>
        </w:rPr>
        <w:t>的</w:t>
      </w:r>
      <w:r>
        <w:rPr>
          <w:rFonts w:hint="eastAsia" w:ascii="仿宋_GB2312" w:hAnsi="仿宋" w:eastAsia="仿宋_GB2312"/>
          <w:sz w:val="32"/>
          <w:szCs w:val="32"/>
          <w:highlight w:val="none"/>
          <w:u w:val="single"/>
        </w:rPr>
        <w:t xml:space="preserve"> （法人代表姓名、职务、身份证号码）  </w:t>
      </w:r>
      <w:r>
        <w:rPr>
          <w:rFonts w:hint="eastAsia" w:ascii="仿宋_GB2312" w:hAnsi="仿宋" w:eastAsia="仿宋_GB2312"/>
          <w:sz w:val="32"/>
          <w:szCs w:val="32"/>
          <w:highlight w:val="none"/>
        </w:rPr>
        <w:t>，代表本公司授权</w:t>
      </w:r>
      <w:r>
        <w:rPr>
          <w:rFonts w:hint="eastAsia" w:ascii="仿宋_GB2312" w:hAnsi="仿宋" w:eastAsia="仿宋_GB2312"/>
          <w:sz w:val="32"/>
          <w:szCs w:val="32"/>
          <w:highlight w:val="none"/>
          <w:u w:val="single"/>
        </w:rPr>
        <w:t xml:space="preserve">  （被授权单位名称）  </w:t>
      </w:r>
      <w:r>
        <w:rPr>
          <w:rFonts w:hint="eastAsia" w:ascii="仿宋_GB2312" w:hAnsi="仿宋" w:eastAsia="仿宋_GB2312"/>
          <w:sz w:val="32"/>
          <w:szCs w:val="32"/>
          <w:highlight w:val="none"/>
        </w:rPr>
        <w:t>的</w:t>
      </w:r>
      <w:r>
        <w:rPr>
          <w:rFonts w:hint="eastAsia" w:ascii="仿宋_GB2312" w:hAnsi="仿宋" w:eastAsia="仿宋_GB2312"/>
          <w:sz w:val="32"/>
          <w:szCs w:val="32"/>
          <w:highlight w:val="none"/>
          <w:u w:val="single"/>
        </w:rPr>
        <w:t xml:space="preserve">  （被授权人的姓名、职务、身份证号码）</w:t>
      </w:r>
      <w:r>
        <w:rPr>
          <w:rFonts w:hint="eastAsia" w:ascii="仿宋_GB2312" w:hAnsi="仿宋" w:eastAsia="仿宋_GB2312"/>
          <w:sz w:val="32"/>
          <w:szCs w:val="32"/>
          <w:highlight w:val="none"/>
        </w:rPr>
        <w:t>为本公司的合法代理人，参加编号为</w:t>
      </w:r>
      <w:r>
        <w:rPr>
          <w:rFonts w:hint="eastAsia" w:ascii="仿宋_GB2312" w:hAnsi="仿宋" w:eastAsia="仿宋_GB2312" w:cs="宋体"/>
          <w:spacing w:val="8"/>
          <w:kern w:val="0"/>
          <w:sz w:val="28"/>
          <w:szCs w:val="28"/>
          <w:highlight w:val="none"/>
        </w:rPr>
        <w:t>HYJZFCG2026-036</w:t>
      </w:r>
      <w:r>
        <w:rPr>
          <w:rFonts w:hint="eastAsia" w:ascii="仿宋_GB2312" w:hAnsi="仿宋" w:eastAsia="仿宋_GB2312"/>
          <w:sz w:val="32"/>
          <w:szCs w:val="32"/>
          <w:highlight w:val="none"/>
        </w:rPr>
        <w:t>号的采购活动，以本公司名义处理一切与之有关的事宜。</w:t>
      </w:r>
    </w:p>
    <w:p w14:paraId="013FD98C">
      <w:pPr>
        <w:spacing w:line="520" w:lineRule="exact"/>
        <w:ind w:firstLine="640" w:firstLineChars="200"/>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如果本公司在此次采购活动中中标，被授权人有权代表本公司签署采购合同。</w:t>
      </w:r>
    </w:p>
    <w:p w14:paraId="2F0749E7">
      <w:pPr>
        <w:spacing w:line="520" w:lineRule="exact"/>
        <w:ind w:firstLine="640" w:firstLineChars="200"/>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本授权书于</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年</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月</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日法定代表人签字或盖章并由被授权人签字、单位盖章生效，特此声明。</w:t>
      </w:r>
    </w:p>
    <w:p w14:paraId="5CB2FC72">
      <w:pPr>
        <w:spacing w:line="520" w:lineRule="exact"/>
        <w:ind w:firstLine="640" w:firstLineChars="200"/>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被授权人无转委托权。</w:t>
      </w:r>
    </w:p>
    <w:p w14:paraId="5F1D7EEE">
      <w:pPr>
        <w:spacing w:line="520" w:lineRule="exact"/>
        <w:ind w:firstLine="640" w:firstLineChars="200"/>
        <w:jc w:val="left"/>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法定代表人签章：</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 xml:space="preserve">  </w:t>
      </w:r>
    </w:p>
    <w:p w14:paraId="6E8B9931">
      <w:pPr>
        <w:spacing w:line="520" w:lineRule="exact"/>
        <w:ind w:firstLine="640" w:firstLineChars="200"/>
        <w:jc w:val="left"/>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被 授 权 人 签 字：</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 xml:space="preserve"> </w:t>
      </w:r>
    </w:p>
    <w:p w14:paraId="38FF2716">
      <w:pPr>
        <w:spacing w:line="520" w:lineRule="exact"/>
        <w:ind w:firstLine="640" w:firstLineChars="200"/>
        <w:jc w:val="left"/>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投标人（公 章）：</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 xml:space="preserve"> </w:t>
      </w:r>
    </w:p>
    <w:p w14:paraId="1943B8DF">
      <w:pPr>
        <w:rPr>
          <w:vanish/>
          <w:highlight w:val="none"/>
        </w:rPr>
      </w:pPr>
    </w:p>
    <w:tbl>
      <w:tblPr>
        <w:tblStyle w:val="31"/>
        <w:tblpPr w:leftFromText="180" w:rightFromText="180" w:vertAnchor="text" w:horzAnchor="margin"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55743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5" w:hRule="atLeast"/>
        </w:trPr>
        <w:tc>
          <w:tcPr>
            <w:tcW w:w="4644" w:type="dxa"/>
            <w:noWrap w:val="0"/>
            <w:vAlign w:val="center"/>
          </w:tcPr>
          <w:p w14:paraId="18AD82B4">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法人代表身份证扫描件正面</w:t>
            </w:r>
          </w:p>
        </w:tc>
      </w:tr>
    </w:tbl>
    <w:p w14:paraId="723714FC">
      <w:pPr>
        <w:rPr>
          <w:vanish/>
          <w:highlight w:val="none"/>
        </w:rPr>
      </w:pPr>
    </w:p>
    <w:tbl>
      <w:tblPr>
        <w:tblStyle w:val="31"/>
        <w:tblpPr w:leftFromText="180" w:rightFromText="180" w:vertAnchor="text" w:horzAnchor="margin" w:tblpXSpec="right"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78945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2" w:hRule="atLeast"/>
        </w:trPr>
        <w:tc>
          <w:tcPr>
            <w:tcW w:w="4644" w:type="dxa"/>
            <w:noWrap w:val="0"/>
            <w:vAlign w:val="center"/>
          </w:tcPr>
          <w:p w14:paraId="2DEE2159">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法人代表身份证扫描件反面</w:t>
            </w:r>
          </w:p>
        </w:tc>
      </w:tr>
    </w:tbl>
    <w:p w14:paraId="242EBBDC">
      <w:pPr>
        <w:rPr>
          <w:vanish/>
          <w:highlight w:val="none"/>
        </w:rPr>
      </w:pPr>
    </w:p>
    <w:tbl>
      <w:tblPr>
        <w:tblStyle w:val="31"/>
        <w:tblpPr w:leftFromText="180" w:rightFromText="180" w:vertAnchor="text" w:horzAnchor="margin"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0F8A5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5" w:hRule="atLeast"/>
        </w:trPr>
        <w:tc>
          <w:tcPr>
            <w:tcW w:w="4644" w:type="dxa"/>
            <w:noWrap w:val="0"/>
            <w:vAlign w:val="center"/>
          </w:tcPr>
          <w:p w14:paraId="78CDE49D">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被授权人身份证扫描件正面</w:t>
            </w:r>
          </w:p>
        </w:tc>
      </w:tr>
    </w:tbl>
    <w:p w14:paraId="1F3A2DEC">
      <w:pPr>
        <w:rPr>
          <w:vanish/>
          <w:highlight w:val="none"/>
        </w:rPr>
      </w:pPr>
    </w:p>
    <w:tbl>
      <w:tblPr>
        <w:tblStyle w:val="31"/>
        <w:tblpPr w:leftFromText="180" w:rightFromText="180" w:vertAnchor="text" w:horzAnchor="margin" w:tblpXSpec="right"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4AE1D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2" w:hRule="atLeast"/>
        </w:trPr>
        <w:tc>
          <w:tcPr>
            <w:tcW w:w="4644" w:type="dxa"/>
            <w:noWrap w:val="0"/>
            <w:vAlign w:val="center"/>
          </w:tcPr>
          <w:p w14:paraId="67277A12">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被授权人身份证扫描件反面</w:t>
            </w:r>
          </w:p>
        </w:tc>
      </w:tr>
    </w:tbl>
    <w:p w14:paraId="114C88C9">
      <w:pPr>
        <w:snapToGrid w:val="0"/>
        <w:spacing w:line="560" w:lineRule="exact"/>
        <w:ind w:firstLine="562" w:firstLineChars="201"/>
        <w:jc w:val="center"/>
        <w:rPr>
          <w:rFonts w:hint="eastAsia" w:ascii="仿宋" w:hAnsi="仿宋" w:eastAsia="仿宋" w:cs="仿宋"/>
          <w:b/>
          <w:bCs w:val="0"/>
          <w:sz w:val="32"/>
          <w:szCs w:val="32"/>
          <w:highlight w:val="none"/>
        </w:rPr>
      </w:pPr>
      <w:r>
        <w:rPr>
          <w:rFonts w:ascii="仿宋_GB2312" w:hAnsi="宋体" w:eastAsia="仿宋_GB2312"/>
          <w:sz w:val="28"/>
          <w:szCs w:val="28"/>
          <w:highlight w:val="none"/>
        </w:rPr>
        <w:br w:type="page"/>
      </w:r>
      <w:r>
        <w:rPr>
          <w:rFonts w:hint="eastAsia" w:ascii="仿宋" w:hAnsi="仿宋" w:eastAsia="仿宋" w:cs="仿宋"/>
          <w:b/>
          <w:bCs w:val="0"/>
          <w:sz w:val="32"/>
          <w:szCs w:val="32"/>
          <w:highlight w:val="none"/>
        </w:rPr>
        <w:t>提供投标人市政公用工程施工总承包三级及以上资质证书扫描件，同时提供安全生产许可证证书扫描件</w:t>
      </w:r>
    </w:p>
    <w:p w14:paraId="23EEF6E6">
      <w:pPr>
        <w:snapToGrid w:val="0"/>
        <w:spacing w:line="560" w:lineRule="exact"/>
        <w:ind w:firstLine="562" w:firstLineChars="201"/>
        <w:jc w:val="center"/>
        <w:rPr>
          <w:rFonts w:eastAsia="黑体"/>
          <w:bCs/>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sz w:val="28"/>
          <w:szCs w:val="28"/>
          <w:highlight w:val="none"/>
        </w:rPr>
        <w:t>（加盖公章）</w:t>
      </w:r>
    </w:p>
    <w:p w14:paraId="3B6CC975">
      <w:pPr>
        <w:snapToGrid w:val="0"/>
        <w:spacing w:line="560" w:lineRule="exact"/>
        <w:ind w:firstLine="646" w:firstLineChars="201"/>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提供项目负责人市政公用工程贰级及以上注册建造师执业资格证书扫描件，同时提供安全生产考核合格证（B证）证书扫描件</w:t>
      </w:r>
    </w:p>
    <w:p w14:paraId="550CDE0D">
      <w:pPr>
        <w:snapToGrid w:val="0"/>
        <w:spacing w:line="560" w:lineRule="exact"/>
        <w:ind w:firstLine="562" w:firstLineChars="201"/>
        <w:jc w:val="center"/>
        <w:rPr>
          <w:rFonts w:hint="eastAsia" w:eastAsia="黑体"/>
          <w:bCs/>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sz w:val="28"/>
          <w:szCs w:val="28"/>
          <w:highlight w:val="none"/>
        </w:rPr>
        <w:t>（加盖公章）</w:t>
      </w:r>
    </w:p>
    <w:p w14:paraId="7D3AD193">
      <w:pPr>
        <w:snapToGrid w:val="0"/>
        <w:spacing w:line="560" w:lineRule="exact"/>
        <w:ind w:firstLine="646" w:firstLineChars="201"/>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投标人的依法缴纳税收和社会保障资金的声明（格式自定）</w:t>
      </w:r>
    </w:p>
    <w:p w14:paraId="692C422D">
      <w:pPr>
        <w:pStyle w:val="12"/>
        <w:jc w:val="center"/>
        <w:rPr>
          <w:rFonts w:hint="eastAsia"/>
          <w:highlight w:val="none"/>
        </w:rPr>
      </w:pPr>
      <w:r>
        <w:rPr>
          <w:rFonts w:hint="eastAsia" w:ascii="仿宋_GB2312" w:hAnsi="宋体" w:eastAsia="仿宋_GB2312"/>
          <w:sz w:val="28"/>
          <w:szCs w:val="28"/>
          <w:highlight w:val="none"/>
        </w:rPr>
        <w:t>（加盖公章）</w:t>
      </w:r>
    </w:p>
    <w:p w14:paraId="5DC20BB2">
      <w:pPr>
        <w:pStyle w:val="12"/>
        <w:rPr>
          <w:rFonts w:hint="eastAsia" w:eastAsia="黑体"/>
          <w:bCs/>
          <w:sz w:val="32"/>
          <w:szCs w:val="32"/>
          <w:highlight w:val="none"/>
        </w:rPr>
      </w:pPr>
    </w:p>
    <w:p w14:paraId="55D6FCAF">
      <w:pPr>
        <w:snapToGrid w:val="0"/>
        <w:spacing w:line="560" w:lineRule="exact"/>
        <w:ind w:firstLine="643" w:firstLineChars="201"/>
        <w:jc w:val="center"/>
        <w:rPr>
          <w:rFonts w:hint="eastAsia" w:eastAsia="黑体"/>
          <w:bCs/>
          <w:sz w:val="32"/>
          <w:szCs w:val="32"/>
          <w:highlight w:val="none"/>
        </w:rPr>
        <w:sectPr>
          <w:pgSz w:w="11906" w:h="16838"/>
          <w:pgMar w:top="1440" w:right="1080" w:bottom="1440" w:left="1080" w:header="851" w:footer="992" w:gutter="0"/>
          <w:cols w:space="720" w:num="1"/>
          <w:docGrid w:type="lines" w:linePitch="312" w:charSpace="0"/>
        </w:sectPr>
      </w:pPr>
    </w:p>
    <w:p w14:paraId="09203AFD">
      <w:pPr>
        <w:snapToGrid w:val="0"/>
        <w:spacing w:line="560" w:lineRule="exact"/>
        <w:ind w:firstLine="646" w:firstLineChars="201"/>
        <w:jc w:val="center"/>
        <w:rPr>
          <w:rFonts w:hint="eastAsia" w:ascii="仿宋_GB2312" w:hAnsi="宋体" w:eastAsia="仿宋_GB2312"/>
          <w:sz w:val="28"/>
          <w:szCs w:val="28"/>
          <w:highlight w:val="none"/>
        </w:rPr>
      </w:pPr>
      <w:r>
        <w:rPr>
          <w:rFonts w:hint="eastAsia" w:ascii="仿宋" w:hAnsi="仿宋" w:eastAsia="仿宋" w:cs="仿宋"/>
          <w:b/>
          <w:bCs w:val="0"/>
          <w:sz w:val="32"/>
          <w:szCs w:val="32"/>
          <w:highlight w:val="none"/>
        </w:rPr>
        <w:t>投标人近期的缴纳税收凭证扫描件及交纳社保资金凭证的扫描件</w:t>
      </w:r>
    </w:p>
    <w:p w14:paraId="3918DBE4">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658A87D6">
      <w:pPr>
        <w:snapToGrid w:val="0"/>
        <w:spacing w:line="560" w:lineRule="exact"/>
        <w:ind w:firstLine="562" w:firstLineChars="201"/>
        <w:jc w:val="center"/>
        <w:rPr>
          <w:rFonts w:hint="eastAsia" w:ascii="仿宋" w:hAnsi="仿宋" w:eastAsia="仿宋" w:cs="仿宋"/>
          <w:b/>
          <w:bCs w:val="0"/>
          <w:sz w:val="28"/>
          <w:szCs w:val="28"/>
          <w:highlight w:val="none"/>
        </w:rPr>
      </w:pPr>
      <w:r>
        <w:rPr>
          <w:rFonts w:ascii="仿宋_GB2312" w:hAnsi="宋体" w:eastAsia="仿宋_GB2312"/>
          <w:sz w:val="28"/>
          <w:szCs w:val="28"/>
          <w:highlight w:val="none"/>
        </w:rPr>
        <w:br w:type="page"/>
      </w:r>
      <w:r>
        <w:rPr>
          <w:rFonts w:hint="eastAsia" w:ascii="仿宋" w:hAnsi="仿宋" w:eastAsia="仿宋" w:cs="仿宋"/>
          <w:b/>
          <w:bCs w:val="0"/>
          <w:sz w:val="32"/>
          <w:szCs w:val="32"/>
          <w:highlight w:val="none"/>
        </w:rPr>
        <w:t>投标人具有履行合同所必需的设备和专业技术能力承诺函（格式自拟）</w:t>
      </w:r>
    </w:p>
    <w:p w14:paraId="03C5C1D8">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225C4ED6">
      <w:pPr>
        <w:snapToGrid w:val="0"/>
        <w:spacing w:line="560" w:lineRule="exact"/>
        <w:ind w:firstLine="562" w:firstLineChars="201"/>
        <w:rPr>
          <w:rFonts w:hint="eastAsia" w:ascii="仿宋_GB2312" w:hAnsi="宋体" w:eastAsia="仿宋_GB2312"/>
          <w:sz w:val="28"/>
          <w:szCs w:val="28"/>
          <w:highlight w:val="none"/>
        </w:rPr>
      </w:pPr>
    </w:p>
    <w:p w14:paraId="25DF9632">
      <w:pPr>
        <w:snapToGrid w:val="0"/>
        <w:spacing w:line="560" w:lineRule="exact"/>
        <w:ind w:firstLine="562" w:firstLineChars="201"/>
        <w:rPr>
          <w:rFonts w:hint="eastAsia" w:ascii="仿宋_GB2312" w:hAnsi="宋体" w:eastAsia="仿宋_GB2312"/>
          <w:sz w:val="28"/>
          <w:szCs w:val="28"/>
          <w:highlight w:val="none"/>
        </w:rPr>
      </w:pPr>
    </w:p>
    <w:p w14:paraId="3826D6E1">
      <w:pPr>
        <w:snapToGrid w:val="0"/>
        <w:spacing w:line="560" w:lineRule="exact"/>
        <w:ind w:firstLine="562" w:firstLineChars="201"/>
        <w:rPr>
          <w:rFonts w:hint="eastAsia" w:ascii="仿宋_GB2312" w:hAnsi="宋体" w:eastAsia="仿宋_GB2312"/>
          <w:sz w:val="28"/>
          <w:szCs w:val="28"/>
          <w:highlight w:val="none"/>
        </w:rPr>
      </w:pPr>
    </w:p>
    <w:p w14:paraId="70C8A2DF">
      <w:pPr>
        <w:pStyle w:val="12"/>
        <w:rPr>
          <w:rFonts w:hint="eastAsia" w:ascii="仿宋_GB2312" w:hAnsi="宋体" w:eastAsia="仿宋_GB2312"/>
          <w:sz w:val="28"/>
          <w:szCs w:val="28"/>
          <w:highlight w:val="none"/>
        </w:rPr>
      </w:pPr>
    </w:p>
    <w:p w14:paraId="70BEC6AC">
      <w:pPr>
        <w:pStyle w:val="12"/>
        <w:rPr>
          <w:rFonts w:hint="eastAsia" w:ascii="仿宋_GB2312" w:hAnsi="宋体" w:eastAsia="仿宋_GB2312"/>
          <w:sz w:val="28"/>
          <w:szCs w:val="28"/>
          <w:highlight w:val="none"/>
        </w:rPr>
      </w:pPr>
    </w:p>
    <w:p w14:paraId="24DE7CED">
      <w:pPr>
        <w:pStyle w:val="12"/>
        <w:rPr>
          <w:rFonts w:hint="eastAsia" w:ascii="仿宋_GB2312" w:hAnsi="宋体" w:eastAsia="仿宋_GB2312"/>
          <w:sz w:val="28"/>
          <w:szCs w:val="28"/>
          <w:highlight w:val="none"/>
        </w:rPr>
      </w:pPr>
    </w:p>
    <w:p w14:paraId="2B5323DE">
      <w:pPr>
        <w:snapToGrid w:val="0"/>
        <w:spacing w:line="560" w:lineRule="exact"/>
        <w:ind w:firstLine="562" w:firstLineChars="201"/>
        <w:rPr>
          <w:rFonts w:hint="eastAsia" w:ascii="仿宋_GB2312" w:hAnsi="宋体" w:eastAsia="仿宋_GB2312"/>
          <w:sz w:val="28"/>
          <w:szCs w:val="28"/>
          <w:highlight w:val="none"/>
        </w:rPr>
      </w:pPr>
    </w:p>
    <w:p w14:paraId="624ED43E">
      <w:pPr>
        <w:snapToGrid w:val="0"/>
        <w:spacing w:line="560" w:lineRule="exact"/>
        <w:ind w:firstLine="562" w:firstLineChars="201"/>
        <w:rPr>
          <w:rFonts w:hint="eastAsia" w:ascii="仿宋_GB2312" w:hAnsi="宋体" w:eastAsia="仿宋_GB2312"/>
          <w:sz w:val="28"/>
          <w:szCs w:val="28"/>
          <w:highlight w:val="none"/>
        </w:rPr>
      </w:pPr>
    </w:p>
    <w:p w14:paraId="7A3604A1">
      <w:pPr>
        <w:snapToGrid w:val="0"/>
        <w:spacing w:line="560" w:lineRule="exact"/>
        <w:ind w:firstLine="7002" w:firstLineChars="2501"/>
        <w:rPr>
          <w:rFonts w:ascii="仿宋_GB2312" w:hAnsi="宋体" w:eastAsia="仿宋_GB2312"/>
          <w:sz w:val="28"/>
          <w:szCs w:val="28"/>
          <w:highlight w:val="none"/>
        </w:rPr>
      </w:pPr>
    </w:p>
    <w:p w14:paraId="0BBDB0CF">
      <w:pPr>
        <w:snapToGrid w:val="0"/>
        <w:spacing w:line="560" w:lineRule="exact"/>
        <w:ind w:firstLine="594" w:firstLineChars="201"/>
        <w:jc w:val="center"/>
        <w:rPr>
          <w:rFonts w:hint="eastAsia" w:ascii="仿宋" w:hAnsi="仿宋" w:eastAsia="仿宋" w:cs="仿宋"/>
          <w:b/>
          <w:bCs w:val="0"/>
          <w:sz w:val="28"/>
          <w:szCs w:val="28"/>
          <w:highlight w:val="none"/>
        </w:rPr>
      </w:pPr>
      <w:r>
        <w:rPr>
          <w:rFonts w:ascii="仿宋_GB2312" w:hAnsi="仿宋" w:eastAsia="仿宋_GB2312" w:cs="宋体"/>
          <w:spacing w:val="8"/>
          <w:kern w:val="0"/>
          <w:sz w:val="28"/>
          <w:szCs w:val="28"/>
          <w:highlight w:val="none"/>
        </w:rPr>
        <w:br w:type="page"/>
      </w:r>
      <w:r>
        <w:rPr>
          <w:rFonts w:hint="eastAsia" w:ascii="仿宋" w:hAnsi="仿宋" w:eastAsia="仿宋" w:cs="仿宋"/>
          <w:b/>
          <w:bCs w:val="0"/>
          <w:sz w:val="32"/>
          <w:szCs w:val="32"/>
          <w:highlight w:val="none"/>
        </w:rPr>
        <w:t>财务状况报告等相关材料</w:t>
      </w:r>
    </w:p>
    <w:p w14:paraId="10DE6163">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194C9ADF">
      <w:pPr>
        <w:snapToGrid w:val="0"/>
        <w:spacing w:line="560" w:lineRule="exact"/>
        <w:ind w:firstLine="562" w:firstLineChars="201"/>
        <w:rPr>
          <w:rFonts w:hint="eastAsia" w:ascii="仿宋_GB2312" w:hAnsi="宋体" w:eastAsia="仿宋_GB2312"/>
          <w:sz w:val="28"/>
          <w:szCs w:val="28"/>
          <w:highlight w:val="none"/>
        </w:rPr>
      </w:pPr>
    </w:p>
    <w:p w14:paraId="1C659A5C">
      <w:pPr>
        <w:snapToGrid w:val="0"/>
        <w:spacing w:line="560" w:lineRule="exact"/>
        <w:ind w:firstLine="562" w:firstLineChars="201"/>
        <w:rPr>
          <w:rFonts w:hint="eastAsia" w:ascii="仿宋_GB2312" w:hAnsi="宋体" w:eastAsia="仿宋_GB2312"/>
          <w:sz w:val="28"/>
          <w:szCs w:val="28"/>
          <w:highlight w:val="none"/>
        </w:rPr>
      </w:pPr>
    </w:p>
    <w:p w14:paraId="42CE737D">
      <w:pPr>
        <w:pStyle w:val="12"/>
        <w:rPr>
          <w:rFonts w:hint="eastAsia" w:ascii="仿宋_GB2312" w:hAnsi="宋体" w:eastAsia="仿宋_GB2312"/>
          <w:sz w:val="28"/>
          <w:szCs w:val="28"/>
          <w:highlight w:val="none"/>
        </w:rPr>
      </w:pPr>
    </w:p>
    <w:p w14:paraId="1B0F3A13">
      <w:pPr>
        <w:pStyle w:val="12"/>
        <w:rPr>
          <w:rFonts w:hint="eastAsia" w:ascii="仿宋_GB2312" w:hAnsi="宋体" w:eastAsia="仿宋_GB2312"/>
          <w:sz w:val="28"/>
          <w:szCs w:val="28"/>
          <w:highlight w:val="none"/>
        </w:rPr>
      </w:pPr>
    </w:p>
    <w:p w14:paraId="40858689">
      <w:pPr>
        <w:pStyle w:val="12"/>
        <w:rPr>
          <w:rFonts w:hint="eastAsia" w:ascii="仿宋_GB2312" w:hAnsi="宋体" w:eastAsia="仿宋_GB2312"/>
          <w:sz w:val="28"/>
          <w:szCs w:val="28"/>
          <w:highlight w:val="none"/>
        </w:rPr>
      </w:pPr>
    </w:p>
    <w:p w14:paraId="12C86A37">
      <w:pPr>
        <w:snapToGrid w:val="0"/>
        <w:spacing w:line="560" w:lineRule="exact"/>
        <w:ind w:firstLine="562" w:firstLineChars="201"/>
        <w:rPr>
          <w:rFonts w:hint="eastAsia" w:ascii="仿宋_GB2312" w:hAnsi="宋体" w:eastAsia="仿宋_GB2312"/>
          <w:sz w:val="28"/>
          <w:szCs w:val="28"/>
          <w:highlight w:val="none"/>
        </w:rPr>
      </w:pPr>
    </w:p>
    <w:p w14:paraId="6587C911">
      <w:pPr>
        <w:widowControl/>
        <w:jc w:val="center"/>
        <w:rPr>
          <w:rFonts w:eastAsia="黑体"/>
          <w:bCs/>
          <w:sz w:val="32"/>
          <w:szCs w:val="32"/>
          <w:highlight w:val="none"/>
        </w:rPr>
      </w:pPr>
      <w:r>
        <w:rPr>
          <w:rFonts w:ascii="仿宋_GB2312" w:hAnsi="宋体" w:eastAsia="仿宋_GB2312"/>
          <w:sz w:val="28"/>
          <w:szCs w:val="28"/>
          <w:highlight w:val="none"/>
        </w:rPr>
        <w:br w:type="page"/>
      </w:r>
      <w:bookmarkStart w:id="42" w:name="_Toc523388138"/>
      <w:r>
        <w:rPr>
          <w:rFonts w:hint="eastAsia" w:ascii="仿宋" w:hAnsi="仿宋" w:eastAsia="仿宋" w:cs="仿宋"/>
          <w:b/>
          <w:bCs w:val="0"/>
          <w:sz w:val="32"/>
          <w:szCs w:val="32"/>
          <w:highlight w:val="none"/>
        </w:rPr>
        <w:t>无重大违法记录声明</w:t>
      </w:r>
      <w:bookmarkEnd w:id="42"/>
    </w:p>
    <w:p w14:paraId="0F3FB131">
      <w:pPr>
        <w:spacing w:line="460" w:lineRule="exact"/>
        <w:ind w:left="1747" w:leftChars="832"/>
        <w:jc w:val="center"/>
        <w:rPr>
          <w:rFonts w:ascii="仿宋_GB2312" w:hAnsi="仿宋" w:eastAsia="仿宋_GB2312"/>
          <w:b/>
          <w:bCs/>
          <w:sz w:val="28"/>
          <w:szCs w:val="28"/>
          <w:highlight w:val="none"/>
        </w:rPr>
      </w:pPr>
    </w:p>
    <w:p w14:paraId="50E0AE56">
      <w:pPr>
        <w:spacing w:line="480" w:lineRule="auto"/>
        <w:rPr>
          <w:rFonts w:ascii="仿宋_GB2312" w:hAnsi="仿宋" w:eastAsia="仿宋_GB2312"/>
          <w:bCs/>
          <w:sz w:val="28"/>
          <w:szCs w:val="28"/>
          <w:highlight w:val="none"/>
        </w:rPr>
      </w:pPr>
      <w:r>
        <w:rPr>
          <w:rFonts w:hint="eastAsia" w:ascii="仿宋_GB2312" w:hAnsi="仿宋" w:eastAsia="仿宋_GB2312"/>
          <w:bCs/>
          <w:sz w:val="28"/>
          <w:szCs w:val="28"/>
          <w:highlight w:val="none"/>
        </w:rPr>
        <w:t>致山东华维工程咨询有限公司：</w:t>
      </w:r>
    </w:p>
    <w:p w14:paraId="26A49394">
      <w:pPr>
        <w:spacing w:line="480" w:lineRule="auto"/>
        <w:ind w:firstLine="560" w:firstLineChars="200"/>
        <w:rPr>
          <w:rFonts w:ascii="仿宋_GB2312" w:hAnsi="仿宋" w:eastAsia="仿宋_GB2312"/>
          <w:bCs/>
          <w:sz w:val="28"/>
          <w:szCs w:val="28"/>
          <w:highlight w:val="none"/>
        </w:rPr>
      </w:pPr>
      <w:r>
        <w:rPr>
          <w:rFonts w:hint="eastAsia" w:ascii="仿宋_GB2312" w:hAnsi="仿宋" w:eastAsia="仿宋_GB2312"/>
          <w:bCs/>
          <w:sz w:val="28"/>
          <w:szCs w:val="28"/>
          <w:highlight w:val="none"/>
        </w:rPr>
        <w:t>我公司</w:t>
      </w:r>
      <w:r>
        <w:rPr>
          <w:rFonts w:ascii="仿宋_GB2312" w:hAnsi="仿宋" w:eastAsia="仿宋_GB2312"/>
          <w:bCs/>
          <w:sz w:val="28"/>
          <w:szCs w:val="28"/>
          <w:highlight w:val="none"/>
          <w:u w:val="single"/>
        </w:rPr>
        <w:t xml:space="preserve">                  </w:t>
      </w:r>
      <w:r>
        <w:rPr>
          <w:rFonts w:hint="eastAsia" w:ascii="仿宋_GB2312" w:hAnsi="仿宋" w:eastAsia="仿宋_GB2312"/>
          <w:bCs/>
          <w:sz w:val="28"/>
          <w:szCs w:val="28"/>
          <w:highlight w:val="none"/>
        </w:rPr>
        <w:t>（公司名称）现郑重声明，自参加本项目（编号为</w:t>
      </w:r>
      <w:r>
        <w:rPr>
          <w:rFonts w:hint="eastAsia" w:ascii="仿宋_GB2312" w:hAnsi="仿宋" w:eastAsia="仿宋_GB2312"/>
          <w:bCs/>
          <w:sz w:val="28"/>
          <w:szCs w:val="28"/>
          <w:highlight w:val="none"/>
          <w:u w:val="single"/>
        </w:rPr>
        <w:t xml:space="preserve">               </w:t>
      </w:r>
      <w:r>
        <w:rPr>
          <w:rFonts w:hint="eastAsia" w:ascii="仿宋_GB2312" w:hAnsi="仿宋" w:eastAsia="仿宋_GB2312"/>
          <w:bCs/>
          <w:sz w:val="28"/>
          <w:szCs w:val="28"/>
          <w:highlight w:val="none"/>
        </w:rPr>
        <w:t>）采购活动前三年内，我公司无因违法经营受到刑事处罚或者责令停产停业的、吊销许可证或者执照的、较大数额罚款等行政处罚。</w:t>
      </w:r>
    </w:p>
    <w:p w14:paraId="188FEF91">
      <w:pPr>
        <w:spacing w:line="480" w:lineRule="auto"/>
        <w:ind w:firstLine="560" w:firstLineChars="200"/>
        <w:rPr>
          <w:rFonts w:ascii="仿宋_GB2312" w:hAnsi="仿宋" w:eastAsia="仿宋_GB2312"/>
          <w:bCs/>
          <w:sz w:val="28"/>
          <w:szCs w:val="28"/>
          <w:highlight w:val="none"/>
        </w:rPr>
      </w:pPr>
      <w:r>
        <w:rPr>
          <w:rFonts w:hint="eastAsia" w:ascii="仿宋_GB2312" w:hAnsi="仿宋" w:eastAsia="仿宋_GB2312"/>
          <w:bCs/>
          <w:sz w:val="28"/>
          <w:szCs w:val="28"/>
          <w:highlight w:val="none"/>
        </w:rPr>
        <w:t>如有瞒报、虚报，我公司自行承担因此产生的所有法律责任。</w:t>
      </w:r>
    </w:p>
    <w:p w14:paraId="363A068C">
      <w:pPr>
        <w:spacing w:line="480" w:lineRule="auto"/>
        <w:ind w:firstLine="560" w:firstLineChars="200"/>
        <w:rPr>
          <w:rFonts w:ascii="仿宋_GB2312" w:hAnsi="仿宋" w:eastAsia="仿宋_GB2312"/>
          <w:bCs/>
          <w:sz w:val="28"/>
          <w:szCs w:val="28"/>
          <w:highlight w:val="none"/>
        </w:rPr>
      </w:pPr>
      <w:r>
        <w:rPr>
          <w:rFonts w:hint="eastAsia" w:ascii="仿宋_GB2312" w:hAnsi="仿宋" w:eastAsia="仿宋_GB2312"/>
          <w:bCs/>
          <w:sz w:val="28"/>
          <w:szCs w:val="28"/>
          <w:highlight w:val="none"/>
        </w:rPr>
        <w:t>特此声明！</w:t>
      </w:r>
    </w:p>
    <w:p w14:paraId="0BB3F73E">
      <w:pPr>
        <w:spacing w:line="480" w:lineRule="auto"/>
        <w:ind w:left="1747" w:leftChars="832"/>
        <w:rPr>
          <w:rFonts w:ascii="仿宋_GB2312" w:hAnsi="仿宋" w:eastAsia="仿宋_GB2312"/>
          <w:bCs/>
          <w:sz w:val="28"/>
          <w:szCs w:val="28"/>
          <w:highlight w:val="none"/>
        </w:rPr>
      </w:pPr>
    </w:p>
    <w:p w14:paraId="1323182E">
      <w:pPr>
        <w:spacing w:line="480" w:lineRule="auto"/>
        <w:ind w:left="1747" w:leftChars="832"/>
        <w:rPr>
          <w:rFonts w:ascii="仿宋_GB2312" w:hAnsi="仿宋" w:eastAsia="仿宋_GB2312"/>
          <w:bCs/>
          <w:sz w:val="28"/>
          <w:szCs w:val="28"/>
          <w:highlight w:val="none"/>
        </w:rPr>
      </w:pPr>
    </w:p>
    <w:p w14:paraId="42811B96">
      <w:pPr>
        <w:spacing w:line="480" w:lineRule="auto"/>
        <w:ind w:left="1747" w:leftChars="832"/>
        <w:rPr>
          <w:rFonts w:ascii="仿宋_GB2312" w:hAnsi="仿宋" w:eastAsia="仿宋_GB2312"/>
          <w:bCs/>
          <w:sz w:val="28"/>
          <w:szCs w:val="28"/>
          <w:highlight w:val="none"/>
        </w:rPr>
      </w:pPr>
    </w:p>
    <w:p w14:paraId="6DF461B6">
      <w:pPr>
        <w:tabs>
          <w:tab w:val="left" w:pos="5580"/>
        </w:tabs>
        <w:wordWrap w:val="0"/>
        <w:spacing w:line="360" w:lineRule="auto"/>
        <w:jc w:val="right"/>
        <w:rPr>
          <w:rFonts w:ascii="仿宋_GB2312" w:hAnsi="宋体" w:eastAsia="仿宋_GB2312"/>
          <w:kern w:val="0"/>
          <w:sz w:val="28"/>
          <w:szCs w:val="28"/>
          <w:highlight w:val="none"/>
        </w:rPr>
      </w:pPr>
      <w:r>
        <w:rPr>
          <w:rFonts w:hint="eastAsia" w:ascii="仿宋_GB2312" w:eastAsia="仿宋_GB2312"/>
          <w:kern w:val="0"/>
          <w:sz w:val="28"/>
          <w:szCs w:val="28"/>
          <w:highlight w:val="none"/>
        </w:rPr>
        <w:t xml:space="preserve">投标人全称（公章）：          </w:t>
      </w:r>
    </w:p>
    <w:p w14:paraId="4801B2D2">
      <w:pPr>
        <w:tabs>
          <w:tab w:val="left" w:pos="5580"/>
        </w:tabs>
        <w:spacing w:line="360" w:lineRule="auto"/>
        <w:ind w:firstLine="4132" w:firstLineChars="1476"/>
        <w:jc w:val="right"/>
        <w:rPr>
          <w:rFonts w:ascii="仿宋_GB2312" w:eastAsia="仿宋_GB2312"/>
          <w:kern w:val="0"/>
          <w:sz w:val="28"/>
          <w:szCs w:val="28"/>
          <w:highlight w:val="none"/>
        </w:rPr>
      </w:pPr>
    </w:p>
    <w:p w14:paraId="126ECC25">
      <w:pPr>
        <w:tabs>
          <w:tab w:val="left" w:pos="5580"/>
        </w:tabs>
        <w:wordWrap w:val="0"/>
        <w:spacing w:line="360" w:lineRule="auto"/>
        <w:ind w:right="560"/>
        <w:jc w:val="right"/>
        <w:rPr>
          <w:rFonts w:ascii="仿宋_GB2312" w:eastAsia="仿宋_GB2312"/>
          <w:kern w:val="0"/>
          <w:sz w:val="28"/>
          <w:szCs w:val="28"/>
          <w:highlight w:val="none"/>
        </w:rPr>
      </w:pPr>
      <w:r>
        <w:rPr>
          <w:rFonts w:hint="eastAsia" w:ascii="仿宋_GB2312" w:hAnsi="仿宋" w:eastAsia="仿宋_GB2312"/>
          <w:bCs/>
          <w:kern w:val="0"/>
          <w:sz w:val="28"/>
          <w:szCs w:val="28"/>
          <w:highlight w:val="none"/>
        </w:rPr>
        <w:t xml:space="preserve">法定代表人签章：         </w:t>
      </w:r>
    </w:p>
    <w:p w14:paraId="2BA066D4">
      <w:pPr>
        <w:widowControl/>
        <w:jc w:val="right"/>
        <w:rPr>
          <w:rFonts w:ascii="宋体" w:hAnsi="宋体"/>
          <w:kern w:val="0"/>
          <w:sz w:val="28"/>
          <w:szCs w:val="28"/>
          <w:highlight w:val="none"/>
        </w:rPr>
      </w:pPr>
      <w:r>
        <w:rPr>
          <w:rFonts w:hint="eastAsia" w:ascii="仿宋_GB2312" w:eastAsia="仿宋_GB2312"/>
          <w:sz w:val="28"/>
          <w:szCs w:val="28"/>
          <w:highlight w:val="none"/>
        </w:rPr>
        <w:t>年</w:t>
      </w:r>
      <w:r>
        <w:rPr>
          <w:rFonts w:ascii="仿宋_GB2312" w:eastAsia="仿宋_GB2312"/>
          <w:sz w:val="28"/>
          <w:szCs w:val="28"/>
          <w:highlight w:val="none"/>
        </w:rPr>
        <w:t xml:space="preserve">   </w:t>
      </w:r>
      <w:r>
        <w:rPr>
          <w:rFonts w:hint="eastAsia" w:ascii="仿宋_GB2312" w:eastAsia="仿宋_GB2312"/>
          <w:sz w:val="28"/>
          <w:szCs w:val="28"/>
          <w:highlight w:val="none"/>
        </w:rPr>
        <w:t>月</w:t>
      </w:r>
      <w:r>
        <w:rPr>
          <w:rFonts w:ascii="仿宋_GB2312" w:eastAsia="仿宋_GB2312"/>
          <w:sz w:val="28"/>
          <w:szCs w:val="28"/>
          <w:highlight w:val="none"/>
        </w:rPr>
        <w:t xml:space="preserve">   </w:t>
      </w:r>
      <w:r>
        <w:rPr>
          <w:rFonts w:hint="eastAsia" w:ascii="仿宋_GB2312" w:eastAsia="仿宋_GB2312"/>
          <w:sz w:val="28"/>
          <w:szCs w:val="28"/>
          <w:highlight w:val="none"/>
        </w:rPr>
        <w:t>日</w:t>
      </w:r>
    </w:p>
    <w:p w14:paraId="4520D77C">
      <w:pPr>
        <w:keepNext/>
        <w:keepLines/>
        <w:spacing w:before="120" w:after="120" w:line="560" w:lineRule="exact"/>
        <w:outlineLvl w:val="2"/>
        <w:rPr>
          <w:rFonts w:ascii="仿宋_GB2312" w:eastAsia="仿宋_GB2312"/>
          <w:sz w:val="28"/>
          <w:szCs w:val="28"/>
          <w:highlight w:val="none"/>
        </w:rPr>
      </w:pPr>
      <w:r>
        <w:rPr>
          <w:rFonts w:eastAsia="黑体"/>
          <w:bCs/>
          <w:sz w:val="32"/>
          <w:szCs w:val="32"/>
          <w:highlight w:val="none"/>
        </w:rPr>
        <w:t xml:space="preserve"> </w:t>
      </w:r>
    </w:p>
    <w:p w14:paraId="7005A0D8">
      <w:pPr>
        <w:snapToGrid w:val="0"/>
        <w:spacing w:line="560" w:lineRule="exact"/>
        <w:ind w:firstLine="565" w:firstLineChars="201"/>
        <w:rPr>
          <w:rFonts w:ascii="仿宋_GB2312" w:hAnsi="仿宋" w:eastAsia="仿宋_GB2312" w:cs="宋体"/>
          <w:b/>
          <w:sz w:val="28"/>
          <w:szCs w:val="28"/>
          <w:highlight w:val="none"/>
        </w:rPr>
      </w:pPr>
    </w:p>
    <w:p w14:paraId="3ECFC036">
      <w:pPr>
        <w:snapToGrid w:val="0"/>
        <w:spacing w:line="560" w:lineRule="exact"/>
        <w:jc w:val="center"/>
        <w:rPr>
          <w:rFonts w:hint="eastAsia" w:ascii="仿宋" w:hAnsi="仿宋" w:eastAsia="仿宋" w:cs="仿宋"/>
          <w:b/>
          <w:bCs w:val="0"/>
          <w:sz w:val="28"/>
          <w:szCs w:val="28"/>
          <w:highlight w:val="none"/>
        </w:rPr>
      </w:pPr>
      <w:r>
        <w:rPr>
          <w:rFonts w:ascii="宋体" w:hAnsi="宋体" w:cs="宋体"/>
          <w:kern w:val="0"/>
          <w:sz w:val="24"/>
          <w:highlight w:val="none"/>
        </w:rPr>
        <w:br w:type="page"/>
      </w:r>
      <w:r>
        <w:rPr>
          <w:rFonts w:hint="eastAsia" w:ascii="仿宋" w:hAnsi="仿宋" w:eastAsia="仿宋" w:cs="仿宋"/>
          <w:b/>
          <w:bCs w:val="0"/>
          <w:sz w:val="32"/>
          <w:szCs w:val="32"/>
          <w:highlight w:val="none"/>
        </w:rPr>
        <w:t>投标人近一年在"信用中国"（网址https://www.creditchina.gov.cn/）或"信用山东"（网址https://credit.shandong.gov.cn/）无严重失信记录查询的信用报告或截图</w:t>
      </w:r>
    </w:p>
    <w:p w14:paraId="2134276F">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79F17799">
      <w:pPr>
        <w:snapToGrid w:val="0"/>
        <w:spacing w:line="560" w:lineRule="exact"/>
        <w:ind w:firstLine="562" w:firstLineChars="201"/>
        <w:rPr>
          <w:rFonts w:hint="eastAsia" w:ascii="仿宋_GB2312" w:hAnsi="宋体" w:eastAsia="仿宋_GB2312"/>
          <w:sz w:val="28"/>
          <w:szCs w:val="28"/>
          <w:highlight w:val="none"/>
        </w:rPr>
      </w:pPr>
    </w:p>
    <w:p w14:paraId="4EFCE1EB">
      <w:pPr>
        <w:snapToGrid w:val="0"/>
        <w:spacing w:line="560" w:lineRule="exact"/>
        <w:ind w:firstLine="562" w:firstLineChars="201"/>
        <w:rPr>
          <w:rFonts w:hint="eastAsia" w:ascii="仿宋_GB2312" w:hAnsi="宋体" w:eastAsia="仿宋_GB2312"/>
          <w:sz w:val="28"/>
          <w:szCs w:val="28"/>
          <w:highlight w:val="none"/>
        </w:rPr>
      </w:pPr>
    </w:p>
    <w:p w14:paraId="6F0E245F">
      <w:pPr>
        <w:snapToGrid w:val="0"/>
        <w:spacing w:line="560" w:lineRule="exact"/>
        <w:ind w:firstLine="562" w:firstLineChars="201"/>
        <w:rPr>
          <w:rFonts w:hint="eastAsia" w:ascii="仿宋_GB2312" w:hAnsi="宋体" w:eastAsia="仿宋_GB2312"/>
          <w:sz w:val="28"/>
          <w:szCs w:val="28"/>
          <w:highlight w:val="none"/>
        </w:rPr>
      </w:pPr>
    </w:p>
    <w:p w14:paraId="1FF800E1">
      <w:pPr>
        <w:snapToGrid w:val="0"/>
        <w:spacing w:line="560" w:lineRule="exact"/>
        <w:ind w:firstLine="562" w:firstLineChars="201"/>
        <w:rPr>
          <w:rFonts w:hint="eastAsia" w:ascii="仿宋_GB2312" w:hAnsi="宋体" w:eastAsia="仿宋_GB2312"/>
          <w:sz w:val="28"/>
          <w:szCs w:val="28"/>
          <w:highlight w:val="none"/>
        </w:rPr>
      </w:pPr>
    </w:p>
    <w:p w14:paraId="5BC16A97">
      <w:pPr>
        <w:snapToGrid w:val="0"/>
        <w:spacing w:line="560" w:lineRule="exact"/>
        <w:ind w:firstLine="562" w:firstLineChars="201"/>
        <w:rPr>
          <w:rFonts w:hint="eastAsia" w:ascii="仿宋_GB2312" w:hAnsi="宋体" w:eastAsia="仿宋_GB2312"/>
          <w:sz w:val="28"/>
          <w:szCs w:val="28"/>
          <w:highlight w:val="none"/>
        </w:rPr>
      </w:pPr>
    </w:p>
    <w:p w14:paraId="01485A98">
      <w:pPr>
        <w:snapToGrid w:val="0"/>
        <w:spacing w:line="560" w:lineRule="exact"/>
        <w:ind w:firstLine="562" w:firstLineChars="201"/>
        <w:rPr>
          <w:rFonts w:hint="eastAsia" w:ascii="仿宋_GB2312" w:hAnsi="宋体" w:eastAsia="仿宋_GB2312"/>
          <w:sz w:val="28"/>
          <w:szCs w:val="28"/>
          <w:highlight w:val="none"/>
        </w:rPr>
      </w:pPr>
    </w:p>
    <w:p w14:paraId="78E40404">
      <w:pPr>
        <w:snapToGrid w:val="0"/>
        <w:spacing w:line="560" w:lineRule="exact"/>
        <w:ind w:firstLine="482" w:firstLineChars="201"/>
        <w:jc w:val="center"/>
        <w:rPr>
          <w:rFonts w:hint="eastAsia" w:ascii="仿宋" w:hAnsi="仿宋" w:eastAsia="仿宋" w:cs="仿宋"/>
          <w:b/>
          <w:bCs w:val="0"/>
          <w:sz w:val="28"/>
          <w:szCs w:val="28"/>
          <w:highlight w:val="none"/>
        </w:rPr>
      </w:pPr>
      <w:r>
        <w:rPr>
          <w:rFonts w:ascii="Cambria Math" w:hAnsi="Cambria Math" w:cs="Cambria Math"/>
          <w:kern w:val="0"/>
          <w:sz w:val="24"/>
          <w:highlight w:val="none"/>
        </w:rPr>
        <w:br w:type="page"/>
      </w:r>
      <w:r>
        <w:rPr>
          <w:rFonts w:hint="eastAsia" w:ascii="仿宋" w:hAnsi="仿宋" w:eastAsia="仿宋" w:cs="仿宋"/>
          <w:b/>
          <w:bCs w:val="0"/>
          <w:sz w:val="32"/>
          <w:szCs w:val="32"/>
          <w:highlight w:val="none"/>
        </w:rPr>
        <w:t>投标人、法定代表人、授权委托人、项目经理未被最高法院列入失信被执行人截图（网址</w:t>
      </w:r>
      <w:r>
        <w:rPr>
          <w:rFonts w:hint="eastAsia" w:ascii="仿宋" w:hAnsi="仿宋" w:eastAsia="仿宋" w:cs="仿宋"/>
          <w:b/>
          <w:bCs w:val="0"/>
          <w:sz w:val="32"/>
          <w:szCs w:val="32"/>
          <w:highlight w:val="none"/>
        </w:rPr>
        <w:fldChar w:fldCharType="begin"/>
      </w:r>
      <w:r>
        <w:rPr>
          <w:rFonts w:hint="eastAsia" w:ascii="仿宋" w:hAnsi="仿宋" w:eastAsia="仿宋" w:cs="仿宋"/>
          <w:b/>
          <w:bCs w:val="0"/>
          <w:sz w:val="32"/>
          <w:szCs w:val="32"/>
          <w:highlight w:val="none"/>
        </w:rPr>
        <w:instrText xml:space="preserve"> HYPERLINK "http://shixin.court.gov.cn/index.html" </w:instrText>
      </w:r>
      <w:r>
        <w:rPr>
          <w:rFonts w:hint="eastAsia" w:ascii="仿宋" w:hAnsi="仿宋" w:eastAsia="仿宋" w:cs="仿宋"/>
          <w:b/>
          <w:bCs w:val="0"/>
          <w:sz w:val="32"/>
          <w:szCs w:val="32"/>
          <w:highlight w:val="none"/>
        </w:rPr>
        <w:fldChar w:fldCharType="separate"/>
      </w:r>
      <w:r>
        <w:rPr>
          <w:rFonts w:hint="eastAsia" w:ascii="仿宋" w:hAnsi="仿宋" w:eastAsia="仿宋" w:cs="仿宋"/>
          <w:b/>
          <w:bCs w:val="0"/>
          <w:sz w:val="32"/>
          <w:szCs w:val="32"/>
          <w:highlight w:val="none"/>
        </w:rPr>
        <w:t>http://zxgk.court.gov.cn/shixin/</w:t>
      </w:r>
      <w:r>
        <w:rPr>
          <w:rFonts w:hint="eastAsia" w:ascii="仿宋" w:hAnsi="仿宋" w:eastAsia="仿宋" w:cs="仿宋"/>
          <w:b/>
          <w:bCs w:val="0"/>
          <w:sz w:val="32"/>
          <w:szCs w:val="32"/>
          <w:highlight w:val="none"/>
        </w:rPr>
        <w:fldChar w:fldCharType="end"/>
      </w:r>
      <w:r>
        <w:rPr>
          <w:rFonts w:hint="eastAsia" w:ascii="仿宋" w:hAnsi="仿宋" w:eastAsia="仿宋" w:cs="仿宋"/>
          <w:b/>
          <w:bCs w:val="0"/>
          <w:sz w:val="32"/>
          <w:szCs w:val="32"/>
          <w:highlight w:val="none"/>
        </w:rPr>
        <w:t>）</w:t>
      </w:r>
    </w:p>
    <w:p w14:paraId="7171BF18">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743D5279">
      <w:pPr>
        <w:snapToGrid w:val="0"/>
        <w:spacing w:line="560" w:lineRule="exact"/>
        <w:ind w:firstLine="562" w:firstLineChars="201"/>
        <w:jc w:val="center"/>
        <w:rPr>
          <w:rFonts w:hint="eastAsia" w:ascii="仿宋_GB2312" w:hAnsi="仿宋" w:eastAsia="仿宋_GB2312"/>
          <w:bCs/>
          <w:sz w:val="28"/>
          <w:szCs w:val="28"/>
          <w:highlight w:val="none"/>
        </w:rPr>
      </w:pPr>
    </w:p>
    <w:p w14:paraId="48BF86B5">
      <w:pPr>
        <w:snapToGrid w:val="0"/>
        <w:spacing w:line="560" w:lineRule="exact"/>
        <w:ind w:firstLine="562" w:firstLineChars="201"/>
        <w:rPr>
          <w:rFonts w:hint="eastAsia" w:ascii="仿宋_GB2312" w:hAnsi="宋体" w:eastAsia="仿宋_GB2312"/>
          <w:sz w:val="28"/>
          <w:szCs w:val="28"/>
          <w:highlight w:val="none"/>
        </w:rPr>
      </w:pPr>
    </w:p>
    <w:p w14:paraId="7AB14183">
      <w:pPr>
        <w:snapToGrid w:val="0"/>
        <w:spacing w:line="560" w:lineRule="exact"/>
        <w:ind w:firstLine="562" w:firstLineChars="201"/>
        <w:rPr>
          <w:rFonts w:hint="eastAsia" w:ascii="仿宋_GB2312" w:hAnsi="宋体" w:eastAsia="仿宋_GB2312"/>
          <w:sz w:val="28"/>
          <w:szCs w:val="28"/>
          <w:highlight w:val="none"/>
        </w:rPr>
      </w:pPr>
    </w:p>
    <w:p w14:paraId="241CF186">
      <w:pPr>
        <w:snapToGrid w:val="0"/>
        <w:spacing w:line="560" w:lineRule="exact"/>
        <w:ind w:firstLine="562" w:firstLineChars="201"/>
        <w:rPr>
          <w:rFonts w:hint="eastAsia" w:ascii="仿宋_GB2312" w:hAnsi="宋体" w:eastAsia="仿宋_GB2312"/>
          <w:sz w:val="28"/>
          <w:szCs w:val="28"/>
          <w:highlight w:val="none"/>
        </w:rPr>
      </w:pPr>
    </w:p>
    <w:p w14:paraId="0FCDF936">
      <w:pPr>
        <w:pStyle w:val="12"/>
        <w:rPr>
          <w:rFonts w:hint="eastAsia" w:ascii="仿宋_GB2312" w:hAnsi="宋体" w:eastAsia="仿宋_GB2312"/>
          <w:sz w:val="28"/>
          <w:szCs w:val="28"/>
          <w:highlight w:val="none"/>
        </w:rPr>
      </w:pPr>
    </w:p>
    <w:p w14:paraId="4ABC8212">
      <w:pPr>
        <w:pStyle w:val="12"/>
        <w:rPr>
          <w:rFonts w:hint="eastAsia" w:ascii="仿宋_GB2312" w:hAnsi="宋体" w:eastAsia="仿宋_GB2312"/>
          <w:sz w:val="28"/>
          <w:szCs w:val="28"/>
          <w:highlight w:val="none"/>
        </w:rPr>
      </w:pPr>
    </w:p>
    <w:p w14:paraId="6FF5FD3E">
      <w:pPr>
        <w:pStyle w:val="12"/>
        <w:rPr>
          <w:rFonts w:hint="eastAsia" w:ascii="仿宋_GB2312" w:hAnsi="宋体" w:eastAsia="仿宋_GB2312"/>
          <w:sz w:val="28"/>
          <w:szCs w:val="28"/>
          <w:highlight w:val="none"/>
        </w:rPr>
      </w:pPr>
    </w:p>
    <w:p w14:paraId="7F7E7298">
      <w:pPr>
        <w:snapToGrid w:val="0"/>
        <w:spacing w:line="560" w:lineRule="exact"/>
        <w:ind w:firstLine="562" w:firstLineChars="201"/>
        <w:rPr>
          <w:rFonts w:hint="eastAsia" w:ascii="仿宋_GB2312" w:hAnsi="宋体" w:eastAsia="仿宋_GB2312"/>
          <w:sz w:val="28"/>
          <w:szCs w:val="28"/>
          <w:highlight w:val="none"/>
        </w:rPr>
      </w:pPr>
    </w:p>
    <w:p w14:paraId="6BFC9D8D">
      <w:pPr>
        <w:snapToGrid w:val="0"/>
        <w:spacing w:line="560" w:lineRule="exact"/>
        <w:ind w:firstLine="482" w:firstLineChars="201"/>
        <w:jc w:val="center"/>
        <w:rPr>
          <w:rFonts w:hint="eastAsia" w:eastAsia="黑体"/>
          <w:bCs/>
          <w:sz w:val="32"/>
          <w:szCs w:val="32"/>
          <w:highlight w:val="none"/>
        </w:rPr>
      </w:pPr>
      <w:r>
        <w:rPr>
          <w:rFonts w:ascii="Cambria Math" w:hAnsi="Cambria Math" w:cs="Cambria Math"/>
          <w:kern w:val="0"/>
          <w:sz w:val="24"/>
          <w:highlight w:val="none"/>
        </w:rPr>
        <w:br w:type="page"/>
      </w:r>
      <w:r>
        <w:rPr>
          <w:rFonts w:hint="eastAsia" w:ascii="仿宋" w:hAnsi="仿宋" w:eastAsia="仿宋" w:cs="仿宋"/>
          <w:b/>
          <w:bCs w:val="0"/>
          <w:sz w:val="32"/>
          <w:szCs w:val="32"/>
          <w:highlight w:val="none"/>
        </w:rPr>
        <w:t>招标文件中要求的有关资质资格文件</w:t>
      </w:r>
    </w:p>
    <w:p w14:paraId="30DB5034">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7A4D778E">
      <w:pPr>
        <w:snapToGrid w:val="0"/>
        <w:spacing w:line="560" w:lineRule="exact"/>
        <w:ind w:firstLine="562" w:firstLineChars="201"/>
        <w:rPr>
          <w:rFonts w:hint="eastAsia" w:ascii="仿宋_GB2312" w:hAnsi="宋体" w:eastAsia="仿宋_GB2312"/>
          <w:sz w:val="28"/>
          <w:szCs w:val="28"/>
          <w:highlight w:val="none"/>
        </w:rPr>
      </w:pPr>
    </w:p>
    <w:p w14:paraId="64FA89F8">
      <w:pPr>
        <w:snapToGrid w:val="0"/>
        <w:spacing w:line="560" w:lineRule="exact"/>
        <w:ind w:firstLine="562" w:firstLineChars="201"/>
        <w:rPr>
          <w:rFonts w:hint="eastAsia" w:ascii="仿宋_GB2312" w:hAnsi="宋体" w:eastAsia="仿宋_GB2312"/>
          <w:sz w:val="28"/>
          <w:szCs w:val="28"/>
          <w:highlight w:val="none"/>
        </w:rPr>
      </w:pPr>
    </w:p>
    <w:p w14:paraId="5DA23A44">
      <w:pPr>
        <w:pStyle w:val="12"/>
        <w:rPr>
          <w:rFonts w:hint="eastAsia" w:ascii="仿宋_GB2312" w:hAnsi="宋体" w:eastAsia="仿宋_GB2312"/>
          <w:sz w:val="28"/>
          <w:szCs w:val="28"/>
          <w:highlight w:val="none"/>
        </w:rPr>
      </w:pPr>
    </w:p>
    <w:p w14:paraId="2B427918">
      <w:pPr>
        <w:pStyle w:val="12"/>
        <w:rPr>
          <w:rFonts w:hint="eastAsia" w:ascii="仿宋_GB2312" w:hAnsi="宋体" w:eastAsia="仿宋_GB2312"/>
          <w:sz w:val="28"/>
          <w:szCs w:val="28"/>
          <w:highlight w:val="none"/>
        </w:rPr>
      </w:pPr>
    </w:p>
    <w:p w14:paraId="5C725509">
      <w:pPr>
        <w:snapToGrid w:val="0"/>
        <w:spacing w:line="560" w:lineRule="exact"/>
        <w:ind w:firstLine="562" w:firstLineChars="201"/>
        <w:rPr>
          <w:rFonts w:hint="eastAsia" w:ascii="仿宋_GB2312" w:hAnsi="宋体" w:eastAsia="仿宋_GB2312"/>
          <w:sz w:val="28"/>
          <w:szCs w:val="28"/>
          <w:highlight w:val="none"/>
        </w:rPr>
      </w:pPr>
    </w:p>
    <w:p w14:paraId="4DA2C9CA">
      <w:pPr>
        <w:snapToGrid w:val="0"/>
        <w:spacing w:line="560" w:lineRule="exact"/>
        <w:ind w:firstLine="562" w:firstLineChars="201"/>
        <w:rPr>
          <w:rFonts w:hint="eastAsia" w:ascii="仿宋_GB2312" w:hAnsi="宋体" w:eastAsia="仿宋_GB2312"/>
          <w:sz w:val="28"/>
          <w:szCs w:val="28"/>
          <w:highlight w:val="none"/>
        </w:rPr>
      </w:pPr>
    </w:p>
    <w:p w14:paraId="40FF0B54">
      <w:pPr>
        <w:snapToGrid w:val="0"/>
        <w:spacing w:line="560" w:lineRule="exact"/>
        <w:ind w:firstLine="562" w:firstLineChars="201"/>
        <w:rPr>
          <w:rFonts w:hint="eastAsia" w:ascii="仿宋_GB2312" w:hAnsi="宋体" w:eastAsia="仿宋_GB2312"/>
          <w:sz w:val="28"/>
          <w:szCs w:val="28"/>
          <w:highlight w:val="none"/>
        </w:rPr>
      </w:pPr>
    </w:p>
    <w:p w14:paraId="229F5A0B">
      <w:pPr>
        <w:snapToGrid w:val="0"/>
        <w:spacing w:line="560" w:lineRule="exact"/>
        <w:ind w:firstLine="562" w:firstLineChars="201"/>
        <w:rPr>
          <w:rFonts w:ascii="仿宋_GB2312" w:hAnsi="宋体" w:eastAsia="仿宋_GB2312"/>
          <w:sz w:val="28"/>
          <w:szCs w:val="28"/>
          <w:highlight w:val="none"/>
        </w:rPr>
      </w:pPr>
    </w:p>
    <w:p w14:paraId="33015DB0">
      <w:pPr>
        <w:widowControl/>
        <w:jc w:val="center"/>
        <w:rPr>
          <w:highlight w:val="none"/>
        </w:rPr>
        <w:sectPr>
          <w:pgSz w:w="11906" w:h="16838"/>
          <w:pgMar w:top="1440" w:right="1080" w:bottom="1440" w:left="1080" w:header="851" w:footer="992" w:gutter="0"/>
          <w:cols w:space="720" w:num="1"/>
          <w:docGrid w:type="lines" w:linePitch="312" w:charSpace="0"/>
        </w:sectPr>
      </w:pPr>
    </w:p>
    <w:p w14:paraId="064E5859">
      <w:pPr>
        <w:snapToGrid w:val="0"/>
        <w:spacing w:line="560" w:lineRule="exact"/>
        <w:ind w:firstLine="646" w:firstLineChars="201"/>
        <w:jc w:val="center"/>
        <w:rPr>
          <w:rFonts w:hint="eastAsia" w:ascii="仿宋_GB2312" w:hAnsi="宋体" w:eastAsia="仿宋_GB2312"/>
          <w:sz w:val="28"/>
          <w:szCs w:val="28"/>
          <w:highlight w:val="none"/>
        </w:rPr>
      </w:pPr>
      <w:r>
        <w:rPr>
          <w:rFonts w:hint="eastAsia" w:ascii="仿宋" w:hAnsi="仿宋" w:eastAsia="仿宋" w:cs="仿宋"/>
          <w:b/>
          <w:bCs w:val="0"/>
          <w:sz w:val="32"/>
          <w:szCs w:val="32"/>
          <w:highlight w:val="none"/>
        </w:rPr>
        <w:t>投标人认为需要提供的资质资格证明文件</w:t>
      </w:r>
    </w:p>
    <w:p w14:paraId="10F4AABE">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64BF1B41">
      <w:pPr>
        <w:snapToGrid w:val="0"/>
        <w:spacing w:line="560" w:lineRule="exact"/>
        <w:ind w:firstLine="562" w:firstLineChars="201"/>
        <w:rPr>
          <w:rFonts w:hint="eastAsia" w:ascii="仿宋_GB2312" w:hAnsi="宋体" w:eastAsia="仿宋_GB2312"/>
          <w:sz w:val="28"/>
          <w:szCs w:val="28"/>
          <w:highlight w:val="none"/>
        </w:rPr>
      </w:pPr>
    </w:p>
    <w:p w14:paraId="636CF170">
      <w:pPr>
        <w:pStyle w:val="12"/>
        <w:rPr>
          <w:rFonts w:hint="eastAsia" w:ascii="仿宋_GB2312" w:hAnsi="宋体" w:eastAsia="仿宋_GB2312"/>
          <w:sz w:val="28"/>
          <w:szCs w:val="28"/>
          <w:highlight w:val="none"/>
        </w:rPr>
      </w:pPr>
    </w:p>
    <w:p w14:paraId="3EB9B044">
      <w:pPr>
        <w:pStyle w:val="12"/>
        <w:rPr>
          <w:rFonts w:hint="eastAsia" w:ascii="仿宋_GB2312" w:hAnsi="宋体" w:eastAsia="仿宋_GB2312"/>
          <w:sz w:val="28"/>
          <w:szCs w:val="28"/>
          <w:highlight w:val="none"/>
        </w:rPr>
      </w:pPr>
    </w:p>
    <w:p w14:paraId="035CC57A">
      <w:pPr>
        <w:snapToGrid w:val="0"/>
        <w:spacing w:line="560" w:lineRule="exact"/>
        <w:ind w:firstLine="562" w:firstLineChars="201"/>
        <w:rPr>
          <w:rFonts w:hint="eastAsia" w:ascii="仿宋_GB2312" w:hAnsi="宋体" w:eastAsia="仿宋_GB2312"/>
          <w:sz w:val="28"/>
          <w:szCs w:val="28"/>
          <w:highlight w:val="none"/>
        </w:rPr>
      </w:pPr>
    </w:p>
    <w:p w14:paraId="52E72E4B">
      <w:pPr>
        <w:snapToGrid w:val="0"/>
        <w:spacing w:line="560" w:lineRule="exact"/>
        <w:ind w:firstLine="562" w:firstLineChars="201"/>
        <w:rPr>
          <w:rFonts w:hint="eastAsia" w:ascii="仿宋_GB2312" w:hAnsi="宋体" w:eastAsia="仿宋_GB2312"/>
          <w:sz w:val="28"/>
          <w:szCs w:val="28"/>
          <w:highlight w:val="none"/>
        </w:rPr>
      </w:pPr>
    </w:p>
    <w:p w14:paraId="699D0F8E">
      <w:pPr>
        <w:snapToGrid w:val="0"/>
        <w:spacing w:line="560" w:lineRule="exact"/>
        <w:ind w:firstLine="562" w:firstLineChars="201"/>
        <w:rPr>
          <w:rFonts w:hint="eastAsia" w:ascii="仿宋_GB2312" w:hAnsi="宋体" w:eastAsia="仿宋_GB2312"/>
          <w:sz w:val="28"/>
          <w:szCs w:val="28"/>
          <w:highlight w:val="none"/>
        </w:rPr>
      </w:pPr>
    </w:p>
    <w:p w14:paraId="7BFAC7E0">
      <w:pPr>
        <w:snapToGrid w:val="0"/>
        <w:spacing w:line="560" w:lineRule="exact"/>
        <w:ind w:firstLine="562" w:firstLineChars="201"/>
        <w:rPr>
          <w:rFonts w:ascii="仿宋_GB2312" w:hAnsi="宋体" w:eastAsia="仿宋_GB2312"/>
          <w:sz w:val="28"/>
          <w:szCs w:val="28"/>
          <w:highlight w:val="none"/>
        </w:rPr>
      </w:pPr>
    </w:p>
    <w:p w14:paraId="7E79D8B5">
      <w:pPr>
        <w:snapToGrid w:val="0"/>
        <w:spacing w:line="560" w:lineRule="exact"/>
        <w:ind w:firstLine="482" w:firstLineChars="201"/>
        <w:jc w:val="center"/>
        <w:rPr>
          <w:rFonts w:ascii="Cambria Math" w:hAnsi="Cambria Math" w:cs="Cambria Math"/>
          <w:kern w:val="0"/>
          <w:sz w:val="24"/>
          <w:highlight w:val="none"/>
        </w:rPr>
        <w:sectPr>
          <w:pgSz w:w="11906" w:h="16838"/>
          <w:pgMar w:top="1440" w:right="1080" w:bottom="1440" w:left="1080" w:header="851" w:footer="992" w:gutter="0"/>
          <w:cols w:space="720" w:num="1"/>
          <w:docGrid w:type="lines" w:linePitch="312" w:charSpace="0"/>
        </w:sectPr>
      </w:pPr>
    </w:p>
    <w:p w14:paraId="1CBC97DA">
      <w:pPr>
        <w:keepNext/>
        <w:keepLines/>
        <w:spacing w:before="120" w:after="120" w:line="560" w:lineRule="exact"/>
        <w:jc w:val="center"/>
        <w:outlineLvl w:val="1"/>
        <w:rPr>
          <w:rFonts w:hint="eastAsia" w:ascii="仿宋" w:hAnsi="仿宋" w:eastAsia="仿宋" w:cs="仿宋"/>
          <w:b/>
          <w:bCs w:val="0"/>
          <w:sz w:val="44"/>
          <w:szCs w:val="32"/>
          <w:highlight w:val="none"/>
        </w:rPr>
      </w:pPr>
      <w:r>
        <w:rPr>
          <w:rFonts w:hint="eastAsia" w:ascii="仿宋" w:hAnsi="仿宋" w:eastAsia="仿宋" w:cs="仿宋"/>
          <w:b/>
          <w:bCs w:val="0"/>
          <w:sz w:val="44"/>
          <w:szCs w:val="32"/>
          <w:highlight w:val="none"/>
        </w:rPr>
        <w:t>商务文件部分</w:t>
      </w:r>
    </w:p>
    <w:p w14:paraId="52262D60">
      <w:pPr>
        <w:widowControl/>
        <w:jc w:val="center"/>
        <w:rPr>
          <w:rFonts w:hint="eastAsia" w:eastAsia="黑体"/>
          <w:bCs/>
          <w:sz w:val="32"/>
          <w:szCs w:val="32"/>
          <w:highlight w:val="none"/>
        </w:rPr>
      </w:pPr>
    </w:p>
    <w:p w14:paraId="3D2D55BB">
      <w:pPr>
        <w:widowControl/>
        <w:jc w:val="center"/>
        <w:rPr>
          <w:rFonts w:hint="eastAsia" w:ascii="仿宋" w:hAnsi="仿宋" w:eastAsia="仿宋" w:cs="仿宋"/>
          <w:b/>
          <w:bCs w:val="0"/>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 w:hAnsi="仿宋" w:eastAsia="仿宋" w:cs="仿宋"/>
          <w:b/>
          <w:bCs w:val="0"/>
          <w:sz w:val="32"/>
          <w:szCs w:val="32"/>
          <w:highlight w:val="none"/>
        </w:rPr>
        <w:t>报价编制说明</w:t>
      </w:r>
    </w:p>
    <w:p w14:paraId="050827ED">
      <w:pPr>
        <w:widowControl/>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关于质量、工期、服务等方面的承诺及合理化建议</w:t>
      </w:r>
    </w:p>
    <w:p w14:paraId="7E3B0EDB">
      <w:pPr>
        <w:pStyle w:val="12"/>
        <w:jc w:val="center"/>
        <w:rPr>
          <w:rFonts w:hint="eastAsia" w:eastAsia="黑体"/>
          <w:bCs/>
          <w:sz w:val="32"/>
          <w:szCs w:val="32"/>
          <w:highlight w:val="none"/>
        </w:rPr>
      </w:pPr>
      <w:r>
        <w:rPr>
          <w:rFonts w:hint="eastAsia" w:ascii="仿宋_GB2312" w:hAnsi="宋体" w:eastAsia="仿宋_GB2312"/>
          <w:sz w:val="28"/>
          <w:szCs w:val="28"/>
          <w:highlight w:val="none"/>
        </w:rPr>
        <w:t>（加盖公章）</w:t>
      </w:r>
    </w:p>
    <w:p w14:paraId="4B20B323">
      <w:pPr>
        <w:pStyle w:val="12"/>
        <w:rPr>
          <w:rFonts w:hint="eastAsia" w:eastAsia="黑体"/>
          <w:bCs/>
          <w:sz w:val="32"/>
          <w:szCs w:val="32"/>
          <w:highlight w:val="none"/>
        </w:rPr>
      </w:pPr>
    </w:p>
    <w:p w14:paraId="293833BA">
      <w:pPr>
        <w:pStyle w:val="12"/>
        <w:rPr>
          <w:rFonts w:hint="eastAsia" w:eastAsia="黑体"/>
          <w:bCs/>
          <w:sz w:val="32"/>
          <w:szCs w:val="32"/>
          <w:highlight w:val="none"/>
        </w:rPr>
      </w:pPr>
    </w:p>
    <w:p w14:paraId="2E04F458">
      <w:pPr>
        <w:pStyle w:val="12"/>
        <w:rPr>
          <w:rFonts w:hint="eastAsia" w:eastAsia="黑体"/>
          <w:bCs/>
          <w:sz w:val="32"/>
          <w:szCs w:val="32"/>
          <w:highlight w:val="none"/>
        </w:rPr>
      </w:pPr>
    </w:p>
    <w:p w14:paraId="7EB83F5F">
      <w:pPr>
        <w:pStyle w:val="12"/>
        <w:rPr>
          <w:rFonts w:hint="eastAsia" w:eastAsia="黑体"/>
          <w:bCs/>
          <w:sz w:val="32"/>
          <w:szCs w:val="32"/>
          <w:highlight w:val="none"/>
        </w:rPr>
      </w:pPr>
    </w:p>
    <w:p w14:paraId="26DDA6B3">
      <w:pPr>
        <w:pStyle w:val="12"/>
        <w:rPr>
          <w:rFonts w:hint="eastAsia" w:eastAsia="黑体"/>
          <w:bCs/>
          <w:sz w:val="32"/>
          <w:szCs w:val="32"/>
          <w:highlight w:val="none"/>
        </w:rPr>
      </w:pPr>
    </w:p>
    <w:p w14:paraId="58F28153">
      <w:pPr>
        <w:pStyle w:val="12"/>
        <w:rPr>
          <w:rFonts w:hint="eastAsia" w:eastAsia="黑体"/>
          <w:bCs/>
          <w:sz w:val="32"/>
          <w:szCs w:val="32"/>
          <w:highlight w:val="none"/>
        </w:rPr>
      </w:pPr>
    </w:p>
    <w:p w14:paraId="2A7D6443">
      <w:pPr>
        <w:snapToGrid w:val="0"/>
        <w:spacing w:line="560" w:lineRule="exact"/>
        <w:ind w:firstLine="562" w:firstLineChars="201"/>
        <w:rPr>
          <w:rFonts w:ascii="仿宋_GB2312" w:hAnsi="宋体" w:eastAsia="仿宋_GB2312"/>
          <w:sz w:val="28"/>
          <w:szCs w:val="28"/>
          <w:highlight w:val="none"/>
        </w:rPr>
      </w:pPr>
    </w:p>
    <w:p w14:paraId="48BA44E0">
      <w:pPr>
        <w:pStyle w:val="12"/>
        <w:rPr>
          <w:rFonts w:hint="eastAsia" w:eastAsia="黑体"/>
          <w:bCs/>
          <w:sz w:val="32"/>
          <w:szCs w:val="32"/>
          <w:highlight w:val="none"/>
        </w:rPr>
        <w:sectPr>
          <w:pgSz w:w="11906" w:h="16838"/>
          <w:pgMar w:top="1440" w:right="1080" w:bottom="1440" w:left="1080" w:header="851" w:footer="992" w:gutter="0"/>
          <w:cols w:space="720" w:num="1"/>
          <w:docGrid w:type="lines" w:linePitch="312" w:charSpace="0"/>
        </w:sectPr>
      </w:pPr>
    </w:p>
    <w:p w14:paraId="3B2C1C08">
      <w:pPr>
        <w:widowControl/>
        <w:jc w:val="center"/>
        <w:rPr>
          <w:rFonts w:hint="eastAsia" w:eastAsia="黑体"/>
          <w:bCs/>
          <w:sz w:val="32"/>
          <w:szCs w:val="32"/>
          <w:highlight w:val="none"/>
        </w:rPr>
      </w:pPr>
      <w:bookmarkStart w:id="43" w:name="_Toc523388197"/>
      <w:r>
        <w:rPr>
          <w:rFonts w:hint="eastAsia" w:ascii="仿宋" w:hAnsi="仿宋" w:eastAsia="仿宋" w:cs="仿宋"/>
          <w:b/>
          <w:bCs w:val="0"/>
          <w:sz w:val="32"/>
          <w:szCs w:val="32"/>
          <w:highlight w:val="none"/>
        </w:rPr>
        <w:t>投标人基本情况表</w:t>
      </w:r>
      <w:bookmarkEnd w:id="43"/>
    </w:p>
    <w:tbl>
      <w:tblPr>
        <w:tblStyle w:val="31"/>
        <w:tblW w:w="9499" w:type="dxa"/>
        <w:tblInd w:w="37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1"/>
        <w:gridCol w:w="1205"/>
        <w:gridCol w:w="699"/>
        <w:gridCol w:w="1119"/>
        <w:gridCol w:w="319"/>
        <w:gridCol w:w="222"/>
        <w:gridCol w:w="1529"/>
        <w:gridCol w:w="373"/>
        <w:gridCol w:w="1014"/>
        <w:gridCol w:w="1088"/>
      </w:tblGrid>
      <w:tr w14:paraId="66974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18A89C53">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投标人名称</w:t>
            </w:r>
          </w:p>
        </w:tc>
        <w:tc>
          <w:tcPr>
            <w:tcW w:w="7568" w:type="dxa"/>
            <w:gridSpan w:val="9"/>
            <w:noWrap w:val="0"/>
            <w:vAlign w:val="top"/>
          </w:tcPr>
          <w:p w14:paraId="2D67EB09">
            <w:pPr>
              <w:rPr>
                <w:rFonts w:hint="eastAsia" w:ascii="仿宋" w:hAnsi="仿宋" w:eastAsia="仿宋" w:cs="仿宋"/>
                <w:highlight w:val="none"/>
              </w:rPr>
            </w:pPr>
          </w:p>
        </w:tc>
      </w:tr>
      <w:tr w14:paraId="61979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E474706">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注册地址</w:t>
            </w:r>
          </w:p>
        </w:tc>
        <w:tc>
          <w:tcPr>
            <w:tcW w:w="3564" w:type="dxa"/>
            <w:gridSpan w:val="5"/>
            <w:noWrap w:val="0"/>
            <w:vAlign w:val="top"/>
          </w:tcPr>
          <w:p w14:paraId="3A8DC8A8">
            <w:pPr>
              <w:rPr>
                <w:rFonts w:hint="eastAsia" w:ascii="仿宋" w:hAnsi="仿宋" w:eastAsia="仿宋" w:cs="仿宋"/>
                <w:highlight w:val="none"/>
              </w:rPr>
            </w:pPr>
          </w:p>
        </w:tc>
        <w:tc>
          <w:tcPr>
            <w:tcW w:w="1529" w:type="dxa"/>
            <w:noWrap w:val="0"/>
            <w:vAlign w:val="top"/>
          </w:tcPr>
          <w:p w14:paraId="3F14BE73">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邮政编码</w:t>
            </w:r>
          </w:p>
        </w:tc>
        <w:tc>
          <w:tcPr>
            <w:tcW w:w="2475" w:type="dxa"/>
            <w:gridSpan w:val="3"/>
            <w:noWrap w:val="0"/>
            <w:vAlign w:val="top"/>
          </w:tcPr>
          <w:p w14:paraId="3B5DE3DB">
            <w:pPr>
              <w:rPr>
                <w:rFonts w:hint="eastAsia" w:ascii="仿宋" w:hAnsi="仿宋" w:eastAsia="仿宋" w:cs="仿宋"/>
                <w:highlight w:val="none"/>
              </w:rPr>
            </w:pPr>
          </w:p>
        </w:tc>
      </w:tr>
      <w:tr w14:paraId="09BF23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vMerge w:val="restart"/>
            <w:noWrap w:val="0"/>
            <w:vAlign w:val="top"/>
          </w:tcPr>
          <w:p w14:paraId="6BAE1F32">
            <w:pPr>
              <w:pStyle w:val="110"/>
              <w:spacing w:before="8"/>
              <w:ind w:left="0"/>
              <w:rPr>
                <w:rFonts w:hint="eastAsia" w:ascii="仿宋" w:hAnsi="仿宋" w:eastAsia="仿宋" w:cs="仿宋"/>
                <w:b/>
                <w:sz w:val="31"/>
                <w:highlight w:val="none"/>
              </w:rPr>
            </w:pPr>
          </w:p>
          <w:p w14:paraId="6828039C">
            <w:pPr>
              <w:pStyle w:val="110"/>
              <w:ind w:left="103"/>
              <w:rPr>
                <w:rFonts w:hint="eastAsia" w:ascii="仿宋" w:hAnsi="仿宋" w:eastAsia="仿宋" w:cs="仿宋"/>
                <w:sz w:val="24"/>
                <w:highlight w:val="none"/>
              </w:rPr>
            </w:pPr>
            <w:r>
              <w:rPr>
                <w:rFonts w:hint="eastAsia" w:ascii="仿宋" w:hAnsi="仿宋" w:eastAsia="仿宋" w:cs="仿宋"/>
                <w:sz w:val="24"/>
                <w:highlight w:val="none"/>
              </w:rPr>
              <w:t>联系方式</w:t>
            </w:r>
          </w:p>
        </w:tc>
        <w:tc>
          <w:tcPr>
            <w:tcW w:w="1205" w:type="dxa"/>
            <w:noWrap w:val="0"/>
            <w:vAlign w:val="top"/>
          </w:tcPr>
          <w:p w14:paraId="22DA7B0E">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联系人</w:t>
            </w:r>
          </w:p>
        </w:tc>
        <w:tc>
          <w:tcPr>
            <w:tcW w:w="2359" w:type="dxa"/>
            <w:gridSpan w:val="4"/>
            <w:noWrap w:val="0"/>
            <w:vAlign w:val="top"/>
          </w:tcPr>
          <w:p w14:paraId="789AD1AC">
            <w:pPr>
              <w:rPr>
                <w:rFonts w:hint="eastAsia" w:ascii="仿宋" w:hAnsi="仿宋" w:eastAsia="仿宋" w:cs="仿宋"/>
                <w:highlight w:val="none"/>
              </w:rPr>
            </w:pPr>
          </w:p>
        </w:tc>
        <w:tc>
          <w:tcPr>
            <w:tcW w:w="1529" w:type="dxa"/>
            <w:noWrap w:val="0"/>
            <w:vAlign w:val="top"/>
          </w:tcPr>
          <w:p w14:paraId="2E6657FB">
            <w:pPr>
              <w:pStyle w:val="110"/>
              <w:tabs>
                <w:tab w:val="left" w:pos="584"/>
              </w:tabs>
              <w:spacing w:before="143"/>
              <w:ind w:left="104"/>
              <w:rPr>
                <w:rFonts w:hint="eastAsia" w:ascii="仿宋" w:hAnsi="仿宋" w:eastAsia="仿宋" w:cs="仿宋"/>
                <w:sz w:val="24"/>
                <w:highlight w:val="none"/>
              </w:rPr>
            </w:pPr>
            <w:r>
              <w:rPr>
                <w:rFonts w:hint="eastAsia" w:ascii="仿宋" w:hAnsi="仿宋" w:eastAsia="仿宋" w:cs="仿宋"/>
                <w:sz w:val="24"/>
                <w:highlight w:val="none"/>
              </w:rPr>
              <w:t>电</w:t>
            </w:r>
            <w:r>
              <w:rPr>
                <w:rFonts w:hint="eastAsia" w:ascii="仿宋" w:hAnsi="仿宋" w:eastAsia="仿宋" w:cs="仿宋"/>
                <w:sz w:val="24"/>
                <w:highlight w:val="none"/>
              </w:rPr>
              <w:tab/>
            </w:r>
            <w:r>
              <w:rPr>
                <w:rFonts w:hint="eastAsia" w:ascii="仿宋" w:hAnsi="仿宋" w:eastAsia="仿宋" w:cs="仿宋"/>
                <w:sz w:val="24"/>
                <w:highlight w:val="none"/>
              </w:rPr>
              <w:t>话</w:t>
            </w:r>
          </w:p>
        </w:tc>
        <w:tc>
          <w:tcPr>
            <w:tcW w:w="2475" w:type="dxa"/>
            <w:gridSpan w:val="3"/>
            <w:noWrap w:val="0"/>
            <w:vAlign w:val="top"/>
          </w:tcPr>
          <w:p w14:paraId="06B6896A">
            <w:pPr>
              <w:rPr>
                <w:rFonts w:hint="eastAsia" w:ascii="仿宋" w:hAnsi="仿宋" w:eastAsia="仿宋" w:cs="仿宋"/>
                <w:highlight w:val="none"/>
              </w:rPr>
            </w:pPr>
          </w:p>
        </w:tc>
      </w:tr>
      <w:tr w14:paraId="1BC546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vMerge w:val="continue"/>
            <w:noWrap w:val="0"/>
            <w:vAlign w:val="top"/>
          </w:tcPr>
          <w:p w14:paraId="7FD492F2">
            <w:pPr>
              <w:rPr>
                <w:rFonts w:hint="eastAsia" w:ascii="仿宋" w:hAnsi="仿宋" w:eastAsia="仿宋" w:cs="仿宋"/>
                <w:highlight w:val="none"/>
              </w:rPr>
            </w:pPr>
          </w:p>
        </w:tc>
        <w:tc>
          <w:tcPr>
            <w:tcW w:w="1205" w:type="dxa"/>
            <w:noWrap w:val="0"/>
            <w:vAlign w:val="top"/>
          </w:tcPr>
          <w:p w14:paraId="4C79D4C4">
            <w:pPr>
              <w:pStyle w:val="110"/>
              <w:tabs>
                <w:tab w:val="left" w:pos="584"/>
              </w:tabs>
              <w:spacing w:before="142"/>
              <w:ind w:left="104"/>
              <w:rPr>
                <w:rFonts w:hint="eastAsia" w:ascii="仿宋" w:hAnsi="仿宋" w:eastAsia="仿宋" w:cs="仿宋"/>
                <w:sz w:val="24"/>
                <w:highlight w:val="none"/>
              </w:rPr>
            </w:pPr>
            <w:r>
              <w:rPr>
                <w:rFonts w:hint="eastAsia" w:ascii="仿宋" w:hAnsi="仿宋" w:eastAsia="仿宋" w:cs="仿宋"/>
                <w:sz w:val="24"/>
                <w:highlight w:val="none"/>
              </w:rPr>
              <w:t>传</w:t>
            </w:r>
            <w:r>
              <w:rPr>
                <w:rFonts w:hint="eastAsia" w:ascii="仿宋" w:hAnsi="仿宋" w:eastAsia="仿宋" w:cs="仿宋"/>
                <w:sz w:val="24"/>
                <w:highlight w:val="none"/>
              </w:rPr>
              <w:tab/>
            </w:r>
            <w:r>
              <w:rPr>
                <w:rFonts w:hint="eastAsia" w:ascii="仿宋" w:hAnsi="仿宋" w:eastAsia="仿宋" w:cs="仿宋"/>
                <w:sz w:val="24"/>
                <w:highlight w:val="none"/>
              </w:rPr>
              <w:t>真</w:t>
            </w:r>
          </w:p>
        </w:tc>
        <w:tc>
          <w:tcPr>
            <w:tcW w:w="2359" w:type="dxa"/>
            <w:gridSpan w:val="4"/>
            <w:noWrap w:val="0"/>
            <w:vAlign w:val="top"/>
          </w:tcPr>
          <w:p w14:paraId="03182958">
            <w:pPr>
              <w:rPr>
                <w:rFonts w:hint="eastAsia" w:ascii="仿宋" w:hAnsi="仿宋" w:eastAsia="仿宋" w:cs="仿宋"/>
                <w:highlight w:val="none"/>
              </w:rPr>
            </w:pPr>
          </w:p>
        </w:tc>
        <w:tc>
          <w:tcPr>
            <w:tcW w:w="1529" w:type="dxa"/>
            <w:noWrap w:val="0"/>
            <w:vAlign w:val="top"/>
          </w:tcPr>
          <w:p w14:paraId="6EC94511">
            <w:pPr>
              <w:pStyle w:val="110"/>
              <w:tabs>
                <w:tab w:val="left" w:pos="584"/>
              </w:tabs>
              <w:spacing w:before="142"/>
              <w:ind w:left="104"/>
              <w:rPr>
                <w:rFonts w:hint="eastAsia" w:ascii="仿宋" w:hAnsi="仿宋" w:eastAsia="仿宋" w:cs="仿宋"/>
                <w:sz w:val="24"/>
                <w:highlight w:val="none"/>
              </w:rPr>
            </w:pPr>
            <w:r>
              <w:rPr>
                <w:rFonts w:hint="eastAsia" w:ascii="仿宋" w:hAnsi="仿宋" w:eastAsia="仿宋" w:cs="仿宋"/>
                <w:sz w:val="24"/>
                <w:highlight w:val="none"/>
              </w:rPr>
              <w:t>网</w:t>
            </w:r>
            <w:r>
              <w:rPr>
                <w:rFonts w:hint="eastAsia" w:ascii="仿宋" w:hAnsi="仿宋" w:eastAsia="仿宋" w:cs="仿宋"/>
                <w:sz w:val="24"/>
                <w:highlight w:val="none"/>
              </w:rPr>
              <w:tab/>
            </w:r>
            <w:r>
              <w:rPr>
                <w:rFonts w:hint="eastAsia" w:ascii="仿宋" w:hAnsi="仿宋" w:eastAsia="仿宋" w:cs="仿宋"/>
                <w:sz w:val="24"/>
                <w:highlight w:val="none"/>
              </w:rPr>
              <w:t>址</w:t>
            </w:r>
          </w:p>
        </w:tc>
        <w:tc>
          <w:tcPr>
            <w:tcW w:w="2475" w:type="dxa"/>
            <w:gridSpan w:val="3"/>
            <w:noWrap w:val="0"/>
            <w:vAlign w:val="top"/>
          </w:tcPr>
          <w:p w14:paraId="5039E9DC">
            <w:pPr>
              <w:rPr>
                <w:rFonts w:hint="eastAsia" w:ascii="仿宋" w:hAnsi="仿宋" w:eastAsia="仿宋" w:cs="仿宋"/>
                <w:highlight w:val="none"/>
              </w:rPr>
            </w:pPr>
          </w:p>
        </w:tc>
      </w:tr>
      <w:tr w14:paraId="7D02E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11CB08E">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组织结构</w:t>
            </w:r>
          </w:p>
        </w:tc>
        <w:tc>
          <w:tcPr>
            <w:tcW w:w="7568" w:type="dxa"/>
            <w:gridSpan w:val="9"/>
            <w:noWrap w:val="0"/>
            <w:vAlign w:val="top"/>
          </w:tcPr>
          <w:p w14:paraId="10725967">
            <w:pPr>
              <w:rPr>
                <w:rFonts w:hint="eastAsia" w:ascii="仿宋" w:hAnsi="仿宋" w:eastAsia="仿宋" w:cs="仿宋"/>
                <w:highlight w:val="none"/>
              </w:rPr>
            </w:pPr>
          </w:p>
        </w:tc>
      </w:tr>
      <w:tr w14:paraId="62D300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0343F135">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法定代表人</w:t>
            </w:r>
          </w:p>
        </w:tc>
        <w:tc>
          <w:tcPr>
            <w:tcW w:w="1205" w:type="dxa"/>
            <w:noWrap w:val="0"/>
            <w:vAlign w:val="top"/>
          </w:tcPr>
          <w:p w14:paraId="14F596E7">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姓名</w:t>
            </w:r>
          </w:p>
        </w:tc>
        <w:tc>
          <w:tcPr>
            <w:tcW w:w="699" w:type="dxa"/>
            <w:noWrap w:val="0"/>
            <w:vAlign w:val="top"/>
          </w:tcPr>
          <w:p w14:paraId="376985AB">
            <w:pPr>
              <w:rPr>
                <w:rFonts w:hint="eastAsia" w:ascii="仿宋" w:hAnsi="仿宋" w:eastAsia="仿宋" w:cs="仿宋"/>
                <w:highlight w:val="none"/>
              </w:rPr>
            </w:pPr>
          </w:p>
        </w:tc>
        <w:tc>
          <w:tcPr>
            <w:tcW w:w="1438" w:type="dxa"/>
            <w:gridSpan w:val="2"/>
            <w:noWrap w:val="0"/>
            <w:vAlign w:val="top"/>
          </w:tcPr>
          <w:p w14:paraId="676E023B">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技术职称</w:t>
            </w:r>
          </w:p>
        </w:tc>
        <w:tc>
          <w:tcPr>
            <w:tcW w:w="2124" w:type="dxa"/>
            <w:gridSpan w:val="3"/>
            <w:noWrap w:val="0"/>
            <w:vAlign w:val="top"/>
          </w:tcPr>
          <w:p w14:paraId="40A9BE4F">
            <w:pPr>
              <w:rPr>
                <w:rFonts w:hint="eastAsia" w:ascii="仿宋" w:hAnsi="仿宋" w:eastAsia="仿宋" w:cs="仿宋"/>
                <w:highlight w:val="none"/>
              </w:rPr>
            </w:pPr>
          </w:p>
        </w:tc>
        <w:tc>
          <w:tcPr>
            <w:tcW w:w="1014" w:type="dxa"/>
            <w:noWrap w:val="0"/>
            <w:vAlign w:val="top"/>
          </w:tcPr>
          <w:p w14:paraId="4699E984">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电话</w:t>
            </w:r>
          </w:p>
        </w:tc>
        <w:tc>
          <w:tcPr>
            <w:tcW w:w="1088" w:type="dxa"/>
            <w:noWrap w:val="0"/>
            <w:vAlign w:val="top"/>
          </w:tcPr>
          <w:p w14:paraId="436097F1">
            <w:pPr>
              <w:rPr>
                <w:rFonts w:hint="eastAsia" w:ascii="仿宋" w:hAnsi="仿宋" w:eastAsia="仿宋" w:cs="仿宋"/>
                <w:highlight w:val="none"/>
              </w:rPr>
            </w:pPr>
          </w:p>
        </w:tc>
      </w:tr>
      <w:tr w14:paraId="168225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357D73AD">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技术负责人</w:t>
            </w:r>
          </w:p>
        </w:tc>
        <w:tc>
          <w:tcPr>
            <w:tcW w:w="1205" w:type="dxa"/>
            <w:noWrap w:val="0"/>
            <w:vAlign w:val="top"/>
          </w:tcPr>
          <w:p w14:paraId="2805D32D">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姓名</w:t>
            </w:r>
          </w:p>
        </w:tc>
        <w:tc>
          <w:tcPr>
            <w:tcW w:w="699" w:type="dxa"/>
            <w:noWrap w:val="0"/>
            <w:vAlign w:val="top"/>
          </w:tcPr>
          <w:p w14:paraId="0327ED9C">
            <w:pPr>
              <w:rPr>
                <w:rFonts w:hint="eastAsia" w:ascii="仿宋" w:hAnsi="仿宋" w:eastAsia="仿宋" w:cs="仿宋"/>
                <w:highlight w:val="none"/>
              </w:rPr>
            </w:pPr>
          </w:p>
        </w:tc>
        <w:tc>
          <w:tcPr>
            <w:tcW w:w="1438" w:type="dxa"/>
            <w:gridSpan w:val="2"/>
            <w:noWrap w:val="0"/>
            <w:vAlign w:val="top"/>
          </w:tcPr>
          <w:p w14:paraId="4E92DC4B">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技术职称</w:t>
            </w:r>
          </w:p>
        </w:tc>
        <w:tc>
          <w:tcPr>
            <w:tcW w:w="2124" w:type="dxa"/>
            <w:gridSpan w:val="3"/>
            <w:noWrap w:val="0"/>
            <w:vAlign w:val="top"/>
          </w:tcPr>
          <w:p w14:paraId="67F6606F">
            <w:pPr>
              <w:rPr>
                <w:rFonts w:hint="eastAsia" w:ascii="仿宋" w:hAnsi="仿宋" w:eastAsia="仿宋" w:cs="仿宋"/>
                <w:highlight w:val="none"/>
              </w:rPr>
            </w:pPr>
          </w:p>
        </w:tc>
        <w:tc>
          <w:tcPr>
            <w:tcW w:w="1014" w:type="dxa"/>
            <w:noWrap w:val="0"/>
            <w:vAlign w:val="top"/>
          </w:tcPr>
          <w:p w14:paraId="100F8EAC">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电话</w:t>
            </w:r>
          </w:p>
        </w:tc>
        <w:tc>
          <w:tcPr>
            <w:tcW w:w="1088" w:type="dxa"/>
            <w:noWrap w:val="0"/>
            <w:vAlign w:val="top"/>
          </w:tcPr>
          <w:p w14:paraId="7E27BC5F">
            <w:pPr>
              <w:rPr>
                <w:rFonts w:hint="eastAsia" w:ascii="仿宋" w:hAnsi="仿宋" w:eastAsia="仿宋" w:cs="仿宋"/>
                <w:highlight w:val="none"/>
              </w:rPr>
            </w:pPr>
          </w:p>
        </w:tc>
      </w:tr>
      <w:tr w14:paraId="298D1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DC7FCC4">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成立时间</w:t>
            </w:r>
          </w:p>
        </w:tc>
        <w:tc>
          <w:tcPr>
            <w:tcW w:w="1904" w:type="dxa"/>
            <w:gridSpan w:val="2"/>
            <w:noWrap w:val="0"/>
            <w:vAlign w:val="top"/>
          </w:tcPr>
          <w:p w14:paraId="0D3ECC1E">
            <w:pPr>
              <w:rPr>
                <w:rFonts w:hint="eastAsia" w:ascii="仿宋" w:hAnsi="仿宋" w:eastAsia="仿宋" w:cs="仿宋"/>
                <w:highlight w:val="none"/>
              </w:rPr>
            </w:pPr>
          </w:p>
        </w:tc>
        <w:tc>
          <w:tcPr>
            <w:tcW w:w="5664" w:type="dxa"/>
            <w:gridSpan w:val="7"/>
            <w:noWrap w:val="0"/>
            <w:vAlign w:val="top"/>
          </w:tcPr>
          <w:p w14:paraId="48884461">
            <w:pPr>
              <w:pStyle w:val="110"/>
              <w:spacing w:before="142"/>
              <w:ind w:left="102"/>
              <w:rPr>
                <w:rFonts w:hint="eastAsia" w:ascii="仿宋" w:hAnsi="仿宋" w:eastAsia="仿宋" w:cs="仿宋"/>
                <w:sz w:val="24"/>
                <w:highlight w:val="none"/>
              </w:rPr>
            </w:pPr>
            <w:r>
              <w:rPr>
                <w:rFonts w:hint="eastAsia" w:ascii="仿宋" w:hAnsi="仿宋" w:eastAsia="仿宋" w:cs="仿宋"/>
                <w:sz w:val="24"/>
                <w:highlight w:val="none"/>
              </w:rPr>
              <w:t>员工总人数：</w:t>
            </w:r>
          </w:p>
        </w:tc>
      </w:tr>
      <w:tr w14:paraId="052A97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0F000BCE">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企业资质等级</w:t>
            </w:r>
          </w:p>
        </w:tc>
        <w:tc>
          <w:tcPr>
            <w:tcW w:w="1904" w:type="dxa"/>
            <w:gridSpan w:val="2"/>
            <w:noWrap w:val="0"/>
            <w:vAlign w:val="top"/>
          </w:tcPr>
          <w:p w14:paraId="65B235C6">
            <w:pPr>
              <w:rPr>
                <w:rFonts w:hint="eastAsia" w:ascii="仿宋" w:hAnsi="仿宋" w:eastAsia="仿宋" w:cs="仿宋"/>
                <w:highlight w:val="none"/>
              </w:rPr>
            </w:pPr>
          </w:p>
        </w:tc>
        <w:tc>
          <w:tcPr>
            <w:tcW w:w="1119" w:type="dxa"/>
            <w:vMerge w:val="restart"/>
            <w:noWrap w:val="0"/>
            <w:vAlign w:val="top"/>
          </w:tcPr>
          <w:p w14:paraId="02F82BE3">
            <w:pPr>
              <w:pStyle w:val="110"/>
              <w:ind w:left="0"/>
              <w:rPr>
                <w:rFonts w:hint="eastAsia" w:ascii="仿宋" w:hAnsi="仿宋" w:eastAsia="仿宋" w:cs="仿宋"/>
                <w:b/>
                <w:sz w:val="24"/>
                <w:highlight w:val="none"/>
              </w:rPr>
            </w:pPr>
          </w:p>
          <w:p w14:paraId="502E0FB2">
            <w:pPr>
              <w:pStyle w:val="110"/>
              <w:ind w:left="0"/>
              <w:rPr>
                <w:rFonts w:hint="eastAsia" w:ascii="仿宋" w:hAnsi="仿宋" w:eastAsia="仿宋" w:cs="仿宋"/>
                <w:b/>
                <w:sz w:val="24"/>
                <w:highlight w:val="none"/>
              </w:rPr>
            </w:pPr>
          </w:p>
          <w:p w14:paraId="79CB3F8E">
            <w:pPr>
              <w:pStyle w:val="110"/>
              <w:ind w:left="0"/>
              <w:rPr>
                <w:rFonts w:hint="eastAsia" w:ascii="仿宋" w:hAnsi="仿宋" w:eastAsia="仿宋" w:cs="仿宋"/>
                <w:b/>
                <w:sz w:val="24"/>
                <w:highlight w:val="none"/>
              </w:rPr>
            </w:pPr>
          </w:p>
          <w:p w14:paraId="1D0C4047">
            <w:pPr>
              <w:pStyle w:val="110"/>
              <w:spacing w:before="12"/>
              <w:ind w:left="0"/>
              <w:rPr>
                <w:rFonts w:hint="eastAsia" w:ascii="仿宋" w:hAnsi="仿宋" w:eastAsia="仿宋" w:cs="仿宋"/>
                <w:b/>
                <w:highlight w:val="none"/>
              </w:rPr>
            </w:pPr>
          </w:p>
          <w:p w14:paraId="2E2AFF20">
            <w:pPr>
              <w:pStyle w:val="110"/>
              <w:ind w:left="102"/>
              <w:rPr>
                <w:rFonts w:hint="eastAsia" w:ascii="仿宋" w:hAnsi="仿宋" w:eastAsia="仿宋" w:cs="仿宋"/>
                <w:sz w:val="24"/>
                <w:highlight w:val="none"/>
              </w:rPr>
            </w:pPr>
            <w:r>
              <w:rPr>
                <w:rFonts w:hint="eastAsia" w:ascii="仿宋" w:hAnsi="仿宋" w:eastAsia="仿宋" w:cs="仿宋"/>
                <w:sz w:val="24"/>
                <w:highlight w:val="none"/>
              </w:rPr>
              <w:t>其中</w:t>
            </w:r>
          </w:p>
        </w:tc>
        <w:tc>
          <w:tcPr>
            <w:tcW w:w="2443" w:type="dxa"/>
            <w:gridSpan w:val="4"/>
            <w:noWrap w:val="0"/>
            <w:vAlign w:val="top"/>
          </w:tcPr>
          <w:p w14:paraId="5B31B61B">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项目经理</w:t>
            </w:r>
          </w:p>
        </w:tc>
        <w:tc>
          <w:tcPr>
            <w:tcW w:w="2102" w:type="dxa"/>
            <w:gridSpan w:val="2"/>
            <w:noWrap w:val="0"/>
            <w:vAlign w:val="top"/>
          </w:tcPr>
          <w:p w14:paraId="6874104E">
            <w:pPr>
              <w:rPr>
                <w:rFonts w:hint="eastAsia" w:ascii="仿宋" w:hAnsi="仿宋" w:eastAsia="仿宋" w:cs="仿宋"/>
                <w:highlight w:val="none"/>
              </w:rPr>
            </w:pPr>
          </w:p>
        </w:tc>
      </w:tr>
      <w:tr w14:paraId="10A973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6EFD227C">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营业执照号</w:t>
            </w:r>
          </w:p>
        </w:tc>
        <w:tc>
          <w:tcPr>
            <w:tcW w:w="1904" w:type="dxa"/>
            <w:gridSpan w:val="2"/>
            <w:noWrap w:val="0"/>
            <w:vAlign w:val="top"/>
          </w:tcPr>
          <w:p w14:paraId="60C5FD97">
            <w:pPr>
              <w:rPr>
                <w:rFonts w:hint="eastAsia" w:ascii="仿宋" w:hAnsi="仿宋" w:eastAsia="仿宋" w:cs="仿宋"/>
                <w:highlight w:val="none"/>
              </w:rPr>
            </w:pPr>
          </w:p>
        </w:tc>
        <w:tc>
          <w:tcPr>
            <w:tcW w:w="1119" w:type="dxa"/>
            <w:vMerge w:val="continue"/>
            <w:noWrap w:val="0"/>
            <w:vAlign w:val="top"/>
          </w:tcPr>
          <w:p w14:paraId="2A114054">
            <w:pPr>
              <w:rPr>
                <w:rFonts w:hint="eastAsia" w:ascii="仿宋" w:hAnsi="仿宋" w:eastAsia="仿宋" w:cs="仿宋"/>
                <w:highlight w:val="none"/>
              </w:rPr>
            </w:pPr>
          </w:p>
        </w:tc>
        <w:tc>
          <w:tcPr>
            <w:tcW w:w="2443" w:type="dxa"/>
            <w:gridSpan w:val="4"/>
            <w:noWrap w:val="0"/>
            <w:vAlign w:val="top"/>
          </w:tcPr>
          <w:p w14:paraId="57C8F968">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高级职称人员</w:t>
            </w:r>
          </w:p>
        </w:tc>
        <w:tc>
          <w:tcPr>
            <w:tcW w:w="2102" w:type="dxa"/>
            <w:gridSpan w:val="2"/>
            <w:noWrap w:val="0"/>
            <w:vAlign w:val="top"/>
          </w:tcPr>
          <w:p w14:paraId="77316C44">
            <w:pPr>
              <w:rPr>
                <w:rFonts w:hint="eastAsia" w:ascii="仿宋" w:hAnsi="仿宋" w:eastAsia="仿宋" w:cs="仿宋"/>
                <w:highlight w:val="none"/>
              </w:rPr>
            </w:pPr>
          </w:p>
        </w:tc>
      </w:tr>
      <w:tr w14:paraId="75CE68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5DD4A8C9">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注册资金</w:t>
            </w:r>
          </w:p>
        </w:tc>
        <w:tc>
          <w:tcPr>
            <w:tcW w:w="1904" w:type="dxa"/>
            <w:gridSpan w:val="2"/>
            <w:noWrap w:val="0"/>
            <w:vAlign w:val="top"/>
          </w:tcPr>
          <w:p w14:paraId="7D51A1DF">
            <w:pPr>
              <w:rPr>
                <w:rFonts w:hint="eastAsia" w:ascii="仿宋" w:hAnsi="仿宋" w:eastAsia="仿宋" w:cs="仿宋"/>
                <w:highlight w:val="none"/>
              </w:rPr>
            </w:pPr>
          </w:p>
        </w:tc>
        <w:tc>
          <w:tcPr>
            <w:tcW w:w="1119" w:type="dxa"/>
            <w:vMerge w:val="continue"/>
            <w:noWrap w:val="0"/>
            <w:vAlign w:val="top"/>
          </w:tcPr>
          <w:p w14:paraId="6720E49C">
            <w:pPr>
              <w:rPr>
                <w:rFonts w:hint="eastAsia" w:ascii="仿宋" w:hAnsi="仿宋" w:eastAsia="仿宋" w:cs="仿宋"/>
                <w:highlight w:val="none"/>
              </w:rPr>
            </w:pPr>
          </w:p>
        </w:tc>
        <w:tc>
          <w:tcPr>
            <w:tcW w:w="2443" w:type="dxa"/>
            <w:gridSpan w:val="4"/>
            <w:noWrap w:val="0"/>
            <w:vAlign w:val="top"/>
          </w:tcPr>
          <w:p w14:paraId="7FA7D76B">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中级职称人员</w:t>
            </w:r>
          </w:p>
        </w:tc>
        <w:tc>
          <w:tcPr>
            <w:tcW w:w="2102" w:type="dxa"/>
            <w:gridSpan w:val="2"/>
            <w:noWrap w:val="0"/>
            <w:vAlign w:val="top"/>
          </w:tcPr>
          <w:p w14:paraId="23305578">
            <w:pPr>
              <w:rPr>
                <w:rFonts w:hint="eastAsia" w:ascii="仿宋" w:hAnsi="仿宋" w:eastAsia="仿宋" w:cs="仿宋"/>
                <w:highlight w:val="none"/>
              </w:rPr>
            </w:pPr>
          </w:p>
        </w:tc>
      </w:tr>
      <w:tr w14:paraId="5162CB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230D248C">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开户银行</w:t>
            </w:r>
          </w:p>
        </w:tc>
        <w:tc>
          <w:tcPr>
            <w:tcW w:w="1904" w:type="dxa"/>
            <w:gridSpan w:val="2"/>
            <w:noWrap w:val="0"/>
            <w:vAlign w:val="top"/>
          </w:tcPr>
          <w:p w14:paraId="5CA26729">
            <w:pPr>
              <w:rPr>
                <w:rFonts w:hint="eastAsia" w:ascii="仿宋" w:hAnsi="仿宋" w:eastAsia="仿宋" w:cs="仿宋"/>
                <w:highlight w:val="none"/>
              </w:rPr>
            </w:pPr>
          </w:p>
        </w:tc>
        <w:tc>
          <w:tcPr>
            <w:tcW w:w="1119" w:type="dxa"/>
            <w:vMerge w:val="continue"/>
            <w:noWrap w:val="0"/>
            <w:vAlign w:val="top"/>
          </w:tcPr>
          <w:p w14:paraId="724EF183">
            <w:pPr>
              <w:rPr>
                <w:rFonts w:hint="eastAsia" w:ascii="仿宋" w:hAnsi="仿宋" w:eastAsia="仿宋" w:cs="仿宋"/>
                <w:highlight w:val="none"/>
              </w:rPr>
            </w:pPr>
          </w:p>
        </w:tc>
        <w:tc>
          <w:tcPr>
            <w:tcW w:w="2443" w:type="dxa"/>
            <w:gridSpan w:val="4"/>
            <w:noWrap w:val="0"/>
            <w:vAlign w:val="top"/>
          </w:tcPr>
          <w:p w14:paraId="7E3162D4">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初级职称人员</w:t>
            </w:r>
          </w:p>
        </w:tc>
        <w:tc>
          <w:tcPr>
            <w:tcW w:w="2102" w:type="dxa"/>
            <w:gridSpan w:val="2"/>
            <w:noWrap w:val="0"/>
            <w:vAlign w:val="top"/>
          </w:tcPr>
          <w:p w14:paraId="5752B3C3">
            <w:pPr>
              <w:rPr>
                <w:rFonts w:hint="eastAsia" w:ascii="仿宋" w:hAnsi="仿宋" w:eastAsia="仿宋" w:cs="仿宋"/>
                <w:highlight w:val="none"/>
              </w:rPr>
            </w:pPr>
          </w:p>
        </w:tc>
      </w:tr>
      <w:tr w14:paraId="67420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0198C09">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账号</w:t>
            </w:r>
          </w:p>
        </w:tc>
        <w:tc>
          <w:tcPr>
            <w:tcW w:w="1904" w:type="dxa"/>
            <w:gridSpan w:val="2"/>
            <w:noWrap w:val="0"/>
            <w:vAlign w:val="top"/>
          </w:tcPr>
          <w:p w14:paraId="6C3238CB">
            <w:pPr>
              <w:rPr>
                <w:rFonts w:hint="eastAsia" w:ascii="仿宋" w:hAnsi="仿宋" w:eastAsia="仿宋" w:cs="仿宋"/>
                <w:highlight w:val="none"/>
              </w:rPr>
            </w:pPr>
          </w:p>
        </w:tc>
        <w:tc>
          <w:tcPr>
            <w:tcW w:w="1119" w:type="dxa"/>
            <w:vMerge w:val="continue"/>
            <w:noWrap w:val="0"/>
            <w:vAlign w:val="top"/>
          </w:tcPr>
          <w:p w14:paraId="385DFFF2">
            <w:pPr>
              <w:rPr>
                <w:rFonts w:hint="eastAsia" w:ascii="仿宋" w:hAnsi="仿宋" w:eastAsia="仿宋" w:cs="仿宋"/>
                <w:highlight w:val="none"/>
              </w:rPr>
            </w:pPr>
          </w:p>
        </w:tc>
        <w:tc>
          <w:tcPr>
            <w:tcW w:w="2443" w:type="dxa"/>
            <w:gridSpan w:val="4"/>
            <w:noWrap w:val="0"/>
            <w:vAlign w:val="top"/>
          </w:tcPr>
          <w:p w14:paraId="38637E80">
            <w:pPr>
              <w:pStyle w:val="110"/>
              <w:tabs>
                <w:tab w:val="left" w:pos="583"/>
              </w:tabs>
              <w:spacing w:before="142"/>
              <w:ind w:left="103"/>
              <w:rPr>
                <w:rFonts w:hint="eastAsia" w:ascii="仿宋" w:hAnsi="仿宋" w:eastAsia="仿宋" w:cs="仿宋"/>
                <w:sz w:val="24"/>
                <w:highlight w:val="none"/>
              </w:rPr>
            </w:pPr>
            <w:r>
              <w:rPr>
                <w:rFonts w:hint="eastAsia" w:ascii="仿宋" w:hAnsi="仿宋" w:eastAsia="仿宋" w:cs="仿宋"/>
                <w:sz w:val="24"/>
                <w:highlight w:val="none"/>
              </w:rPr>
              <w:t>技</w:t>
            </w:r>
            <w:r>
              <w:rPr>
                <w:rFonts w:hint="eastAsia" w:ascii="仿宋" w:hAnsi="仿宋" w:eastAsia="仿宋" w:cs="仿宋"/>
                <w:sz w:val="24"/>
                <w:highlight w:val="none"/>
              </w:rPr>
              <w:tab/>
            </w:r>
            <w:r>
              <w:rPr>
                <w:rFonts w:hint="eastAsia" w:ascii="仿宋" w:hAnsi="仿宋" w:eastAsia="仿宋" w:cs="仿宋"/>
                <w:sz w:val="24"/>
                <w:highlight w:val="none"/>
              </w:rPr>
              <w:t>工</w:t>
            </w:r>
          </w:p>
        </w:tc>
        <w:tc>
          <w:tcPr>
            <w:tcW w:w="2102" w:type="dxa"/>
            <w:gridSpan w:val="2"/>
            <w:noWrap w:val="0"/>
            <w:vAlign w:val="top"/>
          </w:tcPr>
          <w:p w14:paraId="4E206D21">
            <w:pPr>
              <w:rPr>
                <w:rFonts w:hint="eastAsia" w:ascii="仿宋" w:hAnsi="仿宋" w:eastAsia="仿宋" w:cs="仿宋"/>
                <w:highlight w:val="none"/>
              </w:rPr>
            </w:pPr>
          </w:p>
        </w:tc>
      </w:tr>
      <w:tr w14:paraId="79C22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exact"/>
        </w:trPr>
        <w:tc>
          <w:tcPr>
            <w:tcW w:w="1931" w:type="dxa"/>
            <w:noWrap w:val="0"/>
            <w:vAlign w:val="top"/>
          </w:tcPr>
          <w:p w14:paraId="4D327B9C">
            <w:pPr>
              <w:pStyle w:val="110"/>
              <w:spacing w:before="165"/>
              <w:ind w:left="103"/>
              <w:rPr>
                <w:rFonts w:hint="eastAsia" w:ascii="仿宋" w:hAnsi="仿宋" w:eastAsia="仿宋" w:cs="仿宋"/>
                <w:sz w:val="24"/>
                <w:highlight w:val="none"/>
              </w:rPr>
            </w:pPr>
            <w:r>
              <w:rPr>
                <w:rFonts w:hint="eastAsia" w:ascii="仿宋" w:hAnsi="仿宋" w:eastAsia="仿宋" w:cs="仿宋"/>
                <w:sz w:val="24"/>
                <w:highlight w:val="none"/>
              </w:rPr>
              <w:t>经营范围</w:t>
            </w:r>
          </w:p>
        </w:tc>
        <w:tc>
          <w:tcPr>
            <w:tcW w:w="7568" w:type="dxa"/>
            <w:gridSpan w:val="9"/>
            <w:noWrap w:val="0"/>
            <w:vAlign w:val="top"/>
          </w:tcPr>
          <w:p w14:paraId="6C2B5B71">
            <w:pPr>
              <w:rPr>
                <w:rFonts w:hint="eastAsia" w:ascii="仿宋" w:hAnsi="仿宋" w:eastAsia="仿宋" w:cs="仿宋"/>
                <w:highlight w:val="none"/>
              </w:rPr>
            </w:pPr>
          </w:p>
        </w:tc>
      </w:tr>
      <w:tr w14:paraId="357EE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4" w:hRule="exact"/>
        </w:trPr>
        <w:tc>
          <w:tcPr>
            <w:tcW w:w="1931" w:type="dxa"/>
            <w:noWrap w:val="0"/>
            <w:vAlign w:val="top"/>
          </w:tcPr>
          <w:p w14:paraId="36093C2E">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备注</w:t>
            </w:r>
          </w:p>
        </w:tc>
        <w:tc>
          <w:tcPr>
            <w:tcW w:w="7568" w:type="dxa"/>
            <w:gridSpan w:val="9"/>
            <w:noWrap w:val="0"/>
            <w:vAlign w:val="top"/>
          </w:tcPr>
          <w:p w14:paraId="667597F3">
            <w:pPr>
              <w:rPr>
                <w:rFonts w:hint="eastAsia" w:ascii="仿宋" w:hAnsi="仿宋" w:eastAsia="仿宋" w:cs="仿宋"/>
                <w:highlight w:val="none"/>
              </w:rPr>
            </w:pPr>
          </w:p>
        </w:tc>
      </w:tr>
    </w:tbl>
    <w:p w14:paraId="438EC4EB">
      <w:pPr>
        <w:pStyle w:val="12"/>
        <w:rPr>
          <w:rFonts w:hint="eastAsia" w:ascii="仿宋" w:hAnsi="仿宋" w:eastAsia="仿宋" w:cs="仿宋"/>
          <w:highlight w:val="none"/>
        </w:rPr>
      </w:pPr>
    </w:p>
    <w:p w14:paraId="6C8C1979">
      <w:pPr>
        <w:wordWrap w:val="0"/>
        <w:spacing w:line="560" w:lineRule="exact"/>
        <w:jc w:val="right"/>
        <w:rPr>
          <w:rFonts w:ascii="仿宋_GB2312" w:hAnsi="仿宋" w:eastAsia="仿宋_GB2312"/>
          <w:sz w:val="32"/>
          <w:szCs w:val="32"/>
          <w:highlight w:val="none"/>
        </w:rPr>
      </w:pPr>
      <w:r>
        <w:rPr>
          <w:rFonts w:hint="eastAsia" w:ascii="仿宋_GB2312" w:hAnsi="仿宋" w:eastAsia="仿宋_GB2312"/>
          <w:sz w:val="32"/>
          <w:szCs w:val="32"/>
          <w:highlight w:val="none"/>
        </w:rPr>
        <w:t xml:space="preserve">投标人（公章）：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033A3873">
      <w:pPr>
        <w:wordWrap w:val="0"/>
        <w:spacing w:line="560" w:lineRule="exact"/>
        <w:jc w:val="right"/>
        <w:rPr>
          <w:rFonts w:ascii="仿宋_GB2312" w:hAnsi="仿宋" w:eastAsia="仿宋_GB2312"/>
          <w:b/>
          <w:bCs/>
          <w:sz w:val="30"/>
          <w:szCs w:val="30"/>
          <w:highlight w:val="none"/>
        </w:rPr>
      </w:pPr>
      <w:r>
        <w:rPr>
          <w:rFonts w:hint="eastAsia" w:ascii="仿宋_GB2312" w:hAnsi="仿宋" w:eastAsia="仿宋_GB2312"/>
          <w:sz w:val="32"/>
          <w:szCs w:val="32"/>
          <w:highlight w:val="none"/>
        </w:rPr>
        <w:t xml:space="preserve">法定代表人签章：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2DBE6356">
      <w:pPr>
        <w:jc w:val="center"/>
        <w:rPr>
          <w:rFonts w:hint="eastAsia" w:ascii="仿宋" w:hAnsi="仿宋" w:eastAsia="仿宋" w:cs="仿宋"/>
          <w:b/>
          <w:bCs w:val="0"/>
          <w:szCs w:val="21"/>
          <w:highlight w:val="none"/>
        </w:rPr>
      </w:pPr>
      <w:r>
        <w:rPr>
          <w:rFonts w:ascii="仿宋_GB2312" w:hAnsi="仿宋" w:eastAsia="仿宋_GB2312"/>
          <w:bCs/>
          <w:sz w:val="30"/>
          <w:szCs w:val="30"/>
          <w:highlight w:val="none"/>
        </w:rPr>
        <w:br w:type="page"/>
      </w:r>
      <w:r>
        <w:rPr>
          <w:rFonts w:hint="eastAsia" w:ascii="仿宋" w:hAnsi="仿宋" w:eastAsia="仿宋" w:cs="仿宋"/>
          <w:b/>
          <w:bCs w:val="0"/>
          <w:sz w:val="32"/>
          <w:szCs w:val="32"/>
          <w:highlight w:val="none"/>
        </w:rPr>
        <w:t>拟投入本项目的人员配备</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3"/>
        <w:gridCol w:w="2703"/>
        <w:gridCol w:w="2848"/>
        <w:gridCol w:w="1734"/>
      </w:tblGrid>
      <w:tr w14:paraId="1C82F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11" w:hRule="atLeast"/>
          <w:jc w:val="center"/>
        </w:trPr>
        <w:tc>
          <w:tcPr>
            <w:tcW w:w="2313" w:type="dxa"/>
            <w:noWrap w:val="0"/>
            <w:vAlign w:val="center"/>
          </w:tcPr>
          <w:p w14:paraId="138A0DB6">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职务</w:t>
            </w:r>
          </w:p>
        </w:tc>
        <w:tc>
          <w:tcPr>
            <w:tcW w:w="2703" w:type="dxa"/>
            <w:noWrap w:val="0"/>
            <w:vAlign w:val="center"/>
          </w:tcPr>
          <w:p w14:paraId="0DC5BDA1">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姓名</w:t>
            </w:r>
          </w:p>
        </w:tc>
        <w:tc>
          <w:tcPr>
            <w:tcW w:w="2848" w:type="dxa"/>
            <w:noWrap w:val="0"/>
            <w:vAlign w:val="center"/>
          </w:tcPr>
          <w:p w14:paraId="4FFB58E5">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身份证号码</w:t>
            </w:r>
          </w:p>
        </w:tc>
        <w:tc>
          <w:tcPr>
            <w:tcW w:w="1734" w:type="dxa"/>
            <w:noWrap w:val="0"/>
            <w:vAlign w:val="center"/>
          </w:tcPr>
          <w:p w14:paraId="21A9FB97">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备注</w:t>
            </w:r>
          </w:p>
        </w:tc>
      </w:tr>
      <w:tr w14:paraId="019AC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67113C1F">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07AC3666">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32E2B65E">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3A71B68F">
            <w:pPr>
              <w:autoSpaceDE w:val="0"/>
              <w:autoSpaceDN w:val="0"/>
              <w:adjustRightInd w:val="0"/>
              <w:jc w:val="center"/>
              <w:rPr>
                <w:rFonts w:hint="eastAsia" w:ascii="仿宋" w:hAnsi="仿宋" w:eastAsia="仿宋" w:cs="仿宋"/>
                <w:szCs w:val="18"/>
                <w:highlight w:val="none"/>
              </w:rPr>
            </w:pPr>
          </w:p>
        </w:tc>
      </w:tr>
      <w:tr w14:paraId="33643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01406805">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3F9F7BDD">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62824A33">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7C299D17">
            <w:pPr>
              <w:autoSpaceDE w:val="0"/>
              <w:autoSpaceDN w:val="0"/>
              <w:adjustRightInd w:val="0"/>
              <w:jc w:val="center"/>
              <w:rPr>
                <w:rFonts w:hint="eastAsia" w:ascii="仿宋" w:hAnsi="仿宋" w:eastAsia="仿宋" w:cs="仿宋"/>
                <w:szCs w:val="18"/>
                <w:highlight w:val="none"/>
              </w:rPr>
            </w:pPr>
          </w:p>
        </w:tc>
      </w:tr>
      <w:tr w14:paraId="09567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3EB308A8">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1CC9B21D">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225C2BAE">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6F604628">
            <w:pPr>
              <w:autoSpaceDE w:val="0"/>
              <w:autoSpaceDN w:val="0"/>
              <w:adjustRightInd w:val="0"/>
              <w:jc w:val="center"/>
              <w:rPr>
                <w:rFonts w:hint="eastAsia" w:ascii="仿宋" w:hAnsi="仿宋" w:eastAsia="仿宋" w:cs="仿宋"/>
                <w:szCs w:val="18"/>
                <w:highlight w:val="none"/>
              </w:rPr>
            </w:pPr>
          </w:p>
        </w:tc>
      </w:tr>
      <w:tr w14:paraId="6A26E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3BD750A1">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12B0909E">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4240B7B9">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78B68023">
            <w:pPr>
              <w:autoSpaceDE w:val="0"/>
              <w:autoSpaceDN w:val="0"/>
              <w:adjustRightInd w:val="0"/>
              <w:jc w:val="center"/>
              <w:rPr>
                <w:rFonts w:hint="eastAsia" w:ascii="仿宋" w:hAnsi="仿宋" w:eastAsia="仿宋" w:cs="仿宋"/>
                <w:szCs w:val="18"/>
                <w:highlight w:val="none"/>
              </w:rPr>
            </w:pPr>
          </w:p>
        </w:tc>
      </w:tr>
      <w:tr w14:paraId="0D01D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68C9B0DB">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489490DF">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76D0ADF3">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2F90130F">
            <w:pPr>
              <w:autoSpaceDE w:val="0"/>
              <w:autoSpaceDN w:val="0"/>
              <w:adjustRightInd w:val="0"/>
              <w:jc w:val="center"/>
              <w:rPr>
                <w:rFonts w:hint="eastAsia" w:ascii="仿宋" w:hAnsi="仿宋" w:eastAsia="仿宋" w:cs="仿宋"/>
                <w:szCs w:val="18"/>
                <w:highlight w:val="none"/>
              </w:rPr>
            </w:pPr>
          </w:p>
        </w:tc>
      </w:tr>
      <w:tr w14:paraId="19460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jc w:val="center"/>
        </w:trPr>
        <w:tc>
          <w:tcPr>
            <w:tcW w:w="2313" w:type="dxa"/>
            <w:noWrap w:val="0"/>
            <w:vAlign w:val="center"/>
          </w:tcPr>
          <w:p w14:paraId="39A7D39C">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357276BB">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5A29A2F7">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7371D3BC">
            <w:pPr>
              <w:autoSpaceDE w:val="0"/>
              <w:autoSpaceDN w:val="0"/>
              <w:adjustRightInd w:val="0"/>
              <w:jc w:val="center"/>
              <w:rPr>
                <w:rFonts w:hint="eastAsia" w:ascii="仿宋" w:hAnsi="仿宋" w:eastAsia="仿宋" w:cs="仿宋"/>
                <w:szCs w:val="18"/>
                <w:highlight w:val="none"/>
              </w:rPr>
            </w:pPr>
          </w:p>
        </w:tc>
      </w:tr>
    </w:tbl>
    <w:p w14:paraId="3FDE95B1">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注：1、本表可由投标人根据实际情况自行扩展。</w:t>
      </w:r>
    </w:p>
    <w:p w14:paraId="327D721A">
      <w:pPr>
        <w:numPr>
          <w:ilvl w:val="0"/>
          <w:numId w:val="2"/>
        </w:numPr>
        <w:spacing w:line="440" w:lineRule="exact"/>
        <w:ind w:firstLine="480"/>
        <w:rPr>
          <w:rFonts w:hint="eastAsia" w:ascii="宋体" w:hAnsi="宋体" w:cs="宋体"/>
          <w:sz w:val="24"/>
          <w:highlight w:val="none"/>
        </w:rPr>
      </w:pPr>
      <w:r>
        <w:rPr>
          <w:rFonts w:hint="eastAsia" w:ascii="仿宋" w:hAnsi="仿宋" w:eastAsia="仿宋" w:cs="仿宋"/>
          <w:sz w:val="24"/>
          <w:highlight w:val="none"/>
        </w:rPr>
        <w:t>拟派本项目的上述现场管理人员不得相互兼任。</w:t>
      </w:r>
    </w:p>
    <w:p w14:paraId="0917A7BA">
      <w:pPr>
        <w:spacing w:line="340" w:lineRule="exact"/>
        <w:rPr>
          <w:szCs w:val="21"/>
          <w:highlight w:val="none"/>
        </w:rPr>
      </w:pPr>
    </w:p>
    <w:p w14:paraId="28CA6FFF">
      <w:pPr>
        <w:wordWrap w:val="0"/>
        <w:spacing w:line="560" w:lineRule="exact"/>
        <w:jc w:val="right"/>
        <w:rPr>
          <w:rFonts w:hint="eastAsia" w:ascii="仿宋_GB2312" w:hAnsi="仿宋" w:eastAsia="仿宋_GB2312"/>
          <w:sz w:val="32"/>
          <w:szCs w:val="32"/>
          <w:highlight w:val="none"/>
        </w:rPr>
      </w:pPr>
      <w:r>
        <w:rPr>
          <w:rFonts w:hint="eastAsia" w:ascii="仿宋_GB2312" w:hAnsi="仿宋" w:eastAsia="仿宋_GB2312"/>
          <w:sz w:val="32"/>
          <w:szCs w:val="32"/>
          <w:highlight w:val="none"/>
        </w:rPr>
        <w:t xml:space="preserve">投标人（公章）：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30845004">
      <w:pPr>
        <w:wordWrap w:val="0"/>
        <w:spacing w:line="560" w:lineRule="exact"/>
        <w:ind w:right="640"/>
        <w:jc w:val="center"/>
        <w:rPr>
          <w:rFonts w:ascii="仿宋_GB2312" w:hAnsi="仿宋" w:eastAsia="仿宋_GB2312"/>
          <w:sz w:val="32"/>
          <w:szCs w:val="32"/>
          <w:highlight w:val="none"/>
        </w:rPr>
      </w:pPr>
      <w:r>
        <w:rPr>
          <w:rFonts w:hint="eastAsia" w:ascii="仿宋_GB2312" w:hAnsi="仿宋" w:eastAsia="仿宋_GB2312"/>
          <w:sz w:val="32"/>
          <w:szCs w:val="32"/>
          <w:highlight w:val="none"/>
        </w:rPr>
        <w:t xml:space="preserve">                                        法定代表人签章：</w:t>
      </w:r>
    </w:p>
    <w:p w14:paraId="0CB78AC9">
      <w:pPr>
        <w:pStyle w:val="5"/>
        <w:ind w:firstLine="6080" w:firstLineChars="1900"/>
        <w:rPr>
          <w:rFonts w:hint="eastAsia" w:ascii="仿宋_GB2312" w:hAnsi="仿宋" w:eastAsia="仿宋_GB2312"/>
          <w:b w:val="0"/>
          <w:bCs w:val="0"/>
          <w:highlight w:val="none"/>
        </w:rPr>
      </w:pPr>
      <w:r>
        <w:rPr>
          <w:rFonts w:hint="eastAsia" w:ascii="仿宋_GB2312" w:hAnsi="仿宋" w:eastAsia="仿宋_GB2312"/>
          <w:b w:val="0"/>
          <w:bCs w:val="0"/>
          <w:highlight w:val="none"/>
        </w:rPr>
        <w:t xml:space="preserve"> </w:t>
      </w:r>
      <w:r>
        <w:rPr>
          <w:rFonts w:ascii="仿宋_GB2312" w:hAnsi="仿宋" w:eastAsia="仿宋_GB2312"/>
          <w:b w:val="0"/>
          <w:bCs w:val="0"/>
          <w:highlight w:val="none"/>
        </w:rPr>
        <w:t xml:space="preserve"> </w:t>
      </w:r>
    </w:p>
    <w:p w14:paraId="0E9FF546">
      <w:pPr>
        <w:rPr>
          <w:rFonts w:hint="eastAsia"/>
          <w:bCs/>
          <w:sz w:val="10"/>
          <w:szCs w:val="10"/>
          <w:highlight w:val="none"/>
        </w:rPr>
      </w:pPr>
    </w:p>
    <w:p w14:paraId="30F87F5A">
      <w:pPr>
        <w:pStyle w:val="26"/>
        <w:rPr>
          <w:rFonts w:hint="eastAsia" w:ascii="宋体" w:hAnsi="宋体"/>
          <w:bCs/>
          <w:sz w:val="10"/>
          <w:szCs w:val="10"/>
          <w:highlight w:val="none"/>
          <w:lang w:eastAsia="zh-CN"/>
        </w:rPr>
      </w:pPr>
    </w:p>
    <w:p w14:paraId="2E37D9ED">
      <w:pPr>
        <w:pStyle w:val="26"/>
        <w:rPr>
          <w:rFonts w:hint="eastAsia" w:ascii="宋体" w:hAnsi="宋体"/>
          <w:bCs/>
          <w:sz w:val="10"/>
          <w:szCs w:val="10"/>
          <w:highlight w:val="none"/>
          <w:lang w:eastAsia="zh-CN"/>
        </w:rPr>
      </w:pPr>
    </w:p>
    <w:p w14:paraId="462618D9">
      <w:pPr>
        <w:pStyle w:val="26"/>
        <w:rPr>
          <w:rFonts w:hint="eastAsia" w:ascii="宋体" w:hAnsi="宋体"/>
          <w:bCs/>
          <w:sz w:val="10"/>
          <w:szCs w:val="10"/>
          <w:highlight w:val="none"/>
          <w:lang w:eastAsia="zh-CN"/>
        </w:rPr>
      </w:pPr>
    </w:p>
    <w:p w14:paraId="3502D499">
      <w:pPr>
        <w:pStyle w:val="26"/>
        <w:rPr>
          <w:rFonts w:hint="eastAsia" w:ascii="宋体" w:hAnsi="宋体"/>
          <w:bCs/>
          <w:sz w:val="10"/>
          <w:szCs w:val="10"/>
          <w:highlight w:val="none"/>
          <w:lang w:eastAsia="zh-CN"/>
        </w:rPr>
      </w:pPr>
    </w:p>
    <w:p w14:paraId="48CB527E">
      <w:pPr>
        <w:jc w:val="center"/>
        <w:rPr>
          <w:rFonts w:hint="eastAsia" w:eastAsia="黑体"/>
          <w:bCs/>
          <w:sz w:val="32"/>
          <w:szCs w:val="32"/>
          <w:highlight w:val="none"/>
        </w:rPr>
      </w:pPr>
      <w:r>
        <w:rPr>
          <w:rFonts w:hint="eastAsia" w:ascii="仿宋" w:hAnsi="仿宋" w:eastAsia="仿宋" w:cs="仿宋"/>
          <w:b/>
          <w:bCs w:val="0"/>
          <w:sz w:val="32"/>
          <w:szCs w:val="32"/>
          <w:highlight w:val="none"/>
        </w:rPr>
        <w:t>拟投入的主要施工机械设备表</w:t>
      </w:r>
    </w:p>
    <w:p w14:paraId="13F8736D">
      <w:pPr>
        <w:ind w:firstLine="435"/>
        <w:rPr>
          <w:rFonts w:hint="eastAsia" w:ascii="仿宋" w:hAnsi="仿宋" w:eastAsia="仿宋" w:cs="仿宋"/>
          <w:b/>
          <w:bCs/>
          <w:sz w:val="28"/>
          <w:szCs w:val="28"/>
          <w:highlight w:val="none"/>
        </w:rPr>
      </w:pPr>
      <w:r>
        <w:rPr>
          <w:rFonts w:hint="eastAsia" w:ascii="宋体" w:hAnsi="宋体"/>
          <w:b/>
          <w:bCs/>
          <w:sz w:val="28"/>
          <w:szCs w:val="28"/>
          <w:highlight w:val="none"/>
          <w:u w:val="single"/>
        </w:rPr>
        <w:t xml:space="preserve">  </w:t>
      </w:r>
      <w:r>
        <w:rPr>
          <w:rFonts w:hint="eastAsia" w:ascii="仿宋" w:hAnsi="仿宋" w:eastAsia="仿宋" w:cs="仿宋"/>
          <w:b/>
          <w:bCs/>
          <w:sz w:val="28"/>
          <w:szCs w:val="28"/>
          <w:highlight w:val="none"/>
          <w:u w:val="single"/>
        </w:rPr>
        <w:t xml:space="preserve"> （工程项目名称）    </w:t>
      </w:r>
    </w:p>
    <w:tbl>
      <w:tblPr>
        <w:tblStyle w:val="31"/>
        <w:tblW w:w="9720" w:type="dxa"/>
        <w:tblInd w:w="0" w:type="dxa"/>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0" w:type="dxa"/>
          <w:bottom w:w="0" w:type="dxa"/>
          <w:right w:w="0" w:type="dxa"/>
        </w:tblCellMar>
      </w:tblPr>
      <w:tblGrid>
        <w:gridCol w:w="638"/>
        <w:gridCol w:w="1507"/>
        <w:gridCol w:w="960"/>
        <w:gridCol w:w="720"/>
        <w:gridCol w:w="730"/>
        <w:gridCol w:w="1123"/>
        <w:gridCol w:w="1123"/>
        <w:gridCol w:w="778"/>
        <w:gridCol w:w="979"/>
        <w:gridCol w:w="1162"/>
      </w:tblGrid>
      <w:tr w14:paraId="0623377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30B9FB5B">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序号</w:t>
            </w:r>
          </w:p>
        </w:tc>
        <w:tc>
          <w:tcPr>
            <w:tcW w:w="1507" w:type="dxa"/>
            <w:noWrap w:val="0"/>
            <w:vAlign w:val="center"/>
          </w:tcPr>
          <w:p w14:paraId="7ED3B80A">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机械或设备名称</w:t>
            </w:r>
          </w:p>
        </w:tc>
        <w:tc>
          <w:tcPr>
            <w:tcW w:w="960" w:type="dxa"/>
            <w:noWrap w:val="0"/>
            <w:vAlign w:val="center"/>
          </w:tcPr>
          <w:p w14:paraId="228FCFF8">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型号</w:t>
            </w:r>
          </w:p>
          <w:p w14:paraId="4181FCB0">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规格</w:t>
            </w:r>
          </w:p>
        </w:tc>
        <w:tc>
          <w:tcPr>
            <w:tcW w:w="720" w:type="dxa"/>
            <w:noWrap w:val="0"/>
            <w:vAlign w:val="center"/>
          </w:tcPr>
          <w:p w14:paraId="71952C94">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数量</w:t>
            </w:r>
          </w:p>
        </w:tc>
        <w:tc>
          <w:tcPr>
            <w:tcW w:w="730" w:type="dxa"/>
            <w:noWrap w:val="0"/>
            <w:vAlign w:val="center"/>
          </w:tcPr>
          <w:p w14:paraId="1D86A757">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国别</w:t>
            </w:r>
          </w:p>
          <w:p w14:paraId="64BE9DF9">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产地</w:t>
            </w:r>
          </w:p>
        </w:tc>
        <w:tc>
          <w:tcPr>
            <w:tcW w:w="1123" w:type="dxa"/>
            <w:noWrap w:val="0"/>
            <w:vAlign w:val="center"/>
          </w:tcPr>
          <w:p w14:paraId="2F7554D1">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制造年份</w:t>
            </w:r>
          </w:p>
        </w:tc>
        <w:tc>
          <w:tcPr>
            <w:tcW w:w="1123" w:type="dxa"/>
            <w:noWrap w:val="0"/>
            <w:vAlign w:val="center"/>
          </w:tcPr>
          <w:p w14:paraId="3CF2F5D2">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额定功率    (kw)</w:t>
            </w:r>
          </w:p>
        </w:tc>
        <w:tc>
          <w:tcPr>
            <w:tcW w:w="778" w:type="dxa"/>
            <w:noWrap w:val="0"/>
            <w:vAlign w:val="center"/>
          </w:tcPr>
          <w:p w14:paraId="4262C37F">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生产</w:t>
            </w:r>
          </w:p>
          <w:p w14:paraId="4595B0A5">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能力</w:t>
            </w:r>
          </w:p>
        </w:tc>
        <w:tc>
          <w:tcPr>
            <w:tcW w:w="979" w:type="dxa"/>
            <w:noWrap w:val="0"/>
            <w:vAlign w:val="center"/>
          </w:tcPr>
          <w:p w14:paraId="550C03BE">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用于施</w:t>
            </w:r>
          </w:p>
          <w:p w14:paraId="5807ED9F">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工部位</w:t>
            </w:r>
          </w:p>
        </w:tc>
        <w:tc>
          <w:tcPr>
            <w:tcW w:w="1162" w:type="dxa"/>
            <w:noWrap w:val="0"/>
            <w:vAlign w:val="center"/>
          </w:tcPr>
          <w:p w14:paraId="37F9AC07">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备注</w:t>
            </w:r>
          </w:p>
        </w:tc>
      </w:tr>
      <w:tr w14:paraId="626E52C9">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64C4F250">
            <w:pPr>
              <w:autoSpaceDE w:val="0"/>
              <w:autoSpaceDN w:val="0"/>
              <w:jc w:val="center"/>
              <w:rPr>
                <w:rFonts w:hint="eastAsia" w:ascii="仿宋" w:hAnsi="仿宋" w:eastAsia="仿宋" w:cs="仿宋"/>
                <w:sz w:val="24"/>
                <w:highlight w:val="none"/>
              </w:rPr>
            </w:pPr>
          </w:p>
        </w:tc>
        <w:tc>
          <w:tcPr>
            <w:tcW w:w="1507" w:type="dxa"/>
            <w:noWrap w:val="0"/>
            <w:vAlign w:val="center"/>
          </w:tcPr>
          <w:p w14:paraId="5A6E3BEE">
            <w:pPr>
              <w:autoSpaceDE w:val="0"/>
              <w:autoSpaceDN w:val="0"/>
              <w:jc w:val="center"/>
              <w:rPr>
                <w:rFonts w:hint="eastAsia" w:ascii="仿宋" w:hAnsi="仿宋" w:eastAsia="仿宋" w:cs="仿宋"/>
                <w:sz w:val="24"/>
                <w:highlight w:val="none"/>
              </w:rPr>
            </w:pPr>
          </w:p>
        </w:tc>
        <w:tc>
          <w:tcPr>
            <w:tcW w:w="960" w:type="dxa"/>
            <w:noWrap w:val="0"/>
            <w:vAlign w:val="center"/>
          </w:tcPr>
          <w:p w14:paraId="55B4611A">
            <w:pPr>
              <w:autoSpaceDE w:val="0"/>
              <w:autoSpaceDN w:val="0"/>
              <w:jc w:val="center"/>
              <w:rPr>
                <w:rFonts w:hint="eastAsia" w:ascii="仿宋" w:hAnsi="仿宋" w:eastAsia="仿宋" w:cs="仿宋"/>
                <w:sz w:val="24"/>
                <w:highlight w:val="none"/>
              </w:rPr>
            </w:pPr>
          </w:p>
        </w:tc>
        <w:tc>
          <w:tcPr>
            <w:tcW w:w="720" w:type="dxa"/>
            <w:noWrap w:val="0"/>
            <w:vAlign w:val="center"/>
          </w:tcPr>
          <w:p w14:paraId="2CDB9E58">
            <w:pPr>
              <w:autoSpaceDE w:val="0"/>
              <w:autoSpaceDN w:val="0"/>
              <w:jc w:val="center"/>
              <w:rPr>
                <w:rFonts w:hint="eastAsia" w:ascii="仿宋" w:hAnsi="仿宋" w:eastAsia="仿宋" w:cs="仿宋"/>
                <w:sz w:val="24"/>
                <w:highlight w:val="none"/>
              </w:rPr>
            </w:pPr>
          </w:p>
        </w:tc>
        <w:tc>
          <w:tcPr>
            <w:tcW w:w="730" w:type="dxa"/>
            <w:noWrap w:val="0"/>
            <w:vAlign w:val="center"/>
          </w:tcPr>
          <w:p w14:paraId="52A63448">
            <w:pPr>
              <w:autoSpaceDE w:val="0"/>
              <w:autoSpaceDN w:val="0"/>
              <w:jc w:val="center"/>
              <w:rPr>
                <w:rFonts w:hint="eastAsia" w:ascii="仿宋" w:hAnsi="仿宋" w:eastAsia="仿宋" w:cs="仿宋"/>
                <w:sz w:val="24"/>
                <w:highlight w:val="none"/>
              </w:rPr>
            </w:pPr>
          </w:p>
        </w:tc>
        <w:tc>
          <w:tcPr>
            <w:tcW w:w="1123" w:type="dxa"/>
            <w:noWrap w:val="0"/>
            <w:vAlign w:val="center"/>
          </w:tcPr>
          <w:p w14:paraId="0212BA01">
            <w:pPr>
              <w:autoSpaceDE w:val="0"/>
              <w:autoSpaceDN w:val="0"/>
              <w:jc w:val="center"/>
              <w:rPr>
                <w:rFonts w:hint="eastAsia" w:ascii="仿宋" w:hAnsi="仿宋" w:eastAsia="仿宋" w:cs="仿宋"/>
                <w:sz w:val="24"/>
                <w:highlight w:val="none"/>
              </w:rPr>
            </w:pPr>
          </w:p>
        </w:tc>
        <w:tc>
          <w:tcPr>
            <w:tcW w:w="1123" w:type="dxa"/>
            <w:noWrap w:val="0"/>
            <w:vAlign w:val="center"/>
          </w:tcPr>
          <w:p w14:paraId="66B0F480">
            <w:pPr>
              <w:autoSpaceDE w:val="0"/>
              <w:autoSpaceDN w:val="0"/>
              <w:jc w:val="center"/>
              <w:rPr>
                <w:rFonts w:hint="eastAsia" w:ascii="仿宋" w:hAnsi="仿宋" w:eastAsia="仿宋" w:cs="仿宋"/>
                <w:sz w:val="24"/>
                <w:highlight w:val="none"/>
              </w:rPr>
            </w:pPr>
          </w:p>
        </w:tc>
        <w:tc>
          <w:tcPr>
            <w:tcW w:w="778" w:type="dxa"/>
            <w:noWrap w:val="0"/>
            <w:vAlign w:val="center"/>
          </w:tcPr>
          <w:p w14:paraId="2222EFA3">
            <w:pPr>
              <w:autoSpaceDE w:val="0"/>
              <w:autoSpaceDN w:val="0"/>
              <w:jc w:val="center"/>
              <w:rPr>
                <w:rFonts w:hint="eastAsia" w:ascii="仿宋" w:hAnsi="仿宋" w:eastAsia="仿宋" w:cs="仿宋"/>
                <w:sz w:val="24"/>
                <w:highlight w:val="none"/>
              </w:rPr>
            </w:pPr>
          </w:p>
        </w:tc>
        <w:tc>
          <w:tcPr>
            <w:tcW w:w="979" w:type="dxa"/>
            <w:noWrap w:val="0"/>
            <w:vAlign w:val="center"/>
          </w:tcPr>
          <w:p w14:paraId="5AD74B27">
            <w:pPr>
              <w:autoSpaceDE w:val="0"/>
              <w:autoSpaceDN w:val="0"/>
              <w:jc w:val="center"/>
              <w:rPr>
                <w:rFonts w:hint="eastAsia" w:ascii="仿宋" w:hAnsi="仿宋" w:eastAsia="仿宋" w:cs="仿宋"/>
                <w:sz w:val="24"/>
                <w:highlight w:val="none"/>
              </w:rPr>
            </w:pPr>
          </w:p>
        </w:tc>
        <w:tc>
          <w:tcPr>
            <w:tcW w:w="1162" w:type="dxa"/>
            <w:noWrap w:val="0"/>
            <w:vAlign w:val="center"/>
          </w:tcPr>
          <w:p w14:paraId="54B58EE4">
            <w:pPr>
              <w:autoSpaceDE w:val="0"/>
              <w:autoSpaceDN w:val="0"/>
              <w:jc w:val="center"/>
              <w:rPr>
                <w:rFonts w:hint="eastAsia" w:ascii="仿宋" w:hAnsi="仿宋" w:eastAsia="仿宋" w:cs="仿宋"/>
                <w:sz w:val="24"/>
                <w:highlight w:val="none"/>
              </w:rPr>
            </w:pPr>
          </w:p>
        </w:tc>
      </w:tr>
      <w:tr w14:paraId="5D934478">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1D7E1604">
            <w:pPr>
              <w:autoSpaceDE w:val="0"/>
              <w:autoSpaceDN w:val="0"/>
              <w:jc w:val="center"/>
              <w:rPr>
                <w:rFonts w:hint="eastAsia" w:ascii="仿宋" w:hAnsi="仿宋" w:eastAsia="仿宋" w:cs="仿宋"/>
                <w:sz w:val="24"/>
                <w:highlight w:val="none"/>
              </w:rPr>
            </w:pPr>
          </w:p>
        </w:tc>
        <w:tc>
          <w:tcPr>
            <w:tcW w:w="1507" w:type="dxa"/>
            <w:noWrap w:val="0"/>
            <w:vAlign w:val="center"/>
          </w:tcPr>
          <w:p w14:paraId="3C18BEB8">
            <w:pPr>
              <w:autoSpaceDE w:val="0"/>
              <w:autoSpaceDN w:val="0"/>
              <w:jc w:val="center"/>
              <w:rPr>
                <w:rFonts w:hint="eastAsia" w:ascii="仿宋" w:hAnsi="仿宋" w:eastAsia="仿宋" w:cs="仿宋"/>
                <w:sz w:val="24"/>
                <w:highlight w:val="none"/>
              </w:rPr>
            </w:pPr>
          </w:p>
        </w:tc>
        <w:tc>
          <w:tcPr>
            <w:tcW w:w="960" w:type="dxa"/>
            <w:noWrap w:val="0"/>
            <w:vAlign w:val="center"/>
          </w:tcPr>
          <w:p w14:paraId="29028E27">
            <w:pPr>
              <w:autoSpaceDE w:val="0"/>
              <w:autoSpaceDN w:val="0"/>
              <w:jc w:val="center"/>
              <w:rPr>
                <w:rFonts w:hint="eastAsia" w:ascii="仿宋" w:hAnsi="仿宋" w:eastAsia="仿宋" w:cs="仿宋"/>
                <w:sz w:val="24"/>
                <w:highlight w:val="none"/>
              </w:rPr>
            </w:pPr>
          </w:p>
        </w:tc>
        <w:tc>
          <w:tcPr>
            <w:tcW w:w="720" w:type="dxa"/>
            <w:noWrap w:val="0"/>
            <w:vAlign w:val="center"/>
          </w:tcPr>
          <w:p w14:paraId="26CCC4B4">
            <w:pPr>
              <w:autoSpaceDE w:val="0"/>
              <w:autoSpaceDN w:val="0"/>
              <w:jc w:val="center"/>
              <w:rPr>
                <w:rFonts w:hint="eastAsia" w:ascii="仿宋" w:hAnsi="仿宋" w:eastAsia="仿宋" w:cs="仿宋"/>
                <w:sz w:val="24"/>
                <w:highlight w:val="none"/>
              </w:rPr>
            </w:pPr>
          </w:p>
        </w:tc>
        <w:tc>
          <w:tcPr>
            <w:tcW w:w="730" w:type="dxa"/>
            <w:noWrap w:val="0"/>
            <w:vAlign w:val="center"/>
          </w:tcPr>
          <w:p w14:paraId="0B4AFC7B">
            <w:pPr>
              <w:autoSpaceDE w:val="0"/>
              <w:autoSpaceDN w:val="0"/>
              <w:jc w:val="center"/>
              <w:rPr>
                <w:rFonts w:hint="eastAsia" w:ascii="仿宋" w:hAnsi="仿宋" w:eastAsia="仿宋" w:cs="仿宋"/>
                <w:sz w:val="24"/>
                <w:highlight w:val="none"/>
              </w:rPr>
            </w:pPr>
          </w:p>
        </w:tc>
        <w:tc>
          <w:tcPr>
            <w:tcW w:w="1123" w:type="dxa"/>
            <w:noWrap w:val="0"/>
            <w:vAlign w:val="center"/>
          </w:tcPr>
          <w:p w14:paraId="576A0AA7">
            <w:pPr>
              <w:autoSpaceDE w:val="0"/>
              <w:autoSpaceDN w:val="0"/>
              <w:jc w:val="center"/>
              <w:rPr>
                <w:rFonts w:hint="eastAsia" w:ascii="仿宋" w:hAnsi="仿宋" w:eastAsia="仿宋" w:cs="仿宋"/>
                <w:sz w:val="24"/>
                <w:highlight w:val="none"/>
              </w:rPr>
            </w:pPr>
          </w:p>
        </w:tc>
        <w:tc>
          <w:tcPr>
            <w:tcW w:w="1123" w:type="dxa"/>
            <w:noWrap w:val="0"/>
            <w:vAlign w:val="center"/>
          </w:tcPr>
          <w:p w14:paraId="63FF7E31">
            <w:pPr>
              <w:autoSpaceDE w:val="0"/>
              <w:autoSpaceDN w:val="0"/>
              <w:jc w:val="center"/>
              <w:rPr>
                <w:rFonts w:hint="eastAsia" w:ascii="仿宋" w:hAnsi="仿宋" w:eastAsia="仿宋" w:cs="仿宋"/>
                <w:sz w:val="24"/>
                <w:highlight w:val="none"/>
              </w:rPr>
            </w:pPr>
          </w:p>
        </w:tc>
        <w:tc>
          <w:tcPr>
            <w:tcW w:w="778" w:type="dxa"/>
            <w:noWrap w:val="0"/>
            <w:vAlign w:val="center"/>
          </w:tcPr>
          <w:p w14:paraId="5FEF8EBD">
            <w:pPr>
              <w:autoSpaceDE w:val="0"/>
              <w:autoSpaceDN w:val="0"/>
              <w:jc w:val="center"/>
              <w:rPr>
                <w:rFonts w:hint="eastAsia" w:ascii="仿宋" w:hAnsi="仿宋" w:eastAsia="仿宋" w:cs="仿宋"/>
                <w:sz w:val="24"/>
                <w:highlight w:val="none"/>
              </w:rPr>
            </w:pPr>
          </w:p>
        </w:tc>
        <w:tc>
          <w:tcPr>
            <w:tcW w:w="979" w:type="dxa"/>
            <w:noWrap w:val="0"/>
            <w:vAlign w:val="center"/>
          </w:tcPr>
          <w:p w14:paraId="6EB5B2B7">
            <w:pPr>
              <w:autoSpaceDE w:val="0"/>
              <w:autoSpaceDN w:val="0"/>
              <w:jc w:val="center"/>
              <w:rPr>
                <w:rFonts w:hint="eastAsia" w:ascii="仿宋" w:hAnsi="仿宋" w:eastAsia="仿宋" w:cs="仿宋"/>
                <w:sz w:val="24"/>
                <w:highlight w:val="none"/>
              </w:rPr>
            </w:pPr>
          </w:p>
        </w:tc>
        <w:tc>
          <w:tcPr>
            <w:tcW w:w="1162" w:type="dxa"/>
            <w:noWrap w:val="0"/>
            <w:vAlign w:val="center"/>
          </w:tcPr>
          <w:p w14:paraId="62A7D14A">
            <w:pPr>
              <w:autoSpaceDE w:val="0"/>
              <w:autoSpaceDN w:val="0"/>
              <w:jc w:val="center"/>
              <w:rPr>
                <w:rFonts w:hint="eastAsia" w:ascii="仿宋" w:hAnsi="仿宋" w:eastAsia="仿宋" w:cs="仿宋"/>
                <w:sz w:val="24"/>
                <w:highlight w:val="none"/>
              </w:rPr>
            </w:pPr>
          </w:p>
        </w:tc>
      </w:tr>
      <w:tr w14:paraId="5A0EDFA8">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5F05BC2">
            <w:pPr>
              <w:autoSpaceDE w:val="0"/>
              <w:autoSpaceDN w:val="0"/>
              <w:jc w:val="center"/>
              <w:rPr>
                <w:rFonts w:hint="eastAsia" w:ascii="仿宋" w:hAnsi="仿宋" w:eastAsia="仿宋" w:cs="仿宋"/>
                <w:sz w:val="24"/>
                <w:highlight w:val="none"/>
              </w:rPr>
            </w:pPr>
          </w:p>
        </w:tc>
        <w:tc>
          <w:tcPr>
            <w:tcW w:w="1507" w:type="dxa"/>
            <w:noWrap w:val="0"/>
            <w:vAlign w:val="center"/>
          </w:tcPr>
          <w:p w14:paraId="71F3BD6F">
            <w:pPr>
              <w:autoSpaceDE w:val="0"/>
              <w:autoSpaceDN w:val="0"/>
              <w:jc w:val="center"/>
              <w:rPr>
                <w:rFonts w:hint="eastAsia" w:ascii="仿宋" w:hAnsi="仿宋" w:eastAsia="仿宋" w:cs="仿宋"/>
                <w:sz w:val="24"/>
                <w:highlight w:val="none"/>
              </w:rPr>
            </w:pPr>
          </w:p>
        </w:tc>
        <w:tc>
          <w:tcPr>
            <w:tcW w:w="960" w:type="dxa"/>
            <w:noWrap w:val="0"/>
            <w:vAlign w:val="center"/>
          </w:tcPr>
          <w:p w14:paraId="40CAF491">
            <w:pPr>
              <w:autoSpaceDE w:val="0"/>
              <w:autoSpaceDN w:val="0"/>
              <w:jc w:val="center"/>
              <w:rPr>
                <w:rFonts w:hint="eastAsia" w:ascii="仿宋" w:hAnsi="仿宋" w:eastAsia="仿宋" w:cs="仿宋"/>
                <w:sz w:val="24"/>
                <w:highlight w:val="none"/>
              </w:rPr>
            </w:pPr>
          </w:p>
        </w:tc>
        <w:tc>
          <w:tcPr>
            <w:tcW w:w="720" w:type="dxa"/>
            <w:noWrap w:val="0"/>
            <w:vAlign w:val="center"/>
          </w:tcPr>
          <w:p w14:paraId="5848F660">
            <w:pPr>
              <w:autoSpaceDE w:val="0"/>
              <w:autoSpaceDN w:val="0"/>
              <w:jc w:val="center"/>
              <w:rPr>
                <w:rFonts w:hint="eastAsia" w:ascii="仿宋" w:hAnsi="仿宋" w:eastAsia="仿宋" w:cs="仿宋"/>
                <w:sz w:val="24"/>
                <w:highlight w:val="none"/>
              </w:rPr>
            </w:pPr>
          </w:p>
        </w:tc>
        <w:tc>
          <w:tcPr>
            <w:tcW w:w="730" w:type="dxa"/>
            <w:noWrap w:val="0"/>
            <w:vAlign w:val="center"/>
          </w:tcPr>
          <w:p w14:paraId="54AB994C">
            <w:pPr>
              <w:autoSpaceDE w:val="0"/>
              <w:autoSpaceDN w:val="0"/>
              <w:jc w:val="center"/>
              <w:rPr>
                <w:rFonts w:hint="eastAsia" w:ascii="仿宋" w:hAnsi="仿宋" w:eastAsia="仿宋" w:cs="仿宋"/>
                <w:sz w:val="24"/>
                <w:highlight w:val="none"/>
              </w:rPr>
            </w:pPr>
          </w:p>
        </w:tc>
        <w:tc>
          <w:tcPr>
            <w:tcW w:w="1123" w:type="dxa"/>
            <w:noWrap w:val="0"/>
            <w:vAlign w:val="center"/>
          </w:tcPr>
          <w:p w14:paraId="24822F6E">
            <w:pPr>
              <w:autoSpaceDE w:val="0"/>
              <w:autoSpaceDN w:val="0"/>
              <w:jc w:val="center"/>
              <w:rPr>
                <w:rFonts w:hint="eastAsia" w:ascii="仿宋" w:hAnsi="仿宋" w:eastAsia="仿宋" w:cs="仿宋"/>
                <w:sz w:val="24"/>
                <w:highlight w:val="none"/>
              </w:rPr>
            </w:pPr>
          </w:p>
        </w:tc>
        <w:tc>
          <w:tcPr>
            <w:tcW w:w="1123" w:type="dxa"/>
            <w:noWrap w:val="0"/>
            <w:vAlign w:val="center"/>
          </w:tcPr>
          <w:p w14:paraId="7D1542B6">
            <w:pPr>
              <w:autoSpaceDE w:val="0"/>
              <w:autoSpaceDN w:val="0"/>
              <w:jc w:val="center"/>
              <w:rPr>
                <w:rFonts w:hint="eastAsia" w:ascii="仿宋" w:hAnsi="仿宋" w:eastAsia="仿宋" w:cs="仿宋"/>
                <w:sz w:val="24"/>
                <w:highlight w:val="none"/>
              </w:rPr>
            </w:pPr>
          </w:p>
        </w:tc>
        <w:tc>
          <w:tcPr>
            <w:tcW w:w="778" w:type="dxa"/>
            <w:noWrap w:val="0"/>
            <w:vAlign w:val="center"/>
          </w:tcPr>
          <w:p w14:paraId="749332FE">
            <w:pPr>
              <w:autoSpaceDE w:val="0"/>
              <w:autoSpaceDN w:val="0"/>
              <w:jc w:val="center"/>
              <w:rPr>
                <w:rFonts w:hint="eastAsia" w:ascii="仿宋" w:hAnsi="仿宋" w:eastAsia="仿宋" w:cs="仿宋"/>
                <w:sz w:val="24"/>
                <w:highlight w:val="none"/>
              </w:rPr>
            </w:pPr>
          </w:p>
        </w:tc>
        <w:tc>
          <w:tcPr>
            <w:tcW w:w="979" w:type="dxa"/>
            <w:noWrap w:val="0"/>
            <w:vAlign w:val="center"/>
          </w:tcPr>
          <w:p w14:paraId="625D6E68">
            <w:pPr>
              <w:autoSpaceDE w:val="0"/>
              <w:autoSpaceDN w:val="0"/>
              <w:jc w:val="center"/>
              <w:rPr>
                <w:rFonts w:hint="eastAsia" w:ascii="仿宋" w:hAnsi="仿宋" w:eastAsia="仿宋" w:cs="仿宋"/>
                <w:sz w:val="24"/>
                <w:highlight w:val="none"/>
              </w:rPr>
            </w:pPr>
          </w:p>
        </w:tc>
        <w:tc>
          <w:tcPr>
            <w:tcW w:w="1162" w:type="dxa"/>
            <w:noWrap w:val="0"/>
            <w:vAlign w:val="center"/>
          </w:tcPr>
          <w:p w14:paraId="393535FD">
            <w:pPr>
              <w:autoSpaceDE w:val="0"/>
              <w:autoSpaceDN w:val="0"/>
              <w:jc w:val="center"/>
              <w:rPr>
                <w:rFonts w:hint="eastAsia" w:ascii="仿宋" w:hAnsi="仿宋" w:eastAsia="仿宋" w:cs="仿宋"/>
                <w:sz w:val="24"/>
                <w:highlight w:val="none"/>
              </w:rPr>
            </w:pPr>
          </w:p>
        </w:tc>
      </w:tr>
      <w:tr w14:paraId="699F3A85">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3368FA85">
            <w:pPr>
              <w:autoSpaceDE w:val="0"/>
              <w:autoSpaceDN w:val="0"/>
              <w:jc w:val="center"/>
              <w:rPr>
                <w:rFonts w:hint="eastAsia" w:ascii="仿宋" w:hAnsi="仿宋" w:eastAsia="仿宋" w:cs="仿宋"/>
                <w:sz w:val="24"/>
                <w:highlight w:val="none"/>
              </w:rPr>
            </w:pPr>
          </w:p>
        </w:tc>
        <w:tc>
          <w:tcPr>
            <w:tcW w:w="1507" w:type="dxa"/>
            <w:noWrap w:val="0"/>
            <w:vAlign w:val="center"/>
          </w:tcPr>
          <w:p w14:paraId="655CC1BA">
            <w:pPr>
              <w:autoSpaceDE w:val="0"/>
              <w:autoSpaceDN w:val="0"/>
              <w:jc w:val="center"/>
              <w:rPr>
                <w:rFonts w:hint="eastAsia" w:ascii="仿宋" w:hAnsi="仿宋" w:eastAsia="仿宋" w:cs="仿宋"/>
                <w:sz w:val="24"/>
                <w:highlight w:val="none"/>
              </w:rPr>
            </w:pPr>
          </w:p>
        </w:tc>
        <w:tc>
          <w:tcPr>
            <w:tcW w:w="960" w:type="dxa"/>
            <w:noWrap w:val="0"/>
            <w:vAlign w:val="center"/>
          </w:tcPr>
          <w:p w14:paraId="35D69424">
            <w:pPr>
              <w:autoSpaceDE w:val="0"/>
              <w:autoSpaceDN w:val="0"/>
              <w:jc w:val="center"/>
              <w:rPr>
                <w:rFonts w:hint="eastAsia" w:ascii="仿宋" w:hAnsi="仿宋" w:eastAsia="仿宋" w:cs="仿宋"/>
                <w:sz w:val="24"/>
                <w:highlight w:val="none"/>
              </w:rPr>
            </w:pPr>
          </w:p>
        </w:tc>
        <w:tc>
          <w:tcPr>
            <w:tcW w:w="720" w:type="dxa"/>
            <w:noWrap w:val="0"/>
            <w:vAlign w:val="center"/>
          </w:tcPr>
          <w:p w14:paraId="09F00DD3">
            <w:pPr>
              <w:autoSpaceDE w:val="0"/>
              <w:autoSpaceDN w:val="0"/>
              <w:jc w:val="center"/>
              <w:rPr>
                <w:rFonts w:hint="eastAsia" w:ascii="仿宋" w:hAnsi="仿宋" w:eastAsia="仿宋" w:cs="仿宋"/>
                <w:sz w:val="24"/>
                <w:highlight w:val="none"/>
              </w:rPr>
            </w:pPr>
          </w:p>
        </w:tc>
        <w:tc>
          <w:tcPr>
            <w:tcW w:w="730" w:type="dxa"/>
            <w:noWrap w:val="0"/>
            <w:vAlign w:val="center"/>
          </w:tcPr>
          <w:p w14:paraId="481113C7">
            <w:pPr>
              <w:autoSpaceDE w:val="0"/>
              <w:autoSpaceDN w:val="0"/>
              <w:jc w:val="center"/>
              <w:rPr>
                <w:rFonts w:hint="eastAsia" w:ascii="仿宋" w:hAnsi="仿宋" w:eastAsia="仿宋" w:cs="仿宋"/>
                <w:sz w:val="24"/>
                <w:highlight w:val="none"/>
              </w:rPr>
            </w:pPr>
          </w:p>
        </w:tc>
        <w:tc>
          <w:tcPr>
            <w:tcW w:w="1123" w:type="dxa"/>
            <w:noWrap w:val="0"/>
            <w:vAlign w:val="center"/>
          </w:tcPr>
          <w:p w14:paraId="1FF7748F">
            <w:pPr>
              <w:autoSpaceDE w:val="0"/>
              <w:autoSpaceDN w:val="0"/>
              <w:jc w:val="center"/>
              <w:rPr>
                <w:rFonts w:hint="eastAsia" w:ascii="仿宋" w:hAnsi="仿宋" w:eastAsia="仿宋" w:cs="仿宋"/>
                <w:sz w:val="24"/>
                <w:highlight w:val="none"/>
              </w:rPr>
            </w:pPr>
          </w:p>
        </w:tc>
        <w:tc>
          <w:tcPr>
            <w:tcW w:w="1123" w:type="dxa"/>
            <w:noWrap w:val="0"/>
            <w:vAlign w:val="center"/>
          </w:tcPr>
          <w:p w14:paraId="6740DC06">
            <w:pPr>
              <w:autoSpaceDE w:val="0"/>
              <w:autoSpaceDN w:val="0"/>
              <w:jc w:val="center"/>
              <w:rPr>
                <w:rFonts w:hint="eastAsia" w:ascii="仿宋" w:hAnsi="仿宋" w:eastAsia="仿宋" w:cs="仿宋"/>
                <w:sz w:val="24"/>
                <w:highlight w:val="none"/>
              </w:rPr>
            </w:pPr>
          </w:p>
        </w:tc>
        <w:tc>
          <w:tcPr>
            <w:tcW w:w="778" w:type="dxa"/>
            <w:noWrap w:val="0"/>
            <w:vAlign w:val="center"/>
          </w:tcPr>
          <w:p w14:paraId="6291CB76">
            <w:pPr>
              <w:autoSpaceDE w:val="0"/>
              <w:autoSpaceDN w:val="0"/>
              <w:jc w:val="center"/>
              <w:rPr>
                <w:rFonts w:hint="eastAsia" w:ascii="仿宋" w:hAnsi="仿宋" w:eastAsia="仿宋" w:cs="仿宋"/>
                <w:sz w:val="24"/>
                <w:highlight w:val="none"/>
              </w:rPr>
            </w:pPr>
          </w:p>
        </w:tc>
        <w:tc>
          <w:tcPr>
            <w:tcW w:w="979" w:type="dxa"/>
            <w:noWrap w:val="0"/>
            <w:vAlign w:val="center"/>
          </w:tcPr>
          <w:p w14:paraId="1DB3D030">
            <w:pPr>
              <w:autoSpaceDE w:val="0"/>
              <w:autoSpaceDN w:val="0"/>
              <w:jc w:val="center"/>
              <w:rPr>
                <w:rFonts w:hint="eastAsia" w:ascii="仿宋" w:hAnsi="仿宋" w:eastAsia="仿宋" w:cs="仿宋"/>
                <w:sz w:val="24"/>
                <w:highlight w:val="none"/>
              </w:rPr>
            </w:pPr>
          </w:p>
        </w:tc>
        <w:tc>
          <w:tcPr>
            <w:tcW w:w="1162" w:type="dxa"/>
            <w:noWrap w:val="0"/>
            <w:vAlign w:val="center"/>
          </w:tcPr>
          <w:p w14:paraId="0FA5A4B5">
            <w:pPr>
              <w:autoSpaceDE w:val="0"/>
              <w:autoSpaceDN w:val="0"/>
              <w:jc w:val="center"/>
              <w:rPr>
                <w:rFonts w:hint="eastAsia" w:ascii="仿宋" w:hAnsi="仿宋" w:eastAsia="仿宋" w:cs="仿宋"/>
                <w:sz w:val="24"/>
                <w:highlight w:val="none"/>
              </w:rPr>
            </w:pPr>
          </w:p>
        </w:tc>
      </w:tr>
      <w:tr w14:paraId="21A34FB4">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73E7557A">
            <w:pPr>
              <w:autoSpaceDE w:val="0"/>
              <w:autoSpaceDN w:val="0"/>
              <w:jc w:val="center"/>
              <w:rPr>
                <w:rFonts w:hint="eastAsia" w:ascii="仿宋" w:hAnsi="仿宋" w:eastAsia="仿宋" w:cs="仿宋"/>
                <w:sz w:val="24"/>
                <w:highlight w:val="none"/>
              </w:rPr>
            </w:pPr>
          </w:p>
        </w:tc>
        <w:tc>
          <w:tcPr>
            <w:tcW w:w="1507" w:type="dxa"/>
            <w:noWrap w:val="0"/>
            <w:vAlign w:val="center"/>
          </w:tcPr>
          <w:p w14:paraId="2D6CA903">
            <w:pPr>
              <w:autoSpaceDE w:val="0"/>
              <w:autoSpaceDN w:val="0"/>
              <w:jc w:val="center"/>
              <w:rPr>
                <w:rFonts w:hint="eastAsia" w:ascii="仿宋" w:hAnsi="仿宋" w:eastAsia="仿宋" w:cs="仿宋"/>
                <w:sz w:val="24"/>
                <w:highlight w:val="none"/>
              </w:rPr>
            </w:pPr>
          </w:p>
        </w:tc>
        <w:tc>
          <w:tcPr>
            <w:tcW w:w="960" w:type="dxa"/>
            <w:noWrap w:val="0"/>
            <w:vAlign w:val="center"/>
          </w:tcPr>
          <w:p w14:paraId="59D2B461">
            <w:pPr>
              <w:autoSpaceDE w:val="0"/>
              <w:autoSpaceDN w:val="0"/>
              <w:jc w:val="center"/>
              <w:rPr>
                <w:rFonts w:hint="eastAsia" w:ascii="仿宋" w:hAnsi="仿宋" w:eastAsia="仿宋" w:cs="仿宋"/>
                <w:sz w:val="24"/>
                <w:highlight w:val="none"/>
              </w:rPr>
            </w:pPr>
          </w:p>
        </w:tc>
        <w:tc>
          <w:tcPr>
            <w:tcW w:w="720" w:type="dxa"/>
            <w:noWrap w:val="0"/>
            <w:vAlign w:val="center"/>
          </w:tcPr>
          <w:p w14:paraId="5DA74C9C">
            <w:pPr>
              <w:autoSpaceDE w:val="0"/>
              <w:autoSpaceDN w:val="0"/>
              <w:jc w:val="center"/>
              <w:rPr>
                <w:rFonts w:hint="eastAsia" w:ascii="仿宋" w:hAnsi="仿宋" w:eastAsia="仿宋" w:cs="仿宋"/>
                <w:sz w:val="24"/>
                <w:highlight w:val="none"/>
              </w:rPr>
            </w:pPr>
          </w:p>
        </w:tc>
        <w:tc>
          <w:tcPr>
            <w:tcW w:w="730" w:type="dxa"/>
            <w:noWrap w:val="0"/>
            <w:vAlign w:val="center"/>
          </w:tcPr>
          <w:p w14:paraId="16B3587D">
            <w:pPr>
              <w:autoSpaceDE w:val="0"/>
              <w:autoSpaceDN w:val="0"/>
              <w:jc w:val="center"/>
              <w:rPr>
                <w:rFonts w:hint="eastAsia" w:ascii="仿宋" w:hAnsi="仿宋" w:eastAsia="仿宋" w:cs="仿宋"/>
                <w:sz w:val="24"/>
                <w:highlight w:val="none"/>
              </w:rPr>
            </w:pPr>
          </w:p>
        </w:tc>
        <w:tc>
          <w:tcPr>
            <w:tcW w:w="1123" w:type="dxa"/>
            <w:noWrap w:val="0"/>
            <w:vAlign w:val="center"/>
          </w:tcPr>
          <w:p w14:paraId="6B52C992">
            <w:pPr>
              <w:autoSpaceDE w:val="0"/>
              <w:autoSpaceDN w:val="0"/>
              <w:jc w:val="center"/>
              <w:rPr>
                <w:rFonts w:hint="eastAsia" w:ascii="仿宋" w:hAnsi="仿宋" w:eastAsia="仿宋" w:cs="仿宋"/>
                <w:sz w:val="24"/>
                <w:highlight w:val="none"/>
              </w:rPr>
            </w:pPr>
          </w:p>
        </w:tc>
        <w:tc>
          <w:tcPr>
            <w:tcW w:w="1123" w:type="dxa"/>
            <w:noWrap w:val="0"/>
            <w:vAlign w:val="center"/>
          </w:tcPr>
          <w:p w14:paraId="04712DB9">
            <w:pPr>
              <w:autoSpaceDE w:val="0"/>
              <w:autoSpaceDN w:val="0"/>
              <w:jc w:val="center"/>
              <w:rPr>
                <w:rFonts w:hint="eastAsia" w:ascii="仿宋" w:hAnsi="仿宋" w:eastAsia="仿宋" w:cs="仿宋"/>
                <w:sz w:val="24"/>
                <w:highlight w:val="none"/>
              </w:rPr>
            </w:pPr>
          </w:p>
        </w:tc>
        <w:tc>
          <w:tcPr>
            <w:tcW w:w="778" w:type="dxa"/>
            <w:noWrap w:val="0"/>
            <w:vAlign w:val="center"/>
          </w:tcPr>
          <w:p w14:paraId="24BB0747">
            <w:pPr>
              <w:autoSpaceDE w:val="0"/>
              <w:autoSpaceDN w:val="0"/>
              <w:jc w:val="center"/>
              <w:rPr>
                <w:rFonts w:hint="eastAsia" w:ascii="仿宋" w:hAnsi="仿宋" w:eastAsia="仿宋" w:cs="仿宋"/>
                <w:sz w:val="24"/>
                <w:highlight w:val="none"/>
              </w:rPr>
            </w:pPr>
          </w:p>
        </w:tc>
        <w:tc>
          <w:tcPr>
            <w:tcW w:w="979" w:type="dxa"/>
            <w:noWrap w:val="0"/>
            <w:vAlign w:val="center"/>
          </w:tcPr>
          <w:p w14:paraId="616F6D19">
            <w:pPr>
              <w:autoSpaceDE w:val="0"/>
              <w:autoSpaceDN w:val="0"/>
              <w:jc w:val="center"/>
              <w:rPr>
                <w:rFonts w:hint="eastAsia" w:ascii="仿宋" w:hAnsi="仿宋" w:eastAsia="仿宋" w:cs="仿宋"/>
                <w:sz w:val="24"/>
                <w:highlight w:val="none"/>
              </w:rPr>
            </w:pPr>
          </w:p>
        </w:tc>
        <w:tc>
          <w:tcPr>
            <w:tcW w:w="1162" w:type="dxa"/>
            <w:noWrap w:val="0"/>
            <w:vAlign w:val="center"/>
          </w:tcPr>
          <w:p w14:paraId="33C26622">
            <w:pPr>
              <w:autoSpaceDE w:val="0"/>
              <w:autoSpaceDN w:val="0"/>
              <w:jc w:val="center"/>
              <w:rPr>
                <w:rFonts w:hint="eastAsia" w:ascii="仿宋" w:hAnsi="仿宋" w:eastAsia="仿宋" w:cs="仿宋"/>
                <w:sz w:val="24"/>
                <w:highlight w:val="none"/>
              </w:rPr>
            </w:pPr>
          </w:p>
        </w:tc>
      </w:tr>
      <w:tr w14:paraId="6630AE5F">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217052C2">
            <w:pPr>
              <w:autoSpaceDE w:val="0"/>
              <w:autoSpaceDN w:val="0"/>
              <w:jc w:val="center"/>
              <w:rPr>
                <w:rFonts w:hint="eastAsia" w:ascii="仿宋" w:hAnsi="仿宋" w:eastAsia="仿宋" w:cs="仿宋"/>
                <w:sz w:val="24"/>
                <w:highlight w:val="none"/>
              </w:rPr>
            </w:pPr>
          </w:p>
        </w:tc>
        <w:tc>
          <w:tcPr>
            <w:tcW w:w="1507" w:type="dxa"/>
            <w:noWrap w:val="0"/>
            <w:vAlign w:val="center"/>
          </w:tcPr>
          <w:p w14:paraId="29377F6C">
            <w:pPr>
              <w:autoSpaceDE w:val="0"/>
              <w:autoSpaceDN w:val="0"/>
              <w:jc w:val="center"/>
              <w:rPr>
                <w:rFonts w:hint="eastAsia" w:ascii="仿宋" w:hAnsi="仿宋" w:eastAsia="仿宋" w:cs="仿宋"/>
                <w:sz w:val="24"/>
                <w:highlight w:val="none"/>
              </w:rPr>
            </w:pPr>
          </w:p>
        </w:tc>
        <w:tc>
          <w:tcPr>
            <w:tcW w:w="960" w:type="dxa"/>
            <w:noWrap w:val="0"/>
            <w:vAlign w:val="center"/>
          </w:tcPr>
          <w:p w14:paraId="7762C4B7">
            <w:pPr>
              <w:autoSpaceDE w:val="0"/>
              <w:autoSpaceDN w:val="0"/>
              <w:jc w:val="center"/>
              <w:rPr>
                <w:rFonts w:hint="eastAsia" w:ascii="仿宋" w:hAnsi="仿宋" w:eastAsia="仿宋" w:cs="仿宋"/>
                <w:sz w:val="24"/>
                <w:highlight w:val="none"/>
              </w:rPr>
            </w:pPr>
          </w:p>
        </w:tc>
        <w:tc>
          <w:tcPr>
            <w:tcW w:w="720" w:type="dxa"/>
            <w:noWrap w:val="0"/>
            <w:vAlign w:val="center"/>
          </w:tcPr>
          <w:p w14:paraId="050A9651">
            <w:pPr>
              <w:autoSpaceDE w:val="0"/>
              <w:autoSpaceDN w:val="0"/>
              <w:jc w:val="center"/>
              <w:rPr>
                <w:rFonts w:hint="eastAsia" w:ascii="仿宋" w:hAnsi="仿宋" w:eastAsia="仿宋" w:cs="仿宋"/>
                <w:sz w:val="24"/>
                <w:highlight w:val="none"/>
              </w:rPr>
            </w:pPr>
          </w:p>
        </w:tc>
        <w:tc>
          <w:tcPr>
            <w:tcW w:w="730" w:type="dxa"/>
            <w:noWrap w:val="0"/>
            <w:vAlign w:val="center"/>
          </w:tcPr>
          <w:p w14:paraId="41484E56">
            <w:pPr>
              <w:autoSpaceDE w:val="0"/>
              <w:autoSpaceDN w:val="0"/>
              <w:jc w:val="center"/>
              <w:rPr>
                <w:rFonts w:hint="eastAsia" w:ascii="仿宋" w:hAnsi="仿宋" w:eastAsia="仿宋" w:cs="仿宋"/>
                <w:sz w:val="24"/>
                <w:highlight w:val="none"/>
              </w:rPr>
            </w:pPr>
          </w:p>
        </w:tc>
        <w:tc>
          <w:tcPr>
            <w:tcW w:w="1123" w:type="dxa"/>
            <w:noWrap w:val="0"/>
            <w:vAlign w:val="center"/>
          </w:tcPr>
          <w:p w14:paraId="26B4922A">
            <w:pPr>
              <w:autoSpaceDE w:val="0"/>
              <w:autoSpaceDN w:val="0"/>
              <w:jc w:val="center"/>
              <w:rPr>
                <w:rFonts w:hint="eastAsia" w:ascii="仿宋" w:hAnsi="仿宋" w:eastAsia="仿宋" w:cs="仿宋"/>
                <w:sz w:val="24"/>
                <w:highlight w:val="none"/>
              </w:rPr>
            </w:pPr>
          </w:p>
        </w:tc>
        <w:tc>
          <w:tcPr>
            <w:tcW w:w="1123" w:type="dxa"/>
            <w:noWrap w:val="0"/>
            <w:vAlign w:val="center"/>
          </w:tcPr>
          <w:p w14:paraId="47BCB5A4">
            <w:pPr>
              <w:autoSpaceDE w:val="0"/>
              <w:autoSpaceDN w:val="0"/>
              <w:jc w:val="center"/>
              <w:rPr>
                <w:rFonts w:hint="eastAsia" w:ascii="仿宋" w:hAnsi="仿宋" w:eastAsia="仿宋" w:cs="仿宋"/>
                <w:sz w:val="24"/>
                <w:highlight w:val="none"/>
              </w:rPr>
            </w:pPr>
          </w:p>
        </w:tc>
        <w:tc>
          <w:tcPr>
            <w:tcW w:w="778" w:type="dxa"/>
            <w:noWrap w:val="0"/>
            <w:vAlign w:val="center"/>
          </w:tcPr>
          <w:p w14:paraId="655D3CCE">
            <w:pPr>
              <w:autoSpaceDE w:val="0"/>
              <w:autoSpaceDN w:val="0"/>
              <w:jc w:val="center"/>
              <w:rPr>
                <w:rFonts w:hint="eastAsia" w:ascii="仿宋" w:hAnsi="仿宋" w:eastAsia="仿宋" w:cs="仿宋"/>
                <w:sz w:val="24"/>
                <w:highlight w:val="none"/>
              </w:rPr>
            </w:pPr>
          </w:p>
        </w:tc>
        <w:tc>
          <w:tcPr>
            <w:tcW w:w="979" w:type="dxa"/>
            <w:noWrap w:val="0"/>
            <w:vAlign w:val="center"/>
          </w:tcPr>
          <w:p w14:paraId="7C465EBA">
            <w:pPr>
              <w:autoSpaceDE w:val="0"/>
              <w:autoSpaceDN w:val="0"/>
              <w:jc w:val="center"/>
              <w:rPr>
                <w:rFonts w:hint="eastAsia" w:ascii="仿宋" w:hAnsi="仿宋" w:eastAsia="仿宋" w:cs="仿宋"/>
                <w:sz w:val="24"/>
                <w:highlight w:val="none"/>
              </w:rPr>
            </w:pPr>
          </w:p>
        </w:tc>
        <w:tc>
          <w:tcPr>
            <w:tcW w:w="1162" w:type="dxa"/>
            <w:noWrap w:val="0"/>
            <w:vAlign w:val="center"/>
          </w:tcPr>
          <w:p w14:paraId="4C0E292D">
            <w:pPr>
              <w:autoSpaceDE w:val="0"/>
              <w:autoSpaceDN w:val="0"/>
              <w:jc w:val="center"/>
              <w:rPr>
                <w:rFonts w:hint="eastAsia" w:ascii="仿宋" w:hAnsi="仿宋" w:eastAsia="仿宋" w:cs="仿宋"/>
                <w:sz w:val="24"/>
                <w:highlight w:val="none"/>
              </w:rPr>
            </w:pPr>
          </w:p>
        </w:tc>
      </w:tr>
      <w:tr w14:paraId="0CE25B2C">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331F048">
            <w:pPr>
              <w:autoSpaceDE w:val="0"/>
              <w:autoSpaceDN w:val="0"/>
              <w:jc w:val="center"/>
              <w:rPr>
                <w:rFonts w:hint="eastAsia" w:ascii="仿宋" w:hAnsi="仿宋" w:eastAsia="仿宋" w:cs="仿宋"/>
                <w:sz w:val="24"/>
                <w:highlight w:val="none"/>
              </w:rPr>
            </w:pPr>
          </w:p>
        </w:tc>
        <w:tc>
          <w:tcPr>
            <w:tcW w:w="1507" w:type="dxa"/>
            <w:noWrap w:val="0"/>
            <w:vAlign w:val="center"/>
          </w:tcPr>
          <w:p w14:paraId="26AB689B">
            <w:pPr>
              <w:autoSpaceDE w:val="0"/>
              <w:autoSpaceDN w:val="0"/>
              <w:jc w:val="center"/>
              <w:rPr>
                <w:rFonts w:hint="eastAsia" w:ascii="仿宋" w:hAnsi="仿宋" w:eastAsia="仿宋" w:cs="仿宋"/>
                <w:sz w:val="24"/>
                <w:highlight w:val="none"/>
              </w:rPr>
            </w:pPr>
          </w:p>
        </w:tc>
        <w:tc>
          <w:tcPr>
            <w:tcW w:w="960" w:type="dxa"/>
            <w:noWrap w:val="0"/>
            <w:vAlign w:val="center"/>
          </w:tcPr>
          <w:p w14:paraId="3058175E">
            <w:pPr>
              <w:autoSpaceDE w:val="0"/>
              <w:autoSpaceDN w:val="0"/>
              <w:jc w:val="center"/>
              <w:rPr>
                <w:rFonts w:hint="eastAsia" w:ascii="仿宋" w:hAnsi="仿宋" w:eastAsia="仿宋" w:cs="仿宋"/>
                <w:sz w:val="24"/>
                <w:highlight w:val="none"/>
              </w:rPr>
            </w:pPr>
          </w:p>
        </w:tc>
        <w:tc>
          <w:tcPr>
            <w:tcW w:w="720" w:type="dxa"/>
            <w:noWrap w:val="0"/>
            <w:vAlign w:val="center"/>
          </w:tcPr>
          <w:p w14:paraId="48F0E04C">
            <w:pPr>
              <w:autoSpaceDE w:val="0"/>
              <w:autoSpaceDN w:val="0"/>
              <w:jc w:val="center"/>
              <w:rPr>
                <w:rFonts w:hint="eastAsia" w:ascii="仿宋" w:hAnsi="仿宋" w:eastAsia="仿宋" w:cs="仿宋"/>
                <w:sz w:val="24"/>
                <w:highlight w:val="none"/>
              </w:rPr>
            </w:pPr>
          </w:p>
        </w:tc>
        <w:tc>
          <w:tcPr>
            <w:tcW w:w="730" w:type="dxa"/>
            <w:noWrap w:val="0"/>
            <w:vAlign w:val="center"/>
          </w:tcPr>
          <w:p w14:paraId="1086626A">
            <w:pPr>
              <w:autoSpaceDE w:val="0"/>
              <w:autoSpaceDN w:val="0"/>
              <w:jc w:val="center"/>
              <w:rPr>
                <w:rFonts w:hint="eastAsia" w:ascii="仿宋" w:hAnsi="仿宋" w:eastAsia="仿宋" w:cs="仿宋"/>
                <w:sz w:val="24"/>
                <w:highlight w:val="none"/>
              </w:rPr>
            </w:pPr>
          </w:p>
        </w:tc>
        <w:tc>
          <w:tcPr>
            <w:tcW w:w="1123" w:type="dxa"/>
            <w:noWrap w:val="0"/>
            <w:vAlign w:val="center"/>
          </w:tcPr>
          <w:p w14:paraId="78D21349">
            <w:pPr>
              <w:autoSpaceDE w:val="0"/>
              <w:autoSpaceDN w:val="0"/>
              <w:jc w:val="center"/>
              <w:rPr>
                <w:rFonts w:hint="eastAsia" w:ascii="仿宋" w:hAnsi="仿宋" w:eastAsia="仿宋" w:cs="仿宋"/>
                <w:sz w:val="24"/>
                <w:highlight w:val="none"/>
              </w:rPr>
            </w:pPr>
          </w:p>
        </w:tc>
        <w:tc>
          <w:tcPr>
            <w:tcW w:w="1123" w:type="dxa"/>
            <w:noWrap w:val="0"/>
            <w:vAlign w:val="center"/>
          </w:tcPr>
          <w:p w14:paraId="618D4A54">
            <w:pPr>
              <w:autoSpaceDE w:val="0"/>
              <w:autoSpaceDN w:val="0"/>
              <w:jc w:val="center"/>
              <w:rPr>
                <w:rFonts w:hint="eastAsia" w:ascii="仿宋" w:hAnsi="仿宋" w:eastAsia="仿宋" w:cs="仿宋"/>
                <w:sz w:val="24"/>
                <w:highlight w:val="none"/>
              </w:rPr>
            </w:pPr>
          </w:p>
        </w:tc>
        <w:tc>
          <w:tcPr>
            <w:tcW w:w="778" w:type="dxa"/>
            <w:noWrap w:val="0"/>
            <w:vAlign w:val="center"/>
          </w:tcPr>
          <w:p w14:paraId="479F02A3">
            <w:pPr>
              <w:autoSpaceDE w:val="0"/>
              <w:autoSpaceDN w:val="0"/>
              <w:jc w:val="center"/>
              <w:rPr>
                <w:rFonts w:hint="eastAsia" w:ascii="仿宋" w:hAnsi="仿宋" w:eastAsia="仿宋" w:cs="仿宋"/>
                <w:sz w:val="24"/>
                <w:highlight w:val="none"/>
              </w:rPr>
            </w:pPr>
          </w:p>
        </w:tc>
        <w:tc>
          <w:tcPr>
            <w:tcW w:w="979" w:type="dxa"/>
            <w:noWrap w:val="0"/>
            <w:vAlign w:val="center"/>
          </w:tcPr>
          <w:p w14:paraId="018EC027">
            <w:pPr>
              <w:autoSpaceDE w:val="0"/>
              <w:autoSpaceDN w:val="0"/>
              <w:jc w:val="center"/>
              <w:rPr>
                <w:rFonts w:hint="eastAsia" w:ascii="仿宋" w:hAnsi="仿宋" w:eastAsia="仿宋" w:cs="仿宋"/>
                <w:sz w:val="24"/>
                <w:highlight w:val="none"/>
              </w:rPr>
            </w:pPr>
          </w:p>
        </w:tc>
        <w:tc>
          <w:tcPr>
            <w:tcW w:w="1162" w:type="dxa"/>
            <w:noWrap w:val="0"/>
            <w:vAlign w:val="center"/>
          </w:tcPr>
          <w:p w14:paraId="6E928B36">
            <w:pPr>
              <w:autoSpaceDE w:val="0"/>
              <w:autoSpaceDN w:val="0"/>
              <w:jc w:val="center"/>
              <w:rPr>
                <w:rFonts w:hint="eastAsia" w:ascii="仿宋" w:hAnsi="仿宋" w:eastAsia="仿宋" w:cs="仿宋"/>
                <w:sz w:val="24"/>
                <w:highlight w:val="none"/>
              </w:rPr>
            </w:pPr>
          </w:p>
        </w:tc>
      </w:tr>
      <w:tr w14:paraId="4B85DE14">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5F4F923F">
            <w:pPr>
              <w:autoSpaceDE w:val="0"/>
              <w:autoSpaceDN w:val="0"/>
              <w:jc w:val="center"/>
              <w:rPr>
                <w:rFonts w:hint="eastAsia" w:ascii="仿宋" w:hAnsi="仿宋" w:eastAsia="仿宋" w:cs="仿宋"/>
                <w:sz w:val="24"/>
                <w:highlight w:val="none"/>
              </w:rPr>
            </w:pPr>
          </w:p>
        </w:tc>
        <w:tc>
          <w:tcPr>
            <w:tcW w:w="1507" w:type="dxa"/>
            <w:noWrap w:val="0"/>
            <w:vAlign w:val="center"/>
          </w:tcPr>
          <w:p w14:paraId="64B8E615">
            <w:pPr>
              <w:autoSpaceDE w:val="0"/>
              <w:autoSpaceDN w:val="0"/>
              <w:jc w:val="center"/>
              <w:rPr>
                <w:rFonts w:hint="eastAsia" w:ascii="仿宋" w:hAnsi="仿宋" w:eastAsia="仿宋" w:cs="仿宋"/>
                <w:sz w:val="24"/>
                <w:highlight w:val="none"/>
              </w:rPr>
            </w:pPr>
          </w:p>
        </w:tc>
        <w:tc>
          <w:tcPr>
            <w:tcW w:w="960" w:type="dxa"/>
            <w:noWrap w:val="0"/>
            <w:vAlign w:val="center"/>
          </w:tcPr>
          <w:p w14:paraId="613FC9D9">
            <w:pPr>
              <w:autoSpaceDE w:val="0"/>
              <w:autoSpaceDN w:val="0"/>
              <w:jc w:val="center"/>
              <w:rPr>
                <w:rFonts w:hint="eastAsia" w:ascii="仿宋" w:hAnsi="仿宋" w:eastAsia="仿宋" w:cs="仿宋"/>
                <w:sz w:val="24"/>
                <w:highlight w:val="none"/>
              </w:rPr>
            </w:pPr>
          </w:p>
        </w:tc>
        <w:tc>
          <w:tcPr>
            <w:tcW w:w="720" w:type="dxa"/>
            <w:noWrap w:val="0"/>
            <w:vAlign w:val="center"/>
          </w:tcPr>
          <w:p w14:paraId="1039310E">
            <w:pPr>
              <w:autoSpaceDE w:val="0"/>
              <w:autoSpaceDN w:val="0"/>
              <w:jc w:val="center"/>
              <w:rPr>
                <w:rFonts w:hint="eastAsia" w:ascii="仿宋" w:hAnsi="仿宋" w:eastAsia="仿宋" w:cs="仿宋"/>
                <w:sz w:val="24"/>
                <w:highlight w:val="none"/>
              </w:rPr>
            </w:pPr>
          </w:p>
        </w:tc>
        <w:tc>
          <w:tcPr>
            <w:tcW w:w="730" w:type="dxa"/>
            <w:noWrap w:val="0"/>
            <w:vAlign w:val="center"/>
          </w:tcPr>
          <w:p w14:paraId="72822F2C">
            <w:pPr>
              <w:autoSpaceDE w:val="0"/>
              <w:autoSpaceDN w:val="0"/>
              <w:jc w:val="center"/>
              <w:rPr>
                <w:rFonts w:hint="eastAsia" w:ascii="仿宋" w:hAnsi="仿宋" w:eastAsia="仿宋" w:cs="仿宋"/>
                <w:sz w:val="24"/>
                <w:highlight w:val="none"/>
              </w:rPr>
            </w:pPr>
          </w:p>
        </w:tc>
        <w:tc>
          <w:tcPr>
            <w:tcW w:w="1123" w:type="dxa"/>
            <w:noWrap w:val="0"/>
            <w:vAlign w:val="center"/>
          </w:tcPr>
          <w:p w14:paraId="3180E0E5">
            <w:pPr>
              <w:autoSpaceDE w:val="0"/>
              <w:autoSpaceDN w:val="0"/>
              <w:jc w:val="center"/>
              <w:rPr>
                <w:rFonts w:hint="eastAsia" w:ascii="仿宋" w:hAnsi="仿宋" w:eastAsia="仿宋" w:cs="仿宋"/>
                <w:sz w:val="24"/>
                <w:highlight w:val="none"/>
              </w:rPr>
            </w:pPr>
          </w:p>
        </w:tc>
        <w:tc>
          <w:tcPr>
            <w:tcW w:w="1123" w:type="dxa"/>
            <w:noWrap w:val="0"/>
            <w:vAlign w:val="center"/>
          </w:tcPr>
          <w:p w14:paraId="7DB2BEFF">
            <w:pPr>
              <w:autoSpaceDE w:val="0"/>
              <w:autoSpaceDN w:val="0"/>
              <w:jc w:val="center"/>
              <w:rPr>
                <w:rFonts w:hint="eastAsia" w:ascii="仿宋" w:hAnsi="仿宋" w:eastAsia="仿宋" w:cs="仿宋"/>
                <w:sz w:val="24"/>
                <w:highlight w:val="none"/>
              </w:rPr>
            </w:pPr>
          </w:p>
        </w:tc>
        <w:tc>
          <w:tcPr>
            <w:tcW w:w="778" w:type="dxa"/>
            <w:noWrap w:val="0"/>
            <w:vAlign w:val="center"/>
          </w:tcPr>
          <w:p w14:paraId="07DEF750">
            <w:pPr>
              <w:autoSpaceDE w:val="0"/>
              <w:autoSpaceDN w:val="0"/>
              <w:jc w:val="center"/>
              <w:rPr>
                <w:rFonts w:hint="eastAsia" w:ascii="仿宋" w:hAnsi="仿宋" w:eastAsia="仿宋" w:cs="仿宋"/>
                <w:sz w:val="24"/>
                <w:highlight w:val="none"/>
              </w:rPr>
            </w:pPr>
          </w:p>
        </w:tc>
        <w:tc>
          <w:tcPr>
            <w:tcW w:w="979" w:type="dxa"/>
            <w:noWrap w:val="0"/>
            <w:vAlign w:val="center"/>
          </w:tcPr>
          <w:p w14:paraId="43035196">
            <w:pPr>
              <w:autoSpaceDE w:val="0"/>
              <w:autoSpaceDN w:val="0"/>
              <w:jc w:val="center"/>
              <w:rPr>
                <w:rFonts w:hint="eastAsia" w:ascii="仿宋" w:hAnsi="仿宋" w:eastAsia="仿宋" w:cs="仿宋"/>
                <w:sz w:val="24"/>
                <w:highlight w:val="none"/>
              </w:rPr>
            </w:pPr>
          </w:p>
        </w:tc>
        <w:tc>
          <w:tcPr>
            <w:tcW w:w="1162" w:type="dxa"/>
            <w:noWrap w:val="0"/>
            <w:vAlign w:val="center"/>
          </w:tcPr>
          <w:p w14:paraId="46DF03A7">
            <w:pPr>
              <w:autoSpaceDE w:val="0"/>
              <w:autoSpaceDN w:val="0"/>
              <w:jc w:val="center"/>
              <w:rPr>
                <w:rFonts w:hint="eastAsia" w:ascii="仿宋" w:hAnsi="仿宋" w:eastAsia="仿宋" w:cs="仿宋"/>
                <w:sz w:val="24"/>
                <w:highlight w:val="none"/>
              </w:rPr>
            </w:pPr>
          </w:p>
        </w:tc>
      </w:tr>
      <w:tr w14:paraId="717EC6FE">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3F022E48">
            <w:pPr>
              <w:autoSpaceDE w:val="0"/>
              <w:autoSpaceDN w:val="0"/>
              <w:jc w:val="center"/>
              <w:rPr>
                <w:rFonts w:hint="eastAsia" w:ascii="仿宋" w:hAnsi="仿宋" w:eastAsia="仿宋" w:cs="仿宋"/>
                <w:sz w:val="24"/>
                <w:highlight w:val="none"/>
              </w:rPr>
            </w:pPr>
          </w:p>
        </w:tc>
        <w:tc>
          <w:tcPr>
            <w:tcW w:w="1507" w:type="dxa"/>
            <w:noWrap w:val="0"/>
            <w:vAlign w:val="center"/>
          </w:tcPr>
          <w:p w14:paraId="29489EB3">
            <w:pPr>
              <w:autoSpaceDE w:val="0"/>
              <w:autoSpaceDN w:val="0"/>
              <w:jc w:val="center"/>
              <w:rPr>
                <w:rFonts w:hint="eastAsia" w:ascii="仿宋" w:hAnsi="仿宋" w:eastAsia="仿宋" w:cs="仿宋"/>
                <w:sz w:val="24"/>
                <w:highlight w:val="none"/>
              </w:rPr>
            </w:pPr>
          </w:p>
        </w:tc>
        <w:tc>
          <w:tcPr>
            <w:tcW w:w="960" w:type="dxa"/>
            <w:noWrap w:val="0"/>
            <w:vAlign w:val="center"/>
          </w:tcPr>
          <w:p w14:paraId="10707CF1">
            <w:pPr>
              <w:autoSpaceDE w:val="0"/>
              <w:autoSpaceDN w:val="0"/>
              <w:jc w:val="center"/>
              <w:rPr>
                <w:rFonts w:hint="eastAsia" w:ascii="仿宋" w:hAnsi="仿宋" w:eastAsia="仿宋" w:cs="仿宋"/>
                <w:sz w:val="24"/>
                <w:highlight w:val="none"/>
              </w:rPr>
            </w:pPr>
          </w:p>
        </w:tc>
        <w:tc>
          <w:tcPr>
            <w:tcW w:w="720" w:type="dxa"/>
            <w:noWrap w:val="0"/>
            <w:vAlign w:val="center"/>
          </w:tcPr>
          <w:p w14:paraId="10820390">
            <w:pPr>
              <w:autoSpaceDE w:val="0"/>
              <w:autoSpaceDN w:val="0"/>
              <w:jc w:val="center"/>
              <w:rPr>
                <w:rFonts w:hint="eastAsia" w:ascii="仿宋" w:hAnsi="仿宋" w:eastAsia="仿宋" w:cs="仿宋"/>
                <w:sz w:val="24"/>
                <w:highlight w:val="none"/>
              </w:rPr>
            </w:pPr>
          </w:p>
        </w:tc>
        <w:tc>
          <w:tcPr>
            <w:tcW w:w="730" w:type="dxa"/>
            <w:noWrap w:val="0"/>
            <w:vAlign w:val="center"/>
          </w:tcPr>
          <w:p w14:paraId="09DA0C15">
            <w:pPr>
              <w:autoSpaceDE w:val="0"/>
              <w:autoSpaceDN w:val="0"/>
              <w:jc w:val="center"/>
              <w:rPr>
                <w:rFonts w:hint="eastAsia" w:ascii="仿宋" w:hAnsi="仿宋" w:eastAsia="仿宋" w:cs="仿宋"/>
                <w:sz w:val="24"/>
                <w:highlight w:val="none"/>
              </w:rPr>
            </w:pPr>
          </w:p>
        </w:tc>
        <w:tc>
          <w:tcPr>
            <w:tcW w:w="1123" w:type="dxa"/>
            <w:noWrap w:val="0"/>
            <w:vAlign w:val="center"/>
          </w:tcPr>
          <w:p w14:paraId="4F9CE3F4">
            <w:pPr>
              <w:autoSpaceDE w:val="0"/>
              <w:autoSpaceDN w:val="0"/>
              <w:jc w:val="center"/>
              <w:rPr>
                <w:rFonts w:hint="eastAsia" w:ascii="仿宋" w:hAnsi="仿宋" w:eastAsia="仿宋" w:cs="仿宋"/>
                <w:sz w:val="24"/>
                <w:highlight w:val="none"/>
              </w:rPr>
            </w:pPr>
          </w:p>
        </w:tc>
        <w:tc>
          <w:tcPr>
            <w:tcW w:w="1123" w:type="dxa"/>
            <w:noWrap w:val="0"/>
            <w:vAlign w:val="center"/>
          </w:tcPr>
          <w:p w14:paraId="1738DB3D">
            <w:pPr>
              <w:autoSpaceDE w:val="0"/>
              <w:autoSpaceDN w:val="0"/>
              <w:jc w:val="center"/>
              <w:rPr>
                <w:rFonts w:hint="eastAsia" w:ascii="仿宋" w:hAnsi="仿宋" w:eastAsia="仿宋" w:cs="仿宋"/>
                <w:sz w:val="24"/>
                <w:highlight w:val="none"/>
              </w:rPr>
            </w:pPr>
          </w:p>
        </w:tc>
        <w:tc>
          <w:tcPr>
            <w:tcW w:w="778" w:type="dxa"/>
            <w:noWrap w:val="0"/>
            <w:vAlign w:val="center"/>
          </w:tcPr>
          <w:p w14:paraId="05069227">
            <w:pPr>
              <w:autoSpaceDE w:val="0"/>
              <w:autoSpaceDN w:val="0"/>
              <w:jc w:val="center"/>
              <w:rPr>
                <w:rFonts w:hint="eastAsia" w:ascii="仿宋" w:hAnsi="仿宋" w:eastAsia="仿宋" w:cs="仿宋"/>
                <w:sz w:val="24"/>
                <w:highlight w:val="none"/>
              </w:rPr>
            </w:pPr>
          </w:p>
        </w:tc>
        <w:tc>
          <w:tcPr>
            <w:tcW w:w="979" w:type="dxa"/>
            <w:noWrap w:val="0"/>
            <w:vAlign w:val="center"/>
          </w:tcPr>
          <w:p w14:paraId="1785B6B0">
            <w:pPr>
              <w:autoSpaceDE w:val="0"/>
              <w:autoSpaceDN w:val="0"/>
              <w:jc w:val="center"/>
              <w:rPr>
                <w:rFonts w:hint="eastAsia" w:ascii="仿宋" w:hAnsi="仿宋" w:eastAsia="仿宋" w:cs="仿宋"/>
                <w:sz w:val="24"/>
                <w:highlight w:val="none"/>
              </w:rPr>
            </w:pPr>
          </w:p>
        </w:tc>
        <w:tc>
          <w:tcPr>
            <w:tcW w:w="1162" w:type="dxa"/>
            <w:noWrap w:val="0"/>
            <w:vAlign w:val="center"/>
          </w:tcPr>
          <w:p w14:paraId="5A07B964">
            <w:pPr>
              <w:autoSpaceDE w:val="0"/>
              <w:autoSpaceDN w:val="0"/>
              <w:jc w:val="center"/>
              <w:rPr>
                <w:rFonts w:hint="eastAsia" w:ascii="仿宋" w:hAnsi="仿宋" w:eastAsia="仿宋" w:cs="仿宋"/>
                <w:sz w:val="24"/>
                <w:highlight w:val="none"/>
              </w:rPr>
            </w:pPr>
          </w:p>
        </w:tc>
      </w:tr>
      <w:tr w14:paraId="101FF2DE">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DB23E88">
            <w:pPr>
              <w:autoSpaceDE w:val="0"/>
              <w:autoSpaceDN w:val="0"/>
              <w:jc w:val="center"/>
              <w:rPr>
                <w:rFonts w:hint="eastAsia" w:ascii="仿宋" w:hAnsi="仿宋" w:eastAsia="仿宋" w:cs="仿宋"/>
                <w:sz w:val="24"/>
                <w:highlight w:val="none"/>
              </w:rPr>
            </w:pPr>
          </w:p>
        </w:tc>
        <w:tc>
          <w:tcPr>
            <w:tcW w:w="1507" w:type="dxa"/>
            <w:noWrap w:val="0"/>
            <w:vAlign w:val="center"/>
          </w:tcPr>
          <w:p w14:paraId="1E20D0AE">
            <w:pPr>
              <w:autoSpaceDE w:val="0"/>
              <w:autoSpaceDN w:val="0"/>
              <w:jc w:val="center"/>
              <w:rPr>
                <w:rFonts w:hint="eastAsia" w:ascii="仿宋" w:hAnsi="仿宋" w:eastAsia="仿宋" w:cs="仿宋"/>
                <w:sz w:val="24"/>
                <w:highlight w:val="none"/>
              </w:rPr>
            </w:pPr>
          </w:p>
        </w:tc>
        <w:tc>
          <w:tcPr>
            <w:tcW w:w="960" w:type="dxa"/>
            <w:noWrap w:val="0"/>
            <w:vAlign w:val="center"/>
          </w:tcPr>
          <w:p w14:paraId="1AA5A28D">
            <w:pPr>
              <w:autoSpaceDE w:val="0"/>
              <w:autoSpaceDN w:val="0"/>
              <w:jc w:val="center"/>
              <w:rPr>
                <w:rFonts w:hint="eastAsia" w:ascii="仿宋" w:hAnsi="仿宋" w:eastAsia="仿宋" w:cs="仿宋"/>
                <w:sz w:val="24"/>
                <w:highlight w:val="none"/>
              </w:rPr>
            </w:pPr>
          </w:p>
        </w:tc>
        <w:tc>
          <w:tcPr>
            <w:tcW w:w="720" w:type="dxa"/>
            <w:noWrap w:val="0"/>
            <w:vAlign w:val="center"/>
          </w:tcPr>
          <w:p w14:paraId="2751C46A">
            <w:pPr>
              <w:autoSpaceDE w:val="0"/>
              <w:autoSpaceDN w:val="0"/>
              <w:jc w:val="center"/>
              <w:rPr>
                <w:rFonts w:hint="eastAsia" w:ascii="仿宋" w:hAnsi="仿宋" w:eastAsia="仿宋" w:cs="仿宋"/>
                <w:sz w:val="24"/>
                <w:highlight w:val="none"/>
              </w:rPr>
            </w:pPr>
          </w:p>
        </w:tc>
        <w:tc>
          <w:tcPr>
            <w:tcW w:w="730" w:type="dxa"/>
            <w:noWrap w:val="0"/>
            <w:vAlign w:val="center"/>
          </w:tcPr>
          <w:p w14:paraId="453BD659">
            <w:pPr>
              <w:autoSpaceDE w:val="0"/>
              <w:autoSpaceDN w:val="0"/>
              <w:jc w:val="center"/>
              <w:rPr>
                <w:rFonts w:hint="eastAsia" w:ascii="仿宋" w:hAnsi="仿宋" w:eastAsia="仿宋" w:cs="仿宋"/>
                <w:sz w:val="24"/>
                <w:highlight w:val="none"/>
              </w:rPr>
            </w:pPr>
          </w:p>
        </w:tc>
        <w:tc>
          <w:tcPr>
            <w:tcW w:w="1123" w:type="dxa"/>
            <w:noWrap w:val="0"/>
            <w:vAlign w:val="center"/>
          </w:tcPr>
          <w:p w14:paraId="0C1BF532">
            <w:pPr>
              <w:autoSpaceDE w:val="0"/>
              <w:autoSpaceDN w:val="0"/>
              <w:jc w:val="center"/>
              <w:rPr>
                <w:rFonts w:hint="eastAsia" w:ascii="仿宋" w:hAnsi="仿宋" w:eastAsia="仿宋" w:cs="仿宋"/>
                <w:sz w:val="24"/>
                <w:highlight w:val="none"/>
              </w:rPr>
            </w:pPr>
          </w:p>
        </w:tc>
        <w:tc>
          <w:tcPr>
            <w:tcW w:w="1123" w:type="dxa"/>
            <w:noWrap w:val="0"/>
            <w:vAlign w:val="center"/>
          </w:tcPr>
          <w:p w14:paraId="087AED8A">
            <w:pPr>
              <w:autoSpaceDE w:val="0"/>
              <w:autoSpaceDN w:val="0"/>
              <w:jc w:val="center"/>
              <w:rPr>
                <w:rFonts w:hint="eastAsia" w:ascii="仿宋" w:hAnsi="仿宋" w:eastAsia="仿宋" w:cs="仿宋"/>
                <w:sz w:val="24"/>
                <w:highlight w:val="none"/>
              </w:rPr>
            </w:pPr>
          </w:p>
        </w:tc>
        <w:tc>
          <w:tcPr>
            <w:tcW w:w="778" w:type="dxa"/>
            <w:noWrap w:val="0"/>
            <w:vAlign w:val="center"/>
          </w:tcPr>
          <w:p w14:paraId="68C55163">
            <w:pPr>
              <w:autoSpaceDE w:val="0"/>
              <w:autoSpaceDN w:val="0"/>
              <w:jc w:val="center"/>
              <w:rPr>
                <w:rFonts w:hint="eastAsia" w:ascii="仿宋" w:hAnsi="仿宋" w:eastAsia="仿宋" w:cs="仿宋"/>
                <w:sz w:val="24"/>
                <w:highlight w:val="none"/>
              </w:rPr>
            </w:pPr>
          </w:p>
        </w:tc>
        <w:tc>
          <w:tcPr>
            <w:tcW w:w="979" w:type="dxa"/>
            <w:noWrap w:val="0"/>
            <w:vAlign w:val="center"/>
          </w:tcPr>
          <w:p w14:paraId="4E9F62B8">
            <w:pPr>
              <w:autoSpaceDE w:val="0"/>
              <w:autoSpaceDN w:val="0"/>
              <w:jc w:val="center"/>
              <w:rPr>
                <w:rFonts w:hint="eastAsia" w:ascii="仿宋" w:hAnsi="仿宋" w:eastAsia="仿宋" w:cs="仿宋"/>
                <w:sz w:val="24"/>
                <w:highlight w:val="none"/>
              </w:rPr>
            </w:pPr>
          </w:p>
        </w:tc>
        <w:tc>
          <w:tcPr>
            <w:tcW w:w="1162" w:type="dxa"/>
            <w:noWrap w:val="0"/>
            <w:vAlign w:val="center"/>
          </w:tcPr>
          <w:p w14:paraId="67F4F2B2">
            <w:pPr>
              <w:autoSpaceDE w:val="0"/>
              <w:autoSpaceDN w:val="0"/>
              <w:jc w:val="center"/>
              <w:rPr>
                <w:rFonts w:hint="eastAsia" w:ascii="仿宋" w:hAnsi="仿宋" w:eastAsia="仿宋" w:cs="仿宋"/>
                <w:sz w:val="24"/>
                <w:highlight w:val="none"/>
              </w:rPr>
            </w:pPr>
          </w:p>
        </w:tc>
      </w:tr>
      <w:tr w14:paraId="45E2D4B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78F989B5">
            <w:pPr>
              <w:autoSpaceDE w:val="0"/>
              <w:autoSpaceDN w:val="0"/>
              <w:jc w:val="center"/>
              <w:rPr>
                <w:rFonts w:hint="eastAsia" w:ascii="仿宋" w:hAnsi="仿宋" w:eastAsia="仿宋" w:cs="仿宋"/>
                <w:sz w:val="24"/>
                <w:highlight w:val="none"/>
              </w:rPr>
            </w:pPr>
          </w:p>
        </w:tc>
        <w:tc>
          <w:tcPr>
            <w:tcW w:w="1507" w:type="dxa"/>
            <w:noWrap w:val="0"/>
            <w:vAlign w:val="center"/>
          </w:tcPr>
          <w:p w14:paraId="5EF102F4">
            <w:pPr>
              <w:autoSpaceDE w:val="0"/>
              <w:autoSpaceDN w:val="0"/>
              <w:jc w:val="center"/>
              <w:rPr>
                <w:rFonts w:hint="eastAsia" w:ascii="仿宋" w:hAnsi="仿宋" w:eastAsia="仿宋" w:cs="仿宋"/>
                <w:sz w:val="24"/>
                <w:highlight w:val="none"/>
              </w:rPr>
            </w:pPr>
          </w:p>
        </w:tc>
        <w:tc>
          <w:tcPr>
            <w:tcW w:w="960" w:type="dxa"/>
            <w:noWrap w:val="0"/>
            <w:vAlign w:val="center"/>
          </w:tcPr>
          <w:p w14:paraId="0D702326">
            <w:pPr>
              <w:autoSpaceDE w:val="0"/>
              <w:autoSpaceDN w:val="0"/>
              <w:jc w:val="center"/>
              <w:rPr>
                <w:rFonts w:hint="eastAsia" w:ascii="仿宋" w:hAnsi="仿宋" w:eastAsia="仿宋" w:cs="仿宋"/>
                <w:sz w:val="24"/>
                <w:highlight w:val="none"/>
              </w:rPr>
            </w:pPr>
          </w:p>
        </w:tc>
        <w:tc>
          <w:tcPr>
            <w:tcW w:w="720" w:type="dxa"/>
            <w:noWrap w:val="0"/>
            <w:vAlign w:val="center"/>
          </w:tcPr>
          <w:p w14:paraId="1071A4E0">
            <w:pPr>
              <w:autoSpaceDE w:val="0"/>
              <w:autoSpaceDN w:val="0"/>
              <w:jc w:val="center"/>
              <w:rPr>
                <w:rFonts w:hint="eastAsia" w:ascii="仿宋" w:hAnsi="仿宋" w:eastAsia="仿宋" w:cs="仿宋"/>
                <w:sz w:val="24"/>
                <w:highlight w:val="none"/>
              </w:rPr>
            </w:pPr>
          </w:p>
        </w:tc>
        <w:tc>
          <w:tcPr>
            <w:tcW w:w="730" w:type="dxa"/>
            <w:noWrap w:val="0"/>
            <w:vAlign w:val="center"/>
          </w:tcPr>
          <w:p w14:paraId="0C8DDAC7">
            <w:pPr>
              <w:autoSpaceDE w:val="0"/>
              <w:autoSpaceDN w:val="0"/>
              <w:jc w:val="center"/>
              <w:rPr>
                <w:rFonts w:hint="eastAsia" w:ascii="仿宋" w:hAnsi="仿宋" w:eastAsia="仿宋" w:cs="仿宋"/>
                <w:sz w:val="24"/>
                <w:highlight w:val="none"/>
              </w:rPr>
            </w:pPr>
          </w:p>
        </w:tc>
        <w:tc>
          <w:tcPr>
            <w:tcW w:w="1123" w:type="dxa"/>
            <w:noWrap w:val="0"/>
            <w:vAlign w:val="center"/>
          </w:tcPr>
          <w:p w14:paraId="058E4C79">
            <w:pPr>
              <w:autoSpaceDE w:val="0"/>
              <w:autoSpaceDN w:val="0"/>
              <w:jc w:val="center"/>
              <w:rPr>
                <w:rFonts w:hint="eastAsia" w:ascii="仿宋" w:hAnsi="仿宋" w:eastAsia="仿宋" w:cs="仿宋"/>
                <w:sz w:val="24"/>
                <w:highlight w:val="none"/>
              </w:rPr>
            </w:pPr>
          </w:p>
        </w:tc>
        <w:tc>
          <w:tcPr>
            <w:tcW w:w="1123" w:type="dxa"/>
            <w:noWrap w:val="0"/>
            <w:vAlign w:val="center"/>
          </w:tcPr>
          <w:p w14:paraId="72C1C34D">
            <w:pPr>
              <w:autoSpaceDE w:val="0"/>
              <w:autoSpaceDN w:val="0"/>
              <w:jc w:val="center"/>
              <w:rPr>
                <w:rFonts w:hint="eastAsia" w:ascii="仿宋" w:hAnsi="仿宋" w:eastAsia="仿宋" w:cs="仿宋"/>
                <w:sz w:val="24"/>
                <w:highlight w:val="none"/>
              </w:rPr>
            </w:pPr>
          </w:p>
        </w:tc>
        <w:tc>
          <w:tcPr>
            <w:tcW w:w="778" w:type="dxa"/>
            <w:noWrap w:val="0"/>
            <w:vAlign w:val="center"/>
          </w:tcPr>
          <w:p w14:paraId="11456C86">
            <w:pPr>
              <w:autoSpaceDE w:val="0"/>
              <w:autoSpaceDN w:val="0"/>
              <w:jc w:val="center"/>
              <w:rPr>
                <w:rFonts w:hint="eastAsia" w:ascii="仿宋" w:hAnsi="仿宋" w:eastAsia="仿宋" w:cs="仿宋"/>
                <w:sz w:val="24"/>
                <w:highlight w:val="none"/>
              </w:rPr>
            </w:pPr>
          </w:p>
        </w:tc>
        <w:tc>
          <w:tcPr>
            <w:tcW w:w="979" w:type="dxa"/>
            <w:noWrap w:val="0"/>
            <w:vAlign w:val="center"/>
          </w:tcPr>
          <w:p w14:paraId="0A12B83B">
            <w:pPr>
              <w:autoSpaceDE w:val="0"/>
              <w:autoSpaceDN w:val="0"/>
              <w:jc w:val="center"/>
              <w:rPr>
                <w:rFonts w:hint="eastAsia" w:ascii="仿宋" w:hAnsi="仿宋" w:eastAsia="仿宋" w:cs="仿宋"/>
                <w:sz w:val="24"/>
                <w:highlight w:val="none"/>
              </w:rPr>
            </w:pPr>
          </w:p>
        </w:tc>
        <w:tc>
          <w:tcPr>
            <w:tcW w:w="1162" w:type="dxa"/>
            <w:noWrap w:val="0"/>
            <w:vAlign w:val="center"/>
          </w:tcPr>
          <w:p w14:paraId="5578DA45">
            <w:pPr>
              <w:autoSpaceDE w:val="0"/>
              <w:autoSpaceDN w:val="0"/>
              <w:jc w:val="center"/>
              <w:rPr>
                <w:rFonts w:hint="eastAsia" w:ascii="仿宋" w:hAnsi="仿宋" w:eastAsia="仿宋" w:cs="仿宋"/>
                <w:sz w:val="24"/>
                <w:highlight w:val="none"/>
              </w:rPr>
            </w:pPr>
          </w:p>
        </w:tc>
      </w:tr>
      <w:tr w14:paraId="144F6BE9">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91FE141">
            <w:pPr>
              <w:autoSpaceDE w:val="0"/>
              <w:autoSpaceDN w:val="0"/>
              <w:jc w:val="center"/>
              <w:rPr>
                <w:rFonts w:hint="eastAsia" w:ascii="仿宋" w:hAnsi="仿宋" w:eastAsia="仿宋" w:cs="仿宋"/>
                <w:sz w:val="24"/>
                <w:highlight w:val="none"/>
              </w:rPr>
            </w:pPr>
          </w:p>
        </w:tc>
        <w:tc>
          <w:tcPr>
            <w:tcW w:w="1507" w:type="dxa"/>
            <w:noWrap w:val="0"/>
            <w:vAlign w:val="center"/>
          </w:tcPr>
          <w:p w14:paraId="35C96ABA">
            <w:pPr>
              <w:autoSpaceDE w:val="0"/>
              <w:autoSpaceDN w:val="0"/>
              <w:jc w:val="center"/>
              <w:rPr>
                <w:rFonts w:hint="eastAsia" w:ascii="仿宋" w:hAnsi="仿宋" w:eastAsia="仿宋" w:cs="仿宋"/>
                <w:sz w:val="24"/>
                <w:highlight w:val="none"/>
              </w:rPr>
            </w:pPr>
          </w:p>
        </w:tc>
        <w:tc>
          <w:tcPr>
            <w:tcW w:w="960" w:type="dxa"/>
            <w:noWrap w:val="0"/>
            <w:vAlign w:val="center"/>
          </w:tcPr>
          <w:p w14:paraId="64308EB2">
            <w:pPr>
              <w:autoSpaceDE w:val="0"/>
              <w:autoSpaceDN w:val="0"/>
              <w:jc w:val="center"/>
              <w:rPr>
                <w:rFonts w:hint="eastAsia" w:ascii="仿宋" w:hAnsi="仿宋" w:eastAsia="仿宋" w:cs="仿宋"/>
                <w:sz w:val="24"/>
                <w:highlight w:val="none"/>
              </w:rPr>
            </w:pPr>
          </w:p>
        </w:tc>
        <w:tc>
          <w:tcPr>
            <w:tcW w:w="720" w:type="dxa"/>
            <w:noWrap w:val="0"/>
            <w:vAlign w:val="center"/>
          </w:tcPr>
          <w:p w14:paraId="2D1A4E69">
            <w:pPr>
              <w:autoSpaceDE w:val="0"/>
              <w:autoSpaceDN w:val="0"/>
              <w:jc w:val="center"/>
              <w:rPr>
                <w:rFonts w:hint="eastAsia" w:ascii="仿宋" w:hAnsi="仿宋" w:eastAsia="仿宋" w:cs="仿宋"/>
                <w:sz w:val="24"/>
                <w:highlight w:val="none"/>
              </w:rPr>
            </w:pPr>
          </w:p>
        </w:tc>
        <w:tc>
          <w:tcPr>
            <w:tcW w:w="730" w:type="dxa"/>
            <w:noWrap w:val="0"/>
            <w:vAlign w:val="center"/>
          </w:tcPr>
          <w:p w14:paraId="3868E009">
            <w:pPr>
              <w:autoSpaceDE w:val="0"/>
              <w:autoSpaceDN w:val="0"/>
              <w:jc w:val="center"/>
              <w:rPr>
                <w:rFonts w:hint="eastAsia" w:ascii="仿宋" w:hAnsi="仿宋" w:eastAsia="仿宋" w:cs="仿宋"/>
                <w:sz w:val="24"/>
                <w:highlight w:val="none"/>
              </w:rPr>
            </w:pPr>
          </w:p>
        </w:tc>
        <w:tc>
          <w:tcPr>
            <w:tcW w:w="1123" w:type="dxa"/>
            <w:noWrap w:val="0"/>
            <w:vAlign w:val="center"/>
          </w:tcPr>
          <w:p w14:paraId="2984C826">
            <w:pPr>
              <w:autoSpaceDE w:val="0"/>
              <w:autoSpaceDN w:val="0"/>
              <w:jc w:val="center"/>
              <w:rPr>
                <w:rFonts w:hint="eastAsia" w:ascii="仿宋" w:hAnsi="仿宋" w:eastAsia="仿宋" w:cs="仿宋"/>
                <w:sz w:val="24"/>
                <w:highlight w:val="none"/>
              </w:rPr>
            </w:pPr>
          </w:p>
        </w:tc>
        <w:tc>
          <w:tcPr>
            <w:tcW w:w="1123" w:type="dxa"/>
            <w:noWrap w:val="0"/>
            <w:vAlign w:val="center"/>
          </w:tcPr>
          <w:p w14:paraId="049693D4">
            <w:pPr>
              <w:autoSpaceDE w:val="0"/>
              <w:autoSpaceDN w:val="0"/>
              <w:jc w:val="center"/>
              <w:rPr>
                <w:rFonts w:hint="eastAsia" w:ascii="仿宋" w:hAnsi="仿宋" w:eastAsia="仿宋" w:cs="仿宋"/>
                <w:sz w:val="24"/>
                <w:highlight w:val="none"/>
              </w:rPr>
            </w:pPr>
          </w:p>
        </w:tc>
        <w:tc>
          <w:tcPr>
            <w:tcW w:w="778" w:type="dxa"/>
            <w:noWrap w:val="0"/>
            <w:vAlign w:val="center"/>
          </w:tcPr>
          <w:p w14:paraId="03B09F75">
            <w:pPr>
              <w:autoSpaceDE w:val="0"/>
              <w:autoSpaceDN w:val="0"/>
              <w:jc w:val="center"/>
              <w:rPr>
                <w:rFonts w:hint="eastAsia" w:ascii="仿宋" w:hAnsi="仿宋" w:eastAsia="仿宋" w:cs="仿宋"/>
                <w:sz w:val="24"/>
                <w:highlight w:val="none"/>
              </w:rPr>
            </w:pPr>
          </w:p>
        </w:tc>
        <w:tc>
          <w:tcPr>
            <w:tcW w:w="979" w:type="dxa"/>
            <w:noWrap w:val="0"/>
            <w:vAlign w:val="center"/>
          </w:tcPr>
          <w:p w14:paraId="6D0AE3CB">
            <w:pPr>
              <w:autoSpaceDE w:val="0"/>
              <w:autoSpaceDN w:val="0"/>
              <w:jc w:val="center"/>
              <w:rPr>
                <w:rFonts w:hint="eastAsia" w:ascii="仿宋" w:hAnsi="仿宋" w:eastAsia="仿宋" w:cs="仿宋"/>
                <w:sz w:val="24"/>
                <w:highlight w:val="none"/>
              </w:rPr>
            </w:pPr>
          </w:p>
        </w:tc>
        <w:tc>
          <w:tcPr>
            <w:tcW w:w="1162" w:type="dxa"/>
            <w:noWrap w:val="0"/>
            <w:vAlign w:val="center"/>
          </w:tcPr>
          <w:p w14:paraId="1C117A79">
            <w:pPr>
              <w:autoSpaceDE w:val="0"/>
              <w:autoSpaceDN w:val="0"/>
              <w:jc w:val="center"/>
              <w:rPr>
                <w:rFonts w:hint="eastAsia" w:ascii="仿宋" w:hAnsi="仿宋" w:eastAsia="仿宋" w:cs="仿宋"/>
                <w:sz w:val="24"/>
                <w:highlight w:val="none"/>
              </w:rPr>
            </w:pPr>
          </w:p>
        </w:tc>
      </w:tr>
      <w:tr w14:paraId="5CBF760E">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760D47F6">
            <w:pPr>
              <w:autoSpaceDE w:val="0"/>
              <w:autoSpaceDN w:val="0"/>
              <w:jc w:val="center"/>
              <w:rPr>
                <w:rFonts w:hint="eastAsia" w:ascii="仿宋" w:hAnsi="仿宋" w:eastAsia="仿宋" w:cs="仿宋"/>
                <w:sz w:val="24"/>
                <w:highlight w:val="none"/>
              </w:rPr>
            </w:pPr>
          </w:p>
        </w:tc>
        <w:tc>
          <w:tcPr>
            <w:tcW w:w="1507" w:type="dxa"/>
            <w:noWrap w:val="0"/>
            <w:vAlign w:val="center"/>
          </w:tcPr>
          <w:p w14:paraId="593AA080">
            <w:pPr>
              <w:autoSpaceDE w:val="0"/>
              <w:autoSpaceDN w:val="0"/>
              <w:jc w:val="center"/>
              <w:rPr>
                <w:rFonts w:hint="eastAsia" w:ascii="仿宋" w:hAnsi="仿宋" w:eastAsia="仿宋" w:cs="仿宋"/>
                <w:sz w:val="24"/>
                <w:highlight w:val="none"/>
              </w:rPr>
            </w:pPr>
          </w:p>
        </w:tc>
        <w:tc>
          <w:tcPr>
            <w:tcW w:w="960" w:type="dxa"/>
            <w:noWrap w:val="0"/>
            <w:vAlign w:val="center"/>
          </w:tcPr>
          <w:p w14:paraId="1605D30B">
            <w:pPr>
              <w:autoSpaceDE w:val="0"/>
              <w:autoSpaceDN w:val="0"/>
              <w:jc w:val="center"/>
              <w:rPr>
                <w:rFonts w:hint="eastAsia" w:ascii="仿宋" w:hAnsi="仿宋" w:eastAsia="仿宋" w:cs="仿宋"/>
                <w:sz w:val="24"/>
                <w:highlight w:val="none"/>
              </w:rPr>
            </w:pPr>
          </w:p>
        </w:tc>
        <w:tc>
          <w:tcPr>
            <w:tcW w:w="720" w:type="dxa"/>
            <w:noWrap w:val="0"/>
            <w:vAlign w:val="center"/>
          </w:tcPr>
          <w:p w14:paraId="45510449">
            <w:pPr>
              <w:autoSpaceDE w:val="0"/>
              <w:autoSpaceDN w:val="0"/>
              <w:jc w:val="center"/>
              <w:rPr>
                <w:rFonts w:hint="eastAsia" w:ascii="仿宋" w:hAnsi="仿宋" w:eastAsia="仿宋" w:cs="仿宋"/>
                <w:sz w:val="24"/>
                <w:highlight w:val="none"/>
              </w:rPr>
            </w:pPr>
          </w:p>
        </w:tc>
        <w:tc>
          <w:tcPr>
            <w:tcW w:w="730" w:type="dxa"/>
            <w:noWrap w:val="0"/>
            <w:vAlign w:val="center"/>
          </w:tcPr>
          <w:p w14:paraId="2A071E1A">
            <w:pPr>
              <w:autoSpaceDE w:val="0"/>
              <w:autoSpaceDN w:val="0"/>
              <w:jc w:val="center"/>
              <w:rPr>
                <w:rFonts w:hint="eastAsia" w:ascii="仿宋" w:hAnsi="仿宋" w:eastAsia="仿宋" w:cs="仿宋"/>
                <w:sz w:val="24"/>
                <w:highlight w:val="none"/>
              </w:rPr>
            </w:pPr>
          </w:p>
        </w:tc>
        <w:tc>
          <w:tcPr>
            <w:tcW w:w="1123" w:type="dxa"/>
            <w:noWrap w:val="0"/>
            <w:vAlign w:val="center"/>
          </w:tcPr>
          <w:p w14:paraId="6B8819B4">
            <w:pPr>
              <w:autoSpaceDE w:val="0"/>
              <w:autoSpaceDN w:val="0"/>
              <w:jc w:val="center"/>
              <w:rPr>
                <w:rFonts w:hint="eastAsia" w:ascii="仿宋" w:hAnsi="仿宋" w:eastAsia="仿宋" w:cs="仿宋"/>
                <w:sz w:val="24"/>
                <w:highlight w:val="none"/>
              </w:rPr>
            </w:pPr>
          </w:p>
        </w:tc>
        <w:tc>
          <w:tcPr>
            <w:tcW w:w="1123" w:type="dxa"/>
            <w:noWrap w:val="0"/>
            <w:vAlign w:val="center"/>
          </w:tcPr>
          <w:p w14:paraId="5EDEE780">
            <w:pPr>
              <w:autoSpaceDE w:val="0"/>
              <w:autoSpaceDN w:val="0"/>
              <w:jc w:val="center"/>
              <w:rPr>
                <w:rFonts w:hint="eastAsia" w:ascii="仿宋" w:hAnsi="仿宋" w:eastAsia="仿宋" w:cs="仿宋"/>
                <w:sz w:val="24"/>
                <w:highlight w:val="none"/>
              </w:rPr>
            </w:pPr>
          </w:p>
        </w:tc>
        <w:tc>
          <w:tcPr>
            <w:tcW w:w="778" w:type="dxa"/>
            <w:noWrap w:val="0"/>
            <w:vAlign w:val="center"/>
          </w:tcPr>
          <w:p w14:paraId="490D26A4">
            <w:pPr>
              <w:autoSpaceDE w:val="0"/>
              <w:autoSpaceDN w:val="0"/>
              <w:jc w:val="center"/>
              <w:rPr>
                <w:rFonts w:hint="eastAsia" w:ascii="仿宋" w:hAnsi="仿宋" w:eastAsia="仿宋" w:cs="仿宋"/>
                <w:sz w:val="24"/>
                <w:highlight w:val="none"/>
              </w:rPr>
            </w:pPr>
          </w:p>
        </w:tc>
        <w:tc>
          <w:tcPr>
            <w:tcW w:w="979" w:type="dxa"/>
            <w:noWrap w:val="0"/>
            <w:vAlign w:val="center"/>
          </w:tcPr>
          <w:p w14:paraId="2C612DB5">
            <w:pPr>
              <w:autoSpaceDE w:val="0"/>
              <w:autoSpaceDN w:val="0"/>
              <w:jc w:val="center"/>
              <w:rPr>
                <w:rFonts w:hint="eastAsia" w:ascii="仿宋" w:hAnsi="仿宋" w:eastAsia="仿宋" w:cs="仿宋"/>
                <w:sz w:val="24"/>
                <w:highlight w:val="none"/>
              </w:rPr>
            </w:pPr>
          </w:p>
        </w:tc>
        <w:tc>
          <w:tcPr>
            <w:tcW w:w="1162" w:type="dxa"/>
            <w:noWrap w:val="0"/>
            <w:vAlign w:val="center"/>
          </w:tcPr>
          <w:p w14:paraId="425CCE30">
            <w:pPr>
              <w:autoSpaceDE w:val="0"/>
              <w:autoSpaceDN w:val="0"/>
              <w:jc w:val="center"/>
              <w:rPr>
                <w:rFonts w:hint="eastAsia" w:ascii="仿宋" w:hAnsi="仿宋" w:eastAsia="仿宋" w:cs="仿宋"/>
                <w:sz w:val="24"/>
                <w:highlight w:val="none"/>
              </w:rPr>
            </w:pPr>
          </w:p>
        </w:tc>
      </w:tr>
    </w:tbl>
    <w:p w14:paraId="29CF8CEA">
      <w:pPr>
        <w:wordWrap w:val="0"/>
        <w:spacing w:line="560" w:lineRule="exact"/>
        <w:jc w:val="right"/>
        <w:rPr>
          <w:rFonts w:hint="eastAsia" w:ascii="仿宋_GB2312" w:hAnsi="仿宋" w:eastAsia="仿宋_GB2312"/>
          <w:sz w:val="32"/>
          <w:szCs w:val="32"/>
          <w:highlight w:val="none"/>
        </w:rPr>
      </w:pPr>
      <w:r>
        <w:rPr>
          <w:rFonts w:hint="eastAsia" w:ascii="仿宋_GB2312" w:hAnsi="仿宋" w:eastAsia="仿宋_GB2312"/>
          <w:sz w:val="32"/>
          <w:szCs w:val="32"/>
          <w:highlight w:val="none"/>
        </w:rPr>
        <w:t xml:space="preserve">投标人（签章）：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50B0E857">
      <w:pPr>
        <w:wordWrap w:val="0"/>
        <w:spacing w:line="560" w:lineRule="exact"/>
        <w:ind w:right="640"/>
        <w:jc w:val="center"/>
        <w:rPr>
          <w:rFonts w:ascii="仿宋_GB2312" w:hAnsi="仿宋" w:eastAsia="仿宋_GB2312"/>
          <w:sz w:val="32"/>
          <w:szCs w:val="32"/>
          <w:highlight w:val="none"/>
        </w:rPr>
      </w:pPr>
      <w:r>
        <w:rPr>
          <w:rFonts w:hint="eastAsia" w:ascii="仿宋_GB2312" w:hAnsi="仿宋" w:eastAsia="仿宋_GB2312"/>
          <w:sz w:val="32"/>
          <w:szCs w:val="32"/>
          <w:highlight w:val="none"/>
        </w:rPr>
        <w:t xml:space="preserve">                                        法定代表人签章：</w:t>
      </w:r>
    </w:p>
    <w:p w14:paraId="2A5D20A2">
      <w:pPr>
        <w:pStyle w:val="16"/>
        <w:spacing w:line="520" w:lineRule="exact"/>
        <w:jc w:val="center"/>
        <w:rPr>
          <w:rFonts w:hint="eastAsia" w:ascii="Times New Roman" w:hAnsi="Times New Roman" w:eastAsia="黑体"/>
          <w:b/>
          <w:bCs/>
          <w:kern w:val="2"/>
          <w:sz w:val="32"/>
          <w:szCs w:val="32"/>
          <w:highlight w:val="none"/>
        </w:rPr>
      </w:pPr>
      <w:r>
        <w:rPr>
          <w:rFonts w:hAnsi="宋体"/>
          <w:bCs/>
          <w:sz w:val="28"/>
          <w:szCs w:val="28"/>
          <w:highlight w:val="none"/>
        </w:rPr>
        <w:br w:type="page"/>
      </w:r>
      <w:r>
        <w:rPr>
          <w:rFonts w:hint="eastAsia" w:ascii="仿宋" w:hAnsi="仿宋" w:eastAsia="仿宋" w:cs="仿宋"/>
          <w:b/>
          <w:bCs/>
          <w:kern w:val="2"/>
          <w:sz w:val="32"/>
          <w:szCs w:val="32"/>
          <w:highlight w:val="none"/>
        </w:rPr>
        <w:t>投标偏离表</w:t>
      </w:r>
    </w:p>
    <w:p w14:paraId="1D1201BF">
      <w:pPr>
        <w:spacing w:line="360" w:lineRule="exact"/>
        <w:jc w:val="center"/>
        <w:rPr>
          <w:rFonts w:hint="eastAsia" w:ascii="宋体" w:hAnsi="宋体"/>
          <w:b/>
          <w:bCs/>
          <w:sz w:val="24"/>
          <w:highlight w:val="none"/>
        </w:rPr>
      </w:pPr>
    </w:p>
    <w:p w14:paraId="707D5116">
      <w:pPr>
        <w:spacing w:line="360" w:lineRule="exact"/>
        <w:jc w:val="center"/>
        <w:rPr>
          <w:rFonts w:hint="eastAsia" w:ascii="仿宋" w:hAnsi="仿宋" w:eastAsia="仿宋" w:cs="仿宋"/>
          <w:bCs/>
          <w:sz w:val="24"/>
          <w:highlight w:val="none"/>
        </w:rPr>
      </w:pPr>
      <w:r>
        <w:rPr>
          <w:rFonts w:hint="eastAsia" w:ascii="仿宋" w:hAnsi="仿宋" w:eastAsia="仿宋" w:cs="仿宋"/>
          <w:bCs/>
          <w:sz w:val="24"/>
          <w:highlight w:val="none"/>
        </w:rPr>
        <w:t>（包括技术规格、参数和商务条款偏离）</w:t>
      </w:r>
    </w:p>
    <w:p w14:paraId="4C986B53">
      <w:pPr>
        <w:spacing w:line="360" w:lineRule="exact"/>
        <w:jc w:val="center"/>
        <w:rPr>
          <w:rFonts w:hint="eastAsia" w:ascii="仿宋" w:hAnsi="仿宋" w:eastAsia="仿宋" w:cs="仿宋"/>
          <w:bCs/>
          <w:sz w:val="24"/>
          <w:highlight w:val="none"/>
        </w:rPr>
      </w:pP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
        <w:gridCol w:w="1225"/>
        <w:gridCol w:w="2634"/>
        <w:gridCol w:w="1405"/>
        <w:gridCol w:w="2670"/>
        <w:gridCol w:w="1282"/>
      </w:tblGrid>
      <w:tr w14:paraId="64C28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8" w:hRule="atLeast"/>
        </w:trPr>
        <w:tc>
          <w:tcPr>
            <w:tcW w:w="464" w:type="dxa"/>
            <w:vMerge w:val="restart"/>
            <w:noWrap w:val="0"/>
            <w:vAlign w:val="top"/>
          </w:tcPr>
          <w:p w14:paraId="100B138A">
            <w:pPr>
              <w:pStyle w:val="16"/>
              <w:spacing w:line="400" w:lineRule="exact"/>
              <w:rPr>
                <w:rFonts w:hint="eastAsia" w:ascii="仿宋" w:hAnsi="仿宋" w:eastAsia="仿宋" w:cs="仿宋"/>
                <w:sz w:val="24"/>
                <w:szCs w:val="24"/>
                <w:highlight w:val="none"/>
              </w:rPr>
            </w:pPr>
            <w:r>
              <w:rPr>
                <w:rFonts w:hint="eastAsia" w:ascii="仿宋" w:hAnsi="仿宋" w:eastAsia="仿宋" w:cs="仿宋"/>
                <w:sz w:val="24"/>
                <w:szCs w:val="24"/>
                <w:highlight w:val="none"/>
              </w:rPr>
              <w:t>序号</w:t>
            </w:r>
          </w:p>
        </w:tc>
        <w:tc>
          <w:tcPr>
            <w:tcW w:w="3859" w:type="dxa"/>
            <w:gridSpan w:val="2"/>
            <w:noWrap w:val="0"/>
            <w:vAlign w:val="top"/>
          </w:tcPr>
          <w:p w14:paraId="2285E13E">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招标文件条款</w:t>
            </w:r>
          </w:p>
        </w:tc>
        <w:tc>
          <w:tcPr>
            <w:tcW w:w="4075" w:type="dxa"/>
            <w:gridSpan w:val="2"/>
            <w:noWrap w:val="0"/>
            <w:vAlign w:val="top"/>
          </w:tcPr>
          <w:p w14:paraId="5E37CF87">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投标文件条款</w:t>
            </w:r>
          </w:p>
        </w:tc>
        <w:tc>
          <w:tcPr>
            <w:tcW w:w="1282" w:type="dxa"/>
            <w:vMerge w:val="restart"/>
            <w:noWrap w:val="0"/>
            <w:vAlign w:val="center"/>
          </w:tcPr>
          <w:p w14:paraId="61981222">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偏离情况</w:t>
            </w:r>
          </w:p>
        </w:tc>
      </w:tr>
      <w:tr w14:paraId="5460F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2" w:hRule="atLeast"/>
        </w:trPr>
        <w:tc>
          <w:tcPr>
            <w:tcW w:w="464" w:type="dxa"/>
            <w:vMerge w:val="continue"/>
            <w:noWrap w:val="0"/>
            <w:vAlign w:val="top"/>
          </w:tcPr>
          <w:p w14:paraId="0E3F7BEF">
            <w:pPr>
              <w:pStyle w:val="16"/>
              <w:spacing w:line="400" w:lineRule="exact"/>
              <w:rPr>
                <w:rFonts w:hint="eastAsia" w:ascii="仿宋" w:hAnsi="仿宋" w:eastAsia="仿宋" w:cs="仿宋"/>
                <w:sz w:val="24"/>
                <w:szCs w:val="24"/>
                <w:highlight w:val="none"/>
              </w:rPr>
            </w:pPr>
          </w:p>
        </w:tc>
        <w:tc>
          <w:tcPr>
            <w:tcW w:w="1225" w:type="dxa"/>
            <w:noWrap w:val="0"/>
            <w:vAlign w:val="top"/>
          </w:tcPr>
          <w:p w14:paraId="2968CE60">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条款号</w:t>
            </w:r>
          </w:p>
        </w:tc>
        <w:tc>
          <w:tcPr>
            <w:tcW w:w="2634" w:type="dxa"/>
            <w:noWrap w:val="0"/>
            <w:vAlign w:val="top"/>
          </w:tcPr>
          <w:p w14:paraId="7FC4F513">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招标文件的内容</w:t>
            </w:r>
          </w:p>
        </w:tc>
        <w:tc>
          <w:tcPr>
            <w:tcW w:w="1405" w:type="dxa"/>
            <w:noWrap w:val="0"/>
            <w:vAlign w:val="top"/>
          </w:tcPr>
          <w:p w14:paraId="5C97DBB4">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条款号</w:t>
            </w:r>
          </w:p>
        </w:tc>
        <w:tc>
          <w:tcPr>
            <w:tcW w:w="2670" w:type="dxa"/>
            <w:noWrap w:val="0"/>
            <w:vAlign w:val="top"/>
          </w:tcPr>
          <w:p w14:paraId="5903E9B0">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投标文件偏离内容</w:t>
            </w:r>
          </w:p>
        </w:tc>
        <w:tc>
          <w:tcPr>
            <w:tcW w:w="1282" w:type="dxa"/>
            <w:vMerge w:val="continue"/>
            <w:noWrap w:val="0"/>
            <w:vAlign w:val="top"/>
          </w:tcPr>
          <w:p w14:paraId="734564CB">
            <w:pPr>
              <w:pStyle w:val="16"/>
              <w:spacing w:line="400" w:lineRule="exact"/>
              <w:jc w:val="center"/>
              <w:rPr>
                <w:rFonts w:hint="eastAsia" w:ascii="仿宋" w:hAnsi="仿宋" w:eastAsia="仿宋" w:cs="仿宋"/>
                <w:sz w:val="24"/>
                <w:szCs w:val="24"/>
                <w:highlight w:val="none"/>
              </w:rPr>
            </w:pPr>
          </w:p>
        </w:tc>
      </w:tr>
      <w:tr w14:paraId="100BB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0C136023">
            <w:pPr>
              <w:pStyle w:val="16"/>
              <w:spacing w:line="400" w:lineRule="exact"/>
              <w:rPr>
                <w:rFonts w:hint="eastAsia" w:ascii="仿宋" w:hAnsi="仿宋" w:eastAsia="仿宋" w:cs="仿宋"/>
                <w:sz w:val="24"/>
                <w:szCs w:val="24"/>
                <w:highlight w:val="none"/>
              </w:rPr>
            </w:pPr>
          </w:p>
        </w:tc>
        <w:tc>
          <w:tcPr>
            <w:tcW w:w="1225" w:type="dxa"/>
            <w:noWrap w:val="0"/>
            <w:vAlign w:val="top"/>
          </w:tcPr>
          <w:p w14:paraId="45ACB088">
            <w:pPr>
              <w:pStyle w:val="16"/>
              <w:spacing w:line="400" w:lineRule="exact"/>
              <w:rPr>
                <w:rFonts w:hint="eastAsia" w:ascii="仿宋" w:hAnsi="仿宋" w:eastAsia="仿宋" w:cs="仿宋"/>
                <w:sz w:val="24"/>
                <w:szCs w:val="24"/>
                <w:highlight w:val="none"/>
              </w:rPr>
            </w:pPr>
          </w:p>
        </w:tc>
        <w:tc>
          <w:tcPr>
            <w:tcW w:w="2634" w:type="dxa"/>
            <w:noWrap w:val="0"/>
            <w:vAlign w:val="top"/>
          </w:tcPr>
          <w:p w14:paraId="55A890B9">
            <w:pPr>
              <w:pStyle w:val="16"/>
              <w:spacing w:line="400" w:lineRule="exact"/>
              <w:rPr>
                <w:rFonts w:hint="eastAsia" w:ascii="仿宋" w:hAnsi="仿宋" w:eastAsia="仿宋" w:cs="仿宋"/>
                <w:sz w:val="24"/>
                <w:szCs w:val="24"/>
                <w:highlight w:val="none"/>
              </w:rPr>
            </w:pPr>
          </w:p>
        </w:tc>
        <w:tc>
          <w:tcPr>
            <w:tcW w:w="1405" w:type="dxa"/>
            <w:noWrap w:val="0"/>
            <w:vAlign w:val="top"/>
          </w:tcPr>
          <w:p w14:paraId="60BD85B7">
            <w:pPr>
              <w:pStyle w:val="16"/>
              <w:spacing w:line="400" w:lineRule="exact"/>
              <w:rPr>
                <w:rFonts w:hint="eastAsia" w:ascii="仿宋" w:hAnsi="仿宋" w:eastAsia="仿宋" w:cs="仿宋"/>
                <w:sz w:val="24"/>
                <w:szCs w:val="24"/>
                <w:highlight w:val="none"/>
              </w:rPr>
            </w:pPr>
          </w:p>
        </w:tc>
        <w:tc>
          <w:tcPr>
            <w:tcW w:w="2670" w:type="dxa"/>
            <w:noWrap w:val="0"/>
            <w:vAlign w:val="top"/>
          </w:tcPr>
          <w:p w14:paraId="0E55D29E">
            <w:pPr>
              <w:pStyle w:val="16"/>
              <w:spacing w:line="400" w:lineRule="exact"/>
              <w:rPr>
                <w:rFonts w:hint="eastAsia" w:ascii="仿宋" w:hAnsi="仿宋" w:eastAsia="仿宋" w:cs="仿宋"/>
                <w:sz w:val="24"/>
                <w:szCs w:val="24"/>
                <w:highlight w:val="none"/>
              </w:rPr>
            </w:pPr>
          </w:p>
        </w:tc>
        <w:tc>
          <w:tcPr>
            <w:tcW w:w="1282" w:type="dxa"/>
            <w:noWrap w:val="0"/>
            <w:vAlign w:val="top"/>
          </w:tcPr>
          <w:p w14:paraId="5ABBA452">
            <w:pPr>
              <w:pStyle w:val="16"/>
              <w:spacing w:line="400" w:lineRule="exact"/>
              <w:rPr>
                <w:rFonts w:hint="eastAsia" w:ascii="仿宋" w:hAnsi="仿宋" w:eastAsia="仿宋" w:cs="仿宋"/>
                <w:sz w:val="24"/>
                <w:szCs w:val="24"/>
                <w:highlight w:val="none"/>
              </w:rPr>
            </w:pPr>
          </w:p>
        </w:tc>
      </w:tr>
      <w:tr w14:paraId="3CF6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7B803F30">
            <w:pPr>
              <w:pStyle w:val="16"/>
              <w:spacing w:line="400" w:lineRule="exact"/>
              <w:rPr>
                <w:rFonts w:hint="eastAsia" w:ascii="仿宋" w:hAnsi="仿宋" w:eastAsia="仿宋" w:cs="仿宋"/>
                <w:sz w:val="24"/>
                <w:szCs w:val="24"/>
                <w:highlight w:val="none"/>
              </w:rPr>
            </w:pPr>
          </w:p>
        </w:tc>
        <w:tc>
          <w:tcPr>
            <w:tcW w:w="1225" w:type="dxa"/>
            <w:noWrap w:val="0"/>
            <w:vAlign w:val="top"/>
          </w:tcPr>
          <w:p w14:paraId="52011B56">
            <w:pPr>
              <w:pStyle w:val="16"/>
              <w:spacing w:line="400" w:lineRule="exact"/>
              <w:rPr>
                <w:rFonts w:hint="eastAsia" w:ascii="仿宋" w:hAnsi="仿宋" w:eastAsia="仿宋" w:cs="仿宋"/>
                <w:sz w:val="24"/>
                <w:szCs w:val="24"/>
                <w:highlight w:val="none"/>
              </w:rPr>
            </w:pPr>
          </w:p>
        </w:tc>
        <w:tc>
          <w:tcPr>
            <w:tcW w:w="2634" w:type="dxa"/>
            <w:noWrap w:val="0"/>
            <w:vAlign w:val="top"/>
          </w:tcPr>
          <w:p w14:paraId="417051ED">
            <w:pPr>
              <w:pStyle w:val="16"/>
              <w:spacing w:line="400" w:lineRule="exact"/>
              <w:rPr>
                <w:rFonts w:hint="eastAsia" w:ascii="仿宋" w:hAnsi="仿宋" w:eastAsia="仿宋" w:cs="仿宋"/>
                <w:sz w:val="24"/>
                <w:szCs w:val="24"/>
                <w:highlight w:val="none"/>
              </w:rPr>
            </w:pPr>
          </w:p>
        </w:tc>
        <w:tc>
          <w:tcPr>
            <w:tcW w:w="1405" w:type="dxa"/>
            <w:noWrap w:val="0"/>
            <w:vAlign w:val="top"/>
          </w:tcPr>
          <w:p w14:paraId="206FCB06">
            <w:pPr>
              <w:pStyle w:val="16"/>
              <w:spacing w:line="400" w:lineRule="exact"/>
              <w:rPr>
                <w:rFonts w:hint="eastAsia" w:ascii="仿宋" w:hAnsi="仿宋" w:eastAsia="仿宋" w:cs="仿宋"/>
                <w:sz w:val="24"/>
                <w:szCs w:val="24"/>
                <w:highlight w:val="none"/>
              </w:rPr>
            </w:pPr>
          </w:p>
        </w:tc>
        <w:tc>
          <w:tcPr>
            <w:tcW w:w="2670" w:type="dxa"/>
            <w:noWrap w:val="0"/>
            <w:vAlign w:val="top"/>
          </w:tcPr>
          <w:p w14:paraId="7BD03F70">
            <w:pPr>
              <w:pStyle w:val="16"/>
              <w:spacing w:line="400" w:lineRule="exact"/>
              <w:rPr>
                <w:rFonts w:hint="eastAsia" w:ascii="仿宋" w:hAnsi="仿宋" w:eastAsia="仿宋" w:cs="仿宋"/>
                <w:sz w:val="24"/>
                <w:szCs w:val="24"/>
                <w:highlight w:val="none"/>
              </w:rPr>
            </w:pPr>
          </w:p>
        </w:tc>
        <w:tc>
          <w:tcPr>
            <w:tcW w:w="1282" w:type="dxa"/>
            <w:noWrap w:val="0"/>
            <w:vAlign w:val="top"/>
          </w:tcPr>
          <w:p w14:paraId="442B84C6">
            <w:pPr>
              <w:pStyle w:val="16"/>
              <w:spacing w:line="400" w:lineRule="exact"/>
              <w:rPr>
                <w:rFonts w:hint="eastAsia" w:ascii="仿宋" w:hAnsi="仿宋" w:eastAsia="仿宋" w:cs="仿宋"/>
                <w:sz w:val="24"/>
                <w:szCs w:val="24"/>
                <w:highlight w:val="none"/>
              </w:rPr>
            </w:pPr>
          </w:p>
        </w:tc>
      </w:tr>
      <w:tr w14:paraId="00513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58ECDE3A">
            <w:pPr>
              <w:pStyle w:val="16"/>
              <w:spacing w:line="400" w:lineRule="exact"/>
              <w:rPr>
                <w:rFonts w:hint="eastAsia" w:ascii="仿宋" w:hAnsi="仿宋" w:eastAsia="仿宋" w:cs="仿宋"/>
                <w:sz w:val="24"/>
                <w:szCs w:val="24"/>
                <w:highlight w:val="none"/>
              </w:rPr>
            </w:pPr>
          </w:p>
        </w:tc>
        <w:tc>
          <w:tcPr>
            <w:tcW w:w="1225" w:type="dxa"/>
            <w:noWrap w:val="0"/>
            <w:vAlign w:val="top"/>
          </w:tcPr>
          <w:p w14:paraId="5631386A">
            <w:pPr>
              <w:pStyle w:val="16"/>
              <w:spacing w:line="400" w:lineRule="exact"/>
              <w:rPr>
                <w:rFonts w:hint="eastAsia" w:ascii="仿宋" w:hAnsi="仿宋" w:eastAsia="仿宋" w:cs="仿宋"/>
                <w:sz w:val="24"/>
                <w:szCs w:val="24"/>
                <w:highlight w:val="none"/>
              </w:rPr>
            </w:pPr>
          </w:p>
        </w:tc>
        <w:tc>
          <w:tcPr>
            <w:tcW w:w="2634" w:type="dxa"/>
            <w:noWrap w:val="0"/>
            <w:vAlign w:val="top"/>
          </w:tcPr>
          <w:p w14:paraId="5163FE47">
            <w:pPr>
              <w:pStyle w:val="16"/>
              <w:spacing w:line="400" w:lineRule="exact"/>
              <w:rPr>
                <w:rFonts w:hint="eastAsia" w:ascii="仿宋" w:hAnsi="仿宋" w:eastAsia="仿宋" w:cs="仿宋"/>
                <w:sz w:val="24"/>
                <w:szCs w:val="24"/>
                <w:highlight w:val="none"/>
              </w:rPr>
            </w:pPr>
          </w:p>
        </w:tc>
        <w:tc>
          <w:tcPr>
            <w:tcW w:w="1405" w:type="dxa"/>
            <w:noWrap w:val="0"/>
            <w:vAlign w:val="top"/>
          </w:tcPr>
          <w:p w14:paraId="6588C0B6">
            <w:pPr>
              <w:pStyle w:val="16"/>
              <w:spacing w:line="400" w:lineRule="exact"/>
              <w:rPr>
                <w:rFonts w:hint="eastAsia" w:ascii="仿宋" w:hAnsi="仿宋" w:eastAsia="仿宋" w:cs="仿宋"/>
                <w:sz w:val="24"/>
                <w:szCs w:val="24"/>
                <w:highlight w:val="none"/>
              </w:rPr>
            </w:pPr>
          </w:p>
        </w:tc>
        <w:tc>
          <w:tcPr>
            <w:tcW w:w="2670" w:type="dxa"/>
            <w:noWrap w:val="0"/>
            <w:vAlign w:val="top"/>
          </w:tcPr>
          <w:p w14:paraId="29556613">
            <w:pPr>
              <w:pStyle w:val="16"/>
              <w:spacing w:line="400" w:lineRule="exact"/>
              <w:rPr>
                <w:rFonts w:hint="eastAsia" w:ascii="仿宋" w:hAnsi="仿宋" w:eastAsia="仿宋" w:cs="仿宋"/>
                <w:sz w:val="24"/>
                <w:szCs w:val="24"/>
                <w:highlight w:val="none"/>
              </w:rPr>
            </w:pPr>
          </w:p>
        </w:tc>
        <w:tc>
          <w:tcPr>
            <w:tcW w:w="1282" w:type="dxa"/>
            <w:noWrap w:val="0"/>
            <w:vAlign w:val="top"/>
          </w:tcPr>
          <w:p w14:paraId="27BD7679">
            <w:pPr>
              <w:pStyle w:val="16"/>
              <w:spacing w:line="400" w:lineRule="exact"/>
              <w:rPr>
                <w:rFonts w:hint="eastAsia" w:ascii="仿宋" w:hAnsi="仿宋" w:eastAsia="仿宋" w:cs="仿宋"/>
                <w:sz w:val="24"/>
                <w:szCs w:val="24"/>
                <w:highlight w:val="none"/>
              </w:rPr>
            </w:pPr>
          </w:p>
        </w:tc>
      </w:tr>
      <w:tr w14:paraId="63695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08AEFC9F">
            <w:pPr>
              <w:pStyle w:val="16"/>
              <w:spacing w:line="400" w:lineRule="exact"/>
              <w:rPr>
                <w:rFonts w:hint="eastAsia" w:ascii="仿宋" w:hAnsi="仿宋" w:eastAsia="仿宋" w:cs="仿宋"/>
                <w:sz w:val="24"/>
                <w:szCs w:val="24"/>
                <w:highlight w:val="none"/>
              </w:rPr>
            </w:pPr>
          </w:p>
        </w:tc>
        <w:tc>
          <w:tcPr>
            <w:tcW w:w="1225" w:type="dxa"/>
            <w:noWrap w:val="0"/>
            <w:vAlign w:val="top"/>
          </w:tcPr>
          <w:p w14:paraId="161F1646">
            <w:pPr>
              <w:pStyle w:val="16"/>
              <w:spacing w:line="400" w:lineRule="exact"/>
              <w:rPr>
                <w:rFonts w:hint="eastAsia" w:ascii="仿宋" w:hAnsi="仿宋" w:eastAsia="仿宋" w:cs="仿宋"/>
                <w:sz w:val="24"/>
                <w:szCs w:val="24"/>
                <w:highlight w:val="none"/>
              </w:rPr>
            </w:pPr>
          </w:p>
        </w:tc>
        <w:tc>
          <w:tcPr>
            <w:tcW w:w="2634" w:type="dxa"/>
            <w:noWrap w:val="0"/>
            <w:vAlign w:val="top"/>
          </w:tcPr>
          <w:p w14:paraId="18F96CFF">
            <w:pPr>
              <w:pStyle w:val="16"/>
              <w:spacing w:line="400" w:lineRule="exact"/>
              <w:rPr>
                <w:rFonts w:hint="eastAsia" w:ascii="仿宋" w:hAnsi="仿宋" w:eastAsia="仿宋" w:cs="仿宋"/>
                <w:sz w:val="24"/>
                <w:szCs w:val="24"/>
                <w:highlight w:val="none"/>
              </w:rPr>
            </w:pPr>
          </w:p>
        </w:tc>
        <w:tc>
          <w:tcPr>
            <w:tcW w:w="1405" w:type="dxa"/>
            <w:noWrap w:val="0"/>
            <w:vAlign w:val="top"/>
          </w:tcPr>
          <w:p w14:paraId="4D0F385E">
            <w:pPr>
              <w:pStyle w:val="16"/>
              <w:spacing w:line="400" w:lineRule="exact"/>
              <w:rPr>
                <w:rFonts w:hint="eastAsia" w:ascii="仿宋" w:hAnsi="仿宋" w:eastAsia="仿宋" w:cs="仿宋"/>
                <w:sz w:val="24"/>
                <w:szCs w:val="24"/>
                <w:highlight w:val="none"/>
              </w:rPr>
            </w:pPr>
          </w:p>
        </w:tc>
        <w:tc>
          <w:tcPr>
            <w:tcW w:w="2670" w:type="dxa"/>
            <w:noWrap w:val="0"/>
            <w:vAlign w:val="top"/>
          </w:tcPr>
          <w:p w14:paraId="6CA9374A">
            <w:pPr>
              <w:pStyle w:val="16"/>
              <w:spacing w:line="400" w:lineRule="exact"/>
              <w:rPr>
                <w:rFonts w:hint="eastAsia" w:ascii="仿宋" w:hAnsi="仿宋" w:eastAsia="仿宋" w:cs="仿宋"/>
                <w:sz w:val="24"/>
                <w:szCs w:val="24"/>
                <w:highlight w:val="none"/>
              </w:rPr>
            </w:pPr>
          </w:p>
        </w:tc>
        <w:tc>
          <w:tcPr>
            <w:tcW w:w="1282" w:type="dxa"/>
            <w:noWrap w:val="0"/>
            <w:vAlign w:val="top"/>
          </w:tcPr>
          <w:p w14:paraId="7C6F5C87">
            <w:pPr>
              <w:pStyle w:val="16"/>
              <w:spacing w:line="400" w:lineRule="exact"/>
              <w:rPr>
                <w:rFonts w:hint="eastAsia" w:ascii="仿宋" w:hAnsi="仿宋" w:eastAsia="仿宋" w:cs="仿宋"/>
                <w:sz w:val="24"/>
                <w:szCs w:val="24"/>
                <w:highlight w:val="none"/>
              </w:rPr>
            </w:pPr>
          </w:p>
        </w:tc>
      </w:tr>
      <w:tr w14:paraId="2C316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3AB1AE7D">
            <w:pPr>
              <w:pStyle w:val="16"/>
              <w:spacing w:line="400" w:lineRule="exact"/>
              <w:rPr>
                <w:rFonts w:hint="eastAsia" w:ascii="仿宋" w:hAnsi="仿宋" w:eastAsia="仿宋" w:cs="仿宋"/>
                <w:sz w:val="24"/>
                <w:szCs w:val="24"/>
                <w:highlight w:val="none"/>
              </w:rPr>
            </w:pPr>
          </w:p>
        </w:tc>
        <w:tc>
          <w:tcPr>
            <w:tcW w:w="1225" w:type="dxa"/>
            <w:noWrap w:val="0"/>
            <w:vAlign w:val="top"/>
          </w:tcPr>
          <w:p w14:paraId="7FEF8D62">
            <w:pPr>
              <w:pStyle w:val="16"/>
              <w:spacing w:line="400" w:lineRule="exact"/>
              <w:rPr>
                <w:rFonts w:hint="eastAsia" w:ascii="仿宋" w:hAnsi="仿宋" w:eastAsia="仿宋" w:cs="仿宋"/>
                <w:sz w:val="24"/>
                <w:szCs w:val="24"/>
                <w:highlight w:val="none"/>
              </w:rPr>
            </w:pPr>
          </w:p>
        </w:tc>
        <w:tc>
          <w:tcPr>
            <w:tcW w:w="2634" w:type="dxa"/>
            <w:noWrap w:val="0"/>
            <w:vAlign w:val="top"/>
          </w:tcPr>
          <w:p w14:paraId="0E081A0A">
            <w:pPr>
              <w:pStyle w:val="16"/>
              <w:spacing w:line="400" w:lineRule="exact"/>
              <w:rPr>
                <w:rFonts w:hint="eastAsia" w:ascii="仿宋" w:hAnsi="仿宋" w:eastAsia="仿宋" w:cs="仿宋"/>
                <w:sz w:val="24"/>
                <w:szCs w:val="24"/>
                <w:highlight w:val="none"/>
              </w:rPr>
            </w:pPr>
          </w:p>
        </w:tc>
        <w:tc>
          <w:tcPr>
            <w:tcW w:w="1405" w:type="dxa"/>
            <w:noWrap w:val="0"/>
            <w:vAlign w:val="top"/>
          </w:tcPr>
          <w:p w14:paraId="75613239">
            <w:pPr>
              <w:pStyle w:val="16"/>
              <w:spacing w:line="400" w:lineRule="exact"/>
              <w:rPr>
                <w:rFonts w:hint="eastAsia" w:ascii="仿宋" w:hAnsi="仿宋" w:eastAsia="仿宋" w:cs="仿宋"/>
                <w:sz w:val="24"/>
                <w:szCs w:val="24"/>
                <w:highlight w:val="none"/>
              </w:rPr>
            </w:pPr>
          </w:p>
        </w:tc>
        <w:tc>
          <w:tcPr>
            <w:tcW w:w="2670" w:type="dxa"/>
            <w:noWrap w:val="0"/>
            <w:vAlign w:val="top"/>
          </w:tcPr>
          <w:p w14:paraId="7CEAD29B">
            <w:pPr>
              <w:pStyle w:val="16"/>
              <w:spacing w:line="400" w:lineRule="exact"/>
              <w:rPr>
                <w:rFonts w:hint="eastAsia" w:ascii="仿宋" w:hAnsi="仿宋" w:eastAsia="仿宋" w:cs="仿宋"/>
                <w:sz w:val="24"/>
                <w:szCs w:val="24"/>
                <w:highlight w:val="none"/>
              </w:rPr>
            </w:pPr>
          </w:p>
        </w:tc>
        <w:tc>
          <w:tcPr>
            <w:tcW w:w="1282" w:type="dxa"/>
            <w:noWrap w:val="0"/>
            <w:vAlign w:val="top"/>
          </w:tcPr>
          <w:p w14:paraId="46069AC6">
            <w:pPr>
              <w:pStyle w:val="16"/>
              <w:spacing w:line="400" w:lineRule="exact"/>
              <w:rPr>
                <w:rFonts w:hint="eastAsia" w:ascii="仿宋" w:hAnsi="仿宋" w:eastAsia="仿宋" w:cs="仿宋"/>
                <w:sz w:val="24"/>
                <w:szCs w:val="24"/>
                <w:highlight w:val="none"/>
              </w:rPr>
            </w:pPr>
          </w:p>
        </w:tc>
      </w:tr>
      <w:tr w14:paraId="38DDA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rPr>
        <w:tc>
          <w:tcPr>
            <w:tcW w:w="464" w:type="dxa"/>
            <w:noWrap w:val="0"/>
            <w:vAlign w:val="top"/>
          </w:tcPr>
          <w:p w14:paraId="16F288B5">
            <w:pPr>
              <w:pStyle w:val="16"/>
              <w:spacing w:line="400" w:lineRule="exact"/>
              <w:rPr>
                <w:rFonts w:hint="eastAsia" w:ascii="仿宋" w:hAnsi="仿宋" w:eastAsia="仿宋" w:cs="仿宋"/>
                <w:sz w:val="24"/>
                <w:szCs w:val="24"/>
                <w:highlight w:val="none"/>
              </w:rPr>
            </w:pPr>
          </w:p>
        </w:tc>
        <w:tc>
          <w:tcPr>
            <w:tcW w:w="1225" w:type="dxa"/>
            <w:noWrap w:val="0"/>
            <w:vAlign w:val="top"/>
          </w:tcPr>
          <w:p w14:paraId="067624E8">
            <w:pPr>
              <w:pStyle w:val="16"/>
              <w:spacing w:line="400" w:lineRule="exact"/>
              <w:rPr>
                <w:rFonts w:hint="eastAsia" w:ascii="仿宋" w:hAnsi="仿宋" w:eastAsia="仿宋" w:cs="仿宋"/>
                <w:sz w:val="24"/>
                <w:szCs w:val="24"/>
                <w:highlight w:val="none"/>
              </w:rPr>
            </w:pPr>
          </w:p>
        </w:tc>
        <w:tc>
          <w:tcPr>
            <w:tcW w:w="2634" w:type="dxa"/>
            <w:noWrap w:val="0"/>
            <w:vAlign w:val="top"/>
          </w:tcPr>
          <w:p w14:paraId="12A6B1A6">
            <w:pPr>
              <w:pStyle w:val="16"/>
              <w:spacing w:line="400" w:lineRule="exact"/>
              <w:rPr>
                <w:rFonts w:hint="eastAsia" w:ascii="仿宋" w:hAnsi="仿宋" w:eastAsia="仿宋" w:cs="仿宋"/>
                <w:sz w:val="24"/>
                <w:szCs w:val="24"/>
                <w:highlight w:val="none"/>
              </w:rPr>
            </w:pPr>
          </w:p>
        </w:tc>
        <w:tc>
          <w:tcPr>
            <w:tcW w:w="1405" w:type="dxa"/>
            <w:noWrap w:val="0"/>
            <w:vAlign w:val="top"/>
          </w:tcPr>
          <w:p w14:paraId="3668C7E0">
            <w:pPr>
              <w:pStyle w:val="16"/>
              <w:spacing w:line="400" w:lineRule="exact"/>
              <w:rPr>
                <w:rFonts w:hint="eastAsia" w:ascii="仿宋" w:hAnsi="仿宋" w:eastAsia="仿宋" w:cs="仿宋"/>
                <w:sz w:val="24"/>
                <w:szCs w:val="24"/>
                <w:highlight w:val="none"/>
              </w:rPr>
            </w:pPr>
          </w:p>
        </w:tc>
        <w:tc>
          <w:tcPr>
            <w:tcW w:w="2670" w:type="dxa"/>
            <w:noWrap w:val="0"/>
            <w:vAlign w:val="top"/>
          </w:tcPr>
          <w:p w14:paraId="44F893CC">
            <w:pPr>
              <w:pStyle w:val="16"/>
              <w:spacing w:line="400" w:lineRule="exact"/>
              <w:rPr>
                <w:rFonts w:hint="eastAsia" w:ascii="仿宋" w:hAnsi="仿宋" w:eastAsia="仿宋" w:cs="仿宋"/>
                <w:sz w:val="24"/>
                <w:szCs w:val="24"/>
                <w:highlight w:val="none"/>
              </w:rPr>
            </w:pPr>
          </w:p>
        </w:tc>
        <w:tc>
          <w:tcPr>
            <w:tcW w:w="1282" w:type="dxa"/>
            <w:noWrap w:val="0"/>
            <w:vAlign w:val="top"/>
          </w:tcPr>
          <w:p w14:paraId="51391D25">
            <w:pPr>
              <w:pStyle w:val="16"/>
              <w:spacing w:line="400" w:lineRule="exact"/>
              <w:rPr>
                <w:rFonts w:hint="eastAsia" w:ascii="仿宋" w:hAnsi="仿宋" w:eastAsia="仿宋" w:cs="仿宋"/>
                <w:sz w:val="24"/>
                <w:szCs w:val="24"/>
                <w:highlight w:val="none"/>
              </w:rPr>
            </w:pPr>
          </w:p>
        </w:tc>
      </w:tr>
      <w:tr w14:paraId="76359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2" w:hRule="atLeast"/>
        </w:trPr>
        <w:tc>
          <w:tcPr>
            <w:tcW w:w="464" w:type="dxa"/>
            <w:noWrap w:val="0"/>
            <w:vAlign w:val="top"/>
          </w:tcPr>
          <w:p w14:paraId="1DFFC9C8">
            <w:pPr>
              <w:pStyle w:val="16"/>
              <w:spacing w:line="400" w:lineRule="exact"/>
              <w:rPr>
                <w:rFonts w:hint="eastAsia" w:ascii="仿宋" w:hAnsi="仿宋" w:eastAsia="仿宋" w:cs="仿宋"/>
                <w:sz w:val="24"/>
                <w:szCs w:val="24"/>
                <w:highlight w:val="none"/>
              </w:rPr>
            </w:pPr>
          </w:p>
        </w:tc>
        <w:tc>
          <w:tcPr>
            <w:tcW w:w="1225" w:type="dxa"/>
            <w:noWrap w:val="0"/>
            <w:vAlign w:val="top"/>
          </w:tcPr>
          <w:p w14:paraId="54F96431">
            <w:pPr>
              <w:pStyle w:val="16"/>
              <w:spacing w:line="400" w:lineRule="exact"/>
              <w:rPr>
                <w:rFonts w:hint="eastAsia" w:ascii="仿宋" w:hAnsi="仿宋" w:eastAsia="仿宋" w:cs="仿宋"/>
                <w:sz w:val="24"/>
                <w:szCs w:val="24"/>
                <w:highlight w:val="none"/>
              </w:rPr>
            </w:pPr>
          </w:p>
        </w:tc>
        <w:tc>
          <w:tcPr>
            <w:tcW w:w="2634" w:type="dxa"/>
            <w:noWrap w:val="0"/>
            <w:vAlign w:val="top"/>
          </w:tcPr>
          <w:p w14:paraId="5B13266E">
            <w:pPr>
              <w:pStyle w:val="16"/>
              <w:spacing w:line="400" w:lineRule="exact"/>
              <w:rPr>
                <w:rFonts w:hint="eastAsia" w:ascii="仿宋" w:hAnsi="仿宋" w:eastAsia="仿宋" w:cs="仿宋"/>
                <w:sz w:val="24"/>
                <w:szCs w:val="24"/>
                <w:highlight w:val="none"/>
              </w:rPr>
            </w:pPr>
          </w:p>
        </w:tc>
        <w:tc>
          <w:tcPr>
            <w:tcW w:w="1405" w:type="dxa"/>
            <w:noWrap w:val="0"/>
            <w:vAlign w:val="top"/>
          </w:tcPr>
          <w:p w14:paraId="613BF3B8">
            <w:pPr>
              <w:pStyle w:val="16"/>
              <w:spacing w:line="400" w:lineRule="exact"/>
              <w:rPr>
                <w:rFonts w:hint="eastAsia" w:ascii="仿宋" w:hAnsi="仿宋" w:eastAsia="仿宋" w:cs="仿宋"/>
                <w:sz w:val="24"/>
                <w:szCs w:val="24"/>
                <w:highlight w:val="none"/>
              </w:rPr>
            </w:pPr>
          </w:p>
        </w:tc>
        <w:tc>
          <w:tcPr>
            <w:tcW w:w="2670" w:type="dxa"/>
            <w:noWrap w:val="0"/>
            <w:vAlign w:val="top"/>
          </w:tcPr>
          <w:p w14:paraId="7705020E">
            <w:pPr>
              <w:pStyle w:val="16"/>
              <w:spacing w:line="400" w:lineRule="exact"/>
              <w:rPr>
                <w:rFonts w:hint="eastAsia" w:ascii="仿宋" w:hAnsi="仿宋" w:eastAsia="仿宋" w:cs="仿宋"/>
                <w:sz w:val="24"/>
                <w:szCs w:val="24"/>
                <w:highlight w:val="none"/>
              </w:rPr>
            </w:pPr>
          </w:p>
        </w:tc>
        <w:tc>
          <w:tcPr>
            <w:tcW w:w="1282" w:type="dxa"/>
            <w:noWrap w:val="0"/>
            <w:vAlign w:val="top"/>
          </w:tcPr>
          <w:p w14:paraId="6045DCF6">
            <w:pPr>
              <w:pStyle w:val="16"/>
              <w:spacing w:line="400" w:lineRule="exact"/>
              <w:rPr>
                <w:rFonts w:hint="eastAsia" w:ascii="仿宋" w:hAnsi="仿宋" w:eastAsia="仿宋" w:cs="仿宋"/>
                <w:sz w:val="24"/>
                <w:szCs w:val="24"/>
                <w:highlight w:val="none"/>
              </w:rPr>
            </w:pPr>
          </w:p>
        </w:tc>
      </w:tr>
      <w:tr w14:paraId="24AEE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05825215">
            <w:pPr>
              <w:pStyle w:val="16"/>
              <w:spacing w:line="400" w:lineRule="exact"/>
              <w:rPr>
                <w:rFonts w:hint="eastAsia" w:ascii="仿宋" w:hAnsi="仿宋" w:eastAsia="仿宋" w:cs="仿宋"/>
                <w:sz w:val="24"/>
                <w:szCs w:val="24"/>
                <w:highlight w:val="none"/>
              </w:rPr>
            </w:pPr>
          </w:p>
        </w:tc>
        <w:tc>
          <w:tcPr>
            <w:tcW w:w="1225" w:type="dxa"/>
            <w:noWrap w:val="0"/>
            <w:vAlign w:val="top"/>
          </w:tcPr>
          <w:p w14:paraId="30ADD463">
            <w:pPr>
              <w:pStyle w:val="16"/>
              <w:spacing w:line="400" w:lineRule="exact"/>
              <w:rPr>
                <w:rFonts w:hint="eastAsia" w:ascii="仿宋" w:hAnsi="仿宋" w:eastAsia="仿宋" w:cs="仿宋"/>
                <w:sz w:val="24"/>
                <w:szCs w:val="24"/>
                <w:highlight w:val="none"/>
              </w:rPr>
            </w:pPr>
          </w:p>
        </w:tc>
        <w:tc>
          <w:tcPr>
            <w:tcW w:w="2634" w:type="dxa"/>
            <w:noWrap w:val="0"/>
            <w:vAlign w:val="top"/>
          </w:tcPr>
          <w:p w14:paraId="4339E15C">
            <w:pPr>
              <w:pStyle w:val="16"/>
              <w:spacing w:line="400" w:lineRule="exact"/>
              <w:rPr>
                <w:rFonts w:hint="eastAsia" w:ascii="仿宋" w:hAnsi="仿宋" w:eastAsia="仿宋" w:cs="仿宋"/>
                <w:sz w:val="24"/>
                <w:szCs w:val="24"/>
                <w:highlight w:val="none"/>
              </w:rPr>
            </w:pPr>
          </w:p>
        </w:tc>
        <w:tc>
          <w:tcPr>
            <w:tcW w:w="1405" w:type="dxa"/>
            <w:noWrap w:val="0"/>
            <w:vAlign w:val="top"/>
          </w:tcPr>
          <w:p w14:paraId="434A4E0D">
            <w:pPr>
              <w:pStyle w:val="16"/>
              <w:spacing w:line="400" w:lineRule="exact"/>
              <w:rPr>
                <w:rFonts w:hint="eastAsia" w:ascii="仿宋" w:hAnsi="仿宋" w:eastAsia="仿宋" w:cs="仿宋"/>
                <w:sz w:val="24"/>
                <w:szCs w:val="24"/>
                <w:highlight w:val="none"/>
              </w:rPr>
            </w:pPr>
          </w:p>
        </w:tc>
        <w:tc>
          <w:tcPr>
            <w:tcW w:w="2670" w:type="dxa"/>
            <w:noWrap w:val="0"/>
            <w:vAlign w:val="top"/>
          </w:tcPr>
          <w:p w14:paraId="68606294">
            <w:pPr>
              <w:pStyle w:val="16"/>
              <w:spacing w:line="400" w:lineRule="exact"/>
              <w:rPr>
                <w:rFonts w:hint="eastAsia" w:ascii="仿宋" w:hAnsi="仿宋" w:eastAsia="仿宋" w:cs="仿宋"/>
                <w:sz w:val="24"/>
                <w:szCs w:val="24"/>
                <w:highlight w:val="none"/>
              </w:rPr>
            </w:pPr>
          </w:p>
        </w:tc>
        <w:tc>
          <w:tcPr>
            <w:tcW w:w="1282" w:type="dxa"/>
            <w:noWrap w:val="0"/>
            <w:vAlign w:val="top"/>
          </w:tcPr>
          <w:p w14:paraId="2A580010">
            <w:pPr>
              <w:pStyle w:val="16"/>
              <w:spacing w:line="400" w:lineRule="exact"/>
              <w:rPr>
                <w:rFonts w:hint="eastAsia" w:ascii="仿宋" w:hAnsi="仿宋" w:eastAsia="仿宋" w:cs="仿宋"/>
                <w:sz w:val="24"/>
                <w:szCs w:val="24"/>
                <w:highlight w:val="none"/>
              </w:rPr>
            </w:pPr>
          </w:p>
        </w:tc>
      </w:tr>
    </w:tbl>
    <w:p w14:paraId="103BBA08">
      <w:pPr>
        <w:pStyle w:val="5"/>
        <w:jc w:val="left"/>
        <w:rPr>
          <w:rFonts w:hint="eastAsia" w:ascii="仿宋" w:hAnsi="仿宋" w:eastAsia="仿宋" w:cs="仿宋"/>
          <w:b w:val="0"/>
          <w:sz w:val="24"/>
          <w:szCs w:val="24"/>
          <w:highlight w:val="none"/>
        </w:rPr>
      </w:pPr>
      <w:r>
        <w:rPr>
          <w:rFonts w:hint="eastAsia" w:ascii="仿宋" w:hAnsi="仿宋" w:eastAsia="仿宋" w:cs="仿宋"/>
          <w:b w:val="0"/>
          <w:sz w:val="24"/>
          <w:szCs w:val="24"/>
          <w:highlight w:val="none"/>
        </w:rPr>
        <w:t>注：无偏离可填写“无”字，有偏离必须在本表列明，实际存在负偏离而在本表内没有列明的，视为虚假投标。</w:t>
      </w:r>
    </w:p>
    <w:p w14:paraId="1AB6C39A">
      <w:pPr>
        <w:wordWrap w:val="0"/>
        <w:spacing w:line="560" w:lineRule="exact"/>
        <w:jc w:val="right"/>
        <w:rPr>
          <w:rFonts w:hint="eastAsia" w:ascii="仿宋_GB2312" w:hAnsi="仿宋" w:eastAsia="仿宋_GB2312"/>
          <w:sz w:val="32"/>
          <w:szCs w:val="32"/>
          <w:highlight w:val="none"/>
        </w:rPr>
      </w:pPr>
      <w:r>
        <w:rPr>
          <w:rFonts w:hint="eastAsia" w:ascii="仿宋_GB2312" w:hAnsi="仿宋" w:eastAsia="仿宋_GB2312"/>
          <w:sz w:val="32"/>
          <w:szCs w:val="32"/>
          <w:highlight w:val="none"/>
        </w:rPr>
        <w:t xml:space="preserve">投标人（公章）：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4CF35548">
      <w:pPr>
        <w:wordWrap w:val="0"/>
        <w:spacing w:line="560" w:lineRule="exact"/>
        <w:ind w:right="640"/>
        <w:jc w:val="center"/>
        <w:rPr>
          <w:rFonts w:hint="eastAsia" w:ascii="仿宋_GB2312" w:hAnsi="仿宋" w:eastAsia="仿宋_GB2312"/>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_GB2312" w:hAnsi="仿宋" w:eastAsia="仿宋_GB2312"/>
          <w:sz w:val="32"/>
          <w:szCs w:val="32"/>
          <w:highlight w:val="none"/>
        </w:rPr>
        <w:t xml:space="preserve">                                        法定代表人签章：</w:t>
      </w:r>
    </w:p>
    <w:p w14:paraId="49B51236">
      <w:pPr>
        <w:pStyle w:val="5"/>
        <w:jc w:val="center"/>
        <w:rPr>
          <w:rFonts w:hint="eastAsia" w:ascii="仿宋" w:hAnsi="仿宋" w:eastAsia="仿宋" w:cs="仿宋"/>
          <w:highlight w:val="none"/>
        </w:rPr>
        <w:sectPr>
          <w:pgSz w:w="11906" w:h="16838"/>
          <w:pgMar w:top="1440" w:right="1080" w:bottom="1440" w:left="1080" w:header="851" w:footer="992" w:gutter="0"/>
          <w:cols w:space="720" w:num="1"/>
          <w:docGrid w:type="lines" w:linePitch="312" w:charSpace="0"/>
        </w:sectPr>
      </w:pPr>
      <w:r>
        <w:rPr>
          <w:rFonts w:hint="eastAsia" w:ascii="仿宋" w:hAnsi="仿宋" w:eastAsia="仿宋" w:cs="仿宋"/>
          <w:highlight w:val="none"/>
        </w:rPr>
        <w:t>投标人认为需要说明的其他内容及招标文件要求的其他内容</w:t>
      </w:r>
    </w:p>
    <w:p w14:paraId="61DDC4E8">
      <w:pPr>
        <w:jc w:val="center"/>
        <w:rPr>
          <w:rFonts w:hint="eastAsia" w:ascii="仿宋" w:hAnsi="仿宋" w:eastAsia="仿宋" w:cs="仿宋"/>
          <w:b/>
          <w:bCs/>
          <w:highlight w:val="none"/>
        </w:rPr>
        <w:sectPr>
          <w:pgSz w:w="11906" w:h="16838"/>
          <w:pgMar w:top="1440" w:right="1080" w:bottom="1440" w:left="1080" w:header="851" w:footer="992" w:gutter="0"/>
          <w:cols w:space="720" w:num="1"/>
          <w:docGrid w:type="lines" w:linePitch="312" w:charSpace="0"/>
        </w:sectPr>
      </w:pPr>
      <w:r>
        <w:rPr>
          <w:rFonts w:hint="eastAsia" w:ascii="仿宋" w:hAnsi="仿宋" w:eastAsia="仿宋" w:cs="仿宋"/>
          <w:b/>
          <w:bCs/>
          <w:sz w:val="32"/>
          <w:szCs w:val="32"/>
          <w:highlight w:val="none"/>
        </w:rPr>
        <w:t>要求采购人提供的配合</w:t>
      </w:r>
    </w:p>
    <w:p w14:paraId="358964C1">
      <w:pPr>
        <w:keepNext/>
        <w:keepLines/>
        <w:spacing w:before="120" w:after="120" w:line="560" w:lineRule="exact"/>
        <w:jc w:val="center"/>
        <w:outlineLvl w:val="1"/>
        <w:rPr>
          <w:rFonts w:hint="eastAsia" w:ascii="Arial" w:hAnsi="Arial" w:eastAsia="黑体"/>
          <w:bCs/>
          <w:sz w:val="44"/>
          <w:szCs w:val="32"/>
          <w:highlight w:val="none"/>
        </w:rPr>
      </w:pPr>
      <w:r>
        <w:rPr>
          <w:rFonts w:hint="eastAsia" w:ascii="仿宋" w:hAnsi="仿宋" w:eastAsia="仿宋" w:cs="仿宋"/>
          <w:b/>
          <w:bCs w:val="0"/>
          <w:sz w:val="44"/>
          <w:szCs w:val="32"/>
          <w:highlight w:val="none"/>
        </w:rPr>
        <w:t>技术文件部分</w:t>
      </w:r>
    </w:p>
    <w:p w14:paraId="244633FD">
      <w:pPr>
        <w:rPr>
          <w:rFonts w:hint="eastAsia"/>
          <w:highlight w:val="none"/>
        </w:rPr>
      </w:pPr>
    </w:p>
    <w:p w14:paraId="0CD75804">
      <w:pPr>
        <w:ind w:firstLine="5760" w:firstLineChars="1800"/>
        <w:rPr>
          <w:rFonts w:hint="eastAsia" w:ascii="仿宋_GB2312" w:hAnsi="仿宋" w:eastAsia="仿宋_GB2312"/>
          <w:sz w:val="32"/>
          <w:szCs w:val="32"/>
          <w:highlight w:val="none"/>
        </w:rPr>
      </w:pPr>
    </w:p>
    <w:p w14:paraId="76E5473B">
      <w:pPr>
        <w:ind w:firstLine="5760" w:firstLineChars="1800"/>
        <w:rPr>
          <w:rFonts w:hint="eastAsia" w:ascii="仿宋_GB2312" w:hAnsi="仿宋" w:eastAsia="仿宋_GB2312"/>
          <w:sz w:val="32"/>
          <w:szCs w:val="32"/>
          <w:highlight w:val="none"/>
        </w:rPr>
      </w:pPr>
    </w:p>
    <w:p w14:paraId="37CF8285">
      <w:pPr>
        <w:ind w:firstLine="5760" w:firstLineChars="1800"/>
        <w:rPr>
          <w:rFonts w:hint="eastAsia" w:ascii="仿宋_GB2312" w:hAnsi="仿宋" w:eastAsia="仿宋_GB2312"/>
          <w:sz w:val="32"/>
          <w:szCs w:val="32"/>
          <w:highlight w:val="none"/>
        </w:rPr>
      </w:pPr>
    </w:p>
    <w:p w14:paraId="32E1661A">
      <w:pPr>
        <w:ind w:firstLine="5760" w:firstLineChars="1800"/>
        <w:rPr>
          <w:rFonts w:hint="eastAsia" w:ascii="仿宋_GB2312" w:hAnsi="仿宋" w:eastAsia="仿宋_GB2312"/>
          <w:sz w:val="32"/>
          <w:szCs w:val="32"/>
          <w:highlight w:val="none"/>
        </w:rPr>
      </w:pPr>
    </w:p>
    <w:p w14:paraId="2274CAF8">
      <w:pPr>
        <w:ind w:firstLine="5760" w:firstLineChars="1800"/>
        <w:rPr>
          <w:rFonts w:hint="eastAsia" w:ascii="仿宋_GB2312" w:hAnsi="仿宋" w:eastAsia="仿宋_GB2312"/>
          <w:sz w:val="32"/>
          <w:szCs w:val="32"/>
          <w:highlight w:val="none"/>
        </w:rPr>
      </w:pPr>
    </w:p>
    <w:p w14:paraId="131F7C99">
      <w:pPr>
        <w:ind w:firstLine="5760" w:firstLineChars="1800"/>
        <w:rPr>
          <w:rFonts w:hint="eastAsia" w:ascii="仿宋_GB2312" w:hAnsi="仿宋" w:eastAsia="仿宋_GB2312"/>
          <w:sz w:val="32"/>
          <w:szCs w:val="32"/>
          <w:highlight w:val="none"/>
        </w:rPr>
      </w:pPr>
    </w:p>
    <w:p w14:paraId="6C054077">
      <w:pPr>
        <w:ind w:firstLine="5760" w:firstLineChars="1800"/>
        <w:rPr>
          <w:rFonts w:hint="eastAsia" w:ascii="仿宋_GB2312" w:hAnsi="仿宋" w:eastAsia="仿宋_GB2312"/>
          <w:sz w:val="32"/>
          <w:szCs w:val="32"/>
          <w:highlight w:val="none"/>
        </w:rPr>
      </w:pPr>
    </w:p>
    <w:p w14:paraId="770685BF">
      <w:pPr>
        <w:ind w:firstLine="5760" w:firstLineChars="1800"/>
        <w:rPr>
          <w:rFonts w:hint="eastAsia" w:ascii="仿宋_GB2312" w:hAnsi="仿宋" w:eastAsia="仿宋_GB2312"/>
          <w:sz w:val="32"/>
          <w:szCs w:val="32"/>
          <w:highlight w:val="none"/>
        </w:rPr>
      </w:pPr>
    </w:p>
    <w:p w14:paraId="0B5D1D41">
      <w:pPr>
        <w:spacing w:line="560" w:lineRule="exact"/>
        <w:rPr>
          <w:highlight w:val="none"/>
        </w:rPr>
        <w:sectPr>
          <w:pgSz w:w="11906" w:h="16838"/>
          <w:pgMar w:top="1440" w:right="1080" w:bottom="1440" w:left="1080" w:header="851" w:footer="992" w:gutter="0"/>
          <w:cols w:space="720" w:num="1"/>
          <w:docGrid w:type="lines" w:linePitch="312" w:charSpace="0"/>
        </w:sectPr>
      </w:pPr>
    </w:p>
    <w:p w14:paraId="344FCEAE">
      <w:pPr>
        <w:pStyle w:val="28"/>
        <w:tabs>
          <w:tab w:val="left" w:pos="1680"/>
          <w:tab w:val="center" w:pos="4935"/>
        </w:tabs>
        <w:spacing w:before="100" w:beforeAutospacing="1" w:after="100" w:afterAutospacing="1" w:line="415" w:lineRule="auto"/>
        <w:rPr>
          <w:rFonts w:ascii="楷体_GB2312" w:hAnsi="宋体" w:eastAsia="楷体_GB2312" w:cs="宋体"/>
          <w:sz w:val="44"/>
          <w:szCs w:val="44"/>
          <w:highlight w:val="none"/>
        </w:rPr>
      </w:pPr>
      <w:r>
        <w:rPr>
          <w:rFonts w:hint="eastAsia" w:ascii="仿宋" w:hAnsi="仿宋" w:eastAsia="仿宋" w:cs="仿宋"/>
          <w:b/>
          <w:bCs/>
          <w:sz w:val="44"/>
          <w:szCs w:val="44"/>
          <w:highlight w:val="none"/>
        </w:rPr>
        <w:t>第六章 采购合同（范本）</w:t>
      </w:r>
    </w:p>
    <w:p w14:paraId="366B3E4D">
      <w:pPr>
        <w:rPr>
          <w:highlight w:val="none"/>
        </w:rPr>
      </w:pPr>
    </w:p>
    <w:p w14:paraId="3E9AE945">
      <w:pPr>
        <w:rPr>
          <w:highlight w:val="none"/>
        </w:rPr>
        <w:sectPr>
          <w:footerReference r:id="rId21" w:type="default"/>
          <w:pgSz w:w="11906" w:h="16838"/>
          <w:pgMar w:top="1440" w:right="1077" w:bottom="1440" w:left="1077" w:header="851" w:footer="992" w:gutter="0"/>
          <w:cols w:space="720" w:num="1"/>
          <w:docGrid w:type="lines" w:linePitch="312" w:charSpace="0"/>
        </w:sectPr>
      </w:pPr>
    </w:p>
    <w:p w14:paraId="3AB16D1A">
      <w:pPr>
        <w:spacing w:line="560" w:lineRule="exact"/>
        <w:jc w:val="center"/>
        <w:rPr>
          <w:rFonts w:ascii="宋体" w:hAnsi="宋体"/>
          <w:sz w:val="52"/>
          <w:szCs w:val="52"/>
          <w:highlight w:val="none"/>
        </w:rPr>
      </w:pPr>
    </w:p>
    <w:p w14:paraId="46DAAFFD">
      <w:pPr>
        <w:spacing w:line="560" w:lineRule="exact"/>
        <w:jc w:val="center"/>
        <w:rPr>
          <w:rFonts w:hint="eastAsia" w:ascii="宋体" w:hAnsi="宋体"/>
          <w:sz w:val="52"/>
          <w:szCs w:val="52"/>
          <w:highlight w:val="none"/>
        </w:rPr>
      </w:pPr>
    </w:p>
    <w:p w14:paraId="2CD92030">
      <w:pPr>
        <w:spacing w:line="560" w:lineRule="exact"/>
        <w:jc w:val="center"/>
        <w:rPr>
          <w:rFonts w:hint="eastAsia" w:ascii="宋体" w:hAnsi="宋体"/>
          <w:sz w:val="52"/>
          <w:szCs w:val="52"/>
          <w:highlight w:val="none"/>
        </w:rPr>
      </w:pPr>
    </w:p>
    <w:p w14:paraId="5A090CD9">
      <w:pPr>
        <w:spacing w:line="560" w:lineRule="exact"/>
        <w:jc w:val="center"/>
        <w:rPr>
          <w:rFonts w:hint="eastAsia" w:ascii="宋体" w:hAnsi="宋体"/>
          <w:sz w:val="52"/>
          <w:szCs w:val="52"/>
          <w:highlight w:val="none"/>
        </w:rPr>
      </w:pPr>
    </w:p>
    <w:p w14:paraId="34F511A0">
      <w:pPr>
        <w:spacing w:line="560" w:lineRule="exact"/>
        <w:jc w:val="center"/>
        <w:rPr>
          <w:rFonts w:hint="eastAsia" w:ascii="宋体" w:hAnsi="宋体"/>
          <w:sz w:val="52"/>
          <w:szCs w:val="52"/>
          <w:highlight w:val="none"/>
        </w:rPr>
      </w:pPr>
    </w:p>
    <w:p w14:paraId="67DE63AE">
      <w:pPr>
        <w:spacing w:line="520" w:lineRule="exact"/>
        <w:jc w:val="center"/>
        <w:outlineLvl w:val="1"/>
        <w:rPr>
          <w:rFonts w:hint="eastAsia" w:ascii="宋体" w:hAnsi="宋体"/>
          <w:b/>
          <w:bCs/>
          <w:sz w:val="36"/>
          <w:szCs w:val="36"/>
          <w:highlight w:val="none"/>
        </w:rPr>
      </w:pPr>
      <w:r>
        <w:rPr>
          <w:rFonts w:hint="eastAsia" w:ascii="宋体" w:hAnsi="宋体"/>
          <w:b/>
          <w:bCs/>
          <w:sz w:val="36"/>
          <w:szCs w:val="36"/>
          <w:highlight w:val="none"/>
        </w:rPr>
        <w:t>合  同  书</w:t>
      </w:r>
    </w:p>
    <w:p w14:paraId="411819DC">
      <w:pPr>
        <w:spacing w:line="520" w:lineRule="exact"/>
        <w:jc w:val="center"/>
        <w:rPr>
          <w:rFonts w:hint="eastAsia" w:ascii="宋体" w:hAnsi="宋体"/>
          <w:b/>
          <w:bCs/>
          <w:sz w:val="48"/>
          <w:szCs w:val="48"/>
          <w:highlight w:val="none"/>
        </w:rPr>
      </w:pPr>
    </w:p>
    <w:p w14:paraId="19278B14">
      <w:pPr>
        <w:spacing w:line="520" w:lineRule="exact"/>
        <w:rPr>
          <w:rFonts w:hint="eastAsia" w:ascii="宋体" w:hAnsi="宋体"/>
          <w:b/>
          <w:bCs/>
          <w:sz w:val="48"/>
          <w:szCs w:val="48"/>
          <w:highlight w:val="none"/>
        </w:rPr>
      </w:pPr>
    </w:p>
    <w:p w14:paraId="3A1D7D0B">
      <w:pPr>
        <w:spacing w:line="520" w:lineRule="exact"/>
        <w:jc w:val="left"/>
        <w:rPr>
          <w:rFonts w:hint="eastAsia" w:ascii="宋体" w:hAnsi="宋体"/>
          <w:b/>
          <w:bCs/>
          <w:sz w:val="48"/>
          <w:szCs w:val="48"/>
          <w:highlight w:val="none"/>
        </w:rPr>
      </w:pPr>
    </w:p>
    <w:p w14:paraId="6717265A">
      <w:pPr>
        <w:spacing w:line="520" w:lineRule="exact"/>
        <w:jc w:val="left"/>
        <w:rPr>
          <w:rFonts w:hint="eastAsia" w:ascii="宋体" w:hAnsi="宋体"/>
          <w:b/>
          <w:bCs/>
          <w:sz w:val="48"/>
          <w:szCs w:val="48"/>
          <w:highlight w:val="none"/>
        </w:rPr>
      </w:pPr>
    </w:p>
    <w:p w14:paraId="6A2486F3">
      <w:pPr>
        <w:spacing w:line="520" w:lineRule="exact"/>
        <w:jc w:val="left"/>
        <w:rPr>
          <w:rFonts w:hint="eastAsia" w:ascii="宋体" w:hAnsi="宋体"/>
          <w:b/>
          <w:bCs/>
          <w:sz w:val="48"/>
          <w:szCs w:val="48"/>
          <w:highlight w:val="none"/>
        </w:rPr>
      </w:pPr>
    </w:p>
    <w:p w14:paraId="13C561E5">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项目名称：朝阳港码头道路建设工程</w:t>
      </w:r>
    </w:p>
    <w:p w14:paraId="0AC17F99">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项目编号：HYJZFCG2026-036</w:t>
      </w:r>
    </w:p>
    <w:p w14:paraId="2A35B68E">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采购编号：HYJZFCG2026-036</w:t>
      </w:r>
    </w:p>
    <w:p w14:paraId="2514FDFE">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合同编号：HYJZFCG2026-036</w:t>
      </w:r>
    </w:p>
    <w:p w14:paraId="2658C754">
      <w:pPr>
        <w:spacing w:line="520" w:lineRule="exact"/>
        <w:ind w:firstLine="630" w:firstLineChars="196"/>
        <w:jc w:val="left"/>
        <w:rPr>
          <w:rFonts w:hint="eastAsia" w:ascii="宋体" w:hAnsi="宋体" w:cs="宋体"/>
          <w:b/>
          <w:bCs/>
          <w:sz w:val="32"/>
          <w:szCs w:val="32"/>
          <w:highlight w:val="none"/>
        </w:rPr>
      </w:pPr>
    </w:p>
    <w:p w14:paraId="6D0725D7">
      <w:pPr>
        <w:spacing w:line="520" w:lineRule="exact"/>
        <w:ind w:firstLine="642"/>
        <w:jc w:val="left"/>
        <w:rPr>
          <w:rFonts w:hint="eastAsia" w:ascii="宋体" w:hAnsi="宋体" w:cs="宋体"/>
          <w:b/>
          <w:bCs/>
          <w:sz w:val="32"/>
          <w:szCs w:val="32"/>
          <w:highlight w:val="none"/>
        </w:rPr>
      </w:pPr>
    </w:p>
    <w:p w14:paraId="4A489E89">
      <w:pPr>
        <w:spacing w:line="520" w:lineRule="exact"/>
        <w:ind w:firstLine="642"/>
        <w:jc w:val="left"/>
        <w:rPr>
          <w:rFonts w:hint="eastAsia" w:ascii="宋体" w:hAnsi="宋体" w:cs="宋体"/>
          <w:b/>
          <w:bCs/>
          <w:sz w:val="32"/>
          <w:szCs w:val="32"/>
          <w:highlight w:val="none"/>
        </w:rPr>
      </w:pPr>
    </w:p>
    <w:p w14:paraId="3573393D">
      <w:pPr>
        <w:spacing w:line="520" w:lineRule="exact"/>
        <w:jc w:val="left"/>
        <w:rPr>
          <w:rFonts w:hint="eastAsia" w:ascii="宋体" w:hAnsi="宋体" w:cs="宋体"/>
          <w:b/>
          <w:bCs/>
          <w:sz w:val="32"/>
          <w:szCs w:val="32"/>
          <w:highlight w:val="none"/>
        </w:rPr>
      </w:pPr>
    </w:p>
    <w:p w14:paraId="2B53C295">
      <w:pPr>
        <w:pStyle w:val="12"/>
        <w:rPr>
          <w:rFonts w:hint="eastAsia" w:ascii="宋体" w:hAnsi="宋体" w:cs="宋体"/>
          <w:b/>
          <w:bCs/>
          <w:sz w:val="32"/>
          <w:szCs w:val="32"/>
          <w:highlight w:val="none"/>
        </w:rPr>
      </w:pPr>
    </w:p>
    <w:p w14:paraId="7D1C0286">
      <w:pPr>
        <w:pStyle w:val="12"/>
        <w:rPr>
          <w:rFonts w:hint="eastAsia" w:ascii="宋体" w:hAnsi="宋体" w:cs="宋体"/>
          <w:b/>
          <w:bCs/>
          <w:sz w:val="32"/>
          <w:szCs w:val="32"/>
          <w:highlight w:val="none"/>
        </w:rPr>
      </w:pPr>
    </w:p>
    <w:p w14:paraId="2F351F67">
      <w:pPr>
        <w:spacing w:line="520" w:lineRule="exact"/>
        <w:jc w:val="left"/>
        <w:rPr>
          <w:rFonts w:hint="eastAsia" w:ascii="宋体" w:hAnsi="宋体" w:cs="宋体"/>
          <w:b/>
          <w:bCs/>
          <w:sz w:val="32"/>
          <w:szCs w:val="32"/>
          <w:highlight w:val="none"/>
        </w:rPr>
      </w:pPr>
    </w:p>
    <w:p w14:paraId="2D964008">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甲方：</w:t>
      </w:r>
    </w:p>
    <w:p w14:paraId="379508D0">
      <w:pPr>
        <w:spacing w:line="520" w:lineRule="exact"/>
        <w:ind w:firstLine="642"/>
        <w:jc w:val="left"/>
        <w:rPr>
          <w:rFonts w:hint="eastAsia" w:ascii="宋体" w:hAnsi="宋体"/>
          <w:b/>
          <w:bCs/>
          <w:sz w:val="32"/>
          <w:szCs w:val="32"/>
          <w:highlight w:val="none"/>
          <w:u w:val="single"/>
        </w:rPr>
      </w:pPr>
      <w:r>
        <w:rPr>
          <w:rFonts w:hint="eastAsia" w:ascii="宋体" w:hAnsi="宋体" w:cs="宋体"/>
          <w:b/>
          <w:bCs/>
          <w:sz w:val="32"/>
          <w:szCs w:val="32"/>
          <w:highlight w:val="none"/>
        </w:rPr>
        <w:t>乙方：</w:t>
      </w:r>
    </w:p>
    <w:p w14:paraId="7DAD8B8B">
      <w:pPr>
        <w:spacing w:line="520" w:lineRule="exact"/>
        <w:jc w:val="center"/>
        <w:outlineLvl w:val="1"/>
        <w:rPr>
          <w:rFonts w:hint="eastAsia" w:ascii="宋体" w:hAnsi="宋体"/>
          <w:b/>
          <w:bCs/>
          <w:sz w:val="36"/>
          <w:szCs w:val="36"/>
          <w:highlight w:val="none"/>
        </w:rPr>
      </w:pPr>
      <w:r>
        <w:rPr>
          <w:rFonts w:hint="eastAsia" w:ascii="宋体" w:hAnsi="宋体"/>
          <w:b/>
          <w:bCs/>
          <w:sz w:val="44"/>
          <w:szCs w:val="44"/>
          <w:highlight w:val="none"/>
        </w:rPr>
        <w:br w:type="page"/>
      </w:r>
      <w:r>
        <w:rPr>
          <w:rFonts w:hint="eastAsia"/>
          <w:szCs w:val="21"/>
          <w:highlight w:val="none"/>
        </w:rPr>
        <w:t xml:space="preserve"> </w:t>
      </w:r>
      <w:r>
        <w:rPr>
          <w:rFonts w:hint="eastAsia" w:ascii="宋体" w:hAnsi="宋体"/>
          <w:b/>
          <w:bCs/>
          <w:sz w:val="36"/>
          <w:szCs w:val="36"/>
          <w:highlight w:val="none"/>
        </w:rPr>
        <w:t>合  同  书</w:t>
      </w:r>
    </w:p>
    <w:p w14:paraId="4BB3A172">
      <w:pPr>
        <w:keepNext/>
        <w:keepLines/>
        <w:spacing w:line="560" w:lineRule="exact"/>
        <w:jc w:val="center"/>
        <w:rPr>
          <w:rFonts w:ascii="黑体"/>
          <w:b/>
          <w:bCs/>
          <w:sz w:val="32"/>
          <w:szCs w:val="32"/>
          <w:highlight w:val="none"/>
        </w:rPr>
      </w:pPr>
      <w:bookmarkStart w:id="44" w:name="_Toc21307"/>
      <w:bookmarkStart w:id="45" w:name="_Toc2857"/>
      <w:bookmarkStart w:id="46" w:name="_Toc30660"/>
      <w:bookmarkStart w:id="47" w:name="_Toc28814"/>
      <w:bookmarkStart w:id="48" w:name="_Toc144974826"/>
      <w:bookmarkStart w:id="49" w:name="_Toc152042546"/>
      <w:bookmarkStart w:id="50" w:name="_Toc152045767"/>
      <w:bookmarkStart w:id="51" w:name="_Toc179632785"/>
      <w:r>
        <w:rPr>
          <w:rFonts w:hint="eastAsia" w:ascii="黑体" w:hAnsi="黑体" w:cs="黑体"/>
          <w:b/>
          <w:bCs/>
          <w:sz w:val="32"/>
          <w:szCs w:val="32"/>
          <w:highlight w:val="none"/>
        </w:rPr>
        <w:t>第一节</w:t>
      </w:r>
      <w:r>
        <w:rPr>
          <w:rFonts w:ascii="黑体" w:hAnsi="黑体" w:cs="黑体"/>
          <w:b/>
          <w:bCs/>
          <w:sz w:val="32"/>
          <w:szCs w:val="32"/>
          <w:highlight w:val="none"/>
        </w:rPr>
        <w:t xml:space="preserve"> </w:t>
      </w:r>
      <w:r>
        <w:rPr>
          <w:rFonts w:hint="eastAsia" w:ascii="黑体" w:hAnsi="黑体" w:cs="黑体"/>
          <w:b/>
          <w:bCs/>
          <w:sz w:val="32"/>
          <w:szCs w:val="32"/>
          <w:highlight w:val="none"/>
        </w:rPr>
        <w:t>合同协议书</w:t>
      </w:r>
      <w:bookmarkEnd w:id="44"/>
      <w:bookmarkEnd w:id="45"/>
      <w:bookmarkEnd w:id="46"/>
      <w:bookmarkEnd w:id="47"/>
    </w:p>
    <w:p w14:paraId="6B9409A2">
      <w:pPr>
        <w:autoSpaceDE w:val="0"/>
        <w:autoSpaceDN w:val="0"/>
        <w:spacing w:line="400" w:lineRule="exact"/>
        <w:rPr>
          <w:rFonts w:hint="eastAsia" w:ascii="宋体" w:hAnsi="宋体" w:cs="宋体"/>
          <w:highlight w:val="none"/>
          <w:u w:val="single"/>
        </w:rPr>
      </w:pPr>
      <w:r>
        <w:rPr>
          <w:rFonts w:hint="eastAsia" w:ascii="宋体" w:hAnsi="宋体" w:cs="宋体"/>
          <w:b/>
          <w:bCs/>
          <w:highlight w:val="none"/>
        </w:rPr>
        <w:t>发包人（全称）：</w:t>
      </w:r>
      <w:r>
        <w:rPr>
          <w:rFonts w:ascii="MingLiU_HKSCS" w:hAnsi="MingLiU_HKSCS" w:cs="MingLiU_HKSCS"/>
          <w:b/>
          <w:bCs/>
          <w:highlight w:val="none"/>
          <w:u w:val="single"/>
        </w:rPr>
        <w:t xml:space="preserve">  </w:t>
      </w:r>
      <w:r>
        <w:rPr>
          <w:rFonts w:hint="eastAsia" w:ascii="宋体" w:hAnsi="宋体" w:cs="宋体"/>
          <w:highlight w:val="none"/>
          <w:u w:val="single"/>
        </w:rPr>
        <w:t xml:space="preserve">                             </w:t>
      </w:r>
      <w:r>
        <w:rPr>
          <w:rFonts w:ascii="宋体" w:hAnsi="宋体" w:cs="宋体"/>
          <w:highlight w:val="none"/>
          <w:u w:val="single"/>
        </w:rPr>
        <w:t xml:space="preserve"> </w:t>
      </w:r>
      <w:r>
        <w:rPr>
          <w:rFonts w:hint="eastAsia" w:ascii="宋体" w:hAnsi="宋体" w:cs="宋体"/>
          <w:highlight w:val="none"/>
          <w:u w:val="single"/>
        </w:rPr>
        <w:t xml:space="preserve">  </w:t>
      </w:r>
      <w:r>
        <w:rPr>
          <w:rFonts w:ascii="宋体" w:hAnsi="宋体" w:cs="宋体"/>
          <w:highlight w:val="none"/>
          <w:u w:val="single"/>
        </w:rPr>
        <w:t xml:space="preserve"> </w:t>
      </w:r>
    </w:p>
    <w:p w14:paraId="6B4F7DF1">
      <w:pPr>
        <w:autoSpaceDE w:val="0"/>
        <w:autoSpaceDN w:val="0"/>
        <w:spacing w:line="400" w:lineRule="exact"/>
        <w:rPr>
          <w:rFonts w:ascii="MingLiU_HKSCS" w:hAnsi="MingLiU_HKSCS" w:cs="MingLiU_HKSCS"/>
          <w:b/>
          <w:bCs/>
          <w:highlight w:val="none"/>
          <w:u w:val="single"/>
        </w:rPr>
      </w:pPr>
      <w:r>
        <w:rPr>
          <w:rFonts w:hint="eastAsia" w:ascii="宋体" w:hAnsi="宋体" w:cs="宋体"/>
          <w:b/>
          <w:bCs/>
          <w:highlight w:val="none"/>
        </w:rPr>
        <w:t>承包人（全称）：</w:t>
      </w:r>
      <w:r>
        <w:rPr>
          <w:rFonts w:ascii="MingLiU_HKSCS" w:hAnsi="MingLiU_HKSCS" w:cs="MingLiU_HKSCS"/>
          <w:b/>
          <w:bCs/>
          <w:highlight w:val="none"/>
          <w:u w:val="single"/>
        </w:rPr>
        <w:t xml:space="preserve">          </w:t>
      </w:r>
      <w:r>
        <w:rPr>
          <w:rFonts w:hint="eastAsia" w:ascii="MingLiU_HKSCS" w:hAnsi="MingLiU_HKSCS" w:cs="MingLiU_HKSCS"/>
          <w:b/>
          <w:bCs/>
          <w:highlight w:val="none"/>
          <w:u w:val="single"/>
        </w:rPr>
        <w:t xml:space="preserve">          </w:t>
      </w:r>
      <w:r>
        <w:rPr>
          <w:rFonts w:ascii="MingLiU_HKSCS" w:hAnsi="MingLiU_HKSCS" w:cs="MingLiU_HKSCS"/>
          <w:b/>
          <w:bCs/>
          <w:highlight w:val="none"/>
          <w:u w:val="single"/>
        </w:rPr>
        <w:t xml:space="preserve">             </w:t>
      </w:r>
    </w:p>
    <w:p w14:paraId="5D43F4C5">
      <w:pPr>
        <w:autoSpaceDE w:val="0"/>
        <w:autoSpaceDN w:val="0"/>
        <w:spacing w:line="400" w:lineRule="exact"/>
        <w:ind w:firstLine="420" w:firstLineChars="200"/>
        <w:rPr>
          <w:rFonts w:ascii="宋体"/>
          <w:highlight w:val="none"/>
        </w:rPr>
      </w:pPr>
      <w:r>
        <w:rPr>
          <w:rFonts w:hint="eastAsia" w:ascii="宋体" w:hAnsi="宋体" w:cs="宋体"/>
          <w:highlight w:val="none"/>
        </w:rPr>
        <w:t>根据《中华人民共和国民法典》、《中华人民共和国建筑法》及有关法律规定，遵循平等、自愿、公平和诚实信用的原则，双方就</w:t>
      </w:r>
      <w:r>
        <w:rPr>
          <w:rFonts w:hint="eastAsia" w:ascii="宋体" w:hAnsi="宋体" w:cs="宋体"/>
          <w:b/>
          <w:bCs/>
          <w:kern w:val="0"/>
          <w:highlight w:val="none"/>
          <w:u w:val="single"/>
        </w:rPr>
        <w:t xml:space="preserve">                       </w:t>
      </w:r>
      <w:r>
        <w:rPr>
          <w:rFonts w:hint="eastAsia" w:ascii="宋体" w:hAnsi="宋体" w:cs="宋体"/>
          <w:highlight w:val="none"/>
        </w:rPr>
        <w:t>工程施工及有关事项协商一致，共同达成如下协议：</w:t>
      </w:r>
    </w:p>
    <w:p w14:paraId="1C0321AE">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一、工程概况</w:t>
      </w:r>
    </w:p>
    <w:p w14:paraId="408D94AE">
      <w:pPr>
        <w:autoSpaceDE w:val="0"/>
        <w:autoSpaceDN w:val="0"/>
        <w:spacing w:line="400" w:lineRule="exact"/>
        <w:ind w:firstLine="411" w:firstLineChars="196"/>
        <w:rPr>
          <w:rFonts w:ascii="宋体"/>
          <w:highlight w:val="none"/>
          <w:u w:val="single"/>
        </w:rPr>
      </w:pPr>
      <w:r>
        <w:rPr>
          <w:rFonts w:ascii="宋体" w:hAnsi="宋体" w:cs="宋体"/>
          <w:highlight w:val="none"/>
        </w:rPr>
        <w:t>1.</w:t>
      </w:r>
      <w:r>
        <w:rPr>
          <w:rFonts w:hint="eastAsia" w:ascii="宋体" w:hAnsi="宋体" w:cs="宋体"/>
          <w:highlight w:val="none"/>
        </w:rPr>
        <w:t>工程名称：</w:t>
      </w:r>
      <w:r>
        <w:rPr>
          <w:rFonts w:hint="eastAsia" w:ascii="宋体" w:hAnsi="宋体" w:cs="宋体"/>
          <w:b/>
          <w:bCs/>
          <w:kern w:val="0"/>
          <w:highlight w:val="none"/>
          <w:u w:val="single"/>
        </w:rPr>
        <w:t xml:space="preserve">                          </w:t>
      </w:r>
    </w:p>
    <w:p w14:paraId="5244A832">
      <w:pPr>
        <w:autoSpaceDE w:val="0"/>
        <w:autoSpaceDN w:val="0"/>
        <w:spacing w:line="400" w:lineRule="exact"/>
        <w:ind w:firstLine="411" w:firstLineChars="196"/>
        <w:rPr>
          <w:rFonts w:ascii="宋体"/>
          <w:highlight w:val="none"/>
        </w:rPr>
      </w:pPr>
      <w:r>
        <w:rPr>
          <w:rFonts w:ascii="宋体" w:hAnsi="宋体" w:cs="宋体"/>
          <w:highlight w:val="none"/>
        </w:rPr>
        <w:t>2.</w:t>
      </w:r>
      <w:r>
        <w:rPr>
          <w:rFonts w:hint="eastAsia" w:ascii="宋体" w:hAnsi="宋体" w:cs="宋体"/>
          <w:highlight w:val="none"/>
        </w:rPr>
        <w:t>工程地点：</w:t>
      </w:r>
      <w:r>
        <w:rPr>
          <w:rFonts w:ascii="MingLiU_HKSCS" w:hAnsi="MingLiU_HKSCS" w:cs="MingLiU_HKSCS"/>
          <w:highlight w:val="none"/>
          <w:u w:val="single"/>
        </w:rPr>
        <w:t xml:space="preserve">  </w:t>
      </w:r>
      <w:r>
        <w:rPr>
          <w:rFonts w:hint="eastAsia" w:ascii="MingLiU_HKSCS" w:hAnsi="MingLiU_HKSCS" w:cs="宋体"/>
          <w:highlight w:val="none"/>
          <w:u w:val="single"/>
        </w:rPr>
        <w:t xml:space="preserve">          </w:t>
      </w:r>
      <w:r>
        <w:rPr>
          <w:rFonts w:hint="eastAsia" w:ascii="宋体" w:hAnsi="宋体" w:cs="宋体"/>
          <w:highlight w:val="none"/>
        </w:rPr>
        <w:t>。</w:t>
      </w:r>
    </w:p>
    <w:p w14:paraId="66F2C24E">
      <w:pPr>
        <w:autoSpaceDE w:val="0"/>
        <w:autoSpaceDN w:val="0"/>
        <w:spacing w:line="400" w:lineRule="exact"/>
        <w:ind w:firstLine="411" w:firstLineChars="196"/>
        <w:rPr>
          <w:rFonts w:ascii="宋体"/>
          <w:highlight w:val="none"/>
        </w:rPr>
      </w:pPr>
      <w:r>
        <w:rPr>
          <w:rFonts w:ascii="宋体" w:hAnsi="宋体" w:cs="宋体"/>
          <w:highlight w:val="none"/>
        </w:rPr>
        <w:t>3.</w:t>
      </w:r>
      <w:r>
        <w:rPr>
          <w:rFonts w:hint="eastAsia" w:ascii="宋体" w:hAnsi="宋体" w:cs="宋体"/>
          <w:highlight w:val="none"/>
        </w:rPr>
        <w:t>工程立项批准文号：</w:t>
      </w:r>
      <w:r>
        <w:rPr>
          <w:rFonts w:ascii="MingLiU_HKSCS" w:hAnsi="MingLiU_HKSCS" w:cs="MingLiU_HKSCS"/>
          <w:highlight w:val="none"/>
          <w:u w:val="single"/>
        </w:rPr>
        <w:t xml:space="preserve">                </w:t>
      </w:r>
      <w:r>
        <w:rPr>
          <w:rFonts w:hint="eastAsia" w:ascii="宋体" w:hAnsi="宋体" w:cs="宋体"/>
          <w:highlight w:val="none"/>
        </w:rPr>
        <w:t>。</w:t>
      </w:r>
    </w:p>
    <w:p w14:paraId="48F212DD">
      <w:pPr>
        <w:autoSpaceDE w:val="0"/>
        <w:autoSpaceDN w:val="0"/>
        <w:spacing w:line="400" w:lineRule="exact"/>
        <w:ind w:firstLine="411" w:firstLineChars="196"/>
        <w:rPr>
          <w:rFonts w:ascii="宋体"/>
          <w:highlight w:val="none"/>
        </w:rPr>
      </w:pPr>
      <w:r>
        <w:rPr>
          <w:rFonts w:ascii="宋体" w:hAnsi="宋体" w:cs="宋体"/>
          <w:highlight w:val="none"/>
        </w:rPr>
        <w:t>4.</w:t>
      </w:r>
      <w:r>
        <w:rPr>
          <w:rFonts w:hint="eastAsia" w:ascii="宋体" w:hAnsi="宋体" w:cs="宋体"/>
          <w:highlight w:val="none"/>
        </w:rPr>
        <w:t>资金来源：</w:t>
      </w:r>
      <w:r>
        <w:rPr>
          <w:rFonts w:ascii="MingLiU_HKSCS" w:hAnsi="MingLiU_HKSCS" w:cs="MingLiU_HKSCS"/>
          <w:highlight w:val="none"/>
          <w:u w:val="single"/>
        </w:rPr>
        <w:t xml:space="preserve"> </w:t>
      </w:r>
      <w:r>
        <w:rPr>
          <w:rFonts w:hint="eastAsia" w:ascii="MingLiU_HKSCS" w:hAnsi="MingLiU_HKSCS" w:cs="MingLiU_HKSCS"/>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hint="eastAsia" w:ascii="宋体" w:hAnsi="宋体" w:cs="宋体"/>
          <w:highlight w:val="none"/>
        </w:rPr>
        <w:t>。</w:t>
      </w:r>
    </w:p>
    <w:p w14:paraId="55E9DF11">
      <w:pPr>
        <w:autoSpaceDE w:val="0"/>
        <w:autoSpaceDN w:val="0"/>
        <w:spacing w:line="400" w:lineRule="exact"/>
        <w:ind w:firstLine="411" w:firstLineChars="196"/>
        <w:rPr>
          <w:rFonts w:ascii="宋体"/>
          <w:highlight w:val="none"/>
        </w:rPr>
      </w:pPr>
      <w:r>
        <w:rPr>
          <w:rFonts w:ascii="宋体" w:hAnsi="宋体" w:cs="宋体"/>
          <w:highlight w:val="none"/>
        </w:rPr>
        <w:t>5.</w:t>
      </w:r>
      <w:r>
        <w:rPr>
          <w:rFonts w:hint="eastAsia" w:ascii="宋体" w:hAnsi="宋体" w:cs="宋体"/>
          <w:highlight w:val="none"/>
        </w:rPr>
        <w:t xml:space="preserve">工程内容： </w:t>
      </w:r>
      <w:r>
        <w:rPr>
          <w:rFonts w:hint="eastAsia" w:ascii="宋体" w:hAnsi="宋体" w:cs="宋体"/>
          <w:highlight w:val="none"/>
          <w:u w:val="single"/>
        </w:rPr>
        <w:t xml:space="preserve">                       </w:t>
      </w:r>
      <w:r>
        <w:rPr>
          <w:rFonts w:hint="eastAsia" w:ascii="宋体" w:hAnsi="宋体" w:cs="宋体"/>
          <w:highlight w:val="none"/>
        </w:rPr>
        <w:t>。</w:t>
      </w:r>
    </w:p>
    <w:p w14:paraId="0C88B5CB">
      <w:pPr>
        <w:autoSpaceDE w:val="0"/>
        <w:autoSpaceDN w:val="0"/>
        <w:spacing w:line="400" w:lineRule="exact"/>
        <w:ind w:firstLine="411" w:firstLineChars="196"/>
        <w:rPr>
          <w:rFonts w:ascii="宋体"/>
          <w:highlight w:val="none"/>
        </w:rPr>
      </w:pPr>
      <w:r>
        <w:rPr>
          <w:rFonts w:ascii="宋体" w:hAnsi="宋体" w:cs="宋体"/>
          <w:highlight w:val="none"/>
        </w:rPr>
        <w:t>6</w:t>
      </w:r>
      <w:r>
        <w:rPr>
          <w:rFonts w:ascii="宋体" w:cs="宋体"/>
          <w:highlight w:val="none"/>
        </w:rPr>
        <w:t>.</w:t>
      </w:r>
      <w:r>
        <w:rPr>
          <w:rFonts w:hint="eastAsia" w:ascii="宋体" w:hAnsi="宋体" w:cs="宋体"/>
          <w:highlight w:val="none"/>
        </w:rPr>
        <w:t>工程承包范围：</w:t>
      </w:r>
      <w:r>
        <w:rPr>
          <w:rFonts w:ascii="MingLiU_HKSCS" w:hAnsi="MingLiU_HKSCS" w:cs="MingLiU_HKSCS"/>
          <w:highlight w:val="none"/>
          <w:u w:val="single"/>
        </w:rPr>
        <w:t xml:space="preserve"> </w:t>
      </w:r>
      <w:r>
        <w:rPr>
          <w:rFonts w:hint="eastAsia" w:ascii="MingLiU_HKSCS" w:hAnsi="MingLiU_HKSCS" w:cs="MingLiU_HKSCS"/>
          <w:highlight w:val="none"/>
          <w:u w:val="single"/>
        </w:rPr>
        <w:t xml:space="preserve">                   </w:t>
      </w:r>
      <w:r>
        <w:rPr>
          <w:rFonts w:hint="eastAsia" w:ascii="MingLiU_HKSCS" w:hAnsi="MingLiU_HKSCS" w:cs="宋体"/>
          <w:highlight w:val="none"/>
        </w:rPr>
        <w:t>。</w:t>
      </w:r>
    </w:p>
    <w:p w14:paraId="4494C192">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二、合同工期</w:t>
      </w:r>
    </w:p>
    <w:p w14:paraId="0E5A3D8B">
      <w:pPr>
        <w:autoSpaceDE w:val="0"/>
        <w:autoSpaceDN w:val="0"/>
        <w:spacing w:line="400" w:lineRule="exact"/>
        <w:ind w:firstLine="422" w:firstLineChars="200"/>
        <w:rPr>
          <w:rFonts w:ascii="宋体"/>
          <w:b/>
          <w:bCs/>
          <w:highlight w:val="none"/>
        </w:rPr>
      </w:pPr>
      <w:r>
        <w:rPr>
          <w:rFonts w:hint="eastAsia" w:ascii="宋体" w:hAnsi="宋体" w:cs="宋体"/>
          <w:b/>
          <w:bCs/>
          <w:highlight w:val="none"/>
        </w:rPr>
        <w:t>计划总工期</w:t>
      </w:r>
      <w:r>
        <w:rPr>
          <w:rFonts w:hint="eastAsia" w:ascii="宋体" w:hAnsi="宋体" w:cs="宋体"/>
          <w:b/>
          <w:bCs/>
          <w:highlight w:val="none"/>
          <w:u w:val="single"/>
        </w:rPr>
        <w:t xml:space="preserve">    </w:t>
      </w:r>
      <w:r>
        <w:rPr>
          <w:rFonts w:hint="eastAsia" w:ascii="宋体" w:hAnsi="宋体" w:cs="宋体"/>
          <w:b/>
          <w:bCs/>
          <w:highlight w:val="none"/>
        </w:rPr>
        <w:t>日历天，具体单位工程必须满足建设单位进度计划安排（具体进度计划安排详建设单位进度计划）。</w:t>
      </w:r>
    </w:p>
    <w:p w14:paraId="1B022C41">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highlight w:val="none"/>
        </w:rPr>
        <w:t>工期总日历天数与根据前述计划开竣工日期计算的工期天数不一致的，以工期总日历天数为准。如因承包人原因，导致未按照合同规定时间进场开工，承包人需承担因违约对采购人造成的损失，</w:t>
      </w:r>
      <w:r>
        <w:rPr>
          <w:rFonts w:hint="eastAsia" w:ascii="宋体" w:hAnsi="宋体" w:cs="宋体"/>
          <w:szCs w:val="21"/>
          <w:highlight w:val="none"/>
        </w:rPr>
        <w:t>逾期进场违约金的上限：</w:t>
      </w:r>
      <w:r>
        <w:rPr>
          <w:rFonts w:hint="eastAsia" w:ascii="宋体" w:hAnsi="宋体" w:cs="宋体"/>
          <w:b/>
          <w:szCs w:val="21"/>
          <w:highlight w:val="none"/>
          <w:u w:val="single"/>
        </w:rPr>
        <w:t>合同价格的5% 。</w:t>
      </w:r>
    </w:p>
    <w:p w14:paraId="77CF9A25">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三、质量标准</w:t>
      </w:r>
    </w:p>
    <w:p w14:paraId="6453B26E">
      <w:pPr>
        <w:autoSpaceDE w:val="0"/>
        <w:autoSpaceDN w:val="0"/>
        <w:spacing w:line="400" w:lineRule="exact"/>
        <w:ind w:firstLine="459"/>
        <w:rPr>
          <w:rFonts w:ascii="宋体"/>
          <w:highlight w:val="none"/>
        </w:rPr>
      </w:pPr>
      <w:r>
        <w:rPr>
          <w:rFonts w:hint="eastAsia" w:ascii="宋体" w:hAnsi="宋体" w:cs="宋体"/>
          <w:highlight w:val="none"/>
        </w:rPr>
        <w:t>工程质量符合</w:t>
      </w:r>
      <w:r>
        <w:rPr>
          <w:rFonts w:ascii="MingLiU_HKSCS" w:hAnsi="MingLiU_HKSCS" w:cs="MingLiU_HKSCS"/>
          <w:highlight w:val="none"/>
          <w:u w:val="single"/>
        </w:rPr>
        <w:t xml:space="preserve">  </w:t>
      </w:r>
      <w:r>
        <w:rPr>
          <w:rFonts w:hint="eastAsia" w:ascii="MingLiU_HKSCS" w:hAnsi="MingLiU_HKSCS" w:cs="MingLiU_HKSCS"/>
          <w:highlight w:val="none"/>
          <w:u w:val="single"/>
        </w:rPr>
        <w:t xml:space="preserve">             </w:t>
      </w:r>
      <w:r>
        <w:rPr>
          <w:rFonts w:ascii="MingLiU_HKSCS" w:hAnsi="MingLiU_HKSCS" w:cs="MingLiU_HKSCS"/>
          <w:highlight w:val="none"/>
          <w:u w:val="single"/>
        </w:rPr>
        <w:t xml:space="preserve"> </w:t>
      </w:r>
      <w:r>
        <w:rPr>
          <w:rFonts w:hint="eastAsia" w:ascii="宋体" w:hAnsi="宋体" w:cs="宋体"/>
          <w:highlight w:val="none"/>
        </w:rPr>
        <w:t>标准。</w:t>
      </w:r>
    </w:p>
    <w:p w14:paraId="33B816D8">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四、签约合同价与合同价格形式</w:t>
      </w:r>
      <w:r>
        <w:rPr>
          <w:rFonts w:ascii="宋体"/>
          <w:b/>
          <w:bCs/>
          <w:highlight w:val="none"/>
        </w:rPr>
        <w:tab/>
      </w:r>
    </w:p>
    <w:p w14:paraId="63662B63">
      <w:pPr>
        <w:autoSpaceDE w:val="0"/>
        <w:autoSpaceDN w:val="0"/>
        <w:spacing w:line="400" w:lineRule="exact"/>
        <w:ind w:firstLine="420" w:firstLineChars="200"/>
        <w:rPr>
          <w:rFonts w:ascii="宋体"/>
          <w:highlight w:val="none"/>
        </w:rPr>
      </w:pPr>
      <w:r>
        <w:rPr>
          <w:rFonts w:ascii="宋体" w:hAnsi="宋体" w:cs="宋体"/>
          <w:highlight w:val="none"/>
        </w:rPr>
        <w:t>1.</w:t>
      </w:r>
      <w:r>
        <w:rPr>
          <w:rFonts w:hint="eastAsia" w:ascii="宋体" w:hAnsi="宋体" w:cs="宋体"/>
          <w:highlight w:val="none"/>
        </w:rPr>
        <w:t>签约合同价为：人民币（大写）</w:t>
      </w:r>
      <w:r>
        <w:rPr>
          <w:rFonts w:ascii="宋体" w:hAnsi="宋体" w:cs="宋体"/>
          <w:highlight w:val="none"/>
          <w:u w:val="single"/>
        </w:rPr>
        <w:t xml:space="preserve">                 </w:t>
      </w:r>
      <w:r>
        <w:rPr>
          <w:rFonts w:ascii="宋体" w:hAnsi="宋体" w:cs="宋体"/>
          <w:highlight w:val="none"/>
        </w:rPr>
        <w:t>(</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34D991C2">
      <w:pPr>
        <w:autoSpaceDE w:val="0"/>
        <w:autoSpaceDN w:val="0"/>
        <w:spacing w:line="400" w:lineRule="exact"/>
        <w:ind w:firstLine="420" w:firstLineChars="200"/>
        <w:rPr>
          <w:rFonts w:ascii="宋体"/>
          <w:highlight w:val="none"/>
        </w:rPr>
      </w:pPr>
      <w:r>
        <w:rPr>
          <w:rFonts w:hint="eastAsia" w:ascii="宋体" w:hAnsi="宋体" w:cs="宋体"/>
          <w:highlight w:val="none"/>
        </w:rPr>
        <w:t>其中：</w:t>
      </w:r>
    </w:p>
    <w:p w14:paraId="14DE234A">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1</w:t>
      </w:r>
      <w:r>
        <w:rPr>
          <w:rFonts w:hint="eastAsia" w:ascii="宋体" w:hAnsi="宋体" w:cs="宋体"/>
          <w:highlight w:val="none"/>
        </w:rPr>
        <w:t>）安全文明施工费：人民币（大写）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7747DBF0">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2</w:t>
      </w:r>
      <w:r>
        <w:rPr>
          <w:rFonts w:hint="eastAsia" w:ascii="宋体" w:hAnsi="宋体" w:cs="宋体"/>
          <w:highlight w:val="none"/>
        </w:rPr>
        <w:t>）材料和工程设备暂估价金额：人民币（大写）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1FBBF6BD">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3</w:t>
      </w:r>
      <w:r>
        <w:rPr>
          <w:rFonts w:hint="eastAsia" w:ascii="宋体" w:hAnsi="宋体" w:cs="宋体"/>
          <w:highlight w:val="none"/>
        </w:rPr>
        <w:t>）专业工程暂估价金额：人民币（大写）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5FDF801D">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4</w:t>
      </w:r>
      <w:r>
        <w:rPr>
          <w:rFonts w:hint="eastAsia" w:ascii="宋体" w:hAnsi="宋体" w:cs="宋体"/>
          <w:highlight w:val="none"/>
        </w:rPr>
        <w:t>）暂列金额：人民币（大写）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3BD9566F">
      <w:pPr>
        <w:autoSpaceDE w:val="0"/>
        <w:autoSpaceDN w:val="0"/>
        <w:spacing w:line="400" w:lineRule="exact"/>
        <w:ind w:firstLine="420" w:firstLineChars="200"/>
        <w:rPr>
          <w:rFonts w:ascii="宋体"/>
          <w:highlight w:val="none"/>
        </w:rPr>
      </w:pPr>
      <w:r>
        <w:rPr>
          <w:rFonts w:ascii="宋体" w:hAnsi="宋体" w:cs="宋体"/>
          <w:highlight w:val="none"/>
        </w:rPr>
        <w:t>2.</w:t>
      </w:r>
      <w:r>
        <w:rPr>
          <w:rFonts w:hint="eastAsia" w:ascii="宋体" w:hAnsi="宋体" w:cs="宋体"/>
          <w:highlight w:val="none"/>
        </w:rPr>
        <w:t>合同价格形式：</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hint="eastAsia" w:ascii="宋体" w:hAnsi="宋体" w:cs="宋体"/>
          <w:highlight w:val="none"/>
        </w:rPr>
        <w:t>。</w:t>
      </w:r>
    </w:p>
    <w:p w14:paraId="50C07207">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五、项目经理</w:t>
      </w:r>
    </w:p>
    <w:p w14:paraId="0DBB3342">
      <w:pPr>
        <w:autoSpaceDE w:val="0"/>
        <w:autoSpaceDN w:val="0"/>
        <w:spacing w:line="400" w:lineRule="exact"/>
        <w:ind w:firstLine="420" w:firstLineChars="200"/>
        <w:rPr>
          <w:rFonts w:ascii="宋体"/>
          <w:highlight w:val="none"/>
        </w:rPr>
      </w:pPr>
      <w:r>
        <w:rPr>
          <w:rFonts w:hint="eastAsia" w:ascii="宋体" w:hAnsi="宋体" w:cs="宋体"/>
          <w:highlight w:val="none"/>
        </w:rPr>
        <w:t>承包人项目经理：</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hint="eastAsia" w:ascii="宋体" w:hAnsi="宋体" w:cs="宋体"/>
          <w:highlight w:val="none"/>
        </w:rPr>
        <w:t>。</w:t>
      </w:r>
    </w:p>
    <w:p w14:paraId="2CAA919E">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六、合同文件构成</w:t>
      </w:r>
    </w:p>
    <w:p w14:paraId="4CCEF76E">
      <w:pPr>
        <w:autoSpaceDE w:val="0"/>
        <w:autoSpaceDN w:val="0"/>
        <w:spacing w:line="400" w:lineRule="exact"/>
        <w:ind w:firstLine="420" w:firstLineChars="200"/>
        <w:rPr>
          <w:rFonts w:ascii="宋体"/>
          <w:highlight w:val="none"/>
        </w:rPr>
      </w:pPr>
      <w:r>
        <w:rPr>
          <w:rFonts w:hint="eastAsia" w:ascii="宋体" w:hAnsi="宋体" w:cs="宋体"/>
          <w:highlight w:val="none"/>
        </w:rPr>
        <w:t>本协议书与下列文件一起构成合同文件：</w:t>
      </w:r>
    </w:p>
    <w:p w14:paraId="78A04347">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1</w:t>
      </w:r>
      <w:r>
        <w:rPr>
          <w:rFonts w:hint="eastAsia" w:ascii="宋体" w:hAnsi="宋体" w:cs="宋体"/>
          <w:highlight w:val="none"/>
        </w:rPr>
        <w:t>）中标通知书（如果有）；</w:t>
      </w:r>
    </w:p>
    <w:p w14:paraId="5678E265">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2</w:t>
      </w:r>
      <w:r>
        <w:rPr>
          <w:rFonts w:hint="eastAsia" w:ascii="宋体" w:hAnsi="宋体" w:cs="宋体"/>
          <w:highlight w:val="none"/>
        </w:rPr>
        <w:t>）投标函及其附录（如果有）；</w:t>
      </w:r>
      <w:r>
        <w:rPr>
          <w:rFonts w:ascii="宋体" w:hAnsi="宋体" w:cs="宋体"/>
          <w:highlight w:val="none"/>
        </w:rPr>
        <w:t xml:space="preserve"> </w:t>
      </w:r>
    </w:p>
    <w:p w14:paraId="51A19CA0">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3</w:t>
      </w:r>
      <w:r>
        <w:rPr>
          <w:rFonts w:hint="eastAsia" w:ascii="宋体" w:hAnsi="宋体" w:cs="宋体"/>
          <w:highlight w:val="none"/>
        </w:rPr>
        <w:t>）专用合同条款及其附件；</w:t>
      </w:r>
    </w:p>
    <w:p w14:paraId="35106C8F">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4</w:t>
      </w:r>
      <w:r>
        <w:rPr>
          <w:rFonts w:hint="eastAsia" w:ascii="宋体" w:hAnsi="宋体" w:cs="宋体"/>
          <w:highlight w:val="none"/>
        </w:rPr>
        <w:t>）通用合同条款；</w:t>
      </w:r>
    </w:p>
    <w:p w14:paraId="5C312B52">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5</w:t>
      </w:r>
      <w:r>
        <w:rPr>
          <w:rFonts w:hint="eastAsia" w:ascii="宋体" w:hAnsi="宋体" w:cs="宋体"/>
          <w:highlight w:val="none"/>
        </w:rPr>
        <w:t>）技术标准和要求；</w:t>
      </w:r>
    </w:p>
    <w:p w14:paraId="1E80F3DE">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6</w:t>
      </w:r>
      <w:r>
        <w:rPr>
          <w:rFonts w:hint="eastAsia" w:ascii="宋体" w:hAnsi="宋体" w:cs="宋体"/>
          <w:highlight w:val="none"/>
        </w:rPr>
        <w:t>）图纸；</w:t>
      </w:r>
    </w:p>
    <w:p w14:paraId="6512DE40">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7</w:t>
      </w:r>
      <w:r>
        <w:rPr>
          <w:rFonts w:hint="eastAsia" w:ascii="宋体" w:hAnsi="宋体" w:cs="宋体"/>
          <w:highlight w:val="none"/>
        </w:rPr>
        <w:t>）已标价工程量清单或预算书；</w:t>
      </w:r>
    </w:p>
    <w:p w14:paraId="0695B402">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8</w:t>
      </w:r>
      <w:r>
        <w:rPr>
          <w:rFonts w:hint="eastAsia" w:ascii="宋体" w:hAnsi="宋体" w:cs="宋体"/>
          <w:highlight w:val="none"/>
        </w:rPr>
        <w:t>）其他合同文件。</w:t>
      </w:r>
    </w:p>
    <w:p w14:paraId="7F941C8D">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在合同订立及履行过程中形成的与合同有关的文件均构成合同文件组成部分。</w:t>
      </w:r>
    </w:p>
    <w:p w14:paraId="4F103AFA">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上述各项合同文件包括合同当事人就该项合同文件所作出的补充和修改，属于同一类内容的文件，应以最新签署的为准。专用合同条款及其附件须经合同当事人签字或盖章。</w:t>
      </w:r>
    </w:p>
    <w:p w14:paraId="6055C073">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七、承诺</w:t>
      </w:r>
    </w:p>
    <w:p w14:paraId="278F7606">
      <w:pPr>
        <w:autoSpaceDE w:val="0"/>
        <w:autoSpaceDN w:val="0"/>
        <w:spacing w:line="400" w:lineRule="exact"/>
        <w:ind w:firstLine="420" w:firstLineChars="200"/>
        <w:rPr>
          <w:rFonts w:ascii="宋体"/>
          <w:highlight w:val="none"/>
        </w:rPr>
      </w:pPr>
      <w:r>
        <w:rPr>
          <w:rFonts w:ascii="宋体" w:hAnsi="宋体" w:cs="宋体"/>
          <w:highlight w:val="none"/>
        </w:rPr>
        <w:t>1.</w:t>
      </w:r>
      <w:r>
        <w:rPr>
          <w:rFonts w:hint="eastAsia" w:ascii="宋体" w:hAnsi="宋体" w:cs="宋体"/>
          <w:highlight w:val="none"/>
        </w:rPr>
        <w:t>发包人承诺按照法律规定履行项目审批手续、筹集工程建设资金并按照合同约定的期限和方式支付合同价款。</w:t>
      </w:r>
    </w:p>
    <w:p w14:paraId="3175EDAE">
      <w:pPr>
        <w:autoSpaceDE w:val="0"/>
        <w:autoSpaceDN w:val="0"/>
        <w:spacing w:line="400" w:lineRule="exact"/>
        <w:ind w:firstLine="420" w:firstLineChars="200"/>
        <w:rPr>
          <w:rFonts w:ascii="宋体"/>
          <w:highlight w:val="none"/>
        </w:rPr>
      </w:pPr>
      <w:r>
        <w:rPr>
          <w:rFonts w:ascii="宋体" w:hAnsi="宋体" w:cs="宋体"/>
          <w:highlight w:val="none"/>
        </w:rPr>
        <w:t>2.</w:t>
      </w:r>
      <w:r>
        <w:rPr>
          <w:rFonts w:hint="eastAsia" w:ascii="宋体" w:hAnsi="宋体" w:cs="宋体"/>
          <w:highlight w:val="none"/>
        </w:rPr>
        <w:t>承包人承诺按照法律规定及合同约定组织完成工程施工，确保工程质量和安全，不进行转包及违法分包，并在缺陷责任期及保修期内承担相应的工程维修责任。</w:t>
      </w:r>
    </w:p>
    <w:p w14:paraId="260EA1B3">
      <w:pPr>
        <w:autoSpaceDE w:val="0"/>
        <w:autoSpaceDN w:val="0"/>
        <w:spacing w:line="400" w:lineRule="exact"/>
        <w:ind w:firstLine="420" w:firstLineChars="200"/>
        <w:rPr>
          <w:rFonts w:ascii="宋体"/>
          <w:highlight w:val="none"/>
        </w:rPr>
      </w:pPr>
      <w:r>
        <w:rPr>
          <w:rFonts w:ascii="宋体" w:hAnsi="宋体" w:cs="宋体"/>
          <w:highlight w:val="none"/>
        </w:rPr>
        <w:t>3.</w:t>
      </w:r>
      <w:r>
        <w:rPr>
          <w:rFonts w:hint="eastAsia" w:ascii="宋体" w:hAnsi="宋体" w:cs="宋体"/>
          <w:highlight w:val="none"/>
        </w:rPr>
        <w:t>发包人和承包人通过招投标形式签订合同的，双方理解并承诺不再就同一工程另行签订与合同实质性内容相背离的协议。</w:t>
      </w:r>
    </w:p>
    <w:p w14:paraId="4B343343">
      <w:pPr>
        <w:autoSpaceDE w:val="0"/>
        <w:autoSpaceDN w:val="0"/>
        <w:spacing w:line="400" w:lineRule="exact"/>
        <w:rPr>
          <w:rFonts w:ascii="宋体"/>
          <w:highlight w:val="none"/>
        </w:rPr>
      </w:pPr>
      <w:r>
        <w:rPr>
          <w:rFonts w:ascii="宋体" w:hAnsi="宋体" w:cs="宋体"/>
          <w:b/>
          <w:bCs/>
          <w:highlight w:val="none"/>
        </w:rPr>
        <w:t xml:space="preserve">    </w:t>
      </w:r>
      <w:r>
        <w:rPr>
          <w:rFonts w:hint="eastAsia" w:ascii="宋体" w:hAnsi="宋体" w:cs="宋体"/>
          <w:b/>
          <w:bCs/>
          <w:highlight w:val="none"/>
        </w:rPr>
        <w:t>八、词语含义</w:t>
      </w:r>
    </w:p>
    <w:p w14:paraId="58F4EC8F">
      <w:pPr>
        <w:autoSpaceDE w:val="0"/>
        <w:autoSpaceDN w:val="0"/>
        <w:spacing w:line="400" w:lineRule="exact"/>
        <w:ind w:firstLine="420" w:firstLineChars="200"/>
        <w:rPr>
          <w:rFonts w:ascii="宋体"/>
          <w:highlight w:val="none"/>
        </w:rPr>
      </w:pPr>
      <w:r>
        <w:rPr>
          <w:rFonts w:hint="eastAsia" w:ascii="宋体" w:hAnsi="宋体" w:cs="宋体"/>
          <w:highlight w:val="none"/>
        </w:rPr>
        <w:t>本协议书中词语含义与第二部分通用合同条款中赋予的含义相同。</w:t>
      </w:r>
    </w:p>
    <w:p w14:paraId="2CD06CA9">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九、签订时间</w:t>
      </w:r>
    </w:p>
    <w:p w14:paraId="6E170497">
      <w:pPr>
        <w:autoSpaceDE w:val="0"/>
        <w:autoSpaceDN w:val="0"/>
        <w:spacing w:line="400" w:lineRule="exact"/>
        <w:ind w:firstLine="420" w:firstLineChars="200"/>
        <w:rPr>
          <w:rFonts w:ascii="宋体"/>
          <w:highlight w:val="none"/>
        </w:rPr>
      </w:pPr>
      <w:r>
        <w:rPr>
          <w:rFonts w:hint="eastAsia" w:ascii="宋体" w:hAnsi="宋体" w:cs="宋体"/>
          <w:highlight w:val="none"/>
        </w:rPr>
        <w:t>本合同于</w:t>
      </w:r>
      <w:r>
        <w:rPr>
          <w:rFonts w:ascii="宋体" w:hAnsi="宋体" w:cs="宋体"/>
          <w:highlight w:val="none"/>
          <w:u w:val="single"/>
        </w:rPr>
        <w:t xml:space="preserve">         </w:t>
      </w:r>
      <w:r>
        <w:rPr>
          <w:rFonts w:hint="eastAsia" w:ascii="宋体" w:hAnsi="宋体" w:cs="宋体"/>
          <w:highlight w:val="none"/>
        </w:rPr>
        <w:t>年</w:t>
      </w:r>
      <w:r>
        <w:rPr>
          <w:rFonts w:ascii="宋体" w:hAnsi="宋体" w:cs="宋体"/>
          <w:highlight w:val="none"/>
          <w:u w:val="single"/>
        </w:rPr>
        <w:t xml:space="preserve">    </w:t>
      </w:r>
      <w:r>
        <w:rPr>
          <w:rFonts w:hint="eastAsia" w:ascii="宋体" w:hAnsi="宋体" w:cs="宋体"/>
          <w:highlight w:val="none"/>
        </w:rPr>
        <w:t>月</w:t>
      </w:r>
      <w:r>
        <w:rPr>
          <w:rFonts w:ascii="宋体" w:hAnsi="宋体" w:cs="宋体"/>
          <w:highlight w:val="none"/>
          <w:u w:val="single"/>
        </w:rPr>
        <w:t xml:space="preserve">    </w:t>
      </w:r>
      <w:r>
        <w:rPr>
          <w:rFonts w:hint="eastAsia" w:ascii="宋体" w:hAnsi="宋体" w:cs="宋体"/>
          <w:highlight w:val="none"/>
        </w:rPr>
        <w:t>日签订。</w:t>
      </w:r>
    </w:p>
    <w:p w14:paraId="1B0CE923">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十、签订地点</w:t>
      </w:r>
    </w:p>
    <w:p w14:paraId="04EBE7B3">
      <w:pPr>
        <w:autoSpaceDE w:val="0"/>
        <w:autoSpaceDN w:val="0"/>
        <w:spacing w:line="400" w:lineRule="exact"/>
        <w:ind w:firstLine="420" w:firstLineChars="200"/>
        <w:rPr>
          <w:rFonts w:ascii="宋体"/>
          <w:highlight w:val="none"/>
        </w:rPr>
      </w:pPr>
      <w:r>
        <w:rPr>
          <w:rFonts w:hint="eastAsia" w:ascii="宋体" w:hAnsi="宋体" w:cs="宋体"/>
          <w:highlight w:val="none"/>
        </w:rPr>
        <w:t>本合同在</w:t>
      </w:r>
      <w:r>
        <w:rPr>
          <w:rFonts w:ascii="宋体" w:hAnsi="宋体" w:cs="宋体"/>
          <w:highlight w:val="none"/>
          <w:u w:val="single"/>
        </w:rPr>
        <w:t xml:space="preserve">  </w:t>
      </w:r>
      <w:r>
        <w:rPr>
          <w:rFonts w:hint="eastAsia" w:ascii="宋体" w:hAnsi="宋体" w:cs="宋体"/>
          <w:b/>
          <w:bCs/>
          <w:highlight w:val="none"/>
          <w:u w:val="single"/>
        </w:rPr>
        <w:t>荣成</w:t>
      </w:r>
      <w:r>
        <w:rPr>
          <w:rFonts w:ascii="宋体" w:hAnsi="宋体" w:cs="宋体"/>
          <w:highlight w:val="none"/>
          <w:u w:val="single"/>
        </w:rPr>
        <w:t xml:space="preserve"> </w:t>
      </w:r>
      <w:r>
        <w:rPr>
          <w:rFonts w:hint="eastAsia" w:ascii="宋体" w:hAnsi="宋体" w:cs="宋体"/>
          <w:highlight w:val="none"/>
          <w:u w:val="single"/>
        </w:rPr>
        <w:t xml:space="preserve"> </w:t>
      </w:r>
      <w:r>
        <w:rPr>
          <w:rFonts w:ascii="宋体" w:hAnsi="宋体" w:cs="宋体"/>
          <w:highlight w:val="none"/>
          <w:u w:val="single"/>
        </w:rPr>
        <w:t xml:space="preserve"> </w:t>
      </w:r>
      <w:r>
        <w:rPr>
          <w:rFonts w:hint="eastAsia" w:ascii="宋体" w:hAnsi="宋体" w:cs="宋体"/>
          <w:highlight w:val="none"/>
        </w:rPr>
        <w:t>签订。</w:t>
      </w:r>
    </w:p>
    <w:p w14:paraId="74232FB9">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十一、补充协议</w:t>
      </w:r>
    </w:p>
    <w:p w14:paraId="0758F45B">
      <w:pPr>
        <w:autoSpaceDE w:val="0"/>
        <w:autoSpaceDN w:val="0"/>
        <w:spacing w:line="400" w:lineRule="exact"/>
        <w:ind w:firstLine="420" w:firstLineChars="200"/>
        <w:rPr>
          <w:rFonts w:ascii="宋体"/>
          <w:b/>
          <w:bCs/>
          <w:highlight w:val="none"/>
        </w:rPr>
      </w:pPr>
      <w:r>
        <w:rPr>
          <w:rFonts w:hint="eastAsia" w:ascii="宋体" w:hAnsi="宋体" w:cs="宋体"/>
          <w:highlight w:val="none"/>
        </w:rPr>
        <w:t>合同未尽事宜，合同当事人另行签订补充协议，补充协议是合同的组成部分。</w:t>
      </w:r>
    </w:p>
    <w:p w14:paraId="48460938">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十二、合同生效</w:t>
      </w:r>
    </w:p>
    <w:p w14:paraId="6A00B378">
      <w:pPr>
        <w:autoSpaceDE w:val="0"/>
        <w:autoSpaceDN w:val="0"/>
        <w:spacing w:line="400" w:lineRule="exact"/>
        <w:ind w:firstLine="420" w:firstLineChars="200"/>
        <w:rPr>
          <w:rFonts w:ascii="宋体"/>
          <w:highlight w:val="none"/>
        </w:rPr>
      </w:pPr>
      <w:r>
        <w:rPr>
          <w:rFonts w:hint="eastAsia" w:ascii="宋体" w:hAnsi="宋体" w:cs="宋体"/>
          <w:highlight w:val="none"/>
        </w:rPr>
        <w:t>本合同自</w:t>
      </w:r>
      <w:r>
        <w:rPr>
          <w:rFonts w:ascii="宋体" w:hAnsi="宋体" w:cs="宋体"/>
          <w:highlight w:val="none"/>
          <w:u w:val="single"/>
        </w:rPr>
        <w:t xml:space="preserve">      </w:t>
      </w:r>
      <w:r>
        <w:rPr>
          <w:rFonts w:hint="eastAsia" w:ascii="宋体" w:hAnsi="宋体" w:cs="宋体"/>
          <w:b/>
          <w:bCs/>
          <w:highlight w:val="none"/>
          <w:u w:val="single"/>
        </w:rPr>
        <w:t>双方签字盖章后</w:t>
      </w:r>
      <w:r>
        <w:rPr>
          <w:rFonts w:ascii="宋体" w:hAnsi="宋体" w:cs="宋体"/>
          <w:highlight w:val="none"/>
          <w:u w:val="single"/>
        </w:rPr>
        <w:t xml:space="preserve">      </w:t>
      </w:r>
      <w:r>
        <w:rPr>
          <w:rFonts w:hint="eastAsia" w:ascii="宋体" w:hAnsi="宋体" w:cs="宋体"/>
          <w:highlight w:val="none"/>
        </w:rPr>
        <w:t>生效。</w:t>
      </w:r>
    </w:p>
    <w:p w14:paraId="040867F8">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十三、合同份数</w:t>
      </w:r>
    </w:p>
    <w:p w14:paraId="630C0530">
      <w:pPr>
        <w:autoSpaceDE w:val="0"/>
        <w:autoSpaceDN w:val="0"/>
        <w:spacing w:line="400" w:lineRule="exact"/>
        <w:ind w:firstLine="420" w:firstLineChars="200"/>
        <w:rPr>
          <w:rFonts w:ascii="宋体"/>
          <w:highlight w:val="none"/>
        </w:rPr>
      </w:pPr>
      <w:r>
        <w:rPr>
          <w:rFonts w:hint="eastAsia" w:ascii="宋体" w:hAnsi="宋体" w:cs="宋体"/>
          <w:highlight w:val="none"/>
        </w:rPr>
        <w:t>本合同一式</w:t>
      </w:r>
      <w:r>
        <w:rPr>
          <w:rFonts w:ascii="宋体" w:hAnsi="宋体" w:cs="宋体"/>
          <w:highlight w:val="none"/>
          <w:u w:val="single"/>
        </w:rPr>
        <w:t xml:space="preserve">    </w:t>
      </w:r>
      <w:r>
        <w:rPr>
          <w:rFonts w:hint="eastAsia" w:ascii="宋体" w:hAnsi="宋体" w:cs="宋体"/>
          <w:highlight w:val="none"/>
        </w:rPr>
        <w:t>份，均具有同等法律效力，发包人执</w:t>
      </w:r>
      <w:r>
        <w:rPr>
          <w:rFonts w:ascii="宋体" w:hAnsi="宋体" w:cs="宋体"/>
          <w:highlight w:val="none"/>
          <w:u w:val="single"/>
        </w:rPr>
        <w:t xml:space="preserve">    </w:t>
      </w:r>
      <w:r>
        <w:rPr>
          <w:rFonts w:hint="eastAsia" w:ascii="宋体" w:hAnsi="宋体" w:cs="宋体"/>
          <w:highlight w:val="none"/>
        </w:rPr>
        <w:t>份，承包人执</w:t>
      </w:r>
      <w:r>
        <w:rPr>
          <w:rFonts w:ascii="宋体" w:hAnsi="宋体" w:cs="宋体"/>
          <w:highlight w:val="none"/>
          <w:u w:val="single"/>
        </w:rPr>
        <w:t xml:space="preserve">    </w:t>
      </w:r>
      <w:r>
        <w:rPr>
          <w:rFonts w:hint="eastAsia" w:ascii="宋体" w:hAnsi="宋体" w:cs="宋体"/>
          <w:highlight w:val="none"/>
        </w:rPr>
        <w:t>份。</w:t>
      </w:r>
    </w:p>
    <w:p w14:paraId="5094297E">
      <w:pPr>
        <w:autoSpaceDE w:val="0"/>
        <w:autoSpaceDN w:val="0"/>
        <w:spacing w:line="400" w:lineRule="exact"/>
        <w:rPr>
          <w:rFonts w:ascii="宋体"/>
          <w:highlight w:val="none"/>
        </w:rPr>
      </w:pPr>
    </w:p>
    <w:p w14:paraId="50932A5F">
      <w:pPr>
        <w:autoSpaceDE w:val="0"/>
        <w:autoSpaceDN w:val="0"/>
        <w:spacing w:line="400" w:lineRule="exact"/>
        <w:rPr>
          <w:rFonts w:ascii="宋体"/>
          <w:highlight w:val="none"/>
        </w:rPr>
      </w:pPr>
      <w:r>
        <w:rPr>
          <w:rFonts w:hint="eastAsia" w:ascii="宋体" w:hAnsi="宋体" w:cs="宋体"/>
          <w:highlight w:val="none"/>
        </w:rPr>
        <w:t>发包人：</w:t>
      </w:r>
      <w:r>
        <w:rPr>
          <w:rFonts w:ascii="宋体" w:hAnsi="宋体" w:cs="宋体"/>
          <w:highlight w:val="none"/>
        </w:rPr>
        <w:t xml:space="preserve">  (</w:t>
      </w:r>
      <w:r>
        <w:rPr>
          <w:rFonts w:hint="eastAsia" w:ascii="宋体" w:hAnsi="宋体" w:cs="宋体"/>
          <w:highlight w:val="none"/>
        </w:rPr>
        <w:t>公章</w:t>
      </w:r>
      <w:r>
        <w:rPr>
          <w:rFonts w:ascii="宋体" w:hAnsi="宋体" w:cs="宋体"/>
          <w:highlight w:val="none"/>
        </w:rPr>
        <w:t xml:space="preserve">)              </w:t>
      </w:r>
      <w:r>
        <w:rPr>
          <w:rFonts w:hint="eastAsia" w:ascii="宋体" w:hAnsi="宋体" w:cs="宋体"/>
          <w:highlight w:val="none"/>
        </w:rPr>
        <w:t xml:space="preserve"> </w:t>
      </w:r>
      <w:r>
        <w:rPr>
          <w:rFonts w:ascii="宋体" w:hAnsi="宋体" w:cs="宋体"/>
          <w:highlight w:val="none"/>
        </w:rPr>
        <w:t xml:space="preserve">  </w:t>
      </w:r>
      <w:r>
        <w:rPr>
          <w:rFonts w:hint="eastAsia" w:ascii="宋体" w:hAnsi="宋体" w:cs="宋体"/>
          <w:highlight w:val="none"/>
        </w:rPr>
        <w:t>承包人：</w:t>
      </w:r>
      <w:r>
        <w:rPr>
          <w:rFonts w:ascii="宋体" w:hAnsi="宋体" w:cs="宋体"/>
          <w:highlight w:val="none"/>
        </w:rPr>
        <w:t xml:space="preserve">  (</w:t>
      </w:r>
      <w:r>
        <w:rPr>
          <w:rFonts w:hint="eastAsia" w:ascii="宋体" w:hAnsi="宋体" w:cs="宋体"/>
          <w:highlight w:val="none"/>
        </w:rPr>
        <w:t>公章</w:t>
      </w:r>
      <w:r>
        <w:rPr>
          <w:rFonts w:ascii="宋体" w:hAnsi="宋体" w:cs="宋体"/>
          <w:highlight w:val="none"/>
        </w:rPr>
        <w:t>)</w:t>
      </w:r>
    </w:p>
    <w:p w14:paraId="34A9C94E">
      <w:pPr>
        <w:autoSpaceDE w:val="0"/>
        <w:autoSpaceDN w:val="0"/>
        <w:spacing w:line="400" w:lineRule="exact"/>
        <w:rPr>
          <w:rFonts w:ascii="宋体"/>
          <w:highlight w:val="none"/>
        </w:rPr>
      </w:pPr>
      <w:r>
        <w:rPr>
          <w:rFonts w:hint="eastAsia" w:ascii="宋体" w:hAnsi="宋体" w:cs="宋体"/>
          <w:highlight w:val="none"/>
        </w:rPr>
        <w:t>法定代表人或其委托代理人：</w:t>
      </w:r>
      <w:r>
        <w:rPr>
          <w:rFonts w:ascii="宋体" w:hAnsi="宋体" w:cs="宋体"/>
          <w:highlight w:val="none"/>
        </w:rPr>
        <w:t xml:space="preserve">      </w:t>
      </w:r>
      <w:r>
        <w:rPr>
          <w:rFonts w:hint="eastAsia" w:ascii="宋体" w:hAnsi="宋体" w:cs="宋体"/>
          <w:highlight w:val="none"/>
        </w:rPr>
        <w:t>法定代表人或其委托代理人：</w:t>
      </w:r>
    </w:p>
    <w:p w14:paraId="202F7845">
      <w:pPr>
        <w:autoSpaceDE w:val="0"/>
        <w:autoSpaceDN w:val="0"/>
        <w:spacing w:line="400" w:lineRule="exact"/>
        <w:rPr>
          <w:rFonts w:ascii="宋体"/>
          <w:highlight w:val="none"/>
        </w:rPr>
      </w:pPr>
      <w:r>
        <w:rPr>
          <w:rFonts w:hint="eastAsia" w:ascii="宋体" w:hAnsi="宋体" w:cs="宋体"/>
          <w:highlight w:val="none"/>
        </w:rPr>
        <w:t>（签字）</w:t>
      </w:r>
      <w:r>
        <w:rPr>
          <w:rFonts w:ascii="宋体" w:hAnsi="宋体" w:cs="宋体"/>
          <w:highlight w:val="none"/>
        </w:rPr>
        <w:t xml:space="preserve">                       </w:t>
      </w:r>
      <w:r>
        <w:rPr>
          <w:rFonts w:hint="eastAsia" w:ascii="宋体" w:hAnsi="宋体" w:cs="宋体"/>
          <w:highlight w:val="none"/>
        </w:rPr>
        <w:t>（签字）</w:t>
      </w:r>
    </w:p>
    <w:p w14:paraId="096767E1">
      <w:pPr>
        <w:tabs>
          <w:tab w:val="left" w:pos="4410"/>
        </w:tabs>
        <w:autoSpaceDE w:val="0"/>
        <w:autoSpaceDN w:val="0"/>
        <w:spacing w:line="400" w:lineRule="exact"/>
        <w:rPr>
          <w:rFonts w:hint="eastAsia" w:ascii="宋体" w:hAnsi="宋体" w:cs="宋体"/>
          <w:highlight w:val="none"/>
        </w:rPr>
      </w:pPr>
      <w:r>
        <w:rPr>
          <w:rFonts w:hint="eastAsia" w:ascii="宋体" w:hAnsi="宋体" w:cs="宋体"/>
          <w:highlight w:val="none"/>
        </w:rPr>
        <w:t>组织机构代码：</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组织机构代码：</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p>
    <w:p w14:paraId="27A37DC9">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地</w:t>
      </w:r>
      <w:r>
        <w:rPr>
          <w:rFonts w:ascii="宋体" w:hAnsi="宋体" w:cs="宋体"/>
          <w:highlight w:val="none"/>
        </w:rPr>
        <w:t xml:space="preserve">  </w:t>
      </w:r>
      <w:r>
        <w:rPr>
          <w:rFonts w:hint="eastAsia" w:ascii="宋体" w:hAnsi="宋体" w:cs="宋体"/>
          <w:highlight w:val="none"/>
        </w:rPr>
        <w:t>址：</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地</w:t>
      </w:r>
      <w:r>
        <w:rPr>
          <w:rFonts w:ascii="宋体" w:hAnsi="宋体" w:cs="宋体"/>
          <w:highlight w:val="none"/>
        </w:rPr>
        <w:t xml:space="preserve">  </w:t>
      </w:r>
      <w:r>
        <w:rPr>
          <w:rFonts w:hint="eastAsia" w:ascii="宋体" w:hAnsi="宋体" w:cs="宋体"/>
          <w:highlight w:val="none"/>
        </w:rPr>
        <w:t>址：</w:t>
      </w:r>
      <w:r>
        <w:rPr>
          <w:rFonts w:ascii="MingLiU_HKSCS" w:hAnsi="MingLiU_HKSCS" w:cs="MingLiU_HKSCS"/>
          <w:highlight w:val="none"/>
          <w:u w:val="single"/>
        </w:rPr>
        <w:t xml:space="preserve">               </w:t>
      </w:r>
      <w:r>
        <w:rPr>
          <w:rFonts w:ascii="宋体" w:hAnsi="宋体" w:cs="宋体"/>
          <w:highlight w:val="none"/>
          <w:u w:val="single"/>
        </w:rPr>
        <w:t xml:space="preserve">      </w:t>
      </w:r>
    </w:p>
    <w:p w14:paraId="396256E5">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邮政编码：</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邮政编码：</w:t>
      </w:r>
      <w:r>
        <w:rPr>
          <w:rFonts w:ascii="MingLiU_HKSCS" w:hAnsi="MingLiU_HKSCS" w:cs="MingLiU_HKSCS"/>
          <w:highlight w:val="none"/>
          <w:u w:val="single"/>
        </w:rPr>
        <w:t xml:space="preserve">                </w:t>
      </w:r>
      <w:r>
        <w:rPr>
          <w:rFonts w:ascii="宋体" w:hAnsi="宋体" w:cs="宋体"/>
          <w:highlight w:val="none"/>
          <w:u w:val="single"/>
        </w:rPr>
        <w:t xml:space="preserve">   </w:t>
      </w:r>
    </w:p>
    <w:p w14:paraId="534E695F">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法定代表人：</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法定代表人：</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p>
    <w:p w14:paraId="6EABF03E">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委托代理人：</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委托代理人：</w:t>
      </w:r>
      <w:r>
        <w:rPr>
          <w:rFonts w:ascii="MingLiU_HKSCS" w:hAnsi="MingLiU_HKSCS" w:cs="MingLiU_HKSCS"/>
          <w:highlight w:val="none"/>
          <w:u w:val="single"/>
        </w:rPr>
        <w:t xml:space="preserve">    </w:t>
      </w:r>
      <w:r>
        <w:rPr>
          <w:rFonts w:ascii="宋体" w:hAnsi="宋体" w:cs="宋体"/>
          <w:highlight w:val="none"/>
          <w:u w:val="single"/>
        </w:rPr>
        <w:t xml:space="preserve">             </w:t>
      </w:r>
    </w:p>
    <w:p w14:paraId="4F827641">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电</w:t>
      </w:r>
      <w:r>
        <w:rPr>
          <w:rFonts w:ascii="宋体" w:hAnsi="宋体" w:cs="宋体"/>
          <w:highlight w:val="none"/>
        </w:rPr>
        <w:t xml:space="preserve">  </w:t>
      </w:r>
      <w:r>
        <w:rPr>
          <w:rFonts w:hint="eastAsia" w:ascii="宋体" w:hAnsi="宋体" w:cs="宋体"/>
          <w:highlight w:val="none"/>
        </w:rPr>
        <w:t>话：</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电</w:t>
      </w:r>
      <w:r>
        <w:rPr>
          <w:rFonts w:ascii="宋体" w:hAnsi="宋体" w:cs="宋体"/>
          <w:highlight w:val="none"/>
        </w:rPr>
        <w:t xml:space="preserve">  </w:t>
      </w:r>
      <w:r>
        <w:rPr>
          <w:rFonts w:hint="eastAsia" w:ascii="宋体" w:hAnsi="宋体" w:cs="宋体"/>
          <w:highlight w:val="none"/>
        </w:rPr>
        <w:t>话：</w:t>
      </w:r>
      <w:r>
        <w:rPr>
          <w:rFonts w:ascii="MingLiU_HKSCS" w:hAnsi="MingLiU_HKSCS" w:cs="MingLiU_HKSCS"/>
          <w:highlight w:val="none"/>
          <w:u w:val="single"/>
        </w:rPr>
        <w:t xml:space="preserve">                </w:t>
      </w:r>
      <w:r>
        <w:rPr>
          <w:rFonts w:ascii="宋体" w:hAnsi="宋体" w:cs="宋体"/>
          <w:highlight w:val="none"/>
          <w:u w:val="single"/>
        </w:rPr>
        <w:t xml:space="preserve">     </w:t>
      </w:r>
    </w:p>
    <w:p w14:paraId="5EC4D766">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电子信箱：</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电子信箱：</w:t>
      </w:r>
      <w:r>
        <w:rPr>
          <w:rFonts w:ascii="MingLiU_HKSCS" w:hAnsi="MingLiU_HKSCS" w:cs="MingLiU_HKSCS"/>
          <w:highlight w:val="none"/>
          <w:u w:val="single"/>
        </w:rPr>
        <w:t xml:space="preserve">                </w:t>
      </w:r>
      <w:r>
        <w:rPr>
          <w:rFonts w:ascii="宋体" w:hAnsi="宋体" w:cs="宋体"/>
          <w:highlight w:val="none"/>
          <w:u w:val="single"/>
        </w:rPr>
        <w:t xml:space="preserve">   </w:t>
      </w:r>
    </w:p>
    <w:p w14:paraId="44AE34B2">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开户银行：</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开户银行：</w:t>
      </w:r>
      <w:r>
        <w:rPr>
          <w:rFonts w:ascii="MingLiU_HKSCS" w:hAnsi="MingLiU_HKSCS" w:cs="MingLiU_HKSCS"/>
          <w:highlight w:val="none"/>
          <w:u w:val="single"/>
        </w:rPr>
        <w:t xml:space="preserve">                </w:t>
      </w:r>
      <w:r>
        <w:rPr>
          <w:rFonts w:ascii="宋体" w:hAnsi="宋体" w:cs="宋体"/>
          <w:highlight w:val="none"/>
          <w:u w:val="single"/>
        </w:rPr>
        <w:t xml:space="preserve">   </w:t>
      </w:r>
    </w:p>
    <w:p w14:paraId="3BA4A317">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账</w:t>
      </w:r>
      <w:r>
        <w:rPr>
          <w:rFonts w:ascii="宋体" w:hAnsi="宋体" w:cs="宋体"/>
          <w:highlight w:val="none"/>
        </w:rPr>
        <w:t xml:space="preserve">  </w:t>
      </w:r>
      <w:r>
        <w:rPr>
          <w:rFonts w:hint="eastAsia" w:ascii="宋体" w:hAnsi="宋体" w:cs="宋体"/>
          <w:highlight w:val="none"/>
        </w:rPr>
        <w:t>号：</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账</w:t>
      </w:r>
      <w:r>
        <w:rPr>
          <w:rFonts w:ascii="宋体" w:hAnsi="宋体" w:cs="宋体"/>
          <w:highlight w:val="none"/>
        </w:rPr>
        <w:t xml:space="preserve">  </w:t>
      </w:r>
      <w:r>
        <w:rPr>
          <w:rFonts w:hint="eastAsia" w:ascii="宋体" w:hAnsi="宋体" w:cs="宋体"/>
          <w:highlight w:val="none"/>
        </w:rPr>
        <w:t>号：</w:t>
      </w:r>
      <w:r>
        <w:rPr>
          <w:rFonts w:ascii="MingLiU_HKSCS" w:hAnsi="MingLiU_HKSCS" w:cs="MingLiU_HKSCS"/>
          <w:highlight w:val="none"/>
          <w:u w:val="single"/>
        </w:rPr>
        <w:t xml:space="preserve">               </w:t>
      </w:r>
      <w:r>
        <w:rPr>
          <w:rFonts w:ascii="宋体" w:hAnsi="宋体" w:cs="宋体"/>
          <w:highlight w:val="none"/>
          <w:u w:val="single"/>
        </w:rPr>
        <w:t xml:space="preserve">     </w:t>
      </w:r>
    </w:p>
    <w:p w14:paraId="1CE02FE8">
      <w:pPr>
        <w:tabs>
          <w:tab w:val="left" w:pos="4410"/>
        </w:tabs>
        <w:autoSpaceDE w:val="0"/>
        <w:autoSpaceDN w:val="0"/>
        <w:spacing w:line="400" w:lineRule="exact"/>
        <w:rPr>
          <w:rFonts w:ascii="宋体" w:hAnsi="宋体" w:cs="宋体"/>
          <w:b/>
          <w:bCs/>
          <w:highlight w:val="none"/>
        </w:rPr>
      </w:pPr>
      <w:r>
        <w:rPr>
          <w:rFonts w:hint="eastAsia" w:ascii="宋体" w:hAnsi="宋体" w:cs="宋体"/>
          <w:b/>
          <w:bCs/>
          <w:highlight w:val="none"/>
        </w:rPr>
        <w:br w:type="page"/>
      </w:r>
    </w:p>
    <w:p w14:paraId="0152987E">
      <w:pPr>
        <w:keepNext/>
        <w:keepLines/>
        <w:autoSpaceDE w:val="0"/>
        <w:autoSpaceDN w:val="0"/>
        <w:spacing w:line="400" w:lineRule="exact"/>
        <w:jc w:val="center"/>
        <w:rPr>
          <w:rFonts w:hint="eastAsia" w:ascii="黑体" w:hAnsi="黑体" w:cs="黑体"/>
          <w:b/>
          <w:bCs/>
          <w:sz w:val="32"/>
          <w:szCs w:val="32"/>
          <w:highlight w:val="none"/>
        </w:rPr>
      </w:pPr>
      <w:bookmarkStart w:id="52" w:name="_Toc2006"/>
      <w:bookmarkStart w:id="53" w:name="_Toc18205"/>
      <w:bookmarkStart w:id="54" w:name="_Toc21092"/>
      <w:bookmarkStart w:id="55" w:name="_Toc28587"/>
      <w:bookmarkStart w:id="56" w:name="_Toc11636"/>
      <w:bookmarkStart w:id="57" w:name="_Toc351203652"/>
      <w:r>
        <w:rPr>
          <w:rFonts w:hint="eastAsia" w:ascii="黑体" w:hAnsi="黑体" w:cs="黑体"/>
          <w:b/>
          <w:bCs/>
          <w:sz w:val="32"/>
          <w:szCs w:val="32"/>
          <w:highlight w:val="none"/>
        </w:rPr>
        <w:t>第二节  通用合同条款</w:t>
      </w:r>
      <w:bookmarkEnd w:id="52"/>
      <w:bookmarkEnd w:id="53"/>
      <w:bookmarkEnd w:id="54"/>
      <w:bookmarkEnd w:id="55"/>
      <w:bookmarkEnd w:id="56"/>
    </w:p>
    <w:p w14:paraId="4DDD6FE9">
      <w:pPr>
        <w:pStyle w:val="16"/>
        <w:autoSpaceDE w:val="0"/>
        <w:autoSpaceDN w:val="0"/>
        <w:spacing w:line="400" w:lineRule="exact"/>
        <w:rPr>
          <w:rStyle w:val="44"/>
          <w:rFonts w:hint="eastAsia" w:ascii="宋体" w:hAnsi="Courier New" w:eastAsia="宋体" w:cs="宋体"/>
          <w:szCs w:val="24"/>
          <w:highlight w:val="none"/>
        </w:rPr>
      </w:pPr>
      <w:bookmarkStart w:id="58" w:name="_Toc370303518"/>
      <w:bookmarkStart w:id="59" w:name="_Toc369009683"/>
      <w:bookmarkStart w:id="60" w:name="_Toc369008998"/>
    </w:p>
    <w:bookmarkEnd w:id="58"/>
    <w:bookmarkEnd w:id="59"/>
    <w:bookmarkEnd w:id="60"/>
    <w:p w14:paraId="19D21C55">
      <w:pPr>
        <w:pStyle w:val="16"/>
        <w:autoSpaceDE w:val="0"/>
        <w:autoSpaceDN w:val="0"/>
        <w:spacing w:line="400" w:lineRule="exact"/>
        <w:ind w:firstLine="1575" w:firstLineChars="750"/>
        <w:rPr>
          <w:rFonts w:hAnsi="宋体"/>
          <w:highlight w:val="none"/>
        </w:rPr>
      </w:pPr>
      <w:r>
        <w:rPr>
          <w:rFonts w:hint="eastAsia" w:hAnsi="宋体"/>
          <w:highlight w:val="none"/>
        </w:rPr>
        <w:t>详见（SDF—2019—0002）山东省建设工程施工合同（示范文本）</w:t>
      </w:r>
    </w:p>
    <w:p w14:paraId="6660566B">
      <w:pPr>
        <w:autoSpaceDE w:val="0"/>
        <w:autoSpaceDN w:val="0"/>
        <w:spacing w:line="400" w:lineRule="exact"/>
        <w:ind w:firstLine="703" w:firstLineChars="250"/>
        <w:jc w:val="center"/>
        <w:rPr>
          <w:rFonts w:hint="eastAsia" w:ascii="宋体" w:hAnsi="宋体" w:cs="宋体"/>
          <w:b/>
          <w:sz w:val="28"/>
          <w:szCs w:val="28"/>
          <w:highlight w:val="none"/>
        </w:rPr>
      </w:pPr>
    </w:p>
    <w:p w14:paraId="6AEBBEFE">
      <w:pPr>
        <w:keepNext/>
        <w:keepLines/>
        <w:autoSpaceDE w:val="0"/>
        <w:autoSpaceDN w:val="0"/>
        <w:spacing w:line="400" w:lineRule="exact"/>
        <w:jc w:val="center"/>
        <w:rPr>
          <w:rFonts w:hint="eastAsia" w:ascii="黑体" w:hAnsi="黑体" w:cs="黑体"/>
          <w:b/>
          <w:bCs/>
          <w:sz w:val="32"/>
          <w:szCs w:val="32"/>
          <w:highlight w:val="none"/>
        </w:rPr>
      </w:pPr>
      <w:bookmarkStart w:id="61" w:name="_Toc32590"/>
      <w:bookmarkStart w:id="62" w:name="_Toc12828"/>
      <w:bookmarkStart w:id="63" w:name="_Toc29447"/>
      <w:bookmarkStart w:id="64" w:name="_Toc25283"/>
      <w:r>
        <w:rPr>
          <w:rFonts w:hint="eastAsia" w:ascii="黑体" w:hAnsi="黑体" w:cs="黑体"/>
          <w:b/>
          <w:bCs/>
          <w:sz w:val="32"/>
          <w:szCs w:val="32"/>
          <w:highlight w:val="none"/>
        </w:rPr>
        <w:t>第三节 专用条款</w:t>
      </w:r>
      <w:bookmarkEnd w:id="61"/>
      <w:bookmarkEnd w:id="62"/>
      <w:bookmarkEnd w:id="63"/>
      <w:bookmarkEnd w:id="64"/>
    </w:p>
    <w:p w14:paraId="2E8F6C63">
      <w:pPr>
        <w:autoSpaceDE w:val="0"/>
        <w:autoSpaceDN w:val="0"/>
        <w:spacing w:line="400" w:lineRule="exact"/>
        <w:ind w:firstLine="527" w:firstLineChars="250"/>
        <w:rPr>
          <w:rFonts w:hint="eastAsia" w:ascii="宋体" w:hAnsi="宋体" w:cs="宋体"/>
          <w:b/>
          <w:bCs/>
          <w:szCs w:val="21"/>
          <w:highlight w:val="none"/>
        </w:rPr>
      </w:pPr>
      <w:r>
        <w:rPr>
          <w:rFonts w:hint="eastAsia" w:ascii="宋体" w:hAnsi="宋体" w:cs="宋体"/>
          <w:b/>
          <w:bCs/>
          <w:szCs w:val="21"/>
          <w:highlight w:val="none"/>
        </w:rPr>
        <w:t>1</w:t>
      </w:r>
      <w:bookmarkStart w:id="65" w:name="_Toc297120456"/>
      <w:bookmarkStart w:id="66" w:name="_Toc296347155"/>
      <w:bookmarkStart w:id="67" w:name="_Toc292559361"/>
      <w:bookmarkStart w:id="68" w:name="_Toc296890984"/>
      <w:bookmarkStart w:id="69" w:name="_Toc296346657"/>
      <w:bookmarkStart w:id="70" w:name="_Toc297048342"/>
      <w:bookmarkStart w:id="71" w:name="_Toc296944495"/>
      <w:bookmarkStart w:id="72" w:name="_Toc296891196"/>
      <w:bookmarkStart w:id="73" w:name="_Toc292559866"/>
      <w:bookmarkStart w:id="74" w:name="_Toc296503156"/>
      <w:r>
        <w:rPr>
          <w:rFonts w:hint="eastAsia" w:ascii="宋体" w:hAnsi="宋体" w:cs="宋体"/>
          <w:b/>
          <w:bCs/>
          <w:szCs w:val="21"/>
          <w:highlight w:val="none"/>
        </w:rPr>
        <w:t>. 一般约定</w:t>
      </w:r>
    </w:p>
    <w:bookmarkEnd w:id="65"/>
    <w:bookmarkEnd w:id="66"/>
    <w:bookmarkEnd w:id="67"/>
    <w:bookmarkEnd w:id="68"/>
    <w:bookmarkEnd w:id="69"/>
    <w:bookmarkEnd w:id="70"/>
    <w:bookmarkEnd w:id="71"/>
    <w:bookmarkEnd w:id="72"/>
    <w:bookmarkEnd w:id="73"/>
    <w:bookmarkEnd w:id="74"/>
    <w:p w14:paraId="08E8F80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 词语定义</w:t>
      </w:r>
    </w:p>
    <w:p w14:paraId="36311BF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1.1.1合同</w:t>
      </w:r>
    </w:p>
    <w:p w14:paraId="43F4B83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1.1.1.10其他合同文件包括：</w:t>
      </w:r>
      <w:r>
        <w:rPr>
          <w:rFonts w:hint="eastAsia" w:ascii="宋体" w:hAnsi="宋体" w:cs="宋体"/>
          <w:b/>
          <w:szCs w:val="21"/>
          <w:highlight w:val="none"/>
          <w:u w:val="single"/>
        </w:rPr>
        <w:t>在合同订立及履行过程中形成的与合同有关的文件均构成合同文件组成部分；合同当事人就该项合同文件所作出的补充和修改，且已经过合同当事人签字或盖章。</w:t>
      </w:r>
    </w:p>
    <w:p w14:paraId="7CCE864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1.1.2 合同当事人及其他相关方</w:t>
      </w:r>
    </w:p>
    <w:p w14:paraId="75C95DF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 工程和设备</w:t>
      </w:r>
    </w:p>
    <w:p w14:paraId="54F57333">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1.1.3.7 作为施工现场组成部分的其他场所包括：</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103F373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1.1.3.9 永久占地包括：</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05ECDF0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1.1.3.10 临时占地包括：</w:t>
      </w:r>
      <w:r>
        <w:rPr>
          <w:rFonts w:hint="eastAsia" w:ascii="宋体" w:hAnsi="宋体" w:cs="宋体"/>
          <w:szCs w:val="21"/>
          <w:highlight w:val="none"/>
          <w:u w:val="single"/>
        </w:rPr>
        <w:t xml:space="preserve"> /   </w:t>
      </w:r>
      <w:r>
        <w:rPr>
          <w:rFonts w:hint="eastAsia" w:ascii="宋体" w:hAnsi="宋体" w:cs="宋体"/>
          <w:szCs w:val="21"/>
          <w:highlight w:val="none"/>
        </w:rPr>
        <w:t>。</w:t>
      </w:r>
    </w:p>
    <w:p w14:paraId="107EF2F7">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 xml:space="preserve">1.3法律 </w:t>
      </w:r>
    </w:p>
    <w:p w14:paraId="44297BA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适用于合同的其他规范性文件：</w:t>
      </w:r>
      <w:r>
        <w:rPr>
          <w:rFonts w:hint="eastAsia" w:ascii="宋体" w:hAnsi="宋体" w:cs="宋体"/>
          <w:b/>
          <w:szCs w:val="21"/>
          <w:highlight w:val="none"/>
          <w:u w:val="single"/>
        </w:rPr>
        <w:t>《中华人民共和国民法典》、《中华人民共和国建筑法》、《中华人民共和国招标投标法》、《中华人民共和国招标投标法实施条例》、《建设工程质量管理条例》、《建筑工程施工发包与承包计价管理办法》、《山东省建筑安全生产管理规定》等及相关法律、法规、规定。</w:t>
      </w:r>
      <w:r>
        <w:rPr>
          <w:rFonts w:hint="eastAsia" w:ascii="宋体" w:hAnsi="宋体" w:cs="宋体"/>
          <w:szCs w:val="21"/>
          <w:highlight w:val="none"/>
          <w:u w:val="single"/>
        </w:rPr>
        <w:t xml:space="preserve">   </w:t>
      </w:r>
    </w:p>
    <w:p w14:paraId="1B2C84F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1.4 标准和规范</w:t>
      </w:r>
    </w:p>
    <w:p w14:paraId="71202612">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1.4.1适用于工程的标准规范包括：</w:t>
      </w:r>
      <w:r>
        <w:rPr>
          <w:rFonts w:hint="eastAsia" w:ascii="宋体" w:hAnsi="宋体" w:cs="宋体"/>
          <w:b/>
          <w:szCs w:val="21"/>
          <w:highlight w:val="none"/>
          <w:u w:val="single"/>
        </w:rPr>
        <w:t xml:space="preserve">国家现行标准、规范；没有国家标准、规范但有行业标准、规范的，使用行业标准、规范；没有国家和行业标准、规范的，使用山东省标准、规范。   </w:t>
      </w:r>
    </w:p>
    <w:p w14:paraId="28AB008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1.4.2 发包人提供国外标准、规范的名称：</w:t>
      </w:r>
      <w:r>
        <w:rPr>
          <w:rFonts w:hint="eastAsia" w:ascii="宋体" w:hAnsi="宋体" w:cs="宋体"/>
          <w:b/>
          <w:szCs w:val="21"/>
          <w:highlight w:val="none"/>
          <w:u w:val="single"/>
        </w:rPr>
        <w:t xml:space="preserve">  发包人不负责向承包人提供各类标准、规范，由承包人自行解决。   </w:t>
      </w:r>
    </w:p>
    <w:p w14:paraId="6E147BD7">
      <w:pPr>
        <w:autoSpaceDE w:val="0"/>
        <w:autoSpaceDN w:val="0"/>
        <w:spacing w:line="400" w:lineRule="exact"/>
        <w:ind w:firstLine="525" w:firstLineChars="250"/>
        <w:rPr>
          <w:rFonts w:hint="eastAsia" w:ascii="宋体" w:hAnsi="宋体" w:cs="宋体"/>
          <w:b/>
          <w:kern w:val="0"/>
          <w:szCs w:val="21"/>
          <w:highlight w:val="none"/>
        </w:rPr>
      </w:pPr>
      <w:r>
        <w:rPr>
          <w:rFonts w:hint="eastAsia" w:ascii="宋体" w:hAnsi="宋体" w:cs="宋体"/>
          <w:szCs w:val="21"/>
          <w:highlight w:val="none"/>
        </w:rPr>
        <w:t>1.4.3发包人对工程的技术标准和功能要求的特殊要求：</w:t>
      </w:r>
      <w:r>
        <w:rPr>
          <w:rFonts w:hint="eastAsia" w:ascii="宋体" w:hAnsi="宋体" w:cs="宋体"/>
          <w:b/>
          <w:szCs w:val="21"/>
          <w:highlight w:val="none"/>
          <w:u w:val="single"/>
        </w:rPr>
        <w:t xml:space="preserve">  由发包人委托设计单位提出标准及规范，经工程师确认后执行。</w:t>
      </w:r>
      <w:r>
        <w:rPr>
          <w:rFonts w:hint="eastAsia" w:ascii="宋体" w:hAnsi="宋体" w:cs="宋体"/>
          <w:b/>
          <w:kern w:val="0"/>
          <w:szCs w:val="21"/>
          <w:highlight w:val="none"/>
        </w:rPr>
        <w:t>现行的国家、行业及地方有关标准、规范，与发包人或设计技术条款要求不一致时，采用较严格标准，合同价款和工期视为已包括执行较严格标准所需之全部费用和工期。</w:t>
      </w:r>
    </w:p>
    <w:p w14:paraId="6C04C6DD">
      <w:pPr>
        <w:autoSpaceDE w:val="0"/>
        <w:autoSpaceDN w:val="0"/>
        <w:adjustRightInd w:val="0"/>
        <w:spacing w:line="400" w:lineRule="exact"/>
        <w:ind w:firstLine="527" w:firstLineChars="250"/>
        <w:jc w:val="left"/>
        <w:rPr>
          <w:rFonts w:hint="eastAsia" w:ascii="宋体" w:hAnsi="宋体" w:cs="宋体"/>
          <w:b/>
          <w:kern w:val="0"/>
          <w:szCs w:val="21"/>
          <w:highlight w:val="none"/>
        </w:rPr>
      </w:pPr>
      <w:r>
        <w:rPr>
          <w:rFonts w:hint="eastAsia" w:ascii="宋体" w:hAnsi="宋体" w:cs="宋体"/>
          <w:b/>
          <w:kern w:val="0"/>
          <w:szCs w:val="21"/>
          <w:highlight w:val="none"/>
        </w:rPr>
        <w:t>1.4.4 若现行标准、规范不能完全满足本工程施工需要，发包人将参照近期同类项目制定标准、规范，或将由发包人组织专家论证制定标准、规范报政府有关部门批准后执行。承包人须承担由此导致的一切风险和费用损失。</w:t>
      </w:r>
    </w:p>
    <w:p w14:paraId="79AA6429">
      <w:pPr>
        <w:autoSpaceDE w:val="0"/>
        <w:autoSpaceDN w:val="0"/>
        <w:adjustRightInd w:val="0"/>
        <w:spacing w:line="400" w:lineRule="exact"/>
        <w:ind w:firstLine="422" w:firstLineChars="200"/>
        <w:jc w:val="left"/>
        <w:rPr>
          <w:rFonts w:hint="eastAsia" w:ascii="宋体" w:hAnsi="宋体" w:cs="宋体"/>
          <w:b/>
          <w:kern w:val="0"/>
          <w:szCs w:val="21"/>
          <w:highlight w:val="none"/>
        </w:rPr>
      </w:pPr>
      <w:r>
        <w:rPr>
          <w:rFonts w:hint="eastAsia" w:ascii="宋体" w:hAnsi="宋体" w:cs="宋体"/>
          <w:b/>
          <w:kern w:val="0"/>
          <w:szCs w:val="21"/>
          <w:highlight w:val="none"/>
        </w:rPr>
        <w:t>1.4.5当合同期内发生相关标准、规范变更或修改的，按国家有关规定执行。</w:t>
      </w:r>
    </w:p>
    <w:p w14:paraId="1FDBC145">
      <w:pPr>
        <w:autoSpaceDE w:val="0"/>
        <w:autoSpaceDN w:val="0"/>
        <w:adjustRightInd w:val="0"/>
        <w:spacing w:line="400" w:lineRule="exact"/>
        <w:ind w:firstLine="422" w:firstLineChars="200"/>
        <w:jc w:val="left"/>
        <w:rPr>
          <w:rFonts w:hint="eastAsia" w:ascii="宋体" w:hAnsi="宋体" w:cs="宋体"/>
          <w:b/>
          <w:kern w:val="0"/>
          <w:szCs w:val="21"/>
          <w:highlight w:val="none"/>
        </w:rPr>
      </w:pPr>
      <w:r>
        <w:rPr>
          <w:rFonts w:hint="eastAsia" w:ascii="宋体" w:hAnsi="宋体" w:cs="宋体"/>
          <w:b/>
          <w:kern w:val="0"/>
          <w:szCs w:val="21"/>
          <w:highlight w:val="none"/>
        </w:rPr>
        <w:t>1.4.6本工程所说明的工程规范亦包括设计说明、施工说明及做法说明和要求等。</w:t>
      </w:r>
    </w:p>
    <w:p w14:paraId="09AB32CC">
      <w:pPr>
        <w:autoSpaceDE w:val="0"/>
        <w:autoSpaceDN w:val="0"/>
        <w:adjustRightInd w:val="0"/>
        <w:spacing w:line="400" w:lineRule="exact"/>
        <w:ind w:firstLine="422" w:firstLineChars="200"/>
        <w:jc w:val="left"/>
        <w:rPr>
          <w:rFonts w:hint="eastAsia" w:ascii="宋体" w:hAnsi="宋体" w:cs="宋体"/>
          <w:b/>
          <w:kern w:val="0"/>
          <w:szCs w:val="21"/>
          <w:highlight w:val="none"/>
        </w:rPr>
      </w:pPr>
      <w:r>
        <w:rPr>
          <w:rFonts w:hint="eastAsia" w:ascii="宋体" w:hAnsi="宋体" w:cs="宋体"/>
          <w:b/>
          <w:kern w:val="0"/>
          <w:szCs w:val="21"/>
          <w:highlight w:val="none"/>
        </w:rPr>
        <w:t>1.4.7本工程所说明的工程适用的法律、标准与规范按政府颁布的最新文件和最新规定执行。</w:t>
      </w:r>
    </w:p>
    <w:p w14:paraId="43D581D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1.5 合同文件的优先顺序</w:t>
      </w:r>
    </w:p>
    <w:p w14:paraId="724D684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合同文件组成及优先顺序为：</w:t>
      </w:r>
      <w:r>
        <w:rPr>
          <w:rFonts w:hint="eastAsia" w:ascii="宋体" w:hAnsi="宋体" w:cs="宋体"/>
          <w:b/>
          <w:szCs w:val="21"/>
          <w:highlight w:val="none"/>
          <w:u w:val="single"/>
        </w:rPr>
        <w:t xml:space="preserve">  （1）合同协议书；（2）中标通知书；（3）投标函及投标函附录；（4）承诺书；（5）专用合同条款；（6）通用合同条款；（7）技术标准和要求；（8）图纸；（9）已标价工程量清单；(10)在合同订立及履行过程中形成经双方当事人签字或盖章的补充协议、设计变更及经济签证等资料，同一类内容的文件，应以最新签署的为准。   </w:t>
      </w:r>
    </w:p>
    <w:p w14:paraId="03E7A47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1.6 图纸和承包人文件</w:t>
      </w:r>
      <w:r>
        <w:rPr>
          <w:rFonts w:hint="eastAsia" w:ascii="宋体" w:hAnsi="宋体" w:cs="宋体"/>
          <w:szCs w:val="21"/>
          <w:highlight w:val="none"/>
        </w:rPr>
        <w:tab/>
      </w:r>
    </w:p>
    <w:p w14:paraId="61F754C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1.6.1 图纸的提供</w:t>
      </w:r>
    </w:p>
    <w:p w14:paraId="01936257">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发包人向承包人提供图纸的期限：</w:t>
      </w:r>
      <w:r>
        <w:rPr>
          <w:rFonts w:hint="eastAsia" w:ascii="宋体" w:hAnsi="宋体" w:cs="宋体"/>
          <w:b/>
          <w:szCs w:val="21"/>
          <w:highlight w:val="none"/>
          <w:u w:val="single"/>
        </w:rPr>
        <w:t>发包人于合同签订之日起7日内向承包人提供工程施工图纸；</w:t>
      </w:r>
    </w:p>
    <w:p w14:paraId="2A6FCC54">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发包人向承包人提供图纸的数量：</w:t>
      </w:r>
      <w:r>
        <w:rPr>
          <w:rFonts w:hint="eastAsia" w:ascii="宋体" w:hAnsi="宋体" w:cs="宋体"/>
          <w:b/>
          <w:szCs w:val="21"/>
          <w:highlight w:val="none"/>
          <w:u w:val="single"/>
        </w:rPr>
        <w:t xml:space="preserve">   2套蓝图，1套电子版图纸；</w:t>
      </w:r>
    </w:p>
    <w:p w14:paraId="51826F08">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发包人向承包人提供图纸的内容：</w:t>
      </w:r>
      <w:r>
        <w:rPr>
          <w:rFonts w:hint="eastAsia" w:ascii="宋体" w:hAnsi="宋体" w:cs="宋体"/>
          <w:b/>
          <w:szCs w:val="21"/>
          <w:highlight w:val="none"/>
          <w:u w:val="single"/>
        </w:rPr>
        <w:t>承包范围内的全部内容。</w:t>
      </w:r>
    </w:p>
    <w:p w14:paraId="168F19B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1.6.4 承包人文件</w:t>
      </w:r>
    </w:p>
    <w:p w14:paraId="177F7804">
      <w:pPr>
        <w:autoSpaceDE w:val="0"/>
        <w:autoSpaceDN w:val="0"/>
        <w:spacing w:line="400" w:lineRule="exact"/>
        <w:ind w:firstLine="420" w:firstLineChars="200"/>
        <w:rPr>
          <w:rFonts w:hint="eastAsia" w:ascii="宋体" w:hAnsi="宋体" w:cs="宋体"/>
          <w:b/>
          <w:szCs w:val="21"/>
          <w:highlight w:val="none"/>
          <w:u w:val="single"/>
        </w:rPr>
      </w:pPr>
      <w:r>
        <w:rPr>
          <w:rFonts w:hint="eastAsia" w:ascii="宋体" w:hAnsi="宋体" w:cs="宋体"/>
          <w:szCs w:val="21"/>
          <w:highlight w:val="none"/>
        </w:rPr>
        <w:t>需要由承包人提供的文件，包括：</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工程需要的施工组织设计及相关文件，相关部门要求提供的其它文件。 </w:t>
      </w:r>
    </w:p>
    <w:p w14:paraId="398A022D">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承包人提供的文件的期限为：</w:t>
      </w:r>
      <w:r>
        <w:rPr>
          <w:rFonts w:hint="eastAsia" w:ascii="宋体" w:hAnsi="宋体" w:cs="宋体"/>
          <w:b/>
          <w:szCs w:val="21"/>
          <w:highlight w:val="none"/>
          <w:u w:val="single"/>
        </w:rPr>
        <w:t>根据需要的合理期限内。</w:t>
      </w:r>
    </w:p>
    <w:p w14:paraId="2B670C73">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承包人提供的文件的数量为：</w:t>
      </w:r>
      <w:r>
        <w:rPr>
          <w:rFonts w:hint="eastAsia" w:ascii="宋体" w:hAnsi="宋体" w:cs="宋体"/>
          <w:b/>
          <w:szCs w:val="21"/>
          <w:highlight w:val="none"/>
          <w:u w:val="single"/>
        </w:rPr>
        <w:t>根据各种文件需要的合理份数。</w:t>
      </w:r>
    </w:p>
    <w:p w14:paraId="17DCFF06">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承包人提供的文件的形式为：</w:t>
      </w:r>
      <w:r>
        <w:rPr>
          <w:rFonts w:hint="eastAsia" w:ascii="宋体" w:hAnsi="宋体" w:cs="宋体"/>
          <w:b/>
          <w:szCs w:val="21"/>
          <w:highlight w:val="none"/>
          <w:u w:val="single"/>
        </w:rPr>
        <w:t>书面文件加电子文档。</w:t>
      </w:r>
    </w:p>
    <w:p w14:paraId="16637317">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发包人审批承包人文件的期限：</w:t>
      </w:r>
      <w:r>
        <w:rPr>
          <w:rFonts w:hint="eastAsia" w:ascii="宋体" w:hAnsi="宋体" w:cs="宋体"/>
          <w:b/>
          <w:szCs w:val="21"/>
          <w:highlight w:val="none"/>
          <w:u w:val="single"/>
        </w:rPr>
        <w:t>发包人于1周内审批完承包人提供的文件，如有特殊情况顺延。</w:t>
      </w:r>
    </w:p>
    <w:p w14:paraId="015C6AB6">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1.6.5 现场图纸准备</w:t>
      </w:r>
    </w:p>
    <w:p w14:paraId="1F0C658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关于现场图纸准备的约定：</w:t>
      </w:r>
      <w:r>
        <w:rPr>
          <w:rFonts w:hint="eastAsia" w:ascii="宋体" w:hAnsi="宋体" w:cs="宋体"/>
          <w:b/>
          <w:szCs w:val="21"/>
          <w:highlight w:val="none"/>
          <w:u w:val="single"/>
        </w:rPr>
        <w:t>现场办公室需存放图纸，供发包人、承包人使用。</w:t>
      </w:r>
    </w:p>
    <w:p w14:paraId="7353422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1.7 联络</w:t>
      </w:r>
    </w:p>
    <w:p w14:paraId="47413F9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1.7.1发包人和承包人应当在</w:t>
      </w:r>
      <w:r>
        <w:rPr>
          <w:rFonts w:hint="eastAsia" w:ascii="宋体" w:hAnsi="宋体" w:cs="宋体"/>
          <w:b/>
          <w:szCs w:val="21"/>
          <w:highlight w:val="none"/>
          <w:u w:val="single"/>
        </w:rPr>
        <w:t>3</w:t>
      </w:r>
      <w:r>
        <w:rPr>
          <w:rFonts w:hint="eastAsia" w:ascii="宋体" w:hAnsi="宋体" w:cs="宋体"/>
          <w:szCs w:val="21"/>
          <w:highlight w:val="none"/>
        </w:rPr>
        <w:t>天内将与合同有关的通知、批准、证明、证书、指示、指令、要求、请求、同意、意见、确定和决定等书面函件送达对方当事人。</w:t>
      </w:r>
    </w:p>
    <w:p w14:paraId="671004CD">
      <w:pPr>
        <w:autoSpaceDE w:val="0"/>
        <w:autoSpaceDN w:val="0"/>
        <w:spacing w:line="400" w:lineRule="exact"/>
        <w:ind w:firstLine="525" w:firstLineChars="250"/>
        <w:rPr>
          <w:rFonts w:ascii="宋体" w:hAnsi="宋体" w:cs="宋体"/>
          <w:b/>
          <w:szCs w:val="21"/>
          <w:highlight w:val="none"/>
        </w:rPr>
      </w:pPr>
      <w:r>
        <w:rPr>
          <w:rFonts w:hint="eastAsia" w:ascii="宋体" w:hAnsi="宋体" w:cs="宋体"/>
          <w:szCs w:val="21"/>
          <w:highlight w:val="none"/>
        </w:rPr>
        <w:t>1.7.2 发包人接收文件的地点：</w:t>
      </w:r>
      <w:r>
        <w:rPr>
          <w:rFonts w:hint="eastAsia" w:ascii="宋体" w:hAnsi="宋体" w:cs="宋体"/>
          <w:b/>
          <w:bCs/>
          <w:szCs w:val="21"/>
          <w:highlight w:val="none"/>
          <w:u w:val="single"/>
        </w:rPr>
        <w:t xml:space="preserve">         </w:t>
      </w:r>
    </w:p>
    <w:p w14:paraId="6ACB564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发包人指定的接收人为：</w:t>
      </w:r>
      <w:r>
        <w:rPr>
          <w:rFonts w:hint="eastAsia" w:ascii="宋体" w:hAnsi="宋体" w:cs="宋体"/>
          <w:szCs w:val="21"/>
          <w:highlight w:val="none"/>
          <w:u w:val="single"/>
        </w:rPr>
        <w:t xml:space="preserve">        </w:t>
      </w:r>
      <w:r>
        <w:rPr>
          <w:rFonts w:hint="eastAsia" w:ascii="宋体" w:hAnsi="宋体" w:cs="宋体"/>
          <w:szCs w:val="21"/>
          <w:highlight w:val="none"/>
        </w:rPr>
        <w:t>。</w:t>
      </w:r>
    </w:p>
    <w:p w14:paraId="0169672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承包人接收文件的地点：</w:t>
      </w:r>
      <w:r>
        <w:rPr>
          <w:rFonts w:hint="eastAsia" w:ascii="宋体" w:hAnsi="宋体" w:cs="宋体"/>
          <w:b/>
          <w:szCs w:val="21"/>
          <w:highlight w:val="none"/>
          <w:u w:val="single"/>
        </w:rPr>
        <w:t xml:space="preserve">         </w:t>
      </w:r>
      <w:r>
        <w:rPr>
          <w:rFonts w:hint="eastAsia" w:ascii="宋体" w:hAnsi="宋体" w:cs="宋体"/>
          <w:b/>
          <w:szCs w:val="21"/>
          <w:highlight w:val="none"/>
        </w:rPr>
        <w:t>；</w:t>
      </w:r>
    </w:p>
    <w:p w14:paraId="74D6A1D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承包人指定的接收人为：</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    </w:t>
      </w:r>
      <w:r>
        <w:rPr>
          <w:rFonts w:hint="eastAsia" w:ascii="宋体" w:hAnsi="宋体" w:cs="宋体"/>
          <w:szCs w:val="21"/>
          <w:highlight w:val="none"/>
          <w:u w:val="single"/>
        </w:rPr>
        <w:t xml:space="preserve"> </w:t>
      </w:r>
      <w:r>
        <w:rPr>
          <w:rFonts w:hint="eastAsia" w:ascii="宋体" w:hAnsi="宋体" w:cs="宋体"/>
          <w:szCs w:val="21"/>
          <w:highlight w:val="none"/>
        </w:rPr>
        <w:t>。</w:t>
      </w:r>
    </w:p>
    <w:p w14:paraId="1381A0A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1.10 交通运输</w:t>
      </w:r>
    </w:p>
    <w:p w14:paraId="7803B3FA">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w:t>
      </w:r>
      <w:bookmarkStart w:id="75" w:name="_Toc312677986"/>
      <w:bookmarkStart w:id="76" w:name="_Toc318581155"/>
      <w:bookmarkStart w:id="77" w:name="_Toc300934943"/>
      <w:bookmarkStart w:id="78" w:name="_Toc304295521"/>
      <w:bookmarkStart w:id="79" w:name="_Toc303539100"/>
      <w:r>
        <w:rPr>
          <w:rFonts w:hint="eastAsia" w:ascii="宋体" w:hAnsi="宋体" w:cs="宋体"/>
          <w:szCs w:val="21"/>
          <w:highlight w:val="none"/>
        </w:rPr>
        <w:t>.10.1 出入现场的权利</w:t>
      </w:r>
    </w:p>
    <w:bookmarkEnd w:id="75"/>
    <w:bookmarkEnd w:id="76"/>
    <w:bookmarkEnd w:id="77"/>
    <w:bookmarkEnd w:id="78"/>
    <w:bookmarkEnd w:id="79"/>
    <w:p w14:paraId="3FDF6C5D">
      <w:pPr>
        <w:autoSpaceDE w:val="0"/>
        <w:autoSpaceDN w:val="0"/>
        <w:adjustRightInd w:val="0"/>
        <w:spacing w:line="400" w:lineRule="exact"/>
        <w:ind w:firstLine="422" w:firstLineChars="200"/>
        <w:jc w:val="left"/>
        <w:rPr>
          <w:rFonts w:hint="eastAsia" w:ascii="宋体" w:hAnsi="宋体" w:cs="宋体"/>
          <w:szCs w:val="21"/>
          <w:highlight w:val="none"/>
        </w:rPr>
      </w:pPr>
      <w:r>
        <w:rPr>
          <w:rFonts w:hint="eastAsia" w:ascii="宋体" w:hAnsi="宋体" w:cs="宋体"/>
          <w:b/>
          <w:szCs w:val="21"/>
          <w:highlight w:val="none"/>
          <w:u w:val="single"/>
        </w:rPr>
        <w:t xml:space="preserve">  承包人不得将用于本工程的材料设备等私自运出。</w:t>
      </w:r>
      <w:r>
        <w:rPr>
          <w:rFonts w:hint="eastAsia" w:ascii="宋体" w:hAnsi="宋体" w:cs="宋体"/>
          <w:kern w:val="0"/>
          <w:szCs w:val="21"/>
          <w:highlight w:val="none"/>
          <w:u w:val="single"/>
        </w:rPr>
        <w:t>由承包人按发包人要求负责取得出入施工现场所需的批准手续和全部权利，以及取得因施工所需修建的临时道路、桥梁以及其他基础设施的权利，并承担相关手续费用和建设费用。</w:t>
      </w:r>
    </w:p>
    <w:p w14:paraId="7E4AECE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w:t>
      </w:r>
      <w:bookmarkStart w:id="80" w:name="_Toc304295522"/>
      <w:bookmarkStart w:id="81" w:name="_Toc303539101"/>
      <w:bookmarkStart w:id="82" w:name="_Toc300934944"/>
      <w:bookmarkStart w:id="83" w:name="_Toc312677987"/>
      <w:bookmarkStart w:id="84" w:name="_Toc318581156"/>
      <w:r>
        <w:rPr>
          <w:rFonts w:hint="eastAsia" w:ascii="宋体" w:hAnsi="宋体" w:cs="宋体"/>
          <w:szCs w:val="21"/>
          <w:highlight w:val="none"/>
        </w:rPr>
        <w:t>.10.3 场内交通</w:t>
      </w:r>
    </w:p>
    <w:bookmarkEnd w:id="80"/>
    <w:bookmarkEnd w:id="81"/>
    <w:bookmarkEnd w:id="82"/>
    <w:bookmarkEnd w:id="83"/>
    <w:bookmarkEnd w:id="84"/>
    <w:p w14:paraId="484ACF97">
      <w:pPr>
        <w:autoSpaceDE w:val="0"/>
        <w:autoSpaceDN w:val="0"/>
        <w:spacing w:line="400" w:lineRule="exact"/>
        <w:ind w:firstLine="525" w:firstLineChars="250"/>
        <w:rPr>
          <w:rFonts w:hint="eastAsia" w:ascii="宋体" w:hAnsi="宋体" w:cs="宋体"/>
          <w:szCs w:val="21"/>
          <w:highlight w:val="none"/>
        </w:rPr>
      </w:pPr>
      <w:bookmarkStart w:id="85" w:name="_Toc318581157"/>
      <w:r>
        <w:rPr>
          <w:rFonts w:hint="eastAsia" w:ascii="宋体" w:hAnsi="宋体" w:cs="宋体"/>
          <w:szCs w:val="21"/>
          <w:highlight w:val="none"/>
        </w:rPr>
        <w:t>关于场外交通和场内交通的边界的约定：</w:t>
      </w:r>
      <w:r>
        <w:rPr>
          <w:rFonts w:hint="eastAsia" w:ascii="宋体" w:hAnsi="宋体" w:cs="宋体"/>
          <w:b/>
          <w:szCs w:val="21"/>
          <w:highlight w:val="none"/>
          <w:u w:val="single"/>
        </w:rPr>
        <w:t xml:space="preserve">  施工出入口为场外交通和场内交通的边界。   </w:t>
      </w:r>
    </w:p>
    <w:p w14:paraId="508E28E1">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szCs w:val="21"/>
          <w:highlight w:val="none"/>
        </w:rPr>
        <w:t>关于发包人向承包人免费提供满足工程施工需要的场内道路和交通设施的约定：</w:t>
      </w:r>
      <w:r>
        <w:rPr>
          <w:rFonts w:hint="eastAsia" w:ascii="宋体" w:hAnsi="宋体" w:cs="宋体"/>
          <w:kern w:val="0"/>
          <w:szCs w:val="21"/>
          <w:highlight w:val="none"/>
          <w:u w:val="single"/>
        </w:rPr>
        <w:t></w:t>
      </w:r>
      <w:r>
        <w:rPr>
          <w:rFonts w:hint="eastAsia" w:ascii="宋体" w:hAnsi="宋体" w:cs="宋体"/>
          <w:szCs w:val="21"/>
          <w:highlight w:val="none"/>
          <w:u w:val="single"/>
        </w:rPr>
        <w:t>发包人不再对施工场地进行修整，承包人对场地的自行踏勘视为其已了解并接受施工场地现状，若需修整，由承包人自行解决，费用自理，工期不予补偿</w:t>
      </w:r>
      <w:r>
        <w:rPr>
          <w:rFonts w:hint="eastAsia" w:ascii="宋体" w:hAnsi="宋体" w:cs="宋体"/>
          <w:kern w:val="0"/>
          <w:szCs w:val="21"/>
          <w:highlight w:val="none"/>
        </w:rPr>
        <w:t>。</w:t>
      </w:r>
    </w:p>
    <w:p w14:paraId="1D6226FF">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施工场地与公共道路的通道视为已开通，若承包人认为需增加设施，则由承包人自行解决，费用自行承担，工期不予补偿。</w:t>
      </w:r>
      <w:r>
        <w:rPr>
          <w:rFonts w:hint="eastAsia" w:ascii="宋体" w:hAnsi="宋体" w:cs="宋体"/>
          <w:b/>
          <w:szCs w:val="21"/>
          <w:highlight w:val="none"/>
          <w:u w:val="single"/>
        </w:rPr>
        <w:t xml:space="preserve"> </w:t>
      </w:r>
      <w:r>
        <w:rPr>
          <w:rFonts w:hint="eastAsia" w:ascii="宋体" w:hAnsi="宋体" w:cs="宋体"/>
          <w:szCs w:val="21"/>
          <w:highlight w:val="none"/>
          <w:u w:val="single"/>
        </w:rPr>
        <w:t xml:space="preserve"> </w:t>
      </w:r>
    </w:p>
    <w:p w14:paraId="1C59545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1.10.4超大件和超重件的运输</w:t>
      </w:r>
    </w:p>
    <w:p w14:paraId="301DB0D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运输超大件或超重件所需的道路和桥梁临时加固改造费用和其他有关费用由</w:t>
      </w:r>
      <w:r>
        <w:rPr>
          <w:rFonts w:hint="eastAsia" w:ascii="宋体" w:hAnsi="宋体" w:cs="宋体"/>
          <w:b/>
          <w:szCs w:val="21"/>
          <w:highlight w:val="none"/>
          <w:u w:val="single"/>
        </w:rPr>
        <w:t xml:space="preserve"> 承包人 </w:t>
      </w:r>
      <w:r>
        <w:rPr>
          <w:rFonts w:hint="eastAsia" w:ascii="宋体" w:hAnsi="宋体" w:cs="宋体"/>
          <w:szCs w:val="21"/>
          <w:highlight w:val="none"/>
          <w:u w:val="single"/>
        </w:rPr>
        <w:t xml:space="preserve"> </w:t>
      </w:r>
      <w:r>
        <w:rPr>
          <w:rFonts w:hint="eastAsia" w:ascii="宋体" w:hAnsi="宋体" w:cs="宋体"/>
          <w:szCs w:val="21"/>
          <w:highlight w:val="none"/>
        </w:rPr>
        <w:t>承担。</w:t>
      </w:r>
    </w:p>
    <w:bookmarkEnd w:id="85"/>
    <w:p w14:paraId="5F97DA2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 知识产权</w:t>
      </w:r>
    </w:p>
    <w:p w14:paraId="47654DB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cs="宋体"/>
          <w:b/>
          <w:szCs w:val="21"/>
          <w:highlight w:val="none"/>
          <w:u w:val="single"/>
        </w:rPr>
        <w:t xml:space="preserve">发包人。  </w:t>
      </w:r>
    </w:p>
    <w:p w14:paraId="682E7619">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关于发包人提供的上述文件的使用限制的要求：</w:t>
      </w:r>
      <w:r>
        <w:rPr>
          <w:rFonts w:hint="eastAsia" w:ascii="宋体" w:hAnsi="宋体" w:cs="宋体"/>
          <w:b/>
          <w:szCs w:val="21"/>
          <w:highlight w:val="none"/>
          <w:u w:val="single"/>
        </w:rPr>
        <w:t>未经发包人许可，承包人不得用于其它工程或转给第三方。</w:t>
      </w:r>
    </w:p>
    <w:p w14:paraId="65F13AF6">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1.11.2 关于承包人为实施工程所编制文件的著作权的归属：</w:t>
      </w:r>
      <w:r>
        <w:rPr>
          <w:rFonts w:hint="eastAsia" w:ascii="宋体" w:hAnsi="宋体" w:cs="宋体"/>
          <w:b/>
          <w:szCs w:val="21"/>
          <w:highlight w:val="none"/>
          <w:u w:val="single"/>
        </w:rPr>
        <w:t>发包人。</w:t>
      </w:r>
    </w:p>
    <w:p w14:paraId="029E0468">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关于承包人提供的上述文件的使用限制的要求：</w:t>
      </w:r>
      <w:r>
        <w:rPr>
          <w:rFonts w:hint="eastAsia" w:ascii="宋体" w:hAnsi="宋体" w:cs="宋体"/>
          <w:b/>
          <w:szCs w:val="21"/>
          <w:highlight w:val="none"/>
          <w:u w:val="single"/>
        </w:rPr>
        <w:t>未经发包人许可，承包人不得用于其它工程或转给第三方。</w:t>
      </w:r>
    </w:p>
    <w:p w14:paraId="539BFFD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1.11.4 承包人在施工过程中所采用的专利、专有技术、技术秘密的使用费的承担方式：</w:t>
      </w:r>
      <w:r>
        <w:rPr>
          <w:rFonts w:hint="eastAsia" w:ascii="宋体" w:hAnsi="宋体" w:cs="宋体"/>
          <w:b/>
          <w:szCs w:val="21"/>
          <w:highlight w:val="none"/>
          <w:u w:val="single"/>
        </w:rPr>
        <w:t>由承包人承担。</w:t>
      </w:r>
    </w:p>
    <w:p w14:paraId="4C4BC86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1.13工程量清单错误的修正</w:t>
      </w:r>
    </w:p>
    <w:p w14:paraId="3FE7A985">
      <w:pPr>
        <w:autoSpaceDE w:val="0"/>
        <w:autoSpaceDN w:val="0"/>
        <w:spacing w:line="400" w:lineRule="exact"/>
        <w:ind w:firstLine="525" w:firstLineChars="250"/>
        <w:rPr>
          <w:rFonts w:hint="eastAsia" w:ascii="宋体" w:hAnsi="宋体" w:cs="宋体"/>
          <w:szCs w:val="21"/>
          <w:highlight w:val="none"/>
        </w:rPr>
      </w:pPr>
      <w:bookmarkStart w:id="86" w:name="_Toc351203634"/>
      <w:bookmarkStart w:id="87" w:name="_Toc371167936"/>
      <w:r>
        <w:rPr>
          <w:rFonts w:hint="eastAsia" w:ascii="宋体" w:hAnsi="宋体" w:cs="宋体"/>
          <w:szCs w:val="21"/>
          <w:highlight w:val="none"/>
        </w:rPr>
        <w:t>出现工程量清单错误时，是否调整合同价格：</w:t>
      </w:r>
      <w:r>
        <w:rPr>
          <w:rFonts w:hint="eastAsia" w:ascii="宋体" w:hAnsi="宋体" w:cs="宋体"/>
          <w:b/>
          <w:szCs w:val="21"/>
          <w:highlight w:val="none"/>
          <w:u w:val="single"/>
        </w:rPr>
        <w:t xml:space="preserve">  按结算条款约定计算规则调整。</w:t>
      </w:r>
    </w:p>
    <w:p w14:paraId="101AE7A1">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允许调整合同价格的工程量偏差范围：</w:t>
      </w:r>
      <w:r>
        <w:rPr>
          <w:rFonts w:hint="eastAsia" w:ascii="宋体" w:hAnsi="宋体" w:cs="宋体"/>
          <w:szCs w:val="21"/>
          <w:highlight w:val="none"/>
          <w:u w:val="single"/>
        </w:rPr>
        <w:t>实际工程量与招标清单工程量偏差</w:t>
      </w:r>
      <w:r>
        <w:rPr>
          <w:rFonts w:hint="eastAsia" w:ascii="宋体" w:hAnsi="宋体" w:cs="宋体"/>
          <w:b/>
          <w:szCs w:val="21"/>
          <w:highlight w:val="none"/>
          <w:u w:val="single"/>
        </w:rPr>
        <w:t xml:space="preserve">          </w:t>
      </w:r>
    </w:p>
    <w:p w14:paraId="476FB2D0">
      <w:pPr>
        <w:autoSpaceDE w:val="0"/>
        <w:autoSpaceDN w:val="0"/>
        <w:spacing w:line="400" w:lineRule="exact"/>
        <w:ind w:firstLine="527" w:firstLineChars="250"/>
        <w:rPr>
          <w:rFonts w:hint="eastAsia" w:ascii="宋体" w:hAnsi="宋体" w:cs="宋体"/>
          <w:b/>
          <w:bCs/>
          <w:szCs w:val="21"/>
          <w:highlight w:val="none"/>
        </w:rPr>
      </w:pPr>
      <w:r>
        <w:rPr>
          <w:rFonts w:hint="eastAsia" w:ascii="宋体" w:hAnsi="宋体" w:cs="宋体"/>
          <w:b/>
          <w:bCs/>
          <w:szCs w:val="21"/>
          <w:highlight w:val="none"/>
        </w:rPr>
        <w:t>2</w:t>
      </w:r>
      <w:bookmarkStart w:id="88" w:name="_Toc297120457"/>
      <w:bookmarkStart w:id="89" w:name="_Toc296890985"/>
      <w:bookmarkStart w:id="90" w:name="_Toc296944496"/>
      <w:bookmarkStart w:id="91" w:name="_Toc296346658"/>
      <w:bookmarkStart w:id="92" w:name="_Toc296503157"/>
      <w:bookmarkStart w:id="93" w:name="_Toc297048343"/>
      <w:bookmarkStart w:id="94" w:name="_Toc296347156"/>
      <w:bookmarkStart w:id="95" w:name="_Toc292559362"/>
      <w:bookmarkStart w:id="96" w:name="_Toc296891197"/>
      <w:bookmarkStart w:id="97" w:name="_Toc292559867"/>
      <w:r>
        <w:rPr>
          <w:rFonts w:hint="eastAsia" w:ascii="宋体" w:hAnsi="宋体" w:cs="宋体"/>
          <w:b/>
          <w:bCs/>
          <w:szCs w:val="21"/>
          <w:highlight w:val="none"/>
        </w:rPr>
        <w:t>. 发包人</w:t>
      </w:r>
      <w:bookmarkEnd w:id="86"/>
      <w:bookmarkEnd w:id="87"/>
    </w:p>
    <w:bookmarkEnd w:id="88"/>
    <w:bookmarkEnd w:id="89"/>
    <w:bookmarkEnd w:id="90"/>
    <w:bookmarkEnd w:id="91"/>
    <w:bookmarkEnd w:id="92"/>
    <w:bookmarkEnd w:id="93"/>
    <w:bookmarkEnd w:id="94"/>
    <w:bookmarkEnd w:id="95"/>
    <w:bookmarkEnd w:id="96"/>
    <w:bookmarkEnd w:id="97"/>
    <w:p w14:paraId="7AE59E0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2.2 发包人代表</w:t>
      </w:r>
    </w:p>
    <w:p w14:paraId="5EF66D0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发包人代表：</w:t>
      </w:r>
    </w:p>
    <w:p w14:paraId="0FC9651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姓    名：</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5D17883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身份证号：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6E2E96B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职    务：</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51E2A26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联系电话：</w:t>
      </w:r>
      <w:r>
        <w:rPr>
          <w:rFonts w:hint="eastAsia" w:ascii="宋体" w:hAnsi="宋体" w:cs="宋体"/>
          <w:szCs w:val="21"/>
          <w:highlight w:val="none"/>
          <w:u w:val="single"/>
        </w:rPr>
        <w:t xml:space="preserve">               </w:t>
      </w:r>
      <w:r>
        <w:rPr>
          <w:rFonts w:hint="eastAsia" w:ascii="宋体" w:hAnsi="宋体" w:cs="宋体"/>
          <w:szCs w:val="21"/>
          <w:highlight w:val="none"/>
        </w:rPr>
        <w:t>；</w:t>
      </w:r>
    </w:p>
    <w:p w14:paraId="201F912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电子信箱：</w:t>
      </w:r>
      <w:r>
        <w:rPr>
          <w:rFonts w:hint="eastAsia" w:ascii="宋体" w:hAnsi="宋体" w:cs="宋体"/>
          <w:szCs w:val="21"/>
          <w:highlight w:val="none"/>
          <w:u w:val="single"/>
        </w:rPr>
        <w:t xml:space="preserve">                </w:t>
      </w:r>
      <w:r>
        <w:rPr>
          <w:rFonts w:hint="eastAsia" w:ascii="宋体" w:hAnsi="宋体" w:cs="宋体"/>
          <w:szCs w:val="21"/>
          <w:highlight w:val="none"/>
        </w:rPr>
        <w:t>；</w:t>
      </w:r>
    </w:p>
    <w:p w14:paraId="129E8F5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通信地址：</w:t>
      </w:r>
      <w:r>
        <w:rPr>
          <w:rFonts w:hint="eastAsia" w:ascii="宋体" w:hAnsi="宋体" w:cs="宋体"/>
          <w:szCs w:val="21"/>
          <w:highlight w:val="none"/>
          <w:u w:val="single"/>
        </w:rPr>
        <w:t xml:space="preserve">                     </w:t>
      </w:r>
      <w:r>
        <w:rPr>
          <w:rFonts w:hint="eastAsia" w:ascii="宋体" w:hAnsi="宋体" w:cs="宋体"/>
          <w:szCs w:val="21"/>
          <w:highlight w:val="none"/>
        </w:rPr>
        <w:t>。</w:t>
      </w:r>
    </w:p>
    <w:p w14:paraId="3D537DA6">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szCs w:val="21"/>
          <w:highlight w:val="none"/>
        </w:rPr>
        <w:t>发包人对发包人代表的授权范围如下：</w:t>
      </w:r>
      <w:r>
        <w:rPr>
          <w:rFonts w:hint="eastAsia" w:ascii="宋体" w:hAnsi="宋体" w:cs="宋体"/>
          <w:b/>
          <w:szCs w:val="21"/>
          <w:highlight w:val="none"/>
          <w:u w:val="single"/>
        </w:rPr>
        <w:t xml:space="preserve"> </w:t>
      </w:r>
      <w:r>
        <w:rPr>
          <w:rFonts w:hint="eastAsia" w:ascii="宋体" w:hAnsi="宋体" w:cs="宋体"/>
          <w:kern w:val="0"/>
          <w:szCs w:val="21"/>
          <w:highlight w:val="none"/>
          <w:u w:val="single"/>
        </w:rPr>
        <w:t xml:space="preserve">督促指导工程师行驶职权，协调施工现场各方面的关系，协调工程质量、进度和安全文明施工中存在的问题，解决有关设计和技术签证，办理签认现场经济技术签证，审核工程进度报表 </w:t>
      </w:r>
      <w:r>
        <w:rPr>
          <w:rFonts w:hint="eastAsia" w:ascii="宋体" w:hAnsi="宋体" w:cs="宋体"/>
          <w:kern w:val="0"/>
          <w:szCs w:val="21"/>
          <w:highlight w:val="none"/>
        </w:rPr>
        <w:t xml:space="preserve"> 。</w:t>
      </w:r>
    </w:p>
    <w:p w14:paraId="70889AF6">
      <w:pPr>
        <w:autoSpaceDE w:val="0"/>
        <w:autoSpaceDN w:val="0"/>
        <w:adjustRightInd w:val="0"/>
        <w:spacing w:line="400" w:lineRule="exact"/>
        <w:ind w:right="-30"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发包人可能会随时更换其代表，但在承包人收到发包人的相应书面通知之前，任何对发包人代表的任命或更换应不产生合同效力。</w:t>
      </w:r>
    </w:p>
    <w:p w14:paraId="45C0A948">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kern w:val="0"/>
          <w:szCs w:val="21"/>
          <w:highlight w:val="none"/>
          <w:u w:val="single"/>
        </w:rPr>
        <w:t>发包人代表的任何批准、校核、证明、同意、检查、检验、指示、通知、建议、要求、试验或类似行动（包括未表示不批准），不应解除承包人根据合同规定应承担的任何义务和责任，包括对错误、遗漏、误差和未履行的义务和责任。</w:t>
      </w:r>
    </w:p>
    <w:p w14:paraId="7D05C62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2.4 施工现场、施工条件和基础资料的提供</w:t>
      </w:r>
    </w:p>
    <w:p w14:paraId="301B6A5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2.4.1 提供施工现场</w:t>
      </w:r>
    </w:p>
    <w:p w14:paraId="3DA65C1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关于发包人移交施工现场的期限要求：</w:t>
      </w:r>
      <w:r>
        <w:rPr>
          <w:rFonts w:hint="eastAsia" w:ascii="宋体" w:hAnsi="宋体" w:cs="宋体"/>
          <w:b/>
          <w:szCs w:val="21"/>
          <w:highlight w:val="none"/>
          <w:u w:val="single"/>
        </w:rPr>
        <w:t>投标单位中标后发包人即可移交施工现场。</w:t>
      </w:r>
    </w:p>
    <w:p w14:paraId="3E9132F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2.4.2 提供施工条件</w:t>
      </w:r>
    </w:p>
    <w:p w14:paraId="20FB4F2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关于发包人应负责提供施工所需要的条件，包括：</w:t>
      </w:r>
      <w:r>
        <w:rPr>
          <w:rFonts w:hint="eastAsia" w:ascii="宋体" w:hAnsi="宋体" w:cs="宋体"/>
          <w:b/>
          <w:szCs w:val="21"/>
          <w:highlight w:val="none"/>
          <w:u w:val="single"/>
        </w:rPr>
        <w:t>发包人负责协调水、电、电讯线路的接入，由承包人按开工需要接至施工场地，费用由承包人承担。</w:t>
      </w:r>
    </w:p>
    <w:p w14:paraId="2CC95C2A">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2.5 资金来源证明及支付担保</w:t>
      </w:r>
    </w:p>
    <w:p w14:paraId="7636551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发包人提供资金来源证明的期限要求：</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2B1C14E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发包人是否提供支付担保：</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76CDB917">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发包人提供支付担保的形式：</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3AB2B435">
      <w:pPr>
        <w:autoSpaceDE w:val="0"/>
        <w:autoSpaceDN w:val="0"/>
        <w:spacing w:line="400" w:lineRule="exact"/>
        <w:ind w:firstLine="527" w:firstLineChars="250"/>
        <w:rPr>
          <w:rFonts w:hint="eastAsia" w:ascii="宋体" w:hAnsi="宋体" w:cs="宋体"/>
          <w:b/>
          <w:bCs/>
          <w:szCs w:val="21"/>
          <w:highlight w:val="none"/>
        </w:rPr>
      </w:pPr>
      <w:bookmarkStart w:id="98" w:name="_Toc371167937"/>
      <w:bookmarkStart w:id="99" w:name="_Toc351203635"/>
      <w:r>
        <w:rPr>
          <w:rFonts w:hint="eastAsia" w:ascii="宋体" w:hAnsi="宋体" w:cs="宋体"/>
          <w:b/>
          <w:bCs/>
          <w:szCs w:val="21"/>
          <w:highlight w:val="none"/>
        </w:rPr>
        <w:t>3</w:t>
      </w:r>
      <w:bookmarkStart w:id="100" w:name="_Toc292559868"/>
      <w:bookmarkStart w:id="101" w:name="_Toc296346659"/>
      <w:bookmarkStart w:id="102" w:name="_Toc296890986"/>
      <w:bookmarkStart w:id="103" w:name="_Toc296944497"/>
      <w:bookmarkStart w:id="104" w:name="_Toc296503158"/>
      <w:bookmarkStart w:id="105" w:name="_Toc297120458"/>
      <w:bookmarkStart w:id="106" w:name="_Toc296891198"/>
      <w:bookmarkStart w:id="107" w:name="_Toc296347157"/>
      <w:bookmarkStart w:id="108" w:name="_Toc292559363"/>
      <w:bookmarkStart w:id="109" w:name="_Toc297048344"/>
      <w:r>
        <w:rPr>
          <w:rFonts w:hint="eastAsia" w:ascii="宋体" w:hAnsi="宋体" w:cs="宋体"/>
          <w:b/>
          <w:bCs/>
          <w:szCs w:val="21"/>
          <w:highlight w:val="none"/>
        </w:rPr>
        <w:t>. 承包人</w:t>
      </w:r>
      <w:bookmarkEnd w:id="98"/>
      <w:bookmarkEnd w:id="99"/>
    </w:p>
    <w:bookmarkEnd w:id="100"/>
    <w:bookmarkEnd w:id="101"/>
    <w:bookmarkEnd w:id="102"/>
    <w:bookmarkEnd w:id="103"/>
    <w:bookmarkEnd w:id="104"/>
    <w:bookmarkEnd w:id="105"/>
    <w:bookmarkEnd w:id="106"/>
    <w:bookmarkEnd w:id="107"/>
    <w:bookmarkEnd w:id="108"/>
    <w:bookmarkEnd w:id="109"/>
    <w:p w14:paraId="171C6BE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3.1 承包人的一般义务</w:t>
      </w:r>
    </w:p>
    <w:p w14:paraId="7FF305F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（5）承包人提交的竣工资料的内容：</w:t>
      </w:r>
      <w:r>
        <w:rPr>
          <w:rFonts w:hint="eastAsia" w:ascii="宋体" w:hAnsi="宋体" w:cs="宋体"/>
          <w:b/>
          <w:szCs w:val="21"/>
          <w:highlight w:val="none"/>
          <w:u w:val="single"/>
        </w:rPr>
        <w:t>竣工图及完整的档案资料,满足城建档案部门对竣工资料的要求。</w:t>
      </w:r>
    </w:p>
    <w:p w14:paraId="32E3CB1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承包人需要提交的竣工资料套数：</w:t>
      </w:r>
      <w:r>
        <w:rPr>
          <w:rFonts w:hint="eastAsia" w:ascii="宋体" w:hAnsi="宋体" w:cs="宋体"/>
          <w:b/>
          <w:szCs w:val="21"/>
          <w:highlight w:val="none"/>
          <w:u w:val="single"/>
        </w:rPr>
        <w:t>完整竣工图及竣工资料2套</w:t>
      </w:r>
      <w:r>
        <w:rPr>
          <w:rFonts w:hint="eastAsia" w:ascii="宋体" w:hAnsi="宋体" w:cs="宋体"/>
          <w:szCs w:val="21"/>
          <w:highlight w:val="none"/>
        </w:rPr>
        <w:t>。</w:t>
      </w:r>
    </w:p>
    <w:p w14:paraId="7649585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承包人提交的竣工资料的费用承担：</w:t>
      </w:r>
      <w:r>
        <w:rPr>
          <w:rFonts w:hint="eastAsia" w:ascii="宋体" w:hAnsi="宋体" w:cs="宋体"/>
          <w:b/>
          <w:szCs w:val="21"/>
          <w:highlight w:val="none"/>
          <w:u w:val="single"/>
        </w:rPr>
        <w:t>由承包人承担。</w:t>
      </w:r>
    </w:p>
    <w:p w14:paraId="117F2AE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承包人提交的竣工资料移交时间：</w:t>
      </w:r>
      <w:r>
        <w:rPr>
          <w:rFonts w:hint="eastAsia" w:ascii="宋体" w:hAnsi="宋体" w:cs="宋体"/>
          <w:b/>
          <w:szCs w:val="21"/>
          <w:highlight w:val="none"/>
          <w:u w:val="single"/>
        </w:rPr>
        <w:t>承包人应在竣工验收之日起30日内将完整的档案资料移交城建档案馆及发包人。</w:t>
      </w:r>
    </w:p>
    <w:p w14:paraId="2430974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承包人提交的竣工资料形式要求：</w:t>
      </w:r>
      <w:r>
        <w:rPr>
          <w:rFonts w:hint="eastAsia" w:ascii="宋体" w:hAnsi="宋体" w:cs="宋体"/>
          <w:b/>
          <w:szCs w:val="21"/>
          <w:highlight w:val="none"/>
          <w:u w:val="single"/>
        </w:rPr>
        <w:t>书面资料。</w:t>
      </w:r>
    </w:p>
    <w:p w14:paraId="3A66BF1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（6）承包人应履行的其他义务：</w:t>
      </w:r>
      <w:r>
        <w:rPr>
          <w:rFonts w:hint="eastAsia" w:ascii="宋体" w:hAnsi="宋体" w:cs="宋体"/>
          <w:b/>
          <w:szCs w:val="21"/>
          <w:highlight w:val="none"/>
          <w:u w:val="single"/>
        </w:rPr>
        <w:t>包括项目负责人要求提供的一切与工程有关的技术资料及其他资料</w:t>
      </w:r>
      <w:r>
        <w:rPr>
          <w:rFonts w:hint="eastAsia" w:ascii="宋体" w:hAnsi="宋体" w:cs="宋体"/>
          <w:szCs w:val="21"/>
          <w:highlight w:val="none"/>
        </w:rPr>
        <w:t>。</w:t>
      </w:r>
    </w:p>
    <w:p w14:paraId="34D8CEA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3.2 项目经理</w:t>
      </w:r>
    </w:p>
    <w:p w14:paraId="308CCDD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3.2.1 项目经理：</w:t>
      </w:r>
    </w:p>
    <w:p w14:paraId="00A1DFA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姓    名：</w:t>
      </w:r>
      <w:r>
        <w:rPr>
          <w:rFonts w:hint="eastAsia" w:ascii="宋体" w:hAnsi="宋体" w:cs="宋体"/>
          <w:szCs w:val="21"/>
          <w:highlight w:val="none"/>
          <w:u w:val="single"/>
        </w:rPr>
        <w:t xml:space="preserve">             </w:t>
      </w:r>
      <w:r>
        <w:rPr>
          <w:rFonts w:hint="eastAsia" w:ascii="宋体" w:hAnsi="宋体" w:cs="宋体"/>
          <w:szCs w:val="21"/>
          <w:highlight w:val="none"/>
        </w:rPr>
        <w:t>；</w:t>
      </w:r>
    </w:p>
    <w:p w14:paraId="532EB72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身份证号：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4A5EB1E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建造师执业资格等级：</w:t>
      </w:r>
      <w:r>
        <w:rPr>
          <w:rFonts w:hint="eastAsia" w:ascii="宋体" w:hAnsi="宋体" w:cs="宋体"/>
          <w:szCs w:val="21"/>
          <w:highlight w:val="none"/>
          <w:u w:val="single"/>
        </w:rPr>
        <w:t xml:space="preserve">                            </w:t>
      </w:r>
      <w:r>
        <w:rPr>
          <w:rFonts w:hint="eastAsia" w:ascii="宋体" w:hAnsi="宋体" w:cs="宋体"/>
          <w:szCs w:val="21"/>
          <w:highlight w:val="none"/>
        </w:rPr>
        <w:t>；</w:t>
      </w:r>
    </w:p>
    <w:p w14:paraId="4DDC020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建造师注册证书号：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64FF0B5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建造师执业印章号：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0906973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安全生产考核合格证书号：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5D4EECD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联系电话：</w:t>
      </w:r>
      <w:r>
        <w:rPr>
          <w:rFonts w:hint="eastAsia" w:ascii="宋体" w:hAnsi="宋体" w:cs="宋体"/>
          <w:szCs w:val="21"/>
          <w:highlight w:val="none"/>
          <w:u w:val="single"/>
        </w:rPr>
        <w:t xml:space="preserve">                                       </w:t>
      </w:r>
      <w:r>
        <w:rPr>
          <w:rFonts w:hint="eastAsia" w:ascii="宋体" w:hAnsi="宋体" w:cs="宋体"/>
          <w:szCs w:val="21"/>
          <w:highlight w:val="none"/>
        </w:rPr>
        <w:t>；</w:t>
      </w:r>
    </w:p>
    <w:p w14:paraId="21C6BBE7">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电子信箱：</w:t>
      </w:r>
      <w:r>
        <w:rPr>
          <w:rFonts w:hint="eastAsia" w:ascii="宋体" w:hAnsi="宋体" w:cs="宋体"/>
          <w:szCs w:val="21"/>
          <w:highlight w:val="none"/>
          <w:u w:val="single"/>
        </w:rPr>
        <w:t xml:space="preserve">                                         </w:t>
      </w:r>
      <w:r>
        <w:rPr>
          <w:rFonts w:hint="eastAsia" w:ascii="宋体" w:hAnsi="宋体" w:cs="宋体"/>
          <w:szCs w:val="21"/>
          <w:highlight w:val="none"/>
        </w:rPr>
        <w:t>；</w:t>
      </w:r>
    </w:p>
    <w:p w14:paraId="0DF225F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通信地址：</w:t>
      </w:r>
      <w:r>
        <w:rPr>
          <w:rFonts w:hint="eastAsia" w:ascii="宋体" w:hAnsi="宋体" w:cs="宋体"/>
          <w:szCs w:val="21"/>
          <w:highlight w:val="none"/>
          <w:u w:val="single"/>
        </w:rPr>
        <w:t xml:space="preserve">                                        </w:t>
      </w:r>
      <w:r>
        <w:rPr>
          <w:rFonts w:hint="eastAsia" w:ascii="宋体" w:hAnsi="宋体" w:cs="宋体"/>
          <w:szCs w:val="21"/>
          <w:highlight w:val="none"/>
        </w:rPr>
        <w:t>；</w:t>
      </w:r>
    </w:p>
    <w:p w14:paraId="72F1EC25">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rPr>
        <w:t>承包人对项目经理的授权范围如下：</w:t>
      </w:r>
      <w:r>
        <w:rPr>
          <w:rFonts w:hint="eastAsia" w:ascii="宋体" w:hAnsi="宋体" w:cs="宋体"/>
          <w:kern w:val="0"/>
          <w:szCs w:val="21"/>
          <w:highlight w:val="none"/>
          <w:u w:val="single"/>
        </w:rPr>
        <w:t>项目经理按发包人认可的施工组织设计（施工方案）和监理工程师依据合同发出的指令组织施工。在情况紧急且无法与发包人联系时，项目经理应当采取保证人员生命和工程、财产安全的紧急措施，并在采取措施后48小时内向发包人递交报告。责任在发包人或第三人，由发包人承担由此发生的追加合同价款，相应顺延工期；责任在承包人，由承包人承担费用，不顺延工期</w:t>
      </w:r>
      <w:r>
        <w:rPr>
          <w:rFonts w:hint="eastAsia" w:ascii="宋体" w:hAnsi="宋体" w:cs="宋体"/>
          <w:szCs w:val="21"/>
          <w:highlight w:val="none"/>
        </w:rPr>
        <w:t>。</w:t>
      </w:r>
    </w:p>
    <w:p w14:paraId="25C404C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关于项目经理每月在施工现场的时间要求：</w:t>
      </w:r>
      <w:r>
        <w:rPr>
          <w:rFonts w:hint="eastAsia" w:ascii="宋体" w:hAnsi="宋体" w:cs="宋体"/>
          <w:b/>
          <w:szCs w:val="21"/>
          <w:highlight w:val="none"/>
          <w:u w:val="single"/>
        </w:rPr>
        <w:t>每月在现场不得低于26天。不得承接其他工程。</w:t>
      </w:r>
    </w:p>
    <w:p w14:paraId="769CBF7A">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rPr>
        <w:t>承包人未提交劳动合同，以及没有为项目经理缴纳社会保险证明的违约责任：</w:t>
      </w:r>
      <w:r>
        <w:rPr>
          <w:rFonts w:hint="eastAsia" w:ascii="宋体" w:hAnsi="宋体" w:cs="宋体"/>
          <w:kern w:val="0"/>
          <w:szCs w:val="21"/>
          <w:highlight w:val="none"/>
          <w:u w:val="single"/>
        </w:rPr>
        <w:t xml:space="preserve">处以1万元罚款，责令限期提交劳动合同并补缴社会保险   </w:t>
      </w:r>
      <w:r>
        <w:rPr>
          <w:rFonts w:hint="eastAsia" w:ascii="宋体" w:hAnsi="宋体" w:cs="宋体"/>
          <w:szCs w:val="21"/>
          <w:highlight w:val="none"/>
        </w:rPr>
        <w:t>。</w:t>
      </w:r>
    </w:p>
    <w:p w14:paraId="04703E9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项目经理未经批准，擅自离开施工现场的违约责任：</w:t>
      </w:r>
      <w:r>
        <w:rPr>
          <w:rFonts w:hint="eastAsia" w:ascii="宋体" w:hAnsi="宋体" w:cs="宋体"/>
          <w:b/>
          <w:szCs w:val="21"/>
          <w:highlight w:val="none"/>
          <w:u w:val="single"/>
        </w:rPr>
        <w:t>每发现一次罚款2000元。</w:t>
      </w:r>
    </w:p>
    <w:p w14:paraId="6D926783">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3.2.3 承包人擅自更换项目经理的违约责任：</w:t>
      </w:r>
      <w:r>
        <w:rPr>
          <w:rFonts w:hint="eastAsia" w:ascii="宋体" w:hAnsi="宋体" w:cs="宋体"/>
          <w:b/>
          <w:szCs w:val="21"/>
          <w:highlight w:val="none"/>
          <w:u w:val="single"/>
        </w:rPr>
        <w:t>承包人未经发包人同意更换项目经理，承包人应按项目经理5000元 /人支付违约金。</w:t>
      </w:r>
    </w:p>
    <w:p w14:paraId="1F9D413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3.2.4 承包人无正当理由拒绝更换项目经理的违约责任：</w:t>
      </w:r>
      <w:r>
        <w:rPr>
          <w:rFonts w:hint="eastAsia" w:ascii="宋体" w:hAnsi="宋体" w:cs="宋体"/>
          <w:b/>
          <w:szCs w:val="21"/>
          <w:highlight w:val="none"/>
          <w:u w:val="single"/>
        </w:rPr>
        <w:t>罚款5万元。</w:t>
      </w:r>
    </w:p>
    <w:p w14:paraId="5E515C5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3.3 承包人人员</w:t>
      </w:r>
    </w:p>
    <w:p w14:paraId="1C9BA451">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3.3.1 承包人提交项目管理机构及施工现场管理人员安排报告的期限：</w:t>
      </w:r>
      <w:r>
        <w:rPr>
          <w:rFonts w:hint="eastAsia" w:ascii="宋体" w:hAnsi="宋体" w:cs="宋体"/>
          <w:b/>
          <w:szCs w:val="21"/>
          <w:highlight w:val="none"/>
          <w:u w:val="single"/>
        </w:rPr>
        <w:t>合同签定后7日内。</w:t>
      </w:r>
    </w:p>
    <w:p w14:paraId="7ADC172B">
      <w:pPr>
        <w:autoSpaceDE w:val="0"/>
        <w:autoSpaceDN w:val="0"/>
        <w:spacing w:line="400" w:lineRule="exact"/>
        <w:ind w:firstLine="527" w:firstLineChars="250"/>
        <w:rPr>
          <w:rFonts w:hint="eastAsia" w:ascii="宋体" w:hAnsi="宋体" w:cs="宋体"/>
          <w:b/>
          <w:szCs w:val="21"/>
          <w:highlight w:val="none"/>
          <w:u w:val="single"/>
        </w:rPr>
      </w:pPr>
      <w:r>
        <w:rPr>
          <w:rFonts w:hint="eastAsia" w:ascii="宋体" w:hAnsi="宋体" w:cs="宋体"/>
          <w:b/>
          <w:szCs w:val="21"/>
          <w:highlight w:val="none"/>
          <w:u w:val="single"/>
        </w:rPr>
        <w:t xml:space="preserve">承包人应按投标书所报名单委派项目经理及各岗位管理人员，并保持其岗位的相对稳定。未经发包人同意，严禁随意更换。确需更换的，须向发包人提出书面申请，陈述更换理由。更换人员资质条件必须高于或等同于被换人员的资质条件，按程序逐级上报发包人审批。如果发包人认为已委派的项目经理或岗位人员的工作能力或业务水平不称职，不能胜任本职工作，或不能认真履行合同，有权提出限期更换人员，更换人员的资质条件必须高于或等同于合同要求的资质条件。 </w:t>
      </w:r>
    </w:p>
    <w:p w14:paraId="7B13B5FA">
      <w:pPr>
        <w:autoSpaceDE w:val="0"/>
        <w:autoSpaceDN w:val="0"/>
        <w:spacing w:line="400" w:lineRule="exact"/>
        <w:ind w:firstLine="527" w:firstLineChars="250"/>
        <w:rPr>
          <w:rFonts w:hint="eastAsia" w:ascii="宋体" w:hAnsi="宋体" w:cs="宋体"/>
          <w:b/>
          <w:szCs w:val="21"/>
          <w:highlight w:val="none"/>
        </w:rPr>
      </w:pPr>
      <w:r>
        <w:rPr>
          <w:rFonts w:hint="eastAsia" w:ascii="宋体" w:hAnsi="宋体" w:cs="宋体"/>
          <w:b/>
          <w:szCs w:val="21"/>
          <w:highlight w:val="none"/>
          <w:u w:val="single"/>
        </w:rPr>
        <w:t>承包人未经发包人同意更换项目经理或其他岗位人员，承包人应按项目经理或技术负责人5000元 /人、其他岗位人员2000元 /人的标准向发包人支付违约金。施工现场各阶段具体施工人员的数量，未按招标文件要求配备的，承包人必须按1000元/人•天的标准向发包方支付违约金。</w:t>
      </w:r>
    </w:p>
    <w:p w14:paraId="4D6010B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3.3.3 承包人无正当理由拒绝撤换主要施工管理人员的违约责任：</w:t>
      </w:r>
      <w:r>
        <w:rPr>
          <w:rFonts w:hint="eastAsia" w:ascii="宋体" w:hAnsi="宋体" w:cs="宋体"/>
          <w:b/>
          <w:szCs w:val="21"/>
          <w:highlight w:val="none"/>
          <w:u w:val="single"/>
        </w:rPr>
        <w:t>每人次罚款1万元。</w:t>
      </w:r>
    </w:p>
    <w:p w14:paraId="6DE2868D">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3.3.4 承包人主要施工管理人员离开施工现场的批准要求：</w:t>
      </w:r>
      <w:r>
        <w:rPr>
          <w:rFonts w:hint="eastAsia" w:ascii="宋体" w:hAnsi="宋体" w:cs="宋体"/>
          <w:b/>
          <w:szCs w:val="21"/>
          <w:highlight w:val="none"/>
          <w:u w:val="single"/>
        </w:rPr>
        <w:t xml:space="preserve">向项目经理请假，报发包人请假。 </w:t>
      </w:r>
    </w:p>
    <w:p w14:paraId="1453988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3.3.5承包人擅自更换主要施工管理人员的违约责任：</w:t>
      </w:r>
      <w:r>
        <w:rPr>
          <w:rFonts w:hint="eastAsia" w:ascii="宋体" w:hAnsi="宋体" w:cs="宋体"/>
          <w:b/>
          <w:szCs w:val="21"/>
          <w:highlight w:val="none"/>
          <w:u w:val="single"/>
        </w:rPr>
        <w:t>每人罚款2000元。</w:t>
      </w:r>
    </w:p>
    <w:p w14:paraId="1865389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承包人主要施工管理人员擅自离开施工现场的违约责任：</w:t>
      </w:r>
      <w:r>
        <w:rPr>
          <w:rFonts w:hint="eastAsia" w:ascii="宋体" w:hAnsi="宋体" w:cs="宋体"/>
          <w:b/>
          <w:szCs w:val="21"/>
          <w:highlight w:val="none"/>
          <w:u w:val="single"/>
        </w:rPr>
        <w:t>每发现一次罚款1000元。</w:t>
      </w:r>
    </w:p>
    <w:p w14:paraId="661972BA">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w:t>
      </w:r>
      <w:bookmarkStart w:id="110" w:name="_Toc297123492"/>
      <w:bookmarkStart w:id="111" w:name="_Toc296944498"/>
      <w:bookmarkStart w:id="112" w:name="_Toc296890987"/>
      <w:bookmarkStart w:id="113" w:name="_Toc304295523"/>
      <w:bookmarkStart w:id="114" w:name="_Toc297120459"/>
      <w:bookmarkStart w:id="115" w:name="_Toc292559364"/>
      <w:bookmarkStart w:id="116" w:name="_Toc296347158"/>
      <w:bookmarkStart w:id="117" w:name="_Toc300934945"/>
      <w:bookmarkStart w:id="118" w:name="_Toc303539102"/>
      <w:bookmarkStart w:id="119" w:name="_Toc296346660"/>
      <w:bookmarkStart w:id="120" w:name="_Toc296503159"/>
      <w:bookmarkStart w:id="121" w:name="_Toc296891199"/>
      <w:bookmarkStart w:id="122" w:name="_Toc297216151"/>
      <w:bookmarkStart w:id="123" w:name="_Toc292559869"/>
      <w:bookmarkStart w:id="124" w:name="_Toc312677988"/>
      <w:bookmarkStart w:id="125" w:name="_Toc297048345"/>
      <w:r>
        <w:rPr>
          <w:rFonts w:hint="eastAsia" w:ascii="宋体" w:hAnsi="宋体" w:cs="宋体"/>
          <w:szCs w:val="21"/>
          <w:highlight w:val="none"/>
        </w:rPr>
        <w:t>.5 分包</w:t>
      </w:r>
    </w:p>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14:paraId="13E7618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w:t>
      </w:r>
      <w:bookmarkStart w:id="126" w:name="_Toc297120460"/>
      <w:bookmarkStart w:id="127" w:name="_Toc300934946"/>
      <w:bookmarkStart w:id="128" w:name="_Toc303539103"/>
      <w:bookmarkStart w:id="129" w:name="_Toc292559870"/>
      <w:bookmarkStart w:id="130" w:name="_Toc296346661"/>
      <w:bookmarkStart w:id="131" w:name="_Toc296503160"/>
      <w:bookmarkStart w:id="132" w:name="_Toc297048346"/>
      <w:bookmarkStart w:id="133" w:name="_Toc296347159"/>
      <w:bookmarkStart w:id="134" w:name="_Toc296944499"/>
      <w:bookmarkStart w:id="135" w:name="_Toc304295524"/>
      <w:bookmarkStart w:id="136" w:name="_Toc296891200"/>
      <w:bookmarkStart w:id="137" w:name="_Toc297216152"/>
      <w:bookmarkStart w:id="138" w:name="_Toc296890988"/>
      <w:bookmarkStart w:id="139" w:name="_Toc297123493"/>
      <w:bookmarkStart w:id="140" w:name="_Toc292559365"/>
      <w:bookmarkStart w:id="141" w:name="_Toc318581158"/>
      <w:bookmarkStart w:id="142" w:name="_Toc312677989"/>
      <w:r>
        <w:rPr>
          <w:rFonts w:hint="eastAsia" w:ascii="宋体" w:hAnsi="宋体" w:cs="宋体"/>
          <w:szCs w:val="21"/>
          <w:highlight w:val="none"/>
        </w:rPr>
        <w:t>.5.1 分包的一般约定</w:t>
      </w:r>
    </w:p>
    <w:p w14:paraId="16224D9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禁止分包的工程包括：本工程不得分包</w:t>
      </w:r>
    </w:p>
    <w:p w14:paraId="1E4C680C">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主体结构、关键性工作的范围：</w:t>
      </w:r>
      <w:r>
        <w:rPr>
          <w:rFonts w:hint="eastAsia" w:ascii="宋体" w:hAnsi="宋体" w:cs="宋体"/>
          <w:b/>
          <w:szCs w:val="21"/>
          <w:highlight w:val="none"/>
          <w:u w:val="single"/>
        </w:rPr>
        <w:t xml:space="preserve">          </w:t>
      </w:r>
      <w:r>
        <w:rPr>
          <w:rFonts w:hint="eastAsia" w:ascii="宋体" w:hAnsi="宋体" w:cs="宋体"/>
          <w:b/>
          <w:szCs w:val="21"/>
          <w:highlight w:val="none"/>
        </w:rPr>
        <w:t>。</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Start w:id="143" w:name="_Toc296890989"/>
      <w:bookmarkStart w:id="144" w:name="_Toc297216153"/>
      <w:bookmarkStart w:id="145" w:name="_Toc296347160"/>
      <w:bookmarkStart w:id="146" w:name="_Toc296503161"/>
      <w:bookmarkStart w:id="147" w:name="_Toc300934947"/>
      <w:bookmarkStart w:id="148" w:name="_Toc297048347"/>
      <w:bookmarkStart w:id="149" w:name="_Toc296346662"/>
      <w:bookmarkStart w:id="150" w:name="_Toc296944500"/>
      <w:bookmarkStart w:id="151" w:name="_Toc297123494"/>
      <w:bookmarkStart w:id="152" w:name="_Toc303539104"/>
      <w:bookmarkStart w:id="153" w:name="_Toc304295525"/>
      <w:bookmarkStart w:id="154" w:name="_Toc296891201"/>
      <w:bookmarkStart w:id="155" w:name="_Toc297120461"/>
    </w:p>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14:paraId="0176899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 xml:space="preserve"> 3</w:t>
      </w:r>
      <w:bookmarkStart w:id="156" w:name="_Toc312677990"/>
      <w:bookmarkStart w:id="157" w:name="_Toc318581159"/>
      <w:r>
        <w:rPr>
          <w:rFonts w:hint="eastAsia" w:ascii="宋体" w:hAnsi="宋体" w:cs="宋体"/>
          <w:szCs w:val="21"/>
          <w:highlight w:val="none"/>
        </w:rPr>
        <w:t>.5.2分包的确定</w:t>
      </w:r>
    </w:p>
    <w:p w14:paraId="3A35C21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允许分包的专业工程包括：</w:t>
      </w:r>
      <w:r>
        <w:rPr>
          <w:rFonts w:hint="eastAsia" w:ascii="宋体" w:hAnsi="宋体" w:cs="宋体"/>
          <w:b/>
          <w:szCs w:val="21"/>
          <w:highlight w:val="none"/>
          <w:u w:val="single"/>
        </w:rPr>
        <w:t xml:space="preserve">              </w:t>
      </w:r>
      <w:r>
        <w:rPr>
          <w:rFonts w:hint="eastAsia" w:ascii="宋体" w:hAnsi="宋体" w:cs="宋体"/>
          <w:b/>
          <w:szCs w:val="21"/>
          <w:highlight w:val="none"/>
        </w:rPr>
        <w:t>。</w:t>
      </w:r>
    </w:p>
    <w:p w14:paraId="4E71874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其他关于分包的约定：</w:t>
      </w:r>
      <w:r>
        <w:rPr>
          <w:rFonts w:hint="eastAsia" w:ascii="宋体" w:hAnsi="宋体" w:cs="宋体"/>
          <w:b/>
          <w:szCs w:val="21"/>
          <w:highlight w:val="none"/>
          <w:u w:val="single"/>
        </w:rPr>
        <w:t xml:space="preserve">          </w:t>
      </w:r>
      <w:r>
        <w:rPr>
          <w:rFonts w:hint="eastAsia" w:ascii="宋体" w:hAnsi="宋体" w:cs="宋体"/>
          <w:b/>
          <w:szCs w:val="21"/>
          <w:highlight w:val="none"/>
        </w:rPr>
        <w:t>。</w:t>
      </w:r>
    </w:p>
    <w:p w14:paraId="00359B4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3.5.4 分包合同价款</w:t>
      </w:r>
    </w:p>
    <w:p w14:paraId="0036145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关于分包合同价款支付的约定：</w:t>
      </w:r>
      <w:r>
        <w:rPr>
          <w:rFonts w:hint="eastAsia" w:ascii="宋体" w:hAnsi="宋体" w:cs="宋体"/>
          <w:b/>
          <w:szCs w:val="21"/>
          <w:highlight w:val="none"/>
          <w:u w:val="single"/>
        </w:rPr>
        <w:t xml:space="preserve">        </w:t>
      </w:r>
      <w:r>
        <w:rPr>
          <w:rFonts w:hint="eastAsia" w:ascii="宋体" w:hAnsi="宋体" w:cs="宋体"/>
          <w:b/>
          <w:szCs w:val="21"/>
          <w:highlight w:val="none"/>
        </w:rPr>
        <w:t>。</w:t>
      </w:r>
    </w:p>
    <w:bookmarkEnd w:id="156"/>
    <w:bookmarkEnd w:id="157"/>
    <w:p w14:paraId="35A2E9C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3.6 工程照管与成品、半成品保护</w:t>
      </w:r>
    </w:p>
    <w:p w14:paraId="640E956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承包人负责照管工程及工程相关的材料、工程设备的起始时间：</w:t>
      </w:r>
      <w:r>
        <w:rPr>
          <w:rFonts w:hint="eastAsia" w:ascii="宋体" w:hAnsi="宋体" w:cs="宋体"/>
          <w:b/>
          <w:szCs w:val="21"/>
          <w:highlight w:val="none"/>
          <w:u w:val="single"/>
        </w:rPr>
        <w:t>自承包人进驻工地时间开始。</w:t>
      </w:r>
    </w:p>
    <w:p w14:paraId="1E3052E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3.7 履约担保</w:t>
      </w:r>
    </w:p>
    <w:p w14:paraId="4F119C8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承包人是否提供履约担保：</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21DFA9E7">
      <w:pPr>
        <w:autoSpaceDE w:val="0"/>
        <w:autoSpaceDN w:val="0"/>
        <w:spacing w:line="400" w:lineRule="exact"/>
        <w:ind w:firstLine="527" w:firstLineChars="250"/>
        <w:rPr>
          <w:rFonts w:hint="eastAsia" w:ascii="宋体" w:hAnsi="宋体" w:cs="宋体"/>
          <w:b/>
          <w:bCs/>
          <w:szCs w:val="21"/>
          <w:highlight w:val="none"/>
        </w:rPr>
      </w:pPr>
      <w:bookmarkStart w:id="158" w:name="_Toc371167938"/>
      <w:bookmarkStart w:id="159" w:name="_Toc351203636"/>
      <w:r>
        <w:rPr>
          <w:rFonts w:hint="eastAsia" w:ascii="宋体" w:hAnsi="宋体" w:cs="宋体"/>
          <w:b/>
          <w:bCs/>
          <w:szCs w:val="21"/>
          <w:highlight w:val="none"/>
        </w:rPr>
        <w:t>4</w:t>
      </w:r>
      <w:bookmarkStart w:id="160" w:name="_Toc292559366"/>
      <w:bookmarkStart w:id="161" w:name="_Toc267251413"/>
      <w:bookmarkStart w:id="162" w:name="_Toc297120462"/>
      <w:bookmarkStart w:id="163" w:name="_Toc292559871"/>
      <w:bookmarkStart w:id="164" w:name="_Toc296503162"/>
      <w:bookmarkStart w:id="165" w:name="_Toc297048348"/>
      <w:bookmarkStart w:id="166" w:name="_Toc296891202"/>
      <w:bookmarkStart w:id="167" w:name="_Toc296347161"/>
      <w:bookmarkStart w:id="168" w:name="_Toc296890990"/>
      <w:bookmarkStart w:id="169" w:name="_Toc296944501"/>
      <w:bookmarkStart w:id="170" w:name="_Toc296346663"/>
      <w:r>
        <w:rPr>
          <w:rFonts w:hint="eastAsia" w:ascii="宋体" w:hAnsi="宋体" w:cs="宋体"/>
          <w:b/>
          <w:bCs/>
          <w:szCs w:val="21"/>
          <w:highlight w:val="none"/>
        </w:rPr>
        <w:t>. 监</w:t>
      </w:r>
      <w:bookmarkEnd w:id="160"/>
      <w:bookmarkEnd w:id="161"/>
      <w:bookmarkEnd w:id="162"/>
      <w:bookmarkEnd w:id="163"/>
      <w:bookmarkEnd w:id="164"/>
      <w:bookmarkEnd w:id="165"/>
      <w:bookmarkEnd w:id="166"/>
      <w:bookmarkEnd w:id="167"/>
      <w:bookmarkEnd w:id="168"/>
      <w:bookmarkEnd w:id="169"/>
      <w:bookmarkEnd w:id="170"/>
      <w:r>
        <w:rPr>
          <w:rFonts w:hint="eastAsia" w:ascii="宋体" w:hAnsi="宋体" w:cs="宋体"/>
          <w:b/>
          <w:bCs/>
          <w:szCs w:val="21"/>
          <w:highlight w:val="none"/>
        </w:rPr>
        <w:t>理人</w:t>
      </w:r>
      <w:bookmarkEnd w:id="158"/>
      <w:bookmarkEnd w:id="159"/>
    </w:p>
    <w:p w14:paraId="5CBAEFA7">
      <w:pPr>
        <w:autoSpaceDE w:val="0"/>
        <w:autoSpaceDN w:val="0"/>
        <w:spacing w:line="400" w:lineRule="exact"/>
        <w:ind w:firstLine="527" w:firstLineChars="250"/>
        <w:rPr>
          <w:rFonts w:hint="eastAsia" w:ascii="宋体" w:hAnsi="宋体" w:cs="宋体"/>
          <w:b/>
          <w:bCs/>
          <w:szCs w:val="21"/>
          <w:highlight w:val="none"/>
        </w:rPr>
      </w:pPr>
      <w:bookmarkStart w:id="171" w:name="_Toc351203637"/>
      <w:r>
        <w:rPr>
          <w:rFonts w:hint="eastAsia" w:ascii="宋体" w:hAnsi="宋体" w:cs="宋体"/>
          <w:b/>
          <w:bCs/>
          <w:szCs w:val="21"/>
          <w:highlight w:val="none"/>
        </w:rPr>
        <w:t>5</w:t>
      </w:r>
      <w:bookmarkStart w:id="172" w:name="_Toc292559872"/>
      <w:bookmarkStart w:id="173" w:name="_Toc296503163"/>
      <w:bookmarkStart w:id="174" w:name="_Toc296347162"/>
      <w:bookmarkStart w:id="175" w:name="_Toc296890991"/>
      <w:bookmarkStart w:id="176" w:name="_Toc297120463"/>
      <w:bookmarkStart w:id="177" w:name="_Toc292559367"/>
      <w:bookmarkStart w:id="178" w:name="_Toc296346664"/>
      <w:bookmarkStart w:id="179" w:name="_Toc296944502"/>
      <w:bookmarkStart w:id="180" w:name="_Toc296891203"/>
      <w:bookmarkStart w:id="181" w:name="_Toc297048349"/>
      <w:r>
        <w:rPr>
          <w:rFonts w:hint="eastAsia" w:ascii="宋体" w:hAnsi="宋体" w:cs="宋体"/>
          <w:b/>
          <w:bCs/>
          <w:szCs w:val="21"/>
          <w:highlight w:val="none"/>
        </w:rPr>
        <w:t>. 工程质量</w:t>
      </w:r>
      <w:bookmarkEnd w:id="171"/>
    </w:p>
    <w:bookmarkEnd w:id="172"/>
    <w:bookmarkEnd w:id="173"/>
    <w:bookmarkEnd w:id="174"/>
    <w:bookmarkEnd w:id="175"/>
    <w:bookmarkEnd w:id="176"/>
    <w:bookmarkEnd w:id="177"/>
    <w:bookmarkEnd w:id="178"/>
    <w:bookmarkEnd w:id="179"/>
    <w:bookmarkEnd w:id="180"/>
    <w:bookmarkEnd w:id="181"/>
    <w:p w14:paraId="58361BEC">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5.1 质量要求</w:t>
      </w:r>
    </w:p>
    <w:p w14:paraId="2FA26EF3">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5</w:t>
      </w:r>
      <w:bookmarkStart w:id="182" w:name="_Toc300934949"/>
      <w:bookmarkStart w:id="183" w:name="_Toc297123496"/>
      <w:bookmarkStart w:id="184" w:name="_Toc297216155"/>
      <w:bookmarkStart w:id="185" w:name="_Toc318581164"/>
      <w:bookmarkStart w:id="186" w:name="_Toc304295527"/>
      <w:bookmarkStart w:id="187" w:name="_Toc303539106"/>
      <w:bookmarkStart w:id="188" w:name="_Toc312677997"/>
      <w:r>
        <w:rPr>
          <w:rFonts w:hint="eastAsia" w:ascii="宋体" w:hAnsi="宋体" w:cs="宋体"/>
          <w:szCs w:val="21"/>
          <w:highlight w:val="none"/>
        </w:rPr>
        <w:t>.1.1 特殊质量标准和要求：</w:t>
      </w:r>
      <w:r>
        <w:rPr>
          <w:rFonts w:hint="eastAsia" w:ascii="宋体" w:hAnsi="宋体" w:cs="宋体"/>
          <w:szCs w:val="21"/>
          <w:highlight w:val="none"/>
          <w:u w:val="single"/>
        </w:rPr>
        <w:t>双方对工程质量有争议，由双方同意的工程质量检测机构鉴定，所需费用及因此造成的损失，由责任方承担。双方均有责任，由双方根据其责任分别承担。</w:t>
      </w:r>
    </w:p>
    <w:p w14:paraId="62E3D0AC">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对于合同中可能出现的新材料、新技术或新工艺，合同文件可能只对其施工技术或验收标准做出约定，或者合同中 对某类材料、技术、工艺未约定制造的标准或实施的方法，在发包人认为必要的时候，承包人应按发包人的要求提出施工工艺以及发包人认为必要的任何资料和文件，并在取得发包人的批准后执行。如承包人不能一次性通过竣工验收并达到本合同约定的质量等级，则承包人向发包人支付质量违约金额为承包人合同总价的2%，且进行返工直至验收合格，如此耽误的工期发包人不予延长；质量违约金额可以由承包人向发包人支付或由发包人直接从承包人任何应得的款项中除。承包人按本款约定支付质量违约金，并不减少或免除承包人本合同项下的义务。</w:t>
      </w:r>
    </w:p>
    <w:p w14:paraId="0AE1A9A7">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如果承包人支付给发包人的质量违约金总额不足以弥补因承包人质量违约给发包人造成的损失，承包人应另行向发包人支付赔偿金。承包人知晓本工程的质量违约将会给发包人带来非常严重的违约责任和经济损失。</w:t>
      </w:r>
    </w:p>
    <w:p w14:paraId="63FFD60E">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szCs w:val="21"/>
          <w:highlight w:val="none"/>
          <w:u w:val="single"/>
        </w:rPr>
        <w:t>施工过程中如果发包人确认施工质量已无法最终满足合同要求，发包人有权单方解除施工承包合同。合同解除并不影响承包人承担违约责任。</w:t>
      </w:r>
    </w:p>
    <w:p w14:paraId="6C7FA936">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kern w:val="0"/>
          <w:szCs w:val="21"/>
          <w:highlight w:val="none"/>
        </w:rPr>
        <w:t>关于工程奖项的约定：</w:t>
      </w:r>
      <w:r>
        <w:rPr>
          <w:rFonts w:hint="eastAsia" w:ascii="宋体" w:hAnsi="宋体" w:cs="宋体"/>
          <w:kern w:val="0"/>
          <w:szCs w:val="21"/>
          <w:highlight w:val="none"/>
          <w:u w:val="single"/>
        </w:rPr>
        <w:t xml:space="preserve">           /            </w:t>
      </w:r>
      <w:r>
        <w:rPr>
          <w:rFonts w:hint="eastAsia" w:ascii="宋体" w:hAnsi="宋体" w:cs="宋体"/>
          <w:szCs w:val="21"/>
          <w:highlight w:val="none"/>
          <w:u w:val="single"/>
        </w:rPr>
        <w:t xml:space="preserve"> </w:t>
      </w:r>
      <w:r>
        <w:rPr>
          <w:rFonts w:hint="eastAsia" w:ascii="宋体" w:hAnsi="宋体" w:cs="宋体"/>
          <w:szCs w:val="21"/>
          <w:highlight w:val="none"/>
        </w:rPr>
        <w:t>。</w:t>
      </w:r>
    </w:p>
    <w:p w14:paraId="50906DC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5.3 隐蔽工程检查</w:t>
      </w:r>
    </w:p>
    <w:p w14:paraId="1097B3C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5.3.2承包人提前通知发包人隐蔽工程检查的期限的约定：</w:t>
      </w:r>
      <w:r>
        <w:rPr>
          <w:rFonts w:hint="eastAsia" w:ascii="宋体" w:hAnsi="宋体" w:cs="宋体"/>
          <w:szCs w:val="21"/>
          <w:highlight w:val="none"/>
          <w:u w:val="single"/>
        </w:rPr>
        <w:t>工程具备隐蔽条件或达到国家、山东省及威海市相关法律、法规、规章和规范性文件规定的中间验收部位，承包人进行自检，并在隐蔽或中间验收前48小时以书面形式通知工程师验收。通知包括隐蔽和中间验收的内容、验收时间和地点。承包人准备验收记录，验收合格，工程师在验收记录上签字后，承包人可进行隐蔽和继续施工。验收不合格，承包人在工程师限定的时间内修改后重新验收</w:t>
      </w:r>
      <w:r>
        <w:rPr>
          <w:rFonts w:hint="eastAsia" w:ascii="宋体" w:hAnsi="宋体" w:cs="宋体"/>
          <w:szCs w:val="21"/>
          <w:highlight w:val="none"/>
        </w:rPr>
        <w:t>。</w:t>
      </w:r>
    </w:p>
    <w:p w14:paraId="6BA7C719">
      <w:pPr>
        <w:autoSpaceDE w:val="0"/>
        <w:autoSpaceDN w:val="0"/>
        <w:spacing w:line="400" w:lineRule="exact"/>
        <w:ind w:firstLine="632" w:firstLineChars="300"/>
        <w:rPr>
          <w:rFonts w:hint="eastAsia" w:ascii="宋体" w:hAnsi="宋体" w:cs="宋体"/>
          <w:b/>
          <w:bCs/>
          <w:szCs w:val="21"/>
          <w:highlight w:val="none"/>
        </w:rPr>
      </w:pPr>
      <w:bookmarkStart w:id="189" w:name="_Toc351203638"/>
      <w:bookmarkStart w:id="190" w:name="_Toc371167940"/>
      <w:r>
        <w:rPr>
          <w:rFonts w:hint="eastAsia" w:ascii="宋体" w:hAnsi="宋体" w:cs="宋体"/>
          <w:b/>
          <w:bCs/>
          <w:szCs w:val="21"/>
          <w:highlight w:val="none"/>
        </w:rPr>
        <w:t>6. 安全文明施工与环境保护</w:t>
      </w:r>
      <w:bookmarkEnd w:id="189"/>
      <w:bookmarkEnd w:id="190"/>
    </w:p>
    <w:p w14:paraId="23136A4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6.1安全文明施工</w:t>
      </w:r>
    </w:p>
    <w:p w14:paraId="7DA46DC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6.1.1 项目安全生产的达标目标及相应事项的约定：</w:t>
      </w:r>
    </w:p>
    <w:p w14:paraId="0D742E30">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（1）承包人应严格按照《山东省建筑安全生产管理规定》、《环境保护法》等文件要求，保证施工现场安全生产文明施工。</w:t>
      </w:r>
    </w:p>
    <w:p w14:paraId="274A12D4">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（2）承包人负责在工程施工、竣工及保修的整个过程中施工现场全部人员的安全。发包人不承担承包人单位人员或其他人员的伤亡赔偿或补偿责任。</w:t>
      </w:r>
    </w:p>
    <w:p w14:paraId="2248CBDA">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3）工程施工中，承包方必须遵守安全生产的有关规定，采取必要的安全防护措施，杜绝安全质量事故的发生，如施工过程中确实存在重大安全隐患，应及时书面报告发包方，在排除后方可施工。如现场发生重大安全、质量事故，承包人应采取措施，负责自费保护好事故现场。</w:t>
      </w:r>
    </w:p>
    <w:p w14:paraId="7C260029">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4）在施工现场设置施工围挡和警示标志，做好安全施工工作。按标准设置围挡，要整齐牢固、美观整洁，宣传内容齐全；标志标牌符合要求，指定安全责任人，确保安全生产；施工人员要按要求挂牌上岗，安全帽要设置统一标识。如达不到规定要求的，除按发包人的要求整改达标外，发包人有权扣除相应违约金。</w:t>
      </w:r>
    </w:p>
    <w:p w14:paraId="747D81EF">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5）承包人应从施工现场清除并运出承包装备、剩余材料、垃圾和各种临时设施，并保持整个现场及工程整洁，达到发包人认为合格的使用状态。由于承包人未及时清理而发生的罚款、赔偿、纠纷等责任和费用应由承包人承担，发包人可从承包人的任何款项中扣除。</w:t>
      </w:r>
    </w:p>
    <w:p w14:paraId="2F1426B8">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6.1.4 关于治安保卫的特别约定：</w:t>
      </w:r>
      <w:r>
        <w:rPr>
          <w:rFonts w:hint="eastAsia" w:ascii="宋体" w:hAnsi="宋体" w:cs="宋体"/>
          <w:b/>
          <w:szCs w:val="21"/>
          <w:highlight w:val="none"/>
          <w:u w:val="single"/>
        </w:rPr>
        <w:t>按照工程所在地行政主管部门规定执行</w:t>
      </w:r>
      <w:r>
        <w:rPr>
          <w:rFonts w:hint="eastAsia" w:ascii="宋体" w:hAnsi="宋体" w:cs="宋体"/>
          <w:szCs w:val="21"/>
          <w:highlight w:val="none"/>
        </w:rPr>
        <w:t>。</w:t>
      </w:r>
    </w:p>
    <w:p w14:paraId="66E82EA1">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关于编制施工场地治安管理计划的约定：</w:t>
      </w:r>
      <w:r>
        <w:rPr>
          <w:rFonts w:hint="eastAsia" w:ascii="宋体" w:hAnsi="宋体" w:cs="宋体"/>
          <w:b/>
          <w:szCs w:val="21"/>
          <w:highlight w:val="none"/>
          <w:u w:val="single"/>
        </w:rPr>
        <w:t>按照工程所在地行政主管部门规定执行</w:t>
      </w:r>
      <w:r>
        <w:rPr>
          <w:rFonts w:hint="eastAsia" w:ascii="宋体" w:hAnsi="宋体" w:cs="宋体"/>
          <w:szCs w:val="21"/>
          <w:highlight w:val="none"/>
        </w:rPr>
        <w:t>。</w:t>
      </w:r>
    </w:p>
    <w:p w14:paraId="158AFBB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6.1.5 文明施工</w:t>
      </w:r>
    </w:p>
    <w:p w14:paraId="1476B682">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合同当事人对文明施工的要求：</w:t>
      </w:r>
      <w:r>
        <w:rPr>
          <w:rFonts w:hint="eastAsia" w:ascii="宋体" w:hAnsi="宋体" w:cs="宋体"/>
          <w:b/>
          <w:szCs w:val="21"/>
          <w:highlight w:val="none"/>
          <w:u w:val="single"/>
        </w:rPr>
        <w:t>承包人应按通用条款要求做好文明施工工作。宣传内容齐全，制定防尘降噪措施，如达不到规定要求的，除按发包人的要求整改达标外，发包人有权扣除相应违约金。</w:t>
      </w:r>
    </w:p>
    <w:p w14:paraId="50A897F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6.1.6 关于安全文明施工费支付比例和支付期限的约定：</w:t>
      </w:r>
      <w:r>
        <w:rPr>
          <w:rFonts w:hint="eastAsia" w:ascii="宋体" w:hAnsi="宋体" w:cs="宋体"/>
          <w:b/>
          <w:szCs w:val="21"/>
          <w:highlight w:val="none"/>
          <w:u w:val="single"/>
        </w:rPr>
        <w:t>已包含在合同价款内，按工程进度款支付比例支付。</w:t>
      </w:r>
    </w:p>
    <w:bookmarkEnd w:id="182"/>
    <w:bookmarkEnd w:id="183"/>
    <w:bookmarkEnd w:id="184"/>
    <w:bookmarkEnd w:id="185"/>
    <w:bookmarkEnd w:id="186"/>
    <w:bookmarkEnd w:id="187"/>
    <w:bookmarkEnd w:id="188"/>
    <w:p w14:paraId="38E12B3A">
      <w:pPr>
        <w:autoSpaceDE w:val="0"/>
        <w:autoSpaceDN w:val="0"/>
        <w:spacing w:line="400" w:lineRule="exact"/>
        <w:ind w:firstLine="632" w:firstLineChars="300"/>
        <w:rPr>
          <w:rFonts w:hint="eastAsia" w:ascii="宋体" w:hAnsi="宋体" w:cs="宋体"/>
          <w:b/>
          <w:bCs/>
          <w:szCs w:val="21"/>
          <w:highlight w:val="none"/>
        </w:rPr>
      </w:pPr>
      <w:bookmarkStart w:id="191" w:name="_Toc371167941"/>
      <w:bookmarkStart w:id="192" w:name="_Toc351203639"/>
      <w:r>
        <w:rPr>
          <w:rFonts w:hint="eastAsia" w:ascii="宋体" w:hAnsi="宋体" w:cs="宋体"/>
          <w:b/>
          <w:bCs/>
          <w:szCs w:val="21"/>
          <w:highlight w:val="none"/>
        </w:rPr>
        <w:t>7. 工期和进度</w:t>
      </w:r>
      <w:bookmarkEnd w:id="191"/>
      <w:bookmarkEnd w:id="192"/>
    </w:p>
    <w:p w14:paraId="403FBDC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7.1 施工组织设计</w:t>
      </w:r>
    </w:p>
    <w:p w14:paraId="42A52FAA">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7.1.1 合同当事人约定的施工组织设计应包括的其他内容：</w:t>
      </w:r>
      <w:r>
        <w:rPr>
          <w:rFonts w:hint="eastAsia" w:ascii="宋体" w:hAnsi="宋体" w:cs="宋体"/>
          <w:szCs w:val="21"/>
          <w:highlight w:val="none"/>
          <w:u w:val="single"/>
        </w:rPr>
        <w:t xml:space="preserve">承包人应在合同生效后向发包人提交一份适合于整个工程的施工组织设计（含主要工序的施工方案）供发包人批准。该施工组织设计不应低于随投标文件提交的施工组织设计内所说明的所有工程内容和承诺，而是对其的进一步细化及优化。在施工过程中，发包人有权要求承包人随时提发包人认为必要的关于施工组织设计的任何说明或文件，承包人应按要求提供。 </w:t>
      </w:r>
    </w:p>
    <w:p w14:paraId="4E2B22CD">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承包人应按照经发包人批准的上述施工组织设计进行施工。但在任何情况下，发包人对上述任何施工组织设计的批准不应减轻或免除承包人对其应负的责任</w:t>
      </w:r>
      <w:r>
        <w:rPr>
          <w:rFonts w:hint="eastAsia" w:ascii="宋体" w:hAnsi="宋体" w:cs="宋体"/>
          <w:szCs w:val="21"/>
          <w:highlight w:val="none"/>
        </w:rPr>
        <w:t>。</w:t>
      </w:r>
    </w:p>
    <w:p w14:paraId="78A9EB3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7.1.2 施工组织设计的提交和修改</w:t>
      </w:r>
    </w:p>
    <w:p w14:paraId="6B5B4D88">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承包人提交详细施工组织设计的期限的约定：</w:t>
      </w:r>
      <w:r>
        <w:rPr>
          <w:rFonts w:hint="eastAsia" w:ascii="宋体" w:hAnsi="宋体" w:cs="宋体"/>
          <w:b/>
          <w:szCs w:val="21"/>
          <w:highlight w:val="none"/>
          <w:u w:val="single"/>
        </w:rPr>
        <w:t>承包人应在图纸会审后5天内将施工组织设计和进度计划按发包人同意的格式和详细程度提报给发包人各一份，以获取发包人的批准。</w:t>
      </w:r>
      <w:r>
        <w:rPr>
          <w:rFonts w:hint="eastAsia" w:ascii="宋体" w:hAnsi="宋体" w:cs="宋体"/>
          <w:szCs w:val="21"/>
          <w:highlight w:val="none"/>
          <w:u w:val="single"/>
        </w:rPr>
        <w:t>同时，还应以书面形式提交一份为保证该进度计划而拟采用的方法和安排的说明，此工程进度计划不对报价文件做实质性变动，而是对其的进一步细化。</w:t>
      </w:r>
    </w:p>
    <w:p w14:paraId="4ADC376D">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为保证工程按期竣工，当工程的实际进度与已经批准的进度计划不符时，承包人应根据发包人的要求修订原进度计划。同时，承包人要有必要和适当的措施来保证工程按照批准的进度计划或修订的进度计划进行</w:t>
      </w:r>
      <w:r>
        <w:rPr>
          <w:rFonts w:hint="eastAsia" w:ascii="宋体" w:hAnsi="宋体" w:cs="宋体"/>
          <w:szCs w:val="21"/>
          <w:highlight w:val="none"/>
        </w:rPr>
        <w:t>。</w:t>
      </w:r>
    </w:p>
    <w:p w14:paraId="3675019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发包人在收到详细的施工组织设计后确认或提出修改意见的期限：</w:t>
      </w:r>
      <w:r>
        <w:rPr>
          <w:rFonts w:hint="eastAsia" w:ascii="宋体" w:hAnsi="宋体" w:cs="宋体"/>
          <w:b/>
          <w:szCs w:val="21"/>
          <w:highlight w:val="none"/>
          <w:u w:val="single"/>
        </w:rPr>
        <w:t xml:space="preserve">发包人收到后7天内应予以确认或提出修改意见。 </w:t>
      </w:r>
    </w:p>
    <w:p w14:paraId="50B7E98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193" w:name="_Toc312677479"/>
      <w:bookmarkStart w:id="194" w:name="_Toc303539123"/>
      <w:bookmarkStart w:id="195" w:name="_Toc297123514"/>
      <w:bookmarkStart w:id="196" w:name="_Toc312678005"/>
      <w:bookmarkStart w:id="197" w:name="_Toc297216173"/>
      <w:bookmarkStart w:id="198" w:name="_Toc304295541"/>
      <w:bookmarkStart w:id="199" w:name="_Toc300934966"/>
      <w:r>
        <w:rPr>
          <w:rFonts w:hint="eastAsia" w:ascii="宋体" w:hAnsi="宋体" w:cs="宋体"/>
          <w:szCs w:val="21"/>
          <w:highlight w:val="none"/>
        </w:rPr>
        <w:t>.2 施工进度计划</w:t>
      </w:r>
    </w:p>
    <w:p w14:paraId="4C98055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7.2.2 施工进度计划的修订</w:t>
      </w:r>
    </w:p>
    <w:p w14:paraId="27B0DA2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发包人在收到修订的施工进度计划后确认或提出修改意见的期限：</w:t>
      </w:r>
      <w:r>
        <w:rPr>
          <w:rFonts w:hint="eastAsia" w:ascii="宋体" w:hAnsi="宋体" w:cs="宋体"/>
          <w:b/>
          <w:szCs w:val="21"/>
          <w:highlight w:val="none"/>
          <w:u w:val="single"/>
        </w:rPr>
        <w:t>发包人收到后7天内应予以确认或提出修改意见。</w:t>
      </w:r>
    </w:p>
    <w:p w14:paraId="7A2197C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7.3 开工</w:t>
      </w:r>
    </w:p>
    <w:p w14:paraId="56A2F1B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7.3.1 开工准备</w:t>
      </w:r>
    </w:p>
    <w:p w14:paraId="65A8B74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关于承包人提交工程开工报审表的期限：</w:t>
      </w:r>
      <w:r>
        <w:rPr>
          <w:rFonts w:hint="eastAsia" w:ascii="宋体" w:hAnsi="宋体" w:cs="宋体"/>
          <w:b/>
          <w:szCs w:val="21"/>
          <w:highlight w:val="none"/>
          <w:u w:val="single"/>
        </w:rPr>
        <w:t>开工前7日内</w:t>
      </w:r>
      <w:r>
        <w:rPr>
          <w:rFonts w:hint="eastAsia" w:ascii="宋体" w:hAnsi="宋体" w:cs="宋体"/>
          <w:szCs w:val="21"/>
          <w:highlight w:val="none"/>
        </w:rPr>
        <w:t>。</w:t>
      </w:r>
    </w:p>
    <w:p w14:paraId="4D7ED14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关于发包人应完成的其他开工准备工作及期限：</w:t>
      </w:r>
      <w:r>
        <w:rPr>
          <w:rFonts w:hint="eastAsia" w:ascii="宋体" w:hAnsi="宋体" w:cs="宋体"/>
          <w:b/>
          <w:szCs w:val="21"/>
          <w:highlight w:val="none"/>
          <w:u w:val="single"/>
        </w:rPr>
        <w:t>开工前7日内</w:t>
      </w:r>
      <w:r>
        <w:rPr>
          <w:rFonts w:hint="eastAsia" w:ascii="宋体" w:hAnsi="宋体" w:cs="宋体"/>
          <w:szCs w:val="21"/>
          <w:highlight w:val="none"/>
        </w:rPr>
        <w:t>。</w:t>
      </w:r>
    </w:p>
    <w:p w14:paraId="2104ABE1">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关于承包人应完成的其他开工准备工作及期限：</w:t>
      </w:r>
      <w:r>
        <w:rPr>
          <w:rFonts w:hint="eastAsia" w:ascii="宋体" w:hAnsi="宋体" w:cs="宋体"/>
          <w:b/>
          <w:szCs w:val="21"/>
          <w:highlight w:val="none"/>
          <w:u w:val="single"/>
        </w:rPr>
        <w:t>开工前7日内</w:t>
      </w:r>
      <w:r>
        <w:rPr>
          <w:rFonts w:hint="eastAsia" w:ascii="宋体" w:hAnsi="宋体" w:cs="宋体"/>
          <w:szCs w:val="21"/>
          <w:highlight w:val="none"/>
          <w:u w:val="single"/>
        </w:rPr>
        <w:t>。</w:t>
      </w:r>
    </w:p>
    <w:p w14:paraId="29B7ED2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7.3.2开工通知</w:t>
      </w:r>
    </w:p>
    <w:p w14:paraId="12A6D18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因发包人原因造成未能在计划开工日期之日起</w:t>
      </w:r>
      <w:r>
        <w:rPr>
          <w:rFonts w:hint="eastAsia" w:ascii="宋体" w:hAnsi="宋体" w:cs="宋体"/>
          <w:b/>
          <w:szCs w:val="21"/>
          <w:highlight w:val="none"/>
          <w:u w:val="single"/>
        </w:rPr>
        <w:t>90</w:t>
      </w:r>
      <w:r>
        <w:rPr>
          <w:rFonts w:hint="eastAsia" w:ascii="宋体" w:hAnsi="宋体" w:cs="宋体"/>
          <w:szCs w:val="21"/>
          <w:highlight w:val="none"/>
        </w:rPr>
        <w:t>天内发出开工通知的，承包人有权提出价格调整要求，或者解除合同。</w:t>
      </w:r>
    </w:p>
    <w:bookmarkEnd w:id="193"/>
    <w:bookmarkEnd w:id="194"/>
    <w:bookmarkEnd w:id="195"/>
    <w:bookmarkEnd w:id="196"/>
    <w:bookmarkEnd w:id="197"/>
    <w:bookmarkEnd w:id="198"/>
    <w:bookmarkEnd w:id="199"/>
    <w:p w14:paraId="3A9AEFD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7.4 测量放线</w:t>
      </w:r>
    </w:p>
    <w:p w14:paraId="40B78B74">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7.4.1发包人向承包人提供测量基准点、基准线和水准点及其书面资料的期限：</w:t>
      </w:r>
      <w:r>
        <w:rPr>
          <w:rFonts w:hint="eastAsia" w:ascii="宋体" w:hAnsi="宋体" w:cs="宋体"/>
          <w:b/>
          <w:szCs w:val="21"/>
          <w:highlight w:val="none"/>
          <w:u w:val="single"/>
        </w:rPr>
        <w:t>开工前</w:t>
      </w:r>
      <w:r>
        <w:rPr>
          <w:rFonts w:hint="eastAsia" w:ascii="宋体" w:hAnsi="宋体" w:cs="宋体"/>
          <w:szCs w:val="21"/>
          <w:highlight w:val="none"/>
        </w:rPr>
        <w:t>。</w:t>
      </w:r>
    </w:p>
    <w:p w14:paraId="51C220B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00" w:name="_Toc303539125"/>
      <w:bookmarkStart w:id="201" w:name="_Toc312678010"/>
      <w:bookmarkStart w:id="202" w:name="_Toc312677484"/>
      <w:bookmarkStart w:id="203" w:name="_Toc300934968"/>
      <w:bookmarkStart w:id="204" w:name="_Toc297123516"/>
      <w:bookmarkStart w:id="205" w:name="_Toc304295546"/>
      <w:bookmarkStart w:id="206" w:name="_Toc297216175"/>
      <w:r>
        <w:rPr>
          <w:rFonts w:hint="eastAsia" w:ascii="宋体" w:hAnsi="宋体" w:cs="宋体"/>
          <w:szCs w:val="21"/>
          <w:highlight w:val="none"/>
        </w:rPr>
        <w:t>.5 工期延误</w:t>
      </w:r>
    </w:p>
    <w:bookmarkEnd w:id="200"/>
    <w:bookmarkEnd w:id="201"/>
    <w:bookmarkEnd w:id="202"/>
    <w:bookmarkEnd w:id="203"/>
    <w:bookmarkEnd w:id="204"/>
    <w:bookmarkEnd w:id="205"/>
    <w:bookmarkEnd w:id="206"/>
    <w:p w14:paraId="061C175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7.5.1 因发包人原因导致工期延误</w:t>
      </w:r>
    </w:p>
    <w:p w14:paraId="096ECAF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（7）因发包人原因导致工期延误的其他情形：</w:t>
      </w:r>
      <w:r>
        <w:rPr>
          <w:rFonts w:hint="eastAsia" w:ascii="宋体" w:hAnsi="宋体" w:cs="宋体"/>
          <w:szCs w:val="21"/>
          <w:highlight w:val="none"/>
          <w:u w:val="single"/>
        </w:rPr>
        <w:t>延期开工和工期顺延的请求必须经发包人书面批复后生效。</w:t>
      </w:r>
    </w:p>
    <w:p w14:paraId="4F94C65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07" w:name="_Toc312677486"/>
      <w:bookmarkStart w:id="208" w:name="_Toc312678012"/>
      <w:bookmarkStart w:id="209" w:name="_Toc318581169"/>
      <w:bookmarkStart w:id="210" w:name="_Toc297216177"/>
      <w:bookmarkStart w:id="211" w:name="_Toc297123518"/>
      <w:bookmarkStart w:id="212" w:name="_Toc300934970"/>
      <w:bookmarkStart w:id="213" w:name="_Toc304295548"/>
      <w:bookmarkStart w:id="214" w:name="_Toc303539127"/>
      <w:r>
        <w:rPr>
          <w:rFonts w:hint="eastAsia" w:ascii="宋体" w:hAnsi="宋体" w:cs="宋体"/>
          <w:szCs w:val="21"/>
          <w:highlight w:val="none"/>
        </w:rPr>
        <w:t>.5.2 因承包人原因导致工期延误</w:t>
      </w:r>
    </w:p>
    <w:bookmarkEnd w:id="207"/>
    <w:bookmarkEnd w:id="208"/>
    <w:bookmarkEnd w:id="209"/>
    <w:p w14:paraId="2883D865">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因</w:t>
      </w:r>
      <w:bookmarkStart w:id="215" w:name="_Toc312677487"/>
      <w:bookmarkStart w:id="216" w:name="_Toc318581170"/>
      <w:bookmarkStart w:id="217" w:name="_Toc312678013"/>
      <w:r>
        <w:rPr>
          <w:rFonts w:hint="eastAsia" w:ascii="宋体" w:hAnsi="宋体" w:cs="宋体"/>
          <w:szCs w:val="21"/>
          <w:highlight w:val="none"/>
        </w:rPr>
        <w:t>承包人原因造成工期延误，逾期竣工违约金的计算方法为：</w:t>
      </w:r>
    </w:p>
    <w:p w14:paraId="1807469F">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承包人保证按批准的计划进度进行施工，若发包人发现实际进度与计划进度不符时，或认为本合同工程的进度过慢，可要求承包人增加人员和机械设备，或通知承包人采取必要的措施，以确保工程在合同规定的时期内完成，承包人不得无故拒绝，也无权要求为了采取这些措施而支付任何附加费用。</w:t>
      </w:r>
    </w:p>
    <w:p w14:paraId="1A8EC0E2">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如果在接到发包人通知后3天内，未能采取加快工程进度的措施，致使实际工程进度进一步滞后，或承包人虽采取了一些措施，仍无法按照规定的工期完成合同工程，则必须向发包人支付按合同总价的千分之一计算的金额作为赔偿金。时间自在接到发包人通知后 3天起到工程施工工期止，按天计算。发包人可以从应付或到期应付给承包人的任何款项中扣除此偿金，但不排除其他扣款方法。扣除赔偿金，并不解除合同规定的承包人对完成本工程的义务和责任。同时发包人有权安排其它承包人承担全部剩余工程。</w:t>
      </w:r>
    </w:p>
    <w:p w14:paraId="4889373F">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如果承包人中间节点工期延误，但经承包人努力，总工期按期完工的，并且不影响专业分包工程和独立工程的施工时间，承包人所支付的节点工期违约金应予返还</w:t>
      </w:r>
      <w:r>
        <w:rPr>
          <w:rFonts w:hint="eastAsia" w:ascii="宋体" w:hAnsi="宋体" w:cs="宋体"/>
          <w:szCs w:val="21"/>
          <w:highlight w:val="none"/>
        </w:rPr>
        <w:t>。</w:t>
      </w:r>
    </w:p>
    <w:p w14:paraId="736A428A">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如果承包人支付给发包人的误期违约金总额不足以弥补因承包人误期竣工给发包人造成的损失，并且该损失是任何有经验承包人在订立合同时预见到或应当预见到的，承包人应另行向发包人支付赔偿金。赔偿金的数额以补足误期违约金与上述损失间的不足部分为限。承包人 应当充分了解，发包人已就本工程竣工交付与有关第三方达成了相关协议，因此本工程的误期竣工将会给发包人带来非常严重的违约责任和经济损失。</w:t>
      </w:r>
    </w:p>
    <w:p w14:paraId="11B7E1DD">
      <w:pPr>
        <w:autoSpaceDE w:val="0"/>
        <w:autoSpaceDN w:val="0"/>
        <w:adjustRightInd w:val="0"/>
        <w:spacing w:line="400" w:lineRule="exact"/>
        <w:ind w:firstLine="420" w:firstLineChars="200"/>
        <w:jc w:val="left"/>
        <w:rPr>
          <w:rFonts w:hint="eastAsia" w:ascii="宋体" w:hAnsi="宋体" w:cs="宋体"/>
          <w:b/>
          <w:szCs w:val="21"/>
          <w:highlight w:val="none"/>
          <w:u w:val="single"/>
        </w:rPr>
      </w:pPr>
      <w:r>
        <w:rPr>
          <w:rFonts w:hint="eastAsia" w:ascii="宋体" w:hAnsi="宋体" w:cs="宋体"/>
          <w:szCs w:val="21"/>
          <w:highlight w:val="none"/>
          <w:u w:val="single"/>
        </w:rPr>
        <w:t>承包人工期延误时如果发包人确认工期已无法最终满足甲方要求，发包人有权单方解除施工承包合同。合同解除并不影响承包人承担违约责任。</w:t>
      </w:r>
    </w:p>
    <w:p w14:paraId="1AB7D644">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如达不到约定质量标准，承包人应采取返工、修理等补救措施使工程质量达到约定的质量标准，并承担所支付的一切费用。因此给发包人造成相应损失由承包人承担，返工期间工期不予顺延，并赔偿发包人的合理损失。</w:t>
      </w:r>
    </w:p>
    <w:bookmarkEnd w:id="210"/>
    <w:bookmarkEnd w:id="211"/>
    <w:bookmarkEnd w:id="212"/>
    <w:bookmarkEnd w:id="213"/>
    <w:bookmarkEnd w:id="214"/>
    <w:bookmarkEnd w:id="215"/>
    <w:bookmarkEnd w:id="216"/>
    <w:bookmarkEnd w:id="217"/>
    <w:p w14:paraId="6AA831D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因承包人原因造成工期延误，逾</w:t>
      </w:r>
      <w:bookmarkStart w:id="218" w:name="_Toc318581171"/>
      <w:bookmarkStart w:id="219" w:name="_Toc312678014"/>
      <w:r>
        <w:rPr>
          <w:rFonts w:hint="eastAsia" w:ascii="宋体" w:hAnsi="宋体" w:cs="宋体"/>
          <w:szCs w:val="21"/>
          <w:highlight w:val="none"/>
        </w:rPr>
        <w:t>期竣工违约金的上限：</w:t>
      </w:r>
      <w:r>
        <w:rPr>
          <w:rFonts w:hint="eastAsia" w:ascii="宋体" w:hAnsi="宋体" w:cs="宋体"/>
          <w:b/>
          <w:szCs w:val="21"/>
          <w:highlight w:val="none"/>
          <w:u w:val="single"/>
        </w:rPr>
        <w:t>合同价格的10% 。</w:t>
      </w:r>
    </w:p>
    <w:bookmarkEnd w:id="218"/>
    <w:bookmarkEnd w:id="219"/>
    <w:p w14:paraId="254A5A6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20" w:name="_Toc297123519"/>
      <w:bookmarkStart w:id="221" w:name="_Toc300934971"/>
      <w:bookmarkStart w:id="222" w:name="_Toc304295549"/>
      <w:bookmarkStart w:id="223" w:name="_Toc297216178"/>
      <w:bookmarkStart w:id="224" w:name="_Toc303539128"/>
      <w:bookmarkStart w:id="225" w:name="_Toc312678015"/>
      <w:r>
        <w:rPr>
          <w:rFonts w:hint="eastAsia" w:ascii="宋体" w:hAnsi="宋体" w:cs="宋体"/>
          <w:szCs w:val="21"/>
          <w:highlight w:val="none"/>
        </w:rPr>
        <w:t>.6 不</w:t>
      </w:r>
      <w:bookmarkEnd w:id="220"/>
      <w:bookmarkEnd w:id="221"/>
      <w:bookmarkEnd w:id="222"/>
      <w:bookmarkEnd w:id="223"/>
      <w:bookmarkEnd w:id="224"/>
      <w:bookmarkEnd w:id="225"/>
      <w:r>
        <w:rPr>
          <w:rFonts w:hint="eastAsia" w:ascii="宋体" w:hAnsi="宋体" w:cs="宋体"/>
          <w:szCs w:val="21"/>
          <w:highlight w:val="none"/>
        </w:rPr>
        <w:t>利物质条件</w:t>
      </w:r>
    </w:p>
    <w:p w14:paraId="06B5E4BB">
      <w:pPr>
        <w:autoSpaceDE w:val="0"/>
        <w:autoSpaceDN w:val="0"/>
        <w:spacing w:line="400" w:lineRule="exact"/>
        <w:ind w:firstLine="630" w:firstLineChars="300"/>
        <w:rPr>
          <w:rFonts w:hint="eastAsia" w:ascii="宋体" w:hAnsi="宋体" w:cs="宋体"/>
          <w:szCs w:val="21"/>
          <w:highlight w:val="none"/>
          <w:u w:val="single"/>
        </w:rPr>
      </w:pPr>
      <w:bookmarkStart w:id="226" w:name="_Toc297123520"/>
      <w:bookmarkStart w:id="227" w:name="_Toc303539129"/>
      <w:bookmarkStart w:id="228" w:name="_Toc304295550"/>
      <w:bookmarkStart w:id="229" w:name="_Toc312678016"/>
      <w:bookmarkStart w:id="230" w:name="_Toc297216179"/>
      <w:bookmarkStart w:id="231" w:name="_Toc300934972"/>
      <w:bookmarkStart w:id="232" w:name="_Toc318581172"/>
      <w:r>
        <w:rPr>
          <w:rFonts w:hint="eastAsia" w:ascii="宋体" w:hAnsi="宋体" w:cs="宋体"/>
          <w:szCs w:val="21"/>
          <w:highlight w:val="none"/>
        </w:rPr>
        <w:t>不利物质条件的其他情形和有关约定：</w:t>
      </w:r>
      <w:r>
        <w:rPr>
          <w:rFonts w:hint="eastAsia" w:ascii="宋体" w:hAnsi="宋体" w:cs="宋体"/>
          <w:szCs w:val="21"/>
          <w:highlight w:val="none"/>
          <w:u w:val="single"/>
        </w:rPr>
        <w:t>/</w:t>
      </w:r>
      <w:r>
        <w:rPr>
          <w:rFonts w:hint="eastAsia" w:ascii="宋体" w:hAnsi="宋体" w:cs="宋体"/>
          <w:szCs w:val="21"/>
          <w:highlight w:val="none"/>
        </w:rPr>
        <w:t>。</w:t>
      </w:r>
    </w:p>
    <w:bookmarkEnd w:id="226"/>
    <w:bookmarkEnd w:id="227"/>
    <w:bookmarkEnd w:id="228"/>
    <w:bookmarkEnd w:id="229"/>
    <w:bookmarkEnd w:id="230"/>
    <w:bookmarkEnd w:id="231"/>
    <w:bookmarkEnd w:id="232"/>
    <w:p w14:paraId="386291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33" w:name="_Toc303539130"/>
      <w:bookmarkStart w:id="234" w:name="_Toc297123521"/>
      <w:bookmarkStart w:id="235" w:name="_Toc297216180"/>
      <w:bookmarkStart w:id="236" w:name="_Toc312678017"/>
      <w:bookmarkStart w:id="237" w:name="_Toc300934973"/>
      <w:bookmarkStart w:id="238" w:name="_Toc304295551"/>
      <w:r>
        <w:rPr>
          <w:rFonts w:hint="eastAsia" w:ascii="宋体" w:hAnsi="宋体" w:cs="宋体"/>
          <w:szCs w:val="21"/>
          <w:highlight w:val="none"/>
        </w:rPr>
        <w:t>.7异常恶劣的气候条件</w:t>
      </w:r>
    </w:p>
    <w:bookmarkEnd w:id="233"/>
    <w:bookmarkEnd w:id="234"/>
    <w:bookmarkEnd w:id="235"/>
    <w:bookmarkEnd w:id="236"/>
    <w:bookmarkEnd w:id="237"/>
    <w:bookmarkEnd w:id="238"/>
    <w:p w14:paraId="3551E71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发包人和承包人同意以下情形视为异常恶劣的气候条件：</w:t>
      </w:r>
    </w:p>
    <w:p w14:paraId="67873D2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r>
        <w:rPr>
          <w:rFonts w:hint="eastAsia" w:ascii="宋体" w:hAnsi="宋体" w:cs="宋体"/>
          <w:szCs w:val="21"/>
          <w:highlight w:val="none"/>
          <w:u w:val="single"/>
        </w:rPr>
        <w:t>/</w:t>
      </w:r>
      <w:r>
        <w:rPr>
          <w:rFonts w:hint="eastAsia" w:ascii="宋体" w:hAnsi="宋体" w:cs="宋体"/>
          <w:szCs w:val="21"/>
          <w:highlight w:val="none"/>
        </w:rPr>
        <w:t>；</w:t>
      </w:r>
    </w:p>
    <w:p w14:paraId="6EB5C0C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w:t>
      </w:r>
      <w:r>
        <w:rPr>
          <w:rFonts w:hint="eastAsia" w:ascii="宋体" w:hAnsi="宋体" w:cs="宋体"/>
          <w:szCs w:val="21"/>
          <w:highlight w:val="none"/>
          <w:u w:val="single"/>
        </w:rPr>
        <w:t>/</w:t>
      </w:r>
      <w:r>
        <w:rPr>
          <w:rFonts w:hint="eastAsia" w:ascii="宋体" w:hAnsi="宋体" w:cs="宋体"/>
          <w:szCs w:val="21"/>
          <w:highlight w:val="none"/>
        </w:rPr>
        <w:t>；</w:t>
      </w:r>
    </w:p>
    <w:p w14:paraId="2DA2863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（3）</w:t>
      </w:r>
      <w:r>
        <w:rPr>
          <w:rFonts w:hint="eastAsia" w:ascii="宋体" w:hAnsi="宋体" w:cs="宋体"/>
          <w:szCs w:val="21"/>
          <w:highlight w:val="none"/>
          <w:u w:val="single"/>
        </w:rPr>
        <w:t>/</w:t>
      </w:r>
      <w:r>
        <w:rPr>
          <w:rFonts w:hint="eastAsia" w:ascii="宋体" w:hAnsi="宋体" w:cs="宋体"/>
          <w:szCs w:val="21"/>
          <w:highlight w:val="none"/>
        </w:rPr>
        <w:t>。</w:t>
      </w:r>
    </w:p>
    <w:p w14:paraId="151411B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7.8暂停施工</w:t>
      </w:r>
    </w:p>
    <w:p w14:paraId="25EE510A">
      <w:pPr>
        <w:tabs>
          <w:tab w:val="left" w:pos="723"/>
        </w:tabs>
        <w:autoSpaceDE w:val="0"/>
        <w:autoSpaceDN w:val="0"/>
        <w:adjustRightInd w:val="0"/>
        <w:spacing w:line="400" w:lineRule="exact"/>
        <w:ind w:right="-30"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考虑到项目的整体计划，发包人可以随时要求承包人暂停进行部分或全部工程。如果在发包人发出部分或全部工程暂停指令之前，承包人已经订购了有关工程设备或材料，并且工程暂停已经超过28天，承包人有权得到的付款应为该工程设备或材料在停工日期前订购上述材料设备而发生的费用。但以下列条件为前提：</w:t>
      </w:r>
    </w:p>
    <w:p w14:paraId="0485226C">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(1) 承包人根据发包人的指令已将该工程设备或材料标记为发包人的财产；</w:t>
      </w:r>
    </w:p>
    <w:p w14:paraId="7DCD239C">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(2) 暂时停工不是由于承包人原因造成的；</w:t>
      </w:r>
    </w:p>
    <w:p w14:paraId="3EEEF96F">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(3) 如果承包人要求，发包人应随后接管该工程设备或材料。</w:t>
      </w:r>
    </w:p>
    <w:p w14:paraId="17CB9AF4">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一旦双方对于窝工损失发生争议，则承包人应当证明其采取了所有可能采取的合理措施以避免损失扩大，并应当提供书面的记录或文件予以佐证。</w:t>
      </w:r>
    </w:p>
    <w:p w14:paraId="068FE61F">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kern w:val="0"/>
          <w:szCs w:val="21"/>
          <w:highlight w:val="none"/>
        </w:rPr>
        <w:t>暂停后复工：</w:t>
      </w:r>
    </w:p>
    <w:p w14:paraId="309DBD94">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kern w:val="0"/>
          <w:szCs w:val="21"/>
          <w:highlight w:val="none"/>
          <w:u w:val="single"/>
        </w:rPr>
        <w:t xml:space="preserve">在收到发包人发出的继续施工的许可或指示（该许可和指示已经事先得到发包人的批准）后，承包人应与发包人一起检查受到暂停影响的工程以及工程设备和材料。承包人应修复在暂停期间发生在工程中的任何损蚀、缺陷或损失。如果此类暂停不是由于承包人的某种违约或过失造成，则修复费用由发包人承担；如果此类暂停是由于承包人的某种违约或过失造成，或（无论由于何种原因造成）承包人未能执行发包人的指示履行适当保护和照管责任，则修复费用由承包人承担。 </w:t>
      </w:r>
    </w:p>
    <w:p w14:paraId="494D3A71">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7.9 提前竣工的奖励</w:t>
      </w:r>
    </w:p>
    <w:p w14:paraId="3CB800F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7.9.2提前竣工的奖励：</w:t>
      </w:r>
      <w:r>
        <w:rPr>
          <w:rFonts w:hint="eastAsia" w:ascii="宋体" w:hAnsi="宋体" w:cs="宋体"/>
          <w:szCs w:val="21"/>
          <w:highlight w:val="none"/>
          <w:u w:val="single"/>
        </w:rPr>
        <w:t xml:space="preserve">   /   </w:t>
      </w:r>
      <w:r>
        <w:rPr>
          <w:rFonts w:hint="eastAsia" w:ascii="宋体" w:hAnsi="宋体" w:cs="宋体"/>
          <w:szCs w:val="21"/>
          <w:highlight w:val="none"/>
        </w:rPr>
        <w:t>。</w:t>
      </w:r>
    </w:p>
    <w:p w14:paraId="6B29FE15">
      <w:pPr>
        <w:autoSpaceDE w:val="0"/>
        <w:autoSpaceDN w:val="0"/>
        <w:spacing w:line="400" w:lineRule="exact"/>
        <w:ind w:firstLine="632" w:firstLineChars="300"/>
        <w:rPr>
          <w:rFonts w:hint="eastAsia" w:ascii="宋体" w:hAnsi="宋体" w:cs="宋体"/>
          <w:b/>
          <w:bCs/>
          <w:szCs w:val="21"/>
          <w:highlight w:val="none"/>
        </w:rPr>
      </w:pPr>
      <w:bookmarkStart w:id="239" w:name="_Toc351203640"/>
      <w:bookmarkStart w:id="240" w:name="_Toc371167942"/>
      <w:r>
        <w:rPr>
          <w:rFonts w:hint="eastAsia" w:ascii="宋体" w:hAnsi="宋体" w:cs="宋体"/>
          <w:b/>
          <w:bCs/>
          <w:szCs w:val="21"/>
          <w:highlight w:val="none"/>
        </w:rPr>
        <w:t>8. 材料与设备</w:t>
      </w:r>
      <w:bookmarkEnd w:id="239"/>
      <w:bookmarkEnd w:id="240"/>
    </w:p>
    <w:p w14:paraId="09CE125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w:t>
      </w:r>
      <w:bookmarkStart w:id="241" w:name="_Toc297123527"/>
      <w:bookmarkStart w:id="242" w:name="_Toc296890995"/>
      <w:bookmarkStart w:id="243" w:name="_Toc312678019"/>
      <w:bookmarkStart w:id="244" w:name="_Toc303539136"/>
      <w:bookmarkStart w:id="245" w:name="_Toc296503167"/>
      <w:bookmarkStart w:id="246" w:name="_Toc292559877"/>
      <w:bookmarkStart w:id="247" w:name="_Toc297216186"/>
      <w:bookmarkStart w:id="248" w:name="_Toc312677493"/>
      <w:bookmarkStart w:id="249" w:name="_Toc292559372"/>
      <w:bookmarkStart w:id="250" w:name="_Toc297048353"/>
      <w:bookmarkStart w:id="251" w:name="_Toc296944506"/>
      <w:bookmarkStart w:id="252" w:name="_Toc297120467"/>
      <w:bookmarkStart w:id="253" w:name="_Toc280868654"/>
      <w:bookmarkStart w:id="254" w:name="_Toc296347166"/>
      <w:bookmarkStart w:id="255" w:name="_Toc304295556"/>
      <w:bookmarkStart w:id="256" w:name="_Toc300934979"/>
      <w:bookmarkStart w:id="257" w:name="_Toc296891207"/>
      <w:bookmarkStart w:id="258" w:name="_Toc296346668"/>
      <w:bookmarkStart w:id="259" w:name="_Toc280868655"/>
      <w:bookmarkStart w:id="260" w:name="_Toc280868656"/>
      <w:bookmarkStart w:id="261" w:name="_Toc267251424"/>
      <w:r>
        <w:rPr>
          <w:rFonts w:hint="eastAsia" w:ascii="宋体" w:hAnsi="宋体" w:cs="宋体"/>
          <w:szCs w:val="21"/>
          <w:highlight w:val="none"/>
        </w:rPr>
        <w:t>.4材料与工程设备的保管与使用</w:t>
      </w:r>
    </w:p>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14:paraId="279945ED">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8</w:t>
      </w:r>
      <w:bookmarkStart w:id="262" w:name="_Toc292559878"/>
      <w:bookmarkStart w:id="263" w:name="_Toc292559373"/>
      <w:bookmarkStart w:id="264" w:name="_Toc303539137"/>
      <w:bookmarkStart w:id="265" w:name="_Toc296503168"/>
      <w:bookmarkStart w:id="266" w:name="_Toc297120468"/>
      <w:bookmarkStart w:id="267" w:name="_Toc318581173"/>
      <w:bookmarkStart w:id="268" w:name="_Toc312677494"/>
      <w:bookmarkStart w:id="269" w:name="_Toc296891208"/>
      <w:bookmarkStart w:id="270" w:name="_Toc300934980"/>
      <w:bookmarkStart w:id="271" w:name="_Toc304295557"/>
      <w:bookmarkStart w:id="272" w:name="_Toc296346669"/>
      <w:bookmarkStart w:id="273" w:name="_Toc297123528"/>
      <w:bookmarkStart w:id="274" w:name="_Toc297048354"/>
      <w:bookmarkStart w:id="275" w:name="_Toc296347167"/>
      <w:bookmarkStart w:id="276" w:name="_Toc296890996"/>
      <w:bookmarkStart w:id="277" w:name="_Toc312678020"/>
      <w:bookmarkStart w:id="278" w:name="_Toc296944507"/>
      <w:bookmarkStart w:id="279" w:name="_Toc297216187"/>
      <w:r>
        <w:rPr>
          <w:rFonts w:hint="eastAsia" w:ascii="宋体" w:hAnsi="宋体" w:cs="宋体"/>
          <w:szCs w:val="21"/>
          <w:highlight w:val="none"/>
        </w:rPr>
        <w:t>.4.1发包人供应的材料设备的保管费用的承担：</w:t>
      </w:r>
      <w:r>
        <w:rPr>
          <w:rFonts w:hint="eastAsia" w:ascii="宋体" w:hAnsi="宋体" w:cs="宋体"/>
          <w:b/>
          <w:szCs w:val="21"/>
          <w:highlight w:val="none"/>
          <w:u w:val="single"/>
        </w:rPr>
        <w:t>承包人。</w:t>
      </w:r>
      <w:bookmarkEnd w:id="262"/>
      <w:bookmarkEnd w:id="263"/>
    </w:p>
    <w:p w14:paraId="1BEA2C4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8.4.2 关于材料的采购及使用约定：</w:t>
      </w:r>
    </w:p>
    <w:p w14:paraId="08D121A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8.6 样品</w:t>
      </w:r>
    </w:p>
    <w:p w14:paraId="28E49FC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8.6.1</w:t>
      </w:r>
      <w:r>
        <w:rPr>
          <w:rFonts w:hint="eastAsia" w:ascii="宋体" w:hAnsi="宋体" w:cs="宋体"/>
          <w:szCs w:val="21"/>
          <w:highlight w:val="none"/>
        </w:rPr>
        <w:tab/>
      </w:r>
      <w:r>
        <w:rPr>
          <w:rFonts w:hint="eastAsia" w:ascii="宋体" w:hAnsi="宋体" w:cs="宋体"/>
          <w:szCs w:val="21"/>
          <w:highlight w:val="none"/>
        </w:rPr>
        <w:t>样品的报送与封存</w:t>
      </w:r>
    </w:p>
    <w:p w14:paraId="528AA522">
      <w:pPr>
        <w:autoSpaceDE w:val="0"/>
        <w:autoSpaceDN w:val="0"/>
        <w:spacing w:line="400" w:lineRule="exact"/>
        <w:ind w:firstLine="420" w:firstLineChars="200"/>
        <w:rPr>
          <w:rFonts w:hint="eastAsia" w:ascii="宋体" w:hAnsi="宋体" w:cs="宋体"/>
          <w:szCs w:val="21"/>
          <w:highlight w:val="none"/>
          <w:u w:val="single"/>
        </w:rPr>
      </w:pPr>
      <w:r>
        <w:rPr>
          <w:rFonts w:hint="eastAsia" w:ascii="宋体" w:hAnsi="宋体" w:cs="宋体"/>
          <w:szCs w:val="21"/>
          <w:highlight w:val="none"/>
        </w:rPr>
        <w:t>需要承包人报送样品的材料或工程设备，样品的种类、名称、规格、数量要求：</w:t>
      </w:r>
      <w:r>
        <w:rPr>
          <w:rFonts w:hint="eastAsia" w:ascii="宋体" w:hAnsi="宋体" w:cs="宋体"/>
          <w:b/>
          <w:szCs w:val="21"/>
          <w:highlight w:val="none"/>
          <w:u w:val="single"/>
        </w:rPr>
        <w:t xml:space="preserve">  根据实际情况确定。</w:t>
      </w:r>
      <w:r>
        <w:rPr>
          <w:rFonts w:hint="eastAsia" w:ascii="宋体" w:hAnsi="宋体" w:cs="宋体"/>
          <w:szCs w:val="21"/>
          <w:highlight w:val="none"/>
          <w:u w:val="single"/>
        </w:rPr>
        <w:t>包括但不限于在合同中列明的以及虽然合同中没有列明，但合同中对其质量标准、性能、规格、档次、厂家或品牌有要求或约定的材料和工程设备，承包人应加工定货时至少提前56天，向发包人提交样品并附上任何必要的说明书、证书、出厂报告、性能介绍、使用说明等相关资料，以供检验和审批。样品送达的地点和样品的数量或尺寸应符合发包人的要求。除非合同中另有约定，承包人在报送任何样品时应按发包人同意的格式填写并递交样品报送单。</w:t>
      </w:r>
    </w:p>
    <w:p w14:paraId="0F65997E">
      <w:pPr>
        <w:autoSpaceDE w:val="0"/>
        <w:autoSpaceDN w:val="0"/>
        <w:adjustRightInd w:val="0"/>
        <w:spacing w:line="400" w:lineRule="exact"/>
        <w:ind w:right="88" w:firstLine="420" w:firstLineChars="200"/>
        <w:rPr>
          <w:rFonts w:hint="eastAsia" w:ascii="宋体" w:hAnsi="宋体" w:cs="宋体"/>
          <w:szCs w:val="21"/>
          <w:highlight w:val="none"/>
          <w:u w:val="single"/>
        </w:rPr>
      </w:pPr>
      <w:r>
        <w:rPr>
          <w:rFonts w:hint="eastAsia" w:ascii="宋体" w:hAnsi="宋体" w:cs="宋体"/>
          <w:szCs w:val="21"/>
          <w:highlight w:val="none"/>
          <w:u w:val="single"/>
        </w:rPr>
        <w:t>发包人在收到样品后7天内就此样品给出书面批复，通知承包人他对此样品所做出的决定或指示。承包人应根据发包人的书面批复和指示相应地进行下一步工作。如果发包人未能在承包人报送样品后14天内给出书面批复，承包人应就此通知发包人尽快批复。如果发包人在收到此类通知后7天内仍未对样品进行批复，则视为发包人已经批准。</w:t>
      </w:r>
    </w:p>
    <w:p w14:paraId="5879A898">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u w:val="single"/>
        </w:rPr>
        <w:t>得到批准后的样品按发包人要求的数量进行封样后由各方负责存放。但承包人应为保存样品提供适当和固定的场所并保持。</w:t>
      </w:r>
    </w:p>
    <w:p w14:paraId="17892CC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8.8 施工设备和临时设施</w:t>
      </w:r>
    </w:p>
    <w:p w14:paraId="43B4511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8.8.1 承包人提供的施工设备和临时设施</w:t>
      </w:r>
    </w:p>
    <w:p w14:paraId="52A3629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1、关于承包人提供的施工设备的约定：</w:t>
      </w:r>
    </w:p>
    <w:p w14:paraId="2CED99FA">
      <w:pPr>
        <w:autoSpaceDE w:val="0"/>
        <w:autoSpaceDN w:val="0"/>
        <w:spacing w:line="400" w:lineRule="exact"/>
        <w:ind w:firstLine="413" w:firstLineChars="196"/>
        <w:rPr>
          <w:rFonts w:hint="eastAsia" w:ascii="宋体" w:hAnsi="宋体" w:cs="宋体"/>
          <w:b/>
          <w:szCs w:val="21"/>
          <w:highlight w:val="none"/>
          <w:u w:val="single"/>
        </w:rPr>
      </w:pPr>
      <w:r>
        <w:rPr>
          <w:rFonts w:hint="eastAsia" w:ascii="宋体" w:hAnsi="宋体" w:cs="宋体"/>
          <w:b/>
          <w:szCs w:val="21"/>
          <w:highlight w:val="none"/>
          <w:u w:val="single"/>
        </w:rPr>
        <w:t>承包人应严格按招标文件要求的机械设备按时到达现场，不得拖延、缺短或任意更换，否则将视为承包人违约。为保证施工正常进展，承包人进场施工后，发包人将根据承包人提交的施工组织设计安排，检查其施工设备的到位情况。承包人进场的机械、试验设备必须与招标文件所列的机械表一一对应，任何的更改和替换承包人必须出示足够的证明，证明其替换的人员或设备更优越，并须得到发包人的批准。否则属于承包人违约，承包人应按下列标准向发包人支付违约赔偿金，且此项违约赔偿金的支付并不意味免除承包人的任何责任及义务。</w:t>
      </w:r>
    </w:p>
    <w:p w14:paraId="68B4680F">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主要机械设备未能按工程计划及时到场，或到场设备不能正常运转，承包人应按 2000元 /天 ·台（套）标准向发包人支付违约偿金，承包人设备未经发包人同意擅自撤离施工现场，发包人将视情节轻重处以 1万元—5万元违约金。</w:t>
      </w:r>
    </w:p>
    <w:p w14:paraId="74715A54">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关于修建临时设施费用承担的约定：</w:t>
      </w:r>
      <w:r>
        <w:rPr>
          <w:rFonts w:hint="eastAsia" w:ascii="宋体" w:hAnsi="宋体" w:cs="宋体"/>
          <w:b/>
          <w:szCs w:val="21"/>
          <w:highlight w:val="none"/>
          <w:u w:val="single"/>
        </w:rPr>
        <w:t>由承包人承担，已包含在工程量清单报价中。</w:t>
      </w:r>
    </w:p>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14:paraId="315D9DB0">
      <w:pPr>
        <w:autoSpaceDE w:val="0"/>
        <w:autoSpaceDN w:val="0"/>
        <w:spacing w:line="400" w:lineRule="exact"/>
        <w:ind w:firstLine="632" w:firstLineChars="300"/>
        <w:rPr>
          <w:rFonts w:hint="eastAsia" w:ascii="宋体" w:hAnsi="宋体" w:cs="宋体"/>
          <w:b/>
          <w:bCs/>
          <w:szCs w:val="21"/>
          <w:highlight w:val="none"/>
        </w:rPr>
      </w:pPr>
      <w:bookmarkStart w:id="280" w:name="_Toc371167943"/>
      <w:bookmarkStart w:id="281" w:name="_Toc351203641"/>
      <w:r>
        <w:rPr>
          <w:rFonts w:hint="eastAsia" w:ascii="宋体" w:hAnsi="宋体" w:cs="宋体"/>
          <w:b/>
          <w:bCs/>
          <w:szCs w:val="21"/>
          <w:highlight w:val="none"/>
        </w:rPr>
        <w:t>9</w:t>
      </w:r>
      <w:bookmarkEnd w:id="259"/>
      <w:bookmarkEnd w:id="260"/>
      <w:bookmarkEnd w:id="261"/>
      <w:bookmarkStart w:id="282" w:name="_Toc297123533"/>
      <w:bookmarkStart w:id="283" w:name="_Toc300934982"/>
      <w:bookmarkStart w:id="284" w:name="_Toc312678021"/>
      <w:bookmarkStart w:id="285" w:name="_Toc312677495"/>
      <w:bookmarkStart w:id="286" w:name="_Toc304295559"/>
      <w:bookmarkStart w:id="287" w:name="_Toc303539139"/>
      <w:bookmarkStart w:id="288" w:name="_Toc297216192"/>
      <w:bookmarkStart w:id="289" w:name="_Toc267251428"/>
      <w:bookmarkStart w:id="290" w:name="_Toc267251427"/>
      <w:bookmarkStart w:id="291" w:name="_Toc296891213"/>
      <w:bookmarkStart w:id="292" w:name="_Toc296891001"/>
      <w:bookmarkStart w:id="293" w:name="_Toc296346674"/>
      <w:bookmarkStart w:id="294" w:name="_Toc296503173"/>
      <w:bookmarkStart w:id="295" w:name="_Toc297120473"/>
      <w:bookmarkStart w:id="296" w:name="_Toc297048359"/>
      <w:bookmarkStart w:id="297" w:name="_Toc292559378"/>
      <w:bookmarkStart w:id="298" w:name="_Toc296944512"/>
      <w:bookmarkStart w:id="299" w:name="_Toc296347172"/>
      <w:bookmarkStart w:id="300" w:name="_Toc292559883"/>
      <w:r>
        <w:rPr>
          <w:rFonts w:hint="eastAsia" w:ascii="宋体" w:hAnsi="宋体" w:cs="宋体"/>
          <w:b/>
          <w:bCs/>
          <w:szCs w:val="21"/>
          <w:highlight w:val="none"/>
        </w:rPr>
        <w:t>. 试验与检验</w:t>
      </w:r>
      <w:bookmarkEnd w:id="280"/>
      <w:bookmarkEnd w:id="281"/>
    </w:p>
    <w:bookmarkEnd w:id="282"/>
    <w:bookmarkEnd w:id="283"/>
    <w:bookmarkEnd w:id="284"/>
    <w:bookmarkEnd w:id="285"/>
    <w:bookmarkEnd w:id="286"/>
    <w:bookmarkEnd w:id="287"/>
    <w:bookmarkEnd w:id="288"/>
    <w:p w14:paraId="320053D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9</w:t>
      </w:r>
      <w:bookmarkStart w:id="301" w:name="_Toc303539140"/>
      <w:bookmarkStart w:id="302" w:name="_Toc297123534"/>
      <w:bookmarkStart w:id="303" w:name="_Toc312678022"/>
      <w:bookmarkStart w:id="304" w:name="_Toc304295560"/>
      <w:bookmarkStart w:id="305" w:name="_Toc312677496"/>
      <w:bookmarkStart w:id="306" w:name="_Toc297216193"/>
      <w:bookmarkStart w:id="307" w:name="_Toc300934983"/>
      <w:r>
        <w:rPr>
          <w:rFonts w:hint="eastAsia" w:ascii="宋体" w:hAnsi="宋体" w:cs="宋体"/>
          <w:szCs w:val="21"/>
          <w:highlight w:val="none"/>
        </w:rPr>
        <w:t>.1试验设备与试验人员</w:t>
      </w:r>
    </w:p>
    <w:bookmarkEnd w:id="301"/>
    <w:bookmarkEnd w:id="302"/>
    <w:bookmarkEnd w:id="303"/>
    <w:bookmarkEnd w:id="304"/>
    <w:bookmarkEnd w:id="305"/>
    <w:bookmarkEnd w:id="306"/>
    <w:bookmarkEnd w:id="307"/>
    <w:p w14:paraId="6FB5B13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9</w:t>
      </w:r>
      <w:bookmarkStart w:id="308" w:name="_Toc297123535"/>
      <w:bookmarkStart w:id="309" w:name="_Toc297216194"/>
      <w:bookmarkStart w:id="310" w:name="_Toc312678023"/>
      <w:bookmarkStart w:id="311" w:name="_Toc300934984"/>
      <w:bookmarkStart w:id="312" w:name="_Toc312677497"/>
      <w:bookmarkStart w:id="313" w:name="_Toc304295561"/>
      <w:bookmarkStart w:id="314" w:name="_Toc303539141"/>
      <w:bookmarkStart w:id="315" w:name="_Toc318581174"/>
      <w:r>
        <w:rPr>
          <w:rFonts w:hint="eastAsia" w:ascii="宋体" w:hAnsi="宋体" w:cs="宋体"/>
          <w:szCs w:val="21"/>
          <w:highlight w:val="none"/>
        </w:rPr>
        <w:t>.1.2 试验设备</w:t>
      </w:r>
    </w:p>
    <w:bookmarkEnd w:id="308"/>
    <w:bookmarkEnd w:id="309"/>
    <w:bookmarkEnd w:id="310"/>
    <w:bookmarkEnd w:id="311"/>
    <w:bookmarkEnd w:id="312"/>
    <w:bookmarkEnd w:id="313"/>
    <w:bookmarkEnd w:id="314"/>
    <w:p w14:paraId="533473F9">
      <w:pPr>
        <w:autoSpaceDE w:val="0"/>
        <w:autoSpaceDN w:val="0"/>
        <w:spacing w:line="400" w:lineRule="exact"/>
        <w:ind w:firstLine="630" w:firstLineChars="300"/>
        <w:rPr>
          <w:rFonts w:hint="eastAsia" w:ascii="宋体" w:hAnsi="宋体" w:cs="宋体"/>
          <w:szCs w:val="21"/>
          <w:highlight w:val="none"/>
          <w:u w:val="single"/>
        </w:rPr>
      </w:pPr>
      <w:bookmarkStart w:id="316" w:name="_Toc297216195"/>
      <w:bookmarkStart w:id="317" w:name="_Toc303539142"/>
      <w:bookmarkStart w:id="318" w:name="_Toc312677498"/>
      <w:bookmarkStart w:id="319" w:name="_Toc300934985"/>
      <w:bookmarkStart w:id="320" w:name="_Toc297123536"/>
      <w:bookmarkStart w:id="321" w:name="_Toc304295562"/>
      <w:bookmarkStart w:id="322" w:name="_Toc312678024"/>
      <w:r>
        <w:rPr>
          <w:rFonts w:hint="eastAsia" w:ascii="宋体" w:hAnsi="宋体" w:cs="宋体"/>
          <w:szCs w:val="21"/>
          <w:highlight w:val="none"/>
        </w:rPr>
        <w:t>施工现场需要配置的试验场所：</w:t>
      </w:r>
      <w:r>
        <w:rPr>
          <w:rFonts w:hint="eastAsia" w:ascii="宋体" w:hAnsi="宋体" w:cs="宋体"/>
          <w:szCs w:val="21"/>
          <w:highlight w:val="none"/>
          <w:u w:val="single"/>
        </w:rPr>
        <w:t>按有关规定执行</w:t>
      </w:r>
    </w:p>
    <w:p w14:paraId="6F25143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施工现场需要配备的试验设备：</w:t>
      </w:r>
      <w:r>
        <w:rPr>
          <w:rFonts w:hint="eastAsia" w:ascii="宋体" w:hAnsi="宋体" w:cs="宋体"/>
          <w:szCs w:val="21"/>
          <w:highlight w:val="none"/>
          <w:u w:val="single"/>
        </w:rPr>
        <w:t>按有关规定执行</w:t>
      </w:r>
    </w:p>
    <w:p w14:paraId="0DBAC173">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施工现场需要具备的其他试验条件：</w:t>
      </w:r>
      <w:r>
        <w:rPr>
          <w:rFonts w:hint="eastAsia" w:ascii="宋体" w:hAnsi="宋体" w:cs="宋体"/>
          <w:szCs w:val="21"/>
          <w:highlight w:val="none"/>
          <w:u w:val="single"/>
        </w:rPr>
        <w:t xml:space="preserve">按有关规定执行    </w:t>
      </w:r>
    </w:p>
    <w:p w14:paraId="1DDFDC4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9.4 现场工艺试验</w:t>
      </w:r>
    </w:p>
    <w:p w14:paraId="14A91CF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现场工艺试验的有关约定：</w:t>
      </w:r>
      <w:r>
        <w:rPr>
          <w:rFonts w:hint="eastAsia" w:ascii="宋体" w:hAnsi="宋体" w:cs="宋体"/>
          <w:kern w:val="0"/>
          <w:szCs w:val="21"/>
          <w:highlight w:val="none"/>
          <w:u w:val="single"/>
        </w:rPr>
        <w:t>工程变更仅指设计修改通知、修改图或图纸会审记录（须经设计单位及发包人盖章确认）以及现场签证（须经发包人签字盖章），除此以外的任何形式等均不作为工程变更的依据</w:t>
      </w:r>
      <w:r>
        <w:rPr>
          <w:rFonts w:hint="eastAsia" w:ascii="宋体" w:hAnsi="宋体" w:cs="宋体"/>
          <w:szCs w:val="21"/>
          <w:highlight w:val="none"/>
        </w:rPr>
        <w:t>。</w:t>
      </w:r>
    </w:p>
    <w:bookmarkEnd w:id="315"/>
    <w:bookmarkEnd w:id="316"/>
    <w:bookmarkEnd w:id="317"/>
    <w:bookmarkEnd w:id="318"/>
    <w:bookmarkEnd w:id="319"/>
    <w:bookmarkEnd w:id="320"/>
    <w:bookmarkEnd w:id="321"/>
    <w:bookmarkEnd w:id="322"/>
    <w:p w14:paraId="63F76418">
      <w:pPr>
        <w:autoSpaceDE w:val="0"/>
        <w:autoSpaceDN w:val="0"/>
        <w:spacing w:line="400" w:lineRule="exact"/>
        <w:ind w:firstLine="632" w:firstLineChars="300"/>
        <w:rPr>
          <w:rFonts w:hint="eastAsia" w:ascii="宋体" w:hAnsi="宋体" w:cs="宋体"/>
          <w:b/>
          <w:bCs/>
          <w:szCs w:val="21"/>
          <w:highlight w:val="none"/>
        </w:rPr>
      </w:pPr>
      <w:bookmarkStart w:id="323" w:name="_Toc351203642"/>
      <w:bookmarkStart w:id="324" w:name="_Toc371167944"/>
      <w:r>
        <w:rPr>
          <w:rFonts w:hint="eastAsia" w:ascii="宋体" w:hAnsi="宋体" w:cs="宋体"/>
          <w:b/>
          <w:bCs/>
          <w:szCs w:val="21"/>
          <w:highlight w:val="none"/>
        </w:rPr>
        <w:t>1</w:t>
      </w:r>
      <w:bookmarkEnd w:id="289"/>
      <w:bookmarkEnd w:id="290"/>
      <w:bookmarkEnd w:id="291"/>
      <w:bookmarkEnd w:id="292"/>
      <w:bookmarkEnd w:id="293"/>
      <w:bookmarkEnd w:id="294"/>
      <w:bookmarkEnd w:id="295"/>
      <w:bookmarkEnd w:id="296"/>
      <w:bookmarkEnd w:id="297"/>
      <w:bookmarkEnd w:id="298"/>
      <w:bookmarkEnd w:id="299"/>
      <w:bookmarkEnd w:id="300"/>
      <w:bookmarkStart w:id="325" w:name="_Toc296891233"/>
      <w:bookmarkStart w:id="326" w:name="_Toc292559398"/>
      <w:bookmarkStart w:id="327" w:name="_Toc297120493"/>
      <w:bookmarkStart w:id="328" w:name="_Toc304295566"/>
      <w:bookmarkStart w:id="329" w:name="_Toc300934989"/>
      <w:bookmarkStart w:id="330" w:name="_Toc296891021"/>
      <w:bookmarkStart w:id="331" w:name="_Toc292559903"/>
      <w:bookmarkStart w:id="332" w:name="_Toc297048379"/>
      <w:bookmarkStart w:id="333" w:name="_Toc296944532"/>
      <w:bookmarkStart w:id="334" w:name="_Toc296346694"/>
      <w:bookmarkStart w:id="335" w:name="_Toc296503193"/>
      <w:bookmarkStart w:id="336" w:name="_Toc303539146"/>
      <w:bookmarkStart w:id="337" w:name="_Toc297216199"/>
      <w:bookmarkStart w:id="338" w:name="_Toc296347192"/>
      <w:bookmarkStart w:id="339" w:name="_Toc297123540"/>
      <w:bookmarkStart w:id="340" w:name="_Toc312678025"/>
      <w:bookmarkStart w:id="341" w:name="_Toc312677499"/>
      <w:bookmarkStart w:id="342" w:name="_Toc267251435"/>
      <w:bookmarkStart w:id="343" w:name="_Toc267251440"/>
      <w:bookmarkStart w:id="344" w:name="_Toc267251439"/>
      <w:bookmarkStart w:id="345" w:name="_Toc267251437"/>
      <w:bookmarkStart w:id="346" w:name="_Toc267251441"/>
      <w:bookmarkStart w:id="347" w:name="_Toc267251433"/>
      <w:bookmarkStart w:id="348" w:name="_Toc267251442"/>
      <w:r>
        <w:rPr>
          <w:rFonts w:hint="eastAsia" w:ascii="宋体" w:hAnsi="宋体" w:cs="宋体"/>
          <w:b/>
          <w:bCs/>
          <w:szCs w:val="21"/>
          <w:highlight w:val="none"/>
        </w:rPr>
        <w:t>0. 变更</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bookmarkEnd w:id="340"/>
    <w:bookmarkEnd w:id="341"/>
    <w:p w14:paraId="212BAC5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bookmarkStart w:id="349" w:name="_Toc312677500"/>
      <w:bookmarkStart w:id="350" w:name="_Toc297123541"/>
      <w:bookmarkStart w:id="351" w:name="_Toc292559399"/>
      <w:bookmarkStart w:id="352" w:name="_Toc300934990"/>
      <w:bookmarkStart w:id="353" w:name="_Toc292559904"/>
      <w:bookmarkStart w:id="354" w:name="_Toc296347193"/>
      <w:bookmarkStart w:id="355" w:name="_Toc296891022"/>
      <w:bookmarkStart w:id="356" w:name="_Toc304295567"/>
      <w:bookmarkStart w:id="357" w:name="_Toc297120494"/>
      <w:bookmarkStart w:id="358" w:name="_Toc296503194"/>
      <w:bookmarkStart w:id="359" w:name="_Toc303539147"/>
      <w:bookmarkStart w:id="360" w:name="_Toc297048380"/>
      <w:bookmarkStart w:id="361" w:name="_Toc296346695"/>
      <w:bookmarkStart w:id="362" w:name="_Toc297216200"/>
      <w:bookmarkStart w:id="363" w:name="_Toc296944533"/>
      <w:bookmarkStart w:id="364" w:name="_Toc296891234"/>
      <w:bookmarkStart w:id="365" w:name="_Toc312678026"/>
      <w:r>
        <w:rPr>
          <w:rFonts w:hint="eastAsia" w:ascii="宋体" w:hAnsi="宋体" w:cs="宋体"/>
          <w:szCs w:val="21"/>
          <w:highlight w:val="none"/>
        </w:rPr>
        <w:t>0.1变更的范围</w:t>
      </w:r>
    </w:p>
    <w:p w14:paraId="21CCAD0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关于变更的范围的约定：</w:t>
      </w:r>
      <w:r>
        <w:rPr>
          <w:rFonts w:hint="eastAsia" w:ascii="宋体" w:hAnsi="宋体" w:cs="宋体"/>
          <w:szCs w:val="21"/>
          <w:highlight w:val="none"/>
          <w:u w:val="single"/>
        </w:rPr>
        <w:t>/</w:t>
      </w:r>
      <w:r>
        <w:rPr>
          <w:rFonts w:hint="eastAsia" w:ascii="宋体" w:hAnsi="宋体" w:cs="宋体"/>
          <w:szCs w:val="21"/>
          <w:highlight w:val="none"/>
        </w:rPr>
        <w:t>。</w:t>
      </w:r>
    </w:p>
    <w:p w14:paraId="4A3F5EE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10.4 变更估价</w:t>
      </w:r>
    </w:p>
    <w:p w14:paraId="44273CD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10.4.1 变更估价原则</w:t>
      </w:r>
    </w:p>
    <w:p w14:paraId="323D5D9B">
      <w:pPr>
        <w:pStyle w:val="132"/>
        <w:spacing w:before="0" w:after="0" w:line="400" w:lineRule="exact"/>
        <w:ind w:left="0" w:right="12" w:firstLine="413" w:firstLineChars="196"/>
        <w:rPr>
          <w:rFonts w:hint="eastAsia" w:ascii="宋体" w:hAnsi="宋体" w:cs="宋体"/>
          <w:b/>
          <w:kern w:val="2"/>
          <w:sz w:val="21"/>
          <w:szCs w:val="21"/>
          <w:highlight w:val="none"/>
          <w:u w:val="single"/>
        </w:rPr>
      </w:pPr>
      <w:r>
        <w:rPr>
          <w:rFonts w:hint="eastAsia" w:ascii="宋体" w:hAnsi="宋体" w:cs="宋体"/>
          <w:b/>
          <w:kern w:val="2"/>
          <w:sz w:val="21"/>
          <w:szCs w:val="21"/>
          <w:highlight w:val="none"/>
          <w:u w:val="single"/>
        </w:rPr>
        <w:t>本合同采用固定综合单价合同，工程量按实调整。按照实际发生的工程量和该工程量清单中承包人所填写的固定单价进行结算和支付。</w:t>
      </w:r>
    </w:p>
    <w:p w14:paraId="11329174">
      <w:pPr>
        <w:widowControl/>
        <w:spacing w:line="48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风险范围以外合同价款调整方法：</w:t>
      </w:r>
    </w:p>
    <w:p w14:paraId="556C78F3">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u w:val="single"/>
        </w:rPr>
        <w:t>（1）清单中已有适用于变更工程的价格，按清单已有的价格变更清单价款。</w:t>
      </w:r>
    </w:p>
    <w:p w14:paraId="0C791565">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u w:val="single"/>
        </w:rPr>
        <w:t>（2）清单中只有类似于变更工程的价格，可以参照类似价格变更清单价款。</w:t>
      </w:r>
    </w:p>
    <w:p w14:paraId="63644F29">
      <w:pPr>
        <w:autoSpaceDE w:val="0"/>
        <w:autoSpaceDN w:val="0"/>
        <w:spacing w:line="400" w:lineRule="exact"/>
        <w:ind w:firstLine="630" w:firstLineChars="300"/>
        <w:rPr>
          <w:rFonts w:ascii="宋体" w:hAnsi="宋体" w:cs="宋体"/>
          <w:szCs w:val="21"/>
          <w:highlight w:val="none"/>
          <w:u w:val="single"/>
        </w:rPr>
      </w:pPr>
      <w:r>
        <w:rPr>
          <w:rFonts w:hint="eastAsia" w:ascii="宋体" w:hAnsi="宋体" w:cs="宋体"/>
          <w:szCs w:val="21"/>
          <w:highlight w:val="none"/>
          <w:u w:val="single"/>
        </w:rPr>
        <w:t>（3）已标价工程量清单中无相同项目及类似项目单价的按以下方式结算：市场上有单列价的项目按市场价计算；套用定额的项目采用 2016 版山东省工程消耗量相关定额，价目表、定额人工及相关费率按省市相关规定执行，人工按 117 元找差价，相关材料价格按财审部门确认的同期价格计算，套用建筑和安装定额的项目总价下浮 7%，套用市政定额的项目总价下浮 2%，在上述下浮比的基础上再按照中标价与控制价之间的下浮比例下浮。</w:t>
      </w:r>
    </w:p>
    <w:p w14:paraId="74BDB33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Toc296944536"/>
      <w:bookmarkStart w:id="367" w:name="_Toc297120497"/>
      <w:bookmarkStart w:id="368" w:name="_Toc303539150"/>
      <w:bookmarkStart w:id="369" w:name="_Toc292559907"/>
      <w:bookmarkStart w:id="370" w:name="_Toc292559402"/>
      <w:bookmarkStart w:id="371" w:name="_Toc296891025"/>
      <w:bookmarkStart w:id="372" w:name="_Toc297123544"/>
      <w:bookmarkStart w:id="373" w:name="_Toc296891237"/>
      <w:bookmarkStart w:id="374" w:name="_Toc296347196"/>
      <w:bookmarkStart w:id="375" w:name="_Toc296503197"/>
      <w:bookmarkStart w:id="376" w:name="_Toc297216203"/>
      <w:bookmarkStart w:id="377" w:name="_Toc296346698"/>
      <w:bookmarkStart w:id="378" w:name="_Toc300934993"/>
      <w:bookmarkStart w:id="379" w:name="_Toc297048383"/>
      <w:bookmarkStart w:id="380" w:name="_Toc304295570"/>
      <w:bookmarkStart w:id="381" w:name="_Toc312677503"/>
      <w:bookmarkStart w:id="382" w:name="_Toc312678029"/>
      <w:r>
        <w:rPr>
          <w:rFonts w:hint="eastAsia" w:ascii="宋体" w:hAnsi="宋体" w:cs="宋体"/>
          <w:szCs w:val="21"/>
          <w:highlight w:val="none"/>
        </w:rPr>
        <w:t>0.5承</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Start w:id="383" w:name="_Toc296891031"/>
      <w:bookmarkStart w:id="384" w:name="_Toc297123545"/>
      <w:bookmarkStart w:id="385" w:name="_Toc300934994"/>
      <w:bookmarkStart w:id="386" w:name="_Toc292559408"/>
      <w:bookmarkStart w:id="387" w:name="_Toc296346704"/>
      <w:bookmarkStart w:id="388" w:name="_Toc296944542"/>
      <w:bookmarkStart w:id="389" w:name="_Toc296347202"/>
      <w:bookmarkStart w:id="390" w:name="_Toc297216204"/>
      <w:bookmarkStart w:id="391" w:name="_Toc297120503"/>
      <w:bookmarkStart w:id="392" w:name="_Toc303539151"/>
      <w:bookmarkStart w:id="393" w:name="_Toc297048389"/>
      <w:bookmarkStart w:id="394" w:name="_Toc296503203"/>
      <w:bookmarkStart w:id="395" w:name="_Toc292559913"/>
      <w:bookmarkStart w:id="396" w:name="_Toc296891243"/>
      <w:r>
        <w:rPr>
          <w:rFonts w:hint="eastAsia" w:ascii="宋体" w:hAnsi="宋体" w:cs="宋体"/>
          <w:szCs w:val="21"/>
          <w:highlight w:val="none"/>
        </w:rPr>
        <w:t>包人的合理化建议</w:t>
      </w:r>
    </w:p>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14:paraId="59B4DF9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发包人审批承包人合理化建议的期限：</w:t>
      </w:r>
      <w:r>
        <w:rPr>
          <w:rFonts w:hint="eastAsia" w:ascii="宋体" w:hAnsi="宋体" w:cs="宋体"/>
          <w:b/>
          <w:szCs w:val="21"/>
          <w:highlight w:val="none"/>
          <w:u w:val="single"/>
        </w:rPr>
        <w:t>一周内</w:t>
      </w:r>
      <w:r>
        <w:rPr>
          <w:rFonts w:hint="eastAsia" w:ascii="宋体" w:hAnsi="宋体" w:cs="宋体"/>
          <w:szCs w:val="21"/>
          <w:highlight w:val="none"/>
        </w:rPr>
        <w:t>。</w:t>
      </w:r>
    </w:p>
    <w:p w14:paraId="7C9D7166">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w:t>
      </w:r>
      <w:bookmarkStart w:id="397" w:name="_Toc297048390"/>
      <w:bookmarkStart w:id="398" w:name="_Toc296346705"/>
      <w:bookmarkStart w:id="399" w:name="_Toc292559914"/>
      <w:bookmarkStart w:id="400" w:name="_Toc297120504"/>
      <w:bookmarkStart w:id="401" w:name="_Toc303539152"/>
      <w:bookmarkStart w:id="402" w:name="_Toc292559409"/>
      <w:bookmarkStart w:id="403" w:name="_Toc296891032"/>
      <w:bookmarkStart w:id="404" w:name="_Toc318581175"/>
      <w:bookmarkStart w:id="405" w:name="_Toc312678030"/>
      <w:bookmarkStart w:id="406" w:name="_Toc312677504"/>
      <w:bookmarkStart w:id="407" w:name="_Toc297216205"/>
      <w:bookmarkStart w:id="408" w:name="_Toc304295571"/>
      <w:bookmarkStart w:id="409" w:name="_Toc296944543"/>
      <w:bookmarkStart w:id="410" w:name="_Toc296503204"/>
      <w:bookmarkStart w:id="411" w:name="_Toc297123546"/>
      <w:bookmarkStart w:id="412" w:name="_Toc300934995"/>
      <w:bookmarkStart w:id="413" w:name="_Toc296891244"/>
      <w:bookmarkStart w:id="414" w:name="_Toc296347203"/>
      <w:r>
        <w:rPr>
          <w:rFonts w:hint="eastAsia" w:ascii="宋体" w:hAnsi="宋体" w:cs="宋体"/>
          <w:szCs w:val="21"/>
          <w:highlight w:val="none"/>
        </w:rPr>
        <w:t>包人提出的合理化建议降低了合同价格或者提高了工程经济效益的奖励的方法和金额为：</w:t>
      </w:r>
      <w:r>
        <w:rPr>
          <w:rFonts w:hint="eastAsia" w:ascii="宋体" w:hAnsi="宋体" w:cs="宋体"/>
          <w:szCs w:val="21"/>
          <w:highlight w:val="none"/>
          <w:u w:val="single"/>
        </w:rPr>
        <w:t>/</w:t>
      </w:r>
      <w:r>
        <w:rPr>
          <w:rFonts w:hint="eastAsia" w:ascii="宋体" w:hAnsi="宋体" w:cs="宋体"/>
          <w:b/>
          <w:szCs w:val="21"/>
          <w:highlight w:val="none"/>
          <w:u w:val="single"/>
        </w:rPr>
        <w:t>。</w:t>
      </w:r>
    </w:p>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14:paraId="7EA818E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10.7暂估价</w:t>
      </w:r>
    </w:p>
    <w:p w14:paraId="2FF224D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暂估价专业分包工程、服务、材料和工程设备的明细由合同当事人在专用合同条款中约定。</w:t>
      </w:r>
    </w:p>
    <w:p w14:paraId="38FC567A">
      <w:pPr>
        <w:autoSpaceDE w:val="0"/>
        <w:autoSpaceDN w:val="0"/>
        <w:spacing w:line="400" w:lineRule="exact"/>
        <w:ind w:firstLine="632" w:firstLineChars="300"/>
        <w:rPr>
          <w:rFonts w:hint="eastAsia" w:ascii="宋体" w:hAnsi="宋体" w:cs="宋体"/>
          <w:b/>
          <w:bCs/>
          <w:szCs w:val="21"/>
          <w:highlight w:val="none"/>
        </w:rPr>
      </w:pPr>
      <w:bookmarkStart w:id="415" w:name="_Toc351203643"/>
      <w:bookmarkStart w:id="416" w:name="_Toc371167945"/>
      <w:r>
        <w:rPr>
          <w:rFonts w:hint="eastAsia" w:ascii="宋体" w:hAnsi="宋体" w:cs="宋体"/>
          <w:b/>
          <w:bCs/>
          <w:szCs w:val="21"/>
          <w:highlight w:val="none"/>
        </w:rPr>
        <w:t>11. 价格调整</w:t>
      </w:r>
      <w:bookmarkEnd w:id="415"/>
      <w:bookmarkEnd w:id="416"/>
    </w:p>
    <w:p w14:paraId="7F9DEA73">
      <w:pPr>
        <w:autoSpaceDE w:val="0"/>
        <w:autoSpaceDN w:val="0"/>
        <w:spacing w:line="400" w:lineRule="exact"/>
        <w:ind w:firstLine="630" w:firstLineChars="300"/>
        <w:rPr>
          <w:rFonts w:hint="eastAsia" w:ascii="宋体" w:hAnsi="宋体" w:cs="宋体"/>
          <w:szCs w:val="21"/>
          <w:highlight w:val="none"/>
        </w:rPr>
      </w:pPr>
      <w:bookmarkStart w:id="417" w:name="_Toc296503201"/>
      <w:bookmarkStart w:id="418" w:name="_Toc296891029"/>
      <w:bookmarkStart w:id="419" w:name="_Toc312678039"/>
      <w:bookmarkStart w:id="420" w:name="_Toc296346702"/>
      <w:bookmarkStart w:id="421" w:name="_Toc296347200"/>
      <w:bookmarkStart w:id="422" w:name="_Toc296944540"/>
      <w:bookmarkStart w:id="423" w:name="_Toc300935000"/>
      <w:bookmarkStart w:id="424" w:name="_Toc297120501"/>
      <w:bookmarkStart w:id="425" w:name="_Toc292559911"/>
      <w:bookmarkStart w:id="426" w:name="_Toc297216209"/>
      <w:bookmarkStart w:id="427" w:name="_Toc303539157"/>
      <w:bookmarkStart w:id="428" w:name="_Toc304295577"/>
      <w:bookmarkStart w:id="429" w:name="_Toc296891241"/>
      <w:bookmarkStart w:id="430" w:name="_Toc297048387"/>
      <w:bookmarkStart w:id="431" w:name="_Toc297123550"/>
      <w:bookmarkStart w:id="432" w:name="_Toc292559406"/>
      <w:r>
        <w:rPr>
          <w:rFonts w:hint="eastAsia" w:ascii="宋体" w:hAnsi="宋体" w:cs="宋体"/>
          <w:szCs w:val="21"/>
          <w:highlight w:val="none"/>
        </w:rPr>
        <w:t>11.1 市场价格波动引起的调整</w:t>
      </w:r>
    </w:p>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14:paraId="7008B50A">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市场价格波动是否调整合同价格的约定：</w:t>
      </w:r>
      <w:r>
        <w:rPr>
          <w:rFonts w:hint="eastAsia" w:ascii="宋体" w:hAnsi="宋体" w:cs="宋体"/>
          <w:b/>
          <w:szCs w:val="21"/>
          <w:highlight w:val="none"/>
          <w:u w:val="single"/>
        </w:rPr>
        <w:t>不调整。</w:t>
      </w:r>
    </w:p>
    <w:bookmarkEnd w:id="342"/>
    <w:bookmarkEnd w:id="343"/>
    <w:bookmarkEnd w:id="344"/>
    <w:bookmarkEnd w:id="345"/>
    <w:bookmarkEnd w:id="346"/>
    <w:bookmarkEnd w:id="347"/>
    <w:p w14:paraId="437C2064">
      <w:pPr>
        <w:autoSpaceDE w:val="0"/>
        <w:autoSpaceDN w:val="0"/>
        <w:spacing w:line="400" w:lineRule="exact"/>
        <w:ind w:firstLine="632" w:firstLineChars="300"/>
        <w:rPr>
          <w:rFonts w:hint="eastAsia" w:ascii="宋体" w:hAnsi="宋体" w:cs="宋体"/>
          <w:b/>
          <w:bCs/>
          <w:szCs w:val="21"/>
          <w:highlight w:val="none"/>
        </w:rPr>
      </w:pPr>
      <w:bookmarkStart w:id="433" w:name="_Toc292559410"/>
      <w:bookmarkStart w:id="434" w:name="_Toc296503205"/>
      <w:bookmarkStart w:id="435" w:name="_Toc297120505"/>
      <w:bookmarkStart w:id="436" w:name="_Toc296346706"/>
      <w:bookmarkStart w:id="437" w:name="_Toc296891245"/>
      <w:bookmarkStart w:id="438" w:name="_Toc297048391"/>
      <w:bookmarkStart w:id="439" w:name="_Toc296891033"/>
      <w:bookmarkStart w:id="440" w:name="_Toc296347204"/>
      <w:bookmarkStart w:id="441" w:name="_Toc296944544"/>
      <w:bookmarkStart w:id="442" w:name="_Toc292559915"/>
      <w:bookmarkStart w:id="443" w:name="_Toc371167946"/>
      <w:bookmarkStart w:id="444" w:name="_Toc351203644"/>
      <w:bookmarkStart w:id="445" w:name="_Toc312678040"/>
      <w:bookmarkStart w:id="446" w:name="_Toc297123552"/>
      <w:bookmarkStart w:id="447" w:name="_Toc300935002"/>
      <w:bookmarkStart w:id="448" w:name="_Toc304295579"/>
      <w:bookmarkStart w:id="449" w:name="_Toc303539159"/>
      <w:bookmarkStart w:id="450" w:name="_Toc297216211"/>
      <w:r>
        <w:rPr>
          <w:rFonts w:hint="eastAsia" w:ascii="宋体" w:hAnsi="宋体" w:cs="宋体"/>
          <w:b/>
          <w:bCs/>
          <w:szCs w:val="21"/>
          <w:highlight w:val="none"/>
        </w:rPr>
        <w:t xml:space="preserve">12. </w:t>
      </w:r>
      <w:bookmarkEnd w:id="433"/>
      <w:bookmarkEnd w:id="434"/>
      <w:bookmarkEnd w:id="435"/>
      <w:bookmarkEnd w:id="436"/>
      <w:bookmarkEnd w:id="437"/>
      <w:bookmarkEnd w:id="438"/>
      <w:bookmarkEnd w:id="439"/>
      <w:bookmarkEnd w:id="440"/>
      <w:bookmarkEnd w:id="441"/>
      <w:bookmarkEnd w:id="442"/>
      <w:r>
        <w:rPr>
          <w:rFonts w:hint="eastAsia" w:ascii="宋体" w:hAnsi="宋体" w:cs="宋体"/>
          <w:b/>
          <w:bCs/>
          <w:szCs w:val="21"/>
          <w:highlight w:val="none"/>
        </w:rPr>
        <w:t>合同价格、计量与支付</w:t>
      </w:r>
      <w:bookmarkEnd w:id="443"/>
      <w:bookmarkEnd w:id="444"/>
    </w:p>
    <w:bookmarkEnd w:id="445"/>
    <w:bookmarkEnd w:id="446"/>
    <w:bookmarkEnd w:id="447"/>
    <w:bookmarkEnd w:id="448"/>
    <w:bookmarkEnd w:id="449"/>
    <w:bookmarkEnd w:id="450"/>
    <w:p w14:paraId="1428EF2C">
      <w:pPr>
        <w:autoSpaceDE w:val="0"/>
        <w:autoSpaceDN w:val="0"/>
        <w:spacing w:line="400" w:lineRule="exact"/>
        <w:ind w:firstLine="630" w:firstLineChars="300"/>
        <w:rPr>
          <w:rFonts w:hint="eastAsia" w:ascii="宋体" w:hAnsi="宋体" w:cs="宋体"/>
          <w:highlight w:val="none"/>
        </w:rPr>
      </w:pPr>
      <w:bookmarkStart w:id="451" w:name="_Toc267251461"/>
      <w:bookmarkStart w:id="452" w:name="_Toc292559411"/>
      <w:bookmarkStart w:id="453" w:name="_Toc292559916"/>
      <w:bookmarkStart w:id="454" w:name="_Toc296346707"/>
      <w:bookmarkStart w:id="455" w:name="_Toc297120506"/>
      <w:bookmarkStart w:id="456" w:name="_Toc296503206"/>
      <w:bookmarkStart w:id="457" w:name="_Toc296891034"/>
      <w:bookmarkStart w:id="458" w:name="_Toc296347205"/>
      <w:bookmarkStart w:id="459" w:name="_Toc296891246"/>
      <w:bookmarkStart w:id="460" w:name="_Toc296944545"/>
      <w:bookmarkStart w:id="461" w:name="_Toc297048392"/>
      <w:bookmarkStart w:id="462" w:name="_Toc304295580"/>
      <w:bookmarkStart w:id="463" w:name="_Toc303539160"/>
      <w:bookmarkStart w:id="464" w:name="_Toc300935003"/>
      <w:bookmarkStart w:id="465" w:name="_Toc297123553"/>
      <w:bookmarkStart w:id="466" w:name="_Toc297216212"/>
      <w:bookmarkStart w:id="467" w:name="_Toc312678041"/>
      <w:r>
        <w:rPr>
          <w:rFonts w:hint="eastAsia" w:ascii="宋体" w:hAnsi="宋体" w:cs="宋体"/>
          <w:highlight w:val="none"/>
        </w:rPr>
        <w:t>12.1 合</w:t>
      </w:r>
      <w:bookmarkEnd w:id="451"/>
      <w:bookmarkEnd w:id="452"/>
      <w:bookmarkEnd w:id="453"/>
      <w:r>
        <w:rPr>
          <w:rFonts w:hint="eastAsia" w:ascii="宋体" w:hAnsi="宋体" w:cs="宋体"/>
          <w:highlight w:val="none"/>
        </w:rPr>
        <w:t>同价</w:t>
      </w:r>
      <w:bookmarkEnd w:id="454"/>
      <w:bookmarkEnd w:id="455"/>
      <w:bookmarkEnd w:id="456"/>
      <w:bookmarkEnd w:id="457"/>
      <w:bookmarkEnd w:id="458"/>
      <w:bookmarkEnd w:id="459"/>
      <w:bookmarkEnd w:id="460"/>
      <w:bookmarkEnd w:id="461"/>
      <w:r>
        <w:rPr>
          <w:rFonts w:hint="eastAsia" w:ascii="宋体" w:hAnsi="宋体" w:cs="宋体"/>
          <w:highlight w:val="none"/>
        </w:rPr>
        <w:t>格形式</w:t>
      </w:r>
    </w:p>
    <w:bookmarkEnd w:id="462"/>
    <w:bookmarkEnd w:id="463"/>
    <w:bookmarkEnd w:id="464"/>
    <w:bookmarkEnd w:id="465"/>
    <w:bookmarkEnd w:id="466"/>
    <w:bookmarkEnd w:id="467"/>
    <w:p w14:paraId="238CAC5D">
      <w:pPr>
        <w:autoSpaceDE w:val="0"/>
        <w:autoSpaceDN w:val="0"/>
        <w:spacing w:line="400" w:lineRule="exact"/>
        <w:ind w:firstLine="630" w:firstLineChars="300"/>
        <w:rPr>
          <w:rFonts w:hint="eastAsia" w:ascii="宋体" w:hAnsi="宋体" w:cs="宋体"/>
          <w:highlight w:val="none"/>
        </w:rPr>
      </w:pPr>
      <w:r>
        <w:rPr>
          <w:rFonts w:hint="eastAsia" w:ascii="宋体" w:hAnsi="宋体" w:cs="宋体"/>
          <w:highlight w:val="none"/>
        </w:rPr>
        <w:t>1、单价合同。</w:t>
      </w:r>
    </w:p>
    <w:p w14:paraId="710EBBDE">
      <w:pPr>
        <w:autoSpaceDE w:val="0"/>
        <w:autoSpaceDN w:val="0"/>
        <w:spacing w:line="400" w:lineRule="exact"/>
        <w:ind w:firstLine="630" w:firstLineChars="300"/>
        <w:rPr>
          <w:rFonts w:hint="eastAsia" w:ascii="宋体" w:hAnsi="宋体" w:cs="宋体"/>
          <w:highlight w:val="none"/>
        </w:rPr>
      </w:pPr>
      <w:r>
        <w:rPr>
          <w:rFonts w:hint="eastAsia" w:ascii="宋体" w:hAnsi="宋体" w:cs="宋体"/>
          <w:highlight w:val="none"/>
        </w:rPr>
        <w:t>综合单价包含的风险范围：</w:t>
      </w:r>
      <w:r>
        <w:rPr>
          <w:rFonts w:hint="eastAsia" w:ascii="宋体" w:hAnsi="宋体" w:cs="宋体"/>
          <w:b/>
          <w:highlight w:val="none"/>
          <w:u w:val="single"/>
        </w:rPr>
        <w:t xml:space="preserve"> 在建设过程中发生的物价波动和政策性不调价。</w:t>
      </w:r>
    </w:p>
    <w:p w14:paraId="75540EDB">
      <w:pPr>
        <w:autoSpaceDE w:val="0"/>
        <w:autoSpaceDN w:val="0"/>
        <w:spacing w:line="400" w:lineRule="exact"/>
        <w:ind w:firstLine="630" w:firstLineChars="300"/>
        <w:rPr>
          <w:rFonts w:hint="eastAsia" w:ascii="宋体" w:hAnsi="宋体" w:cs="宋体"/>
          <w:highlight w:val="none"/>
        </w:rPr>
      </w:pPr>
      <w:r>
        <w:rPr>
          <w:rFonts w:hint="eastAsia" w:ascii="宋体" w:hAnsi="宋体" w:cs="宋体"/>
          <w:highlight w:val="none"/>
        </w:rPr>
        <w:t>风险费用的计算方法：</w:t>
      </w:r>
    </w:p>
    <w:p w14:paraId="0FBB8DD0">
      <w:pPr>
        <w:pStyle w:val="132"/>
        <w:spacing w:before="0" w:after="0" w:line="400" w:lineRule="exact"/>
        <w:ind w:left="0" w:right="12" w:firstLine="413" w:firstLineChars="196"/>
        <w:rPr>
          <w:rFonts w:hint="eastAsia" w:ascii="宋体" w:hAnsi="宋体" w:cs="宋体"/>
          <w:b/>
          <w:kern w:val="2"/>
          <w:sz w:val="21"/>
          <w:szCs w:val="21"/>
          <w:highlight w:val="none"/>
          <w:u w:val="single"/>
        </w:rPr>
      </w:pPr>
      <w:r>
        <w:rPr>
          <w:rFonts w:hint="eastAsia" w:ascii="宋体" w:hAnsi="宋体" w:cs="宋体"/>
          <w:b/>
          <w:kern w:val="2"/>
          <w:sz w:val="21"/>
          <w:szCs w:val="21"/>
          <w:highlight w:val="none"/>
          <w:u w:val="single"/>
        </w:rPr>
        <w:t>在合同执行期间价格波动不进行调整。</w:t>
      </w:r>
    </w:p>
    <w:p w14:paraId="3ED991E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风险范围以外合同价格的调整方法：</w:t>
      </w:r>
      <w:r>
        <w:rPr>
          <w:rFonts w:hint="eastAsia" w:ascii="宋体" w:hAnsi="宋体" w:cs="宋体"/>
          <w:szCs w:val="21"/>
          <w:highlight w:val="none"/>
          <w:u w:val="single"/>
        </w:rPr>
        <w:t xml:space="preserve">经发包人确认的     </w:t>
      </w:r>
    </w:p>
    <w:p w14:paraId="678612D7">
      <w:pPr>
        <w:autoSpaceDE w:val="0"/>
        <w:autoSpaceDN w:val="0"/>
        <w:spacing w:line="400" w:lineRule="exact"/>
        <w:ind w:firstLine="315" w:firstLineChars="150"/>
        <w:rPr>
          <w:rFonts w:hint="eastAsia" w:ascii="宋体" w:hAnsi="宋体" w:cs="宋体"/>
          <w:szCs w:val="21"/>
          <w:highlight w:val="none"/>
          <w:u w:val="single"/>
        </w:rPr>
      </w:pPr>
      <w:r>
        <w:rPr>
          <w:rFonts w:hint="eastAsia" w:ascii="宋体" w:hAnsi="宋体" w:cs="宋体"/>
          <w:szCs w:val="21"/>
          <w:highlight w:val="none"/>
          <w:u w:val="single"/>
        </w:rPr>
        <w:t>（1）设计变更。</w:t>
      </w:r>
    </w:p>
    <w:p w14:paraId="06764068">
      <w:pPr>
        <w:autoSpaceDE w:val="0"/>
        <w:autoSpaceDN w:val="0"/>
        <w:spacing w:line="400" w:lineRule="exact"/>
        <w:ind w:firstLine="315" w:firstLineChars="150"/>
        <w:rPr>
          <w:rFonts w:hint="eastAsia" w:ascii="宋体" w:hAnsi="宋体" w:cs="宋体"/>
          <w:szCs w:val="21"/>
          <w:highlight w:val="none"/>
          <w:u w:val="single"/>
        </w:rPr>
      </w:pPr>
      <w:r>
        <w:rPr>
          <w:rFonts w:hint="eastAsia" w:ascii="宋体" w:hAnsi="宋体" w:cs="宋体"/>
          <w:szCs w:val="21"/>
          <w:highlight w:val="none"/>
          <w:u w:val="single"/>
        </w:rPr>
        <w:t>（2）现场签证。</w:t>
      </w:r>
    </w:p>
    <w:p w14:paraId="0FF84C19">
      <w:pPr>
        <w:autoSpaceDE w:val="0"/>
        <w:autoSpaceDN w:val="0"/>
        <w:spacing w:line="400" w:lineRule="exact"/>
        <w:ind w:firstLine="315" w:firstLineChars="150"/>
        <w:rPr>
          <w:rFonts w:hint="eastAsia" w:ascii="宋体" w:hAnsi="宋体" w:cs="宋体"/>
          <w:szCs w:val="21"/>
          <w:highlight w:val="none"/>
          <w:u w:val="single"/>
        </w:rPr>
      </w:pPr>
      <w:r>
        <w:rPr>
          <w:rFonts w:hint="eastAsia" w:ascii="宋体" w:hAnsi="宋体" w:cs="宋体"/>
          <w:szCs w:val="21"/>
          <w:highlight w:val="none"/>
          <w:u w:val="single"/>
        </w:rPr>
        <w:t>（3）计日工：结算时除计取税金外，不再计取其他任何费用。</w:t>
      </w:r>
    </w:p>
    <w:p w14:paraId="3B642CFF">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① 如果发包人认为必要时，可发出指令，规定以计日工的形式实施变更工作；</w:t>
      </w:r>
    </w:p>
    <w:p w14:paraId="22DA8CF3">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② 如果承包人认为相关变更工作不适宜按照变更计价方法计价，要求按计日工的方式计价，承包人应当在执行有关工作前不少于3天的时间向发包人提交，发包人应当在2天内予以答复（是否按计日工的方式计价，由发包人根据现场实际情况确定）；</w:t>
      </w:r>
    </w:p>
    <w:p w14:paraId="3C839194">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③ 对此类变更工作，已标价的计日工项目清单中已有相应的人工、材料和机械价格，按照已有的执行；如果没有，由承包人提出，报发包人确认后执行；</w:t>
      </w:r>
    </w:p>
    <w:p w14:paraId="7E070CDA">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④ 承包人应当向发包人提供可能需要的证实所付款额的收据或其他凭证，并且在订购材料之前，向发包人提交订货报价单供发包人批准；</w:t>
      </w:r>
    </w:p>
    <w:p w14:paraId="7F77E635">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⑤ 以计日工方式实施的工程，承包人应在该工程持续进行过程中，每天向发包人提交：受雇从事该工作的所有工人的姓名、工种和工时的确切清单，一式两份；表明所有该项工作所用和所需材料以及设备的种类和数量的报表，一式两份。如内容正确并经发包人同意后，发包人应在上述清单和报表的一份上签字并退还给承包人。除非已完整按时地提交了此类计日工报表，否则承包人无权获得与此有关的任何款项。</w:t>
      </w:r>
    </w:p>
    <w:p w14:paraId="4CD5561D">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签证计日工的内容，对所完成的工程内容、部位进行详细描述，能计量工程量的应按实际工程量计量，否则签证零工无效，不予补偿。</w:t>
      </w:r>
    </w:p>
    <w:p w14:paraId="5211B38A">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（4）竣工结算时，规费中的工程环境保护税凭环保部门的缴款凭证按实结算</w:t>
      </w:r>
    </w:p>
    <w:p w14:paraId="6DA1EC04">
      <w:pPr>
        <w:autoSpaceDE w:val="0"/>
        <w:autoSpaceDN w:val="0"/>
        <w:spacing w:line="400" w:lineRule="exact"/>
        <w:ind w:firstLine="420" w:firstLineChars="200"/>
        <w:rPr>
          <w:rFonts w:hint="eastAsia" w:ascii="宋体" w:hAnsi="宋体" w:cs="宋体"/>
          <w:szCs w:val="21"/>
          <w:highlight w:val="none"/>
          <w:u w:val="single"/>
        </w:rPr>
      </w:pPr>
      <w:r>
        <w:rPr>
          <w:rFonts w:hint="eastAsia" w:ascii="宋体" w:hAnsi="宋体" w:cs="宋体"/>
          <w:szCs w:val="21"/>
          <w:highlight w:val="none"/>
          <w:u w:val="single"/>
        </w:rPr>
        <w:t>（5）暂估价项目</w:t>
      </w:r>
    </w:p>
    <w:p w14:paraId="1AD1A6DF">
      <w:pPr>
        <w:autoSpaceDE w:val="0"/>
        <w:autoSpaceDN w:val="0"/>
        <w:spacing w:line="400" w:lineRule="exact"/>
        <w:ind w:firstLine="420" w:firstLineChars="200"/>
        <w:rPr>
          <w:rFonts w:hint="eastAsia" w:ascii="宋体" w:hAnsi="宋体" w:cs="宋体"/>
          <w:szCs w:val="21"/>
          <w:highlight w:val="none"/>
          <w:u w:val="single"/>
        </w:rPr>
      </w:pPr>
      <w:r>
        <w:rPr>
          <w:rFonts w:hint="eastAsia" w:ascii="宋体" w:hAnsi="宋体" w:cs="宋体"/>
          <w:szCs w:val="21"/>
          <w:highlight w:val="none"/>
          <w:u w:val="single"/>
        </w:rPr>
        <w:t>暂估价项目的调整方法是结算时全部扣除（含税金），并按发包人确认的价格计入结算金额（含税金），价格确认方法参考工程变更。需要公开招标的暂估价项目由发包人和承包人共同招标，承包人需配合审批盖章，审批盖章时间不能超过五日，否则每超出一日罚款五万元。</w:t>
      </w:r>
    </w:p>
    <w:p w14:paraId="55491A1A">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12.1.2.4</w:t>
      </w:r>
      <w:r>
        <w:rPr>
          <w:rFonts w:hint="eastAsia" w:ascii="宋体" w:hAnsi="宋体" w:cs="宋体"/>
          <w:szCs w:val="21"/>
          <w:highlight w:val="none"/>
          <w:u w:val="single"/>
        </w:rPr>
        <w:t xml:space="preserve">承包人的投标报价总价应与分部分项工程费、措施项目费、其他项目费和规费、税金的合计金额一致，各部分的合计金额应与其中的各分项之和一致。如果在中标后，以至于竣工结算时，发现仍存在以上问题时，发包人有权做出判断，承包人必须无条件服从。 </w:t>
      </w:r>
    </w:p>
    <w:p w14:paraId="1EA40DFA">
      <w:pPr>
        <w:autoSpaceDE w:val="0"/>
        <w:autoSpaceDN w:val="0"/>
        <w:spacing w:line="400" w:lineRule="exact"/>
        <w:ind w:firstLine="420" w:firstLineChars="200"/>
        <w:rPr>
          <w:rFonts w:hint="eastAsia" w:ascii="宋体" w:hAnsi="宋体" w:cs="宋体"/>
          <w:b/>
          <w:szCs w:val="21"/>
          <w:highlight w:val="none"/>
        </w:rPr>
      </w:pPr>
      <w:r>
        <w:rPr>
          <w:rFonts w:hint="eastAsia" w:ascii="宋体" w:hAnsi="宋体" w:cs="宋体"/>
          <w:szCs w:val="21"/>
          <w:highlight w:val="none"/>
        </w:rPr>
        <w:t xml:space="preserve">12.1.2.5  </w:t>
      </w:r>
      <w:r>
        <w:rPr>
          <w:rFonts w:hint="eastAsia" w:ascii="宋体" w:hAnsi="宋体" w:cs="宋体"/>
          <w:b/>
          <w:szCs w:val="21"/>
          <w:highlight w:val="none"/>
        </w:rPr>
        <w:t>发包人有权根据工程实际情况，调整承包人工程施工范围。发包人施工前若取消招标图纸中某项施工内容，承包人应无条件接受，并在总价中调减有关费用。</w:t>
      </w:r>
    </w:p>
    <w:p w14:paraId="42460AE1">
      <w:pPr>
        <w:autoSpaceDE w:val="0"/>
        <w:autoSpaceDN w:val="0"/>
        <w:spacing w:line="400" w:lineRule="exact"/>
        <w:ind w:firstLine="630" w:firstLineChars="300"/>
        <w:rPr>
          <w:rFonts w:hint="eastAsia" w:ascii="宋体" w:hAnsi="宋体" w:cs="宋体"/>
          <w:szCs w:val="21"/>
          <w:highlight w:val="none"/>
        </w:rPr>
      </w:pPr>
      <w:bookmarkStart w:id="468" w:name="_Toc300935004"/>
      <w:bookmarkStart w:id="469" w:name="_Toc312678042"/>
      <w:bookmarkStart w:id="470" w:name="_Toc297216213"/>
      <w:bookmarkStart w:id="471" w:name="_Toc297123554"/>
      <w:bookmarkStart w:id="472" w:name="_Toc303539161"/>
      <w:bookmarkStart w:id="473" w:name="_Toc304295581"/>
      <w:bookmarkStart w:id="474" w:name="_Toc292559917"/>
      <w:bookmarkStart w:id="475" w:name="_Toc296891035"/>
      <w:bookmarkStart w:id="476" w:name="_Toc296503207"/>
      <w:bookmarkStart w:id="477" w:name="_Toc297120507"/>
      <w:bookmarkStart w:id="478" w:name="_Toc296346708"/>
      <w:bookmarkStart w:id="479" w:name="_Toc297048393"/>
      <w:bookmarkStart w:id="480" w:name="_Toc296347206"/>
      <w:bookmarkStart w:id="481" w:name="_Toc292559412"/>
      <w:bookmarkStart w:id="482" w:name="_Toc296944546"/>
      <w:bookmarkStart w:id="483" w:name="_Toc296891247"/>
      <w:r>
        <w:rPr>
          <w:rFonts w:hint="eastAsia" w:ascii="宋体" w:hAnsi="宋体" w:cs="宋体"/>
          <w:szCs w:val="21"/>
          <w:highlight w:val="none"/>
        </w:rPr>
        <w:t>12.2 预付款</w:t>
      </w:r>
    </w:p>
    <w:bookmarkEnd w:id="468"/>
    <w:bookmarkEnd w:id="469"/>
    <w:bookmarkEnd w:id="470"/>
    <w:bookmarkEnd w:id="471"/>
    <w:bookmarkEnd w:id="472"/>
    <w:bookmarkEnd w:id="473"/>
    <w:p w14:paraId="2FE6A81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12.2.1 预付款的支付</w:t>
      </w:r>
    </w:p>
    <w:p w14:paraId="09373A7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预付款支付比例或金额：</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 </w:t>
      </w:r>
      <w:r>
        <w:rPr>
          <w:rFonts w:hint="eastAsia" w:ascii="宋体" w:hAnsi="宋体" w:cs="宋体"/>
          <w:szCs w:val="21"/>
          <w:highlight w:val="none"/>
          <w:u w:val="single"/>
        </w:rPr>
        <w:t xml:space="preserve">  </w:t>
      </w:r>
      <w:r>
        <w:rPr>
          <w:rFonts w:hint="eastAsia" w:ascii="宋体" w:hAnsi="宋体" w:cs="宋体"/>
          <w:szCs w:val="21"/>
          <w:highlight w:val="none"/>
        </w:rPr>
        <w:t xml:space="preserve"> 。</w:t>
      </w:r>
    </w:p>
    <w:bookmarkEnd w:id="474"/>
    <w:bookmarkEnd w:id="475"/>
    <w:bookmarkEnd w:id="476"/>
    <w:bookmarkEnd w:id="477"/>
    <w:bookmarkEnd w:id="478"/>
    <w:bookmarkEnd w:id="479"/>
    <w:bookmarkEnd w:id="480"/>
    <w:bookmarkEnd w:id="481"/>
    <w:bookmarkEnd w:id="482"/>
    <w:bookmarkEnd w:id="483"/>
    <w:p w14:paraId="1F93F0C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12.3 计量</w:t>
      </w:r>
    </w:p>
    <w:p w14:paraId="33692B9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12.3.1 计量原则</w:t>
      </w:r>
    </w:p>
    <w:p w14:paraId="61C8F091">
      <w:pPr>
        <w:autoSpaceDE w:val="0"/>
        <w:autoSpaceDN w:val="0"/>
        <w:spacing w:line="400" w:lineRule="exact"/>
        <w:ind w:firstLine="630" w:firstLineChars="300"/>
        <w:rPr>
          <w:rFonts w:hint="eastAsia" w:ascii="宋体" w:hAnsi="宋体" w:cs="宋体"/>
          <w:szCs w:val="21"/>
          <w:highlight w:val="none"/>
        </w:rPr>
      </w:pPr>
    </w:p>
    <w:p w14:paraId="6FB0FF1A">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工程量计算规则：</w:t>
      </w:r>
      <w:r>
        <w:rPr>
          <w:rFonts w:hint="eastAsia" w:ascii="宋体" w:hAnsi="宋体" w:cs="宋体"/>
          <w:b/>
          <w:szCs w:val="21"/>
          <w:highlight w:val="none"/>
          <w:u w:val="single"/>
        </w:rPr>
        <w:t xml:space="preserve">按现场实际发生工程量计算，除合同和清单中另有约定，适用于本工程的是《建设工程工程量清单计价规范》（GB50500-2013）中所描述的工程量计算规则。该工程量计算规则适用于本合同下任何性质的工程以及合同外工作、洽商和变更的计量。如果上述工程量计算规则中缺少（或不适用）相对应的计量规则或约定，则执行按图纸标示的理论净量进行相应工程量计算的原则。  </w:t>
      </w:r>
    </w:p>
    <w:p w14:paraId="567FA564">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水电费由承包人按实承担。</w:t>
      </w:r>
      <w:r>
        <w:rPr>
          <w:rFonts w:hint="eastAsia" w:ascii="宋体" w:hAnsi="宋体" w:cs="宋体"/>
          <w:kern w:val="0"/>
          <w:szCs w:val="21"/>
          <w:highlight w:val="none"/>
          <w:u w:val="single"/>
        </w:rPr>
        <w:t xml:space="preserve"> </w:t>
      </w:r>
      <w:r>
        <w:rPr>
          <w:rFonts w:hint="eastAsia" w:ascii="宋体" w:hAnsi="宋体" w:cs="宋体"/>
          <w:b/>
          <w:szCs w:val="21"/>
          <w:highlight w:val="none"/>
          <w:u w:val="single"/>
        </w:rPr>
        <w:t xml:space="preserve"> </w:t>
      </w:r>
    </w:p>
    <w:p w14:paraId="0E94B29A">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u w:val="single"/>
        </w:rPr>
        <w:t>有关招标文件的解释权属于招标人。</w:t>
      </w:r>
    </w:p>
    <w:p w14:paraId="14749306">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 xml:space="preserve">关于变更估价的约定: </w:t>
      </w:r>
      <w:r>
        <w:rPr>
          <w:rFonts w:hint="eastAsia" w:ascii="宋体" w:hAnsi="宋体" w:cs="宋体"/>
          <w:b/>
          <w:szCs w:val="21"/>
          <w:highlight w:val="none"/>
          <w:u w:val="single"/>
        </w:rPr>
        <w:t xml:space="preserve">执行合同价款约定。 </w:t>
      </w:r>
    </w:p>
    <w:p w14:paraId="2A56FE4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 工程进度款支付</w:t>
      </w:r>
    </w:p>
    <w:p w14:paraId="6024679E">
      <w:pPr>
        <w:tabs>
          <w:tab w:val="left" w:pos="1560"/>
        </w:tabs>
        <w:autoSpaceDE w:val="0"/>
        <w:autoSpaceDN w:val="0"/>
        <w:spacing w:line="400" w:lineRule="exact"/>
        <w:ind w:firstLine="630" w:firstLineChars="300"/>
        <w:rPr>
          <w:rFonts w:hint="eastAsia" w:ascii="宋体" w:hAnsi="宋体" w:cs="宋体"/>
          <w:szCs w:val="21"/>
          <w:highlight w:val="none"/>
        </w:rPr>
      </w:pPr>
      <w:bookmarkStart w:id="484" w:name="_Toc296503211"/>
      <w:bookmarkStart w:id="485" w:name="_Toc296347210"/>
      <w:bookmarkStart w:id="486" w:name="_Toc292559416"/>
      <w:bookmarkStart w:id="487" w:name="_Toc296346712"/>
      <w:bookmarkStart w:id="488" w:name="_Toc297120511"/>
      <w:bookmarkStart w:id="489" w:name="_Toc297048397"/>
      <w:bookmarkStart w:id="490" w:name="_Toc300935006"/>
      <w:bookmarkStart w:id="491" w:name="_Toc296891251"/>
      <w:bookmarkStart w:id="492" w:name="_Toc297123556"/>
      <w:bookmarkStart w:id="493" w:name="_Toc292559921"/>
      <w:bookmarkStart w:id="494" w:name="_Toc303539163"/>
      <w:bookmarkStart w:id="495" w:name="_Toc296891039"/>
      <w:bookmarkStart w:id="496" w:name="_Toc297216215"/>
      <w:bookmarkStart w:id="497" w:name="_Toc296944550"/>
      <w:r>
        <w:rPr>
          <w:rFonts w:hint="eastAsia" w:ascii="宋体" w:hAnsi="宋体" w:cs="宋体"/>
          <w:szCs w:val="21"/>
          <w:highlight w:val="none"/>
        </w:rPr>
        <w:t>12.4.1 付款周期</w:t>
      </w:r>
    </w:p>
    <w:p w14:paraId="108969BB">
      <w:pPr>
        <w:numPr>
          <w:ilvl w:val="0"/>
          <w:numId w:val="3"/>
        </w:num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关于付款周期的约定：</w:t>
      </w:r>
      <w:r>
        <w:rPr>
          <w:rFonts w:hint="eastAsia" w:ascii="宋体" w:hAnsi="宋体" w:cs="宋体"/>
          <w:szCs w:val="21"/>
          <w:highlight w:val="none"/>
          <w:u w:val="single"/>
        </w:rPr>
        <w:t xml:space="preserve">    /</w:t>
      </w:r>
      <w:r>
        <w:rPr>
          <w:rFonts w:hint="eastAsia" w:ascii="宋体" w:hAnsi="宋体"/>
          <w:b/>
          <w:bCs/>
          <w:szCs w:val="21"/>
          <w:highlight w:val="none"/>
          <w:u w:val="single"/>
        </w:rPr>
        <w:t>。</w:t>
      </w:r>
    </w:p>
    <w:p w14:paraId="2137B7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12.4.2 进度付款申请单的编制</w:t>
      </w:r>
    </w:p>
    <w:p w14:paraId="63E22CE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关于进度付款申请单编制的约定：</w:t>
      </w:r>
      <w:r>
        <w:rPr>
          <w:rFonts w:hint="eastAsia" w:ascii="宋体" w:hAnsi="宋体" w:cs="宋体"/>
          <w:b/>
          <w:szCs w:val="21"/>
          <w:highlight w:val="none"/>
          <w:u w:val="single"/>
        </w:rPr>
        <w:t xml:space="preserve"> 由承包人按发包人签订的已完成工程量，套用中标综合单价计算。</w:t>
      </w:r>
    </w:p>
    <w:p w14:paraId="3990E28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r>
        <w:rPr>
          <w:rFonts w:hint="eastAsia" w:ascii="宋体" w:hAnsi="宋体" w:cs="宋体"/>
          <w:szCs w:val="21"/>
          <w:highlight w:val="none"/>
        </w:rPr>
        <w:t>2.4.3 进度付款申请单的提交</w:t>
      </w:r>
    </w:p>
    <w:p w14:paraId="279D7E8E">
      <w:pPr>
        <w:autoSpaceDE w:val="0"/>
        <w:autoSpaceDN w:val="0"/>
        <w:spacing w:line="400" w:lineRule="exact"/>
        <w:ind w:firstLine="630" w:firstLineChars="300"/>
        <w:rPr>
          <w:rFonts w:hint="eastAsia" w:ascii="宋体" w:hAnsi="宋体" w:cs="宋体"/>
          <w:b/>
          <w:szCs w:val="21"/>
          <w:highlight w:val="none"/>
        </w:rPr>
      </w:pPr>
      <w:r>
        <w:rPr>
          <w:rFonts w:hint="eastAsia" w:ascii="宋体" w:hAnsi="宋体" w:cs="宋体"/>
          <w:szCs w:val="21"/>
          <w:highlight w:val="none"/>
        </w:rPr>
        <w:t>（1）单价合同进度付款申请单提交的约定：</w:t>
      </w:r>
      <w:r>
        <w:rPr>
          <w:rFonts w:hint="eastAsia" w:ascii="宋体" w:hAnsi="宋体" w:cs="宋体"/>
          <w:szCs w:val="21"/>
          <w:highlight w:val="none"/>
          <w:u w:val="single"/>
        </w:rPr>
        <w:t xml:space="preserve">  每月23日前提交 </w:t>
      </w:r>
      <w:r>
        <w:rPr>
          <w:rFonts w:hint="eastAsia" w:ascii="宋体" w:hAnsi="宋体" w:cs="宋体"/>
          <w:szCs w:val="21"/>
          <w:highlight w:val="none"/>
        </w:rPr>
        <w:t xml:space="preserve"> 。</w:t>
      </w:r>
    </w:p>
    <w:p w14:paraId="2E7F705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（2）总价合同进度付款申请单提交的约定：</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366261FC">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（3）其他价格形式合同进度付款申请单提交的约定：</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07CA61F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12.4.4 进度款审核和支付</w:t>
      </w:r>
    </w:p>
    <w:p w14:paraId="7F4668D5">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（1）发包人审查期限：</w:t>
      </w:r>
      <w:r>
        <w:rPr>
          <w:rFonts w:hint="eastAsia" w:ascii="宋体" w:hAnsi="宋体" w:cs="宋体"/>
          <w:b/>
          <w:szCs w:val="21"/>
          <w:highlight w:val="none"/>
          <w:u w:val="single"/>
        </w:rPr>
        <w:t>承包人必须在规定时限内将实际完成的工程量报告按要求送发包人</w:t>
      </w:r>
      <w:r>
        <w:rPr>
          <w:rFonts w:hint="eastAsia" w:ascii="宋体" w:hAnsi="宋体" w:cs="宋体"/>
          <w:szCs w:val="21"/>
          <w:highlight w:val="none"/>
        </w:rPr>
        <w:t>。</w:t>
      </w:r>
    </w:p>
    <w:p w14:paraId="3A74D52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发包人完成审批并签发进度款支付证书的期限：</w:t>
      </w:r>
      <w:r>
        <w:rPr>
          <w:rFonts w:hint="eastAsia" w:ascii="宋体" w:hAnsi="宋体" w:cs="宋体"/>
          <w:b/>
          <w:szCs w:val="21"/>
          <w:highlight w:val="none"/>
          <w:u w:val="single"/>
        </w:rPr>
        <w:t xml:space="preserve">      /   。</w:t>
      </w:r>
    </w:p>
    <w:p w14:paraId="3C6DB087">
      <w:pPr>
        <w:numPr>
          <w:ilvl w:val="0"/>
          <w:numId w:val="3"/>
        </w:numPr>
        <w:autoSpaceDE w:val="0"/>
        <w:autoSpaceDN w:val="0"/>
        <w:spacing w:line="400" w:lineRule="exact"/>
        <w:ind w:firstLine="630" w:firstLineChars="300"/>
        <w:rPr>
          <w:rFonts w:hint="eastAsia" w:ascii="宋体" w:hAnsi="宋体" w:cs="宋体"/>
          <w:b/>
          <w:bCs/>
          <w:szCs w:val="21"/>
          <w:highlight w:val="none"/>
          <w:u w:val="single"/>
        </w:rPr>
      </w:pPr>
      <w:r>
        <w:rPr>
          <w:rFonts w:hint="eastAsia" w:ascii="宋体" w:hAnsi="宋体" w:cs="宋体"/>
          <w:szCs w:val="21"/>
          <w:highlight w:val="none"/>
        </w:rPr>
        <w:t>发包人支付进度款的期限：</w:t>
      </w:r>
      <w:r>
        <w:rPr>
          <w:rFonts w:hint="eastAsia" w:ascii="宋体" w:hAnsi="宋体" w:cs="宋体"/>
          <w:szCs w:val="21"/>
          <w:highlight w:val="none"/>
          <w:u w:val="single"/>
        </w:rPr>
        <w:t xml:space="preserve"> 本项目无预付款，按照招标人拨款进度付款。</w:t>
      </w:r>
    </w:p>
    <w:p w14:paraId="1DFC5A94">
      <w:pPr>
        <w:autoSpaceDE w:val="0"/>
        <w:autoSpaceDN w:val="0"/>
        <w:spacing w:line="400" w:lineRule="exact"/>
        <w:ind w:firstLine="435"/>
        <w:rPr>
          <w:rFonts w:hint="eastAsia" w:ascii="宋体" w:hAnsi="宋体" w:cs="宋体"/>
          <w:kern w:val="0"/>
          <w:szCs w:val="21"/>
          <w:highlight w:val="none"/>
          <w:u w:val="single"/>
        </w:rPr>
      </w:pPr>
      <w:r>
        <w:rPr>
          <w:rFonts w:hint="eastAsia" w:ascii="宋体" w:hAnsi="宋体" w:cs="宋体"/>
          <w:b/>
          <w:szCs w:val="21"/>
          <w:highlight w:val="none"/>
          <w:u w:val="single"/>
        </w:rPr>
        <w:t>12.4.5</w:t>
      </w:r>
      <w:r>
        <w:rPr>
          <w:rFonts w:hint="eastAsia" w:ascii="宋体" w:hAnsi="宋体" w:cs="宋体"/>
          <w:kern w:val="0"/>
          <w:szCs w:val="21"/>
          <w:highlight w:val="none"/>
          <w:u w:val="single"/>
        </w:rPr>
        <w:t>合同约定的工程变更调整的合同价款、合同价款的调整、索赔的价款或费用以及其他约定的追加合同价款，应与工程进度款同期调整支付。</w:t>
      </w:r>
    </w:p>
    <w:p w14:paraId="1FA64CB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发包人逾期支付进度款的违约金的计算方式：</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4471D52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12.4.7分包工程款支付</w:t>
      </w:r>
    </w:p>
    <w:p w14:paraId="3E8F2A97">
      <w:pPr>
        <w:autoSpaceDE w:val="0"/>
        <w:autoSpaceDN w:val="0"/>
        <w:spacing w:line="400" w:lineRule="exact"/>
        <w:ind w:firstLine="435"/>
        <w:rPr>
          <w:rFonts w:hint="eastAsia" w:ascii="宋体" w:hAnsi="宋体" w:cs="宋体"/>
          <w:szCs w:val="21"/>
          <w:highlight w:val="none"/>
        </w:rPr>
      </w:pPr>
      <w:r>
        <w:rPr>
          <w:rFonts w:hint="eastAsia" w:ascii="宋体" w:hAnsi="宋体" w:cs="宋体"/>
          <w:szCs w:val="21"/>
          <w:highlight w:val="none"/>
        </w:rPr>
        <w:t>承包人超过约定的支付时间不给分包人支付工程款（预付款、进度款），分包人可向承包人发出要求付款的通知。</w:t>
      </w:r>
    </w:p>
    <w:p w14:paraId="76200FD9">
      <w:pPr>
        <w:autoSpaceDE w:val="0"/>
        <w:autoSpaceDN w:val="0"/>
        <w:spacing w:line="400" w:lineRule="exact"/>
        <w:ind w:firstLine="435"/>
        <w:rPr>
          <w:rFonts w:hint="eastAsia" w:ascii="宋体" w:hAnsi="宋体" w:cs="宋体"/>
          <w:szCs w:val="21"/>
          <w:highlight w:val="none"/>
        </w:rPr>
      </w:pPr>
      <w:r>
        <w:rPr>
          <w:rFonts w:hint="eastAsia" w:ascii="宋体" w:hAnsi="宋体" w:cs="宋体"/>
          <w:szCs w:val="21"/>
          <w:highlight w:val="none"/>
        </w:rPr>
        <w:t>承包人不按分包合同约定支付工程款（预付款、进度款），导致施工无法进行，由承包人承担违约责任。</w:t>
      </w:r>
    </w:p>
    <w:p w14:paraId="5CE2371C">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本工程付款采用发包人和承包人在银行设共管账户的形式进行支付。对分包人的付款由承包人发起并执行，由发包人管理共管账户与银行预留印鉴相符的法人章，承包人管理共管账户与银行预留印鉴相符的财务专用章。</w:t>
      </w:r>
    </w:p>
    <w:p w14:paraId="4F88CA60">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如果发包人已将工程款支付至共管账户，则承包人在收到该款项后应全额支付给分包人，如承包人收到后的7日内未支付给分包人即视为承包人违约。承包人将承担应付金额0.3%/天的赔偿款。该应付金额及赔偿款由发包人在应付承包人的任何款项中抵扣，并且该应付金额由发包人直接支付给分包人。如承包人对已收到的分包人的工程款不予申报，按承包人收到后未支付给分包人的违约办法处理（办法见总包合同）。</w:t>
      </w:r>
    </w:p>
    <w:p w14:paraId="7111BBD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分包人应就每笔应得款项金额向承包人提交其认可的合法完税建安发票，承包人在收到该合法完税建安发票后向分包人支付，如分包人不能提供或不能及时提供，则承包人的付款将顺延。延迟付款产生的任何责任均由分包人承担。如果提供的发票真实性和合法性受到政府机关质疑和检查并被认定为非法票据，分包人除重新提供等额合法发票外，还应承担由此给承包人带来的一切损失（包括罚金、滞纳金、税款等），并按照所开发票金额的1%向承包人支付赔偿金。</w:t>
      </w:r>
    </w:p>
    <w:bookmarkEnd w:id="348"/>
    <w:p w14:paraId="739204E9">
      <w:pPr>
        <w:autoSpaceDE w:val="0"/>
        <w:autoSpaceDN w:val="0"/>
        <w:spacing w:line="400" w:lineRule="exact"/>
        <w:ind w:firstLine="632" w:firstLineChars="300"/>
        <w:rPr>
          <w:rFonts w:hint="eastAsia" w:ascii="宋体" w:hAnsi="宋体" w:cs="宋体"/>
          <w:b/>
          <w:bCs/>
          <w:szCs w:val="21"/>
          <w:highlight w:val="none"/>
        </w:rPr>
      </w:pPr>
      <w:bookmarkStart w:id="498" w:name="_Toc371167947"/>
      <w:bookmarkStart w:id="499" w:name="_Toc351203645"/>
      <w:bookmarkStart w:id="500" w:name="_Toc300935015"/>
      <w:bookmarkStart w:id="501" w:name="_Toc292559929"/>
      <w:bookmarkStart w:id="502" w:name="_Toc303539172"/>
      <w:bookmarkStart w:id="503" w:name="_Toc292559424"/>
      <w:bookmarkStart w:id="504" w:name="_Toc296891259"/>
      <w:bookmarkStart w:id="505" w:name="_Toc296891047"/>
      <w:bookmarkStart w:id="506" w:name="_Toc297120519"/>
      <w:bookmarkStart w:id="507" w:name="_Toc297048405"/>
      <w:bookmarkStart w:id="508" w:name="_Toc304295593"/>
      <w:bookmarkStart w:id="509" w:name="_Toc296347218"/>
      <w:bookmarkStart w:id="510" w:name="_Toc296503219"/>
      <w:bookmarkStart w:id="511" w:name="_Toc312678053"/>
      <w:bookmarkStart w:id="512" w:name="_Toc296346720"/>
      <w:bookmarkStart w:id="513" w:name="_Toc297123564"/>
      <w:bookmarkStart w:id="514" w:name="_Toc297216223"/>
      <w:bookmarkStart w:id="515" w:name="_Toc296944558"/>
      <w:r>
        <w:rPr>
          <w:rFonts w:hint="eastAsia" w:ascii="宋体" w:hAnsi="宋体" w:cs="宋体"/>
          <w:b/>
          <w:bCs/>
          <w:szCs w:val="21"/>
          <w:highlight w:val="none"/>
        </w:rPr>
        <w:t>13.验收和工程试车</w:t>
      </w:r>
      <w:bookmarkEnd w:id="498"/>
      <w:bookmarkEnd w:id="499"/>
    </w:p>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14:paraId="0EAA56A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13.1 分部分项工程验收</w:t>
      </w:r>
    </w:p>
    <w:p w14:paraId="7F81F315">
      <w:pPr>
        <w:autoSpaceDE w:val="0"/>
        <w:autoSpaceDN w:val="0"/>
        <w:spacing w:line="400" w:lineRule="exact"/>
        <w:ind w:firstLine="630" w:firstLineChars="300"/>
        <w:rPr>
          <w:rFonts w:hint="eastAsia" w:ascii="宋体" w:hAnsi="宋体" w:cs="宋体"/>
          <w:szCs w:val="21"/>
          <w:highlight w:val="none"/>
        </w:rPr>
      </w:pPr>
      <w:bookmarkStart w:id="516" w:name="_Toc297120523"/>
      <w:bookmarkStart w:id="517" w:name="_Toc296891263"/>
      <w:bookmarkStart w:id="518" w:name="_Toc300935016"/>
      <w:bookmarkStart w:id="519" w:name="_Toc292559428"/>
      <w:bookmarkStart w:id="520" w:name="_Toc296503223"/>
      <w:bookmarkStart w:id="521" w:name="_Toc297048409"/>
      <w:bookmarkStart w:id="522" w:name="_Toc296891051"/>
      <w:bookmarkStart w:id="523" w:name="_Toc296346724"/>
      <w:bookmarkStart w:id="524" w:name="_Toc304295596"/>
      <w:bookmarkStart w:id="525" w:name="_Toc312678056"/>
      <w:bookmarkStart w:id="526" w:name="_Toc297123565"/>
      <w:bookmarkStart w:id="527" w:name="_Toc296347222"/>
      <w:bookmarkStart w:id="528" w:name="_Toc297216224"/>
      <w:bookmarkStart w:id="529" w:name="_Toc296944562"/>
      <w:bookmarkStart w:id="530" w:name="_Toc292559933"/>
      <w:bookmarkStart w:id="531" w:name="_Toc303539173"/>
      <w:bookmarkStart w:id="532" w:name="_Toc267251473"/>
      <w:bookmarkStart w:id="533" w:name="_Toc267251470"/>
      <w:bookmarkStart w:id="534" w:name="_Toc267251472"/>
      <w:bookmarkStart w:id="535" w:name="_Toc267251476"/>
      <w:bookmarkStart w:id="536" w:name="_Toc267251471"/>
      <w:bookmarkStart w:id="537" w:name="_Toc267251475"/>
      <w:bookmarkStart w:id="538" w:name="_Toc267251474"/>
      <w:r>
        <w:rPr>
          <w:rFonts w:hint="eastAsia" w:ascii="宋体" w:hAnsi="宋体" w:cs="宋体"/>
          <w:szCs w:val="21"/>
          <w:highlight w:val="none"/>
        </w:rPr>
        <w:t>13.2 竣工验收</w:t>
      </w:r>
    </w:p>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14:paraId="29A19F18">
      <w:pPr>
        <w:autoSpaceDE w:val="0"/>
        <w:autoSpaceDN w:val="0"/>
        <w:spacing w:line="400" w:lineRule="exact"/>
        <w:ind w:firstLine="630" w:firstLineChars="300"/>
        <w:rPr>
          <w:rFonts w:hint="eastAsia" w:ascii="宋体" w:hAnsi="宋体" w:cs="宋体"/>
          <w:szCs w:val="21"/>
          <w:highlight w:val="none"/>
        </w:rPr>
      </w:pPr>
      <w:bookmarkStart w:id="539" w:name="_Toc280868704"/>
      <w:bookmarkStart w:id="540" w:name="_Toc280868705"/>
      <w:bookmarkStart w:id="541" w:name="_Toc280868706"/>
      <w:bookmarkStart w:id="542" w:name="_Toc280868707"/>
      <w:bookmarkStart w:id="543" w:name="_Toc280868708"/>
      <w:bookmarkStart w:id="544" w:name="_Toc280868709"/>
      <w:r>
        <w:rPr>
          <w:rFonts w:hint="eastAsia" w:ascii="宋体" w:hAnsi="宋体" w:cs="宋体"/>
          <w:szCs w:val="21"/>
          <w:highlight w:val="none"/>
        </w:rPr>
        <w:t>13.2.2竣工验收程序</w:t>
      </w:r>
    </w:p>
    <w:bookmarkEnd w:id="539"/>
    <w:p w14:paraId="634708E7">
      <w:pPr>
        <w:autoSpaceDE w:val="0"/>
        <w:autoSpaceDN w:val="0"/>
        <w:spacing w:line="400" w:lineRule="exact"/>
        <w:ind w:firstLine="630" w:firstLineChars="300"/>
        <w:rPr>
          <w:rFonts w:hint="eastAsia" w:ascii="宋体" w:hAnsi="宋体" w:cs="宋体"/>
          <w:b/>
          <w:szCs w:val="21"/>
          <w:highlight w:val="none"/>
        </w:rPr>
      </w:pPr>
      <w:r>
        <w:rPr>
          <w:rFonts w:hint="eastAsia" w:ascii="宋体" w:hAnsi="宋体" w:cs="宋体"/>
          <w:szCs w:val="21"/>
          <w:highlight w:val="none"/>
        </w:rPr>
        <w:t>关于竣工验收程序的约定：</w:t>
      </w:r>
      <w:r>
        <w:rPr>
          <w:rFonts w:hint="eastAsia" w:ascii="宋体" w:hAnsi="宋体" w:cs="宋体"/>
          <w:b/>
          <w:szCs w:val="21"/>
          <w:highlight w:val="none"/>
          <w:u w:val="single"/>
        </w:rPr>
        <w:t>承包人按规范、设计文件等完成合同内的所有工作；全部工程（含资料）自检验收完毕后，向发包人提交竣工验收申请报告</w:t>
      </w:r>
      <w:r>
        <w:rPr>
          <w:rFonts w:hint="eastAsia" w:ascii="宋体" w:hAnsi="宋体" w:cs="宋体"/>
          <w:b/>
          <w:szCs w:val="21"/>
          <w:highlight w:val="none"/>
        </w:rPr>
        <w:t>。</w:t>
      </w:r>
    </w:p>
    <w:p w14:paraId="739687C4">
      <w:pPr>
        <w:autoSpaceDE w:val="0"/>
        <w:autoSpaceDN w:val="0"/>
        <w:spacing w:line="400" w:lineRule="exact"/>
        <w:ind w:firstLine="632" w:firstLineChars="300"/>
        <w:rPr>
          <w:rFonts w:hint="eastAsia" w:ascii="宋体" w:hAnsi="宋体" w:cs="宋体"/>
          <w:szCs w:val="21"/>
          <w:highlight w:val="none"/>
          <w:u w:val="single"/>
        </w:rPr>
      </w:pPr>
      <w:r>
        <w:rPr>
          <w:rFonts w:hint="eastAsia" w:ascii="宋体" w:hAnsi="宋体" w:cs="宋体"/>
          <w:b/>
          <w:szCs w:val="21"/>
          <w:highlight w:val="none"/>
          <w:u w:val="single"/>
        </w:rPr>
        <w:t>承包人提供竣工图的约定:工程竣工验收合格后二十日内向发包人提供竣工图、竣工资料三份</w:t>
      </w:r>
      <w:r>
        <w:rPr>
          <w:rFonts w:hint="eastAsia" w:ascii="宋体" w:hAnsi="宋体" w:cs="宋体"/>
          <w:szCs w:val="21"/>
          <w:highlight w:val="none"/>
        </w:rPr>
        <w:t>。</w:t>
      </w:r>
    </w:p>
    <w:p w14:paraId="47B7521E">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发包人不按照本项约定组织竣工验收、颁发工程接收证书的违约金的计算方法：</w:t>
      </w:r>
      <w:r>
        <w:rPr>
          <w:rFonts w:hint="eastAsia" w:ascii="宋体" w:hAnsi="宋体" w:cs="宋体"/>
          <w:szCs w:val="21"/>
          <w:highlight w:val="none"/>
          <w:u w:val="single"/>
        </w:rPr>
        <w:t>/</w:t>
      </w:r>
      <w:r>
        <w:rPr>
          <w:rFonts w:hint="eastAsia" w:ascii="宋体" w:hAnsi="宋体" w:cs="宋体"/>
          <w:szCs w:val="21"/>
          <w:highlight w:val="none"/>
        </w:rPr>
        <w:t>。</w:t>
      </w:r>
    </w:p>
    <w:bookmarkEnd w:id="540"/>
    <w:p w14:paraId="40E3270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13.2.5移交、接收全部与部分工程</w:t>
      </w:r>
    </w:p>
    <w:bookmarkEnd w:id="541"/>
    <w:p w14:paraId="01789C2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承包人向发包人移交工程的期限：</w:t>
      </w:r>
      <w:r>
        <w:rPr>
          <w:rFonts w:hint="eastAsia" w:ascii="宋体" w:hAnsi="宋体" w:cs="宋体"/>
          <w:b/>
          <w:szCs w:val="21"/>
          <w:highlight w:val="none"/>
          <w:u w:val="single"/>
        </w:rPr>
        <w:t>执行通用条款。</w:t>
      </w:r>
    </w:p>
    <w:p w14:paraId="5D103B9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发包人未按本合同约定接收全部或部分工程的，违约金的计算方法为：</w:t>
      </w:r>
      <w:r>
        <w:rPr>
          <w:rFonts w:hint="eastAsia" w:ascii="宋体" w:hAnsi="宋体" w:cs="宋体"/>
          <w:szCs w:val="21"/>
          <w:highlight w:val="none"/>
          <w:u w:val="single"/>
        </w:rPr>
        <w:t xml:space="preserve">   /     </w:t>
      </w:r>
      <w:r>
        <w:rPr>
          <w:rFonts w:hint="eastAsia" w:ascii="宋体" w:hAnsi="宋体" w:cs="宋体"/>
          <w:szCs w:val="21"/>
          <w:highlight w:val="none"/>
        </w:rPr>
        <w:t>。</w:t>
      </w:r>
    </w:p>
    <w:bookmarkEnd w:id="542"/>
    <w:p w14:paraId="208C1244">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承包人未按时移交工程的，违约金的计算方法为：</w:t>
      </w:r>
      <w:r>
        <w:rPr>
          <w:rFonts w:hint="eastAsia" w:ascii="宋体" w:hAnsi="宋体" w:cs="宋体"/>
          <w:b/>
          <w:szCs w:val="21"/>
          <w:highlight w:val="none"/>
          <w:u w:val="single"/>
        </w:rPr>
        <w:t>每延期一天支付合同额1‰的违约金。</w:t>
      </w:r>
    </w:p>
    <w:p w14:paraId="1882003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13.3 工程试车</w:t>
      </w:r>
    </w:p>
    <w:bookmarkEnd w:id="543"/>
    <w:p w14:paraId="513D615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13.3.1 试车程序</w:t>
      </w:r>
    </w:p>
    <w:p w14:paraId="1806FD0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工程试车内容：</w:t>
      </w:r>
      <w:r>
        <w:rPr>
          <w:rFonts w:hint="eastAsia" w:ascii="宋体" w:hAnsi="宋体" w:cs="宋体"/>
          <w:szCs w:val="21"/>
          <w:highlight w:val="none"/>
          <w:u w:val="single"/>
        </w:rPr>
        <w:t xml:space="preserve"> / </w:t>
      </w:r>
      <w:r>
        <w:rPr>
          <w:rFonts w:hint="eastAsia" w:ascii="宋体" w:hAnsi="宋体" w:cs="宋体"/>
          <w:szCs w:val="21"/>
          <w:highlight w:val="none"/>
        </w:rPr>
        <w:t>。</w:t>
      </w:r>
    </w:p>
    <w:p w14:paraId="2F37DDF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（1）单机无负荷试车费用由</w:t>
      </w:r>
      <w:r>
        <w:rPr>
          <w:rFonts w:hint="eastAsia" w:ascii="宋体" w:hAnsi="宋体" w:cs="宋体"/>
          <w:szCs w:val="21"/>
          <w:highlight w:val="none"/>
          <w:u w:val="single"/>
        </w:rPr>
        <w:t>/</w:t>
      </w:r>
      <w:r>
        <w:rPr>
          <w:rFonts w:hint="eastAsia" w:ascii="宋体" w:hAnsi="宋体" w:cs="宋体"/>
          <w:szCs w:val="21"/>
          <w:highlight w:val="none"/>
        </w:rPr>
        <w:t>承担；</w:t>
      </w:r>
    </w:p>
    <w:p w14:paraId="10D5CD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（2）无负荷联动试车费用由</w:t>
      </w:r>
      <w:r>
        <w:rPr>
          <w:rFonts w:hint="eastAsia" w:ascii="宋体" w:hAnsi="宋体" w:cs="宋体"/>
          <w:szCs w:val="21"/>
          <w:highlight w:val="none"/>
          <w:u w:val="single"/>
        </w:rPr>
        <w:t>/</w:t>
      </w:r>
      <w:r>
        <w:rPr>
          <w:rFonts w:hint="eastAsia" w:ascii="宋体" w:hAnsi="宋体" w:cs="宋体"/>
          <w:szCs w:val="21"/>
          <w:highlight w:val="none"/>
        </w:rPr>
        <w:t>承担。</w:t>
      </w:r>
    </w:p>
    <w:p w14:paraId="2A14AE4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13.3.3 投料试车</w:t>
      </w:r>
    </w:p>
    <w:p w14:paraId="7862035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关于投料试车相关事项的约定：</w:t>
      </w:r>
      <w:r>
        <w:rPr>
          <w:rFonts w:hint="eastAsia" w:ascii="宋体" w:hAnsi="宋体" w:cs="宋体"/>
          <w:szCs w:val="21"/>
          <w:highlight w:val="none"/>
          <w:u w:val="single"/>
        </w:rPr>
        <w:t xml:space="preserve">         /</w:t>
      </w:r>
    </w:p>
    <w:p w14:paraId="2084137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13.6 竣工退场</w:t>
      </w:r>
    </w:p>
    <w:p w14:paraId="16D3A6B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13.6.1 竣工退场</w:t>
      </w:r>
    </w:p>
    <w:p w14:paraId="6CCCDAE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承包人完成竣工退场的期限：</w:t>
      </w:r>
      <w:r>
        <w:rPr>
          <w:rFonts w:hint="eastAsia" w:ascii="宋体" w:hAnsi="宋体" w:cs="宋体"/>
          <w:szCs w:val="21"/>
          <w:highlight w:val="none"/>
          <w:u w:val="single"/>
        </w:rPr>
        <w:t>颁发工程接收证书后3日内</w:t>
      </w:r>
      <w:r>
        <w:rPr>
          <w:rFonts w:hint="eastAsia" w:ascii="宋体" w:hAnsi="宋体" w:cs="宋体"/>
          <w:szCs w:val="21"/>
          <w:highlight w:val="none"/>
        </w:rPr>
        <w:t>。。</w:t>
      </w:r>
    </w:p>
    <w:p w14:paraId="30CA6D4B">
      <w:pPr>
        <w:autoSpaceDE w:val="0"/>
        <w:autoSpaceDN w:val="0"/>
        <w:spacing w:line="400" w:lineRule="exact"/>
        <w:ind w:firstLine="632" w:firstLineChars="300"/>
        <w:rPr>
          <w:rFonts w:hint="eastAsia" w:ascii="宋体" w:hAnsi="宋体" w:cs="宋体"/>
          <w:b/>
          <w:bCs/>
          <w:szCs w:val="21"/>
          <w:highlight w:val="none"/>
        </w:rPr>
      </w:pPr>
      <w:bookmarkStart w:id="545" w:name="_Toc371167948"/>
      <w:bookmarkStart w:id="546" w:name="_Toc351203646"/>
      <w:r>
        <w:rPr>
          <w:rFonts w:hint="eastAsia" w:ascii="宋体" w:hAnsi="宋体" w:cs="宋体"/>
          <w:b/>
          <w:bCs/>
          <w:szCs w:val="21"/>
          <w:highlight w:val="none"/>
        </w:rPr>
        <w:t>14. 竣工结算</w:t>
      </w:r>
      <w:bookmarkEnd w:id="545"/>
      <w:bookmarkEnd w:id="546"/>
    </w:p>
    <w:p w14:paraId="2920CAA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14.1 竣工付款申请</w:t>
      </w:r>
    </w:p>
    <w:p w14:paraId="241A0EF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承包人提交竣工付款申请单的期限：</w:t>
      </w:r>
      <w:r>
        <w:rPr>
          <w:rFonts w:hint="eastAsia" w:ascii="宋体" w:hAnsi="宋体" w:cs="宋体"/>
          <w:szCs w:val="21"/>
          <w:highlight w:val="none"/>
          <w:u w:val="single"/>
        </w:rPr>
        <w:t>/</w:t>
      </w:r>
      <w:r>
        <w:rPr>
          <w:rFonts w:hint="eastAsia" w:ascii="宋体" w:hAnsi="宋体" w:cs="宋体"/>
          <w:szCs w:val="21"/>
          <w:highlight w:val="none"/>
        </w:rPr>
        <w:t>。</w:t>
      </w:r>
    </w:p>
    <w:p w14:paraId="77417E1F">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竣工付款申请单应包括的内容：</w:t>
      </w:r>
      <w:r>
        <w:rPr>
          <w:rFonts w:hint="eastAsia" w:ascii="宋体" w:hAnsi="宋体" w:cs="宋体"/>
          <w:szCs w:val="21"/>
          <w:highlight w:val="none"/>
          <w:u w:val="single"/>
        </w:rPr>
        <w:t>/</w:t>
      </w:r>
      <w:r>
        <w:rPr>
          <w:rFonts w:hint="eastAsia" w:ascii="宋体" w:hAnsi="宋体" w:cs="宋体"/>
          <w:szCs w:val="21"/>
          <w:highlight w:val="none"/>
        </w:rPr>
        <w:t>。</w:t>
      </w:r>
    </w:p>
    <w:p w14:paraId="6988E6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14.2 竣工结算审核</w:t>
      </w:r>
    </w:p>
    <w:p w14:paraId="0B8BA1B7">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结算时以投标综合单价乘以实际发生的工程量（依据招标文件中工程量清单、工程量清单计价规范应予计量的且经发包人、承包人共同签证确认的实际工程量）计算。最终结算值以财审部门审定的价格为准。</w:t>
      </w:r>
    </w:p>
    <w:p w14:paraId="668D8C5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发包人审批竣工付款申请单的期限：</w:t>
      </w:r>
      <w:r>
        <w:rPr>
          <w:rFonts w:hint="eastAsia" w:ascii="宋体" w:hAnsi="宋体" w:cs="宋体"/>
          <w:szCs w:val="21"/>
          <w:highlight w:val="none"/>
          <w:u w:val="single"/>
        </w:rPr>
        <w:t>/</w:t>
      </w:r>
      <w:r>
        <w:rPr>
          <w:rFonts w:hint="eastAsia" w:ascii="宋体" w:hAnsi="宋体" w:cs="宋体"/>
          <w:szCs w:val="21"/>
          <w:highlight w:val="none"/>
        </w:rPr>
        <w:t>。</w:t>
      </w:r>
    </w:p>
    <w:p w14:paraId="338B8E1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发包人完成竣工付款的期限：</w:t>
      </w:r>
      <w:r>
        <w:rPr>
          <w:rFonts w:hint="eastAsia" w:ascii="宋体" w:hAnsi="宋体" w:cs="宋体"/>
          <w:szCs w:val="21"/>
          <w:highlight w:val="none"/>
          <w:u w:val="single"/>
        </w:rPr>
        <w:t>/</w:t>
      </w:r>
      <w:r>
        <w:rPr>
          <w:rFonts w:hint="eastAsia" w:ascii="宋体" w:hAnsi="宋体" w:cs="宋体"/>
          <w:szCs w:val="21"/>
          <w:highlight w:val="none"/>
        </w:rPr>
        <w:t>。</w:t>
      </w:r>
    </w:p>
    <w:p w14:paraId="0915A824">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关于竣工付款证书异议部分复核的方式和程序：</w:t>
      </w:r>
      <w:r>
        <w:rPr>
          <w:rFonts w:hint="eastAsia" w:ascii="宋体" w:hAnsi="宋体" w:cs="宋体"/>
          <w:szCs w:val="21"/>
          <w:highlight w:val="none"/>
          <w:u w:val="single"/>
        </w:rPr>
        <w:t>/</w:t>
      </w:r>
    </w:p>
    <w:p w14:paraId="18B8E5A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14.4 最终结清</w:t>
      </w:r>
    </w:p>
    <w:p w14:paraId="2E3FEDC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14.4.1 最终结清申请单</w:t>
      </w:r>
    </w:p>
    <w:p w14:paraId="2E90AD5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承包人提交最终结清申请单的份数：</w:t>
      </w:r>
      <w:r>
        <w:rPr>
          <w:rFonts w:hint="eastAsia" w:ascii="宋体" w:hAnsi="宋体" w:cs="宋体"/>
          <w:b/>
          <w:szCs w:val="21"/>
          <w:highlight w:val="none"/>
          <w:u w:val="single"/>
        </w:rPr>
        <w:t>2份</w:t>
      </w:r>
      <w:r>
        <w:rPr>
          <w:rFonts w:hint="eastAsia" w:ascii="宋体" w:hAnsi="宋体" w:cs="宋体"/>
          <w:szCs w:val="21"/>
          <w:highlight w:val="none"/>
        </w:rPr>
        <w:t>。</w:t>
      </w:r>
    </w:p>
    <w:p w14:paraId="4302DCE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承包人提交最终结算申请单的期限：</w:t>
      </w:r>
      <w:r>
        <w:rPr>
          <w:rFonts w:hint="eastAsia" w:ascii="宋体" w:hAnsi="宋体" w:cs="宋体"/>
          <w:b/>
          <w:szCs w:val="21"/>
          <w:highlight w:val="none"/>
          <w:u w:val="single"/>
        </w:rPr>
        <w:t xml:space="preserve"> 工程竣工验收后一个月内   </w:t>
      </w:r>
      <w:r>
        <w:rPr>
          <w:rFonts w:hint="eastAsia" w:ascii="宋体" w:hAnsi="宋体" w:cs="宋体"/>
          <w:szCs w:val="21"/>
          <w:highlight w:val="none"/>
        </w:rPr>
        <w:t xml:space="preserve">。 </w:t>
      </w:r>
    </w:p>
    <w:p w14:paraId="2B70876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14.4.2 最终结清证书和支付</w:t>
      </w:r>
    </w:p>
    <w:p w14:paraId="1C3280A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（1）发包人完成最终结清申请单的审批并颁发最终结清证书的期限：</w:t>
      </w:r>
      <w:r>
        <w:rPr>
          <w:rFonts w:hint="eastAsia" w:ascii="宋体" w:hAnsi="宋体" w:cs="宋体"/>
          <w:szCs w:val="21"/>
          <w:highlight w:val="none"/>
          <w:u w:val="single"/>
        </w:rPr>
        <w:t>/</w:t>
      </w:r>
      <w:r>
        <w:rPr>
          <w:rFonts w:hint="eastAsia" w:ascii="宋体" w:hAnsi="宋体" w:cs="宋体"/>
          <w:szCs w:val="21"/>
          <w:highlight w:val="none"/>
        </w:rPr>
        <w:t>。</w:t>
      </w:r>
    </w:p>
    <w:p w14:paraId="347DF04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（2）发包人完成支付的期限：</w:t>
      </w:r>
      <w:r>
        <w:rPr>
          <w:rFonts w:hint="eastAsia" w:ascii="宋体" w:hAnsi="宋体" w:cs="宋体"/>
          <w:b/>
          <w:szCs w:val="21"/>
          <w:highlight w:val="none"/>
          <w:u w:val="single"/>
        </w:rPr>
        <w:t xml:space="preserve">/ </w:t>
      </w:r>
    </w:p>
    <w:bookmarkEnd w:id="532"/>
    <w:bookmarkEnd w:id="533"/>
    <w:bookmarkEnd w:id="534"/>
    <w:bookmarkEnd w:id="535"/>
    <w:bookmarkEnd w:id="536"/>
    <w:bookmarkEnd w:id="537"/>
    <w:bookmarkEnd w:id="538"/>
    <w:bookmarkEnd w:id="544"/>
    <w:p w14:paraId="2AFEC0D4">
      <w:pPr>
        <w:autoSpaceDE w:val="0"/>
        <w:autoSpaceDN w:val="0"/>
        <w:spacing w:line="400" w:lineRule="exact"/>
        <w:ind w:firstLine="632" w:firstLineChars="300"/>
        <w:rPr>
          <w:rFonts w:hint="eastAsia" w:ascii="宋体" w:hAnsi="宋体" w:cs="宋体"/>
          <w:b/>
          <w:bCs/>
          <w:szCs w:val="21"/>
          <w:highlight w:val="none"/>
        </w:rPr>
      </w:pPr>
      <w:bookmarkStart w:id="547" w:name="_Toc371167949"/>
      <w:bookmarkStart w:id="548" w:name="_Toc351203647"/>
      <w:bookmarkStart w:id="549" w:name="_Toc267251483"/>
      <w:bookmarkStart w:id="550" w:name="_Toc267251482"/>
      <w:bookmarkStart w:id="551" w:name="_Toc267251484"/>
      <w:bookmarkStart w:id="552" w:name="_Toc267251485"/>
      <w:bookmarkStart w:id="553" w:name="_Toc267251488"/>
      <w:bookmarkStart w:id="554" w:name="_Toc267251490"/>
      <w:bookmarkStart w:id="555" w:name="_Toc267251486"/>
      <w:bookmarkStart w:id="556" w:name="_Toc267251489"/>
      <w:bookmarkStart w:id="557" w:name="_Toc267251492"/>
      <w:bookmarkStart w:id="558" w:name="_Toc267251491"/>
      <w:bookmarkStart w:id="559" w:name="_Toc267251495"/>
      <w:bookmarkStart w:id="560" w:name="_Toc267251498"/>
      <w:bookmarkStart w:id="561" w:name="_Toc267251494"/>
      <w:bookmarkStart w:id="562" w:name="_Toc267251493"/>
      <w:bookmarkStart w:id="563" w:name="_Toc267251497"/>
      <w:bookmarkStart w:id="564" w:name="_Toc267251503"/>
      <w:bookmarkStart w:id="565" w:name="_Toc267251499"/>
      <w:bookmarkStart w:id="566" w:name="_Toc267251502"/>
      <w:bookmarkStart w:id="567" w:name="_Toc267251496"/>
      <w:bookmarkStart w:id="568" w:name="_Toc267251501"/>
      <w:bookmarkStart w:id="569" w:name="_Toc267251506"/>
      <w:bookmarkStart w:id="570" w:name="_Toc267251504"/>
      <w:bookmarkStart w:id="571" w:name="_Toc267251507"/>
      <w:bookmarkStart w:id="572" w:name="_Toc267251508"/>
      <w:r>
        <w:rPr>
          <w:rFonts w:hint="eastAsia" w:ascii="宋体" w:hAnsi="宋体" w:cs="宋体"/>
          <w:b/>
          <w:bCs/>
          <w:szCs w:val="21"/>
          <w:highlight w:val="none"/>
        </w:rPr>
        <w:t>15. 缺陷责任期与保修</w:t>
      </w:r>
      <w:bookmarkEnd w:id="547"/>
      <w:bookmarkEnd w:id="548"/>
    </w:p>
    <w:p w14:paraId="4792BFC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15.2缺陷责任期</w:t>
      </w:r>
      <w:bookmarkEnd w:id="549"/>
    </w:p>
    <w:p w14:paraId="7C6EBE9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缺陷责任期的具体期限：</w:t>
      </w:r>
      <w:r>
        <w:rPr>
          <w:rFonts w:hint="eastAsia" w:ascii="宋体" w:hAnsi="宋体" w:cs="宋体"/>
          <w:b/>
          <w:szCs w:val="21"/>
          <w:highlight w:val="none"/>
          <w:u w:val="single"/>
        </w:rPr>
        <w:t xml:space="preserve">执行《工程质量保修书》 </w:t>
      </w:r>
    </w:p>
    <w:p w14:paraId="3E8C7DE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15.3 质量保证金</w:t>
      </w:r>
    </w:p>
    <w:p w14:paraId="3382BEB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关于是否扣留质量保证金的约定：</w:t>
      </w:r>
      <w:r>
        <w:rPr>
          <w:rFonts w:hint="eastAsia" w:ascii="宋体" w:hAnsi="宋体" w:cs="宋体"/>
          <w:b/>
          <w:szCs w:val="21"/>
          <w:highlight w:val="none"/>
          <w:u w:val="single"/>
        </w:rPr>
        <w:t>扣留质量保证金。</w:t>
      </w:r>
    </w:p>
    <w:p w14:paraId="25155CAA">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15.3.1 承包人提供质量保证金的方式</w:t>
      </w:r>
    </w:p>
    <w:p w14:paraId="039499C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质量保证金采用以下第</w:t>
      </w:r>
      <w:r>
        <w:rPr>
          <w:rFonts w:hint="eastAsia" w:ascii="宋体" w:hAnsi="宋体" w:cs="宋体"/>
          <w:b/>
          <w:szCs w:val="21"/>
          <w:highlight w:val="none"/>
          <w:u w:val="single"/>
        </w:rPr>
        <w:t>（2）</w:t>
      </w:r>
      <w:r>
        <w:rPr>
          <w:rFonts w:hint="eastAsia" w:ascii="宋体" w:hAnsi="宋体" w:cs="宋体"/>
          <w:szCs w:val="21"/>
          <w:highlight w:val="none"/>
        </w:rPr>
        <w:t>种方式：</w:t>
      </w:r>
    </w:p>
    <w:p w14:paraId="73DE250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（1）质量保证金保函，保证金额为：</w:t>
      </w:r>
      <w:r>
        <w:rPr>
          <w:rFonts w:hint="eastAsia" w:ascii="宋体" w:hAnsi="宋体" w:cs="宋体"/>
          <w:b/>
          <w:szCs w:val="21"/>
          <w:highlight w:val="none"/>
          <w:u w:val="single"/>
        </w:rPr>
        <w:t xml:space="preserve"> / </w:t>
      </w:r>
      <w:r>
        <w:rPr>
          <w:rFonts w:hint="eastAsia" w:ascii="宋体" w:hAnsi="宋体" w:cs="宋体"/>
          <w:szCs w:val="21"/>
          <w:highlight w:val="none"/>
        </w:rPr>
        <w:t xml:space="preserve">； </w:t>
      </w:r>
    </w:p>
    <w:p w14:paraId="7F39CDF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（2）3</w:t>
      </w:r>
      <w:r>
        <w:rPr>
          <w:rFonts w:hint="eastAsia" w:ascii="宋体" w:hAnsi="宋体" w:cs="宋体"/>
          <w:b/>
          <w:szCs w:val="21"/>
          <w:highlight w:val="none"/>
          <w:u w:val="single"/>
        </w:rPr>
        <w:t>%</w:t>
      </w:r>
      <w:r>
        <w:rPr>
          <w:rFonts w:hint="eastAsia" w:ascii="宋体" w:hAnsi="宋体" w:cs="宋体"/>
          <w:szCs w:val="21"/>
          <w:highlight w:val="none"/>
        </w:rPr>
        <w:t>的工程款；</w:t>
      </w:r>
    </w:p>
    <w:p w14:paraId="64F568F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（3）其他方式:</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65D4280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 xml:space="preserve">15.3.2 质量保证金的扣留 </w:t>
      </w:r>
    </w:p>
    <w:p w14:paraId="105E57C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质量保证金的扣留采取以下第</w:t>
      </w:r>
      <w:r>
        <w:rPr>
          <w:rFonts w:hint="eastAsia" w:ascii="宋体" w:hAnsi="宋体" w:cs="宋体"/>
          <w:b/>
          <w:szCs w:val="21"/>
          <w:highlight w:val="none"/>
          <w:u w:val="single"/>
        </w:rPr>
        <w:t>（2）</w:t>
      </w:r>
      <w:r>
        <w:rPr>
          <w:rFonts w:hint="eastAsia" w:ascii="宋体" w:hAnsi="宋体" w:cs="宋体"/>
          <w:szCs w:val="21"/>
          <w:highlight w:val="none"/>
        </w:rPr>
        <w:t>种方式：</w:t>
      </w:r>
    </w:p>
    <w:p w14:paraId="6B382D1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（1）在支付工程进度款时逐次扣留，在此情形下，质量保证金的计算基数不包括预付款的支付、扣回以及价格调整的金额；</w:t>
      </w:r>
    </w:p>
    <w:p w14:paraId="53EE079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（2）工程竣工结算时一次性扣留质量保证金；</w:t>
      </w:r>
    </w:p>
    <w:p w14:paraId="7FF3DA0C">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 xml:space="preserve">（3）其他扣留方式: </w:t>
      </w:r>
      <w:r>
        <w:rPr>
          <w:rFonts w:hint="eastAsia" w:ascii="宋体" w:hAnsi="宋体" w:cs="宋体"/>
          <w:b/>
          <w:szCs w:val="21"/>
          <w:highlight w:val="none"/>
          <w:u w:val="single"/>
        </w:rPr>
        <w:t xml:space="preserve">           。</w:t>
      </w:r>
    </w:p>
    <w:bookmarkEnd w:id="550"/>
    <w:bookmarkEnd w:id="551"/>
    <w:p w14:paraId="34F239E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15.4保修</w:t>
      </w:r>
    </w:p>
    <w:bookmarkEnd w:id="552"/>
    <w:p w14:paraId="63D38B7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15.4.1 保修责任</w:t>
      </w:r>
    </w:p>
    <w:p w14:paraId="5DAC07C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工程保修期为：</w:t>
      </w:r>
      <w:r>
        <w:rPr>
          <w:rFonts w:hint="eastAsia" w:ascii="宋体" w:hAnsi="宋体" w:cs="宋体"/>
          <w:b/>
          <w:szCs w:val="21"/>
          <w:highlight w:val="none"/>
          <w:u w:val="single"/>
        </w:rPr>
        <w:t>执行《工程质量保修书》。</w:t>
      </w:r>
    </w:p>
    <w:p w14:paraId="38DD1F4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15.4.3 修复通知</w:t>
      </w:r>
    </w:p>
    <w:p w14:paraId="2B9D3B5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承包人收到保修通知并到达工程现场的合理时间：</w:t>
      </w:r>
      <w:r>
        <w:rPr>
          <w:rFonts w:hint="eastAsia" w:ascii="宋体" w:hAnsi="宋体" w:cs="宋体"/>
          <w:b/>
          <w:szCs w:val="21"/>
          <w:highlight w:val="none"/>
          <w:u w:val="single"/>
        </w:rPr>
        <w:t>详见《工程质量保修书》 。</w:t>
      </w:r>
    </w:p>
    <w:bookmarkEnd w:id="553"/>
    <w:bookmarkEnd w:id="554"/>
    <w:bookmarkEnd w:id="555"/>
    <w:bookmarkEnd w:id="556"/>
    <w:p w14:paraId="4A334EC6">
      <w:pPr>
        <w:autoSpaceDE w:val="0"/>
        <w:autoSpaceDN w:val="0"/>
        <w:spacing w:line="400" w:lineRule="exact"/>
        <w:ind w:firstLine="632" w:firstLineChars="300"/>
        <w:rPr>
          <w:rFonts w:hint="eastAsia" w:ascii="宋体" w:hAnsi="宋体" w:cs="宋体"/>
          <w:b/>
          <w:bCs/>
          <w:szCs w:val="21"/>
          <w:highlight w:val="none"/>
        </w:rPr>
      </w:pPr>
      <w:bookmarkStart w:id="573" w:name="_Toc371167950"/>
      <w:bookmarkStart w:id="574" w:name="_Toc351203648"/>
      <w:bookmarkStart w:id="575" w:name="_Toc280868717"/>
      <w:bookmarkStart w:id="576" w:name="_Toc280868718"/>
      <w:r>
        <w:rPr>
          <w:rFonts w:hint="eastAsia" w:ascii="宋体" w:hAnsi="宋体" w:cs="宋体"/>
          <w:b/>
          <w:bCs/>
          <w:szCs w:val="21"/>
          <w:highlight w:val="none"/>
        </w:rPr>
        <w:t>16. 违约</w:t>
      </w:r>
      <w:bookmarkEnd w:id="573"/>
      <w:bookmarkEnd w:id="574"/>
    </w:p>
    <w:p w14:paraId="2CE3235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 发包人违约</w:t>
      </w:r>
    </w:p>
    <w:p w14:paraId="6E9FB20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16.1.1发包人违约的情形</w:t>
      </w:r>
    </w:p>
    <w:p w14:paraId="76F4B6D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发包人违约的其他情形：。</w:t>
      </w:r>
    </w:p>
    <w:p w14:paraId="04107F4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16.1.2 发包人违约的责任</w:t>
      </w:r>
    </w:p>
    <w:p w14:paraId="71300E1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发包人违约责任的承担方式和计算方法：</w:t>
      </w:r>
    </w:p>
    <w:p w14:paraId="564153A5">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（1）因发包人原因未能在计划开工日期前7天内下达开工通知的违约责任：</w:t>
      </w:r>
      <w:r>
        <w:rPr>
          <w:rFonts w:hint="eastAsia" w:ascii="宋体" w:hAnsi="宋体" w:cs="宋体"/>
          <w:b/>
          <w:szCs w:val="21"/>
          <w:highlight w:val="none"/>
          <w:u w:val="single"/>
        </w:rPr>
        <w:t>工期顺延</w:t>
      </w:r>
      <w:r>
        <w:rPr>
          <w:rFonts w:hint="eastAsia" w:ascii="宋体" w:hAnsi="宋体" w:cs="宋体"/>
          <w:b/>
          <w:szCs w:val="21"/>
          <w:highlight w:val="none"/>
        </w:rPr>
        <w:t>。</w:t>
      </w:r>
    </w:p>
    <w:p w14:paraId="64CE9B2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（2）因发包人原因未能按合同约定支付合同价款的违约责任：</w:t>
      </w:r>
      <w:r>
        <w:rPr>
          <w:rFonts w:hint="eastAsia" w:ascii="宋体" w:hAnsi="宋体" w:cs="宋体"/>
          <w:b/>
          <w:szCs w:val="21"/>
          <w:highlight w:val="none"/>
          <w:u w:val="single"/>
        </w:rPr>
        <w:t>/</w:t>
      </w:r>
      <w:r>
        <w:rPr>
          <w:rFonts w:hint="eastAsia" w:ascii="宋体" w:hAnsi="宋体" w:cs="宋体"/>
          <w:b/>
          <w:szCs w:val="21"/>
          <w:highlight w:val="none"/>
        </w:rPr>
        <w:t>。</w:t>
      </w:r>
    </w:p>
    <w:p w14:paraId="7CE22069">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（3）发包人违反第10.1款〔变更的范围〕第（2）项约定，自行实施被取消的工作或转由他人实施的违约责任：</w:t>
      </w:r>
      <w:r>
        <w:rPr>
          <w:rFonts w:hint="eastAsia" w:ascii="宋体" w:hAnsi="宋体" w:cs="宋体"/>
          <w:szCs w:val="21"/>
          <w:highlight w:val="none"/>
          <w:u w:val="single"/>
        </w:rPr>
        <w:t xml:space="preserve">  /      </w:t>
      </w:r>
      <w:r>
        <w:rPr>
          <w:rFonts w:hint="eastAsia" w:ascii="宋体" w:hAnsi="宋体" w:cs="宋体"/>
          <w:szCs w:val="21"/>
          <w:highlight w:val="none"/>
        </w:rPr>
        <w:t>。</w:t>
      </w:r>
    </w:p>
    <w:p w14:paraId="15BD5D9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（4）发包人提供的材料、工程设备的规格、数量或质量不符合合同约定，或因发包人原因导致交货日期延误或交货地点变更等情况的违约责任：</w:t>
      </w:r>
      <w:r>
        <w:rPr>
          <w:rFonts w:hint="eastAsia" w:ascii="宋体" w:hAnsi="宋体" w:cs="宋体"/>
          <w:szCs w:val="21"/>
          <w:highlight w:val="none"/>
          <w:u w:val="single"/>
        </w:rPr>
        <w:t>/</w:t>
      </w:r>
      <w:r>
        <w:rPr>
          <w:rFonts w:hint="eastAsia" w:ascii="宋体" w:hAnsi="宋体" w:cs="宋体"/>
          <w:szCs w:val="21"/>
          <w:highlight w:val="none"/>
        </w:rPr>
        <w:t>。</w:t>
      </w:r>
    </w:p>
    <w:p w14:paraId="7861296B">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（5）因发包人违反合同约定造成暂停施工的违约责任：</w:t>
      </w:r>
      <w:r>
        <w:rPr>
          <w:rFonts w:hint="eastAsia" w:ascii="宋体" w:hAnsi="宋体" w:cs="宋体"/>
          <w:b/>
          <w:szCs w:val="21"/>
          <w:highlight w:val="none"/>
          <w:u w:val="single"/>
        </w:rPr>
        <w:t>工期顺延</w:t>
      </w:r>
      <w:r>
        <w:rPr>
          <w:rFonts w:hint="eastAsia" w:ascii="宋体" w:hAnsi="宋体" w:cs="宋体"/>
          <w:b/>
          <w:szCs w:val="21"/>
          <w:highlight w:val="none"/>
        </w:rPr>
        <w:t>。</w:t>
      </w:r>
    </w:p>
    <w:p w14:paraId="2812ABE0">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（6）发包人无正当理由没有在约定期限内发出复工指示，导致承包人无法复工的违约责任：</w:t>
      </w:r>
      <w:r>
        <w:rPr>
          <w:rFonts w:hint="eastAsia" w:ascii="宋体" w:hAnsi="宋体" w:cs="宋体"/>
          <w:b/>
          <w:szCs w:val="21"/>
          <w:highlight w:val="none"/>
          <w:u w:val="single"/>
        </w:rPr>
        <w:t>工期顺延</w:t>
      </w:r>
      <w:r>
        <w:rPr>
          <w:rFonts w:hint="eastAsia" w:ascii="宋体" w:hAnsi="宋体" w:cs="宋体"/>
          <w:b/>
          <w:szCs w:val="21"/>
          <w:highlight w:val="none"/>
        </w:rPr>
        <w:t>。</w:t>
      </w:r>
    </w:p>
    <w:p w14:paraId="2893958A">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（7）其他：</w:t>
      </w:r>
      <w:r>
        <w:rPr>
          <w:rFonts w:hint="eastAsia" w:ascii="宋体" w:hAnsi="宋体" w:cs="宋体"/>
          <w:szCs w:val="21"/>
          <w:highlight w:val="none"/>
          <w:u w:val="single"/>
        </w:rPr>
        <w:t>/</w:t>
      </w:r>
      <w:r>
        <w:rPr>
          <w:rFonts w:hint="eastAsia" w:ascii="宋体" w:hAnsi="宋体" w:cs="宋体"/>
          <w:szCs w:val="21"/>
          <w:highlight w:val="none"/>
        </w:rPr>
        <w:t>。</w:t>
      </w:r>
    </w:p>
    <w:p w14:paraId="1E77352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16.1.3 因发包人违约解除合同</w:t>
      </w:r>
    </w:p>
    <w:p w14:paraId="219E61A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承包人按16.1.1项〔发包人违约的情形〕约定暂停施工满天后发包人仍不纠正其违约行为并致使合同目的不能实现的，承包人有权解除合同。</w:t>
      </w:r>
    </w:p>
    <w:p w14:paraId="478E9D4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 承包人违约</w:t>
      </w:r>
    </w:p>
    <w:p w14:paraId="0C5ABE4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16.2.1 承包人违约的情形</w:t>
      </w:r>
    </w:p>
    <w:p w14:paraId="38746C5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承包人违约的其他情形：</w:t>
      </w:r>
      <w:r>
        <w:rPr>
          <w:rFonts w:hint="eastAsia" w:ascii="宋体" w:hAnsi="宋体" w:cs="宋体"/>
          <w:b/>
          <w:szCs w:val="21"/>
          <w:highlight w:val="none"/>
          <w:u w:val="single"/>
        </w:rPr>
        <w:t>如达不到约定质量标准，处以合同总额5%的罚款，承包人应采取返工、修理等补救措施，使工程质量达到约定的质量标准，并承担所支付的一切费用，因此给发包人造成相应损失由承包人承担</w:t>
      </w:r>
      <w:r>
        <w:rPr>
          <w:rFonts w:hint="eastAsia" w:ascii="宋体" w:hAnsi="宋体" w:cs="宋体"/>
          <w:b/>
          <w:szCs w:val="21"/>
          <w:highlight w:val="none"/>
        </w:rPr>
        <w:t>。</w:t>
      </w:r>
    </w:p>
    <w:p w14:paraId="2578796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16.2.2承包人违约的责任</w:t>
      </w:r>
    </w:p>
    <w:p w14:paraId="4C5731B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承包人违约责任的承担方式和计算方法：</w:t>
      </w:r>
      <w:r>
        <w:rPr>
          <w:rFonts w:hint="eastAsia" w:ascii="宋体" w:hAnsi="宋体" w:cs="宋体"/>
          <w:b/>
          <w:szCs w:val="21"/>
          <w:highlight w:val="none"/>
          <w:u w:val="single"/>
        </w:rPr>
        <w:t>非经发包人认可，因承包人原因造成工期延误，每延误一天承担工程总造价千分之一的违约金。延误时间致使工程不能投入使用的，发包人可追加罚款、停止付款及终止合同</w:t>
      </w:r>
      <w:r>
        <w:rPr>
          <w:rFonts w:hint="eastAsia" w:ascii="宋体" w:hAnsi="宋体" w:cs="宋体"/>
          <w:szCs w:val="21"/>
          <w:highlight w:val="none"/>
        </w:rPr>
        <w:t xml:space="preserve">。   </w:t>
      </w:r>
    </w:p>
    <w:p w14:paraId="6695EBB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16.2.3 因承包人违约解除合同</w:t>
      </w:r>
    </w:p>
    <w:p w14:paraId="105A93DF">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关于承包人违约解除合同的特别约定：</w:t>
      </w:r>
      <w:r>
        <w:rPr>
          <w:rFonts w:hint="eastAsia" w:ascii="宋体" w:hAnsi="宋体" w:cs="宋体"/>
          <w:szCs w:val="21"/>
          <w:highlight w:val="none"/>
          <w:u w:val="single"/>
        </w:rPr>
        <w:t>/</w:t>
      </w:r>
      <w:r>
        <w:rPr>
          <w:rFonts w:hint="eastAsia" w:ascii="宋体" w:hAnsi="宋体" w:cs="宋体"/>
          <w:szCs w:val="21"/>
          <w:highlight w:val="none"/>
        </w:rPr>
        <w:t>。</w:t>
      </w:r>
    </w:p>
    <w:p w14:paraId="63EEAFF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发包人继续使用承包人在施工现场的材料、设备、临时工程、承包人文件和由承包人或以其名义编制的其他文件的费用承担方式：</w:t>
      </w:r>
      <w:r>
        <w:rPr>
          <w:rFonts w:hint="eastAsia" w:ascii="宋体" w:hAnsi="宋体" w:cs="宋体"/>
          <w:szCs w:val="21"/>
          <w:highlight w:val="none"/>
          <w:u w:val="single"/>
        </w:rPr>
        <w:t>/</w:t>
      </w:r>
      <w:r>
        <w:rPr>
          <w:rFonts w:hint="eastAsia" w:ascii="宋体" w:hAnsi="宋体" w:cs="宋体"/>
          <w:szCs w:val="21"/>
          <w:highlight w:val="none"/>
        </w:rPr>
        <w:t>。</w:t>
      </w:r>
    </w:p>
    <w:p w14:paraId="6EA6E36A">
      <w:pPr>
        <w:autoSpaceDE w:val="0"/>
        <w:autoSpaceDN w:val="0"/>
        <w:spacing w:line="400" w:lineRule="exact"/>
        <w:ind w:firstLine="632" w:firstLineChars="300"/>
        <w:rPr>
          <w:rFonts w:hint="eastAsia" w:ascii="宋体" w:hAnsi="宋体" w:cs="宋体"/>
          <w:b/>
          <w:bCs/>
          <w:szCs w:val="21"/>
          <w:highlight w:val="none"/>
        </w:rPr>
      </w:pPr>
      <w:bookmarkStart w:id="577" w:name="_Toc371167951"/>
      <w:bookmarkStart w:id="578" w:name="_Toc351203649"/>
      <w:r>
        <w:rPr>
          <w:rFonts w:hint="eastAsia" w:ascii="宋体" w:hAnsi="宋体" w:cs="宋体"/>
          <w:b/>
          <w:bCs/>
          <w:szCs w:val="21"/>
          <w:highlight w:val="none"/>
        </w:rPr>
        <w:t>17. 不可抗力</w:t>
      </w:r>
      <w:bookmarkEnd w:id="575"/>
      <w:bookmarkEnd w:id="577"/>
      <w:bookmarkEnd w:id="578"/>
    </w:p>
    <w:p w14:paraId="7D83731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17.1 不可抗力的确认</w:t>
      </w:r>
    </w:p>
    <w:p w14:paraId="495D25B8">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 xml:space="preserve">除通用合同条款约定的不可抗力事件之外，视为不可抗力的其他情形：  </w:t>
      </w:r>
      <w:r>
        <w:rPr>
          <w:rFonts w:hint="eastAsia" w:ascii="宋体" w:hAnsi="宋体" w:cs="宋体"/>
          <w:b/>
          <w:szCs w:val="21"/>
          <w:highlight w:val="none"/>
          <w:u w:val="single"/>
        </w:rPr>
        <w:t>≥十级以上连续4小时的大风，200毫米以上的暴雨，百年一遇的山洪，五级以上的地震，国家法定的传染病疫情。</w:t>
      </w:r>
    </w:p>
    <w:p w14:paraId="18F85DF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17.4 因不可抗力解除合同</w:t>
      </w:r>
    </w:p>
    <w:p w14:paraId="5D581BF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合同解除后，发包人应在商定或确定发包人应支付款项后</w:t>
      </w:r>
      <w:r>
        <w:rPr>
          <w:rFonts w:hint="eastAsia" w:ascii="宋体" w:hAnsi="宋体" w:cs="宋体"/>
          <w:szCs w:val="21"/>
          <w:highlight w:val="none"/>
          <w:u w:val="single"/>
        </w:rPr>
        <w:t>60</w:t>
      </w:r>
      <w:r>
        <w:rPr>
          <w:rFonts w:hint="eastAsia" w:ascii="宋体" w:hAnsi="宋体" w:cs="宋体"/>
          <w:szCs w:val="21"/>
          <w:highlight w:val="none"/>
        </w:rPr>
        <w:t>天内完成款项的支付。</w:t>
      </w:r>
    </w:p>
    <w:p w14:paraId="76D6773F">
      <w:pPr>
        <w:autoSpaceDE w:val="0"/>
        <w:autoSpaceDN w:val="0"/>
        <w:spacing w:line="400" w:lineRule="exact"/>
        <w:ind w:firstLine="632" w:firstLineChars="300"/>
        <w:rPr>
          <w:rFonts w:hint="eastAsia" w:ascii="宋体" w:hAnsi="宋体" w:cs="宋体"/>
          <w:b/>
          <w:bCs/>
          <w:szCs w:val="21"/>
          <w:highlight w:val="none"/>
        </w:rPr>
      </w:pPr>
      <w:bookmarkStart w:id="579" w:name="_Toc371167952"/>
      <w:bookmarkStart w:id="580" w:name="_Toc351203650"/>
      <w:r>
        <w:rPr>
          <w:rFonts w:hint="eastAsia" w:ascii="宋体" w:hAnsi="宋体" w:cs="宋体"/>
          <w:b/>
          <w:bCs/>
          <w:szCs w:val="21"/>
          <w:highlight w:val="none"/>
        </w:rPr>
        <w:t>18. 保险</w:t>
      </w:r>
      <w:bookmarkEnd w:id="579"/>
      <w:bookmarkEnd w:id="580"/>
    </w:p>
    <w:bookmarkEnd w:id="576"/>
    <w:p w14:paraId="5BD0FF8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18.1 工程保险</w:t>
      </w:r>
    </w:p>
    <w:p w14:paraId="33F499E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关于工程保险的特别约定：</w:t>
      </w:r>
      <w:r>
        <w:rPr>
          <w:rFonts w:hint="eastAsia" w:ascii="宋体" w:hAnsi="宋体" w:cs="宋体"/>
          <w:szCs w:val="21"/>
          <w:highlight w:val="none"/>
          <w:u w:val="single"/>
        </w:rPr>
        <w:t xml:space="preserve">    /     </w:t>
      </w:r>
      <w:r>
        <w:rPr>
          <w:rFonts w:hint="eastAsia" w:ascii="宋体" w:hAnsi="宋体" w:cs="宋体"/>
          <w:szCs w:val="21"/>
          <w:highlight w:val="none"/>
        </w:rPr>
        <w:t>。</w:t>
      </w:r>
    </w:p>
    <w:p w14:paraId="5C93DDA1">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18.3 其他保险</w:t>
      </w:r>
    </w:p>
    <w:p w14:paraId="563EA25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关于其他保险的约定：</w:t>
      </w:r>
      <w:r>
        <w:rPr>
          <w:rFonts w:hint="eastAsia" w:ascii="宋体" w:hAnsi="宋体" w:cs="宋体"/>
          <w:szCs w:val="21"/>
          <w:highlight w:val="none"/>
          <w:u w:val="single"/>
        </w:rPr>
        <w:t xml:space="preserve">    /     </w:t>
      </w:r>
      <w:r>
        <w:rPr>
          <w:rFonts w:hint="eastAsia" w:ascii="宋体" w:hAnsi="宋体" w:cs="宋体"/>
          <w:szCs w:val="21"/>
          <w:highlight w:val="none"/>
        </w:rPr>
        <w:t>。</w:t>
      </w:r>
    </w:p>
    <w:p w14:paraId="41973AC8">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承包人是否应为其施工设备等办理财产保险：</w:t>
      </w:r>
      <w:r>
        <w:rPr>
          <w:rFonts w:hint="eastAsia" w:ascii="宋体" w:hAnsi="宋体" w:cs="宋体"/>
          <w:szCs w:val="21"/>
          <w:highlight w:val="none"/>
          <w:u w:val="single"/>
        </w:rPr>
        <w:t>/</w:t>
      </w:r>
      <w:r>
        <w:rPr>
          <w:rFonts w:hint="eastAsia" w:ascii="宋体" w:hAnsi="宋体" w:cs="宋体"/>
          <w:szCs w:val="21"/>
          <w:highlight w:val="none"/>
        </w:rPr>
        <w:t>。</w:t>
      </w:r>
    </w:p>
    <w:p w14:paraId="3B99043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18.7 通知义务</w:t>
      </w:r>
    </w:p>
    <w:p w14:paraId="7734A56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关于变更保险合同时的通知义务的约定：</w:t>
      </w:r>
      <w:r>
        <w:rPr>
          <w:rFonts w:hint="eastAsia" w:ascii="宋体" w:hAnsi="宋体" w:cs="宋体"/>
          <w:szCs w:val="21"/>
          <w:highlight w:val="none"/>
          <w:u w:val="single"/>
        </w:rPr>
        <w:t>/</w:t>
      </w:r>
      <w:r>
        <w:rPr>
          <w:rFonts w:hint="eastAsia" w:ascii="宋体" w:hAnsi="宋体" w:cs="宋体"/>
          <w:szCs w:val="21"/>
          <w:highlight w:val="none"/>
        </w:rPr>
        <w:t>。</w:t>
      </w:r>
    </w:p>
    <w:bookmarkEnd w:id="557"/>
    <w:bookmarkEnd w:id="558"/>
    <w:bookmarkEnd w:id="559"/>
    <w:bookmarkEnd w:id="560"/>
    <w:bookmarkEnd w:id="561"/>
    <w:bookmarkEnd w:id="562"/>
    <w:bookmarkEnd w:id="563"/>
    <w:bookmarkEnd w:id="564"/>
    <w:bookmarkEnd w:id="565"/>
    <w:bookmarkEnd w:id="566"/>
    <w:bookmarkEnd w:id="567"/>
    <w:bookmarkEnd w:id="568"/>
    <w:p w14:paraId="6B69242F">
      <w:pPr>
        <w:autoSpaceDE w:val="0"/>
        <w:autoSpaceDN w:val="0"/>
        <w:spacing w:line="400" w:lineRule="exact"/>
        <w:ind w:firstLine="632" w:firstLineChars="300"/>
        <w:rPr>
          <w:rFonts w:hint="eastAsia" w:ascii="宋体" w:hAnsi="宋体" w:cs="宋体"/>
          <w:b/>
          <w:bCs/>
          <w:szCs w:val="21"/>
          <w:highlight w:val="none"/>
        </w:rPr>
      </w:pPr>
      <w:bookmarkStart w:id="581" w:name="_Toc351203651"/>
      <w:bookmarkStart w:id="582" w:name="_Toc371167953"/>
      <w:r>
        <w:rPr>
          <w:rFonts w:hint="eastAsia" w:ascii="宋体" w:hAnsi="宋体" w:cs="宋体"/>
          <w:b/>
          <w:bCs/>
          <w:szCs w:val="21"/>
          <w:highlight w:val="none"/>
        </w:rPr>
        <w:t>20. 争议解决</w:t>
      </w:r>
      <w:bookmarkEnd w:id="581"/>
      <w:bookmarkEnd w:id="582"/>
    </w:p>
    <w:bookmarkEnd w:id="569"/>
    <w:bookmarkEnd w:id="570"/>
    <w:p w14:paraId="37502B9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20.3 争</w:t>
      </w:r>
      <w:bookmarkEnd w:id="571"/>
      <w:r>
        <w:rPr>
          <w:rFonts w:hint="eastAsia" w:ascii="宋体" w:hAnsi="宋体" w:cs="宋体"/>
          <w:szCs w:val="21"/>
          <w:highlight w:val="none"/>
        </w:rPr>
        <w:t>议评审</w:t>
      </w:r>
    </w:p>
    <w:p w14:paraId="43287DB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合同当事人是否同意将工程争议提交争议评审小组决定：</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5BC33DB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20.3.1 争议评审小组的确定</w:t>
      </w:r>
    </w:p>
    <w:p w14:paraId="06B7374F">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争议评审小组成员的确定：</w:t>
      </w:r>
      <w:r>
        <w:rPr>
          <w:rFonts w:hint="eastAsia" w:ascii="宋体" w:hAnsi="宋体" w:cs="宋体"/>
          <w:szCs w:val="21"/>
          <w:highlight w:val="none"/>
          <w:u w:val="single"/>
        </w:rPr>
        <w:t>/</w:t>
      </w:r>
      <w:r>
        <w:rPr>
          <w:rFonts w:hint="eastAsia" w:ascii="宋体" w:hAnsi="宋体" w:cs="宋体"/>
          <w:szCs w:val="21"/>
          <w:highlight w:val="none"/>
        </w:rPr>
        <w:t>。</w:t>
      </w:r>
    </w:p>
    <w:p w14:paraId="1405CE7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选定争议评审员的期限：</w:t>
      </w:r>
      <w:r>
        <w:rPr>
          <w:rFonts w:hint="eastAsia" w:ascii="宋体" w:hAnsi="宋体" w:cs="宋体"/>
          <w:szCs w:val="21"/>
          <w:highlight w:val="none"/>
          <w:u w:val="single"/>
        </w:rPr>
        <w:t>/</w:t>
      </w:r>
      <w:r>
        <w:rPr>
          <w:rFonts w:hint="eastAsia" w:ascii="宋体" w:hAnsi="宋体" w:cs="宋体"/>
          <w:szCs w:val="21"/>
          <w:highlight w:val="none"/>
        </w:rPr>
        <w:t>。</w:t>
      </w:r>
    </w:p>
    <w:p w14:paraId="15C6226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争议评审小组成员的报酬承担方式：</w:t>
      </w:r>
      <w:r>
        <w:rPr>
          <w:rFonts w:hint="eastAsia" w:ascii="宋体" w:hAnsi="宋体" w:cs="宋体"/>
          <w:szCs w:val="21"/>
          <w:highlight w:val="none"/>
          <w:u w:val="single"/>
        </w:rPr>
        <w:t>/</w:t>
      </w:r>
      <w:r>
        <w:rPr>
          <w:rFonts w:hint="eastAsia" w:ascii="宋体" w:hAnsi="宋体" w:cs="宋体"/>
          <w:szCs w:val="21"/>
          <w:highlight w:val="none"/>
        </w:rPr>
        <w:t>。</w:t>
      </w:r>
    </w:p>
    <w:p w14:paraId="774C150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其他事项的约定：</w:t>
      </w:r>
      <w:r>
        <w:rPr>
          <w:rFonts w:hint="eastAsia" w:ascii="宋体" w:hAnsi="宋体" w:cs="宋体"/>
          <w:szCs w:val="21"/>
          <w:highlight w:val="none"/>
          <w:u w:val="single"/>
        </w:rPr>
        <w:t>/</w:t>
      </w:r>
      <w:r>
        <w:rPr>
          <w:rFonts w:hint="eastAsia" w:ascii="宋体" w:hAnsi="宋体" w:cs="宋体"/>
          <w:szCs w:val="21"/>
          <w:highlight w:val="none"/>
        </w:rPr>
        <w:t>。</w:t>
      </w:r>
    </w:p>
    <w:p w14:paraId="00FB5B5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20.3.2 争议评审小组的决定</w:t>
      </w:r>
    </w:p>
    <w:p w14:paraId="126B7B5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合同当事人关于本项的约定：</w:t>
      </w:r>
      <w:r>
        <w:rPr>
          <w:rFonts w:hint="eastAsia" w:ascii="宋体" w:hAnsi="宋体" w:cs="宋体"/>
          <w:szCs w:val="21"/>
          <w:highlight w:val="none"/>
          <w:u w:val="single"/>
        </w:rPr>
        <w:t>/</w:t>
      </w:r>
      <w:r>
        <w:rPr>
          <w:rFonts w:hint="eastAsia" w:ascii="宋体" w:hAnsi="宋体" w:cs="宋体"/>
          <w:szCs w:val="21"/>
          <w:highlight w:val="none"/>
        </w:rPr>
        <w:t>。</w:t>
      </w:r>
    </w:p>
    <w:p w14:paraId="03E1698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20.4仲裁或诉讼</w:t>
      </w:r>
      <w:bookmarkEnd w:id="572"/>
    </w:p>
    <w:p w14:paraId="4CD27BF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因合同及合同有关事项发生的争议，按下列第</w:t>
      </w:r>
      <w:r>
        <w:rPr>
          <w:rFonts w:hint="eastAsia" w:ascii="宋体" w:hAnsi="宋体" w:cs="宋体"/>
          <w:b/>
          <w:szCs w:val="21"/>
          <w:highlight w:val="none"/>
          <w:u w:val="single"/>
        </w:rPr>
        <w:t xml:space="preserve"> （2）</w:t>
      </w:r>
      <w:r>
        <w:rPr>
          <w:rFonts w:hint="eastAsia" w:ascii="宋体" w:hAnsi="宋体" w:cs="宋体"/>
          <w:szCs w:val="21"/>
          <w:highlight w:val="none"/>
        </w:rPr>
        <w:t>种方式解决：</w:t>
      </w:r>
    </w:p>
    <w:p w14:paraId="6CCFA7C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（1）向</w:t>
      </w:r>
      <w:r>
        <w:rPr>
          <w:rFonts w:hint="eastAsia" w:ascii="宋体" w:hAnsi="宋体" w:cs="宋体"/>
          <w:b/>
          <w:szCs w:val="21"/>
          <w:highlight w:val="none"/>
          <w:u w:val="single"/>
        </w:rPr>
        <w:t xml:space="preserve">          </w:t>
      </w:r>
      <w:r>
        <w:rPr>
          <w:rFonts w:hint="eastAsia" w:ascii="宋体" w:hAnsi="宋体" w:cs="宋体"/>
          <w:szCs w:val="21"/>
          <w:highlight w:val="none"/>
        </w:rPr>
        <w:t>仲裁委员会申请仲裁；</w:t>
      </w:r>
    </w:p>
    <w:p w14:paraId="457300EA">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（2）向</w:t>
      </w:r>
      <w:r>
        <w:rPr>
          <w:rFonts w:hint="eastAsia" w:ascii="宋体" w:hAnsi="宋体" w:cs="宋体"/>
          <w:szCs w:val="21"/>
          <w:highlight w:val="none"/>
          <w:u w:val="single"/>
        </w:rPr>
        <w:t xml:space="preserve">  有管辖权的</w:t>
      </w:r>
      <w:r>
        <w:rPr>
          <w:rFonts w:hint="eastAsia" w:ascii="宋体" w:hAnsi="宋体" w:cs="宋体"/>
          <w:szCs w:val="21"/>
          <w:highlight w:val="none"/>
        </w:rPr>
        <w:t>人民法院起诉。</w:t>
      </w:r>
    </w:p>
    <w:p w14:paraId="55F35200">
      <w:pPr>
        <w:autoSpaceDE w:val="0"/>
        <w:autoSpaceDN w:val="0"/>
        <w:spacing w:line="400" w:lineRule="exact"/>
        <w:ind w:firstLine="632" w:firstLineChars="300"/>
        <w:rPr>
          <w:rFonts w:hint="eastAsia" w:ascii="宋体" w:hAnsi="宋体" w:cs="宋体"/>
          <w:b/>
          <w:szCs w:val="21"/>
          <w:highlight w:val="none"/>
        </w:rPr>
      </w:pPr>
      <w:r>
        <w:rPr>
          <w:rFonts w:hint="eastAsia" w:ascii="宋体" w:hAnsi="宋体" w:cs="宋体"/>
          <w:b/>
          <w:szCs w:val="21"/>
          <w:highlight w:val="none"/>
        </w:rPr>
        <w:t>21. 补充条款</w:t>
      </w:r>
    </w:p>
    <w:bookmarkEnd w:id="57"/>
    <w:p w14:paraId="0438B541">
      <w:pPr>
        <w:autoSpaceDE w:val="0"/>
        <w:autoSpaceDN w:val="0"/>
        <w:spacing w:line="400" w:lineRule="exact"/>
        <w:ind w:firstLine="565" w:firstLineChars="268"/>
        <w:rPr>
          <w:rFonts w:hint="eastAsia" w:ascii="宋体" w:hAnsi="宋体" w:cs="宋体"/>
          <w:b/>
          <w:szCs w:val="21"/>
          <w:highlight w:val="none"/>
        </w:rPr>
      </w:pPr>
      <w:r>
        <w:rPr>
          <w:rFonts w:hint="eastAsia" w:ascii="宋体" w:hAnsi="宋体" w:cs="宋体"/>
          <w:b/>
          <w:szCs w:val="21"/>
          <w:highlight w:val="none"/>
        </w:rPr>
        <w:t>（1）承包人必须负责做好在施工中与其他相关施工单位协调工作，并无条件服从发包人统一协调。做好与其他相关工程的协调施工及成品保护，不能影响总工期，否则将追究责任方的责任，并要承担由此引起的返工怠工损失。</w:t>
      </w:r>
    </w:p>
    <w:p w14:paraId="1EEDA408">
      <w:pPr>
        <w:autoSpaceDE w:val="0"/>
        <w:autoSpaceDN w:val="0"/>
        <w:spacing w:line="400" w:lineRule="exact"/>
        <w:ind w:firstLine="565" w:firstLineChars="268"/>
        <w:rPr>
          <w:rFonts w:hint="eastAsia" w:ascii="宋体" w:hAnsi="宋体" w:cs="宋体"/>
          <w:b/>
          <w:szCs w:val="21"/>
          <w:highlight w:val="none"/>
        </w:rPr>
      </w:pPr>
      <w:r>
        <w:rPr>
          <w:rFonts w:hint="eastAsia" w:ascii="宋体" w:hAnsi="宋体" w:cs="宋体"/>
          <w:b/>
          <w:szCs w:val="21"/>
          <w:highlight w:val="none"/>
        </w:rPr>
        <w:t>（2）承包人应按通用条款要求做好安全施工、文明施工工作。按标准设置围挡，要整齐牢固、美观整洁，宣传内容齐全；制定防尘降噪措施，标志标牌符合要求，指定安全责任人，确保安全生产；施工人员要按要求挂牌上岗，安全帽要设置统一标识。如达不到规定要求的，除按发包人的要求整改达标外，发包人有权扣除相应违约金。</w:t>
      </w:r>
    </w:p>
    <w:p w14:paraId="673D5A55">
      <w:pPr>
        <w:autoSpaceDE w:val="0"/>
        <w:autoSpaceDN w:val="0"/>
        <w:spacing w:line="400" w:lineRule="exact"/>
        <w:ind w:firstLine="565" w:firstLineChars="268"/>
        <w:rPr>
          <w:rFonts w:hint="eastAsia" w:ascii="宋体" w:hAnsi="宋体" w:cs="宋体"/>
          <w:b/>
          <w:szCs w:val="21"/>
          <w:highlight w:val="none"/>
        </w:rPr>
      </w:pPr>
      <w:r>
        <w:rPr>
          <w:rFonts w:hint="eastAsia" w:ascii="宋体" w:hAnsi="宋体" w:cs="宋体"/>
          <w:b/>
          <w:szCs w:val="21"/>
          <w:highlight w:val="none"/>
        </w:rPr>
        <w:t xml:space="preserve">（3）施工资料要随施工进度同步进行，下一道工序施工前必须完成上一道工序技术资料的交验签证。工程完工验收合格后，施工单位要对施工资料整理归档。 </w:t>
      </w:r>
    </w:p>
    <w:p w14:paraId="78F2740C">
      <w:pPr>
        <w:autoSpaceDE w:val="0"/>
        <w:autoSpaceDN w:val="0"/>
        <w:spacing w:line="400" w:lineRule="exact"/>
        <w:ind w:firstLine="565" w:firstLineChars="268"/>
        <w:jc w:val="left"/>
        <w:rPr>
          <w:rFonts w:hint="eastAsia" w:ascii="宋体" w:hAnsi="宋体" w:cs="宋体"/>
          <w:b/>
          <w:szCs w:val="21"/>
          <w:highlight w:val="none"/>
        </w:rPr>
      </w:pPr>
      <w:r>
        <w:rPr>
          <w:rFonts w:hint="eastAsia" w:ascii="宋体" w:hAnsi="宋体" w:cs="宋体"/>
          <w:b/>
          <w:szCs w:val="21"/>
          <w:highlight w:val="none"/>
        </w:rPr>
        <w:t>（4）若中标单位投标总价与综合单价合价不一致，以总价不变的原则，招标人有权合理修正综合单价。评标时发现投标单位存在恶意不平衡报价,应予废标,评标时未发现的在结算时予以调整。</w:t>
      </w:r>
    </w:p>
    <w:p w14:paraId="2768428A">
      <w:pPr>
        <w:autoSpaceDE w:val="0"/>
        <w:autoSpaceDN w:val="0"/>
        <w:spacing w:line="400" w:lineRule="exact"/>
        <w:ind w:firstLine="565" w:firstLineChars="268"/>
        <w:jc w:val="left"/>
        <w:rPr>
          <w:rFonts w:hint="eastAsia" w:ascii="宋体" w:hAnsi="宋体" w:cs="宋体"/>
          <w:b/>
          <w:szCs w:val="21"/>
          <w:highlight w:val="none"/>
        </w:rPr>
      </w:pPr>
      <w:r>
        <w:rPr>
          <w:rFonts w:hint="eastAsia" w:ascii="宋体" w:hAnsi="宋体" w:cs="宋体"/>
          <w:b/>
          <w:szCs w:val="21"/>
          <w:highlight w:val="none"/>
        </w:rPr>
        <w:t>（5）重要事项设计变更须经相关部门审批许可，且应附详细图纸及变更原因（签字盖章），否则不予结算。</w:t>
      </w:r>
    </w:p>
    <w:p w14:paraId="73BF685F">
      <w:pPr>
        <w:tabs>
          <w:tab w:val="left" w:pos="4860"/>
        </w:tabs>
        <w:autoSpaceDE w:val="0"/>
        <w:autoSpaceDN w:val="0"/>
        <w:spacing w:line="400" w:lineRule="exact"/>
        <w:rPr>
          <w:rFonts w:ascii="宋体" w:hAnsi="宋体"/>
          <w:sz w:val="24"/>
          <w:highlight w:val="none"/>
        </w:rPr>
      </w:pPr>
      <w:r>
        <w:rPr>
          <w:rFonts w:ascii="宋体" w:hAnsi="宋体"/>
          <w:sz w:val="24"/>
          <w:highlight w:val="none"/>
        </w:rPr>
        <w:br w:type="page"/>
      </w:r>
      <w:r>
        <w:rPr>
          <w:rFonts w:ascii="宋体" w:hAnsi="宋体"/>
          <w:sz w:val="24"/>
          <w:highlight w:val="none"/>
        </w:rPr>
        <w:t>附</w:t>
      </w:r>
      <w:bookmarkStart w:id="583" w:name="_Toc296503226"/>
      <w:bookmarkStart w:id="584" w:name="_Toc296944565"/>
      <w:bookmarkStart w:id="585" w:name="_Toc296891054"/>
      <w:bookmarkStart w:id="586" w:name="_Toc267261693"/>
      <w:bookmarkStart w:id="587" w:name="_Toc296347225"/>
      <w:bookmarkStart w:id="588" w:name="_Toc296891266"/>
      <w:bookmarkStart w:id="589" w:name="_Toc296346727"/>
      <w:r>
        <w:rPr>
          <w:rFonts w:ascii="宋体" w:hAnsi="宋体"/>
          <w:sz w:val="24"/>
          <w:highlight w:val="none"/>
        </w:rPr>
        <w:t>件</w:t>
      </w:r>
      <w:r>
        <w:rPr>
          <w:rFonts w:hint="eastAsia" w:ascii="宋体" w:hAnsi="宋体"/>
          <w:sz w:val="24"/>
          <w:highlight w:val="none"/>
        </w:rPr>
        <w:t>1</w:t>
      </w:r>
      <w:r>
        <w:rPr>
          <w:rFonts w:ascii="宋体" w:hAnsi="宋体"/>
          <w:sz w:val="24"/>
          <w:highlight w:val="none"/>
        </w:rPr>
        <w:t>：</w:t>
      </w:r>
      <w:bookmarkEnd w:id="583"/>
      <w:bookmarkEnd w:id="584"/>
      <w:bookmarkEnd w:id="585"/>
      <w:bookmarkEnd w:id="586"/>
      <w:bookmarkEnd w:id="587"/>
      <w:bookmarkEnd w:id="588"/>
      <w:bookmarkEnd w:id="589"/>
    </w:p>
    <w:p w14:paraId="79F082D8">
      <w:pPr>
        <w:tabs>
          <w:tab w:val="left" w:pos="4860"/>
        </w:tabs>
        <w:autoSpaceDE w:val="0"/>
        <w:autoSpaceDN w:val="0"/>
        <w:spacing w:line="400" w:lineRule="exact"/>
        <w:jc w:val="center"/>
        <w:rPr>
          <w:rFonts w:ascii="宋体" w:hAnsi="宋体"/>
          <w:b/>
          <w:sz w:val="24"/>
          <w:highlight w:val="none"/>
        </w:rPr>
      </w:pPr>
      <w:r>
        <w:rPr>
          <w:rFonts w:ascii="宋体" w:hAnsi="宋体"/>
          <w:b/>
          <w:sz w:val="24"/>
          <w:highlight w:val="none"/>
        </w:rPr>
        <w:t>工程质量保修书</w:t>
      </w:r>
    </w:p>
    <w:p w14:paraId="3B248DC3">
      <w:pPr>
        <w:tabs>
          <w:tab w:val="left" w:pos="4860"/>
        </w:tabs>
        <w:autoSpaceDE w:val="0"/>
        <w:autoSpaceDN w:val="0"/>
        <w:spacing w:line="400" w:lineRule="exact"/>
        <w:ind w:firstLine="480" w:firstLineChars="200"/>
        <w:rPr>
          <w:rFonts w:hint="eastAsia" w:ascii="宋体" w:hAnsi="宋体"/>
          <w:sz w:val="24"/>
          <w:highlight w:val="none"/>
        </w:rPr>
      </w:pPr>
    </w:p>
    <w:p w14:paraId="6AA85647">
      <w:pPr>
        <w:tabs>
          <w:tab w:val="left" w:pos="4860"/>
        </w:tabs>
        <w:autoSpaceDE w:val="0"/>
        <w:autoSpaceDN w:val="0"/>
        <w:spacing w:line="400" w:lineRule="exact"/>
        <w:ind w:firstLine="480" w:firstLineChars="200"/>
        <w:rPr>
          <w:rFonts w:hint="eastAsia" w:ascii="宋体" w:hAnsi="宋体"/>
          <w:sz w:val="24"/>
          <w:highlight w:val="none"/>
          <w:u w:val="single"/>
        </w:rPr>
      </w:pPr>
      <w:r>
        <w:rPr>
          <w:rFonts w:hint="eastAsia" w:ascii="宋体" w:hAnsi="宋体"/>
          <w:sz w:val="24"/>
          <w:highlight w:val="none"/>
        </w:rPr>
        <w:t>发包人（全称）：</w:t>
      </w:r>
      <w:r>
        <w:rPr>
          <w:rFonts w:hint="eastAsia" w:ascii="宋体" w:hAnsi="宋体"/>
          <w:b/>
          <w:sz w:val="24"/>
          <w:highlight w:val="none"/>
          <w:u w:val="single"/>
        </w:rPr>
        <w:t xml:space="preserve"> </w:t>
      </w:r>
      <w:r>
        <w:rPr>
          <w:rFonts w:hint="eastAsia" w:ascii="宋体" w:hAnsi="宋体"/>
          <w:sz w:val="24"/>
          <w:highlight w:val="none"/>
          <w:u w:val="single"/>
        </w:rPr>
        <w:t xml:space="preserve">                                 </w:t>
      </w:r>
    </w:p>
    <w:p w14:paraId="1A480116">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承包人（全称）：</w:t>
      </w:r>
      <w:r>
        <w:rPr>
          <w:rFonts w:hint="eastAsia" w:ascii="宋体" w:hAnsi="宋体"/>
          <w:sz w:val="24"/>
          <w:highlight w:val="none"/>
          <w:u w:val="single"/>
        </w:rPr>
        <w:t xml:space="preserve">                                  </w:t>
      </w:r>
      <w:r>
        <w:rPr>
          <w:rFonts w:hint="eastAsia" w:ascii="宋体" w:hAnsi="宋体"/>
          <w:sz w:val="24"/>
          <w:highlight w:val="none"/>
        </w:rPr>
        <w:t xml:space="preserve"> </w:t>
      </w:r>
    </w:p>
    <w:p w14:paraId="6A7836AB">
      <w:pPr>
        <w:pStyle w:val="12"/>
        <w:rPr>
          <w:rFonts w:hint="eastAsia"/>
          <w:highlight w:val="none"/>
        </w:rPr>
      </w:pPr>
    </w:p>
    <w:p w14:paraId="6921BD64">
      <w:pPr>
        <w:tabs>
          <w:tab w:val="left" w:pos="4860"/>
        </w:tabs>
        <w:autoSpaceDE w:val="0"/>
        <w:autoSpaceDN w:val="0"/>
        <w:spacing w:line="400" w:lineRule="exact"/>
        <w:jc w:val="left"/>
        <w:rPr>
          <w:rFonts w:hint="eastAsia" w:ascii="宋体" w:hAnsi="宋体"/>
          <w:sz w:val="24"/>
          <w:highlight w:val="none"/>
        </w:rPr>
      </w:pPr>
      <w:r>
        <w:rPr>
          <w:rFonts w:hint="eastAsia" w:ascii="宋体" w:hAnsi="宋体"/>
          <w:sz w:val="24"/>
          <w:highlight w:val="none"/>
        </w:rPr>
        <w:t>　　发包人和承包人根据《中华人民共和国建筑法》和《建设工程质量管理条例》，经协商一致就</w:t>
      </w:r>
      <w:r>
        <w:rPr>
          <w:rFonts w:hint="eastAsia" w:ascii="宋体" w:hAnsi="宋体"/>
          <w:b/>
          <w:sz w:val="24"/>
          <w:highlight w:val="none"/>
          <w:u w:val="single"/>
        </w:rPr>
        <w:t xml:space="preserve">                                工程</w:t>
      </w:r>
      <w:r>
        <w:rPr>
          <w:rFonts w:hint="eastAsia" w:ascii="宋体" w:hAnsi="宋体"/>
          <w:sz w:val="24"/>
          <w:highlight w:val="none"/>
          <w:u w:val="single"/>
        </w:rPr>
        <w:t xml:space="preserve"> </w:t>
      </w:r>
      <w:r>
        <w:rPr>
          <w:rFonts w:hint="eastAsia" w:ascii="宋体" w:hAnsi="宋体"/>
          <w:sz w:val="24"/>
          <w:highlight w:val="none"/>
        </w:rPr>
        <w:t>签订工程质量保修书。</w:t>
      </w:r>
    </w:p>
    <w:p w14:paraId="65FE388D">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一、工程质量保修范围和内容</w:t>
      </w:r>
    </w:p>
    <w:p w14:paraId="0B7700F0">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承包人在质量保修期内，按照有关法律规定和合同约定，承担工程质量保修责任。</w:t>
      </w:r>
    </w:p>
    <w:p w14:paraId="017BEF7A">
      <w:pPr>
        <w:tabs>
          <w:tab w:val="left" w:pos="4860"/>
        </w:tabs>
        <w:autoSpaceDE w:val="0"/>
        <w:autoSpaceDN w:val="0"/>
        <w:spacing w:line="400" w:lineRule="exact"/>
        <w:ind w:firstLine="600"/>
        <w:rPr>
          <w:rFonts w:hint="eastAsia" w:ascii="宋体" w:hAnsi="宋体"/>
          <w:sz w:val="24"/>
          <w:highlight w:val="none"/>
        </w:rPr>
      </w:pPr>
      <w:r>
        <w:rPr>
          <w:rFonts w:hint="eastAsia" w:ascii="宋体" w:hAnsi="宋体"/>
          <w:sz w:val="24"/>
          <w:highlight w:val="none"/>
        </w:rPr>
        <w:t>质量保修范围包括地基基础工程、主体结构工程，屋面防水工程、有防水要求的卫生间、房间和外墙面的防渗漏，供热与供冷系统，电气管线、给排水管道、设备安装和装修工程，以及双方约定的其他项目。</w:t>
      </w:r>
    </w:p>
    <w:p w14:paraId="0FE12845">
      <w:pPr>
        <w:tabs>
          <w:tab w:val="left" w:pos="4860"/>
        </w:tabs>
        <w:autoSpaceDE w:val="0"/>
        <w:autoSpaceDN w:val="0"/>
        <w:spacing w:line="400" w:lineRule="exact"/>
        <w:ind w:firstLine="600"/>
        <w:rPr>
          <w:rFonts w:hint="eastAsia" w:ascii="宋体" w:hAnsi="宋体"/>
          <w:sz w:val="24"/>
          <w:highlight w:val="none"/>
        </w:rPr>
      </w:pPr>
      <w:r>
        <w:rPr>
          <w:rFonts w:hint="eastAsia" w:ascii="宋体" w:hAnsi="宋体"/>
          <w:sz w:val="24"/>
          <w:highlight w:val="none"/>
        </w:rPr>
        <w:t>具体保修的内容，双方约定如下：</w:t>
      </w:r>
    </w:p>
    <w:p w14:paraId="2AEAF5D2">
      <w:pPr>
        <w:tabs>
          <w:tab w:val="left" w:pos="4860"/>
        </w:tabs>
        <w:autoSpaceDE w:val="0"/>
        <w:autoSpaceDN w:val="0"/>
        <w:spacing w:line="400" w:lineRule="exact"/>
        <w:ind w:firstLine="472" w:firstLineChars="196"/>
        <w:rPr>
          <w:rFonts w:hint="eastAsia" w:ascii="宋体" w:hAnsi="宋体"/>
          <w:sz w:val="24"/>
          <w:highlight w:val="none"/>
        </w:rPr>
      </w:pPr>
      <w:r>
        <w:rPr>
          <w:rFonts w:hint="eastAsia" w:ascii="宋体" w:hAnsi="宋体"/>
          <w:b/>
          <w:sz w:val="24"/>
          <w:highlight w:val="none"/>
          <w:u w:val="single"/>
        </w:rPr>
        <w:t xml:space="preserve">　承包人承包范围内的工程内容  </w:t>
      </w:r>
      <w:r>
        <w:rPr>
          <w:rFonts w:hint="eastAsia" w:ascii="宋体" w:hAnsi="宋体"/>
          <w:sz w:val="24"/>
          <w:highlight w:val="none"/>
        </w:rPr>
        <w:t>。</w:t>
      </w:r>
    </w:p>
    <w:p w14:paraId="018D3056">
      <w:pPr>
        <w:tabs>
          <w:tab w:val="left" w:pos="4860"/>
        </w:tabs>
        <w:autoSpaceDE w:val="0"/>
        <w:autoSpaceDN w:val="0"/>
        <w:spacing w:line="400" w:lineRule="exact"/>
        <w:rPr>
          <w:rFonts w:hint="eastAsia" w:ascii="宋体" w:hAnsi="宋体"/>
          <w:sz w:val="24"/>
          <w:highlight w:val="none"/>
        </w:rPr>
      </w:pPr>
      <w:r>
        <w:rPr>
          <w:rFonts w:hint="eastAsia" w:ascii="宋体" w:hAnsi="宋体"/>
          <w:b/>
          <w:sz w:val="24"/>
          <w:highlight w:val="none"/>
        </w:rPr>
        <w:t>　　</w:t>
      </w:r>
      <w:r>
        <w:rPr>
          <w:rFonts w:hint="eastAsia" w:ascii="宋体" w:hAnsi="宋体"/>
          <w:sz w:val="24"/>
          <w:highlight w:val="none"/>
        </w:rPr>
        <w:t>二、质量保修期</w:t>
      </w:r>
    </w:p>
    <w:p w14:paraId="1C28BDDE">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根据《建设工程质量管理条例》及有关规定，工程的质量保修期如下：</w:t>
      </w:r>
    </w:p>
    <w:p w14:paraId="0E9FC00A">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1．地基基础工程和主体结构工程为设计文件规定的工程合理使用年限；</w:t>
      </w:r>
    </w:p>
    <w:p w14:paraId="6B874232">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2．屋面防水工程、有防水要求的卫生间、房间和外墙面的防渗为</w:t>
      </w:r>
      <w:r>
        <w:rPr>
          <w:rFonts w:hint="eastAsia" w:ascii="宋体" w:hAnsi="宋体"/>
          <w:sz w:val="24"/>
          <w:highlight w:val="none"/>
          <w:u w:val="single"/>
        </w:rPr>
        <w:t xml:space="preserve"> / </w:t>
      </w:r>
      <w:r>
        <w:rPr>
          <w:rFonts w:hint="eastAsia" w:ascii="宋体" w:hAnsi="宋体"/>
          <w:sz w:val="24"/>
          <w:highlight w:val="none"/>
        </w:rPr>
        <w:t>年；</w:t>
      </w:r>
    </w:p>
    <w:p w14:paraId="008581F4">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3．装修工程为</w:t>
      </w:r>
      <w:r>
        <w:rPr>
          <w:rFonts w:hint="eastAsia" w:ascii="宋体" w:hAnsi="宋体"/>
          <w:sz w:val="24"/>
          <w:highlight w:val="none"/>
          <w:u w:val="single"/>
        </w:rPr>
        <w:t xml:space="preserve"> / </w:t>
      </w:r>
      <w:r>
        <w:rPr>
          <w:rFonts w:hint="eastAsia" w:ascii="宋体" w:hAnsi="宋体"/>
          <w:sz w:val="24"/>
          <w:highlight w:val="none"/>
        </w:rPr>
        <w:t>年；</w:t>
      </w:r>
    </w:p>
    <w:p w14:paraId="1BD23674">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4．电气管线、给排水管道、设备安装工程隐蔽部分</w:t>
      </w:r>
      <w:r>
        <w:rPr>
          <w:rFonts w:hint="eastAsia" w:ascii="宋体" w:hAnsi="宋体"/>
          <w:sz w:val="24"/>
          <w:highlight w:val="none"/>
          <w:u w:val="single"/>
        </w:rPr>
        <w:t xml:space="preserve"> / </w:t>
      </w:r>
      <w:r>
        <w:rPr>
          <w:rFonts w:hint="eastAsia" w:ascii="宋体" w:hAnsi="宋体"/>
          <w:sz w:val="24"/>
          <w:highlight w:val="none"/>
        </w:rPr>
        <w:t>年，非隐蔽部分为</w:t>
      </w:r>
      <w:r>
        <w:rPr>
          <w:rFonts w:hint="eastAsia" w:ascii="宋体" w:hAnsi="宋体"/>
          <w:sz w:val="24"/>
          <w:highlight w:val="none"/>
          <w:u w:val="single"/>
        </w:rPr>
        <w:t xml:space="preserve"> / </w:t>
      </w:r>
      <w:r>
        <w:rPr>
          <w:rFonts w:hint="eastAsia" w:ascii="宋体" w:hAnsi="宋体"/>
          <w:sz w:val="24"/>
          <w:highlight w:val="none"/>
        </w:rPr>
        <w:t>年；</w:t>
      </w:r>
    </w:p>
    <w:p w14:paraId="356861A2">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5．供热与供冷系统为</w:t>
      </w:r>
      <w:r>
        <w:rPr>
          <w:rFonts w:hint="eastAsia" w:ascii="宋体" w:hAnsi="宋体"/>
          <w:sz w:val="24"/>
          <w:highlight w:val="none"/>
          <w:u w:val="single"/>
        </w:rPr>
        <w:t xml:space="preserve"> / </w:t>
      </w:r>
      <w:r>
        <w:rPr>
          <w:rFonts w:hint="eastAsia" w:ascii="宋体" w:hAnsi="宋体"/>
          <w:sz w:val="24"/>
          <w:highlight w:val="none"/>
        </w:rPr>
        <w:t>个采暖期、供冷期；</w:t>
      </w:r>
    </w:p>
    <w:p w14:paraId="34A83CC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6．住宅小区内的给排水设施、道路等配套工程为</w:t>
      </w:r>
      <w:r>
        <w:rPr>
          <w:rFonts w:hint="eastAsia" w:ascii="宋体" w:hAnsi="宋体"/>
          <w:sz w:val="24"/>
          <w:highlight w:val="none"/>
          <w:u w:val="single"/>
        </w:rPr>
        <w:t xml:space="preserve"> / </w:t>
      </w:r>
      <w:r>
        <w:rPr>
          <w:rFonts w:hint="eastAsia" w:ascii="宋体" w:hAnsi="宋体"/>
          <w:sz w:val="24"/>
          <w:highlight w:val="none"/>
        </w:rPr>
        <w:t>年；</w:t>
      </w:r>
    </w:p>
    <w:p w14:paraId="20E82DF3">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7．其他项目保修期限约定如下：</w:t>
      </w:r>
      <w:r>
        <w:rPr>
          <w:rFonts w:hint="eastAsia" w:ascii="宋体" w:hAnsi="宋体"/>
          <w:b/>
          <w:sz w:val="24"/>
          <w:highlight w:val="none"/>
          <w:u w:val="single"/>
        </w:rPr>
        <w:t>本工程保修期为2年。</w:t>
      </w:r>
    </w:p>
    <w:p w14:paraId="2DB5BE05">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质量保修期自工程竣工验收合格之日起计算。</w:t>
      </w:r>
    </w:p>
    <w:p w14:paraId="4FACDEDC">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三、缺陷责任期</w:t>
      </w:r>
    </w:p>
    <w:p w14:paraId="673B9B16">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工程缺陷责任期为</w:t>
      </w:r>
      <w:r>
        <w:rPr>
          <w:rFonts w:hint="eastAsia" w:ascii="宋体" w:hAnsi="宋体"/>
          <w:sz w:val="24"/>
          <w:highlight w:val="none"/>
          <w:u w:val="single"/>
        </w:rPr>
        <w:t xml:space="preserve"> 24 </w:t>
      </w:r>
      <w:r>
        <w:rPr>
          <w:rFonts w:hint="eastAsia" w:ascii="宋体" w:hAnsi="宋体"/>
          <w:sz w:val="24"/>
          <w:highlight w:val="none"/>
        </w:rPr>
        <w:t>个月，缺陷责任期自工程竣工验收合格之日起计算。单位工程先于全部工程进行验收，单位工程缺陷责任期自单位工程验收合格之日起算。</w:t>
      </w:r>
    </w:p>
    <w:p w14:paraId="641C1AB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缺陷责任期终止后，发包人应退还剩余的质量保证金。</w:t>
      </w:r>
    </w:p>
    <w:p w14:paraId="30FCE6CB">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xml:space="preserve">    四、质量保修责任</w:t>
      </w:r>
    </w:p>
    <w:p w14:paraId="3FA7F06E">
      <w:pPr>
        <w:tabs>
          <w:tab w:val="left" w:pos="4860"/>
        </w:tabs>
        <w:autoSpaceDE w:val="0"/>
        <w:autoSpaceDN w:val="0"/>
        <w:spacing w:line="400" w:lineRule="exact"/>
        <w:ind w:left="105" w:leftChars="50" w:firstLine="491" w:firstLineChars="205"/>
        <w:rPr>
          <w:rFonts w:hint="eastAsia" w:ascii="宋体" w:hAnsi="宋体"/>
          <w:sz w:val="24"/>
          <w:highlight w:val="none"/>
        </w:rPr>
      </w:pPr>
      <w:r>
        <w:rPr>
          <w:rFonts w:hint="eastAsia" w:ascii="宋体" w:hAnsi="宋体"/>
          <w:sz w:val="24"/>
          <w:highlight w:val="none"/>
        </w:rPr>
        <w:t>1．属于保修范围、内容的项目，承包人应当在接到保修通知之日起7天内派人保修。承包人不在约定期限内派人保修的，发包人可以委托他人修理。</w:t>
      </w:r>
    </w:p>
    <w:p w14:paraId="29E2BBFD">
      <w:pPr>
        <w:tabs>
          <w:tab w:val="left" w:pos="4860"/>
        </w:tabs>
        <w:autoSpaceDE w:val="0"/>
        <w:autoSpaceDN w:val="0"/>
        <w:spacing w:line="400" w:lineRule="exact"/>
        <w:ind w:left="105" w:leftChars="50" w:firstLine="491" w:firstLineChars="205"/>
        <w:rPr>
          <w:rFonts w:hint="eastAsia" w:ascii="宋体" w:hAnsi="宋体"/>
          <w:sz w:val="24"/>
          <w:highlight w:val="none"/>
        </w:rPr>
      </w:pPr>
      <w:r>
        <w:rPr>
          <w:rFonts w:hint="eastAsia" w:ascii="宋体" w:hAnsi="宋体"/>
          <w:sz w:val="24"/>
          <w:highlight w:val="none"/>
        </w:rPr>
        <w:t>2．发生紧急事故需抢修的，承包人在接到事故通知后，应当立即到达事故现场抢修。</w:t>
      </w:r>
    </w:p>
    <w:p w14:paraId="2EBCA979">
      <w:pPr>
        <w:tabs>
          <w:tab w:val="left" w:pos="4860"/>
        </w:tabs>
        <w:autoSpaceDE w:val="0"/>
        <w:autoSpaceDN w:val="0"/>
        <w:spacing w:line="400" w:lineRule="exact"/>
        <w:ind w:left="105" w:leftChars="50" w:firstLine="491" w:firstLineChars="205"/>
        <w:rPr>
          <w:rFonts w:hint="eastAsia" w:ascii="宋体" w:hAnsi="宋体"/>
          <w:sz w:val="24"/>
          <w:highlight w:val="none"/>
        </w:rPr>
      </w:pPr>
      <w:r>
        <w:rPr>
          <w:rFonts w:hint="eastAsia" w:ascii="宋体" w:hAnsi="宋体"/>
          <w:sz w:val="24"/>
          <w:highlight w:val="none"/>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6D430631">
      <w:pPr>
        <w:tabs>
          <w:tab w:val="left" w:pos="4860"/>
        </w:tabs>
        <w:autoSpaceDE w:val="0"/>
        <w:autoSpaceDN w:val="0"/>
        <w:spacing w:line="400" w:lineRule="exact"/>
        <w:ind w:left="420" w:leftChars="200" w:firstLine="120" w:firstLineChars="50"/>
        <w:rPr>
          <w:rFonts w:hint="eastAsia" w:ascii="宋体" w:hAnsi="宋体"/>
          <w:sz w:val="24"/>
          <w:highlight w:val="none"/>
        </w:rPr>
      </w:pPr>
      <w:r>
        <w:rPr>
          <w:rFonts w:hint="eastAsia" w:ascii="宋体" w:hAnsi="宋体"/>
          <w:sz w:val="24"/>
          <w:highlight w:val="none"/>
        </w:rPr>
        <w:t>4．质量保修完成后，由发包人组织验收。</w:t>
      </w:r>
    </w:p>
    <w:p w14:paraId="30870A94">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五、保修费用</w:t>
      </w:r>
    </w:p>
    <w:p w14:paraId="1A441670">
      <w:pPr>
        <w:tabs>
          <w:tab w:val="left" w:pos="4860"/>
        </w:tabs>
        <w:autoSpaceDE w:val="0"/>
        <w:autoSpaceDN w:val="0"/>
        <w:spacing w:line="400" w:lineRule="exact"/>
        <w:ind w:firstLine="600"/>
        <w:rPr>
          <w:rFonts w:hint="eastAsia" w:ascii="宋体" w:hAnsi="宋体"/>
          <w:sz w:val="24"/>
          <w:highlight w:val="none"/>
        </w:rPr>
      </w:pPr>
      <w:r>
        <w:rPr>
          <w:rFonts w:hint="eastAsia" w:ascii="宋体" w:hAnsi="宋体"/>
          <w:sz w:val="24"/>
          <w:highlight w:val="none"/>
        </w:rPr>
        <w:t>保修费用由造成质量缺陷的责任方承担。</w:t>
      </w:r>
    </w:p>
    <w:p w14:paraId="23C3AA6A">
      <w:pPr>
        <w:tabs>
          <w:tab w:val="left" w:pos="4860"/>
        </w:tabs>
        <w:autoSpaceDE w:val="0"/>
        <w:autoSpaceDN w:val="0"/>
        <w:spacing w:line="400" w:lineRule="exact"/>
        <w:ind w:firstLine="600"/>
        <w:jc w:val="left"/>
        <w:rPr>
          <w:rFonts w:hint="eastAsia" w:ascii="宋体" w:hAnsi="宋体"/>
          <w:sz w:val="24"/>
          <w:highlight w:val="none"/>
          <w:u w:val="single"/>
        </w:rPr>
      </w:pPr>
      <w:r>
        <w:rPr>
          <w:rFonts w:hint="eastAsia" w:ascii="宋体" w:hAnsi="宋体"/>
          <w:sz w:val="24"/>
          <w:highlight w:val="none"/>
        </w:rPr>
        <w:t>六、双方约定的其他工程质量保修事项：</w:t>
      </w:r>
      <w:r>
        <w:rPr>
          <w:rFonts w:hint="eastAsia" w:ascii="宋体" w:hAnsi="宋体"/>
          <w:sz w:val="24"/>
          <w:highlight w:val="none"/>
          <w:u w:val="single"/>
        </w:rPr>
        <w:t xml:space="preserve">                  </w:t>
      </w:r>
      <w:r>
        <w:rPr>
          <w:rFonts w:hint="eastAsia" w:ascii="宋体" w:hAnsi="宋体"/>
          <w:sz w:val="24"/>
          <w:highlight w:val="none"/>
        </w:rPr>
        <w:t>。</w:t>
      </w:r>
    </w:p>
    <w:p w14:paraId="79BA652A">
      <w:pPr>
        <w:tabs>
          <w:tab w:val="left" w:pos="4860"/>
        </w:tabs>
        <w:autoSpaceDE w:val="0"/>
        <w:autoSpaceDN w:val="0"/>
        <w:spacing w:line="400" w:lineRule="exact"/>
        <w:ind w:firstLine="456" w:firstLineChars="190"/>
        <w:rPr>
          <w:rFonts w:hint="eastAsia" w:ascii="宋体" w:hAnsi="宋体"/>
          <w:sz w:val="24"/>
          <w:highlight w:val="none"/>
        </w:rPr>
      </w:pPr>
      <w:r>
        <w:rPr>
          <w:rFonts w:hint="eastAsia" w:ascii="宋体" w:hAnsi="宋体"/>
          <w:sz w:val="24"/>
          <w:highlight w:val="none"/>
        </w:rPr>
        <w:t>工程质量保修书由发包人、承包人在工程竣工验收前共同签署，作为施工合同附件，其有效期限至保修期满。</w:t>
      </w:r>
    </w:p>
    <w:p w14:paraId="6FAE5020">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发包人(公章)：         承包人(公章)：           </w:t>
      </w:r>
    </w:p>
    <w:p w14:paraId="722C8EE3">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地  址：       地  址：       </w:t>
      </w:r>
    </w:p>
    <w:p w14:paraId="6EEEAFD3">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法定代表人(签字)：       法定代表人(签字)：       </w:t>
      </w:r>
    </w:p>
    <w:p w14:paraId="0A660B2C">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委托代理人(签字)：       委托代理人(签字)：       </w:t>
      </w:r>
    </w:p>
    <w:p w14:paraId="255F060E">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电  话：     电  话：     </w:t>
      </w:r>
    </w:p>
    <w:p w14:paraId="091EBEB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开户银行：     开户银行：   </w:t>
      </w:r>
    </w:p>
    <w:p w14:paraId="13C40225">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账  号：         账  号：     </w:t>
      </w:r>
    </w:p>
    <w:p w14:paraId="3DDE25B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邮政编码：       邮政编码：   </w:t>
      </w:r>
    </w:p>
    <w:p w14:paraId="2AF9FB7E">
      <w:pPr>
        <w:tabs>
          <w:tab w:val="left" w:pos="4860"/>
        </w:tabs>
        <w:spacing w:line="400" w:lineRule="exact"/>
        <w:rPr>
          <w:rFonts w:ascii="宋体" w:hAnsi="宋体"/>
          <w:sz w:val="24"/>
          <w:highlight w:val="none"/>
        </w:rPr>
      </w:pPr>
      <w:r>
        <w:rPr>
          <w:rFonts w:hint="eastAsia" w:ascii="宋体" w:hAnsi="宋体"/>
          <w:b/>
          <w:sz w:val="28"/>
          <w:szCs w:val="28"/>
          <w:highlight w:val="none"/>
        </w:rPr>
        <w:br w:type="page"/>
      </w:r>
      <w:r>
        <w:rPr>
          <w:rFonts w:ascii="宋体" w:hAnsi="宋体"/>
          <w:sz w:val="24"/>
          <w:highlight w:val="none"/>
        </w:rPr>
        <w:t>附</w:t>
      </w:r>
      <w:bookmarkStart w:id="590" w:name="_Toc267261699"/>
      <w:bookmarkStart w:id="591" w:name="_Toc296503228"/>
      <w:bookmarkStart w:id="592" w:name="_Toc296346729"/>
      <w:bookmarkStart w:id="593" w:name="_Toc296944567"/>
      <w:bookmarkStart w:id="594" w:name="_Toc296891268"/>
      <w:bookmarkStart w:id="595" w:name="_Toc296347227"/>
      <w:bookmarkStart w:id="596" w:name="_Toc296891056"/>
      <w:r>
        <w:rPr>
          <w:rFonts w:ascii="宋体" w:hAnsi="宋体"/>
          <w:sz w:val="24"/>
          <w:highlight w:val="none"/>
        </w:rPr>
        <w:t>件</w:t>
      </w:r>
      <w:r>
        <w:rPr>
          <w:rFonts w:hint="eastAsia" w:ascii="宋体" w:hAnsi="宋体"/>
          <w:sz w:val="24"/>
          <w:highlight w:val="none"/>
        </w:rPr>
        <w:t>2</w:t>
      </w:r>
      <w:r>
        <w:rPr>
          <w:rFonts w:ascii="宋体" w:hAnsi="宋体"/>
          <w:sz w:val="24"/>
          <w:highlight w:val="none"/>
        </w:rPr>
        <w:t>：</w:t>
      </w:r>
    </w:p>
    <w:p w14:paraId="5518A166">
      <w:pPr>
        <w:spacing w:before="156" w:beforeLines="50" w:after="156" w:afterLines="50" w:line="440" w:lineRule="exact"/>
        <w:jc w:val="center"/>
        <w:rPr>
          <w:rFonts w:hint="eastAsia" w:ascii="仿宋" w:hAnsi="仿宋" w:eastAsia="仿宋" w:cs="仿宋"/>
          <w:b/>
          <w:bCs/>
          <w:sz w:val="30"/>
          <w:szCs w:val="30"/>
          <w:highlight w:val="none"/>
        </w:rPr>
      </w:pPr>
      <w:r>
        <w:rPr>
          <w:rFonts w:hint="eastAsia" w:ascii="仿宋" w:hAnsi="仿宋" w:eastAsia="仿宋" w:cs="仿宋"/>
          <w:b/>
          <w:bCs/>
          <w:sz w:val="30"/>
          <w:szCs w:val="30"/>
          <w:highlight w:val="none"/>
        </w:rPr>
        <w:t>承包人用于本工程施工的机械设备表</w:t>
      </w:r>
    </w:p>
    <w:tbl>
      <w:tblPr>
        <w:tblStyle w:val="31"/>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6FCDD3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noWrap w:val="0"/>
            <w:vAlign w:val="center"/>
          </w:tcPr>
          <w:p w14:paraId="77B73C9D">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序号</w:t>
            </w:r>
          </w:p>
        </w:tc>
        <w:tc>
          <w:tcPr>
            <w:tcW w:w="1418" w:type="dxa"/>
            <w:tcBorders>
              <w:top w:val="single" w:color="auto" w:sz="12" w:space="0"/>
              <w:bottom w:val="double" w:color="auto" w:sz="6" w:space="0"/>
            </w:tcBorders>
            <w:noWrap w:val="0"/>
            <w:vAlign w:val="center"/>
          </w:tcPr>
          <w:p w14:paraId="7EA08E49">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机械或</w:t>
            </w:r>
          </w:p>
          <w:p w14:paraId="786437DC">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设备名称</w:t>
            </w:r>
          </w:p>
        </w:tc>
        <w:tc>
          <w:tcPr>
            <w:tcW w:w="850" w:type="dxa"/>
            <w:tcBorders>
              <w:top w:val="single" w:color="auto" w:sz="12" w:space="0"/>
              <w:bottom w:val="double" w:color="auto" w:sz="6" w:space="0"/>
            </w:tcBorders>
            <w:noWrap w:val="0"/>
            <w:vAlign w:val="center"/>
          </w:tcPr>
          <w:p w14:paraId="33C367E2">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规格型号</w:t>
            </w:r>
          </w:p>
        </w:tc>
        <w:tc>
          <w:tcPr>
            <w:tcW w:w="1058" w:type="dxa"/>
            <w:tcBorders>
              <w:top w:val="single" w:color="auto" w:sz="12" w:space="0"/>
              <w:bottom w:val="double" w:color="auto" w:sz="6" w:space="0"/>
            </w:tcBorders>
            <w:noWrap w:val="0"/>
            <w:vAlign w:val="center"/>
          </w:tcPr>
          <w:p w14:paraId="34AF2942">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数量</w:t>
            </w:r>
          </w:p>
        </w:tc>
        <w:tc>
          <w:tcPr>
            <w:tcW w:w="880" w:type="dxa"/>
            <w:tcBorders>
              <w:top w:val="single" w:color="auto" w:sz="12" w:space="0"/>
              <w:bottom w:val="double" w:color="auto" w:sz="6" w:space="0"/>
            </w:tcBorders>
            <w:noWrap w:val="0"/>
            <w:vAlign w:val="center"/>
          </w:tcPr>
          <w:p w14:paraId="42DB91BD">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产地</w:t>
            </w:r>
          </w:p>
        </w:tc>
        <w:tc>
          <w:tcPr>
            <w:tcW w:w="1020" w:type="dxa"/>
            <w:tcBorders>
              <w:top w:val="single" w:color="auto" w:sz="12" w:space="0"/>
              <w:bottom w:val="double" w:color="auto" w:sz="6" w:space="0"/>
            </w:tcBorders>
            <w:noWrap w:val="0"/>
            <w:vAlign w:val="center"/>
          </w:tcPr>
          <w:p w14:paraId="50DA2F45">
            <w:pPr>
              <w:pStyle w:val="12"/>
              <w:keepNext/>
              <w:spacing w:after="0" w:line="440" w:lineRule="exact"/>
              <w:ind w:left="63" w:right="63"/>
              <w:jc w:val="center"/>
              <w:rPr>
                <w:rFonts w:eastAsia="仿宋_GB2312"/>
                <w:kern w:val="2"/>
                <w:sz w:val="28"/>
                <w:szCs w:val="30"/>
                <w:highlight w:val="none"/>
              </w:rPr>
            </w:pPr>
            <w:r>
              <w:rPr>
                <w:rFonts w:eastAsia="仿宋_GB2312"/>
                <w:kern w:val="2"/>
                <w:sz w:val="28"/>
                <w:szCs w:val="30"/>
                <w:highlight w:val="none"/>
              </w:rPr>
              <w:t>制造年份</w:t>
            </w:r>
          </w:p>
        </w:tc>
        <w:tc>
          <w:tcPr>
            <w:tcW w:w="1480" w:type="dxa"/>
            <w:tcBorders>
              <w:top w:val="single" w:color="auto" w:sz="12" w:space="0"/>
              <w:bottom w:val="double" w:color="auto" w:sz="6" w:space="0"/>
            </w:tcBorders>
            <w:noWrap w:val="0"/>
            <w:vAlign w:val="center"/>
          </w:tcPr>
          <w:p w14:paraId="5E20CA3D">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额定功率</w:t>
            </w:r>
          </w:p>
          <w:p w14:paraId="01AB7B7B">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(kW)</w:t>
            </w:r>
          </w:p>
        </w:tc>
        <w:tc>
          <w:tcPr>
            <w:tcW w:w="1020" w:type="dxa"/>
            <w:tcBorders>
              <w:top w:val="single" w:color="auto" w:sz="12" w:space="0"/>
              <w:bottom w:val="double" w:color="auto" w:sz="6" w:space="0"/>
            </w:tcBorders>
            <w:noWrap w:val="0"/>
            <w:vAlign w:val="center"/>
          </w:tcPr>
          <w:p w14:paraId="5AB8E9F5">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生产</w:t>
            </w:r>
          </w:p>
          <w:p w14:paraId="294835F4">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能力</w:t>
            </w:r>
          </w:p>
        </w:tc>
        <w:tc>
          <w:tcPr>
            <w:tcW w:w="921" w:type="dxa"/>
            <w:tcBorders>
              <w:top w:val="single" w:color="auto" w:sz="12" w:space="0"/>
              <w:bottom w:val="double" w:color="auto" w:sz="6" w:space="0"/>
            </w:tcBorders>
            <w:noWrap w:val="0"/>
            <w:vAlign w:val="center"/>
          </w:tcPr>
          <w:p w14:paraId="1A82F709">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备注</w:t>
            </w:r>
          </w:p>
        </w:tc>
      </w:tr>
      <w:tr w14:paraId="59A2E0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noWrap w:val="0"/>
            <w:vAlign w:val="center"/>
          </w:tcPr>
          <w:p w14:paraId="106C0AC1">
            <w:pPr>
              <w:pStyle w:val="12"/>
              <w:keepNext/>
              <w:spacing w:after="0" w:line="440" w:lineRule="exact"/>
              <w:ind w:left="63" w:right="63"/>
              <w:rPr>
                <w:rFonts w:eastAsia="仿宋_GB2312"/>
                <w:kern w:val="2"/>
                <w:sz w:val="30"/>
                <w:szCs w:val="30"/>
                <w:highlight w:val="none"/>
              </w:rPr>
            </w:pPr>
          </w:p>
        </w:tc>
        <w:tc>
          <w:tcPr>
            <w:tcW w:w="1418" w:type="dxa"/>
            <w:tcBorders>
              <w:top w:val="double" w:color="auto" w:sz="6" w:space="0"/>
              <w:bottom w:val="single" w:color="auto" w:sz="6" w:space="0"/>
            </w:tcBorders>
            <w:noWrap w:val="0"/>
            <w:vAlign w:val="center"/>
          </w:tcPr>
          <w:p w14:paraId="5ACC5ECA">
            <w:pPr>
              <w:pStyle w:val="12"/>
              <w:keepNext/>
              <w:spacing w:after="0" w:line="440" w:lineRule="exact"/>
              <w:ind w:left="63" w:right="63"/>
              <w:rPr>
                <w:rFonts w:eastAsia="仿宋_GB2312"/>
                <w:kern w:val="2"/>
                <w:sz w:val="30"/>
                <w:szCs w:val="30"/>
                <w:highlight w:val="none"/>
              </w:rPr>
            </w:pPr>
          </w:p>
        </w:tc>
        <w:tc>
          <w:tcPr>
            <w:tcW w:w="850" w:type="dxa"/>
            <w:tcBorders>
              <w:top w:val="double" w:color="auto" w:sz="6" w:space="0"/>
              <w:bottom w:val="single" w:color="auto" w:sz="6" w:space="0"/>
            </w:tcBorders>
            <w:noWrap w:val="0"/>
            <w:vAlign w:val="center"/>
          </w:tcPr>
          <w:p w14:paraId="28DB7500">
            <w:pPr>
              <w:pStyle w:val="12"/>
              <w:keepNext/>
              <w:spacing w:after="0" w:line="440" w:lineRule="exact"/>
              <w:ind w:left="63" w:right="63"/>
              <w:rPr>
                <w:rFonts w:eastAsia="仿宋_GB2312"/>
                <w:kern w:val="2"/>
                <w:sz w:val="30"/>
                <w:szCs w:val="30"/>
                <w:highlight w:val="none"/>
              </w:rPr>
            </w:pPr>
          </w:p>
        </w:tc>
        <w:tc>
          <w:tcPr>
            <w:tcW w:w="1058" w:type="dxa"/>
            <w:tcBorders>
              <w:top w:val="double" w:color="auto" w:sz="6" w:space="0"/>
              <w:bottom w:val="single" w:color="auto" w:sz="6" w:space="0"/>
            </w:tcBorders>
            <w:noWrap w:val="0"/>
            <w:vAlign w:val="center"/>
          </w:tcPr>
          <w:p w14:paraId="273EA09E">
            <w:pPr>
              <w:pStyle w:val="12"/>
              <w:keepNext/>
              <w:spacing w:after="0" w:line="440" w:lineRule="exact"/>
              <w:ind w:left="63" w:right="63"/>
              <w:rPr>
                <w:rFonts w:eastAsia="仿宋_GB2312"/>
                <w:kern w:val="2"/>
                <w:sz w:val="30"/>
                <w:szCs w:val="30"/>
                <w:highlight w:val="none"/>
              </w:rPr>
            </w:pPr>
          </w:p>
        </w:tc>
        <w:tc>
          <w:tcPr>
            <w:tcW w:w="880" w:type="dxa"/>
            <w:tcBorders>
              <w:top w:val="double" w:color="auto" w:sz="6" w:space="0"/>
              <w:bottom w:val="single" w:color="auto" w:sz="6" w:space="0"/>
            </w:tcBorders>
            <w:noWrap w:val="0"/>
            <w:vAlign w:val="center"/>
          </w:tcPr>
          <w:p w14:paraId="604AE549">
            <w:pPr>
              <w:pStyle w:val="12"/>
              <w:keepNext/>
              <w:spacing w:after="0" w:line="440" w:lineRule="exact"/>
              <w:ind w:left="63" w:right="63"/>
              <w:rPr>
                <w:rFonts w:eastAsia="仿宋_GB2312"/>
                <w:kern w:val="2"/>
                <w:sz w:val="30"/>
                <w:szCs w:val="30"/>
                <w:highlight w:val="none"/>
              </w:rPr>
            </w:pPr>
          </w:p>
        </w:tc>
        <w:tc>
          <w:tcPr>
            <w:tcW w:w="1020" w:type="dxa"/>
            <w:tcBorders>
              <w:top w:val="double" w:color="auto" w:sz="6" w:space="0"/>
              <w:bottom w:val="single" w:color="auto" w:sz="6" w:space="0"/>
            </w:tcBorders>
            <w:noWrap w:val="0"/>
            <w:vAlign w:val="center"/>
          </w:tcPr>
          <w:p w14:paraId="4EBA1C23">
            <w:pPr>
              <w:pStyle w:val="12"/>
              <w:keepNext/>
              <w:spacing w:after="0" w:line="440" w:lineRule="exact"/>
              <w:ind w:left="63" w:right="63"/>
              <w:rPr>
                <w:rFonts w:eastAsia="仿宋_GB2312"/>
                <w:kern w:val="2"/>
                <w:sz w:val="30"/>
                <w:szCs w:val="30"/>
                <w:highlight w:val="none"/>
              </w:rPr>
            </w:pPr>
          </w:p>
        </w:tc>
        <w:tc>
          <w:tcPr>
            <w:tcW w:w="1480" w:type="dxa"/>
            <w:tcBorders>
              <w:top w:val="double" w:color="auto" w:sz="6" w:space="0"/>
              <w:bottom w:val="single" w:color="auto" w:sz="6" w:space="0"/>
            </w:tcBorders>
            <w:noWrap w:val="0"/>
            <w:vAlign w:val="center"/>
          </w:tcPr>
          <w:p w14:paraId="66D4560F">
            <w:pPr>
              <w:pStyle w:val="12"/>
              <w:keepNext/>
              <w:spacing w:after="0" w:line="440" w:lineRule="exact"/>
              <w:ind w:left="63" w:right="63"/>
              <w:rPr>
                <w:rFonts w:eastAsia="仿宋_GB2312"/>
                <w:kern w:val="2"/>
                <w:sz w:val="30"/>
                <w:szCs w:val="30"/>
                <w:highlight w:val="none"/>
              </w:rPr>
            </w:pPr>
          </w:p>
        </w:tc>
        <w:tc>
          <w:tcPr>
            <w:tcW w:w="1020" w:type="dxa"/>
            <w:tcBorders>
              <w:top w:val="double" w:color="auto" w:sz="6" w:space="0"/>
              <w:bottom w:val="single" w:color="auto" w:sz="6" w:space="0"/>
            </w:tcBorders>
            <w:noWrap w:val="0"/>
            <w:vAlign w:val="center"/>
          </w:tcPr>
          <w:p w14:paraId="27039CD6">
            <w:pPr>
              <w:pStyle w:val="12"/>
              <w:keepNext/>
              <w:spacing w:after="0" w:line="440" w:lineRule="exact"/>
              <w:ind w:left="63" w:right="63"/>
              <w:rPr>
                <w:rFonts w:eastAsia="仿宋_GB2312"/>
                <w:kern w:val="2"/>
                <w:sz w:val="30"/>
                <w:szCs w:val="30"/>
                <w:highlight w:val="none"/>
              </w:rPr>
            </w:pPr>
          </w:p>
        </w:tc>
        <w:tc>
          <w:tcPr>
            <w:tcW w:w="921" w:type="dxa"/>
            <w:tcBorders>
              <w:top w:val="double" w:color="auto" w:sz="6" w:space="0"/>
              <w:bottom w:val="single" w:color="auto" w:sz="6" w:space="0"/>
            </w:tcBorders>
            <w:noWrap w:val="0"/>
            <w:vAlign w:val="center"/>
          </w:tcPr>
          <w:p w14:paraId="1D5A2C7C">
            <w:pPr>
              <w:pStyle w:val="12"/>
              <w:keepNext/>
              <w:spacing w:after="0" w:line="440" w:lineRule="exact"/>
              <w:ind w:left="63" w:right="63"/>
              <w:rPr>
                <w:rFonts w:eastAsia="仿宋_GB2312"/>
                <w:kern w:val="2"/>
                <w:sz w:val="30"/>
                <w:szCs w:val="30"/>
                <w:highlight w:val="none"/>
              </w:rPr>
            </w:pPr>
          </w:p>
        </w:tc>
      </w:tr>
      <w:tr w14:paraId="02BE39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noWrap w:val="0"/>
            <w:vAlign w:val="center"/>
          </w:tcPr>
          <w:p w14:paraId="4455B549">
            <w:pPr>
              <w:pStyle w:val="12"/>
              <w:keepNext/>
              <w:spacing w:after="0" w:line="440" w:lineRule="exact"/>
              <w:ind w:left="63" w:right="63"/>
              <w:rPr>
                <w:rFonts w:eastAsia="仿宋_GB2312"/>
                <w:kern w:val="2"/>
                <w:sz w:val="30"/>
                <w:szCs w:val="30"/>
                <w:highlight w:val="none"/>
              </w:rPr>
            </w:pPr>
          </w:p>
        </w:tc>
        <w:tc>
          <w:tcPr>
            <w:tcW w:w="1418" w:type="dxa"/>
            <w:tcBorders>
              <w:top w:val="nil"/>
            </w:tcBorders>
            <w:noWrap w:val="0"/>
            <w:vAlign w:val="center"/>
          </w:tcPr>
          <w:p w14:paraId="06D1D00D">
            <w:pPr>
              <w:pStyle w:val="12"/>
              <w:keepNext/>
              <w:spacing w:after="0" w:line="440" w:lineRule="exact"/>
              <w:ind w:left="63" w:right="63"/>
              <w:rPr>
                <w:rFonts w:eastAsia="仿宋_GB2312"/>
                <w:kern w:val="2"/>
                <w:sz w:val="30"/>
                <w:szCs w:val="30"/>
                <w:highlight w:val="none"/>
              </w:rPr>
            </w:pPr>
          </w:p>
        </w:tc>
        <w:tc>
          <w:tcPr>
            <w:tcW w:w="850" w:type="dxa"/>
            <w:tcBorders>
              <w:top w:val="nil"/>
            </w:tcBorders>
            <w:noWrap w:val="0"/>
            <w:vAlign w:val="center"/>
          </w:tcPr>
          <w:p w14:paraId="2D513685">
            <w:pPr>
              <w:pStyle w:val="12"/>
              <w:keepNext/>
              <w:spacing w:after="0" w:line="440" w:lineRule="exact"/>
              <w:ind w:left="63" w:right="63"/>
              <w:rPr>
                <w:rFonts w:eastAsia="仿宋_GB2312"/>
                <w:kern w:val="2"/>
                <w:sz w:val="30"/>
                <w:szCs w:val="30"/>
                <w:highlight w:val="none"/>
              </w:rPr>
            </w:pPr>
          </w:p>
        </w:tc>
        <w:tc>
          <w:tcPr>
            <w:tcW w:w="1058" w:type="dxa"/>
            <w:tcBorders>
              <w:top w:val="nil"/>
            </w:tcBorders>
            <w:noWrap w:val="0"/>
            <w:vAlign w:val="center"/>
          </w:tcPr>
          <w:p w14:paraId="0A373A33">
            <w:pPr>
              <w:pStyle w:val="12"/>
              <w:keepNext/>
              <w:spacing w:after="0" w:line="440" w:lineRule="exact"/>
              <w:ind w:left="63" w:right="63"/>
              <w:rPr>
                <w:rFonts w:eastAsia="仿宋_GB2312"/>
                <w:kern w:val="2"/>
                <w:sz w:val="30"/>
                <w:szCs w:val="30"/>
                <w:highlight w:val="none"/>
              </w:rPr>
            </w:pPr>
          </w:p>
        </w:tc>
        <w:tc>
          <w:tcPr>
            <w:tcW w:w="880" w:type="dxa"/>
            <w:tcBorders>
              <w:top w:val="nil"/>
            </w:tcBorders>
            <w:noWrap w:val="0"/>
            <w:vAlign w:val="center"/>
          </w:tcPr>
          <w:p w14:paraId="57D6EDA1">
            <w:pPr>
              <w:pStyle w:val="12"/>
              <w:keepNext/>
              <w:spacing w:after="0" w:line="440" w:lineRule="exact"/>
              <w:ind w:left="63" w:right="63"/>
              <w:rPr>
                <w:rFonts w:eastAsia="仿宋_GB2312"/>
                <w:kern w:val="2"/>
                <w:sz w:val="30"/>
                <w:szCs w:val="30"/>
                <w:highlight w:val="none"/>
              </w:rPr>
            </w:pPr>
          </w:p>
        </w:tc>
        <w:tc>
          <w:tcPr>
            <w:tcW w:w="1020" w:type="dxa"/>
            <w:tcBorders>
              <w:top w:val="nil"/>
            </w:tcBorders>
            <w:noWrap w:val="0"/>
            <w:vAlign w:val="center"/>
          </w:tcPr>
          <w:p w14:paraId="2083692A">
            <w:pPr>
              <w:pStyle w:val="12"/>
              <w:keepNext/>
              <w:spacing w:after="0" w:line="440" w:lineRule="exact"/>
              <w:ind w:left="63" w:right="63"/>
              <w:rPr>
                <w:rFonts w:eastAsia="仿宋_GB2312"/>
                <w:kern w:val="2"/>
                <w:sz w:val="30"/>
                <w:szCs w:val="30"/>
                <w:highlight w:val="none"/>
              </w:rPr>
            </w:pPr>
          </w:p>
        </w:tc>
        <w:tc>
          <w:tcPr>
            <w:tcW w:w="1480" w:type="dxa"/>
            <w:tcBorders>
              <w:top w:val="nil"/>
            </w:tcBorders>
            <w:noWrap w:val="0"/>
            <w:vAlign w:val="center"/>
          </w:tcPr>
          <w:p w14:paraId="43CBB496">
            <w:pPr>
              <w:pStyle w:val="12"/>
              <w:keepNext/>
              <w:spacing w:after="0" w:line="440" w:lineRule="exact"/>
              <w:ind w:left="63" w:right="63"/>
              <w:rPr>
                <w:rFonts w:eastAsia="仿宋_GB2312"/>
                <w:kern w:val="2"/>
                <w:sz w:val="30"/>
                <w:szCs w:val="30"/>
                <w:highlight w:val="none"/>
              </w:rPr>
            </w:pPr>
          </w:p>
        </w:tc>
        <w:tc>
          <w:tcPr>
            <w:tcW w:w="1020" w:type="dxa"/>
            <w:tcBorders>
              <w:top w:val="nil"/>
            </w:tcBorders>
            <w:noWrap w:val="0"/>
            <w:vAlign w:val="center"/>
          </w:tcPr>
          <w:p w14:paraId="3E511916">
            <w:pPr>
              <w:pStyle w:val="12"/>
              <w:keepNext/>
              <w:spacing w:after="0" w:line="440" w:lineRule="exact"/>
              <w:ind w:left="63" w:right="63"/>
              <w:rPr>
                <w:rFonts w:eastAsia="仿宋_GB2312"/>
                <w:kern w:val="2"/>
                <w:sz w:val="30"/>
                <w:szCs w:val="30"/>
                <w:highlight w:val="none"/>
              </w:rPr>
            </w:pPr>
          </w:p>
        </w:tc>
        <w:tc>
          <w:tcPr>
            <w:tcW w:w="921" w:type="dxa"/>
            <w:tcBorders>
              <w:top w:val="nil"/>
            </w:tcBorders>
            <w:noWrap w:val="0"/>
            <w:vAlign w:val="center"/>
          </w:tcPr>
          <w:p w14:paraId="3439D027">
            <w:pPr>
              <w:pStyle w:val="12"/>
              <w:keepNext/>
              <w:spacing w:after="0" w:line="440" w:lineRule="exact"/>
              <w:ind w:left="63" w:right="63"/>
              <w:rPr>
                <w:rFonts w:eastAsia="仿宋_GB2312"/>
                <w:kern w:val="2"/>
                <w:sz w:val="30"/>
                <w:szCs w:val="30"/>
                <w:highlight w:val="none"/>
              </w:rPr>
            </w:pPr>
          </w:p>
        </w:tc>
      </w:tr>
      <w:tr w14:paraId="0B7D12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28D6A3F8">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12769B0A">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25F0A9E6">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25104DB9">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3D01A519">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21BC2B3F">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34B25D6E">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68FC9E9C">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6818C3DE">
            <w:pPr>
              <w:pStyle w:val="12"/>
              <w:keepNext/>
              <w:spacing w:after="0" w:line="440" w:lineRule="exact"/>
              <w:ind w:left="63" w:right="63"/>
              <w:rPr>
                <w:rFonts w:eastAsia="仿宋_GB2312"/>
                <w:kern w:val="2"/>
                <w:sz w:val="30"/>
                <w:szCs w:val="30"/>
                <w:highlight w:val="none"/>
              </w:rPr>
            </w:pPr>
          </w:p>
        </w:tc>
      </w:tr>
      <w:tr w14:paraId="39348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44033464">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60A27DA0">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3EE0D4EA">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601A256A">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1AFF29AC">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4C1E4F99">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2FCA0367">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9C9EB79">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6D9F5E94">
            <w:pPr>
              <w:pStyle w:val="12"/>
              <w:keepNext/>
              <w:spacing w:after="0" w:line="440" w:lineRule="exact"/>
              <w:ind w:left="63" w:right="63"/>
              <w:rPr>
                <w:rFonts w:eastAsia="仿宋_GB2312"/>
                <w:kern w:val="2"/>
                <w:sz w:val="30"/>
                <w:szCs w:val="30"/>
                <w:highlight w:val="none"/>
              </w:rPr>
            </w:pPr>
          </w:p>
        </w:tc>
      </w:tr>
      <w:tr w14:paraId="22AB1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248A4EC6">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1F00869A">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51516BCA">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18B40020">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4BB51C1F">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3539C665">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0C66E4FD">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08C0B0F">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79DA4B0E">
            <w:pPr>
              <w:pStyle w:val="12"/>
              <w:keepNext/>
              <w:spacing w:after="0" w:line="440" w:lineRule="exact"/>
              <w:ind w:left="63" w:right="63"/>
              <w:rPr>
                <w:rFonts w:eastAsia="仿宋_GB2312"/>
                <w:kern w:val="2"/>
                <w:sz w:val="30"/>
                <w:szCs w:val="30"/>
                <w:highlight w:val="none"/>
              </w:rPr>
            </w:pPr>
          </w:p>
        </w:tc>
      </w:tr>
      <w:tr w14:paraId="3C4293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7E75D6D2">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48EAA614">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4DFE6EEF">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7C8F9B87">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2223C171">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527D5B58">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618A0FF3">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C5AC97C">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3FA4E7EB">
            <w:pPr>
              <w:pStyle w:val="12"/>
              <w:keepNext/>
              <w:spacing w:after="0" w:line="440" w:lineRule="exact"/>
              <w:ind w:left="63" w:right="63"/>
              <w:rPr>
                <w:rFonts w:eastAsia="仿宋_GB2312"/>
                <w:kern w:val="2"/>
                <w:sz w:val="30"/>
                <w:szCs w:val="30"/>
                <w:highlight w:val="none"/>
              </w:rPr>
            </w:pPr>
          </w:p>
        </w:tc>
      </w:tr>
      <w:tr w14:paraId="06BD27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00E44496">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74680232">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5528695A">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47F6C742">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3A48EBCD">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1AA722A2">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3DB09495">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0057443A">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2DCE3EF4">
            <w:pPr>
              <w:pStyle w:val="12"/>
              <w:keepNext/>
              <w:spacing w:after="0" w:line="440" w:lineRule="exact"/>
              <w:ind w:left="63" w:right="63"/>
              <w:rPr>
                <w:rFonts w:eastAsia="仿宋_GB2312"/>
                <w:kern w:val="2"/>
                <w:sz w:val="30"/>
                <w:szCs w:val="30"/>
                <w:highlight w:val="none"/>
              </w:rPr>
            </w:pPr>
          </w:p>
        </w:tc>
      </w:tr>
      <w:tr w14:paraId="4344F9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07807183">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046DB2D8">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2C739FD5">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5A88D88E">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181B70D4">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52E7289A">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611A875F">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5F9CFE8E">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3BA4526A">
            <w:pPr>
              <w:pStyle w:val="12"/>
              <w:keepNext/>
              <w:spacing w:after="0" w:line="440" w:lineRule="exact"/>
              <w:ind w:left="63" w:right="63"/>
              <w:rPr>
                <w:rFonts w:eastAsia="仿宋_GB2312"/>
                <w:kern w:val="2"/>
                <w:sz w:val="30"/>
                <w:szCs w:val="30"/>
                <w:highlight w:val="none"/>
              </w:rPr>
            </w:pPr>
          </w:p>
        </w:tc>
      </w:tr>
      <w:tr w14:paraId="3A1ECF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C4A9307">
            <w:pPr>
              <w:rPr>
                <w:rFonts w:eastAsia="仿宋_GB2312"/>
                <w:sz w:val="30"/>
                <w:szCs w:val="30"/>
                <w:highlight w:val="none"/>
              </w:rPr>
            </w:pPr>
          </w:p>
        </w:tc>
        <w:tc>
          <w:tcPr>
            <w:tcW w:w="1418" w:type="dxa"/>
            <w:noWrap w:val="0"/>
            <w:vAlign w:val="top"/>
          </w:tcPr>
          <w:p w14:paraId="1A78A113">
            <w:pPr>
              <w:rPr>
                <w:rFonts w:eastAsia="仿宋_GB2312"/>
                <w:sz w:val="30"/>
                <w:szCs w:val="30"/>
                <w:highlight w:val="none"/>
              </w:rPr>
            </w:pPr>
          </w:p>
        </w:tc>
        <w:tc>
          <w:tcPr>
            <w:tcW w:w="850" w:type="dxa"/>
            <w:noWrap w:val="0"/>
            <w:vAlign w:val="top"/>
          </w:tcPr>
          <w:p w14:paraId="54141F57">
            <w:pPr>
              <w:rPr>
                <w:rFonts w:eastAsia="仿宋_GB2312"/>
                <w:sz w:val="30"/>
                <w:szCs w:val="30"/>
                <w:highlight w:val="none"/>
              </w:rPr>
            </w:pPr>
          </w:p>
        </w:tc>
        <w:tc>
          <w:tcPr>
            <w:tcW w:w="1058" w:type="dxa"/>
            <w:noWrap w:val="0"/>
            <w:vAlign w:val="top"/>
          </w:tcPr>
          <w:p w14:paraId="20888B67">
            <w:pPr>
              <w:rPr>
                <w:rFonts w:eastAsia="仿宋_GB2312"/>
                <w:sz w:val="30"/>
                <w:szCs w:val="30"/>
                <w:highlight w:val="none"/>
              </w:rPr>
            </w:pPr>
          </w:p>
        </w:tc>
        <w:tc>
          <w:tcPr>
            <w:tcW w:w="880" w:type="dxa"/>
            <w:noWrap w:val="0"/>
            <w:vAlign w:val="top"/>
          </w:tcPr>
          <w:p w14:paraId="2338CBE9">
            <w:pPr>
              <w:rPr>
                <w:rFonts w:eastAsia="仿宋_GB2312"/>
                <w:sz w:val="30"/>
                <w:szCs w:val="30"/>
                <w:highlight w:val="none"/>
              </w:rPr>
            </w:pPr>
          </w:p>
        </w:tc>
        <w:tc>
          <w:tcPr>
            <w:tcW w:w="1020" w:type="dxa"/>
            <w:noWrap w:val="0"/>
            <w:vAlign w:val="top"/>
          </w:tcPr>
          <w:p w14:paraId="6A868A69">
            <w:pPr>
              <w:rPr>
                <w:rFonts w:eastAsia="仿宋_GB2312"/>
                <w:sz w:val="30"/>
                <w:szCs w:val="30"/>
                <w:highlight w:val="none"/>
              </w:rPr>
            </w:pPr>
          </w:p>
        </w:tc>
        <w:tc>
          <w:tcPr>
            <w:tcW w:w="1480" w:type="dxa"/>
            <w:noWrap w:val="0"/>
            <w:vAlign w:val="top"/>
          </w:tcPr>
          <w:p w14:paraId="18670CC3">
            <w:pPr>
              <w:rPr>
                <w:rFonts w:eastAsia="仿宋_GB2312"/>
                <w:sz w:val="30"/>
                <w:szCs w:val="30"/>
                <w:highlight w:val="none"/>
              </w:rPr>
            </w:pPr>
          </w:p>
        </w:tc>
        <w:tc>
          <w:tcPr>
            <w:tcW w:w="1020" w:type="dxa"/>
            <w:noWrap w:val="0"/>
            <w:vAlign w:val="top"/>
          </w:tcPr>
          <w:p w14:paraId="0FC511C6">
            <w:pPr>
              <w:rPr>
                <w:rFonts w:eastAsia="仿宋_GB2312"/>
                <w:sz w:val="30"/>
                <w:szCs w:val="30"/>
                <w:highlight w:val="none"/>
              </w:rPr>
            </w:pPr>
          </w:p>
        </w:tc>
        <w:tc>
          <w:tcPr>
            <w:tcW w:w="921" w:type="dxa"/>
            <w:noWrap w:val="0"/>
            <w:vAlign w:val="top"/>
          </w:tcPr>
          <w:p w14:paraId="0A1A6FE5">
            <w:pPr>
              <w:rPr>
                <w:rFonts w:eastAsia="仿宋_GB2312"/>
                <w:sz w:val="30"/>
                <w:szCs w:val="30"/>
                <w:highlight w:val="none"/>
              </w:rPr>
            </w:pPr>
          </w:p>
        </w:tc>
      </w:tr>
      <w:tr w14:paraId="79A202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35447C3F">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13CCB168">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28064B01">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4452902C">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605FDF6A">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674B06C">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433DF2BE">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45ACF651">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15E35AC3">
            <w:pPr>
              <w:pStyle w:val="12"/>
              <w:keepNext/>
              <w:spacing w:after="0" w:line="440" w:lineRule="exact"/>
              <w:ind w:left="63" w:right="63"/>
              <w:rPr>
                <w:rFonts w:eastAsia="仿宋_GB2312"/>
                <w:kern w:val="2"/>
                <w:sz w:val="30"/>
                <w:szCs w:val="30"/>
                <w:highlight w:val="none"/>
              </w:rPr>
            </w:pPr>
          </w:p>
        </w:tc>
      </w:tr>
      <w:tr w14:paraId="18EBF7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390F90BE">
            <w:pPr>
              <w:rPr>
                <w:rFonts w:eastAsia="仿宋_GB2312"/>
                <w:sz w:val="30"/>
                <w:szCs w:val="30"/>
                <w:highlight w:val="none"/>
              </w:rPr>
            </w:pPr>
          </w:p>
        </w:tc>
        <w:tc>
          <w:tcPr>
            <w:tcW w:w="1418" w:type="dxa"/>
            <w:noWrap w:val="0"/>
            <w:vAlign w:val="top"/>
          </w:tcPr>
          <w:p w14:paraId="7EC7BE23">
            <w:pPr>
              <w:rPr>
                <w:rFonts w:eastAsia="仿宋_GB2312"/>
                <w:sz w:val="30"/>
                <w:szCs w:val="30"/>
                <w:highlight w:val="none"/>
              </w:rPr>
            </w:pPr>
          </w:p>
        </w:tc>
        <w:tc>
          <w:tcPr>
            <w:tcW w:w="850" w:type="dxa"/>
            <w:noWrap w:val="0"/>
            <w:vAlign w:val="top"/>
          </w:tcPr>
          <w:p w14:paraId="03A19A67">
            <w:pPr>
              <w:rPr>
                <w:rFonts w:eastAsia="仿宋_GB2312"/>
                <w:sz w:val="30"/>
                <w:szCs w:val="30"/>
                <w:highlight w:val="none"/>
              </w:rPr>
            </w:pPr>
          </w:p>
        </w:tc>
        <w:tc>
          <w:tcPr>
            <w:tcW w:w="1058" w:type="dxa"/>
            <w:noWrap w:val="0"/>
            <w:vAlign w:val="top"/>
          </w:tcPr>
          <w:p w14:paraId="7E583B36">
            <w:pPr>
              <w:rPr>
                <w:rFonts w:eastAsia="仿宋_GB2312"/>
                <w:sz w:val="30"/>
                <w:szCs w:val="30"/>
                <w:highlight w:val="none"/>
              </w:rPr>
            </w:pPr>
          </w:p>
        </w:tc>
        <w:tc>
          <w:tcPr>
            <w:tcW w:w="880" w:type="dxa"/>
            <w:noWrap w:val="0"/>
            <w:vAlign w:val="top"/>
          </w:tcPr>
          <w:p w14:paraId="487C5FE3">
            <w:pPr>
              <w:rPr>
                <w:rFonts w:eastAsia="仿宋_GB2312"/>
                <w:sz w:val="30"/>
                <w:szCs w:val="30"/>
                <w:highlight w:val="none"/>
              </w:rPr>
            </w:pPr>
          </w:p>
        </w:tc>
        <w:tc>
          <w:tcPr>
            <w:tcW w:w="1020" w:type="dxa"/>
            <w:noWrap w:val="0"/>
            <w:vAlign w:val="top"/>
          </w:tcPr>
          <w:p w14:paraId="769491AB">
            <w:pPr>
              <w:rPr>
                <w:rFonts w:eastAsia="仿宋_GB2312"/>
                <w:sz w:val="30"/>
                <w:szCs w:val="30"/>
                <w:highlight w:val="none"/>
              </w:rPr>
            </w:pPr>
          </w:p>
        </w:tc>
        <w:tc>
          <w:tcPr>
            <w:tcW w:w="1480" w:type="dxa"/>
            <w:noWrap w:val="0"/>
            <w:vAlign w:val="top"/>
          </w:tcPr>
          <w:p w14:paraId="68D58FC1">
            <w:pPr>
              <w:rPr>
                <w:rFonts w:eastAsia="仿宋_GB2312"/>
                <w:sz w:val="30"/>
                <w:szCs w:val="30"/>
                <w:highlight w:val="none"/>
              </w:rPr>
            </w:pPr>
          </w:p>
        </w:tc>
        <w:tc>
          <w:tcPr>
            <w:tcW w:w="1020" w:type="dxa"/>
            <w:noWrap w:val="0"/>
            <w:vAlign w:val="top"/>
          </w:tcPr>
          <w:p w14:paraId="662ECD87">
            <w:pPr>
              <w:rPr>
                <w:rFonts w:eastAsia="仿宋_GB2312"/>
                <w:sz w:val="30"/>
                <w:szCs w:val="30"/>
                <w:highlight w:val="none"/>
              </w:rPr>
            </w:pPr>
          </w:p>
        </w:tc>
        <w:tc>
          <w:tcPr>
            <w:tcW w:w="921" w:type="dxa"/>
            <w:noWrap w:val="0"/>
            <w:vAlign w:val="top"/>
          </w:tcPr>
          <w:p w14:paraId="31080E91">
            <w:pPr>
              <w:rPr>
                <w:rFonts w:eastAsia="仿宋_GB2312"/>
                <w:sz w:val="30"/>
                <w:szCs w:val="30"/>
                <w:highlight w:val="none"/>
              </w:rPr>
            </w:pPr>
          </w:p>
        </w:tc>
      </w:tr>
      <w:tr w14:paraId="040E38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0EC867B7">
            <w:pPr>
              <w:rPr>
                <w:rFonts w:eastAsia="仿宋_GB2312"/>
                <w:sz w:val="30"/>
                <w:szCs w:val="30"/>
                <w:highlight w:val="none"/>
              </w:rPr>
            </w:pPr>
          </w:p>
        </w:tc>
        <w:tc>
          <w:tcPr>
            <w:tcW w:w="1418" w:type="dxa"/>
            <w:noWrap w:val="0"/>
            <w:vAlign w:val="top"/>
          </w:tcPr>
          <w:p w14:paraId="14A6A775">
            <w:pPr>
              <w:rPr>
                <w:rFonts w:eastAsia="仿宋_GB2312"/>
                <w:sz w:val="30"/>
                <w:szCs w:val="30"/>
                <w:highlight w:val="none"/>
              </w:rPr>
            </w:pPr>
          </w:p>
        </w:tc>
        <w:tc>
          <w:tcPr>
            <w:tcW w:w="850" w:type="dxa"/>
            <w:noWrap w:val="0"/>
            <w:vAlign w:val="top"/>
          </w:tcPr>
          <w:p w14:paraId="7F59194B">
            <w:pPr>
              <w:rPr>
                <w:rFonts w:eastAsia="仿宋_GB2312"/>
                <w:sz w:val="30"/>
                <w:szCs w:val="30"/>
                <w:highlight w:val="none"/>
              </w:rPr>
            </w:pPr>
          </w:p>
        </w:tc>
        <w:tc>
          <w:tcPr>
            <w:tcW w:w="1058" w:type="dxa"/>
            <w:noWrap w:val="0"/>
            <w:vAlign w:val="top"/>
          </w:tcPr>
          <w:p w14:paraId="2213CF65">
            <w:pPr>
              <w:rPr>
                <w:rFonts w:eastAsia="仿宋_GB2312"/>
                <w:sz w:val="30"/>
                <w:szCs w:val="30"/>
                <w:highlight w:val="none"/>
              </w:rPr>
            </w:pPr>
          </w:p>
        </w:tc>
        <w:tc>
          <w:tcPr>
            <w:tcW w:w="880" w:type="dxa"/>
            <w:noWrap w:val="0"/>
            <w:vAlign w:val="top"/>
          </w:tcPr>
          <w:p w14:paraId="4600F80A">
            <w:pPr>
              <w:rPr>
                <w:rFonts w:eastAsia="仿宋_GB2312"/>
                <w:sz w:val="30"/>
                <w:szCs w:val="30"/>
                <w:highlight w:val="none"/>
              </w:rPr>
            </w:pPr>
          </w:p>
        </w:tc>
        <w:tc>
          <w:tcPr>
            <w:tcW w:w="1020" w:type="dxa"/>
            <w:noWrap w:val="0"/>
            <w:vAlign w:val="top"/>
          </w:tcPr>
          <w:p w14:paraId="3B658D20">
            <w:pPr>
              <w:rPr>
                <w:rFonts w:eastAsia="仿宋_GB2312"/>
                <w:sz w:val="30"/>
                <w:szCs w:val="30"/>
                <w:highlight w:val="none"/>
              </w:rPr>
            </w:pPr>
          </w:p>
        </w:tc>
        <w:tc>
          <w:tcPr>
            <w:tcW w:w="1480" w:type="dxa"/>
            <w:noWrap w:val="0"/>
            <w:vAlign w:val="top"/>
          </w:tcPr>
          <w:p w14:paraId="5C668AEB">
            <w:pPr>
              <w:rPr>
                <w:rFonts w:eastAsia="仿宋_GB2312"/>
                <w:sz w:val="30"/>
                <w:szCs w:val="30"/>
                <w:highlight w:val="none"/>
              </w:rPr>
            </w:pPr>
          </w:p>
        </w:tc>
        <w:tc>
          <w:tcPr>
            <w:tcW w:w="1020" w:type="dxa"/>
            <w:noWrap w:val="0"/>
            <w:vAlign w:val="top"/>
          </w:tcPr>
          <w:p w14:paraId="07796803">
            <w:pPr>
              <w:rPr>
                <w:rFonts w:eastAsia="仿宋_GB2312"/>
                <w:sz w:val="30"/>
                <w:szCs w:val="30"/>
                <w:highlight w:val="none"/>
              </w:rPr>
            </w:pPr>
          </w:p>
        </w:tc>
        <w:tc>
          <w:tcPr>
            <w:tcW w:w="921" w:type="dxa"/>
            <w:noWrap w:val="0"/>
            <w:vAlign w:val="top"/>
          </w:tcPr>
          <w:p w14:paraId="555B7BB1">
            <w:pPr>
              <w:rPr>
                <w:rFonts w:eastAsia="仿宋_GB2312"/>
                <w:sz w:val="30"/>
                <w:szCs w:val="30"/>
                <w:highlight w:val="none"/>
              </w:rPr>
            </w:pPr>
          </w:p>
        </w:tc>
      </w:tr>
      <w:tr w14:paraId="0AB774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684266E">
            <w:pPr>
              <w:rPr>
                <w:rFonts w:eastAsia="仿宋_GB2312"/>
                <w:sz w:val="30"/>
                <w:szCs w:val="30"/>
                <w:highlight w:val="none"/>
              </w:rPr>
            </w:pPr>
          </w:p>
        </w:tc>
        <w:tc>
          <w:tcPr>
            <w:tcW w:w="1418" w:type="dxa"/>
            <w:noWrap w:val="0"/>
            <w:vAlign w:val="top"/>
          </w:tcPr>
          <w:p w14:paraId="6C82F350">
            <w:pPr>
              <w:rPr>
                <w:rFonts w:eastAsia="仿宋_GB2312"/>
                <w:sz w:val="30"/>
                <w:szCs w:val="30"/>
                <w:highlight w:val="none"/>
              </w:rPr>
            </w:pPr>
          </w:p>
        </w:tc>
        <w:tc>
          <w:tcPr>
            <w:tcW w:w="850" w:type="dxa"/>
            <w:noWrap w:val="0"/>
            <w:vAlign w:val="top"/>
          </w:tcPr>
          <w:p w14:paraId="48BC6406">
            <w:pPr>
              <w:rPr>
                <w:rFonts w:eastAsia="仿宋_GB2312"/>
                <w:sz w:val="30"/>
                <w:szCs w:val="30"/>
                <w:highlight w:val="none"/>
              </w:rPr>
            </w:pPr>
          </w:p>
        </w:tc>
        <w:tc>
          <w:tcPr>
            <w:tcW w:w="1058" w:type="dxa"/>
            <w:noWrap w:val="0"/>
            <w:vAlign w:val="top"/>
          </w:tcPr>
          <w:p w14:paraId="487C6B42">
            <w:pPr>
              <w:rPr>
                <w:rFonts w:eastAsia="仿宋_GB2312"/>
                <w:sz w:val="30"/>
                <w:szCs w:val="30"/>
                <w:highlight w:val="none"/>
              </w:rPr>
            </w:pPr>
          </w:p>
        </w:tc>
        <w:tc>
          <w:tcPr>
            <w:tcW w:w="880" w:type="dxa"/>
            <w:noWrap w:val="0"/>
            <w:vAlign w:val="top"/>
          </w:tcPr>
          <w:p w14:paraId="7963BE5B">
            <w:pPr>
              <w:rPr>
                <w:rFonts w:eastAsia="仿宋_GB2312"/>
                <w:sz w:val="30"/>
                <w:szCs w:val="30"/>
                <w:highlight w:val="none"/>
              </w:rPr>
            </w:pPr>
          </w:p>
        </w:tc>
        <w:tc>
          <w:tcPr>
            <w:tcW w:w="1020" w:type="dxa"/>
            <w:noWrap w:val="0"/>
            <w:vAlign w:val="top"/>
          </w:tcPr>
          <w:p w14:paraId="32EE1B58">
            <w:pPr>
              <w:rPr>
                <w:rFonts w:eastAsia="仿宋_GB2312"/>
                <w:sz w:val="30"/>
                <w:szCs w:val="30"/>
                <w:highlight w:val="none"/>
              </w:rPr>
            </w:pPr>
          </w:p>
        </w:tc>
        <w:tc>
          <w:tcPr>
            <w:tcW w:w="1480" w:type="dxa"/>
            <w:noWrap w:val="0"/>
            <w:vAlign w:val="top"/>
          </w:tcPr>
          <w:p w14:paraId="349A607E">
            <w:pPr>
              <w:rPr>
                <w:rFonts w:eastAsia="仿宋_GB2312"/>
                <w:sz w:val="30"/>
                <w:szCs w:val="30"/>
                <w:highlight w:val="none"/>
              </w:rPr>
            </w:pPr>
          </w:p>
        </w:tc>
        <w:tc>
          <w:tcPr>
            <w:tcW w:w="1020" w:type="dxa"/>
            <w:noWrap w:val="0"/>
            <w:vAlign w:val="top"/>
          </w:tcPr>
          <w:p w14:paraId="34EB2BF5">
            <w:pPr>
              <w:rPr>
                <w:rFonts w:eastAsia="仿宋_GB2312"/>
                <w:sz w:val="30"/>
                <w:szCs w:val="30"/>
                <w:highlight w:val="none"/>
              </w:rPr>
            </w:pPr>
          </w:p>
        </w:tc>
        <w:tc>
          <w:tcPr>
            <w:tcW w:w="921" w:type="dxa"/>
            <w:noWrap w:val="0"/>
            <w:vAlign w:val="top"/>
          </w:tcPr>
          <w:p w14:paraId="3B9484D4">
            <w:pPr>
              <w:rPr>
                <w:rFonts w:eastAsia="仿宋_GB2312"/>
                <w:sz w:val="30"/>
                <w:szCs w:val="30"/>
                <w:highlight w:val="none"/>
              </w:rPr>
            </w:pPr>
          </w:p>
        </w:tc>
      </w:tr>
      <w:tr w14:paraId="146D91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E4CE3D2">
            <w:pPr>
              <w:rPr>
                <w:rFonts w:eastAsia="仿宋_GB2312"/>
                <w:sz w:val="30"/>
                <w:szCs w:val="30"/>
                <w:highlight w:val="none"/>
              </w:rPr>
            </w:pPr>
          </w:p>
        </w:tc>
        <w:tc>
          <w:tcPr>
            <w:tcW w:w="1418" w:type="dxa"/>
            <w:noWrap w:val="0"/>
            <w:vAlign w:val="top"/>
          </w:tcPr>
          <w:p w14:paraId="4141DECD">
            <w:pPr>
              <w:rPr>
                <w:rFonts w:eastAsia="仿宋_GB2312"/>
                <w:sz w:val="30"/>
                <w:szCs w:val="30"/>
                <w:highlight w:val="none"/>
              </w:rPr>
            </w:pPr>
          </w:p>
        </w:tc>
        <w:tc>
          <w:tcPr>
            <w:tcW w:w="850" w:type="dxa"/>
            <w:noWrap w:val="0"/>
            <w:vAlign w:val="top"/>
          </w:tcPr>
          <w:p w14:paraId="2747514F">
            <w:pPr>
              <w:rPr>
                <w:rFonts w:eastAsia="仿宋_GB2312"/>
                <w:sz w:val="30"/>
                <w:szCs w:val="30"/>
                <w:highlight w:val="none"/>
              </w:rPr>
            </w:pPr>
          </w:p>
        </w:tc>
        <w:tc>
          <w:tcPr>
            <w:tcW w:w="1058" w:type="dxa"/>
            <w:noWrap w:val="0"/>
            <w:vAlign w:val="top"/>
          </w:tcPr>
          <w:p w14:paraId="7B59E2AE">
            <w:pPr>
              <w:rPr>
                <w:rFonts w:eastAsia="仿宋_GB2312"/>
                <w:sz w:val="30"/>
                <w:szCs w:val="30"/>
                <w:highlight w:val="none"/>
              </w:rPr>
            </w:pPr>
          </w:p>
        </w:tc>
        <w:tc>
          <w:tcPr>
            <w:tcW w:w="880" w:type="dxa"/>
            <w:noWrap w:val="0"/>
            <w:vAlign w:val="top"/>
          </w:tcPr>
          <w:p w14:paraId="1069FEED">
            <w:pPr>
              <w:rPr>
                <w:rFonts w:eastAsia="仿宋_GB2312"/>
                <w:sz w:val="30"/>
                <w:szCs w:val="30"/>
                <w:highlight w:val="none"/>
              </w:rPr>
            </w:pPr>
          </w:p>
        </w:tc>
        <w:tc>
          <w:tcPr>
            <w:tcW w:w="1020" w:type="dxa"/>
            <w:noWrap w:val="0"/>
            <w:vAlign w:val="top"/>
          </w:tcPr>
          <w:p w14:paraId="1BA2EDA4">
            <w:pPr>
              <w:rPr>
                <w:rFonts w:eastAsia="仿宋_GB2312"/>
                <w:sz w:val="30"/>
                <w:szCs w:val="30"/>
                <w:highlight w:val="none"/>
              </w:rPr>
            </w:pPr>
          </w:p>
        </w:tc>
        <w:tc>
          <w:tcPr>
            <w:tcW w:w="1480" w:type="dxa"/>
            <w:noWrap w:val="0"/>
            <w:vAlign w:val="top"/>
          </w:tcPr>
          <w:p w14:paraId="591A1AB2">
            <w:pPr>
              <w:rPr>
                <w:rFonts w:eastAsia="仿宋_GB2312"/>
                <w:sz w:val="30"/>
                <w:szCs w:val="30"/>
                <w:highlight w:val="none"/>
              </w:rPr>
            </w:pPr>
          </w:p>
        </w:tc>
        <w:tc>
          <w:tcPr>
            <w:tcW w:w="1020" w:type="dxa"/>
            <w:noWrap w:val="0"/>
            <w:vAlign w:val="top"/>
          </w:tcPr>
          <w:p w14:paraId="78D2CFB2">
            <w:pPr>
              <w:rPr>
                <w:rFonts w:eastAsia="仿宋_GB2312"/>
                <w:sz w:val="30"/>
                <w:szCs w:val="30"/>
                <w:highlight w:val="none"/>
              </w:rPr>
            </w:pPr>
          </w:p>
        </w:tc>
        <w:tc>
          <w:tcPr>
            <w:tcW w:w="921" w:type="dxa"/>
            <w:noWrap w:val="0"/>
            <w:vAlign w:val="top"/>
          </w:tcPr>
          <w:p w14:paraId="7EE4A1D3">
            <w:pPr>
              <w:rPr>
                <w:rFonts w:eastAsia="仿宋_GB2312"/>
                <w:sz w:val="30"/>
                <w:szCs w:val="30"/>
                <w:highlight w:val="none"/>
              </w:rPr>
            </w:pPr>
          </w:p>
        </w:tc>
      </w:tr>
      <w:tr w14:paraId="6E4735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405C104A">
            <w:pPr>
              <w:rPr>
                <w:rFonts w:eastAsia="仿宋_GB2312"/>
                <w:sz w:val="30"/>
                <w:szCs w:val="30"/>
                <w:highlight w:val="none"/>
              </w:rPr>
            </w:pPr>
          </w:p>
        </w:tc>
        <w:tc>
          <w:tcPr>
            <w:tcW w:w="1418" w:type="dxa"/>
            <w:noWrap w:val="0"/>
            <w:vAlign w:val="top"/>
          </w:tcPr>
          <w:p w14:paraId="3915AE1B">
            <w:pPr>
              <w:rPr>
                <w:rFonts w:eastAsia="仿宋_GB2312"/>
                <w:sz w:val="30"/>
                <w:szCs w:val="30"/>
                <w:highlight w:val="none"/>
              </w:rPr>
            </w:pPr>
          </w:p>
        </w:tc>
        <w:tc>
          <w:tcPr>
            <w:tcW w:w="850" w:type="dxa"/>
            <w:noWrap w:val="0"/>
            <w:vAlign w:val="top"/>
          </w:tcPr>
          <w:p w14:paraId="766D3EE7">
            <w:pPr>
              <w:rPr>
                <w:rFonts w:eastAsia="仿宋_GB2312"/>
                <w:sz w:val="30"/>
                <w:szCs w:val="30"/>
                <w:highlight w:val="none"/>
              </w:rPr>
            </w:pPr>
          </w:p>
        </w:tc>
        <w:tc>
          <w:tcPr>
            <w:tcW w:w="1058" w:type="dxa"/>
            <w:noWrap w:val="0"/>
            <w:vAlign w:val="top"/>
          </w:tcPr>
          <w:p w14:paraId="0819C337">
            <w:pPr>
              <w:rPr>
                <w:rFonts w:eastAsia="仿宋_GB2312"/>
                <w:sz w:val="30"/>
                <w:szCs w:val="30"/>
                <w:highlight w:val="none"/>
              </w:rPr>
            </w:pPr>
          </w:p>
        </w:tc>
        <w:tc>
          <w:tcPr>
            <w:tcW w:w="880" w:type="dxa"/>
            <w:noWrap w:val="0"/>
            <w:vAlign w:val="top"/>
          </w:tcPr>
          <w:p w14:paraId="11ADD69B">
            <w:pPr>
              <w:rPr>
                <w:rFonts w:eastAsia="仿宋_GB2312"/>
                <w:sz w:val="30"/>
                <w:szCs w:val="30"/>
                <w:highlight w:val="none"/>
              </w:rPr>
            </w:pPr>
          </w:p>
        </w:tc>
        <w:tc>
          <w:tcPr>
            <w:tcW w:w="1020" w:type="dxa"/>
            <w:noWrap w:val="0"/>
            <w:vAlign w:val="top"/>
          </w:tcPr>
          <w:p w14:paraId="536B0696">
            <w:pPr>
              <w:rPr>
                <w:rFonts w:eastAsia="仿宋_GB2312"/>
                <w:sz w:val="30"/>
                <w:szCs w:val="30"/>
                <w:highlight w:val="none"/>
              </w:rPr>
            </w:pPr>
          </w:p>
        </w:tc>
        <w:tc>
          <w:tcPr>
            <w:tcW w:w="1480" w:type="dxa"/>
            <w:noWrap w:val="0"/>
            <w:vAlign w:val="top"/>
          </w:tcPr>
          <w:p w14:paraId="4CC206BB">
            <w:pPr>
              <w:rPr>
                <w:rFonts w:eastAsia="仿宋_GB2312"/>
                <w:sz w:val="30"/>
                <w:szCs w:val="30"/>
                <w:highlight w:val="none"/>
              </w:rPr>
            </w:pPr>
          </w:p>
        </w:tc>
        <w:tc>
          <w:tcPr>
            <w:tcW w:w="1020" w:type="dxa"/>
            <w:noWrap w:val="0"/>
            <w:vAlign w:val="top"/>
          </w:tcPr>
          <w:p w14:paraId="442C4833">
            <w:pPr>
              <w:rPr>
                <w:rFonts w:eastAsia="仿宋_GB2312"/>
                <w:sz w:val="30"/>
                <w:szCs w:val="30"/>
                <w:highlight w:val="none"/>
              </w:rPr>
            </w:pPr>
          </w:p>
        </w:tc>
        <w:tc>
          <w:tcPr>
            <w:tcW w:w="921" w:type="dxa"/>
            <w:noWrap w:val="0"/>
            <w:vAlign w:val="top"/>
          </w:tcPr>
          <w:p w14:paraId="73CF28CB">
            <w:pPr>
              <w:rPr>
                <w:rFonts w:eastAsia="仿宋_GB2312"/>
                <w:sz w:val="30"/>
                <w:szCs w:val="30"/>
                <w:highlight w:val="none"/>
              </w:rPr>
            </w:pPr>
          </w:p>
        </w:tc>
      </w:tr>
      <w:tr w14:paraId="3C1C17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97AA8AB">
            <w:pPr>
              <w:rPr>
                <w:rFonts w:eastAsia="仿宋_GB2312"/>
                <w:sz w:val="30"/>
                <w:szCs w:val="30"/>
                <w:highlight w:val="none"/>
              </w:rPr>
            </w:pPr>
          </w:p>
        </w:tc>
        <w:tc>
          <w:tcPr>
            <w:tcW w:w="1418" w:type="dxa"/>
            <w:noWrap w:val="0"/>
            <w:vAlign w:val="top"/>
          </w:tcPr>
          <w:p w14:paraId="01DE4B26">
            <w:pPr>
              <w:rPr>
                <w:rFonts w:eastAsia="仿宋_GB2312"/>
                <w:sz w:val="30"/>
                <w:szCs w:val="30"/>
                <w:highlight w:val="none"/>
              </w:rPr>
            </w:pPr>
          </w:p>
        </w:tc>
        <w:tc>
          <w:tcPr>
            <w:tcW w:w="850" w:type="dxa"/>
            <w:noWrap w:val="0"/>
            <w:vAlign w:val="top"/>
          </w:tcPr>
          <w:p w14:paraId="27A8E546">
            <w:pPr>
              <w:rPr>
                <w:rFonts w:eastAsia="仿宋_GB2312"/>
                <w:sz w:val="30"/>
                <w:szCs w:val="30"/>
                <w:highlight w:val="none"/>
              </w:rPr>
            </w:pPr>
          </w:p>
        </w:tc>
        <w:tc>
          <w:tcPr>
            <w:tcW w:w="1058" w:type="dxa"/>
            <w:noWrap w:val="0"/>
            <w:vAlign w:val="top"/>
          </w:tcPr>
          <w:p w14:paraId="68450CDB">
            <w:pPr>
              <w:rPr>
                <w:rFonts w:eastAsia="仿宋_GB2312"/>
                <w:sz w:val="30"/>
                <w:szCs w:val="30"/>
                <w:highlight w:val="none"/>
              </w:rPr>
            </w:pPr>
          </w:p>
        </w:tc>
        <w:tc>
          <w:tcPr>
            <w:tcW w:w="880" w:type="dxa"/>
            <w:noWrap w:val="0"/>
            <w:vAlign w:val="top"/>
          </w:tcPr>
          <w:p w14:paraId="583AA147">
            <w:pPr>
              <w:rPr>
                <w:rFonts w:eastAsia="仿宋_GB2312"/>
                <w:sz w:val="30"/>
                <w:szCs w:val="30"/>
                <w:highlight w:val="none"/>
              </w:rPr>
            </w:pPr>
          </w:p>
        </w:tc>
        <w:tc>
          <w:tcPr>
            <w:tcW w:w="1020" w:type="dxa"/>
            <w:noWrap w:val="0"/>
            <w:vAlign w:val="top"/>
          </w:tcPr>
          <w:p w14:paraId="14657AD6">
            <w:pPr>
              <w:rPr>
                <w:rFonts w:eastAsia="仿宋_GB2312"/>
                <w:sz w:val="30"/>
                <w:szCs w:val="30"/>
                <w:highlight w:val="none"/>
              </w:rPr>
            </w:pPr>
          </w:p>
        </w:tc>
        <w:tc>
          <w:tcPr>
            <w:tcW w:w="1480" w:type="dxa"/>
            <w:noWrap w:val="0"/>
            <w:vAlign w:val="top"/>
          </w:tcPr>
          <w:p w14:paraId="56D36E86">
            <w:pPr>
              <w:rPr>
                <w:rFonts w:eastAsia="仿宋_GB2312"/>
                <w:sz w:val="30"/>
                <w:szCs w:val="30"/>
                <w:highlight w:val="none"/>
              </w:rPr>
            </w:pPr>
          </w:p>
        </w:tc>
        <w:tc>
          <w:tcPr>
            <w:tcW w:w="1020" w:type="dxa"/>
            <w:noWrap w:val="0"/>
            <w:vAlign w:val="top"/>
          </w:tcPr>
          <w:p w14:paraId="2871D1A0">
            <w:pPr>
              <w:rPr>
                <w:rFonts w:eastAsia="仿宋_GB2312"/>
                <w:sz w:val="30"/>
                <w:szCs w:val="30"/>
                <w:highlight w:val="none"/>
              </w:rPr>
            </w:pPr>
          </w:p>
        </w:tc>
        <w:tc>
          <w:tcPr>
            <w:tcW w:w="921" w:type="dxa"/>
            <w:noWrap w:val="0"/>
            <w:vAlign w:val="top"/>
          </w:tcPr>
          <w:p w14:paraId="0D0DC214">
            <w:pPr>
              <w:rPr>
                <w:rFonts w:eastAsia="仿宋_GB2312"/>
                <w:sz w:val="30"/>
                <w:szCs w:val="30"/>
                <w:highlight w:val="none"/>
              </w:rPr>
            </w:pPr>
          </w:p>
        </w:tc>
      </w:tr>
      <w:tr w14:paraId="6F07C4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7EEB6F3C">
            <w:pPr>
              <w:rPr>
                <w:rFonts w:eastAsia="仿宋_GB2312"/>
                <w:sz w:val="30"/>
                <w:szCs w:val="30"/>
                <w:highlight w:val="none"/>
              </w:rPr>
            </w:pPr>
          </w:p>
        </w:tc>
        <w:tc>
          <w:tcPr>
            <w:tcW w:w="1418" w:type="dxa"/>
            <w:noWrap w:val="0"/>
            <w:vAlign w:val="top"/>
          </w:tcPr>
          <w:p w14:paraId="1CA08CCB">
            <w:pPr>
              <w:rPr>
                <w:rFonts w:eastAsia="仿宋_GB2312"/>
                <w:sz w:val="30"/>
                <w:szCs w:val="30"/>
                <w:highlight w:val="none"/>
              </w:rPr>
            </w:pPr>
          </w:p>
        </w:tc>
        <w:tc>
          <w:tcPr>
            <w:tcW w:w="850" w:type="dxa"/>
            <w:noWrap w:val="0"/>
            <w:vAlign w:val="top"/>
          </w:tcPr>
          <w:p w14:paraId="3E795695">
            <w:pPr>
              <w:rPr>
                <w:rFonts w:eastAsia="仿宋_GB2312"/>
                <w:sz w:val="30"/>
                <w:szCs w:val="30"/>
                <w:highlight w:val="none"/>
              </w:rPr>
            </w:pPr>
          </w:p>
        </w:tc>
        <w:tc>
          <w:tcPr>
            <w:tcW w:w="1058" w:type="dxa"/>
            <w:noWrap w:val="0"/>
            <w:vAlign w:val="top"/>
          </w:tcPr>
          <w:p w14:paraId="4C09F12D">
            <w:pPr>
              <w:rPr>
                <w:rFonts w:eastAsia="仿宋_GB2312"/>
                <w:sz w:val="30"/>
                <w:szCs w:val="30"/>
                <w:highlight w:val="none"/>
              </w:rPr>
            </w:pPr>
          </w:p>
        </w:tc>
        <w:tc>
          <w:tcPr>
            <w:tcW w:w="880" w:type="dxa"/>
            <w:noWrap w:val="0"/>
            <w:vAlign w:val="top"/>
          </w:tcPr>
          <w:p w14:paraId="7B421F1F">
            <w:pPr>
              <w:rPr>
                <w:rFonts w:eastAsia="仿宋_GB2312"/>
                <w:sz w:val="30"/>
                <w:szCs w:val="30"/>
                <w:highlight w:val="none"/>
              </w:rPr>
            </w:pPr>
          </w:p>
        </w:tc>
        <w:tc>
          <w:tcPr>
            <w:tcW w:w="1020" w:type="dxa"/>
            <w:noWrap w:val="0"/>
            <w:vAlign w:val="top"/>
          </w:tcPr>
          <w:p w14:paraId="6488BA71">
            <w:pPr>
              <w:rPr>
                <w:rFonts w:eastAsia="仿宋_GB2312"/>
                <w:sz w:val="30"/>
                <w:szCs w:val="30"/>
                <w:highlight w:val="none"/>
              </w:rPr>
            </w:pPr>
          </w:p>
        </w:tc>
        <w:tc>
          <w:tcPr>
            <w:tcW w:w="1480" w:type="dxa"/>
            <w:noWrap w:val="0"/>
            <w:vAlign w:val="top"/>
          </w:tcPr>
          <w:p w14:paraId="15D38591">
            <w:pPr>
              <w:rPr>
                <w:rFonts w:eastAsia="仿宋_GB2312"/>
                <w:sz w:val="30"/>
                <w:szCs w:val="30"/>
                <w:highlight w:val="none"/>
              </w:rPr>
            </w:pPr>
          </w:p>
        </w:tc>
        <w:tc>
          <w:tcPr>
            <w:tcW w:w="1020" w:type="dxa"/>
            <w:noWrap w:val="0"/>
            <w:vAlign w:val="top"/>
          </w:tcPr>
          <w:p w14:paraId="305AAEBB">
            <w:pPr>
              <w:rPr>
                <w:rFonts w:eastAsia="仿宋_GB2312"/>
                <w:sz w:val="30"/>
                <w:szCs w:val="30"/>
                <w:highlight w:val="none"/>
              </w:rPr>
            </w:pPr>
          </w:p>
        </w:tc>
        <w:tc>
          <w:tcPr>
            <w:tcW w:w="921" w:type="dxa"/>
            <w:noWrap w:val="0"/>
            <w:vAlign w:val="top"/>
          </w:tcPr>
          <w:p w14:paraId="77D2B149">
            <w:pPr>
              <w:rPr>
                <w:rFonts w:eastAsia="仿宋_GB2312"/>
                <w:sz w:val="30"/>
                <w:szCs w:val="30"/>
                <w:highlight w:val="none"/>
              </w:rPr>
            </w:pPr>
          </w:p>
        </w:tc>
      </w:tr>
      <w:tr w14:paraId="658F52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6425C062">
            <w:pPr>
              <w:rPr>
                <w:rFonts w:eastAsia="仿宋_GB2312"/>
                <w:sz w:val="30"/>
                <w:szCs w:val="30"/>
                <w:highlight w:val="none"/>
              </w:rPr>
            </w:pPr>
          </w:p>
        </w:tc>
        <w:tc>
          <w:tcPr>
            <w:tcW w:w="1418" w:type="dxa"/>
            <w:noWrap w:val="0"/>
            <w:vAlign w:val="top"/>
          </w:tcPr>
          <w:p w14:paraId="4167F609">
            <w:pPr>
              <w:rPr>
                <w:rFonts w:eastAsia="仿宋_GB2312"/>
                <w:sz w:val="30"/>
                <w:szCs w:val="30"/>
                <w:highlight w:val="none"/>
              </w:rPr>
            </w:pPr>
          </w:p>
        </w:tc>
        <w:tc>
          <w:tcPr>
            <w:tcW w:w="850" w:type="dxa"/>
            <w:noWrap w:val="0"/>
            <w:vAlign w:val="top"/>
          </w:tcPr>
          <w:p w14:paraId="0E2EF303">
            <w:pPr>
              <w:rPr>
                <w:rFonts w:eastAsia="仿宋_GB2312"/>
                <w:sz w:val="30"/>
                <w:szCs w:val="30"/>
                <w:highlight w:val="none"/>
              </w:rPr>
            </w:pPr>
          </w:p>
        </w:tc>
        <w:tc>
          <w:tcPr>
            <w:tcW w:w="1058" w:type="dxa"/>
            <w:noWrap w:val="0"/>
            <w:vAlign w:val="top"/>
          </w:tcPr>
          <w:p w14:paraId="46263D6C">
            <w:pPr>
              <w:rPr>
                <w:rFonts w:eastAsia="仿宋_GB2312"/>
                <w:sz w:val="30"/>
                <w:szCs w:val="30"/>
                <w:highlight w:val="none"/>
              </w:rPr>
            </w:pPr>
          </w:p>
        </w:tc>
        <w:tc>
          <w:tcPr>
            <w:tcW w:w="880" w:type="dxa"/>
            <w:noWrap w:val="0"/>
            <w:vAlign w:val="top"/>
          </w:tcPr>
          <w:p w14:paraId="4CB1DEE7">
            <w:pPr>
              <w:rPr>
                <w:rFonts w:eastAsia="仿宋_GB2312"/>
                <w:sz w:val="30"/>
                <w:szCs w:val="30"/>
                <w:highlight w:val="none"/>
              </w:rPr>
            </w:pPr>
          </w:p>
        </w:tc>
        <w:tc>
          <w:tcPr>
            <w:tcW w:w="1020" w:type="dxa"/>
            <w:noWrap w:val="0"/>
            <w:vAlign w:val="top"/>
          </w:tcPr>
          <w:p w14:paraId="6553881D">
            <w:pPr>
              <w:rPr>
                <w:rFonts w:eastAsia="仿宋_GB2312"/>
                <w:sz w:val="30"/>
                <w:szCs w:val="30"/>
                <w:highlight w:val="none"/>
              </w:rPr>
            </w:pPr>
          </w:p>
        </w:tc>
        <w:tc>
          <w:tcPr>
            <w:tcW w:w="1480" w:type="dxa"/>
            <w:noWrap w:val="0"/>
            <w:vAlign w:val="top"/>
          </w:tcPr>
          <w:p w14:paraId="53290F25">
            <w:pPr>
              <w:rPr>
                <w:rFonts w:eastAsia="仿宋_GB2312"/>
                <w:sz w:val="30"/>
                <w:szCs w:val="30"/>
                <w:highlight w:val="none"/>
              </w:rPr>
            </w:pPr>
          </w:p>
        </w:tc>
        <w:tc>
          <w:tcPr>
            <w:tcW w:w="1020" w:type="dxa"/>
            <w:noWrap w:val="0"/>
            <w:vAlign w:val="top"/>
          </w:tcPr>
          <w:p w14:paraId="29A5A672">
            <w:pPr>
              <w:rPr>
                <w:rFonts w:eastAsia="仿宋_GB2312"/>
                <w:sz w:val="30"/>
                <w:szCs w:val="30"/>
                <w:highlight w:val="none"/>
              </w:rPr>
            </w:pPr>
          </w:p>
        </w:tc>
        <w:tc>
          <w:tcPr>
            <w:tcW w:w="921" w:type="dxa"/>
            <w:noWrap w:val="0"/>
            <w:vAlign w:val="top"/>
          </w:tcPr>
          <w:p w14:paraId="2235D864">
            <w:pPr>
              <w:rPr>
                <w:rFonts w:eastAsia="仿宋_GB2312"/>
                <w:sz w:val="30"/>
                <w:szCs w:val="30"/>
                <w:highlight w:val="none"/>
              </w:rPr>
            </w:pPr>
          </w:p>
        </w:tc>
      </w:tr>
      <w:tr w14:paraId="40352C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28C947D5">
            <w:pPr>
              <w:rPr>
                <w:rFonts w:eastAsia="仿宋_GB2312"/>
                <w:sz w:val="30"/>
                <w:szCs w:val="30"/>
                <w:highlight w:val="none"/>
              </w:rPr>
            </w:pPr>
          </w:p>
        </w:tc>
        <w:tc>
          <w:tcPr>
            <w:tcW w:w="1418" w:type="dxa"/>
            <w:noWrap w:val="0"/>
            <w:vAlign w:val="top"/>
          </w:tcPr>
          <w:p w14:paraId="13000844">
            <w:pPr>
              <w:rPr>
                <w:rFonts w:eastAsia="仿宋_GB2312"/>
                <w:sz w:val="30"/>
                <w:szCs w:val="30"/>
                <w:highlight w:val="none"/>
              </w:rPr>
            </w:pPr>
          </w:p>
        </w:tc>
        <w:tc>
          <w:tcPr>
            <w:tcW w:w="850" w:type="dxa"/>
            <w:noWrap w:val="0"/>
            <w:vAlign w:val="top"/>
          </w:tcPr>
          <w:p w14:paraId="0E41D2F9">
            <w:pPr>
              <w:rPr>
                <w:rFonts w:eastAsia="仿宋_GB2312"/>
                <w:sz w:val="30"/>
                <w:szCs w:val="30"/>
                <w:highlight w:val="none"/>
              </w:rPr>
            </w:pPr>
          </w:p>
        </w:tc>
        <w:tc>
          <w:tcPr>
            <w:tcW w:w="1058" w:type="dxa"/>
            <w:noWrap w:val="0"/>
            <w:vAlign w:val="top"/>
          </w:tcPr>
          <w:p w14:paraId="6C2382B1">
            <w:pPr>
              <w:rPr>
                <w:rFonts w:eastAsia="仿宋_GB2312"/>
                <w:sz w:val="30"/>
                <w:szCs w:val="30"/>
                <w:highlight w:val="none"/>
              </w:rPr>
            </w:pPr>
          </w:p>
        </w:tc>
        <w:tc>
          <w:tcPr>
            <w:tcW w:w="880" w:type="dxa"/>
            <w:noWrap w:val="0"/>
            <w:vAlign w:val="top"/>
          </w:tcPr>
          <w:p w14:paraId="1590F4DD">
            <w:pPr>
              <w:rPr>
                <w:rFonts w:eastAsia="仿宋_GB2312"/>
                <w:sz w:val="30"/>
                <w:szCs w:val="30"/>
                <w:highlight w:val="none"/>
              </w:rPr>
            </w:pPr>
          </w:p>
        </w:tc>
        <w:tc>
          <w:tcPr>
            <w:tcW w:w="1020" w:type="dxa"/>
            <w:noWrap w:val="0"/>
            <w:vAlign w:val="top"/>
          </w:tcPr>
          <w:p w14:paraId="1B96B3E7">
            <w:pPr>
              <w:rPr>
                <w:rFonts w:eastAsia="仿宋_GB2312"/>
                <w:sz w:val="30"/>
                <w:szCs w:val="30"/>
                <w:highlight w:val="none"/>
              </w:rPr>
            </w:pPr>
          </w:p>
        </w:tc>
        <w:tc>
          <w:tcPr>
            <w:tcW w:w="1480" w:type="dxa"/>
            <w:noWrap w:val="0"/>
            <w:vAlign w:val="top"/>
          </w:tcPr>
          <w:p w14:paraId="1B911AB4">
            <w:pPr>
              <w:rPr>
                <w:rFonts w:eastAsia="仿宋_GB2312"/>
                <w:sz w:val="30"/>
                <w:szCs w:val="30"/>
                <w:highlight w:val="none"/>
              </w:rPr>
            </w:pPr>
          </w:p>
        </w:tc>
        <w:tc>
          <w:tcPr>
            <w:tcW w:w="1020" w:type="dxa"/>
            <w:noWrap w:val="0"/>
            <w:vAlign w:val="top"/>
          </w:tcPr>
          <w:p w14:paraId="4F1FBD97">
            <w:pPr>
              <w:rPr>
                <w:rFonts w:eastAsia="仿宋_GB2312"/>
                <w:sz w:val="30"/>
                <w:szCs w:val="30"/>
                <w:highlight w:val="none"/>
              </w:rPr>
            </w:pPr>
          </w:p>
        </w:tc>
        <w:tc>
          <w:tcPr>
            <w:tcW w:w="921" w:type="dxa"/>
            <w:noWrap w:val="0"/>
            <w:vAlign w:val="top"/>
          </w:tcPr>
          <w:p w14:paraId="439A8D18">
            <w:pPr>
              <w:rPr>
                <w:rFonts w:eastAsia="仿宋_GB2312"/>
                <w:sz w:val="30"/>
                <w:szCs w:val="30"/>
                <w:highlight w:val="none"/>
              </w:rPr>
            </w:pPr>
          </w:p>
        </w:tc>
      </w:tr>
    </w:tbl>
    <w:p w14:paraId="7C6F0823">
      <w:pPr>
        <w:pStyle w:val="12"/>
        <w:rPr>
          <w:highlight w:val="none"/>
        </w:rPr>
        <w:sectPr>
          <w:footerReference r:id="rId22" w:type="default"/>
          <w:pgSz w:w="11906" w:h="16838"/>
          <w:pgMar w:top="1440" w:right="1077" w:bottom="1440" w:left="1077" w:header="851" w:footer="992" w:gutter="0"/>
          <w:cols w:space="720" w:num="1"/>
          <w:docGrid w:type="lines" w:linePitch="312" w:charSpace="0"/>
        </w:sectPr>
      </w:pPr>
    </w:p>
    <w:p w14:paraId="5D18047D">
      <w:pPr>
        <w:pStyle w:val="12"/>
        <w:rPr>
          <w:highlight w:val="none"/>
        </w:rPr>
      </w:pPr>
      <w:r>
        <w:rPr>
          <w:rFonts w:ascii="宋体" w:hAnsi="宋体"/>
          <w:highlight w:val="none"/>
        </w:rPr>
        <w:t>附件</w:t>
      </w:r>
      <w:r>
        <w:rPr>
          <w:rFonts w:hint="eastAsia" w:ascii="宋体" w:hAnsi="宋体"/>
          <w:highlight w:val="none"/>
        </w:rPr>
        <w:t>3</w:t>
      </w:r>
      <w:r>
        <w:rPr>
          <w:rFonts w:ascii="宋体" w:hAnsi="宋体"/>
          <w:highlight w:val="none"/>
        </w:rPr>
        <w:t>：</w:t>
      </w:r>
    </w:p>
    <w:bookmarkEnd w:id="590"/>
    <w:bookmarkEnd w:id="591"/>
    <w:bookmarkEnd w:id="592"/>
    <w:bookmarkEnd w:id="593"/>
    <w:bookmarkEnd w:id="594"/>
    <w:bookmarkEnd w:id="595"/>
    <w:bookmarkEnd w:id="596"/>
    <w:p w14:paraId="1DDE2EB6">
      <w:pPr>
        <w:tabs>
          <w:tab w:val="left" w:pos="4860"/>
        </w:tabs>
        <w:spacing w:before="156" w:beforeLines="50" w:after="156" w:afterLines="50" w:line="400" w:lineRule="exact"/>
        <w:jc w:val="center"/>
        <w:rPr>
          <w:rFonts w:hint="eastAsia" w:ascii="宋体" w:hAnsi="宋体"/>
          <w:b/>
          <w:sz w:val="28"/>
          <w:szCs w:val="28"/>
          <w:highlight w:val="none"/>
        </w:rPr>
      </w:pPr>
      <w:r>
        <w:rPr>
          <w:rFonts w:ascii="宋体" w:hAnsi="宋体"/>
          <w:b/>
          <w:sz w:val="30"/>
          <w:szCs w:val="30"/>
          <w:highlight w:val="none"/>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FECC8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noWrap w:val="0"/>
            <w:vAlign w:val="center"/>
          </w:tcPr>
          <w:p w14:paraId="20BBFFF4">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名    称</w:t>
            </w:r>
          </w:p>
        </w:tc>
        <w:tc>
          <w:tcPr>
            <w:tcW w:w="1418" w:type="dxa"/>
            <w:tcBorders>
              <w:top w:val="single" w:color="auto" w:sz="12" w:space="0"/>
              <w:bottom w:val="double" w:color="auto" w:sz="6" w:space="0"/>
            </w:tcBorders>
            <w:noWrap w:val="0"/>
            <w:vAlign w:val="center"/>
          </w:tcPr>
          <w:p w14:paraId="581A1AE5">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姓名</w:t>
            </w:r>
          </w:p>
        </w:tc>
        <w:tc>
          <w:tcPr>
            <w:tcW w:w="1134" w:type="dxa"/>
            <w:tcBorders>
              <w:top w:val="single" w:color="auto" w:sz="12" w:space="0"/>
              <w:bottom w:val="double" w:color="auto" w:sz="6" w:space="0"/>
            </w:tcBorders>
            <w:noWrap w:val="0"/>
            <w:vAlign w:val="center"/>
          </w:tcPr>
          <w:p w14:paraId="1C3B785F">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职务</w:t>
            </w:r>
          </w:p>
        </w:tc>
        <w:tc>
          <w:tcPr>
            <w:tcW w:w="1134" w:type="dxa"/>
            <w:tcBorders>
              <w:top w:val="single" w:color="auto" w:sz="12" w:space="0"/>
              <w:bottom w:val="double" w:color="auto" w:sz="6" w:space="0"/>
            </w:tcBorders>
            <w:noWrap w:val="0"/>
            <w:vAlign w:val="center"/>
          </w:tcPr>
          <w:p w14:paraId="41950E26">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职称</w:t>
            </w:r>
          </w:p>
        </w:tc>
        <w:tc>
          <w:tcPr>
            <w:tcW w:w="4252" w:type="dxa"/>
            <w:tcBorders>
              <w:top w:val="single" w:color="auto" w:sz="12" w:space="0"/>
              <w:bottom w:val="double" w:color="auto" w:sz="6" w:space="0"/>
            </w:tcBorders>
            <w:noWrap w:val="0"/>
            <w:vAlign w:val="center"/>
          </w:tcPr>
          <w:p w14:paraId="3AC3CC04">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主要资历、经验及承担过的项目</w:t>
            </w:r>
          </w:p>
        </w:tc>
      </w:tr>
      <w:tr w14:paraId="627C7C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noWrap w:val="0"/>
            <w:vAlign w:val="center"/>
          </w:tcPr>
          <w:p w14:paraId="398B4BBB">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一、总部人员</w:t>
            </w:r>
          </w:p>
        </w:tc>
      </w:tr>
      <w:tr w14:paraId="004EFF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noWrap w:val="0"/>
            <w:vAlign w:val="center"/>
          </w:tcPr>
          <w:p w14:paraId="15B24B90">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项目主管</w:t>
            </w:r>
          </w:p>
        </w:tc>
        <w:tc>
          <w:tcPr>
            <w:tcW w:w="1418" w:type="dxa"/>
            <w:tcBorders>
              <w:top w:val="nil"/>
            </w:tcBorders>
            <w:noWrap w:val="0"/>
            <w:vAlign w:val="center"/>
          </w:tcPr>
          <w:p w14:paraId="352F6982">
            <w:pPr>
              <w:pStyle w:val="12"/>
              <w:keepNext/>
              <w:tabs>
                <w:tab w:val="left" w:pos="4860"/>
              </w:tabs>
              <w:spacing w:line="400" w:lineRule="exact"/>
              <w:ind w:left="63" w:right="63"/>
              <w:rPr>
                <w:rFonts w:hint="eastAsia" w:ascii="仿宋" w:hAnsi="仿宋" w:eastAsia="仿宋" w:cs="仿宋"/>
                <w:highlight w:val="none"/>
              </w:rPr>
            </w:pPr>
          </w:p>
        </w:tc>
        <w:tc>
          <w:tcPr>
            <w:tcW w:w="1134" w:type="dxa"/>
            <w:tcBorders>
              <w:top w:val="nil"/>
            </w:tcBorders>
            <w:noWrap w:val="0"/>
            <w:vAlign w:val="center"/>
          </w:tcPr>
          <w:p w14:paraId="4A00AA33">
            <w:pPr>
              <w:pStyle w:val="12"/>
              <w:keepNext/>
              <w:tabs>
                <w:tab w:val="left" w:pos="4860"/>
              </w:tabs>
              <w:spacing w:line="400" w:lineRule="exact"/>
              <w:ind w:left="63" w:right="63"/>
              <w:rPr>
                <w:rFonts w:hint="eastAsia" w:ascii="仿宋" w:hAnsi="仿宋" w:eastAsia="仿宋" w:cs="仿宋"/>
                <w:highlight w:val="none"/>
              </w:rPr>
            </w:pPr>
          </w:p>
        </w:tc>
        <w:tc>
          <w:tcPr>
            <w:tcW w:w="1134" w:type="dxa"/>
            <w:tcBorders>
              <w:top w:val="nil"/>
            </w:tcBorders>
            <w:noWrap w:val="0"/>
            <w:vAlign w:val="center"/>
          </w:tcPr>
          <w:p w14:paraId="1AD735E7">
            <w:pPr>
              <w:pStyle w:val="12"/>
              <w:keepNext/>
              <w:tabs>
                <w:tab w:val="left" w:pos="4860"/>
              </w:tabs>
              <w:spacing w:line="400" w:lineRule="exact"/>
              <w:ind w:left="63" w:right="63"/>
              <w:rPr>
                <w:rFonts w:hint="eastAsia" w:ascii="仿宋" w:hAnsi="仿宋" w:eastAsia="仿宋" w:cs="仿宋"/>
                <w:highlight w:val="none"/>
              </w:rPr>
            </w:pPr>
          </w:p>
        </w:tc>
        <w:tc>
          <w:tcPr>
            <w:tcW w:w="4252" w:type="dxa"/>
            <w:tcBorders>
              <w:top w:val="nil"/>
            </w:tcBorders>
            <w:noWrap w:val="0"/>
            <w:vAlign w:val="center"/>
          </w:tcPr>
          <w:p w14:paraId="134FABA6">
            <w:pPr>
              <w:pStyle w:val="12"/>
              <w:keepNext/>
              <w:tabs>
                <w:tab w:val="left" w:pos="4860"/>
              </w:tabs>
              <w:spacing w:line="400" w:lineRule="exact"/>
              <w:ind w:left="63" w:right="63"/>
              <w:rPr>
                <w:rFonts w:hint="eastAsia" w:ascii="仿宋" w:hAnsi="仿宋" w:eastAsia="仿宋" w:cs="仿宋"/>
                <w:highlight w:val="none"/>
              </w:rPr>
            </w:pPr>
          </w:p>
        </w:tc>
      </w:tr>
      <w:tr w14:paraId="6C80C9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noWrap w:val="0"/>
            <w:vAlign w:val="center"/>
          </w:tcPr>
          <w:p w14:paraId="20E293C6">
            <w:pPr>
              <w:pStyle w:val="12"/>
              <w:keepNext/>
              <w:tabs>
                <w:tab w:val="left" w:pos="4860"/>
              </w:tabs>
              <w:spacing w:line="400" w:lineRule="exact"/>
              <w:ind w:left="63" w:right="63"/>
              <w:rPr>
                <w:rFonts w:hint="eastAsia" w:ascii="仿宋" w:hAnsi="仿宋" w:eastAsia="仿宋" w:cs="仿宋"/>
                <w:highlight w:val="none"/>
              </w:rPr>
            </w:pPr>
          </w:p>
        </w:tc>
        <w:tc>
          <w:tcPr>
            <w:tcW w:w="1418" w:type="dxa"/>
            <w:noWrap w:val="0"/>
            <w:vAlign w:val="center"/>
          </w:tcPr>
          <w:p w14:paraId="2FCBA9EA">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56776795">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20BBBD2A">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053B6817">
            <w:pPr>
              <w:pStyle w:val="12"/>
              <w:keepNext/>
              <w:tabs>
                <w:tab w:val="left" w:pos="4860"/>
              </w:tabs>
              <w:spacing w:line="400" w:lineRule="exact"/>
              <w:ind w:left="63" w:right="63"/>
              <w:rPr>
                <w:rFonts w:hint="eastAsia" w:ascii="仿宋" w:hAnsi="仿宋" w:eastAsia="仿宋" w:cs="仿宋"/>
                <w:highlight w:val="none"/>
              </w:rPr>
            </w:pPr>
          </w:p>
        </w:tc>
      </w:tr>
      <w:tr w14:paraId="6C6060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noWrap w:val="0"/>
            <w:vAlign w:val="center"/>
          </w:tcPr>
          <w:p w14:paraId="0D495E53">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其他人员</w:t>
            </w:r>
          </w:p>
        </w:tc>
        <w:tc>
          <w:tcPr>
            <w:tcW w:w="1418" w:type="dxa"/>
            <w:noWrap w:val="0"/>
            <w:vAlign w:val="center"/>
          </w:tcPr>
          <w:p w14:paraId="528A0B50">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60381062">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2391C22C">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2C366B04">
            <w:pPr>
              <w:pStyle w:val="12"/>
              <w:keepNext/>
              <w:tabs>
                <w:tab w:val="left" w:pos="4860"/>
              </w:tabs>
              <w:spacing w:line="400" w:lineRule="exact"/>
              <w:ind w:left="63" w:right="63"/>
              <w:rPr>
                <w:rFonts w:hint="eastAsia" w:ascii="仿宋" w:hAnsi="仿宋" w:eastAsia="仿宋" w:cs="仿宋"/>
                <w:highlight w:val="none"/>
              </w:rPr>
            </w:pPr>
          </w:p>
        </w:tc>
      </w:tr>
      <w:tr w14:paraId="2AB3C2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noWrap w:val="0"/>
            <w:vAlign w:val="center"/>
          </w:tcPr>
          <w:p w14:paraId="792AE648">
            <w:pPr>
              <w:pStyle w:val="12"/>
              <w:keepNext/>
              <w:tabs>
                <w:tab w:val="left" w:pos="4860"/>
              </w:tabs>
              <w:spacing w:line="400" w:lineRule="exact"/>
              <w:ind w:left="63" w:right="63"/>
              <w:rPr>
                <w:rFonts w:hint="eastAsia" w:ascii="仿宋" w:hAnsi="仿宋" w:eastAsia="仿宋" w:cs="仿宋"/>
                <w:highlight w:val="none"/>
              </w:rPr>
            </w:pPr>
          </w:p>
        </w:tc>
        <w:tc>
          <w:tcPr>
            <w:tcW w:w="1418" w:type="dxa"/>
            <w:noWrap w:val="0"/>
            <w:vAlign w:val="center"/>
          </w:tcPr>
          <w:p w14:paraId="6523CB5D">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DC4B19B">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324F361">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4B3804A4">
            <w:pPr>
              <w:pStyle w:val="12"/>
              <w:keepNext/>
              <w:tabs>
                <w:tab w:val="left" w:pos="4860"/>
              </w:tabs>
              <w:spacing w:line="400" w:lineRule="exact"/>
              <w:ind w:left="63" w:right="63"/>
              <w:rPr>
                <w:rFonts w:hint="eastAsia" w:ascii="仿宋" w:hAnsi="仿宋" w:eastAsia="仿宋" w:cs="仿宋"/>
                <w:highlight w:val="none"/>
              </w:rPr>
            </w:pPr>
          </w:p>
        </w:tc>
      </w:tr>
      <w:tr w14:paraId="7FBBA0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noWrap w:val="0"/>
            <w:vAlign w:val="center"/>
          </w:tcPr>
          <w:p w14:paraId="3E42DBA1">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二、现场人员</w:t>
            </w:r>
          </w:p>
        </w:tc>
      </w:tr>
      <w:tr w14:paraId="06996F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220381DA">
            <w:pPr>
              <w:pStyle w:val="12"/>
              <w:keepNext/>
              <w:tabs>
                <w:tab w:val="left" w:pos="4860"/>
              </w:tabs>
              <w:spacing w:line="400" w:lineRule="exact"/>
              <w:ind w:left="63" w:right="63"/>
              <w:jc w:val="center"/>
              <w:rPr>
                <w:rFonts w:hint="eastAsia" w:ascii="仿宋" w:hAnsi="仿宋" w:eastAsia="仿宋" w:cs="仿宋"/>
                <w:highlight w:val="none"/>
              </w:rPr>
            </w:pPr>
            <w:r>
              <w:rPr>
                <w:rFonts w:hint="eastAsia" w:ascii="仿宋" w:hAnsi="仿宋" w:eastAsia="仿宋" w:cs="仿宋"/>
                <w:highlight w:val="none"/>
              </w:rPr>
              <w:t>项目负责人</w:t>
            </w:r>
          </w:p>
        </w:tc>
        <w:tc>
          <w:tcPr>
            <w:tcW w:w="1418" w:type="dxa"/>
            <w:noWrap w:val="0"/>
            <w:vAlign w:val="center"/>
          </w:tcPr>
          <w:p w14:paraId="6D021348">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67FC4C8A">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D9882CC">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57864C64">
            <w:pPr>
              <w:pStyle w:val="12"/>
              <w:keepNext/>
              <w:tabs>
                <w:tab w:val="left" w:pos="4860"/>
              </w:tabs>
              <w:spacing w:line="400" w:lineRule="exact"/>
              <w:ind w:left="63" w:right="63"/>
              <w:rPr>
                <w:rFonts w:hint="eastAsia" w:ascii="仿宋" w:hAnsi="仿宋" w:eastAsia="仿宋" w:cs="仿宋"/>
                <w:highlight w:val="none"/>
              </w:rPr>
            </w:pPr>
          </w:p>
        </w:tc>
      </w:tr>
      <w:tr w14:paraId="26BBA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45C85D84">
            <w:pPr>
              <w:pStyle w:val="12"/>
              <w:keepNext/>
              <w:tabs>
                <w:tab w:val="left" w:pos="4860"/>
              </w:tabs>
              <w:spacing w:line="400" w:lineRule="exact"/>
              <w:ind w:right="63"/>
              <w:jc w:val="center"/>
              <w:rPr>
                <w:rFonts w:hint="eastAsia" w:ascii="仿宋" w:hAnsi="仿宋" w:eastAsia="仿宋" w:cs="仿宋"/>
                <w:highlight w:val="none"/>
              </w:rPr>
            </w:pPr>
            <w:r>
              <w:rPr>
                <w:rFonts w:hint="eastAsia" w:ascii="仿宋" w:hAnsi="仿宋" w:eastAsia="仿宋" w:cs="仿宋"/>
                <w:highlight w:val="none"/>
              </w:rPr>
              <w:t>施工员</w:t>
            </w:r>
          </w:p>
        </w:tc>
        <w:tc>
          <w:tcPr>
            <w:tcW w:w="1418" w:type="dxa"/>
            <w:noWrap w:val="0"/>
            <w:vAlign w:val="center"/>
          </w:tcPr>
          <w:p w14:paraId="280F1EA6">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257FB7B8">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38C8239E">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5D3EA691">
            <w:pPr>
              <w:pStyle w:val="12"/>
              <w:keepNext/>
              <w:tabs>
                <w:tab w:val="left" w:pos="4860"/>
              </w:tabs>
              <w:spacing w:line="400" w:lineRule="exact"/>
              <w:ind w:left="63" w:right="63"/>
              <w:rPr>
                <w:rFonts w:hint="eastAsia" w:ascii="仿宋" w:hAnsi="仿宋" w:eastAsia="仿宋" w:cs="仿宋"/>
                <w:highlight w:val="none"/>
              </w:rPr>
            </w:pPr>
          </w:p>
        </w:tc>
      </w:tr>
      <w:tr w14:paraId="557FD4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0A455A51">
            <w:pPr>
              <w:pStyle w:val="12"/>
              <w:keepNext/>
              <w:tabs>
                <w:tab w:val="left" w:pos="4860"/>
              </w:tabs>
              <w:spacing w:line="400" w:lineRule="exact"/>
              <w:ind w:left="63" w:right="63"/>
              <w:jc w:val="center"/>
              <w:rPr>
                <w:rFonts w:hint="eastAsia" w:ascii="仿宋" w:hAnsi="仿宋" w:eastAsia="仿宋" w:cs="仿宋"/>
                <w:highlight w:val="none"/>
              </w:rPr>
            </w:pPr>
            <w:r>
              <w:rPr>
                <w:rFonts w:hint="eastAsia" w:ascii="仿宋" w:hAnsi="仿宋" w:eastAsia="仿宋" w:cs="仿宋"/>
                <w:highlight w:val="none"/>
              </w:rPr>
              <w:t>质量员</w:t>
            </w:r>
          </w:p>
        </w:tc>
        <w:tc>
          <w:tcPr>
            <w:tcW w:w="1418" w:type="dxa"/>
            <w:noWrap w:val="0"/>
            <w:vAlign w:val="center"/>
          </w:tcPr>
          <w:p w14:paraId="45F9C0E9">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05B947FC">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69FAA973">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62F8FBF3">
            <w:pPr>
              <w:pStyle w:val="12"/>
              <w:keepNext/>
              <w:tabs>
                <w:tab w:val="left" w:pos="4860"/>
              </w:tabs>
              <w:spacing w:line="400" w:lineRule="exact"/>
              <w:ind w:left="63" w:right="63"/>
              <w:rPr>
                <w:rFonts w:hint="eastAsia" w:ascii="仿宋" w:hAnsi="仿宋" w:eastAsia="仿宋" w:cs="仿宋"/>
                <w:highlight w:val="none"/>
              </w:rPr>
            </w:pPr>
          </w:p>
        </w:tc>
      </w:tr>
      <w:tr w14:paraId="31E26F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42852B2C">
            <w:pPr>
              <w:pStyle w:val="12"/>
              <w:keepNext/>
              <w:tabs>
                <w:tab w:val="left" w:pos="4860"/>
              </w:tabs>
              <w:spacing w:line="400" w:lineRule="exact"/>
              <w:ind w:left="63" w:right="63"/>
              <w:jc w:val="center"/>
              <w:rPr>
                <w:rFonts w:hint="eastAsia" w:ascii="仿宋" w:hAnsi="仿宋" w:eastAsia="仿宋" w:cs="仿宋"/>
                <w:highlight w:val="none"/>
              </w:rPr>
            </w:pPr>
            <w:r>
              <w:rPr>
                <w:rFonts w:hint="eastAsia" w:ascii="仿宋" w:hAnsi="仿宋" w:eastAsia="仿宋" w:cs="仿宋"/>
                <w:highlight w:val="none"/>
              </w:rPr>
              <w:t>安全员</w:t>
            </w:r>
          </w:p>
        </w:tc>
        <w:tc>
          <w:tcPr>
            <w:tcW w:w="1418" w:type="dxa"/>
            <w:noWrap w:val="0"/>
            <w:vAlign w:val="center"/>
          </w:tcPr>
          <w:p w14:paraId="70B2E902">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3E14B596">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245A310">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59787D55">
            <w:pPr>
              <w:pStyle w:val="12"/>
              <w:keepNext/>
              <w:tabs>
                <w:tab w:val="left" w:pos="4860"/>
              </w:tabs>
              <w:spacing w:line="400" w:lineRule="exact"/>
              <w:ind w:left="63" w:right="63"/>
              <w:rPr>
                <w:rFonts w:hint="eastAsia" w:ascii="仿宋" w:hAnsi="仿宋" w:eastAsia="仿宋" w:cs="仿宋"/>
                <w:highlight w:val="none"/>
              </w:rPr>
            </w:pPr>
          </w:p>
        </w:tc>
      </w:tr>
      <w:tr w14:paraId="537C41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04F91907">
            <w:pPr>
              <w:pStyle w:val="12"/>
              <w:keepNext/>
              <w:tabs>
                <w:tab w:val="left" w:pos="4860"/>
              </w:tabs>
              <w:spacing w:line="400" w:lineRule="exact"/>
              <w:ind w:left="63" w:right="63"/>
              <w:rPr>
                <w:rFonts w:hint="eastAsia" w:ascii="仿宋" w:hAnsi="仿宋" w:eastAsia="仿宋" w:cs="仿宋"/>
                <w:highlight w:val="none"/>
              </w:rPr>
            </w:pPr>
          </w:p>
        </w:tc>
        <w:tc>
          <w:tcPr>
            <w:tcW w:w="1418" w:type="dxa"/>
            <w:noWrap w:val="0"/>
            <w:vAlign w:val="center"/>
          </w:tcPr>
          <w:p w14:paraId="38F59E8C">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0F8D09AB">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5AAA5C0">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4FA5BA9F">
            <w:pPr>
              <w:pStyle w:val="12"/>
              <w:keepNext/>
              <w:tabs>
                <w:tab w:val="left" w:pos="4860"/>
              </w:tabs>
              <w:spacing w:line="400" w:lineRule="exact"/>
              <w:ind w:left="63" w:right="63"/>
              <w:rPr>
                <w:rFonts w:hint="eastAsia" w:ascii="仿宋" w:hAnsi="仿宋" w:eastAsia="仿宋" w:cs="仿宋"/>
                <w:highlight w:val="none"/>
              </w:rPr>
            </w:pPr>
          </w:p>
        </w:tc>
      </w:tr>
      <w:tr w14:paraId="20B1CD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18C72845">
            <w:pPr>
              <w:pStyle w:val="12"/>
              <w:keepNext/>
              <w:tabs>
                <w:tab w:val="left" w:pos="4860"/>
              </w:tabs>
              <w:spacing w:line="400" w:lineRule="exact"/>
              <w:ind w:right="63"/>
              <w:rPr>
                <w:rFonts w:hint="eastAsia"/>
                <w:highlight w:val="none"/>
              </w:rPr>
            </w:pPr>
          </w:p>
        </w:tc>
        <w:tc>
          <w:tcPr>
            <w:tcW w:w="1418" w:type="dxa"/>
            <w:noWrap w:val="0"/>
            <w:vAlign w:val="center"/>
          </w:tcPr>
          <w:p w14:paraId="706CC1D7">
            <w:pPr>
              <w:pStyle w:val="12"/>
              <w:keepNext/>
              <w:tabs>
                <w:tab w:val="left" w:pos="4860"/>
              </w:tabs>
              <w:spacing w:line="400" w:lineRule="exact"/>
              <w:ind w:left="63" w:right="63"/>
              <w:rPr>
                <w:rFonts w:hint="eastAsia"/>
                <w:highlight w:val="none"/>
              </w:rPr>
            </w:pPr>
          </w:p>
        </w:tc>
        <w:tc>
          <w:tcPr>
            <w:tcW w:w="1134" w:type="dxa"/>
            <w:noWrap w:val="0"/>
            <w:vAlign w:val="center"/>
          </w:tcPr>
          <w:p w14:paraId="75B592C5">
            <w:pPr>
              <w:pStyle w:val="12"/>
              <w:keepNext/>
              <w:tabs>
                <w:tab w:val="left" w:pos="4860"/>
              </w:tabs>
              <w:spacing w:line="400" w:lineRule="exact"/>
              <w:ind w:left="63" w:right="63"/>
              <w:rPr>
                <w:rFonts w:hint="eastAsia"/>
                <w:highlight w:val="none"/>
              </w:rPr>
            </w:pPr>
          </w:p>
        </w:tc>
        <w:tc>
          <w:tcPr>
            <w:tcW w:w="1134" w:type="dxa"/>
            <w:noWrap w:val="0"/>
            <w:vAlign w:val="center"/>
          </w:tcPr>
          <w:p w14:paraId="208E288B">
            <w:pPr>
              <w:pStyle w:val="12"/>
              <w:keepNext/>
              <w:tabs>
                <w:tab w:val="left" w:pos="4860"/>
              </w:tabs>
              <w:spacing w:line="400" w:lineRule="exact"/>
              <w:ind w:left="63" w:right="63"/>
              <w:rPr>
                <w:rFonts w:hint="eastAsia"/>
                <w:highlight w:val="none"/>
              </w:rPr>
            </w:pPr>
          </w:p>
        </w:tc>
        <w:tc>
          <w:tcPr>
            <w:tcW w:w="4252" w:type="dxa"/>
            <w:noWrap w:val="0"/>
            <w:vAlign w:val="center"/>
          </w:tcPr>
          <w:p w14:paraId="028449C1">
            <w:pPr>
              <w:pStyle w:val="12"/>
              <w:keepNext/>
              <w:tabs>
                <w:tab w:val="left" w:pos="4860"/>
              </w:tabs>
              <w:spacing w:line="400" w:lineRule="exact"/>
              <w:ind w:left="63" w:right="63"/>
              <w:rPr>
                <w:rFonts w:hint="eastAsia"/>
                <w:highlight w:val="none"/>
              </w:rPr>
            </w:pPr>
          </w:p>
        </w:tc>
      </w:tr>
      <w:tr w14:paraId="6A2815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39BAE393">
            <w:pPr>
              <w:pStyle w:val="12"/>
              <w:keepNext/>
              <w:tabs>
                <w:tab w:val="left" w:pos="4860"/>
              </w:tabs>
              <w:spacing w:line="400" w:lineRule="exact"/>
              <w:ind w:left="63" w:right="63"/>
              <w:rPr>
                <w:rFonts w:hint="eastAsia"/>
                <w:highlight w:val="none"/>
              </w:rPr>
            </w:pPr>
          </w:p>
        </w:tc>
        <w:tc>
          <w:tcPr>
            <w:tcW w:w="1418" w:type="dxa"/>
            <w:noWrap w:val="0"/>
            <w:vAlign w:val="center"/>
          </w:tcPr>
          <w:p w14:paraId="429394C4">
            <w:pPr>
              <w:pStyle w:val="12"/>
              <w:keepNext/>
              <w:tabs>
                <w:tab w:val="left" w:pos="4860"/>
              </w:tabs>
              <w:spacing w:line="400" w:lineRule="exact"/>
              <w:ind w:left="63" w:right="63"/>
              <w:rPr>
                <w:rFonts w:hint="eastAsia"/>
                <w:highlight w:val="none"/>
              </w:rPr>
            </w:pPr>
          </w:p>
        </w:tc>
        <w:tc>
          <w:tcPr>
            <w:tcW w:w="1134" w:type="dxa"/>
            <w:noWrap w:val="0"/>
            <w:vAlign w:val="center"/>
          </w:tcPr>
          <w:p w14:paraId="7C7F5B2F">
            <w:pPr>
              <w:pStyle w:val="12"/>
              <w:keepNext/>
              <w:tabs>
                <w:tab w:val="left" w:pos="4860"/>
              </w:tabs>
              <w:spacing w:line="400" w:lineRule="exact"/>
              <w:ind w:left="63" w:right="63"/>
              <w:rPr>
                <w:rFonts w:hint="eastAsia"/>
                <w:highlight w:val="none"/>
              </w:rPr>
            </w:pPr>
          </w:p>
        </w:tc>
        <w:tc>
          <w:tcPr>
            <w:tcW w:w="1134" w:type="dxa"/>
            <w:noWrap w:val="0"/>
            <w:vAlign w:val="center"/>
          </w:tcPr>
          <w:p w14:paraId="46AAB174">
            <w:pPr>
              <w:pStyle w:val="12"/>
              <w:keepNext/>
              <w:tabs>
                <w:tab w:val="left" w:pos="4860"/>
              </w:tabs>
              <w:spacing w:line="400" w:lineRule="exact"/>
              <w:ind w:left="63" w:right="63"/>
              <w:rPr>
                <w:rFonts w:hint="eastAsia"/>
                <w:highlight w:val="none"/>
              </w:rPr>
            </w:pPr>
          </w:p>
        </w:tc>
        <w:tc>
          <w:tcPr>
            <w:tcW w:w="4252" w:type="dxa"/>
            <w:noWrap w:val="0"/>
            <w:vAlign w:val="center"/>
          </w:tcPr>
          <w:p w14:paraId="6DCFBD1D">
            <w:pPr>
              <w:pStyle w:val="12"/>
              <w:keepNext/>
              <w:tabs>
                <w:tab w:val="left" w:pos="4860"/>
              </w:tabs>
              <w:spacing w:line="400" w:lineRule="exact"/>
              <w:ind w:left="63" w:right="63"/>
              <w:rPr>
                <w:rFonts w:hint="eastAsia"/>
                <w:highlight w:val="none"/>
              </w:rPr>
            </w:pPr>
          </w:p>
        </w:tc>
      </w:tr>
      <w:tr w14:paraId="792D91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3A2BE049">
            <w:pPr>
              <w:pStyle w:val="12"/>
              <w:keepNext/>
              <w:tabs>
                <w:tab w:val="left" w:pos="4860"/>
              </w:tabs>
              <w:spacing w:line="400" w:lineRule="exact"/>
              <w:ind w:left="63" w:right="63"/>
              <w:rPr>
                <w:rFonts w:hint="eastAsia"/>
                <w:highlight w:val="none"/>
              </w:rPr>
            </w:pPr>
          </w:p>
        </w:tc>
        <w:tc>
          <w:tcPr>
            <w:tcW w:w="1418" w:type="dxa"/>
            <w:noWrap w:val="0"/>
            <w:vAlign w:val="center"/>
          </w:tcPr>
          <w:p w14:paraId="354A90EF">
            <w:pPr>
              <w:pStyle w:val="12"/>
              <w:keepNext/>
              <w:tabs>
                <w:tab w:val="left" w:pos="4860"/>
              </w:tabs>
              <w:spacing w:line="400" w:lineRule="exact"/>
              <w:ind w:left="63" w:right="63"/>
              <w:rPr>
                <w:rFonts w:hint="eastAsia"/>
                <w:highlight w:val="none"/>
              </w:rPr>
            </w:pPr>
          </w:p>
        </w:tc>
        <w:tc>
          <w:tcPr>
            <w:tcW w:w="1134" w:type="dxa"/>
            <w:noWrap w:val="0"/>
            <w:vAlign w:val="center"/>
          </w:tcPr>
          <w:p w14:paraId="15FA5F52">
            <w:pPr>
              <w:pStyle w:val="12"/>
              <w:keepNext/>
              <w:tabs>
                <w:tab w:val="left" w:pos="4860"/>
              </w:tabs>
              <w:spacing w:line="400" w:lineRule="exact"/>
              <w:ind w:left="63" w:right="63"/>
              <w:rPr>
                <w:rFonts w:hint="eastAsia"/>
                <w:highlight w:val="none"/>
              </w:rPr>
            </w:pPr>
          </w:p>
        </w:tc>
        <w:tc>
          <w:tcPr>
            <w:tcW w:w="1134" w:type="dxa"/>
            <w:noWrap w:val="0"/>
            <w:vAlign w:val="center"/>
          </w:tcPr>
          <w:p w14:paraId="00C54787">
            <w:pPr>
              <w:pStyle w:val="12"/>
              <w:keepNext/>
              <w:tabs>
                <w:tab w:val="left" w:pos="4860"/>
              </w:tabs>
              <w:spacing w:line="400" w:lineRule="exact"/>
              <w:ind w:left="63" w:right="63"/>
              <w:rPr>
                <w:rFonts w:hint="eastAsia"/>
                <w:highlight w:val="none"/>
              </w:rPr>
            </w:pPr>
          </w:p>
        </w:tc>
        <w:tc>
          <w:tcPr>
            <w:tcW w:w="4252" w:type="dxa"/>
            <w:noWrap w:val="0"/>
            <w:vAlign w:val="center"/>
          </w:tcPr>
          <w:p w14:paraId="79180269">
            <w:pPr>
              <w:pStyle w:val="12"/>
              <w:keepNext/>
              <w:tabs>
                <w:tab w:val="left" w:pos="4860"/>
              </w:tabs>
              <w:spacing w:line="400" w:lineRule="exact"/>
              <w:ind w:left="63" w:right="63"/>
              <w:rPr>
                <w:rFonts w:hint="eastAsia"/>
                <w:highlight w:val="none"/>
              </w:rPr>
            </w:pPr>
          </w:p>
        </w:tc>
      </w:tr>
      <w:tr w14:paraId="16EFCA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noWrap w:val="0"/>
            <w:vAlign w:val="center"/>
          </w:tcPr>
          <w:p w14:paraId="37EEE07E">
            <w:pPr>
              <w:pStyle w:val="12"/>
              <w:keepNext/>
              <w:tabs>
                <w:tab w:val="left" w:pos="4860"/>
              </w:tabs>
              <w:spacing w:line="400" w:lineRule="exact"/>
              <w:ind w:left="63" w:right="63"/>
              <w:rPr>
                <w:rFonts w:hint="eastAsia"/>
                <w:highlight w:val="none"/>
              </w:rPr>
            </w:pPr>
            <w:r>
              <w:rPr>
                <w:rFonts w:hint="eastAsia"/>
                <w:highlight w:val="none"/>
              </w:rPr>
              <w:t>其他人员</w:t>
            </w:r>
          </w:p>
        </w:tc>
        <w:tc>
          <w:tcPr>
            <w:tcW w:w="1418" w:type="dxa"/>
            <w:noWrap w:val="0"/>
            <w:vAlign w:val="center"/>
          </w:tcPr>
          <w:p w14:paraId="6235707D">
            <w:pPr>
              <w:pStyle w:val="12"/>
              <w:keepNext/>
              <w:tabs>
                <w:tab w:val="left" w:pos="4860"/>
              </w:tabs>
              <w:spacing w:line="400" w:lineRule="exact"/>
              <w:ind w:left="63" w:right="63"/>
              <w:rPr>
                <w:rFonts w:hint="eastAsia"/>
                <w:highlight w:val="none"/>
              </w:rPr>
            </w:pPr>
          </w:p>
        </w:tc>
        <w:tc>
          <w:tcPr>
            <w:tcW w:w="1134" w:type="dxa"/>
            <w:noWrap w:val="0"/>
            <w:vAlign w:val="center"/>
          </w:tcPr>
          <w:p w14:paraId="29497ADC">
            <w:pPr>
              <w:pStyle w:val="12"/>
              <w:keepNext/>
              <w:tabs>
                <w:tab w:val="left" w:pos="4860"/>
              </w:tabs>
              <w:spacing w:line="400" w:lineRule="exact"/>
              <w:ind w:left="63" w:right="63"/>
              <w:rPr>
                <w:rFonts w:hint="eastAsia"/>
                <w:highlight w:val="none"/>
              </w:rPr>
            </w:pPr>
          </w:p>
        </w:tc>
        <w:tc>
          <w:tcPr>
            <w:tcW w:w="1134" w:type="dxa"/>
            <w:noWrap w:val="0"/>
            <w:vAlign w:val="center"/>
          </w:tcPr>
          <w:p w14:paraId="1BD2BDA0">
            <w:pPr>
              <w:pStyle w:val="12"/>
              <w:keepNext/>
              <w:tabs>
                <w:tab w:val="left" w:pos="4860"/>
              </w:tabs>
              <w:spacing w:line="400" w:lineRule="exact"/>
              <w:ind w:left="63" w:right="63"/>
              <w:rPr>
                <w:rFonts w:hint="eastAsia"/>
                <w:highlight w:val="none"/>
              </w:rPr>
            </w:pPr>
          </w:p>
        </w:tc>
        <w:tc>
          <w:tcPr>
            <w:tcW w:w="4252" w:type="dxa"/>
            <w:noWrap w:val="0"/>
            <w:vAlign w:val="center"/>
          </w:tcPr>
          <w:p w14:paraId="0687BC17">
            <w:pPr>
              <w:pStyle w:val="12"/>
              <w:keepNext/>
              <w:tabs>
                <w:tab w:val="left" w:pos="4860"/>
              </w:tabs>
              <w:spacing w:line="400" w:lineRule="exact"/>
              <w:ind w:left="63" w:right="63"/>
              <w:rPr>
                <w:rFonts w:hint="eastAsia"/>
                <w:highlight w:val="none"/>
              </w:rPr>
            </w:pPr>
          </w:p>
        </w:tc>
      </w:tr>
      <w:tr w14:paraId="707DB8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1A43B065">
            <w:pPr>
              <w:pStyle w:val="12"/>
              <w:keepNext/>
              <w:tabs>
                <w:tab w:val="left" w:pos="4860"/>
              </w:tabs>
              <w:spacing w:line="400" w:lineRule="exact"/>
              <w:ind w:left="63" w:right="63"/>
              <w:rPr>
                <w:rFonts w:hint="eastAsia"/>
                <w:highlight w:val="none"/>
              </w:rPr>
            </w:pPr>
          </w:p>
        </w:tc>
        <w:tc>
          <w:tcPr>
            <w:tcW w:w="1418" w:type="dxa"/>
            <w:tcBorders>
              <w:bottom w:val="nil"/>
            </w:tcBorders>
            <w:noWrap w:val="0"/>
            <w:vAlign w:val="center"/>
          </w:tcPr>
          <w:p w14:paraId="777E286F">
            <w:pPr>
              <w:pStyle w:val="12"/>
              <w:keepNext/>
              <w:tabs>
                <w:tab w:val="left" w:pos="4860"/>
              </w:tabs>
              <w:spacing w:line="400" w:lineRule="exact"/>
              <w:ind w:left="63" w:right="63"/>
              <w:rPr>
                <w:rFonts w:hint="eastAsia"/>
                <w:highlight w:val="none"/>
              </w:rPr>
            </w:pPr>
          </w:p>
        </w:tc>
        <w:tc>
          <w:tcPr>
            <w:tcW w:w="1134" w:type="dxa"/>
            <w:tcBorders>
              <w:bottom w:val="nil"/>
            </w:tcBorders>
            <w:noWrap w:val="0"/>
            <w:vAlign w:val="center"/>
          </w:tcPr>
          <w:p w14:paraId="6F0B8E09">
            <w:pPr>
              <w:pStyle w:val="12"/>
              <w:keepNext/>
              <w:tabs>
                <w:tab w:val="left" w:pos="4860"/>
              </w:tabs>
              <w:spacing w:line="400" w:lineRule="exact"/>
              <w:ind w:left="63" w:right="63"/>
              <w:rPr>
                <w:rFonts w:hint="eastAsia"/>
                <w:highlight w:val="none"/>
              </w:rPr>
            </w:pPr>
          </w:p>
        </w:tc>
        <w:tc>
          <w:tcPr>
            <w:tcW w:w="1134" w:type="dxa"/>
            <w:tcBorders>
              <w:bottom w:val="nil"/>
            </w:tcBorders>
            <w:noWrap w:val="0"/>
            <w:vAlign w:val="center"/>
          </w:tcPr>
          <w:p w14:paraId="4A100F22">
            <w:pPr>
              <w:pStyle w:val="12"/>
              <w:keepNext/>
              <w:tabs>
                <w:tab w:val="left" w:pos="4860"/>
              </w:tabs>
              <w:spacing w:line="400" w:lineRule="exact"/>
              <w:ind w:left="63" w:right="63"/>
              <w:rPr>
                <w:rFonts w:hint="eastAsia"/>
                <w:highlight w:val="none"/>
              </w:rPr>
            </w:pPr>
          </w:p>
        </w:tc>
        <w:tc>
          <w:tcPr>
            <w:tcW w:w="4252" w:type="dxa"/>
            <w:tcBorders>
              <w:bottom w:val="nil"/>
            </w:tcBorders>
            <w:noWrap w:val="0"/>
            <w:vAlign w:val="center"/>
          </w:tcPr>
          <w:p w14:paraId="19DBACAE">
            <w:pPr>
              <w:pStyle w:val="12"/>
              <w:keepNext/>
              <w:tabs>
                <w:tab w:val="left" w:pos="4860"/>
              </w:tabs>
              <w:spacing w:line="400" w:lineRule="exact"/>
              <w:ind w:left="63" w:right="63"/>
              <w:rPr>
                <w:rFonts w:hint="eastAsia"/>
                <w:highlight w:val="none"/>
              </w:rPr>
            </w:pPr>
          </w:p>
        </w:tc>
      </w:tr>
      <w:tr w14:paraId="284308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1B10A0C2">
            <w:pPr>
              <w:pStyle w:val="12"/>
              <w:keepNext/>
              <w:tabs>
                <w:tab w:val="left" w:pos="4860"/>
              </w:tabs>
              <w:spacing w:line="400" w:lineRule="exact"/>
              <w:ind w:left="63" w:right="63"/>
              <w:rPr>
                <w:rFonts w:hint="eastAsia"/>
                <w:highlight w:val="none"/>
              </w:rPr>
            </w:pPr>
          </w:p>
        </w:tc>
        <w:tc>
          <w:tcPr>
            <w:tcW w:w="1418" w:type="dxa"/>
            <w:noWrap w:val="0"/>
            <w:vAlign w:val="center"/>
          </w:tcPr>
          <w:p w14:paraId="076886BB">
            <w:pPr>
              <w:pStyle w:val="12"/>
              <w:keepNext/>
              <w:tabs>
                <w:tab w:val="left" w:pos="4860"/>
              </w:tabs>
              <w:spacing w:line="400" w:lineRule="exact"/>
              <w:ind w:left="63" w:right="63"/>
              <w:rPr>
                <w:rFonts w:hint="eastAsia"/>
                <w:highlight w:val="none"/>
              </w:rPr>
            </w:pPr>
          </w:p>
        </w:tc>
        <w:tc>
          <w:tcPr>
            <w:tcW w:w="1134" w:type="dxa"/>
            <w:noWrap w:val="0"/>
            <w:vAlign w:val="center"/>
          </w:tcPr>
          <w:p w14:paraId="3DB20C02">
            <w:pPr>
              <w:pStyle w:val="12"/>
              <w:keepNext/>
              <w:tabs>
                <w:tab w:val="left" w:pos="4860"/>
              </w:tabs>
              <w:spacing w:line="400" w:lineRule="exact"/>
              <w:ind w:left="63" w:right="63"/>
              <w:rPr>
                <w:rFonts w:hint="eastAsia"/>
                <w:highlight w:val="none"/>
              </w:rPr>
            </w:pPr>
          </w:p>
        </w:tc>
        <w:tc>
          <w:tcPr>
            <w:tcW w:w="1134" w:type="dxa"/>
            <w:noWrap w:val="0"/>
            <w:vAlign w:val="center"/>
          </w:tcPr>
          <w:p w14:paraId="1EDE53F8">
            <w:pPr>
              <w:pStyle w:val="12"/>
              <w:keepNext/>
              <w:tabs>
                <w:tab w:val="left" w:pos="4860"/>
              </w:tabs>
              <w:spacing w:line="400" w:lineRule="exact"/>
              <w:ind w:left="63" w:right="63"/>
              <w:rPr>
                <w:rFonts w:hint="eastAsia"/>
                <w:highlight w:val="none"/>
              </w:rPr>
            </w:pPr>
          </w:p>
        </w:tc>
        <w:tc>
          <w:tcPr>
            <w:tcW w:w="4252" w:type="dxa"/>
            <w:noWrap w:val="0"/>
            <w:vAlign w:val="center"/>
          </w:tcPr>
          <w:p w14:paraId="15F0437C">
            <w:pPr>
              <w:pStyle w:val="12"/>
              <w:keepNext/>
              <w:tabs>
                <w:tab w:val="left" w:pos="4860"/>
              </w:tabs>
              <w:spacing w:line="400" w:lineRule="exact"/>
              <w:ind w:left="63" w:right="63"/>
              <w:rPr>
                <w:rFonts w:hint="eastAsia"/>
                <w:highlight w:val="none"/>
              </w:rPr>
            </w:pPr>
          </w:p>
        </w:tc>
      </w:tr>
      <w:tr w14:paraId="517ADD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00E9086C">
            <w:pPr>
              <w:pStyle w:val="12"/>
              <w:keepNext/>
              <w:tabs>
                <w:tab w:val="left" w:pos="4860"/>
              </w:tabs>
              <w:spacing w:line="400" w:lineRule="exact"/>
              <w:ind w:left="63" w:right="63"/>
              <w:rPr>
                <w:rFonts w:hint="eastAsia"/>
                <w:highlight w:val="none"/>
              </w:rPr>
            </w:pPr>
          </w:p>
        </w:tc>
        <w:tc>
          <w:tcPr>
            <w:tcW w:w="1418" w:type="dxa"/>
            <w:noWrap w:val="0"/>
            <w:vAlign w:val="center"/>
          </w:tcPr>
          <w:p w14:paraId="09071E73">
            <w:pPr>
              <w:pStyle w:val="12"/>
              <w:keepNext/>
              <w:tabs>
                <w:tab w:val="left" w:pos="4860"/>
              </w:tabs>
              <w:spacing w:line="400" w:lineRule="exact"/>
              <w:ind w:left="63" w:right="63"/>
              <w:rPr>
                <w:rFonts w:hint="eastAsia"/>
                <w:highlight w:val="none"/>
              </w:rPr>
            </w:pPr>
          </w:p>
        </w:tc>
        <w:tc>
          <w:tcPr>
            <w:tcW w:w="1134" w:type="dxa"/>
            <w:noWrap w:val="0"/>
            <w:vAlign w:val="center"/>
          </w:tcPr>
          <w:p w14:paraId="2689B081">
            <w:pPr>
              <w:pStyle w:val="12"/>
              <w:keepNext/>
              <w:tabs>
                <w:tab w:val="left" w:pos="4860"/>
              </w:tabs>
              <w:spacing w:line="400" w:lineRule="exact"/>
              <w:ind w:left="63" w:right="63"/>
              <w:rPr>
                <w:rFonts w:hint="eastAsia"/>
                <w:highlight w:val="none"/>
              </w:rPr>
            </w:pPr>
          </w:p>
        </w:tc>
        <w:tc>
          <w:tcPr>
            <w:tcW w:w="1134" w:type="dxa"/>
            <w:noWrap w:val="0"/>
            <w:vAlign w:val="center"/>
          </w:tcPr>
          <w:p w14:paraId="3268B565">
            <w:pPr>
              <w:pStyle w:val="12"/>
              <w:keepNext/>
              <w:tabs>
                <w:tab w:val="left" w:pos="4860"/>
              </w:tabs>
              <w:spacing w:line="400" w:lineRule="exact"/>
              <w:ind w:left="63" w:right="63"/>
              <w:rPr>
                <w:rFonts w:hint="eastAsia"/>
                <w:highlight w:val="none"/>
              </w:rPr>
            </w:pPr>
          </w:p>
        </w:tc>
        <w:tc>
          <w:tcPr>
            <w:tcW w:w="4252" w:type="dxa"/>
            <w:noWrap w:val="0"/>
            <w:vAlign w:val="center"/>
          </w:tcPr>
          <w:p w14:paraId="1FF731A6">
            <w:pPr>
              <w:pStyle w:val="12"/>
              <w:keepNext/>
              <w:tabs>
                <w:tab w:val="left" w:pos="4860"/>
              </w:tabs>
              <w:spacing w:line="400" w:lineRule="exact"/>
              <w:ind w:left="63" w:right="63"/>
              <w:rPr>
                <w:rFonts w:hint="eastAsia"/>
                <w:highlight w:val="none"/>
              </w:rPr>
            </w:pPr>
          </w:p>
        </w:tc>
      </w:tr>
      <w:tr w14:paraId="6DA822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332B4E5E">
            <w:pPr>
              <w:pStyle w:val="12"/>
              <w:keepNext/>
              <w:tabs>
                <w:tab w:val="left" w:pos="4860"/>
              </w:tabs>
              <w:spacing w:line="400" w:lineRule="exact"/>
              <w:ind w:left="63" w:right="63"/>
              <w:rPr>
                <w:rFonts w:hint="eastAsia"/>
                <w:highlight w:val="none"/>
              </w:rPr>
            </w:pPr>
          </w:p>
        </w:tc>
        <w:tc>
          <w:tcPr>
            <w:tcW w:w="1418" w:type="dxa"/>
            <w:noWrap w:val="0"/>
            <w:vAlign w:val="center"/>
          </w:tcPr>
          <w:p w14:paraId="5A6200E9">
            <w:pPr>
              <w:pStyle w:val="12"/>
              <w:keepNext/>
              <w:tabs>
                <w:tab w:val="left" w:pos="4860"/>
              </w:tabs>
              <w:spacing w:line="400" w:lineRule="exact"/>
              <w:ind w:left="63" w:right="63"/>
              <w:rPr>
                <w:rFonts w:hint="eastAsia"/>
                <w:highlight w:val="none"/>
              </w:rPr>
            </w:pPr>
          </w:p>
        </w:tc>
        <w:tc>
          <w:tcPr>
            <w:tcW w:w="1134" w:type="dxa"/>
            <w:noWrap w:val="0"/>
            <w:vAlign w:val="center"/>
          </w:tcPr>
          <w:p w14:paraId="641B26DF">
            <w:pPr>
              <w:pStyle w:val="12"/>
              <w:keepNext/>
              <w:tabs>
                <w:tab w:val="left" w:pos="4860"/>
              </w:tabs>
              <w:spacing w:line="400" w:lineRule="exact"/>
              <w:ind w:left="63" w:right="63"/>
              <w:rPr>
                <w:rFonts w:hint="eastAsia"/>
                <w:highlight w:val="none"/>
              </w:rPr>
            </w:pPr>
          </w:p>
        </w:tc>
        <w:tc>
          <w:tcPr>
            <w:tcW w:w="1134" w:type="dxa"/>
            <w:noWrap w:val="0"/>
            <w:vAlign w:val="center"/>
          </w:tcPr>
          <w:p w14:paraId="466F032E">
            <w:pPr>
              <w:pStyle w:val="12"/>
              <w:keepNext/>
              <w:tabs>
                <w:tab w:val="left" w:pos="4860"/>
              </w:tabs>
              <w:spacing w:line="400" w:lineRule="exact"/>
              <w:ind w:left="63" w:right="63"/>
              <w:rPr>
                <w:rFonts w:hint="eastAsia"/>
                <w:highlight w:val="none"/>
              </w:rPr>
            </w:pPr>
          </w:p>
        </w:tc>
        <w:tc>
          <w:tcPr>
            <w:tcW w:w="4252" w:type="dxa"/>
            <w:noWrap w:val="0"/>
            <w:vAlign w:val="center"/>
          </w:tcPr>
          <w:p w14:paraId="51F6CA7C">
            <w:pPr>
              <w:pStyle w:val="12"/>
              <w:keepNext/>
              <w:tabs>
                <w:tab w:val="left" w:pos="4860"/>
              </w:tabs>
              <w:spacing w:line="400" w:lineRule="exact"/>
              <w:ind w:left="63" w:right="63"/>
              <w:rPr>
                <w:rFonts w:hint="eastAsia"/>
                <w:highlight w:val="none"/>
              </w:rPr>
            </w:pPr>
          </w:p>
        </w:tc>
      </w:tr>
      <w:tr w14:paraId="50A2AE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noWrap w:val="0"/>
            <w:vAlign w:val="center"/>
          </w:tcPr>
          <w:p w14:paraId="74E33072">
            <w:pPr>
              <w:pStyle w:val="12"/>
              <w:keepNext/>
              <w:tabs>
                <w:tab w:val="left" w:pos="4860"/>
              </w:tabs>
              <w:spacing w:line="400" w:lineRule="exact"/>
              <w:ind w:left="63" w:right="63"/>
              <w:rPr>
                <w:rFonts w:hint="eastAsia"/>
                <w:highlight w:val="none"/>
              </w:rPr>
            </w:pPr>
          </w:p>
        </w:tc>
        <w:tc>
          <w:tcPr>
            <w:tcW w:w="1418" w:type="dxa"/>
            <w:tcBorders>
              <w:bottom w:val="single" w:color="auto" w:sz="12" w:space="0"/>
            </w:tcBorders>
            <w:noWrap w:val="0"/>
            <w:vAlign w:val="center"/>
          </w:tcPr>
          <w:p w14:paraId="2FFA6131">
            <w:pPr>
              <w:pStyle w:val="12"/>
              <w:keepNext/>
              <w:tabs>
                <w:tab w:val="left" w:pos="4860"/>
              </w:tabs>
              <w:spacing w:line="400" w:lineRule="exact"/>
              <w:ind w:left="63" w:right="63"/>
              <w:rPr>
                <w:rFonts w:hint="eastAsia"/>
                <w:highlight w:val="none"/>
              </w:rPr>
            </w:pPr>
          </w:p>
        </w:tc>
        <w:tc>
          <w:tcPr>
            <w:tcW w:w="1134" w:type="dxa"/>
            <w:tcBorders>
              <w:bottom w:val="single" w:color="auto" w:sz="12" w:space="0"/>
            </w:tcBorders>
            <w:noWrap w:val="0"/>
            <w:vAlign w:val="center"/>
          </w:tcPr>
          <w:p w14:paraId="7588A493">
            <w:pPr>
              <w:pStyle w:val="12"/>
              <w:keepNext/>
              <w:tabs>
                <w:tab w:val="left" w:pos="4860"/>
              </w:tabs>
              <w:spacing w:line="400" w:lineRule="exact"/>
              <w:ind w:left="63" w:right="63"/>
              <w:rPr>
                <w:rFonts w:hint="eastAsia"/>
                <w:highlight w:val="none"/>
              </w:rPr>
            </w:pPr>
          </w:p>
        </w:tc>
        <w:tc>
          <w:tcPr>
            <w:tcW w:w="1134" w:type="dxa"/>
            <w:tcBorders>
              <w:bottom w:val="single" w:color="auto" w:sz="12" w:space="0"/>
            </w:tcBorders>
            <w:noWrap w:val="0"/>
            <w:vAlign w:val="center"/>
          </w:tcPr>
          <w:p w14:paraId="54BE6FD0">
            <w:pPr>
              <w:pStyle w:val="12"/>
              <w:keepNext/>
              <w:tabs>
                <w:tab w:val="left" w:pos="4860"/>
              </w:tabs>
              <w:spacing w:line="400" w:lineRule="exact"/>
              <w:ind w:left="63" w:right="63"/>
              <w:rPr>
                <w:rFonts w:hint="eastAsia"/>
                <w:highlight w:val="none"/>
              </w:rPr>
            </w:pPr>
          </w:p>
        </w:tc>
        <w:tc>
          <w:tcPr>
            <w:tcW w:w="4252" w:type="dxa"/>
            <w:tcBorders>
              <w:bottom w:val="single" w:color="auto" w:sz="12" w:space="0"/>
            </w:tcBorders>
            <w:noWrap w:val="0"/>
            <w:vAlign w:val="center"/>
          </w:tcPr>
          <w:p w14:paraId="5710E833">
            <w:pPr>
              <w:pStyle w:val="12"/>
              <w:keepNext/>
              <w:tabs>
                <w:tab w:val="left" w:pos="4860"/>
              </w:tabs>
              <w:spacing w:line="400" w:lineRule="exact"/>
              <w:ind w:left="63" w:right="63"/>
              <w:rPr>
                <w:rFonts w:hint="eastAsia"/>
                <w:highlight w:val="none"/>
              </w:rPr>
            </w:pPr>
          </w:p>
        </w:tc>
      </w:tr>
      <w:bookmarkEnd w:id="48"/>
      <w:bookmarkEnd w:id="49"/>
      <w:bookmarkEnd w:id="50"/>
      <w:bookmarkEnd w:id="51"/>
    </w:tbl>
    <w:p w14:paraId="52481EB6">
      <w:pPr>
        <w:spacing w:line="360" w:lineRule="auto"/>
        <w:rPr>
          <w:rFonts w:ascii="宋体" w:hAnsi="宋体"/>
          <w:b/>
          <w:sz w:val="24"/>
          <w:highlight w:val="none"/>
        </w:rPr>
      </w:pPr>
    </w:p>
    <w:sectPr>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embedRegular r:id="rId1" w:fontKey="{258A65D1-1041-4F04-9D91-4AC94DC0B0C4}"/>
  </w:font>
  <w:font w:name="黑体">
    <w:panose1 w:val="02010609060101010101"/>
    <w:charset w:val="86"/>
    <w:family w:val="auto"/>
    <w:pitch w:val="default"/>
    <w:sig w:usb0="800002BF" w:usb1="38CF7CFA" w:usb2="00000016" w:usb3="00000000" w:csb0="00040001" w:csb1="00000000"/>
    <w:embedRegular r:id="rId2" w:fontKey="{9C531900-175F-4D44-B284-45F3286A56DC}"/>
  </w:font>
  <w:font w:name="Courier New">
    <w:panose1 w:val="02070309020205020404"/>
    <w:charset w:val="01"/>
    <w:family w:val="modern"/>
    <w:pitch w:val="default"/>
    <w:sig w:usb0="E0002EFF" w:usb1="C0007843" w:usb2="00000009" w:usb3="00000000" w:csb0="400001FF" w:csb1="FFFF0000"/>
    <w:embedRegular r:id="rId3" w:fontKey="{BCE7C75C-17EE-4FBA-A479-23A708ABC691}"/>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仿宋_GB2312">
    <w:altName w:val="仿宋"/>
    <w:panose1 w:val="02010600030101010101"/>
    <w:charset w:val="86"/>
    <w:family w:val="modern"/>
    <w:pitch w:val="default"/>
    <w:sig w:usb0="00000000" w:usb1="00000000" w:usb2="00000006" w:usb3="00000000" w:csb0="00040001" w:csb1="00000000"/>
    <w:embedRegular r:id="rId4" w:fontKey="{F5FB3A70-B3A4-448F-A242-218BA6768D73}"/>
  </w:font>
  <w:font w:name="仿宋">
    <w:panose1 w:val="02010609060101010101"/>
    <w:charset w:val="86"/>
    <w:family w:val="modern"/>
    <w:pitch w:val="default"/>
    <w:sig w:usb0="800002BF" w:usb1="38CF7CFA" w:usb2="00000016" w:usb3="00000000" w:csb0="00040001" w:csb1="00000000"/>
    <w:embedRegular r:id="rId5" w:fontKey="{42EC70D4-7549-42C4-95B0-4554126E31AF}"/>
  </w:font>
  <w:font w:name="Cambria">
    <w:panose1 w:val="02040503050406030204"/>
    <w:charset w:val="00"/>
    <w:family w:val="roman"/>
    <w:pitch w:val="default"/>
    <w:sig w:usb0="E00002FF" w:usb1="400004FF" w:usb2="00000000" w:usb3="00000000" w:csb0="2000019F" w:csb1="00000000"/>
  </w:font>
  <w:font w:name="方正楷体简体">
    <w:altName w:val="方正楷体简体"/>
    <w:panose1 w:val="02000000000000000000"/>
    <w:charset w:val="86"/>
    <w:family w:val="auto"/>
    <w:pitch w:val="default"/>
    <w:sig w:usb0="A00002BF" w:usb1="184F6CFA" w:usb2="00000012" w:usb3="00000000" w:csb0="00040001" w:csb1="00000000"/>
    <w:embedRegular r:id="rId6" w:fontKey="{A3185BA6-6FB6-41C3-8E85-2E6AAA5B0639}"/>
  </w:font>
  <w:font w:name="方正小标宋简体">
    <w:altName w:val="方正小标宋简体"/>
    <w:panose1 w:val="02000000000000000000"/>
    <w:charset w:val="86"/>
    <w:family w:val="script"/>
    <w:pitch w:val="default"/>
    <w:sig w:usb0="00000001" w:usb1="08000000" w:usb2="00000000" w:usb3="00000000" w:csb0="00040000" w:csb1="00000000"/>
    <w:embedRegular r:id="rId7" w:fontKey="{EC32831C-C215-4167-AE6E-B6E5950862CB}"/>
  </w:font>
  <w:font w:name=".......">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embedRegular r:id="rId8" w:fontKey="{66691D13-5DB5-48A3-B487-074157BD7FA8}"/>
  </w:font>
  <w:font w:name="楷体_GB2312">
    <w:altName w:val="楷体"/>
    <w:panose1 w:val="02010600030101010101"/>
    <w:charset w:val="86"/>
    <w:family w:val="modern"/>
    <w:pitch w:val="default"/>
    <w:sig w:usb0="00000000" w:usb1="00000000" w:usb2="00000006" w:usb3="00000000" w:csb0="00040001" w:csb1="00000000"/>
    <w:embedRegular r:id="rId9" w:fontKey="{EDFED95B-55BA-4FB1-AA4F-05D16F5064DB}"/>
  </w:font>
  <w:font w:name="楷体">
    <w:panose1 w:val="02010609060101010101"/>
    <w:charset w:val="86"/>
    <w:family w:val="auto"/>
    <w:pitch w:val="default"/>
    <w:sig w:usb0="800002BF" w:usb1="38CF7CFA" w:usb2="00000016" w:usb3="00000000" w:csb0="00040001" w:csb1="00000000"/>
  </w:font>
  <w:font w:name="华文细黑">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Verdana">
    <w:panose1 w:val="020B0604030504040204"/>
    <w:charset w:val="00"/>
    <w:family w:val="swiss"/>
    <w:pitch w:val="default"/>
    <w:sig w:usb0="A10006FF" w:usb1="4000205B" w:usb2="00000010" w:usb3="00000000" w:csb0="2000019F" w:csb1="00000000"/>
  </w:font>
  <w:font w:name="Lucida Sans Unicode">
    <w:panose1 w:val="020B0602030504020204"/>
    <w:charset w:val="00"/>
    <w:family w:val="swiss"/>
    <w:pitch w:val="default"/>
    <w:sig w:usb0="80001AFF" w:usb1="0000396B" w:usb2="00000000" w:usb3="00000000" w:csb0="200000BF" w:csb1="D7F70000"/>
    <w:embedRegular r:id="rId10" w:fontKey="{9B0D90A9-4FB9-4BB7-A43F-D179F3C3A8E7}"/>
  </w:font>
  <w:font w:name="Cambria Math">
    <w:panose1 w:val="02040503050406030204"/>
    <w:charset w:val="00"/>
    <w:family w:val="roman"/>
    <w:pitch w:val="default"/>
    <w:sig w:usb0="E00002FF" w:usb1="420024FF" w:usb2="00000000" w:usb3="00000000" w:csb0="2000019F" w:csb1="00000000"/>
    <w:embedRegular r:id="rId11" w:fontKey="{5EE079A6-8203-4AC0-AD8A-4F84285BA67B}"/>
  </w:font>
  <w:font w:name="MingLiU_HKSCS">
    <w:altName w:val="PMingLiU-ExtB"/>
    <w:panose1 w:val="02020500000000000000"/>
    <w:charset w:val="88"/>
    <w:family w:val="roman"/>
    <w:pitch w:val="default"/>
    <w:sig w:usb0="00000000" w:usb1="00000000" w:usb2="00000000" w:usb3="00000000" w:csb0="00100001" w:csb1="00000000"/>
    <w:embedRegular r:id="rId12" w:fontKey="{9391182F-CE49-4993-B6AC-05A234401172}"/>
  </w:font>
  <w:font w:name="PMingLiU-ExtB">
    <w:panose1 w:val="02020500000000000000"/>
    <w:charset w:val="88"/>
    <w:family w:val="auto"/>
    <w:pitch w:val="default"/>
    <w:sig w:usb0="8000002F" w:usb1="02000008" w:usb2="00000000" w:usb3="00000000" w:csb0="00100001" w:csb1="00000000"/>
  </w:font>
  <w:font w:name="WPSEMBED2">
    <w:panose1 w:val="02000000000000000000"/>
    <w:charset w:val="86"/>
    <w:family w:val="auto"/>
    <w:pitch w:val="default"/>
    <w:sig w:usb0="00000001" w:usb1="08000000" w:usb2="00000000" w:usb3="00000000" w:csb0="00040000" w:csb1="00000000"/>
  </w:font>
  <w:font w:name="KSOFE4500885">
    <w:panose1 w:val="02010609060101010101"/>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 w:name="WPSEMBED1">
    <w:panose1 w:val="02000000000000000000"/>
    <w:charset w:val="86"/>
    <w:family w:val="auto"/>
    <w:pitch w:val="default"/>
    <w:sig w:usb0="A00002BF" w:usb1="184F6CFA" w:usb2="00000012" w:usb3="00000000" w:csb0="00040001" w:csb1="00000000"/>
  </w:font>
  <w:font w:name="KSOF9EDDB2B6">
    <w:panose1 w:val="02020500000000000000"/>
    <w:charset w:val="88"/>
    <w:family w:val="auto"/>
    <w:pitch w:val="default"/>
    <w:sig w:usb0="00000001" w:usb1="00000000" w:usb2="00000000" w:usb3="00000000" w:csb0="00100001" w:csb1="00000000"/>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F68D05">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B9864E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2B9864E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5C6E9">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43FE46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443FE46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A90DD">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FE5E9">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EA1484F">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58</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G+QoMkBAACZAwAADgAAAGRycy9lMm9Eb2MueG1srVPNjtMwEL4j8Q6W&#10;79TZroS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Eb5CgyQEAAJkDAAAOAAAAAAAAAAEAIAAAAB4BAABkcnMvZTJvRG9j&#10;LnhtbFBLBQYAAAAABgAGAFkBAABZBQAAAAA=&#10;">
              <v:fill on="f" focussize="0,0"/>
              <v:stroke on="f"/>
              <v:imagedata o:title=""/>
              <o:lock v:ext="edit" aspectratio="f"/>
              <v:textbox inset="0mm,0mm,0mm,0mm" style="mso-fit-shape-to-text:t;">
                <w:txbxContent>
                  <w:p w14:paraId="0EA1484F">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58</w:t>
                    </w:r>
                    <w:r>
                      <w:rPr>
                        <w:rFonts w:hint="eastAsi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E2BB9">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A1FADBB">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90</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F+UJskBAACZAwAADgAAAGRycy9lMm9Eb2MueG1srVPNjtMwEL4j8Q6W&#10;79TZaoW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UX5QmyQEAAJkDAAAOAAAAAAAAAAEAIAAAAB4BAABkcnMvZTJvRG9j&#10;LnhtbFBLBQYAAAAABgAGAFkBAABZBQAAAAA=&#10;">
              <v:fill on="f" focussize="0,0"/>
              <v:stroke on="f"/>
              <v:imagedata o:title=""/>
              <o:lock v:ext="edit" aspectratio="f"/>
              <v:textbox inset="0mm,0mm,0mm,0mm" style="mso-fit-shape-to-text:t;">
                <w:txbxContent>
                  <w:p w14:paraId="0A1FADBB">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90</w:t>
                    </w:r>
                    <w:r>
                      <w:rPr>
                        <w:rFonts w:hint="eastAsi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0138C6">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C43ABC4">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91</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kjEckBAACZAwAADgAAAGRycy9lMm9Eb2MueG1srVPNjtMwEL4j8Q6W&#10;79TZSou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OSMRyQEAAJkDAAAOAAAAAAAAAAEAIAAAAB4BAABkcnMvZTJvRG9j&#10;LnhtbFBLBQYAAAAABgAGAFkBAABZBQAAAAA=&#10;">
              <v:fill on="f" focussize="0,0"/>
              <v:stroke on="f"/>
              <v:imagedata o:title=""/>
              <o:lock v:ext="edit" aspectratio="f"/>
              <v:textbox inset="0mm,0mm,0mm,0mm" style="mso-fit-shape-to-text:t;">
                <w:txbxContent>
                  <w:p w14:paraId="5C43ABC4">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91</w:t>
                    </w:r>
                    <w:r>
                      <w:rPr>
                        <w:rFonts w:hint="eastAsia"/>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35A24E">
    <w:pPr>
      <w:pStyle w:val="12"/>
      <w:spacing w:line="14" w:lineRule="auto"/>
      <w:jc w:val="center"/>
      <w:rPr>
        <w:sz w:val="20"/>
        <w:szCs w:val="20"/>
      </w:rPr>
    </w:pPr>
    <w:r>
      <w:rPr>
        <w:sz w:val="20"/>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DC4308A">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107</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JL6ScgBAACZAwAADgAAAGRycy9lMm9Eb2MueG1srVPNjtMwEL4j8Q6W&#10;79TZHqoqarraVbUICQHSwgO4jt1Y8p88bpO+ALwBJy7cea4+B2Mn6cJy2QMXZzwz/ma+byab28Ea&#10;cpIRtHcNvVlUlEgnfKvdoaFfPj+8WVMCibuWG+9kQ88S6O329atNH2q59J03rYwEQRzUfWhol1Ko&#10;GQPRScth4YN0GFQ+Wp7wGg+sjbxHdGvYsqpWrPexDdELCYDe3RikE2J8CaBXSgu58+JopUsjapSG&#10;J6QEnQ5At6VbpaRIH5UCmYhpKDJN5cQiaO/zybYbXh8iD50WUwv8JS0842S5dlj0CrXjiZNj1P9A&#10;WS2iB6/SQnjLRiJFEWRxUz3T5rHjQRYuKDWEq+jw/2DFh9OnSHTb0BUljlsc+OX7t8uPX5efX8kq&#10;y9MHqDHrMWBeGu79gEsz+wGdmfWgos1f5EMwjuKer+LKIRGRH62X63WFIYGx+YL47Ol5iJDeSm9J&#10;NhoacXpFVH56D2lMnVNyNecftDFlgsb95UDM7GG597HHbKVhP0yE9r49I58eB99Qh3tOiXnnUNe8&#10;I7MRZ2M/G8cQ9aErS5TrQbg7Jmyi9JYrjLBTYZxYYTdtV16JP+8l6+mP2v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DSS+knIAQAAmQMAAA4AAAAAAAAAAQAgAAAAHgEAAGRycy9lMm9Eb2Mu&#10;eG1sUEsFBgAAAAAGAAYAWQEAAFgFAAAAAA==&#10;">
              <v:fill on="f" focussize="0,0"/>
              <v:stroke on="f"/>
              <v:imagedata o:title=""/>
              <o:lock v:ext="edit" aspectratio="f"/>
              <v:textbox inset="0mm,0mm,0mm,0mm" style="mso-fit-shape-to-text:t;">
                <w:txbxContent>
                  <w:p w14:paraId="7DC4308A">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107</w:t>
                    </w:r>
                    <w:r>
                      <w:rPr>
                        <w:rFonts w:hint="eastAsia"/>
                      </w:rPr>
                      <w:fldChar w:fldCharType="end"/>
                    </w:r>
                  </w:p>
                </w:txbxContent>
              </v:textbox>
            </v:shape>
          </w:pict>
        </mc:Fallback>
      </mc:AlternateContent>
    </w:r>
  </w:p>
  <w:p w14:paraId="12B371DC"/>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59F5C1">
    <w:pPr>
      <w:spacing w:after="120" w:afterLines="50" w:line="360" w:lineRule="auto"/>
      <w:jc w:val="left"/>
      <w:rPr>
        <w:rFonts w:ascii="方正小标宋简体" w:hAnsi="黑体" w:eastAsia="方正小标宋简体"/>
        <w:color w:val="808080"/>
      </w:rPr>
    </w:pPr>
    <w:r>
      <w:rPr>
        <w:rFonts w:ascii="宋体" w:hAnsi="宋体"/>
        <w:color w:val="000000"/>
        <w:szCs w:val="21"/>
        <w:highlight w:val="white"/>
      </w:rPr>
      <w:fldChar w:fldCharType="begin"/>
    </w:r>
    <w:r>
      <w:rPr>
        <w:rFonts w:ascii="宋体" w:hAnsi="宋体"/>
        <w:color w:val="000000"/>
        <w:szCs w:val="21"/>
        <w:highlight w:val="white"/>
      </w:rPr>
      <w:instrText xml:space="preserve">&lt;MK</w:instrText>
    </w:r>
    <w:r>
      <w:rPr>
        <w:rFonts w:hint="eastAsia" w:ascii="宋体" w:hAnsi="宋体"/>
        <w:color w:val="000000"/>
        <w:szCs w:val="21"/>
        <w:highlight w:val="white"/>
      </w:rPr>
      <w:instrText xml:space="preserve"> cmd="bus"</w:instrText>
    </w:r>
    <w:r>
      <w:rPr>
        <w:rFonts w:ascii="宋体" w:hAnsi="宋体"/>
        <w:color w:val="000000"/>
        <w:szCs w:val="21"/>
        <w:highlight w:val="white"/>
      </w:rPr>
      <w:instrText xml:space="preserve">&gt;</w:instrText>
    </w:r>
    <w:r>
      <w:rPr>
        <w:rFonts w:hint="eastAsia" w:ascii="宋体" w:hAnsi="宋体"/>
        <w:color w:val="000000"/>
        <w:szCs w:val="21"/>
        <w:highlight w:val="white"/>
      </w:rPr>
      <w:instrText xml:space="preserve">&lt;def type="query" recs="package"&gt;"</w:instrText>
    </w:r>
    <w:r>
      <w:rPr>
        <w:rFonts w:ascii="宋体" w:hAnsi="宋体"/>
        <w:color w:val="000000"/>
        <w:szCs w:val="21"/>
      </w:rPr>
      <w:instrText xml:space="preserve">select a.packageId,a.planId,a.projectId,a.schemeId,b.packageCode,b.packageName,b.bidBond</w:instrText>
    </w:r>
    <w:r>
      <w:rPr>
        <w:rFonts w:hint="eastAsia" w:ascii="宋体" w:hAnsi="宋体"/>
        <w:color w:val="000000"/>
        <w:szCs w:val="21"/>
      </w:rPr>
      <w:instrText xml:space="preserve">,</w:instrText>
    </w:r>
    <w:r>
      <w:rPr>
        <w:rFonts w:ascii="宋体" w:hAnsi="宋体"/>
        <w:color w:val="000000"/>
        <w:szCs w:val="21"/>
      </w:rPr>
      <w:instrText xml:space="preserve">b.budget</w:instrText>
    </w:r>
    <w:r>
      <w:rPr>
        <w:rFonts w:hint="eastAsia" w:ascii="宋体" w:hAnsi="宋体"/>
        <w:color w:val="000000"/>
        <w:szCs w:val="21"/>
      </w:rPr>
      <w:instrText xml:space="preserve">,b.</w:instrText>
    </w:r>
    <w:r>
      <w:rPr>
        <w:rFonts w:ascii="宋体" w:hAnsi="宋体"/>
        <w:color w:val="000000"/>
        <w:szCs w:val="21"/>
      </w:rPr>
      <w:instrText xml:space="preserve">requireFile</w:instrText>
    </w:r>
    <w:r>
      <w:rPr>
        <w:rFonts w:hint="eastAsia" w:ascii="宋体" w:hAnsi="宋体"/>
        <w:color w:val="000000"/>
        <w:szCs w:val="21"/>
      </w:rPr>
      <w:instrText xml:space="preserve">,b.</w:instrText>
    </w:r>
    <w:r>
      <w:rPr>
        <w:rFonts w:ascii="宋体" w:hAnsi="宋体"/>
        <w:color w:val="000000"/>
        <w:szCs w:val="21"/>
      </w:rPr>
      <w:instrText xml:space="preserve">reviewMethod</w:instrText>
    </w:r>
    <w:r>
      <w:rPr>
        <w:rFonts w:hint="eastAsia" w:ascii="宋体" w:hAnsi="宋体"/>
        <w:color w:val="000000"/>
        <w:szCs w:val="21"/>
      </w:rPr>
      <w:instrText xml:space="preserve"> </w:instrText>
    </w:r>
    <w:r>
      <w:rPr>
        <w:rFonts w:ascii="宋体" w:hAnsi="宋体"/>
        <w:color w:val="000000"/>
        <w:szCs w:val="21"/>
      </w:rPr>
      <w:instrText xml:space="preserve">from gp_packageScheme a,gp_package b where a.packageSchemeId=b.packageSchemeId and a.packageSchemeId=</w:instrText>
    </w:r>
    <w:r>
      <w:rPr>
        <w:rFonts w:hint="eastAsia" w:ascii="宋体" w:hAnsi="宋体"/>
        <w:color w:val="000000"/>
        <w:szCs w:val="21"/>
        <w:highlight w:val="white"/>
      </w:rPr>
      <w:instrText xml:space="preserve">"+NFV("packageschemeid")&lt;/def&gt;</w:instrText>
    </w:r>
    <w:r>
      <w:rPr>
        <w:rFonts w:ascii="宋体" w:hAnsi="宋体"/>
        <w:color w:val="000000"/>
        <w:szCs w:val="21"/>
        <w:highlight w:val="white"/>
      </w:rPr>
      <w:instrText xml:space="preserve">&lt;/MK&gt;</w:instrText>
    </w:r>
    <w:r>
      <w:rPr>
        <w:rFonts w:ascii="宋体" w:hAnsi="宋体"/>
        <w:color w:val="000000"/>
        <w:szCs w:val="21"/>
        <w:highlight w:val="white"/>
      </w:rPr>
      <w:fldChar w:fldCharType="separate"/>
    </w:r>
    <w:r>
      <w:rPr>
        <w:rFonts w:ascii="宋体" w:hAnsi="宋体"/>
        <w:color w:val="000000"/>
        <w:szCs w:val="21"/>
        <w:highlight w:val="white"/>
      </w:rPr>
      <w:t>!异常的公式结尾</w:t>
    </w:r>
    <w:r>
      <w:rPr>
        <w:rFonts w:ascii="宋体" w:hAnsi="宋体"/>
        <w:color w:val="000000"/>
        <w:szCs w:val="21"/>
        <w:highlight w:val="white"/>
      </w:rPr>
      <w:fldChar w:fldCharType="end"/>
    </w:r>
    <w:r>
      <w:rPr>
        <w:rFonts w:hint="eastAsia" w:ascii="方正小标宋简体" w:hAnsi="黑体" w:eastAsia="方正小标宋简体"/>
        <w:color w:val="808080"/>
      </w:rPr>
      <w:fldChar w:fldCharType="begin"/>
    </w:r>
    <w:r>
      <w:rPr>
        <w:rFonts w:hint="eastAsia" w:ascii="方正小标宋简体" w:hAnsi="黑体" w:eastAsia="方正小标宋简体"/>
        <w:color w:val="808080"/>
      </w:rPr>
      <w:instrText xml:space="preserve">&lt;MK&gt; org.organname &lt;/MK&gt;</w:instrText>
    </w:r>
    <w:r>
      <w:rPr>
        <w:rFonts w:hint="eastAsia" w:ascii="方正小标宋简体" w:hAnsi="黑体" w:eastAsia="方正小标宋简体"/>
        <w:color w:val="808080"/>
      </w:rPr>
      <w:fldChar w:fldCharType="end"/>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FBA60">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70B900">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16A22">
    <w:pPr>
      <w:tabs>
        <w:tab w:val="left" w:pos="3135"/>
      </w:tabs>
      <w:jc w:val="cen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C0CA1">
    <w:pPr>
      <w:tabs>
        <w:tab w:val="left" w:pos="3135"/>
      </w:tabs>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C7C6E">
    <w:pPr>
      <w:spacing w:after="120" w:afterLines="50" w:line="360" w:lineRule="auto"/>
      <w:jc w:val="left"/>
      <w:rPr>
        <w:rFonts w:ascii="方正小标宋简体" w:hAnsi="黑体" w:eastAsia="方正小标宋简体"/>
        <w:color w:val="808080"/>
      </w:rPr>
    </w:pPr>
    <w:r>
      <w:rPr>
        <w:rFonts w:hint="eastAsia" w:ascii="方正小标宋简体" w:hAnsi="黑体" w:eastAsia="方正小标宋简体"/>
        <w:color w:val="808080"/>
      </w:rPr>
      <w:fldChar w:fldCharType="begin"/>
    </w:r>
    <w:r>
      <w:rPr>
        <w:rFonts w:hint="eastAsia" w:ascii="方正小标宋简体" w:hAnsi="黑体" w:eastAsia="方正小标宋简体"/>
        <w:color w:val="808080"/>
      </w:rPr>
      <w:instrText xml:space="preserve">&lt;MK&gt; org.organname &lt;/MK&gt;</w:instrText>
    </w:r>
    <w:r>
      <w:rPr>
        <w:rFonts w:hint="eastAsia" w:ascii="方正小标宋简体" w:hAnsi="黑体" w:eastAsia="方正小标宋简体"/>
        <w:color w:val="808080"/>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831D3">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02D7D7">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E0659">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517958">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00B8CD">
    <w:pPr>
      <w:pStyle w:val="21"/>
      <w:tabs>
        <w:tab w:val="clear" w:pos="4153"/>
      </w:tabs>
      <w:jc w:val="left"/>
      <w:rPr>
        <w:rFonts w:ascii="宋体" w:hAnsi="宋体"/>
        <w:b/>
      </w:rPr>
    </w:pPr>
    <w:r>
      <w:rPr>
        <w:rFonts w:hint="eastAsia" w:ascii="宋体" w:hAnsi="宋体"/>
        <w:b/>
      </w:rPr>
      <w:t>项目名称：XXXXXXXXXXXX项目</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F5DAB">
    <w:pPr>
      <w:spacing w:after="120" w:afterLines="50" w:line="360" w:lineRule="auto"/>
      <w:jc w:val="left"/>
      <w:rPr>
        <w:rFonts w:ascii="方正小标宋简体" w:hAnsi="黑体" w:eastAsia="方正小标宋简体"/>
        <w:color w:val="808080"/>
      </w:rPr>
    </w:pPr>
    <w:r>
      <w:rPr>
        <w:rFonts w:hint="eastAsia" w:ascii="方正小标宋简体" w:hAnsi="黑体" w:eastAsia="方正小标宋简体"/>
        <w:color w:val="808080"/>
      </w:rPr>
      <w:fldChar w:fldCharType="begin"/>
    </w:r>
    <w:r>
      <w:rPr>
        <w:rFonts w:hint="eastAsia" w:ascii="方正小标宋简体" w:hAnsi="黑体" w:eastAsia="方正小标宋简体"/>
        <w:color w:val="808080"/>
      </w:rPr>
      <w:instrText xml:space="preserve">&lt;MK&gt;pro.schemecode&lt;/MK&gt;</w:instrText>
    </w:r>
    <w:r>
      <w:rPr>
        <w:rFonts w:hint="eastAsia" w:ascii="方正小标宋简体" w:hAnsi="黑体" w:eastAsia="方正小标宋简体"/>
        <w:color w:val="808080"/>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F750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59E701F"/>
    <w:multiLevelType w:val="singleLevel"/>
    <w:tmpl w:val="559E701F"/>
    <w:lvl w:ilvl="0" w:tentative="0">
      <w:start w:val="2"/>
      <w:numFmt w:val="decimal"/>
      <w:suff w:val="nothing"/>
      <w:lvlText w:val="（%1）"/>
      <w:lvlJc w:val="left"/>
    </w:lvl>
  </w:abstractNum>
  <w:abstractNum w:abstractNumId="1">
    <w:nsid w:val="766B1489"/>
    <w:multiLevelType w:val="singleLevel"/>
    <w:tmpl w:val="766B1489"/>
    <w:lvl w:ilvl="0" w:tentative="0">
      <w:start w:val="2"/>
      <w:numFmt w:val="decimal"/>
      <w:suff w:val="nothing"/>
      <w:lvlText w:val="%1、"/>
      <w:lvlJc w:val="left"/>
    </w:lvl>
  </w:abstractNum>
  <w:abstractNum w:abstractNumId="2">
    <w:nsid w:val="7F09497D"/>
    <w:multiLevelType w:val="multilevel"/>
    <w:tmpl w:val="7F09497D"/>
    <w:lvl w:ilvl="0" w:tentative="0">
      <w:start w:val="1"/>
      <w:numFmt w:val="japaneseCounting"/>
      <w:lvlText w:val="第%1章"/>
      <w:lvlJc w:val="left"/>
      <w:pPr>
        <w:ind w:left="1440" w:hanging="1440"/>
      </w:pPr>
      <w:rPr>
        <w:rFonts w:hint="eastAsia" w:ascii="楷体_GB2312" w:hAnsi="宋体" w:eastAsia="楷体_GB2312"/>
        <w:b/>
        <w:sz w:val="4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dit="readOnly" w:enforcement="0"/>
  <w:defaultTabStop w:val="420"/>
  <w:hyphenationZone w:val="36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E2ZDAzYmQ1ZGFmNGY0Y2Q0NmJlMzgzMDA1ODg1MmIifQ=="/>
    <w:docVar w:name="KSO_WPS_MARK_KEY" w:val="e5737c02-e3b3-4752-89dd-c6199f73511c"/>
  </w:docVars>
  <w:rsids>
    <w:rsidRoot w:val="00EF492A"/>
    <w:rsid w:val="000002BA"/>
    <w:rsid w:val="00000511"/>
    <w:rsid w:val="00000EA7"/>
    <w:rsid w:val="00000FFE"/>
    <w:rsid w:val="00003E1B"/>
    <w:rsid w:val="00011721"/>
    <w:rsid w:val="000125FB"/>
    <w:rsid w:val="00014002"/>
    <w:rsid w:val="00017CF8"/>
    <w:rsid w:val="0002027C"/>
    <w:rsid w:val="00020400"/>
    <w:rsid w:val="00025156"/>
    <w:rsid w:val="00030ABD"/>
    <w:rsid w:val="00031B64"/>
    <w:rsid w:val="000339F8"/>
    <w:rsid w:val="00033BEE"/>
    <w:rsid w:val="0003766E"/>
    <w:rsid w:val="0004135A"/>
    <w:rsid w:val="00041C8B"/>
    <w:rsid w:val="00041D07"/>
    <w:rsid w:val="0004293F"/>
    <w:rsid w:val="00047BB8"/>
    <w:rsid w:val="00051160"/>
    <w:rsid w:val="00051A58"/>
    <w:rsid w:val="00052B78"/>
    <w:rsid w:val="0005326C"/>
    <w:rsid w:val="000534D4"/>
    <w:rsid w:val="00054096"/>
    <w:rsid w:val="000619F0"/>
    <w:rsid w:val="00061DE2"/>
    <w:rsid w:val="00063CBD"/>
    <w:rsid w:val="000654CC"/>
    <w:rsid w:val="00066330"/>
    <w:rsid w:val="00070BE8"/>
    <w:rsid w:val="000720DE"/>
    <w:rsid w:val="00072257"/>
    <w:rsid w:val="00080F28"/>
    <w:rsid w:val="000814DD"/>
    <w:rsid w:val="000829F0"/>
    <w:rsid w:val="000856F6"/>
    <w:rsid w:val="00086EDB"/>
    <w:rsid w:val="000873E7"/>
    <w:rsid w:val="000874B5"/>
    <w:rsid w:val="000913EC"/>
    <w:rsid w:val="00091CF0"/>
    <w:rsid w:val="00092563"/>
    <w:rsid w:val="00092907"/>
    <w:rsid w:val="00092DBB"/>
    <w:rsid w:val="000955B7"/>
    <w:rsid w:val="000A1BD5"/>
    <w:rsid w:val="000B214F"/>
    <w:rsid w:val="000B3598"/>
    <w:rsid w:val="000B393B"/>
    <w:rsid w:val="000B3A93"/>
    <w:rsid w:val="000B4AA1"/>
    <w:rsid w:val="000B592D"/>
    <w:rsid w:val="000B6A10"/>
    <w:rsid w:val="000B6E37"/>
    <w:rsid w:val="000B7FC8"/>
    <w:rsid w:val="000C276A"/>
    <w:rsid w:val="000C3246"/>
    <w:rsid w:val="000C7C52"/>
    <w:rsid w:val="000D0CE7"/>
    <w:rsid w:val="000D3539"/>
    <w:rsid w:val="000D3DDE"/>
    <w:rsid w:val="000D4E44"/>
    <w:rsid w:val="000D4F16"/>
    <w:rsid w:val="000D6186"/>
    <w:rsid w:val="000D7751"/>
    <w:rsid w:val="000E170A"/>
    <w:rsid w:val="000E2B93"/>
    <w:rsid w:val="000E3603"/>
    <w:rsid w:val="000E370D"/>
    <w:rsid w:val="000E41C3"/>
    <w:rsid w:val="000E4B64"/>
    <w:rsid w:val="000E59BA"/>
    <w:rsid w:val="000E7CFD"/>
    <w:rsid w:val="000F067A"/>
    <w:rsid w:val="000F2C01"/>
    <w:rsid w:val="000F2D7D"/>
    <w:rsid w:val="000F37F9"/>
    <w:rsid w:val="001018A2"/>
    <w:rsid w:val="00102107"/>
    <w:rsid w:val="00106D70"/>
    <w:rsid w:val="001108A2"/>
    <w:rsid w:val="00111B0F"/>
    <w:rsid w:val="00112845"/>
    <w:rsid w:val="001133BC"/>
    <w:rsid w:val="001162AE"/>
    <w:rsid w:val="00116A7C"/>
    <w:rsid w:val="00117D72"/>
    <w:rsid w:val="00122204"/>
    <w:rsid w:val="0012273C"/>
    <w:rsid w:val="00122955"/>
    <w:rsid w:val="00123622"/>
    <w:rsid w:val="00123C5D"/>
    <w:rsid w:val="00125BE1"/>
    <w:rsid w:val="00130BAD"/>
    <w:rsid w:val="00131D4D"/>
    <w:rsid w:val="001350AC"/>
    <w:rsid w:val="0013671B"/>
    <w:rsid w:val="001405CC"/>
    <w:rsid w:val="001412E5"/>
    <w:rsid w:val="00142B56"/>
    <w:rsid w:val="00142C9C"/>
    <w:rsid w:val="00143636"/>
    <w:rsid w:val="0014707A"/>
    <w:rsid w:val="001476D0"/>
    <w:rsid w:val="00152B94"/>
    <w:rsid w:val="00153012"/>
    <w:rsid w:val="00153AD0"/>
    <w:rsid w:val="00156454"/>
    <w:rsid w:val="00160A63"/>
    <w:rsid w:val="00164CCE"/>
    <w:rsid w:val="00165DB6"/>
    <w:rsid w:val="00170114"/>
    <w:rsid w:val="00170655"/>
    <w:rsid w:val="0017066C"/>
    <w:rsid w:val="00170FEA"/>
    <w:rsid w:val="001717F7"/>
    <w:rsid w:val="001726B5"/>
    <w:rsid w:val="0017290B"/>
    <w:rsid w:val="00175374"/>
    <w:rsid w:val="00176705"/>
    <w:rsid w:val="0017766C"/>
    <w:rsid w:val="00177ED7"/>
    <w:rsid w:val="00180335"/>
    <w:rsid w:val="00180B3C"/>
    <w:rsid w:val="00181603"/>
    <w:rsid w:val="00181C6E"/>
    <w:rsid w:val="001829CB"/>
    <w:rsid w:val="00182B98"/>
    <w:rsid w:val="001831C4"/>
    <w:rsid w:val="00185DD4"/>
    <w:rsid w:val="00185DF8"/>
    <w:rsid w:val="0018784D"/>
    <w:rsid w:val="001878D7"/>
    <w:rsid w:val="0019057E"/>
    <w:rsid w:val="00192EE2"/>
    <w:rsid w:val="001947BA"/>
    <w:rsid w:val="00195220"/>
    <w:rsid w:val="001957FD"/>
    <w:rsid w:val="001A0F3A"/>
    <w:rsid w:val="001A287C"/>
    <w:rsid w:val="001A3ADC"/>
    <w:rsid w:val="001A653E"/>
    <w:rsid w:val="001A6E98"/>
    <w:rsid w:val="001A7635"/>
    <w:rsid w:val="001A7A81"/>
    <w:rsid w:val="001B023C"/>
    <w:rsid w:val="001B10A7"/>
    <w:rsid w:val="001B4660"/>
    <w:rsid w:val="001B6774"/>
    <w:rsid w:val="001C05F8"/>
    <w:rsid w:val="001C1717"/>
    <w:rsid w:val="001C1975"/>
    <w:rsid w:val="001C1BA2"/>
    <w:rsid w:val="001C3A6C"/>
    <w:rsid w:val="001C504D"/>
    <w:rsid w:val="001C52CF"/>
    <w:rsid w:val="001C6553"/>
    <w:rsid w:val="001D064C"/>
    <w:rsid w:val="001D194D"/>
    <w:rsid w:val="001D1ED7"/>
    <w:rsid w:val="001D4FA6"/>
    <w:rsid w:val="001D4FD9"/>
    <w:rsid w:val="001D50D4"/>
    <w:rsid w:val="001D6505"/>
    <w:rsid w:val="001D65EA"/>
    <w:rsid w:val="001D6A7B"/>
    <w:rsid w:val="001D7A6C"/>
    <w:rsid w:val="001E101D"/>
    <w:rsid w:val="001E1AD3"/>
    <w:rsid w:val="001E50AD"/>
    <w:rsid w:val="001E5DF5"/>
    <w:rsid w:val="001E75E7"/>
    <w:rsid w:val="001F39CA"/>
    <w:rsid w:val="001F5BE4"/>
    <w:rsid w:val="001F666C"/>
    <w:rsid w:val="001F68A8"/>
    <w:rsid w:val="00201DFF"/>
    <w:rsid w:val="002021C4"/>
    <w:rsid w:val="002027BC"/>
    <w:rsid w:val="002027CC"/>
    <w:rsid w:val="00205FDA"/>
    <w:rsid w:val="002066D4"/>
    <w:rsid w:val="002106CD"/>
    <w:rsid w:val="00210BBF"/>
    <w:rsid w:val="002118EC"/>
    <w:rsid w:val="002129BA"/>
    <w:rsid w:val="0021736B"/>
    <w:rsid w:val="002175DB"/>
    <w:rsid w:val="002220A1"/>
    <w:rsid w:val="002236B2"/>
    <w:rsid w:val="002261EE"/>
    <w:rsid w:val="00226EFD"/>
    <w:rsid w:val="00230413"/>
    <w:rsid w:val="0023063B"/>
    <w:rsid w:val="00230BED"/>
    <w:rsid w:val="00231D7F"/>
    <w:rsid w:val="00231E1E"/>
    <w:rsid w:val="00233216"/>
    <w:rsid w:val="00233B7B"/>
    <w:rsid w:val="00237012"/>
    <w:rsid w:val="0024054B"/>
    <w:rsid w:val="002425CC"/>
    <w:rsid w:val="00242983"/>
    <w:rsid w:val="00246825"/>
    <w:rsid w:val="002473AF"/>
    <w:rsid w:val="002473D0"/>
    <w:rsid w:val="002473E5"/>
    <w:rsid w:val="002475C4"/>
    <w:rsid w:val="00250BEA"/>
    <w:rsid w:val="002518E8"/>
    <w:rsid w:val="00253838"/>
    <w:rsid w:val="00253E3F"/>
    <w:rsid w:val="00255590"/>
    <w:rsid w:val="0025695E"/>
    <w:rsid w:val="00260816"/>
    <w:rsid w:val="00260FA9"/>
    <w:rsid w:val="00261890"/>
    <w:rsid w:val="0026237B"/>
    <w:rsid w:val="00262596"/>
    <w:rsid w:val="00265778"/>
    <w:rsid w:val="00265EF3"/>
    <w:rsid w:val="00266AF5"/>
    <w:rsid w:val="00266FFF"/>
    <w:rsid w:val="002677B9"/>
    <w:rsid w:val="00270A53"/>
    <w:rsid w:val="00270C1A"/>
    <w:rsid w:val="00272A77"/>
    <w:rsid w:val="00274E7A"/>
    <w:rsid w:val="002762CB"/>
    <w:rsid w:val="00276558"/>
    <w:rsid w:val="0028108E"/>
    <w:rsid w:val="002811E8"/>
    <w:rsid w:val="00282590"/>
    <w:rsid w:val="00282D30"/>
    <w:rsid w:val="00285329"/>
    <w:rsid w:val="0028796B"/>
    <w:rsid w:val="00287AF7"/>
    <w:rsid w:val="00290034"/>
    <w:rsid w:val="0029181A"/>
    <w:rsid w:val="00292F2B"/>
    <w:rsid w:val="00297079"/>
    <w:rsid w:val="002972E7"/>
    <w:rsid w:val="00297998"/>
    <w:rsid w:val="002A4727"/>
    <w:rsid w:val="002A4D75"/>
    <w:rsid w:val="002B608A"/>
    <w:rsid w:val="002B63E9"/>
    <w:rsid w:val="002B6CDC"/>
    <w:rsid w:val="002B7202"/>
    <w:rsid w:val="002C12BB"/>
    <w:rsid w:val="002C2796"/>
    <w:rsid w:val="002C5F5A"/>
    <w:rsid w:val="002C64B5"/>
    <w:rsid w:val="002D34CF"/>
    <w:rsid w:val="002D49FE"/>
    <w:rsid w:val="002E0355"/>
    <w:rsid w:val="002E0E46"/>
    <w:rsid w:val="002E4595"/>
    <w:rsid w:val="002E76AE"/>
    <w:rsid w:val="002F070F"/>
    <w:rsid w:val="002F3C1D"/>
    <w:rsid w:val="002F3D60"/>
    <w:rsid w:val="002F656E"/>
    <w:rsid w:val="002F764B"/>
    <w:rsid w:val="002F7B17"/>
    <w:rsid w:val="00300042"/>
    <w:rsid w:val="003014F1"/>
    <w:rsid w:val="003019F5"/>
    <w:rsid w:val="00301E58"/>
    <w:rsid w:val="00301FD6"/>
    <w:rsid w:val="003021BE"/>
    <w:rsid w:val="0030282D"/>
    <w:rsid w:val="00302B5B"/>
    <w:rsid w:val="0030422B"/>
    <w:rsid w:val="00304AD3"/>
    <w:rsid w:val="00305AAE"/>
    <w:rsid w:val="00305DAA"/>
    <w:rsid w:val="0031045E"/>
    <w:rsid w:val="00311515"/>
    <w:rsid w:val="0031240A"/>
    <w:rsid w:val="003135AC"/>
    <w:rsid w:val="00313781"/>
    <w:rsid w:val="00313D72"/>
    <w:rsid w:val="003145CC"/>
    <w:rsid w:val="00322AA3"/>
    <w:rsid w:val="00322C79"/>
    <w:rsid w:val="003235DD"/>
    <w:rsid w:val="00323E98"/>
    <w:rsid w:val="00326B0F"/>
    <w:rsid w:val="00326F06"/>
    <w:rsid w:val="00327975"/>
    <w:rsid w:val="00330A8F"/>
    <w:rsid w:val="003316A0"/>
    <w:rsid w:val="00332ACD"/>
    <w:rsid w:val="00333179"/>
    <w:rsid w:val="00333C89"/>
    <w:rsid w:val="00336CD3"/>
    <w:rsid w:val="0034003C"/>
    <w:rsid w:val="003401AC"/>
    <w:rsid w:val="00340388"/>
    <w:rsid w:val="00340800"/>
    <w:rsid w:val="00341444"/>
    <w:rsid w:val="00342AAC"/>
    <w:rsid w:val="00344EBD"/>
    <w:rsid w:val="0034524D"/>
    <w:rsid w:val="00347BE8"/>
    <w:rsid w:val="00347F7F"/>
    <w:rsid w:val="00354413"/>
    <w:rsid w:val="003545E5"/>
    <w:rsid w:val="00355A7B"/>
    <w:rsid w:val="003565E8"/>
    <w:rsid w:val="00357D32"/>
    <w:rsid w:val="00360733"/>
    <w:rsid w:val="003630CC"/>
    <w:rsid w:val="0036605F"/>
    <w:rsid w:val="0037048E"/>
    <w:rsid w:val="003708AB"/>
    <w:rsid w:val="0037184E"/>
    <w:rsid w:val="003719E5"/>
    <w:rsid w:val="003730E8"/>
    <w:rsid w:val="003762D7"/>
    <w:rsid w:val="00376572"/>
    <w:rsid w:val="00376C48"/>
    <w:rsid w:val="003830C0"/>
    <w:rsid w:val="00384425"/>
    <w:rsid w:val="00385158"/>
    <w:rsid w:val="00385667"/>
    <w:rsid w:val="003858C1"/>
    <w:rsid w:val="003871C9"/>
    <w:rsid w:val="00390E18"/>
    <w:rsid w:val="0039107B"/>
    <w:rsid w:val="003916AD"/>
    <w:rsid w:val="00393042"/>
    <w:rsid w:val="00394CC2"/>
    <w:rsid w:val="003A3EAD"/>
    <w:rsid w:val="003A4FA9"/>
    <w:rsid w:val="003A5BD5"/>
    <w:rsid w:val="003A618E"/>
    <w:rsid w:val="003A6FAD"/>
    <w:rsid w:val="003A7770"/>
    <w:rsid w:val="003B0855"/>
    <w:rsid w:val="003B0BE3"/>
    <w:rsid w:val="003B15EF"/>
    <w:rsid w:val="003B1D9C"/>
    <w:rsid w:val="003B2637"/>
    <w:rsid w:val="003B3292"/>
    <w:rsid w:val="003B42CD"/>
    <w:rsid w:val="003B43B0"/>
    <w:rsid w:val="003B4FA2"/>
    <w:rsid w:val="003B53EA"/>
    <w:rsid w:val="003B7AE3"/>
    <w:rsid w:val="003C0C84"/>
    <w:rsid w:val="003C0D66"/>
    <w:rsid w:val="003C1177"/>
    <w:rsid w:val="003C124A"/>
    <w:rsid w:val="003C1B3D"/>
    <w:rsid w:val="003C5454"/>
    <w:rsid w:val="003C5547"/>
    <w:rsid w:val="003C5A8E"/>
    <w:rsid w:val="003C5B7A"/>
    <w:rsid w:val="003D300B"/>
    <w:rsid w:val="003D51EF"/>
    <w:rsid w:val="003D52D2"/>
    <w:rsid w:val="003D5373"/>
    <w:rsid w:val="003D5C90"/>
    <w:rsid w:val="003D5D73"/>
    <w:rsid w:val="003D6EC7"/>
    <w:rsid w:val="003E1B02"/>
    <w:rsid w:val="003E4032"/>
    <w:rsid w:val="003E71CB"/>
    <w:rsid w:val="003F2397"/>
    <w:rsid w:val="003F3222"/>
    <w:rsid w:val="003F36AA"/>
    <w:rsid w:val="003F5563"/>
    <w:rsid w:val="003F67B0"/>
    <w:rsid w:val="003F6FB8"/>
    <w:rsid w:val="003F76F5"/>
    <w:rsid w:val="003F7949"/>
    <w:rsid w:val="00402AA7"/>
    <w:rsid w:val="00402BBE"/>
    <w:rsid w:val="004050B8"/>
    <w:rsid w:val="00406016"/>
    <w:rsid w:val="00406ACC"/>
    <w:rsid w:val="0040769E"/>
    <w:rsid w:val="00407FEA"/>
    <w:rsid w:val="0041666C"/>
    <w:rsid w:val="00420681"/>
    <w:rsid w:val="00422CFD"/>
    <w:rsid w:val="00423D20"/>
    <w:rsid w:val="00424212"/>
    <w:rsid w:val="004245B1"/>
    <w:rsid w:val="004301B4"/>
    <w:rsid w:val="00430795"/>
    <w:rsid w:val="004313CA"/>
    <w:rsid w:val="0043632A"/>
    <w:rsid w:val="004406B3"/>
    <w:rsid w:val="0044424E"/>
    <w:rsid w:val="0044525C"/>
    <w:rsid w:val="0044679B"/>
    <w:rsid w:val="004554FF"/>
    <w:rsid w:val="00456E3F"/>
    <w:rsid w:val="00460983"/>
    <w:rsid w:val="004623D7"/>
    <w:rsid w:val="00462655"/>
    <w:rsid w:val="0046365B"/>
    <w:rsid w:val="00464417"/>
    <w:rsid w:val="0046466E"/>
    <w:rsid w:val="0046670C"/>
    <w:rsid w:val="00466D76"/>
    <w:rsid w:val="00466D79"/>
    <w:rsid w:val="0046738B"/>
    <w:rsid w:val="00473D90"/>
    <w:rsid w:val="00474CD5"/>
    <w:rsid w:val="00475369"/>
    <w:rsid w:val="00475E67"/>
    <w:rsid w:val="004766D9"/>
    <w:rsid w:val="00480B43"/>
    <w:rsid w:val="00481F10"/>
    <w:rsid w:val="0048359A"/>
    <w:rsid w:val="00483BE7"/>
    <w:rsid w:val="00485236"/>
    <w:rsid w:val="004859EB"/>
    <w:rsid w:val="00486D01"/>
    <w:rsid w:val="00487029"/>
    <w:rsid w:val="004902CC"/>
    <w:rsid w:val="00491A27"/>
    <w:rsid w:val="004933CE"/>
    <w:rsid w:val="00494F27"/>
    <w:rsid w:val="0049531A"/>
    <w:rsid w:val="00495D97"/>
    <w:rsid w:val="00497E5D"/>
    <w:rsid w:val="004A09D5"/>
    <w:rsid w:val="004A623D"/>
    <w:rsid w:val="004A6CA3"/>
    <w:rsid w:val="004A717F"/>
    <w:rsid w:val="004A7182"/>
    <w:rsid w:val="004B0534"/>
    <w:rsid w:val="004B0FBF"/>
    <w:rsid w:val="004B494C"/>
    <w:rsid w:val="004B53C7"/>
    <w:rsid w:val="004B6634"/>
    <w:rsid w:val="004B78AB"/>
    <w:rsid w:val="004B7FBD"/>
    <w:rsid w:val="004C277B"/>
    <w:rsid w:val="004C3922"/>
    <w:rsid w:val="004C4397"/>
    <w:rsid w:val="004C4F8D"/>
    <w:rsid w:val="004C6D30"/>
    <w:rsid w:val="004D1C5D"/>
    <w:rsid w:val="004D3F3C"/>
    <w:rsid w:val="004D433E"/>
    <w:rsid w:val="004D489C"/>
    <w:rsid w:val="004D6D06"/>
    <w:rsid w:val="004E105A"/>
    <w:rsid w:val="004E1528"/>
    <w:rsid w:val="004E19A4"/>
    <w:rsid w:val="004E1C50"/>
    <w:rsid w:val="004E274B"/>
    <w:rsid w:val="004E2BCD"/>
    <w:rsid w:val="004E5E18"/>
    <w:rsid w:val="004E70F4"/>
    <w:rsid w:val="004F016C"/>
    <w:rsid w:val="004F1D1E"/>
    <w:rsid w:val="004F2151"/>
    <w:rsid w:val="004F4E51"/>
    <w:rsid w:val="004F53E5"/>
    <w:rsid w:val="004F5637"/>
    <w:rsid w:val="004F6A4A"/>
    <w:rsid w:val="004F73EA"/>
    <w:rsid w:val="00500360"/>
    <w:rsid w:val="005018DF"/>
    <w:rsid w:val="00502BA4"/>
    <w:rsid w:val="005037CD"/>
    <w:rsid w:val="00507CA4"/>
    <w:rsid w:val="00510F19"/>
    <w:rsid w:val="00512290"/>
    <w:rsid w:val="00512DFB"/>
    <w:rsid w:val="0051509D"/>
    <w:rsid w:val="005158D1"/>
    <w:rsid w:val="00515992"/>
    <w:rsid w:val="005222F8"/>
    <w:rsid w:val="005245EB"/>
    <w:rsid w:val="00524D67"/>
    <w:rsid w:val="0052607D"/>
    <w:rsid w:val="0052691B"/>
    <w:rsid w:val="00526AC7"/>
    <w:rsid w:val="00526EA3"/>
    <w:rsid w:val="005276D3"/>
    <w:rsid w:val="00527FBC"/>
    <w:rsid w:val="0053136C"/>
    <w:rsid w:val="00533C76"/>
    <w:rsid w:val="0053594D"/>
    <w:rsid w:val="00537882"/>
    <w:rsid w:val="00537E3C"/>
    <w:rsid w:val="005432E9"/>
    <w:rsid w:val="00543E8F"/>
    <w:rsid w:val="0054772E"/>
    <w:rsid w:val="005511B3"/>
    <w:rsid w:val="0055130C"/>
    <w:rsid w:val="00552434"/>
    <w:rsid w:val="005560FC"/>
    <w:rsid w:val="005603B2"/>
    <w:rsid w:val="00561BF3"/>
    <w:rsid w:val="00561E48"/>
    <w:rsid w:val="00562EA4"/>
    <w:rsid w:val="00563ED2"/>
    <w:rsid w:val="00564BD8"/>
    <w:rsid w:val="00564C74"/>
    <w:rsid w:val="0056648B"/>
    <w:rsid w:val="00577BCC"/>
    <w:rsid w:val="005839FC"/>
    <w:rsid w:val="00584037"/>
    <w:rsid w:val="0058449D"/>
    <w:rsid w:val="005850D8"/>
    <w:rsid w:val="00586FEC"/>
    <w:rsid w:val="00590235"/>
    <w:rsid w:val="00591C90"/>
    <w:rsid w:val="005929C3"/>
    <w:rsid w:val="00595233"/>
    <w:rsid w:val="0059576F"/>
    <w:rsid w:val="005A0A75"/>
    <w:rsid w:val="005A1946"/>
    <w:rsid w:val="005A30F3"/>
    <w:rsid w:val="005A3F11"/>
    <w:rsid w:val="005B00FD"/>
    <w:rsid w:val="005B219E"/>
    <w:rsid w:val="005B23EC"/>
    <w:rsid w:val="005B241D"/>
    <w:rsid w:val="005B3014"/>
    <w:rsid w:val="005B3936"/>
    <w:rsid w:val="005B6415"/>
    <w:rsid w:val="005B73E8"/>
    <w:rsid w:val="005B7D14"/>
    <w:rsid w:val="005C061C"/>
    <w:rsid w:val="005C0973"/>
    <w:rsid w:val="005C135F"/>
    <w:rsid w:val="005C162F"/>
    <w:rsid w:val="005C1EEB"/>
    <w:rsid w:val="005C2155"/>
    <w:rsid w:val="005C3077"/>
    <w:rsid w:val="005C397E"/>
    <w:rsid w:val="005C39E4"/>
    <w:rsid w:val="005C4B6A"/>
    <w:rsid w:val="005C6487"/>
    <w:rsid w:val="005C6F70"/>
    <w:rsid w:val="005C7676"/>
    <w:rsid w:val="005D070F"/>
    <w:rsid w:val="005D191A"/>
    <w:rsid w:val="005D2600"/>
    <w:rsid w:val="005D26F6"/>
    <w:rsid w:val="005D37B5"/>
    <w:rsid w:val="005D44C7"/>
    <w:rsid w:val="005D452F"/>
    <w:rsid w:val="005D5713"/>
    <w:rsid w:val="005D60A9"/>
    <w:rsid w:val="005D7397"/>
    <w:rsid w:val="005D7F5C"/>
    <w:rsid w:val="005E0C2D"/>
    <w:rsid w:val="005E2B21"/>
    <w:rsid w:val="005E33A3"/>
    <w:rsid w:val="005E69A2"/>
    <w:rsid w:val="005E7451"/>
    <w:rsid w:val="005E7581"/>
    <w:rsid w:val="005E7E9B"/>
    <w:rsid w:val="005F0C72"/>
    <w:rsid w:val="005F1F25"/>
    <w:rsid w:val="005F2A80"/>
    <w:rsid w:val="005F2A8D"/>
    <w:rsid w:val="005F62E1"/>
    <w:rsid w:val="005F7E42"/>
    <w:rsid w:val="00600C74"/>
    <w:rsid w:val="0060204F"/>
    <w:rsid w:val="00602AC3"/>
    <w:rsid w:val="00603B50"/>
    <w:rsid w:val="00607B45"/>
    <w:rsid w:val="0061171B"/>
    <w:rsid w:val="00613450"/>
    <w:rsid w:val="00613D62"/>
    <w:rsid w:val="00614D1E"/>
    <w:rsid w:val="006163F0"/>
    <w:rsid w:val="00617337"/>
    <w:rsid w:val="00617903"/>
    <w:rsid w:val="00620541"/>
    <w:rsid w:val="006208D6"/>
    <w:rsid w:val="0062176E"/>
    <w:rsid w:val="00624E8B"/>
    <w:rsid w:val="00625B92"/>
    <w:rsid w:val="006302DE"/>
    <w:rsid w:val="00633852"/>
    <w:rsid w:val="006359A8"/>
    <w:rsid w:val="00635F49"/>
    <w:rsid w:val="0063639D"/>
    <w:rsid w:val="0063648E"/>
    <w:rsid w:val="00637012"/>
    <w:rsid w:val="006373A6"/>
    <w:rsid w:val="00643035"/>
    <w:rsid w:val="006454CA"/>
    <w:rsid w:val="006466FA"/>
    <w:rsid w:val="00646CAB"/>
    <w:rsid w:val="0065070E"/>
    <w:rsid w:val="00651DAE"/>
    <w:rsid w:val="00653E43"/>
    <w:rsid w:val="00654D78"/>
    <w:rsid w:val="00657C75"/>
    <w:rsid w:val="00660663"/>
    <w:rsid w:val="00660F0F"/>
    <w:rsid w:val="00662D59"/>
    <w:rsid w:val="00664288"/>
    <w:rsid w:val="00665AEC"/>
    <w:rsid w:val="00672070"/>
    <w:rsid w:val="00673307"/>
    <w:rsid w:val="006747BD"/>
    <w:rsid w:val="0067494F"/>
    <w:rsid w:val="00676FD8"/>
    <w:rsid w:val="00677D9B"/>
    <w:rsid w:val="00680FF1"/>
    <w:rsid w:val="0068299C"/>
    <w:rsid w:val="00683AFF"/>
    <w:rsid w:val="0068680C"/>
    <w:rsid w:val="006869F8"/>
    <w:rsid w:val="00687ADB"/>
    <w:rsid w:val="00690952"/>
    <w:rsid w:val="006913F6"/>
    <w:rsid w:val="00694683"/>
    <w:rsid w:val="00694A9C"/>
    <w:rsid w:val="00697891"/>
    <w:rsid w:val="006A0490"/>
    <w:rsid w:val="006A05D2"/>
    <w:rsid w:val="006A5AA7"/>
    <w:rsid w:val="006A6505"/>
    <w:rsid w:val="006A77D7"/>
    <w:rsid w:val="006B057C"/>
    <w:rsid w:val="006B1D78"/>
    <w:rsid w:val="006C400C"/>
    <w:rsid w:val="006C4B32"/>
    <w:rsid w:val="006C5910"/>
    <w:rsid w:val="006D0144"/>
    <w:rsid w:val="006D04E6"/>
    <w:rsid w:val="006D06F3"/>
    <w:rsid w:val="006D2D30"/>
    <w:rsid w:val="006D6C1E"/>
    <w:rsid w:val="006E24D9"/>
    <w:rsid w:val="006E3C18"/>
    <w:rsid w:val="006E4DAB"/>
    <w:rsid w:val="006E5146"/>
    <w:rsid w:val="006E59E8"/>
    <w:rsid w:val="006E7517"/>
    <w:rsid w:val="006F00A3"/>
    <w:rsid w:val="006F0C46"/>
    <w:rsid w:val="006F4A00"/>
    <w:rsid w:val="006F5E23"/>
    <w:rsid w:val="006F65BF"/>
    <w:rsid w:val="006F6D26"/>
    <w:rsid w:val="006F749A"/>
    <w:rsid w:val="006F7A4B"/>
    <w:rsid w:val="00702F51"/>
    <w:rsid w:val="00703AB2"/>
    <w:rsid w:val="0070412E"/>
    <w:rsid w:val="00705F1C"/>
    <w:rsid w:val="007069EA"/>
    <w:rsid w:val="00707D48"/>
    <w:rsid w:val="007105DA"/>
    <w:rsid w:val="00710BBD"/>
    <w:rsid w:val="00710F76"/>
    <w:rsid w:val="0071371C"/>
    <w:rsid w:val="00713742"/>
    <w:rsid w:val="00713749"/>
    <w:rsid w:val="00713864"/>
    <w:rsid w:val="00714749"/>
    <w:rsid w:val="00716CAB"/>
    <w:rsid w:val="00721B9E"/>
    <w:rsid w:val="00722098"/>
    <w:rsid w:val="007223F3"/>
    <w:rsid w:val="007226B0"/>
    <w:rsid w:val="007259F8"/>
    <w:rsid w:val="00726DB1"/>
    <w:rsid w:val="007276AC"/>
    <w:rsid w:val="00730D1E"/>
    <w:rsid w:val="00735473"/>
    <w:rsid w:val="00742DDA"/>
    <w:rsid w:val="007437FB"/>
    <w:rsid w:val="00744188"/>
    <w:rsid w:val="007451ED"/>
    <w:rsid w:val="00745951"/>
    <w:rsid w:val="00746570"/>
    <w:rsid w:val="00747162"/>
    <w:rsid w:val="0074726C"/>
    <w:rsid w:val="00747A22"/>
    <w:rsid w:val="00747A40"/>
    <w:rsid w:val="007515D3"/>
    <w:rsid w:val="007543AC"/>
    <w:rsid w:val="00754DC8"/>
    <w:rsid w:val="007562BC"/>
    <w:rsid w:val="00756FFD"/>
    <w:rsid w:val="007570C5"/>
    <w:rsid w:val="00764BCC"/>
    <w:rsid w:val="00765D50"/>
    <w:rsid w:val="007664A0"/>
    <w:rsid w:val="00767F33"/>
    <w:rsid w:val="007700EB"/>
    <w:rsid w:val="00770C1D"/>
    <w:rsid w:val="00773208"/>
    <w:rsid w:val="00776C54"/>
    <w:rsid w:val="00777923"/>
    <w:rsid w:val="00780054"/>
    <w:rsid w:val="0078138C"/>
    <w:rsid w:val="00782138"/>
    <w:rsid w:val="0078349E"/>
    <w:rsid w:val="00784836"/>
    <w:rsid w:val="0078574B"/>
    <w:rsid w:val="00785DE0"/>
    <w:rsid w:val="00793CB2"/>
    <w:rsid w:val="00795CC9"/>
    <w:rsid w:val="00796789"/>
    <w:rsid w:val="007A11A8"/>
    <w:rsid w:val="007A2E76"/>
    <w:rsid w:val="007A3508"/>
    <w:rsid w:val="007A36B1"/>
    <w:rsid w:val="007A3973"/>
    <w:rsid w:val="007A48F8"/>
    <w:rsid w:val="007A513B"/>
    <w:rsid w:val="007A5B8C"/>
    <w:rsid w:val="007A6FD5"/>
    <w:rsid w:val="007B0CF0"/>
    <w:rsid w:val="007B42A1"/>
    <w:rsid w:val="007B4BA9"/>
    <w:rsid w:val="007B58C6"/>
    <w:rsid w:val="007B6677"/>
    <w:rsid w:val="007B7369"/>
    <w:rsid w:val="007C1399"/>
    <w:rsid w:val="007C1A3E"/>
    <w:rsid w:val="007C58FF"/>
    <w:rsid w:val="007C717D"/>
    <w:rsid w:val="007C7D49"/>
    <w:rsid w:val="007D0431"/>
    <w:rsid w:val="007D145A"/>
    <w:rsid w:val="007D182B"/>
    <w:rsid w:val="007D6E9B"/>
    <w:rsid w:val="007E2EF6"/>
    <w:rsid w:val="007E3D9B"/>
    <w:rsid w:val="007E3DCF"/>
    <w:rsid w:val="007E3E78"/>
    <w:rsid w:val="007E573B"/>
    <w:rsid w:val="007E7E44"/>
    <w:rsid w:val="007F4BD1"/>
    <w:rsid w:val="007F6D3F"/>
    <w:rsid w:val="00802EFD"/>
    <w:rsid w:val="00803EBB"/>
    <w:rsid w:val="008047AA"/>
    <w:rsid w:val="00812423"/>
    <w:rsid w:val="008135D9"/>
    <w:rsid w:val="00814010"/>
    <w:rsid w:val="008152EF"/>
    <w:rsid w:val="00815AFA"/>
    <w:rsid w:val="00816CD9"/>
    <w:rsid w:val="00820ADF"/>
    <w:rsid w:val="008214E6"/>
    <w:rsid w:val="008234B1"/>
    <w:rsid w:val="0082716D"/>
    <w:rsid w:val="008274A3"/>
    <w:rsid w:val="00834E99"/>
    <w:rsid w:val="00836736"/>
    <w:rsid w:val="008372ED"/>
    <w:rsid w:val="00841806"/>
    <w:rsid w:val="0084291F"/>
    <w:rsid w:val="0084300B"/>
    <w:rsid w:val="00846CEC"/>
    <w:rsid w:val="00846F2D"/>
    <w:rsid w:val="00847424"/>
    <w:rsid w:val="00852403"/>
    <w:rsid w:val="00853386"/>
    <w:rsid w:val="00856CE1"/>
    <w:rsid w:val="00857463"/>
    <w:rsid w:val="0085758F"/>
    <w:rsid w:val="00860B04"/>
    <w:rsid w:val="00861260"/>
    <w:rsid w:val="0086194E"/>
    <w:rsid w:val="00861EFC"/>
    <w:rsid w:val="00862424"/>
    <w:rsid w:val="00866C95"/>
    <w:rsid w:val="00867269"/>
    <w:rsid w:val="00867975"/>
    <w:rsid w:val="00870627"/>
    <w:rsid w:val="0087392D"/>
    <w:rsid w:val="0087426D"/>
    <w:rsid w:val="00874ABB"/>
    <w:rsid w:val="00875745"/>
    <w:rsid w:val="00876306"/>
    <w:rsid w:val="00877254"/>
    <w:rsid w:val="00877D04"/>
    <w:rsid w:val="00881921"/>
    <w:rsid w:val="00881E58"/>
    <w:rsid w:val="008823F2"/>
    <w:rsid w:val="0088469F"/>
    <w:rsid w:val="0088606A"/>
    <w:rsid w:val="00887D61"/>
    <w:rsid w:val="00887FD0"/>
    <w:rsid w:val="008907BA"/>
    <w:rsid w:val="008911F3"/>
    <w:rsid w:val="0089278D"/>
    <w:rsid w:val="00894959"/>
    <w:rsid w:val="0089495D"/>
    <w:rsid w:val="00895839"/>
    <w:rsid w:val="00895DF4"/>
    <w:rsid w:val="00896AFA"/>
    <w:rsid w:val="00896F5D"/>
    <w:rsid w:val="008973CD"/>
    <w:rsid w:val="008A1C1A"/>
    <w:rsid w:val="008A1E8C"/>
    <w:rsid w:val="008A243D"/>
    <w:rsid w:val="008A2AFF"/>
    <w:rsid w:val="008A2CB1"/>
    <w:rsid w:val="008A37E0"/>
    <w:rsid w:val="008A38C2"/>
    <w:rsid w:val="008A4A98"/>
    <w:rsid w:val="008A746C"/>
    <w:rsid w:val="008B0B36"/>
    <w:rsid w:val="008B27C4"/>
    <w:rsid w:val="008B5FE6"/>
    <w:rsid w:val="008C04ED"/>
    <w:rsid w:val="008C0AD5"/>
    <w:rsid w:val="008C0C21"/>
    <w:rsid w:val="008C12DF"/>
    <w:rsid w:val="008C2364"/>
    <w:rsid w:val="008C2B7C"/>
    <w:rsid w:val="008C3F9A"/>
    <w:rsid w:val="008C58EA"/>
    <w:rsid w:val="008C6813"/>
    <w:rsid w:val="008C6FDA"/>
    <w:rsid w:val="008D0D9C"/>
    <w:rsid w:val="008D123A"/>
    <w:rsid w:val="008D14BC"/>
    <w:rsid w:val="008D2897"/>
    <w:rsid w:val="008D561A"/>
    <w:rsid w:val="008D5A30"/>
    <w:rsid w:val="008D6F4B"/>
    <w:rsid w:val="008E0D14"/>
    <w:rsid w:val="008E1A89"/>
    <w:rsid w:val="008E3874"/>
    <w:rsid w:val="008F19D1"/>
    <w:rsid w:val="008F5482"/>
    <w:rsid w:val="008F6CE3"/>
    <w:rsid w:val="008F7000"/>
    <w:rsid w:val="008F7C17"/>
    <w:rsid w:val="00900065"/>
    <w:rsid w:val="0090166D"/>
    <w:rsid w:val="00901CF1"/>
    <w:rsid w:val="0090537E"/>
    <w:rsid w:val="009071AD"/>
    <w:rsid w:val="00911DF7"/>
    <w:rsid w:val="00912745"/>
    <w:rsid w:val="009134C8"/>
    <w:rsid w:val="00917149"/>
    <w:rsid w:val="00917440"/>
    <w:rsid w:val="0092140E"/>
    <w:rsid w:val="00921EAA"/>
    <w:rsid w:val="009221D7"/>
    <w:rsid w:val="00923DD7"/>
    <w:rsid w:val="0092607E"/>
    <w:rsid w:val="0092698D"/>
    <w:rsid w:val="009341F0"/>
    <w:rsid w:val="00934E33"/>
    <w:rsid w:val="00935B91"/>
    <w:rsid w:val="00936704"/>
    <w:rsid w:val="009368E7"/>
    <w:rsid w:val="00936905"/>
    <w:rsid w:val="009376D2"/>
    <w:rsid w:val="00940980"/>
    <w:rsid w:val="0094455F"/>
    <w:rsid w:val="0094669F"/>
    <w:rsid w:val="00954942"/>
    <w:rsid w:val="009561BC"/>
    <w:rsid w:val="00956351"/>
    <w:rsid w:val="00956A10"/>
    <w:rsid w:val="009579DF"/>
    <w:rsid w:val="009603FF"/>
    <w:rsid w:val="00960F2E"/>
    <w:rsid w:val="00961881"/>
    <w:rsid w:val="009618ED"/>
    <w:rsid w:val="0096397B"/>
    <w:rsid w:val="00967A31"/>
    <w:rsid w:val="00967CF5"/>
    <w:rsid w:val="00971BE3"/>
    <w:rsid w:val="00971D86"/>
    <w:rsid w:val="00972D4D"/>
    <w:rsid w:val="00972FA9"/>
    <w:rsid w:val="009739C3"/>
    <w:rsid w:val="00973DE6"/>
    <w:rsid w:val="00974166"/>
    <w:rsid w:val="009748E2"/>
    <w:rsid w:val="00974C27"/>
    <w:rsid w:val="00981F3E"/>
    <w:rsid w:val="009836FE"/>
    <w:rsid w:val="0098417B"/>
    <w:rsid w:val="0098470E"/>
    <w:rsid w:val="00984CD0"/>
    <w:rsid w:val="00986284"/>
    <w:rsid w:val="00986502"/>
    <w:rsid w:val="00987C6B"/>
    <w:rsid w:val="00987C70"/>
    <w:rsid w:val="009916C7"/>
    <w:rsid w:val="00993701"/>
    <w:rsid w:val="009946B2"/>
    <w:rsid w:val="009948C2"/>
    <w:rsid w:val="009A05DD"/>
    <w:rsid w:val="009A4117"/>
    <w:rsid w:val="009A6A91"/>
    <w:rsid w:val="009A7F43"/>
    <w:rsid w:val="009B175E"/>
    <w:rsid w:val="009B2E31"/>
    <w:rsid w:val="009B3C64"/>
    <w:rsid w:val="009B3F1C"/>
    <w:rsid w:val="009B3F26"/>
    <w:rsid w:val="009B6B8B"/>
    <w:rsid w:val="009B6EF6"/>
    <w:rsid w:val="009C028B"/>
    <w:rsid w:val="009C1468"/>
    <w:rsid w:val="009C1C71"/>
    <w:rsid w:val="009C4FC3"/>
    <w:rsid w:val="009C6B49"/>
    <w:rsid w:val="009C71DC"/>
    <w:rsid w:val="009D0848"/>
    <w:rsid w:val="009D4668"/>
    <w:rsid w:val="009D7EA2"/>
    <w:rsid w:val="009E1181"/>
    <w:rsid w:val="009E1AA7"/>
    <w:rsid w:val="009E3234"/>
    <w:rsid w:val="009E7115"/>
    <w:rsid w:val="009E722C"/>
    <w:rsid w:val="009E7619"/>
    <w:rsid w:val="009E7FC2"/>
    <w:rsid w:val="009F5AD2"/>
    <w:rsid w:val="009F5EDB"/>
    <w:rsid w:val="009F7089"/>
    <w:rsid w:val="00A00D13"/>
    <w:rsid w:val="00A0251F"/>
    <w:rsid w:val="00A0405F"/>
    <w:rsid w:val="00A047DA"/>
    <w:rsid w:val="00A05520"/>
    <w:rsid w:val="00A07E79"/>
    <w:rsid w:val="00A110E3"/>
    <w:rsid w:val="00A12861"/>
    <w:rsid w:val="00A1479E"/>
    <w:rsid w:val="00A15198"/>
    <w:rsid w:val="00A15FF1"/>
    <w:rsid w:val="00A16042"/>
    <w:rsid w:val="00A26CA0"/>
    <w:rsid w:val="00A2751B"/>
    <w:rsid w:val="00A27651"/>
    <w:rsid w:val="00A27829"/>
    <w:rsid w:val="00A318E5"/>
    <w:rsid w:val="00A3511B"/>
    <w:rsid w:val="00A35DFA"/>
    <w:rsid w:val="00A372ED"/>
    <w:rsid w:val="00A410F5"/>
    <w:rsid w:val="00A4120F"/>
    <w:rsid w:val="00A438C5"/>
    <w:rsid w:val="00A44335"/>
    <w:rsid w:val="00A44DE4"/>
    <w:rsid w:val="00A47205"/>
    <w:rsid w:val="00A472DE"/>
    <w:rsid w:val="00A477C5"/>
    <w:rsid w:val="00A47CAB"/>
    <w:rsid w:val="00A51500"/>
    <w:rsid w:val="00A520F5"/>
    <w:rsid w:val="00A52939"/>
    <w:rsid w:val="00A53E5C"/>
    <w:rsid w:val="00A53FAD"/>
    <w:rsid w:val="00A55443"/>
    <w:rsid w:val="00A60E2A"/>
    <w:rsid w:val="00A62B1C"/>
    <w:rsid w:val="00A62C21"/>
    <w:rsid w:val="00A6394B"/>
    <w:rsid w:val="00A64570"/>
    <w:rsid w:val="00A660A0"/>
    <w:rsid w:val="00A666B2"/>
    <w:rsid w:val="00A67532"/>
    <w:rsid w:val="00A67CB0"/>
    <w:rsid w:val="00A7059B"/>
    <w:rsid w:val="00A71578"/>
    <w:rsid w:val="00A731F0"/>
    <w:rsid w:val="00A7554A"/>
    <w:rsid w:val="00A77894"/>
    <w:rsid w:val="00A77902"/>
    <w:rsid w:val="00A8033E"/>
    <w:rsid w:val="00A8271C"/>
    <w:rsid w:val="00A836D0"/>
    <w:rsid w:val="00A8382B"/>
    <w:rsid w:val="00A83C79"/>
    <w:rsid w:val="00A86C6C"/>
    <w:rsid w:val="00A90B55"/>
    <w:rsid w:val="00A90F2F"/>
    <w:rsid w:val="00A91321"/>
    <w:rsid w:val="00A91AB4"/>
    <w:rsid w:val="00A92AB5"/>
    <w:rsid w:val="00A9344D"/>
    <w:rsid w:val="00A941C7"/>
    <w:rsid w:val="00A97C46"/>
    <w:rsid w:val="00A97EBD"/>
    <w:rsid w:val="00AA1E3C"/>
    <w:rsid w:val="00AA286E"/>
    <w:rsid w:val="00AA34F0"/>
    <w:rsid w:val="00AA3DA6"/>
    <w:rsid w:val="00AA42BE"/>
    <w:rsid w:val="00AA43A9"/>
    <w:rsid w:val="00AA7056"/>
    <w:rsid w:val="00AA7780"/>
    <w:rsid w:val="00AB4403"/>
    <w:rsid w:val="00AB4D59"/>
    <w:rsid w:val="00AB51BE"/>
    <w:rsid w:val="00AB5638"/>
    <w:rsid w:val="00AB5B15"/>
    <w:rsid w:val="00AB6E77"/>
    <w:rsid w:val="00AC0893"/>
    <w:rsid w:val="00AC1588"/>
    <w:rsid w:val="00AC2CFC"/>
    <w:rsid w:val="00AC35CA"/>
    <w:rsid w:val="00AC453F"/>
    <w:rsid w:val="00AC491E"/>
    <w:rsid w:val="00AC6309"/>
    <w:rsid w:val="00AC743C"/>
    <w:rsid w:val="00AD4B10"/>
    <w:rsid w:val="00AD65B7"/>
    <w:rsid w:val="00AD67EB"/>
    <w:rsid w:val="00AD77E2"/>
    <w:rsid w:val="00AD7F06"/>
    <w:rsid w:val="00AE10F2"/>
    <w:rsid w:val="00AE1744"/>
    <w:rsid w:val="00AE1A19"/>
    <w:rsid w:val="00AE2362"/>
    <w:rsid w:val="00AE4360"/>
    <w:rsid w:val="00AE75DE"/>
    <w:rsid w:val="00AF1779"/>
    <w:rsid w:val="00AF4633"/>
    <w:rsid w:val="00AF47A0"/>
    <w:rsid w:val="00AF5DF7"/>
    <w:rsid w:val="00AF6B21"/>
    <w:rsid w:val="00AF7AB7"/>
    <w:rsid w:val="00B006F4"/>
    <w:rsid w:val="00B00A3E"/>
    <w:rsid w:val="00B012C1"/>
    <w:rsid w:val="00B017F8"/>
    <w:rsid w:val="00B01E5E"/>
    <w:rsid w:val="00B036A0"/>
    <w:rsid w:val="00B053C7"/>
    <w:rsid w:val="00B06B58"/>
    <w:rsid w:val="00B11BB2"/>
    <w:rsid w:val="00B1272D"/>
    <w:rsid w:val="00B13AFE"/>
    <w:rsid w:val="00B15E69"/>
    <w:rsid w:val="00B160B5"/>
    <w:rsid w:val="00B22432"/>
    <w:rsid w:val="00B25A1B"/>
    <w:rsid w:val="00B25A45"/>
    <w:rsid w:val="00B30D7C"/>
    <w:rsid w:val="00B311FF"/>
    <w:rsid w:val="00B3397F"/>
    <w:rsid w:val="00B34251"/>
    <w:rsid w:val="00B34340"/>
    <w:rsid w:val="00B40AC2"/>
    <w:rsid w:val="00B4119F"/>
    <w:rsid w:val="00B41550"/>
    <w:rsid w:val="00B4241B"/>
    <w:rsid w:val="00B446E9"/>
    <w:rsid w:val="00B44D5B"/>
    <w:rsid w:val="00B45186"/>
    <w:rsid w:val="00B45E5B"/>
    <w:rsid w:val="00B461DF"/>
    <w:rsid w:val="00B46233"/>
    <w:rsid w:val="00B46FF7"/>
    <w:rsid w:val="00B505BC"/>
    <w:rsid w:val="00B50EFF"/>
    <w:rsid w:val="00B51AD7"/>
    <w:rsid w:val="00B53D95"/>
    <w:rsid w:val="00B53F11"/>
    <w:rsid w:val="00B546E5"/>
    <w:rsid w:val="00B5694E"/>
    <w:rsid w:val="00B569BB"/>
    <w:rsid w:val="00B573C7"/>
    <w:rsid w:val="00B57A1D"/>
    <w:rsid w:val="00B57ED1"/>
    <w:rsid w:val="00B627D4"/>
    <w:rsid w:val="00B63530"/>
    <w:rsid w:val="00B66639"/>
    <w:rsid w:val="00B67018"/>
    <w:rsid w:val="00B70DC4"/>
    <w:rsid w:val="00B71FB4"/>
    <w:rsid w:val="00B7211A"/>
    <w:rsid w:val="00B73E96"/>
    <w:rsid w:val="00B772EA"/>
    <w:rsid w:val="00B77B70"/>
    <w:rsid w:val="00B816C5"/>
    <w:rsid w:val="00B81D7B"/>
    <w:rsid w:val="00B843DE"/>
    <w:rsid w:val="00B849EF"/>
    <w:rsid w:val="00B85939"/>
    <w:rsid w:val="00B85A97"/>
    <w:rsid w:val="00B86D4B"/>
    <w:rsid w:val="00B90A04"/>
    <w:rsid w:val="00B90BCE"/>
    <w:rsid w:val="00B914E5"/>
    <w:rsid w:val="00B921DB"/>
    <w:rsid w:val="00B962EC"/>
    <w:rsid w:val="00B96465"/>
    <w:rsid w:val="00BA0E4E"/>
    <w:rsid w:val="00BA1FED"/>
    <w:rsid w:val="00BA5894"/>
    <w:rsid w:val="00BA5B90"/>
    <w:rsid w:val="00BA7B80"/>
    <w:rsid w:val="00BB1ABB"/>
    <w:rsid w:val="00BB211E"/>
    <w:rsid w:val="00BB26F8"/>
    <w:rsid w:val="00BB4A81"/>
    <w:rsid w:val="00BB5449"/>
    <w:rsid w:val="00BC0216"/>
    <w:rsid w:val="00BC3C84"/>
    <w:rsid w:val="00BC432D"/>
    <w:rsid w:val="00BC4485"/>
    <w:rsid w:val="00BC5B24"/>
    <w:rsid w:val="00BC71FB"/>
    <w:rsid w:val="00BC7F1C"/>
    <w:rsid w:val="00BD150A"/>
    <w:rsid w:val="00BD16F2"/>
    <w:rsid w:val="00BD3006"/>
    <w:rsid w:val="00BD7E38"/>
    <w:rsid w:val="00BE0435"/>
    <w:rsid w:val="00BE0874"/>
    <w:rsid w:val="00BE133A"/>
    <w:rsid w:val="00BE17D7"/>
    <w:rsid w:val="00BE1895"/>
    <w:rsid w:val="00BE273E"/>
    <w:rsid w:val="00BE401C"/>
    <w:rsid w:val="00BE4161"/>
    <w:rsid w:val="00BE455B"/>
    <w:rsid w:val="00BE51BC"/>
    <w:rsid w:val="00BE5764"/>
    <w:rsid w:val="00BE5FAE"/>
    <w:rsid w:val="00BE7E32"/>
    <w:rsid w:val="00BF0557"/>
    <w:rsid w:val="00BF059C"/>
    <w:rsid w:val="00BF246D"/>
    <w:rsid w:val="00BF47F7"/>
    <w:rsid w:val="00BF57FE"/>
    <w:rsid w:val="00BF7A8B"/>
    <w:rsid w:val="00C00DCD"/>
    <w:rsid w:val="00C01D73"/>
    <w:rsid w:val="00C01F74"/>
    <w:rsid w:val="00C021AC"/>
    <w:rsid w:val="00C0351B"/>
    <w:rsid w:val="00C059E8"/>
    <w:rsid w:val="00C05D06"/>
    <w:rsid w:val="00C066B4"/>
    <w:rsid w:val="00C07284"/>
    <w:rsid w:val="00C11FF6"/>
    <w:rsid w:val="00C14366"/>
    <w:rsid w:val="00C14A19"/>
    <w:rsid w:val="00C15D59"/>
    <w:rsid w:val="00C1661A"/>
    <w:rsid w:val="00C1724E"/>
    <w:rsid w:val="00C21829"/>
    <w:rsid w:val="00C21854"/>
    <w:rsid w:val="00C23F8F"/>
    <w:rsid w:val="00C2550E"/>
    <w:rsid w:val="00C25832"/>
    <w:rsid w:val="00C25DF6"/>
    <w:rsid w:val="00C26012"/>
    <w:rsid w:val="00C278B5"/>
    <w:rsid w:val="00C27CDD"/>
    <w:rsid w:val="00C30911"/>
    <w:rsid w:val="00C324C6"/>
    <w:rsid w:val="00C32813"/>
    <w:rsid w:val="00C352EB"/>
    <w:rsid w:val="00C3694D"/>
    <w:rsid w:val="00C41C15"/>
    <w:rsid w:val="00C42CED"/>
    <w:rsid w:val="00C4448B"/>
    <w:rsid w:val="00C44846"/>
    <w:rsid w:val="00C461DB"/>
    <w:rsid w:val="00C476C3"/>
    <w:rsid w:val="00C50592"/>
    <w:rsid w:val="00C53FDC"/>
    <w:rsid w:val="00C5490A"/>
    <w:rsid w:val="00C556E5"/>
    <w:rsid w:val="00C55AE0"/>
    <w:rsid w:val="00C613B4"/>
    <w:rsid w:val="00C62C19"/>
    <w:rsid w:val="00C63971"/>
    <w:rsid w:val="00C63A4C"/>
    <w:rsid w:val="00C64191"/>
    <w:rsid w:val="00C64478"/>
    <w:rsid w:val="00C6574A"/>
    <w:rsid w:val="00C65DAB"/>
    <w:rsid w:val="00C675F9"/>
    <w:rsid w:val="00C72422"/>
    <w:rsid w:val="00C73FAD"/>
    <w:rsid w:val="00C76DE5"/>
    <w:rsid w:val="00C77E94"/>
    <w:rsid w:val="00C807C3"/>
    <w:rsid w:val="00C80F12"/>
    <w:rsid w:val="00C8344F"/>
    <w:rsid w:val="00C837DC"/>
    <w:rsid w:val="00C841C4"/>
    <w:rsid w:val="00C852AD"/>
    <w:rsid w:val="00C8648C"/>
    <w:rsid w:val="00C86E1C"/>
    <w:rsid w:val="00C87A16"/>
    <w:rsid w:val="00C87DBB"/>
    <w:rsid w:val="00C907B8"/>
    <w:rsid w:val="00C918CA"/>
    <w:rsid w:val="00C93F76"/>
    <w:rsid w:val="00CA1383"/>
    <w:rsid w:val="00CA1B54"/>
    <w:rsid w:val="00CA307E"/>
    <w:rsid w:val="00CA33C3"/>
    <w:rsid w:val="00CA587B"/>
    <w:rsid w:val="00CB12B8"/>
    <w:rsid w:val="00CB1BAC"/>
    <w:rsid w:val="00CB2E75"/>
    <w:rsid w:val="00CB4120"/>
    <w:rsid w:val="00CB5C55"/>
    <w:rsid w:val="00CB6F84"/>
    <w:rsid w:val="00CC3ECC"/>
    <w:rsid w:val="00CC5376"/>
    <w:rsid w:val="00CC6CD8"/>
    <w:rsid w:val="00CD0B3B"/>
    <w:rsid w:val="00CD1C4A"/>
    <w:rsid w:val="00CD38F8"/>
    <w:rsid w:val="00CD3FF0"/>
    <w:rsid w:val="00CD4FAC"/>
    <w:rsid w:val="00CD5EB3"/>
    <w:rsid w:val="00CD7B08"/>
    <w:rsid w:val="00CD7CCD"/>
    <w:rsid w:val="00CE00A7"/>
    <w:rsid w:val="00CE3109"/>
    <w:rsid w:val="00CE35EE"/>
    <w:rsid w:val="00CE39F1"/>
    <w:rsid w:val="00CF1C14"/>
    <w:rsid w:val="00CF26E5"/>
    <w:rsid w:val="00CF4F4C"/>
    <w:rsid w:val="00CF544D"/>
    <w:rsid w:val="00CF56FC"/>
    <w:rsid w:val="00CF66FD"/>
    <w:rsid w:val="00CF7E65"/>
    <w:rsid w:val="00D003E9"/>
    <w:rsid w:val="00D0179D"/>
    <w:rsid w:val="00D02B5C"/>
    <w:rsid w:val="00D02F1E"/>
    <w:rsid w:val="00D06280"/>
    <w:rsid w:val="00D06C4F"/>
    <w:rsid w:val="00D077EE"/>
    <w:rsid w:val="00D10578"/>
    <w:rsid w:val="00D105B0"/>
    <w:rsid w:val="00D111BA"/>
    <w:rsid w:val="00D11236"/>
    <w:rsid w:val="00D11753"/>
    <w:rsid w:val="00D12077"/>
    <w:rsid w:val="00D124D6"/>
    <w:rsid w:val="00D129D0"/>
    <w:rsid w:val="00D1460C"/>
    <w:rsid w:val="00D16492"/>
    <w:rsid w:val="00D1737D"/>
    <w:rsid w:val="00D17A58"/>
    <w:rsid w:val="00D22FE8"/>
    <w:rsid w:val="00D24FB8"/>
    <w:rsid w:val="00D26E98"/>
    <w:rsid w:val="00D32C6D"/>
    <w:rsid w:val="00D3495F"/>
    <w:rsid w:val="00D34E80"/>
    <w:rsid w:val="00D35464"/>
    <w:rsid w:val="00D40214"/>
    <w:rsid w:val="00D44480"/>
    <w:rsid w:val="00D449C4"/>
    <w:rsid w:val="00D45BCE"/>
    <w:rsid w:val="00D47258"/>
    <w:rsid w:val="00D47468"/>
    <w:rsid w:val="00D50BF6"/>
    <w:rsid w:val="00D513E2"/>
    <w:rsid w:val="00D515A6"/>
    <w:rsid w:val="00D53784"/>
    <w:rsid w:val="00D544CA"/>
    <w:rsid w:val="00D60206"/>
    <w:rsid w:val="00D60616"/>
    <w:rsid w:val="00D60E5B"/>
    <w:rsid w:val="00D6150B"/>
    <w:rsid w:val="00D63376"/>
    <w:rsid w:val="00D63A01"/>
    <w:rsid w:val="00D64717"/>
    <w:rsid w:val="00D671B2"/>
    <w:rsid w:val="00D6766A"/>
    <w:rsid w:val="00D740CA"/>
    <w:rsid w:val="00D75FA8"/>
    <w:rsid w:val="00D779E0"/>
    <w:rsid w:val="00D77C6F"/>
    <w:rsid w:val="00D8064F"/>
    <w:rsid w:val="00D80D71"/>
    <w:rsid w:val="00D813D0"/>
    <w:rsid w:val="00D83773"/>
    <w:rsid w:val="00D84759"/>
    <w:rsid w:val="00D847F4"/>
    <w:rsid w:val="00D87DAD"/>
    <w:rsid w:val="00D907A7"/>
    <w:rsid w:val="00D930E3"/>
    <w:rsid w:val="00D93495"/>
    <w:rsid w:val="00D96150"/>
    <w:rsid w:val="00D96456"/>
    <w:rsid w:val="00DA0253"/>
    <w:rsid w:val="00DA0BFB"/>
    <w:rsid w:val="00DA2320"/>
    <w:rsid w:val="00DA2DAC"/>
    <w:rsid w:val="00DA4C86"/>
    <w:rsid w:val="00DA5D13"/>
    <w:rsid w:val="00DB0D8F"/>
    <w:rsid w:val="00DB3027"/>
    <w:rsid w:val="00DB3752"/>
    <w:rsid w:val="00DB6BFE"/>
    <w:rsid w:val="00DC2081"/>
    <w:rsid w:val="00DC3110"/>
    <w:rsid w:val="00DC3246"/>
    <w:rsid w:val="00DC48EC"/>
    <w:rsid w:val="00DC4B8D"/>
    <w:rsid w:val="00DC706E"/>
    <w:rsid w:val="00DC7286"/>
    <w:rsid w:val="00DD2916"/>
    <w:rsid w:val="00DD562B"/>
    <w:rsid w:val="00DD568B"/>
    <w:rsid w:val="00DD7783"/>
    <w:rsid w:val="00DE3F42"/>
    <w:rsid w:val="00DE5A1D"/>
    <w:rsid w:val="00DE7800"/>
    <w:rsid w:val="00DF04F0"/>
    <w:rsid w:val="00DF3304"/>
    <w:rsid w:val="00DF4AA0"/>
    <w:rsid w:val="00DF4F39"/>
    <w:rsid w:val="00DF7556"/>
    <w:rsid w:val="00DF7AE6"/>
    <w:rsid w:val="00DF7FED"/>
    <w:rsid w:val="00E03C52"/>
    <w:rsid w:val="00E05AB8"/>
    <w:rsid w:val="00E064E1"/>
    <w:rsid w:val="00E07189"/>
    <w:rsid w:val="00E07996"/>
    <w:rsid w:val="00E10F88"/>
    <w:rsid w:val="00E1148D"/>
    <w:rsid w:val="00E13627"/>
    <w:rsid w:val="00E13885"/>
    <w:rsid w:val="00E179F6"/>
    <w:rsid w:val="00E21492"/>
    <w:rsid w:val="00E21699"/>
    <w:rsid w:val="00E22362"/>
    <w:rsid w:val="00E23EF6"/>
    <w:rsid w:val="00E24F0A"/>
    <w:rsid w:val="00E30482"/>
    <w:rsid w:val="00E3077E"/>
    <w:rsid w:val="00E33747"/>
    <w:rsid w:val="00E40879"/>
    <w:rsid w:val="00E423F4"/>
    <w:rsid w:val="00E4376D"/>
    <w:rsid w:val="00E50240"/>
    <w:rsid w:val="00E50972"/>
    <w:rsid w:val="00E52971"/>
    <w:rsid w:val="00E53185"/>
    <w:rsid w:val="00E536BA"/>
    <w:rsid w:val="00E53FFE"/>
    <w:rsid w:val="00E615A8"/>
    <w:rsid w:val="00E61CBF"/>
    <w:rsid w:val="00E6409F"/>
    <w:rsid w:val="00E64548"/>
    <w:rsid w:val="00E64959"/>
    <w:rsid w:val="00E64D74"/>
    <w:rsid w:val="00E6677A"/>
    <w:rsid w:val="00E72067"/>
    <w:rsid w:val="00E725DE"/>
    <w:rsid w:val="00E7274C"/>
    <w:rsid w:val="00E74A90"/>
    <w:rsid w:val="00E74E47"/>
    <w:rsid w:val="00E82AE1"/>
    <w:rsid w:val="00E87A8B"/>
    <w:rsid w:val="00E944CE"/>
    <w:rsid w:val="00E95031"/>
    <w:rsid w:val="00E979DC"/>
    <w:rsid w:val="00EA031C"/>
    <w:rsid w:val="00EA23EE"/>
    <w:rsid w:val="00EA31BA"/>
    <w:rsid w:val="00EA5171"/>
    <w:rsid w:val="00EA6AC0"/>
    <w:rsid w:val="00EB031D"/>
    <w:rsid w:val="00EB059A"/>
    <w:rsid w:val="00EB2004"/>
    <w:rsid w:val="00EB3951"/>
    <w:rsid w:val="00EB3A84"/>
    <w:rsid w:val="00EB5267"/>
    <w:rsid w:val="00EB55E8"/>
    <w:rsid w:val="00EB5847"/>
    <w:rsid w:val="00EB5E8E"/>
    <w:rsid w:val="00EB681F"/>
    <w:rsid w:val="00EB6C8E"/>
    <w:rsid w:val="00EB7BE1"/>
    <w:rsid w:val="00EC0504"/>
    <w:rsid w:val="00EC3EBB"/>
    <w:rsid w:val="00EC6910"/>
    <w:rsid w:val="00EC6C98"/>
    <w:rsid w:val="00EC6EE3"/>
    <w:rsid w:val="00ED2A90"/>
    <w:rsid w:val="00ED3494"/>
    <w:rsid w:val="00EE1E90"/>
    <w:rsid w:val="00EE25CD"/>
    <w:rsid w:val="00EE2833"/>
    <w:rsid w:val="00EE2AC2"/>
    <w:rsid w:val="00EE52BF"/>
    <w:rsid w:val="00EE7C18"/>
    <w:rsid w:val="00EF0E36"/>
    <w:rsid w:val="00EF0F26"/>
    <w:rsid w:val="00EF29B2"/>
    <w:rsid w:val="00EF475A"/>
    <w:rsid w:val="00EF481F"/>
    <w:rsid w:val="00EF492A"/>
    <w:rsid w:val="00EF4DB5"/>
    <w:rsid w:val="00EF56AF"/>
    <w:rsid w:val="00EF6E3B"/>
    <w:rsid w:val="00F00BEC"/>
    <w:rsid w:val="00F078DC"/>
    <w:rsid w:val="00F07C18"/>
    <w:rsid w:val="00F07F39"/>
    <w:rsid w:val="00F10F4B"/>
    <w:rsid w:val="00F13C43"/>
    <w:rsid w:val="00F1494E"/>
    <w:rsid w:val="00F14BB2"/>
    <w:rsid w:val="00F15330"/>
    <w:rsid w:val="00F156E6"/>
    <w:rsid w:val="00F164B0"/>
    <w:rsid w:val="00F16B9C"/>
    <w:rsid w:val="00F202D6"/>
    <w:rsid w:val="00F276AF"/>
    <w:rsid w:val="00F3084D"/>
    <w:rsid w:val="00F32E9E"/>
    <w:rsid w:val="00F349EB"/>
    <w:rsid w:val="00F35696"/>
    <w:rsid w:val="00F35B17"/>
    <w:rsid w:val="00F36FD7"/>
    <w:rsid w:val="00F415BF"/>
    <w:rsid w:val="00F416A3"/>
    <w:rsid w:val="00F4579D"/>
    <w:rsid w:val="00F4624D"/>
    <w:rsid w:val="00F46ED9"/>
    <w:rsid w:val="00F507B0"/>
    <w:rsid w:val="00F508E1"/>
    <w:rsid w:val="00F549F0"/>
    <w:rsid w:val="00F57109"/>
    <w:rsid w:val="00F607ED"/>
    <w:rsid w:val="00F60E63"/>
    <w:rsid w:val="00F617CF"/>
    <w:rsid w:val="00F622C1"/>
    <w:rsid w:val="00F64FD7"/>
    <w:rsid w:val="00F657E2"/>
    <w:rsid w:val="00F66ADD"/>
    <w:rsid w:val="00F66E56"/>
    <w:rsid w:val="00F679A3"/>
    <w:rsid w:val="00F735AE"/>
    <w:rsid w:val="00F75810"/>
    <w:rsid w:val="00F75B71"/>
    <w:rsid w:val="00F769D3"/>
    <w:rsid w:val="00F76B13"/>
    <w:rsid w:val="00F77918"/>
    <w:rsid w:val="00F8067B"/>
    <w:rsid w:val="00F81D38"/>
    <w:rsid w:val="00F8215A"/>
    <w:rsid w:val="00F8349B"/>
    <w:rsid w:val="00F84476"/>
    <w:rsid w:val="00F849AF"/>
    <w:rsid w:val="00F8537E"/>
    <w:rsid w:val="00F85A10"/>
    <w:rsid w:val="00F87C4A"/>
    <w:rsid w:val="00F90533"/>
    <w:rsid w:val="00F91E1F"/>
    <w:rsid w:val="00F92130"/>
    <w:rsid w:val="00F929CE"/>
    <w:rsid w:val="00F93696"/>
    <w:rsid w:val="00F966A9"/>
    <w:rsid w:val="00FA2728"/>
    <w:rsid w:val="00FA2933"/>
    <w:rsid w:val="00FA4AA9"/>
    <w:rsid w:val="00FA64FA"/>
    <w:rsid w:val="00FB0796"/>
    <w:rsid w:val="00FB15BE"/>
    <w:rsid w:val="00FB1C0D"/>
    <w:rsid w:val="00FB1F97"/>
    <w:rsid w:val="00FB26A7"/>
    <w:rsid w:val="00FB3C3D"/>
    <w:rsid w:val="00FB4048"/>
    <w:rsid w:val="00FB609D"/>
    <w:rsid w:val="00FB672C"/>
    <w:rsid w:val="00FC01D2"/>
    <w:rsid w:val="00FC3B6D"/>
    <w:rsid w:val="00FC3C4F"/>
    <w:rsid w:val="00FC586A"/>
    <w:rsid w:val="00FC6291"/>
    <w:rsid w:val="00FD2E52"/>
    <w:rsid w:val="00FD35D3"/>
    <w:rsid w:val="00FD6793"/>
    <w:rsid w:val="00FD71AC"/>
    <w:rsid w:val="00FE1A1A"/>
    <w:rsid w:val="00FE25D5"/>
    <w:rsid w:val="00FE260C"/>
    <w:rsid w:val="00FE2B44"/>
    <w:rsid w:val="00FE5D12"/>
    <w:rsid w:val="00FE6151"/>
    <w:rsid w:val="00FE69CB"/>
    <w:rsid w:val="00FE6DC7"/>
    <w:rsid w:val="00FE7499"/>
    <w:rsid w:val="00FF2A22"/>
    <w:rsid w:val="00FF408A"/>
    <w:rsid w:val="00FF4308"/>
    <w:rsid w:val="00FF443F"/>
    <w:rsid w:val="00FF48AC"/>
    <w:rsid w:val="00FF4FE9"/>
    <w:rsid w:val="00FF664E"/>
    <w:rsid w:val="010C5002"/>
    <w:rsid w:val="011746E2"/>
    <w:rsid w:val="019714E5"/>
    <w:rsid w:val="019F652F"/>
    <w:rsid w:val="01C40DDD"/>
    <w:rsid w:val="01E84C70"/>
    <w:rsid w:val="01FD1236"/>
    <w:rsid w:val="0219007D"/>
    <w:rsid w:val="022D66A7"/>
    <w:rsid w:val="02302D8F"/>
    <w:rsid w:val="026B3218"/>
    <w:rsid w:val="026C05F6"/>
    <w:rsid w:val="026C413C"/>
    <w:rsid w:val="0279202F"/>
    <w:rsid w:val="029F1D72"/>
    <w:rsid w:val="02AC6928"/>
    <w:rsid w:val="02C31095"/>
    <w:rsid w:val="02DE0C76"/>
    <w:rsid w:val="02FE40AD"/>
    <w:rsid w:val="031850F4"/>
    <w:rsid w:val="03262B19"/>
    <w:rsid w:val="033D0926"/>
    <w:rsid w:val="036F3C68"/>
    <w:rsid w:val="037405E1"/>
    <w:rsid w:val="03AC2DB8"/>
    <w:rsid w:val="03AD1AEE"/>
    <w:rsid w:val="04096F7B"/>
    <w:rsid w:val="04417611"/>
    <w:rsid w:val="04691A29"/>
    <w:rsid w:val="049E4A74"/>
    <w:rsid w:val="04A77777"/>
    <w:rsid w:val="04B071FD"/>
    <w:rsid w:val="04C9153D"/>
    <w:rsid w:val="05123E2A"/>
    <w:rsid w:val="054B711F"/>
    <w:rsid w:val="055F3097"/>
    <w:rsid w:val="05A21435"/>
    <w:rsid w:val="05D75863"/>
    <w:rsid w:val="06083DAE"/>
    <w:rsid w:val="067E4FD0"/>
    <w:rsid w:val="06A75A8E"/>
    <w:rsid w:val="06B703B9"/>
    <w:rsid w:val="06D654BA"/>
    <w:rsid w:val="06E14A58"/>
    <w:rsid w:val="070E5B45"/>
    <w:rsid w:val="076868D9"/>
    <w:rsid w:val="07790766"/>
    <w:rsid w:val="07B13FA0"/>
    <w:rsid w:val="07BE6C35"/>
    <w:rsid w:val="07D52ED9"/>
    <w:rsid w:val="085159F2"/>
    <w:rsid w:val="08692EDF"/>
    <w:rsid w:val="08A528AF"/>
    <w:rsid w:val="08AF79C5"/>
    <w:rsid w:val="08D72A91"/>
    <w:rsid w:val="08DB2D17"/>
    <w:rsid w:val="08E04023"/>
    <w:rsid w:val="08E41671"/>
    <w:rsid w:val="09187C60"/>
    <w:rsid w:val="09346228"/>
    <w:rsid w:val="09523F23"/>
    <w:rsid w:val="0958163D"/>
    <w:rsid w:val="098547CF"/>
    <w:rsid w:val="09B3041A"/>
    <w:rsid w:val="0A011554"/>
    <w:rsid w:val="0A081A83"/>
    <w:rsid w:val="0A225B60"/>
    <w:rsid w:val="0A9E1C57"/>
    <w:rsid w:val="0AB27CDF"/>
    <w:rsid w:val="0AB63446"/>
    <w:rsid w:val="0AB924E8"/>
    <w:rsid w:val="0AE807FE"/>
    <w:rsid w:val="0B0E7FDD"/>
    <w:rsid w:val="0B7F390B"/>
    <w:rsid w:val="0BB5258E"/>
    <w:rsid w:val="0C5E5EFE"/>
    <w:rsid w:val="0C60163F"/>
    <w:rsid w:val="0C6C303E"/>
    <w:rsid w:val="0C794286"/>
    <w:rsid w:val="0CAC6D26"/>
    <w:rsid w:val="0CFE2AF1"/>
    <w:rsid w:val="0D313857"/>
    <w:rsid w:val="0D7D7470"/>
    <w:rsid w:val="0D943C2B"/>
    <w:rsid w:val="0DCB5AEF"/>
    <w:rsid w:val="0DE34399"/>
    <w:rsid w:val="0E384844"/>
    <w:rsid w:val="0E403413"/>
    <w:rsid w:val="0E6927E3"/>
    <w:rsid w:val="0EDD7177"/>
    <w:rsid w:val="0EFA4090"/>
    <w:rsid w:val="0F2E09A0"/>
    <w:rsid w:val="0F3621A3"/>
    <w:rsid w:val="0FA1450C"/>
    <w:rsid w:val="0FB3423F"/>
    <w:rsid w:val="102274AE"/>
    <w:rsid w:val="102709C6"/>
    <w:rsid w:val="1030200B"/>
    <w:rsid w:val="10815941"/>
    <w:rsid w:val="10BD2F9A"/>
    <w:rsid w:val="10C37E49"/>
    <w:rsid w:val="10CB40E9"/>
    <w:rsid w:val="110D20A4"/>
    <w:rsid w:val="11135711"/>
    <w:rsid w:val="1125116C"/>
    <w:rsid w:val="115D7105"/>
    <w:rsid w:val="11657C9E"/>
    <w:rsid w:val="11983A2A"/>
    <w:rsid w:val="11A218B2"/>
    <w:rsid w:val="11D419C8"/>
    <w:rsid w:val="11F72B09"/>
    <w:rsid w:val="126152B3"/>
    <w:rsid w:val="1280341C"/>
    <w:rsid w:val="1387624B"/>
    <w:rsid w:val="13883741"/>
    <w:rsid w:val="138D7B40"/>
    <w:rsid w:val="13CA2696"/>
    <w:rsid w:val="14156DE2"/>
    <w:rsid w:val="141B622E"/>
    <w:rsid w:val="1444433A"/>
    <w:rsid w:val="145E4D9D"/>
    <w:rsid w:val="14B871A1"/>
    <w:rsid w:val="14BC45BD"/>
    <w:rsid w:val="14DA543F"/>
    <w:rsid w:val="158024D7"/>
    <w:rsid w:val="15A60CE9"/>
    <w:rsid w:val="15B360FF"/>
    <w:rsid w:val="15D97A3F"/>
    <w:rsid w:val="15F805D4"/>
    <w:rsid w:val="160E6673"/>
    <w:rsid w:val="162935D9"/>
    <w:rsid w:val="165F7424"/>
    <w:rsid w:val="166149F5"/>
    <w:rsid w:val="168A24B5"/>
    <w:rsid w:val="16913D4E"/>
    <w:rsid w:val="16B002AB"/>
    <w:rsid w:val="16EB0762"/>
    <w:rsid w:val="17413F08"/>
    <w:rsid w:val="174E29B8"/>
    <w:rsid w:val="17FC5942"/>
    <w:rsid w:val="17FC7EFB"/>
    <w:rsid w:val="182A060E"/>
    <w:rsid w:val="18534811"/>
    <w:rsid w:val="18897212"/>
    <w:rsid w:val="189A41EE"/>
    <w:rsid w:val="192F1A6B"/>
    <w:rsid w:val="193D07EF"/>
    <w:rsid w:val="195B3EC5"/>
    <w:rsid w:val="19AC142A"/>
    <w:rsid w:val="1A2A6AB5"/>
    <w:rsid w:val="1A3D3CA6"/>
    <w:rsid w:val="1A501008"/>
    <w:rsid w:val="1A611E79"/>
    <w:rsid w:val="1AAA3610"/>
    <w:rsid w:val="1AB42912"/>
    <w:rsid w:val="1AC06ADD"/>
    <w:rsid w:val="1ACB1E5D"/>
    <w:rsid w:val="1B417F4A"/>
    <w:rsid w:val="1B7024D5"/>
    <w:rsid w:val="1B734D5C"/>
    <w:rsid w:val="1BAD2DBB"/>
    <w:rsid w:val="1BDA2611"/>
    <w:rsid w:val="1C346708"/>
    <w:rsid w:val="1C512DDF"/>
    <w:rsid w:val="1CC143BE"/>
    <w:rsid w:val="1CD003FE"/>
    <w:rsid w:val="1CE61F27"/>
    <w:rsid w:val="1CF2079C"/>
    <w:rsid w:val="1D0C4D3C"/>
    <w:rsid w:val="1D201159"/>
    <w:rsid w:val="1D264AE0"/>
    <w:rsid w:val="1D3B3593"/>
    <w:rsid w:val="1D433243"/>
    <w:rsid w:val="1D6F4110"/>
    <w:rsid w:val="1DD359D2"/>
    <w:rsid w:val="1DD6652B"/>
    <w:rsid w:val="1E1201F8"/>
    <w:rsid w:val="1E240B1C"/>
    <w:rsid w:val="1E4F5F3C"/>
    <w:rsid w:val="1E6757C2"/>
    <w:rsid w:val="1E7A79DA"/>
    <w:rsid w:val="1FA70EB0"/>
    <w:rsid w:val="1FB02D8B"/>
    <w:rsid w:val="1FB25684"/>
    <w:rsid w:val="1FD046F0"/>
    <w:rsid w:val="1FE3171A"/>
    <w:rsid w:val="1FE725CB"/>
    <w:rsid w:val="20145C3A"/>
    <w:rsid w:val="207E43C0"/>
    <w:rsid w:val="209371C1"/>
    <w:rsid w:val="20A0436C"/>
    <w:rsid w:val="20D95850"/>
    <w:rsid w:val="20E1200E"/>
    <w:rsid w:val="20F73235"/>
    <w:rsid w:val="21137228"/>
    <w:rsid w:val="212B4B0D"/>
    <w:rsid w:val="215D400B"/>
    <w:rsid w:val="2186530F"/>
    <w:rsid w:val="21B15D99"/>
    <w:rsid w:val="21CC631F"/>
    <w:rsid w:val="21D74E55"/>
    <w:rsid w:val="21E403A0"/>
    <w:rsid w:val="21F52495"/>
    <w:rsid w:val="221C4B1F"/>
    <w:rsid w:val="227B6E4F"/>
    <w:rsid w:val="22876F41"/>
    <w:rsid w:val="22942593"/>
    <w:rsid w:val="22CE58AA"/>
    <w:rsid w:val="23331960"/>
    <w:rsid w:val="2372796E"/>
    <w:rsid w:val="237815D0"/>
    <w:rsid w:val="237C10C0"/>
    <w:rsid w:val="237C7280"/>
    <w:rsid w:val="238177C2"/>
    <w:rsid w:val="23852702"/>
    <w:rsid w:val="23A47310"/>
    <w:rsid w:val="23A81EB5"/>
    <w:rsid w:val="23D555F3"/>
    <w:rsid w:val="23DB1152"/>
    <w:rsid w:val="24175D95"/>
    <w:rsid w:val="24612064"/>
    <w:rsid w:val="247342C7"/>
    <w:rsid w:val="24EB0346"/>
    <w:rsid w:val="25147A0F"/>
    <w:rsid w:val="255821DB"/>
    <w:rsid w:val="256517BD"/>
    <w:rsid w:val="2576778F"/>
    <w:rsid w:val="25A85B04"/>
    <w:rsid w:val="25AD046A"/>
    <w:rsid w:val="25B0349F"/>
    <w:rsid w:val="25C47BB2"/>
    <w:rsid w:val="25CC6E0A"/>
    <w:rsid w:val="25D613CA"/>
    <w:rsid w:val="2609650F"/>
    <w:rsid w:val="26204B97"/>
    <w:rsid w:val="265E20AD"/>
    <w:rsid w:val="26AF3B69"/>
    <w:rsid w:val="26D91957"/>
    <w:rsid w:val="26DC377F"/>
    <w:rsid w:val="26FD42C6"/>
    <w:rsid w:val="27133AC9"/>
    <w:rsid w:val="271E6649"/>
    <w:rsid w:val="275168E0"/>
    <w:rsid w:val="275E7A2A"/>
    <w:rsid w:val="277450D6"/>
    <w:rsid w:val="27AE0637"/>
    <w:rsid w:val="285D1B34"/>
    <w:rsid w:val="28806895"/>
    <w:rsid w:val="28C42AE0"/>
    <w:rsid w:val="28E03E9F"/>
    <w:rsid w:val="291B4ED7"/>
    <w:rsid w:val="292435A8"/>
    <w:rsid w:val="297822F9"/>
    <w:rsid w:val="29D9059C"/>
    <w:rsid w:val="2A107099"/>
    <w:rsid w:val="2A1610E2"/>
    <w:rsid w:val="2A733F1F"/>
    <w:rsid w:val="2AB301D4"/>
    <w:rsid w:val="2AD55D64"/>
    <w:rsid w:val="2AE40825"/>
    <w:rsid w:val="2B2D4883"/>
    <w:rsid w:val="2B320393"/>
    <w:rsid w:val="2B9635D5"/>
    <w:rsid w:val="2BA85F37"/>
    <w:rsid w:val="2BFD416D"/>
    <w:rsid w:val="2C546594"/>
    <w:rsid w:val="2C9B6486"/>
    <w:rsid w:val="2CAD456A"/>
    <w:rsid w:val="2CBF5D47"/>
    <w:rsid w:val="2CDA68FA"/>
    <w:rsid w:val="2CF431D3"/>
    <w:rsid w:val="2D12130B"/>
    <w:rsid w:val="2D1A4D05"/>
    <w:rsid w:val="2D3D1434"/>
    <w:rsid w:val="2D4061FD"/>
    <w:rsid w:val="2D473EB8"/>
    <w:rsid w:val="2D56120A"/>
    <w:rsid w:val="2D790F1B"/>
    <w:rsid w:val="2DA108DD"/>
    <w:rsid w:val="2DA73C1B"/>
    <w:rsid w:val="2DAB1B59"/>
    <w:rsid w:val="2DB06E65"/>
    <w:rsid w:val="2DBD612B"/>
    <w:rsid w:val="2DBE57BC"/>
    <w:rsid w:val="2DC94944"/>
    <w:rsid w:val="2E293BF2"/>
    <w:rsid w:val="2E4B5708"/>
    <w:rsid w:val="2E8452CD"/>
    <w:rsid w:val="2F0D0E1E"/>
    <w:rsid w:val="2F3C0A04"/>
    <w:rsid w:val="2F654165"/>
    <w:rsid w:val="2FA3563D"/>
    <w:rsid w:val="2FBE7A21"/>
    <w:rsid w:val="2FD85612"/>
    <w:rsid w:val="2FE63DAE"/>
    <w:rsid w:val="301D7787"/>
    <w:rsid w:val="307037D0"/>
    <w:rsid w:val="30A752A2"/>
    <w:rsid w:val="30B40C26"/>
    <w:rsid w:val="30B57283"/>
    <w:rsid w:val="30F42A4E"/>
    <w:rsid w:val="30F8072C"/>
    <w:rsid w:val="312011DB"/>
    <w:rsid w:val="312F620E"/>
    <w:rsid w:val="31440242"/>
    <w:rsid w:val="315F5CB2"/>
    <w:rsid w:val="31815AF3"/>
    <w:rsid w:val="318976FD"/>
    <w:rsid w:val="31BA1976"/>
    <w:rsid w:val="31BA4964"/>
    <w:rsid w:val="31F91D5D"/>
    <w:rsid w:val="320222C9"/>
    <w:rsid w:val="32582CF8"/>
    <w:rsid w:val="32841FD7"/>
    <w:rsid w:val="32851A87"/>
    <w:rsid w:val="329B4F9A"/>
    <w:rsid w:val="33367896"/>
    <w:rsid w:val="333B262F"/>
    <w:rsid w:val="334301E8"/>
    <w:rsid w:val="33616D0B"/>
    <w:rsid w:val="33750715"/>
    <w:rsid w:val="33847B78"/>
    <w:rsid w:val="338B4409"/>
    <w:rsid w:val="33A342A9"/>
    <w:rsid w:val="33E36CF5"/>
    <w:rsid w:val="33F01785"/>
    <w:rsid w:val="34053B8E"/>
    <w:rsid w:val="34141244"/>
    <w:rsid w:val="341A7F68"/>
    <w:rsid w:val="349D49F2"/>
    <w:rsid w:val="34D91D0A"/>
    <w:rsid w:val="34D96007"/>
    <w:rsid w:val="34EE17C8"/>
    <w:rsid w:val="350C25E8"/>
    <w:rsid w:val="356F19FF"/>
    <w:rsid w:val="357B23B5"/>
    <w:rsid w:val="35FC569B"/>
    <w:rsid w:val="35FD1A2C"/>
    <w:rsid w:val="36050807"/>
    <w:rsid w:val="36542026"/>
    <w:rsid w:val="367467EE"/>
    <w:rsid w:val="368F3DD1"/>
    <w:rsid w:val="369C2919"/>
    <w:rsid w:val="36FD0404"/>
    <w:rsid w:val="3730704F"/>
    <w:rsid w:val="37930AD6"/>
    <w:rsid w:val="383832E4"/>
    <w:rsid w:val="384A0BCF"/>
    <w:rsid w:val="38516E92"/>
    <w:rsid w:val="38523D46"/>
    <w:rsid w:val="38681CE7"/>
    <w:rsid w:val="38C22473"/>
    <w:rsid w:val="38ED786E"/>
    <w:rsid w:val="390B11E9"/>
    <w:rsid w:val="390E43B3"/>
    <w:rsid w:val="39131727"/>
    <w:rsid w:val="3922119F"/>
    <w:rsid w:val="393B2A2C"/>
    <w:rsid w:val="3958639E"/>
    <w:rsid w:val="399B75B7"/>
    <w:rsid w:val="39A61145"/>
    <w:rsid w:val="39EC2B7F"/>
    <w:rsid w:val="3A07341F"/>
    <w:rsid w:val="3A513FB9"/>
    <w:rsid w:val="3A9D57E0"/>
    <w:rsid w:val="3ACF435C"/>
    <w:rsid w:val="3B39113B"/>
    <w:rsid w:val="3B582F82"/>
    <w:rsid w:val="3BB36B20"/>
    <w:rsid w:val="3BC1546A"/>
    <w:rsid w:val="3BC22ADA"/>
    <w:rsid w:val="3BF323B2"/>
    <w:rsid w:val="3C035F84"/>
    <w:rsid w:val="3C2424EE"/>
    <w:rsid w:val="3C650D38"/>
    <w:rsid w:val="3C8772CB"/>
    <w:rsid w:val="3C9B4F02"/>
    <w:rsid w:val="3CC66736"/>
    <w:rsid w:val="3CFB49A9"/>
    <w:rsid w:val="3D135B50"/>
    <w:rsid w:val="3D252D86"/>
    <w:rsid w:val="3D3E7772"/>
    <w:rsid w:val="3DF20244"/>
    <w:rsid w:val="3E1A12A3"/>
    <w:rsid w:val="3E3B1BD7"/>
    <w:rsid w:val="3E8D75A5"/>
    <w:rsid w:val="3ECE2786"/>
    <w:rsid w:val="3ED14CAC"/>
    <w:rsid w:val="3ED35E84"/>
    <w:rsid w:val="3EE20CC6"/>
    <w:rsid w:val="3F4F1C4C"/>
    <w:rsid w:val="3FBA749C"/>
    <w:rsid w:val="3FE07E89"/>
    <w:rsid w:val="3FEEA4CB"/>
    <w:rsid w:val="3FF172F2"/>
    <w:rsid w:val="402B62AE"/>
    <w:rsid w:val="40872EE9"/>
    <w:rsid w:val="40BA2666"/>
    <w:rsid w:val="40BF059B"/>
    <w:rsid w:val="40FC477E"/>
    <w:rsid w:val="41AE10EC"/>
    <w:rsid w:val="41B90740"/>
    <w:rsid w:val="41C75E92"/>
    <w:rsid w:val="41D92F45"/>
    <w:rsid w:val="422153DD"/>
    <w:rsid w:val="42453DB9"/>
    <w:rsid w:val="42535D3E"/>
    <w:rsid w:val="42CD1B57"/>
    <w:rsid w:val="42EF72DD"/>
    <w:rsid w:val="42F11136"/>
    <w:rsid w:val="42F400B4"/>
    <w:rsid w:val="433305E2"/>
    <w:rsid w:val="433E3F33"/>
    <w:rsid w:val="43466614"/>
    <w:rsid w:val="43511BD6"/>
    <w:rsid w:val="438047C3"/>
    <w:rsid w:val="43A24EFA"/>
    <w:rsid w:val="43AF029E"/>
    <w:rsid w:val="43B659E9"/>
    <w:rsid w:val="43D11142"/>
    <w:rsid w:val="44051440"/>
    <w:rsid w:val="44324D9E"/>
    <w:rsid w:val="44534092"/>
    <w:rsid w:val="446C5B15"/>
    <w:rsid w:val="447B20E0"/>
    <w:rsid w:val="44B71B00"/>
    <w:rsid w:val="44EB5A55"/>
    <w:rsid w:val="451E0733"/>
    <w:rsid w:val="453273D9"/>
    <w:rsid w:val="454315E6"/>
    <w:rsid w:val="45BE7A82"/>
    <w:rsid w:val="45E345FD"/>
    <w:rsid w:val="45F27B2F"/>
    <w:rsid w:val="4621272F"/>
    <w:rsid w:val="462A3F87"/>
    <w:rsid w:val="46AB04EF"/>
    <w:rsid w:val="46C55351"/>
    <w:rsid w:val="46EC0AB2"/>
    <w:rsid w:val="46F871BE"/>
    <w:rsid w:val="47402401"/>
    <w:rsid w:val="47434906"/>
    <w:rsid w:val="475023E0"/>
    <w:rsid w:val="479604DE"/>
    <w:rsid w:val="479E68B7"/>
    <w:rsid w:val="47B3563B"/>
    <w:rsid w:val="482640A8"/>
    <w:rsid w:val="482F6144"/>
    <w:rsid w:val="48A00EA8"/>
    <w:rsid w:val="49470D71"/>
    <w:rsid w:val="494E0CDE"/>
    <w:rsid w:val="496B2EB9"/>
    <w:rsid w:val="49926126"/>
    <w:rsid w:val="49A62AA1"/>
    <w:rsid w:val="49A72833"/>
    <w:rsid w:val="49B87AE8"/>
    <w:rsid w:val="49CF0E6E"/>
    <w:rsid w:val="4A4C3910"/>
    <w:rsid w:val="4A7C7F8F"/>
    <w:rsid w:val="4A8815CE"/>
    <w:rsid w:val="4AD60806"/>
    <w:rsid w:val="4B0A0006"/>
    <w:rsid w:val="4B2F61A1"/>
    <w:rsid w:val="4B983B36"/>
    <w:rsid w:val="4BB6123C"/>
    <w:rsid w:val="4BEE2A4F"/>
    <w:rsid w:val="4BF278C5"/>
    <w:rsid w:val="4C213CC4"/>
    <w:rsid w:val="4C323248"/>
    <w:rsid w:val="4C666A00"/>
    <w:rsid w:val="4C8B25BA"/>
    <w:rsid w:val="4C9524D7"/>
    <w:rsid w:val="4CA84F4B"/>
    <w:rsid w:val="4CAB1CFC"/>
    <w:rsid w:val="4CAE3DBA"/>
    <w:rsid w:val="4CAF130F"/>
    <w:rsid w:val="4CC22120"/>
    <w:rsid w:val="4CEC2FEA"/>
    <w:rsid w:val="4D007DB0"/>
    <w:rsid w:val="4D2852AD"/>
    <w:rsid w:val="4D2B6632"/>
    <w:rsid w:val="4D4673D6"/>
    <w:rsid w:val="4D65545D"/>
    <w:rsid w:val="4D7C0C34"/>
    <w:rsid w:val="4DD43BAE"/>
    <w:rsid w:val="4E24132B"/>
    <w:rsid w:val="4E50267E"/>
    <w:rsid w:val="4E9578D1"/>
    <w:rsid w:val="4E986995"/>
    <w:rsid w:val="4E9E4C7F"/>
    <w:rsid w:val="4EFD6AD1"/>
    <w:rsid w:val="4F243492"/>
    <w:rsid w:val="4F2440AE"/>
    <w:rsid w:val="4F716D4F"/>
    <w:rsid w:val="4FCD5141"/>
    <w:rsid w:val="502D353E"/>
    <w:rsid w:val="503E6C32"/>
    <w:rsid w:val="506D64A2"/>
    <w:rsid w:val="507F2731"/>
    <w:rsid w:val="509008DC"/>
    <w:rsid w:val="50AE29F8"/>
    <w:rsid w:val="50C030BE"/>
    <w:rsid w:val="50DD1205"/>
    <w:rsid w:val="51142088"/>
    <w:rsid w:val="513864B5"/>
    <w:rsid w:val="513D2D45"/>
    <w:rsid w:val="518C2128"/>
    <w:rsid w:val="520628C6"/>
    <w:rsid w:val="520E65E0"/>
    <w:rsid w:val="52237AD0"/>
    <w:rsid w:val="523C19B6"/>
    <w:rsid w:val="523E3BE2"/>
    <w:rsid w:val="525379B6"/>
    <w:rsid w:val="5268273C"/>
    <w:rsid w:val="52A04CDD"/>
    <w:rsid w:val="52D921C7"/>
    <w:rsid w:val="52DE792F"/>
    <w:rsid w:val="5311062D"/>
    <w:rsid w:val="532F4F57"/>
    <w:rsid w:val="53676552"/>
    <w:rsid w:val="53915C12"/>
    <w:rsid w:val="53DE3680"/>
    <w:rsid w:val="53EA0E7E"/>
    <w:rsid w:val="53F22E5F"/>
    <w:rsid w:val="543D64FA"/>
    <w:rsid w:val="545C1713"/>
    <w:rsid w:val="54890697"/>
    <w:rsid w:val="548F518C"/>
    <w:rsid w:val="55161546"/>
    <w:rsid w:val="551A1D78"/>
    <w:rsid w:val="552A00CC"/>
    <w:rsid w:val="5531102A"/>
    <w:rsid w:val="556D3492"/>
    <w:rsid w:val="55745D67"/>
    <w:rsid w:val="557D459B"/>
    <w:rsid w:val="55CE1D73"/>
    <w:rsid w:val="55D83E68"/>
    <w:rsid w:val="560970FD"/>
    <w:rsid w:val="5623357B"/>
    <w:rsid w:val="564E4D6E"/>
    <w:rsid w:val="565C1225"/>
    <w:rsid w:val="56737851"/>
    <w:rsid w:val="56891F7D"/>
    <w:rsid w:val="56903F5F"/>
    <w:rsid w:val="569C2485"/>
    <w:rsid w:val="56C04E2C"/>
    <w:rsid w:val="571D7970"/>
    <w:rsid w:val="57495378"/>
    <w:rsid w:val="57633A59"/>
    <w:rsid w:val="577315DD"/>
    <w:rsid w:val="57BD3989"/>
    <w:rsid w:val="57C24D36"/>
    <w:rsid w:val="57C91004"/>
    <w:rsid w:val="58063ABD"/>
    <w:rsid w:val="582556FD"/>
    <w:rsid w:val="58346163"/>
    <w:rsid w:val="58550366"/>
    <w:rsid w:val="585864C6"/>
    <w:rsid w:val="587A13E7"/>
    <w:rsid w:val="58A0329A"/>
    <w:rsid w:val="58BE1257"/>
    <w:rsid w:val="58BF7E97"/>
    <w:rsid w:val="58E01391"/>
    <w:rsid w:val="58E46427"/>
    <w:rsid w:val="59160B5C"/>
    <w:rsid w:val="591A28EB"/>
    <w:rsid w:val="599947F9"/>
    <w:rsid w:val="59A2581E"/>
    <w:rsid w:val="5A6669C0"/>
    <w:rsid w:val="5A7D4181"/>
    <w:rsid w:val="5A8F08BB"/>
    <w:rsid w:val="5A9934AC"/>
    <w:rsid w:val="5ABA1B70"/>
    <w:rsid w:val="5ADF07F0"/>
    <w:rsid w:val="5AEB0ED3"/>
    <w:rsid w:val="5AFF65A7"/>
    <w:rsid w:val="5B9B1F47"/>
    <w:rsid w:val="5BF6091A"/>
    <w:rsid w:val="5C28456F"/>
    <w:rsid w:val="5C3E3DC2"/>
    <w:rsid w:val="5C637428"/>
    <w:rsid w:val="5CC7169A"/>
    <w:rsid w:val="5D3A531C"/>
    <w:rsid w:val="5D86691C"/>
    <w:rsid w:val="5E086AD1"/>
    <w:rsid w:val="5E671A49"/>
    <w:rsid w:val="5E752335"/>
    <w:rsid w:val="5E882A92"/>
    <w:rsid w:val="5EBB7FE7"/>
    <w:rsid w:val="5EBD4017"/>
    <w:rsid w:val="5EC268E1"/>
    <w:rsid w:val="5EC83CDD"/>
    <w:rsid w:val="5ECC64B1"/>
    <w:rsid w:val="5EDF279E"/>
    <w:rsid w:val="5EF446F3"/>
    <w:rsid w:val="5F107AA7"/>
    <w:rsid w:val="5F2E07B9"/>
    <w:rsid w:val="5F5E296B"/>
    <w:rsid w:val="5F89170F"/>
    <w:rsid w:val="5FB5521C"/>
    <w:rsid w:val="5FC85784"/>
    <w:rsid w:val="5FCE6C0A"/>
    <w:rsid w:val="5FD04DEE"/>
    <w:rsid w:val="6034779D"/>
    <w:rsid w:val="605361E2"/>
    <w:rsid w:val="6064203E"/>
    <w:rsid w:val="60761600"/>
    <w:rsid w:val="60E22367"/>
    <w:rsid w:val="60F15F42"/>
    <w:rsid w:val="615E1438"/>
    <w:rsid w:val="61671D60"/>
    <w:rsid w:val="619F2B18"/>
    <w:rsid w:val="61BB1D85"/>
    <w:rsid w:val="61D43067"/>
    <w:rsid w:val="622A68DD"/>
    <w:rsid w:val="622D77DD"/>
    <w:rsid w:val="6231070C"/>
    <w:rsid w:val="625E3163"/>
    <w:rsid w:val="62A33AE7"/>
    <w:rsid w:val="62AC30A7"/>
    <w:rsid w:val="62CD76DD"/>
    <w:rsid w:val="6343463D"/>
    <w:rsid w:val="63452AE3"/>
    <w:rsid w:val="63640AD8"/>
    <w:rsid w:val="636A68E7"/>
    <w:rsid w:val="638048A2"/>
    <w:rsid w:val="63A755A6"/>
    <w:rsid w:val="63B868A3"/>
    <w:rsid w:val="63C95FE5"/>
    <w:rsid w:val="63D14B5E"/>
    <w:rsid w:val="63DA032C"/>
    <w:rsid w:val="64535AF0"/>
    <w:rsid w:val="64B2626D"/>
    <w:rsid w:val="64B60B99"/>
    <w:rsid w:val="64CB248D"/>
    <w:rsid w:val="64EF2635"/>
    <w:rsid w:val="64F3053C"/>
    <w:rsid w:val="64F81D6B"/>
    <w:rsid w:val="64FC55D6"/>
    <w:rsid w:val="653346BC"/>
    <w:rsid w:val="653C19CF"/>
    <w:rsid w:val="655A40B6"/>
    <w:rsid w:val="65C864B9"/>
    <w:rsid w:val="65DA06A2"/>
    <w:rsid w:val="65EF3F3A"/>
    <w:rsid w:val="661C1E23"/>
    <w:rsid w:val="6627269B"/>
    <w:rsid w:val="66616F76"/>
    <w:rsid w:val="66C11F13"/>
    <w:rsid w:val="66D63C10"/>
    <w:rsid w:val="66DD00FA"/>
    <w:rsid w:val="6716225F"/>
    <w:rsid w:val="67206C39"/>
    <w:rsid w:val="67414A30"/>
    <w:rsid w:val="676410D5"/>
    <w:rsid w:val="678A7EB9"/>
    <w:rsid w:val="67972404"/>
    <w:rsid w:val="67BD0352"/>
    <w:rsid w:val="67C633D9"/>
    <w:rsid w:val="67EF3C2C"/>
    <w:rsid w:val="67F00D02"/>
    <w:rsid w:val="68057461"/>
    <w:rsid w:val="68072CB2"/>
    <w:rsid w:val="68392A12"/>
    <w:rsid w:val="684331FA"/>
    <w:rsid w:val="685732A0"/>
    <w:rsid w:val="68866F70"/>
    <w:rsid w:val="68981E63"/>
    <w:rsid w:val="68A47863"/>
    <w:rsid w:val="68C72940"/>
    <w:rsid w:val="68E16F80"/>
    <w:rsid w:val="68EF0FB9"/>
    <w:rsid w:val="69472405"/>
    <w:rsid w:val="694B6A1B"/>
    <w:rsid w:val="69545323"/>
    <w:rsid w:val="6960320A"/>
    <w:rsid w:val="69710270"/>
    <w:rsid w:val="69A269A3"/>
    <w:rsid w:val="69DA12FC"/>
    <w:rsid w:val="6A14511D"/>
    <w:rsid w:val="6A7A6FA8"/>
    <w:rsid w:val="6A847E2A"/>
    <w:rsid w:val="6AF0649B"/>
    <w:rsid w:val="6AFA462A"/>
    <w:rsid w:val="6B0C5E52"/>
    <w:rsid w:val="6BC50D5F"/>
    <w:rsid w:val="6C024A02"/>
    <w:rsid w:val="6C2B3C4B"/>
    <w:rsid w:val="6C2F515F"/>
    <w:rsid w:val="6C552CA0"/>
    <w:rsid w:val="6C66732E"/>
    <w:rsid w:val="6CA77A7C"/>
    <w:rsid w:val="6CC712D9"/>
    <w:rsid w:val="6CE21866"/>
    <w:rsid w:val="6CF428C4"/>
    <w:rsid w:val="6D2013D5"/>
    <w:rsid w:val="6D331A94"/>
    <w:rsid w:val="6D374555"/>
    <w:rsid w:val="6D413DAD"/>
    <w:rsid w:val="6D4C69DA"/>
    <w:rsid w:val="6D5571DC"/>
    <w:rsid w:val="6D7741DF"/>
    <w:rsid w:val="6D835AC6"/>
    <w:rsid w:val="6DAA3701"/>
    <w:rsid w:val="6DAD6FA8"/>
    <w:rsid w:val="6DDB19AD"/>
    <w:rsid w:val="6E2B2829"/>
    <w:rsid w:val="6E9C6E03"/>
    <w:rsid w:val="6F010B22"/>
    <w:rsid w:val="6F125869"/>
    <w:rsid w:val="6F2C60ED"/>
    <w:rsid w:val="6F337B84"/>
    <w:rsid w:val="6F337E5B"/>
    <w:rsid w:val="6F4451D1"/>
    <w:rsid w:val="6F487CDD"/>
    <w:rsid w:val="701450FC"/>
    <w:rsid w:val="70157A94"/>
    <w:rsid w:val="7025204D"/>
    <w:rsid w:val="703B221B"/>
    <w:rsid w:val="70757CC7"/>
    <w:rsid w:val="707A385E"/>
    <w:rsid w:val="70902D7F"/>
    <w:rsid w:val="70D5415C"/>
    <w:rsid w:val="71080031"/>
    <w:rsid w:val="717C5CBF"/>
    <w:rsid w:val="723659A2"/>
    <w:rsid w:val="72391430"/>
    <w:rsid w:val="72515800"/>
    <w:rsid w:val="72683E78"/>
    <w:rsid w:val="72750C05"/>
    <w:rsid w:val="72CA7A07"/>
    <w:rsid w:val="72F316A6"/>
    <w:rsid w:val="73403348"/>
    <w:rsid w:val="734B2236"/>
    <w:rsid w:val="73693545"/>
    <w:rsid w:val="73751BE6"/>
    <w:rsid w:val="73907D5F"/>
    <w:rsid w:val="73B60231"/>
    <w:rsid w:val="74EB4DFB"/>
    <w:rsid w:val="74EE481B"/>
    <w:rsid w:val="750C5B34"/>
    <w:rsid w:val="7589009F"/>
    <w:rsid w:val="75966EA5"/>
    <w:rsid w:val="75BA64AB"/>
    <w:rsid w:val="75C61B18"/>
    <w:rsid w:val="75EA0E06"/>
    <w:rsid w:val="760626C8"/>
    <w:rsid w:val="7713573C"/>
    <w:rsid w:val="772D590B"/>
    <w:rsid w:val="775110C9"/>
    <w:rsid w:val="7751255B"/>
    <w:rsid w:val="779D6F26"/>
    <w:rsid w:val="77C65820"/>
    <w:rsid w:val="78174EAC"/>
    <w:rsid w:val="781F68DB"/>
    <w:rsid w:val="782B3951"/>
    <w:rsid w:val="784B14A0"/>
    <w:rsid w:val="78E5752E"/>
    <w:rsid w:val="78FD5230"/>
    <w:rsid w:val="794D76AB"/>
    <w:rsid w:val="79894D1B"/>
    <w:rsid w:val="799B3619"/>
    <w:rsid w:val="799F3E99"/>
    <w:rsid w:val="79E03564"/>
    <w:rsid w:val="79E9368D"/>
    <w:rsid w:val="79FE7D22"/>
    <w:rsid w:val="7A0925A4"/>
    <w:rsid w:val="7A8013DC"/>
    <w:rsid w:val="7AC8338F"/>
    <w:rsid w:val="7ADC51F9"/>
    <w:rsid w:val="7AE26719"/>
    <w:rsid w:val="7AEF72F4"/>
    <w:rsid w:val="7B330D36"/>
    <w:rsid w:val="7B3768D1"/>
    <w:rsid w:val="7B537863"/>
    <w:rsid w:val="7B9A6D9F"/>
    <w:rsid w:val="7BDE7B1B"/>
    <w:rsid w:val="7C165164"/>
    <w:rsid w:val="7C335718"/>
    <w:rsid w:val="7C375A39"/>
    <w:rsid w:val="7C4101D6"/>
    <w:rsid w:val="7C512411"/>
    <w:rsid w:val="7C94299A"/>
    <w:rsid w:val="7CEE43CA"/>
    <w:rsid w:val="7D3B4375"/>
    <w:rsid w:val="7D4E1CB7"/>
    <w:rsid w:val="7D503F18"/>
    <w:rsid w:val="7D6F2A9C"/>
    <w:rsid w:val="7D740501"/>
    <w:rsid w:val="7DA8459E"/>
    <w:rsid w:val="7DB4695F"/>
    <w:rsid w:val="7DBB54B6"/>
    <w:rsid w:val="7DD15491"/>
    <w:rsid w:val="7DDB683F"/>
    <w:rsid w:val="7E2A2BC9"/>
    <w:rsid w:val="7E2C6B4D"/>
    <w:rsid w:val="7E630568"/>
    <w:rsid w:val="7EAE210A"/>
    <w:rsid w:val="7EBF0A9D"/>
    <w:rsid w:val="7ED94CCA"/>
    <w:rsid w:val="7EED7801"/>
    <w:rsid w:val="7EF078C3"/>
    <w:rsid w:val="7EFA0259"/>
    <w:rsid w:val="7F2D13D0"/>
    <w:rsid w:val="7F3B1BCA"/>
    <w:rsid w:val="7F4512DA"/>
    <w:rsid w:val="7F7C0DC9"/>
    <w:rsid w:val="7F9F0AC2"/>
    <w:rsid w:val="7FB01DB9"/>
    <w:rsid w:val="7FC7103B"/>
    <w:rsid w:val="7FE01104"/>
    <w:rsid w:val="7FE54296"/>
    <w:rsid w:val="7FF13E32"/>
    <w:rsid w:val="7FFD32E0"/>
    <w:rsid w:val="DEEE651C"/>
    <w:rsid w:val="EFBF869B"/>
    <w:rsid w:val="FFF64463"/>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nhideWhenUsed="0" w:uiPriority="0"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0"/>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1"/>
    <w:qFormat/>
    <w:uiPriority w:val="0"/>
    <w:pPr>
      <w:keepNext/>
      <w:keepLines/>
      <w:spacing w:before="260" w:after="260" w:line="416" w:lineRule="auto"/>
      <w:outlineLvl w:val="1"/>
    </w:pPr>
    <w:rPr>
      <w:rFonts w:ascii="Arial" w:hAnsi="Arial"/>
      <w:b/>
      <w:bCs/>
      <w:sz w:val="32"/>
      <w:szCs w:val="32"/>
    </w:rPr>
  </w:style>
  <w:style w:type="paragraph" w:styleId="5">
    <w:name w:val="heading 3"/>
    <w:basedOn w:val="1"/>
    <w:next w:val="1"/>
    <w:link w:val="42"/>
    <w:qFormat/>
    <w:uiPriority w:val="0"/>
    <w:pPr>
      <w:keepNext/>
      <w:keepLines/>
      <w:spacing w:before="260" w:after="260" w:line="416" w:lineRule="auto"/>
      <w:outlineLvl w:val="2"/>
    </w:pPr>
    <w:rPr>
      <w:b/>
      <w:bCs/>
      <w:sz w:val="32"/>
      <w:szCs w:val="32"/>
    </w:rPr>
  </w:style>
  <w:style w:type="paragraph" w:styleId="6">
    <w:name w:val="heading 4"/>
    <w:basedOn w:val="1"/>
    <w:next w:val="1"/>
    <w:link w:val="43"/>
    <w:qFormat/>
    <w:uiPriority w:val="0"/>
    <w:pPr>
      <w:keepNext/>
      <w:spacing w:line="440" w:lineRule="exact"/>
      <w:jc w:val="center"/>
      <w:outlineLvl w:val="3"/>
    </w:pPr>
    <w:rPr>
      <w:rFonts w:ascii="仿宋_GB2312" w:eastAsia="仿宋_GB2312"/>
      <w:sz w:val="28"/>
      <w:szCs w:val="28"/>
    </w:rPr>
  </w:style>
  <w:style w:type="paragraph" w:styleId="7">
    <w:name w:val="heading 8"/>
    <w:basedOn w:val="1"/>
    <w:next w:val="1"/>
    <w:link w:val="44"/>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0"/>
    </w:rPr>
  </w:style>
  <w:style w:type="character" w:default="1" w:styleId="33">
    <w:name w:val="Default Paragraph Font"/>
    <w:unhideWhenUsed/>
    <w:qFormat/>
    <w:uiPriority w:val="1"/>
  </w:style>
  <w:style w:type="table" w:default="1" w:styleId="31">
    <w:name w:val="Normal Table"/>
    <w:unhideWhenUsed/>
    <w:qFormat/>
    <w:uiPriority w:val="99"/>
    <w:tblPr>
      <w:tblCellMar>
        <w:top w:w="0" w:type="dxa"/>
        <w:left w:w="108" w:type="dxa"/>
        <w:bottom w:w="0" w:type="dxa"/>
        <w:right w:w="108" w:type="dxa"/>
      </w:tblCellMar>
    </w:tblPr>
  </w:style>
  <w:style w:type="paragraph" w:styleId="2">
    <w:name w:val="List Paragraph"/>
    <w:basedOn w:val="1"/>
    <w:next w:val="1"/>
    <w:link w:val="39"/>
    <w:qFormat/>
    <w:uiPriority w:val="0"/>
    <w:pPr>
      <w:ind w:firstLine="420" w:firstLineChars="200"/>
    </w:pPr>
    <w:rPr>
      <w:szCs w:val="21"/>
    </w:rPr>
  </w:style>
  <w:style w:type="paragraph" w:styleId="8">
    <w:name w:val="Normal Indent"/>
    <w:basedOn w:val="1"/>
    <w:link w:val="45"/>
    <w:qFormat/>
    <w:uiPriority w:val="0"/>
    <w:pPr>
      <w:ind w:firstLine="420"/>
    </w:pPr>
    <w:rPr>
      <w:szCs w:val="21"/>
    </w:rPr>
  </w:style>
  <w:style w:type="paragraph" w:styleId="9">
    <w:name w:val="Document Map"/>
    <w:basedOn w:val="1"/>
    <w:link w:val="46"/>
    <w:qFormat/>
    <w:uiPriority w:val="0"/>
    <w:pPr>
      <w:shd w:val="clear" w:color="auto" w:fill="000080"/>
    </w:pPr>
  </w:style>
  <w:style w:type="paragraph" w:styleId="10">
    <w:name w:val="toa heading"/>
    <w:basedOn w:val="1"/>
    <w:next w:val="1"/>
    <w:semiHidden/>
    <w:uiPriority w:val="0"/>
    <w:pPr>
      <w:spacing w:before="120"/>
    </w:pPr>
    <w:rPr>
      <w:rFonts w:ascii="Arial" w:hAnsi="Arial" w:cs="Arial"/>
      <w:sz w:val="24"/>
    </w:rPr>
  </w:style>
  <w:style w:type="paragraph" w:styleId="11">
    <w:name w:val="annotation text"/>
    <w:basedOn w:val="1"/>
    <w:link w:val="47"/>
    <w:qFormat/>
    <w:uiPriority w:val="0"/>
    <w:pPr>
      <w:jc w:val="left"/>
    </w:pPr>
  </w:style>
  <w:style w:type="paragraph" w:styleId="12">
    <w:name w:val="Body Text"/>
    <w:basedOn w:val="1"/>
    <w:link w:val="48"/>
    <w:qFormat/>
    <w:uiPriority w:val="0"/>
    <w:pPr>
      <w:spacing w:after="120"/>
    </w:pPr>
    <w:rPr>
      <w:kern w:val="0"/>
      <w:sz w:val="24"/>
    </w:rPr>
  </w:style>
  <w:style w:type="paragraph" w:styleId="13">
    <w:name w:val="Body Text Indent"/>
    <w:basedOn w:val="1"/>
    <w:link w:val="49"/>
    <w:qFormat/>
    <w:uiPriority w:val="0"/>
    <w:pPr>
      <w:ind w:firstLine="830" w:firstLineChars="352"/>
    </w:pPr>
    <w:rPr>
      <w:rFonts w:ascii="仿宋_GB2312" w:eastAsia="仿宋_GB2312"/>
      <w:kern w:val="0"/>
      <w:sz w:val="32"/>
      <w:szCs w:val="32"/>
    </w:rPr>
  </w:style>
  <w:style w:type="paragraph" w:styleId="14">
    <w:name w:val="Block Text"/>
    <w:basedOn w:val="1"/>
    <w:qFormat/>
    <w:uiPriority w:val="0"/>
    <w:pPr>
      <w:autoSpaceDE w:val="0"/>
      <w:autoSpaceDN w:val="0"/>
      <w:adjustRightInd w:val="0"/>
      <w:spacing w:line="500" w:lineRule="exact"/>
      <w:ind w:left="391" w:right="246"/>
    </w:pPr>
    <w:rPr>
      <w:rFonts w:ascii="仿宋_GB2312" w:eastAsia="仿宋_GB2312" w:cs="仿宋_GB2312"/>
      <w:kern w:val="0"/>
      <w:sz w:val="24"/>
    </w:rPr>
  </w:style>
  <w:style w:type="paragraph" w:styleId="15">
    <w:name w:val="toc 3"/>
    <w:basedOn w:val="1"/>
    <w:next w:val="1"/>
    <w:qFormat/>
    <w:uiPriority w:val="0"/>
    <w:pPr>
      <w:widowControl/>
      <w:spacing w:after="100" w:line="276" w:lineRule="auto"/>
      <w:ind w:left="440"/>
      <w:jc w:val="left"/>
    </w:pPr>
    <w:rPr>
      <w:rFonts w:ascii="Calibri" w:hAnsi="Calibri"/>
      <w:kern w:val="0"/>
      <w:sz w:val="22"/>
      <w:szCs w:val="22"/>
    </w:rPr>
  </w:style>
  <w:style w:type="paragraph" w:styleId="16">
    <w:name w:val="Plain Text"/>
    <w:basedOn w:val="1"/>
    <w:next w:val="1"/>
    <w:link w:val="50"/>
    <w:qFormat/>
    <w:uiPriority w:val="0"/>
    <w:rPr>
      <w:rFonts w:ascii="宋体" w:hAnsi="Courier New"/>
      <w:kern w:val="0"/>
      <w:szCs w:val="21"/>
    </w:rPr>
  </w:style>
  <w:style w:type="paragraph" w:styleId="17">
    <w:name w:val="Date"/>
    <w:basedOn w:val="1"/>
    <w:next w:val="1"/>
    <w:link w:val="51"/>
    <w:qFormat/>
    <w:uiPriority w:val="0"/>
    <w:pPr>
      <w:ind w:left="100" w:leftChars="2500"/>
    </w:pPr>
    <w:rPr>
      <w:rFonts w:ascii="宋体" w:hAnsi="Courier New"/>
      <w:kern w:val="0"/>
      <w:szCs w:val="21"/>
    </w:rPr>
  </w:style>
  <w:style w:type="paragraph" w:styleId="18">
    <w:name w:val="Body Text Indent 2"/>
    <w:basedOn w:val="1"/>
    <w:link w:val="52"/>
    <w:qFormat/>
    <w:uiPriority w:val="0"/>
    <w:pPr>
      <w:spacing w:after="120" w:line="480" w:lineRule="auto"/>
      <w:ind w:left="420" w:leftChars="200"/>
    </w:pPr>
    <w:rPr>
      <w:kern w:val="0"/>
      <w:sz w:val="24"/>
    </w:rPr>
  </w:style>
  <w:style w:type="paragraph" w:styleId="19">
    <w:name w:val="Balloon Text"/>
    <w:basedOn w:val="1"/>
    <w:link w:val="53"/>
    <w:qFormat/>
    <w:uiPriority w:val="0"/>
    <w:rPr>
      <w:sz w:val="18"/>
      <w:szCs w:val="18"/>
    </w:rPr>
  </w:style>
  <w:style w:type="paragraph" w:styleId="20">
    <w:name w:val="footer"/>
    <w:basedOn w:val="1"/>
    <w:link w:val="54"/>
    <w:qFormat/>
    <w:uiPriority w:val="0"/>
    <w:pPr>
      <w:tabs>
        <w:tab w:val="center" w:pos="4153"/>
        <w:tab w:val="right" w:pos="8306"/>
      </w:tabs>
      <w:snapToGrid w:val="0"/>
      <w:jc w:val="left"/>
    </w:pPr>
    <w:rPr>
      <w:sz w:val="18"/>
      <w:szCs w:val="18"/>
    </w:rPr>
  </w:style>
  <w:style w:type="paragraph" w:styleId="21">
    <w:name w:val="header"/>
    <w:basedOn w:val="1"/>
    <w:link w:val="55"/>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uiPriority w:val="0"/>
    <w:pPr>
      <w:tabs>
        <w:tab w:val="right" w:leader="dot" w:pos="8834"/>
      </w:tabs>
      <w:spacing w:before="120" w:after="120"/>
      <w:jc w:val="left"/>
    </w:pPr>
    <w:rPr>
      <w:b/>
      <w:bCs/>
      <w:caps/>
      <w:sz w:val="28"/>
      <w:szCs w:val="28"/>
    </w:rPr>
  </w:style>
  <w:style w:type="paragraph" w:styleId="23">
    <w:name w:val="Subtitle"/>
    <w:basedOn w:val="1"/>
    <w:next w:val="1"/>
    <w:link w:val="56"/>
    <w:qFormat/>
    <w:uiPriority w:val="0"/>
    <w:pPr>
      <w:spacing w:before="240" w:after="60" w:line="312" w:lineRule="auto"/>
      <w:jc w:val="center"/>
      <w:outlineLvl w:val="1"/>
    </w:pPr>
    <w:rPr>
      <w:rFonts w:ascii="Cambria" w:hAnsi="Cambria" w:eastAsia="方正楷体简体"/>
      <w:kern w:val="28"/>
      <w:sz w:val="32"/>
      <w:szCs w:val="32"/>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toc 2"/>
    <w:basedOn w:val="1"/>
    <w:next w:val="1"/>
    <w:qFormat/>
    <w:uiPriority w:val="0"/>
    <w:pPr>
      <w:ind w:left="420" w:leftChars="200"/>
    </w:pPr>
    <w:rPr>
      <w:szCs w:val="21"/>
    </w:rPr>
  </w:style>
  <w:style w:type="paragraph" w:styleId="26">
    <w:name w:val="HTML Preformatted"/>
    <w:basedOn w:val="1"/>
    <w:link w:val="58"/>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kern w:val="0"/>
      <w:sz w:val="20"/>
      <w:szCs w:val="20"/>
      <w:lang w:eastAsia="en-US"/>
    </w:rPr>
  </w:style>
  <w:style w:type="paragraph" w:styleId="27">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28">
    <w:name w:val="Title"/>
    <w:basedOn w:val="1"/>
    <w:next w:val="1"/>
    <w:link w:val="59"/>
    <w:qFormat/>
    <w:uiPriority w:val="0"/>
    <w:pPr>
      <w:spacing w:before="240" w:after="60"/>
      <w:jc w:val="center"/>
      <w:outlineLvl w:val="0"/>
    </w:pPr>
    <w:rPr>
      <w:rFonts w:ascii="Cambria" w:hAnsi="Cambria" w:eastAsia="方正小标宋简体"/>
      <w:b/>
      <w:bCs/>
      <w:sz w:val="32"/>
      <w:szCs w:val="32"/>
    </w:rPr>
  </w:style>
  <w:style w:type="paragraph" w:styleId="29">
    <w:name w:val="annotation subject"/>
    <w:basedOn w:val="11"/>
    <w:next w:val="11"/>
    <w:link w:val="60"/>
    <w:qFormat/>
    <w:uiPriority w:val="0"/>
    <w:rPr>
      <w:b/>
      <w:bCs/>
      <w:szCs w:val="21"/>
    </w:rPr>
  </w:style>
  <w:style w:type="paragraph" w:styleId="30">
    <w:name w:val="Body Text First Indent"/>
    <w:basedOn w:val="12"/>
    <w:link w:val="61"/>
    <w:qFormat/>
    <w:uiPriority w:val="0"/>
    <w:pPr>
      <w:spacing w:line="560" w:lineRule="exact"/>
      <w:ind w:firstLine="420" w:firstLineChars="100"/>
    </w:pPr>
    <w:rPr>
      <w:kern w:val="2"/>
      <w:sz w:val="21"/>
      <w:szCs w:val="22"/>
    </w:rPr>
  </w:style>
  <w:style w:type="table" w:styleId="32">
    <w:name w:val="Table Grid"/>
    <w:basedOn w:val="31"/>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列出段落 Char"/>
    <w:link w:val="2"/>
    <w:qFormat/>
    <w:uiPriority w:val="0"/>
    <w:rPr>
      <w:kern w:val="2"/>
      <w:sz w:val="21"/>
      <w:szCs w:val="21"/>
    </w:rPr>
  </w:style>
  <w:style w:type="character" w:customStyle="1" w:styleId="40">
    <w:name w:val="标题 1 Char"/>
    <w:link w:val="3"/>
    <w:qFormat/>
    <w:uiPriority w:val="0"/>
    <w:rPr>
      <w:b/>
      <w:bCs/>
      <w:kern w:val="44"/>
      <w:sz w:val="44"/>
      <w:szCs w:val="44"/>
    </w:rPr>
  </w:style>
  <w:style w:type="character" w:customStyle="1" w:styleId="41">
    <w:name w:val="标题 2 Char"/>
    <w:link w:val="4"/>
    <w:qFormat/>
    <w:uiPriority w:val="0"/>
    <w:rPr>
      <w:rFonts w:ascii="Arial" w:hAnsi="Arial" w:eastAsia="宋体"/>
      <w:b/>
      <w:bCs/>
      <w:kern w:val="2"/>
      <w:sz w:val="32"/>
      <w:szCs w:val="32"/>
      <w:lang w:val="en-US" w:eastAsia="zh-CN" w:bidi="ar-SA"/>
    </w:rPr>
  </w:style>
  <w:style w:type="character" w:customStyle="1" w:styleId="42">
    <w:name w:val="标题 3 Char"/>
    <w:link w:val="5"/>
    <w:qFormat/>
    <w:uiPriority w:val="0"/>
    <w:rPr>
      <w:b/>
      <w:bCs/>
      <w:kern w:val="2"/>
      <w:sz w:val="32"/>
      <w:szCs w:val="32"/>
    </w:rPr>
  </w:style>
  <w:style w:type="character" w:customStyle="1" w:styleId="43">
    <w:name w:val="标题 4 Char"/>
    <w:link w:val="6"/>
    <w:qFormat/>
    <w:uiPriority w:val="0"/>
    <w:rPr>
      <w:rFonts w:ascii="仿宋_GB2312" w:eastAsia="仿宋_GB2312" w:cs="仿宋_GB2312"/>
      <w:kern w:val="2"/>
      <w:sz w:val="28"/>
      <w:szCs w:val="28"/>
    </w:rPr>
  </w:style>
  <w:style w:type="character" w:customStyle="1" w:styleId="44">
    <w:name w:val="标题 8 Char"/>
    <w:link w:val="7"/>
    <w:qFormat/>
    <w:uiPriority w:val="0"/>
    <w:rPr>
      <w:rFonts w:ascii="Arial" w:hAnsi="Arial" w:eastAsia="黑体"/>
      <w:kern w:val="0"/>
      <w:sz w:val="24"/>
      <w:szCs w:val="20"/>
    </w:rPr>
  </w:style>
  <w:style w:type="character" w:customStyle="1" w:styleId="45">
    <w:name w:val="正文缩进 Char"/>
    <w:link w:val="8"/>
    <w:qFormat/>
    <w:uiPriority w:val="0"/>
    <w:rPr>
      <w:kern w:val="2"/>
      <w:sz w:val="21"/>
      <w:szCs w:val="21"/>
    </w:rPr>
  </w:style>
  <w:style w:type="character" w:customStyle="1" w:styleId="46">
    <w:name w:val="文档结构图 Char"/>
    <w:link w:val="9"/>
    <w:qFormat/>
    <w:uiPriority w:val="0"/>
    <w:rPr>
      <w:kern w:val="2"/>
      <w:sz w:val="21"/>
      <w:szCs w:val="24"/>
      <w:shd w:val="clear" w:color="auto" w:fill="000080"/>
    </w:rPr>
  </w:style>
  <w:style w:type="character" w:customStyle="1" w:styleId="47">
    <w:name w:val="批注文字 Char"/>
    <w:link w:val="11"/>
    <w:qFormat/>
    <w:uiPriority w:val="0"/>
    <w:rPr>
      <w:kern w:val="2"/>
      <w:sz w:val="21"/>
      <w:szCs w:val="24"/>
    </w:rPr>
  </w:style>
  <w:style w:type="character" w:customStyle="1" w:styleId="48">
    <w:name w:val="正文文本 Char"/>
    <w:link w:val="12"/>
    <w:qFormat/>
    <w:uiPriority w:val="0"/>
    <w:rPr>
      <w:sz w:val="24"/>
      <w:szCs w:val="24"/>
    </w:rPr>
  </w:style>
  <w:style w:type="character" w:customStyle="1" w:styleId="49">
    <w:name w:val="正文文本缩进 Char"/>
    <w:link w:val="13"/>
    <w:qFormat/>
    <w:uiPriority w:val="0"/>
    <w:rPr>
      <w:rFonts w:ascii="仿宋_GB2312" w:eastAsia="仿宋_GB2312"/>
      <w:sz w:val="32"/>
      <w:szCs w:val="32"/>
    </w:rPr>
  </w:style>
  <w:style w:type="character" w:customStyle="1" w:styleId="50">
    <w:name w:val="纯文本 Char"/>
    <w:link w:val="16"/>
    <w:qFormat/>
    <w:uiPriority w:val="0"/>
    <w:rPr>
      <w:rFonts w:ascii="宋体" w:hAnsi="Courier New"/>
      <w:sz w:val="21"/>
      <w:szCs w:val="21"/>
    </w:rPr>
  </w:style>
  <w:style w:type="character" w:customStyle="1" w:styleId="51">
    <w:name w:val="日期 Char"/>
    <w:link w:val="17"/>
    <w:qFormat/>
    <w:uiPriority w:val="0"/>
    <w:rPr>
      <w:rFonts w:ascii="宋体" w:hAnsi="Courier New"/>
      <w:sz w:val="21"/>
      <w:szCs w:val="21"/>
    </w:rPr>
  </w:style>
  <w:style w:type="character" w:customStyle="1" w:styleId="52">
    <w:name w:val="正文文本缩进 2 Char"/>
    <w:link w:val="18"/>
    <w:qFormat/>
    <w:uiPriority w:val="0"/>
    <w:rPr>
      <w:sz w:val="24"/>
      <w:szCs w:val="24"/>
    </w:rPr>
  </w:style>
  <w:style w:type="character" w:customStyle="1" w:styleId="53">
    <w:name w:val="批注框文本 Char"/>
    <w:link w:val="19"/>
    <w:qFormat/>
    <w:uiPriority w:val="0"/>
    <w:rPr>
      <w:kern w:val="2"/>
      <w:sz w:val="18"/>
      <w:szCs w:val="18"/>
    </w:rPr>
  </w:style>
  <w:style w:type="character" w:customStyle="1" w:styleId="54">
    <w:name w:val="页脚 Char"/>
    <w:link w:val="20"/>
    <w:qFormat/>
    <w:uiPriority w:val="0"/>
    <w:rPr>
      <w:kern w:val="2"/>
      <w:sz w:val="18"/>
      <w:szCs w:val="18"/>
    </w:rPr>
  </w:style>
  <w:style w:type="character" w:customStyle="1" w:styleId="55">
    <w:name w:val="页眉 Char"/>
    <w:link w:val="21"/>
    <w:qFormat/>
    <w:uiPriority w:val="0"/>
    <w:rPr>
      <w:kern w:val="2"/>
      <w:sz w:val="18"/>
      <w:szCs w:val="18"/>
    </w:rPr>
  </w:style>
  <w:style w:type="character" w:customStyle="1" w:styleId="56">
    <w:name w:val="副标题 Char"/>
    <w:link w:val="23"/>
    <w:qFormat/>
    <w:uiPriority w:val="0"/>
    <w:rPr>
      <w:rFonts w:ascii="Cambria" w:hAnsi="Cambria" w:eastAsia="方正楷体简体"/>
      <w:kern w:val="28"/>
      <w:sz w:val="32"/>
      <w:szCs w:val="32"/>
    </w:rPr>
  </w:style>
  <w:style w:type="character" w:customStyle="1" w:styleId="57">
    <w:name w:val="正文文本缩进 3 Char"/>
    <w:link w:val="24"/>
    <w:qFormat/>
    <w:uiPriority w:val="0"/>
    <w:rPr>
      <w:sz w:val="16"/>
      <w:szCs w:val="16"/>
    </w:rPr>
  </w:style>
  <w:style w:type="character" w:customStyle="1" w:styleId="58">
    <w:name w:val="HTML 预设格式 Char"/>
    <w:link w:val="26"/>
    <w:qFormat/>
    <w:uiPriority w:val="0"/>
    <w:rPr>
      <w:rFonts w:ascii="Courier New" w:hAnsi="Courier New" w:cs="Courier New"/>
      <w:lang w:eastAsia="en-US"/>
    </w:rPr>
  </w:style>
  <w:style w:type="character" w:customStyle="1" w:styleId="59">
    <w:name w:val="标题 Char"/>
    <w:link w:val="28"/>
    <w:qFormat/>
    <w:uiPriority w:val="0"/>
    <w:rPr>
      <w:rFonts w:ascii="Cambria" w:hAnsi="Cambria" w:eastAsia="方正小标宋简体"/>
      <w:b/>
      <w:bCs/>
      <w:kern w:val="2"/>
      <w:sz w:val="32"/>
      <w:szCs w:val="32"/>
    </w:rPr>
  </w:style>
  <w:style w:type="character" w:customStyle="1" w:styleId="60">
    <w:name w:val="批注主题 Char"/>
    <w:link w:val="29"/>
    <w:qFormat/>
    <w:uiPriority w:val="0"/>
    <w:rPr>
      <w:b/>
      <w:bCs/>
      <w:kern w:val="2"/>
      <w:sz w:val="21"/>
      <w:szCs w:val="21"/>
    </w:rPr>
  </w:style>
  <w:style w:type="character" w:customStyle="1" w:styleId="61">
    <w:name w:val="正文首行缩进 Char"/>
    <w:link w:val="30"/>
    <w:qFormat/>
    <w:uiPriority w:val="0"/>
    <w:rPr>
      <w:kern w:val="2"/>
      <w:sz w:val="21"/>
      <w:szCs w:val="22"/>
    </w:rPr>
  </w:style>
  <w:style w:type="character" w:customStyle="1" w:styleId="62">
    <w:name w:val="正文要点 Char Char"/>
    <w:link w:val="63"/>
    <w:qFormat/>
    <w:locked/>
    <w:uiPriority w:val="0"/>
    <w:rPr>
      <w:kern w:val="2"/>
      <w:sz w:val="21"/>
      <w:szCs w:val="21"/>
    </w:rPr>
  </w:style>
  <w:style w:type="paragraph" w:customStyle="1" w:styleId="63">
    <w:name w:val="正文要点"/>
    <w:basedOn w:val="1"/>
    <w:next w:val="64"/>
    <w:link w:val="62"/>
    <w:qFormat/>
    <w:uiPriority w:val="0"/>
    <w:pPr>
      <w:tabs>
        <w:tab w:val="left" w:pos="420"/>
      </w:tabs>
      <w:spacing w:line="360" w:lineRule="auto"/>
      <w:ind w:left="840" w:hanging="420"/>
    </w:pPr>
    <w:rPr>
      <w:szCs w:val="21"/>
    </w:rPr>
  </w:style>
  <w:style w:type="paragraph" w:customStyle="1" w:styleId="64">
    <w:name w:val="正文要点内容"/>
    <w:basedOn w:val="63"/>
    <w:link w:val="65"/>
    <w:qFormat/>
    <w:uiPriority w:val="0"/>
    <w:pPr>
      <w:tabs>
        <w:tab w:val="left" w:pos="840"/>
        <w:tab w:val="clear" w:pos="420"/>
      </w:tabs>
      <w:ind w:left="400" w:leftChars="400" w:firstLine="200" w:firstLineChars="200"/>
    </w:pPr>
  </w:style>
  <w:style w:type="character" w:customStyle="1" w:styleId="65">
    <w:name w:val="正文要点内容 Char Char"/>
    <w:link w:val="64"/>
    <w:qFormat/>
    <w:locked/>
    <w:uiPriority w:val="0"/>
    <w:rPr>
      <w:kern w:val="2"/>
      <w:sz w:val="21"/>
      <w:szCs w:val="21"/>
    </w:rPr>
  </w:style>
  <w:style w:type="character" w:customStyle="1" w:styleId="66">
    <w:name w:val="Title Char"/>
    <w:qFormat/>
    <w:locked/>
    <w:uiPriority w:val="0"/>
    <w:rPr>
      <w:rFonts w:ascii="Cambria" w:hAnsi="Cambria" w:eastAsia="方正小标宋简体" w:cs="Cambria"/>
      <w:b/>
      <w:bCs/>
      <w:kern w:val="2"/>
      <w:sz w:val="32"/>
      <w:szCs w:val="32"/>
    </w:rPr>
  </w:style>
  <w:style w:type="character" w:customStyle="1" w:styleId="67">
    <w:name w:val="Default Char"/>
    <w:link w:val="68"/>
    <w:qFormat/>
    <w:locked/>
    <w:uiPriority w:val="0"/>
    <w:rPr>
      <w:rFonts w:ascii="......." w:eastAsia="......."/>
      <w:color w:val="000000"/>
      <w:sz w:val="24"/>
      <w:szCs w:val="24"/>
      <w:lang w:val="en-US" w:eastAsia="zh-CN" w:bidi="ar-SA"/>
    </w:rPr>
  </w:style>
  <w:style w:type="paragraph" w:customStyle="1" w:styleId="68">
    <w:name w:val="Default"/>
    <w:link w:val="67"/>
    <w:qFormat/>
    <w:uiPriority w:val="0"/>
    <w:pPr>
      <w:widowControl w:val="0"/>
      <w:autoSpaceDE w:val="0"/>
      <w:autoSpaceDN w:val="0"/>
      <w:adjustRightInd w:val="0"/>
    </w:pPr>
    <w:rPr>
      <w:rFonts w:ascii="......." w:hAnsi="Times New Roman" w:eastAsia="......." w:cs="Times New Roman"/>
      <w:color w:val="000000"/>
      <w:sz w:val="24"/>
      <w:szCs w:val="24"/>
      <w:lang w:val="en-US" w:eastAsia="zh-CN" w:bidi="ar-SA"/>
    </w:rPr>
  </w:style>
  <w:style w:type="character" w:customStyle="1" w:styleId="69">
    <w:name w:val="样式2 字符"/>
    <w:link w:val="70"/>
    <w:qFormat/>
    <w:uiPriority w:val="0"/>
    <w:rPr>
      <w:rFonts w:ascii="楷体_GB2312" w:hAnsi="Arial" w:eastAsia="仿宋_GB2312"/>
      <w:kern w:val="2"/>
      <w:sz w:val="28"/>
      <w:szCs w:val="28"/>
    </w:rPr>
  </w:style>
  <w:style w:type="paragraph" w:customStyle="1" w:styleId="70">
    <w:name w:val="样式2"/>
    <w:basedOn w:val="1"/>
    <w:link w:val="69"/>
    <w:qFormat/>
    <w:uiPriority w:val="0"/>
    <w:pPr>
      <w:spacing w:line="560" w:lineRule="exact"/>
      <w:ind w:firstLine="561" w:firstLineChars="200"/>
    </w:pPr>
    <w:rPr>
      <w:rFonts w:ascii="楷体_GB2312" w:hAnsi="Arial" w:eastAsia="仿宋_GB2312"/>
      <w:sz w:val="28"/>
      <w:szCs w:val="28"/>
    </w:rPr>
  </w:style>
  <w:style w:type="character" w:customStyle="1" w:styleId="71">
    <w:name w:val="Date Char"/>
    <w:qFormat/>
    <w:locked/>
    <w:uiPriority w:val="0"/>
    <w:rPr>
      <w:rFonts w:ascii="宋体" w:hAnsi="Courier New" w:cs="宋体"/>
      <w:sz w:val="21"/>
      <w:szCs w:val="21"/>
    </w:rPr>
  </w:style>
  <w:style w:type="character" w:customStyle="1" w:styleId="72">
    <w:name w:val="Plain Text Char"/>
    <w:qFormat/>
    <w:locked/>
    <w:uiPriority w:val="0"/>
    <w:rPr>
      <w:rFonts w:ascii="宋体" w:hAnsi="Courier New" w:cs="宋体"/>
      <w:sz w:val="21"/>
      <w:szCs w:val="21"/>
    </w:rPr>
  </w:style>
  <w:style w:type="character" w:customStyle="1" w:styleId="73">
    <w:name w:val="批注主题 Char1"/>
    <w:qFormat/>
    <w:uiPriority w:val="0"/>
    <w:rPr>
      <w:b/>
      <w:bCs/>
      <w:kern w:val="2"/>
      <w:sz w:val="21"/>
      <w:szCs w:val="22"/>
    </w:rPr>
  </w:style>
  <w:style w:type="character" w:customStyle="1" w:styleId="74">
    <w:name w:val="Char Char4"/>
    <w:qFormat/>
    <w:uiPriority w:val="0"/>
    <w:rPr>
      <w:rFonts w:eastAsia="宋体"/>
      <w:b/>
      <w:bCs/>
      <w:kern w:val="44"/>
      <w:sz w:val="44"/>
      <w:szCs w:val="44"/>
      <w:lang w:val="en-US" w:eastAsia="zh-CN"/>
    </w:rPr>
  </w:style>
  <w:style w:type="character" w:customStyle="1" w:styleId="75">
    <w:name w:val="Body Text Indent 3 Char"/>
    <w:qFormat/>
    <w:locked/>
    <w:uiPriority w:val="0"/>
    <w:rPr>
      <w:rFonts w:ascii="Times New Roman" w:hAnsi="Times New Roman" w:cs="Times New Roman"/>
      <w:sz w:val="16"/>
      <w:szCs w:val="16"/>
    </w:rPr>
  </w:style>
  <w:style w:type="character" w:customStyle="1" w:styleId="76">
    <w:name w:val="样式1 字符"/>
    <w:link w:val="77"/>
    <w:qFormat/>
    <w:uiPriority w:val="0"/>
    <w:rPr>
      <w:rFonts w:ascii="宋体" w:hAnsi="宋体" w:cs="宋体"/>
      <w:sz w:val="21"/>
      <w:szCs w:val="21"/>
    </w:rPr>
  </w:style>
  <w:style w:type="paragraph" w:customStyle="1" w:styleId="77">
    <w:name w:val="样式1"/>
    <w:basedOn w:val="1"/>
    <w:link w:val="76"/>
    <w:qFormat/>
    <w:uiPriority w:val="0"/>
    <w:pPr>
      <w:tabs>
        <w:tab w:val="left" w:pos="1674"/>
      </w:tabs>
      <w:adjustRightInd w:val="0"/>
      <w:ind w:left="1674" w:hanging="1125"/>
      <w:textAlignment w:val="baseline"/>
    </w:pPr>
    <w:rPr>
      <w:rFonts w:ascii="宋体" w:hAnsi="宋体"/>
      <w:kern w:val="0"/>
      <w:szCs w:val="21"/>
    </w:rPr>
  </w:style>
  <w:style w:type="character" w:customStyle="1" w:styleId="78">
    <w:name w:val="正文首行缩进 Char1"/>
    <w:qFormat/>
    <w:uiPriority w:val="0"/>
    <w:rPr>
      <w:kern w:val="2"/>
      <w:sz w:val="21"/>
      <w:szCs w:val="24"/>
    </w:rPr>
  </w:style>
  <w:style w:type="character" w:customStyle="1" w:styleId="79">
    <w:name w:val="Subtitle Char"/>
    <w:qFormat/>
    <w:locked/>
    <w:uiPriority w:val="0"/>
    <w:rPr>
      <w:rFonts w:ascii="Cambria" w:hAnsi="Cambria" w:eastAsia="方正楷体简体" w:cs="Cambria"/>
      <w:kern w:val="28"/>
      <w:sz w:val="32"/>
      <w:szCs w:val="32"/>
    </w:rPr>
  </w:style>
  <w:style w:type="character" w:customStyle="1" w:styleId="80">
    <w:name w:val="Body Text Indent Char"/>
    <w:qFormat/>
    <w:locked/>
    <w:uiPriority w:val="0"/>
    <w:rPr>
      <w:rFonts w:ascii="仿宋_GB2312" w:hAnsi="Times New Roman" w:eastAsia="仿宋_GB2312" w:cs="仿宋_GB2312"/>
      <w:sz w:val="32"/>
      <w:szCs w:val="32"/>
    </w:rPr>
  </w:style>
  <w:style w:type="character" w:customStyle="1" w:styleId="81">
    <w:name w:val="Footer Char"/>
    <w:qFormat/>
    <w:locked/>
    <w:uiPriority w:val="0"/>
    <w:rPr>
      <w:rFonts w:ascii="Times New Roman" w:hAnsi="Times New Roman" w:cs="Times New Roman"/>
      <w:sz w:val="18"/>
      <w:szCs w:val="18"/>
    </w:rPr>
  </w:style>
  <w:style w:type="character" w:customStyle="1" w:styleId="82">
    <w:name w:val="日期 Char1"/>
    <w:qFormat/>
    <w:uiPriority w:val="0"/>
    <w:rPr>
      <w:kern w:val="2"/>
      <w:sz w:val="21"/>
      <w:szCs w:val="22"/>
    </w:rPr>
  </w:style>
  <w:style w:type="character" w:customStyle="1" w:styleId="83">
    <w:name w:val="无间隔 Char"/>
    <w:link w:val="84"/>
    <w:qFormat/>
    <w:locked/>
    <w:uiPriority w:val="0"/>
    <w:rPr>
      <w:rFonts w:cs="Calibri"/>
      <w:sz w:val="22"/>
      <w:szCs w:val="22"/>
      <w:lang w:val="en-US" w:eastAsia="zh-CN" w:bidi="ar-SA"/>
    </w:rPr>
  </w:style>
  <w:style w:type="paragraph" w:customStyle="1" w:styleId="84">
    <w:name w:val="无间隔1"/>
    <w:link w:val="83"/>
    <w:qFormat/>
    <w:uiPriority w:val="0"/>
    <w:rPr>
      <w:rFonts w:ascii="Times New Roman" w:hAnsi="Times New Roman" w:eastAsia="宋体" w:cs="Calibri"/>
      <w:sz w:val="22"/>
      <w:szCs w:val="22"/>
      <w:lang w:val="en-US" w:eastAsia="zh-CN" w:bidi="ar-SA"/>
    </w:rPr>
  </w:style>
  <w:style w:type="character" w:customStyle="1" w:styleId="85">
    <w:name w:val="标题 2 Char1"/>
    <w:qFormat/>
    <w:uiPriority w:val="0"/>
    <w:rPr>
      <w:rFonts w:ascii="Arial" w:hAnsi="Arial"/>
      <w:b/>
      <w:bCs/>
      <w:kern w:val="2"/>
      <w:sz w:val="28"/>
      <w:szCs w:val="32"/>
    </w:rPr>
  </w:style>
  <w:style w:type="character" w:customStyle="1" w:styleId="86">
    <w:name w:val="case31"/>
    <w:qFormat/>
    <w:uiPriority w:val="0"/>
    <w:rPr>
      <w:sz w:val="21"/>
      <w:szCs w:val="21"/>
    </w:rPr>
  </w:style>
  <w:style w:type="character" w:customStyle="1" w:styleId="87">
    <w:name w:val="正文文本缩进 2 Char1"/>
    <w:qFormat/>
    <w:uiPriority w:val="0"/>
    <w:rPr>
      <w:kern w:val="2"/>
      <w:sz w:val="21"/>
      <w:szCs w:val="22"/>
    </w:rPr>
  </w:style>
  <w:style w:type="character" w:customStyle="1" w:styleId="88">
    <w:name w:val="正文文本首行缩进 字符1"/>
    <w:qFormat/>
    <w:uiPriority w:val="0"/>
    <w:rPr>
      <w:kern w:val="2"/>
      <w:sz w:val="21"/>
      <w:szCs w:val="24"/>
    </w:rPr>
  </w:style>
  <w:style w:type="character" w:customStyle="1" w:styleId="89">
    <w:name w:val="普通文字 Char"/>
    <w:qFormat/>
    <w:uiPriority w:val="0"/>
    <w:rPr>
      <w:rFonts w:ascii="宋体" w:hAnsi="Courier New" w:cs="宋体"/>
      <w:sz w:val="21"/>
      <w:szCs w:val="21"/>
    </w:rPr>
  </w:style>
  <w:style w:type="character" w:customStyle="1" w:styleId="90">
    <w:name w:val="Header Char"/>
    <w:qFormat/>
    <w:locked/>
    <w:uiPriority w:val="0"/>
    <w:rPr>
      <w:rFonts w:ascii="Times New Roman" w:hAnsi="Times New Roman" w:cs="Times New Roman"/>
      <w:sz w:val="18"/>
      <w:szCs w:val="18"/>
    </w:rPr>
  </w:style>
  <w:style w:type="character" w:customStyle="1" w:styleId="91">
    <w:name w:val="标题 Char1"/>
    <w:qFormat/>
    <w:uiPriority w:val="0"/>
    <w:rPr>
      <w:rFonts w:ascii="Cambria" w:hAnsi="Cambria" w:cs="Times New Roman"/>
      <w:b/>
      <w:bCs/>
      <w:kern w:val="2"/>
      <w:sz w:val="32"/>
      <w:szCs w:val="32"/>
    </w:rPr>
  </w:style>
  <w:style w:type="character" w:customStyle="1" w:styleId="92">
    <w:name w:val="Body Text Indent 2 Char"/>
    <w:qFormat/>
    <w:locked/>
    <w:uiPriority w:val="0"/>
    <w:rPr>
      <w:rFonts w:ascii="Times New Roman" w:hAnsi="Times New Roman" w:cs="Times New Roman"/>
      <w:sz w:val="24"/>
      <w:szCs w:val="24"/>
    </w:rPr>
  </w:style>
  <w:style w:type="character" w:customStyle="1" w:styleId="93">
    <w:name w:val="Body Text Char"/>
    <w:qFormat/>
    <w:locked/>
    <w:uiPriority w:val="0"/>
    <w:rPr>
      <w:rFonts w:ascii="Times New Roman" w:hAnsi="Times New Roman" w:cs="Times New Roman"/>
      <w:sz w:val="24"/>
      <w:szCs w:val="24"/>
    </w:rPr>
  </w:style>
  <w:style w:type="paragraph" w:customStyle="1" w:styleId="94">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Cs w:val="21"/>
    </w:rPr>
  </w:style>
  <w:style w:type="paragraph" w:styleId="95">
    <w:name w:val="No Spacing"/>
    <w:qFormat/>
    <w:uiPriority w:val="0"/>
    <w:rPr>
      <w:rFonts w:ascii="Times New Roman" w:hAnsi="Times New Roman" w:eastAsia="宋体" w:cs="Calibri"/>
      <w:sz w:val="22"/>
      <w:szCs w:val="22"/>
      <w:lang w:val="en-US" w:eastAsia="zh-CN" w:bidi="ar-SA"/>
    </w:rPr>
  </w:style>
  <w:style w:type="paragraph" w:customStyle="1" w:styleId="96">
    <w:name w:val="Char"/>
    <w:basedOn w:val="1"/>
    <w:qFormat/>
    <w:uiPriority w:val="0"/>
    <w:rPr>
      <w:szCs w:val="21"/>
    </w:rPr>
  </w:style>
  <w:style w:type="paragraph" w:customStyle="1" w:styleId="97">
    <w:name w:val="xl74"/>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b/>
      <w:bCs/>
      <w:kern w:val="0"/>
      <w:szCs w:val="21"/>
    </w:rPr>
  </w:style>
  <w:style w:type="paragraph" w:customStyle="1" w:styleId="98">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99">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00">
    <w:name w:val="_Style 99"/>
    <w:qFormat/>
    <w:uiPriority w:val="0"/>
    <w:rPr>
      <w:rFonts w:ascii="Times New Roman" w:hAnsi="Times New Roman" w:eastAsia="宋体" w:cs="Times New Roman"/>
      <w:kern w:val="2"/>
      <w:sz w:val="21"/>
      <w:szCs w:val="21"/>
      <w:lang w:val="en-US" w:eastAsia="zh-CN" w:bidi="ar-SA"/>
    </w:rPr>
  </w:style>
  <w:style w:type="paragraph" w:customStyle="1" w:styleId="101">
    <w:name w:val="xl93"/>
    <w:basedOn w:val="1"/>
    <w:qFormat/>
    <w:uiPriority w:val="0"/>
    <w:pPr>
      <w:widowControl/>
      <w:pBdr>
        <w:top w:val="single" w:color="auto" w:sz="4" w:space="0"/>
        <w:left w:val="single" w:color="auto" w:sz="8"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02">
    <w:name w:val="_Style 101"/>
    <w:basedOn w:val="3"/>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customStyle="1" w:styleId="103">
    <w:name w:val="xl81"/>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04">
    <w:name w:val="xl9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05">
    <w:name w:val="xl72"/>
    <w:basedOn w:val="1"/>
    <w:qFormat/>
    <w:uiPriority w:val="0"/>
    <w:pPr>
      <w:widowControl/>
      <w:pBdr>
        <w:bottom w:val="single" w:color="auto" w:sz="8" w:space="0"/>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06">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top"/>
    </w:pPr>
    <w:rPr>
      <w:rFonts w:ascii="宋体" w:hAnsi="宋体" w:cs="宋体"/>
      <w:kern w:val="0"/>
      <w:szCs w:val="21"/>
    </w:rPr>
  </w:style>
  <w:style w:type="paragraph" w:customStyle="1" w:styleId="107">
    <w:name w:val="xl69"/>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08">
    <w:name w:val="xl67"/>
    <w:basedOn w:val="1"/>
    <w:qFormat/>
    <w:uiPriority w:val="0"/>
    <w:pPr>
      <w:widowControl/>
      <w:pBdr>
        <w:left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09">
    <w:name w:val="xl99"/>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0">
    <w:name w:val="Table Paragraph"/>
    <w:basedOn w:val="1"/>
    <w:qFormat/>
    <w:uiPriority w:val="1"/>
    <w:pPr>
      <w:ind w:left="-2"/>
    </w:pPr>
    <w:rPr>
      <w:rFonts w:ascii="宋体" w:hAnsi="宋体" w:eastAsia="宋体" w:cs="宋体"/>
    </w:rPr>
  </w:style>
  <w:style w:type="paragraph" w:customStyle="1" w:styleId="111">
    <w:name w:val="xl98"/>
    <w:basedOn w:val="1"/>
    <w:qFormat/>
    <w:uiPriority w:val="0"/>
    <w:pPr>
      <w:widowControl/>
      <w:pBdr>
        <w:top w:val="single" w:color="auto" w:sz="4" w:space="0"/>
        <w:left w:val="single" w:color="auto" w:sz="8"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2">
    <w:name w:val="默认段落字体 Para Char Char Char Char"/>
    <w:basedOn w:val="1"/>
    <w:qFormat/>
    <w:uiPriority w:val="0"/>
    <w:rPr>
      <w:szCs w:val="21"/>
    </w:rPr>
  </w:style>
  <w:style w:type="paragraph" w:customStyle="1" w:styleId="113">
    <w:name w:val="Char1 Char Char Char"/>
    <w:basedOn w:val="1"/>
    <w:qFormat/>
    <w:uiPriority w:val="0"/>
    <w:rPr>
      <w:rFonts w:eastAsia="仿宋_GB2312"/>
      <w:sz w:val="28"/>
      <w:szCs w:val="28"/>
    </w:rPr>
  </w:style>
  <w:style w:type="paragraph" w:customStyle="1" w:styleId="114">
    <w:name w:val="xl27"/>
    <w:basedOn w:val="1"/>
    <w:qFormat/>
    <w:uiPriority w:val="0"/>
    <w:pPr>
      <w:widowControl/>
      <w:spacing w:before="100" w:beforeAutospacing="1" w:after="100" w:afterAutospacing="1"/>
      <w:jc w:val="center"/>
      <w:textAlignment w:val="center"/>
    </w:pPr>
    <w:rPr>
      <w:rFonts w:ascii="华文细黑" w:hAnsi="华文细黑" w:eastAsia="华文细黑" w:cs="华文细黑"/>
      <w:b/>
      <w:bCs/>
      <w:kern w:val="0"/>
      <w:sz w:val="22"/>
      <w:szCs w:val="22"/>
    </w:rPr>
  </w:style>
  <w:style w:type="paragraph" w:customStyle="1" w:styleId="115">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cs="宋体"/>
      <w:kern w:val="0"/>
      <w:szCs w:val="21"/>
    </w:rPr>
  </w:style>
  <w:style w:type="paragraph" w:customStyle="1" w:styleId="116">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7">
    <w:name w:val="xl84"/>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8">
    <w:name w:val="xl71"/>
    <w:basedOn w:val="1"/>
    <w:qFormat/>
    <w:uiPriority w:val="0"/>
    <w:pPr>
      <w:widowControl/>
      <w:pBdr>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19">
    <w:name w:val="font7"/>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20">
    <w:name w:val="TOC 标题1"/>
    <w:basedOn w:val="3"/>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customStyle="1" w:styleId="121">
    <w:name w:val="xl102"/>
    <w:basedOn w:val="1"/>
    <w:qFormat/>
    <w:uiPriority w:val="0"/>
    <w:pPr>
      <w:widowControl/>
      <w:pBdr>
        <w:top w:val="single" w:color="auto" w:sz="4" w:space="0"/>
        <w:left w:val="single" w:color="auto" w:sz="4" w:space="0"/>
        <w:bottom w:val="single" w:color="auto" w:sz="8"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22">
    <w:name w:val="xl9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23">
    <w:name w:val="修订1"/>
    <w:qFormat/>
    <w:uiPriority w:val="0"/>
    <w:rPr>
      <w:rFonts w:ascii="Times New Roman" w:hAnsi="Times New Roman" w:eastAsia="宋体" w:cs="Times New Roman"/>
      <w:kern w:val="2"/>
      <w:sz w:val="21"/>
      <w:szCs w:val="21"/>
      <w:lang w:val="en-US" w:eastAsia="zh-CN" w:bidi="ar-SA"/>
    </w:rPr>
  </w:style>
  <w:style w:type="paragraph" w:customStyle="1" w:styleId="124">
    <w:name w:val="样式 标题 3h3Level 3 HeadH3Heading 3 - oldlevel_3PIM 3BOD 0s..."/>
    <w:basedOn w:val="5"/>
    <w:qFormat/>
    <w:uiPriority w:val="0"/>
    <w:pPr>
      <w:tabs>
        <w:tab w:val="left" w:pos="0"/>
      </w:tabs>
      <w:adjustRightInd w:val="0"/>
      <w:spacing w:before="0" w:after="0" w:line="500" w:lineRule="exact"/>
      <w:textAlignment w:val="baseline"/>
    </w:pPr>
    <w:rPr>
      <w:kern w:val="0"/>
      <w:sz w:val="28"/>
      <w:szCs w:val="28"/>
    </w:rPr>
  </w:style>
  <w:style w:type="paragraph" w:customStyle="1" w:styleId="125">
    <w:name w:val="xl9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26">
    <w:name w:val="xl66"/>
    <w:basedOn w:val="1"/>
    <w:qFormat/>
    <w:uiPriority w:val="0"/>
    <w:pPr>
      <w:widowControl/>
      <w:pBdr>
        <w:left w:val="single" w:color="auto" w:sz="8" w:space="0"/>
      </w:pBdr>
      <w:spacing w:before="100" w:beforeAutospacing="1" w:after="100" w:afterAutospacing="1"/>
      <w:jc w:val="left"/>
      <w:textAlignment w:val="center"/>
    </w:pPr>
    <w:rPr>
      <w:rFonts w:ascii="宋体" w:hAnsi="宋体" w:cs="宋体"/>
      <w:b/>
      <w:bCs/>
      <w:kern w:val="0"/>
      <w:szCs w:val="21"/>
    </w:rPr>
  </w:style>
  <w:style w:type="paragraph" w:customStyle="1" w:styleId="127">
    <w:name w:val="列出段落1"/>
    <w:basedOn w:val="1"/>
    <w:qFormat/>
    <w:uiPriority w:val="0"/>
    <w:pPr>
      <w:ind w:firstLine="420" w:firstLineChars="200"/>
    </w:pPr>
    <w:rPr>
      <w:szCs w:val="21"/>
    </w:rPr>
  </w:style>
  <w:style w:type="paragraph" w:customStyle="1" w:styleId="128">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29">
    <w:name w:val="xl100"/>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30">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31">
    <w:name w:val="xl91"/>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32">
    <w:name w:val="Blockquote"/>
    <w:basedOn w:val="1"/>
    <w:qFormat/>
    <w:uiPriority w:val="0"/>
    <w:pPr>
      <w:autoSpaceDE w:val="0"/>
      <w:autoSpaceDN w:val="0"/>
      <w:adjustRightInd w:val="0"/>
      <w:spacing w:before="100" w:after="100"/>
      <w:ind w:left="360" w:right="360"/>
      <w:jc w:val="left"/>
    </w:pPr>
    <w:rPr>
      <w:kern w:val="0"/>
      <w:sz w:val="32"/>
      <w:szCs w:val="20"/>
    </w:rPr>
  </w:style>
  <w:style w:type="paragraph" w:customStyle="1" w:styleId="133">
    <w:name w:val="xl73"/>
    <w:basedOn w:val="1"/>
    <w:qFormat/>
    <w:uiPriority w:val="0"/>
    <w:pPr>
      <w:widowControl/>
      <w:spacing w:before="100" w:beforeAutospacing="1" w:after="100" w:afterAutospacing="1"/>
      <w:jc w:val="left"/>
      <w:textAlignment w:val="center"/>
    </w:pPr>
    <w:rPr>
      <w:rFonts w:ascii="宋体" w:hAnsi="宋体" w:cs="宋体"/>
      <w:b/>
      <w:bCs/>
      <w:kern w:val="0"/>
      <w:szCs w:val="21"/>
    </w:rPr>
  </w:style>
  <w:style w:type="paragraph" w:customStyle="1" w:styleId="134">
    <w:name w:val="xl70"/>
    <w:basedOn w:val="1"/>
    <w:qFormat/>
    <w:uiPriority w:val="0"/>
    <w:pPr>
      <w:widowControl/>
      <w:pBdr>
        <w:left w:val="single" w:color="auto" w:sz="8" w:space="0"/>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5">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36">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37">
    <w:name w:val="xl101"/>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38">
    <w:name w:val="正文格式"/>
    <w:basedOn w:val="1"/>
    <w:qFormat/>
    <w:uiPriority w:val="0"/>
    <w:pPr>
      <w:widowControl/>
      <w:adjustRightInd w:val="0"/>
      <w:snapToGrid w:val="0"/>
      <w:spacing w:line="400" w:lineRule="atLeast"/>
      <w:ind w:firstLine="482"/>
      <w:textAlignment w:val="baseline"/>
    </w:pPr>
    <w:rPr>
      <w:kern w:val="0"/>
      <w:sz w:val="24"/>
    </w:rPr>
  </w:style>
  <w:style w:type="paragraph" w:customStyle="1" w:styleId="139">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kern w:val="0"/>
      <w:szCs w:val="21"/>
    </w:rPr>
  </w:style>
  <w:style w:type="paragraph" w:customStyle="1" w:styleId="140">
    <w:name w:val="xl86"/>
    <w:basedOn w:val="1"/>
    <w:qFormat/>
    <w:uiPriority w:val="0"/>
    <w:pPr>
      <w:widowControl/>
      <w:shd w:val="clear" w:color="000000" w:fill="F2F2F2"/>
      <w:spacing w:before="100" w:beforeAutospacing="1" w:after="100" w:afterAutospacing="1"/>
      <w:jc w:val="left"/>
    </w:pPr>
    <w:rPr>
      <w:rFonts w:ascii="宋体" w:hAnsi="宋体" w:cs="宋体"/>
      <w:kern w:val="0"/>
      <w:sz w:val="24"/>
    </w:rPr>
  </w:style>
  <w:style w:type="paragraph" w:customStyle="1" w:styleId="141">
    <w:name w:val="xl87"/>
    <w:basedOn w:val="1"/>
    <w:qFormat/>
    <w:uiPriority w:val="0"/>
    <w:pPr>
      <w:widowControl/>
      <w:pBdr>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42">
    <w:name w:val="xl94"/>
    <w:basedOn w:val="1"/>
    <w:qFormat/>
    <w:uiPriority w:val="0"/>
    <w:pPr>
      <w:widowControl/>
      <w:pBdr>
        <w:top w:val="single" w:color="auto" w:sz="4" w:space="0"/>
        <w:left w:val="single" w:color="auto" w:sz="4" w:space="0"/>
        <w:bottom w:val="single" w:color="auto" w:sz="4"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43">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44">
    <w:name w:val="Bullet"/>
    <w:basedOn w:val="1"/>
    <w:qFormat/>
    <w:uiPriority w:val="0"/>
    <w:pPr>
      <w:widowControl/>
      <w:adjustRightInd w:val="0"/>
      <w:spacing w:before="60" w:after="60" w:line="500" w:lineRule="exact"/>
      <w:ind w:firstLine="551" w:firstLineChars="196"/>
    </w:pPr>
    <w:rPr>
      <w:rFonts w:ascii="宋体" w:hAnsi="宋体" w:cs="宋体"/>
      <w:b/>
      <w:bCs/>
      <w:color w:val="333333"/>
      <w:kern w:val="0"/>
      <w:sz w:val="28"/>
      <w:szCs w:val="28"/>
    </w:rPr>
  </w:style>
  <w:style w:type="paragraph" w:customStyle="1" w:styleId="145">
    <w:name w:val="font6"/>
    <w:basedOn w:val="1"/>
    <w:qFormat/>
    <w:uiPriority w:val="0"/>
    <w:pPr>
      <w:widowControl/>
      <w:spacing w:before="100" w:beforeAutospacing="1" w:after="100" w:afterAutospacing="1"/>
      <w:jc w:val="left"/>
    </w:pPr>
    <w:rPr>
      <w:kern w:val="0"/>
      <w:szCs w:val="21"/>
    </w:rPr>
  </w:style>
  <w:style w:type="paragraph" w:customStyle="1" w:styleId="146">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47">
    <w:name w:val="默认段落字体 Para Char Char Char Char Char Char Char Char Char Char"/>
    <w:basedOn w:val="1"/>
    <w:qFormat/>
    <w:uiPriority w:val="0"/>
    <w:rPr>
      <w:rFonts w:ascii="Tahoma" w:hAnsi="Tahoma" w:cs="Tahoma"/>
      <w:sz w:val="24"/>
    </w:rPr>
  </w:style>
  <w:style w:type="paragraph" w:customStyle="1" w:styleId="148">
    <w:name w:val="xl33"/>
    <w:basedOn w:val="1"/>
    <w:qFormat/>
    <w:uiPriority w:val="0"/>
    <w:pPr>
      <w:widowControl/>
      <w:spacing w:before="100" w:beforeAutospacing="1" w:after="100" w:afterAutospacing="1"/>
      <w:jc w:val="center"/>
      <w:textAlignment w:val="center"/>
    </w:pPr>
    <w:rPr>
      <w:rFonts w:ascii="黑体" w:hAnsi="Arial Unicode MS" w:eastAsia="黑体" w:cs="黑体"/>
      <w:kern w:val="0"/>
      <w:sz w:val="22"/>
      <w:szCs w:val="22"/>
    </w:rPr>
  </w:style>
  <w:style w:type="paragraph" w:customStyle="1" w:styleId="149">
    <w:name w:val="xl90"/>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0">
    <w:name w:val="Char Char1 Char Char Char Char Char Char Char Char Char Char Char Char Char Char Char"/>
    <w:basedOn w:val="1"/>
    <w:qFormat/>
    <w:uiPriority w:val="0"/>
    <w:pPr>
      <w:widowControl/>
      <w:spacing w:after="160" w:line="240" w:lineRule="exact"/>
      <w:jc w:val="left"/>
    </w:pPr>
    <w:rPr>
      <w:rFonts w:ascii="Verdana" w:hAnsi="Verdana" w:cs="Verdana"/>
      <w:kern w:val="0"/>
      <w:sz w:val="20"/>
      <w:szCs w:val="20"/>
      <w:lang w:eastAsia="en-US"/>
    </w:rPr>
  </w:style>
  <w:style w:type="paragraph" w:customStyle="1" w:styleId="151">
    <w:name w:val="xl92"/>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2">
    <w:name w:val="font8"/>
    <w:basedOn w:val="1"/>
    <w:qFormat/>
    <w:uiPriority w:val="0"/>
    <w:pPr>
      <w:widowControl/>
      <w:spacing w:before="100" w:beforeAutospacing="1" w:after="100" w:afterAutospacing="1"/>
      <w:jc w:val="left"/>
    </w:pPr>
    <w:rPr>
      <w:rFonts w:ascii="黑体" w:hAnsi="Arial Unicode MS" w:eastAsia="黑体" w:cs="黑体"/>
      <w:kern w:val="0"/>
      <w:sz w:val="22"/>
      <w:szCs w:val="22"/>
    </w:rPr>
  </w:style>
  <w:style w:type="paragraph" w:customStyle="1" w:styleId="153">
    <w:name w:val="xl68"/>
    <w:basedOn w:val="1"/>
    <w:qFormat/>
    <w:uiPriority w:val="0"/>
    <w:pPr>
      <w:widowControl/>
      <w:spacing w:before="100" w:beforeAutospacing="1" w:after="100" w:afterAutospacing="1"/>
      <w:jc w:val="left"/>
      <w:textAlignment w:val="center"/>
    </w:pPr>
    <w:rPr>
      <w:rFonts w:ascii="宋体" w:hAnsi="宋体" w:cs="宋体"/>
      <w:kern w:val="0"/>
      <w:szCs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6.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theme" Target="theme/theme1.xml"/><Relationship Id="rId22" Type="http://schemas.openxmlformats.org/officeDocument/2006/relationships/footer" Target="footer7.xml"/><Relationship Id="rId21" Type="http://schemas.openxmlformats.org/officeDocument/2006/relationships/footer" Target="footer6.xml"/><Relationship Id="rId20" Type="http://schemas.openxmlformats.org/officeDocument/2006/relationships/header" Target="header13.xml"/><Relationship Id="rId2" Type="http://schemas.openxmlformats.org/officeDocument/2006/relationships/settings" Target="settings.xml"/><Relationship Id="rId19" Type="http://schemas.openxmlformats.org/officeDocument/2006/relationships/header" Target="header12.xml"/><Relationship Id="rId18" Type="http://schemas.openxmlformats.org/officeDocument/2006/relationships/header" Target="header11.xml"/><Relationship Id="rId17" Type="http://schemas.openxmlformats.org/officeDocument/2006/relationships/footer" Target="footer5.xml"/><Relationship Id="rId16" Type="http://schemas.openxmlformats.org/officeDocument/2006/relationships/footer" Target="footer4.xml"/><Relationship Id="rId15" Type="http://schemas.openxmlformats.org/officeDocument/2006/relationships/header" Target="header10.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footer" Target="footer3.xml"/><Relationship Id="rId11" Type="http://schemas.openxmlformats.org/officeDocument/2006/relationships/header" Target="header7.xml"/><Relationship Id="rId10" Type="http://schemas.openxmlformats.org/officeDocument/2006/relationships/footer" Target="footer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番茄花园</Company>
  <Pages>119</Pages>
  <Words>9085</Words>
  <Characters>10033</Characters>
  <Lines>432</Lines>
  <Paragraphs>121</Paragraphs>
  <TotalTime>110</TotalTime>
  <ScaleCrop>false</ScaleCrop>
  <LinksUpToDate>false</LinksUpToDate>
  <CharactersWithSpaces>10115</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2026-09-04T06:59:00Z</dcterms:created>
  <dc:creator>番茄花园</dc:creator>
  <cp:lastModifiedBy>yanlong fu</cp:lastModifiedBy>
  <cp:lastPrinted>2012-07-17T10:56:00Z</cp:lastPrinted>
  <dcterms:modified xsi:type="dcterms:W3CDTF">2026-09-15T07:50:16Z</dcterms:modified>
  <dc:title>盘锦市政府采购项目预算表</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2BCD9B3682AA419C8DE421DF0C326CCB_13</vt:lpwstr>
  </property>
  <property fmtid="{D5CDD505-2E9C-101B-9397-08002B2CF9AE}" pid="4" name="KSOTemplateDocerSaveRecord">
    <vt:lpwstr>eyJoZGlkIjoiYWNmNmQyNmY2ZTVkMjAxYTg1NmNlY2FlNzU3NGRkOWMiLCJ1c2VySWQiOiIxODA4Nzk4ODcxIn0=</vt:lpwstr>
  </property>
</Properties>
</file>