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F17ED">
      <w:pPr>
        <w:shd w:val="clear"/>
        <w:snapToGrid w:val="0"/>
        <w:jc w:val="center"/>
        <w:rPr>
          <w:rFonts w:hint="eastAsia" w:ascii="方正小标宋简体" w:hAnsi="黑体" w:eastAsia="方正小标宋简体" w:cs="方正小标宋简体"/>
          <w:color w:val="auto"/>
          <w:kern w:val="0"/>
          <w:sz w:val="56"/>
          <w:szCs w:val="56"/>
          <w:highlight w:val="none"/>
        </w:rPr>
      </w:pPr>
    </w:p>
    <w:p w14:paraId="19E087C9">
      <w:pPr>
        <w:shd w:val="clear"/>
        <w:snapToGrid w:val="0"/>
        <w:jc w:val="center"/>
        <w:rPr>
          <w:rFonts w:hint="eastAsia" w:ascii="方正小标宋简体" w:hAnsi="黑体" w:eastAsia="方正小标宋简体" w:cs="方正小标宋简体"/>
          <w:color w:val="auto"/>
          <w:kern w:val="0"/>
          <w:sz w:val="56"/>
          <w:szCs w:val="56"/>
          <w:highlight w:val="none"/>
        </w:rPr>
      </w:pPr>
    </w:p>
    <w:p w14:paraId="420A9EE1">
      <w:pPr>
        <w:shd w:val="clear"/>
        <w:snapToGrid w:val="0"/>
        <w:jc w:val="center"/>
        <w:rPr>
          <w:rFonts w:hint="eastAsia" w:ascii="方正小标宋简体" w:hAnsi="黑体" w:eastAsia="方正小标宋简体" w:cs="方正小标宋简体"/>
          <w:color w:val="auto"/>
          <w:kern w:val="0"/>
          <w:sz w:val="56"/>
          <w:szCs w:val="56"/>
          <w:highlight w:val="none"/>
        </w:rPr>
      </w:pPr>
    </w:p>
    <w:p w14:paraId="16F868A6">
      <w:pPr>
        <w:shd w:val="clear"/>
        <w:snapToGrid w:val="0"/>
        <w:jc w:val="center"/>
        <w:rPr>
          <w:rFonts w:hint="eastAsia" w:ascii="方正小标宋简体" w:hAnsi="黑体" w:eastAsia="方正小标宋简体" w:cs="方正小标宋简体"/>
          <w:color w:val="auto"/>
          <w:kern w:val="0"/>
          <w:sz w:val="72"/>
          <w:szCs w:val="52"/>
          <w:highlight w:val="none"/>
          <w:lang w:eastAsia="zh-CN"/>
        </w:rPr>
      </w:pPr>
      <w:r>
        <w:rPr>
          <w:rFonts w:hint="eastAsia" w:ascii="方正小标宋简体" w:hAnsi="黑体" w:eastAsia="方正小标宋简体" w:cs="方正小标宋简体"/>
          <w:color w:val="auto"/>
          <w:kern w:val="0"/>
          <w:sz w:val="56"/>
          <w:szCs w:val="56"/>
          <w:highlight w:val="none"/>
          <w:lang w:eastAsia="zh-CN"/>
        </w:rPr>
        <w:t>威海粮油发展有限公司</w:t>
      </w:r>
    </w:p>
    <w:p w14:paraId="24F08515">
      <w:pPr>
        <w:shd w:val="clear"/>
        <w:snapToGrid w:val="0"/>
        <w:jc w:val="center"/>
        <w:rPr>
          <w:rFonts w:hint="eastAsia" w:ascii="方正小标宋简体" w:hAnsi="黑体" w:eastAsia="方正小标宋简体" w:cs="方正小标宋简体"/>
          <w:color w:val="auto"/>
          <w:kern w:val="0"/>
          <w:sz w:val="72"/>
          <w:szCs w:val="52"/>
          <w:highlight w:val="none"/>
        </w:rPr>
      </w:pPr>
    </w:p>
    <w:p w14:paraId="30C413D7">
      <w:pPr>
        <w:shd w:val="clear"/>
        <w:snapToGrid w:val="0"/>
        <w:jc w:val="center"/>
        <w:rPr>
          <w:rFonts w:ascii="方正小标宋简体" w:hAnsi="黑体" w:eastAsia="方正小标宋简体"/>
          <w:color w:val="auto"/>
          <w:kern w:val="0"/>
          <w:sz w:val="72"/>
          <w:szCs w:val="52"/>
          <w:highlight w:val="none"/>
        </w:rPr>
      </w:pPr>
      <w:r>
        <w:rPr>
          <w:rFonts w:hint="eastAsia" w:ascii="方正小标宋简体" w:hAnsi="黑体" w:eastAsia="方正小标宋简体" w:cs="方正小标宋简体"/>
          <w:color w:val="auto"/>
          <w:kern w:val="0"/>
          <w:sz w:val="72"/>
          <w:szCs w:val="72"/>
          <w:highlight w:val="none"/>
        </w:rPr>
        <w:t>公开招标文件</w:t>
      </w:r>
    </w:p>
    <w:p w14:paraId="5B70052A">
      <w:pPr>
        <w:shd w:val="clear"/>
        <w:spacing w:line="360" w:lineRule="auto"/>
        <w:ind w:firstLine="723" w:firstLineChars="201"/>
        <w:jc w:val="left"/>
        <w:rPr>
          <w:rFonts w:hint="eastAsia" w:ascii="仿宋" w:hAnsi="仿宋" w:eastAsia="仿宋" w:cs="仿宋"/>
          <w:color w:val="auto"/>
          <w:sz w:val="36"/>
          <w:szCs w:val="36"/>
          <w:highlight w:val="none"/>
        </w:rPr>
      </w:pPr>
    </w:p>
    <w:p w14:paraId="5456B4CE">
      <w:pPr>
        <w:shd w:val="clear"/>
        <w:spacing w:line="360" w:lineRule="auto"/>
        <w:jc w:val="left"/>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    </w:t>
      </w:r>
    </w:p>
    <w:p w14:paraId="5C4DB04C">
      <w:pPr>
        <w:pStyle w:val="9"/>
        <w:rPr>
          <w:rFonts w:hint="eastAsia"/>
          <w:highlight w:val="none"/>
        </w:rPr>
      </w:pPr>
    </w:p>
    <w:p w14:paraId="62BA5B56">
      <w:pPr>
        <w:shd w:val="clear"/>
        <w:rPr>
          <w:rFonts w:hint="eastAsia" w:ascii="仿宋" w:hAnsi="仿宋" w:eastAsia="仿宋" w:cs="仿宋"/>
          <w:color w:val="auto"/>
          <w:highlight w:val="none"/>
        </w:rPr>
      </w:pPr>
    </w:p>
    <w:p w14:paraId="2F9ED6E3">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项目名称：</w:t>
      </w:r>
      <w:r>
        <w:rPr>
          <w:rFonts w:hint="eastAsia" w:ascii="仿宋" w:hAnsi="仿宋" w:eastAsia="仿宋" w:cs="仿宋"/>
          <w:b/>
          <w:color w:val="auto"/>
          <w:sz w:val="36"/>
          <w:szCs w:val="36"/>
          <w:highlight w:val="none"/>
          <w:lang w:eastAsia="zh-CN"/>
        </w:rPr>
        <w:t>威海粮油发展有限公司常年法律顾问服务单位项目</w:t>
      </w:r>
    </w:p>
    <w:p w14:paraId="6CDB64FC">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项目编号：</w:t>
      </w:r>
      <w:r>
        <w:rPr>
          <w:rFonts w:hint="eastAsia" w:ascii="仿宋" w:hAnsi="仿宋" w:eastAsia="仿宋" w:cs="仿宋"/>
          <w:b/>
          <w:color w:val="auto"/>
          <w:sz w:val="36"/>
          <w:szCs w:val="36"/>
          <w:highlight w:val="none"/>
          <w:lang w:eastAsia="zh-CN"/>
        </w:rPr>
        <w:t>WHZCZB2026-096</w:t>
      </w:r>
    </w:p>
    <w:p w14:paraId="1B3F51A2">
      <w:pPr>
        <w:keepNext w:val="0"/>
        <w:keepLines w:val="0"/>
        <w:pageBreakBefore w:val="0"/>
        <w:widowControl w:val="0"/>
        <w:shd w:val="clear"/>
        <w:kinsoku/>
        <w:wordWrap/>
        <w:overflowPunct/>
        <w:topLinePunct w:val="0"/>
        <w:autoSpaceDE/>
        <w:autoSpaceDN/>
        <w:bidi w:val="0"/>
        <w:adjustRightInd/>
        <w:snapToGrid/>
        <w:spacing w:after="156" w:afterLines="50" w:line="360" w:lineRule="auto"/>
        <w:ind w:left="3592" w:leftChars="850" w:hanging="1807" w:hangingChars="500"/>
        <w:jc w:val="left"/>
        <w:textAlignment w:val="auto"/>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采购方式：公开招标</w:t>
      </w:r>
    </w:p>
    <w:p w14:paraId="2AF38D3E">
      <w:pPr>
        <w:shd w:val="clear"/>
        <w:spacing w:line="360" w:lineRule="auto"/>
        <w:rPr>
          <w:rFonts w:hint="eastAsia" w:ascii="仿宋" w:hAnsi="仿宋" w:eastAsia="仿宋" w:cs="仿宋"/>
          <w:b/>
          <w:color w:val="auto"/>
          <w:sz w:val="16"/>
          <w:szCs w:val="36"/>
          <w:highlight w:val="none"/>
        </w:rPr>
      </w:pPr>
    </w:p>
    <w:p w14:paraId="349A9C97">
      <w:pPr>
        <w:shd w:val="clear"/>
        <w:spacing w:line="360" w:lineRule="auto"/>
        <w:ind w:firstLine="363" w:firstLineChars="201"/>
        <w:jc w:val="center"/>
        <w:rPr>
          <w:rFonts w:hint="eastAsia" w:ascii="仿宋" w:hAnsi="仿宋" w:eastAsia="仿宋" w:cs="仿宋"/>
          <w:b/>
          <w:color w:val="auto"/>
          <w:sz w:val="18"/>
          <w:szCs w:val="36"/>
          <w:highlight w:val="none"/>
        </w:rPr>
      </w:pPr>
    </w:p>
    <w:p w14:paraId="0ECE3C85">
      <w:pPr>
        <w:pStyle w:val="9"/>
        <w:shd w:val="clear"/>
        <w:rPr>
          <w:rFonts w:hint="eastAsia" w:ascii="仿宋" w:hAnsi="仿宋" w:eastAsia="仿宋" w:cs="仿宋"/>
          <w:b/>
          <w:color w:val="auto"/>
          <w:sz w:val="18"/>
          <w:szCs w:val="36"/>
          <w:highlight w:val="none"/>
        </w:rPr>
      </w:pPr>
    </w:p>
    <w:p w14:paraId="6D3CC221">
      <w:pPr>
        <w:shd w:val="clear"/>
        <w:rPr>
          <w:rFonts w:hint="eastAsia" w:ascii="仿宋" w:hAnsi="仿宋" w:eastAsia="仿宋" w:cs="仿宋"/>
          <w:color w:val="auto"/>
          <w:highlight w:val="none"/>
        </w:rPr>
      </w:pPr>
    </w:p>
    <w:p w14:paraId="4003CA3E">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b/>
          <w:bCs/>
          <w:color w:val="auto"/>
          <w:kern w:val="0"/>
          <w:sz w:val="36"/>
          <w:szCs w:val="36"/>
          <w:highlight w:val="none"/>
          <w:lang w:eastAsia="zh-CN"/>
        </w:rPr>
      </w:pPr>
      <w:r>
        <w:rPr>
          <w:rFonts w:hint="eastAsia" w:ascii="仿宋" w:hAnsi="仿宋" w:eastAsia="仿宋" w:cs="仿宋"/>
          <w:b/>
          <w:color w:val="auto"/>
          <w:sz w:val="36"/>
          <w:szCs w:val="36"/>
          <w:highlight w:val="none"/>
        </w:rPr>
        <w:t>代理机构：</w:t>
      </w:r>
      <w:r>
        <w:rPr>
          <w:rFonts w:hint="eastAsia" w:ascii="仿宋" w:hAnsi="仿宋" w:eastAsia="仿宋" w:cs="仿宋"/>
          <w:b/>
          <w:color w:val="auto"/>
          <w:sz w:val="36"/>
          <w:szCs w:val="36"/>
          <w:highlight w:val="none"/>
          <w:lang w:eastAsia="zh-CN"/>
        </w:rPr>
        <w:t>山东志诚工程咨询管理有限公司</w:t>
      </w:r>
    </w:p>
    <w:p w14:paraId="5AE742F3">
      <w:pPr>
        <w:keepNext w:val="0"/>
        <w:keepLines w:val="0"/>
        <w:pageBreakBefore w:val="0"/>
        <w:widowControl w:val="0"/>
        <w:shd w:val="clear"/>
        <w:kinsoku/>
        <w:wordWrap/>
        <w:overflowPunct/>
        <w:topLinePunct w:val="0"/>
        <w:autoSpaceDE/>
        <w:autoSpaceDN/>
        <w:bidi w:val="0"/>
        <w:adjustRightInd/>
        <w:snapToGrid/>
        <w:spacing w:before="156" w:beforeLines="50" w:line="360" w:lineRule="auto"/>
        <w:ind w:firstLine="0" w:firstLineChars="0"/>
        <w:jc w:val="center"/>
        <w:textAlignment w:val="auto"/>
        <w:rPr>
          <w:rFonts w:hint="eastAsia" w:ascii="仿宋" w:hAnsi="仿宋" w:eastAsia="仿宋" w:cs="仿宋"/>
          <w:color w:val="auto"/>
          <w:highlight w:val="none"/>
        </w:rPr>
      </w:pPr>
      <w:r>
        <w:rPr>
          <w:rFonts w:hint="eastAsia" w:ascii="仿宋" w:hAnsi="仿宋" w:eastAsia="仿宋" w:cs="仿宋"/>
          <w:b/>
          <w:color w:val="auto"/>
          <w:sz w:val="36"/>
          <w:szCs w:val="36"/>
          <w:highlight w:val="none"/>
        </w:rPr>
        <w:t>编制时间：</w:t>
      </w:r>
      <w:r>
        <w:rPr>
          <w:rFonts w:hint="eastAsia" w:ascii="仿宋" w:hAnsi="仿宋" w:eastAsia="仿宋" w:cs="仿宋"/>
          <w:b/>
          <w:color w:val="auto"/>
          <w:sz w:val="36"/>
          <w:szCs w:val="36"/>
          <w:highlight w:val="none"/>
          <w:lang w:val="en-US" w:eastAsia="zh-CN"/>
        </w:rPr>
        <w:t>2026年9</w:t>
      </w:r>
      <w:r>
        <w:rPr>
          <w:rFonts w:hint="eastAsia" w:ascii="仿宋" w:hAnsi="仿宋" w:eastAsia="仿宋" w:cs="仿宋"/>
          <w:b/>
          <w:color w:val="auto"/>
          <w:sz w:val="36"/>
          <w:szCs w:val="36"/>
          <w:highlight w:val="none"/>
        </w:rPr>
        <w:t>月</w:t>
      </w:r>
    </w:p>
    <w:p w14:paraId="57668D05">
      <w:pPr>
        <w:shd w:val="clear"/>
        <w:spacing w:line="360" w:lineRule="auto"/>
        <w:jc w:val="center"/>
        <w:rPr>
          <w:rFonts w:hint="eastAsia" w:ascii="仿宋" w:hAnsi="仿宋" w:eastAsia="仿宋" w:cs="仿宋"/>
          <w:color w:val="auto"/>
          <w:kern w:val="0"/>
          <w:sz w:val="52"/>
          <w:szCs w:val="52"/>
          <w:highlight w:val="none"/>
        </w:rPr>
        <w:sectPr>
          <w:headerReference r:id="rId4" w:type="first"/>
          <w:footerReference r:id="rId6" w:type="first"/>
          <w:headerReference r:id="rId3" w:type="default"/>
          <w:footerReference r:id="rId5" w:type="default"/>
          <w:pgSz w:w="11906" w:h="16838"/>
          <w:pgMar w:top="1440" w:right="1083" w:bottom="1440" w:left="1083" w:header="851" w:footer="992" w:gutter="0"/>
          <w:pgNumType w:fmt="decimal" w:start="0"/>
          <w:cols w:space="0" w:num="1"/>
          <w:rtlGutter w:val="0"/>
          <w:docGrid w:type="lines" w:linePitch="312" w:charSpace="0"/>
        </w:sectPr>
      </w:pPr>
    </w:p>
    <w:p w14:paraId="59AFBC5F">
      <w:pPr>
        <w:shd w:val="clear"/>
        <w:spacing w:line="360" w:lineRule="auto"/>
        <w:jc w:val="center"/>
        <w:rPr>
          <w:rFonts w:ascii="黑体" w:hAnsi="黑体" w:eastAsia="黑体"/>
          <w:b/>
          <w:color w:val="auto"/>
          <w:sz w:val="44"/>
          <w:szCs w:val="44"/>
          <w:highlight w:val="none"/>
        </w:rPr>
      </w:pPr>
      <w:r>
        <w:rPr>
          <w:rFonts w:hint="eastAsia" w:ascii="黑体" w:hAnsi="黑体" w:eastAsia="黑体" w:cs="方正小标宋简体"/>
          <w:color w:val="auto"/>
          <w:kern w:val="0"/>
          <w:sz w:val="52"/>
          <w:szCs w:val="52"/>
          <w:highlight w:val="none"/>
        </w:rPr>
        <w:t>目  录</w:t>
      </w:r>
    </w:p>
    <w:p w14:paraId="64CCA07B">
      <w:pPr>
        <w:shd w:val="clear"/>
        <w:spacing w:line="720" w:lineRule="exact"/>
        <w:ind w:firstLine="562" w:firstLineChars="200"/>
        <w:jc w:val="left"/>
        <w:rPr>
          <w:rFonts w:hint="eastAsia" w:ascii="仿宋" w:hAnsi="仿宋" w:eastAsia="仿宋" w:cs="仿宋"/>
          <w:b/>
          <w:bCs/>
          <w:caps/>
          <w:color w:val="auto"/>
          <w:sz w:val="28"/>
          <w:szCs w:val="28"/>
          <w:highlight w:val="none"/>
        </w:rPr>
      </w:pPr>
    </w:p>
    <w:p w14:paraId="66251D64">
      <w:pPr>
        <w:shd w:val="clear"/>
        <w:spacing w:line="720" w:lineRule="exact"/>
        <w:ind w:firstLine="562" w:firstLineChars="200"/>
        <w:jc w:val="left"/>
        <w:rPr>
          <w:rFonts w:hint="eastAsia" w:ascii="仿宋" w:hAnsi="仿宋" w:eastAsia="仿宋" w:cs="仿宋"/>
          <w:color w:val="auto"/>
          <w:sz w:val="24"/>
          <w:szCs w:val="44"/>
          <w:highlight w:val="none"/>
        </w:rPr>
      </w:pPr>
      <w:r>
        <w:rPr>
          <w:rFonts w:hint="eastAsia" w:ascii="仿宋" w:hAnsi="仿宋" w:eastAsia="仿宋" w:cs="仿宋"/>
          <w:b/>
          <w:bCs/>
          <w:caps/>
          <w:color w:val="auto"/>
          <w:sz w:val="28"/>
          <w:szCs w:val="28"/>
          <w:highlight w:val="none"/>
        </w:rPr>
        <w:t>第一章   招标公告</w:t>
      </w:r>
    </w:p>
    <w:p w14:paraId="5C3B06A0">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第二章   投标须知</w:t>
      </w:r>
    </w:p>
    <w:p w14:paraId="30F63D43">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第三章   采购内容与要求</w:t>
      </w:r>
    </w:p>
    <w:p w14:paraId="41E0E4BD">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第四章   评标原则、程序与方法</w:t>
      </w:r>
    </w:p>
    <w:p w14:paraId="0B5B2BAB">
      <w:pPr>
        <w:shd w:val="clear"/>
        <w:spacing w:line="720" w:lineRule="exact"/>
        <w:ind w:firstLine="565" w:firstLineChars="201"/>
        <w:jc w:val="left"/>
        <w:rPr>
          <w:rFonts w:hint="eastAsia" w:ascii="仿宋" w:hAnsi="仿宋" w:eastAsia="仿宋" w:cs="仿宋"/>
          <w:b/>
          <w:bCs/>
          <w:caps/>
          <w:color w:val="auto"/>
          <w:sz w:val="28"/>
          <w:szCs w:val="28"/>
          <w:highlight w:val="none"/>
          <w:lang w:eastAsia="zh-CN"/>
        </w:rPr>
      </w:pPr>
      <w:r>
        <w:rPr>
          <w:rFonts w:hint="eastAsia" w:ascii="仿宋" w:hAnsi="仿宋" w:eastAsia="仿宋" w:cs="仿宋"/>
          <w:b/>
          <w:bCs/>
          <w:caps/>
          <w:color w:val="auto"/>
          <w:sz w:val="28"/>
          <w:szCs w:val="28"/>
          <w:highlight w:val="none"/>
        </w:rPr>
        <w:t xml:space="preserve">第五章   </w:t>
      </w:r>
      <w:r>
        <w:rPr>
          <w:rFonts w:hint="eastAsia" w:ascii="仿宋" w:hAnsi="仿宋" w:eastAsia="仿宋" w:cs="仿宋"/>
          <w:b/>
          <w:bCs/>
          <w:caps/>
          <w:color w:val="auto"/>
          <w:sz w:val="28"/>
          <w:szCs w:val="28"/>
          <w:highlight w:val="none"/>
          <w:lang w:eastAsia="zh-CN"/>
        </w:rPr>
        <w:t>投标文件格式</w:t>
      </w:r>
    </w:p>
    <w:p w14:paraId="24E38B67">
      <w:pPr>
        <w:shd w:val="clear"/>
        <w:spacing w:line="720" w:lineRule="exact"/>
        <w:ind w:firstLine="565" w:firstLineChars="201"/>
        <w:jc w:val="left"/>
        <w:rPr>
          <w:rFonts w:hint="eastAsia" w:ascii="仿宋" w:hAnsi="仿宋" w:eastAsia="仿宋" w:cs="仿宋"/>
          <w:b/>
          <w:bCs/>
          <w:caps/>
          <w:color w:val="auto"/>
          <w:sz w:val="28"/>
          <w:szCs w:val="28"/>
          <w:highlight w:val="none"/>
        </w:rPr>
      </w:pPr>
      <w:r>
        <w:rPr>
          <w:rFonts w:hint="eastAsia" w:ascii="仿宋" w:hAnsi="仿宋" w:eastAsia="仿宋" w:cs="仿宋"/>
          <w:b/>
          <w:bCs/>
          <w:caps/>
          <w:color w:val="auto"/>
          <w:sz w:val="28"/>
          <w:szCs w:val="28"/>
          <w:highlight w:val="none"/>
        </w:rPr>
        <w:t>第六章   采购合同（范本）</w:t>
      </w:r>
    </w:p>
    <w:p w14:paraId="625B62ED">
      <w:pPr>
        <w:shd w:val="clear"/>
        <w:spacing w:line="560" w:lineRule="exact"/>
        <w:ind w:firstLine="424" w:firstLineChars="151"/>
        <w:jc w:val="left"/>
        <w:rPr>
          <w:rFonts w:hint="eastAsia" w:ascii="仿宋" w:hAnsi="仿宋" w:eastAsia="仿宋" w:cs="仿宋"/>
          <w:b/>
          <w:bCs/>
          <w:caps/>
          <w:color w:val="auto"/>
          <w:sz w:val="28"/>
          <w:szCs w:val="28"/>
          <w:highlight w:val="none"/>
        </w:rPr>
      </w:pPr>
    </w:p>
    <w:p w14:paraId="5AFF27B4">
      <w:pPr>
        <w:shd w:val="clear"/>
        <w:rPr>
          <w:rFonts w:hint="eastAsia" w:ascii="仿宋" w:hAnsi="仿宋" w:eastAsia="仿宋" w:cs="仿宋"/>
          <w:color w:val="auto"/>
          <w:kern w:val="0"/>
          <w:highlight w:val="none"/>
        </w:rPr>
        <w:sectPr>
          <w:footerReference r:id="rId8" w:type="first"/>
          <w:footerReference r:id="rId7" w:type="default"/>
          <w:pgSz w:w="11906" w:h="16838"/>
          <w:pgMar w:top="1440" w:right="1083" w:bottom="1440" w:left="1083" w:header="851" w:footer="992" w:gutter="0"/>
          <w:pgNumType w:fmt="decimal" w:start="1"/>
          <w:cols w:space="0" w:num="1"/>
          <w:rtlGutter w:val="0"/>
          <w:docGrid w:type="lines" w:linePitch="312" w:charSpace="0"/>
        </w:sectPr>
      </w:pPr>
    </w:p>
    <w:p w14:paraId="34A8E14B">
      <w:pPr>
        <w:pStyle w:val="26"/>
        <w:numPr>
          <w:ilvl w:val="0"/>
          <w:numId w:val="0"/>
        </w:numPr>
        <w:shd w:val="clear"/>
        <w:spacing w:before="100" w:beforeAutospacing="1" w:after="100" w:afterAutospacing="1" w:line="415" w:lineRule="auto"/>
        <w:ind w:left="1440" w:leftChars="0" w:hanging="1440" w:firstLineChars="0"/>
        <w:rPr>
          <w:rFonts w:ascii="宋体" w:hAnsi="宋体" w:eastAsia="宋体" w:cs="宋体"/>
          <w:color w:val="auto"/>
          <w:sz w:val="44"/>
          <w:szCs w:val="44"/>
          <w:highlight w:val="none"/>
        </w:rPr>
      </w:pPr>
      <w:bookmarkStart w:id="0" w:name="_Toc266431116"/>
      <w:bookmarkStart w:id="1" w:name="_Toc253045125"/>
      <w:r>
        <w:rPr>
          <w:rFonts w:hint="eastAsia" w:ascii="楷体_GB2312" w:hAnsi="宋体" w:eastAsia="楷体_GB2312" w:cs="宋体"/>
          <w:b/>
          <w:bCs/>
          <w:color w:val="auto"/>
          <w:kern w:val="2"/>
          <w:sz w:val="44"/>
          <w:szCs w:val="44"/>
          <w:highlight w:val="none"/>
          <w:lang w:val="en-US" w:eastAsia="zh-CN" w:bidi="ar-SA"/>
        </w:rPr>
        <w:t>第一章</w:t>
      </w:r>
      <w:r>
        <w:rPr>
          <w:rFonts w:hint="eastAsia" w:ascii="楷体_GB2312" w:hAnsi="宋体" w:eastAsia="楷体_GB2312" w:cs="宋体"/>
          <w:color w:val="auto"/>
          <w:sz w:val="44"/>
          <w:szCs w:val="44"/>
          <w:highlight w:val="none"/>
        </w:rPr>
        <w:t xml:space="preserve">  招标公告</w:t>
      </w:r>
    </w:p>
    <w:p w14:paraId="41A59B78">
      <w:pPr>
        <w:shd w:val="clear"/>
        <w:rPr>
          <w:color w:val="auto"/>
          <w:highlight w:val="none"/>
        </w:rPr>
      </w:pPr>
    </w:p>
    <w:p w14:paraId="21B10035">
      <w:pPr>
        <w:shd w:val="clear"/>
        <w:rPr>
          <w:color w:val="auto"/>
          <w:highlight w:val="none"/>
        </w:rPr>
        <w:sectPr>
          <w:headerReference r:id="rId10" w:type="first"/>
          <w:footerReference r:id="rId12" w:type="first"/>
          <w:footerReference r:id="rId11" w:type="default"/>
          <w:headerReference r:id="rId9" w:type="even"/>
          <w:pgSz w:w="11906" w:h="16838"/>
          <w:pgMar w:top="1440" w:right="1083" w:bottom="1440" w:left="1083" w:header="851" w:footer="992" w:gutter="0"/>
          <w:pgNumType w:fmt="decimal" w:start="1"/>
          <w:cols w:space="0" w:num="1"/>
          <w:rtlGutter w:val="0"/>
          <w:docGrid w:type="lines" w:linePitch="312" w:charSpace="0"/>
        </w:sectPr>
      </w:pPr>
    </w:p>
    <w:p w14:paraId="5489D330">
      <w:pPr>
        <w:keepNext w:val="0"/>
        <w:keepLines w:val="0"/>
        <w:pageBreakBefore w:val="0"/>
        <w:widowControl w:val="0"/>
        <w:shd w:val="clear"/>
        <w:kinsoku/>
        <w:wordWrap/>
        <w:overflowPunct/>
        <w:topLinePunct w:val="0"/>
        <w:autoSpaceDE/>
        <w:autoSpaceDN/>
        <w:bidi w:val="0"/>
        <w:adjustRightInd/>
        <w:snapToGrid/>
        <w:spacing w:after="313" w:afterLines="100" w:line="360" w:lineRule="auto"/>
        <w:jc w:val="center"/>
        <w:textAlignment w:val="auto"/>
        <w:rPr>
          <w:rFonts w:ascii="方正小标宋简体" w:eastAsia="方正小标宋简体"/>
          <w:b/>
          <w:color w:val="auto"/>
          <w:sz w:val="30"/>
          <w:szCs w:val="30"/>
          <w:highlight w:val="none"/>
        </w:rPr>
      </w:pPr>
      <w:bookmarkStart w:id="2" w:name="_Toc382129899"/>
      <w:bookmarkStart w:id="3" w:name="_Toc413596381"/>
      <w:r>
        <w:rPr>
          <w:rFonts w:hint="eastAsia" w:ascii="方正小标宋简体" w:eastAsia="方正小标宋简体"/>
          <w:b/>
          <w:color w:val="auto"/>
          <w:sz w:val="30"/>
          <w:szCs w:val="30"/>
          <w:highlight w:val="none"/>
          <w:lang w:eastAsia="zh-CN"/>
        </w:rPr>
        <w:t>威海粮油发展有限公司常年法律顾问服务单位项目</w:t>
      </w:r>
      <w:r>
        <w:rPr>
          <w:rFonts w:hint="eastAsia" w:ascii="方正小标宋简体" w:eastAsia="方正小标宋简体"/>
          <w:b/>
          <w:color w:val="auto"/>
          <w:sz w:val="30"/>
          <w:szCs w:val="30"/>
          <w:highlight w:val="none"/>
        </w:rPr>
        <w:t>公开招标公告</w:t>
      </w:r>
    </w:p>
    <w:p w14:paraId="32E5AE1A">
      <w:pPr>
        <w:pBdr>
          <w:top w:val="single" w:color="auto" w:sz="4" w:space="1"/>
          <w:left w:val="single" w:color="auto" w:sz="4" w:space="4"/>
          <w:bottom w:val="single" w:color="auto" w:sz="4" w:space="1"/>
          <w:right w:val="single" w:color="auto" w:sz="4" w:space="4"/>
        </w:pBdr>
        <w:shd w:val="clear"/>
        <w:spacing w:line="560" w:lineRule="exact"/>
        <w:ind w:firstLine="560" w:firstLineChars="200"/>
        <w:rPr>
          <w:rFonts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项目概况</w:t>
      </w:r>
    </w:p>
    <w:p w14:paraId="18BD5416">
      <w:pPr>
        <w:keepNext w:val="0"/>
        <w:keepLines w:val="0"/>
        <w:pageBreakBefore w:val="0"/>
        <w:widowControl/>
        <w:pBdr>
          <w:top w:val="single" w:color="auto" w:sz="4" w:space="1"/>
          <w:left w:val="single" w:color="auto" w:sz="4" w:space="4"/>
          <w:bottom w:val="single" w:color="auto" w:sz="4" w:space="1"/>
          <w:right w:val="single" w:color="auto" w:sz="4" w:space="4"/>
        </w:pBdr>
        <w:shd w:val="clear"/>
        <w:kinsoku/>
        <w:wordWrap/>
        <w:overflowPunct/>
        <w:topLinePunct w:val="0"/>
        <w:autoSpaceDE/>
        <w:autoSpaceDN/>
        <w:bidi w:val="0"/>
        <w:adjustRightInd w:val="0"/>
        <w:snapToGrid/>
        <w:spacing w:line="560" w:lineRule="exact"/>
        <w:ind w:firstLine="592" w:firstLineChars="20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r>
        <w:rPr>
          <w:rFonts w:hint="eastAsia" w:ascii="仿宋" w:hAnsi="仿宋" w:eastAsia="仿宋" w:cs="仿宋"/>
          <w:color w:val="auto"/>
          <w:spacing w:val="8"/>
          <w:kern w:val="0"/>
          <w:sz w:val="28"/>
          <w:szCs w:val="28"/>
          <w:highlight w:val="none"/>
        </w:rPr>
        <w:t>的潜在投标人应在</w:t>
      </w:r>
      <w:r>
        <w:rPr>
          <w:rFonts w:hint="eastAsia" w:ascii="仿宋" w:hAnsi="仿宋" w:eastAsia="仿宋" w:cs="仿宋"/>
          <w:color w:val="auto"/>
          <w:spacing w:val="8"/>
          <w:kern w:val="0"/>
          <w:sz w:val="28"/>
          <w:szCs w:val="28"/>
          <w:highlight w:val="none"/>
          <w:u w:val="single"/>
        </w:rPr>
        <w:t>“威海市公共资源交易网”首页右侧“交易服务一网通办-（新版）一网通办系统”进行“平台切换”，点击“国企采购”进入国企阳光采购平台</w:t>
      </w:r>
      <w:r>
        <w:rPr>
          <w:rFonts w:hint="eastAsia" w:ascii="仿宋" w:hAnsi="仿宋" w:eastAsia="仿宋" w:cs="仿宋"/>
          <w:color w:val="auto"/>
          <w:spacing w:val="8"/>
          <w:kern w:val="0"/>
          <w:sz w:val="28"/>
          <w:szCs w:val="28"/>
          <w:highlight w:val="none"/>
        </w:rPr>
        <w:t>获取招标文件</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并于</w:t>
      </w:r>
      <w:r>
        <w:rPr>
          <w:rFonts w:hint="eastAsia" w:ascii="仿宋" w:hAnsi="仿宋" w:eastAsia="仿宋" w:cs="仿宋"/>
          <w:color w:val="auto"/>
          <w:spacing w:val="8"/>
          <w:kern w:val="0"/>
          <w:sz w:val="28"/>
          <w:szCs w:val="28"/>
          <w:highlight w:val="none"/>
          <w:u w:val="single"/>
          <w:lang w:eastAsia="zh-CN"/>
        </w:rPr>
        <w:t>2026年</w:t>
      </w:r>
      <w:r>
        <w:rPr>
          <w:rFonts w:hint="eastAsia" w:ascii="仿宋" w:hAnsi="仿宋" w:eastAsia="仿宋" w:cs="仿宋"/>
          <w:color w:val="auto"/>
          <w:spacing w:val="8"/>
          <w:kern w:val="0"/>
          <w:sz w:val="28"/>
          <w:szCs w:val="28"/>
          <w:highlight w:val="none"/>
          <w:u w:val="single"/>
          <w:lang w:val="en-US" w:eastAsia="zh-CN"/>
        </w:rPr>
        <w:t>9月10日9</w:t>
      </w:r>
      <w:r>
        <w:rPr>
          <w:rFonts w:hint="eastAsia" w:ascii="仿宋" w:hAnsi="仿宋" w:eastAsia="仿宋" w:cs="仿宋"/>
          <w:color w:val="auto"/>
          <w:spacing w:val="8"/>
          <w:kern w:val="0"/>
          <w:sz w:val="28"/>
          <w:szCs w:val="28"/>
          <w:highlight w:val="none"/>
          <w:u w:val="single"/>
          <w:lang w:eastAsia="zh-CN"/>
        </w:rPr>
        <w:t>时</w:t>
      </w:r>
      <w:r>
        <w:rPr>
          <w:rFonts w:hint="eastAsia" w:ascii="仿宋" w:hAnsi="仿宋" w:eastAsia="仿宋" w:cs="仿宋"/>
          <w:color w:val="auto"/>
          <w:spacing w:val="8"/>
          <w:kern w:val="0"/>
          <w:sz w:val="28"/>
          <w:szCs w:val="28"/>
          <w:highlight w:val="none"/>
          <w:u w:val="single"/>
          <w:lang w:val="en-US" w:eastAsia="zh-CN"/>
        </w:rPr>
        <w:t>00</w:t>
      </w:r>
      <w:r>
        <w:rPr>
          <w:rFonts w:hint="eastAsia" w:ascii="仿宋" w:hAnsi="仿宋" w:eastAsia="仿宋" w:cs="仿宋"/>
          <w:color w:val="auto"/>
          <w:spacing w:val="8"/>
          <w:kern w:val="0"/>
          <w:sz w:val="28"/>
          <w:szCs w:val="28"/>
          <w:highlight w:val="none"/>
          <w:u w:val="single"/>
          <w:lang w:eastAsia="zh-CN"/>
        </w:rPr>
        <w:t>分</w:t>
      </w:r>
      <w:r>
        <w:rPr>
          <w:rFonts w:hint="eastAsia" w:ascii="仿宋" w:hAnsi="仿宋" w:eastAsia="仿宋" w:cs="仿宋"/>
          <w:color w:val="auto"/>
          <w:spacing w:val="8"/>
          <w:kern w:val="0"/>
          <w:sz w:val="28"/>
          <w:szCs w:val="28"/>
          <w:highlight w:val="none"/>
          <w:u w:val="single"/>
        </w:rPr>
        <w:t>（北京时间）</w:t>
      </w:r>
      <w:r>
        <w:rPr>
          <w:rFonts w:hint="eastAsia" w:ascii="仿宋" w:hAnsi="仿宋" w:eastAsia="仿宋" w:cs="仿宋"/>
          <w:color w:val="auto"/>
          <w:spacing w:val="8"/>
          <w:kern w:val="0"/>
          <w:sz w:val="28"/>
          <w:szCs w:val="28"/>
          <w:highlight w:val="none"/>
        </w:rPr>
        <w:t>前递交投标文件。</w:t>
      </w:r>
    </w:p>
    <w:p w14:paraId="77E279BC">
      <w:pPr>
        <w:rPr>
          <w:rFonts w:hint="eastAsia"/>
        </w:rPr>
      </w:pPr>
    </w:p>
    <w:p w14:paraId="3BD12771">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eastAsia="zh-CN"/>
        </w:rPr>
      </w:pPr>
      <w:r>
        <w:rPr>
          <w:rFonts w:hint="eastAsia" w:ascii="黑体" w:hAnsi="黑体" w:eastAsia="黑体" w:cs="宋体"/>
          <w:color w:val="auto"/>
          <w:kern w:val="0"/>
          <w:sz w:val="28"/>
          <w:szCs w:val="28"/>
          <w:highlight w:val="none"/>
        </w:rPr>
        <w:t>一、项目基本情况</w:t>
      </w:r>
    </w:p>
    <w:p w14:paraId="3B170DCE">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3F8C7137">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5E4C3F04">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采购项目分包情况：</w:t>
      </w:r>
    </w:p>
    <w:tbl>
      <w:tblPr>
        <w:tblStyle w:val="30"/>
        <w:tblW w:w="5000"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504"/>
        <w:gridCol w:w="795"/>
        <w:gridCol w:w="1544"/>
        <w:gridCol w:w="1530"/>
        <w:gridCol w:w="1335"/>
        <w:gridCol w:w="1387"/>
      </w:tblGrid>
      <w:tr w14:paraId="0ED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right"/>
        </w:trPr>
        <w:tc>
          <w:tcPr>
            <w:tcW w:w="432" w:type="pct"/>
            <w:tcBorders>
              <w:bottom w:val="single" w:color="auto" w:sz="4" w:space="0"/>
            </w:tcBorders>
            <w:noWrap w:val="0"/>
            <w:vAlign w:val="center"/>
          </w:tcPr>
          <w:p w14:paraId="2A68B574">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标包</w:t>
            </w:r>
          </w:p>
        </w:tc>
        <w:tc>
          <w:tcPr>
            <w:tcW w:w="1257" w:type="pct"/>
            <w:noWrap w:val="0"/>
            <w:vAlign w:val="center"/>
          </w:tcPr>
          <w:p w14:paraId="50ACE6C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项目名称</w:t>
            </w:r>
          </w:p>
        </w:tc>
        <w:tc>
          <w:tcPr>
            <w:tcW w:w="399" w:type="pct"/>
            <w:noWrap w:val="0"/>
            <w:vAlign w:val="center"/>
          </w:tcPr>
          <w:p w14:paraId="60D4D0F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数量</w:t>
            </w:r>
          </w:p>
        </w:tc>
        <w:tc>
          <w:tcPr>
            <w:tcW w:w="775" w:type="pct"/>
            <w:tcBorders>
              <w:right w:val="single" w:color="auto" w:sz="4" w:space="0"/>
            </w:tcBorders>
            <w:noWrap w:val="0"/>
            <w:vAlign w:val="center"/>
          </w:tcPr>
          <w:p w14:paraId="2206DFB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预算金额</w:t>
            </w:r>
          </w:p>
          <w:p w14:paraId="4C459029">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768" w:type="pct"/>
            <w:tcBorders>
              <w:right w:val="single" w:color="auto" w:sz="4" w:space="0"/>
            </w:tcBorders>
            <w:noWrap w:val="0"/>
            <w:vAlign w:val="center"/>
          </w:tcPr>
          <w:p w14:paraId="536DBD6B">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最高限价</w:t>
            </w:r>
          </w:p>
          <w:p w14:paraId="4294833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（元）</w:t>
            </w:r>
          </w:p>
        </w:tc>
        <w:tc>
          <w:tcPr>
            <w:tcW w:w="670" w:type="pct"/>
            <w:tcBorders>
              <w:right w:val="single" w:color="auto" w:sz="4" w:space="0"/>
            </w:tcBorders>
            <w:noWrap w:val="0"/>
            <w:vAlign w:val="center"/>
          </w:tcPr>
          <w:p w14:paraId="26F1CF5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采购需求</w:t>
            </w:r>
          </w:p>
        </w:tc>
        <w:tc>
          <w:tcPr>
            <w:tcW w:w="696" w:type="pct"/>
            <w:tcBorders>
              <w:right w:val="single" w:color="auto" w:sz="4" w:space="0"/>
            </w:tcBorders>
            <w:noWrap w:val="0"/>
            <w:vAlign w:val="center"/>
          </w:tcPr>
          <w:p w14:paraId="3203203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b/>
                <w:color w:val="auto"/>
                <w:kern w:val="0"/>
                <w:sz w:val="24"/>
                <w:szCs w:val="24"/>
                <w:highlight w:val="none"/>
                <w:lang w:val="en-US" w:eastAsia="zh-CN"/>
              </w:rPr>
            </w:pPr>
            <w:r>
              <w:rPr>
                <w:rFonts w:hint="eastAsia" w:ascii="仿宋" w:hAnsi="仿宋" w:eastAsia="仿宋" w:cs="仿宋"/>
                <w:b/>
                <w:color w:val="auto"/>
                <w:kern w:val="0"/>
                <w:sz w:val="24"/>
                <w:szCs w:val="24"/>
                <w:highlight w:val="none"/>
                <w:lang w:val="en-US" w:eastAsia="zh-CN"/>
              </w:rPr>
              <w:t>合同履行期限</w:t>
            </w:r>
          </w:p>
        </w:tc>
      </w:tr>
      <w:tr w14:paraId="1AC9F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right"/>
        </w:trPr>
        <w:tc>
          <w:tcPr>
            <w:tcW w:w="432" w:type="pct"/>
            <w:tcBorders>
              <w:top w:val="single" w:color="auto" w:sz="4" w:space="0"/>
              <w:bottom w:val="single" w:color="auto" w:sz="4" w:space="0"/>
            </w:tcBorders>
            <w:noWrap w:val="0"/>
            <w:vAlign w:val="center"/>
          </w:tcPr>
          <w:p w14:paraId="2E47221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001</w:t>
            </w:r>
          </w:p>
        </w:tc>
        <w:tc>
          <w:tcPr>
            <w:tcW w:w="1257" w:type="pct"/>
            <w:noWrap w:val="0"/>
            <w:vAlign w:val="center"/>
          </w:tcPr>
          <w:p w14:paraId="22FAEABE">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eastAsia="zh-CN"/>
              </w:rPr>
              <w:t>威海粮油发展有限公司常年法律顾问服务单位项目</w:t>
            </w:r>
          </w:p>
        </w:tc>
        <w:tc>
          <w:tcPr>
            <w:tcW w:w="399" w:type="pct"/>
            <w:noWrap w:val="0"/>
            <w:vAlign w:val="center"/>
          </w:tcPr>
          <w:p w14:paraId="2542912D">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spacing w:val="8"/>
                <w:kern w:val="0"/>
                <w:sz w:val="24"/>
                <w:szCs w:val="24"/>
                <w:highlight w:val="none"/>
                <w:lang w:eastAsia="zh-CN"/>
              </w:rPr>
            </w:pPr>
            <w:r>
              <w:rPr>
                <w:rFonts w:hint="eastAsia" w:ascii="仿宋" w:hAnsi="仿宋" w:eastAsia="仿宋" w:cs="仿宋"/>
                <w:color w:val="auto"/>
                <w:spacing w:val="8"/>
                <w:kern w:val="0"/>
                <w:sz w:val="24"/>
                <w:szCs w:val="24"/>
                <w:highlight w:val="none"/>
              </w:rPr>
              <w:t>1</w:t>
            </w:r>
            <w:r>
              <w:rPr>
                <w:rFonts w:hint="eastAsia" w:ascii="仿宋" w:hAnsi="仿宋" w:eastAsia="仿宋" w:cs="仿宋"/>
                <w:color w:val="auto"/>
                <w:spacing w:val="8"/>
                <w:kern w:val="0"/>
                <w:sz w:val="24"/>
                <w:szCs w:val="24"/>
                <w:highlight w:val="none"/>
                <w:lang w:val="en-US" w:eastAsia="zh-CN"/>
              </w:rPr>
              <w:t>宗</w:t>
            </w:r>
          </w:p>
        </w:tc>
        <w:tc>
          <w:tcPr>
            <w:tcW w:w="775" w:type="pct"/>
            <w:tcBorders>
              <w:right w:val="single" w:color="auto" w:sz="4" w:space="0"/>
            </w:tcBorders>
            <w:noWrap w:val="0"/>
            <w:vAlign w:val="center"/>
          </w:tcPr>
          <w:p w14:paraId="64B25373">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300000.00</w:t>
            </w:r>
          </w:p>
        </w:tc>
        <w:tc>
          <w:tcPr>
            <w:tcW w:w="768" w:type="pct"/>
            <w:tcBorders>
              <w:right w:val="single" w:color="auto" w:sz="4" w:space="0"/>
            </w:tcBorders>
            <w:noWrap w:val="0"/>
            <w:vAlign w:val="center"/>
          </w:tcPr>
          <w:p w14:paraId="74BA337C">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default"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300000.00</w:t>
            </w:r>
          </w:p>
        </w:tc>
        <w:tc>
          <w:tcPr>
            <w:tcW w:w="670" w:type="pct"/>
            <w:tcBorders>
              <w:right w:val="single" w:color="auto" w:sz="4" w:space="0"/>
            </w:tcBorders>
            <w:noWrap w:val="0"/>
            <w:vAlign w:val="center"/>
          </w:tcPr>
          <w:p w14:paraId="0D983407">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c>
          <w:tcPr>
            <w:tcW w:w="696" w:type="pct"/>
            <w:tcBorders>
              <w:right w:val="single" w:color="auto" w:sz="4" w:space="0"/>
            </w:tcBorders>
            <w:noWrap w:val="0"/>
            <w:vAlign w:val="center"/>
          </w:tcPr>
          <w:p w14:paraId="24554888">
            <w:pPr>
              <w:keepNext w:val="0"/>
              <w:keepLines w:val="0"/>
              <w:pageBreakBefore w:val="0"/>
              <w:widowControl/>
              <w:shd w:val="clear"/>
              <w:kinsoku/>
              <w:wordWrap/>
              <w:overflowPunct/>
              <w:topLinePunct w:val="0"/>
              <w:autoSpaceDE/>
              <w:autoSpaceDN/>
              <w:bidi w:val="0"/>
              <w:adjustRightInd w:val="0"/>
              <w:snapToGrid/>
              <w:spacing w:line="520" w:lineRule="exact"/>
              <w:jc w:val="center"/>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详见招标文件</w:t>
            </w:r>
          </w:p>
        </w:tc>
      </w:tr>
    </w:tbl>
    <w:p w14:paraId="443E3DE3">
      <w:pPr>
        <w:pStyle w:val="2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kinsoku/>
        <w:wordWrap/>
        <w:overflowPunct/>
        <w:topLinePunct w:val="0"/>
        <w:autoSpaceDE/>
        <w:autoSpaceDN/>
        <w:bidi w:val="0"/>
        <w:adjustRightInd/>
        <w:snapToGrid/>
        <w:spacing w:before="0" w:beforeAutospacing="0" w:after="0" w:afterAutospacing="0" w:line="560" w:lineRule="exact"/>
        <w:ind w:left="0" w:right="0"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本项目不接受联合体投标。</w:t>
      </w:r>
    </w:p>
    <w:p w14:paraId="48CE704D">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二、</w:t>
      </w:r>
      <w:r>
        <w:rPr>
          <w:rFonts w:hint="eastAsia" w:ascii="黑体" w:hAnsi="黑体" w:eastAsia="黑体" w:cs="宋体"/>
          <w:color w:val="auto"/>
          <w:kern w:val="0"/>
          <w:sz w:val="28"/>
          <w:szCs w:val="28"/>
          <w:highlight w:val="none"/>
          <w:lang w:val="en-US" w:eastAsia="zh-CN"/>
        </w:rPr>
        <w:t>投标人</w:t>
      </w:r>
      <w:r>
        <w:rPr>
          <w:rFonts w:hint="eastAsia" w:ascii="黑体" w:hAnsi="黑体" w:eastAsia="黑体" w:cs="宋体"/>
          <w:color w:val="auto"/>
          <w:kern w:val="0"/>
          <w:sz w:val="28"/>
          <w:szCs w:val="28"/>
          <w:highlight w:val="none"/>
        </w:rPr>
        <w:t>的资格要求</w:t>
      </w:r>
    </w:p>
    <w:p w14:paraId="35EA0C6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具有独立承担民事责任的能力（</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参与投标的，须提供</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授权且每个</w:t>
      </w:r>
      <w:r>
        <w:rPr>
          <w:rFonts w:hint="eastAsia" w:ascii="仿宋" w:hAnsi="仿宋" w:eastAsia="仿宋" w:cs="仿宋"/>
          <w:color w:val="auto"/>
          <w:sz w:val="28"/>
          <w:szCs w:val="28"/>
          <w:highlight w:val="none"/>
          <w:lang w:val="en-US" w:eastAsia="zh-CN"/>
        </w:rPr>
        <w:t>总所</w:t>
      </w:r>
      <w:r>
        <w:rPr>
          <w:rFonts w:hint="eastAsia" w:ascii="仿宋" w:hAnsi="仿宋" w:eastAsia="仿宋" w:cs="仿宋"/>
          <w:color w:val="auto"/>
          <w:sz w:val="28"/>
          <w:szCs w:val="28"/>
          <w:highlight w:val="none"/>
          <w:lang w:eastAsia="zh-CN"/>
        </w:rPr>
        <w:t>只能有一个</w:t>
      </w:r>
      <w:r>
        <w:rPr>
          <w:rFonts w:hint="eastAsia" w:ascii="仿宋" w:hAnsi="仿宋" w:eastAsia="仿宋" w:cs="仿宋"/>
          <w:color w:val="auto"/>
          <w:sz w:val="28"/>
          <w:szCs w:val="28"/>
          <w:highlight w:val="none"/>
          <w:lang w:val="en-US" w:eastAsia="zh-CN"/>
        </w:rPr>
        <w:t>分所</w:t>
      </w:r>
      <w:r>
        <w:rPr>
          <w:rFonts w:hint="eastAsia" w:ascii="仿宋" w:hAnsi="仿宋" w:eastAsia="仿宋" w:cs="仿宋"/>
          <w:color w:val="auto"/>
          <w:sz w:val="28"/>
          <w:szCs w:val="28"/>
          <w:highlight w:val="none"/>
          <w:lang w:eastAsia="zh-CN"/>
        </w:rPr>
        <w:t>参与投标），</w:t>
      </w:r>
      <w:r>
        <w:rPr>
          <w:rFonts w:hint="eastAsia" w:ascii="仿宋" w:hAnsi="仿宋" w:eastAsia="仿宋" w:cs="仿宋"/>
          <w:color w:val="auto"/>
          <w:sz w:val="28"/>
          <w:szCs w:val="28"/>
          <w:highlight w:val="none"/>
          <w:lang w:val="en-US" w:eastAsia="zh-CN"/>
        </w:rPr>
        <w:t>且</w:t>
      </w:r>
      <w:r>
        <w:rPr>
          <w:rFonts w:hint="eastAsia" w:ascii="仿宋" w:hAnsi="仿宋" w:eastAsia="仿宋" w:cs="仿宋"/>
          <w:color w:val="auto"/>
          <w:sz w:val="28"/>
          <w:szCs w:val="28"/>
          <w:highlight w:val="none"/>
          <w:lang w:eastAsia="zh-CN"/>
        </w:rPr>
        <w:t>具有年度考核合格的《律师事务所执业许可证》或《律师事务所分所执业许可证》</w:t>
      </w:r>
      <w:r>
        <w:rPr>
          <w:rFonts w:hint="eastAsia" w:ascii="仿宋" w:hAnsi="仿宋" w:eastAsia="仿宋" w:cs="仿宋"/>
          <w:color w:val="auto"/>
          <w:sz w:val="28"/>
          <w:szCs w:val="28"/>
          <w:highlight w:val="none"/>
        </w:rPr>
        <w:t>；</w:t>
      </w:r>
    </w:p>
    <w:p w14:paraId="5CC2E075">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具有良好的商业信誉和健全的财务会计制度</w:t>
      </w:r>
      <w:r>
        <w:rPr>
          <w:rFonts w:hint="eastAsia" w:ascii="仿宋" w:hAnsi="仿宋" w:eastAsia="仿宋" w:cs="仿宋"/>
          <w:color w:val="auto"/>
          <w:sz w:val="28"/>
          <w:szCs w:val="28"/>
          <w:highlight w:val="none"/>
        </w:rPr>
        <w:t>；</w:t>
      </w:r>
    </w:p>
    <w:p w14:paraId="0AA1D74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具有履行合同所必需的设备和专业技术能力</w:t>
      </w:r>
      <w:r>
        <w:rPr>
          <w:rFonts w:hint="eastAsia" w:ascii="仿宋" w:hAnsi="仿宋" w:eastAsia="仿宋" w:cs="仿宋"/>
          <w:color w:val="auto"/>
          <w:sz w:val="28"/>
          <w:szCs w:val="28"/>
          <w:highlight w:val="none"/>
        </w:rPr>
        <w:t>；</w:t>
      </w:r>
    </w:p>
    <w:p w14:paraId="713F042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具有依法缴纳税收和社会保障资金的良好记录</w:t>
      </w:r>
      <w:r>
        <w:rPr>
          <w:rFonts w:hint="eastAsia" w:ascii="仿宋" w:hAnsi="仿宋" w:eastAsia="仿宋" w:cs="仿宋"/>
          <w:color w:val="auto"/>
          <w:sz w:val="28"/>
          <w:szCs w:val="28"/>
          <w:highlight w:val="none"/>
        </w:rPr>
        <w:t>；</w:t>
      </w:r>
    </w:p>
    <w:p w14:paraId="7DB302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参加本次采购活动前三年内，</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在经营活动中没有重大违法记录，且投标人及其法定代表人/单位负责人、项目负责人未受到司法行政机关行政处罚、未遭受律师协会行业处分、无行贿犯罪记录；</w:t>
      </w:r>
    </w:p>
    <w:p w14:paraId="5D4A6AEB">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6.投标人</w:t>
      </w:r>
      <w:r>
        <w:rPr>
          <w:rFonts w:hint="eastAsia" w:ascii="仿宋" w:hAnsi="仿宋" w:eastAsia="仿宋" w:cs="仿宋"/>
          <w:color w:val="auto"/>
          <w:sz w:val="28"/>
          <w:szCs w:val="28"/>
          <w:highlight w:val="none"/>
          <w:lang w:val="en-US" w:eastAsia="zh-CN"/>
        </w:rPr>
        <w:t>及其</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、被授权人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lang w:eastAsia="zh-CN"/>
        </w:rPr>
        <w:t>未被最高人民法院列为失信被执行人</w:t>
      </w:r>
      <w:r>
        <w:rPr>
          <w:rFonts w:hint="eastAsia" w:ascii="仿宋" w:hAnsi="仿宋" w:eastAsia="仿宋" w:cs="仿宋"/>
          <w:color w:val="auto"/>
          <w:sz w:val="28"/>
          <w:szCs w:val="28"/>
          <w:highlight w:val="none"/>
        </w:rPr>
        <w:t>；</w:t>
      </w:r>
    </w:p>
    <w:p w14:paraId="0487EABC">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7.投标人近一年在“信用中国”或“信用中国（山东）”无严重失信记录；</w:t>
      </w:r>
    </w:p>
    <w:p w14:paraId="7BD0776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法律、行政法规及招标文件规定的其他要求。</w:t>
      </w:r>
    </w:p>
    <w:p w14:paraId="78F1E9AA">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三、获取招标文件时间及地点</w:t>
      </w:r>
    </w:p>
    <w:p w14:paraId="53D07FA8">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1.获取时间：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月</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eastAsia="zh-CN"/>
        </w:rPr>
        <w:t>日</w:t>
      </w:r>
      <w:r>
        <w:rPr>
          <w:rFonts w:hint="eastAsia" w:ascii="仿宋" w:hAnsi="仿宋" w:eastAsia="仿宋" w:cs="仿宋"/>
          <w:color w:val="auto"/>
          <w:sz w:val="28"/>
          <w:szCs w:val="28"/>
          <w:highlight w:val="none"/>
          <w:lang w:val="en-US" w:eastAsia="zh-CN"/>
        </w:rPr>
        <w:t>18</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分（北京时间）</w:t>
      </w:r>
      <w:r>
        <w:rPr>
          <w:rFonts w:hint="eastAsia" w:ascii="仿宋" w:hAnsi="仿宋" w:eastAsia="仿宋" w:cs="仿宋"/>
          <w:color w:val="auto"/>
          <w:sz w:val="28"/>
          <w:szCs w:val="28"/>
          <w:highlight w:val="none"/>
          <w:lang w:eastAsia="zh-CN"/>
        </w:rPr>
        <w:t>。</w:t>
      </w:r>
    </w:p>
    <w:p w14:paraId="260CB5D1">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获取地点：登录“威海市公共资源交易网”首页右侧“交易服务一网通办-（新版）一网通办系统”进行“平台切换”，点击“国企采购”进入国企阳光采购平台获取文件（网址：http://ggzyjy.weihai.cn/）。逾期无法从国企阳光采购平台中获取文件，未在规定时间内从系统中获取采购文件的投标人将无法提交电子投标（响应）文件。交易服务一网通办系统技术支持电话：0631-5311569（受理问题：系统登录、CA锁绑定、平台切换），一网通办技术支持QQ群：1143439694；CA锁办理咨询电话：0631-5172975；国企采购技术支持电话：17863029936，国企采购技术支持QQ群（投标人）：1046971257。</w:t>
      </w:r>
    </w:p>
    <w:p w14:paraId="2026312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未注册用户请先免费注册。登录“威海市公共资源交易网”首页右侧“交易服务一网通办-（新版）一网通办系统”进行注册登记，并办理“安全证书（CA）”和“电子签章”进行获取文件。“安全证书（CA）”和“电子签章”办理请按照“威海市公共资源交易网”首页右侧“CA办理”中“CA证书办理介绍”进行办理。</w:t>
      </w:r>
    </w:p>
    <w:p w14:paraId="7A45331C">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四、投标文件提交</w:t>
      </w:r>
    </w:p>
    <w:p w14:paraId="447EE8F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1.提交投标文件时间：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9月1日19</w:t>
      </w:r>
      <w:r>
        <w:rPr>
          <w:rFonts w:hint="eastAsia" w:ascii="仿宋" w:hAnsi="仿宋" w:eastAsia="仿宋" w:cs="仿宋"/>
          <w:color w:val="auto"/>
          <w:sz w:val="28"/>
          <w:szCs w:val="28"/>
          <w:highlight w:val="none"/>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rPr>
        <w:t>分至</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19724C1F">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地点：登录“威海市公共资源交易网”首页右侧“交易服务一网通办-（新版）一网通办系统”进行“平台切换”，点击“国企采购”进入国企阳光采购平台进行提交。已在国企阳光采购平台获取文件的投标人在规定时间内提交电子投标文件。</w:t>
      </w:r>
    </w:p>
    <w:p w14:paraId="6F70794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lang w:val="en-US" w:eastAsia="zh-CN"/>
        </w:rPr>
      </w:pPr>
      <w:r>
        <w:rPr>
          <w:rFonts w:hint="eastAsia" w:ascii="黑体" w:hAnsi="黑体" w:eastAsia="黑体" w:cs="宋体"/>
          <w:color w:val="auto"/>
          <w:kern w:val="0"/>
          <w:sz w:val="28"/>
          <w:szCs w:val="28"/>
          <w:highlight w:val="none"/>
        </w:rPr>
        <w:t>五、开</w:t>
      </w:r>
      <w:r>
        <w:rPr>
          <w:rFonts w:hint="eastAsia" w:ascii="黑体" w:hAnsi="黑体" w:eastAsia="黑体" w:cs="宋体"/>
          <w:color w:val="auto"/>
          <w:kern w:val="0"/>
          <w:sz w:val="28"/>
          <w:szCs w:val="28"/>
          <w:highlight w:val="none"/>
          <w:lang w:val="en-US" w:eastAsia="zh-CN"/>
        </w:rPr>
        <w:t>标</w:t>
      </w:r>
    </w:p>
    <w:p w14:paraId="19108E5E">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r>
        <w:rPr>
          <w:rFonts w:hint="eastAsia" w:ascii="仿宋" w:hAnsi="仿宋" w:eastAsia="仿宋" w:cs="仿宋"/>
          <w:color w:val="auto"/>
          <w:sz w:val="28"/>
          <w:szCs w:val="28"/>
          <w:highlight w:val="none"/>
          <w:lang w:eastAsia="zh-CN"/>
        </w:rPr>
        <w:t>。</w:t>
      </w:r>
    </w:p>
    <w:p w14:paraId="08320651">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rPr>
        <w:t>地点：</w:t>
      </w:r>
      <w:r>
        <w:rPr>
          <w:rFonts w:hint="eastAsia" w:ascii="仿宋" w:hAnsi="仿宋" w:eastAsia="仿宋" w:cs="仿宋"/>
          <w:color w:val="auto"/>
          <w:sz w:val="28"/>
          <w:szCs w:val="28"/>
          <w:highlight w:val="none"/>
          <w:lang w:eastAsia="zh-CN"/>
        </w:rPr>
        <w:t>交易</w:t>
      </w: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lang w:eastAsia="zh-CN"/>
        </w:rPr>
        <w:t>厅（威海市环翠区塔山中路317号威海市政务服务中心四楼）。</w:t>
      </w:r>
    </w:p>
    <w:p w14:paraId="06D42A35">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六、其他补充事宜</w:t>
      </w:r>
    </w:p>
    <w:p w14:paraId="1AD765B0">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投标人提前熟悉交易系统（新版威海市国有企业阳光采购服务平台供应商用户手册网址：</w:t>
      </w:r>
      <w:r>
        <w:rPr>
          <w:rFonts w:hint="eastAsia" w:ascii="仿宋" w:hAnsi="仿宋" w:eastAsia="仿宋" w:cs="仿宋"/>
          <w:color w:val="auto"/>
          <w:sz w:val="28"/>
          <w:szCs w:val="28"/>
          <w:highlight w:val="none"/>
          <w:lang w:eastAsia="zh-CN"/>
        </w:rPr>
        <w:t>https://ggzyjy.weihai.cn/bszn/005005/20260109/eb4ba418-4b35-4f05-aa69-44fd7d8a7ffb.html</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通过交易系统线上参加开标活动。投标人应保持通讯畅通并提前在个人电脑上进行测试确保音频、视频功能、电子签章等功能可正常使用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否则一切后果由投标人自行承担。</w:t>
      </w:r>
    </w:p>
    <w:p w14:paraId="0FB46FF8">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七、对本次招标提出询问</w:t>
      </w:r>
      <w:r>
        <w:rPr>
          <w:rFonts w:hint="eastAsia" w:ascii="黑体" w:hAnsi="黑体" w:eastAsia="黑体" w:cs="宋体"/>
          <w:color w:val="auto"/>
          <w:kern w:val="0"/>
          <w:sz w:val="28"/>
          <w:szCs w:val="28"/>
          <w:highlight w:val="none"/>
          <w:lang w:eastAsia="zh-CN"/>
        </w:rPr>
        <w:t>，</w:t>
      </w:r>
      <w:r>
        <w:rPr>
          <w:rFonts w:hint="eastAsia" w:ascii="黑体" w:hAnsi="黑体" w:eastAsia="黑体" w:cs="宋体"/>
          <w:color w:val="auto"/>
          <w:kern w:val="0"/>
          <w:sz w:val="28"/>
          <w:szCs w:val="28"/>
          <w:highlight w:val="none"/>
        </w:rPr>
        <w:t>请按以下方式联系。</w:t>
      </w:r>
    </w:p>
    <w:p w14:paraId="259A9F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1.采购人信息</w:t>
      </w:r>
    </w:p>
    <w:p w14:paraId="14288832">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称：威海粮油发展有限公司</w:t>
      </w:r>
    </w:p>
    <w:p w14:paraId="706FD8B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址：山东省威海市临港经济技术开发区汪疃镇威浩路3号</w:t>
      </w:r>
    </w:p>
    <w:p w14:paraId="0DA4D329">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联系人：宋贝贝</w:t>
      </w:r>
    </w:p>
    <w:p w14:paraId="689C67ED">
      <w:pPr>
        <w:keepNext w:val="0"/>
        <w:keepLines w:val="0"/>
        <w:pageBreakBefore w:val="0"/>
        <w:widowControl w:val="0"/>
        <w:shd w:val="clear"/>
        <w:kinsoku/>
        <w:wordWrap/>
        <w:overflowPunct/>
        <w:topLinePunct w:val="0"/>
        <w:autoSpaceDE/>
        <w:autoSpaceDN/>
        <w:bidi w:val="0"/>
        <w:adjustRightIn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联系方式：0631-8561801</w:t>
      </w:r>
    </w:p>
    <w:p w14:paraId="3D3BB0C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28577F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称：山东志诚工程咨询管理有限公司</w:t>
      </w:r>
    </w:p>
    <w:p w14:paraId="68BD3E7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址：威海经济技术开发区青岛中路-77A号长峰商业广场1211室</w:t>
      </w:r>
    </w:p>
    <w:p w14:paraId="120B07D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联系方式：0631-5188996</w:t>
      </w:r>
    </w:p>
    <w:p w14:paraId="027E653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3.项目联系方式</w:t>
      </w:r>
    </w:p>
    <w:p w14:paraId="537922F5">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项目联系人：张佳惠、赵洪斌</w:t>
      </w:r>
    </w:p>
    <w:p w14:paraId="2A334C6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电话：0631-5188996</w:t>
      </w:r>
    </w:p>
    <w:p w14:paraId="61F054AF">
      <w:pPr>
        <w:keepNext w:val="0"/>
        <w:keepLines w:val="0"/>
        <w:pageBreakBefore w:val="0"/>
        <w:widowControl w:val="0"/>
        <w:shd w:val="clear"/>
        <w:kinsoku/>
        <w:wordWrap/>
        <w:overflowPunct/>
        <w:topLinePunct w:val="0"/>
        <w:autoSpaceDE/>
        <w:autoSpaceDN/>
        <w:bidi w:val="0"/>
        <w:adjustRightInd/>
        <w:snapToGrid/>
        <w:spacing w:line="560" w:lineRule="exact"/>
        <w:ind w:firstLine="560" w:firstLineChars="200"/>
        <w:textAlignment w:val="auto"/>
        <w:rPr>
          <w:rFonts w:hint="eastAsia" w:ascii="黑体" w:hAnsi="黑体" w:eastAsia="黑体" w:cs="宋体"/>
          <w:color w:val="auto"/>
          <w:kern w:val="0"/>
          <w:sz w:val="28"/>
          <w:szCs w:val="28"/>
          <w:highlight w:val="none"/>
        </w:rPr>
      </w:pPr>
      <w:r>
        <w:rPr>
          <w:rFonts w:hint="eastAsia" w:ascii="黑体" w:hAnsi="黑体" w:eastAsia="黑体" w:cs="宋体"/>
          <w:color w:val="auto"/>
          <w:kern w:val="0"/>
          <w:sz w:val="28"/>
          <w:szCs w:val="28"/>
          <w:highlight w:val="none"/>
        </w:rPr>
        <w:t>八、发布公告的媒介</w:t>
      </w:r>
    </w:p>
    <w:p w14:paraId="7EAC995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本次公告在中国招标投标公共服务平台（www.cebpubservice.com）、威海市公共资源交易网（http://ggzyjy.weihai.cn/）同时发布，其它媒介转发无效。</w:t>
      </w:r>
    </w:p>
    <w:p w14:paraId="4CE210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val="en-US" w:eastAsia="zh-CN"/>
        </w:rPr>
      </w:pPr>
    </w:p>
    <w:p w14:paraId="549FAC9B">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发布人：</w:t>
      </w:r>
      <w:r>
        <w:rPr>
          <w:rFonts w:hint="eastAsia" w:ascii="仿宋" w:hAnsi="仿宋" w:eastAsia="仿宋" w:cs="仿宋"/>
          <w:color w:val="auto"/>
          <w:sz w:val="28"/>
          <w:szCs w:val="28"/>
          <w:highlight w:val="none"/>
          <w:lang w:eastAsia="zh-CN"/>
        </w:rPr>
        <w:t>山东志诚工程咨询管理有限公司</w:t>
      </w:r>
    </w:p>
    <w:p w14:paraId="6974ACA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发布时间：</w:t>
      </w: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9月1日</w:t>
      </w:r>
    </w:p>
    <w:p w14:paraId="670ADD4F">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right"/>
        <w:textAlignment w:val="auto"/>
        <w:rPr>
          <w:rFonts w:hint="eastAsia" w:ascii="仿宋" w:hAnsi="仿宋" w:eastAsia="仿宋" w:cs="仿宋"/>
          <w:color w:val="auto"/>
          <w:sz w:val="28"/>
          <w:szCs w:val="28"/>
          <w:highlight w:val="none"/>
        </w:rPr>
        <w:sectPr>
          <w:pgSz w:w="11906" w:h="16838"/>
          <w:pgMar w:top="1440" w:right="1083" w:bottom="1440" w:left="1083" w:header="851" w:footer="992" w:gutter="0"/>
          <w:pgNumType w:fmt="decimal"/>
          <w:cols w:space="0" w:num="1"/>
          <w:rtlGutter w:val="0"/>
          <w:docGrid w:type="lines" w:linePitch="312" w:charSpace="0"/>
        </w:sectPr>
      </w:pPr>
    </w:p>
    <w:p w14:paraId="6EACF88F">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第二章  投标须知</w:t>
      </w:r>
    </w:p>
    <w:p w14:paraId="6429C4EC">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投标须知前附表</w:t>
      </w:r>
    </w:p>
    <w:p w14:paraId="06B7935A">
      <w:pPr>
        <w:shd w:val="clear"/>
        <w:spacing w:line="500" w:lineRule="exact"/>
        <w:ind w:firstLine="643" w:firstLineChars="201"/>
        <w:jc w:val="center"/>
        <w:rPr>
          <w:rFonts w:ascii="宋体" w:hAnsi="宋体"/>
          <w:color w:val="auto"/>
          <w:sz w:val="32"/>
          <w:szCs w:val="32"/>
          <w:highlight w:val="none"/>
        </w:rPr>
      </w:pPr>
    </w:p>
    <w:tbl>
      <w:tblPr>
        <w:tblStyle w:val="30"/>
        <w:tblW w:w="937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2155"/>
        <w:gridCol w:w="6309"/>
      </w:tblGrid>
      <w:tr w14:paraId="75DF47A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606C2E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331E44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    目</w:t>
            </w:r>
          </w:p>
        </w:tc>
        <w:tc>
          <w:tcPr>
            <w:tcW w:w="6309" w:type="dxa"/>
            <w:tcBorders>
              <w:top w:val="single" w:color="auto" w:sz="4" w:space="0"/>
              <w:left w:val="single" w:color="auto" w:sz="4" w:space="0"/>
              <w:bottom w:val="single" w:color="auto" w:sz="4" w:space="0"/>
            </w:tcBorders>
            <w:noWrap w:val="0"/>
            <w:vAlign w:val="center"/>
          </w:tcPr>
          <w:p w14:paraId="733BED1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41A3DD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noWrap w:val="0"/>
            <w:vAlign w:val="center"/>
          </w:tcPr>
          <w:p w14:paraId="4CEC06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E24C8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6309" w:type="dxa"/>
            <w:tcBorders>
              <w:top w:val="single" w:color="auto" w:sz="4" w:space="0"/>
              <w:left w:val="single" w:color="auto" w:sz="4" w:space="0"/>
              <w:bottom w:val="single" w:color="auto" w:sz="4" w:space="0"/>
            </w:tcBorders>
            <w:noWrap w:val="0"/>
            <w:vAlign w:val="center"/>
          </w:tcPr>
          <w:p w14:paraId="357E62B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威海粮油发展有限公司常年法律顾问服务单位项目</w:t>
            </w:r>
          </w:p>
        </w:tc>
      </w:tr>
      <w:tr w14:paraId="68B5D3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17CEFED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F84E43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项目编号</w:t>
            </w:r>
          </w:p>
        </w:tc>
        <w:tc>
          <w:tcPr>
            <w:tcW w:w="6309" w:type="dxa"/>
            <w:tcBorders>
              <w:top w:val="single" w:color="auto" w:sz="4" w:space="0"/>
              <w:left w:val="single" w:color="auto" w:sz="4" w:space="0"/>
              <w:bottom w:val="single" w:color="auto" w:sz="4" w:space="0"/>
            </w:tcBorders>
            <w:noWrap w:val="0"/>
            <w:vAlign w:val="center"/>
          </w:tcPr>
          <w:p w14:paraId="748FE8E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WHZCZB2026-096</w:t>
            </w:r>
          </w:p>
        </w:tc>
      </w:tr>
      <w:tr w14:paraId="35DAA9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471756F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C1C31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采购人</w:t>
            </w:r>
          </w:p>
        </w:tc>
        <w:tc>
          <w:tcPr>
            <w:tcW w:w="6309" w:type="dxa"/>
            <w:tcBorders>
              <w:top w:val="single" w:color="auto" w:sz="4" w:space="0"/>
              <w:left w:val="single" w:color="auto" w:sz="4" w:space="0"/>
              <w:bottom w:val="single" w:color="auto" w:sz="4" w:space="0"/>
            </w:tcBorders>
            <w:noWrap w:val="0"/>
            <w:vAlign w:val="center"/>
          </w:tcPr>
          <w:p w14:paraId="0DBCC78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威海粮油发展有限公司</w:t>
            </w:r>
          </w:p>
          <w:p w14:paraId="0D2332C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z w:val="28"/>
                <w:szCs w:val="28"/>
                <w:highlight w:val="none"/>
                <w:lang w:eastAsia="zh-CN"/>
              </w:rPr>
              <w:t>山东省威海市临港经济技术开发区汪疃镇威浩路3号</w:t>
            </w:r>
          </w:p>
          <w:p w14:paraId="5DB71B1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宋贝贝</w:t>
            </w:r>
          </w:p>
          <w:p w14:paraId="63EB19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w:t>
            </w:r>
            <w:r>
              <w:rPr>
                <w:rFonts w:hint="eastAsia" w:ascii="仿宋" w:hAnsi="仿宋" w:eastAsia="仿宋" w:cs="仿宋"/>
                <w:color w:val="auto"/>
                <w:sz w:val="28"/>
                <w:szCs w:val="28"/>
                <w:highlight w:val="none"/>
                <w:lang w:val="en-US" w:eastAsia="zh-CN"/>
              </w:rPr>
              <w:t>电话</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0631-8561801</w:t>
            </w:r>
          </w:p>
        </w:tc>
      </w:tr>
      <w:tr w14:paraId="0937C6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908" w:type="dxa"/>
            <w:tcBorders>
              <w:top w:val="single" w:color="auto" w:sz="4" w:space="0"/>
              <w:bottom w:val="single" w:color="auto" w:sz="4" w:space="0"/>
              <w:right w:val="single" w:color="auto" w:sz="4" w:space="0"/>
            </w:tcBorders>
            <w:noWrap w:val="0"/>
            <w:vAlign w:val="center"/>
          </w:tcPr>
          <w:p w14:paraId="676550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BC69F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采购代理机构</w:t>
            </w:r>
          </w:p>
        </w:tc>
        <w:tc>
          <w:tcPr>
            <w:tcW w:w="6309" w:type="dxa"/>
            <w:tcBorders>
              <w:top w:val="single" w:color="auto" w:sz="4" w:space="0"/>
              <w:left w:val="single" w:color="auto" w:sz="4" w:space="0"/>
              <w:bottom w:val="single" w:color="auto" w:sz="4" w:space="0"/>
            </w:tcBorders>
            <w:noWrap w:val="0"/>
            <w:vAlign w:val="center"/>
          </w:tcPr>
          <w:p w14:paraId="1E4AE17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单位名称：</w:t>
            </w:r>
            <w:r>
              <w:rPr>
                <w:rFonts w:hint="eastAsia" w:ascii="仿宋" w:hAnsi="仿宋" w:eastAsia="仿宋" w:cs="仿宋"/>
                <w:color w:val="auto"/>
                <w:sz w:val="28"/>
                <w:szCs w:val="28"/>
                <w:highlight w:val="none"/>
                <w:lang w:eastAsia="zh-CN"/>
              </w:rPr>
              <w:t>山东志诚工程咨询管理有限公司</w:t>
            </w:r>
          </w:p>
          <w:p w14:paraId="48C4D8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单位地址：</w:t>
            </w:r>
            <w:r>
              <w:rPr>
                <w:rFonts w:hint="eastAsia" w:ascii="仿宋" w:hAnsi="仿宋" w:eastAsia="仿宋" w:cs="仿宋"/>
                <w:color w:val="auto"/>
                <w:spacing w:val="8"/>
                <w:kern w:val="0"/>
                <w:sz w:val="28"/>
                <w:szCs w:val="28"/>
                <w:highlight w:val="none"/>
                <w:lang w:eastAsia="zh-CN"/>
              </w:rPr>
              <w:t>威海经济技术开发区青岛中路-77A号长峰商业广场1211室</w:t>
            </w:r>
          </w:p>
          <w:p w14:paraId="1C93A5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联系人：</w:t>
            </w:r>
            <w:r>
              <w:rPr>
                <w:rFonts w:hint="eastAsia" w:ascii="仿宋" w:hAnsi="仿宋" w:eastAsia="仿宋" w:cs="仿宋"/>
                <w:color w:val="auto"/>
                <w:sz w:val="28"/>
                <w:szCs w:val="28"/>
                <w:highlight w:val="none"/>
                <w:lang w:eastAsia="zh-CN"/>
              </w:rPr>
              <w:t>张佳惠、赵洪斌</w:t>
            </w:r>
          </w:p>
          <w:p w14:paraId="52C47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7B94A9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CDB37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34D57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电子投标</w:t>
            </w:r>
          </w:p>
          <w:p w14:paraId="24F823B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特别提示</w:t>
            </w:r>
          </w:p>
        </w:tc>
        <w:tc>
          <w:tcPr>
            <w:tcW w:w="6309" w:type="dxa"/>
            <w:tcBorders>
              <w:top w:val="single" w:color="auto" w:sz="4" w:space="0"/>
              <w:left w:val="single" w:color="auto" w:sz="4" w:space="0"/>
              <w:bottom w:val="single" w:color="auto" w:sz="4" w:space="0"/>
            </w:tcBorders>
            <w:noWrap w:val="0"/>
            <w:vAlign w:val="center"/>
          </w:tcPr>
          <w:p w14:paraId="58C0D04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登录“威海市公共资源交易网”首页右侧“交易服务一网通办-（新版）一网通办系统”进行注册，取得用户名和密码（已经完成注册无须重复注册）；首次注册投标人应及时办理安全证书（CA锁）及电子签章。本项目必须网上递交投标文件，参与本项目投标人应利用办理好的CA锁登录国企阳光采购平台进行招标文件的获取、文件下载和网上递交投标文件，且安全证书（CA锁）在有效期内。</w:t>
            </w:r>
          </w:p>
          <w:p w14:paraId="5BC19C1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登录“威海市公共资源交易网”首页右侧“交易服务一网通办-（新版）一网通办系统”进行“平台切换”，点击“国企采购”进入国企阳光采购平台，如跳转国企阳光采购平台时，提示用户不存在，可拨打技术支持电话（17863029936）咨询。</w:t>
            </w:r>
          </w:p>
          <w:p w14:paraId="164DFCF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6BC4CBD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4.网上提交投标文件时，登录交易平台的电脑须满足环境要求（详见新版威海市国有企业阳光采购服务平台供应商用户手册https://ggzyjy.weihai.cn/bszn/005005/20260109/eb4ba418-4b35-4f05-aa69-44fd7d8a7ffb.html）。</w:t>
            </w:r>
          </w:p>
          <w:p w14:paraId="6D1BED1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5.投标人提交的电子投标文件应按照本招标文件《第五章 投标文件格式》进行编制，数据文件（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FAEB91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6.电子投标文件</w:t>
            </w:r>
            <w:r>
              <w:rPr>
                <w:rFonts w:hint="eastAsia" w:ascii="仿宋" w:hAnsi="仿宋" w:eastAsia="仿宋" w:cs="仿宋"/>
                <w:color w:val="auto"/>
                <w:sz w:val="28"/>
                <w:szCs w:val="28"/>
                <w:highlight w:val="none"/>
                <w:lang w:val="en-US" w:eastAsia="zh-CN"/>
              </w:rPr>
              <w:t>必须</w:t>
            </w:r>
            <w:r>
              <w:rPr>
                <w:rFonts w:hint="eastAsia" w:ascii="仿宋" w:hAnsi="仿宋" w:eastAsia="仿宋" w:cs="仿宋"/>
                <w:color w:val="auto"/>
                <w:sz w:val="28"/>
                <w:szCs w:val="28"/>
                <w:highlight w:val="none"/>
              </w:rPr>
              <w:t>有电子签章方为合法的投标文件，未对电子投标文件进行电子签章的，将作为无效投标处理。电子投标文件的电子签章要求：在生成电子投标文件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格式时，都必须对电子投标文件进行电子签章；签章时需要将电子签章签署到相应的位置中。</w:t>
            </w:r>
          </w:p>
          <w:p w14:paraId="7A9931D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7.投标人投标文件中的相关扫描件应保证清晰度，无法辨认的评审时受到影响的，由投标人承担相应责任。</w:t>
            </w:r>
          </w:p>
          <w:p w14:paraId="74D1EA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8.除网上递交电子投标文件外，如有要求递交相关资质证明文件原件的，还须按其要求独立密封递交（被授权人身份证原件除外）。</w:t>
            </w:r>
          </w:p>
          <w:p w14:paraId="55BD6FB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9.投标人应充分考虑到网上递交投标文件会发生的故障和风险。对发生的任何故障和风险造成投标人报价内容不一致或利益受损或投标失败的，采购人及采购代理机构不承担任何责任。</w:t>
            </w:r>
          </w:p>
        </w:tc>
      </w:tr>
      <w:tr w14:paraId="786F2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4DBE955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ED38B0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资质证明文件原件</w:t>
            </w:r>
          </w:p>
        </w:tc>
        <w:tc>
          <w:tcPr>
            <w:tcW w:w="6309" w:type="dxa"/>
            <w:tcBorders>
              <w:top w:val="single" w:color="auto" w:sz="4" w:space="0"/>
              <w:left w:val="single" w:color="auto" w:sz="4" w:space="0"/>
              <w:bottom w:val="single" w:color="auto" w:sz="4" w:space="0"/>
            </w:tcBorders>
            <w:noWrap w:val="0"/>
            <w:vAlign w:val="center"/>
          </w:tcPr>
          <w:p w14:paraId="5F69F51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762893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08" w:type="dxa"/>
            <w:tcBorders>
              <w:top w:val="single" w:color="auto" w:sz="4" w:space="0"/>
              <w:bottom w:val="single" w:color="auto" w:sz="4" w:space="0"/>
              <w:right w:val="single" w:color="auto" w:sz="4" w:space="0"/>
            </w:tcBorders>
            <w:noWrap w:val="0"/>
            <w:vAlign w:val="center"/>
          </w:tcPr>
          <w:p w14:paraId="64D4C5B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4A5809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投标文件份数</w:t>
            </w:r>
          </w:p>
        </w:tc>
        <w:tc>
          <w:tcPr>
            <w:tcW w:w="6309" w:type="dxa"/>
            <w:tcBorders>
              <w:top w:val="single" w:color="auto" w:sz="4" w:space="0"/>
              <w:left w:val="single" w:color="auto" w:sz="4" w:space="0"/>
              <w:bottom w:val="single" w:color="auto" w:sz="4" w:space="0"/>
            </w:tcBorders>
            <w:noWrap w:val="0"/>
            <w:vAlign w:val="center"/>
          </w:tcPr>
          <w:p w14:paraId="6F82FD43">
            <w:pPr>
              <w:keepNext w:val="0"/>
              <w:keepLines w:val="0"/>
              <w:pageBreakBefore w:val="0"/>
              <w:widowControl w:val="0"/>
              <w:shd w:val="clear"/>
              <w:kinsoku/>
              <w:wordWrap/>
              <w:overflowPunct/>
              <w:topLinePunct w:val="0"/>
              <w:autoSpaceDE/>
              <w:autoSpaceDN/>
              <w:bidi w:val="0"/>
              <w:adjustRightInd/>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网上按时递交电子投标文件1份以及纸质投标文件</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p>
        </w:tc>
      </w:tr>
      <w:tr w14:paraId="1AB5B6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130749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8A7ED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实物样品</w:t>
            </w:r>
          </w:p>
        </w:tc>
        <w:tc>
          <w:tcPr>
            <w:tcW w:w="6309" w:type="dxa"/>
            <w:tcBorders>
              <w:top w:val="single" w:color="auto" w:sz="4" w:space="0"/>
              <w:left w:val="single" w:color="auto" w:sz="4" w:space="0"/>
              <w:bottom w:val="single" w:color="auto" w:sz="4" w:space="0"/>
            </w:tcBorders>
            <w:noWrap w:val="0"/>
            <w:vAlign w:val="center"/>
          </w:tcPr>
          <w:p w14:paraId="786FC09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67E928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908" w:type="dxa"/>
            <w:tcBorders>
              <w:top w:val="single" w:color="auto" w:sz="4" w:space="0"/>
              <w:bottom w:val="single" w:color="auto" w:sz="4" w:space="0"/>
              <w:right w:val="single" w:color="auto" w:sz="4" w:space="0"/>
            </w:tcBorders>
            <w:noWrap w:val="0"/>
            <w:vAlign w:val="center"/>
          </w:tcPr>
          <w:p w14:paraId="7E722D4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B0E2E3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现场踏勘</w:t>
            </w:r>
          </w:p>
        </w:tc>
        <w:tc>
          <w:tcPr>
            <w:tcW w:w="6309" w:type="dxa"/>
            <w:tcBorders>
              <w:top w:val="single" w:color="auto" w:sz="4" w:space="0"/>
              <w:left w:val="single" w:color="auto" w:sz="4" w:space="0"/>
              <w:bottom w:val="single" w:color="auto" w:sz="4" w:space="0"/>
            </w:tcBorders>
            <w:noWrap w:val="0"/>
            <w:vAlign w:val="center"/>
          </w:tcPr>
          <w:p w14:paraId="373AAD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A4D4B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50EE9DE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6FC2329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现场演示</w:t>
            </w:r>
          </w:p>
        </w:tc>
        <w:tc>
          <w:tcPr>
            <w:tcW w:w="6309" w:type="dxa"/>
            <w:tcBorders>
              <w:top w:val="single" w:color="auto" w:sz="4" w:space="0"/>
              <w:left w:val="single" w:color="auto" w:sz="4" w:space="0"/>
              <w:bottom w:val="single" w:color="auto" w:sz="4" w:space="0"/>
            </w:tcBorders>
            <w:noWrap w:val="0"/>
            <w:vAlign w:val="center"/>
          </w:tcPr>
          <w:p w14:paraId="4E0C37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46640E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908" w:type="dxa"/>
            <w:tcBorders>
              <w:top w:val="single" w:color="auto" w:sz="4" w:space="0"/>
              <w:bottom w:val="single" w:color="auto" w:sz="4" w:space="0"/>
              <w:right w:val="single" w:color="auto" w:sz="4" w:space="0"/>
            </w:tcBorders>
            <w:noWrap w:val="0"/>
            <w:vAlign w:val="center"/>
          </w:tcPr>
          <w:p w14:paraId="71C69EE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2824C6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投标有效期</w:t>
            </w:r>
          </w:p>
        </w:tc>
        <w:tc>
          <w:tcPr>
            <w:tcW w:w="6309" w:type="dxa"/>
            <w:tcBorders>
              <w:top w:val="single" w:color="auto" w:sz="4" w:space="0"/>
              <w:left w:val="single" w:color="auto" w:sz="4" w:space="0"/>
              <w:bottom w:val="single" w:color="auto" w:sz="4" w:space="0"/>
            </w:tcBorders>
            <w:noWrap w:val="0"/>
            <w:vAlign w:val="center"/>
          </w:tcPr>
          <w:p w14:paraId="0E0912C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开标之日起90日</w:t>
            </w:r>
          </w:p>
        </w:tc>
      </w:tr>
      <w:tr w14:paraId="6C180D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908" w:type="dxa"/>
            <w:tcBorders>
              <w:top w:val="single" w:color="auto" w:sz="4" w:space="0"/>
              <w:bottom w:val="single" w:color="auto" w:sz="4" w:space="0"/>
              <w:right w:val="single" w:color="auto" w:sz="4" w:space="0"/>
            </w:tcBorders>
            <w:noWrap w:val="0"/>
            <w:vAlign w:val="center"/>
          </w:tcPr>
          <w:p w14:paraId="2B5C8B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900C83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投标文件递交时间及地点</w:t>
            </w:r>
          </w:p>
        </w:tc>
        <w:tc>
          <w:tcPr>
            <w:tcW w:w="6309" w:type="dxa"/>
            <w:tcBorders>
              <w:top w:val="single" w:color="auto" w:sz="4" w:space="0"/>
              <w:left w:val="single" w:color="auto" w:sz="4" w:space="0"/>
              <w:bottom w:val="single" w:color="auto" w:sz="4" w:space="0"/>
            </w:tcBorders>
            <w:noWrap w:val="0"/>
            <w:vAlign w:val="center"/>
          </w:tcPr>
          <w:p w14:paraId="70802FF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电子投标文件递交时间：</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9月1日19</w:t>
            </w:r>
            <w:r>
              <w:rPr>
                <w:rFonts w:hint="eastAsia" w:ascii="仿宋" w:hAnsi="仿宋" w:eastAsia="仿宋" w:cs="仿宋"/>
                <w:color w:val="auto"/>
                <w:spacing w:val="8"/>
                <w:kern w:val="0"/>
                <w:sz w:val="28"/>
                <w:szCs w:val="28"/>
                <w:highlight w:val="none"/>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rPr>
              <w:t>分至</w:t>
            </w:r>
            <w:r>
              <w:rPr>
                <w:rFonts w:hint="eastAsia" w:ascii="仿宋" w:hAnsi="仿宋" w:eastAsia="仿宋" w:cs="仿宋"/>
                <w:color w:val="auto"/>
                <w:spacing w:val="8"/>
                <w:kern w:val="0"/>
                <w:sz w:val="28"/>
                <w:szCs w:val="28"/>
                <w:highlight w:val="none"/>
                <w:lang w:eastAsia="zh-CN"/>
              </w:rPr>
              <w:t>2026年</w:t>
            </w:r>
            <w:r>
              <w:rPr>
                <w:rFonts w:hint="eastAsia" w:ascii="仿宋" w:hAnsi="仿宋" w:eastAsia="仿宋" w:cs="仿宋"/>
                <w:color w:val="auto"/>
                <w:spacing w:val="8"/>
                <w:kern w:val="0"/>
                <w:sz w:val="28"/>
                <w:szCs w:val="28"/>
                <w:highlight w:val="none"/>
                <w:lang w:val="en-US" w:eastAsia="zh-CN"/>
              </w:rPr>
              <w:t>9月10日9</w:t>
            </w:r>
            <w:r>
              <w:rPr>
                <w:rFonts w:hint="eastAsia" w:ascii="仿宋" w:hAnsi="仿宋" w:eastAsia="仿宋" w:cs="仿宋"/>
                <w:color w:val="auto"/>
                <w:spacing w:val="8"/>
                <w:kern w:val="0"/>
                <w:sz w:val="28"/>
                <w:szCs w:val="28"/>
                <w:highlight w:val="none"/>
                <w:lang w:eastAsia="zh-CN"/>
              </w:rPr>
              <w:t>时</w:t>
            </w:r>
            <w:r>
              <w:rPr>
                <w:rFonts w:hint="eastAsia" w:ascii="仿宋" w:hAnsi="仿宋" w:eastAsia="仿宋" w:cs="仿宋"/>
                <w:color w:val="auto"/>
                <w:spacing w:val="8"/>
                <w:kern w:val="0"/>
                <w:sz w:val="28"/>
                <w:szCs w:val="28"/>
                <w:highlight w:val="none"/>
                <w:lang w:val="en-US" w:eastAsia="zh-CN"/>
              </w:rPr>
              <w:t>00</w:t>
            </w:r>
            <w:r>
              <w:rPr>
                <w:rFonts w:hint="eastAsia" w:ascii="仿宋" w:hAnsi="仿宋" w:eastAsia="仿宋" w:cs="仿宋"/>
                <w:color w:val="auto"/>
                <w:spacing w:val="8"/>
                <w:kern w:val="0"/>
                <w:sz w:val="28"/>
                <w:szCs w:val="28"/>
                <w:highlight w:val="none"/>
                <w:lang w:eastAsia="zh-CN"/>
              </w:rPr>
              <w:t>分</w:t>
            </w:r>
            <w:r>
              <w:rPr>
                <w:rFonts w:hint="eastAsia" w:ascii="仿宋" w:hAnsi="仿宋" w:eastAsia="仿宋" w:cs="仿宋"/>
                <w:color w:val="auto"/>
                <w:sz w:val="28"/>
                <w:szCs w:val="28"/>
                <w:highlight w:val="none"/>
              </w:rPr>
              <w:t>（以</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具体显示时间为准）</w:t>
            </w:r>
            <w:r>
              <w:rPr>
                <w:rFonts w:hint="eastAsia" w:ascii="仿宋" w:hAnsi="仿宋" w:eastAsia="仿宋" w:cs="仿宋"/>
                <w:color w:val="auto"/>
                <w:sz w:val="28"/>
                <w:szCs w:val="28"/>
                <w:highlight w:val="none"/>
                <w:lang w:eastAsia="zh-CN"/>
              </w:rPr>
              <w:t>。</w:t>
            </w:r>
          </w:p>
          <w:p w14:paraId="5309DC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纸质投标文件递交：</w:t>
            </w:r>
          </w:p>
          <w:p w14:paraId="4C9D0C7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2.1投标人以邮寄的方式进行递交（收件人：</w:t>
            </w:r>
            <w:r>
              <w:rPr>
                <w:rFonts w:hint="eastAsia" w:ascii="仿宋" w:hAnsi="仿宋" w:eastAsia="仿宋" w:cs="仿宋"/>
                <w:color w:val="auto"/>
                <w:sz w:val="28"/>
                <w:szCs w:val="28"/>
                <w:highlight w:val="none"/>
                <w:lang w:eastAsia="zh-CN"/>
              </w:rPr>
              <w:t>张佳惠，</w:t>
            </w:r>
            <w:r>
              <w:rPr>
                <w:rFonts w:hint="eastAsia" w:ascii="仿宋" w:hAnsi="仿宋" w:eastAsia="仿宋" w:cs="仿宋"/>
                <w:color w:val="auto"/>
                <w:sz w:val="28"/>
                <w:szCs w:val="28"/>
                <w:highlight w:val="none"/>
              </w:rPr>
              <w:t>联系方式：</w:t>
            </w:r>
            <w:r>
              <w:rPr>
                <w:rFonts w:hint="eastAsia" w:ascii="仿宋" w:hAnsi="仿宋" w:eastAsia="仿宋" w:cs="仿宋"/>
                <w:color w:val="auto"/>
                <w:sz w:val="28"/>
                <w:szCs w:val="28"/>
                <w:highlight w:val="none"/>
                <w:lang w:eastAsia="zh-CN"/>
              </w:rPr>
              <w:t>0631-5188996，</w:t>
            </w:r>
            <w:r>
              <w:rPr>
                <w:rFonts w:hint="eastAsia" w:ascii="仿宋" w:hAnsi="仿宋" w:eastAsia="仿宋" w:cs="仿宋"/>
                <w:color w:val="auto"/>
                <w:sz w:val="28"/>
                <w:szCs w:val="28"/>
                <w:highlight w:val="none"/>
              </w:rPr>
              <w:t>地址：</w:t>
            </w:r>
            <w:r>
              <w:rPr>
                <w:rFonts w:hint="eastAsia" w:ascii="仿宋" w:hAnsi="仿宋" w:eastAsia="仿宋" w:cs="仿宋"/>
                <w:color w:val="auto"/>
                <w:sz w:val="28"/>
                <w:szCs w:val="28"/>
                <w:highlight w:val="none"/>
                <w:lang w:eastAsia="zh-CN"/>
              </w:rPr>
              <w:t>威海经济技术开发区青岛中路-77A号长峰商业广场1211室，山东志诚工程咨询管理有限公司</w:t>
            </w:r>
            <w:r>
              <w:rPr>
                <w:rFonts w:hint="eastAsia" w:ascii="仿宋" w:hAnsi="仿宋" w:eastAsia="仿宋" w:cs="仿宋"/>
                <w:color w:val="auto"/>
                <w:sz w:val="28"/>
                <w:szCs w:val="28"/>
                <w:highlight w:val="none"/>
              </w:rPr>
              <w:t>）。基于项目资料归档的要求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最迟邮寄到达时间为开标后三个工作日内。</w:t>
            </w:r>
          </w:p>
          <w:p w14:paraId="5C0EC75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2.2纸质投标文件（第一册、第二册</w:t>
            </w:r>
            <w:r>
              <w:rPr>
                <w:rFonts w:hint="eastAsia" w:ascii="仿宋" w:hAnsi="仿宋" w:eastAsia="仿宋" w:cs="仿宋"/>
                <w:color w:val="auto"/>
                <w:sz w:val="28"/>
                <w:szCs w:val="28"/>
                <w:highlight w:val="none"/>
                <w:lang w:val="en-US" w:eastAsia="zh-CN"/>
              </w:rPr>
              <w:t>装订</w:t>
            </w:r>
            <w:r>
              <w:rPr>
                <w:rFonts w:hint="eastAsia" w:ascii="仿宋" w:hAnsi="仿宋" w:eastAsia="仿宋" w:cs="仿宋"/>
                <w:color w:val="auto"/>
                <w:sz w:val="28"/>
                <w:szCs w:val="28"/>
                <w:highlight w:val="none"/>
              </w:rPr>
              <w:t>成一册）共</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将纸质投标文件密封在密封袋中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并在封口处粘贴封条。</w:t>
            </w:r>
          </w:p>
          <w:p w14:paraId="03FB9B8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2.3封套内容：</w:t>
            </w:r>
          </w:p>
          <w:p w14:paraId="0340287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代理机构：</w:t>
            </w:r>
            <w:r>
              <w:rPr>
                <w:rFonts w:hint="eastAsia" w:ascii="仿宋" w:hAnsi="仿宋" w:eastAsia="仿宋" w:cs="仿宋"/>
                <w:color w:val="auto"/>
                <w:sz w:val="28"/>
                <w:szCs w:val="28"/>
                <w:highlight w:val="none"/>
                <w:lang w:eastAsia="zh-CN"/>
              </w:rPr>
              <w:t>山东志诚工程咨询管理有限公司</w:t>
            </w:r>
          </w:p>
          <w:p w14:paraId="23BB71D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项目名称：</w:t>
            </w:r>
            <w:r>
              <w:rPr>
                <w:rFonts w:hint="eastAsia" w:ascii="仿宋" w:hAnsi="仿宋" w:eastAsia="仿宋" w:cs="仿宋"/>
                <w:color w:val="auto"/>
                <w:sz w:val="28"/>
                <w:szCs w:val="28"/>
                <w:highlight w:val="none"/>
                <w:lang w:eastAsia="zh-CN"/>
              </w:rPr>
              <w:t>威海粮油发展有限公司常年法律顾问服务单位项目</w:t>
            </w:r>
          </w:p>
          <w:p w14:paraId="1B5DF70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项目编号：</w:t>
            </w:r>
            <w:r>
              <w:rPr>
                <w:rFonts w:hint="eastAsia" w:ascii="仿宋" w:hAnsi="仿宋" w:eastAsia="仿宋" w:cs="仿宋"/>
                <w:color w:val="auto"/>
                <w:sz w:val="28"/>
                <w:szCs w:val="28"/>
                <w:highlight w:val="none"/>
                <w:lang w:eastAsia="zh-CN"/>
              </w:rPr>
              <w:t>WHZCZB2026-096</w:t>
            </w:r>
          </w:p>
          <w:p w14:paraId="225CF22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投标单位：XXXXXX</w:t>
            </w:r>
          </w:p>
          <w:p w14:paraId="7FF69D9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注明“开标时才能启封”字样。</w:t>
            </w:r>
          </w:p>
        </w:tc>
      </w:tr>
      <w:tr w14:paraId="336F8B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3F834EA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9EFD6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开标时间</w:t>
            </w:r>
          </w:p>
        </w:tc>
        <w:tc>
          <w:tcPr>
            <w:tcW w:w="6309" w:type="dxa"/>
            <w:tcBorders>
              <w:top w:val="single" w:color="auto" w:sz="4" w:space="0"/>
              <w:left w:val="single" w:color="auto" w:sz="4" w:space="0"/>
              <w:bottom w:val="single" w:color="auto" w:sz="4" w:space="0"/>
            </w:tcBorders>
            <w:noWrap w:val="0"/>
            <w:vAlign w:val="center"/>
          </w:tcPr>
          <w:p w14:paraId="28634EB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2026年</w:t>
            </w:r>
            <w:r>
              <w:rPr>
                <w:rFonts w:hint="eastAsia" w:ascii="仿宋" w:hAnsi="仿宋" w:eastAsia="仿宋" w:cs="仿宋"/>
                <w:color w:val="auto"/>
                <w:sz w:val="28"/>
                <w:szCs w:val="28"/>
                <w:highlight w:val="none"/>
                <w:lang w:val="en-US" w:eastAsia="zh-CN"/>
              </w:rPr>
              <w:t>9月10日9</w:t>
            </w:r>
            <w:r>
              <w:rPr>
                <w:rFonts w:hint="eastAsia" w:ascii="仿宋" w:hAnsi="仿宋" w:eastAsia="仿宋" w:cs="仿宋"/>
                <w:color w:val="auto"/>
                <w:sz w:val="28"/>
                <w:szCs w:val="28"/>
                <w:highlight w:val="none"/>
                <w:lang w:eastAsia="zh-CN"/>
              </w:rPr>
              <w:t>时</w:t>
            </w:r>
            <w:r>
              <w:rPr>
                <w:rFonts w:hint="eastAsia" w:ascii="仿宋" w:hAnsi="仿宋" w:eastAsia="仿宋" w:cs="仿宋"/>
                <w:color w:val="auto"/>
                <w:sz w:val="28"/>
                <w:szCs w:val="28"/>
                <w:highlight w:val="none"/>
                <w:lang w:val="en-US" w:eastAsia="zh-CN"/>
              </w:rPr>
              <w:t>00</w:t>
            </w:r>
            <w:r>
              <w:rPr>
                <w:rFonts w:hint="eastAsia" w:ascii="仿宋" w:hAnsi="仿宋" w:eastAsia="仿宋" w:cs="仿宋"/>
                <w:color w:val="auto"/>
                <w:sz w:val="28"/>
                <w:szCs w:val="28"/>
                <w:highlight w:val="none"/>
                <w:lang w:eastAsia="zh-CN"/>
              </w:rPr>
              <w:t>分</w:t>
            </w:r>
            <w:r>
              <w:rPr>
                <w:rFonts w:hint="eastAsia" w:ascii="仿宋" w:hAnsi="仿宋" w:eastAsia="仿宋" w:cs="仿宋"/>
                <w:color w:val="auto"/>
                <w:sz w:val="28"/>
                <w:szCs w:val="28"/>
                <w:highlight w:val="none"/>
              </w:rPr>
              <w:t>（北京时间）</w:t>
            </w:r>
          </w:p>
        </w:tc>
      </w:tr>
      <w:tr w14:paraId="6BAD01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3292705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B057DF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开标地点</w:t>
            </w:r>
          </w:p>
        </w:tc>
        <w:tc>
          <w:tcPr>
            <w:tcW w:w="6309" w:type="dxa"/>
            <w:tcBorders>
              <w:top w:val="single" w:color="auto" w:sz="4" w:space="0"/>
              <w:left w:val="single" w:color="auto" w:sz="4" w:space="0"/>
              <w:bottom w:val="single" w:color="auto" w:sz="4" w:space="0"/>
            </w:tcBorders>
            <w:noWrap w:val="0"/>
            <w:vAlign w:val="center"/>
          </w:tcPr>
          <w:p w14:paraId="14BEC0FE">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pacing w:val="8"/>
                <w:kern w:val="0"/>
                <w:sz w:val="28"/>
                <w:szCs w:val="28"/>
                <w:highlight w:val="none"/>
                <w:lang w:eastAsia="zh-CN"/>
              </w:rPr>
              <w:t>交易</w:t>
            </w:r>
            <w:r>
              <w:rPr>
                <w:rFonts w:hint="eastAsia" w:ascii="仿宋" w:hAnsi="仿宋" w:eastAsia="仿宋" w:cs="仿宋"/>
                <w:color w:val="auto"/>
                <w:spacing w:val="8"/>
                <w:kern w:val="0"/>
                <w:sz w:val="28"/>
                <w:szCs w:val="28"/>
                <w:highlight w:val="none"/>
                <w:lang w:val="en-US" w:eastAsia="zh-CN"/>
              </w:rPr>
              <w:t>七</w:t>
            </w:r>
            <w:r>
              <w:rPr>
                <w:rFonts w:hint="eastAsia" w:ascii="仿宋" w:hAnsi="仿宋" w:eastAsia="仿宋" w:cs="仿宋"/>
                <w:color w:val="auto"/>
                <w:spacing w:val="8"/>
                <w:kern w:val="0"/>
                <w:sz w:val="28"/>
                <w:szCs w:val="28"/>
                <w:highlight w:val="none"/>
                <w:lang w:eastAsia="zh-CN"/>
              </w:rPr>
              <w:t>厅（威海市环翠区塔山中路317号威海市政务服务中心四楼）</w:t>
            </w:r>
          </w:p>
        </w:tc>
      </w:tr>
      <w:tr w14:paraId="132E85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5DECD1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495DF7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开标方式</w:t>
            </w:r>
          </w:p>
        </w:tc>
        <w:tc>
          <w:tcPr>
            <w:tcW w:w="6309" w:type="dxa"/>
            <w:tcBorders>
              <w:top w:val="single" w:color="auto" w:sz="4" w:space="0"/>
              <w:left w:val="single" w:color="auto" w:sz="4" w:space="0"/>
              <w:bottom w:val="single" w:color="auto" w:sz="4" w:space="0"/>
            </w:tcBorders>
            <w:noWrap w:val="0"/>
            <w:vAlign w:val="center"/>
          </w:tcPr>
          <w:p w14:paraId="5875E8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本项目实行全流程电子化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不接受投标人到现场参加开标活动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通过交易系统线上参加开标活动。开评标期间需实时关注交易系统相关通知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且被授权人的联络方式应保持畅通。</w:t>
            </w:r>
          </w:p>
        </w:tc>
      </w:tr>
      <w:tr w14:paraId="4453E5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908" w:type="dxa"/>
            <w:tcBorders>
              <w:top w:val="single" w:color="auto" w:sz="4" w:space="0"/>
              <w:bottom w:val="single" w:color="auto" w:sz="4" w:space="0"/>
              <w:right w:val="single" w:color="auto" w:sz="4" w:space="0"/>
            </w:tcBorders>
            <w:noWrap w:val="0"/>
            <w:vAlign w:val="center"/>
          </w:tcPr>
          <w:p w14:paraId="4FA466C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8F29F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开标程序</w:t>
            </w:r>
          </w:p>
        </w:tc>
        <w:tc>
          <w:tcPr>
            <w:tcW w:w="6309" w:type="dxa"/>
            <w:tcBorders>
              <w:top w:val="single" w:color="auto" w:sz="4" w:space="0"/>
              <w:left w:val="single" w:color="auto" w:sz="4" w:space="0"/>
              <w:bottom w:val="single" w:color="auto" w:sz="4" w:space="0"/>
            </w:tcBorders>
            <w:noWrap w:val="0"/>
            <w:vAlign w:val="center"/>
          </w:tcPr>
          <w:p w14:paraId="4AC1A37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签到时间：开标时间前完成</w:t>
            </w:r>
          </w:p>
          <w:p w14:paraId="3D98A9F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解密时间：开始解密后15分钟内完成</w:t>
            </w:r>
          </w:p>
        </w:tc>
      </w:tr>
      <w:tr w14:paraId="48F26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F6A412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241FF9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资格审查方式</w:t>
            </w:r>
          </w:p>
        </w:tc>
        <w:tc>
          <w:tcPr>
            <w:tcW w:w="6309" w:type="dxa"/>
            <w:tcBorders>
              <w:top w:val="single" w:color="auto" w:sz="4" w:space="0"/>
              <w:left w:val="single" w:color="auto" w:sz="4" w:space="0"/>
              <w:bottom w:val="single" w:color="auto" w:sz="4" w:space="0"/>
            </w:tcBorders>
            <w:noWrap w:val="0"/>
            <w:vAlign w:val="center"/>
          </w:tcPr>
          <w:p w14:paraId="491942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资格后审</w:t>
            </w:r>
          </w:p>
        </w:tc>
      </w:tr>
      <w:tr w14:paraId="70C656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CA2C4D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519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评标办法</w:t>
            </w:r>
          </w:p>
        </w:tc>
        <w:tc>
          <w:tcPr>
            <w:tcW w:w="6309" w:type="dxa"/>
            <w:tcBorders>
              <w:top w:val="single" w:color="auto" w:sz="4" w:space="0"/>
              <w:left w:val="single" w:color="auto" w:sz="4" w:space="0"/>
              <w:bottom w:val="single" w:color="auto" w:sz="4" w:space="0"/>
            </w:tcBorders>
            <w:noWrap w:val="0"/>
            <w:vAlign w:val="center"/>
          </w:tcPr>
          <w:p w14:paraId="0A63656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综合评分法</w:t>
            </w:r>
          </w:p>
        </w:tc>
      </w:tr>
      <w:tr w14:paraId="688918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908" w:type="dxa"/>
            <w:tcBorders>
              <w:top w:val="single" w:color="auto" w:sz="4" w:space="0"/>
              <w:bottom w:val="single" w:color="auto" w:sz="4" w:space="0"/>
              <w:right w:val="single" w:color="auto" w:sz="4" w:space="0"/>
            </w:tcBorders>
            <w:noWrap w:val="0"/>
            <w:vAlign w:val="center"/>
          </w:tcPr>
          <w:p w14:paraId="48C71B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A453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联合体投标</w:t>
            </w:r>
          </w:p>
        </w:tc>
        <w:tc>
          <w:tcPr>
            <w:tcW w:w="6309" w:type="dxa"/>
            <w:tcBorders>
              <w:top w:val="single" w:color="auto" w:sz="4" w:space="0"/>
              <w:left w:val="single" w:color="auto" w:sz="4" w:space="0"/>
              <w:bottom w:val="single" w:color="auto" w:sz="4" w:space="0"/>
            </w:tcBorders>
            <w:noWrap w:val="0"/>
            <w:vAlign w:val="center"/>
          </w:tcPr>
          <w:p w14:paraId="40C8E4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不允许</w:t>
            </w:r>
          </w:p>
        </w:tc>
      </w:tr>
      <w:tr w14:paraId="235D75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908" w:type="dxa"/>
            <w:tcBorders>
              <w:top w:val="single" w:color="auto" w:sz="4" w:space="0"/>
              <w:bottom w:val="single" w:color="auto" w:sz="4" w:space="0"/>
              <w:right w:val="single" w:color="auto" w:sz="4" w:space="0"/>
            </w:tcBorders>
            <w:noWrap w:val="0"/>
            <w:vAlign w:val="center"/>
          </w:tcPr>
          <w:p w14:paraId="61A42D0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41AC05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投标保证金</w:t>
            </w:r>
          </w:p>
        </w:tc>
        <w:tc>
          <w:tcPr>
            <w:tcW w:w="6309" w:type="dxa"/>
            <w:tcBorders>
              <w:top w:val="single" w:color="auto" w:sz="4" w:space="0"/>
              <w:left w:val="single" w:color="auto" w:sz="4" w:space="0"/>
              <w:bottom w:val="single" w:color="auto" w:sz="4" w:space="0"/>
            </w:tcBorders>
            <w:noWrap w:val="0"/>
            <w:vAlign w:val="center"/>
          </w:tcPr>
          <w:p w14:paraId="1A01596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w:t>
            </w:r>
          </w:p>
        </w:tc>
      </w:tr>
      <w:tr w14:paraId="5A032E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7129926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20F4EC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履约保证金</w:t>
            </w:r>
          </w:p>
        </w:tc>
        <w:tc>
          <w:tcPr>
            <w:tcW w:w="6309" w:type="dxa"/>
            <w:tcBorders>
              <w:top w:val="single" w:color="auto" w:sz="4" w:space="0"/>
              <w:left w:val="single" w:color="auto" w:sz="4" w:space="0"/>
              <w:bottom w:val="single" w:color="auto" w:sz="4" w:space="0"/>
            </w:tcBorders>
            <w:noWrap w:val="0"/>
            <w:vAlign w:val="center"/>
          </w:tcPr>
          <w:p w14:paraId="33CCAD3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无</w:t>
            </w:r>
          </w:p>
        </w:tc>
      </w:tr>
      <w:tr w14:paraId="3E6BA4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908" w:type="dxa"/>
            <w:tcBorders>
              <w:top w:val="single" w:color="auto" w:sz="4" w:space="0"/>
              <w:bottom w:val="single" w:color="auto" w:sz="4" w:space="0"/>
              <w:right w:val="single" w:color="auto" w:sz="4" w:space="0"/>
            </w:tcBorders>
            <w:noWrap w:val="0"/>
            <w:vAlign w:val="center"/>
          </w:tcPr>
          <w:p w14:paraId="54A787D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650DE0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付款方式</w:t>
            </w:r>
          </w:p>
        </w:tc>
        <w:tc>
          <w:tcPr>
            <w:tcW w:w="6309" w:type="dxa"/>
            <w:tcBorders>
              <w:top w:val="single" w:color="auto" w:sz="4" w:space="0"/>
              <w:left w:val="single" w:color="auto" w:sz="4" w:space="0"/>
              <w:bottom w:val="single" w:color="auto" w:sz="4" w:space="0"/>
            </w:tcBorders>
            <w:noWrap w:val="0"/>
            <w:vAlign w:val="center"/>
          </w:tcPr>
          <w:p w14:paraId="4BCF4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按年支付。乙方开具税率为6%的增值税专用发票，甲方在收到合规发票后30个工作日内支付第一年服务费；后续每下一年度服务费于上一年服务期满前30个工作日内支付。</w:t>
            </w:r>
          </w:p>
        </w:tc>
      </w:tr>
      <w:tr w14:paraId="19E27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3" w:hRule="atLeast"/>
          <w:jc w:val="center"/>
        </w:trPr>
        <w:tc>
          <w:tcPr>
            <w:tcW w:w="908" w:type="dxa"/>
            <w:tcBorders>
              <w:top w:val="single" w:color="auto" w:sz="4" w:space="0"/>
              <w:bottom w:val="single" w:color="auto" w:sz="4" w:space="0"/>
              <w:right w:val="single" w:color="auto" w:sz="4" w:space="0"/>
            </w:tcBorders>
            <w:noWrap w:val="0"/>
            <w:vAlign w:val="center"/>
          </w:tcPr>
          <w:p w14:paraId="2756D2E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3</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A8F0E3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服务期</w:t>
            </w:r>
          </w:p>
        </w:tc>
        <w:tc>
          <w:tcPr>
            <w:tcW w:w="6309" w:type="dxa"/>
            <w:tcBorders>
              <w:top w:val="single" w:color="auto" w:sz="4" w:space="0"/>
              <w:left w:val="single" w:color="auto" w:sz="4" w:space="0"/>
              <w:bottom w:val="single" w:color="auto" w:sz="4" w:space="0"/>
            </w:tcBorders>
            <w:noWrap w:val="0"/>
            <w:vAlign w:val="center"/>
          </w:tcPr>
          <w:p w14:paraId="71587BA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eastAsia="zh-CN"/>
              </w:rPr>
              <w:t>3年。双方若无异议，合同期满自动延续1年，总服务期不超过4年。</w:t>
            </w:r>
          </w:p>
        </w:tc>
      </w:tr>
      <w:tr w14:paraId="563111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9" w:hRule="atLeast"/>
          <w:jc w:val="center"/>
        </w:trPr>
        <w:tc>
          <w:tcPr>
            <w:tcW w:w="908" w:type="dxa"/>
            <w:tcBorders>
              <w:top w:val="single" w:color="auto" w:sz="4" w:space="0"/>
              <w:bottom w:val="single" w:color="auto" w:sz="4" w:space="0"/>
              <w:right w:val="single" w:color="auto" w:sz="4" w:space="0"/>
            </w:tcBorders>
            <w:noWrap w:val="0"/>
            <w:vAlign w:val="center"/>
          </w:tcPr>
          <w:p w14:paraId="45FA310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4</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49DE856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资金来源</w:t>
            </w:r>
          </w:p>
        </w:tc>
        <w:tc>
          <w:tcPr>
            <w:tcW w:w="6309" w:type="dxa"/>
            <w:tcBorders>
              <w:top w:val="single" w:color="auto" w:sz="4" w:space="0"/>
              <w:left w:val="single" w:color="auto" w:sz="4" w:space="0"/>
              <w:bottom w:val="single" w:color="auto" w:sz="4" w:space="0"/>
            </w:tcBorders>
            <w:noWrap w:val="0"/>
            <w:vAlign w:val="center"/>
          </w:tcPr>
          <w:p w14:paraId="61BAC87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自筹</w:t>
            </w:r>
            <w:r>
              <w:rPr>
                <w:rFonts w:hint="eastAsia" w:ascii="仿宋" w:hAnsi="仿宋" w:eastAsia="仿宋" w:cs="仿宋"/>
                <w:color w:val="auto"/>
                <w:sz w:val="28"/>
                <w:szCs w:val="28"/>
                <w:highlight w:val="none"/>
              </w:rPr>
              <w:t>资金</w:t>
            </w:r>
          </w:p>
        </w:tc>
      </w:tr>
      <w:tr w14:paraId="606EAD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2" w:hRule="atLeast"/>
          <w:jc w:val="center"/>
        </w:trPr>
        <w:tc>
          <w:tcPr>
            <w:tcW w:w="908" w:type="dxa"/>
            <w:tcBorders>
              <w:top w:val="single" w:color="auto" w:sz="4" w:space="0"/>
              <w:bottom w:val="single" w:color="auto" w:sz="4" w:space="0"/>
              <w:right w:val="single" w:color="auto" w:sz="4" w:space="0"/>
            </w:tcBorders>
            <w:noWrap w:val="0"/>
            <w:vAlign w:val="center"/>
          </w:tcPr>
          <w:p w14:paraId="724B28D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5</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9323D9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落实情况</w:t>
            </w:r>
          </w:p>
        </w:tc>
        <w:tc>
          <w:tcPr>
            <w:tcW w:w="6309" w:type="dxa"/>
            <w:tcBorders>
              <w:top w:val="single" w:color="auto" w:sz="4" w:space="0"/>
              <w:left w:val="single" w:color="auto" w:sz="4" w:space="0"/>
              <w:bottom w:val="single" w:color="auto" w:sz="4" w:space="0"/>
            </w:tcBorders>
            <w:noWrap w:val="0"/>
            <w:vAlign w:val="center"/>
          </w:tcPr>
          <w:p w14:paraId="7950C41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已落实</w:t>
            </w:r>
          </w:p>
        </w:tc>
      </w:tr>
      <w:tr w14:paraId="1EB19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272115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6</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1D1013A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w:t>
            </w:r>
          </w:p>
        </w:tc>
        <w:tc>
          <w:tcPr>
            <w:tcW w:w="6309" w:type="dxa"/>
            <w:tcBorders>
              <w:top w:val="single" w:color="auto" w:sz="4" w:space="0"/>
              <w:left w:val="single" w:color="auto" w:sz="4" w:space="0"/>
              <w:bottom w:val="single" w:color="auto" w:sz="4" w:space="0"/>
            </w:tcBorders>
            <w:noWrap w:val="0"/>
            <w:vAlign w:val="center"/>
          </w:tcPr>
          <w:p w14:paraId="03655FEC">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本项目按</w:t>
            </w:r>
            <w:r>
              <w:rPr>
                <w:rFonts w:hint="eastAsia" w:ascii="仿宋" w:hAnsi="仿宋" w:eastAsia="仿宋" w:cs="仿宋"/>
                <w:b/>
                <w:bCs/>
                <w:color w:val="auto"/>
                <w:sz w:val="28"/>
                <w:szCs w:val="28"/>
                <w:highlight w:val="none"/>
                <w:lang w:eastAsia="zh-CN"/>
              </w:rPr>
              <w:t>服务类</w:t>
            </w:r>
            <w:r>
              <w:rPr>
                <w:rFonts w:hint="eastAsia" w:ascii="仿宋" w:hAnsi="仿宋" w:eastAsia="仿宋" w:cs="仿宋"/>
                <w:color w:val="auto"/>
                <w:sz w:val="28"/>
                <w:szCs w:val="28"/>
                <w:highlight w:val="none"/>
              </w:rPr>
              <w:t>以公开</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实施采购</w:t>
            </w:r>
          </w:p>
        </w:tc>
      </w:tr>
      <w:tr w14:paraId="75A031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9033E08">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7</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7DC4A2F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代理服务费</w:t>
            </w:r>
          </w:p>
        </w:tc>
        <w:tc>
          <w:tcPr>
            <w:tcW w:w="6309" w:type="dxa"/>
            <w:tcBorders>
              <w:top w:val="single" w:color="auto" w:sz="4" w:space="0"/>
              <w:left w:val="single" w:color="auto" w:sz="4" w:space="0"/>
              <w:bottom w:val="single" w:color="auto" w:sz="4" w:space="0"/>
            </w:tcBorders>
            <w:noWrap w:val="0"/>
            <w:vAlign w:val="center"/>
          </w:tcPr>
          <w:p w14:paraId="14FE101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本项目代理服务费参照原国家发展计划委员会规定标准（《招标代理服务收费管理暂行办法》计价格［2002］1980号）的60%收取，单个项目低于2000元，按2000元收取</w:t>
            </w:r>
            <w:r>
              <w:rPr>
                <w:rFonts w:hint="eastAsia" w:ascii="仿宋" w:hAnsi="仿宋" w:eastAsia="仿宋" w:cs="仿宋"/>
                <w:color w:val="auto"/>
                <w:sz w:val="28"/>
                <w:szCs w:val="28"/>
                <w:highlight w:val="none"/>
              </w:rPr>
              <w:t>。</w:t>
            </w:r>
          </w:p>
          <w:p w14:paraId="56F62E6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交费时间及交费方式：</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w:t>
            </w:r>
            <w:r>
              <w:rPr>
                <w:rFonts w:hint="eastAsia" w:ascii="仿宋" w:hAnsi="仿宋" w:eastAsia="仿宋" w:cs="仿宋"/>
                <w:color w:val="auto"/>
                <w:sz w:val="28"/>
                <w:szCs w:val="28"/>
                <w:highlight w:val="none"/>
                <w:lang w:val="en-US" w:eastAsia="zh-CN"/>
              </w:rPr>
              <w:t>前</w:t>
            </w:r>
            <w:r>
              <w:rPr>
                <w:rFonts w:hint="eastAsia" w:ascii="仿宋" w:hAnsi="仿宋" w:eastAsia="仿宋" w:cs="仿宋"/>
                <w:color w:val="auto"/>
                <w:sz w:val="28"/>
                <w:szCs w:val="28"/>
                <w:highlight w:val="none"/>
              </w:rPr>
              <w:t>以电汇或现金形式缴纳。</w:t>
            </w:r>
          </w:p>
          <w:p w14:paraId="2F4845D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开户名称：山东志诚工程咨询管理有限公司威海分公司</w:t>
            </w:r>
          </w:p>
          <w:p w14:paraId="71D73D40">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开户银行：中国建设银行荣成支行</w:t>
            </w:r>
          </w:p>
          <w:p w14:paraId="43872AB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银行账号：37001706608050154211</w:t>
            </w:r>
          </w:p>
          <w:p w14:paraId="4259E257">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（备注：项目编号+服务费）</w:t>
            </w:r>
          </w:p>
          <w:p w14:paraId="2764A3AB">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联系电话：</w:t>
            </w:r>
            <w:r>
              <w:rPr>
                <w:rFonts w:hint="eastAsia" w:ascii="仿宋" w:hAnsi="仿宋" w:eastAsia="仿宋" w:cs="仿宋"/>
                <w:color w:val="auto"/>
                <w:sz w:val="28"/>
                <w:szCs w:val="28"/>
                <w:highlight w:val="none"/>
                <w:lang w:eastAsia="zh-CN"/>
              </w:rPr>
              <w:t>0631-5188996</w:t>
            </w:r>
          </w:p>
        </w:tc>
      </w:tr>
      <w:tr w14:paraId="601647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408E57DD">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8</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062BAC93">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w:t>
            </w:r>
          </w:p>
        </w:tc>
        <w:tc>
          <w:tcPr>
            <w:tcW w:w="6309" w:type="dxa"/>
            <w:tcBorders>
              <w:top w:val="single" w:color="auto" w:sz="4" w:space="0"/>
              <w:left w:val="single" w:color="auto" w:sz="4" w:space="0"/>
              <w:bottom w:val="single" w:color="auto" w:sz="4" w:space="0"/>
            </w:tcBorders>
            <w:noWrap w:val="0"/>
            <w:vAlign w:val="center"/>
          </w:tcPr>
          <w:p w14:paraId="3366FCD1">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评审劳务费由</w:t>
            </w:r>
            <w:r>
              <w:rPr>
                <w:rFonts w:hint="eastAsia" w:ascii="仿宋" w:hAnsi="仿宋" w:eastAsia="仿宋" w:cs="仿宋"/>
                <w:color w:val="auto"/>
                <w:sz w:val="28"/>
                <w:szCs w:val="28"/>
                <w:highlight w:val="none"/>
                <w:lang w:eastAsia="zh-CN"/>
              </w:rPr>
              <w:t>中标人</w:t>
            </w:r>
            <w:r>
              <w:rPr>
                <w:rFonts w:hint="eastAsia" w:ascii="仿宋" w:hAnsi="仿宋" w:eastAsia="仿宋" w:cs="仿宋"/>
                <w:color w:val="auto"/>
                <w:sz w:val="28"/>
                <w:szCs w:val="28"/>
                <w:highlight w:val="none"/>
              </w:rPr>
              <w:t>在收到中标通知书前</w:t>
            </w:r>
            <w:r>
              <w:rPr>
                <w:rFonts w:hint="eastAsia" w:ascii="仿宋" w:hAnsi="仿宋" w:eastAsia="仿宋" w:cs="仿宋"/>
                <w:color w:val="auto"/>
                <w:sz w:val="28"/>
                <w:szCs w:val="28"/>
                <w:highlight w:val="none"/>
                <w:lang w:val="en-US" w:eastAsia="zh-CN"/>
              </w:rPr>
              <w:t>按实</w:t>
            </w:r>
            <w:r>
              <w:rPr>
                <w:rFonts w:hint="eastAsia" w:ascii="仿宋" w:hAnsi="仿宋" w:eastAsia="仿宋" w:cs="仿宋"/>
                <w:color w:val="auto"/>
                <w:sz w:val="28"/>
                <w:szCs w:val="28"/>
                <w:highlight w:val="none"/>
              </w:rPr>
              <w:t>缴纳。</w:t>
            </w:r>
          </w:p>
        </w:tc>
      </w:tr>
      <w:tr w14:paraId="152211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7B9C65D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29</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38B67CE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是否委托定标</w:t>
            </w:r>
          </w:p>
        </w:tc>
        <w:tc>
          <w:tcPr>
            <w:tcW w:w="6309" w:type="dxa"/>
            <w:tcBorders>
              <w:top w:val="single" w:color="auto" w:sz="4" w:space="0"/>
              <w:left w:val="single" w:color="auto" w:sz="4" w:space="0"/>
              <w:bottom w:val="single" w:color="auto" w:sz="4" w:space="0"/>
            </w:tcBorders>
            <w:noWrap w:val="0"/>
            <w:vAlign w:val="center"/>
          </w:tcPr>
          <w:p w14:paraId="2387AC62">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w:t>
            </w:r>
          </w:p>
        </w:tc>
      </w:tr>
      <w:tr w14:paraId="4A84AF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2E178E5">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0</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410088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失信被执行人查询路径</w:t>
            </w:r>
          </w:p>
        </w:tc>
        <w:tc>
          <w:tcPr>
            <w:tcW w:w="6309" w:type="dxa"/>
            <w:tcBorders>
              <w:top w:val="single" w:color="auto" w:sz="4" w:space="0"/>
              <w:left w:val="single" w:color="auto" w:sz="4" w:space="0"/>
              <w:bottom w:val="single" w:color="auto" w:sz="4" w:space="0"/>
            </w:tcBorders>
            <w:noWrap w:val="0"/>
            <w:vAlign w:val="center"/>
          </w:tcPr>
          <w:p w14:paraId="5AE3704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1.全国法院失信被执行人名单信息公布与查询平台（https://zxgk.court.gov.cn/shixin/）：进入页面→查询条件输入被执行人姓名/名称、身份证号码/组织机构代码（选填）等信息，省份选择全部→点击查询→有反馈结果后，保存。</w:t>
            </w:r>
          </w:p>
          <w:p w14:paraId="1F7EE07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中国执行信息公开网（https://zxgk.court.gov.cn/）：进入页面→点击左侧“失信被执行人”进入全国法院失信被执行人名单信息公布与查询平台（https://zxgk.court.gov.cn/shixin/）→查询条件输入被执行人姓名/名称、身份证号码/组织机构代码（选填）等信息，省份选择全部→点击查询→有反馈结果后，保存。</w:t>
            </w:r>
          </w:p>
          <w:p w14:paraId="7B18F7AA">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注：以上2个查询路径任选其一即可。</w:t>
            </w:r>
          </w:p>
        </w:tc>
      </w:tr>
      <w:tr w14:paraId="178D12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3" w:hRule="atLeast"/>
          <w:jc w:val="center"/>
        </w:trPr>
        <w:tc>
          <w:tcPr>
            <w:tcW w:w="908" w:type="dxa"/>
            <w:tcBorders>
              <w:top w:val="single" w:color="auto" w:sz="4" w:space="0"/>
              <w:bottom w:val="single" w:color="auto" w:sz="4" w:space="0"/>
              <w:right w:val="single" w:color="auto" w:sz="4" w:space="0"/>
            </w:tcBorders>
            <w:noWrap w:val="0"/>
            <w:vAlign w:val="center"/>
          </w:tcPr>
          <w:p w14:paraId="59F794B4">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31</w:t>
            </w:r>
          </w:p>
        </w:tc>
        <w:tc>
          <w:tcPr>
            <w:tcW w:w="2155" w:type="dxa"/>
            <w:tcBorders>
              <w:top w:val="single" w:color="auto" w:sz="4" w:space="0"/>
              <w:left w:val="single" w:color="auto" w:sz="4" w:space="0"/>
              <w:bottom w:val="single" w:color="auto" w:sz="4" w:space="0"/>
              <w:right w:val="single" w:color="auto" w:sz="4" w:space="0"/>
            </w:tcBorders>
            <w:noWrap w:val="0"/>
            <w:vAlign w:val="center"/>
          </w:tcPr>
          <w:p w14:paraId="5010BF7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center"/>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rPr>
              <w:t>信用报告查询路径</w:t>
            </w:r>
          </w:p>
        </w:tc>
        <w:tc>
          <w:tcPr>
            <w:tcW w:w="6309" w:type="dxa"/>
            <w:tcBorders>
              <w:top w:val="single" w:color="auto" w:sz="4" w:space="0"/>
              <w:left w:val="single" w:color="auto" w:sz="4" w:space="0"/>
              <w:bottom w:val="single" w:color="auto" w:sz="4" w:space="0"/>
            </w:tcBorders>
            <w:noWrap w:val="0"/>
            <w:vAlign w:val="center"/>
          </w:tcPr>
          <w:p w14:paraId="436DD4B6">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1.信用中国（www.creditchina.gov.cn）：进入信用中国首页→右上方“信用信息”查询框内输入企业名称/统一社会信用代码等信息搜索→点击要查询的企业→下载信用信息报告。</w:t>
            </w:r>
          </w:p>
          <w:p w14:paraId="7C3A0DB9">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default" w:ascii="仿宋" w:hAnsi="仿宋" w:eastAsia="仿宋" w:cs="仿宋"/>
                <w:b/>
                <w:bCs/>
                <w:color w:val="auto"/>
                <w:sz w:val="28"/>
                <w:szCs w:val="28"/>
                <w:highlight w:val="none"/>
                <w:lang w:val="en-US" w:eastAsia="zh-CN"/>
              </w:rPr>
            </w:pPr>
            <w:r>
              <w:rPr>
                <w:rFonts w:hint="default" w:ascii="仿宋" w:hAnsi="仿宋" w:eastAsia="仿宋" w:cs="仿宋"/>
                <w:b/>
                <w:bCs/>
                <w:color w:val="auto"/>
                <w:sz w:val="28"/>
                <w:szCs w:val="28"/>
                <w:highlight w:val="none"/>
                <w:lang w:val="en-US" w:eastAsia="zh-CN"/>
              </w:rPr>
              <w:t>2.信用中国（山东）（credit.shandong.gov.cn）：进入信用中国（山东）首页→上方“信用中国信息查询”查询框内输入企业名称/统一社会信用代码等信息查询→点击要查询的企业→下载信用信息报告。</w:t>
            </w:r>
          </w:p>
          <w:p w14:paraId="7453EFAF">
            <w:pPr>
              <w:keepNext w:val="0"/>
              <w:keepLines w:val="0"/>
              <w:pageBreakBefore w:val="0"/>
              <w:widowControl w:val="0"/>
              <w:shd w:val="clear"/>
              <w:kinsoku/>
              <w:wordWrap/>
              <w:overflowPunct/>
              <w:topLinePunct w:val="0"/>
              <w:autoSpaceDE/>
              <w:autoSpaceDN/>
              <w:bidi w:val="0"/>
              <w:adjustRightInd/>
              <w:snapToGrid w:val="0"/>
              <w:spacing w:line="560" w:lineRule="exact"/>
              <w:ind w:right="0" w:rightChars="0" w:firstLine="0" w:firstLineChars="0"/>
              <w:jc w:val="both"/>
              <w:textAlignment w:val="auto"/>
              <w:rPr>
                <w:rFonts w:hint="eastAsia" w:ascii="仿宋" w:hAnsi="仿宋" w:eastAsia="仿宋" w:cs="仿宋"/>
                <w:b/>
                <w:bCs/>
                <w:color w:val="auto"/>
                <w:sz w:val="28"/>
                <w:szCs w:val="28"/>
                <w:highlight w:val="none"/>
              </w:rPr>
            </w:pPr>
            <w:r>
              <w:rPr>
                <w:rFonts w:hint="default" w:ascii="仿宋" w:hAnsi="仿宋" w:eastAsia="仿宋" w:cs="仿宋"/>
                <w:b/>
                <w:bCs/>
                <w:color w:val="auto"/>
                <w:sz w:val="28"/>
                <w:szCs w:val="28"/>
                <w:highlight w:val="none"/>
                <w:lang w:val="en-US" w:eastAsia="zh-CN"/>
              </w:rPr>
              <w:t>注：以上2个查询路径任选其一即可。</w:t>
            </w:r>
          </w:p>
        </w:tc>
      </w:tr>
    </w:tbl>
    <w:p w14:paraId="7B8D4A82">
      <w:pPr>
        <w:shd w:val="clear"/>
        <w:spacing w:line="560" w:lineRule="exact"/>
        <w:ind w:firstLine="643" w:firstLineChars="201"/>
        <w:jc w:val="center"/>
        <w:rPr>
          <w:rFonts w:eastAsia="黑体"/>
          <w:color w:val="auto"/>
          <w:sz w:val="32"/>
          <w:szCs w:val="32"/>
          <w:highlight w:val="none"/>
        </w:rPr>
      </w:pPr>
    </w:p>
    <w:p w14:paraId="172F3724">
      <w:pPr>
        <w:keepNext w:val="0"/>
        <w:keepLines w:val="0"/>
        <w:pageBreakBefore w:val="0"/>
        <w:widowControl w:val="0"/>
        <w:shd w:val="clear"/>
        <w:kinsoku/>
        <w:wordWrap/>
        <w:overflowPunct/>
        <w:topLinePunct w:val="0"/>
        <w:autoSpaceDE/>
        <w:autoSpaceDN/>
        <w:bidi w:val="0"/>
        <w:adjustRightInd/>
        <w:snapToGrid/>
        <w:spacing w:line="560" w:lineRule="exact"/>
        <w:ind w:firstLine="0" w:firstLineChars="0"/>
        <w:jc w:val="center"/>
        <w:textAlignment w:val="auto"/>
        <w:rPr>
          <w:rFonts w:eastAsia="黑体"/>
          <w:color w:val="auto"/>
          <w:sz w:val="32"/>
          <w:szCs w:val="32"/>
          <w:highlight w:val="none"/>
        </w:rPr>
      </w:pPr>
      <w:r>
        <w:rPr>
          <w:rFonts w:hint="eastAsia" w:eastAsia="黑体"/>
          <w:color w:val="auto"/>
          <w:sz w:val="32"/>
          <w:szCs w:val="32"/>
          <w:highlight w:val="none"/>
        </w:rPr>
        <w:t>《实质性条款一览表》</w:t>
      </w:r>
    </w:p>
    <w:p w14:paraId="5A483F2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jc w:val="both"/>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说明：本表系招标文件及修改性文件中涉及的所有实质性条款的汇总。不允许有任何负偏离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否则投标将被否决。</w:t>
      </w:r>
    </w:p>
    <w:tbl>
      <w:tblPr>
        <w:tblStyle w:val="30"/>
        <w:tblW w:w="4998"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8"/>
        <w:gridCol w:w="2156"/>
        <w:gridCol w:w="6888"/>
      </w:tblGrid>
      <w:tr w14:paraId="4C02DBD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1F67595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0839CB76">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3459" w:type="pct"/>
            <w:tcBorders>
              <w:top w:val="single" w:color="auto" w:sz="4" w:space="0"/>
              <w:left w:val="single" w:color="auto" w:sz="4" w:space="0"/>
              <w:bottom w:val="single" w:color="auto" w:sz="4" w:space="0"/>
            </w:tcBorders>
            <w:noWrap w:val="0"/>
            <w:vAlign w:val="center"/>
          </w:tcPr>
          <w:p w14:paraId="296FA27C">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内       容</w:t>
            </w:r>
          </w:p>
        </w:tc>
      </w:tr>
      <w:tr w14:paraId="3859F6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456" w:type="pct"/>
            <w:tcBorders>
              <w:top w:val="single" w:color="auto" w:sz="4" w:space="0"/>
              <w:bottom w:val="single" w:color="auto" w:sz="4" w:space="0"/>
              <w:right w:val="single" w:color="auto" w:sz="4" w:space="0"/>
            </w:tcBorders>
            <w:noWrap w:val="0"/>
            <w:vAlign w:val="center"/>
          </w:tcPr>
          <w:p w14:paraId="44F271A7">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437B7BF9">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资格性审查</w:t>
            </w:r>
          </w:p>
        </w:tc>
        <w:tc>
          <w:tcPr>
            <w:tcW w:w="3459" w:type="pct"/>
            <w:tcBorders>
              <w:top w:val="single" w:color="auto" w:sz="4" w:space="0"/>
              <w:left w:val="single" w:color="auto" w:sz="4" w:space="0"/>
              <w:bottom w:val="single" w:color="auto" w:sz="4" w:space="0"/>
            </w:tcBorders>
            <w:noWrap w:val="0"/>
            <w:vAlign w:val="center"/>
          </w:tcPr>
          <w:p w14:paraId="0CC9771B">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有效的</w:t>
            </w:r>
            <w:r>
              <w:rPr>
                <w:rFonts w:hint="eastAsia" w:ascii="仿宋" w:hAnsi="仿宋" w:eastAsia="仿宋" w:cs="仿宋"/>
                <w:color w:val="auto"/>
                <w:spacing w:val="8"/>
                <w:kern w:val="0"/>
                <w:sz w:val="28"/>
                <w:szCs w:val="28"/>
                <w:highlight w:val="none"/>
                <w:lang w:eastAsia="zh-CN"/>
              </w:rPr>
              <w:t>年度考核合格的《律师事务所执业许可证》或《律师事务所分所执业许可证》</w:t>
            </w:r>
            <w:r>
              <w:rPr>
                <w:rFonts w:hint="eastAsia" w:ascii="仿宋" w:hAnsi="仿宋" w:eastAsia="仿宋" w:cs="仿宋"/>
                <w:color w:val="auto"/>
                <w:spacing w:val="8"/>
                <w:kern w:val="0"/>
                <w:sz w:val="28"/>
                <w:szCs w:val="28"/>
                <w:highlight w:val="none"/>
                <w:lang w:val="en-US" w:eastAsia="zh-CN"/>
              </w:rPr>
              <w:t>扫描件或其他能证明具有独立承担民事责任的能力的证明材料扫描件；分所参与投标的，须提供总所授权且每个总所只能有一个分所参与投标</w:t>
            </w:r>
            <w:r>
              <w:rPr>
                <w:rFonts w:hint="eastAsia" w:ascii="仿宋" w:hAnsi="仿宋" w:eastAsia="仿宋" w:cs="仿宋"/>
                <w:color w:val="auto"/>
                <w:spacing w:val="8"/>
                <w:kern w:val="0"/>
                <w:sz w:val="28"/>
                <w:szCs w:val="28"/>
                <w:highlight w:val="none"/>
              </w:rPr>
              <w:t>；</w:t>
            </w:r>
          </w:p>
          <w:p w14:paraId="3203FEF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rPr>
              <w:t>2.法定代表人/单位负责人</w:t>
            </w:r>
            <w:r>
              <w:rPr>
                <w:rFonts w:hint="eastAsia" w:ascii="仿宋" w:hAnsi="仿宋" w:eastAsia="仿宋" w:cs="仿宋"/>
                <w:color w:val="auto"/>
                <w:spacing w:val="8"/>
                <w:kern w:val="0"/>
                <w:sz w:val="28"/>
                <w:szCs w:val="28"/>
                <w:highlight w:val="none"/>
                <w:lang w:val="en-US" w:eastAsia="zh-CN"/>
              </w:rPr>
              <w:t>身份证明书（固定格式）；</w:t>
            </w:r>
          </w:p>
          <w:p w14:paraId="3D35963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3.</w:t>
            </w:r>
            <w:r>
              <w:rPr>
                <w:rFonts w:hint="eastAsia" w:ascii="仿宋" w:hAnsi="仿宋" w:eastAsia="仿宋" w:cs="仿宋"/>
                <w:color w:val="auto"/>
                <w:spacing w:val="8"/>
                <w:kern w:val="0"/>
                <w:sz w:val="28"/>
                <w:szCs w:val="28"/>
                <w:highlight w:val="none"/>
              </w:rPr>
              <w:t>法人授权委托书</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、被授权人身份证扫描件；若投标单位代表为企业法定代表人/单位负责人的</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rPr>
              <w:t>则只需提供企业法定代表人/单位负责人身份证扫描件</w:t>
            </w:r>
            <w:r>
              <w:rPr>
                <w:rFonts w:hint="eastAsia" w:ascii="仿宋" w:hAnsi="仿宋" w:eastAsia="仿宋" w:cs="仿宋"/>
                <w:color w:val="auto"/>
                <w:spacing w:val="8"/>
                <w:kern w:val="0"/>
                <w:sz w:val="28"/>
                <w:szCs w:val="28"/>
                <w:highlight w:val="none"/>
                <w:lang w:eastAsia="zh-CN"/>
              </w:rPr>
              <w:t>（加盖投标单位公章）</w:t>
            </w:r>
            <w:r>
              <w:rPr>
                <w:rFonts w:hint="eastAsia" w:ascii="仿宋" w:hAnsi="仿宋" w:eastAsia="仿宋" w:cs="仿宋"/>
                <w:color w:val="auto"/>
                <w:spacing w:val="8"/>
                <w:kern w:val="0"/>
                <w:sz w:val="28"/>
                <w:szCs w:val="28"/>
                <w:highlight w:val="none"/>
              </w:rPr>
              <w:t>；</w:t>
            </w:r>
          </w:p>
          <w:p w14:paraId="2110F9A7">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4</w:t>
            </w:r>
            <w:r>
              <w:rPr>
                <w:rFonts w:hint="eastAsia" w:ascii="仿宋" w:hAnsi="仿宋" w:eastAsia="仿宋" w:cs="仿宋"/>
                <w:color w:val="auto"/>
                <w:spacing w:val="8"/>
                <w:kern w:val="0"/>
                <w:sz w:val="28"/>
                <w:szCs w:val="28"/>
                <w:highlight w:val="none"/>
              </w:rPr>
              <w:t>.投标人具有良好的商业信誉和健全的财务会计制度</w:t>
            </w:r>
            <w:r>
              <w:rPr>
                <w:rFonts w:hint="eastAsia" w:ascii="仿宋" w:hAnsi="仿宋" w:eastAsia="仿宋" w:cs="仿宋"/>
                <w:color w:val="auto"/>
                <w:spacing w:val="8"/>
                <w:kern w:val="0"/>
                <w:sz w:val="28"/>
                <w:szCs w:val="28"/>
                <w:highlight w:val="none"/>
                <w:lang w:val="en-US" w:eastAsia="zh-CN"/>
              </w:rPr>
              <w:t>声明（固定格式）；</w:t>
            </w:r>
          </w:p>
          <w:p w14:paraId="4AEC168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val="en-US" w:eastAsia="zh-CN"/>
              </w:rPr>
            </w:pPr>
            <w:r>
              <w:rPr>
                <w:rFonts w:hint="eastAsia" w:ascii="仿宋" w:hAnsi="仿宋" w:eastAsia="仿宋" w:cs="仿宋"/>
                <w:color w:val="auto"/>
                <w:spacing w:val="8"/>
                <w:kern w:val="0"/>
                <w:sz w:val="28"/>
                <w:szCs w:val="28"/>
                <w:highlight w:val="none"/>
                <w:lang w:val="en-US" w:eastAsia="zh-CN"/>
              </w:rPr>
              <w:t>5.投标人具有履行合同所必需的设备和专业技术能力声明（固定格式）；</w:t>
            </w:r>
          </w:p>
          <w:p w14:paraId="1991561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6.投标人的依法缴纳税收和社会保障资金的</w:t>
            </w:r>
            <w:r>
              <w:rPr>
                <w:rFonts w:hint="eastAsia" w:ascii="仿宋" w:hAnsi="仿宋" w:eastAsia="仿宋" w:cs="仿宋"/>
                <w:color w:val="auto"/>
                <w:spacing w:val="8"/>
                <w:kern w:val="0"/>
                <w:sz w:val="28"/>
                <w:szCs w:val="28"/>
                <w:highlight w:val="none"/>
              </w:rPr>
              <w:t>声明（固定格式）及</w:t>
            </w:r>
            <w:r>
              <w:rPr>
                <w:rFonts w:hint="eastAsia" w:ascii="仿宋" w:hAnsi="仿宋" w:eastAsia="仿宋" w:cs="仿宋"/>
                <w:color w:val="auto"/>
                <w:spacing w:val="8"/>
                <w:kern w:val="0"/>
                <w:sz w:val="28"/>
                <w:szCs w:val="28"/>
                <w:highlight w:val="none"/>
                <w:lang w:eastAsia="zh-CN"/>
              </w:rPr>
              <w:t>开标前6个月内任意月份的依法缴纳税收和社会保障资金</w:t>
            </w:r>
            <w:r>
              <w:rPr>
                <w:rFonts w:hint="eastAsia" w:ascii="仿宋" w:hAnsi="仿宋" w:eastAsia="仿宋" w:cs="仿宋"/>
                <w:color w:val="auto"/>
                <w:spacing w:val="8"/>
                <w:kern w:val="0"/>
                <w:sz w:val="28"/>
                <w:szCs w:val="28"/>
                <w:highlight w:val="none"/>
              </w:rPr>
              <w:t>的证明材料</w:t>
            </w:r>
            <w:r>
              <w:rPr>
                <w:rFonts w:hint="eastAsia" w:ascii="仿宋" w:hAnsi="仿宋" w:eastAsia="仿宋" w:cs="仿宋"/>
                <w:color w:val="auto"/>
                <w:spacing w:val="8"/>
                <w:kern w:val="0"/>
                <w:sz w:val="28"/>
                <w:szCs w:val="28"/>
                <w:highlight w:val="none"/>
                <w:lang w:eastAsia="zh-CN"/>
              </w:rPr>
              <w:t>；</w:t>
            </w:r>
          </w:p>
          <w:p w14:paraId="4170E511">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7</w:t>
            </w:r>
            <w:r>
              <w:rPr>
                <w:rFonts w:hint="eastAsia" w:ascii="仿宋" w:hAnsi="仿宋" w:eastAsia="仿宋" w:cs="仿宋"/>
                <w:color w:val="auto"/>
                <w:spacing w:val="8"/>
                <w:kern w:val="0"/>
                <w:sz w:val="28"/>
                <w:szCs w:val="28"/>
                <w:highlight w:val="none"/>
              </w:rPr>
              <w:t>.无重大违法记录</w:t>
            </w:r>
            <w:r>
              <w:rPr>
                <w:rFonts w:hint="eastAsia" w:ascii="仿宋" w:hAnsi="仿宋" w:eastAsia="仿宋" w:cs="仿宋"/>
                <w:color w:val="auto"/>
                <w:spacing w:val="8"/>
                <w:kern w:val="0"/>
                <w:sz w:val="28"/>
                <w:szCs w:val="28"/>
                <w:highlight w:val="none"/>
                <w:lang w:val="en-US" w:eastAsia="zh-CN"/>
              </w:rPr>
              <w:t>等</w:t>
            </w:r>
            <w:r>
              <w:rPr>
                <w:rFonts w:hint="eastAsia" w:ascii="仿宋" w:hAnsi="仿宋" w:eastAsia="仿宋" w:cs="仿宋"/>
                <w:color w:val="auto"/>
                <w:spacing w:val="8"/>
                <w:kern w:val="0"/>
                <w:sz w:val="28"/>
                <w:szCs w:val="28"/>
                <w:highlight w:val="none"/>
              </w:rPr>
              <w:t>声明</w:t>
            </w:r>
            <w:r>
              <w:rPr>
                <w:rFonts w:hint="eastAsia" w:ascii="仿宋" w:hAnsi="仿宋" w:eastAsia="仿宋" w:cs="仿宋"/>
                <w:color w:val="auto"/>
                <w:spacing w:val="8"/>
                <w:kern w:val="0"/>
                <w:sz w:val="28"/>
                <w:szCs w:val="28"/>
                <w:highlight w:val="none"/>
                <w:lang w:eastAsia="zh-CN"/>
              </w:rPr>
              <w:t>（固定格式）</w:t>
            </w:r>
            <w:r>
              <w:rPr>
                <w:rFonts w:hint="eastAsia" w:ascii="仿宋" w:hAnsi="仿宋" w:eastAsia="仿宋" w:cs="仿宋"/>
                <w:color w:val="auto"/>
                <w:spacing w:val="8"/>
                <w:kern w:val="0"/>
                <w:sz w:val="28"/>
                <w:szCs w:val="28"/>
                <w:highlight w:val="none"/>
              </w:rPr>
              <w:t>；</w:t>
            </w:r>
          </w:p>
          <w:p w14:paraId="6E6ECD30">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8</w:t>
            </w:r>
            <w:r>
              <w:rPr>
                <w:rFonts w:hint="eastAsia" w:ascii="仿宋" w:hAnsi="仿宋" w:eastAsia="仿宋" w:cs="仿宋"/>
                <w:color w:val="auto"/>
                <w:spacing w:val="8"/>
                <w:kern w:val="0"/>
                <w:sz w:val="28"/>
                <w:szCs w:val="28"/>
                <w:highlight w:val="none"/>
              </w:rPr>
              <w:t>.</w:t>
            </w:r>
            <w:r>
              <w:rPr>
                <w:rFonts w:hint="eastAsia" w:ascii="仿宋" w:hAnsi="仿宋" w:eastAsia="仿宋" w:cs="仿宋"/>
                <w:color w:val="auto"/>
                <w:sz w:val="28"/>
                <w:szCs w:val="28"/>
                <w:highlight w:val="none"/>
              </w:rPr>
              <w:t>投标人及其法定代表人/单位负责人、被授权人、项目负责人未被最高人民法院列为失信被执行人网站查询结果截图</w:t>
            </w:r>
            <w:r>
              <w:rPr>
                <w:rFonts w:hint="eastAsia" w:ascii="仿宋" w:hAnsi="仿宋" w:eastAsia="仿宋" w:cs="仿宋"/>
                <w:color w:val="auto"/>
                <w:sz w:val="28"/>
                <w:szCs w:val="28"/>
                <w:highlight w:val="none"/>
                <w:lang w:eastAsia="zh-CN"/>
              </w:rPr>
              <w:t>（查询路径</w:t>
            </w:r>
            <w:r>
              <w:rPr>
                <w:rFonts w:hint="eastAsia" w:ascii="仿宋" w:hAnsi="仿宋" w:eastAsia="仿宋" w:cs="仿宋"/>
                <w:color w:val="auto"/>
                <w:sz w:val="28"/>
                <w:szCs w:val="28"/>
                <w:highlight w:val="none"/>
                <w:lang w:val="en-US" w:eastAsia="zh-CN"/>
              </w:rPr>
              <w:t>见投标须知前附表）</w:t>
            </w:r>
            <w:r>
              <w:rPr>
                <w:rFonts w:hint="eastAsia" w:ascii="仿宋" w:hAnsi="仿宋" w:eastAsia="仿宋" w:cs="仿宋"/>
                <w:color w:val="auto"/>
                <w:spacing w:val="8"/>
                <w:kern w:val="0"/>
                <w:sz w:val="28"/>
                <w:szCs w:val="28"/>
                <w:highlight w:val="none"/>
              </w:rPr>
              <w:t>；</w:t>
            </w:r>
          </w:p>
          <w:p w14:paraId="22BD6AC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9</w:t>
            </w:r>
            <w:r>
              <w:rPr>
                <w:rFonts w:hint="eastAsia" w:ascii="仿宋" w:hAnsi="仿宋" w:eastAsia="仿宋" w:cs="仿宋"/>
                <w:color w:val="auto"/>
                <w:spacing w:val="8"/>
                <w:kern w:val="0"/>
                <w:sz w:val="28"/>
                <w:szCs w:val="28"/>
                <w:highlight w:val="none"/>
              </w:rPr>
              <w:t>.投标人近一年在“信用中国”或“信用中国（山东）”无严重失信记录</w:t>
            </w:r>
            <w:r>
              <w:rPr>
                <w:rFonts w:hint="eastAsia" w:ascii="仿宋" w:hAnsi="仿宋" w:eastAsia="仿宋" w:cs="仿宋"/>
                <w:color w:val="auto"/>
                <w:spacing w:val="8"/>
                <w:kern w:val="0"/>
                <w:sz w:val="28"/>
                <w:szCs w:val="28"/>
                <w:highlight w:val="none"/>
                <w:lang w:eastAsia="zh-CN"/>
              </w:rPr>
              <w:t>，</w:t>
            </w:r>
            <w:r>
              <w:rPr>
                <w:rFonts w:hint="eastAsia" w:ascii="仿宋" w:hAnsi="仿宋" w:eastAsia="仿宋" w:cs="仿宋"/>
                <w:color w:val="auto"/>
                <w:spacing w:val="8"/>
                <w:kern w:val="0"/>
                <w:sz w:val="28"/>
                <w:szCs w:val="28"/>
                <w:highlight w:val="none"/>
                <w:lang w:val="en-US" w:eastAsia="zh-CN"/>
              </w:rPr>
              <w:t>附通过网站查询的信用报告（查询路径见投标须知前附表）</w:t>
            </w:r>
            <w:r>
              <w:rPr>
                <w:rFonts w:hint="eastAsia" w:ascii="仿宋" w:hAnsi="仿宋" w:eastAsia="仿宋" w:cs="仿宋"/>
                <w:color w:val="auto"/>
                <w:spacing w:val="8"/>
                <w:kern w:val="0"/>
                <w:sz w:val="28"/>
                <w:szCs w:val="28"/>
                <w:highlight w:val="none"/>
              </w:rPr>
              <w:t>；</w:t>
            </w:r>
          </w:p>
          <w:p w14:paraId="5ED70FEE">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lang w:val="en-US" w:eastAsia="zh-CN"/>
              </w:rPr>
              <w:t>10.</w:t>
            </w:r>
            <w:r>
              <w:rPr>
                <w:rFonts w:hint="eastAsia" w:ascii="仿宋" w:hAnsi="仿宋" w:eastAsia="仿宋" w:cs="仿宋"/>
                <w:color w:val="auto"/>
                <w:spacing w:val="8"/>
                <w:kern w:val="0"/>
                <w:sz w:val="28"/>
                <w:szCs w:val="28"/>
                <w:highlight w:val="none"/>
              </w:rPr>
              <w:t>本项目不接受联合体投标；</w:t>
            </w:r>
          </w:p>
          <w:p w14:paraId="5BBEA828">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w:t>
            </w:r>
            <w:r>
              <w:rPr>
                <w:rFonts w:hint="eastAsia" w:ascii="仿宋" w:hAnsi="仿宋" w:eastAsia="仿宋" w:cs="仿宋"/>
                <w:color w:val="auto"/>
                <w:spacing w:val="8"/>
                <w:kern w:val="0"/>
                <w:sz w:val="28"/>
                <w:szCs w:val="28"/>
                <w:highlight w:val="none"/>
                <w:lang w:val="en-US" w:eastAsia="zh-CN"/>
              </w:rPr>
              <w:t>1</w:t>
            </w:r>
            <w:r>
              <w:rPr>
                <w:rFonts w:hint="eastAsia" w:ascii="仿宋" w:hAnsi="仿宋" w:eastAsia="仿宋" w:cs="仿宋"/>
                <w:color w:val="auto"/>
                <w:spacing w:val="8"/>
                <w:kern w:val="0"/>
                <w:sz w:val="28"/>
                <w:szCs w:val="28"/>
                <w:highlight w:val="none"/>
              </w:rPr>
              <w:t>.不存在招标文件24.1条规定的资格审查不通过的情形。</w:t>
            </w:r>
          </w:p>
        </w:tc>
      </w:tr>
      <w:tr w14:paraId="2684C8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jc w:val="center"/>
        </w:trPr>
        <w:tc>
          <w:tcPr>
            <w:tcW w:w="456" w:type="pct"/>
            <w:tcBorders>
              <w:top w:val="single" w:color="auto" w:sz="4" w:space="0"/>
              <w:bottom w:val="single" w:color="auto" w:sz="4" w:space="0"/>
              <w:right w:val="single" w:color="auto" w:sz="4" w:space="0"/>
            </w:tcBorders>
            <w:noWrap w:val="0"/>
            <w:vAlign w:val="center"/>
          </w:tcPr>
          <w:p w14:paraId="0971CF04">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083" w:type="pct"/>
            <w:tcBorders>
              <w:top w:val="single" w:color="auto" w:sz="4" w:space="0"/>
              <w:left w:val="single" w:color="auto" w:sz="4" w:space="0"/>
              <w:bottom w:val="single" w:color="auto" w:sz="4" w:space="0"/>
              <w:right w:val="single" w:color="auto" w:sz="4" w:space="0"/>
            </w:tcBorders>
            <w:noWrap w:val="0"/>
            <w:vAlign w:val="center"/>
          </w:tcPr>
          <w:p w14:paraId="530DB6D0">
            <w:pPr>
              <w:keepNext w:val="0"/>
              <w:keepLines w:val="0"/>
              <w:pageBreakBefore w:val="0"/>
              <w:shd w:val="clear"/>
              <w:kinsoku/>
              <w:wordWrap/>
              <w:overflowPunct/>
              <w:topLinePunct w:val="0"/>
              <w:autoSpaceDE/>
              <w:autoSpaceDN/>
              <w:bidi w:val="0"/>
              <w:snapToGrid w:val="0"/>
              <w:spacing w:line="560" w:lineRule="exact"/>
              <w:ind w:firstLine="0" w:firstLineChars="0"/>
              <w:jc w:val="center"/>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符合性审查</w:t>
            </w:r>
          </w:p>
        </w:tc>
        <w:tc>
          <w:tcPr>
            <w:tcW w:w="3459" w:type="pct"/>
            <w:tcBorders>
              <w:top w:val="single" w:color="auto" w:sz="4" w:space="0"/>
              <w:left w:val="single" w:color="auto" w:sz="4" w:space="0"/>
              <w:bottom w:val="single" w:color="auto" w:sz="4" w:space="0"/>
            </w:tcBorders>
            <w:noWrap w:val="0"/>
            <w:vAlign w:val="center"/>
          </w:tcPr>
          <w:p w14:paraId="50B84DEF">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1.投标文件按规定签署及盖章；</w:t>
            </w:r>
          </w:p>
          <w:p w14:paraId="356F0AD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2.投标报价</w:t>
            </w:r>
            <w:r>
              <w:rPr>
                <w:rFonts w:hint="eastAsia" w:ascii="仿宋" w:hAnsi="仿宋" w:eastAsia="仿宋" w:cs="仿宋"/>
                <w:color w:val="auto"/>
                <w:spacing w:val="8"/>
                <w:kern w:val="0"/>
                <w:sz w:val="28"/>
                <w:szCs w:val="28"/>
                <w:highlight w:val="none"/>
                <w:lang w:val="en-US" w:eastAsia="zh-CN"/>
              </w:rPr>
              <w:t>不超过最高限价</w:t>
            </w:r>
            <w:r>
              <w:rPr>
                <w:rFonts w:hint="eastAsia" w:ascii="仿宋" w:hAnsi="仿宋" w:eastAsia="仿宋" w:cs="仿宋"/>
                <w:color w:val="auto"/>
                <w:spacing w:val="8"/>
                <w:kern w:val="0"/>
                <w:sz w:val="28"/>
                <w:szCs w:val="28"/>
                <w:highlight w:val="none"/>
              </w:rPr>
              <w:t>；</w:t>
            </w:r>
          </w:p>
          <w:p w14:paraId="3CE9AD7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rPr>
            </w:pPr>
            <w:r>
              <w:rPr>
                <w:rFonts w:hint="eastAsia" w:ascii="仿宋" w:hAnsi="仿宋" w:eastAsia="仿宋" w:cs="仿宋"/>
                <w:color w:val="auto"/>
                <w:spacing w:val="8"/>
                <w:kern w:val="0"/>
                <w:sz w:val="28"/>
                <w:szCs w:val="28"/>
                <w:highlight w:val="none"/>
              </w:rPr>
              <w:t>3.投标有效期、</w:t>
            </w:r>
            <w:r>
              <w:rPr>
                <w:rFonts w:hint="eastAsia" w:ascii="仿宋" w:hAnsi="仿宋" w:eastAsia="仿宋" w:cs="仿宋"/>
                <w:color w:val="auto"/>
                <w:spacing w:val="8"/>
                <w:kern w:val="0"/>
                <w:sz w:val="28"/>
                <w:szCs w:val="28"/>
                <w:highlight w:val="none"/>
                <w:lang w:val="en-US" w:eastAsia="zh-CN"/>
              </w:rPr>
              <w:t>服务期、“★”条款、</w:t>
            </w:r>
            <w:r>
              <w:rPr>
                <w:rFonts w:hint="eastAsia" w:ascii="仿宋" w:hAnsi="仿宋" w:eastAsia="仿宋" w:cs="仿宋"/>
                <w:color w:val="auto"/>
                <w:spacing w:val="8"/>
                <w:kern w:val="0"/>
                <w:sz w:val="28"/>
                <w:szCs w:val="28"/>
                <w:highlight w:val="none"/>
              </w:rPr>
              <w:t>付款方式满足招标文件要求；</w:t>
            </w:r>
          </w:p>
          <w:p w14:paraId="1EBBD184">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rPr>
              <w:t>4.</w:t>
            </w:r>
            <w:r>
              <w:rPr>
                <w:rFonts w:hint="eastAsia" w:ascii="仿宋" w:hAnsi="仿宋" w:eastAsia="仿宋" w:cs="仿宋"/>
                <w:color w:val="auto"/>
                <w:spacing w:val="8"/>
                <w:kern w:val="0"/>
                <w:sz w:val="28"/>
                <w:szCs w:val="28"/>
                <w:highlight w:val="none"/>
                <w:lang w:val="en-US" w:eastAsia="zh-CN"/>
              </w:rPr>
              <w:t>不</w:t>
            </w:r>
            <w:r>
              <w:rPr>
                <w:rFonts w:hint="eastAsia" w:ascii="仿宋" w:hAnsi="仿宋" w:eastAsia="仿宋" w:cs="仿宋"/>
                <w:color w:val="auto"/>
                <w:spacing w:val="8"/>
                <w:kern w:val="0"/>
                <w:sz w:val="28"/>
                <w:szCs w:val="28"/>
                <w:highlight w:val="none"/>
              </w:rPr>
              <w:t>存在招标文件24.3条的关于投标人串通投标的情形及其他投标无效的情形</w:t>
            </w:r>
            <w:r>
              <w:rPr>
                <w:rFonts w:hint="eastAsia" w:ascii="仿宋" w:hAnsi="仿宋" w:eastAsia="仿宋" w:cs="仿宋"/>
                <w:color w:val="auto"/>
                <w:spacing w:val="8"/>
                <w:kern w:val="0"/>
                <w:sz w:val="28"/>
                <w:szCs w:val="28"/>
                <w:highlight w:val="none"/>
                <w:lang w:eastAsia="zh-CN"/>
              </w:rPr>
              <w:t>；</w:t>
            </w:r>
          </w:p>
          <w:p w14:paraId="42E71A93">
            <w:pPr>
              <w:keepNext w:val="0"/>
              <w:keepLines w:val="0"/>
              <w:pageBreakBefore w:val="0"/>
              <w:widowControl/>
              <w:shd w:val="clear"/>
              <w:kinsoku/>
              <w:wordWrap/>
              <w:overflowPunct/>
              <w:topLinePunct w:val="0"/>
              <w:autoSpaceDE/>
              <w:autoSpaceDN/>
              <w:bidi w:val="0"/>
              <w:adjustRightInd w:val="0"/>
              <w:spacing w:line="560" w:lineRule="exact"/>
              <w:ind w:firstLine="0" w:firstLineChars="0"/>
              <w:jc w:val="both"/>
              <w:textAlignment w:val="auto"/>
              <w:rPr>
                <w:rFonts w:hint="eastAsia" w:ascii="仿宋" w:hAnsi="仿宋" w:eastAsia="仿宋" w:cs="仿宋"/>
                <w:color w:val="auto"/>
                <w:spacing w:val="8"/>
                <w:kern w:val="0"/>
                <w:sz w:val="28"/>
                <w:szCs w:val="28"/>
                <w:highlight w:val="none"/>
                <w:lang w:eastAsia="zh-CN"/>
              </w:rPr>
            </w:pPr>
            <w:r>
              <w:rPr>
                <w:rFonts w:hint="eastAsia" w:ascii="仿宋" w:hAnsi="仿宋" w:eastAsia="仿宋" w:cs="仿宋"/>
                <w:color w:val="auto"/>
                <w:spacing w:val="8"/>
                <w:kern w:val="0"/>
                <w:sz w:val="28"/>
                <w:szCs w:val="28"/>
                <w:highlight w:val="none"/>
                <w:lang w:val="en-US" w:eastAsia="zh-CN"/>
              </w:rPr>
              <w:t>5</w:t>
            </w:r>
            <w:r>
              <w:rPr>
                <w:rFonts w:hint="eastAsia" w:ascii="仿宋" w:hAnsi="仿宋" w:eastAsia="仿宋" w:cs="仿宋"/>
                <w:color w:val="auto"/>
                <w:spacing w:val="8"/>
                <w:kern w:val="0"/>
                <w:sz w:val="28"/>
                <w:szCs w:val="28"/>
                <w:highlight w:val="none"/>
              </w:rPr>
              <w:t>.评标委员会认为</w:t>
            </w:r>
            <w:r>
              <w:rPr>
                <w:rFonts w:hint="eastAsia" w:ascii="仿宋" w:hAnsi="仿宋" w:eastAsia="仿宋" w:cs="仿宋"/>
                <w:color w:val="auto"/>
                <w:spacing w:val="8"/>
                <w:kern w:val="0"/>
                <w:sz w:val="28"/>
                <w:szCs w:val="28"/>
                <w:highlight w:val="none"/>
                <w:lang w:val="en-US" w:eastAsia="zh-CN"/>
              </w:rPr>
              <w:t>不存在违反</w:t>
            </w:r>
            <w:r>
              <w:rPr>
                <w:rFonts w:hint="eastAsia" w:ascii="仿宋" w:hAnsi="仿宋" w:eastAsia="仿宋" w:cs="仿宋"/>
                <w:color w:val="auto"/>
                <w:spacing w:val="8"/>
                <w:kern w:val="0"/>
                <w:sz w:val="28"/>
                <w:szCs w:val="28"/>
                <w:highlight w:val="none"/>
              </w:rPr>
              <w:t>招标文件其他实质性要求或法律法规规定的其他情形</w:t>
            </w:r>
            <w:r>
              <w:rPr>
                <w:rFonts w:hint="eastAsia" w:ascii="仿宋" w:hAnsi="仿宋" w:eastAsia="仿宋" w:cs="仿宋"/>
                <w:color w:val="auto"/>
                <w:spacing w:val="8"/>
                <w:kern w:val="0"/>
                <w:sz w:val="28"/>
                <w:szCs w:val="28"/>
                <w:highlight w:val="none"/>
                <w:lang w:eastAsia="zh-CN"/>
              </w:rPr>
              <w:t>。</w:t>
            </w:r>
          </w:p>
        </w:tc>
      </w:tr>
    </w:tbl>
    <w:p w14:paraId="5925C93C">
      <w:pPr>
        <w:widowControl/>
        <w:shd w:val="clear"/>
        <w:spacing w:line="360" w:lineRule="auto"/>
        <w:rPr>
          <w:rFonts w:ascii="宋体" w:hAnsi="宋体"/>
          <w:color w:val="auto"/>
          <w:sz w:val="24"/>
          <w:szCs w:val="21"/>
          <w:highlight w:val="none"/>
        </w:rPr>
        <w:sectPr>
          <w:pgSz w:w="11906" w:h="16838"/>
          <w:pgMar w:top="1440" w:right="1083" w:bottom="1440" w:left="1083" w:header="851" w:footer="992" w:gutter="0"/>
          <w:pgNumType w:fmt="decimal"/>
          <w:cols w:space="0" w:num="1"/>
          <w:rtlGutter w:val="0"/>
          <w:docGrid w:type="lines" w:linePitch="312" w:charSpace="0"/>
        </w:sectPr>
      </w:pPr>
    </w:p>
    <w:bookmarkEnd w:id="0"/>
    <w:bookmarkEnd w:id="1"/>
    <w:bookmarkEnd w:id="2"/>
    <w:bookmarkEnd w:id="3"/>
    <w:p w14:paraId="253E08E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ascii="黑体" w:hAnsi="黑体" w:eastAsia="黑体"/>
          <w:b w:val="0"/>
          <w:color w:val="auto"/>
          <w:sz w:val="32"/>
          <w:szCs w:val="32"/>
          <w:highlight w:val="none"/>
        </w:rPr>
      </w:pPr>
      <w:r>
        <w:rPr>
          <w:rFonts w:hint="eastAsia" w:ascii="黑体" w:hAnsi="黑体" w:eastAsia="黑体"/>
          <w:b w:val="0"/>
          <w:color w:val="auto"/>
          <w:sz w:val="32"/>
          <w:szCs w:val="32"/>
          <w:highlight w:val="none"/>
        </w:rPr>
        <w:t>一、说明</w:t>
      </w:r>
    </w:p>
    <w:p w14:paraId="3A7B9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本文件依据《中华人民共和国招标投标法》《山东省省属企业阳光采购监督暂行办法》等法律法规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参照《国有企业采购操作规范》《国有企业采购管理规范》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结合《威海市市属国有企业阳光采购监督管理暂行办法》及国家和山东省有关法律、法规、规章制度编制。参加本项目投标人应接受本招标文件关于电子招投标各项规定。</w:t>
      </w:r>
    </w:p>
    <w:p w14:paraId="193B805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1.适用范围</w:t>
      </w:r>
    </w:p>
    <w:p w14:paraId="2C1631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1.1本招标文件仅适用于本次招标公告中所涉及的项目和内容。</w:t>
      </w:r>
    </w:p>
    <w:p w14:paraId="15C858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1.2本招标文件的解释权属于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以书面解释为准。</w:t>
      </w:r>
    </w:p>
    <w:p w14:paraId="520CA06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1.3招标文件未做须知明示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而又有相关法律、法规规定的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从其规定。</w:t>
      </w:r>
    </w:p>
    <w:p w14:paraId="657ABB7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2.相关要求</w:t>
      </w:r>
    </w:p>
    <w:p w14:paraId="1843DF4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2.1投标人应承担所有与准备和参加投标有关的费用。不论投标结果如何</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均无义务和责任承担这些费用。</w:t>
      </w:r>
    </w:p>
    <w:p w14:paraId="776E04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2.2本项目若涉及采购货物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则合格的货物及相应服务应满足以下要求：</w:t>
      </w:r>
    </w:p>
    <w:p w14:paraId="0264867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2.2.1必须是全新、未使用过的原装合格正品（包括零部件）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如安装或配置了软件的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须为正版软件。</w:t>
      </w:r>
    </w:p>
    <w:p w14:paraId="3242A0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2.2.2国产货物及其有关服务必须符合中华人民共和国的设计和制造生产标准或行业标准。招标公告有其他要求的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05A374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2.2.3进口货物及其有关服务必须符合原产地和/或中华人民共和国的设计和制造生产标准或行业标准。进口的货物必须具有合法的进口手续和途径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并通过中华人民共和国商检部门检验。采购公告有其他要求的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亦应符合其要求。</w:t>
      </w:r>
    </w:p>
    <w:p w14:paraId="4534CD9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2.2.4投标人应保证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其所提供的货物在提供给采购单位前具有完全的所有权</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采购单位在中华人民共和国使用该货物或货物的任何一部分时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投标人应承担全部责任。</w:t>
      </w:r>
    </w:p>
    <w:p w14:paraId="5C7F0E9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2.3投标人应登录“威海市公共资源交易网”首页右侧“交易服务一网通办-（新版）一网通办系统”进行“平台切换”，点击“国企采购”进入国企阳光采购平台获取招标文件，并通过国企阳光采购平台网上上传电子投标文件，未通过国企阳光采购平台上传电子投标文件的，为无效投标。</w:t>
      </w:r>
    </w:p>
    <w:p w14:paraId="32824FE1">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二、招标文件</w:t>
      </w:r>
    </w:p>
    <w:p w14:paraId="5311A3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3.招标文件的构成</w:t>
      </w:r>
    </w:p>
    <w:p w14:paraId="699788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由各包段本文件（word格式）和各包段的数据文件（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采用压缩包电子版文件格式提供。</w:t>
      </w:r>
    </w:p>
    <w:p w14:paraId="5C7B16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3.1 本文件（word格式）由下列文件组成：</w:t>
      </w:r>
    </w:p>
    <w:p w14:paraId="7439BFE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w:t>
      </w:r>
    </w:p>
    <w:p w14:paraId="09F7E7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（2）投标须知</w:t>
      </w:r>
    </w:p>
    <w:p w14:paraId="11E458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（3）采购内容与要求</w:t>
      </w:r>
    </w:p>
    <w:p w14:paraId="2A9F9E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（4）评标原则、程序与方法</w:t>
      </w:r>
    </w:p>
    <w:p w14:paraId="48D8F00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投标文件格式</w:t>
      </w:r>
    </w:p>
    <w:p w14:paraId="5AB930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（6）采购合同（范本）</w:t>
      </w:r>
    </w:p>
    <w:p w14:paraId="04157F8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（7）在采购过程中由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发出的修正和补充文件等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w:t>
      </w:r>
    </w:p>
    <w:p w14:paraId="5423CB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3.2 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格式）由下列文件组成：</w:t>
      </w:r>
    </w:p>
    <w:p w14:paraId="52B0C0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5D44F7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2FEDA9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077F56E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2B1382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58DBA5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3.3投标人应认真阅读招标文件中所有的事项、格式、条款和技术规范、参数及要求等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如果投标人没有按照招标文件要求提交全部资料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或者投标人没有对招标文件在各方面都做出实质性响应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其风险应由投标人自行承担并根据有关政策和条款规定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其投标有可能被拒绝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或者被认定为无效投标。</w:t>
      </w:r>
    </w:p>
    <w:p w14:paraId="7835AAB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4.招标文件的澄清</w:t>
      </w:r>
    </w:p>
    <w:p w14:paraId="184C0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4.1投标人在收到招标文件后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对招标文件若有任何疑问或要求澄清招标文件的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应在投标截止前2日内按“投标须知前附表”第四项向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提出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将协助</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组织所有</w:t>
      </w:r>
      <w:r>
        <w:rPr>
          <w:rFonts w:hint="eastAsia" w:ascii="仿宋" w:hAnsi="仿宋" w:eastAsia="仿宋" w:cs="仿宋"/>
          <w:color w:val="auto"/>
          <w:sz w:val="28"/>
          <w:szCs w:val="28"/>
          <w:highlight w:val="none"/>
          <w:lang w:val="en-US" w:eastAsia="zh-CN"/>
        </w:rPr>
        <w:t>获取</w:t>
      </w:r>
      <w:r>
        <w:rPr>
          <w:rFonts w:hint="eastAsia" w:ascii="仿宋" w:hAnsi="仿宋" w:eastAsia="仿宋" w:cs="仿宋"/>
          <w:color w:val="auto"/>
          <w:sz w:val="28"/>
          <w:szCs w:val="28"/>
          <w:highlight w:val="none"/>
        </w:rPr>
        <w:t>招标文件的潜在投标人举行答疑会</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根据需要主动对招标文件进行必要的澄清或根据投标人的要求对招标文件做出澄清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都将以原网站公开发布形式（包括电子交易系统推送）答复或发送给所有投标人。澄清文件作为招标文件的组成部分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对投标人起约束作用。</w:t>
      </w:r>
    </w:p>
    <w:p w14:paraId="746929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4.2投标人在规定的时间内未对招标文件</w:t>
      </w:r>
      <w:r>
        <w:rPr>
          <w:rFonts w:hint="eastAsia" w:ascii="仿宋" w:hAnsi="仿宋" w:eastAsia="仿宋" w:cs="仿宋"/>
          <w:color w:val="auto"/>
          <w:sz w:val="28"/>
          <w:szCs w:val="28"/>
          <w:highlight w:val="none"/>
          <w:lang w:val="en-US" w:eastAsia="zh-CN"/>
        </w:rPr>
        <w:t>要求</w:t>
      </w:r>
      <w:r>
        <w:rPr>
          <w:rFonts w:hint="eastAsia" w:ascii="仿宋" w:hAnsi="仿宋" w:eastAsia="仿宋" w:cs="仿宋"/>
          <w:color w:val="auto"/>
          <w:sz w:val="28"/>
          <w:szCs w:val="28"/>
          <w:highlight w:val="none"/>
        </w:rPr>
        <w:t>澄清或提出疑问的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将视其为接受招标文件的所有条款</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对招标文件没有异议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此后也不再受理对招标文件的相关质疑。</w:t>
      </w:r>
    </w:p>
    <w:p w14:paraId="40BA43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5.招标文件的修改</w:t>
      </w:r>
    </w:p>
    <w:p w14:paraId="6D68E94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5.l 在投标截止时间2日以前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无论出于何种原因</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可主动或在解答投标人提出的疑问时对招标文件进行修改。</w:t>
      </w:r>
    </w:p>
    <w:p w14:paraId="29EB51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5.2 修改后的内容是招标文件的组成部分</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将会通过原发布媒介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以更正公告形式（电子交易系统发送更正提醒通知）一并告知所有潜在投标人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并对潜在投标人具有约束力。潜在投标人在收到上述通知后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应立即以书面形式向</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如在24小时内无书面回函则视为同意修改内容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并有义务履行相应的义务。</w:t>
      </w:r>
    </w:p>
    <w:p w14:paraId="1EBBA7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5.3澄清或者修改的内容可能影响投标文件编制的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将在投标截止时间2日前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通过原发布媒介发布公告的形式（电子交易系统内发送更正提醒通知）通知所有获取招标文件的潜在投标人（招标文件变更的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投标人必须从电子交易系统中重新下载招标文件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并在新下载文件的基础上编制投标文件）；不足2日的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将顺延提交投标文件的截止时间。</w:t>
      </w:r>
    </w:p>
    <w:p w14:paraId="4A956F63">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三、投标文件的编制</w:t>
      </w:r>
    </w:p>
    <w:p w14:paraId="7B7E6A9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6.投标文件编制要求</w:t>
      </w:r>
    </w:p>
    <w:p w14:paraId="68C063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6.1投标人编写的文件和往来信件应以简体中文书写。如果投标文件或与投标有关的其它文件、信件及来往函电以其它语言书写的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投标人应将其译成中文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如未翻译该文件为无效文件。</w:t>
      </w:r>
    </w:p>
    <w:p w14:paraId="7C3CEF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6.2投标文件中使用的计量单位应使用中华人民共和国法定计量单位。</w:t>
      </w:r>
    </w:p>
    <w:p w14:paraId="5FF2831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6.3投标人必须保证投标文件所提供的全部资料真实可靠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并接受</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对其中任何资料进一步核实的要求。如果因为投标文件填报的内容不详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或没有提供招标文件中所要求的全部资料及数据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或提供虚假文件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由此造成的后果由投标人自负。</w:t>
      </w:r>
    </w:p>
    <w:p w14:paraId="48673E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6.4投标人应按招标文件中提供的投标文件格式（详见第五章 </w:t>
      </w:r>
      <w:r>
        <w:rPr>
          <w:rFonts w:hint="eastAsia" w:ascii="仿宋" w:hAnsi="仿宋" w:eastAsia="仿宋" w:cs="仿宋"/>
          <w:color w:val="auto"/>
          <w:sz w:val="28"/>
          <w:szCs w:val="28"/>
          <w:highlight w:val="none"/>
          <w:lang w:eastAsia="zh-CN"/>
        </w:rPr>
        <w:t>投标文件格式</w:t>
      </w:r>
      <w:r>
        <w:rPr>
          <w:rFonts w:hint="eastAsia" w:ascii="仿宋" w:hAnsi="仿宋" w:eastAsia="仿宋" w:cs="仿宋"/>
          <w:color w:val="auto"/>
          <w:sz w:val="28"/>
          <w:szCs w:val="28"/>
          <w:highlight w:val="none"/>
        </w:rPr>
        <w:t>）按包段编写投标文件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并使用A4规格编制。投标文件应编写目录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具有结构清晰的文档结构图（打开word视图中的“文档结构图”后能看到详细章节）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页码连续。</w:t>
      </w:r>
    </w:p>
    <w:p w14:paraId="7D0400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6.5投标人按照招标文件要求所提供的各种证明文件必须真实且合法有效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经扫描后粘贴到投标文件的相关页上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确保清晰度可辨认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评审时由于无法辨认所产生的后果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8900AF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6.6投标人应自行确保本文件的内容已充分覆盖了数据文件中《评审对照表》和《评分对照表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》中的各项要求</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并准确将对应的起止页码填写到数据文件《评审对照表》《评分对照表</w:t>
      </w:r>
      <w:r>
        <w:rPr>
          <w:rFonts w:hint="eastAsia" w:ascii="仿宋" w:hAnsi="仿宋" w:eastAsia="仿宋" w:cs="仿宋"/>
          <w:b/>
          <w:bCs/>
          <w:color w:val="auto"/>
          <w:sz w:val="28"/>
          <w:szCs w:val="28"/>
          <w:highlight w:val="none"/>
          <w:lang w:eastAsia="zh-CN"/>
        </w:rPr>
        <w:t>（如有）</w:t>
      </w:r>
      <w:r>
        <w:rPr>
          <w:rFonts w:hint="eastAsia" w:ascii="仿宋" w:hAnsi="仿宋" w:eastAsia="仿宋" w:cs="仿宋"/>
          <w:b/>
          <w:bCs/>
          <w:color w:val="auto"/>
          <w:sz w:val="28"/>
          <w:szCs w:val="28"/>
          <w:highlight w:val="none"/>
        </w:rPr>
        <w:t>》表格中每项后的起始页码和终止页码栏位上。对于不涉及或无法填写的评审项（评分项）（例如：报价）</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可在页码索引处填写1。</w:t>
      </w:r>
    </w:p>
    <w:p w14:paraId="71A5115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6.7为了保证系统整体效率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系统对所投递的电子文件有大小的限制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投标人应尽可能降低本文件的大小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小尺寸投标文件将使递交更快捷、减少差错发生几率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避免投标截止时间前未能完整上传文件。</w:t>
      </w:r>
    </w:p>
    <w:p w14:paraId="4B0704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6.8投标文件具有法律效力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投标人与</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任何人的口头协议不影响投标文件的任何条款和内容。</w:t>
      </w:r>
    </w:p>
    <w:p w14:paraId="4E0EFB8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6.9</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均无义务向投标人解释其中标或未中标的原因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且无论投标人是否中标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投标人所递交的投标文件均不予退还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不提供副本拷贝。</w:t>
      </w:r>
    </w:p>
    <w:p w14:paraId="45E7DFB2">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7.数据文件编制要求</w:t>
      </w:r>
    </w:p>
    <w:p w14:paraId="41AB46F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7.1投标人须从所投项目的招标文件压缩包内对应包段目录下获取本文件（变更后的数据文件需要重新下载）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必须在原文件上严格按照其中要求填写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其内部已约定好固定格式和相关内容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且带有特定的唯一性数字指纹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对采用非该文件基础上编制或对该文件进行任何工作表、表格行、表格列的增减、对工作表先后顺序的变动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以及对锁定区域内的数据进行更改、</w:t>
      </w:r>
      <w:r>
        <w:rPr>
          <w:rFonts w:hint="eastAsia" w:ascii="仿宋" w:hAnsi="仿宋" w:eastAsia="仿宋" w:cs="仿宋"/>
          <w:b/>
          <w:bCs/>
          <w:color w:val="auto"/>
          <w:sz w:val="28"/>
          <w:szCs w:val="28"/>
          <w:highlight w:val="none"/>
        </w:rPr>
        <w:t>文件另存到其他文件</w:t>
      </w:r>
      <w:r>
        <w:rPr>
          <w:rFonts w:hint="eastAsia" w:ascii="仿宋" w:hAnsi="仿宋" w:eastAsia="仿宋" w:cs="仿宋"/>
          <w:color w:val="auto"/>
          <w:sz w:val="28"/>
          <w:szCs w:val="28"/>
          <w:highlight w:val="none"/>
        </w:rPr>
        <w:t>等违规性操作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都会破坏本文件中的数字指纹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3D0FCFA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7.2投标人应按数据文件中规定的要求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完整、准确地填写《封面》《投标报价表（含明细）》《需求响应表（如有）》《评审对照表》《评分对照表（如有）》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任何的漏表、漏项及信息不完整、填写数据不规范或不正确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都将导致电子交易平台无法接收该文件使其</w:t>
      </w:r>
      <w:r>
        <w:rPr>
          <w:rFonts w:hint="eastAsia" w:ascii="仿宋" w:hAnsi="仿宋" w:eastAsia="仿宋" w:cs="仿宋"/>
          <w:b/>
          <w:bCs/>
          <w:color w:val="auto"/>
          <w:sz w:val="28"/>
          <w:szCs w:val="28"/>
          <w:highlight w:val="none"/>
        </w:rPr>
        <w:t>投标失败</w:t>
      </w:r>
      <w:r>
        <w:rPr>
          <w:rFonts w:hint="eastAsia" w:ascii="仿宋" w:hAnsi="仿宋" w:eastAsia="仿宋" w:cs="仿宋"/>
          <w:color w:val="auto"/>
          <w:sz w:val="28"/>
          <w:szCs w:val="28"/>
          <w:highlight w:val="none"/>
        </w:rPr>
        <w:t>。</w:t>
      </w:r>
    </w:p>
    <w:p w14:paraId="2673517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7.3投标人在对数据文件电子签章前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应按照上述2项的要求进行认真检查、确认。因投标人自身原因所导致其投标失败的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须自行承担相关责任。</w:t>
      </w:r>
    </w:p>
    <w:p w14:paraId="5F3FE57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8.文件构成</w:t>
      </w:r>
    </w:p>
    <w:p w14:paraId="42984CD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投标人应按不同包段分别编制投标文件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每个包段的投标文件分两册必须包括：投标文件（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以上内容缺一不可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130EBB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8.1投标人编制的投标文件（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格式）（第一册）应包括但不少于下列内容：</w:t>
      </w:r>
    </w:p>
    <w:p w14:paraId="00BE7B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（1）投标文件封面（格式见本文件第五章）</w:t>
      </w:r>
    </w:p>
    <w:p w14:paraId="248BECD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（2）投标文件目录</w:t>
      </w:r>
    </w:p>
    <w:p w14:paraId="6F5486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（3）投标承诺函</w:t>
      </w:r>
      <w:r>
        <w:rPr>
          <w:rFonts w:hint="eastAsia" w:ascii="仿宋" w:hAnsi="仿宋" w:eastAsia="仿宋" w:cs="仿宋"/>
          <w:color w:val="auto"/>
          <w:sz w:val="28"/>
          <w:szCs w:val="28"/>
          <w:highlight w:val="none"/>
          <w:lang w:eastAsia="zh-CN"/>
        </w:rPr>
        <w:t>（格式见本文件第五章）</w:t>
      </w:r>
    </w:p>
    <w:p w14:paraId="692BA6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报价明细表</w:t>
      </w:r>
      <w:r>
        <w:rPr>
          <w:rFonts w:hint="eastAsia" w:ascii="仿宋" w:hAnsi="仿宋" w:eastAsia="仿宋" w:cs="仿宋"/>
          <w:color w:val="auto"/>
          <w:sz w:val="28"/>
          <w:szCs w:val="28"/>
          <w:highlight w:val="none"/>
          <w:lang w:eastAsia="zh-CN"/>
        </w:rPr>
        <w:t>（格式见本文件第五章）</w:t>
      </w:r>
    </w:p>
    <w:p w14:paraId="79A8B9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（5）投标人资格证明文件</w:t>
      </w:r>
    </w:p>
    <w:p w14:paraId="3916C9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有效的年度考核合格的《律师事务所执业许可证》或《律师事务所分所执业许可证》扫描件或其他能证明具有独立承担民事责任的能力的证明材料扫描件；分所参与投标的，须提供总所授权（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333AB9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②法定代表人/单位负责人身份证明书（格式见本文件第五章）</w:t>
      </w:r>
      <w:r>
        <w:rPr>
          <w:rFonts w:hint="eastAsia" w:ascii="仿宋" w:hAnsi="仿宋" w:eastAsia="仿宋" w:cs="仿宋"/>
          <w:color w:val="auto"/>
          <w:sz w:val="28"/>
          <w:szCs w:val="28"/>
          <w:highlight w:val="none"/>
          <w:lang w:eastAsia="zh-CN"/>
        </w:rPr>
        <w:t>；</w:t>
      </w:r>
    </w:p>
    <w:p w14:paraId="2D1B05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③法人授权委托书（格式见本文件第五章）、被授权人身份证扫描件；</w:t>
      </w:r>
    </w:p>
    <w:p w14:paraId="61D3AC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color w:val="auto"/>
          <w:sz w:val="28"/>
          <w:szCs w:val="28"/>
          <w:highlight w:val="none"/>
          <w:lang w:eastAsia="zh-CN"/>
        </w:rPr>
        <w:t>；</w:t>
      </w:r>
    </w:p>
    <w:p w14:paraId="0F1909A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④投标人具有良好的商业信誉和健全的财务会计制度声明（格式见本文件第五章）；</w:t>
      </w:r>
    </w:p>
    <w:p w14:paraId="4C2E1E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⑤</w:t>
      </w:r>
      <w:r>
        <w:rPr>
          <w:rFonts w:hint="eastAsia" w:ascii="仿宋" w:hAnsi="仿宋" w:eastAsia="仿宋" w:cs="仿宋"/>
          <w:color w:val="auto"/>
          <w:sz w:val="28"/>
          <w:szCs w:val="28"/>
          <w:highlight w:val="none"/>
          <w:lang w:eastAsia="zh-CN"/>
        </w:rPr>
        <w:t>投标人具有履行合同所必需的设备和专业技术能力声明（格式见本文件第五章）</w:t>
      </w:r>
      <w:r>
        <w:rPr>
          <w:rFonts w:hint="eastAsia" w:ascii="仿宋" w:hAnsi="仿宋" w:eastAsia="仿宋" w:cs="仿宋"/>
          <w:color w:val="auto"/>
          <w:sz w:val="28"/>
          <w:szCs w:val="28"/>
          <w:highlight w:val="none"/>
        </w:rPr>
        <w:t>；</w:t>
      </w:r>
    </w:p>
    <w:p w14:paraId="2DD6407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⑥投标人的依法缴纳税收和社会保障资金的声明（格式见本文件第五章）及开标前6个月内任意月份的依法缴纳税收和社会保障资金的证明材料；</w:t>
      </w:r>
    </w:p>
    <w:p w14:paraId="646AF96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⑦无重大违法记录等声明（格式见本文件第五章）；</w:t>
      </w:r>
    </w:p>
    <w:p w14:paraId="7CBDF15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⑧投标人及其法定代表人/单位负责人、被授权人、项目负责人未被最高人民法院列为失信被执行人网站查询结果截图（查询路径见投标须知前附表）；</w:t>
      </w:r>
    </w:p>
    <w:p w14:paraId="33065E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⑨投标人近一年在“信用中国”或“信用中国（山东）”无严重失信记录，附通过网站查询的信用报告（查询路径见投标须知前附表）；</w:t>
      </w:r>
    </w:p>
    <w:p w14:paraId="19991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⑩</w:t>
      </w:r>
      <w:r>
        <w:rPr>
          <w:rFonts w:hint="eastAsia" w:ascii="仿宋" w:hAnsi="仿宋" w:eastAsia="仿宋" w:cs="仿宋"/>
          <w:color w:val="auto"/>
          <w:sz w:val="28"/>
          <w:szCs w:val="28"/>
          <w:highlight w:val="none"/>
        </w:rPr>
        <w:t>投标人认为需要提供的其他资质资格证明文件。</w:t>
      </w:r>
    </w:p>
    <w:p w14:paraId="0F1BDB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以上所有资质资格证明文件均需加盖投标人签章。</w:t>
      </w:r>
    </w:p>
    <w:p w14:paraId="3D3DB5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（6）符合性审查表</w:t>
      </w:r>
      <w:r>
        <w:rPr>
          <w:rFonts w:hint="eastAsia" w:ascii="仿宋" w:hAnsi="仿宋" w:eastAsia="仿宋" w:cs="仿宋"/>
          <w:color w:val="auto"/>
          <w:sz w:val="28"/>
          <w:szCs w:val="28"/>
          <w:highlight w:val="none"/>
          <w:lang w:eastAsia="zh-CN"/>
        </w:rPr>
        <w:t>（格式见本文件第五章）</w:t>
      </w:r>
    </w:p>
    <w:p w14:paraId="64AE67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（7）投标人基本情况</w:t>
      </w:r>
      <w:r>
        <w:rPr>
          <w:rFonts w:hint="eastAsia" w:ascii="仿宋" w:hAnsi="仿宋" w:eastAsia="仿宋" w:cs="仿宋"/>
          <w:color w:val="auto"/>
          <w:sz w:val="28"/>
          <w:szCs w:val="28"/>
          <w:highlight w:val="none"/>
          <w:lang w:val="en-US" w:eastAsia="zh-CN"/>
        </w:rPr>
        <w:t>表</w:t>
      </w:r>
      <w:r>
        <w:rPr>
          <w:rFonts w:hint="eastAsia" w:ascii="仿宋" w:hAnsi="仿宋" w:eastAsia="仿宋" w:cs="仿宋"/>
          <w:color w:val="auto"/>
          <w:sz w:val="28"/>
          <w:szCs w:val="28"/>
          <w:highlight w:val="none"/>
        </w:rPr>
        <w:t>（格式见本文件第五章）</w:t>
      </w:r>
    </w:p>
    <w:p w14:paraId="35F1F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rPr>
        <w:t>8</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同类项目业绩表（格式见本文件第五章）</w:t>
      </w:r>
    </w:p>
    <w:p w14:paraId="78E9EA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）项目负责人及拟派主要人员情况表（格式见本文件第五章）</w:t>
      </w:r>
    </w:p>
    <w:p w14:paraId="373CA27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rPr>
        <w:t>技术文件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包括但不限于以下内容：</w:t>
      </w:r>
    </w:p>
    <w:p w14:paraId="1B3F889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①</w:t>
      </w:r>
      <w:r>
        <w:rPr>
          <w:rFonts w:hint="eastAsia" w:ascii="仿宋" w:hAnsi="仿宋" w:eastAsia="仿宋" w:cs="仿宋"/>
          <w:color w:val="auto"/>
          <w:sz w:val="28"/>
          <w:szCs w:val="28"/>
          <w:highlight w:val="none"/>
          <w:lang w:eastAsia="zh-CN"/>
        </w:rPr>
        <w:t>服务方案；</w:t>
      </w:r>
    </w:p>
    <w:p w14:paraId="3FB2E16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②质量保证措施；</w:t>
      </w:r>
    </w:p>
    <w:p w14:paraId="563746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③服务承诺；</w:t>
      </w:r>
    </w:p>
    <w:p w14:paraId="2D282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④</w:t>
      </w:r>
      <w:r>
        <w:rPr>
          <w:rFonts w:hint="eastAsia" w:ascii="仿宋" w:hAnsi="仿宋" w:eastAsia="仿宋" w:cs="仿宋"/>
          <w:color w:val="auto"/>
          <w:sz w:val="28"/>
          <w:szCs w:val="28"/>
          <w:highlight w:val="none"/>
        </w:rPr>
        <w:t>投标人认为需要提交的其他相关技术文件（根据评分标准及项目要求格式自拟）</w:t>
      </w:r>
      <w:r>
        <w:rPr>
          <w:rFonts w:hint="eastAsia" w:ascii="仿宋" w:hAnsi="仿宋" w:eastAsia="仿宋" w:cs="仿宋"/>
          <w:color w:val="auto"/>
          <w:sz w:val="28"/>
          <w:szCs w:val="28"/>
          <w:highlight w:val="none"/>
          <w:lang w:eastAsia="zh-CN"/>
        </w:rPr>
        <w:t>。</w:t>
      </w:r>
    </w:p>
    <w:p w14:paraId="20BF6B8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rPr>
        <w:t>）投标偏离表</w:t>
      </w:r>
      <w:r>
        <w:rPr>
          <w:rFonts w:hint="eastAsia" w:ascii="仿宋" w:hAnsi="仿宋" w:eastAsia="仿宋" w:cs="仿宋"/>
          <w:color w:val="auto"/>
          <w:sz w:val="28"/>
          <w:szCs w:val="28"/>
          <w:highlight w:val="none"/>
          <w:lang w:eastAsia="zh-CN"/>
        </w:rPr>
        <w:t>（格式见本文件第五章）</w:t>
      </w:r>
    </w:p>
    <w:p w14:paraId="6EA45F8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w:t>
      </w:r>
    </w:p>
    <w:p w14:paraId="7E05D7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投标人须从本项目招标文件压缩包内获取对应包段的数据文件（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并严格按照要求填写。填写完成后在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中上传该数据文件（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系统将自动转换为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再加盖投标人电子印章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未按要求填写或盖章为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格式）包含下列内容：</w:t>
      </w:r>
    </w:p>
    <w:p w14:paraId="6BDBB29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（1）封面</w:t>
      </w:r>
    </w:p>
    <w:p w14:paraId="61B74C9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（2）投标报价表（含明细）</w:t>
      </w:r>
    </w:p>
    <w:p w14:paraId="4884124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（3）需求响应表（如有）</w:t>
      </w:r>
    </w:p>
    <w:p w14:paraId="2A425A7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（4）评审对照表</w:t>
      </w:r>
    </w:p>
    <w:p w14:paraId="47DC6A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（5）评分对照表（如有）</w:t>
      </w:r>
    </w:p>
    <w:p w14:paraId="4AFB68B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9.投标报价</w:t>
      </w:r>
    </w:p>
    <w:p w14:paraId="185AB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9.1投标人所提供的（产品）货物或服务或工程均以人民币报价，精确到小数点后两位。</w:t>
      </w:r>
    </w:p>
    <w:p w14:paraId="646ED3B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9.2投标人应按照“第三章 采购内容与要求”的服务内容、责任范围以及合同条款进行报价。并按数据文件中“投标报价表（含明细）”规定的格式报出分项价格。</w:t>
      </w:r>
    </w:p>
    <w:p w14:paraId="27F4E8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9.3投标人应按数据文件“投标报价表（含明细）”要求的统一格式填写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并加盖电子公章。</w:t>
      </w:r>
    </w:p>
    <w:p w14:paraId="12EB8D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9.4《投标报价表（含明细）》填写时应响应下列要求：</w:t>
      </w:r>
    </w:p>
    <w:p w14:paraId="33B247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（1）所有根据合同或其它原因应由投标人支付的税款和其它应交纳的费用都要包括在投标人提交的报价中；</w:t>
      </w:r>
    </w:p>
    <w:p w14:paraId="3CDF6D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（2）投标人应对本次招标的全部或部分内容以包为单位进行报价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包内缺项报价投标无效。如因投标人自身的原因报价失误而造成的损失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w:t>
      </w:r>
    </w:p>
    <w:p w14:paraId="5EFCC25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（3）投标人须严格按照报价明细表说明进行填写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报价明细表中“*”是必填项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任何必填项为空时都可能导致本次投标无效。</w:t>
      </w:r>
    </w:p>
    <w:p w14:paraId="74B34BE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（4）《投标报价表（含明细）》中“报价产品的型号”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型号填写的一般规则为：品牌+产品型号。</w:t>
      </w:r>
    </w:p>
    <w:p w14:paraId="38DA56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（5）《投标报价表（含明细）》中合价将由单价*数量自动计算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无需手工录入。</w:t>
      </w:r>
    </w:p>
    <w:p w14:paraId="29BBC5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9.5《需求响应表（如有）》填写时应响应下列要求：</w:t>
      </w:r>
    </w:p>
    <w:p w14:paraId="5E8ECA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（1）有底色标识的单元格须填写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有“*”的列是必输项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任何必输项为空都可能导致您的本次投标无效；</w:t>
      </w:r>
    </w:p>
    <w:p w14:paraId="720AD5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（2）如想拷贝数据到某个待填写单元格</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应采用选择性粘贴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只粘贴文本</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否则单元格填写无效或被锁死；</w:t>
      </w:r>
    </w:p>
    <w:p w14:paraId="266E1E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（3）当招标需求列的内容显示不完整时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请点击编辑栏进行查看；</w:t>
      </w:r>
    </w:p>
    <w:p w14:paraId="5BB479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（4）响应需求请按照商品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的招标需求的逐一说明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如实填写。“响应需求”中需详细列明所报产品（服务）的明细；若与投标文件中提供的产品检测报告（如有）、生产厂家出具的产品彩页等证明材料的实质性响应情况不一致（如有）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由投标人自行承担不利后果，包括但不限于投标无效，相应评审因素对应的分值为0分。</w:t>
      </w:r>
    </w:p>
    <w:p w14:paraId="5E01B54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（5）按照该表显示位置加盖一个电子印章；</w:t>
      </w:r>
    </w:p>
    <w:p w14:paraId="211FB7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（6）该表为固定格式且有数字指纹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必须在原表上填写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填写完毕后只可保存不可另存。删除该表、增加该表、增加行列、删除行列、对固定格式的任何改动均会导致</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3FFD9D3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9.6投标人的报价在合同执行过程中是固定不变的，不得以任何理由改变。所有价格折扣、优惠条件必须在投标（报价）一览表中注明，否则评审时不予认可。</w:t>
      </w:r>
    </w:p>
    <w:p w14:paraId="288AC9E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10.联合体投标</w:t>
      </w:r>
    </w:p>
    <w:p w14:paraId="7784D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两个以上的自然人、法人或者其他组织可以组成一个联合体，以一个投标人的身份共同参加采购活动。</w:t>
      </w:r>
    </w:p>
    <w:p w14:paraId="12344A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10.1以联合体形式进行采购活动的，参加联合体的投标人均应当满足采购公告及采购文件的资质要求，并应当向采购人提交联合体协议，载明联合体各方承担的工作和义务。联合体各方应当共同与采购人签订采购合同，就采购合同约定的事项对采购人承担连带责任。</w:t>
      </w:r>
    </w:p>
    <w:p w14:paraId="127C87C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10.2联合体中有同类资质的投标人按照联合体分工承担相同工作的，应当按照资质等级较低的投标人确定资质等级。</w:t>
      </w:r>
    </w:p>
    <w:p w14:paraId="4454692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10.3联合体的各方应当共同推荐一名联合体投标授权代表方，由联合体各方提交一份授权书，证明其有资格代表联合体各方签署投标文件，该授权书作为投标文件的组成部分一并提交给采购代理机构。</w:t>
      </w:r>
    </w:p>
    <w:p w14:paraId="000B60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10.4以联合体形式参加国企采购活动的，联合体各方不得再单独参加或者与其他投标人另外组成联合体参加同一合同项下的国企采购活动。</w:t>
      </w:r>
    </w:p>
    <w:p w14:paraId="567194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本项目是否接受联合体投标详见《投标须知前附表》。</w:t>
      </w:r>
    </w:p>
    <w:p w14:paraId="776113A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11.关于分包</w:t>
      </w:r>
    </w:p>
    <w:p w14:paraId="17A5D3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本项目不允许分包。</w:t>
      </w:r>
    </w:p>
    <w:p w14:paraId="6AA72BD6">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12.现场踏勘</w:t>
      </w:r>
    </w:p>
    <w:p w14:paraId="3066BC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12.1如有需要</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将组织投标人对项目现场及周围环境进行踏勘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以便投标人获取有关编制投标文件和签署合同所需的所有资料。踏勘现场所发生的费用由投标人自己承担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投标人应按投标须知前附表所约定的时间、地点踏勘现场。</w:t>
      </w:r>
    </w:p>
    <w:p w14:paraId="6D0E153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12.2投标人及其人员经过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的允许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可以踏勘目的进入采购单位的项目现场。若本项目招标文件要求投标人于统一时间地点踏勘现场的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投标人应当按时前往。</w:t>
      </w:r>
    </w:p>
    <w:p w14:paraId="51369FC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12.3除</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的原因外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投标人自行负责在踏勘现场中所发生的人员伤亡和财产损失。</w:t>
      </w:r>
    </w:p>
    <w:p w14:paraId="6B695F7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12.4未参与现场踏勘不作为否定投标人资格的理由。</w:t>
      </w:r>
    </w:p>
    <w:p w14:paraId="5C4C62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本项目是否组织现场踏勘详见《投标须知前附表》。</w:t>
      </w:r>
    </w:p>
    <w:p w14:paraId="1B8628B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13.投标的有效期</w:t>
      </w:r>
    </w:p>
    <w:p w14:paraId="0F2745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13.1从开标之日起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投标有效期为90天。投标有效期短于90天的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其投标为无效投标。</w:t>
      </w:r>
    </w:p>
    <w:p w14:paraId="0D069F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13.2特殊情况下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在投标有效期满之前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可以要求投标人延长投标有效期</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投标人可以书面形式拒绝或接受上述要求。同意延长投标有效期的投标人不得修改投标文件的实质性内容。</w:t>
      </w:r>
    </w:p>
    <w:p w14:paraId="367E6730">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14.投标保证金</w:t>
      </w:r>
    </w:p>
    <w:p w14:paraId="0C8F40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本项目投标保证金收取情况见《投标须知前附表》。</w:t>
      </w:r>
    </w:p>
    <w:p w14:paraId="6A7E782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15.履约保证金的交纳与返还</w:t>
      </w:r>
    </w:p>
    <w:p w14:paraId="52789B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本项目履约保证金收取情况见《投标须知前附表》。</w:t>
      </w:r>
    </w:p>
    <w:p w14:paraId="2024297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16.投标文件的数量和签署</w:t>
      </w:r>
    </w:p>
    <w:p w14:paraId="7E2DEC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格式）（第一册）1份</w:t>
      </w:r>
    </w:p>
    <w:p w14:paraId="4FC9DDF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16.1.1投标人应使用带电子签章功能的CA锁对投标文件须盖章或签名的部位加盖电子印章（单位电子公章、法定代表人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电子人名章）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电子印章与实物印章具有同等法律效力。</w:t>
      </w:r>
    </w:p>
    <w:p w14:paraId="5A097D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16.1.2投标人应首先编制word格式投标文件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最后通过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格式（或者其他</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转换工具）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之后通过签章功能在</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文件上逐页加盖电子印章并保存到本地计算机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加盖了电子印章的</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文件即为最终的投标文件。</w:t>
      </w:r>
    </w:p>
    <w:p w14:paraId="155112C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16.1.3文件中要求法定代表人/单位负责人签字或签章的须加盖法定代表人/单位负责人电子人名章。</w:t>
      </w:r>
    </w:p>
    <w:p w14:paraId="39EA3C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16.1.4须被授权人签字的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被授权人又无电子章的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在word编制时可将被授权人手写签字扫描后的图片粘贴到投标文件中对应位置</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并加盖单位电子公章。</w:t>
      </w:r>
    </w:p>
    <w:p w14:paraId="52D1FEF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16.1.5可使用系统的批量盖章功能快速签章。但须逐页浏览检查并注意印章重叠及完整性。</w:t>
      </w:r>
    </w:p>
    <w:p w14:paraId="581303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16.1.6采用扫描粘贴投标人公章或法定代表人/单位负责人人名章的为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0EB241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16.2数据文件（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格式）（第二册）1份</w:t>
      </w:r>
    </w:p>
    <w:p w14:paraId="667AAA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16.2.1投标人将填写完毕的数据文件（</w:t>
      </w:r>
      <w:r>
        <w:rPr>
          <w:rFonts w:hint="eastAsia" w:ascii="仿宋" w:hAnsi="仿宋" w:eastAsia="仿宋" w:cs="仿宋"/>
          <w:color w:val="auto"/>
          <w:sz w:val="28"/>
          <w:szCs w:val="28"/>
          <w:highlight w:val="none"/>
          <w:lang w:eastAsia="zh-CN"/>
        </w:rPr>
        <w:t>excel</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系统自动转换为</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加盖电子印章后保存到本地计算机。加盖了电子印章的文件即为最终的数据文件（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格式）用于投标。</w:t>
      </w:r>
    </w:p>
    <w:p w14:paraId="28B2DA4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16.2.2文件中要求法定代表人/单位负责人签字或签章的须加盖法定代表人/单位负责人电子人名章。</w:t>
      </w:r>
    </w:p>
    <w:p w14:paraId="660A5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16.2.3采用扫描粘贴投标人公章或法定代表人/单位负责人人名章的为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BE3F5C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四、投标文件的递交</w:t>
      </w:r>
    </w:p>
    <w:p w14:paraId="6575E43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17.投标文件的密封和标记</w:t>
      </w:r>
    </w:p>
    <w:p w14:paraId="3FEED31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17.1电子投标文件的密封和标记</w:t>
      </w:r>
    </w:p>
    <w:p w14:paraId="3E5A73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加盖了电子印章的电子投标文件（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格式）和数据文件（</w:t>
      </w:r>
      <w:r>
        <w:rPr>
          <w:rFonts w:hint="eastAsia" w:ascii="仿宋" w:hAnsi="仿宋" w:eastAsia="仿宋" w:cs="仿宋"/>
          <w:color w:val="auto"/>
          <w:sz w:val="28"/>
          <w:szCs w:val="28"/>
          <w:highlight w:val="none"/>
          <w:lang w:eastAsia="zh-CN"/>
        </w:rPr>
        <w:t>pdf</w:t>
      </w:r>
      <w:r>
        <w:rPr>
          <w:rFonts w:hint="eastAsia" w:ascii="仿宋" w:hAnsi="仿宋" w:eastAsia="仿宋" w:cs="仿宋"/>
          <w:color w:val="auto"/>
          <w:sz w:val="28"/>
          <w:szCs w:val="28"/>
          <w:highlight w:val="none"/>
        </w:rPr>
        <w:t>格式）须在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进行提交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提交前系统会自动在本地进行加密和数字签名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加密和电子签章后的文件除了会上传到系统中之外还会同步保存到本地计算机。</w:t>
      </w:r>
    </w:p>
    <w:p w14:paraId="282EBCAB">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17.2资质证明文件原件的密封和标记</w:t>
      </w:r>
    </w:p>
    <w:p w14:paraId="05653F2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17.2.1投标须知前附表要求提供资质证明文件原件的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投标人应使用密封袋将资质证明文件原件密封（身份证原件除外）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加盖公章并标明投标人（单位）名称、项目名称、项目编号、所投包号以及“资质证明文件原件”字样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粘贴密封条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每一密封条注明“于*年*月*日 *</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*之前不准启封”（</w:t>
      </w:r>
      <w:r>
        <w:rPr>
          <w:rFonts w:hint="eastAsia" w:ascii="仿宋" w:hAnsi="仿宋" w:eastAsia="仿宋" w:cs="仿宋"/>
          <w:b/>
          <w:bCs/>
          <w:color w:val="auto"/>
          <w:sz w:val="28"/>
          <w:szCs w:val="28"/>
          <w:highlight w:val="none"/>
        </w:rPr>
        <w:t>开标时间</w:t>
      </w:r>
      <w:r>
        <w:rPr>
          <w:rFonts w:hint="eastAsia" w:ascii="仿宋" w:hAnsi="仿宋" w:eastAsia="仿宋" w:cs="仿宋"/>
          <w:color w:val="auto"/>
          <w:sz w:val="28"/>
          <w:szCs w:val="28"/>
          <w:highlight w:val="none"/>
        </w:rPr>
        <w:t>）的字样。</w:t>
      </w:r>
    </w:p>
    <w:p w14:paraId="31EE43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17.2.2投标人按上述规定进行密封和标记后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按照招标文件的要求送达指定地点。</w:t>
      </w:r>
    </w:p>
    <w:p w14:paraId="50EF1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17.2.3如果未按上述规定进行密封和标记</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对误投或提前启封概不负责。</w:t>
      </w:r>
    </w:p>
    <w:p w14:paraId="7A07B3A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17.3文件递交</w:t>
      </w:r>
    </w:p>
    <w:p w14:paraId="629906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17.3.1</w:t>
      </w:r>
      <w:r>
        <w:rPr>
          <w:rFonts w:hint="eastAsia" w:ascii="仿宋" w:hAnsi="仿宋" w:eastAsia="仿宋" w:cs="仿宋"/>
          <w:color w:val="auto"/>
          <w:sz w:val="28"/>
          <w:szCs w:val="28"/>
          <w:highlight w:val="none"/>
        </w:rPr>
        <w:t>投标人应在投标须知前附表规定的时间前在</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上递交电子投标文件和数据文件。投标人应充分评估集中投标带来的网络影响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尽量避开投标高峰时间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错峰进行电子投标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系统以收到投标人发出的递交指令的时间作为其投标时间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如该时间超过投标截止时间</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rPr>
        <w:t>其投标将会被判定为无效</w:t>
      </w:r>
      <w:r>
        <w:rPr>
          <w:rFonts w:hint="eastAsia" w:ascii="仿宋" w:hAnsi="仿宋" w:eastAsia="仿宋" w:cs="仿宋"/>
          <w:color w:val="auto"/>
          <w:sz w:val="28"/>
          <w:szCs w:val="28"/>
          <w:highlight w:val="none"/>
        </w:rPr>
        <w:t>。</w:t>
      </w:r>
    </w:p>
    <w:p w14:paraId="1012510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17.3.2投标人须牢记投标加密密码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该密码将用于开标时解密其电子投标文件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如忘记密码或输入错误密码超过5次</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其递交的电子投标文件将无法解密</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导致无法提取数据和供他人阅读文件</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致使其投标失败。</w:t>
      </w:r>
    </w:p>
    <w:p w14:paraId="46B3D11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17.3.3除投标须知前附表另有规定外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拒绝接收纸质投标文件。</w:t>
      </w:r>
    </w:p>
    <w:p w14:paraId="47DF1C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17.3.4投标人应将网上递交的已盖章未加密的数据文件和投标文件谨慎保存以便启动应急开标程序时使用。</w:t>
      </w:r>
    </w:p>
    <w:p w14:paraId="7B0FC49C">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18.投标截止期</w:t>
      </w:r>
    </w:p>
    <w:p w14:paraId="141150D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本次招标的投标截止期见《投标须知前附表》。</w:t>
      </w:r>
    </w:p>
    <w:p w14:paraId="703FB4A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19.迟交的投标文件</w:t>
      </w:r>
    </w:p>
    <w:p w14:paraId="41EAE1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4" w:name="_Toc429313655"/>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无法接收投标截止期后递交的投标文件。</w:t>
      </w:r>
    </w:p>
    <w:p w14:paraId="00F31DA1">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20.</w:t>
      </w:r>
      <w:bookmarkEnd w:id="4"/>
      <w:r>
        <w:rPr>
          <w:rFonts w:hint="eastAsia" w:ascii="仿宋" w:hAnsi="仿宋" w:eastAsia="仿宋" w:cs="仿宋"/>
          <w:b/>
          <w:color w:val="auto"/>
          <w:sz w:val="28"/>
          <w:szCs w:val="28"/>
          <w:highlight w:val="none"/>
        </w:rPr>
        <w:t>演示/样品递交</w:t>
      </w:r>
    </w:p>
    <w:p w14:paraId="252FD2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20.1</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可以要求投标人对其提供的信息化、自动化等相关类别服务进行演示。</w:t>
      </w:r>
    </w:p>
    <w:p w14:paraId="6B5FDD7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20.2若项目涉及货物时</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可以要求投标人提供样品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样品作为投标文件的一部分。未中标的投标人提供的样品将于评审结束后退还。中标人的样品由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保留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作为验收的依据。</w:t>
      </w:r>
    </w:p>
    <w:p w14:paraId="7ED5FC0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是否要求投标人提供演示/提交样品</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t>详见招标文件《投标须知前附表》的有关规定。</w:t>
      </w:r>
    </w:p>
    <w:p w14:paraId="5E615B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21.投标文件的修改和撤回</w:t>
      </w:r>
    </w:p>
    <w:p w14:paraId="61BEE3B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21.1投标人必须在规定的投标截止期之前将修改的投标文件和数据文件上传到</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在投标截止期之后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投标人不得对其投标文件做任何修改。</w:t>
      </w:r>
    </w:p>
    <w:p w14:paraId="4E60E8A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21.2投标人在递交投标文件后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可以在投标截止期之前撤回其投标。</w:t>
      </w:r>
    </w:p>
    <w:p w14:paraId="4DBAA8F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21.3开标后不允许对投标文件做实质性修改和补充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不得撤回投标文件。</w:t>
      </w:r>
    </w:p>
    <w:p w14:paraId="38418BDF">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五、开标与评审</w:t>
      </w:r>
    </w:p>
    <w:p w14:paraId="204BAFD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22.开标</w:t>
      </w:r>
    </w:p>
    <w:p w14:paraId="225476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22.1投标截止时间结束后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投标人不足3家的不得开标。</w:t>
      </w:r>
    </w:p>
    <w:p w14:paraId="541D7F8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22.2</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在招标公告规定的时间和地点组织开标。到现场开标的投标人须携带CA锁和笔记本电脑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以便进行开标操作。不到现场开标的投标人需提前准备已配置好环境的电脑</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在规定的时间进行远程开标的各项操作。</w:t>
      </w:r>
    </w:p>
    <w:p w14:paraId="18A222C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22.3现场开标和远程开标的投标人代表应在签到表格相应位置上加盖CA锁中的法定代表人/单位负责人电子人名章</w:t>
      </w:r>
      <w:r>
        <w:rPr>
          <w:rFonts w:hint="eastAsia" w:ascii="仿宋" w:hAnsi="仿宋" w:eastAsia="仿宋" w:cs="仿宋"/>
          <w:color w:val="auto"/>
          <w:sz w:val="28"/>
          <w:szCs w:val="28"/>
          <w:highlight w:val="none"/>
          <w:lang w:val="en-US" w:eastAsia="zh-CN"/>
        </w:rPr>
        <w:t>或公章</w:t>
      </w:r>
      <w:r>
        <w:rPr>
          <w:rFonts w:hint="eastAsia" w:ascii="仿宋" w:hAnsi="仿宋" w:eastAsia="仿宋" w:cs="仿宋"/>
          <w:color w:val="auto"/>
          <w:sz w:val="28"/>
          <w:szCs w:val="28"/>
          <w:highlight w:val="none"/>
        </w:rPr>
        <w:t>以证明其出席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在开标时间前未完成签到的将会被</w:t>
      </w:r>
      <w:r>
        <w:rPr>
          <w:rFonts w:hint="eastAsia" w:ascii="仿宋" w:hAnsi="仿宋" w:eastAsia="仿宋" w:cs="仿宋"/>
          <w:b/>
          <w:bCs/>
          <w:color w:val="auto"/>
          <w:sz w:val="28"/>
          <w:szCs w:val="28"/>
          <w:highlight w:val="none"/>
        </w:rPr>
        <w:t>视作</w:t>
      </w:r>
      <w:r>
        <w:rPr>
          <w:rFonts w:hint="eastAsia" w:ascii="仿宋" w:hAnsi="仿宋" w:eastAsia="仿宋" w:cs="仿宋"/>
          <w:color w:val="auto"/>
          <w:sz w:val="28"/>
          <w:szCs w:val="28"/>
          <w:highlight w:val="none"/>
        </w:rPr>
        <w:t>认同开标结果。</w:t>
      </w:r>
    </w:p>
    <w:p w14:paraId="37C340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22.4投标须知前附表规定了文件解密时间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投标人输入密码错误（5次输入机会）、未能按时完成解密、其《数据文件》填写、盖章不规范等导致系统无法解析的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将会被视为</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w:t>
      </w:r>
    </w:p>
    <w:p w14:paraId="5E2D73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22.5开标过程应当由</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最终形成开标一览表并由各投标人代表在表格相应位置上加盖CA锁中的法定代表人/单位负责人电子人名章或公章确认。</w:t>
      </w:r>
    </w:p>
    <w:p w14:paraId="66D063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22.6投标人代表对开标过程和开标记录有疑义</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以及认为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相关工作人员有需要回避的情形的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应当场提出询问或者回避申请。</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对投标人代表提出的询问或者回避申请应当及时处理。</w:t>
      </w:r>
    </w:p>
    <w:p w14:paraId="4F73A5A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22.7录音、录像：威海市公共资源交易中心负责从递交投标文件开始到定标结束全过程的录音、录像工作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确保声音清楚、图像清晰、内容无遗漏。</w:t>
      </w:r>
    </w:p>
    <w:p w14:paraId="52E82D5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22.8评审过程中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如遇特殊情况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服从威海市公共资源交易中心场地调配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并遵守相关规章制度。</w:t>
      </w:r>
    </w:p>
    <w:p w14:paraId="7FFB1F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22.9对投标文件报价出现前后不一致的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按以下规定修正：</w:t>
      </w:r>
    </w:p>
    <w:p w14:paraId="0B47448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（1）“投标（报价）一览表”的报价与“报价明细表”的报价不一致的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以“投标（报价）一览表”的报价为准；</w:t>
      </w:r>
    </w:p>
    <w:p w14:paraId="03CB75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（2）大写金额和小写金额不一致的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以大写金额为准；</w:t>
      </w:r>
    </w:p>
    <w:p w14:paraId="3C349E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（3）单价金额小数点或者百分比有明显错位的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以投标（报价）一览表的总价为准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并修改单价。</w:t>
      </w:r>
    </w:p>
    <w:p w14:paraId="729034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（4）总价金额与按单价汇总金额不一致的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以单价金额计算结果为准。</w:t>
      </w:r>
    </w:p>
    <w:p w14:paraId="6361E5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（5）同时出现两种以上不一致的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按照前款规定的顺序修正。修正后的报价经投标人确认后产生约束力</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投标人不确认的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4EDC842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22.10开标程序</w:t>
      </w:r>
    </w:p>
    <w:p w14:paraId="245EED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22.10.1签到：在投标须知前附表规定的时间完成签到。</w:t>
      </w:r>
    </w:p>
    <w:p w14:paraId="24DB5E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22.10.2开标：工作人员在投标须知前附表规定的开标时间启动开标。</w:t>
      </w:r>
    </w:p>
    <w:p w14:paraId="22B5D1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22.10.3解密：开标后工作人员启动开始解密指令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投标人开始输入解密密码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解密时间到或所有投标人均完成解密后工作人员启动停止解密指令。</w:t>
      </w:r>
    </w:p>
    <w:p w14:paraId="6386AC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22.10.4唱标：停止解密后现场工作人员将根据电子交易平台自动提取各投标人数据文件中的相关数据进行公开唱标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唱标结束系统将自动生成开标一览表。投标人应及时关注开标过程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查看开标结果并在开标一览表上进行电子签署。若投标人在启动唱标后10分钟内不在开标一览表上签字确认，则视为投标人认可开标结果。</w:t>
      </w:r>
    </w:p>
    <w:p w14:paraId="3CF29F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22.10.5投标人可使用电子交易系统“网上开标”中的“看直播”功能参与开标程序。</w:t>
      </w:r>
    </w:p>
    <w:p w14:paraId="6DA227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22.11应急开标程序</w:t>
      </w:r>
    </w:p>
    <w:p w14:paraId="249A77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电子开标过程中如出现下列情况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导致系统无法正常运行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或者无法保证开标过程的公平、公正和信息安全时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沟通后可启动应急开标程序。</w:t>
      </w:r>
    </w:p>
    <w:p w14:paraId="08AE62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（1）系统服务器发生故障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无法访问或无法使用系统；</w:t>
      </w:r>
    </w:p>
    <w:p w14:paraId="1F0F21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（2）系统的软件或数据库出现错误</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不能进行正常操作；</w:t>
      </w:r>
    </w:p>
    <w:p w14:paraId="2E9E4EA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（3）系统发现有安全漏洞</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有潜在的泄密危险；</w:t>
      </w:r>
    </w:p>
    <w:p w14:paraId="3A1978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（4）病毒发作或受到外来病毒的攻击；</w:t>
      </w:r>
    </w:p>
    <w:p w14:paraId="363BEF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（5）其他无法保证开标过程公平、公正和信息安全的情形。</w:t>
      </w:r>
    </w:p>
    <w:p w14:paraId="3A7DF59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应急开标程序包括：</w:t>
      </w:r>
    </w:p>
    <w:p w14:paraId="4815953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（1）对未在系统中开标的可暂停开标；</w:t>
      </w:r>
    </w:p>
    <w:p w14:paraId="63642E4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（2）对已在系统中开标的应停止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等待系统恢复正常后再组织进行开标。</w:t>
      </w:r>
    </w:p>
    <w:p w14:paraId="04780B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（3）对解密环节出错（因系统故障原因导致）的投标人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通过系统的备案功能进行文件上传备案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对备案文件与网上递交的文件不一致（系统通过数字签名进行验证）或备案文件未按照本文件的要求进行编制、签署导致系统无法备案的投标人作</w:t>
      </w:r>
      <w:r>
        <w:rPr>
          <w:rFonts w:hint="eastAsia" w:ascii="仿宋" w:hAnsi="仿宋" w:eastAsia="仿宋" w:cs="仿宋"/>
          <w:b/>
          <w:bCs/>
          <w:color w:val="auto"/>
          <w:sz w:val="28"/>
          <w:szCs w:val="28"/>
          <w:highlight w:val="none"/>
        </w:rPr>
        <w:t>无效投标处理</w:t>
      </w:r>
      <w:r>
        <w:rPr>
          <w:rFonts w:hint="eastAsia" w:ascii="仿宋" w:hAnsi="仿宋" w:eastAsia="仿宋" w:cs="仿宋"/>
          <w:color w:val="auto"/>
          <w:sz w:val="28"/>
          <w:szCs w:val="28"/>
          <w:highlight w:val="none"/>
        </w:rPr>
        <w:t>。</w:t>
      </w:r>
    </w:p>
    <w:p w14:paraId="2FCEDC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（4）备案功能故障且系统长时间无法恢复正常的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或代理机构的监督下可针对所有在平台中已投标的投标人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启用其电子邮件递交的投标文件进行开标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同时开标由线上转为线下</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开标、评标均以电子邮件递交的投标文件为准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投标人必须在获取招标文件时留有本单位详细的邮箱和电话</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否则由此产生的不利后果由投标人自己承担。对未按规定递交或递交的文件未按要求进行编制、签署的投标人作</w:t>
      </w:r>
      <w:r>
        <w:rPr>
          <w:rFonts w:hint="eastAsia" w:ascii="仿宋" w:hAnsi="仿宋" w:eastAsia="仿宋" w:cs="仿宋"/>
          <w:b/>
          <w:bCs/>
          <w:color w:val="auto"/>
          <w:sz w:val="28"/>
          <w:szCs w:val="28"/>
          <w:highlight w:val="none"/>
        </w:rPr>
        <w:t>无效投标</w:t>
      </w:r>
      <w:r>
        <w:rPr>
          <w:rFonts w:hint="eastAsia" w:ascii="仿宋" w:hAnsi="仿宋" w:eastAsia="仿宋" w:cs="仿宋"/>
          <w:color w:val="auto"/>
          <w:sz w:val="28"/>
          <w:szCs w:val="28"/>
          <w:highlight w:val="none"/>
        </w:rPr>
        <w:t>处理。</w:t>
      </w:r>
    </w:p>
    <w:p w14:paraId="2D4573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22.12应急开标电子邮件递交规定</w:t>
      </w:r>
    </w:p>
    <w:p w14:paraId="143079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接收电子邮箱：</w:t>
      </w:r>
      <w:r>
        <w:rPr>
          <w:rFonts w:hint="eastAsia" w:ascii="仿宋" w:hAnsi="仿宋" w:eastAsia="仿宋" w:cs="仿宋"/>
          <w:color w:val="auto"/>
          <w:sz w:val="28"/>
          <w:szCs w:val="28"/>
          <w:highlight w:val="none"/>
          <w:lang w:eastAsia="zh-CN"/>
        </w:rPr>
        <w:t>whzczb1@163.com</w:t>
      </w:r>
    </w:p>
    <w:p w14:paraId="5020194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递交时间：以电子邮件或电话通知的时间为准；</w:t>
      </w:r>
    </w:p>
    <w:p w14:paraId="6239D25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邮件数量：一封；</w:t>
      </w:r>
    </w:p>
    <w:p w14:paraId="398B2FB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邮件主题：项目编号、投标人名称；</w:t>
      </w:r>
    </w:p>
    <w:p w14:paraId="44F61BD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邮件内容：附件含项目所有的已投包段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每个包段含已盖章且未加密的数据文件、投标文件各一份。数据文件、投标文件与网上最终递交的必须为同一文件（可将所投包段的所有文件打包压缩）</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如果不一致</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系统后台会判定为无效投标文件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导致投标无效。</w:t>
      </w:r>
    </w:p>
    <w:p w14:paraId="6C425DF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22.13启动电子邮件开标流程</w:t>
      </w:r>
    </w:p>
    <w:p w14:paraId="7D12C0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工作人员电话通知所有投标人启动应急开标程序；</w:t>
      </w:r>
    </w:p>
    <w:p w14:paraId="79437AD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投标人收到通知后在规定时间内通过电子邮件递交投标文件（在非应急开标期间</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不接受、不处理任何通过电子邮件提交的投标文件）；</w:t>
      </w:r>
    </w:p>
    <w:p w14:paraId="68E3258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递交截止时间到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工作人员开始下载投标文件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将投标报价形成开标报告并邮件回复各投标人；</w:t>
      </w:r>
    </w:p>
    <w:p w14:paraId="1F1AED7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投标人确认报价并邮件回复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不及时回复的视为对开标报告的内容无异议。</w:t>
      </w:r>
    </w:p>
    <w:p w14:paraId="5D27A5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23.评标委员会的组成和评标方法</w:t>
      </w:r>
    </w:p>
    <w:p w14:paraId="114064E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负责组织评标工作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具体评审事务由依法组建的评标委员会负责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评标委员会成员由</w:t>
      </w:r>
      <w:r>
        <w:rPr>
          <w:rFonts w:hint="eastAsia" w:ascii="仿宋" w:hAnsi="仿宋" w:eastAsia="仿宋" w:cs="仿宋"/>
          <w:color w:val="auto"/>
          <w:sz w:val="28"/>
          <w:szCs w:val="28"/>
          <w:highlight w:val="none"/>
          <w:lang w:val="en-US" w:eastAsia="zh-CN"/>
        </w:rPr>
        <w:t>采购人代表和</w:t>
      </w:r>
      <w:r>
        <w:rPr>
          <w:rFonts w:hint="eastAsia" w:ascii="仿宋" w:hAnsi="仿宋" w:eastAsia="仿宋" w:cs="仿宋"/>
          <w:color w:val="auto"/>
          <w:sz w:val="28"/>
          <w:szCs w:val="28"/>
          <w:highlight w:val="none"/>
        </w:rPr>
        <w:t>评审专家5人以上的单数组成</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其中专家人数不得少于评标委员会成员总数的2/3。</w:t>
      </w:r>
    </w:p>
    <w:p w14:paraId="1FB673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23.2</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员及相关人员与投标人有利害关系的应当回避。曾参与招标</w:t>
      </w:r>
      <w:r>
        <w:rPr>
          <w:rFonts w:hint="eastAsia" w:ascii="仿宋" w:hAnsi="仿宋" w:eastAsia="仿宋" w:cs="仿宋"/>
          <w:color w:val="auto"/>
          <w:sz w:val="28"/>
          <w:szCs w:val="28"/>
          <w:highlight w:val="none"/>
          <w:lang w:val="en-US" w:eastAsia="zh-CN"/>
        </w:rPr>
        <w:t>项目</w:t>
      </w:r>
      <w:r>
        <w:rPr>
          <w:rFonts w:hint="eastAsia" w:ascii="仿宋" w:hAnsi="仿宋" w:eastAsia="仿宋" w:cs="仿宋"/>
          <w:color w:val="auto"/>
          <w:sz w:val="28"/>
          <w:szCs w:val="28"/>
          <w:highlight w:val="none"/>
        </w:rPr>
        <w:t>征询意见或论证的专家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不得再作为评标专家参加评标。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不得以专家身份参与本项目的评标。</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工作人员离职或退休不满三年的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不能作为专家参加评标工作。</w:t>
      </w:r>
    </w:p>
    <w:p w14:paraId="4F06F5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23.3评标委员会成员职责：</w:t>
      </w:r>
    </w:p>
    <w:p w14:paraId="37C25DE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（1）评标前</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评标委员会成员应当主动确认与投标人是否有利害关系。如有利害关系应当主动回避</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如无利害关系</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应当在含有相关内容的《无利害关系声明》上签字；</w:t>
      </w:r>
    </w:p>
    <w:p w14:paraId="1D2B6DB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（2）按照招标文件中确定的评标办法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对投标文件的内容进行评审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并对评审结果承担责任；</w:t>
      </w:r>
    </w:p>
    <w:p w14:paraId="2DE6A70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以及投标人的商业秘密进行保密；</w:t>
      </w:r>
    </w:p>
    <w:p w14:paraId="5EBD291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（4）在评标委员会集体起草的评标报告上签字；</w:t>
      </w:r>
    </w:p>
    <w:p w14:paraId="70B819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（5）配合</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答复投标人质疑；</w:t>
      </w:r>
    </w:p>
    <w:p w14:paraId="1A9A92B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反映评标工作中的问题</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提出意见和建议。</w:t>
      </w:r>
    </w:p>
    <w:p w14:paraId="44EC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23.4评标委员会集体职责：</w:t>
      </w:r>
    </w:p>
    <w:p w14:paraId="2E844D8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（1）按照各成员评审意见推荐中标候选人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起草评标报告。对评标结论持有异议的评标委员会成员可以书面方式阐述其不同意见和理由。评标委员会成员拒绝在评标报告上签字且不陈述其不同意见和理由的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视为同意评标结论。评标委员会应当对此做出书面说明并记录在案；</w:t>
      </w:r>
    </w:p>
    <w:p w14:paraId="1F7DAEB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（2）配合</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答复投标人的质疑；</w:t>
      </w:r>
    </w:p>
    <w:p w14:paraId="71A112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（3）必要时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向投标人解释评标结果；</w:t>
      </w:r>
    </w:p>
    <w:p w14:paraId="03E7D5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（4）向主管部门或者有关部门报告非法干预评标工作的行为。</w:t>
      </w:r>
    </w:p>
    <w:p w14:paraId="0E824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23.5</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的职责：</w:t>
      </w:r>
    </w:p>
    <w:p w14:paraId="6630432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（1）核对评审专家身份和</w:t>
      </w:r>
      <w:r>
        <w:rPr>
          <w:rFonts w:hint="eastAsia" w:ascii="仿宋" w:hAnsi="仿宋" w:eastAsia="仿宋" w:cs="仿宋"/>
          <w:color w:val="auto"/>
          <w:sz w:val="28"/>
          <w:szCs w:val="28"/>
          <w:highlight w:val="none"/>
          <w:lang w:eastAsia="zh-CN"/>
        </w:rPr>
        <w:t>采购人代表授权委托书，</w:t>
      </w:r>
      <w:r>
        <w:rPr>
          <w:rFonts w:hint="eastAsia" w:ascii="仿宋" w:hAnsi="仿宋" w:eastAsia="仿宋" w:cs="仿宋"/>
          <w:color w:val="auto"/>
          <w:sz w:val="28"/>
          <w:szCs w:val="28"/>
          <w:highlight w:val="none"/>
        </w:rPr>
        <w:t>对评审专家在采购活动中的职责履行情况予以记录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并及时将有关违法违规行为向主管部门报告；</w:t>
      </w:r>
    </w:p>
    <w:p w14:paraId="5C0A065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（2）宣布评标纪律；</w:t>
      </w:r>
    </w:p>
    <w:p w14:paraId="65375F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（3）公布投标人名单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告知评审专家应当回避的情形；</w:t>
      </w:r>
    </w:p>
    <w:p w14:paraId="214DD15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（4）评标期间采取必要的通讯管理措施</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保证评标活动不受外界干扰；</w:t>
      </w:r>
    </w:p>
    <w:p w14:paraId="4DA1DF0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根据</w:t>
      </w:r>
      <w:r>
        <w:rPr>
          <w:rFonts w:hint="eastAsia" w:ascii="仿宋" w:hAnsi="仿宋" w:eastAsia="仿宋" w:cs="仿宋"/>
          <w:color w:val="auto"/>
          <w:sz w:val="28"/>
          <w:szCs w:val="28"/>
          <w:highlight w:val="none"/>
        </w:rPr>
        <w:t>评标委员会的要求介绍采购相关政策法规、招标文件；</w:t>
      </w:r>
    </w:p>
    <w:p w14:paraId="646F28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（6）维护评标秩序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监督评标委员会依照招标文件规定的评标程序、方法和标准进行独立评审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及时制止和纠正</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代表、评审专家的倾向性言论或者违法违规行为；</w:t>
      </w:r>
    </w:p>
    <w:p w14:paraId="4BB6E11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（7）核对评标结果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存在分值汇总计算错误的、分项评分超出评分标准范围的、评标委员会成员对客观评审因素评分不一致的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经评标委员会认定评分畸高畸低的情形</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要求评标小组复核或者书面说明理由</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评标小组拒绝的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应予记录并向主管部门报告；</w:t>
      </w:r>
    </w:p>
    <w:p w14:paraId="5DE45C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（8）评审工作完成后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按照规定向评审专家支付劳务报酬和异地评审差旅费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不得向评审专家以外的其他人员支付评审劳务报酬；专家劳务报酬标准参照山东省财政厅《关于印发&lt;山东省政府采购评审劳务报酬标准&gt;的通知》（鲁财采〔2017〕28号）规定执行。</w:t>
      </w:r>
    </w:p>
    <w:p w14:paraId="4A598E0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（9）处理与评标有关的其他事项。</w:t>
      </w:r>
    </w:p>
    <w:p w14:paraId="13CBBFF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可以在评标前说明项目背景和采购需求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说明内容不得含有歧视性、倾向性意见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不得超出招标文件所述范围。说明应当提交书面材料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618F01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23.6评标委员会采用集中办公、封闭方式进行评审。评标前</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工作人员向评标委员会成员宣布评标纪律和工作规则。评标委员会成员签署《无利害关系声明表》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并遵照执行。</w:t>
      </w:r>
    </w:p>
    <w:p w14:paraId="3B5ED1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23.7评标委员会成员对与自己有利害关系的评标项目应当主动提出回避。</w:t>
      </w:r>
    </w:p>
    <w:p w14:paraId="668E26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23.8评标委员会将按照招标文件确定的评标原则和方法进行评标。评标委员会对投标文件的评审内容分为资格性审查、符合性审查、商务评议、技术评议和价格评议。</w:t>
      </w:r>
    </w:p>
    <w:p w14:paraId="5897171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23.9评标委员会独立履行下列职责：</w:t>
      </w:r>
    </w:p>
    <w:p w14:paraId="7FD9BDC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（1）审查、评价投标文件是否符合招标文件的商务、技术等实质性要求；</w:t>
      </w:r>
    </w:p>
    <w:p w14:paraId="222BAD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（2）要求投标人对投标文件有关事项作出澄清或者说明；</w:t>
      </w:r>
    </w:p>
    <w:p w14:paraId="7DAB4C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（3）对投标文件进行比较和评价；</w:t>
      </w:r>
    </w:p>
    <w:p w14:paraId="7793F3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（4）确定中标候选人名单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以及根据</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委托直接确定中标人；</w:t>
      </w:r>
    </w:p>
    <w:p w14:paraId="0E9177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（5）向</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或者有关部门报告评标中发现的违法行为。</w:t>
      </w:r>
    </w:p>
    <w:p w14:paraId="33FDF82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23.10评标中因评标委员会成员缺席、回避或者健康等特殊原因导致评标委员会组成不符合本办法规定的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应当依法补足后继续评标。被更换的评标委员会成员所作出的评标意见无效。</w:t>
      </w:r>
    </w:p>
    <w:p w14:paraId="3B4EB6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无法及时补足评标委员会成员的</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应当停止评标活动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封存所有投标文件和开标、评标资料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依法重新组建评标委员会进行评标。原评标委员会作出的评标意见无效。</w:t>
      </w:r>
    </w:p>
    <w:p w14:paraId="1B7B2C6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应当将变更、重新组建评标委员会的情况予以记录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并随招标文件一并存档。</w:t>
      </w:r>
    </w:p>
    <w:p w14:paraId="75C8A55D">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24.投标文件的初审</w:t>
      </w:r>
    </w:p>
    <w:p w14:paraId="3E71366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24.1资格性审查。在采购项目开标结束后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评标委员会对投标人的资格进行审查。合格投标人不足3家的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不得评标。在资格性检查时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5C38CB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1）单位负责人为同一人或者存在控股、管理关系的不同</w:t>
      </w:r>
      <w:r>
        <w:rPr>
          <w:rFonts w:hint="eastAsia" w:ascii="仿宋" w:hAnsi="仿宋" w:eastAsia="仿宋" w:cs="仿宋"/>
          <w:color w:val="auto"/>
          <w:sz w:val="28"/>
          <w:szCs w:val="28"/>
          <w:highlight w:val="none"/>
          <w:lang w:val="en-US" w:eastAsia="zh-CN"/>
        </w:rPr>
        <w:t>投标人的；</w:t>
      </w:r>
    </w:p>
    <w:p w14:paraId="6DBBC4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2）为采购项目提供整体设计、规范编制或者项目管理、监理、检测等服务的；</w:t>
      </w:r>
    </w:p>
    <w:p w14:paraId="1D1EE7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3）投标人和响应货物资格证明文件不满足招标文件要求和过期失效的。</w:t>
      </w:r>
    </w:p>
    <w:p w14:paraId="1005BB0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24.2符合性审查。评标委员会应当对符合资格的投标人的投标文件进行符合性审查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以确定其是否满足招标文件的实质性要求。评标委员会决定投标的响应性只根据投标文件本身的内容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而不依据外部的证据。在符合性检查时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如有不满足下列情况之一的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经评标委员会认定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视为非实质性响应</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为无效投标：</w:t>
      </w:r>
    </w:p>
    <w:p w14:paraId="1463529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具体内容详见《投标须知》-《实质性条款一览表》中符合性审查条件。</w:t>
      </w:r>
    </w:p>
    <w:p w14:paraId="049F94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24.3投标人有下列情形之一的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视为投标人串通投标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其投标无效：</w:t>
      </w:r>
    </w:p>
    <w:p w14:paraId="2065E7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（1）不同投标人的投标文件由同一单位或者个人编制的；</w:t>
      </w:r>
    </w:p>
    <w:p w14:paraId="154A94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（2）不同投标人使用同一个投标单位或者同一个自然人的IP地址、设备下载招标文件或者制作、上传投标文件的；</w:t>
      </w:r>
    </w:p>
    <w:p w14:paraId="5BD8A94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（3）不同投标人委托同一单位或者个人办理投标事宜；</w:t>
      </w:r>
    </w:p>
    <w:p w14:paraId="0B0689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（4）不同投标人的投标文件载明的项目管理成员或者联系人员为同一人；</w:t>
      </w:r>
    </w:p>
    <w:p w14:paraId="04E703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（5）不同投标人的投标文件重要内容异常一致、或者投标报价呈现规律性差异；</w:t>
      </w:r>
    </w:p>
    <w:p w14:paraId="1BF5F8E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（6）不同投标人编制的投标文件存在两处以上错误一致的；</w:t>
      </w:r>
    </w:p>
    <w:p w14:paraId="2D5FA1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（7）不同投标人的投标文件相互混装； </w:t>
      </w:r>
    </w:p>
    <w:p w14:paraId="01A2594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（8）不同投标人的投标保证金从同一单位或者个人的账户转出</w:t>
      </w:r>
      <w:r>
        <w:rPr>
          <w:rFonts w:hint="eastAsia" w:ascii="仿宋" w:hAnsi="仿宋" w:eastAsia="仿宋" w:cs="仿宋"/>
          <w:color w:val="auto"/>
          <w:sz w:val="28"/>
          <w:szCs w:val="28"/>
          <w:highlight w:val="none"/>
          <w:lang w:eastAsia="zh-CN"/>
        </w:rPr>
        <w:t>；</w:t>
      </w:r>
    </w:p>
    <w:p w14:paraId="3FB707A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lang w:eastAsia="zh-CN"/>
        </w:rPr>
        <w:t>）以他人名义投标或者以其他方式弄虚作假，骗取中标的；</w:t>
      </w:r>
    </w:p>
    <w:p w14:paraId="499BC28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10）被交易服务平台列入黑名单的；</w:t>
      </w:r>
    </w:p>
    <w:p w14:paraId="4CCB363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11）</w:t>
      </w:r>
      <w:r>
        <w:rPr>
          <w:rFonts w:hint="eastAsia" w:ascii="仿宋" w:hAnsi="仿宋" w:eastAsia="仿宋" w:cs="仿宋"/>
          <w:color w:val="auto"/>
          <w:sz w:val="28"/>
          <w:szCs w:val="28"/>
          <w:highlight w:val="none"/>
          <w:lang w:eastAsia="zh-CN"/>
        </w:rPr>
        <w:t>不同投标人制作的电子投标文件经系统审查存在cpu编码、硬盘编码及MAC地址三项编码均相同的；</w:t>
      </w:r>
    </w:p>
    <w:p w14:paraId="071A82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12）经评标委员会评定认为可以判定无效的其他情况</w:t>
      </w:r>
      <w:r>
        <w:rPr>
          <w:rFonts w:hint="eastAsia" w:ascii="仿宋" w:hAnsi="仿宋" w:eastAsia="仿宋" w:cs="仿宋"/>
          <w:color w:val="auto"/>
          <w:sz w:val="28"/>
          <w:szCs w:val="28"/>
          <w:highlight w:val="none"/>
        </w:rPr>
        <w:t>。</w:t>
      </w:r>
    </w:p>
    <w:p w14:paraId="5F35A73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24.4投标截止后投标人不足3家或者通过资格审查或符合性审查的投标人不足3家的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除采购任务取消情形外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按照以下方式处理：</w:t>
      </w:r>
    </w:p>
    <w:p w14:paraId="74DEE01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（1）招标文件存在不合理条款或者招标程序不符合规定的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改正后依法重新招标；</w:t>
      </w:r>
    </w:p>
    <w:p w14:paraId="3973294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（2）招标文件没有不合理条款、招标程序符合规定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需要采用其他</w:t>
      </w:r>
      <w:r>
        <w:rPr>
          <w:rFonts w:hint="eastAsia" w:ascii="仿宋" w:hAnsi="仿宋" w:eastAsia="仿宋" w:cs="仿宋"/>
          <w:color w:val="auto"/>
          <w:sz w:val="28"/>
          <w:szCs w:val="28"/>
          <w:highlight w:val="none"/>
          <w:lang w:eastAsia="zh-CN"/>
        </w:rPr>
        <w:t>招标方式</w:t>
      </w:r>
      <w:r>
        <w:rPr>
          <w:rFonts w:hint="eastAsia" w:ascii="仿宋" w:hAnsi="仿宋" w:eastAsia="仿宋" w:cs="仿宋"/>
          <w:color w:val="auto"/>
          <w:sz w:val="28"/>
          <w:szCs w:val="28"/>
          <w:highlight w:val="none"/>
        </w:rPr>
        <w:t>招标的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应当依法报主管部门批准。</w:t>
      </w:r>
    </w:p>
    <w:p w14:paraId="41083FD8">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25.投标文件的澄清</w:t>
      </w:r>
    </w:p>
    <w:p w14:paraId="05F7385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25.1评标委员会有权向投标人询标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对于投标文件中含义不明确、同类问题表述不一致或者有明显文字和计算错误的内容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评标委员会应当以书面形式要求投标人作出必要的澄清、说明或者补正。请投标人澄清其投标内容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或其授权人必须接受评标委员会的询标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未在规定的时间内澄清、说明或补正的，由投标人自行承担不利后果，包括但不限于投标无效，相应评审因素对应的分值为0分。</w:t>
      </w:r>
    </w:p>
    <w:p w14:paraId="5AA817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25.2投标人的澄清、说明或者补正应当采用书面形式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并加盖公章</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或者由法定代表人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或其授权的代表签字。投标人的澄清、说明或者补正不得超出投标文件的范围或者改变投标文件的实质性内容。此书面文件是投标文件的组成部分。</w:t>
      </w:r>
    </w:p>
    <w:p w14:paraId="5DA66885">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26.投标文件的评价</w:t>
      </w:r>
    </w:p>
    <w:p w14:paraId="65AF72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26.1评审采用百分制。评标委员会各成员分别独立对实质上响应的投标人进行逐项评价打分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对评标委员会各成员每一因素的打分汇总后的得分为投标人的得分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汇总得分保留两位小数。</w:t>
      </w:r>
    </w:p>
    <w:p w14:paraId="48A6DEE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26.2评标委员会只对确定为实质响应招标文件要求的投标文件进行评价和比较。必要时需标明评审理由。</w:t>
      </w:r>
    </w:p>
    <w:p w14:paraId="24132AF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26.3评标采用综合评分法的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价格分值由评审系统根据投标人上传的《投标（报价）一览表》中的投标报价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依据规定公式自动计算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其结果由评标委员会所有成员签字确认。</w:t>
      </w:r>
    </w:p>
    <w:p w14:paraId="5936D94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代理机构工作人员负责复核、统计评标委员会成员的评审情况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发现评审意见有失公正时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提请该评标委员会成员修改评审意见</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并形成书面意见备查。</w:t>
      </w:r>
    </w:p>
    <w:p w14:paraId="0AC5560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26.4评审时除考虑投标人的报价之外</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还将考虑以下因素：</w:t>
      </w:r>
    </w:p>
    <w:p w14:paraId="7E38D97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（1）投标文件的响应状况（包括是否按照招标文件要求制作）；</w:t>
      </w:r>
    </w:p>
    <w:p w14:paraId="625888C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（2）招标文件规定的其它评审因素。</w:t>
      </w:r>
    </w:p>
    <w:p w14:paraId="08545A7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26.5评标委员会认为投标人的报价明显低于其他通过符合性审查投标人的报价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有可能影响产品质量或者不能诚信履约的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应当要求其在评标现场合理的时间内提供书面说明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必要时提交相关证明材料；投标人不能证明其报价合理性的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评标委员会应当将其作为无效投标处理。</w:t>
      </w:r>
    </w:p>
    <w:p w14:paraId="6CE113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26.6评标委员会发现招标文件存在歧义、重大缺陷导致评标工作无法进行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或者招标文件内容违反国家有关强制性规定的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应当停止评标工作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沟通并作书面记录。</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确认后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应当修改招标文件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重新组织采购活动。</w:t>
      </w:r>
    </w:p>
    <w:p w14:paraId="17C473C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26.7投标人应当遵循公平竞争的原则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不得恶意串通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不得妨碍其他投标人的竞争行为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不得损坏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或者其他投标人的合法权益。在评标过程中发现投标人有上述情形的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评标委员会应当认定其投标无效。</w:t>
      </w:r>
    </w:p>
    <w:p w14:paraId="77C0630A">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27.废标条款</w:t>
      </w:r>
    </w:p>
    <w:p w14:paraId="0556561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在招标采购中</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出现下列情形之一的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应予废标：</w:t>
      </w:r>
    </w:p>
    <w:p w14:paraId="2FE365A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（1）符合专业条件的投标人或者对招标文件作实质响应的投标人不足3家的；</w:t>
      </w:r>
    </w:p>
    <w:p w14:paraId="554904E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（2）出现影响采购公正的违法、违规行为的；</w:t>
      </w:r>
    </w:p>
    <w:p w14:paraId="3B8A690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（3）所有投标报价均超过招标文件中规定的预算金额</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177FD9A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（4）因重大变故</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采购任务取消的。</w:t>
      </w:r>
    </w:p>
    <w:p w14:paraId="7B9F8F27">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六、定标</w:t>
      </w:r>
    </w:p>
    <w:p w14:paraId="6AD8FE84">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28.确定中标候选人</w:t>
      </w:r>
    </w:p>
    <w:p w14:paraId="761B816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28.1评标委员会按照招标文件确定的评标方法、步骤、标准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对投标文件进行评审。评标结束后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按综合得分由高到低对投标人的评审名次进行排序，确定3名中标候选人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根据全体评标成员签字的原始评标记录和评标结果编写评标报告。</w:t>
      </w:r>
    </w:p>
    <w:p w14:paraId="3BF7312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28.2评委会所有成员应当在评标报告上签字确认</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评标报告的主要内容包括：</w:t>
      </w:r>
    </w:p>
    <w:p w14:paraId="7A14CE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（1）招标公告刊登的媒介名称、开标日期和地点；</w:t>
      </w:r>
    </w:p>
    <w:p w14:paraId="16B10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（2）投标人名单和评标委员会成员名单；</w:t>
      </w:r>
    </w:p>
    <w:p w14:paraId="0CE1C81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（3）评标方法和评标标准；</w:t>
      </w:r>
    </w:p>
    <w:p w14:paraId="238A405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（4）开标记录和评标情况及说明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w:t>
      </w:r>
      <w:r>
        <w:rPr>
          <w:rFonts w:hint="eastAsia" w:ascii="仿宋" w:hAnsi="仿宋" w:eastAsia="仿宋" w:cs="仿宋"/>
          <w:color w:val="auto"/>
          <w:sz w:val="28"/>
          <w:szCs w:val="28"/>
          <w:highlight w:val="none"/>
          <w:lang w:val="en-US" w:eastAsia="zh-CN"/>
        </w:rPr>
        <w:t>投标</w:t>
      </w:r>
      <w:r>
        <w:rPr>
          <w:rFonts w:hint="eastAsia" w:ascii="仿宋" w:hAnsi="仿宋" w:eastAsia="仿宋" w:cs="仿宋"/>
          <w:color w:val="auto"/>
          <w:sz w:val="28"/>
          <w:szCs w:val="28"/>
          <w:highlight w:val="none"/>
        </w:rPr>
        <w:t>无效投标人名单及原因；</w:t>
      </w:r>
    </w:p>
    <w:p w14:paraId="04FF7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（5）评标结果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确定的中标候选人名单或者经</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委托直接确定的中标人；</w:t>
      </w:r>
    </w:p>
    <w:p w14:paraId="322C857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（6）其他需要说明的情况</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包括评标过程中投标人根据评标委员会要求进行澄清、说明或者补正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评标委员会成员的更换等。</w:t>
      </w:r>
    </w:p>
    <w:p w14:paraId="5C560CFF">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29.确定中标人</w:t>
      </w:r>
    </w:p>
    <w:p w14:paraId="2B590BD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可委托评标委员会直接定标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确定排名第一的投标人为中标人；也可以自主定标。自主定标的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应当在收到评审报告后3个工作日内确定中标人</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逾期未确定中标人且不提出异议的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视为确定评审报告提出的排名第一的投标人为中标人。</w:t>
      </w:r>
    </w:p>
    <w:p w14:paraId="6094E065">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七、结果公示及公告</w:t>
      </w:r>
    </w:p>
    <w:p w14:paraId="0451F6F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30.结果公示</w:t>
      </w:r>
    </w:p>
    <w:p w14:paraId="0026DE7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或</w:t>
      </w:r>
      <w:r>
        <w:rPr>
          <w:rFonts w:hint="eastAsia" w:ascii="仿宋" w:hAnsi="仿宋" w:eastAsia="仿宋" w:cs="仿宋"/>
          <w:color w:val="auto"/>
          <w:sz w:val="28"/>
          <w:szCs w:val="28"/>
          <w:highlight w:val="none"/>
          <w:lang w:eastAsia="zh-CN"/>
        </w:rPr>
        <w:t>采购代理机构</w:t>
      </w:r>
      <w:r>
        <w:rPr>
          <w:rFonts w:hint="eastAsia" w:ascii="仿宋" w:hAnsi="仿宋" w:eastAsia="仿宋" w:cs="仿宋"/>
          <w:color w:val="auto"/>
          <w:sz w:val="28"/>
          <w:szCs w:val="28"/>
          <w:highlight w:val="none"/>
        </w:rPr>
        <w:t>自收到评标报告之日起2日内在原招标公告发布媒介公示中标候选人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公示期3日。由评标委员会直接定标的项目不需要公示中标候选人。</w:t>
      </w:r>
    </w:p>
    <w:p w14:paraId="51126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31.结果公告</w:t>
      </w:r>
    </w:p>
    <w:p w14:paraId="29DFD9A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应当自定标结束之日起3日内在原招标公告发布媒介发布中标公告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有效期</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日。</w:t>
      </w:r>
    </w:p>
    <w:p w14:paraId="68B88769">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32.签发中标通知书</w:t>
      </w:r>
    </w:p>
    <w:p w14:paraId="76CCC94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中标公告结束且无尚未处理的异议后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和代理机构联合向中标人发出中标通知书</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并同时将中标结果通知所有未中标的投标人。对未通过资格</w:t>
      </w:r>
      <w:r>
        <w:rPr>
          <w:rFonts w:hint="eastAsia" w:ascii="仿宋" w:hAnsi="仿宋" w:eastAsia="仿宋" w:cs="仿宋"/>
          <w:color w:val="auto"/>
          <w:sz w:val="28"/>
          <w:szCs w:val="28"/>
          <w:highlight w:val="none"/>
          <w:lang w:val="en-US" w:eastAsia="zh-CN"/>
        </w:rPr>
        <w:t>性、符合性</w:t>
      </w:r>
      <w:r>
        <w:rPr>
          <w:rFonts w:hint="eastAsia" w:ascii="仿宋" w:hAnsi="仿宋" w:eastAsia="仿宋" w:cs="仿宋"/>
          <w:color w:val="auto"/>
          <w:sz w:val="28"/>
          <w:szCs w:val="28"/>
          <w:highlight w:val="none"/>
        </w:rPr>
        <w:t>审查的投标人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应当告知其未通过的原因；《中标通知书》是合同的组成部分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对中标人和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具有同等法律效力。《中标通知书》发出后</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不得违法改变中标结果</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中标人无正当理由不得放弃中标。</w:t>
      </w:r>
    </w:p>
    <w:p w14:paraId="2C7D0D2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八、质疑</w:t>
      </w:r>
    </w:p>
    <w:p w14:paraId="138E7097">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33.质疑</w:t>
      </w:r>
    </w:p>
    <w:p w14:paraId="370CCD8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33.1投标人认为招标文件、采购过程、中标结果使自己的权益受到损害的，应于10个工作日内以书面形式向采购人或采购代理机构提出质疑，采购人或采购代理机构应当在收到投标人的书面质疑后3个工作日内做出书面答复，但答复内容不得涉及商业秘密。</w:t>
      </w:r>
    </w:p>
    <w:p w14:paraId="1307460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33.2提出质疑的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应当是参与所质疑项目采购活动的</w:t>
      </w:r>
      <w:r>
        <w:rPr>
          <w:rFonts w:hint="eastAsia" w:ascii="仿宋" w:hAnsi="仿宋" w:eastAsia="仿宋" w:cs="仿宋"/>
          <w:color w:val="auto"/>
          <w:sz w:val="28"/>
          <w:szCs w:val="28"/>
          <w:highlight w:val="none"/>
          <w:lang w:val="en-US" w:eastAsia="zh-CN"/>
        </w:rPr>
        <w:t>投标人</w:t>
      </w:r>
      <w:r>
        <w:rPr>
          <w:rFonts w:hint="eastAsia" w:ascii="仿宋" w:hAnsi="仿宋" w:eastAsia="仿宋" w:cs="仿宋"/>
          <w:color w:val="auto"/>
          <w:sz w:val="28"/>
          <w:szCs w:val="28"/>
          <w:highlight w:val="none"/>
          <w:lang w:eastAsia="zh-CN"/>
        </w:rPr>
        <w:t>。投标人已依法获取其可质疑的采购文件的，可以对该文件提出质疑。</w:t>
      </w:r>
    </w:p>
    <w:p w14:paraId="036099D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33.3投标人应在法定质疑期内一次性提出针对同一采购程序环节的质疑。</w:t>
      </w:r>
    </w:p>
    <w:p w14:paraId="24849BF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33.4质疑采用实名制，以书面形式提出。为了使提出的质疑事项在规定时间内得到有效答复、处理，提交的质疑函应当包括下列内容：</w:t>
      </w:r>
    </w:p>
    <w:p w14:paraId="1F4D9C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（1）投标人的姓名或者名称、地址（邮箱）、邮编、联系人及联系电话；</w:t>
      </w:r>
    </w:p>
    <w:p w14:paraId="0AC0AA2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（2）质疑项目的名称、编号；</w:t>
      </w:r>
    </w:p>
    <w:p w14:paraId="2EC49B3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（3）具体、明确的质疑事项和与质疑事项相关的请求；</w:t>
      </w:r>
    </w:p>
    <w:p w14:paraId="3708A7B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（4）事实依据；</w:t>
      </w:r>
    </w:p>
    <w:p w14:paraId="08B4FA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（5）必要的法律依据；</w:t>
      </w:r>
    </w:p>
    <w:p w14:paraId="627EA8C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（6）提出质疑的日期。</w:t>
      </w:r>
    </w:p>
    <w:p w14:paraId="39F63FB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投标人为法人或者其他组织的，应当由法定代表人、单位负责人或者被授权人签字或盖章，并加盖公章。被授权人签字或盖章的应同时提供法人授权委托书。</w:t>
      </w:r>
    </w:p>
    <w:p w14:paraId="6DD6E48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33.5采购人或采购代理机构正式受理后方可生效。否则，为无效质疑。</w:t>
      </w:r>
    </w:p>
    <w:p w14:paraId="4581EEF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33.6有下列情况之一的质疑不予受理：</w:t>
      </w:r>
    </w:p>
    <w:p w14:paraId="0F6499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（1）无质疑函件或质疑函件缺少投标人法人印章、投标人法定代表人或单位负责人或者被授权人签字或盖章、有效授权书和联系方式之一的质疑；</w:t>
      </w:r>
    </w:p>
    <w:p w14:paraId="6498D5B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（2）质疑函件无实质性内容或佐证文件资料，主观臆断及推理得出结论的质疑；</w:t>
      </w:r>
    </w:p>
    <w:p w14:paraId="42F21F9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（3）相应证明材料不真实或来源不合法的质疑；</w:t>
      </w:r>
    </w:p>
    <w:p w14:paraId="2676FA6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（4）未按规定时间或超过公示期限提出的质疑；</w:t>
      </w:r>
    </w:p>
    <w:p w14:paraId="3E5E79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33.7对捏造事实，提供虚假材料或者以非法手段取得证明材料进行恶意质疑的，一经查实，将列入平台黑名单。</w:t>
      </w:r>
    </w:p>
    <w:p w14:paraId="7208F82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34.仲裁或起诉</w:t>
      </w:r>
    </w:p>
    <w:p w14:paraId="357FE6B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投标人对答复不满意，或者采购人、采购代理机构未在规定的时间内做出书面答复的，投标人可以在答复期满后向采购人所在地仲裁机构、人民法院申请仲裁或起诉。</w:t>
      </w:r>
    </w:p>
    <w:p w14:paraId="25EF8082">
      <w:pPr>
        <w:keepNext/>
        <w:keepLines/>
        <w:pageBreakBefore w:val="0"/>
        <w:widowControl w:val="0"/>
        <w:shd w:val="clear"/>
        <w:tabs>
          <w:tab w:val="left" w:pos="426"/>
        </w:tabs>
        <w:kinsoku/>
        <w:wordWrap/>
        <w:overflowPunct/>
        <w:topLinePunct w:val="0"/>
        <w:autoSpaceDE/>
        <w:autoSpaceDN/>
        <w:bidi w:val="0"/>
        <w:adjustRightInd/>
        <w:snapToGrid/>
        <w:spacing w:before="0" w:after="0" w:line="560" w:lineRule="exact"/>
        <w:textAlignment w:val="auto"/>
        <w:outlineLvl w:val="9"/>
        <w:rPr>
          <w:rFonts w:hint="eastAsia" w:ascii="黑体" w:hAnsi="黑体" w:eastAsia="黑体"/>
          <w:b w:val="0"/>
          <w:color w:val="auto"/>
          <w:sz w:val="32"/>
          <w:szCs w:val="32"/>
          <w:highlight w:val="none"/>
        </w:rPr>
      </w:pPr>
      <w:r>
        <w:rPr>
          <w:rFonts w:hint="eastAsia" w:ascii="黑体" w:hAnsi="黑体" w:eastAsia="黑体"/>
          <w:b w:val="0"/>
          <w:color w:val="auto"/>
          <w:sz w:val="32"/>
          <w:szCs w:val="32"/>
          <w:highlight w:val="none"/>
        </w:rPr>
        <w:t>九、签订合同</w:t>
      </w:r>
    </w:p>
    <w:p w14:paraId="10834D73">
      <w:pPr>
        <w:keepNext w:val="0"/>
        <w:keepLines w:val="0"/>
        <w:pageBreakBefore w:val="0"/>
        <w:widowControl w:val="0"/>
        <w:shd w:val="clear"/>
        <w:kinsoku/>
        <w:wordWrap/>
        <w:overflowPunct/>
        <w:topLinePunct w:val="0"/>
        <w:autoSpaceDE/>
        <w:autoSpaceDN/>
        <w:bidi w:val="0"/>
        <w:adjustRightInd/>
        <w:spacing w:beforeAutospacing="0" w:afterAutospacing="0" w:line="560" w:lineRule="exact"/>
        <w:ind w:firstLine="562" w:firstLineChars="200"/>
        <w:jc w:val="both"/>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3</w:t>
      </w:r>
      <w:r>
        <w:rPr>
          <w:rFonts w:hint="eastAsia" w:ascii="仿宋" w:hAnsi="仿宋" w:eastAsia="仿宋" w:cs="仿宋"/>
          <w:b/>
          <w:color w:val="auto"/>
          <w:sz w:val="28"/>
          <w:szCs w:val="28"/>
          <w:highlight w:val="none"/>
          <w:lang w:val="en-US" w:eastAsia="zh-CN"/>
        </w:rPr>
        <w:t>5</w:t>
      </w:r>
      <w:r>
        <w:rPr>
          <w:rFonts w:hint="eastAsia" w:ascii="仿宋" w:hAnsi="仿宋" w:eastAsia="仿宋" w:cs="仿宋"/>
          <w:b/>
          <w:color w:val="auto"/>
          <w:sz w:val="28"/>
          <w:szCs w:val="28"/>
          <w:highlight w:val="none"/>
        </w:rPr>
        <w:t>.合同的签订</w:t>
      </w:r>
    </w:p>
    <w:p w14:paraId="455E29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中标通知书发出之日起30日内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按招标文件、中标人的投标文件签订采购合同。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应当自采购合同签订之日起5日内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将采购合同上传至</w:t>
      </w:r>
      <w:r>
        <w:rPr>
          <w:rFonts w:hint="eastAsia" w:ascii="仿宋" w:hAnsi="仿宋" w:eastAsia="仿宋" w:cs="仿宋"/>
          <w:color w:val="auto"/>
          <w:sz w:val="28"/>
          <w:szCs w:val="28"/>
          <w:highlight w:val="none"/>
          <w:lang w:eastAsia="zh-CN"/>
        </w:rPr>
        <w:t>国企阳光采购平台</w:t>
      </w:r>
      <w:r>
        <w:rPr>
          <w:rFonts w:hint="eastAsia" w:ascii="仿宋" w:hAnsi="仿宋" w:eastAsia="仿宋" w:cs="仿宋"/>
          <w:color w:val="auto"/>
          <w:sz w:val="28"/>
          <w:szCs w:val="28"/>
          <w:highlight w:val="none"/>
        </w:rPr>
        <w:t>同时在指定的媒介上公告</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但采购合同中涉及国家秘密、商业秘密的内容除外。</w:t>
      </w:r>
    </w:p>
    <w:p w14:paraId="25F40B4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按照监督部门的要求，本项目合同通过国企阳光采购平台进行签订。</w:t>
      </w:r>
    </w:p>
    <w:p w14:paraId="6FFEE5E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应当按照招标文件和中标人投标文件的规定</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与中标人签订书面合同。</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与中标人所签订的合同不得对招标文件和中标人的投标文件作实质性修改。</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不得向中标人提出任何不合理的要求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作为签订合同的条件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不得与中标人私下订立背离合同实质性内容的协议。合同原则以第六章</w:t>
      </w:r>
      <w:r>
        <w:rPr>
          <w:rFonts w:hint="eastAsia" w:ascii="仿宋" w:hAnsi="仿宋" w:eastAsia="仿宋" w:cs="仿宋"/>
          <w:color w:val="auto"/>
          <w:sz w:val="28"/>
          <w:szCs w:val="28"/>
          <w:highlight w:val="none"/>
          <w:lang w:eastAsia="zh-CN"/>
        </w:rPr>
        <w:t>采购合同（范本）</w:t>
      </w:r>
      <w:r>
        <w:rPr>
          <w:rFonts w:hint="eastAsia" w:ascii="仿宋" w:hAnsi="仿宋" w:eastAsia="仿宋" w:cs="仿宋"/>
          <w:color w:val="auto"/>
          <w:sz w:val="28"/>
          <w:szCs w:val="28"/>
          <w:highlight w:val="none"/>
        </w:rPr>
        <w:t>为基础</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并根据响应、答疑情况进行修改补充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自签订之日起生效。</w:t>
      </w:r>
    </w:p>
    <w:p w14:paraId="0A09C0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中标人</w:t>
      </w:r>
      <w:r>
        <w:rPr>
          <w:rFonts w:hint="eastAsia" w:ascii="仿宋" w:hAnsi="仿宋" w:eastAsia="仿宋" w:cs="仿宋"/>
          <w:color w:val="auto"/>
          <w:sz w:val="28"/>
          <w:szCs w:val="28"/>
          <w:highlight w:val="none"/>
          <w:lang w:eastAsia="zh-CN"/>
        </w:rPr>
        <w:t>放弃中标、不能履行合同、不按照采购文件要求提供履约担保、在规定时间内无正当理由拒绝与采购人签订合同，或者被查实存在影响中标结果的违法违规行为等不符合中标条件的情形的，</w:t>
      </w:r>
      <w:r>
        <w:rPr>
          <w:rFonts w:hint="eastAsia" w:ascii="仿宋" w:hAnsi="仿宋" w:eastAsia="仿宋" w:cs="仿宋"/>
          <w:color w:val="auto"/>
          <w:sz w:val="28"/>
          <w:szCs w:val="28"/>
          <w:highlight w:val="none"/>
        </w:rPr>
        <w:t>有效投标人符合法定数量的</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可以按照评审报告推荐的中标候选人名单排序</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确定下一候选人为中标人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也可以重新开展招标活动。</w:t>
      </w:r>
    </w:p>
    <w:p w14:paraId="52F241B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采购合同的履行、违约责任和解决争议的方法适用《中华人民共和国民法典》。</w:t>
      </w:r>
    </w:p>
    <w:p w14:paraId="28D3C5EC">
      <w:pPr>
        <w:pStyle w:val="26"/>
        <w:keepNext w:val="0"/>
        <w:keepLines w:val="0"/>
        <w:pageBreakBefore w:val="0"/>
        <w:widowControl w:val="0"/>
        <w:shd w:val="clear"/>
        <w:kinsoku/>
        <w:wordWrap/>
        <w:overflowPunct/>
        <w:topLinePunct w:val="0"/>
        <w:autoSpaceDE/>
        <w:autoSpaceDN/>
        <w:bidi w:val="0"/>
        <w:adjustRightInd/>
        <w:spacing w:before="0" w:beforeAutospacing="0" w:after="0" w:afterAutospacing="0" w:line="560" w:lineRule="exact"/>
        <w:ind w:firstLine="562" w:firstLineChars="200"/>
        <w:jc w:val="both"/>
        <w:textAlignment w:val="auto"/>
        <w:outlineLvl w:val="9"/>
        <w:rPr>
          <w:rFonts w:hint="eastAsia" w:ascii="仿宋" w:hAnsi="仿宋" w:eastAsia="仿宋" w:cs="仿宋"/>
          <w:color w:val="auto"/>
          <w:sz w:val="28"/>
          <w:szCs w:val="28"/>
          <w:highlight w:val="none"/>
        </w:rPr>
        <w:sectPr>
          <w:footerReference r:id="rId13" w:type="default"/>
          <w:pgSz w:w="11906" w:h="16838"/>
          <w:pgMar w:top="1440" w:right="1083" w:bottom="1440" w:left="1083" w:header="851" w:footer="992" w:gutter="0"/>
          <w:pgNumType w:fmt="decimal"/>
          <w:cols w:space="0" w:num="1"/>
          <w:rtlGutter w:val="0"/>
          <w:docGrid w:type="lines" w:linePitch="312" w:charSpace="0"/>
        </w:sectPr>
      </w:pPr>
    </w:p>
    <w:p w14:paraId="67DAB9F9">
      <w:pPr>
        <w:pStyle w:val="26"/>
        <w:numPr>
          <w:ilvl w:val="0"/>
          <w:numId w:val="0"/>
        </w:numPr>
        <w:shd w:val="clear"/>
        <w:spacing w:before="100" w:beforeAutospacing="1" w:after="100" w:afterAutospacing="1" w:line="415" w:lineRule="auto"/>
        <w:ind w:left="1440" w:leftChars="0" w:hanging="1440" w:firstLineChars="0"/>
        <w:rPr>
          <w:rFonts w:ascii="楷体_GB2312" w:hAnsi="宋体" w:eastAsia="楷体_GB2312" w:cs="宋体"/>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第三章  采购内容与要求</w:t>
      </w:r>
    </w:p>
    <w:p w14:paraId="2C2EF3AE">
      <w:pPr>
        <w:shd w:val="clear"/>
        <w:snapToGrid w:val="0"/>
        <w:spacing w:line="560" w:lineRule="exact"/>
        <w:ind w:firstLine="562" w:firstLineChars="201"/>
        <w:rPr>
          <w:rFonts w:hint="default" w:ascii="仿宋_GB2312" w:hAnsi="宋体" w:eastAsia="仿宋_GB2312" w:cs="Times New Roman"/>
          <w:color w:val="auto"/>
          <w:sz w:val="28"/>
          <w:szCs w:val="28"/>
          <w:highlight w:val="none"/>
          <w:lang w:val="en-US" w:eastAsia="zh-CN"/>
        </w:rPr>
      </w:pPr>
    </w:p>
    <w:p w14:paraId="19B463F3">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56A977CB">
      <w:pPr>
        <w:shd w:val="clear"/>
        <w:snapToGrid w:val="0"/>
        <w:spacing w:line="560" w:lineRule="exact"/>
        <w:ind w:firstLine="562" w:firstLineChars="201"/>
        <w:rPr>
          <w:rFonts w:hint="eastAsia" w:ascii="仿宋_GB2312" w:hAnsi="宋体" w:eastAsia="仿宋_GB2312" w:cs="Times New Roman"/>
          <w:color w:val="auto"/>
          <w:sz w:val="28"/>
          <w:szCs w:val="28"/>
          <w:highlight w:val="none"/>
        </w:rPr>
      </w:pPr>
    </w:p>
    <w:p w14:paraId="09CD2546">
      <w:pPr>
        <w:pStyle w:val="4"/>
        <w:shd w:val="clear"/>
        <w:rPr>
          <w:color w:val="auto"/>
          <w:highlight w:val="none"/>
        </w:rPr>
      </w:pPr>
    </w:p>
    <w:p w14:paraId="4763F91E">
      <w:pPr>
        <w:shd w:val="clear"/>
        <w:snapToGrid w:val="0"/>
        <w:spacing w:line="560" w:lineRule="exact"/>
        <w:ind w:firstLine="562" w:firstLineChars="201"/>
        <w:rPr>
          <w:rFonts w:ascii="仿宋_GB2312" w:hAnsi="宋体" w:eastAsia="仿宋_GB2312"/>
          <w:color w:val="auto"/>
          <w:sz w:val="28"/>
          <w:szCs w:val="28"/>
          <w:highlight w:val="none"/>
        </w:rPr>
        <w:sectPr>
          <w:footerReference r:id="rId14" w:type="default"/>
          <w:pgSz w:w="11906" w:h="16838"/>
          <w:pgMar w:top="1440" w:right="1083" w:bottom="1440" w:left="1083" w:header="851" w:footer="992" w:gutter="0"/>
          <w:pgNumType w:fmt="decimal"/>
          <w:cols w:space="0" w:num="1"/>
          <w:rtlGutter w:val="0"/>
          <w:docGrid w:type="lines" w:linePitch="312" w:charSpace="0"/>
        </w:sectPr>
      </w:pPr>
    </w:p>
    <w:p w14:paraId="7E621C1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本项目拟选定1家法律顾问服务单位，为威海粮油发展有限公司及3家下属全资子公司提供法律方面相关服务。</w:t>
      </w:r>
    </w:p>
    <w:p w14:paraId="3C4D586C">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一、服务内容及要求</w:t>
      </w:r>
    </w:p>
    <w:p w14:paraId="53FEC19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（一）服务内容</w:t>
      </w:r>
    </w:p>
    <w:p w14:paraId="7A21CF4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法律顾问服务单位应为采购人提供全面、及时、高效的法律顾问服务，包括但不限于下列内容。</w:t>
      </w:r>
    </w:p>
    <w:p w14:paraId="7EC9EAC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诉讼与仲裁代理：代表采购人处理诉讼、仲裁等全部应诉事宜，负责系统整理与保管所有庭审资料，并于案件所有法律程序终结后10个工作日内完成归档移交；同时，须每月定期向采购人书面汇报在办案件进展及后续工作计划。</w:t>
      </w:r>
    </w:p>
    <w:p w14:paraId="7263B5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合同文书审查与管理：按照采购人要求起草、拟订、审查合同协议等相关法律文书，常规合同审核应在两个工作日内完成并签署意见及盖章；每季度整理合同常见问题并出具书面改进建议；根据采购人要求制作、修订并更新合同范本。</w:t>
      </w:r>
    </w:p>
    <w:p w14:paraId="4C8BD72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3.日常咨询与项目支持：为采购人生产、经营决策等提供法律咨询服务；参加重大的项目谈判；解答采购人提出的相关法律问题，包括但不限于出具法律意见书，进行法律分析和论证，提供电话咨询服务。</w:t>
      </w:r>
    </w:p>
    <w:p w14:paraId="247B5A2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4.专题法律研究：根据采购人需求，在双方商定合理期限内（一般不超过15个工作日）完成专题研究并出具书面报告，内容应涵盖专题背景、法律法规梳理、法律分析与结论建议；必要时进行实地调研。</w:t>
      </w:r>
    </w:p>
    <w:p w14:paraId="722A890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5.专项非诉业务：处理采购人在经营管理中涉及的各种专项非诉讼业务，包括但不限于公司设立、转制、并购、重组、增资扩股、股权转让、投资项目谈判及相关法律文书起草与审查等。</w:t>
      </w:r>
    </w:p>
    <w:p w14:paraId="5BE9DE1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6.案例管理与风险防控：代理期内对采购人诉讼及仲裁案件进行梳理分析，编撰至少一期《典型案例汇编》，对每个案例进行法律评述，并提炼出具体的风险防范建议。</w:t>
      </w:r>
    </w:p>
    <w:p w14:paraId="69F8D23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7.争议纠纷处理：为未进入诉讼阶段的争议纠纷提供法律意见，协助处理重大投诉或上访事件。</w:t>
      </w:r>
    </w:p>
    <w:p w14:paraId="64CE36B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8.律师函业务：根据采购人需求出具并发送律师函，法律顾问服务单位应在收到服务需求后24小时内发出，需要送达的应提供有效送达凭证。</w:t>
      </w:r>
    </w:p>
    <w:p w14:paraId="210BF39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9.采购人交办的其他法律事务。</w:t>
      </w:r>
    </w:p>
    <w:p w14:paraId="04E95B99">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（二）律师代理案件费用</w:t>
      </w:r>
    </w:p>
    <w:p w14:paraId="6C238B28">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法律顾问服务单位代理采购人诉讼（含一审、二审、执行程序）、仲裁、劳动争议、重大非诉业务案件的，代理费的收取标准届时由双方一案一议。</w:t>
      </w:r>
    </w:p>
    <w:p w14:paraId="5CF4D5B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法律顾问服务单位代采购人应诉的，除上述费用外，采购人不再支付其他法律服务费用。对于外地（威海市外）应诉案件，采购人仅承担差旅费与食宿费。</w:t>
      </w:r>
    </w:p>
    <w:p w14:paraId="169E884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本条涉及的服务费按照上述标准约定，不包括在本次报价中。</w:t>
      </w:r>
    </w:p>
    <w:p w14:paraId="4F85D96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（三）服务团队</w:t>
      </w:r>
    </w:p>
    <w:p w14:paraId="7F81829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★要求不少于2名专职律师（具有律师执业证，投标文件中附有效证件扫描件）提供服务，并指派其中一位作为项目负责人。项目负责人需执业满5年。不满足上述要求的，其投标无效。</w:t>
      </w:r>
    </w:p>
    <w:p w14:paraId="67F174E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上述人员在服务期内的任何更换，都必须事先获得采购人的书面批准。</w:t>
      </w:r>
    </w:p>
    <w:p w14:paraId="0ABFA76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（四）服务响应与考核</w:t>
      </w:r>
    </w:p>
    <w:p w14:paraId="14309264">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★1.响应时效：</w:t>
      </w:r>
    </w:p>
    <w:p w14:paraId="20897A35">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（1）常规法律咨询应在24小时内回应。</w:t>
      </w:r>
    </w:p>
    <w:p w14:paraId="7BD0FB9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（2）常规合同审查应在2个工作日内完成；法律意见书等综合性书面文件应在3个工作日内交付。</w:t>
      </w:r>
    </w:p>
    <w:p w14:paraId="4B184C0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（3）人力资源专项文件（含劳动合同、员工手册、规章制度等）审核应在3个工作日内完成。</w:t>
      </w:r>
    </w:p>
    <w:p w14:paraId="34906DE1">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（4）对于采购人标识为“特殊紧急”的事务，法律顾问服务单位应按其要求时限完成。</w:t>
      </w:r>
    </w:p>
    <w:p w14:paraId="2DF532C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（5）采购人提出现场支持要求的，法律顾问服务单位应按时派员响应。对于诉讼、仲裁（含劳动仲裁）、调解等程序性事务，必须确保律师按时出席。</w:t>
      </w:r>
    </w:p>
    <w:p w14:paraId="5C7E876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投标人应在投标文件中对上述内容作出承诺（格式自拟），不满足上述要求的或未作出承诺的，其投标无效。</w:t>
      </w:r>
    </w:p>
    <w:p w14:paraId="24F5E8C7">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2.服务质量保障：</w:t>
      </w:r>
    </w:p>
    <w:p w14:paraId="328DF87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（1）所有正式法律文件均通过采购人指定方式发送存档；</w:t>
      </w:r>
    </w:p>
    <w:p w14:paraId="7CDDE486">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（2）每半年召开工作例会汇报服务情况；</w:t>
      </w:r>
    </w:p>
    <w:p w14:paraId="7648ECD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（3）采购人每年对服务质量进行评估，法律顾问服务单位需根据评估结果改进服务；</w:t>
      </w:r>
    </w:p>
    <w:p w14:paraId="604C26D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（4）出现重大执业过错的，采购人有权单方解除合同并追究责任。</w:t>
      </w:r>
    </w:p>
    <w:p w14:paraId="500CC5C3">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二、服务期</w:t>
      </w:r>
    </w:p>
    <w:p w14:paraId="41D372F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3年。双方若无异议，合同期满自动延续1年，总服务期不超过4年。</w:t>
      </w:r>
    </w:p>
    <w:p w14:paraId="180EE31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三、付款方式</w:t>
      </w:r>
    </w:p>
    <w:p w14:paraId="7264D7CB">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按年支付。乙方开具税率为6%的增值税专用发票，甲方在收到合规发票后30个工作日内支付第一年服务费；后续每下一年度服务费于上一年服务期满前30个工作日内支付。</w:t>
      </w:r>
    </w:p>
    <w:p w14:paraId="7279DD0F">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2" w:firstLineChars="200"/>
        <w:jc w:val="both"/>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四、最高限价</w:t>
      </w:r>
    </w:p>
    <w:p w14:paraId="0320434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人民币300000.00元。</w:t>
      </w:r>
    </w:p>
    <w:p w14:paraId="273FA8F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default" w:ascii="仿宋" w:hAnsi="仿宋" w:eastAsia="仿宋" w:cs="仿宋"/>
          <w:color w:val="auto"/>
          <w:sz w:val="28"/>
          <w:szCs w:val="28"/>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p>
    <w:p w14:paraId="59FE7408">
      <w:pPr>
        <w:pStyle w:val="26"/>
        <w:numPr>
          <w:ilvl w:val="0"/>
          <w:numId w:val="0"/>
        </w:numPr>
        <w:shd w:val="clear"/>
        <w:spacing w:before="100" w:beforeAutospacing="1" w:after="100" w:afterAutospacing="1" w:line="415" w:lineRule="auto"/>
        <w:ind w:left="1440" w:leftChars="0" w:hanging="1440" w:firstLineChars="0"/>
        <w:rPr>
          <w:rFonts w:ascii="宋体" w:hAnsi="宋体" w:cs="宋体"/>
          <w:b/>
          <w:bCs/>
          <w:color w:val="auto"/>
          <w:sz w:val="44"/>
          <w:szCs w:val="44"/>
          <w:highlight w:val="none"/>
        </w:rPr>
      </w:pPr>
      <w:r>
        <w:rPr>
          <w:rFonts w:hint="eastAsia" w:ascii="楷体_GB2312" w:hAnsi="宋体" w:eastAsia="楷体_GB2312" w:cs="宋体"/>
          <w:b/>
          <w:bCs/>
          <w:color w:val="auto"/>
          <w:kern w:val="2"/>
          <w:sz w:val="44"/>
          <w:szCs w:val="44"/>
          <w:highlight w:val="none"/>
          <w:lang w:val="en-US" w:eastAsia="zh-CN" w:bidi="ar-SA"/>
        </w:rPr>
        <w:t>第四章  评标原则、程序与方法</w:t>
      </w:r>
    </w:p>
    <w:p w14:paraId="392C6DA8">
      <w:pPr>
        <w:shd w:val="clear"/>
        <w:spacing w:line="720" w:lineRule="auto"/>
        <w:ind w:firstLine="562" w:firstLineChars="200"/>
        <w:rPr>
          <w:rFonts w:ascii="楷体_GB2312" w:eastAsia="楷体_GB2312"/>
          <w:b/>
          <w:color w:val="auto"/>
          <w:sz w:val="28"/>
          <w:szCs w:val="28"/>
          <w:highlight w:val="none"/>
        </w:rPr>
      </w:pPr>
    </w:p>
    <w:p w14:paraId="75BBD585">
      <w:pPr>
        <w:shd w:val="clear"/>
        <w:tabs>
          <w:tab w:val="left" w:pos="1507"/>
        </w:tabs>
        <w:spacing w:line="480" w:lineRule="auto"/>
        <w:ind w:firstLine="562" w:firstLineChars="200"/>
        <w:rPr>
          <w:rFonts w:hint="eastAsia" w:ascii="仿宋_GB2312" w:hAnsi="宋体" w:eastAsia="仿宋_GB2312"/>
          <w:b/>
          <w:color w:val="auto"/>
          <w:sz w:val="28"/>
          <w:szCs w:val="21"/>
          <w:highlight w:val="none"/>
        </w:rPr>
        <w:sectPr>
          <w:pgSz w:w="11906" w:h="16838"/>
          <w:pgMar w:top="1440" w:right="1083" w:bottom="1440" w:left="1083" w:header="851" w:footer="992" w:gutter="0"/>
          <w:pgNumType w:fmt="decimal"/>
          <w:cols w:space="0" w:num="1"/>
          <w:rtlGutter w:val="0"/>
          <w:docGrid w:type="lines" w:linePitch="312" w:charSpace="0"/>
        </w:sectPr>
      </w:pPr>
    </w:p>
    <w:p w14:paraId="03C38CA9">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 xml:space="preserve">一、评审原则 </w:t>
      </w:r>
    </w:p>
    <w:p w14:paraId="1078441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“公平、公正、科学、择优”为本次评标的基本原则</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评标委员会将按照这一原则的要求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公正、平等地对待各投标人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同时</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在评标时恪守以下原则：</w:t>
      </w:r>
    </w:p>
    <w:p w14:paraId="30702B0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1.客观性原则：评标委员会将严格按照招标文件的要求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对投标人的投标文件进行认真评审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评标委员会对投标文件的评审仅依据投标文件本身</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 xml:space="preserve">而不依靠投标文件以外的任何因素。 </w:t>
      </w:r>
    </w:p>
    <w:p w14:paraId="09C367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2.统一性原则：评标委员会将按照统一的评标原则和评标方法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采用统一标准进行评标。</w:t>
      </w:r>
    </w:p>
    <w:p w14:paraId="77DAC789">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3.独立性原则：评标工作在评标委员会内部独立进行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不受外界任何因素的干扰和影响。</w:t>
      </w:r>
    </w:p>
    <w:p w14:paraId="4CE025C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4.保密性原则：评标委员会及熟知情况的有关工作人员必须对每位评委的评标意见和投标人的商业秘密严格保密</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不得外泄。</w:t>
      </w:r>
    </w:p>
    <w:p w14:paraId="3A1077A0">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5.综合性原则：评标委员会将综合分析、评审投标人的各项指标</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而不以单项指标的优劣评定出中标人。</w:t>
      </w:r>
    </w:p>
    <w:p w14:paraId="05890B42">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二、评标程序</w:t>
      </w:r>
    </w:p>
    <w:p w14:paraId="410A48A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.核对评审专家身份和采购人代表授权委托书。</w:t>
      </w:r>
    </w:p>
    <w:p w14:paraId="0D30B0F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val="en-US" w:eastAsia="zh-CN"/>
        </w:rPr>
        <w:t>.宣布评标纪律。</w:t>
      </w:r>
    </w:p>
    <w:p w14:paraId="51846C97">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val="en-US" w:eastAsia="zh-CN"/>
        </w:rPr>
        <w:t>.公布投标人名单，告知评审专家应当回避的情形。</w:t>
      </w:r>
    </w:p>
    <w:p w14:paraId="4BFE428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val="en-US" w:eastAsia="zh-CN"/>
        </w:rPr>
        <w:t>.组织评标委员会推选评标组长，采购人代表不得担任组长。</w:t>
      </w:r>
    </w:p>
    <w:p w14:paraId="26767F36">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开标结束后</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评审专家依法对投标人的资格进行审查。</w:t>
      </w:r>
    </w:p>
    <w:p w14:paraId="2CAC8A8C">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val="en-US" w:eastAsia="zh-CN"/>
        </w:rPr>
        <w:t>.</w:t>
      </w:r>
      <w:r>
        <w:rPr>
          <w:rFonts w:hint="eastAsia" w:ascii="仿宋" w:hAnsi="仿宋" w:eastAsia="仿宋" w:cs="仿宋"/>
          <w:color w:val="auto"/>
          <w:sz w:val="28"/>
          <w:szCs w:val="28"/>
          <w:highlight w:val="none"/>
        </w:rPr>
        <w:t>评标委员会对符合资格的投标人的投标文件进行符合性审查</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以确定其是否满足招标文件的实质性要求</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详见《投标须知》-《实质性条款一览表》中符合性</w:t>
      </w:r>
      <w:r>
        <w:rPr>
          <w:rFonts w:hint="eastAsia" w:ascii="仿宋" w:hAnsi="仿宋" w:eastAsia="仿宋" w:cs="仿宋"/>
          <w:color w:val="auto"/>
          <w:sz w:val="28"/>
          <w:szCs w:val="28"/>
          <w:highlight w:val="none"/>
          <w:lang w:val="en-US" w:eastAsia="zh-CN"/>
        </w:rPr>
        <w:t>审查</w:t>
      </w:r>
      <w:r>
        <w:rPr>
          <w:rFonts w:hint="eastAsia" w:ascii="仿宋" w:hAnsi="仿宋" w:eastAsia="仿宋" w:cs="仿宋"/>
          <w:color w:val="auto"/>
          <w:sz w:val="28"/>
          <w:szCs w:val="28"/>
          <w:highlight w:val="none"/>
        </w:rPr>
        <w:t>条款。</w:t>
      </w:r>
    </w:p>
    <w:p w14:paraId="53201E82">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7.</w:t>
      </w:r>
      <w:r>
        <w:rPr>
          <w:rFonts w:hint="eastAsia" w:ascii="仿宋" w:hAnsi="仿宋" w:eastAsia="仿宋" w:cs="仿宋"/>
          <w:color w:val="auto"/>
          <w:sz w:val="28"/>
          <w:szCs w:val="28"/>
          <w:highlight w:val="none"/>
        </w:rPr>
        <w:t>属于无效投标的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投标人不能通过修正或撤销投标文件中不符合之处而成为实质性响应的投标</w:t>
      </w:r>
      <w:r>
        <w:rPr>
          <w:rFonts w:hint="eastAsia" w:ascii="仿宋" w:hAnsi="仿宋" w:eastAsia="仿宋" w:cs="仿宋"/>
          <w:color w:val="auto"/>
          <w:sz w:val="28"/>
          <w:szCs w:val="28"/>
          <w:highlight w:val="none"/>
          <w:lang w:eastAsia="zh-CN"/>
        </w:rPr>
        <w:t>，采购代理</w:t>
      </w:r>
      <w:r>
        <w:rPr>
          <w:rFonts w:hint="eastAsia" w:ascii="仿宋" w:hAnsi="仿宋" w:eastAsia="仿宋" w:cs="仿宋"/>
          <w:color w:val="auto"/>
          <w:sz w:val="28"/>
          <w:szCs w:val="28"/>
          <w:highlight w:val="none"/>
          <w:lang w:val="en-US" w:eastAsia="zh-CN"/>
        </w:rPr>
        <w:t>机构</w:t>
      </w:r>
      <w:r>
        <w:rPr>
          <w:rFonts w:hint="eastAsia" w:ascii="仿宋" w:hAnsi="仿宋" w:eastAsia="仿宋" w:cs="仿宋"/>
          <w:color w:val="auto"/>
          <w:sz w:val="28"/>
          <w:szCs w:val="28"/>
          <w:highlight w:val="none"/>
        </w:rPr>
        <w:t>将通知投标人</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并说明无效投标理由；属于有效投标文件的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将进行下一轮次的询标和澄清、说明或补正。</w:t>
      </w:r>
    </w:p>
    <w:p w14:paraId="5AC95C8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rPr>
        <w:t>.澄清、说明或者补正</w:t>
      </w:r>
    </w:p>
    <w:p w14:paraId="720F874B">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对有效投标文件中含义不明确、同类问题前后表述不一致或者有明显文字和计算错误的内容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评标委员会可以书面形式要求投标人在规定的时间内作出必要的澄清、说明或者纠正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投标人应在要求的时间内以书面形式澄清、说明或者补正</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并</w:t>
      </w:r>
      <w:r>
        <w:rPr>
          <w:rFonts w:hint="eastAsia" w:ascii="仿宋" w:hAnsi="仿宋" w:eastAsia="仿宋" w:cs="仿宋"/>
          <w:color w:val="auto"/>
          <w:sz w:val="28"/>
          <w:szCs w:val="28"/>
          <w:highlight w:val="none"/>
          <w:lang w:val="en-US" w:eastAsia="zh-CN"/>
        </w:rPr>
        <w:t>加盖公章，或者</w:t>
      </w:r>
      <w:r>
        <w:rPr>
          <w:rFonts w:hint="eastAsia" w:ascii="仿宋" w:hAnsi="仿宋" w:eastAsia="仿宋" w:cs="仿宋"/>
          <w:color w:val="auto"/>
          <w:sz w:val="28"/>
          <w:szCs w:val="28"/>
          <w:highlight w:val="none"/>
        </w:rPr>
        <w:t>由其法定代表人</w:t>
      </w:r>
      <w:r>
        <w:rPr>
          <w:rFonts w:hint="eastAsia" w:ascii="仿宋" w:hAnsi="仿宋" w:eastAsia="仿宋" w:cs="仿宋"/>
          <w:color w:val="auto"/>
          <w:sz w:val="28"/>
          <w:szCs w:val="28"/>
          <w:highlight w:val="none"/>
          <w:lang w:val="en-US" w:eastAsia="zh-CN"/>
        </w:rPr>
        <w:t>/单位负责人</w:t>
      </w:r>
      <w:r>
        <w:rPr>
          <w:rFonts w:hint="eastAsia" w:ascii="仿宋" w:hAnsi="仿宋" w:eastAsia="仿宋" w:cs="仿宋"/>
          <w:color w:val="auto"/>
          <w:sz w:val="28"/>
          <w:szCs w:val="28"/>
          <w:highlight w:val="none"/>
        </w:rPr>
        <w:t>或被授权人签字</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且不得超出投标文件的范围或者改变投标文件的实质性内容。</w:t>
      </w:r>
    </w:p>
    <w:p w14:paraId="273B4E2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投标人依据评审要求进行澄清、说明或者补正的内容构成投标文件的组成部分。</w:t>
      </w:r>
    </w:p>
    <w:p w14:paraId="193F7B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9</w:t>
      </w:r>
      <w:r>
        <w:rPr>
          <w:rFonts w:hint="eastAsia" w:ascii="仿宋" w:hAnsi="仿宋" w:eastAsia="仿宋" w:cs="仿宋"/>
          <w:color w:val="auto"/>
          <w:sz w:val="28"/>
          <w:szCs w:val="28"/>
          <w:highlight w:val="none"/>
        </w:rPr>
        <w:t>.比较与评价</w:t>
      </w:r>
    </w:p>
    <w:p w14:paraId="5CE1AB7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评标委员会按招标文件中规定的评标方法和评标标准对有效投标文件的商务和技术进行评估</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综合比较和评价</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按综合得分高低列出中标候选人排序表</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若总分相同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以报价得分高的排前；若总分、报价得分都相同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则以投标技术方面得分高的排前。</w:t>
      </w:r>
    </w:p>
    <w:p w14:paraId="6F9509A3">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val="en-US" w:eastAsia="zh-CN"/>
        </w:rPr>
        <w:t>0</w:t>
      </w:r>
      <w:r>
        <w:rPr>
          <w:rFonts w:hint="eastAsia" w:ascii="仿宋" w:hAnsi="仿宋" w:eastAsia="仿宋" w:cs="仿宋"/>
          <w:color w:val="auto"/>
          <w:sz w:val="28"/>
          <w:szCs w:val="28"/>
          <w:highlight w:val="none"/>
        </w:rPr>
        <w:t>.出现下列情况之一的</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均予以废标</w:t>
      </w:r>
    </w:p>
    <w:p w14:paraId="0C4A610A">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合格的投标人或参加投标的企业不足三家的；</w:t>
      </w:r>
    </w:p>
    <w:p w14:paraId="3182474E">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出现影响招标公正的违法、违规行为的；</w:t>
      </w:r>
    </w:p>
    <w:p w14:paraId="52112794">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投标人的报价均超过了预算价格</w:t>
      </w:r>
      <w:r>
        <w:rPr>
          <w:rFonts w:hint="eastAsia" w:ascii="仿宋" w:hAnsi="仿宋" w:eastAsia="仿宋" w:cs="仿宋"/>
          <w:color w:val="auto"/>
          <w:sz w:val="28"/>
          <w:szCs w:val="28"/>
          <w:highlight w:val="none"/>
          <w:lang w:eastAsia="zh-CN"/>
        </w:rPr>
        <w:t>，采购人</w:t>
      </w:r>
      <w:r>
        <w:rPr>
          <w:rFonts w:hint="eastAsia" w:ascii="仿宋" w:hAnsi="仿宋" w:eastAsia="仿宋" w:cs="仿宋"/>
          <w:color w:val="auto"/>
          <w:sz w:val="28"/>
          <w:szCs w:val="28"/>
          <w:highlight w:val="none"/>
        </w:rPr>
        <w:t>不能支付的；</w:t>
      </w:r>
    </w:p>
    <w:p w14:paraId="79789B3F">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采购任务取消的。</w:t>
      </w:r>
    </w:p>
    <w:p w14:paraId="1238CD98">
      <w:pPr>
        <w:keepNext w:val="0"/>
        <w:keepLines w:val="0"/>
        <w:pageBreakBefore w:val="0"/>
        <w:widowControl w:val="0"/>
        <w:shd w:val="clear"/>
        <w:tabs>
          <w:tab w:val="left" w:pos="1507"/>
        </w:tabs>
        <w:kinsoku/>
        <w:wordWrap/>
        <w:overflowPunct/>
        <w:topLinePunct w:val="0"/>
        <w:autoSpaceDE/>
        <w:autoSpaceDN/>
        <w:bidi w:val="0"/>
        <w:adjustRightInd/>
        <w:spacing w:line="560" w:lineRule="exact"/>
        <w:ind w:firstLine="562" w:firstLineChars="200"/>
        <w:textAlignment w:val="auto"/>
        <w:rPr>
          <w:rFonts w:hint="eastAsia" w:ascii="仿宋" w:hAnsi="仿宋" w:eastAsia="仿宋" w:cs="仿宋"/>
          <w:b/>
          <w:color w:val="auto"/>
          <w:sz w:val="28"/>
          <w:szCs w:val="21"/>
          <w:highlight w:val="none"/>
        </w:rPr>
      </w:pPr>
      <w:r>
        <w:rPr>
          <w:rFonts w:hint="eastAsia" w:ascii="仿宋" w:hAnsi="仿宋" w:eastAsia="仿宋" w:cs="仿宋"/>
          <w:b/>
          <w:color w:val="auto"/>
          <w:sz w:val="28"/>
          <w:szCs w:val="21"/>
          <w:highlight w:val="none"/>
        </w:rPr>
        <w:t>三、评标方法</w:t>
      </w:r>
    </w:p>
    <w:p w14:paraId="66E4AAF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（1）评标方法：综合评分法。</w:t>
      </w:r>
    </w:p>
    <w:p w14:paraId="127B90D8">
      <w:pPr>
        <w:keepNext w:val="0"/>
        <w:keepLines w:val="0"/>
        <w:pageBreakBefore w:val="0"/>
        <w:widowControl w:val="0"/>
        <w:shd w:val="clear"/>
        <w:kinsoku/>
        <w:wordWrap/>
        <w:overflowPunct/>
        <w:topLinePunct w:val="0"/>
        <w:autoSpaceDE/>
        <w:autoSpaceDN/>
        <w:bidi w:val="0"/>
        <w:adjustRightInd/>
        <w:snapToGrid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（2）评标细则</w:t>
      </w:r>
    </w:p>
    <w:tbl>
      <w:tblPr>
        <w:tblStyle w:val="30"/>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57" w:type="dxa"/>
          <w:bottom w:w="0" w:type="dxa"/>
          <w:right w:w="57" w:type="dxa"/>
        </w:tblCellMar>
      </w:tblPr>
      <w:tblGrid>
        <w:gridCol w:w="944"/>
        <w:gridCol w:w="1215"/>
        <w:gridCol w:w="6113"/>
        <w:gridCol w:w="863"/>
        <w:gridCol w:w="713"/>
      </w:tblGrid>
      <w:tr w14:paraId="7FE6C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shd w:val="clear" w:color="auto" w:fill="D9D9D9"/>
            <w:noWrap w:val="0"/>
            <w:vAlign w:val="center"/>
          </w:tcPr>
          <w:p w14:paraId="09DA949A">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类型</w:t>
            </w:r>
          </w:p>
        </w:tc>
        <w:tc>
          <w:tcPr>
            <w:tcW w:w="617" w:type="pct"/>
            <w:shd w:val="clear" w:color="auto" w:fill="D9D9D9"/>
            <w:noWrap w:val="0"/>
            <w:vAlign w:val="center"/>
          </w:tcPr>
          <w:p w14:paraId="76A820F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评分标题</w:t>
            </w:r>
          </w:p>
        </w:tc>
        <w:tc>
          <w:tcPr>
            <w:tcW w:w="3103" w:type="pct"/>
            <w:shd w:val="clear" w:color="auto" w:fill="D9D9D9"/>
            <w:noWrap w:val="0"/>
            <w:vAlign w:val="center"/>
          </w:tcPr>
          <w:p w14:paraId="62421B4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评分标准</w:t>
            </w:r>
          </w:p>
        </w:tc>
        <w:tc>
          <w:tcPr>
            <w:tcW w:w="438" w:type="pct"/>
            <w:shd w:val="clear" w:color="auto" w:fill="D9D9D9"/>
            <w:noWrap w:val="0"/>
            <w:vAlign w:val="center"/>
          </w:tcPr>
          <w:p w14:paraId="2E94F24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性质</w:t>
            </w:r>
          </w:p>
        </w:tc>
        <w:tc>
          <w:tcPr>
            <w:tcW w:w="362" w:type="pct"/>
            <w:shd w:val="clear" w:color="auto" w:fill="D9D9D9"/>
            <w:noWrap w:val="0"/>
            <w:vAlign w:val="center"/>
          </w:tcPr>
          <w:p w14:paraId="784343E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分数</w:t>
            </w:r>
          </w:p>
        </w:tc>
      </w:tr>
      <w:tr w14:paraId="121A9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88DDD88">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w:t>
            </w:r>
          </w:p>
        </w:tc>
        <w:tc>
          <w:tcPr>
            <w:tcW w:w="617" w:type="pct"/>
            <w:noWrap w:val="0"/>
            <w:vAlign w:val="center"/>
          </w:tcPr>
          <w:p w14:paraId="030A50E9">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w:t>
            </w:r>
          </w:p>
        </w:tc>
        <w:tc>
          <w:tcPr>
            <w:tcW w:w="3103" w:type="pct"/>
            <w:noWrap w:val="0"/>
            <w:vAlign w:val="center"/>
          </w:tcPr>
          <w:p w14:paraId="35F20752">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评标基准价计算方法：当0≤有效投标人个数≤6时，评标基准价=所有有效标书的投标报价的算术平均值；当7≤有效投标人个数≤9时，评标基准价=所有有效标书的投标报价去掉1个最高价、1个最低价后的算术平均值；当10≤有效投标人个数≤∞时，评标基准价=所有有效标书的投标报价去掉2个最高价、2个最低价后的算术平均值。</w:t>
            </w:r>
          </w:p>
          <w:p w14:paraId="75904A85">
            <w:pPr>
              <w:pStyle w:val="6"/>
              <w:keepNext w:val="0"/>
              <w:keepLines w:val="0"/>
              <w:pageBreakBefore w:val="0"/>
              <w:widowControl w:val="0"/>
              <w:shd w:val="clear"/>
              <w:kinsoku/>
              <w:wordWrap/>
              <w:overflowPunct/>
              <w:topLinePunct w:val="0"/>
              <w:autoSpaceDE/>
              <w:autoSpaceDN/>
              <w:bidi w:val="0"/>
              <w:adjustRightInd/>
              <w:snapToGrid/>
              <w:spacing w:line="480" w:lineRule="exact"/>
              <w:ind w:left="0" w:leftChars="0" w:firstLine="0" w:firstLineChars="0"/>
              <w:jc w:val="both"/>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投标报价与评标基准价进行比较，相同得满分；每高于评标基准价1%，扣减0.5分，扣完为止；每低于评标基准价1%，扣减0.25分，扣完为止；偏离不足1%时，按照插入法计算得分，分数保留两位小数。</w:t>
            </w:r>
          </w:p>
        </w:tc>
        <w:tc>
          <w:tcPr>
            <w:tcW w:w="438" w:type="pct"/>
            <w:noWrap w:val="0"/>
            <w:vAlign w:val="center"/>
          </w:tcPr>
          <w:p w14:paraId="15C4570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价格分</w:t>
            </w:r>
          </w:p>
        </w:tc>
        <w:tc>
          <w:tcPr>
            <w:tcW w:w="362" w:type="pct"/>
            <w:noWrap w:val="0"/>
            <w:vAlign w:val="center"/>
          </w:tcPr>
          <w:p w14:paraId="78F7CD6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30</w:t>
            </w:r>
          </w:p>
        </w:tc>
      </w:tr>
      <w:tr w14:paraId="0D6F9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2B34419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770B2247">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业绩</w:t>
            </w:r>
          </w:p>
        </w:tc>
        <w:tc>
          <w:tcPr>
            <w:tcW w:w="3103" w:type="pct"/>
            <w:noWrap w:val="0"/>
            <w:vAlign w:val="center"/>
          </w:tcPr>
          <w:p w14:paraId="1995713B">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投标人2023年1月1日至今（以合同签订时间为准）承揽的同类项目（指为法人或非法人组织提供法律顾问服务）业绩，每有一个得2分，本项最高得10分。</w:t>
            </w:r>
          </w:p>
          <w:p w14:paraId="2643A0C5">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注：投标文件中附合同主要条款页扫描件，不提供或提供的不满足要求不计分。</w:t>
            </w:r>
          </w:p>
        </w:tc>
        <w:tc>
          <w:tcPr>
            <w:tcW w:w="438" w:type="pct"/>
            <w:noWrap w:val="0"/>
            <w:vAlign w:val="center"/>
          </w:tcPr>
          <w:p w14:paraId="2F5FC49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4A0AA1C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10</w:t>
            </w:r>
          </w:p>
        </w:tc>
      </w:tr>
      <w:tr w14:paraId="7F1B7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139438A1">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商务</w:t>
            </w:r>
          </w:p>
        </w:tc>
        <w:tc>
          <w:tcPr>
            <w:tcW w:w="617" w:type="pct"/>
            <w:noWrap w:val="0"/>
            <w:vAlign w:val="center"/>
          </w:tcPr>
          <w:p w14:paraId="5B5DE33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项目负责人经验</w:t>
            </w:r>
          </w:p>
        </w:tc>
        <w:tc>
          <w:tcPr>
            <w:tcW w:w="3103" w:type="pct"/>
            <w:noWrap w:val="0"/>
            <w:vAlign w:val="center"/>
          </w:tcPr>
          <w:p w14:paraId="5C0EA0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拟派项目负责人2023年1月1日至今（以合同签订时间为准）作为项目负责人为法人或非法人组织提供法律顾问服务的，每有一个得2分，本项最高得4分。</w:t>
            </w:r>
          </w:p>
          <w:p w14:paraId="25E4B831">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注：投标文件中附合同主要条款页扫描件，合同内容无法体现项目负责人的还应提供其他证明材料，不提供或提供的不满足要求不计分。</w:t>
            </w:r>
          </w:p>
        </w:tc>
        <w:tc>
          <w:tcPr>
            <w:tcW w:w="438" w:type="pct"/>
            <w:noWrap w:val="0"/>
            <w:vAlign w:val="center"/>
          </w:tcPr>
          <w:p w14:paraId="7BC4C910">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客观分</w:t>
            </w:r>
          </w:p>
        </w:tc>
        <w:tc>
          <w:tcPr>
            <w:tcW w:w="362" w:type="pct"/>
            <w:noWrap w:val="0"/>
            <w:vAlign w:val="center"/>
          </w:tcPr>
          <w:p w14:paraId="2C33439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r>
      <w:tr w14:paraId="1C600B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4584A17E">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77757BE0">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服务方案</w:t>
            </w:r>
          </w:p>
        </w:tc>
        <w:tc>
          <w:tcPr>
            <w:tcW w:w="3103" w:type="pct"/>
            <w:noWrap w:val="0"/>
            <w:vAlign w:val="center"/>
          </w:tcPr>
          <w:p w14:paraId="797C9E03">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szCs w:val="24"/>
                <w:highlight w:val="none"/>
                <w:lang w:val="en-US" w:eastAsia="zh-CN"/>
              </w:rPr>
              <w:t>服务方案内容全面，对项目理解准确深入，能够紧密结合采购人实际需求，提出具有针对性、可操作性的法律服务措施。（10分）</w:t>
            </w:r>
          </w:p>
          <w:p w14:paraId="212E2B2D">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default" w:ascii="仿宋" w:hAnsi="仿宋" w:eastAsia="仿宋" w:cs="仿宋"/>
                <w:b w:val="0"/>
                <w:bCs w:val="0"/>
                <w:color w:val="auto"/>
                <w:kern w:val="2"/>
                <w:sz w:val="24"/>
                <w:szCs w:val="24"/>
                <w:lang w:val="en-US" w:eastAsia="zh-CN" w:bidi="ar-SA"/>
              </w:rPr>
              <w:t>2.</w:t>
            </w:r>
            <w:r>
              <w:rPr>
                <w:rFonts w:hint="eastAsia" w:ascii="仿宋" w:hAnsi="仿宋" w:eastAsia="仿宋" w:cs="仿宋"/>
                <w:b w:val="0"/>
                <w:bCs w:val="0"/>
                <w:color w:val="auto"/>
                <w:kern w:val="2"/>
                <w:sz w:val="24"/>
                <w:szCs w:val="24"/>
                <w:lang w:val="en-US" w:eastAsia="zh-CN" w:bidi="ar-SA"/>
              </w:rPr>
              <w:t>服务流程清晰合理，工作方法科学高效，能够根据项目特点灵活调整服务策略，确保法律服务响应及时、处置得当。（10分）</w:t>
            </w:r>
          </w:p>
          <w:p w14:paraId="00DCE8C1">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3.对常见法律风险的预判与处置方案具体可行，能够结合采购人业务特点及过往类似项目经验，针对项目服务过程中所有可能出现的问题考虑周全、阐释清晰，并针对性地提出前置性防控措施和分级响应机制。（10分）</w:t>
            </w:r>
          </w:p>
          <w:p w14:paraId="4143B216">
            <w:pPr>
              <w:pStyle w:val="6"/>
              <w:keepNext w:val="0"/>
              <w:keepLines w:val="0"/>
              <w:pageBreakBefore w:val="0"/>
              <w:widowControl w:val="0"/>
              <w:numPr>
                <w:ilvl w:val="0"/>
                <w:numId w:val="0"/>
              </w:numPr>
              <w:shd w:val="clear"/>
              <w:kinsoku/>
              <w:wordWrap/>
              <w:overflowPunct/>
              <w:topLinePunct w:val="0"/>
              <w:autoSpaceDE/>
              <w:autoSpaceDN/>
              <w:bidi w:val="0"/>
              <w:adjustRightInd/>
              <w:snapToGrid/>
              <w:spacing w:line="480" w:lineRule="exact"/>
              <w:ind w:firstLine="0" w:firstLineChars="0"/>
              <w:jc w:val="both"/>
              <w:textAlignment w:val="auto"/>
              <w:rPr>
                <w:rFonts w:hint="default" w:eastAsia="宋体"/>
                <w:lang w:val="en-US" w:eastAsia="zh-CN"/>
              </w:rPr>
            </w:pPr>
            <w:r>
              <w:rPr>
                <w:rFonts w:hint="eastAsia" w:ascii="仿宋" w:hAnsi="仿宋" w:eastAsia="仿宋" w:cs="仿宋"/>
                <w:b w:val="0"/>
                <w:bCs w:val="0"/>
                <w:color w:val="auto"/>
                <w:kern w:val="2"/>
                <w:sz w:val="24"/>
                <w:szCs w:val="24"/>
                <w:lang w:val="en-US" w:eastAsia="zh-CN" w:bidi="ar-SA"/>
              </w:rPr>
              <w:t>4.突发情况处置预案详细完善，可操作性强，对突发事件能够做到及时应急响应。（6分）</w:t>
            </w:r>
          </w:p>
          <w:p w14:paraId="5A9338E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w:t>
            </w:r>
            <w:r>
              <w:rPr>
                <w:rFonts w:hint="default" w:ascii="仿宋" w:hAnsi="仿宋" w:eastAsia="仿宋" w:cs="仿宋"/>
                <w:b w:val="0"/>
                <w:bCs w:val="0"/>
                <w:color w:val="auto"/>
                <w:sz w:val="24"/>
                <w:szCs w:val="24"/>
                <w:highlight w:val="none"/>
                <w:lang w:val="en-US" w:eastAsia="zh-CN"/>
              </w:rPr>
              <w:t>.与相关部门的协调机制</w:t>
            </w:r>
            <w:r>
              <w:rPr>
                <w:rFonts w:hint="eastAsia" w:ascii="仿宋" w:hAnsi="仿宋" w:eastAsia="仿宋" w:cs="仿宋"/>
                <w:b w:val="0"/>
                <w:bCs w:val="0"/>
                <w:color w:val="auto"/>
                <w:sz w:val="24"/>
                <w:szCs w:val="24"/>
                <w:highlight w:val="none"/>
                <w:lang w:val="en-US" w:eastAsia="zh-CN"/>
              </w:rPr>
              <w:t>健全高效。（6分）</w:t>
            </w:r>
          </w:p>
          <w:p w14:paraId="6727359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以上共计42分。投标人针对上述内容描述详细完善，内容全面，表述思路清晰，能够充分满足要求，该项得满分。无相应内容的该项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2CFAD841">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45029B33">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42</w:t>
            </w:r>
          </w:p>
        </w:tc>
      </w:tr>
      <w:tr w14:paraId="63249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688CB8F3">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技术</w:t>
            </w:r>
          </w:p>
        </w:tc>
        <w:tc>
          <w:tcPr>
            <w:tcW w:w="617" w:type="pct"/>
            <w:noWrap w:val="0"/>
            <w:vAlign w:val="center"/>
          </w:tcPr>
          <w:p w14:paraId="26FC2AC5">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质量保证措施</w:t>
            </w:r>
          </w:p>
        </w:tc>
        <w:tc>
          <w:tcPr>
            <w:tcW w:w="3103" w:type="pct"/>
            <w:noWrap w:val="0"/>
            <w:vAlign w:val="center"/>
          </w:tcPr>
          <w:p w14:paraId="3CDE1FA7">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内控制度完整规范，内部质量管控举措严谨周密，可切实保障法律服务全流程的合规性与专业性，保证各项服务环节权责清晰、过程可控、结果可查。</w:t>
            </w:r>
          </w:p>
          <w:p w14:paraId="76355DAD">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3E0235CA">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0BA3D17F">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r>
      <w:tr w14:paraId="619A29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jc w:val="center"/>
        </w:trPr>
        <w:tc>
          <w:tcPr>
            <w:tcW w:w="479" w:type="pct"/>
            <w:noWrap w:val="0"/>
            <w:vAlign w:val="center"/>
          </w:tcPr>
          <w:p w14:paraId="0F88EC5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w:t>
            </w:r>
          </w:p>
        </w:tc>
        <w:tc>
          <w:tcPr>
            <w:tcW w:w="617" w:type="pct"/>
            <w:noWrap w:val="0"/>
            <w:vAlign w:val="center"/>
          </w:tcPr>
          <w:p w14:paraId="48BA8DD6">
            <w:pPr>
              <w:keepNext w:val="0"/>
              <w:keepLines w:val="0"/>
              <w:pageBreakBefore w:val="0"/>
              <w:widowControl w:val="0"/>
              <w:shd w:val="clear"/>
              <w:kinsoku/>
              <w:wordWrap/>
              <w:overflowPunct/>
              <w:topLinePunct w:val="0"/>
              <w:autoSpaceDE/>
              <w:autoSpaceDN/>
              <w:bidi w:val="0"/>
              <w:adjustRightInd/>
              <w:snapToGrid/>
              <w:spacing w:line="480" w:lineRule="exact"/>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服务承诺</w:t>
            </w:r>
          </w:p>
        </w:tc>
        <w:tc>
          <w:tcPr>
            <w:tcW w:w="3103" w:type="pct"/>
            <w:noWrap w:val="0"/>
            <w:vAlign w:val="center"/>
          </w:tcPr>
          <w:p w14:paraId="53A110C2">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服务承诺内容完整全面，针对不同类型法律事务设置差异化响应机制，响应速度快，各类问题的处理解决效率高，解决办法切实可行，能够充分满足采购人需求。</w:t>
            </w:r>
          </w:p>
          <w:p w14:paraId="499E7E04">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jc w:val="both"/>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投标人针对上述内容描述详细完善，内容全面，表述思路清晰，能够充分满足要求，得满分。无相应内容的不得分。在满分基础上，评委每发现一处缺陷或瑕疵扣0.5分，扣完为止。缺陷或瑕疵是指：非专门针对本项目或不适用本项目的情形、内容不完整或缺少关键节点、描述不清晰、套用其他项目方案、内容前后矛盾、涉及的内容及标准出现错误、不利于项目实施、项目实施效果不理想、实施目的无法实现等任意一种情形。</w:t>
            </w:r>
          </w:p>
        </w:tc>
        <w:tc>
          <w:tcPr>
            <w:tcW w:w="438" w:type="pct"/>
            <w:noWrap w:val="0"/>
            <w:vAlign w:val="center"/>
          </w:tcPr>
          <w:p w14:paraId="04DEEF15">
            <w:pPr>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主观分</w:t>
            </w:r>
          </w:p>
        </w:tc>
        <w:tc>
          <w:tcPr>
            <w:tcW w:w="362" w:type="pct"/>
            <w:noWrap w:val="0"/>
            <w:vAlign w:val="center"/>
          </w:tcPr>
          <w:p w14:paraId="6D68283C">
            <w:pPr>
              <w:pStyle w:val="6"/>
              <w:keepNext w:val="0"/>
              <w:keepLines w:val="0"/>
              <w:pageBreakBefore w:val="0"/>
              <w:widowControl w:val="0"/>
              <w:shd w:val="clear"/>
              <w:kinsoku/>
              <w:wordWrap/>
              <w:overflowPunct/>
              <w:topLinePunct w:val="0"/>
              <w:autoSpaceDE/>
              <w:autoSpaceDN/>
              <w:bidi w:val="0"/>
              <w:adjustRightInd/>
              <w:snapToGrid/>
              <w:spacing w:line="480" w:lineRule="exact"/>
              <w:ind w:firstLine="0" w:firstLineChars="0"/>
              <w:jc w:val="center"/>
              <w:textAlignment w:val="auto"/>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8</w:t>
            </w:r>
          </w:p>
        </w:tc>
      </w:tr>
    </w:tbl>
    <w:p w14:paraId="0069139A">
      <w:pPr>
        <w:shd w:val="clear"/>
        <w:spacing w:before="100" w:beforeAutospacing="1" w:after="100" w:afterAutospacing="1" w:line="415" w:lineRule="auto"/>
        <w:jc w:val="center"/>
        <w:outlineLvl w:val="0"/>
        <w:rPr>
          <w:rFonts w:hint="eastAsia" w:ascii="楷体_GB2312" w:hAnsi="宋体" w:eastAsia="楷体_GB2312" w:cs="宋体"/>
          <w:b/>
          <w:bCs/>
          <w:color w:val="auto"/>
          <w:sz w:val="44"/>
          <w:szCs w:val="44"/>
          <w:highlight w:val="none"/>
        </w:rPr>
      </w:pPr>
    </w:p>
    <w:p w14:paraId="19BE52C0">
      <w:pPr>
        <w:shd w:val="clear"/>
        <w:spacing w:before="100" w:beforeAutospacing="1" w:after="100" w:afterAutospacing="1" w:line="415" w:lineRule="auto"/>
        <w:jc w:val="center"/>
        <w:outlineLvl w:val="0"/>
        <w:rPr>
          <w:rFonts w:ascii="楷体_GB2312" w:hAnsi="宋体" w:eastAsia="楷体_GB2312" w:cs="宋体"/>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5F40E932">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sz w:val="44"/>
          <w:szCs w:val="44"/>
          <w:highlight w:val="none"/>
          <w:lang w:val="en-US" w:eastAsia="zh-CN"/>
        </w:rPr>
        <w:sectPr>
          <w:pgSz w:w="11906" w:h="16838"/>
          <w:pgMar w:top="1440" w:right="1083" w:bottom="1440" w:left="1083" w:header="851" w:footer="992" w:gutter="0"/>
          <w:pgNumType w:fmt="decimal"/>
          <w:cols w:space="0" w:num="1"/>
          <w:rtlGutter w:val="0"/>
          <w:docGrid w:type="lines" w:linePitch="312" w:charSpace="0"/>
        </w:sectPr>
      </w:pPr>
      <w:r>
        <w:rPr>
          <w:rFonts w:hint="eastAsia" w:ascii="楷体_GB2312" w:hAnsi="宋体" w:eastAsia="楷体_GB2312" w:cs="宋体"/>
          <w:b/>
          <w:bCs/>
          <w:color w:val="auto"/>
          <w:kern w:val="2"/>
          <w:sz w:val="44"/>
          <w:szCs w:val="44"/>
          <w:highlight w:val="none"/>
          <w:lang w:val="en-US" w:eastAsia="zh-CN" w:bidi="ar-SA"/>
        </w:rPr>
        <w:t>第五章  投标文件格式</w:t>
      </w:r>
    </w:p>
    <w:p w14:paraId="18A64A28">
      <w:pPr>
        <w:shd w:val="clear"/>
        <w:rPr>
          <w:rFonts w:hint="eastAsia"/>
          <w:color w:val="auto"/>
          <w:highlight w:val="none"/>
        </w:rPr>
      </w:pPr>
    </w:p>
    <w:p w14:paraId="7E49C012">
      <w:pPr>
        <w:pStyle w:val="9"/>
        <w:shd w:val="clear"/>
        <w:rPr>
          <w:rFonts w:hint="eastAsia"/>
          <w:color w:val="auto"/>
          <w:highlight w:val="none"/>
        </w:rPr>
      </w:pPr>
    </w:p>
    <w:p w14:paraId="14A2F161">
      <w:pPr>
        <w:shd w:val="clear"/>
        <w:rPr>
          <w:rFonts w:hint="eastAsia"/>
          <w:color w:val="auto"/>
          <w:highlight w:val="none"/>
        </w:rPr>
      </w:pPr>
    </w:p>
    <w:p w14:paraId="7939702F">
      <w:pPr>
        <w:pStyle w:val="9"/>
        <w:shd w:val="clear"/>
        <w:rPr>
          <w:rFonts w:hint="eastAsia"/>
          <w:color w:val="auto"/>
          <w:highlight w:val="none"/>
        </w:rPr>
      </w:pPr>
    </w:p>
    <w:p w14:paraId="5F29A9C2">
      <w:pPr>
        <w:shd w:val="clear"/>
        <w:rPr>
          <w:rFonts w:hint="eastAsia"/>
          <w:color w:val="auto"/>
          <w:highlight w:val="none"/>
        </w:rPr>
      </w:pPr>
    </w:p>
    <w:p w14:paraId="5EE5F81E">
      <w:pPr>
        <w:pStyle w:val="9"/>
        <w:shd w:val="clear"/>
        <w:rPr>
          <w:rFonts w:hint="eastAsia"/>
          <w:color w:val="auto"/>
          <w:highlight w:val="none"/>
        </w:rPr>
      </w:pPr>
    </w:p>
    <w:p w14:paraId="14740490">
      <w:pPr>
        <w:shd w:val="clear"/>
        <w:rPr>
          <w:color w:val="auto"/>
          <w:highlight w:val="none"/>
        </w:rPr>
      </w:pPr>
    </w:p>
    <w:p w14:paraId="0433F6EA">
      <w:pPr>
        <w:shd w:val="clear"/>
        <w:jc w:val="center"/>
        <w:rPr>
          <w:rFonts w:ascii="方正小标宋简体" w:hAnsi="仿宋" w:eastAsia="方正小标宋简体"/>
          <w:bCs/>
          <w:color w:val="auto"/>
          <w:sz w:val="84"/>
          <w:highlight w:val="none"/>
        </w:rPr>
      </w:pPr>
      <w:r>
        <w:rPr>
          <w:rFonts w:hint="eastAsia" w:ascii="方正小标宋简体" w:hAnsi="仿宋" w:eastAsia="方正小标宋简体"/>
          <w:bCs/>
          <w:color w:val="auto"/>
          <w:sz w:val="84"/>
          <w:highlight w:val="none"/>
        </w:rPr>
        <w:t>投 标 文 件</w:t>
      </w:r>
    </w:p>
    <w:p w14:paraId="13AB8451">
      <w:pPr>
        <w:shd w:val="clear"/>
        <w:jc w:val="center"/>
        <w:rPr>
          <w:rFonts w:hint="eastAsia" w:ascii="仿宋" w:hAnsi="仿宋" w:eastAsia="仿宋" w:cs="仿宋"/>
          <w:color w:val="auto"/>
          <w:sz w:val="72"/>
          <w:highlight w:val="none"/>
        </w:rPr>
      </w:pPr>
      <w:r>
        <w:rPr>
          <w:rFonts w:hint="eastAsia" w:ascii="仿宋" w:hAnsi="仿宋" w:eastAsia="仿宋" w:cs="仿宋"/>
          <w:color w:val="auto"/>
          <w:sz w:val="72"/>
          <w:highlight w:val="none"/>
        </w:rPr>
        <w:t>（第一册）</w:t>
      </w:r>
    </w:p>
    <w:p w14:paraId="0CC21DB8">
      <w:pPr>
        <w:shd w:val="clear"/>
        <w:jc w:val="center"/>
        <w:rPr>
          <w:rFonts w:hint="eastAsia" w:ascii="仿宋" w:hAnsi="仿宋" w:eastAsia="仿宋" w:cs="仿宋"/>
          <w:color w:val="auto"/>
          <w:sz w:val="72"/>
          <w:highlight w:val="none"/>
        </w:rPr>
      </w:pPr>
    </w:p>
    <w:p w14:paraId="79DA556E">
      <w:pPr>
        <w:shd w:val="clear"/>
        <w:jc w:val="left"/>
        <w:rPr>
          <w:rFonts w:hint="eastAsia" w:ascii="仿宋" w:hAnsi="仿宋" w:eastAsia="仿宋" w:cs="仿宋"/>
          <w:b/>
          <w:color w:val="auto"/>
          <w:sz w:val="36"/>
          <w:szCs w:val="36"/>
          <w:highlight w:val="none"/>
        </w:rPr>
      </w:pPr>
      <w:r>
        <w:rPr>
          <w:rFonts w:hint="eastAsia" w:ascii="仿宋" w:hAnsi="仿宋" w:eastAsia="仿宋" w:cs="仿宋"/>
          <w:b/>
          <w:bCs/>
          <w:color w:val="auto"/>
          <w:sz w:val="36"/>
          <w:szCs w:val="36"/>
          <w:highlight w:val="none"/>
        </w:rPr>
        <w:t>采购项目：</w:t>
      </w:r>
      <w:r>
        <w:rPr>
          <w:rFonts w:hint="eastAsia" w:ascii="仿宋" w:hAnsi="仿宋" w:eastAsia="仿宋" w:cs="仿宋"/>
          <w:b/>
          <w:bCs/>
          <w:color w:val="auto"/>
          <w:sz w:val="36"/>
          <w:szCs w:val="36"/>
          <w:highlight w:val="none"/>
          <w:lang w:eastAsia="zh-CN"/>
        </w:rPr>
        <w:t>威海粮油发展有限公司常年法律顾问服务单位项目</w:t>
      </w:r>
    </w:p>
    <w:p w14:paraId="71F89436">
      <w:pPr>
        <w:shd w:val="clear"/>
        <w:jc w:val="left"/>
        <w:rPr>
          <w:rFonts w:hint="eastAsia" w:ascii="仿宋" w:hAnsi="仿宋" w:eastAsia="仿宋" w:cs="仿宋"/>
          <w:b/>
          <w:color w:val="auto"/>
          <w:sz w:val="36"/>
          <w:szCs w:val="36"/>
          <w:highlight w:val="none"/>
          <w:lang w:eastAsia="zh-CN"/>
        </w:rPr>
      </w:pPr>
      <w:r>
        <w:rPr>
          <w:rFonts w:hint="eastAsia" w:ascii="仿宋" w:hAnsi="仿宋" w:eastAsia="仿宋" w:cs="仿宋"/>
          <w:b/>
          <w:bCs/>
          <w:color w:val="auto"/>
          <w:sz w:val="36"/>
          <w:szCs w:val="36"/>
          <w:highlight w:val="none"/>
        </w:rPr>
        <w:t>采购编号：</w:t>
      </w:r>
      <w:r>
        <w:rPr>
          <w:rFonts w:hint="eastAsia" w:ascii="仿宋" w:hAnsi="仿宋" w:eastAsia="仿宋" w:cs="仿宋"/>
          <w:b/>
          <w:bCs/>
          <w:color w:val="auto"/>
          <w:sz w:val="36"/>
          <w:szCs w:val="36"/>
          <w:highlight w:val="none"/>
          <w:lang w:eastAsia="zh-CN"/>
        </w:rPr>
        <w:t>WHZCZB2026-096</w:t>
      </w:r>
    </w:p>
    <w:p w14:paraId="346DFF86">
      <w:pPr>
        <w:shd w:val="clear"/>
        <w:jc w:val="left"/>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rPr>
        <w:t>所投包号：</w:t>
      </w:r>
      <w:r>
        <w:rPr>
          <w:rFonts w:hint="eastAsia" w:ascii="仿宋" w:hAnsi="仿宋" w:eastAsia="仿宋" w:cs="仿宋"/>
          <w:b/>
          <w:bCs/>
          <w:color w:val="auto"/>
          <w:sz w:val="36"/>
          <w:szCs w:val="36"/>
          <w:highlight w:val="none"/>
          <w:lang w:val="en-US" w:eastAsia="zh-CN"/>
        </w:rPr>
        <w:t>001</w:t>
      </w:r>
    </w:p>
    <w:p w14:paraId="430B93D9">
      <w:pPr>
        <w:shd w:val="clear"/>
        <w:jc w:val="left"/>
        <w:rPr>
          <w:rFonts w:hint="eastAsia" w:ascii="仿宋" w:hAnsi="仿宋" w:eastAsia="仿宋" w:cs="仿宋"/>
          <w:color w:val="auto"/>
          <w:sz w:val="36"/>
          <w:highlight w:val="none"/>
        </w:rPr>
      </w:pPr>
    </w:p>
    <w:p w14:paraId="5F00E856">
      <w:pPr>
        <w:shd w:val="clear"/>
        <w:tabs>
          <w:tab w:val="left" w:pos="580"/>
        </w:tabs>
        <w:ind w:left="185" w:leftChars="88" w:firstLine="1800" w:firstLineChars="500"/>
        <w:rPr>
          <w:rFonts w:hint="eastAsia" w:ascii="仿宋" w:hAnsi="仿宋" w:eastAsia="仿宋" w:cs="仿宋"/>
          <w:color w:val="auto"/>
          <w:kern w:val="0"/>
          <w:sz w:val="36"/>
          <w:szCs w:val="21"/>
          <w:highlight w:val="none"/>
        </w:rPr>
      </w:pPr>
    </w:p>
    <w:p w14:paraId="326E5A95">
      <w:pPr>
        <w:shd w:val="clear"/>
        <w:tabs>
          <w:tab w:val="left" w:pos="580"/>
        </w:tabs>
        <w:ind w:left="185" w:leftChars="88" w:firstLine="1800" w:firstLineChars="500"/>
        <w:rPr>
          <w:rFonts w:hint="eastAsia" w:ascii="仿宋" w:hAnsi="仿宋" w:eastAsia="仿宋" w:cs="仿宋"/>
          <w:color w:val="auto"/>
          <w:kern w:val="0"/>
          <w:sz w:val="36"/>
          <w:szCs w:val="36"/>
          <w:highlight w:val="none"/>
        </w:rPr>
      </w:pPr>
    </w:p>
    <w:p w14:paraId="5BFAB5F9">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投标人名称</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lang w:val="en-US" w:eastAsia="zh-CN"/>
        </w:rPr>
        <w:t>盖章</w:t>
      </w:r>
      <w:r>
        <w:rPr>
          <w:rFonts w:hint="eastAsia" w:ascii="仿宋" w:hAnsi="仿宋" w:eastAsia="仿宋" w:cs="仿宋"/>
          <w:color w:val="auto"/>
          <w:kern w:val="0"/>
          <w:sz w:val="36"/>
          <w:szCs w:val="36"/>
          <w:highlight w:val="none"/>
          <w:lang w:eastAsia="zh-CN"/>
        </w:rPr>
        <w:t>）</w:t>
      </w:r>
      <w:r>
        <w:rPr>
          <w:rFonts w:hint="eastAsia" w:ascii="仿宋" w:hAnsi="仿宋" w:eastAsia="仿宋" w:cs="仿宋"/>
          <w:color w:val="auto"/>
          <w:kern w:val="0"/>
          <w:sz w:val="36"/>
          <w:szCs w:val="36"/>
          <w:highlight w:val="none"/>
        </w:rPr>
        <w:t>：</w:t>
      </w:r>
    </w:p>
    <w:p w14:paraId="6BD54B72">
      <w:pPr>
        <w:shd w:val="clear"/>
        <w:tabs>
          <w:tab w:val="left" w:pos="580"/>
        </w:tabs>
        <w:ind w:firstLine="1800" w:firstLineChars="500"/>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日      期：   年  月  日</w:t>
      </w:r>
    </w:p>
    <w:p w14:paraId="4FA64601">
      <w:pPr>
        <w:widowControl/>
        <w:shd w:val="clear"/>
        <w:jc w:val="center"/>
        <w:rPr>
          <w:rFonts w:ascii="黑体" w:hAnsi="黑体" w:eastAsia="黑体"/>
          <w:color w:val="auto"/>
          <w:sz w:val="44"/>
          <w:szCs w:val="44"/>
          <w:highlight w:val="none"/>
        </w:rPr>
      </w:pPr>
      <w:r>
        <w:rPr>
          <w:rFonts w:hint="eastAsia" w:ascii="仿宋" w:hAnsi="仿宋" w:eastAsia="仿宋" w:cs="仿宋"/>
          <w:color w:val="auto"/>
          <w:sz w:val="36"/>
          <w:szCs w:val="36"/>
          <w:highlight w:val="none"/>
        </w:rPr>
        <w:br w:type="page"/>
      </w:r>
      <w:r>
        <w:rPr>
          <w:rFonts w:hint="eastAsia" w:ascii="黑体" w:hAnsi="黑体" w:eastAsia="黑体"/>
          <w:b/>
          <w:bCs/>
          <w:color w:val="auto"/>
          <w:sz w:val="44"/>
          <w:szCs w:val="44"/>
          <w:highlight w:val="none"/>
        </w:rPr>
        <w:t>目录</w:t>
      </w:r>
    </w:p>
    <w:p w14:paraId="0872029E">
      <w:pPr>
        <w:widowControl/>
        <w:shd w:val="clear"/>
        <w:jc w:val="center"/>
        <w:rPr>
          <w:rFonts w:hint="eastAsia" w:ascii="仿宋" w:hAnsi="仿宋" w:eastAsia="仿宋" w:cs="仿宋"/>
          <w:color w:val="auto"/>
          <w:sz w:val="36"/>
          <w:szCs w:val="36"/>
          <w:highlight w:val="none"/>
        </w:rPr>
      </w:pPr>
      <w:r>
        <w:rPr>
          <w:rFonts w:hint="eastAsia" w:ascii="仿宋" w:hAnsi="仿宋" w:eastAsia="仿宋" w:cs="仿宋"/>
          <w:color w:val="auto"/>
          <w:sz w:val="32"/>
          <w:szCs w:val="36"/>
          <w:highlight w:val="none"/>
        </w:rPr>
        <w:t>（由投标人自行编制）</w:t>
      </w:r>
    </w:p>
    <w:p w14:paraId="723CAD7B">
      <w:pPr>
        <w:widowControl/>
        <w:shd w:val="clear"/>
        <w:ind w:right="-35"/>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sz w:val="36"/>
          <w:szCs w:val="36"/>
          <w:highlight w:val="none"/>
        </w:rPr>
        <w:br w:type="page"/>
      </w:r>
      <w:bookmarkStart w:id="5" w:name="_Toc522526779"/>
      <w:bookmarkStart w:id="6" w:name="_Toc521936040"/>
      <w:r>
        <w:rPr>
          <w:rFonts w:hint="eastAsia" w:ascii="黑体" w:hAnsi="黑体" w:eastAsia="黑体" w:cs="Times New Roman"/>
          <w:b/>
          <w:bCs/>
          <w:color w:val="auto"/>
          <w:sz w:val="44"/>
          <w:szCs w:val="44"/>
          <w:highlight w:val="none"/>
        </w:rPr>
        <w:t>投标承诺函</w:t>
      </w:r>
      <w:bookmarkEnd w:id="5"/>
      <w:bookmarkEnd w:id="6"/>
    </w:p>
    <w:p w14:paraId="73723BAB">
      <w:pPr>
        <w:shd w:val="clear"/>
        <w:spacing w:line="560" w:lineRule="exact"/>
        <w:rPr>
          <w:rFonts w:hint="eastAsia" w:ascii="仿宋" w:hAnsi="仿宋" w:eastAsia="仿宋" w:cs="仿宋"/>
          <w:color w:val="auto"/>
          <w:sz w:val="30"/>
          <w:szCs w:val="30"/>
          <w:highlight w:val="none"/>
        </w:rPr>
      </w:pPr>
    </w:p>
    <w:p w14:paraId="1AC6A676">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7787A7AF">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我方收到项目编号为</w:t>
      </w:r>
      <w:r>
        <w:rPr>
          <w:rFonts w:hint="eastAsia" w:ascii="仿宋" w:hAnsi="仿宋" w:eastAsia="仿宋" w:cs="仿宋"/>
          <w:color w:val="auto"/>
          <w:kern w:val="0"/>
          <w:sz w:val="30"/>
          <w:szCs w:val="30"/>
          <w:highlight w:val="none"/>
          <w:lang w:eastAsia="zh-CN"/>
        </w:rPr>
        <w:t>WHZCZB2026-096威海粮油发展有限公司常年法律顾问服务单位项目</w:t>
      </w:r>
      <w:r>
        <w:rPr>
          <w:rFonts w:hint="eastAsia" w:ascii="仿宋" w:hAnsi="仿宋" w:eastAsia="仿宋" w:cs="仿宋"/>
          <w:color w:val="auto"/>
          <w:kern w:val="0"/>
          <w:sz w:val="30"/>
          <w:szCs w:val="30"/>
          <w:highlight w:val="none"/>
        </w:rPr>
        <w:t>的招标文件</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经详细研究决定参加投标。</w:t>
      </w:r>
    </w:p>
    <w:p w14:paraId="31653208">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1.我方接受本招标文件中关于电子招投标的各项规定</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遵守《中华人民共和国电子签名法》关于电子签名的各项规定。我方愿意按照招标文件的规定和要求提供服务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报价详见《开标一览表》。</w:t>
      </w:r>
    </w:p>
    <w:p w14:paraId="5554D94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2.我方同意90天的投标有效期</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严格遵守投标文件的各项承诺。在此期限届满之前</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本投标文件始终对我方具有约束力</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并随时接受中标。我方承诺在投标有效期内不修改、撤销投标文件。</w:t>
      </w:r>
    </w:p>
    <w:p w14:paraId="4CECFE1E">
      <w:pPr>
        <w:shd w:val="clear"/>
        <w:spacing w:line="560" w:lineRule="exact"/>
        <w:ind w:firstLine="600" w:firstLineChars="200"/>
        <w:rPr>
          <w:rFonts w:hint="eastAsia" w:ascii="仿宋" w:hAnsi="仿宋" w:eastAsia="仿宋" w:cs="仿宋"/>
          <w:strike/>
          <w:color w:val="auto"/>
          <w:kern w:val="0"/>
          <w:sz w:val="30"/>
          <w:szCs w:val="30"/>
          <w:highlight w:val="none"/>
        </w:rPr>
      </w:pPr>
      <w:r>
        <w:rPr>
          <w:rFonts w:hint="eastAsia" w:ascii="仿宋" w:hAnsi="仿宋" w:eastAsia="仿宋" w:cs="仿宋"/>
          <w:color w:val="auto"/>
          <w:kern w:val="0"/>
          <w:sz w:val="30"/>
          <w:szCs w:val="30"/>
          <w:highlight w:val="none"/>
        </w:rPr>
        <w:t>3.我方愿意遵守本招标文件的规定和要求并提供招标文件中要求的所有资料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若投标文件中存在虚假资料的</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则视为我方隐瞒真实情况、提供虚假资料</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我方愿意接受主管部门做出的行政处罚。</w:t>
      </w:r>
    </w:p>
    <w:p w14:paraId="2479499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4.我方同意最低价是中标的主要选择标准，但不是唯一的选择标准。</w:t>
      </w:r>
    </w:p>
    <w:p w14:paraId="0B75511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rPr>
        <w:t>5.</w:t>
      </w:r>
      <w:r>
        <w:rPr>
          <w:rFonts w:hint="eastAsia" w:ascii="仿宋" w:hAnsi="仿宋" w:eastAsia="仿宋" w:cs="仿宋"/>
          <w:color w:val="auto"/>
          <w:kern w:val="0"/>
          <w:sz w:val="30"/>
          <w:szCs w:val="30"/>
          <w:highlight w:val="none"/>
        </w:rPr>
        <w:t>如果我方中标：</w:t>
      </w:r>
    </w:p>
    <w:p w14:paraId="190B51E4">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（1）我方承诺在中标通知书发出后</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在规定期限内与</w:t>
      </w:r>
      <w:r>
        <w:rPr>
          <w:rFonts w:hint="eastAsia" w:ascii="仿宋" w:hAnsi="仿宋" w:eastAsia="仿宋" w:cs="仿宋"/>
          <w:color w:val="auto"/>
          <w:kern w:val="0"/>
          <w:sz w:val="30"/>
          <w:szCs w:val="30"/>
          <w:highlight w:val="none"/>
          <w:lang w:eastAsia="zh-CN"/>
        </w:rPr>
        <w:t>采购人</w:t>
      </w:r>
      <w:r>
        <w:rPr>
          <w:rFonts w:hint="eastAsia" w:ascii="仿宋" w:hAnsi="仿宋" w:eastAsia="仿宋" w:cs="仿宋"/>
          <w:color w:val="auto"/>
          <w:kern w:val="0"/>
          <w:sz w:val="30"/>
          <w:szCs w:val="30"/>
          <w:highlight w:val="none"/>
        </w:rPr>
        <w:t>签订合同；</w:t>
      </w:r>
    </w:p>
    <w:p w14:paraId="789CAB3E">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（2）我方承诺在合同约定的期限内</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按期、保质、保量完成</w:t>
      </w:r>
      <w:r>
        <w:rPr>
          <w:rFonts w:hint="eastAsia" w:ascii="仿宋" w:hAnsi="仿宋" w:eastAsia="仿宋" w:cs="仿宋"/>
          <w:color w:val="auto"/>
          <w:kern w:val="0"/>
          <w:sz w:val="30"/>
          <w:szCs w:val="30"/>
          <w:highlight w:val="none"/>
          <w:lang w:val="en-US" w:eastAsia="zh-CN"/>
        </w:rPr>
        <w:t>服务</w:t>
      </w:r>
      <w:r>
        <w:rPr>
          <w:rFonts w:hint="eastAsia" w:ascii="仿宋" w:hAnsi="仿宋" w:eastAsia="仿宋" w:cs="仿宋"/>
          <w:color w:val="auto"/>
          <w:kern w:val="0"/>
          <w:sz w:val="30"/>
          <w:szCs w:val="30"/>
          <w:highlight w:val="none"/>
        </w:rPr>
        <w:t>任务；</w:t>
      </w:r>
    </w:p>
    <w:p w14:paraId="5FD09A6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（3）我方承诺将按照招标文件的规定全额交纳代理服务费。</w:t>
      </w:r>
    </w:p>
    <w:p w14:paraId="10E6846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lang w:val="en-US" w:eastAsia="zh-CN"/>
        </w:rPr>
        <w:t>6</w:t>
      </w:r>
      <w:r>
        <w:rPr>
          <w:rFonts w:hint="eastAsia" w:ascii="仿宋" w:hAnsi="仿宋" w:eastAsia="仿宋" w:cs="仿宋"/>
          <w:color w:val="auto"/>
          <w:kern w:val="0"/>
          <w:sz w:val="30"/>
          <w:szCs w:val="30"/>
          <w:highlight w:val="none"/>
        </w:rPr>
        <w:t>.所有有关本投标的函电</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请按下列地址联系：</w:t>
      </w:r>
    </w:p>
    <w:p w14:paraId="12A7B11D">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单    位：                     邮政编码：</w:t>
      </w:r>
    </w:p>
    <w:p w14:paraId="3A38006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地    址：                     联 系 人：</w:t>
      </w:r>
    </w:p>
    <w:p w14:paraId="751BB60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电    话：                     传    真：</w:t>
      </w:r>
    </w:p>
    <w:p w14:paraId="36282625">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开户名称：</w:t>
      </w:r>
    </w:p>
    <w:p w14:paraId="22757211">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开户银行：</w:t>
      </w:r>
    </w:p>
    <w:p w14:paraId="248AA9F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开户账号：</w:t>
      </w:r>
    </w:p>
    <w:p w14:paraId="0FD11232">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投标人（盖章）：</w:t>
      </w:r>
    </w:p>
    <w:p w14:paraId="25ABC9EB">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法定代表人</w:t>
      </w:r>
      <w:r>
        <w:rPr>
          <w:rFonts w:hint="eastAsia" w:ascii="仿宋" w:hAnsi="仿宋" w:eastAsia="仿宋" w:cs="仿宋"/>
          <w:color w:val="auto"/>
          <w:kern w:val="0"/>
          <w:sz w:val="30"/>
          <w:szCs w:val="30"/>
          <w:highlight w:val="none"/>
          <w:lang w:val="en-US" w:eastAsia="zh-CN"/>
        </w:rPr>
        <w:t>/单位负责人</w:t>
      </w:r>
      <w:r>
        <w:rPr>
          <w:rFonts w:hint="eastAsia" w:ascii="仿宋" w:hAnsi="仿宋" w:eastAsia="仿宋" w:cs="仿宋"/>
          <w:color w:val="auto"/>
          <w:kern w:val="0"/>
          <w:sz w:val="30"/>
          <w:szCs w:val="30"/>
          <w:highlight w:val="none"/>
        </w:rPr>
        <w:t>或被授权人（签字或盖章）：</w:t>
      </w:r>
    </w:p>
    <w:p w14:paraId="531C87EC">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 xml:space="preserve">投标日期：××年××月××日 </w:t>
      </w:r>
    </w:p>
    <w:p w14:paraId="24C5DDEE">
      <w:pPr>
        <w:shd w:val="clear"/>
        <w:spacing w:line="560" w:lineRule="exact"/>
        <w:ind w:firstLine="600" w:firstLineChars="200"/>
        <w:rPr>
          <w:rFonts w:hint="eastAsia"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48569E0B">
      <w:pPr>
        <w:shd w:val="clear"/>
        <w:spacing w:line="560" w:lineRule="exact"/>
        <w:ind w:firstLine="600" w:firstLineChars="200"/>
        <w:rPr>
          <w:rFonts w:ascii="仿宋_GB2312" w:hAnsi="仿宋" w:eastAsia="仿宋_GB2312"/>
          <w:color w:val="auto"/>
          <w:kern w:val="0"/>
          <w:sz w:val="30"/>
          <w:szCs w:val="30"/>
          <w:highlight w:val="none"/>
        </w:rPr>
      </w:pPr>
      <w:r>
        <w:rPr>
          <w:rFonts w:hint="eastAsia" w:ascii="仿宋_GB2312" w:hAnsi="仿宋" w:eastAsia="仿宋_GB2312"/>
          <w:color w:val="auto"/>
          <w:kern w:val="0"/>
          <w:sz w:val="30"/>
          <w:szCs w:val="30"/>
          <w:highlight w:val="none"/>
        </w:rPr>
        <w:t xml:space="preserve">  </w:t>
      </w:r>
    </w:p>
    <w:p w14:paraId="6399BB19">
      <w:pPr>
        <w:keepNext/>
        <w:keepLines/>
        <w:shd w:val="clear"/>
        <w:spacing w:line="560" w:lineRule="exact"/>
        <w:jc w:val="center"/>
        <w:outlineLvl w:val="1"/>
        <w:rPr>
          <w:rFonts w:ascii="Arial" w:hAnsi="Arial" w:eastAsia="黑体"/>
          <w:bCs/>
          <w:color w:val="auto"/>
          <w:sz w:val="44"/>
          <w:szCs w:val="32"/>
          <w:highlight w:val="none"/>
        </w:rPr>
        <w:sectPr>
          <w:headerReference r:id="rId15" w:type="default"/>
          <w:footerReference r:id="rId16" w:type="default"/>
          <w:pgSz w:w="11906" w:h="16838"/>
          <w:pgMar w:top="1440" w:right="1083" w:bottom="1440" w:left="1083" w:header="851" w:footer="992" w:gutter="0"/>
          <w:pgNumType w:fmt="decimal"/>
          <w:cols w:space="0" w:num="1"/>
          <w:rtlGutter w:val="0"/>
          <w:docGrid w:type="lines" w:linePitch="312" w:charSpace="0"/>
        </w:sectPr>
      </w:pPr>
      <w:bookmarkStart w:id="7" w:name="_Toc521936041"/>
      <w:bookmarkStart w:id="8" w:name="_Toc522526780"/>
    </w:p>
    <w:p w14:paraId="358BBC54">
      <w:pPr>
        <w:widowControl/>
        <w:shd w:val="clear"/>
        <w:jc w:val="center"/>
        <w:rPr>
          <w:rFonts w:hint="eastAsia" w:ascii="黑体" w:hAnsi="黑体" w:eastAsia="黑体" w:cs="Times New Roman"/>
          <w:b/>
          <w:bCs/>
          <w:color w:val="auto"/>
          <w:sz w:val="44"/>
          <w:szCs w:val="44"/>
          <w:highlight w:val="none"/>
          <w:lang w:eastAsia="zh-CN"/>
        </w:rPr>
      </w:pPr>
      <w:r>
        <w:rPr>
          <w:rFonts w:hint="eastAsia" w:ascii="黑体" w:hAnsi="黑体" w:eastAsia="黑体" w:cs="Times New Roman"/>
          <w:b/>
          <w:bCs/>
          <w:color w:val="auto"/>
          <w:sz w:val="44"/>
          <w:szCs w:val="44"/>
          <w:highlight w:val="none"/>
          <w:lang w:eastAsia="zh-CN"/>
        </w:rPr>
        <w:t>报价明细表</w:t>
      </w:r>
    </w:p>
    <w:p w14:paraId="02F92ACB">
      <w:pPr>
        <w:pStyle w:val="176"/>
        <w:keepNext w:val="0"/>
        <w:keepLines w:val="0"/>
        <w:pageBreakBefore w:val="0"/>
        <w:widowControl w:val="0"/>
        <w:shd w:val="clear"/>
        <w:kinsoku/>
        <w:wordWrap/>
        <w:overflowPunct/>
        <w:topLinePunct w:val="0"/>
        <w:bidi w:val="0"/>
        <w:snapToGrid/>
        <w:spacing w:line="480" w:lineRule="exact"/>
        <w:ind w:right="0" w:rightChars="0" w:firstLine="0" w:firstLineChars="0"/>
        <w:jc w:val="right"/>
        <w:textAlignment w:val="auto"/>
        <w:rPr>
          <w:rFonts w:hint="default"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单位：元</w:t>
      </w:r>
    </w:p>
    <w:tbl>
      <w:tblPr>
        <w:tblStyle w:val="30"/>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2046"/>
        <w:gridCol w:w="2046"/>
        <w:gridCol w:w="1170"/>
        <w:gridCol w:w="1170"/>
        <w:gridCol w:w="1171"/>
        <w:gridCol w:w="1179"/>
      </w:tblGrid>
      <w:tr w14:paraId="7A68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588" w:type="pct"/>
            <w:noWrap w:val="0"/>
            <w:vAlign w:val="center"/>
          </w:tcPr>
          <w:p w14:paraId="017DB7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序号</w:t>
            </w:r>
          </w:p>
        </w:tc>
        <w:tc>
          <w:tcPr>
            <w:tcW w:w="1028" w:type="pct"/>
            <w:noWrap w:val="0"/>
            <w:vAlign w:val="center"/>
          </w:tcPr>
          <w:p w14:paraId="6CA338A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服务内容</w:t>
            </w:r>
          </w:p>
        </w:tc>
        <w:tc>
          <w:tcPr>
            <w:tcW w:w="1028" w:type="pct"/>
            <w:noWrap w:val="0"/>
            <w:vAlign w:val="center"/>
          </w:tcPr>
          <w:p w14:paraId="1A54B3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详细说明</w:t>
            </w:r>
          </w:p>
        </w:tc>
        <w:tc>
          <w:tcPr>
            <w:tcW w:w="588" w:type="pct"/>
            <w:noWrap w:val="0"/>
            <w:vAlign w:val="center"/>
          </w:tcPr>
          <w:p w14:paraId="2CBF99C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eastAsia="zh-CN"/>
              </w:rPr>
            </w:pPr>
            <w:r>
              <w:rPr>
                <w:rFonts w:hint="eastAsia" w:ascii="仿宋" w:hAnsi="仿宋" w:eastAsia="仿宋" w:cs="仿宋"/>
                <w:b/>
                <w:sz w:val="32"/>
                <w:szCs w:val="32"/>
                <w:highlight w:val="none"/>
                <w:lang w:val="en-US" w:eastAsia="zh-CN"/>
              </w:rPr>
              <w:t>数量</w:t>
            </w:r>
          </w:p>
        </w:tc>
        <w:tc>
          <w:tcPr>
            <w:tcW w:w="588" w:type="pct"/>
            <w:noWrap w:val="0"/>
            <w:vAlign w:val="center"/>
          </w:tcPr>
          <w:p w14:paraId="44008FC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lang w:val="en-US" w:eastAsia="zh-CN"/>
              </w:rPr>
            </w:pPr>
            <w:r>
              <w:rPr>
                <w:rFonts w:hint="eastAsia" w:ascii="仿宋" w:hAnsi="仿宋" w:eastAsia="仿宋" w:cs="仿宋"/>
                <w:b/>
                <w:sz w:val="32"/>
                <w:szCs w:val="32"/>
                <w:highlight w:val="none"/>
                <w:lang w:val="en-US" w:eastAsia="zh-CN"/>
              </w:rPr>
              <w:t>单位</w:t>
            </w:r>
          </w:p>
        </w:tc>
        <w:tc>
          <w:tcPr>
            <w:tcW w:w="588" w:type="pct"/>
            <w:noWrap w:val="0"/>
            <w:vAlign w:val="center"/>
          </w:tcPr>
          <w:p w14:paraId="30A6534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单价</w:t>
            </w:r>
          </w:p>
        </w:tc>
        <w:tc>
          <w:tcPr>
            <w:tcW w:w="588" w:type="pct"/>
            <w:noWrap w:val="0"/>
            <w:vAlign w:val="center"/>
          </w:tcPr>
          <w:p w14:paraId="126DBB6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b/>
                <w:sz w:val="32"/>
                <w:szCs w:val="32"/>
                <w:highlight w:val="none"/>
              </w:rPr>
            </w:pPr>
            <w:r>
              <w:rPr>
                <w:rFonts w:hint="eastAsia" w:ascii="仿宋" w:hAnsi="仿宋" w:eastAsia="仿宋" w:cs="仿宋"/>
                <w:b/>
                <w:sz w:val="32"/>
                <w:szCs w:val="32"/>
                <w:highlight w:val="none"/>
              </w:rPr>
              <w:t>合价</w:t>
            </w:r>
          </w:p>
        </w:tc>
      </w:tr>
      <w:tr w14:paraId="29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1BF63FF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3324EE48">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355C742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EEAB12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lang w:val="en-US" w:eastAsia="zh-CN"/>
              </w:rPr>
            </w:pPr>
          </w:p>
        </w:tc>
        <w:tc>
          <w:tcPr>
            <w:tcW w:w="588" w:type="pct"/>
            <w:tcBorders>
              <w:bottom w:val="single" w:color="auto" w:sz="4" w:space="0"/>
            </w:tcBorders>
            <w:noWrap w:val="0"/>
            <w:vAlign w:val="center"/>
          </w:tcPr>
          <w:p w14:paraId="3D108AC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399114D6">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18017B9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17A11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tcBorders>
              <w:bottom w:val="single" w:color="auto" w:sz="4" w:space="0"/>
            </w:tcBorders>
            <w:noWrap w:val="0"/>
            <w:vAlign w:val="center"/>
          </w:tcPr>
          <w:p w14:paraId="5A3406D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tcBorders>
              <w:bottom w:val="single" w:color="auto" w:sz="4" w:space="0"/>
            </w:tcBorders>
            <w:noWrap w:val="0"/>
            <w:vAlign w:val="center"/>
          </w:tcPr>
          <w:p w14:paraId="4F8D09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tcBorders>
              <w:bottom w:val="single" w:color="auto" w:sz="4" w:space="0"/>
            </w:tcBorders>
            <w:noWrap w:val="0"/>
            <w:vAlign w:val="center"/>
          </w:tcPr>
          <w:p w14:paraId="0AEE0251">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tcBorders>
              <w:bottom w:val="single" w:color="auto" w:sz="4" w:space="0"/>
            </w:tcBorders>
            <w:noWrap w:val="0"/>
            <w:vAlign w:val="center"/>
          </w:tcPr>
          <w:p w14:paraId="5498A07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22282ED0">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B62507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tcBorders>
              <w:bottom w:val="single" w:color="auto" w:sz="4" w:space="0"/>
            </w:tcBorders>
            <w:noWrap w:val="0"/>
            <w:vAlign w:val="center"/>
          </w:tcPr>
          <w:p w14:paraId="6C70FAC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424B2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2D3A443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7ED34C2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6252862">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03B6B37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E102A6D">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1955C812">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C609251">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055C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5616CBDF">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166F787A">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3BDF8239">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745A2F9A">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45D92AE5">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60072E8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0BAD8BE3">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21201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trPr>
        <w:tc>
          <w:tcPr>
            <w:tcW w:w="588" w:type="pct"/>
            <w:noWrap w:val="0"/>
            <w:vAlign w:val="center"/>
          </w:tcPr>
          <w:p w14:paraId="3C6F8238">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1028" w:type="pct"/>
            <w:noWrap w:val="0"/>
            <w:vAlign w:val="center"/>
          </w:tcPr>
          <w:p w14:paraId="3D69CF1E">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1028" w:type="pct"/>
            <w:noWrap w:val="0"/>
            <w:vAlign w:val="center"/>
          </w:tcPr>
          <w:p w14:paraId="01C81DBF">
            <w:pPr>
              <w:pStyle w:val="88"/>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color w:val="auto"/>
                <w:sz w:val="32"/>
                <w:szCs w:val="32"/>
                <w:highlight w:val="none"/>
                <w:lang w:val="zh-CN"/>
              </w:rPr>
            </w:pPr>
          </w:p>
        </w:tc>
        <w:tc>
          <w:tcPr>
            <w:tcW w:w="588" w:type="pct"/>
            <w:noWrap w:val="0"/>
            <w:vAlign w:val="center"/>
          </w:tcPr>
          <w:p w14:paraId="5FFFF88B">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7EB6F3BC">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216AD37E">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c>
          <w:tcPr>
            <w:tcW w:w="588" w:type="pct"/>
            <w:noWrap w:val="0"/>
            <w:vAlign w:val="center"/>
          </w:tcPr>
          <w:p w14:paraId="51928B14">
            <w:pPr>
              <w:keepNext w:val="0"/>
              <w:keepLines w:val="0"/>
              <w:pageBreakBefore w:val="0"/>
              <w:widowControl w:val="0"/>
              <w:shd w:val="clear"/>
              <w:kinsoku/>
              <w:wordWrap/>
              <w:overflowPunct/>
              <w:topLinePunct w:val="0"/>
              <w:bidi w:val="0"/>
              <w:snapToGrid/>
              <w:spacing w:line="480" w:lineRule="exact"/>
              <w:ind w:right="0" w:rightChars="0" w:firstLine="0" w:firstLineChars="0"/>
              <w:jc w:val="center"/>
              <w:textAlignment w:val="auto"/>
              <w:rPr>
                <w:rFonts w:hint="eastAsia" w:ascii="仿宋" w:hAnsi="仿宋" w:eastAsia="仿宋" w:cs="仿宋"/>
                <w:sz w:val="32"/>
                <w:szCs w:val="32"/>
                <w:highlight w:val="none"/>
              </w:rPr>
            </w:pPr>
          </w:p>
        </w:tc>
      </w:tr>
      <w:tr w14:paraId="58E9F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5000" w:type="pct"/>
            <w:gridSpan w:val="7"/>
            <w:tcBorders>
              <w:bottom w:val="single" w:color="auto" w:sz="4" w:space="0"/>
            </w:tcBorders>
            <w:noWrap w:val="0"/>
            <w:vAlign w:val="center"/>
          </w:tcPr>
          <w:p w14:paraId="33374CE4">
            <w:pPr>
              <w:keepNext w:val="0"/>
              <w:keepLines w:val="0"/>
              <w:pageBreakBefore w:val="0"/>
              <w:widowControl w:val="0"/>
              <w:shd w:val="clear"/>
              <w:kinsoku/>
              <w:wordWrap/>
              <w:overflowPunct/>
              <w:topLinePunct w:val="0"/>
              <w:bidi w:val="0"/>
              <w:snapToGrid/>
              <w:spacing w:line="480" w:lineRule="exact"/>
              <w:ind w:right="0" w:rightChars="0" w:firstLine="0" w:firstLineChars="0"/>
              <w:jc w:val="left"/>
              <w:textAlignment w:val="auto"/>
              <w:rPr>
                <w:rFonts w:hint="eastAsia" w:ascii="仿宋" w:hAnsi="仿宋" w:eastAsia="仿宋" w:cs="仿宋"/>
                <w:sz w:val="32"/>
                <w:szCs w:val="32"/>
                <w:highlight w:val="none"/>
              </w:rPr>
            </w:pPr>
            <w:r>
              <w:rPr>
                <w:rFonts w:hint="eastAsia" w:ascii="仿宋" w:hAnsi="仿宋" w:eastAsia="仿宋" w:cs="仿宋"/>
                <w:b/>
                <w:sz w:val="32"/>
                <w:szCs w:val="32"/>
                <w:highlight w:val="none"/>
              </w:rPr>
              <w:t xml:space="preserve">总报价：人民币 </w:t>
            </w:r>
            <w:r>
              <w:rPr>
                <w:rFonts w:hint="eastAsia" w:ascii="仿宋" w:hAnsi="仿宋" w:eastAsia="仿宋" w:cs="仿宋"/>
                <w:b/>
                <w:sz w:val="32"/>
                <w:szCs w:val="32"/>
                <w:highlight w:val="none"/>
                <w:u w:val="single"/>
              </w:rPr>
              <w:t xml:space="preserve">               </w:t>
            </w:r>
            <w:r>
              <w:rPr>
                <w:rFonts w:hint="eastAsia" w:ascii="仿宋" w:hAnsi="仿宋" w:eastAsia="仿宋" w:cs="仿宋"/>
                <w:b/>
                <w:sz w:val="32"/>
                <w:szCs w:val="32"/>
                <w:highlight w:val="none"/>
              </w:rPr>
              <w:t>元。</w:t>
            </w:r>
          </w:p>
        </w:tc>
      </w:tr>
    </w:tbl>
    <w:p w14:paraId="79FD20A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注：此表应详细填写。</w:t>
      </w:r>
    </w:p>
    <w:p w14:paraId="7E159223">
      <w:pPr>
        <w:pStyle w:val="21"/>
        <w:shd w:val="clear"/>
        <w:rPr>
          <w:rFonts w:hint="eastAsia" w:ascii="仿宋" w:hAnsi="仿宋" w:eastAsia="仿宋" w:cs="仿宋"/>
          <w:highlight w:val="none"/>
          <w:lang w:eastAsia="zh-CN"/>
        </w:rPr>
      </w:pPr>
    </w:p>
    <w:p w14:paraId="4DB51FBF">
      <w:pPr>
        <w:shd w:val="clear"/>
        <w:spacing w:line="440" w:lineRule="exact"/>
        <w:rPr>
          <w:rFonts w:hint="eastAsia" w:ascii="仿宋" w:hAnsi="仿宋" w:eastAsia="仿宋" w:cs="仿宋"/>
          <w:color w:val="auto"/>
          <w:sz w:val="24"/>
          <w:highlight w:val="none"/>
          <w:lang w:val="en-US" w:eastAsia="zh-CN"/>
        </w:rPr>
      </w:pPr>
    </w:p>
    <w:p w14:paraId="16639805">
      <w:pPr>
        <w:shd w:val="clear"/>
        <w:jc w:val="center"/>
        <w:rPr>
          <w:rFonts w:hint="eastAsia" w:ascii="仿宋" w:hAnsi="仿宋" w:eastAsia="仿宋" w:cs="仿宋"/>
          <w:color w:val="auto"/>
          <w:highlight w:val="none"/>
        </w:rPr>
      </w:pPr>
    </w:p>
    <w:p w14:paraId="13D0D25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9BEE5BF">
      <w:pPr>
        <w:shd w:val="clear"/>
        <w:rPr>
          <w:rFonts w:hint="eastAsia" w:ascii="仿宋" w:hAnsi="仿宋" w:eastAsia="仿宋" w:cs="仿宋"/>
          <w:color w:val="auto"/>
          <w:highlight w:val="none"/>
        </w:rPr>
      </w:pPr>
    </w:p>
    <w:p w14:paraId="6F35B77E">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7"/>
    <w:bookmarkEnd w:id="8"/>
    <w:p w14:paraId="7E30DD7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投标人资格证明文件</w:t>
      </w:r>
    </w:p>
    <w:p w14:paraId="6A703B3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lang w:eastAsia="zh-CN"/>
        </w:rPr>
      </w:pPr>
      <w:r>
        <w:rPr>
          <w:rFonts w:hint="eastAsia" w:eastAsia="黑体" w:cs="Times New Roman"/>
          <w:bCs/>
          <w:color w:val="auto"/>
          <w:sz w:val="32"/>
          <w:szCs w:val="32"/>
          <w:highlight w:val="none"/>
          <w:lang w:eastAsia="zh-CN"/>
        </w:rPr>
        <w:t>有效的年度考核合格的《律师事务所执业许可证》或《律师事务所分所执业许可证》扫描件或其他能证明具有独立承担民事责任的能力的证明材料扫描件</w:t>
      </w:r>
    </w:p>
    <w:p w14:paraId="58EB9A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2959AC1F">
      <w:pPr>
        <w:shd w:val="clear"/>
        <w:jc w:val="center"/>
        <w:rPr>
          <w:rFonts w:hint="eastAsia" w:ascii="仿宋" w:hAnsi="仿宋" w:eastAsia="仿宋" w:cs="仿宋"/>
          <w:color w:val="auto"/>
          <w:highlight w:val="none"/>
        </w:rPr>
      </w:pPr>
    </w:p>
    <w:p w14:paraId="1B1765AD">
      <w:pPr>
        <w:shd w:val="clear"/>
        <w:jc w:val="center"/>
        <w:rPr>
          <w:rFonts w:hint="eastAsia" w:ascii="仿宋" w:hAnsi="仿宋" w:eastAsia="仿宋" w:cs="仿宋"/>
          <w:color w:val="auto"/>
          <w:highlight w:val="none"/>
        </w:rPr>
      </w:pPr>
    </w:p>
    <w:p w14:paraId="7427F16F">
      <w:pPr>
        <w:shd w:val="clear"/>
        <w:jc w:val="center"/>
        <w:rPr>
          <w:rFonts w:hint="eastAsia" w:ascii="仿宋" w:hAnsi="仿宋" w:eastAsia="仿宋" w:cs="仿宋"/>
          <w:color w:val="auto"/>
          <w:highlight w:val="none"/>
        </w:rPr>
      </w:pPr>
    </w:p>
    <w:p w14:paraId="607C2F0B">
      <w:pPr>
        <w:shd w:val="clear"/>
        <w:jc w:val="center"/>
        <w:rPr>
          <w:rFonts w:hint="eastAsia" w:ascii="仿宋" w:hAnsi="仿宋" w:eastAsia="仿宋" w:cs="仿宋"/>
          <w:color w:val="auto"/>
          <w:highlight w:val="none"/>
        </w:rPr>
      </w:pPr>
    </w:p>
    <w:p w14:paraId="5B56C85C">
      <w:pPr>
        <w:shd w:val="clear"/>
        <w:jc w:val="center"/>
        <w:rPr>
          <w:rFonts w:hint="eastAsia" w:ascii="仿宋" w:hAnsi="仿宋" w:eastAsia="仿宋" w:cs="仿宋"/>
          <w:color w:val="auto"/>
          <w:highlight w:val="none"/>
        </w:rPr>
      </w:pPr>
    </w:p>
    <w:p w14:paraId="67FBCA46">
      <w:pPr>
        <w:shd w:val="clear"/>
        <w:jc w:val="center"/>
        <w:rPr>
          <w:rFonts w:hint="eastAsia" w:ascii="仿宋" w:hAnsi="仿宋" w:eastAsia="仿宋" w:cs="仿宋"/>
          <w:color w:val="auto"/>
          <w:highlight w:val="none"/>
        </w:rPr>
      </w:pPr>
    </w:p>
    <w:p w14:paraId="5BFAE080">
      <w:pPr>
        <w:shd w:val="clear"/>
        <w:jc w:val="center"/>
        <w:rPr>
          <w:rFonts w:hint="eastAsia" w:ascii="仿宋" w:hAnsi="仿宋" w:eastAsia="仿宋" w:cs="仿宋"/>
          <w:color w:val="auto"/>
          <w:highlight w:val="none"/>
        </w:rPr>
      </w:pPr>
    </w:p>
    <w:p w14:paraId="4CB80FAF">
      <w:pPr>
        <w:shd w:val="clear"/>
        <w:jc w:val="center"/>
        <w:rPr>
          <w:rFonts w:hint="eastAsia" w:ascii="仿宋" w:hAnsi="仿宋" w:eastAsia="仿宋" w:cs="仿宋"/>
          <w:color w:val="auto"/>
          <w:highlight w:val="none"/>
        </w:rPr>
      </w:pPr>
    </w:p>
    <w:p w14:paraId="1A95AB6A">
      <w:pPr>
        <w:shd w:val="clear"/>
        <w:jc w:val="center"/>
        <w:rPr>
          <w:rFonts w:hint="eastAsia" w:ascii="仿宋" w:hAnsi="仿宋" w:eastAsia="仿宋" w:cs="仿宋"/>
          <w:color w:val="auto"/>
          <w:highlight w:val="none"/>
        </w:rPr>
      </w:pPr>
    </w:p>
    <w:p w14:paraId="3B12E262">
      <w:pPr>
        <w:shd w:val="clear"/>
        <w:jc w:val="center"/>
        <w:rPr>
          <w:rFonts w:hint="eastAsia" w:ascii="仿宋" w:hAnsi="仿宋" w:eastAsia="仿宋" w:cs="仿宋"/>
          <w:color w:val="auto"/>
          <w:highlight w:val="none"/>
        </w:rPr>
      </w:pPr>
    </w:p>
    <w:p w14:paraId="7D085D88">
      <w:pPr>
        <w:shd w:val="clear"/>
        <w:jc w:val="center"/>
        <w:rPr>
          <w:rFonts w:hint="eastAsia" w:ascii="仿宋" w:hAnsi="仿宋" w:eastAsia="仿宋" w:cs="仿宋"/>
          <w:color w:val="auto"/>
          <w:highlight w:val="none"/>
        </w:rPr>
      </w:pPr>
    </w:p>
    <w:p w14:paraId="6EB753C7">
      <w:pPr>
        <w:shd w:val="clear"/>
        <w:jc w:val="center"/>
        <w:rPr>
          <w:rFonts w:hint="eastAsia" w:ascii="仿宋" w:hAnsi="仿宋" w:eastAsia="仿宋" w:cs="仿宋"/>
          <w:color w:val="auto"/>
          <w:highlight w:val="none"/>
        </w:rPr>
      </w:pPr>
    </w:p>
    <w:p w14:paraId="06470B19">
      <w:pPr>
        <w:shd w:val="clear"/>
        <w:jc w:val="center"/>
        <w:rPr>
          <w:rFonts w:hint="eastAsia" w:ascii="仿宋" w:hAnsi="仿宋" w:eastAsia="仿宋" w:cs="仿宋"/>
          <w:color w:val="auto"/>
          <w:highlight w:val="none"/>
        </w:rPr>
      </w:pPr>
    </w:p>
    <w:p w14:paraId="362C3D91">
      <w:pPr>
        <w:shd w:val="clear"/>
        <w:jc w:val="center"/>
        <w:rPr>
          <w:rFonts w:hint="eastAsia" w:ascii="仿宋" w:hAnsi="仿宋" w:eastAsia="仿宋" w:cs="仿宋"/>
          <w:color w:val="auto"/>
          <w:highlight w:val="none"/>
        </w:rPr>
      </w:pPr>
    </w:p>
    <w:p w14:paraId="5ED480BF">
      <w:pPr>
        <w:shd w:val="clear"/>
        <w:jc w:val="center"/>
        <w:rPr>
          <w:rFonts w:hint="eastAsia" w:ascii="仿宋" w:hAnsi="仿宋" w:eastAsia="仿宋" w:cs="仿宋"/>
          <w:color w:val="auto"/>
          <w:highlight w:val="none"/>
        </w:rPr>
      </w:pPr>
    </w:p>
    <w:p w14:paraId="51D93D92">
      <w:pPr>
        <w:shd w:val="clear"/>
        <w:jc w:val="center"/>
        <w:rPr>
          <w:rFonts w:hint="eastAsia" w:ascii="仿宋" w:hAnsi="仿宋" w:eastAsia="仿宋" w:cs="仿宋"/>
          <w:color w:val="auto"/>
          <w:highlight w:val="none"/>
        </w:rPr>
      </w:pPr>
    </w:p>
    <w:p w14:paraId="4C0938FC">
      <w:pPr>
        <w:shd w:val="clear"/>
        <w:jc w:val="center"/>
        <w:rPr>
          <w:rFonts w:hint="eastAsia" w:ascii="仿宋" w:hAnsi="仿宋" w:eastAsia="仿宋" w:cs="仿宋"/>
          <w:color w:val="auto"/>
          <w:highlight w:val="none"/>
        </w:rPr>
      </w:pPr>
    </w:p>
    <w:p w14:paraId="65DB1D7A">
      <w:pPr>
        <w:shd w:val="clear"/>
        <w:jc w:val="center"/>
        <w:rPr>
          <w:rFonts w:hint="eastAsia" w:ascii="仿宋" w:hAnsi="仿宋" w:eastAsia="仿宋" w:cs="仿宋"/>
          <w:color w:val="auto"/>
          <w:highlight w:val="none"/>
        </w:rPr>
      </w:pPr>
    </w:p>
    <w:p w14:paraId="03316236">
      <w:pPr>
        <w:shd w:val="clear"/>
        <w:jc w:val="center"/>
        <w:rPr>
          <w:rFonts w:hint="eastAsia" w:ascii="仿宋" w:hAnsi="仿宋" w:eastAsia="仿宋" w:cs="仿宋"/>
          <w:color w:val="auto"/>
          <w:highlight w:val="none"/>
        </w:rPr>
      </w:pPr>
    </w:p>
    <w:p w14:paraId="139BD0ED">
      <w:pPr>
        <w:shd w:val="clear"/>
        <w:jc w:val="center"/>
        <w:rPr>
          <w:rFonts w:hint="eastAsia" w:ascii="仿宋" w:hAnsi="仿宋" w:eastAsia="仿宋" w:cs="仿宋"/>
          <w:color w:val="auto"/>
          <w:highlight w:val="none"/>
        </w:rPr>
      </w:pPr>
    </w:p>
    <w:p w14:paraId="70DCAA1F">
      <w:pPr>
        <w:shd w:val="clear"/>
        <w:jc w:val="center"/>
        <w:rPr>
          <w:rFonts w:hint="eastAsia" w:ascii="仿宋" w:hAnsi="仿宋" w:eastAsia="仿宋" w:cs="仿宋"/>
          <w:color w:val="auto"/>
          <w:highlight w:val="none"/>
        </w:rPr>
      </w:pPr>
    </w:p>
    <w:p w14:paraId="24D5C274">
      <w:pPr>
        <w:shd w:val="clear"/>
        <w:jc w:val="center"/>
        <w:rPr>
          <w:rFonts w:hint="eastAsia" w:ascii="仿宋" w:hAnsi="仿宋" w:eastAsia="仿宋" w:cs="仿宋"/>
          <w:color w:val="auto"/>
          <w:highlight w:val="none"/>
        </w:rPr>
      </w:pPr>
    </w:p>
    <w:p w14:paraId="7A4339D3">
      <w:pPr>
        <w:shd w:val="clear"/>
        <w:jc w:val="center"/>
        <w:rPr>
          <w:rFonts w:hint="eastAsia" w:ascii="仿宋" w:hAnsi="仿宋" w:eastAsia="仿宋" w:cs="仿宋"/>
          <w:color w:val="auto"/>
          <w:highlight w:val="none"/>
        </w:rPr>
      </w:pPr>
    </w:p>
    <w:p w14:paraId="025B3EE4">
      <w:pPr>
        <w:shd w:val="clear"/>
        <w:jc w:val="center"/>
        <w:rPr>
          <w:rFonts w:hint="eastAsia" w:ascii="仿宋" w:hAnsi="仿宋" w:eastAsia="仿宋" w:cs="仿宋"/>
          <w:color w:val="auto"/>
          <w:highlight w:val="none"/>
        </w:rPr>
      </w:pPr>
    </w:p>
    <w:p w14:paraId="68F62081">
      <w:pPr>
        <w:shd w:val="clear"/>
        <w:jc w:val="center"/>
        <w:rPr>
          <w:rFonts w:hint="eastAsia" w:ascii="仿宋" w:hAnsi="仿宋" w:eastAsia="仿宋" w:cs="仿宋"/>
          <w:color w:val="auto"/>
          <w:highlight w:val="none"/>
        </w:rPr>
      </w:pPr>
    </w:p>
    <w:p w14:paraId="471C3C8D">
      <w:pPr>
        <w:shd w:val="clear"/>
        <w:jc w:val="center"/>
        <w:rPr>
          <w:rFonts w:hint="eastAsia" w:ascii="仿宋" w:hAnsi="仿宋" w:eastAsia="仿宋" w:cs="仿宋"/>
          <w:color w:val="auto"/>
          <w:highlight w:val="none"/>
        </w:rPr>
      </w:pPr>
    </w:p>
    <w:p w14:paraId="6B8E4103">
      <w:pPr>
        <w:shd w:val="clear"/>
        <w:jc w:val="center"/>
        <w:rPr>
          <w:rFonts w:hint="eastAsia" w:ascii="仿宋" w:hAnsi="仿宋" w:eastAsia="仿宋" w:cs="仿宋"/>
          <w:color w:val="auto"/>
          <w:highlight w:val="none"/>
        </w:rPr>
      </w:pPr>
    </w:p>
    <w:p w14:paraId="60D2269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bookmarkStart w:id="9" w:name="_Toc522526782"/>
      <w:bookmarkStart w:id="10" w:name="_Toc521936044"/>
    </w:p>
    <w:p w14:paraId="2C34D931">
      <w:pPr>
        <w:keepNext/>
        <w:keepLines/>
        <w:shd w:val="clear"/>
        <w:spacing w:line="560" w:lineRule="exact"/>
        <w:jc w:val="center"/>
        <w:outlineLvl w:val="2"/>
        <w:rPr>
          <w:rFonts w:hint="default" w:ascii="Times New Roman" w:hAnsi="Times New Roman" w:eastAsia="黑体" w:cs="Times New Roman"/>
          <w:bCs/>
          <w:color w:val="auto"/>
          <w:sz w:val="32"/>
          <w:szCs w:val="32"/>
          <w:highlight w:val="none"/>
          <w:lang w:val="en-US" w:eastAsia="zh-CN"/>
        </w:rPr>
      </w:pPr>
      <w:r>
        <w:rPr>
          <w:rFonts w:hint="eastAsia" w:eastAsia="黑体" w:cs="Times New Roman"/>
          <w:bCs/>
          <w:color w:val="auto"/>
          <w:sz w:val="32"/>
          <w:szCs w:val="32"/>
          <w:highlight w:val="none"/>
          <w:lang w:eastAsia="zh-CN"/>
        </w:rPr>
        <w:t>总所授权（</w:t>
      </w:r>
      <w:r>
        <w:rPr>
          <w:rFonts w:hint="eastAsia" w:eastAsia="黑体" w:cs="Times New Roman"/>
          <w:bCs/>
          <w:color w:val="auto"/>
          <w:sz w:val="32"/>
          <w:szCs w:val="32"/>
          <w:highlight w:val="none"/>
          <w:lang w:val="en-US" w:eastAsia="zh-CN"/>
        </w:rPr>
        <w:t>如有）</w:t>
      </w:r>
    </w:p>
    <w:p w14:paraId="1C99590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7A9924E">
      <w:pPr>
        <w:shd w:val="clear"/>
        <w:jc w:val="center"/>
        <w:rPr>
          <w:rFonts w:hint="eastAsia" w:ascii="仿宋" w:hAnsi="仿宋" w:eastAsia="仿宋" w:cs="仿宋"/>
          <w:color w:val="auto"/>
          <w:highlight w:val="none"/>
        </w:rPr>
      </w:pPr>
    </w:p>
    <w:p w14:paraId="63AD1BAA">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highlight w:val="none"/>
        </w:rPr>
      </w:pPr>
      <w:r>
        <w:rPr>
          <w:rFonts w:hint="eastAsia" w:ascii="仿宋" w:hAnsi="仿宋" w:eastAsia="仿宋" w:cs="仿宋"/>
          <w:color w:val="auto"/>
          <w:sz w:val="28"/>
          <w:szCs w:val="28"/>
          <w:highlight w:val="none"/>
          <w:lang w:eastAsia="zh-CN"/>
        </w:rPr>
        <w:t>分所参与投标的，须提供总所授权（</w:t>
      </w:r>
      <w:r>
        <w:rPr>
          <w:rFonts w:hint="eastAsia" w:ascii="仿宋" w:hAnsi="仿宋" w:eastAsia="仿宋" w:cs="仿宋"/>
          <w:color w:val="auto"/>
          <w:sz w:val="28"/>
          <w:szCs w:val="28"/>
          <w:highlight w:val="none"/>
          <w:lang w:val="en-US" w:eastAsia="zh-CN"/>
        </w:rPr>
        <w:t>格式自拟）</w:t>
      </w:r>
      <w:r>
        <w:rPr>
          <w:rFonts w:hint="eastAsia" w:ascii="仿宋" w:hAnsi="仿宋" w:eastAsia="仿宋" w:cs="仿宋"/>
          <w:color w:val="auto"/>
          <w:sz w:val="28"/>
          <w:szCs w:val="28"/>
          <w:highlight w:val="none"/>
          <w:lang w:eastAsia="zh-CN"/>
        </w:rPr>
        <w:t>且每个总所只能有一个分所参与投标</w:t>
      </w:r>
      <w:r>
        <w:rPr>
          <w:rFonts w:hint="eastAsia" w:ascii="仿宋" w:hAnsi="仿宋" w:eastAsia="仿宋" w:cs="仿宋"/>
          <w:color w:val="auto"/>
          <w:sz w:val="28"/>
          <w:szCs w:val="28"/>
          <w:highlight w:val="none"/>
        </w:rPr>
        <w:t>；</w:t>
      </w:r>
    </w:p>
    <w:p w14:paraId="60A28796">
      <w:pPr>
        <w:shd w:val="clear"/>
        <w:jc w:val="center"/>
        <w:rPr>
          <w:rFonts w:hint="eastAsia" w:ascii="仿宋" w:hAnsi="仿宋" w:eastAsia="仿宋" w:cs="仿宋"/>
          <w:color w:val="auto"/>
          <w:highlight w:val="none"/>
        </w:rPr>
      </w:pPr>
    </w:p>
    <w:p w14:paraId="1CC21463">
      <w:pPr>
        <w:shd w:val="clear"/>
        <w:jc w:val="center"/>
        <w:rPr>
          <w:rFonts w:hint="eastAsia" w:ascii="仿宋" w:hAnsi="仿宋" w:eastAsia="仿宋" w:cs="仿宋"/>
          <w:color w:val="auto"/>
          <w:highlight w:val="none"/>
        </w:rPr>
      </w:pPr>
    </w:p>
    <w:p w14:paraId="781BA868">
      <w:pPr>
        <w:shd w:val="clear"/>
        <w:jc w:val="center"/>
        <w:rPr>
          <w:rFonts w:hint="eastAsia" w:ascii="仿宋" w:hAnsi="仿宋" w:eastAsia="仿宋" w:cs="仿宋"/>
          <w:color w:val="auto"/>
          <w:highlight w:val="none"/>
        </w:rPr>
      </w:pPr>
    </w:p>
    <w:p w14:paraId="2F3B6454">
      <w:pPr>
        <w:shd w:val="clear"/>
        <w:jc w:val="center"/>
        <w:rPr>
          <w:rFonts w:hint="eastAsia" w:ascii="仿宋" w:hAnsi="仿宋" w:eastAsia="仿宋" w:cs="仿宋"/>
          <w:color w:val="auto"/>
          <w:highlight w:val="none"/>
        </w:rPr>
      </w:pPr>
    </w:p>
    <w:p w14:paraId="053B11CD">
      <w:pPr>
        <w:shd w:val="clear"/>
        <w:jc w:val="center"/>
        <w:rPr>
          <w:rFonts w:hint="eastAsia" w:ascii="仿宋" w:hAnsi="仿宋" w:eastAsia="仿宋" w:cs="仿宋"/>
          <w:color w:val="auto"/>
          <w:highlight w:val="none"/>
        </w:rPr>
      </w:pPr>
    </w:p>
    <w:p w14:paraId="65C87030">
      <w:pPr>
        <w:shd w:val="clear"/>
        <w:jc w:val="center"/>
        <w:rPr>
          <w:rFonts w:hint="eastAsia" w:ascii="仿宋" w:hAnsi="仿宋" w:eastAsia="仿宋" w:cs="仿宋"/>
          <w:color w:val="auto"/>
          <w:highlight w:val="none"/>
        </w:rPr>
      </w:pPr>
    </w:p>
    <w:p w14:paraId="21DFB15A">
      <w:pPr>
        <w:shd w:val="clear"/>
        <w:jc w:val="center"/>
        <w:rPr>
          <w:rFonts w:hint="eastAsia" w:ascii="仿宋" w:hAnsi="仿宋" w:eastAsia="仿宋" w:cs="仿宋"/>
          <w:color w:val="auto"/>
          <w:highlight w:val="none"/>
        </w:rPr>
      </w:pPr>
    </w:p>
    <w:p w14:paraId="3CAA88E5">
      <w:pPr>
        <w:shd w:val="clear"/>
        <w:jc w:val="center"/>
        <w:rPr>
          <w:rFonts w:hint="eastAsia" w:ascii="仿宋" w:hAnsi="仿宋" w:eastAsia="仿宋" w:cs="仿宋"/>
          <w:color w:val="auto"/>
          <w:highlight w:val="none"/>
        </w:rPr>
      </w:pPr>
    </w:p>
    <w:p w14:paraId="046D7D77">
      <w:pPr>
        <w:shd w:val="clear"/>
        <w:jc w:val="center"/>
        <w:rPr>
          <w:rFonts w:hint="eastAsia" w:ascii="仿宋" w:hAnsi="仿宋" w:eastAsia="仿宋" w:cs="仿宋"/>
          <w:color w:val="auto"/>
          <w:highlight w:val="none"/>
        </w:rPr>
      </w:pPr>
    </w:p>
    <w:p w14:paraId="295A9017">
      <w:pPr>
        <w:shd w:val="clear"/>
        <w:jc w:val="center"/>
        <w:rPr>
          <w:rFonts w:hint="eastAsia" w:ascii="仿宋" w:hAnsi="仿宋" w:eastAsia="仿宋" w:cs="仿宋"/>
          <w:color w:val="auto"/>
          <w:highlight w:val="none"/>
        </w:rPr>
      </w:pPr>
    </w:p>
    <w:p w14:paraId="0C7A51D8">
      <w:pPr>
        <w:shd w:val="clear"/>
        <w:jc w:val="center"/>
        <w:rPr>
          <w:rFonts w:hint="eastAsia" w:ascii="仿宋" w:hAnsi="仿宋" w:eastAsia="仿宋" w:cs="仿宋"/>
          <w:color w:val="auto"/>
          <w:highlight w:val="none"/>
        </w:rPr>
      </w:pPr>
    </w:p>
    <w:p w14:paraId="020533DA">
      <w:pPr>
        <w:shd w:val="clear"/>
        <w:jc w:val="center"/>
        <w:rPr>
          <w:rFonts w:hint="eastAsia" w:ascii="仿宋" w:hAnsi="仿宋" w:eastAsia="仿宋" w:cs="仿宋"/>
          <w:color w:val="auto"/>
          <w:highlight w:val="none"/>
        </w:rPr>
      </w:pPr>
    </w:p>
    <w:p w14:paraId="5731A859">
      <w:pPr>
        <w:shd w:val="clear"/>
        <w:jc w:val="center"/>
        <w:rPr>
          <w:rFonts w:hint="eastAsia" w:ascii="仿宋" w:hAnsi="仿宋" w:eastAsia="仿宋" w:cs="仿宋"/>
          <w:color w:val="auto"/>
          <w:highlight w:val="none"/>
        </w:rPr>
      </w:pPr>
    </w:p>
    <w:p w14:paraId="2F67F3E0">
      <w:pPr>
        <w:shd w:val="clear"/>
        <w:jc w:val="center"/>
        <w:rPr>
          <w:rFonts w:hint="eastAsia" w:ascii="仿宋" w:hAnsi="仿宋" w:eastAsia="仿宋" w:cs="仿宋"/>
          <w:color w:val="auto"/>
          <w:highlight w:val="none"/>
        </w:rPr>
      </w:pPr>
    </w:p>
    <w:p w14:paraId="515DAC94">
      <w:pPr>
        <w:shd w:val="clear"/>
        <w:jc w:val="center"/>
        <w:rPr>
          <w:rFonts w:hint="eastAsia" w:ascii="仿宋" w:hAnsi="仿宋" w:eastAsia="仿宋" w:cs="仿宋"/>
          <w:color w:val="auto"/>
          <w:highlight w:val="none"/>
        </w:rPr>
      </w:pPr>
    </w:p>
    <w:p w14:paraId="25920E87">
      <w:pPr>
        <w:shd w:val="clear"/>
        <w:jc w:val="center"/>
        <w:rPr>
          <w:rFonts w:hint="eastAsia" w:ascii="仿宋" w:hAnsi="仿宋" w:eastAsia="仿宋" w:cs="仿宋"/>
          <w:color w:val="auto"/>
          <w:highlight w:val="none"/>
        </w:rPr>
      </w:pPr>
    </w:p>
    <w:p w14:paraId="1F49604A">
      <w:pPr>
        <w:shd w:val="clear"/>
        <w:jc w:val="center"/>
        <w:rPr>
          <w:rFonts w:hint="eastAsia" w:ascii="仿宋" w:hAnsi="仿宋" w:eastAsia="仿宋" w:cs="仿宋"/>
          <w:color w:val="auto"/>
          <w:highlight w:val="none"/>
        </w:rPr>
      </w:pPr>
    </w:p>
    <w:p w14:paraId="5770AE27">
      <w:pPr>
        <w:shd w:val="clear"/>
        <w:jc w:val="center"/>
        <w:rPr>
          <w:rFonts w:hint="eastAsia" w:ascii="仿宋" w:hAnsi="仿宋" w:eastAsia="仿宋" w:cs="仿宋"/>
          <w:color w:val="auto"/>
          <w:highlight w:val="none"/>
        </w:rPr>
      </w:pPr>
    </w:p>
    <w:p w14:paraId="60F67ADB">
      <w:pPr>
        <w:shd w:val="clear"/>
        <w:jc w:val="center"/>
        <w:rPr>
          <w:rFonts w:hint="eastAsia" w:ascii="仿宋" w:hAnsi="仿宋" w:eastAsia="仿宋" w:cs="仿宋"/>
          <w:color w:val="auto"/>
          <w:highlight w:val="none"/>
        </w:rPr>
      </w:pPr>
    </w:p>
    <w:p w14:paraId="0DDCE34D">
      <w:pPr>
        <w:shd w:val="clear"/>
        <w:jc w:val="center"/>
        <w:rPr>
          <w:rFonts w:hint="eastAsia" w:ascii="仿宋" w:hAnsi="仿宋" w:eastAsia="仿宋" w:cs="仿宋"/>
          <w:color w:val="auto"/>
          <w:highlight w:val="none"/>
        </w:rPr>
      </w:pPr>
    </w:p>
    <w:p w14:paraId="318C5096">
      <w:pPr>
        <w:shd w:val="clear"/>
        <w:jc w:val="center"/>
        <w:rPr>
          <w:rFonts w:hint="eastAsia" w:ascii="仿宋" w:hAnsi="仿宋" w:eastAsia="仿宋" w:cs="仿宋"/>
          <w:color w:val="auto"/>
          <w:highlight w:val="none"/>
        </w:rPr>
      </w:pPr>
    </w:p>
    <w:p w14:paraId="11D1F1EE">
      <w:pPr>
        <w:shd w:val="clear"/>
        <w:jc w:val="center"/>
        <w:rPr>
          <w:rFonts w:hint="eastAsia" w:ascii="仿宋" w:hAnsi="仿宋" w:eastAsia="仿宋" w:cs="仿宋"/>
          <w:color w:val="auto"/>
          <w:highlight w:val="none"/>
        </w:rPr>
      </w:pPr>
    </w:p>
    <w:p w14:paraId="01F03037">
      <w:pPr>
        <w:shd w:val="clear"/>
        <w:jc w:val="center"/>
        <w:rPr>
          <w:rFonts w:hint="eastAsia" w:ascii="仿宋" w:hAnsi="仿宋" w:eastAsia="仿宋" w:cs="仿宋"/>
          <w:color w:val="auto"/>
          <w:highlight w:val="none"/>
        </w:rPr>
      </w:pPr>
    </w:p>
    <w:p w14:paraId="4B341B1B">
      <w:pPr>
        <w:shd w:val="clear"/>
        <w:jc w:val="center"/>
        <w:rPr>
          <w:rFonts w:hint="eastAsia" w:ascii="仿宋" w:hAnsi="仿宋" w:eastAsia="仿宋" w:cs="仿宋"/>
          <w:color w:val="auto"/>
          <w:highlight w:val="none"/>
        </w:rPr>
      </w:pPr>
    </w:p>
    <w:p w14:paraId="55FFFCA5">
      <w:pPr>
        <w:shd w:val="clear"/>
        <w:jc w:val="center"/>
        <w:rPr>
          <w:rFonts w:hint="eastAsia" w:ascii="仿宋" w:hAnsi="仿宋" w:eastAsia="仿宋" w:cs="仿宋"/>
          <w:color w:val="auto"/>
          <w:highlight w:val="none"/>
        </w:rPr>
      </w:pPr>
    </w:p>
    <w:p w14:paraId="0D67441F">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6DB645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法定代表人/单位负责人身份证明书</w:t>
      </w:r>
    </w:p>
    <w:p w14:paraId="4192D133">
      <w:pPr>
        <w:shd w:val="clear"/>
        <w:jc w:val="center"/>
        <w:rPr>
          <w:rFonts w:hint="eastAsia" w:ascii="仿宋" w:hAnsi="仿宋" w:eastAsia="仿宋" w:cs="仿宋"/>
          <w:color w:val="auto"/>
          <w:highlight w:val="none"/>
        </w:rPr>
      </w:pPr>
    </w:p>
    <w:p w14:paraId="57CDDDD5">
      <w:pPr>
        <w:shd w:val="clear"/>
        <w:spacing w:line="560" w:lineRule="exact"/>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致</w:t>
      </w:r>
      <w:r>
        <w:rPr>
          <w:rFonts w:hint="eastAsia" w:ascii="仿宋" w:hAnsi="仿宋" w:eastAsia="仿宋" w:cs="仿宋"/>
          <w:color w:val="auto"/>
          <w:kern w:val="0"/>
          <w:sz w:val="30"/>
          <w:szCs w:val="30"/>
          <w:highlight w:val="none"/>
          <w:lang w:eastAsia="zh-CN"/>
        </w:rPr>
        <w:t>山东志诚工程咨询管理有限公司</w:t>
      </w:r>
      <w:r>
        <w:rPr>
          <w:rFonts w:hint="eastAsia" w:ascii="仿宋" w:hAnsi="仿宋" w:eastAsia="仿宋" w:cs="仿宋"/>
          <w:color w:val="auto"/>
          <w:kern w:val="0"/>
          <w:sz w:val="30"/>
          <w:szCs w:val="30"/>
          <w:highlight w:val="none"/>
        </w:rPr>
        <w:t>：</w:t>
      </w:r>
    </w:p>
    <w:p w14:paraId="3F883803">
      <w:pPr>
        <w:shd w:val="clear"/>
        <w:spacing w:line="560" w:lineRule="exact"/>
        <w:ind w:firstLine="600" w:firstLineChars="200"/>
        <w:rPr>
          <w:rFonts w:hint="eastAsia" w:ascii="仿宋" w:hAnsi="仿宋" w:eastAsia="仿宋" w:cs="仿宋"/>
          <w:color w:val="auto"/>
          <w:kern w:val="0"/>
          <w:sz w:val="30"/>
          <w:szCs w:val="30"/>
          <w:highlight w:val="none"/>
        </w:rPr>
      </w:pPr>
    </w:p>
    <w:p w14:paraId="52C7B4F9">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u w:val="single"/>
        </w:rPr>
        <w:t>（姓名、性别、年龄、身份证号码）</w:t>
      </w:r>
      <w:r>
        <w:rPr>
          <w:rFonts w:hint="eastAsia" w:ascii="仿宋" w:hAnsi="仿宋" w:eastAsia="仿宋" w:cs="仿宋"/>
          <w:color w:val="auto"/>
          <w:kern w:val="0"/>
          <w:sz w:val="30"/>
          <w:szCs w:val="30"/>
          <w:highlight w:val="none"/>
        </w:rPr>
        <w:t>在我单位任</w:t>
      </w:r>
      <w:r>
        <w:rPr>
          <w:rFonts w:hint="eastAsia" w:ascii="仿宋" w:hAnsi="仿宋" w:eastAsia="仿宋" w:cs="仿宋"/>
          <w:color w:val="auto"/>
          <w:kern w:val="0"/>
          <w:sz w:val="30"/>
          <w:szCs w:val="30"/>
          <w:highlight w:val="none"/>
          <w:u w:val="single"/>
        </w:rPr>
        <w:t>（董事长、总经理等）</w:t>
      </w:r>
      <w:r>
        <w:rPr>
          <w:rFonts w:hint="eastAsia" w:ascii="仿宋" w:hAnsi="仿宋" w:eastAsia="仿宋" w:cs="仿宋"/>
          <w:color w:val="auto"/>
          <w:kern w:val="0"/>
          <w:sz w:val="30"/>
          <w:szCs w:val="30"/>
          <w:highlight w:val="none"/>
        </w:rPr>
        <w:t>职务</w:t>
      </w:r>
      <w:r>
        <w:rPr>
          <w:rFonts w:hint="eastAsia" w:ascii="仿宋" w:hAnsi="仿宋" w:eastAsia="仿宋" w:cs="仿宋"/>
          <w:color w:val="auto"/>
          <w:kern w:val="0"/>
          <w:sz w:val="30"/>
          <w:szCs w:val="30"/>
          <w:highlight w:val="none"/>
          <w:lang w:eastAsia="zh-CN"/>
        </w:rPr>
        <w:t>，</w:t>
      </w:r>
      <w:r>
        <w:rPr>
          <w:rFonts w:hint="eastAsia" w:ascii="仿宋" w:hAnsi="仿宋" w:eastAsia="仿宋" w:cs="仿宋"/>
          <w:color w:val="auto"/>
          <w:kern w:val="0"/>
          <w:sz w:val="30"/>
          <w:szCs w:val="30"/>
          <w:highlight w:val="none"/>
        </w:rPr>
        <w:t>是我单位的法定代表人/</w:t>
      </w:r>
      <w:r>
        <w:rPr>
          <w:rFonts w:hint="eastAsia" w:ascii="仿宋" w:hAnsi="仿宋" w:eastAsia="仿宋" w:cs="仿宋"/>
          <w:color w:val="auto"/>
          <w:kern w:val="0"/>
          <w:sz w:val="30"/>
          <w:szCs w:val="30"/>
          <w:highlight w:val="none"/>
          <w:lang w:val="en-US" w:eastAsia="zh-CN"/>
        </w:rPr>
        <w:t>单位</w:t>
      </w:r>
      <w:r>
        <w:rPr>
          <w:rFonts w:hint="eastAsia" w:ascii="仿宋" w:hAnsi="仿宋" w:eastAsia="仿宋" w:cs="仿宋"/>
          <w:color w:val="auto"/>
          <w:kern w:val="0"/>
          <w:sz w:val="30"/>
          <w:szCs w:val="30"/>
          <w:highlight w:val="none"/>
        </w:rPr>
        <w:t>负责人。</w:t>
      </w:r>
    </w:p>
    <w:p w14:paraId="1607EC30">
      <w:pPr>
        <w:shd w:val="clear"/>
        <w:spacing w:line="560" w:lineRule="exact"/>
        <w:ind w:firstLine="600" w:firstLineChars="200"/>
        <w:rPr>
          <w:rFonts w:hint="eastAsia" w:ascii="仿宋" w:hAnsi="仿宋" w:eastAsia="仿宋" w:cs="仿宋"/>
          <w:color w:val="auto"/>
          <w:kern w:val="0"/>
          <w:sz w:val="30"/>
          <w:szCs w:val="30"/>
          <w:highlight w:val="none"/>
        </w:rPr>
      </w:pPr>
    </w:p>
    <w:p w14:paraId="6530E8E3">
      <w:pPr>
        <w:shd w:val="clear"/>
        <w:spacing w:line="560" w:lineRule="exact"/>
        <w:ind w:firstLine="600" w:firstLineChars="200"/>
        <w:rPr>
          <w:rFonts w:hint="eastAsia" w:ascii="仿宋" w:hAnsi="仿宋" w:eastAsia="仿宋" w:cs="仿宋"/>
          <w:color w:val="auto"/>
          <w:kern w:val="0"/>
          <w:sz w:val="30"/>
          <w:szCs w:val="30"/>
          <w:highlight w:val="none"/>
        </w:rPr>
      </w:pPr>
      <w:r>
        <w:rPr>
          <w:rFonts w:hint="eastAsia" w:ascii="仿宋" w:hAnsi="仿宋" w:eastAsia="仿宋" w:cs="仿宋"/>
          <w:color w:val="auto"/>
          <w:kern w:val="0"/>
          <w:sz w:val="30"/>
          <w:szCs w:val="30"/>
          <w:highlight w:val="none"/>
        </w:rPr>
        <w:t>特此证明。</w:t>
      </w:r>
    </w:p>
    <w:p w14:paraId="37E43D76">
      <w:pPr>
        <w:shd w:val="clear"/>
        <w:spacing w:line="560" w:lineRule="exact"/>
        <w:ind w:firstLine="600" w:firstLineChars="200"/>
        <w:rPr>
          <w:rFonts w:hint="eastAsia" w:ascii="仿宋" w:hAnsi="仿宋" w:eastAsia="仿宋" w:cs="仿宋"/>
          <w:color w:val="auto"/>
          <w:kern w:val="0"/>
          <w:sz w:val="30"/>
          <w:szCs w:val="30"/>
          <w:highlight w:val="none"/>
        </w:rPr>
      </w:pPr>
    </w:p>
    <w:p w14:paraId="36162A81">
      <w:pPr>
        <w:shd w:val="clear"/>
        <w:spacing w:line="560" w:lineRule="exact"/>
        <w:ind w:firstLine="600" w:firstLineChars="200"/>
        <w:rPr>
          <w:rFonts w:hint="eastAsia" w:ascii="仿宋" w:hAnsi="仿宋" w:eastAsia="仿宋" w:cs="仿宋"/>
          <w:color w:val="auto"/>
          <w:kern w:val="0"/>
          <w:sz w:val="30"/>
          <w:szCs w:val="30"/>
          <w:highlight w:val="none"/>
        </w:rPr>
      </w:pPr>
    </w:p>
    <w:p w14:paraId="08458653">
      <w:pPr>
        <w:shd w:val="clear"/>
        <w:jc w:val="center"/>
        <w:rPr>
          <w:rFonts w:hint="eastAsia" w:ascii="仿宋" w:hAnsi="仿宋" w:eastAsia="仿宋" w:cs="仿宋"/>
          <w:color w:val="auto"/>
          <w:highlight w:val="none"/>
        </w:rPr>
      </w:pPr>
    </w:p>
    <w:p w14:paraId="38EE8EBD">
      <w:pPr>
        <w:shd w:val="clear"/>
        <w:jc w:val="center"/>
        <w:rPr>
          <w:rFonts w:hint="eastAsia" w:ascii="仿宋" w:hAnsi="仿宋" w:eastAsia="仿宋" w:cs="仿宋"/>
          <w:color w:val="auto"/>
          <w:highlight w:val="none"/>
        </w:rPr>
      </w:pPr>
    </w:p>
    <w:p w14:paraId="43C50262">
      <w:pPr>
        <w:shd w:val="clear"/>
        <w:jc w:val="center"/>
        <w:rPr>
          <w:rFonts w:hint="eastAsia" w:ascii="仿宋" w:hAnsi="仿宋" w:eastAsia="仿宋" w:cs="仿宋"/>
          <w:color w:val="auto"/>
          <w:highlight w:val="none"/>
        </w:rPr>
      </w:pPr>
    </w:p>
    <w:p w14:paraId="66304B65">
      <w:pPr>
        <w:shd w:val="clear"/>
        <w:jc w:val="center"/>
        <w:rPr>
          <w:rFonts w:hint="eastAsia" w:ascii="仿宋" w:hAnsi="仿宋" w:eastAsia="仿宋" w:cs="仿宋"/>
          <w:color w:val="auto"/>
          <w:highlight w:val="none"/>
        </w:rPr>
      </w:pPr>
    </w:p>
    <w:p w14:paraId="32890510">
      <w:pPr>
        <w:shd w:val="clear"/>
        <w:jc w:val="center"/>
        <w:rPr>
          <w:rFonts w:hint="eastAsia" w:ascii="仿宋" w:hAnsi="仿宋" w:eastAsia="仿宋" w:cs="仿宋"/>
          <w:color w:val="auto"/>
          <w:highlight w:val="none"/>
        </w:rPr>
      </w:pPr>
    </w:p>
    <w:p w14:paraId="0E4B0542">
      <w:pPr>
        <w:shd w:val="clear"/>
        <w:jc w:val="center"/>
        <w:rPr>
          <w:rFonts w:hint="eastAsia" w:ascii="仿宋" w:hAnsi="仿宋" w:eastAsia="仿宋" w:cs="仿宋"/>
          <w:color w:val="auto"/>
          <w:highlight w:val="none"/>
        </w:rPr>
      </w:pPr>
    </w:p>
    <w:p w14:paraId="2CCFE326">
      <w:pPr>
        <w:shd w:val="clear"/>
        <w:jc w:val="center"/>
        <w:rPr>
          <w:rFonts w:hint="eastAsia" w:ascii="仿宋" w:hAnsi="仿宋" w:eastAsia="仿宋" w:cs="仿宋"/>
          <w:color w:val="auto"/>
          <w:highlight w:val="none"/>
        </w:rPr>
      </w:pPr>
    </w:p>
    <w:p w14:paraId="721FEE21">
      <w:pPr>
        <w:shd w:val="clear"/>
        <w:jc w:val="center"/>
        <w:rPr>
          <w:rFonts w:hint="eastAsia" w:ascii="仿宋" w:hAnsi="仿宋" w:eastAsia="仿宋" w:cs="仿宋"/>
          <w:color w:val="auto"/>
          <w:highlight w:val="none"/>
        </w:rPr>
      </w:pPr>
    </w:p>
    <w:p w14:paraId="740CFA53">
      <w:pPr>
        <w:shd w:val="clear"/>
        <w:jc w:val="center"/>
        <w:rPr>
          <w:rFonts w:hint="eastAsia" w:ascii="仿宋" w:hAnsi="仿宋" w:eastAsia="仿宋" w:cs="仿宋"/>
          <w:color w:val="auto"/>
          <w:highlight w:val="none"/>
        </w:rPr>
      </w:pPr>
    </w:p>
    <w:p w14:paraId="52590D22">
      <w:pPr>
        <w:shd w:val="clear"/>
        <w:spacing w:line="520" w:lineRule="exact"/>
        <w:ind w:firstLine="3900" w:firstLineChars="1300"/>
        <w:jc w:val="right"/>
        <w:rPr>
          <w:rFonts w:hint="eastAsia" w:ascii="仿宋" w:hAnsi="仿宋" w:eastAsia="仿宋" w:cs="仿宋"/>
          <w:color w:val="auto"/>
          <w:sz w:val="30"/>
          <w:szCs w:val="30"/>
          <w:highlight w:val="none"/>
        </w:rPr>
      </w:pPr>
    </w:p>
    <w:p w14:paraId="2E3EB9EE">
      <w:pPr>
        <w:shd w:val="clear"/>
        <w:rPr>
          <w:rFonts w:hint="eastAsia" w:ascii="仿宋" w:hAnsi="仿宋" w:eastAsia="仿宋" w:cs="仿宋"/>
          <w:color w:val="auto"/>
          <w:highlight w:val="none"/>
        </w:rPr>
      </w:pPr>
    </w:p>
    <w:p w14:paraId="2E4C68B5">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5E8E41C">
      <w:pPr>
        <w:shd w:val="clear"/>
        <w:jc w:val="center"/>
        <w:rPr>
          <w:rFonts w:hint="eastAsia" w:ascii="仿宋" w:hAnsi="仿宋" w:eastAsia="仿宋" w:cs="仿宋"/>
          <w:color w:val="auto"/>
          <w:highlight w:val="none"/>
        </w:rPr>
      </w:pPr>
    </w:p>
    <w:p w14:paraId="32CF9F29">
      <w:pPr>
        <w:shd w:val="clear"/>
        <w:jc w:val="center"/>
        <w:rPr>
          <w:rFonts w:hint="eastAsia" w:ascii="仿宋" w:hAnsi="仿宋" w:eastAsia="仿宋" w:cs="仿宋"/>
          <w:color w:val="auto"/>
          <w:highlight w:val="none"/>
        </w:rPr>
      </w:pPr>
    </w:p>
    <w:p w14:paraId="0844F967">
      <w:pPr>
        <w:shd w:val="clear"/>
        <w:jc w:val="center"/>
        <w:rPr>
          <w:rFonts w:hint="eastAsia" w:ascii="仿宋" w:hAnsi="仿宋" w:eastAsia="仿宋" w:cs="仿宋"/>
          <w:color w:val="auto"/>
          <w:highlight w:val="none"/>
        </w:rPr>
      </w:pPr>
    </w:p>
    <w:p w14:paraId="043BCFFF">
      <w:pPr>
        <w:shd w:val="clear"/>
        <w:jc w:val="center"/>
        <w:rPr>
          <w:rFonts w:hint="eastAsia" w:ascii="仿宋" w:hAnsi="仿宋" w:eastAsia="仿宋" w:cs="仿宋"/>
          <w:bCs/>
          <w:color w:val="auto"/>
          <w:sz w:val="32"/>
          <w:szCs w:val="32"/>
          <w:highlight w:val="none"/>
        </w:rPr>
        <w:sectPr>
          <w:headerReference r:id="rId17" w:type="default"/>
          <w:footerReference r:id="rId18" w:type="default"/>
          <w:pgSz w:w="11906" w:h="16838"/>
          <w:pgMar w:top="1440" w:right="1083" w:bottom="1440" w:left="1083" w:header="851" w:footer="992" w:gutter="0"/>
          <w:pgNumType w:fmt="decimal"/>
          <w:cols w:space="0" w:num="1"/>
          <w:rtlGutter w:val="0"/>
          <w:docGrid w:type="lines" w:linePitch="312" w:charSpace="0"/>
        </w:sectPr>
      </w:pPr>
    </w:p>
    <w:bookmarkEnd w:id="9"/>
    <w:bookmarkEnd w:id="10"/>
    <w:p w14:paraId="2D99FC1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法人授权委托书</w:t>
      </w:r>
    </w:p>
    <w:p w14:paraId="6A634B2D">
      <w:pPr>
        <w:shd w:val="clear"/>
        <w:rPr>
          <w:color w:val="auto"/>
          <w:highlight w:val="none"/>
        </w:rPr>
      </w:pPr>
    </w:p>
    <w:p w14:paraId="0614E851">
      <w:pPr>
        <w:shd w:val="clear"/>
        <w:spacing w:line="480" w:lineRule="exact"/>
        <w:ind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本授权书声明：注册于</w:t>
      </w:r>
      <w:r>
        <w:rPr>
          <w:rFonts w:hint="eastAsia" w:ascii="仿宋" w:hAnsi="仿宋" w:eastAsia="仿宋" w:cs="仿宋"/>
          <w:color w:val="auto"/>
          <w:sz w:val="32"/>
          <w:szCs w:val="32"/>
          <w:highlight w:val="none"/>
          <w:u w:val="single"/>
        </w:rPr>
        <w:t xml:space="preserve">   （国家或地区的名称）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单位</w:t>
      </w:r>
      <w:r>
        <w:rPr>
          <w:rFonts w:hint="eastAsia" w:ascii="仿宋" w:hAnsi="仿宋" w:eastAsia="仿宋" w:cs="仿宋"/>
          <w:color w:val="auto"/>
          <w:sz w:val="32"/>
          <w:szCs w:val="32"/>
          <w:highlight w:val="none"/>
          <w:u w:val="single"/>
        </w:rPr>
        <w:t xml:space="preserve">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法定代表人/单位负责人</w:t>
      </w:r>
      <w:r>
        <w:rPr>
          <w:rFonts w:hint="eastAsia" w:ascii="仿宋" w:hAnsi="仿宋" w:eastAsia="仿宋" w:cs="仿宋"/>
          <w:color w:val="auto"/>
          <w:sz w:val="32"/>
          <w:szCs w:val="32"/>
          <w:highlight w:val="none"/>
          <w:u w:val="single"/>
        </w:rPr>
        <w:t xml:space="preserve">姓名、职务）  </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代表本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授权</w:t>
      </w:r>
      <w:r>
        <w:rPr>
          <w:rFonts w:hint="eastAsia" w:ascii="仿宋" w:hAnsi="仿宋" w:eastAsia="仿宋" w:cs="仿宋"/>
          <w:color w:val="auto"/>
          <w:sz w:val="32"/>
          <w:szCs w:val="32"/>
          <w:highlight w:val="none"/>
          <w:u w:val="single"/>
        </w:rPr>
        <w:t xml:space="preserve">  （被授权单位名称）  </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u w:val="single"/>
        </w:rPr>
        <w:t>（被授权人的姓名、职务）</w:t>
      </w:r>
      <w:r>
        <w:rPr>
          <w:rFonts w:hint="eastAsia" w:ascii="仿宋" w:hAnsi="仿宋" w:eastAsia="仿宋" w:cs="仿宋"/>
          <w:color w:val="auto"/>
          <w:sz w:val="32"/>
          <w:szCs w:val="32"/>
          <w:highlight w:val="none"/>
        </w:rPr>
        <w:t>为本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的合法代理人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参加编号为</w:t>
      </w:r>
      <w:r>
        <w:rPr>
          <w:rFonts w:hint="eastAsia" w:ascii="仿宋" w:hAnsi="仿宋" w:eastAsia="仿宋" w:cs="仿宋"/>
          <w:color w:val="auto"/>
          <w:kern w:val="0"/>
          <w:sz w:val="30"/>
          <w:szCs w:val="30"/>
          <w:highlight w:val="none"/>
          <w:lang w:eastAsia="zh-CN"/>
        </w:rPr>
        <w:t>WHZCZB2026-096</w:t>
      </w:r>
      <w:r>
        <w:rPr>
          <w:rFonts w:hint="eastAsia" w:ascii="仿宋" w:hAnsi="仿宋" w:eastAsia="仿宋" w:cs="仿宋"/>
          <w:color w:val="auto"/>
          <w:sz w:val="32"/>
          <w:szCs w:val="32"/>
          <w:highlight w:val="none"/>
        </w:rPr>
        <w:t>号的公开招标采购活动</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以本</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rPr>
        <w:t>名义处理一切与之有关的事宜。</w:t>
      </w:r>
    </w:p>
    <w:p w14:paraId="7C1530BA">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如果本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在此次采购活动中中标</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被授权人有权代表本</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签署采购合同。</w:t>
      </w:r>
    </w:p>
    <w:p w14:paraId="2B95AFC4">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本授权书于</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年</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u w:val="single"/>
        </w:rPr>
        <w:t xml:space="preserve">    </w:t>
      </w:r>
      <w:r>
        <w:rPr>
          <w:rFonts w:hint="eastAsia" w:ascii="仿宋" w:hAnsi="仿宋" w:eastAsia="仿宋" w:cs="仿宋"/>
          <w:color w:val="auto"/>
          <w:kern w:val="0"/>
          <w:sz w:val="32"/>
          <w:szCs w:val="32"/>
          <w:highlight w:val="none"/>
        </w:rPr>
        <w:t>日法定代表人/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负责人签章并由被授权人签字、单位盖章生效</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特此声明。</w:t>
      </w:r>
    </w:p>
    <w:p w14:paraId="0FAAF55D">
      <w:pPr>
        <w:shd w:val="clear"/>
        <w:spacing w:line="480" w:lineRule="exact"/>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被授权人无转委托权。</w:t>
      </w:r>
    </w:p>
    <w:p w14:paraId="324DF221">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法定代表人/</w:t>
      </w:r>
      <w:r>
        <w:rPr>
          <w:rFonts w:hint="eastAsia" w:ascii="仿宋" w:hAnsi="仿宋" w:eastAsia="仿宋" w:cs="仿宋"/>
          <w:color w:val="auto"/>
          <w:kern w:val="0"/>
          <w:sz w:val="32"/>
          <w:szCs w:val="32"/>
          <w:highlight w:val="none"/>
          <w:lang w:val="en-US" w:eastAsia="zh-CN"/>
        </w:rPr>
        <w:t>单位</w:t>
      </w:r>
      <w:r>
        <w:rPr>
          <w:rFonts w:hint="eastAsia" w:ascii="仿宋" w:hAnsi="仿宋" w:eastAsia="仿宋" w:cs="仿宋"/>
          <w:color w:val="auto"/>
          <w:kern w:val="0"/>
          <w:sz w:val="32"/>
          <w:szCs w:val="32"/>
          <w:highlight w:val="none"/>
        </w:rPr>
        <w:t>负责人签章：</w:t>
      </w:r>
    </w:p>
    <w:p w14:paraId="2D18E31E">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被 授 权人签字：</w:t>
      </w:r>
    </w:p>
    <w:p w14:paraId="56F4DC55">
      <w:pPr>
        <w:shd w:val="clear"/>
        <w:spacing w:line="480" w:lineRule="exact"/>
        <w:ind w:firstLine="640" w:firstLineChars="200"/>
        <w:jc w:val="left"/>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投标人  公  章：</w:t>
      </w:r>
    </w:p>
    <w:tbl>
      <w:tblPr>
        <w:tblStyle w:val="30"/>
        <w:tblpPr w:leftFromText="180" w:rightFromText="180" w:vertAnchor="text" w:horzAnchor="margin" w:tblpY="817"/>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11DCC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4644" w:type="dxa"/>
            <w:noWrap w:val="0"/>
            <w:vAlign w:val="center"/>
          </w:tcPr>
          <w:p w14:paraId="3D3C3B42">
            <w:pPr>
              <w:widowControl/>
              <w:shd w:val="clear"/>
              <w:spacing w:beforeAutospacing="1" w:afterAutospacing="1" w:line="360" w:lineRule="auto"/>
              <w:ind w:firstLine="160" w:firstLineChars="5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正面</w:t>
            </w:r>
          </w:p>
        </w:tc>
      </w:tr>
    </w:tbl>
    <w:p w14:paraId="7C813737">
      <w:pPr>
        <w:shd w:val="clear"/>
        <w:spacing w:line="480" w:lineRule="exact"/>
        <w:ind w:firstLine="640" w:firstLineChars="200"/>
        <w:jc w:val="left"/>
        <w:rPr>
          <w:rFonts w:hint="eastAsia" w:ascii="仿宋" w:hAnsi="仿宋" w:eastAsia="仿宋" w:cs="仿宋"/>
          <w:color w:val="auto"/>
          <w:kern w:val="0"/>
          <w:sz w:val="32"/>
          <w:szCs w:val="32"/>
          <w:highlight w:val="none"/>
        </w:rPr>
      </w:pPr>
    </w:p>
    <w:p w14:paraId="5642675D">
      <w:pPr>
        <w:shd w:val="clear"/>
        <w:rPr>
          <w:rFonts w:hint="eastAsia" w:ascii="仿宋" w:hAnsi="仿宋" w:eastAsia="仿宋" w:cs="仿宋"/>
          <w:vanish/>
          <w:color w:val="auto"/>
          <w:highlight w:val="none"/>
        </w:rPr>
      </w:pPr>
    </w:p>
    <w:tbl>
      <w:tblPr>
        <w:tblStyle w:val="30"/>
        <w:tblpPr w:leftFromText="180" w:rightFromText="180" w:vertAnchor="text" w:horzAnchor="page" w:tblpX="6632" w:tblpY="383"/>
        <w:tblOverlap w:val="never"/>
        <w:tblW w:w="4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tblGrid>
      <w:tr w14:paraId="3E9A1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2" w:hRule="atLeast"/>
        </w:trPr>
        <w:tc>
          <w:tcPr>
            <w:tcW w:w="4644" w:type="dxa"/>
            <w:noWrap w:val="0"/>
            <w:vAlign w:val="center"/>
          </w:tcPr>
          <w:p w14:paraId="42052C85">
            <w:pPr>
              <w:widowControl/>
              <w:shd w:val="clear"/>
              <w:spacing w:beforeAutospacing="1" w:afterAutospacing="1" w:line="360" w:lineRule="auto"/>
              <w:jc w:val="center"/>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被授权人身份证</w:t>
            </w:r>
            <w:r>
              <w:rPr>
                <w:rFonts w:hint="eastAsia" w:ascii="仿宋" w:hAnsi="仿宋" w:eastAsia="仿宋" w:cs="仿宋"/>
                <w:color w:val="auto"/>
                <w:sz w:val="32"/>
                <w:szCs w:val="32"/>
                <w:highlight w:val="none"/>
                <w:lang w:eastAsia="zh-CN"/>
              </w:rPr>
              <w:t>扫描件</w:t>
            </w:r>
            <w:r>
              <w:rPr>
                <w:rFonts w:hint="eastAsia" w:ascii="仿宋" w:hAnsi="仿宋" w:eastAsia="仿宋" w:cs="仿宋"/>
                <w:color w:val="auto"/>
                <w:sz w:val="32"/>
                <w:szCs w:val="32"/>
                <w:highlight w:val="none"/>
              </w:rPr>
              <w:t>反面</w:t>
            </w:r>
          </w:p>
        </w:tc>
      </w:tr>
    </w:tbl>
    <w:p w14:paraId="4D537B21">
      <w:pPr>
        <w:shd w:val="clear"/>
        <w:rPr>
          <w:rFonts w:hint="eastAsia" w:ascii="仿宋" w:hAnsi="仿宋" w:eastAsia="仿宋" w:cs="仿宋"/>
          <w:color w:val="auto"/>
          <w:highlight w:val="none"/>
        </w:rPr>
      </w:pPr>
    </w:p>
    <w:p w14:paraId="017F49D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24059C24">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C1E7E45">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648CF338">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50C854B1">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0BB403A0">
      <w:pPr>
        <w:keepNext/>
        <w:keepLines/>
        <w:shd w:val="clear"/>
        <w:spacing w:line="560" w:lineRule="exact"/>
        <w:jc w:val="center"/>
        <w:outlineLvl w:val="2"/>
        <w:rPr>
          <w:rFonts w:hint="eastAsia" w:ascii="仿宋" w:hAnsi="仿宋" w:eastAsia="仿宋" w:cs="仿宋"/>
          <w:b/>
          <w:bCs/>
          <w:color w:val="auto"/>
          <w:sz w:val="28"/>
          <w:szCs w:val="28"/>
          <w:highlight w:val="none"/>
        </w:rPr>
      </w:pPr>
    </w:p>
    <w:p w14:paraId="10FC09AA">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28"/>
          <w:szCs w:val="28"/>
          <w:highlight w:val="none"/>
        </w:rPr>
        <w:t>若投标单位代表为企业法定代表人/单位负责人的，则只需提供企业法定代表人/单位负责人身份证扫描件（加盖投标单位公章）</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rPr>
        <w:br w:type="page"/>
      </w:r>
      <w:r>
        <w:rPr>
          <w:rFonts w:hint="eastAsia" w:ascii="Times New Roman" w:hAnsi="Times New Roman" w:eastAsia="黑体" w:cs="Times New Roman"/>
          <w:bCs/>
          <w:color w:val="auto"/>
          <w:sz w:val="32"/>
          <w:szCs w:val="32"/>
          <w:highlight w:val="none"/>
        </w:rPr>
        <w:t>具有良好的商业信誉和健全的财务会计制度声明</w:t>
      </w:r>
    </w:p>
    <w:p w14:paraId="4699D005">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37DAF9B7">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我单位自愿参加本项目采购活动，现郑重声明：具有良好的商业信誉和健全的财务会计制度。</w:t>
      </w:r>
    </w:p>
    <w:p w14:paraId="22B32AE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7D113EF9">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3479CC90">
      <w:pPr>
        <w:shd w:val="clear"/>
        <w:jc w:val="center"/>
        <w:rPr>
          <w:rFonts w:hint="eastAsia" w:ascii="仿宋" w:hAnsi="仿宋" w:eastAsia="仿宋" w:cs="仿宋"/>
          <w:color w:val="auto"/>
          <w:sz w:val="28"/>
          <w:szCs w:val="28"/>
          <w:highlight w:val="none"/>
        </w:rPr>
      </w:pPr>
    </w:p>
    <w:p w14:paraId="039FF17B">
      <w:pPr>
        <w:shd w:val="clear"/>
        <w:jc w:val="center"/>
        <w:rPr>
          <w:rFonts w:hint="eastAsia" w:ascii="仿宋" w:hAnsi="仿宋" w:eastAsia="仿宋" w:cs="仿宋"/>
          <w:color w:val="auto"/>
          <w:sz w:val="28"/>
          <w:szCs w:val="28"/>
          <w:highlight w:val="none"/>
        </w:rPr>
      </w:pPr>
    </w:p>
    <w:p w14:paraId="67625EF7">
      <w:pPr>
        <w:shd w:val="clear"/>
        <w:jc w:val="center"/>
        <w:rPr>
          <w:rFonts w:hint="eastAsia" w:ascii="仿宋" w:hAnsi="仿宋" w:eastAsia="仿宋" w:cs="仿宋"/>
          <w:color w:val="auto"/>
          <w:sz w:val="28"/>
          <w:szCs w:val="28"/>
          <w:highlight w:val="none"/>
        </w:rPr>
      </w:pPr>
    </w:p>
    <w:p w14:paraId="1204B892">
      <w:pPr>
        <w:shd w:val="clear"/>
        <w:spacing w:line="520" w:lineRule="exact"/>
        <w:ind w:firstLine="3900" w:firstLineChars="1300"/>
        <w:jc w:val="right"/>
        <w:rPr>
          <w:rFonts w:hint="eastAsia" w:ascii="仿宋" w:hAnsi="仿宋" w:eastAsia="仿宋" w:cs="仿宋"/>
          <w:color w:val="auto"/>
          <w:sz w:val="30"/>
          <w:szCs w:val="30"/>
          <w:highlight w:val="none"/>
        </w:rPr>
      </w:pPr>
    </w:p>
    <w:p w14:paraId="70693076">
      <w:pPr>
        <w:shd w:val="clear"/>
        <w:rPr>
          <w:rFonts w:hint="eastAsia" w:ascii="仿宋" w:hAnsi="仿宋" w:eastAsia="仿宋" w:cs="仿宋"/>
          <w:color w:val="auto"/>
          <w:highlight w:val="none"/>
        </w:rPr>
      </w:pPr>
    </w:p>
    <w:p w14:paraId="705B10E8">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44720DA0">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3C3BC001">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具有履行合同所必需的设备和专业技术能力声明</w:t>
      </w:r>
    </w:p>
    <w:p w14:paraId="646ECF5E">
      <w:pPr>
        <w:shd w:val="clear"/>
        <w:spacing w:line="560" w:lineRule="exact"/>
        <w:ind w:firstLine="600" w:firstLineChars="200"/>
        <w:rPr>
          <w:rFonts w:hint="eastAsia" w:ascii="仿宋" w:hAnsi="仿宋" w:eastAsia="仿宋" w:cs="仿宋"/>
          <w:color w:val="auto"/>
          <w:kern w:val="0"/>
          <w:sz w:val="30"/>
          <w:szCs w:val="30"/>
          <w:highlight w:val="none"/>
          <w:u w:val="none"/>
        </w:rPr>
      </w:pPr>
    </w:p>
    <w:p w14:paraId="486F96FF">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我单位自愿参加本项目采购活动，现郑重声明：具有履行合同所必需的设备和专业技术能力。</w:t>
      </w:r>
    </w:p>
    <w:p w14:paraId="17C740DA">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EB39842">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48D0C294">
      <w:pPr>
        <w:shd w:val="clear"/>
        <w:jc w:val="center"/>
        <w:rPr>
          <w:rFonts w:hint="eastAsia" w:ascii="仿宋" w:hAnsi="仿宋" w:eastAsia="仿宋" w:cs="仿宋"/>
          <w:color w:val="auto"/>
          <w:sz w:val="28"/>
          <w:szCs w:val="28"/>
          <w:highlight w:val="none"/>
        </w:rPr>
      </w:pPr>
    </w:p>
    <w:p w14:paraId="5DDBFD5E">
      <w:pPr>
        <w:shd w:val="clear"/>
        <w:jc w:val="center"/>
        <w:rPr>
          <w:rFonts w:hint="eastAsia" w:ascii="仿宋" w:hAnsi="仿宋" w:eastAsia="仿宋" w:cs="仿宋"/>
          <w:color w:val="auto"/>
          <w:sz w:val="28"/>
          <w:szCs w:val="28"/>
          <w:highlight w:val="none"/>
        </w:rPr>
      </w:pPr>
    </w:p>
    <w:p w14:paraId="29A3A7AB">
      <w:pPr>
        <w:shd w:val="clear"/>
        <w:jc w:val="center"/>
        <w:rPr>
          <w:rFonts w:hint="eastAsia" w:ascii="仿宋" w:hAnsi="仿宋" w:eastAsia="仿宋" w:cs="仿宋"/>
          <w:color w:val="auto"/>
          <w:sz w:val="28"/>
          <w:szCs w:val="28"/>
          <w:highlight w:val="none"/>
        </w:rPr>
      </w:pPr>
    </w:p>
    <w:p w14:paraId="4EDD99EE">
      <w:pPr>
        <w:shd w:val="clear"/>
        <w:spacing w:line="520" w:lineRule="exact"/>
        <w:ind w:firstLine="3900" w:firstLineChars="1300"/>
        <w:jc w:val="right"/>
        <w:rPr>
          <w:rFonts w:hint="eastAsia" w:ascii="仿宋" w:hAnsi="仿宋" w:eastAsia="仿宋" w:cs="仿宋"/>
          <w:color w:val="auto"/>
          <w:sz w:val="30"/>
          <w:szCs w:val="30"/>
          <w:highlight w:val="none"/>
        </w:rPr>
      </w:pPr>
    </w:p>
    <w:p w14:paraId="156F07B9">
      <w:pPr>
        <w:shd w:val="clear"/>
        <w:rPr>
          <w:rFonts w:hint="eastAsia" w:ascii="仿宋" w:hAnsi="仿宋" w:eastAsia="仿宋" w:cs="仿宋"/>
          <w:color w:val="auto"/>
          <w:highlight w:val="none"/>
        </w:rPr>
      </w:pPr>
    </w:p>
    <w:p w14:paraId="74C943AD">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1D3DB0E8">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2DF415B4">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ascii="Times New Roman" w:hAnsi="Times New Roman" w:eastAsia="黑体" w:cs="Times New Roman"/>
          <w:bCs/>
          <w:color w:val="auto"/>
          <w:sz w:val="32"/>
          <w:szCs w:val="32"/>
          <w:highlight w:val="none"/>
        </w:rPr>
        <w:t>依法缴纳税收和社会保障资金的声明</w:t>
      </w:r>
    </w:p>
    <w:p w14:paraId="477EBFF7">
      <w:pPr>
        <w:shd w:val="clear"/>
        <w:spacing w:line="560" w:lineRule="exact"/>
        <w:ind w:firstLine="600" w:firstLineChars="200"/>
        <w:rPr>
          <w:rFonts w:hint="eastAsia" w:ascii="仿宋" w:hAnsi="仿宋" w:eastAsia="仿宋" w:cs="仿宋"/>
          <w:color w:val="auto"/>
          <w:kern w:val="0"/>
          <w:sz w:val="30"/>
          <w:szCs w:val="30"/>
          <w:highlight w:val="none"/>
          <w:u w:val="none"/>
        </w:rPr>
      </w:pPr>
      <w:bookmarkStart w:id="11" w:name="_Toc522526785"/>
    </w:p>
    <w:p w14:paraId="7E2C7C96">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我单位自愿参加本项目采购活动，现郑重声明：</w:t>
      </w:r>
      <w:r>
        <w:rPr>
          <w:rFonts w:hint="eastAsia" w:ascii="仿宋" w:hAnsi="仿宋" w:eastAsia="仿宋" w:cs="仿宋"/>
          <w:color w:val="auto"/>
          <w:kern w:val="0"/>
          <w:sz w:val="30"/>
          <w:szCs w:val="30"/>
          <w:highlight w:val="none"/>
          <w:u w:val="none"/>
          <w:lang w:val="en-US" w:eastAsia="zh-CN"/>
        </w:rPr>
        <w:t>已依法缴纳税收和社会保障资金</w:t>
      </w:r>
      <w:r>
        <w:rPr>
          <w:rFonts w:hint="eastAsia" w:ascii="仿宋" w:hAnsi="仿宋" w:eastAsia="仿宋" w:cs="仿宋"/>
          <w:color w:val="auto"/>
          <w:kern w:val="0"/>
          <w:sz w:val="30"/>
          <w:szCs w:val="30"/>
          <w:highlight w:val="none"/>
          <w:u w:val="none"/>
        </w:rPr>
        <w:t>。</w:t>
      </w:r>
    </w:p>
    <w:p w14:paraId="5B1F8F38">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如有虚假，我单位自行承担因此产生的所有法律责任。</w:t>
      </w:r>
    </w:p>
    <w:p w14:paraId="69E89B0E">
      <w:pPr>
        <w:shd w:val="clear"/>
        <w:spacing w:line="560" w:lineRule="exact"/>
        <w:ind w:firstLine="600" w:firstLineChars="200"/>
        <w:rPr>
          <w:rFonts w:hint="eastAsia" w:ascii="仿宋" w:hAnsi="仿宋" w:eastAsia="仿宋" w:cs="仿宋"/>
          <w:color w:val="auto"/>
          <w:kern w:val="0"/>
          <w:sz w:val="30"/>
          <w:szCs w:val="30"/>
          <w:highlight w:val="none"/>
          <w:u w:val="none"/>
        </w:rPr>
      </w:pPr>
      <w:r>
        <w:rPr>
          <w:rFonts w:hint="eastAsia" w:ascii="仿宋" w:hAnsi="仿宋" w:eastAsia="仿宋" w:cs="仿宋"/>
          <w:color w:val="auto"/>
          <w:kern w:val="0"/>
          <w:sz w:val="30"/>
          <w:szCs w:val="30"/>
          <w:highlight w:val="none"/>
          <w:u w:val="none"/>
        </w:rPr>
        <w:t>特此声明！</w:t>
      </w:r>
    </w:p>
    <w:p w14:paraId="7232C49F">
      <w:pPr>
        <w:shd w:val="clear"/>
        <w:jc w:val="center"/>
        <w:rPr>
          <w:rFonts w:hint="eastAsia" w:ascii="仿宋" w:hAnsi="仿宋" w:eastAsia="仿宋" w:cs="仿宋"/>
          <w:color w:val="auto"/>
          <w:sz w:val="28"/>
          <w:szCs w:val="28"/>
          <w:highlight w:val="none"/>
        </w:rPr>
      </w:pPr>
    </w:p>
    <w:p w14:paraId="1CCB6983">
      <w:pPr>
        <w:shd w:val="clear"/>
        <w:jc w:val="center"/>
        <w:rPr>
          <w:rFonts w:hint="eastAsia" w:ascii="仿宋" w:hAnsi="仿宋" w:eastAsia="仿宋" w:cs="仿宋"/>
          <w:color w:val="auto"/>
          <w:sz w:val="28"/>
          <w:szCs w:val="28"/>
          <w:highlight w:val="none"/>
        </w:rPr>
      </w:pPr>
    </w:p>
    <w:p w14:paraId="1CDD76B0">
      <w:pPr>
        <w:shd w:val="clear"/>
        <w:jc w:val="center"/>
        <w:rPr>
          <w:rFonts w:hint="eastAsia" w:ascii="仿宋" w:hAnsi="仿宋" w:eastAsia="仿宋" w:cs="仿宋"/>
          <w:color w:val="auto"/>
          <w:sz w:val="28"/>
          <w:szCs w:val="28"/>
          <w:highlight w:val="none"/>
        </w:rPr>
      </w:pPr>
    </w:p>
    <w:p w14:paraId="149C0173">
      <w:pPr>
        <w:shd w:val="clear"/>
        <w:spacing w:line="520" w:lineRule="exact"/>
        <w:ind w:firstLine="3900" w:firstLineChars="1300"/>
        <w:jc w:val="right"/>
        <w:rPr>
          <w:rFonts w:hint="eastAsia" w:ascii="仿宋" w:hAnsi="仿宋" w:eastAsia="仿宋" w:cs="仿宋"/>
          <w:color w:val="auto"/>
          <w:sz w:val="30"/>
          <w:szCs w:val="30"/>
          <w:highlight w:val="none"/>
        </w:rPr>
      </w:pPr>
    </w:p>
    <w:p w14:paraId="6D30BCE5">
      <w:pPr>
        <w:shd w:val="clear"/>
        <w:rPr>
          <w:rFonts w:hint="eastAsia" w:ascii="仿宋" w:hAnsi="仿宋" w:eastAsia="仿宋" w:cs="仿宋"/>
          <w:color w:val="auto"/>
          <w:highlight w:val="none"/>
        </w:rPr>
      </w:pPr>
    </w:p>
    <w:p w14:paraId="2D3A4D00">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7B7B8202">
      <w:pPr>
        <w:shd w:val="clear"/>
        <w:snapToGrid w:val="0"/>
        <w:spacing w:line="560" w:lineRule="exact"/>
        <w:ind w:firstLine="562" w:firstLineChars="201"/>
        <w:jc w:val="center"/>
        <w:rPr>
          <w:rFonts w:hint="eastAsia" w:ascii="仿宋" w:hAnsi="仿宋" w:eastAsia="仿宋" w:cs="仿宋"/>
          <w:color w:val="auto"/>
          <w:sz w:val="28"/>
          <w:szCs w:val="28"/>
          <w:highlight w:val="none"/>
        </w:rPr>
      </w:pPr>
    </w:p>
    <w:p w14:paraId="0CDAA9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bCs/>
          <w:color w:val="auto"/>
          <w:sz w:val="32"/>
          <w:szCs w:val="32"/>
          <w:highlight w:val="none"/>
        </w:rPr>
        <w:br w:type="page"/>
      </w:r>
      <w:r>
        <w:rPr>
          <w:rFonts w:hint="eastAsia" w:eastAsia="黑体" w:cs="Times New Roman"/>
          <w:bCs/>
          <w:color w:val="auto"/>
          <w:sz w:val="32"/>
          <w:szCs w:val="32"/>
          <w:highlight w:val="none"/>
          <w:lang w:eastAsia="zh-CN"/>
        </w:rPr>
        <w:t>开标前6个月内任意月份的依法缴纳税收和社会保障资金的证明材料</w:t>
      </w:r>
    </w:p>
    <w:p w14:paraId="2D03BC22">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4D0A9FF7">
      <w:pPr>
        <w:shd w:val="clear"/>
        <w:jc w:val="center"/>
        <w:rPr>
          <w:rFonts w:hint="eastAsia" w:ascii="仿宋" w:hAnsi="仿宋" w:eastAsia="仿宋" w:cs="仿宋"/>
          <w:color w:val="auto"/>
          <w:highlight w:val="none"/>
        </w:rPr>
      </w:pPr>
    </w:p>
    <w:p w14:paraId="6EF632B4">
      <w:pPr>
        <w:shd w:val="clear"/>
        <w:jc w:val="center"/>
        <w:rPr>
          <w:rFonts w:hint="eastAsia" w:ascii="仿宋" w:hAnsi="仿宋" w:eastAsia="仿宋" w:cs="仿宋"/>
          <w:color w:val="auto"/>
          <w:highlight w:val="none"/>
        </w:rPr>
      </w:pPr>
    </w:p>
    <w:p w14:paraId="3F771707">
      <w:pPr>
        <w:shd w:val="clear"/>
        <w:jc w:val="center"/>
        <w:rPr>
          <w:rFonts w:hint="eastAsia" w:ascii="仿宋" w:hAnsi="仿宋" w:eastAsia="仿宋" w:cs="仿宋"/>
          <w:color w:val="auto"/>
          <w:highlight w:val="none"/>
        </w:rPr>
      </w:pPr>
    </w:p>
    <w:p w14:paraId="6ACE5820">
      <w:pPr>
        <w:shd w:val="clear"/>
        <w:jc w:val="center"/>
        <w:rPr>
          <w:rFonts w:hint="eastAsia" w:ascii="仿宋" w:hAnsi="仿宋" w:eastAsia="仿宋" w:cs="仿宋"/>
          <w:color w:val="auto"/>
          <w:highlight w:val="none"/>
        </w:rPr>
      </w:pPr>
    </w:p>
    <w:p w14:paraId="1AE337B8">
      <w:pPr>
        <w:shd w:val="clear"/>
        <w:jc w:val="center"/>
        <w:rPr>
          <w:rFonts w:hint="eastAsia" w:ascii="仿宋" w:hAnsi="仿宋" w:eastAsia="仿宋" w:cs="仿宋"/>
          <w:color w:val="auto"/>
          <w:highlight w:val="none"/>
        </w:rPr>
      </w:pPr>
    </w:p>
    <w:p w14:paraId="193482AF">
      <w:pPr>
        <w:shd w:val="clear"/>
        <w:jc w:val="center"/>
        <w:rPr>
          <w:rFonts w:hint="eastAsia" w:ascii="仿宋" w:hAnsi="仿宋" w:eastAsia="仿宋" w:cs="仿宋"/>
          <w:color w:val="auto"/>
          <w:highlight w:val="none"/>
        </w:rPr>
      </w:pPr>
    </w:p>
    <w:p w14:paraId="5BBD0574">
      <w:pPr>
        <w:shd w:val="clear"/>
        <w:jc w:val="center"/>
        <w:rPr>
          <w:rFonts w:hint="eastAsia" w:ascii="仿宋" w:hAnsi="仿宋" w:eastAsia="仿宋" w:cs="仿宋"/>
          <w:color w:val="auto"/>
          <w:highlight w:val="none"/>
        </w:rPr>
      </w:pPr>
    </w:p>
    <w:p w14:paraId="5BF9372A">
      <w:pPr>
        <w:shd w:val="clear"/>
        <w:jc w:val="center"/>
        <w:rPr>
          <w:rFonts w:hint="eastAsia" w:ascii="仿宋" w:hAnsi="仿宋" w:eastAsia="仿宋" w:cs="仿宋"/>
          <w:color w:val="auto"/>
          <w:highlight w:val="none"/>
        </w:rPr>
      </w:pPr>
    </w:p>
    <w:p w14:paraId="3DC2E685">
      <w:pPr>
        <w:shd w:val="clear"/>
        <w:jc w:val="center"/>
        <w:rPr>
          <w:rFonts w:hint="eastAsia" w:ascii="仿宋" w:hAnsi="仿宋" w:eastAsia="仿宋" w:cs="仿宋"/>
          <w:color w:val="auto"/>
          <w:highlight w:val="none"/>
        </w:rPr>
      </w:pPr>
    </w:p>
    <w:p w14:paraId="4ED159E3">
      <w:pPr>
        <w:shd w:val="clear"/>
        <w:jc w:val="center"/>
        <w:rPr>
          <w:rFonts w:hint="eastAsia" w:ascii="仿宋" w:hAnsi="仿宋" w:eastAsia="仿宋" w:cs="仿宋"/>
          <w:color w:val="auto"/>
          <w:highlight w:val="none"/>
        </w:rPr>
      </w:pPr>
    </w:p>
    <w:p w14:paraId="53047B88">
      <w:pPr>
        <w:shd w:val="clear"/>
        <w:jc w:val="center"/>
        <w:rPr>
          <w:rFonts w:hint="eastAsia" w:ascii="仿宋" w:hAnsi="仿宋" w:eastAsia="仿宋" w:cs="仿宋"/>
          <w:color w:val="auto"/>
          <w:highlight w:val="none"/>
        </w:rPr>
      </w:pPr>
    </w:p>
    <w:p w14:paraId="72F824B0">
      <w:pPr>
        <w:shd w:val="clear"/>
        <w:jc w:val="center"/>
        <w:rPr>
          <w:rFonts w:hint="eastAsia" w:ascii="仿宋" w:hAnsi="仿宋" w:eastAsia="仿宋" w:cs="仿宋"/>
          <w:color w:val="auto"/>
          <w:highlight w:val="none"/>
        </w:rPr>
      </w:pPr>
    </w:p>
    <w:p w14:paraId="1817279B">
      <w:pPr>
        <w:shd w:val="clear"/>
        <w:jc w:val="center"/>
        <w:rPr>
          <w:rFonts w:hint="eastAsia" w:ascii="仿宋" w:hAnsi="仿宋" w:eastAsia="仿宋" w:cs="仿宋"/>
          <w:color w:val="auto"/>
          <w:highlight w:val="none"/>
        </w:rPr>
      </w:pPr>
    </w:p>
    <w:p w14:paraId="0D30158D">
      <w:pPr>
        <w:shd w:val="clear"/>
        <w:jc w:val="center"/>
        <w:rPr>
          <w:rFonts w:hint="eastAsia" w:ascii="仿宋" w:hAnsi="仿宋" w:eastAsia="仿宋" w:cs="仿宋"/>
          <w:color w:val="auto"/>
          <w:highlight w:val="none"/>
        </w:rPr>
      </w:pPr>
    </w:p>
    <w:p w14:paraId="1209C81F">
      <w:pPr>
        <w:shd w:val="clear"/>
        <w:jc w:val="center"/>
        <w:rPr>
          <w:rFonts w:hint="eastAsia" w:ascii="仿宋" w:hAnsi="仿宋" w:eastAsia="仿宋" w:cs="仿宋"/>
          <w:color w:val="auto"/>
          <w:highlight w:val="none"/>
        </w:rPr>
      </w:pPr>
    </w:p>
    <w:p w14:paraId="6B557E33">
      <w:pPr>
        <w:shd w:val="clear"/>
        <w:jc w:val="center"/>
        <w:rPr>
          <w:rFonts w:hint="eastAsia" w:ascii="仿宋" w:hAnsi="仿宋" w:eastAsia="仿宋" w:cs="仿宋"/>
          <w:color w:val="auto"/>
          <w:highlight w:val="none"/>
        </w:rPr>
      </w:pPr>
    </w:p>
    <w:p w14:paraId="31320672">
      <w:pPr>
        <w:shd w:val="clear"/>
        <w:jc w:val="center"/>
        <w:rPr>
          <w:rFonts w:hint="eastAsia" w:ascii="仿宋" w:hAnsi="仿宋" w:eastAsia="仿宋" w:cs="仿宋"/>
          <w:color w:val="auto"/>
          <w:highlight w:val="none"/>
        </w:rPr>
      </w:pPr>
    </w:p>
    <w:p w14:paraId="0408FDBF">
      <w:pPr>
        <w:shd w:val="clear"/>
        <w:jc w:val="center"/>
        <w:rPr>
          <w:rFonts w:hint="eastAsia" w:ascii="仿宋" w:hAnsi="仿宋" w:eastAsia="仿宋" w:cs="仿宋"/>
          <w:color w:val="auto"/>
          <w:highlight w:val="none"/>
        </w:rPr>
      </w:pPr>
    </w:p>
    <w:p w14:paraId="5D44A2C4">
      <w:pPr>
        <w:shd w:val="clear"/>
        <w:jc w:val="center"/>
        <w:rPr>
          <w:rFonts w:hint="eastAsia" w:ascii="仿宋" w:hAnsi="仿宋" w:eastAsia="仿宋" w:cs="仿宋"/>
          <w:color w:val="auto"/>
          <w:highlight w:val="none"/>
        </w:rPr>
      </w:pPr>
    </w:p>
    <w:p w14:paraId="139E77E9">
      <w:pPr>
        <w:shd w:val="clear"/>
        <w:jc w:val="center"/>
        <w:rPr>
          <w:rFonts w:hint="eastAsia" w:ascii="仿宋" w:hAnsi="仿宋" w:eastAsia="仿宋" w:cs="仿宋"/>
          <w:color w:val="auto"/>
          <w:highlight w:val="none"/>
        </w:rPr>
      </w:pPr>
    </w:p>
    <w:p w14:paraId="6C2102B4">
      <w:pPr>
        <w:shd w:val="clear"/>
        <w:jc w:val="center"/>
        <w:rPr>
          <w:rFonts w:hint="eastAsia" w:ascii="仿宋" w:hAnsi="仿宋" w:eastAsia="仿宋" w:cs="仿宋"/>
          <w:color w:val="auto"/>
          <w:highlight w:val="none"/>
        </w:rPr>
      </w:pPr>
    </w:p>
    <w:p w14:paraId="176CECEF">
      <w:pPr>
        <w:shd w:val="clear"/>
        <w:jc w:val="center"/>
        <w:rPr>
          <w:rFonts w:hint="eastAsia" w:ascii="仿宋" w:hAnsi="仿宋" w:eastAsia="仿宋" w:cs="仿宋"/>
          <w:color w:val="auto"/>
          <w:highlight w:val="none"/>
        </w:rPr>
      </w:pPr>
    </w:p>
    <w:p w14:paraId="47EA3CDD">
      <w:pPr>
        <w:shd w:val="clear"/>
        <w:jc w:val="center"/>
        <w:rPr>
          <w:rFonts w:hint="eastAsia" w:ascii="仿宋" w:hAnsi="仿宋" w:eastAsia="仿宋" w:cs="仿宋"/>
          <w:color w:val="auto"/>
          <w:highlight w:val="none"/>
        </w:rPr>
      </w:pPr>
    </w:p>
    <w:p w14:paraId="16E83D27">
      <w:pPr>
        <w:shd w:val="clear"/>
        <w:jc w:val="center"/>
        <w:rPr>
          <w:rFonts w:hint="eastAsia" w:ascii="仿宋" w:hAnsi="仿宋" w:eastAsia="仿宋" w:cs="仿宋"/>
          <w:color w:val="auto"/>
          <w:highlight w:val="none"/>
        </w:rPr>
      </w:pPr>
    </w:p>
    <w:p w14:paraId="5B4137F5">
      <w:pPr>
        <w:shd w:val="clear"/>
        <w:jc w:val="center"/>
        <w:rPr>
          <w:rFonts w:hint="eastAsia" w:ascii="仿宋" w:hAnsi="仿宋" w:eastAsia="仿宋" w:cs="仿宋"/>
          <w:color w:val="auto"/>
          <w:highlight w:val="none"/>
        </w:rPr>
      </w:pPr>
    </w:p>
    <w:p w14:paraId="3A3FB028">
      <w:pPr>
        <w:shd w:val="clear"/>
        <w:jc w:val="center"/>
        <w:rPr>
          <w:rFonts w:hint="eastAsia" w:ascii="仿宋" w:hAnsi="仿宋" w:eastAsia="仿宋" w:cs="仿宋"/>
          <w:color w:val="auto"/>
          <w:highlight w:val="none"/>
        </w:rPr>
      </w:pPr>
    </w:p>
    <w:p w14:paraId="20A7D5B7">
      <w:pPr>
        <w:shd w:val="clear"/>
        <w:jc w:val="center"/>
        <w:rPr>
          <w:rFonts w:hint="eastAsia" w:ascii="仿宋" w:hAnsi="仿宋" w:eastAsia="仿宋" w:cs="仿宋"/>
          <w:color w:val="auto"/>
          <w:highlight w:val="none"/>
        </w:rPr>
      </w:pPr>
    </w:p>
    <w:p w14:paraId="48B8DFA3">
      <w:pPr>
        <w:shd w:val="clear"/>
        <w:jc w:val="center"/>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51C49953">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无重大违法记录等声明</w:t>
      </w:r>
    </w:p>
    <w:p w14:paraId="358AF443">
      <w:pPr>
        <w:shd w:val="clear"/>
        <w:spacing w:line="480" w:lineRule="auto"/>
        <w:rPr>
          <w:rFonts w:hint="eastAsia" w:ascii="仿宋" w:hAnsi="仿宋" w:eastAsia="仿宋" w:cs="仿宋"/>
          <w:bCs/>
          <w:color w:val="auto"/>
          <w:sz w:val="28"/>
          <w:szCs w:val="28"/>
          <w:highlight w:val="none"/>
        </w:rPr>
      </w:pPr>
    </w:p>
    <w:p w14:paraId="00B036E0">
      <w:pPr>
        <w:shd w:val="clear"/>
        <w:spacing w:line="480" w:lineRule="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致</w:t>
      </w:r>
      <w:r>
        <w:rPr>
          <w:rFonts w:hint="eastAsia" w:ascii="仿宋" w:hAnsi="仿宋" w:eastAsia="仿宋" w:cs="仿宋"/>
          <w:bCs/>
          <w:color w:val="auto"/>
          <w:sz w:val="28"/>
          <w:szCs w:val="28"/>
          <w:highlight w:val="none"/>
          <w:lang w:eastAsia="zh-CN"/>
        </w:rPr>
        <w:t>山东志诚工程咨询管理有限公司</w:t>
      </w:r>
      <w:r>
        <w:rPr>
          <w:rFonts w:hint="eastAsia" w:ascii="仿宋" w:hAnsi="仿宋" w:eastAsia="仿宋" w:cs="仿宋"/>
          <w:bCs/>
          <w:color w:val="auto"/>
          <w:sz w:val="28"/>
          <w:szCs w:val="28"/>
          <w:highlight w:val="none"/>
        </w:rPr>
        <w:t>：</w:t>
      </w:r>
    </w:p>
    <w:p w14:paraId="51700C8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 xml:space="preserve">                  （</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名称）现郑重声明</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自参加本项目（编号为</w:t>
      </w:r>
      <w:r>
        <w:rPr>
          <w:rFonts w:hint="eastAsia" w:ascii="仿宋" w:hAnsi="仿宋" w:eastAsia="仿宋" w:cs="仿宋"/>
          <w:bCs/>
          <w:color w:val="auto"/>
          <w:sz w:val="28"/>
          <w:szCs w:val="28"/>
          <w:highlight w:val="none"/>
          <w:lang w:val="en-US" w:eastAsia="zh-CN"/>
        </w:rPr>
        <w:t>WHZCZB2026-096</w:t>
      </w:r>
      <w:r>
        <w:rPr>
          <w:rFonts w:hint="eastAsia" w:ascii="仿宋" w:hAnsi="仿宋" w:eastAsia="仿宋" w:cs="仿宋"/>
          <w:bCs/>
          <w:color w:val="auto"/>
          <w:sz w:val="28"/>
          <w:szCs w:val="28"/>
          <w:highlight w:val="none"/>
        </w:rPr>
        <w:t>）采购活动前三年内</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无因违法经营受到刑事处罚或者责令停产停业的、吊销许可证或者执照的、较大数额罚款等行政处罚</w:t>
      </w:r>
      <w:r>
        <w:rPr>
          <w:rFonts w:hint="eastAsia" w:ascii="仿宋" w:hAnsi="仿宋" w:eastAsia="仿宋" w:cs="仿宋"/>
          <w:bCs/>
          <w:color w:val="auto"/>
          <w:sz w:val="28"/>
          <w:szCs w:val="28"/>
          <w:highlight w:val="none"/>
          <w:lang w:eastAsia="zh-CN"/>
        </w:rPr>
        <w:t>，且</w:t>
      </w:r>
      <w:r>
        <w:rPr>
          <w:rFonts w:hint="eastAsia" w:ascii="仿宋" w:hAnsi="仿宋" w:eastAsia="仿宋" w:cs="仿宋"/>
          <w:bCs/>
          <w:color w:val="auto"/>
          <w:sz w:val="28"/>
          <w:szCs w:val="28"/>
          <w:highlight w:val="none"/>
          <w:lang w:val="en-US" w:eastAsia="zh-CN"/>
        </w:rPr>
        <w:t>我单位</w:t>
      </w:r>
      <w:r>
        <w:rPr>
          <w:rFonts w:hint="eastAsia" w:ascii="仿宋" w:hAnsi="仿宋" w:eastAsia="仿宋" w:cs="仿宋"/>
          <w:bCs/>
          <w:color w:val="auto"/>
          <w:sz w:val="28"/>
          <w:szCs w:val="28"/>
          <w:highlight w:val="none"/>
          <w:lang w:eastAsia="zh-CN"/>
        </w:rPr>
        <w:t>及法定代表人/单位负责人、项目负责人未受到司法行政机关行政处罚、未遭受律师协会行业处分、无行贿犯罪记录</w:t>
      </w:r>
      <w:r>
        <w:rPr>
          <w:rFonts w:hint="eastAsia" w:ascii="仿宋" w:hAnsi="仿宋" w:eastAsia="仿宋" w:cs="仿宋"/>
          <w:bCs/>
          <w:color w:val="auto"/>
          <w:sz w:val="28"/>
          <w:szCs w:val="28"/>
          <w:highlight w:val="none"/>
        </w:rPr>
        <w:t xml:space="preserve">。  </w:t>
      </w:r>
    </w:p>
    <w:p w14:paraId="4692796F">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如有瞒报、虚报</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我</w:t>
      </w:r>
      <w:r>
        <w:rPr>
          <w:rFonts w:hint="eastAsia" w:ascii="仿宋" w:hAnsi="仿宋" w:eastAsia="仿宋" w:cs="仿宋"/>
          <w:bCs/>
          <w:color w:val="auto"/>
          <w:sz w:val="28"/>
          <w:szCs w:val="28"/>
          <w:highlight w:val="none"/>
          <w:lang w:val="en-US" w:eastAsia="zh-CN"/>
        </w:rPr>
        <w:t>单位</w:t>
      </w:r>
      <w:r>
        <w:rPr>
          <w:rFonts w:hint="eastAsia" w:ascii="仿宋" w:hAnsi="仿宋" w:eastAsia="仿宋" w:cs="仿宋"/>
          <w:bCs/>
          <w:color w:val="auto"/>
          <w:sz w:val="28"/>
          <w:szCs w:val="28"/>
          <w:highlight w:val="none"/>
        </w:rPr>
        <w:t>自行承担因此产生的所有法律责任。</w:t>
      </w:r>
    </w:p>
    <w:p w14:paraId="2FAD8728">
      <w:pPr>
        <w:shd w:val="clear"/>
        <w:spacing w:line="480" w:lineRule="auto"/>
        <w:ind w:firstLine="560" w:firstLineChars="200"/>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特此声明！</w:t>
      </w:r>
    </w:p>
    <w:p w14:paraId="447A24DE">
      <w:pPr>
        <w:shd w:val="clear"/>
        <w:spacing w:line="480" w:lineRule="auto"/>
        <w:ind w:left="1747" w:leftChars="832"/>
        <w:rPr>
          <w:rFonts w:hint="eastAsia" w:ascii="仿宋" w:hAnsi="仿宋" w:eastAsia="仿宋" w:cs="仿宋"/>
          <w:bCs/>
          <w:color w:val="auto"/>
          <w:sz w:val="28"/>
          <w:szCs w:val="28"/>
          <w:highlight w:val="none"/>
        </w:rPr>
      </w:pPr>
    </w:p>
    <w:p w14:paraId="7CE9D1C5">
      <w:pPr>
        <w:shd w:val="clear"/>
        <w:spacing w:line="480" w:lineRule="auto"/>
        <w:ind w:left="1747" w:leftChars="832"/>
        <w:rPr>
          <w:rFonts w:hint="eastAsia" w:ascii="仿宋" w:hAnsi="仿宋" w:eastAsia="仿宋" w:cs="仿宋"/>
          <w:bCs/>
          <w:color w:val="auto"/>
          <w:sz w:val="28"/>
          <w:szCs w:val="28"/>
          <w:highlight w:val="none"/>
        </w:rPr>
      </w:pPr>
    </w:p>
    <w:p w14:paraId="0AD4F1FA">
      <w:pPr>
        <w:shd w:val="clear"/>
        <w:spacing w:line="480" w:lineRule="auto"/>
        <w:ind w:left="1747" w:leftChars="832"/>
        <w:rPr>
          <w:rFonts w:hint="eastAsia" w:ascii="仿宋" w:hAnsi="仿宋" w:eastAsia="仿宋" w:cs="仿宋"/>
          <w:bCs/>
          <w:color w:val="auto"/>
          <w:sz w:val="28"/>
          <w:szCs w:val="28"/>
          <w:highlight w:val="none"/>
        </w:rPr>
      </w:pPr>
    </w:p>
    <w:p w14:paraId="7ECCFEEA">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kern w:val="0"/>
          <w:sz w:val="28"/>
          <w:szCs w:val="28"/>
          <w:highlight w:val="none"/>
          <w:lang w:val="en-US" w:eastAsia="zh-CN"/>
        </w:rPr>
        <w:t>签</w:t>
      </w:r>
      <w:r>
        <w:rPr>
          <w:rFonts w:hint="eastAsia" w:ascii="仿宋" w:hAnsi="仿宋" w:eastAsia="仿宋" w:cs="仿宋"/>
          <w:color w:val="auto"/>
          <w:kern w:val="0"/>
          <w:sz w:val="28"/>
          <w:szCs w:val="28"/>
          <w:highlight w:val="none"/>
        </w:rPr>
        <w:t xml:space="preserve">章）：        </w:t>
      </w:r>
    </w:p>
    <w:p w14:paraId="1896D679">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bCs/>
          <w:color w:val="auto"/>
          <w:kern w:val="0"/>
          <w:sz w:val="28"/>
          <w:szCs w:val="28"/>
          <w:highlight w:val="none"/>
        </w:rPr>
        <w:t>法定代表人</w:t>
      </w:r>
      <w:r>
        <w:rPr>
          <w:rFonts w:hint="eastAsia" w:ascii="仿宋" w:hAnsi="仿宋" w:eastAsia="仿宋" w:cs="仿宋"/>
          <w:bCs/>
          <w:color w:val="auto"/>
          <w:kern w:val="0"/>
          <w:sz w:val="28"/>
          <w:szCs w:val="28"/>
          <w:highlight w:val="none"/>
          <w:lang w:val="en-US" w:eastAsia="zh-CN"/>
        </w:rPr>
        <w:t>/单位负责人</w:t>
      </w:r>
      <w:r>
        <w:rPr>
          <w:rFonts w:hint="eastAsia" w:ascii="仿宋" w:hAnsi="仿宋" w:eastAsia="仿宋" w:cs="仿宋"/>
          <w:bCs/>
          <w:color w:val="auto"/>
          <w:kern w:val="0"/>
          <w:sz w:val="28"/>
          <w:szCs w:val="28"/>
          <w:highlight w:val="none"/>
        </w:rPr>
        <w:t>签章</w:t>
      </w:r>
      <w:r>
        <w:rPr>
          <w:rFonts w:hint="eastAsia" w:ascii="仿宋" w:hAnsi="仿宋" w:eastAsia="仿宋" w:cs="仿宋"/>
          <w:color w:val="auto"/>
          <w:kern w:val="0"/>
          <w:sz w:val="28"/>
          <w:szCs w:val="28"/>
          <w:highlight w:val="none"/>
        </w:rPr>
        <w:t xml:space="preserve">：      </w:t>
      </w:r>
    </w:p>
    <w:p w14:paraId="484E1154">
      <w:pPr>
        <w:widowControl/>
        <w:shd w:val="clear"/>
        <w:wordWrap w:val="0"/>
        <w:ind w:right="560" w:firstLine="4760" w:firstLineChars="1700"/>
        <w:jc w:val="right"/>
        <w:rPr>
          <w:rFonts w:hint="eastAsia" w:ascii="仿宋" w:hAnsi="仿宋" w:eastAsia="仿宋" w:cs="仿宋"/>
          <w:color w:val="auto"/>
          <w:kern w:val="0"/>
          <w:sz w:val="28"/>
          <w:szCs w:val="28"/>
          <w:highlight w:val="none"/>
        </w:rPr>
      </w:pPr>
      <w:r>
        <w:rPr>
          <w:rFonts w:hint="eastAsia" w:ascii="仿宋" w:hAnsi="仿宋" w:eastAsia="仿宋" w:cs="仿宋"/>
          <w:color w:val="auto"/>
          <w:sz w:val="28"/>
          <w:szCs w:val="28"/>
          <w:highlight w:val="none"/>
        </w:rPr>
        <w:t>年   月   日</w:t>
      </w:r>
    </w:p>
    <w:p w14:paraId="7FC62A20">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仿宋" w:hAnsi="仿宋" w:eastAsia="仿宋" w:cs="仿宋"/>
          <w:b/>
          <w:color w:val="auto"/>
          <w:sz w:val="28"/>
          <w:szCs w:val="28"/>
          <w:highlight w:val="none"/>
        </w:rPr>
        <w:br w:type="page"/>
      </w:r>
      <w:bookmarkEnd w:id="11"/>
      <w:bookmarkStart w:id="12" w:name="_Toc522526789"/>
      <w:bookmarkStart w:id="13" w:name="_Toc521936050"/>
      <w:r>
        <w:rPr>
          <w:rFonts w:hint="eastAsia" w:ascii="Times New Roman" w:hAnsi="Times New Roman" w:eastAsia="黑体" w:cs="Times New Roman"/>
          <w:bCs/>
          <w:color w:val="auto"/>
          <w:sz w:val="32"/>
          <w:szCs w:val="32"/>
          <w:highlight w:val="none"/>
        </w:rPr>
        <w:t>投标人及其法定代表人/单位负责人、被授权人、项目负责人未被最高人民法院列为失信被执行人网站查询结果截图</w:t>
      </w:r>
    </w:p>
    <w:p w14:paraId="287B6E4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F8208A2">
      <w:pPr>
        <w:shd w:val="clear"/>
        <w:snapToGrid w:val="0"/>
        <w:spacing w:line="560" w:lineRule="exact"/>
        <w:ind w:firstLine="562" w:firstLineChars="20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4CF29271">
      <w:pPr>
        <w:shd w:val="clear"/>
        <w:snapToGrid w:val="0"/>
        <w:spacing w:line="560" w:lineRule="exact"/>
        <w:ind w:firstLine="562" w:firstLineChars="201"/>
        <w:rPr>
          <w:rFonts w:hint="eastAsia" w:ascii="仿宋" w:hAnsi="仿宋" w:eastAsia="仿宋" w:cs="仿宋"/>
          <w:color w:val="auto"/>
          <w:sz w:val="28"/>
          <w:szCs w:val="28"/>
          <w:highlight w:val="none"/>
        </w:rPr>
      </w:pPr>
    </w:p>
    <w:p w14:paraId="7B295FF5">
      <w:pPr>
        <w:pStyle w:val="9"/>
        <w:shd w:val="clear"/>
        <w:rPr>
          <w:rFonts w:hint="eastAsia" w:ascii="仿宋" w:hAnsi="仿宋" w:eastAsia="仿宋" w:cs="仿宋"/>
          <w:color w:val="auto"/>
          <w:highlight w:val="none"/>
        </w:rPr>
      </w:pPr>
    </w:p>
    <w:p w14:paraId="7065D2E2">
      <w:pPr>
        <w:shd w:val="clear"/>
        <w:snapToGrid w:val="0"/>
        <w:spacing w:line="560" w:lineRule="exact"/>
        <w:ind w:firstLine="562" w:firstLineChars="201"/>
        <w:rPr>
          <w:rFonts w:hint="eastAsia" w:ascii="仿宋" w:hAnsi="仿宋" w:eastAsia="仿宋" w:cs="仿宋"/>
          <w:color w:val="auto"/>
          <w:sz w:val="28"/>
          <w:szCs w:val="28"/>
          <w:highlight w:val="none"/>
        </w:rPr>
      </w:pPr>
    </w:p>
    <w:p w14:paraId="48F06331">
      <w:pPr>
        <w:shd w:val="clear"/>
        <w:snapToGrid w:val="0"/>
        <w:spacing w:line="560" w:lineRule="exact"/>
        <w:ind w:firstLine="562" w:firstLineChars="201"/>
        <w:rPr>
          <w:rFonts w:hint="eastAsia" w:ascii="仿宋" w:hAnsi="仿宋" w:eastAsia="仿宋" w:cs="仿宋"/>
          <w:color w:val="auto"/>
          <w:sz w:val="28"/>
          <w:szCs w:val="28"/>
          <w:highlight w:val="none"/>
        </w:rPr>
      </w:pPr>
    </w:p>
    <w:p w14:paraId="2CDB4A0F">
      <w:pPr>
        <w:shd w:val="clear"/>
        <w:jc w:val="center"/>
        <w:rPr>
          <w:rFonts w:hint="eastAsia" w:ascii="仿宋" w:hAnsi="仿宋" w:eastAsia="仿宋" w:cs="仿宋"/>
          <w:b/>
          <w:color w:val="auto"/>
          <w:sz w:val="28"/>
          <w:szCs w:val="28"/>
          <w:highlight w:val="none"/>
        </w:rPr>
      </w:pPr>
    </w:p>
    <w:p w14:paraId="72B250E8">
      <w:pPr>
        <w:shd w:val="clear"/>
        <w:jc w:val="center"/>
        <w:rPr>
          <w:rFonts w:hint="eastAsia" w:ascii="仿宋" w:hAnsi="仿宋" w:eastAsia="仿宋" w:cs="仿宋"/>
          <w:b/>
          <w:color w:val="auto"/>
          <w:sz w:val="28"/>
          <w:szCs w:val="28"/>
          <w:highlight w:val="none"/>
        </w:rPr>
      </w:pPr>
    </w:p>
    <w:p w14:paraId="54193184">
      <w:pPr>
        <w:shd w:val="clear"/>
        <w:jc w:val="center"/>
        <w:rPr>
          <w:rFonts w:hint="eastAsia" w:ascii="仿宋" w:hAnsi="仿宋" w:eastAsia="仿宋" w:cs="仿宋"/>
          <w:b/>
          <w:color w:val="auto"/>
          <w:sz w:val="28"/>
          <w:szCs w:val="28"/>
          <w:highlight w:val="none"/>
        </w:rPr>
      </w:pPr>
    </w:p>
    <w:p w14:paraId="4871CB68">
      <w:pPr>
        <w:shd w:val="clear"/>
        <w:jc w:val="center"/>
        <w:rPr>
          <w:rFonts w:hint="eastAsia" w:ascii="仿宋" w:hAnsi="仿宋" w:eastAsia="仿宋" w:cs="仿宋"/>
          <w:b/>
          <w:color w:val="auto"/>
          <w:sz w:val="28"/>
          <w:szCs w:val="28"/>
          <w:highlight w:val="none"/>
        </w:rPr>
      </w:pPr>
    </w:p>
    <w:p w14:paraId="176C4AD0">
      <w:pPr>
        <w:shd w:val="clear"/>
        <w:jc w:val="center"/>
        <w:rPr>
          <w:rFonts w:hint="eastAsia" w:ascii="仿宋" w:hAnsi="仿宋" w:eastAsia="仿宋" w:cs="仿宋"/>
          <w:b/>
          <w:color w:val="auto"/>
          <w:sz w:val="28"/>
          <w:szCs w:val="28"/>
          <w:highlight w:val="none"/>
        </w:rPr>
      </w:pPr>
    </w:p>
    <w:p w14:paraId="4FAEC067">
      <w:pPr>
        <w:shd w:val="clear"/>
        <w:snapToGrid w:val="0"/>
        <w:spacing w:line="560" w:lineRule="exact"/>
        <w:ind w:firstLine="643" w:firstLineChars="201"/>
        <w:rPr>
          <w:rFonts w:hint="eastAsia" w:ascii="仿宋" w:hAnsi="仿宋" w:eastAsia="仿宋" w:cs="仿宋"/>
          <w:bCs/>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p w14:paraId="3244A8E5">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投标人近一年在“信用中国”或“信用中国（山东）”无严重失信记录，附通过网站查询的信用报告</w:t>
      </w:r>
    </w:p>
    <w:p w14:paraId="25CC3D41">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606D1ED3">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查询路径见投标须知前附表</w:t>
      </w:r>
      <w:r>
        <w:rPr>
          <w:rFonts w:hint="eastAsia" w:ascii="仿宋" w:hAnsi="仿宋" w:eastAsia="仿宋" w:cs="仿宋"/>
          <w:color w:val="auto"/>
          <w:sz w:val="28"/>
          <w:szCs w:val="28"/>
          <w:highlight w:val="none"/>
          <w:lang w:eastAsia="zh-CN"/>
        </w:rPr>
        <w:t>。</w:t>
      </w:r>
    </w:p>
    <w:p w14:paraId="56B97B7D">
      <w:pPr>
        <w:shd w:val="clear"/>
        <w:snapToGrid w:val="0"/>
        <w:spacing w:line="560" w:lineRule="exact"/>
        <w:ind w:firstLine="562" w:firstLineChars="201"/>
        <w:rPr>
          <w:rFonts w:hint="eastAsia" w:ascii="仿宋" w:hAnsi="仿宋" w:eastAsia="仿宋" w:cs="仿宋"/>
          <w:color w:val="auto"/>
          <w:sz w:val="28"/>
          <w:szCs w:val="28"/>
          <w:highlight w:val="none"/>
        </w:rPr>
      </w:pPr>
    </w:p>
    <w:p w14:paraId="66B11F40">
      <w:pPr>
        <w:shd w:val="clear"/>
        <w:snapToGrid w:val="0"/>
        <w:spacing w:line="560" w:lineRule="exact"/>
        <w:ind w:firstLine="562" w:firstLineChars="201"/>
        <w:rPr>
          <w:rFonts w:hint="eastAsia" w:ascii="仿宋" w:hAnsi="仿宋" w:eastAsia="仿宋" w:cs="仿宋"/>
          <w:color w:val="auto"/>
          <w:sz w:val="28"/>
          <w:szCs w:val="28"/>
          <w:highlight w:val="none"/>
        </w:rPr>
      </w:pPr>
    </w:p>
    <w:p w14:paraId="0AE8EBDF">
      <w:pPr>
        <w:shd w:val="clear"/>
        <w:snapToGrid w:val="0"/>
        <w:spacing w:line="560" w:lineRule="exact"/>
        <w:ind w:firstLine="562" w:firstLineChars="201"/>
        <w:rPr>
          <w:rFonts w:hint="eastAsia" w:ascii="仿宋" w:hAnsi="仿宋" w:eastAsia="仿宋" w:cs="仿宋"/>
          <w:color w:val="auto"/>
          <w:sz w:val="28"/>
          <w:szCs w:val="28"/>
          <w:highlight w:val="none"/>
        </w:rPr>
      </w:pPr>
    </w:p>
    <w:p w14:paraId="19A60995">
      <w:pPr>
        <w:shd w:val="clear"/>
        <w:snapToGrid w:val="0"/>
        <w:spacing w:line="560" w:lineRule="exact"/>
        <w:ind w:firstLine="562" w:firstLineChars="201"/>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40D2292A">
      <w:pPr>
        <w:shd w:val="clear"/>
        <w:snapToGrid w:val="0"/>
        <w:spacing w:line="560" w:lineRule="exact"/>
        <w:ind w:firstLine="562" w:firstLineChars="201"/>
        <w:rPr>
          <w:rFonts w:hint="eastAsia" w:ascii="仿宋" w:hAnsi="仿宋" w:eastAsia="仿宋" w:cs="仿宋"/>
          <w:color w:val="auto"/>
          <w:sz w:val="28"/>
          <w:szCs w:val="28"/>
          <w:highlight w:val="none"/>
        </w:rPr>
      </w:pPr>
    </w:p>
    <w:p w14:paraId="3F37C497">
      <w:pPr>
        <w:shd w:val="clear"/>
        <w:snapToGrid w:val="0"/>
        <w:spacing w:line="560" w:lineRule="exact"/>
        <w:ind w:firstLine="562" w:firstLineChars="201"/>
        <w:rPr>
          <w:rFonts w:hint="eastAsia" w:ascii="仿宋" w:hAnsi="仿宋" w:eastAsia="仿宋" w:cs="仿宋"/>
          <w:color w:val="auto"/>
          <w:sz w:val="28"/>
          <w:szCs w:val="28"/>
          <w:highlight w:val="none"/>
        </w:rPr>
      </w:pPr>
    </w:p>
    <w:p w14:paraId="390F3EA6">
      <w:pPr>
        <w:shd w:val="clear"/>
        <w:snapToGrid w:val="0"/>
        <w:spacing w:line="560" w:lineRule="exact"/>
        <w:ind w:firstLine="562" w:firstLineChars="201"/>
        <w:rPr>
          <w:rFonts w:hint="eastAsia" w:ascii="仿宋" w:hAnsi="仿宋" w:eastAsia="仿宋" w:cs="仿宋"/>
          <w:color w:val="auto"/>
          <w:sz w:val="28"/>
          <w:szCs w:val="28"/>
          <w:highlight w:val="none"/>
        </w:rPr>
      </w:pPr>
    </w:p>
    <w:p w14:paraId="2DE5CDDC">
      <w:pPr>
        <w:shd w:val="clear"/>
        <w:jc w:val="center"/>
        <w:rPr>
          <w:rFonts w:hint="eastAsia" w:ascii="仿宋" w:hAnsi="仿宋" w:eastAsia="仿宋" w:cs="仿宋"/>
          <w:b/>
          <w:color w:val="auto"/>
          <w:sz w:val="28"/>
          <w:szCs w:val="28"/>
          <w:highlight w:val="none"/>
        </w:rPr>
      </w:pPr>
    </w:p>
    <w:p w14:paraId="5D4A0609">
      <w:pPr>
        <w:shd w:val="clear"/>
        <w:jc w:val="center"/>
        <w:rPr>
          <w:rFonts w:hint="eastAsia" w:ascii="仿宋" w:hAnsi="仿宋" w:eastAsia="仿宋" w:cs="仿宋"/>
          <w:color w:val="auto"/>
          <w:sz w:val="32"/>
          <w:szCs w:val="32"/>
          <w:highlight w:val="none"/>
        </w:rPr>
        <w:sectPr>
          <w:pgSz w:w="11906" w:h="16838"/>
          <w:pgMar w:top="1440" w:right="1083" w:bottom="1440" w:left="1083" w:header="851" w:footer="992" w:gutter="0"/>
          <w:pgNumType w:fmt="decimal"/>
          <w:cols w:space="0" w:num="1"/>
          <w:rtlGutter w:val="0"/>
          <w:docGrid w:type="lines" w:linePitch="312" w:charSpace="0"/>
        </w:sectPr>
      </w:pPr>
    </w:p>
    <w:bookmarkEnd w:id="12"/>
    <w:bookmarkEnd w:id="13"/>
    <w:p w14:paraId="7969FB97">
      <w:pPr>
        <w:keepNext/>
        <w:keepLines/>
        <w:shd w:val="clear"/>
        <w:spacing w:line="560" w:lineRule="exact"/>
        <w:jc w:val="center"/>
        <w:outlineLvl w:val="2"/>
        <w:rPr>
          <w:rFonts w:hint="eastAsia" w:ascii="Times New Roman" w:hAnsi="Times New Roman" w:eastAsia="黑体" w:cs="Times New Roman"/>
          <w:bCs/>
          <w:color w:val="auto"/>
          <w:sz w:val="32"/>
          <w:szCs w:val="32"/>
          <w:highlight w:val="none"/>
        </w:rPr>
      </w:pPr>
      <w:r>
        <w:rPr>
          <w:rFonts w:hint="eastAsia" w:ascii="Times New Roman" w:hAnsi="Times New Roman" w:eastAsia="黑体" w:cs="Times New Roman"/>
          <w:bCs/>
          <w:color w:val="auto"/>
          <w:sz w:val="32"/>
          <w:szCs w:val="32"/>
          <w:highlight w:val="none"/>
        </w:rPr>
        <w:t>其他资质资格证明文件</w:t>
      </w:r>
    </w:p>
    <w:p w14:paraId="79EF4B3D">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w:t>
      </w:r>
      <w:r>
        <w:rPr>
          <w:rFonts w:hint="eastAsia" w:ascii="仿宋" w:hAnsi="仿宋" w:eastAsia="仿宋" w:cs="仿宋"/>
          <w:color w:val="auto"/>
          <w:sz w:val="32"/>
          <w:szCs w:val="36"/>
          <w:highlight w:val="none"/>
          <w:lang w:val="en-US" w:eastAsia="zh-CN"/>
        </w:rPr>
        <w:t>加盖投标人签章</w:t>
      </w:r>
      <w:r>
        <w:rPr>
          <w:rFonts w:hint="eastAsia" w:ascii="仿宋" w:hAnsi="仿宋" w:eastAsia="仿宋" w:cs="仿宋"/>
          <w:color w:val="auto"/>
          <w:sz w:val="32"/>
          <w:szCs w:val="36"/>
          <w:highlight w:val="none"/>
        </w:rPr>
        <w:t>）</w:t>
      </w:r>
    </w:p>
    <w:p w14:paraId="1D446294">
      <w:pPr>
        <w:shd w:val="clear"/>
        <w:rPr>
          <w:rFonts w:hint="eastAsia" w:ascii="仿宋" w:hAnsi="仿宋" w:eastAsia="仿宋" w:cs="仿宋"/>
          <w:color w:val="auto"/>
          <w:highlight w:val="none"/>
        </w:rPr>
      </w:pPr>
    </w:p>
    <w:p w14:paraId="709D1E81">
      <w:pPr>
        <w:shd w:val="clear"/>
        <w:jc w:val="center"/>
        <w:rPr>
          <w:rFonts w:hint="eastAsia" w:ascii="仿宋" w:hAnsi="仿宋" w:eastAsia="仿宋" w:cs="仿宋"/>
          <w:color w:val="auto"/>
          <w:highlight w:val="none"/>
        </w:rPr>
      </w:pPr>
    </w:p>
    <w:p w14:paraId="06786767">
      <w:pPr>
        <w:shd w:val="clear"/>
        <w:jc w:val="center"/>
        <w:rPr>
          <w:rFonts w:hint="eastAsia" w:ascii="仿宋" w:hAnsi="仿宋" w:eastAsia="仿宋" w:cs="仿宋"/>
          <w:color w:val="auto"/>
          <w:highlight w:val="none"/>
        </w:rPr>
      </w:pPr>
    </w:p>
    <w:p w14:paraId="3F42AD44">
      <w:pPr>
        <w:shd w:val="clear"/>
        <w:jc w:val="center"/>
        <w:rPr>
          <w:rFonts w:hint="eastAsia" w:ascii="仿宋" w:hAnsi="仿宋" w:eastAsia="仿宋" w:cs="仿宋"/>
          <w:color w:val="auto"/>
          <w:highlight w:val="none"/>
        </w:rPr>
      </w:pPr>
    </w:p>
    <w:p w14:paraId="4CAEB7D6">
      <w:pPr>
        <w:shd w:val="clear"/>
        <w:jc w:val="center"/>
        <w:rPr>
          <w:rFonts w:hint="eastAsia" w:ascii="仿宋" w:hAnsi="仿宋" w:eastAsia="仿宋" w:cs="仿宋"/>
          <w:color w:val="auto"/>
          <w:highlight w:val="none"/>
        </w:rPr>
      </w:pPr>
    </w:p>
    <w:p w14:paraId="1698C1FD">
      <w:pPr>
        <w:shd w:val="clear"/>
        <w:jc w:val="center"/>
        <w:rPr>
          <w:rFonts w:hint="eastAsia" w:ascii="仿宋" w:hAnsi="仿宋" w:eastAsia="仿宋" w:cs="仿宋"/>
          <w:color w:val="auto"/>
          <w:highlight w:val="none"/>
        </w:rPr>
      </w:pPr>
    </w:p>
    <w:p w14:paraId="003FFA6D">
      <w:pPr>
        <w:shd w:val="clear"/>
        <w:jc w:val="center"/>
        <w:rPr>
          <w:rFonts w:hint="eastAsia" w:ascii="仿宋" w:hAnsi="仿宋" w:eastAsia="仿宋" w:cs="仿宋"/>
          <w:color w:val="auto"/>
          <w:highlight w:val="none"/>
        </w:rPr>
      </w:pPr>
    </w:p>
    <w:p w14:paraId="091D57FE">
      <w:pPr>
        <w:shd w:val="clear"/>
        <w:jc w:val="center"/>
        <w:rPr>
          <w:rFonts w:hint="eastAsia" w:ascii="仿宋" w:hAnsi="仿宋" w:eastAsia="仿宋" w:cs="仿宋"/>
          <w:color w:val="auto"/>
          <w:highlight w:val="none"/>
        </w:rPr>
      </w:pPr>
    </w:p>
    <w:p w14:paraId="57862241">
      <w:pPr>
        <w:shd w:val="clear"/>
        <w:jc w:val="center"/>
        <w:rPr>
          <w:rFonts w:hint="eastAsia" w:ascii="仿宋" w:hAnsi="仿宋" w:eastAsia="仿宋" w:cs="仿宋"/>
          <w:color w:val="auto"/>
          <w:highlight w:val="none"/>
        </w:rPr>
      </w:pPr>
    </w:p>
    <w:p w14:paraId="0C5F5FD5">
      <w:pPr>
        <w:shd w:val="clear"/>
        <w:jc w:val="center"/>
        <w:rPr>
          <w:rFonts w:hint="eastAsia" w:ascii="仿宋" w:hAnsi="仿宋" w:eastAsia="仿宋" w:cs="仿宋"/>
          <w:color w:val="auto"/>
          <w:highlight w:val="none"/>
        </w:rPr>
      </w:pPr>
    </w:p>
    <w:p w14:paraId="0D71A54A">
      <w:pPr>
        <w:shd w:val="clear"/>
        <w:jc w:val="center"/>
        <w:rPr>
          <w:rFonts w:hint="eastAsia" w:ascii="仿宋" w:hAnsi="仿宋" w:eastAsia="仿宋" w:cs="仿宋"/>
          <w:color w:val="auto"/>
          <w:highlight w:val="none"/>
        </w:rPr>
      </w:pPr>
    </w:p>
    <w:p w14:paraId="799D6DAD">
      <w:pPr>
        <w:shd w:val="clear"/>
        <w:jc w:val="center"/>
        <w:rPr>
          <w:rFonts w:hint="eastAsia" w:ascii="仿宋" w:hAnsi="仿宋" w:eastAsia="仿宋" w:cs="仿宋"/>
          <w:color w:val="auto"/>
          <w:highlight w:val="none"/>
        </w:rPr>
      </w:pPr>
    </w:p>
    <w:p w14:paraId="48A309FE">
      <w:pPr>
        <w:shd w:val="clear"/>
        <w:jc w:val="center"/>
        <w:rPr>
          <w:rFonts w:hint="eastAsia" w:ascii="仿宋" w:hAnsi="仿宋" w:eastAsia="仿宋" w:cs="仿宋"/>
          <w:color w:val="auto"/>
          <w:highlight w:val="none"/>
        </w:rPr>
      </w:pPr>
    </w:p>
    <w:p w14:paraId="59D6AF43">
      <w:pPr>
        <w:shd w:val="clear"/>
        <w:jc w:val="center"/>
        <w:rPr>
          <w:rFonts w:hint="eastAsia" w:ascii="仿宋" w:hAnsi="仿宋" w:eastAsia="仿宋" w:cs="仿宋"/>
          <w:color w:val="auto"/>
          <w:highlight w:val="none"/>
        </w:rPr>
      </w:pPr>
    </w:p>
    <w:p w14:paraId="72AF74F5">
      <w:pPr>
        <w:shd w:val="clear"/>
        <w:jc w:val="center"/>
        <w:rPr>
          <w:rFonts w:hint="eastAsia" w:ascii="仿宋" w:hAnsi="仿宋" w:eastAsia="仿宋" w:cs="仿宋"/>
          <w:color w:val="auto"/>
          <w:highlight w:val="none"/>
        </w:rPr>
      </w:pPr>
    </w:p>
    <w:p w14:paraId="3BCD2492">
      <w:pPr>
        <w:shd w:val="clear"/>
        <w:jc w:val="center"/>
        <w:rPr>
          <w:rFonts w:hint="eastAsia" w:ascii="仿宋" w:hAnsi="仿宋" w:eastAsia="仿宋" w:cs="仿宋"/>
          <w:color w:val="auto"/>
          <w:highlight w:val="none"/>
        </w:rPr>
      </w:pPr>
    </w:p>
    <w:p w14:paraId="7BBAB7BF">
      <w:pPr>
        <w:shd w:val="clear"/>
        <w:jc w:val="center"/>
        <w:rPr>
          <w:rFonts w:hint="eastAsia" w:ascii="仿宋" w:hAnsi="仿宋" w:eastAsia="仿宋" w:cs="仿宋"/>
          <w:color w:val="auto"/>
          <w:highlight w:val="none"/>
        </w:rPr>
      </w:pPr>
    </w:p>
    <w:p w14:paraId="416E02FF">
      <w:pPr>
        <w:shd w:val="clear"/>
        <w:jc w:val="center"/>
        <w:rPr>
          <w:rFonts w:hint="eastAsia" w:ascii="仿宋" w:hAnsi="仿宋" w:eastAsia="仿宋" w:cs="仿宋"/>
          <w:color w:val="auto"/>
          <w:highlight w:val="none"/>
        </w:rPr>
      </w:pPr>
    </w:p>
    <w:p w14:paraId="640F2997">
      <w:pPr>
        <w:shd w:val="clear"/>
        <w:jc w:val="center"/>
        <w:rPr>
          <w:rFonts w:hint="eastAsia" w:ascii="仿宋" w:hAnsi="仿宋" w:eastAsia="仿宋" w:cs="仿宋"/>
          <w:color w:val="auto"/>
          <w:highlight w:val="none"/>
        </w:rPr>
      </w:pPr>
    </w:p>
    <w:p w14:paraId="54259544">
      <w:pPr>
        <w:shd w:val="clear"/>
        <w:jc w:val="center"/>
        <w:rPr>
          <w:rFonts w:hint="eastAsia" w:ascii="仿宋" w:hAnsi="仿宋" w:eastAsia="仿宋" w:cs="仿宋"/>
          <w:color w:val="auto"/>
          <w:highlight w:val="none"/>
        </w:rPr>
      </w:pPr>
    </w:p>
    <w:p w14:paraId="0CAE8469">
      <w:pPr>
        <w:shd w:val="clear"/>
        <w:jc w:val="center"/>
        <w:rPr>
          <w:rFonts w:hint="eastAsia" w:ascii="仿宋" w:hAnsi="仿宋" w:eastAsia="仿宋" w:cs="仿宋"/>
          <w:color w:val="auto"/>
          <w:highlight w:val="none"/>
        </w:rPr>
      </w:pPr>
    </w:p>
    <w:p w14:paraId="2098A977">
      <w:pPr>
        <w:shd w:val="clear"/>
        <w:jc w:val="center"/>
        <w:rPr>
          <w:rFonts w:hint="eastAsia" w:ascii="仿宋" w:hAnsi="仿宋" w:eastAsia="仿宋" w:cs="仿宋"/>
          <w:color w:val="auto"/>
          <w:highlight w:val="none"/>
        </w:rPr>
      </w:pPr>
    </w:p>
    <w:p w14:paraId="5500C8DD">
      <w:pPr>
        <w:shd w:val="clear"/>
        <w:jc w:val="center"/>
        <w:rPr>
          <w:rFonts w:hint="eastAsia" w:ascii="仿宋" w:hAnsi="仿宋" w:eastAsia="仿宋" w:cs="仿宋"/>
          <w:color w:val="auto"/>
          <w:highlight w:val="none"/>
        </w:rPr>
      </w:pPr>
    </w:p>
    <w:p w14:paraId="37184F9D">
      <w:pPr>
        <w:shd w:val="clear"/>
        <w:jc w:val="center"/>
        <w:rPr>
          <w:rFonts w:hint="eastAsia" w:ascii="仿宋" w:hAnsi="仿宋" w:eastAsia="仿宋" w:cs="仿宋"/>
          <w:color w:val="auto"/>
          <w:highlight w:val="none"/>
        </w:rPr>
      </w:pPr>
    </w:p>
    <w:p w14:paraId="7356B103">
      <w:pPr>
        <w:shd w:val="clear"/>
        <w:jc w:val="center"/>
        <w:rPr>
          <w:rFonts w:hint="eastAsia" w:ascii="仿宋" w:hAnsi="仿宋" w:eastAsia="仿宋" w:cs="仿宋"/>
          <w:color w:val="auto"/>
          <w:highlight w:val="none"/>
        </w:rPr>
      </w:pPr>
    </w:p>
    <w:p w14:paraId="234DA0BC">
      <w:pPr>
        <w:shd w:val="clear"/>
        <w:jc w:val="cente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1B54F2C1">
      <w:pPr>
        <w:shd w:val="clear"/>
        <w:jc w:val="center"/>
        <w:rPr>
          <w:rFonts w:hint="eastAsia" w:ascii="仿宋" w:hAnsi="仿宋" w:eastAsia="仿宋" w:cs="仿宋"/>
          <w:color w:val="auto"/>
          <w:highlight w:val="none"/>
        </w:rPr>
      </w:pPr>
    </w:p>
    <w:p w14:paraId="200F3021">
      <w:pPr>
        <w:widowControl/>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bookmarkStart w:id="14" w:name="_Toc521936051"/>
      <w:bookmarkStart w:id="15" w:name="_Toc522526790"/>
      <w:r>
        <w:rPr>
          <w:rFonts w:hint="eastAsia" w:ascii="黑体" w:hAnsi="黑体" w:eastAsia="黑体" w:cs="Times New Roman"/>
          <w:b/>
          <w:bCs/>
          <w:color w:val="auto"/>
          <w:sz w:val="44"/>
          <w:szCs w:val="44"/>
          <w:highlight w:val="none"/>
        </w:rPr>
        <w:t>符合性审查表</w:t>
      </w:r>
    </w:p>
    <w:p w14:paraId="4C5C60C7">
      <w:pPr>
        <w:shd w:val="clear"/>
        <w:rPr>
          <w:rFonts w:hint="eastAsia" w:ascii="仿宋" w:hAnsi="仿宋" w:eastAsia="仿宋" w:cs="仿宋"/>
          <w:highlight w:val="none"/>
        </w:rPr>
      </w:pPr>
    </w:p>
    <w:tbl>
      <w:tblPr>
        <w:tblStyle w:val="3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0"/>
        <w:gridCol w:w="4708"/>
        <w:gridCol w:w="4708"/>
      </w:tblGrid>
      <w:tr w14:paraId="22333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0ACEC8FC">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64" w:type="pct"/>
            <w:tcBorders>
              <w:top w:val="single" w:color="auto" w:sz="4" w:space="0"/>
              <w:left w:val="nil"/>
              <w:bottom w:val="single" w:color="auto" w:sz="4" w:space="0"/>
              <w:right w:val="single" w:color="auto" w:sz="4" w:space="0"/>
            </w:tcBorders>
            <w:noWrap w:val="0"/>
            <w:vAlign w:val="center"/>
          </w:tcPr>
          <w:p w14:paraId="67748A02">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审查内容</w:t>
            </w:r>
          </w:p>
        </w:tc>
        <w:tc>
          <w:tcPr>
            <w:tcW w:w="2364" w:type="pct"/>
            <w:tcBorders>
              <w:top w:val="single" w:color="auto" w:sz="4" w:space="0"/>
              <w:left w:val="nil"/>
              <w:bottom w:val="single" w:color="auto" w:sz="4" w:space="0"/>
              <w:right w:val="single" w:color="auto" w:sz="4" w:space="0"/>
            </w:tcBorders>
            <w:noWrap w:val="0"/>
            <w:vAlign w:val="center"/>
          </w:tcPr>
          <w:p w14:paraId="28E5F359">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响应内容</w:t>
            </w:r>
          </w:p>
        </w:tc>
      </w:tr>
      <w:tr w14:paraId="4FDF9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FBC0C66">
            <w:pPr>
              <w:shd w:val="clear"/>
              <w:snapToGrid w:val="0"/>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64" w:type="pct"/>
            <w:tcBorders>
              <w:top w:val="single" w:color="auto" w:sz="4" w:space="0"/>
              <w:left w:val="nil"/>
              <w:bottom w:val="single" w:color="auto" w:sz="4" w:space="0"/>
              <w:right w:val="single" w:color="auto" w:sz="4" w:space="0"/>
            </w:tcBorders>
            <w:noWrap w:val="0"/>
            <w:vAlign w:val="center"/>
          </w:tcPr>
          <w:p w14:paraId="16B88FE7">
            <w:pPr>
              <w:shd w:val="clear"/>
              <w:snapToGrid w:val="0"/>
              <w:spacing w:line="440" w:lineRule="exact"/>
              <w:jc w:val="both"/>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投标有效期：开标之日起90日。</w:t>
            </w:r>
          </w:p>
        </w:tc>
        <w:tc>
          <w:tcPr>
            <w:tcW w:w="2364" w:type="pct"/>
            <w:tcBorders>
              <w:top w:val="single" w:color="auto" w:sz="4" w:space="0"/>
              <w:left w:val="nil"/>
              <w:bottom w:val="single" w:color="auto" w:sz="4" w:space="0"/>
              <w:right w:val="single" w:color="auto" w:sz="4" w:space="0"/>
            </w:tcBorders>
            <w:noWrap w:val="0"/>
            <w:vAlign w:val="center"/>
          </w:tcPr>
          <w:p w14:paraId="4C94A1AF">
            <w:pPr>
              <w:shd w:val="clear"/>
              <w:snapToGrid w:val="0"/>
              <w:spacing w:line="440" w:lineRule="exact"/>
              <w:jc w:val="both"/>
              <w:rPr>
                <w:rFonts w:hint="eastAsia" w:ascii="仿宋" w:hAnsi="仿宋" w:eastAsia="仿宋" w:cs="仿宋"/>
                <w:color w:val="auto"/>
                <w:sz w:val="28"/>
                <w:szCs w:val="28"/>
                <w:highlight w:val="none"/>
              </w:rPr>
            </w:pPr>
          </w:p>
        </w:tc>
      </w:tr>
      <w:tr w14:paraId="2FEBF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547506E7">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w:t>
            </w:r>
          </w:p>
        </w:tc>
        <w:tc>
          <w:tcPr>
            <w:tcW w:w="2364" w:type="pct"/>
            <w:tcBorders>
              <w:top w:val="single" w:color="auto" w:sz="4" w:space="0"/>
              <w:left w:val="nil"/>
              <w:bottom w:val="single" w:color="auto" w:sz="4" w:space="0"/>
              <w:right w:val="single" w:color="auto" w:sz="4" w:space="0"/>
            </w:tcBorders>
            <w:noWrap w:val="0"/>
            <w:vAlign w:val="center"/>
          </w:tcPr>
          <w:p w14:paraId="766C72BE">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服务期：3年。双方若无异议，合同期满自动延续1年，总服务期不超过4年。</w:t>
            </w:r>
          </w:p>
        </w:tc>
        <w:tc>
          <w:tcPr>
            <w:tcW w:w="2364" w:type="pct"/>
            <w:tcBorders>
              <w:top w:val="single" w:color="auto" w:sz="4" w:space="0"/>
              <w:left w:val="nil"/>
              <w:bottom w:val="single" w:color="auto" w:sz="4" w:space="0"/>
              <w:right w:val="single" w:color="auto" w:sz="4" w:space="0"/>
            </w:tcBorders>
            <w:noWrap w:val="0"/>
            <w:vAlign w:val="center"/>
          </w:tcPr>
          <w:p w14:paraId="50EC1640">
            <w:pPr>
              <w:shd w:val="clear"/>
              <w:snapToGrid w:val="0"/>
              <w:spacing w:line="440" w:lineRule="exact"/>
              <w:jc w:val="both"/>
              <w:rPr>
                <w:rFonts w:hint="eastAsia" w:ascii="仿宋" w:hAnsi="仿宋" w:eastAsia="仿宋" w:cs="仿宋"/>
                <w:color w:val="auto"/>
                <w:sz w:val="28"/>
                <w:szCs w:val="28"/>
                <w:highlight w:val="none"/>
              </w:rPr>
            </w:pPr>
          </w:p>
        </w:tc>
      </w:tr>
      <w:tr w14:paraId="0A15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71" w:type="pct"/>
            <w:tcBorders>
              <w:top w:val="single" w:color="auto" w:sz="4" w:space="0"/>
              <w:left w:val="single" w:color="auto" w:sz="4" w:space="0"/>
              <w:bottom w:val="single" w:color="auto" w:sz="4" w:space="0"/>
              <w:right w:val="single" w:color="auto" w:sz="4" w:space="0"/>
            </w:tcBorders>
            <w:noWrap w:val="0"/>
            <w:vAlign w:val="center"/>
          </w:tcPr>
          <w:p w14:paraId="37227BA9">
            <w:pPr>
              <w:shd w:val="clear"/>
              <w:snapToGrid w:val="0"/>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w:t>
            </w:r>
          </w:p>
        </w:tc>
        <w:tc>
          <w:tcPr>
            <w:tcW w:w="2364" w:type="pct"/>
            <w:tcBorders>
              <w:top w:val="single" w:color="auto" w:sz="4" w:space="0"/>
              <w:left w:val="nil"/>
              <w:bottom w:val="single" w:color="auto" w:sz="4" w:space="0"/>
              <w:right w:val="single" w:color="auto" w:sz="4" w:space="0"/>
            </w:tcBorders>
            <w:noWrap w:val="0"/>
            <w:vAlign w:val="center"/>
          </w:tcPr>
          <w:p w14:paraId="7745B09D">
            <w:pPr>
              <w:shd w:val="clear"/>
              <w:snapToGrid w:val="0"/>
              <w:spacing w:line="440" w:lineRule="exact"/>
              <w:jc w:val="both"/>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付款方式：按年支付。乙方开具税率为6%的增值税专用发票，甲方在收到合规发票后30个工作日内支付第一年服务费；后续每下一年度服务费于上一年服务期满前30个工作日内支付。</w:t>
            </w:r>
          </w:p>
        </w:tc>
        <w:tc>
          <w:tcPr>
            <w:tcW w:w="2364" w:type="pct"/>
            <w:tcBorders>
              <w:top w:val="single" w:color="auto" w:sz="4" w:space="0"/>
              <w:left w:val="nil"/>
              <w:bottom w:val="single" w:color="auto" w:sz="4" w:space="0"/>
              <w:right w:val="single" w:color="auto" w:sz="4" w:space="0"/>
            </w:tcBorders>
            <w:noWrap w:val="0"/>
            <w:vAlign w:val="center"/>
          </w:tcPr>
          <w:p w14:paraId="3E6CCE80">
            <w:pPr>
              <w:shd w:val="clear"/>
              <w:snapToGrid w:val="0"/>
              <w:spacing w:line="440" w:lineRule="exact"/>
              <w:jc w:val="both"/>
              <w:rPr>
                <w:rFonts w:hint="eastAsia" w:ascii="仿宋" w:hAnsi="仿宋" w:eastAsia="仿宋" w:cs="仿宋"/>
                <w:color w:val="auto"/>
                <w:sz w:val="28"/>
                <w:szCs w:val="28"/>
                <w:highlight w:val="none"/>
              </w:rPr>
            </w:pPr>
          </w:p>
        </w:tc>
      </w:tr>
    </w:tbl>
    <w:p w14:paraId="51E022C0">
      <w:pPr>
        <w:shd w:val="clear"/>
        <w:jc w:val="center"/>
        <w:rPr>
          <w:rFonts w:hint="eastAsia" w:ascii="仿宋" w:hAnsi="仿宋" w:eastAsia="仿宋" w:cs="仿宋"/>
          <w:color w:val="auto"/>
          <w:sz w:val="28"/>
          <w:szCs w:val="28"/>
          <w:highlight w:val="none"/>
        </w:rPr>
      </w:pPr>
    </w:p>
    <w:p w14:paraId="37BAB37B">
      <w:pPr>
        <w:shd w:val="clear"/>
        <w:jc w:val="both"/>
        <w:rPr>
          <w:rFonts w:hint="eastAsia" w:ascii="仿宋" w:hAnsi="仿宋" w:eastAsia="仿宋" w:cs="仿宋"/>
          <w:color w:val="auto"/>
          <w:sz w:val="28"/>
          <w:szCs w:val="28"/>
          <w:highlight w:val="none"/>
        </w:rPr>
      </w:pPr>
    </w:p>
    <w:p w14:paraId="709AA7AC">
      <w:pPr>
        <w:shd w:val="clear"/>
        <w:jc w:val="center"/>
        <w:rPr>
          <w:rFonts w:hint="eastAsia" w:ascii="仿宋" w:hAnsi="仿宋" w:eastAsia="仿宋" w:cs="仿宋"/>
          <w:color w:val="auto"/>
          <w:sz w:val="28"/>
          <w:szCs w:val="28"/>
          <w:highlight w:val="none"/>
        </w:rPr>
      </w:pPr>
    </w:p>
    <w:p w14:paraId="7447E265">
      <w:pPr>
        <w:shd w:val="clear"/>
        <w:spacing w:line="520" w:lineRule="exact"/>
        <w:ind w:firstLine="3900" w:firstLineChars="1300"/>
        <w:jc w:val="right"/>
        <w:rPr>
          <w:rFonts w:hint="eastAsia" w:ascii="仿宋" w:hAnsi="仿宋" w:eastAsia="仿宋" w:cs="仿宋"/>
          <w:color w:val="auto"/>
          <w:sz w:val="30"/>
          <w:szCs w:val="30"/>
          <w:highlight w:val="none"/>
        </w:rPr>
      </w:pPr>
    </w:p>
    <w:p w14:paraId="41204B11">
      <w:pPr>
        <w:shd w:val="clear"/>
        <w:rPr>
          <w:rFonts w:hint="eastAsia" w:ascii="仿宋" w:hAnsi="仿宋" w:eastAsia="仿宋" w:cs="仿宋"/>
          <w:color w:val="auto"/>
          <w:highlight w:val="none"/>
        </w:rPr>
      </w:pPr>
    </w:p>
    <w:p w14:paraId="66A612FB">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2EE5A96">
      <w:pPr>
        <w:shd w:val="clear"/>
        <w:jc w:val="center"/>
        <w:rPr>
          <w:rFonts w:hint="eastAsia" w:ascii="黑体" w:hAnsi="黑体" w:eastAsia="黑体" w:cs="Times New Roman"/>
          <w:b/>
          <w:bCs/>
          <w:color w:val="auto"/>
          <w:sz w:val="44"/>
          <w:szCs w:val="44"/>
          <w:highlight w:val="none"/>
        </w:rPr>
      </w:pPr>
      <w:r>
        <w:rPr>
          <w:rFonts w:hint="eastAsia" w:ascii="仿宋" w:hAnsi="仿宋" w:eastAsia="仿宋" w:cs="仿宋"/>
          <w:b/>
          <w:bCs/>
          <w:color w:val="auto"/>
          <w:sz w:val="32"/>
          <w:szCs w:val="32"/>
          <w:highlight w:val="none"/>
        </w:rPr>
        <w:br w:type="page"/>
      </w:r>
      <w:r>
        <w:rPr>
          <w:rFonts w:hint="eastAsia" w:ascii="黑体" w:hAnsi="黑体" w:eastAsia="黑体" w:cs="Times New Roman"/>
          <w:b/>
          <w:bCs/>
          <w:color w:val="auto"/>
          <w:sz w:val="44"/>
          <w:szCs w:val="44"/>
          <w:highlight w:val="none"/>
        </w:rPr>
        <w:t>投标人基本情况表</w:t>
      </w:r>
    </w:p>
    <w:p w14:paraId="445E28F5">
      <w:pPr>
        <w:shd w:val="clear"/>
        <w:rPr>
          <w:rFonts w:hint="eastAsia" w:ascii="仿宋" w:hAnsi="仿宋" w:eastAsia="仿宋" w:cs="仿宋"/>
          <w:highlight w:val="none"/>
        </w:rPr>
      </w:pP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1771"/>
        <w:gridCol w:w="886"/>
        <w:gridCol w:w="1176"/>
        <w:gridCol w:w="1043"/>
        <w:gridCol w:w="237"/>
        <w:gridCol w:w="1560"/>
        <w:gridCol w:w="175"/>
        <w:gridCol w:w="291"/>
        <w:gridCol w:w="2206"/>
      </w:tblGrid>
      <w:tr w14:paraId="37DA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9747B6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w:t>
            </w:r>
          </w:p>
        </w:tc>
        <w:tc>
          <w:tcPr>
            <w:tcW w:w="1560" w:type="pct"/>
            <w:gridSpan w:val="3"/>
            <w:noWrap w:val="0"/>
            <w:vAlign w:val="center"/>
          </w:tcPr>
          <w:p w14:paraId="1905E04E">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0FFD20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1106" w:type="pct"/>
            <w:noWrap w:val="0"/>
            <w:vAlign w:val="center"/>
          </w:tcPr>
          <w:p w14:paraId="3CDD02E4">
            <w:pPr>
              <w:shd w:val="clear"/>
              <w:spacing w:line="440" w:lineRule="exact"/>
              <w:jc w:val="center"/>
              <w:rPr>
                <w:rFonts w:hint="eastAsia" w:ascii="仿宋" w:hAnsi="仿宋" w:eastAsia="仿宋" w:cs="仿宋"/>
                <w:color w:val="auto"/>
                <w:sz w:val="28"/>
                <w:szCs w:val="28"/>
                <w:highlight w:val="none"/>
              </w:rPr>
            </w:pPr>
          </w:p>
        </w:tc>
      </w:tr>
      <w:tr w14:paraId="324A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2E3419E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办公电话/传真</w:t>
            </w:r>
          </w:p>
        </w:tc>
        <w:tc>
          <w:tcPr>
            <w:tcW w:w="1560" w:type="pct"/>
            <w:gridSpan w:val="3"/>
            <w:noWrap w:val="0"/>
            <w:vAlign w:val="center"/>
          </w:tcPr>
          <w:p w14:paraId="08047A93">
            <w:pPr>
              <w:shd w:val="clear"/>
              <w:spacing w:line="440" w:lineRule="exact"/>
              <w:jc w:val="center"/>
              <w:rPr>
                <w:rFonts w:hint="eastAsia" w:ascii="仿宋" w:hAnsi="仿宋" w:eastAsia="仿宋" w:cs="仿宋"/>
                <w:color w:val="auto"/>
                <w:sz w:val="28"/>
                <w:szCs w:val="28"/>
                <w:highlight w:val="none"/>
              </w:rPr>
            </w:pPr>
          </w:p>
        </w:tc>
        <w:tc>
          <w:tcPr>
            <w:tcW w:w="1137" w:type="pct"/>
            <w:gridSpan w:val="4"/>
            <w:noWrap w:val="0"/>
            <w:vAlign w:val="center"/>
          </w:tcPr>
          <w:p w14:paraId="313781C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w:t>
            </w:r>
          </w:p>
        </w:tc>
        <w:tc>
          <w:tcPr>
            <w:tcW w:w="1106" w:type="pct"/>
            <w:noWrap w:val="0"/>
            <w:vAlign w:val="center"/>
          </w:tcPr>
          <w:p w14:paraId="671916FB">
            <w:pPr>
              <w:shd w:val="clear"/>
              <w:spacing w:line="440" w:lineRule="exact"/>
              <w:jc w:val="center"/>
              <w:rPr>
                <w:rFonts w:hint="eastAsia" w:ascii="仿宋" w:hAnsi="仿宋" w:eastAsia="仿宋" w:cs="仿宋"/>
                <w:color w:val="auto"/>
                <w:sz w:val="28"/>
                <w:szCs w:val="28"/>
                <w:highlight w:val="none"/>
              </w:rPr>
            </w:pPr>
          </w:p>
        </w:tc>
      </w:tr>
      <w:tr w14:paraId="43950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60684FA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所属/主管部门</w:t>
            </w:r>
          </w:p>
        </w:tc>
        <w:tc>
          <w:tcPr>
            <w:tcW w:w="3804" w:type="pct"/>
            <w:gridSpan w:val="8"/>
            <w:noWrap w:val="0"/>
            <w:vAlign w:val="center"/>
          </w:tcPr>
          <w:p w14:paraId="72E5454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7F6A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195" w:type="pct"/>
            <w:gridSpan w:val="2"/>
            <w:noWrap w:val="0"/>
            <w:vAlign w:val="center"/>
          </w:tcPr>
          <w:p w14:paraId="03A9A5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总经理</w:t>
            </w:r>
          </w:p>
        </w:tc>
        <w:tc>
          <w:tcPr>
            <w:tcW w:w="1036" w:type="pct"/>
            <w:gridSpan w:val="2"/>
            <w:noWrap w:val="0"/>
            <w:vAlign w:val="center"/>
          </w:tcPr>
          <w:p w14:paraId="48E53C84">
            <w:pPr>
              <w:shd w:val="clear"/>
              <w:spacing w:line="440" w:lineRule="exact"/>
              <w:jc w:val="center"/>
              <w:rPr>
                <w:rFonts w:hint="eastAsia" w:ascii="仿宋" w:hAnsi="仿宋" w:eastAsia="仿宋" w:cs="仿宋"/>
                <w:color w:val="auto"/>
                <w:sz w:val="28"/>
                <w:szCs w:val="28"/>
                <w:highlight w:val="none"/>
              </w:rPr>
            </w:pPr>
          </w:p>
        </w:tc>
        <w:tc>
          <w:tcPr>
            <w:tcW w:w="1515" w:type="pct"/>
            <w:gridSpan w:val="4"/>
            <w:noWrap w:val="0"/>
            <w:vAlign w:val="center"/>
          </w:tcPr>
          <w:p w14:paraId="67BC82D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固定办公面积（平米）</w:t>
            </w:r>
          </w:p>
        </w:tc>
        <w:tc>
          <w:tcPr>
            <w:tcW w:w="1252" w:type="pct"/>
            <w:gridSpan w:val="2"/>
            <w:noWrap w:val="0"/>
            <w:vAlign w:val="center"/>
          </w:tcPr>
          <w:p w14:paraId="137263E3">
            <w:pPr>
              <w:shd w:val="clear"/>
              <w:spacing w:line="440" w:lineRule="exact"/>
              <w:jc w:val="center"/>
              <w:rPr>
                <w:rFonts w:hint="eastAsia" w:ascii="仿宋" w:hAnsi="仿宋" w:eastAsia="仿宋" w:cs="仿宋"/>
                <w:color w:val="auto"/>
                <w:sz w:val="28"/>
                <w:szCs w:val="28"/>
                <w:highlight w:val="none"/>
              </w:rPr>
            </w:pPr>
          </w:p>
        </w:tc>
      </w:tr>
      <w:tr w14:paraId="46DC2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restart"/>
            <w:noWrap w:val="0"/>
            <w:vAlign w:val="center"/>
          </w:tcPr>
          <w:p w14:paraId="42E877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注册情况</w:t>
            </w:r>
          </w:p>
        </w:tc>
        <w:tc>
          <w:tcPr>
            <w:tcW w:w="1335" w:type="pct"/>
            <w:gridSpan w:val="2"/>
            <w:noWrap w:val="0"/>
            <w:vAlign w:val="center"/>
          </w:tcPr>
          <w:p w14:paraId="5EBC760E">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统一社会信用代码</w:t>
            </w:r>
          </w:p>
        </w:tc>
        <w:tc>
          <w:tcPr>
            <w:tcW w:w="3358" w:type="pct"/>
            <w:gridSpan w:val="7"/>
            <w:noWrap w:val="0"/>
            <w:vAlign w:val="center"/>
          </w:tcPr>
          <w:p w14:paraId="0865FA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DD72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35144A2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D8741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注册资本（万元）</w:t>
            </w:r>
          </w:p>
        </w:tc>
        <w:tc>
          <w:tcPr>
            <w:tcW w:w="3358" w:type="pct"/>
            <w:gridSpan w:val="7"/>
            <w:noWrap w:val="0"/>
            <w:vAlign w:val="center"/>
          </w:tcPr>
          <w:p w14:paraId="78333C5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30DBB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135D28E8">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608FAD4C">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lang w:val="en-US" w:eastAsia="zh-CN"/>
              </w:rPr>
              <w:t>/单位负责人</w:t>
            </w:r>
          </w:p>
        </w:tc>
        <w:tc>
          <w:tcPr>
            <w:tcW w:w="1234" w:type="pct"/>
            <w:gridSpan w:val="3"/>
            <w:noWrap w:val="0"/>
            <w:vAlign w:val="center"/>
          </w:tcPr>
          <w:p w14:paraId="43BE5C8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4CD5886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单位类型</w:t>
            </w:r>
          </w:p>
        </w:tc>
        <w:tc>
          <w:tcPr>
            <w:tcW w:w="1339" w:type="pct"/>
            <w:gridSpan w:val="3"/>
            <w:noWrap w:val="0"/>
            <w:vAlign w:val="center"/>
          </w:tcPr>
          <w:p w14:paraId="0D9EA63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FF0A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04CB3022">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47EFCD7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w:t>
            </w:r>
          </w:p>
        </w:tc>
        <w:tc>
          <w:tcPr>
            <w:tcW w:w="1234" w:type="pct"/>
            <w:gridSpan w:val="3"/>
            <w:noWrap w:val="0"/>
            <w:vAlign w:val="center"/>
          </w:tcPr>
          <w:p w14:paraId="3C8ED4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84" w:type="pct"/>
            <w:noWrap w:val="0"/>
            <w:vAlign w:val="center"/>
          </w:tcPr>
          <w:p w14:paraId="0292EB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营业期限</w:t>
            </w:r>
          </w:p>
        </w:tc>
        <w:tc>
          <w:tcPr>
            <w:tcW w:w="1339" w:type="pct"/>
            <w:gridSpan w:val="3"/>
            <w:noWrap w:val="0"/>
            <w:vAlign w:val="center"/>
          </w:tcPr>
          <w:p w14:paraId="268DD95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9AB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305" w:type="pct"/>
            <w:vMerge w:val="continue"/>
            <w:noWrap w:val="0"/>
            <w:textDirection w:val="tbRlV"/>
            <w:vAlign w:val="center"/>
          </w:tcPr>
          <w:p w14:paraId="697449B5">
            <w:pPr>
              <w:shd w:val="clear"/>
              <w:spacing w:line="440" w:lineRule="exact"/>
              <w:jc w:val="center"/>
              <w:rPr>
                <w:rFonts w:hint="eastAsia" w:ascii="仿宋" w:hAnsi="仿宋" w:eastAsia="仿宋" w:cs="仿宋"/>
                <w:color w:val="auto"/>
                <w:sz w:val="28"/>
                <w:szCs w:val="28"/>
                <w:highlight w:val="none"/>
              </w:rPr>
            </w:pPr>
          </w:p>
        </w:tc>
        <w:tc>
          <w:tcPr>
            <w:tcW w:w="1335" w:type="pct"/>
            <w:gridSpan w:val="2"/>
            <w:noWrap w:val="0"/>
            <w:vAlign w:val="center"/>
          </w:tcPr>
          <w:p w14:paraId="0C8FFA0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经营范围</w:t>
            </w:r>
          </w:p>
        </w:tc>
        <w:tc>
          <w:tcPr>
            <w:tcW w:w="3358" w:type="pct"/>
            <w:gridSpan w:val="7"/>
            <w:noWrap w:val="0"/>
            <w:vAlign w:val="center"/>
          </w:tcPr>
          <w:p w14:paraId="447BF5FA">
            <w:pPr>
              <w:shd w:val="clear"/>
              <w:spacing w:line="440" w:lineRule="exact"/>
              <w:jc w:val="center"/>
              <w:rPr>
                <w:rFonts w:hint="eastAsia" w:ascii="仿宋" w:hAnsi="仿宋" w:eastAsia="仿宋" w:cs="仿宋"/>
                <w:color w:val="auto"/>
                <w:sz w:val="28"/>
                <w:szCs w:val="28"/>
                <w:highlight w:val="none"/>
              </w:rPr>
            </w:pPr>
          </w:p>
        </w:tc>
      </w:tr>
      <w:tr w14:paraId="4BFD9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732CF9BC">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1.与我单位</w:t>
            </w:r>
            <w:r>
              <w:rPr>
                <w:rFonts w:hint="eastAsia" w:ascii="仿宋" w:hAnsi="仿宋" w:eastAsia="仿宋" w:cs="仿宋"/>
                <w:color w:val="auto"/>
                <w:sz w:val="28"/>
                <w:szCs w:val="28"/>
                <w:highlight w:val="none"/>
              </w:rPr>
              <w:t>单位负责人为同一人</w:t>
            </w:r>
            <w:r>
              <w:rPr>
                <w:rFonts w:hint="eastAsia" w:ascii="仿宋" w:hAnsi="仿宋" w:eastAsia="仿宋" w:cs="仿宋"/>
                <w:color w:val="auto"/>
                <w:sz w:val="28"/>
                <w:szCs w:val="28"/>
                <w:highlight w:val="none"/>
                <w:lang w:val="en-US" w:eastAsia="zh-CN"/>
              </w:rPr>
              <w:t>的其他单位为：</w:t>
            </w:r>
          </w:p>
          <w:p w14:paraId="2AFCAC37">
            <w:pPr>
              <w:shd w:val="clear"/>
              <w:spacing w:line="440" w:lineRule="exact"/>
              <w:jc w:val="both"/>
              <w:rPr>
                <w:rFonts w:hint="eastAsia" w:ascii="仿宋" w:hAnsi="仿宋" w:eastAsia="仿宋" w:cs="仿宋"/>
                <w:color w:val="auto"/>
                <w:sz w:val="28"/>
                <w:szCs w:val="28"/>
                <w:highlight w:val="none"/>
                <w:lang w:val="en-US" w:eastAsia="zh-CN"/>
              </w:rPr>
            </w:pPr>
          </w:p>
          <w:p w14:paraId="28F11047">
            <w:pPr>
              <w:shd w:val="clear"/>
              <w:spacing w:line="440" w:lineRule="exact"/>
              <w:jc w:val="both"/>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2.与我单位</w:t>
            </w:r>
            <w:r>
              <w:rPr>
                <w:rFonts w:hint="eastAsia" w:ascii="仿宋" w:hAnsi="仿宋" w:eastAsia="仿宋" w:cs="仿宋"/>
                <w:color w:val="auto"/>
                <w:sz w:val="28"/>
                <w:szCs w:val="28"/>
                <w:highlight w:val="none"/>
              </w:rPr>
              <w:t>存在控股、管理关系的</w:t>
            </w:r>
            <w:r>
              <w:rPr>
                <w:rFonts w:hint="eastAsia" w:ascii="仿宋" w:hAnsi="仿宋" w:eastAsia="仿宋" w:cs="仿宋"/>
                <w:color w:val="auto"/>
                <w:sz w:val="28"/>
                <w:szCs w:val="28"/>
                <w:highlight w:val="none"/>
                <w:lang w:val="en-US" w:eastAsia="zh-CN"/>
              </w:rPr>
              <w:t>其他单位为：</w:t>
            </w:r>
          </w:p>
          <w:p w14:paraId="6050C965">
            <w:pPr>
              <w:shd w:val="clear"/>
              <w:spacing w:line="440" w:lineRule="exact"/>
              <w:jc w:val="both"/>
              <w:rPr>
                <w:rFonts w:hint="eastAsia" w:ascii="仿宋" w:hAnsi="仿宋" w:eastAsia="仿宋" w:cs="仿宋"/>
                <w:color w:val="auto"/>
                <w:sz w:val="28"/>
                <w:szCs w:val="28"/>
                <w:highlight w:val="none"/>
              </w:rPr>
            </w:pPr>
          </w:p>
        </w:tc>
      </w:tr>
      <w:tr w14:paraId="11F8E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000" w:type="pct"/>
            <w:gridSpan w:val="10"/>
            <w:noWrap w:val="0"/>
            <w:vAlign w:val="center"/>
          </w:tcPr>
          <w:p w14:paraId="05919F4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投标人情况简介</w:t>
            </w:r>
          </w:p>
        </w:tc>
      </w:tr>
      <w:tr w14:paraId="4AFB2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0" w:hRule="atLeast"/>
          <w:jc w:val="center"/>
        </w:trPr>
        <w:tc>
          <w:tcPr>
            <w:tcW w:w="5000" w:type="pct"/>
            <w:gridSpan w:val="10"/>
            <w:noWrap w:val="0"/>
            <w:vAlign w:val="top"/>
          </w:tcPr>
          <w:p w14:paraId="2FFC6233">
            <w:pPr>
              <w:shd w:val="clear"/>
              <w:spacing w:line="44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bl>
    <w:p w14:paraId="2DDF69E8">
      <w:pPr>
        <w:shd w:val="clear"/>
        <w:jc w:val="center"/>
        <w:rPr>
          <w:rFonts w:hint="eastAsia" w:ascii="仿宋" w:hAnsi="仿宋" w:eastAsia="仿宋" w:cs="仿宋"/>
          <w:b/>
          <w:color w:val="auto"/>
          <w:sz w:val="44"/>
          <w:szCs w:val="44"/>
          <w:highlight w:val="none"/>
        </w:rPr>
      </w:pPr>
    </w:p>
    <w:p w14:paraId="20026C31">
      <w:pPr>
        <w:shd w:val="clear"/>
        <w:spacing w:line="520" w:lineRule="exact"/>
        <w:ind w:firstLine="3900" w:firstLineChars="1300"/>
        <w:jc w:val="right"/>
        <w:rPr>
          <w:rFonts w:hint="eastAsia" w:ascii="仿宋" w:hAnsi="仿宋" w:eastAsia="仿宋" w:cs="仿宋"/>
          <w:color w:val="auto"/>
          <w:sz w:val="30"/>
          <w:szCs w:val="30"/>
          <w:highlight w:val="none"/>
        </w:rPr>
      </w:pPr>
    </w:p>
    <w:p w14:paraId="17535285">
      <w:pPr>
        <w:shd w:val="clear"/>
        <w:rPr>
          <w:rFonts w:hint="eastAsia" w:ascii="仿宋" w:hAnsi="仿宋" w:eastAsia="仿宋" w:cs="仿宋"/>
          <w:color w:val="auto"/>
          <w:highlight w:val="none"/>
        </w:rPr>
      </w:pPr>
    </w:p>
    <w:p w14:paraId="1613E5F7">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0AFE9D45">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42A49FD9">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仿宋" w:hAnsi="仿宋" w:eastAsia="仿宋" w:cs="仿宋"/>
          <w:color w:val="auto"/>
          <w:highlight w:val="none"/>
        </w:rPr>
        <w:br w:type="page"/>
      </w:r>
      <w:r>
        <w:rPr>
          <w:rFonts w:hint="eastAsia" w:ascii="黑体" w:hAnsi="黑体" w:eastAsia="黑体" w:cs="Times New Roman"/>
          <w:b/>
          <w:bCs/>
          <w:color w:val="auto"/>
          <w:sz w:val="44"/>
          <w:szCs w:val="44"/>
          <w:highlight w:val="none"/>
        </w:rPr>
        <w:t>同类项目业绩表</w:t>
      </w:r>
    </w:p>
    <w:p w14:paraId="26B3CCF1">
      <w:pPr>
        <w:shd w:val="clear"/>
        <w:rPr>
          <w:rFonts w:hint="eastAsia" w:ascii="仿宋" w:hAnsi="仿宋" w:eastAsia="仿宋" w:cs="仿宋"/>
          <w:highlight w:val="none"/>
        </w:rPr>
      </w:pPr>
    </w:p>
    <w:tbl>
      <w:tblPr>
        <w:tblStyle w:val="3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1489"/>
        <w:gridCol w:w="1489"/>
        <w:gridCol w:w="864"/>
        <w:gridCol w:w="1176"/>
        <w:gridCol w:w="2112"/>
        <w:gridCol w:w="1957"/>
      </w:tblGrid>
      <w:tr w14:paraId="252E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34" w:type="pct"/>
            <w:noWrap/>
            <w:vAlign w:val="center"/>
          </w:tcPr>
          <w:p w14:paraId="1E50084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748" w:type="pct"/>
            <w:noWrap/>
            <w:vAlign w:val="center"/>
          </w:tcPr>
          <w:p w14:paraId="6BC864F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748" w:type="pct"/>
            <w:noWrap/>
            <w:vAlign w:val="center"/>
          </w:tcPr>
          <w:p w14:paraId="0C1C83E0">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用户名称</w:t>
            </w:r>
          </w:p>
        </w:tc>
        <w:tc>
          <w:tcPr>
            <w:tcW w:w="434" w:type="pct"/>
            <w:noWrap/>
            <w:vAlign w:val="center"/>
          </w:tcPr>
          <w:p w14:paraId="3672B8A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标的</w:t>
            </w:r>
          </w:p>
        </w:tc>
        <w:tc>
          <w:tcPr>
            <w:tcW w:w="591" w:type="pct"/>
            <w:noWrap/>
            <w:vAlign w:val="center"/>
          </w:tcPr>
          <w:p w14:paraId="65E60C8C">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合同额</w:t>
            </w:r>
          </w:p>
        </w:tc>
        <w:tc>
          <w:tcPr>
            <w:tcW w:w="1061" w:type="pct"/>
            <w:noWrap/>
            <w:vAlign w:val="center"/>
          </w:tcPr>
          <w:p w14:paraId="67A5E32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合同签订时间</w:t>
            </w:r>
          </w:p>
        </w:tc>
        <w:tc>
          <w:tcPr>
            <w:tcW w:w="983" w:type="pct"/>
            <w:noWrap/>
            <w:vAlign w:val="center"/>
          </w:tcPr>
          <w:p w14:paraId="5E9B156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电话/联系人</w:t>
            </w:r>
          </w:p>
        </w:tc>
      </w:tr>
      <w:tr w14:paraId="7EF16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951E95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0CB1E79">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C7CE344">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131AADB">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8C54CF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47D228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2DBB135D">
            <w:pPr>
              <w:shd w:val="clear"/>
              <w:spacing w:line="440" w:lineRule="exact"/>
              <w:jc w:val="center"/>
              <w:rPr>
                <w:rFonts w:hint="eastAsia" w:ascii="仿宋" w:hAnsi="仿宋" w:eastAsia="仿宋" w:cs="仿宋"/>
                <w:color w:val="auto"/>
                <w:sz w:val="28"/>
                <w:szCs w:val="28"/>
                <w:highlight w:val="none"/>
              </w:rPr>
            </w:pPr>
          </w:p>
        </w:tc>
      </w:tr>
      <w:tr w14:paraId="653A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0E74387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28156F2">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F4B5C52">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6B11F66">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972272E">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3FA3FABF">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D706F5">
            <w:pPr>
              <w:shd w:val="clear"/>
              <w:spacing w:line="440" w:lineRule="exact"/>
              <w:jc w:val="center"/>
              <w:rPr>
                <w:rFonts w:hint="eastAsia" w:ascii="仿宋" w:hAnsi="仿宋" w:eastAsia="仿宋" w:cs="仿宋"/>
                <w:color w:val="auto"/>
                <w:sz w:val="28"/>
                <w:szCs w:val="28"/>
                <w:highlight w:val="none"/>
              </w:rPr>
            </w:pPr>
          </w:p>
        </w:tc>
      </w:tr>
      <w:tr w14:paraId="4568D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37962CD4">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3FDFA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67F4A1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AC59769">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3C04FA09">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E27BF6E">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23596F3">
            <w:pPr>
              <w:shd w:val="clear"/>
              <w:spacing w:line="440" w:lineRule="exact"/>
              <w:jc w:val="center"/>
              <w:rPr>
                <w:rFonts w:hint="eastAsia" w:ascii="仿宋" w:hAnsi="仿宋" w:eastAsia="仿宋" w:cs="仿宋"/>
                <w:color w:val="auto"/>
                <w:sz w:val="28"/>
                <w:szCs w:val="28"/>
                <w:highlight w:val="none"/>
              </w:rPr>
            </w:pPr>
          </w:p>
        </w:tc>
      </w:tr>
      <w:tr w14:paraId="7339B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11C18CE0">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A9271C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79E84B1C">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1712C53">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5F0EA8A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5B521B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F4E3134">
            <w:pPr>
              <w:shd w:val="clear"/>
              <w:spacing w:line="440" w:lineRule="exact"/>
              <w:jc w:val="center"/>
              <w:rPr>
                <w:rFonts w:hint="eastAsia" w:ascii="仿宋" w:hAnsi="仿宋" w:eastAsia="仿宋" w:cs="仿宋"/>
                <w:color w:val="auto"/>
                <w:sz w:val="28"/>
                <w:szCs w:val="28"/>
                <w:highlight w:val="none"/>
              </w:rPr>
            </w:pPr>
          </w:p>
        </w:tc>
      </w:tr>
      <w:tr w14:paraId="64B9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DCCB82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D02E98">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BA0A4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E4345F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5627F4F">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7765F1C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0E19427">
            <w:pPr>
              <w:shd w:val="clear"/>
              <w:spacing w:line="440" w:lineRule="exact"/>
              <w:jc w:val="center"/>
              <w:rPr>
                <w:rFonts w:hint="eastAsia" w:ascii="仿宋" w:hAnsi="仿宋" w:eastAsia="仿宋" w:cs="仿宋"/>
                <w:color w:val="auto"/>
                <w:sz w:val="28"/>
                <w:szCs w:val="28"/>
                <w:highlight w:val="none"/>
              </w:rPr>
            </w:pPr>
          </w:p>
        </w:tc>
      </w:tr>
      <w:tr w14:paraId="605ED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9A627F5">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B5B8B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5B54E46A">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54C88482">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576D65">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2BCF5A8C">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15C05D3E">
            <w:pPr>
              <w:shd w:val="clear"/>
              <w:spacing w:line="440" w:lineRule="exact"/>
              <w:jc w:val="center"/>
              <w:rPr>
                <w:rFonts w:hint="eastAsia" w:ascii="仿宋" w:hAnsi="仿宋" w:eastAsia="仿宋" w:cs="仿宋"/>
                <w:color w:val="auto"/>
                <w:sz w:val="28"/>
                <w:szCs w:val="28"/>
                <w:highlight w:val="none"/>
              </w:rPr>
            </w:pPr>
          </w:p>
        </w:tc>
      </w:tr>
      <w:tr w14:paraId="587F0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224D9E9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9F9940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2A336A7">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6CFAC9C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3EDC2D4">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0D798F2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0E761D4A">
            <w:pPr>
              <w:shd w:val="clear"/>
              <w:spacing w:line="440" w:lineRule="exact"/>
              <w:jc w:val="center"/>
              <w:rPr>
                <w:rFonts w:hint="eastAsia" w:ascii="仿宋" w:hAnsi="仿宋" w:eastAsia="仿宋" w:cs="仿宋"/>
                <w:color w:val="auto"/>
                <w:sz w:val="28"/>
                <w:szCs w:val="28"/>
                <w:highlight w:val="none"/>
              </w:rPr>
            </w:pPr>
          </w:p>
        </w:tc>
      </w:tr>
      <w:tr w14:paraId="04CA0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6623A1C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5C52B2E">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44668231">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3F2B29D0">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0328CB88">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7A7FA20">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4F76303">
            <w:pPr>
              <w:shd w:val="clear"/>
              <w:spacing w:line="440" w:lineRule="exact"/>
              <w:jc w:val="center"/>
              <w:rPr>
                <w:rFonts w:hint="eastAsia" w:ascii="仿宋" w:hAnsi="仿宋" w:eastAsia="仿宋" w:cs="仿宋"/>
                <w:color w:val="auto"/>
                <w:sz w:val="28"/>
                <w:szCs w:val="28"/>
                <w:highlight w:val="none"/>
              </w:rPr>
            </w:pPr>
          </w:p>
        </w:tc>
      </w:tr>
      <w:tr w14:paraId="475F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8A2CFCD">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6F902A1F">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01218DAB">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2DC0751F">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68FB12E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1D55497">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61BA3BB8">
            <w:pPr>
              <w:shd w:val="clear"/>
              <w:spacing w:line="440" w:lineRule="exact"/>
              <w:jc w:val="center"/>
              <w:rPr>
                <w:rFonts w:hint="eastAsia" w:ascii="仿宋" w:hAnsi="仿宋" w:eastAsia="仿宋" w:cs="仿宋"/>
                <w:color w:val="auto"/>
                <w:sz w:val="28"/>
                <w:szCs w:val="28"/>
                <w:highlight w:val="none"/>
              </w:rPr>
            </w:pPr>
          </w:p>
        </w:tc>
      </w:tr>
      <w:tr w14:paraId="42D1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4450C04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BCF2EA6">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324783D6">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2EE6DF5">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1E71483">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4ADADE3B">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573C3B71">
            <w:pPr>
              <w:shd w:val="clear"/>
              <w:spacing w:line="440" w:lineRule="exact"/>
              <w:jc w:val="center"/>
              <w:rPr>
                <w:rFonts w:hint="eastAsia" w:ascii="仿宋" w:hAnsi="仿宋" w:eastAsia="仿宋" w:cs="仿宋"/>
                <w:color w:val="auto"/>
                <w:sz w:val="28"/>
                <w:szCs w:val="28"/>
                <w:highlight w:val="none"/>
              </w:rPr>
            </w:pPr>
          </w:p>
        </w:tc>
      </w:tr>
      <w:tr w14:paraId="020C1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434" w:type="pct"/>
            <w:noWrap/>
            <w:vAlign w:val="center"/>
          </w:tcPr>
          <w:p w14:paraId="533E50F7">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203A0333">
            <w:pPr>
              <w:shd w:val="clear"/>
              <w:spacing w:line="440" w:lineRule="exact"/>
              <w:jc w:val="center"/>
              <w:rPr>
                <w:rFonts w:hint="eastAsia" w:ascii="仿宋" w:hAnsi="仿宋" w:eastAsia="仿宋" w:cs="仿宋"/>
                <w:color w:val="auto"/>
                <w:sz w:val="28"/>
                <w:szCs w:val="28"/>
                <w:highlight w:val="none"/>
              </w:rPr>
            </w:pPr>
          </w:p>
        </w:tc>
        <w:tc>
          <w:tcPr>
            <w:tcW w:w="748" w:type="pct"/>
            <w:noWrap/>
            <w:vAlign w:val="center"/>
          </w:tcPr>
          <w:p w14:paraId="1D017FB8">
            <w:pPr>
              <w:shd w:val="clear"/>
              <w:spacing w:line="440" w:lineRule="exact"/>
              <w:jc w:val="center"/>
              <w:rPr>
                <w:rFonts w:hint="eastAsia" w:ascii="仿宋" w:hAnsi="仿宋" w:eastAsia="仿宋" w:cs="仿宋"/>
                <w:color w:val="auto"/>
                <w:sz w:val="28"/>
                <w:szCs w:val="28"/>
                <w:highlight w:val="none"/>
              </w:rPr>
            </w:pPr>
          </w:p>
        </w:tc>
        <w:tc>
          <w:tcPr>
            <w:tcW w:w="434" w:type="pct"/>
            <w:noWrap/>
            <w:vAlign w:val="center"/>
          </w:tcPr>
          <w:p w14:paraId="05CF0A0C">
            <w:pPr>
              <w:shd w:val="clear"/>
              <w:spacing w:line="440" w:lineRule="exact"/>
              <w:jc w:val="center"/>
              <w:rPr>
                <w:rFonts w:hint="eastAsia" w:ascii="仿宋" w:hAnsi="仿宋" w:eastAsia="仿宋" w:cs="仿宋"/>
                <w:color w:val="auto"/>
                <w:sz w:val="28"/>
                <w:szCs w:val="28"/>
                <w:highlight w:val="none"/>
              </w:rPr>
            </w:pPr>
          </w:p>
        </w:tc>
        <w:tc>
          <w:tcPr>
            <w:tcW w:w="591" w:type="pct"/>
            <w:noWrap/>
            <w:vAlign w:val="center"/>
          </w:tcPr>
          <w:p w14:paraId="7FD9F587">
            <w:pPr>
              <w:shd w:val="clear"/>
              <w:spacing w:line="440" w:lineRule="exact"/>
              <w:jc w:val="center"/>
              <w:rPr>
                <w:rFonts w:hint="eastAsia" w:ascii="仿宋" w:hAnsi="仿宋" w:eastAsia="仿宋" w:cs="仿宋"/>
                <w:color w:val="auto"/>
                <w:sz w:val="28"/>
                <w:szCs w:val="28"/>
                <w:highlight w:val="none"/>
              </w:rPr>
            </w:pPr>
          </w:p>
        </w:tc>
        <w:tc>
          <w:tcPr>
            <w:tcW w:w="1061" w:type="pct"/>
            <w:noWrap/>
            <w:vAlign w:val="center"/>
          </w:tcPr>
          <w:p w14:paraId="1D6A0EE9">
            <w:pPr>
              <w:shd w:val="clear"/>
              <w:spacing w:line="440" w:lineRule="exact"/>
              <w:jc w:val="center"/>
              <w:rPr>
                <w:rFonts w:hint="eastAsia" w:ascii="仿宋" w:hAnsi="仿宋" w:eastAsia="仿宋" w:cs="仿宋"/>
                <w:color w:val="auto"/>
                <w:sz w:val="28"/>
                <w:szCs w:val="28"/>
                <w:highlight w:val="none"/>
              </w:rPr>
            </w:pPr>
          </w:p>
        </w:tc>
        <w:tc>
          <w:tcPr>
            <w:tcW w:w="983" w:type="pct"/>
            <w:noWrap/>
            <w:vAlign w:val="center"/>
          </w:tcPr>
          <w:p w14:paraId="3EE7A5C0">
            <w:pPr>
              <w:shd w:val="clear"/>
              <w:spacing w:line="440" w:lineRule="exact"/>
              <w:jc w:val="center"/>
              <w:rPr>
                <w:rFonts w:hint="eastAsia" w:ascii="仿宋" w:hAnsi="仿宋" w:eastAsia="仿宋" w:cs="仿宋"/>
                <w:color w:val="auto"/>
                <w:sz w:val="28"/>
                <w:szCs w:val="28"/>
                <w:highlight w:val="none"/>
              </w:rPr>
            </w:pPr>
          </w:p>
        </w:tc>
      </w:tr>
    </w:tbl>
    <w:p w14:paraId="6B8FBD5D">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备注：此表应认真填写，不得提供虚假业绩。后附证明材料扫描件。</w:t>
      </w:r>
    </w:p>
    <w:p w14:paraId="73719163">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7311E446">
      <w:pPr>
        <w:shd w:val="clear"/>
        <w:rPr>
          <w:rFonts w:hint="eastAsia" w:ascii="仿宋" w:hAnsi="仿宋" w:eastAsia="仿宋" w:cs="仿宋"/>
          <w:color w:val="auto"/>
          <w:highlight w:val="none"/>
        </w:rPr>
      </w:pPr>
    </w:p>
    <w:p w14:paraId="2D73811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645D7B88">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0C1E8455">
      <w:pPr>
        <w:keepNext/>
        <w:keepLines/>
        <w:shd w:val="clear"/>
        <w:spacing w:before="120" w:after="120" w:line="560" w:lineRule="exact"/>
        <w:jc w:val="center"/>
        <w:outlineLvl w:val="2"/>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项目负责人及拟派主要人员情况表</w:t>
      </w:r>
    </w:p>
    <w:tbl>
      <w:tblPr>
        <w:tblStyle w:val="30"/>
        <w:tblpPr w:leftFromText="180" w:rightFromText="180" w:vertAnchor="text" w:horzAnchor="margin" w:tblpXSpec="center" w:tblpY="26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281"/>
        <w:gridCol w:w="103"/>
        <w:gridCol w:w="914"/>
        <w:gridCol w:w="265"/>
        <w:gridCol w:w="451"/>
        <w:gridCol w:w="902"/>
        <w:gridCol w:w="420"/>
        <w:gridCol w:w="933"/>
        <w:gridCol w:w="724"/>
        <w:gridCol w:w="835"/>
        <w:gridCol w:w="638"/>
        <w:gridCol w:w="910"/>
        <w:gridCol w:w="1384"/>
      </w:tblGrid>
      <w:tr w14:paraId="3893A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15"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top"/>
          </w:tcPr>
          <w:p w14:paraId="438AC3B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项目负责人情况</w:t>
            </w:r>
          </w:p>
        </w:tc>
      </w:tr>
      <w:tr w14:paraId="6F4C7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426827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835" w:type="pct"/>
            <w:gridSpan w:val="3"/>
            <w:tcBorders>
              <w:top w:val="single" w:color="auto" w:sz="4" w:space="0"/>
              <w:left w:val="single" w:color="auto" w:sz="4" w:space="0"/>
              <w:bottom w:val="single" w:color="auto" w:sz="4" w:space="0"/>
              <w:right w:val="single" w:color="auto" w:sz="4" w:space="0"/>
            </w:tcBorders>
            <w:noWrap w:val="0"/>
            <w:vAlign w:val="center"/>
          </w:tcPr>
          <w:p w14:paraId="45B5DB2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677" w:type="pct"/>
            <w:gridSpan w:val="2"/>
            <w:tcBorders>
              <w:top w:val="single" w:color="auto" w:sz="4" w:space="0"/>
              <w:left w:val="single" w:color="auto" w:sz="4" w:space="0"/>
              <w:bottom w:val="single" w:color="auto" w:sz="4" w:space="0"/>
              <w:right w:val="single" w:color="auto" w:sz="4" w:space="0"/>
            </w:tcBorders>
            <w:noWrap w:val="0"/>
            <w:vAlign w:val="center"/>
          </w:tcPr>
          <w:p w14:paraId="7C34E96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性别</w:t>
            </w:r>
          </w:p>
        </w:tc>
        <w:tc>
          <w:tcPr>
            <w:tcW w:w="848" w:type="pct"/>
            <w:gridSpan w:val="2"/>
            <w:tcBorders>
              <w:top w:val="single" w:color="auto" w:sz="4" w:space="0"/>
              <w:left w:val="single" w:color="auto" w:sz="4" w:space="0"/>
              <w:bottom w:val="single" w:color="auto" w:sz="4" w:space="0"/>
              <w:right w:val="single" w:color="auto" w:sz="4" w:space="0"/>
            </w:tcBorders>
            <w:noWrap w:val="0"/>
            <w:vAlign w:val="center"/>
          </w:tcPr>
          <w:p w14:paraId="7587D32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602425A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年龄</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6145FC3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79CE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709" w:type="pct"/>
            <w:gridSpan w:val="2"/>
            <w:tcBorders>
              <w:top w:val="single" w:color="auto" w:sz="4" w:space="0"/>
              <w:left w:val="single" w:color="auto" w:sz="4" w:space="0"/>
              <w:bottom w:val="single" w:color="auto" w:sz="4" w:space="0"/>
              <w:right w:val="single" w:color="auto" w:sz="4" w:space="0"/>
            </w:tcBorders>
            <w:noWrap w:val="0"/>
            <w:vAlign w:val="center"/>
          </w:tcPr>
          <w:p w14:paraId="5715941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361" w:type="pct"/>
            <w:gridSpan w:val="7"/>
            <w:tcBorders>
              <w:top w:val="single" w:color="auto" w:sz="4" w:space="0"/>
              <w:left w:val="single" w:color="auto" w:sz="4" w:space="0"/>
              <w:bottom w:val="single" w:color="auto" w:sz="4" w:space="0"/>
              <w:right w:val="single" w:color="auto" w:sz="4" w:space="0"/>
            </w:tcBorders>
            <w:noWrap w:val="0"/>
            <w:vAlign w:val="center"/>
          </w:tcPr>
          <w:p w14:paraId="4C9509F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55" w:type="pct"/>
            <w:gridSpan w:val="2"/>
            <w:tcBorders>
              <w:top w:val="single" w:color="auto" w:sz="4" w:space="0"/>
              <w:left w:val="single" w:color="auto" w:sz="4" w:space="0"/>
              <w:bottom w:val="single" w:color="auto" w:sz="4" w:space="0"/>
              <w:right w:val="single" w:color="auto" w:sz="4" w:space="0"/>
            </w:tcBorders>
            <w:noWrap w:val="0"/>
            <w:vAlign w:val="center"/>
          </w:tcPr>
          <w:p w14:paraId="1480E30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4E2B9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639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6D77C04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参加工作时间</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56AD3DB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4E1D27A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执业</w:t>
            </w:r>
            <w:r>
              <w:rPr>
                <w:rFonts w:hint="eastAsia" w:ascii="仿宋" w:hAnsi="仿宋" w:eastAsia="仿宋" w:cs="仿宋"/>
                <w:color w:val="auto"/>
                <w:sz w:val="28"/>
                <w:szCs w:val="28"/>
                <w:highlight w:val="none"/>
              </w:rPr>
              <w:t>时间</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5CB0E67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4BCCB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177" w:type="pct"/>
            <w:gridSpan w:val="3"/>
            <w:tcBorders>
              <w:top w:val="single" w:color="auto" w:sz="4" w:space="0"/>
              <w:left w:val="single" w:color="auto" w:sz="4" w:space="0"/>
              <w:bottom w:val="single" w:color="auto" w:sz="4" w:space="0"/>
              <w:right w:val="single" w:color="auto" w:sz="4" w:space="0"/>
            </w:tcBorders>
            <w:noWrap w:val="0"/>
            <w:vAlign w:val="center"/>
          </w:tcPr>
          <w:p w14:paraId="7E067F03">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常驻地</w:t>
            </w:r>
          </w:p>
        </w:tc>
        <w:tc>
          <w:tcPr>
            <w:tcW w:w="1044" w:type="pct"/>
            <w:gridSpan w:val="4"/>
            <w:tcBorders>
              <w:top w:val="single" w:color="auto" w:sz="4" w:space="0"/>
              <w:left w:val="single" w:color="auto" w:sz="4" w:space="0"/>
              <w:bottom w:val="single" w:color="auto" w:sz="4" w:space="0"/>
              <w:right w:val="single" w:color="auto" w:sz="4" w:space="0"/>
            </w:tcBorders>
            <w:noWrap w:val="0"/>
            <w:vAlign w:val="center"/>
          </w:tcPr>
          <w:p w14:paraId="74E5CE0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604" w:type="pct"/>
            <w:gridSpan w:val="4"/>
            <w:tcBorders>
              <w:top w:val="single" w:color="auto" w:sz="4" w:space="0"/>
              <w:left w:val="single" w:color="auto" w:sz="4" w:space="0"/>
              <w:bottom w:val="single" w:color="auto" w:sz="4" w:space="0"/>
              <w:right w:val="single" w:color="auto" w:sz="4" w:space="0"/>
            </w:tcBorders>
            <w:noWrap w:val="0"/>
            <w:vAlign w:val="center"/>
          </w:tcPr>
          <w:p w14:paraId="05CD1C9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1174" w:type="pct"/>
            <w:gridSpan w:val="2"/>
            <w:tcBorders>
              <w:top w:val="single" w:color="auto" w:sz="4" w:space="0"/>
              <w:left w:val="single" w:color="auto" w:sz="4" w:space="0"/>
              <w:bottom w:val="single" w:color="auto" w:sz="4" w:space="0"/>
              <w:right w:val="single" w:color="auto" w:sz="4" w:space="0"/>
            </w:tcBorders>
            <w:noWrap w:val="0"/>
            <w:vAlign w:val="center"/>
          </w:tcPr>
          <w:p w14:paraId="3EF891E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007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428AD01D">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项目负责人</w:t>
            </w:r>
            <w:r>
              <w:rPr>
                <w:rFonts w:hint="eastAsia" w:ascii="仿宋" w:hAnsi="仿宋" w:eastAsia="仿宋" w:cs="仿宋"/>
                <w:color w:val="auto"/>
                <w:sz w:val="28"/>
                <w:szCs w:val="28"/>
                <w:highlight w:val="none"/>
              </w:rPr>
              <w:t>承担的项目情况一览表</w:t>
            </w:r>
          </w:p>
        </w:tc>
      </w:tr>
      <w:tr w14:paraId="7CEB7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62F464F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F0E9C6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委托单位</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F55C61D">
            <w:pPr>
              <w:shd w:val="clear"/>
              <w:spacing w:line="440" w:lineRule="exact"/>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合同</w:t>
            </w:r>
            <w:r>
              <w:rPr>
                <w:rFonts w:hint="eastAsia" w:ascii="仿宋" w:hAnsi="仿宋" w:eastAsia="仿宋" w:cs="仿宋"/>
                <w:color w:val="auto"/>
                <w:sz w:val="28"/>
                <w:szCs w:val="28"/>
                <w:highlight w:val="none"/>
                <w:lang w:val="en-US" w:eastAsia="zh-CN"/>
              </w:rPr>
              <w:t>签订时间</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A20067B">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在本项目中承担的职务</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6F08369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联系人及电话</w:t>
            </w:r>
          </w:p>
        </w:tc>
      </w:tr>
      <w:tr w14:paraId="0C7E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73BDF5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7964908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634078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32B617E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4294AF7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183E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3722969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233E9452">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310863B">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4D974DF">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12B280E4">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04EE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1313" w:type="pct"/>
            <w:gridSpan w:val="4"/>
            <w:tcBorders>
              <w:top w:val="single" w:color="auto" w:sz="4" w:space="0"/>
              <w:left w:val="single" w:color="auto" w:sz="4" w:space="0"/>
              <w:bottom w:val="single" w:color="auto" w:sz="4" w:space="0"/>
              <w:right w:val="single" w:color="auto" w:sz="4" w:space="0"/>
            </w:tcBorders>
            <w:noWrap w:val="0"/>
            <w:vAlign w:val="center"/>
          </w:tcPr>
          <w:p w14:paraId="13FAB706">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1386" w:type="pct"/>
            <w:gridSpan w:val="4"/>
            <w:tcBorders>
              <w:top w:val="single" w:color="auto" w:sz="4" w:space="0"/>
              <w:left w:val="single" w:color="auto" w:sz="4" w:space="0"/>
              <w:bottom w:val="single" w:color="auto" w:sz="4" w:space="0"/>
              <w:right w:val="single" w:color="auto" w:sz="4" w:space="0"/>
            </w:tcBorders>
            <w:noWrap w:val="0"/>
            <w:vAlign w:val="center"/>
          </w:tcPr>
          <w:p w14:paraId="4C1ADE43">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AA88515">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585CED9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5DE84E11">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tc>
      </w:tr>
      <w:tr w14:paraId="20FB5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5000" w:type="pct"/>
            <w:gridSpan w:val="13"/>
            <w:tcBorders>
              <w:top w:val="single" w:color="auto" w:sz="4" w:space="0"/>
              <w:left w:val="single" w:color="auto" w:sz="4" w:space="0"/>
              <w:bottom w:val="single" w:color="auto" w:sz="4" w:space="0"/>
              <w:right w:val="single" w:color="auto" w:sz="4" w:space="0"/>
            </w:tcBorders>
            <w:noWrap w:val="0"/>
            <w:vAlign w:val="center"/>
          </w:tcPr>
          <w:p w14:paraId="2FA1D4D7">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其他人员情况</w:t>
            </w:r>
          </w:p>
        </w:tc>
      </w:tr>
      <w:tr w14:paraId="04864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306BA7A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412486C">
            <w:pPr>
              <w:shd w:val="clear"/>
              <w:spacing w:line="440" w:lineRule="exact"/>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职务</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7B5F8EE">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常驻地</w:t>
            </w: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1C9AEF8">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29C28729">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律师执业证证书编号</w:t>
            </w: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959B83A">
            <w:pPr>
              <w:shd w:val="clear"/>
              <w:spacing w:line="44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执业时间</w:t>
            </w:r>
          </w:p>
        </w:tc>
        <w:tc>
          <w:tcPr>
            <w:tcW w:w="709" w:type="pct"/>
            <w:tcBorders>
              <w:top w:val="single" w:color="auto" w:sz="4" w:space="0"/>
              <w:left w:val="single" w:color="auto" w:sz="4" w:space="0"/>
              <w:bottom w:val="single" w:color="auto" w:sz="4" w:space="0"/>
              <w:right w:val="single" w:color="auto" w:sz="4" w:space="0"/>
            </w:tcBorders>
            <w:noWrap w:val="0"/>
            <w:vAlign w:val="center"/>
          </w:tcPr>
          <w:p w14:paraId="0FE3748B">
            <w:pPr>
              <w:shd w:val="clear"/>
              <w:spacing w:line="440" w:lineRule="exact"/>
              <w:jc w:val="center"/>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备注</w:t>
            </w:r>
          </w:p>
        </w:tc>
      </w:tr>
      <w:tr w14:paraId="13898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63"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B37CDAD">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2B80ECC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929DA0D">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3206ED35">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0CDF624C">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954418A">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02DFE2F4">
            <w:pPr>
              <w:shd w:val="clear"/>
              <w:spacing w:line="440" w:lineRule="exact"/>
              <w:jc w:val="center"/>
              <w:rPr>
                <w:rFonts w:hint="eastAsia" w:ascii="仿宋" w:hAnsi="仿宋" w:eastAsia="仿宋" w:cs="仿宋"/>
                <w:color w:val="auto"/>
                <w:sz w:val="28"/>
                <w:szCs w:val="28"/>
                <w:highlight w:val="none"/>
              </w:rPr>
            </w:pPr>
          </w:p>
        </w:tc>
      </w:tr>
      <w:tr w14:paraId="111B0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9CE8268">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359329F5">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1ED9308">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42BDE708">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598A133B">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15151C52">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0C5EA15">
            <w:pPr>
              <w:shd w:val="clear"/>
              <w:spacing w:line="440" w:lineRule="exact"/>
              <w:jc w:val="center"/>
              <w:rPr>
                <w:rFonts w:hint="eastAsia" w:ascii="仿宋" w:hAnsi="仿宋" w:eastAsia="仿宋" w:cs="仿宋"/>
                <w:color w:val="auto"/>
                <w:sz w:val="28"/>
                <w:szCs w:val="28"/>
                <w:highlight w:val="none"/>
              </w:rPr>
            </w:pPr>
          </w:p>
        </w:tc>
      </w:tr>
      <w:tr w14:paraId="53E4A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54EF003E">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46770640">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3D6CA47">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7D9F7CCD">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4A5C1C2E">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28DA8C4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15DD39EE">
            <w:pPr>
              <w:shd w:val="clear"/>
              <w:spacing w:line="440" w:lineRule="exact"/>
              <w:jc w:val="center"/>
              <w:rPr>
                <w:rFonts w:hint="eastAsia" w:ascii="仿宋" w:hAnsi="仿宋" w:eastAsia="仿宋" w:cs="仿宋"/>
                <w:color w:val="auto"/>
                <w:sz w:val="28"/>
                <w:szCs w:val="28"/>
                <w:highlight w:val="none"/>
              </w:rPr>
            </w:pPr>
          </w:p>
        </w:tc>
      </w:tr>
      <w:tr w14:paraId="3A920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479" w:hRule="atLeast"/>
        </w:trPr>
        <w:tc>
          <w:tcPr>
            <w:tcW w:w="656" w:type="pct"/>
            <w:tcBorders>
              <w:top w:val="single" w:color="auto" w:sz="4" w:space="0"/>
              <w:left w:val="single" w:color="auto" w:sz="4" w:space="0"/>
              <w:bottom w:val="single" w:color="auto" w:sz="4" w:space="0"/>
              <w:right w:val="single" w:color="auto" w:sz="4" w:space="0"/>
            </w:tcBorders>
            <w:noWrap w:val="0"/>
            <w:vAlign w:val="center"/>
          </w:tcPr>
          <w:p w14:paraId="75DC7264">
            <w:pPr>
              <w:shd w:val="clear"/>
              <w:spacing w:line="440" w:lineRule="exact"/>
              <w:jc w:val="center"/>
              <w:rPr>
                <w:rFonts w:hint="eastAsia" w:ascii="仿宋" w:hAnsi="仿宋" w:eastAsia="仿宋" w:cs="仿宋"/>
                <w:color w:val="auto"/>
                <w:sz w:val="28"/>
                <w:szCs w:val="28"/>
                <w:highlight w:val="none"/>
              </w:rPr>
            </w:pPr>
          </w:p>
        </w:tc>
        <w:tc>
          <w:tcPr>
            <w:tcW w:w="656" w:type="pct"/>
            <w:gridSpan w:val="3"/>
            <w:tcBorders>
              <w:top w:val="single" w:color="auto" w:sz="4" w:space="0"/>
              <w:left w:val="single" w:color="auto" w:sz="4" w:space="0"/>
              <w:bottom w:val="single" w:color="auto" w:sz="4" w:space="0"/>
              <w:right w:val="single" w:color="auto" w:sz="4" w:space="0"/>
            </w:tcBorders>
            <w:noWrap w:val="0"/>
            <w:vAlign w:val="center"/>
          </w:tcPr>
          <w:p w14:paraId="7E1D0C1B">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225DA7B3">
            <w:pPr>
              <w:shd w:val="clear"/>
              <w:spacing w:line="440" w:lineRule="exact"/>
              <w:jc w:val="center"/>
              <w:rPr>
                <w:rFonts w:hint="eastAsia" w:ascii="仿宋" w:hAnsi="仿宋" w:eastAsia="仿宋" w:cs="仿宋"/>
                <w:color w:val="auto"/>
                <w:sz w:val="28"/>
                <w:szCs w:val="28"/>
                <w:highlight w:val="none"/>
              </w:rPr>
            </w:pPr>
          </w:p>
        </w:tc>
        <w:tc>
          <w:tcPr>
            <w:tcW w:w="693" w:type="pct"/>
            <w:gridSpan w:val="2"/>
            <w:tcBorders>
              <w:top w:val="single" w:color="auto" w:sz="4" w:space="0"/>
              <w:left w:val="single" w:color="auto" w:sz="4" w:space="0"/>
              <w:bottom w:val="single" w:color="auto" w:sz="4" w:space="0"/>
              <w:right w:val="single" w:color="auto" w:sz="4" w:space="0"/>
            </w:tcBorders>
            <w:noWrap w:val="0"/>
            <w:vAlign w:val="center"/>
          </w:tcPr>
          <w:p w14:paraId="0AAA0D14">
            <w:pPr>
              <w:shd w:val="clear"/>
              <w:spacing w:line="440" w:lineRule="exact"/>
              <w:jc w:val="center"/>
              <w:rPr>
                <w:rFonts w:hint="eastAsia" w:ascii="仿宋" w:hAnsi="仿宋" w:eastAsia="仿宋" w:cs="仿宋"/>
                <w:color w:val="auto"/>
                <w:sz w:val="28"/>
                <w:szCs w:val="28"/>
                <w:highlight w:val="none"/>
              </w:rPr>
            </w:pPr>
          </w:p>
        </w:tc>
        <w:tc>
          <w:tcPr>
            <w:tcW w:w="798" w:type="pct"/>
            <w:gridSpan w:val="2"/>
            <w:tcBorders>
              <w:top w:val="single" w:color="auto" w:sz="4" w:space="0"/>
              <w:left w:val="single" w:color="auto" w:sz="4" w:space="0"/>
              <w:bottom w:val="single" w:color="auto" w:sz="4" w:space="0"/>
              <w:right w:val="single" w:color="auto" w:sz="4" w:space="0"/>
            </w:tcBorders>
            <w:noWrap w:val="0"/>
            <w:vAlign w:val="center"/>
          </w:tcPr>
          <w:p w14:paraId="35CE15DD">
            <w:pPr>
              <w:shd w:val="clear"/>
              <w:spacing w:line="440" w:lineRule="exact"/>
              <w:jc w:val="center"/>
              <w:rPr>
                <w:rFonts w:hint="eastAsia" w:ascii="仿宋" w:hAnsi="仿宋" w:eastAsia="仿宋" w:cs="仿宋"/>
                <w:color w:val="auto"/>
                <w:sz w:val="28"/>
                <w:szCs w:val="28"/>
                <w:highlight w:val="none"/>
              </w:rPr>
            </w:pPr>
          </w:p>
        </w:tc>
        <w:tc>
          <w:tcPr>
            <w:tcW w:w="793" w:type="pct"/>
            <w:gridSpan w:val="2"/>
            <w:tcBorders>
              <w:top w:val="single" w:color="auto" w:sz="4" w:space="0"/>
              <w:left w:val="single" w:color="auto" w:sz="4" w:space="0"/>
              <w:bottom w:val="single" w:color="auto" w:sz="4" w:space="0"/>
              <w:right w:val="single" w:color="auto" w:sz="4" w:space="0"/>
            </w:tcBorders>
            <w:noWrap w:val="0"/>
            <w:vAlign w:val="center"/>
          </w:tcPr>
          <w:p w14:paraId="078B1283">
            <w:pPr>
              <w:shd w:val="clear"/>
              <w:spacing w:line="440" w:lineRule="exact"/>
              <w:jc w:val="center"/>
              <w:rPr>
                <w:rFonts w:hint="eastAsia" w:ascii="仿宋" w:hAnsi="仿宋" w:eastAsia="仿宋" w:cs="仿宋"/>
                <w:color w:val="auto"/>
                <w:sz w:val="28"/>
                <w:szCs w:val="28"/>
                <w:highlight w:val="none"/>
              </w:rPr>
            </w:pPr>
          </w:p>
        </w:tc>
        <w:tc>
          <w:tcPr>
            <w:tcW w:w="709" w:type="pct"/>
            <w:tcBorders>
              <w:top w:val="single" w:color="auto" w:sz="4" w:space="0"/>
              <w:left w:val="single" w:color="auto" w:sz="4" w:space="0"/>
              <w:bottom w:val="single" w:color="auto" w:sz="4" w:space="0"/>
              <w:right w:val="single" w:color="auto" w:sz="4" w:space="0"/>
            </w:tcBorders>
            <w:noWrap w:val="0"/>
            <w:vAlign w:val="center"/>
          </w:tcPr>
          <w:p w14:paraId="524533B9">
            <w:pPr>
              <w:shd w:val="clear"/>
              <w:spacing w:line="440" w:lineRule="exact"/>
              <w:jc w:val="center"/>
              <w:rPr>
                <w:rFonts w:hint="eastAsia" w:ascii="仿宋" w:hAnsi="仿宋" w:eastAsia="仿宋" w:cs="仿宋"/>
                <w:color w:val="auto"/>
                <w:sz w:val="28"/>
                <w:szCs w:val="28"/>
                <w:highlight w:val="none"/>
              </w:rPr>
            </w:pPr>
          </w:p>
        </w:tc>
      </w:tr>
    </w:tbl>
    <w:p w14:paraId="0239351E">
      <w:pPr>
        <w:shd w:val="clear"/>
        <w:spacing w:line="440" w:lineRule="exac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注：后附拟派人员相关</w:t>
      </w:r>
      <w:r>
        <w:rPr>
          <w:rFonts w:hint="eastAsia" w:ascii="仿宋" w:hAnsi="仿宋" w:eastAsia="仿宋" w:cs="仿宋"/>
          <w:color w:val="auto"/>
          <w:sz w:val="24"/>
          <w:highlight w:val="none"/>
          <w:lang w:val="en-US" w:eastAsia="zh-CN"/>
        </w:rPr>
        <w:t>证明材料</w:t>
      </w:r>
      <w:r>
        <w:rPr>
          <w:rFonts w:hint="eastAsia" w:ascii="仿宋" w:hAnsi="仿宋" w:eastAsia="仿宋" w:cs="仿宋"/>
          <w:color w:val="auto"/>
          <w:sz w:val="24"/>
          <w:highlight w:val="none"/>
        </w:rPr>
        <w:t>扫描件。</w:t>
      </w:r>
    </w:p>
    <w:p w14:paraId="7178F0AC">
      <w:pPr>
        <w:shd w:val="clear"/>
        <w:tabs>
          <w:tab w:val="left" w:pos="5580"/>
        </w:tabs>
        <w:wordWrap w:val="0"/>
        <w:spacing w:line="560" w:lineRule="exact"/>
        <w:ind w:firstLine="560" w:firstLineChars="200"/>
        <w:jc w:val="right"/>
        <w:rPr>
          <w:rFonts w:hint="eastAsia" w:ascii="仿宋" w:hAnsi="仿宋" w:eastAsia="仿宋" w:cs="仿宋"/>
          <w:kern w:val="0"/>
          <w:sz w:val="28"/>
          <w:szCs w:val="28"/>
          <w:highlight w:val="none"/>
        </w:rPr>
      </w:pPr>
    </w:p>
    <w:p w14:paraId="045327BF">
      <w:pPr>
        <w:shd w:val="clear"/>
        <w:rPr>
          <w:rFonts w:hint="eastAsia" w:ascii="仿宋" w:hAnsi="仿宋" w:eastAsia="仿宋" w:cs="仿宋"/>
          <w:color w:val="auto"/>
          <w:highlight w:val="none"/>
        </w:rPr>
      </w:pPr>
    </w:p>
    <w:p w14:paraId="03C8ACB6">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5649B9A9">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7FDFF9C8">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技术文件</w:t>
      </w:r>
    </w:p>
    <w:bookmarkEnd w:id="14"/>
    <w:bookmarkEnd w:id="15"/>
    <w:p w14:paraId="26590FD2">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bookmarkStart w:id="16" w:name="_Toc522526800"/>
      <w:bookmarkStart w:id="17" w:name="_Toc521936062"/>
      <w:r>
        <w:rPr>
          <w:rFonts w:hint="eastAsia" w:ascii="仿宋" w:hAnsi="仿宋" w:eastAsia="仿宋" w:cs="仿宋"/>
          <w:color w:val="auto"/>
          <w:sz w:val="28"/>
          <w:szCs w:val="28"/>
          <w:highlight w:val="none"/>
        </w:rPr>
        <w:t>包括但不限于以下内容：</w:t>
      </w:r>
    </w:p>
    <w:p w14:paraId="47EF2C50">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①服务方案；</w:t>
      </w:r>
    </w:p>
    <w:p w14:paraId="3360221D">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②质量保证措施；</w:t>
      </w:r>
    </w:p>
    <w:p w14:paraId="2337E3F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③服务承诺；</w:t>
      </w:r>
    </w:p>
    <w:p w14:paraId="3C5C6F6E">
      <w:pPr>
        <w:keepNext w:val="0"/>
        <w:keepLines w:val="0"/>
        <w:pageBreakBefore w:val="0"/>
        <w:widowControl w:val="0"/>
        <w:shd w:val="clear"/>
        <w:kinsoku/>
        <w:wordWrap/>
        <w:overflowPunct/>
        <w:topLinePunct w:val="0"/>
        <w:autoSpaceDE/>
        <w:autoSpaceDN/>
        <w:bidi w:val="0"/>
        <w:adjustRightInd/>
        <w:snapToGrid w:val="0"/>
        <w:spacing w:beforeAutospacing="0" w:afterAutospacing="0" w:line="560" w:lineRule="exact"/>
        <w:ind w:firstLine="560" w:firstLineChars="200"/>
        <w:jc w:val="both"/>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④投标人认为需要提交的其他相关技术文件（根据评分标准及项目要求格式自拟）。</w:t>
      </w:r>
    </w:p>
    <w:p w14:paraId="54160787">
      <w:pPr>
        <w:pStyle w:val="9"/>
        <w:rPr>
          <w:rFonts w:hint="eastAsia" w:ascii="仿宋" w:hAnsi="仿宋" w:eastAsia="仿宋" w:cs="仿宋"/>
          <w:color w:val="auto"/>
          <w:sz w:val="28"/>
          <w:szCs w:val="28"/>
          <w:highlight w:val="none"/>
        </w:rPr>
      </w:pPr>
    </w:p>
    <w:p w14:paraId="5B529426">
      <w:pPr>
        <w:rPr>
          <w:rFonts w:hint="eastAsia" w:ascii="仿宋" w:hAnsi="仿宋" w:eastAsia="仿宋" w:cs="仿宋"/>
          <w:color w:val="auto"/>
          <w:sz w:val="28"/>
          <w:szCs w:val="28"/>
          <w:highlight w:val="none"/>
        </w:rPr>
      </w:pPr>
    </w:p>
    <w:p w14:paraId="0F2E7D0C">
      <w:pPr>
        <w:pStyle w:val="9"/>
        <w:rPr>
          <w:rFonts w:hint="eastAsia" w:ascii="仿宋" w:hAnsi="仿宋" w:eastAsia="仿宋" w:cs="仿宋"/>
          <w:color w:val="auto"/>
          <w:sz w:val="28"/>
          <w:szCs w:val="28"/>
          <w:highlight w:val="none"/>
        </w:rPr>
      </w:pPr>
    </w:p>
    <w:p w14:paraId="116BF2DE">
      <w:pPr>
        <w:rPr>
          <w:rFonts w:hint="eastAsia" w:ascii="仿宋" w:hAnsi="仿宋" w:eastAsia="仿宋" w:cs="仿宋"/>
          <w:color w:val="auto"/>
          <w:sz w:val="28"/>
          <w:szCs w:val="28"/>
          <w:highlight w:val="none"/>
        </w:rPr>
      </w:pPr>
    </w:p>
    <w:p w14:paraId="664D1785">
      <w:pPr>
        <w:pStyle w:val="9"/>
        <w:rPr>
          <w:rFonts w:hint="eastAsia" w:ascii="仿宋" w:hAnsi="仿宋" w:eastAsia="仿宋" w:cs="仿宋"/>
        </w:rPr>
      </w:pPr>
    </w:p>
    <w:p w14:paraId="5BA8868A">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2B8D2C03">
      <w:pPr>
        <w:widowControl/>
        <w:shd w:val="clear"/>
        <w:jc w:val="center"/>
        <w:rPr>
          <w:rFonts w:hint="eastAsia" w:ascii="仿宋" w:hAnsi="仿宋" w:eastAsia="仿宋" w:cs="仿宋"/>
          <w:b/>
          <w:bCs/>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p w14:paraId="3E724427">
      <w:pPr>
        <w:widowControl/>
        <w:shd w:val="clear"/>
        <w:jc w:val="center"/>
        <w:rPr>
          <w:rFonts w:hint="eastAsia" w:ascii="黑体" w:hAnsi="黑体" w:eastAsia="黑体" w:cs="Times New Roman"/>
          <w:b/>
          <w:bCs/>
          <w:color w:val="auto"/>
          <w:sz w:val="44"/>
          <w:szCs w:val="44"/>
          <w:highlight w:val="none"/>
        </w:rPr>
      </w:pPr>
      <w:r>
        <w:rPr>
          <w:rFonts w:hint="eastAsia" w:ascii="黑体" w:hAnsi="黑体" w:eastAsia="黑体" w:cs="Times New Roman"/>
          <w:b/>
          <w:bCs/>
          <w:color w:val="auto"/>
          <w:sz w:val="44"/>
          <w:szCs w:val="44"/>
          <w:highlight w:val="none"/>
        </w:rPr>
        <w:t>投标偏离表</w:t>
      </w:r>
    </w:p>
    <w:p w14:paraId="423DFC3C">
      <w:pPr>
        <w:widowControl/>
        <w:shd w:val="clear"/>
        <w:jc w:val="center"/>
        <w:rPr>
          <w:rFonts w:hint="eastAsia" w:ascii="仿宋" w:hAnsi="仿宋" w:eastAsia="仿宋" w:cs="仿宋"/>
          <w:color w:val="auto"/>
          <w:sz w:val="32"/>
          <w:szCs w:val="36"/>
          <w:highlight w:val="none"/>
        </w:rPr>
      </w:pPr>
      <w:r>
        <w:rPr>
          <w:rFonts w:hint="eastAsia" w:ascii="仿宋" w:hAnsi="仿宋" w:eastAsia="仿宋" w:cs="仿宋"/>
          <w:color w:val="auto"/>
          <w:sz w:val="32"/>
          <w:szCs w:val="36"/>
          <w:highlight w:val="none"/>
        </w:rPr>
        <w:t>（包括技术规格、参数和商务条款偏离）</w:t>
      </w:r>
    </w:p>
    <w:tbl>
      <w:tblPr>
        <w:tblStyle w:val="30"/>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
        <w:gridCol w:w="2776"/>
        <w:gridCol w:w="2776"/>
        <w:gridCol w:w="1705"/>
        <w:gridCol w:w="1705"/>
      </w:tblGrid>
      <w:tr w14:paraId="3A59C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atLeast"/>
          <w:jc w:val="center"/>
        </w:trPr>
        <w:tc>
          <w:tcPr>
            <w:tcW w:w="497" w:type="pct"/>
            <w:noWrap w:val="0"/>
            <w:vAlign w:val="center"/>
          </w:tcPr>
          <w:p w14:paraId="066BD820">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394" w:type="pct"/>
            <w:noWrap w:val="0"/>
            <w:vAlign w:val="center"/>
          </w:tcPr>
          <w:p w14:paraId="60C67E69">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招标文件的内容</w:t>
            </w:r>
          </w:p>
        </w:tc>
        <w:tc>
          <w:tcPr>
            <w:tcW w:w="1394" w:type="pct"/>
            <w:noWrap w:val="0"/>
            <w:vAlign w:val="center"/>
          </w:tcPr>
          <w:p w14:paraId="5A9675AD">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投标文件</w:t>
            </w:r>
            <w:r>
              <w:rPr>
                <w:rFonts w:hint="eastAsia" w:ascii="仿宋" w:hAnsi="仿宋" w:eastAsia="仿宋" w:cs="仿宋"/>
                <w:b/>
                <w:bCs/>
                <w:color w:val="auto"/>
                <w:sz w:val="28"/>
                <w:szCs w:val="28"/>
                <w:highlight w:val="none"/>
                <w:lang w:val="en-US" w:eastAsia="zh-CN"/>
              </w:rPr>
              <w:t>的</w:t>
            </w:r>
            <w:r>
              <w:rPr>
                <w:rFonts w:hint="eastAsia" w:ascii="仿宋" w:hAnsi="仿宋" w:eastAsia="仿宋" w:cs="仿宋"/>
                <w:b/>
                <w:bCs/>
                <w:color w:val="auto"/>
                <w:sz w:val="28"/>
                <w:szCs w:val="28"/>
                <w:highlight w:val="none"/>
              </w:rPr>
              <w:t>内容</w:t>
            </w:r>
          </w:p>
        </w:tc>
        <w:tc>
          <w:tcPr>
            <w:tcW w:w="856" w:type="pct"/>
            <w:noWrap w:val="0"/>
            <w:vAlign w:val="center"/>
          </w:tcPr>
          <w:p w14:paraId="676006D4">
            <w:pPr>
              <w:pStyle w:val="13"/>
              <w:shd w:val="clear"/>
              <w:spacing w:line="400" w:lineRule="exact"/>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偏离情况</w:t>
            </w:r>
          </w:p>
        </w:tc>
        <w:tc>
          <w:tcPr>
            <w:tcW w:w="856" w:type="pct"/>
            <w:noWrap w:val="0"/>
            <w:vAlign w:val="center"/>
          </w:tcPr>
          <w:p w14:paraId="41A7E0AC">
            <w:pPr>
              <w:pStyle w:val="13"/>
              <w:shd w:val="clear"/>
              <w:spacing w:line="400" w:lineRule="exact"/>
              <w:jc w:val="cente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对应页码</w:t>
            </w:r>
          </w:p>
        </w:tc>
      </w:tr>
      <w:tr w14:paraId="0199C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0BCE03C">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51B8DBB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1616BC3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F9B945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26E3236">
            <w:pPr>
              <w:pStyle w:val="13"/>
              <w:shd w:val="clear"/>
              <w:spacing w:line="400" w:lineRule="exact"/>
              <w:jc w:val="center"/>
              <w:rPr>
                <w:rFonts w:hint="eastAsia" w:ascii="仿宋" w:hAnsi="仿宋" w:eastAsia="仿宋" w:cs="仿宋"/>
                <w:color w:val="auto"/>
                <w:sz w:val="28"/>
                <w:szCs w:val="28"/>
                <w:highlight w:val="none"/>
              </w:rPr>
            </w:pPr>
          </w:p>
        </w:tc>
      </w:tr>
      <w:tr w14:paraId="5A95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2914379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56E9AB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DCA2DCA">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7B557EF">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442A646">
            <w:pPr>
              <w:pStyle w:val="13"/>
              <w:shd w:val="clear"/>
              <w:spacing w:line="400" w:lineRule="exact"/>
              <w:jc w:val="center"/>
              <w:rPr>
                <w:rFonts w:hint="eastAsia" w:ascii="仿宋" w:hAnsi="仿宋" w:eastAsia="仿宋" w:cs="仿宋"/>
                <w:color w:val="auto"/>
                <w:sz w:val="28"/>
                <w:szCs w:val="28"/>
                <w:highlight w:val="none"/>
              </w:rPr>
            </w:pPr>
          </w:p>
        </w:tc>
      </w:tr>
      <w:tr w14:paraId="6CFB0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16BFC0AE">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8D8164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424F7F7">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391963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65BFC598">
            <w:pPr>
              <w:pStyle w:val="13"/>
              <w:shd w:val="clear"/>
              <w:spacing w:line="400" w:lineRule="exact"/>
              <w:jc w:val="center"/>
              <w:rPr>
                <w:rFonts w:hint="eastAsia" w:ascii="仿宋" w:hAnsi="仿宋" w:eastAsia="仿宋" w:cs="仿宋"/>
                <w:color w:val="auto"/>
                <w:sz w:val="28"/>
                <w:szCs w:val="28"/>
                <w:highlight w:val="none"/>
              </w:rPr>
            </w:pPr>
          </w:p>
        </w:tc>
      </w:tr>
      <w:tr w14:paraId="0F04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4C0E7EA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D598E42">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39A52B6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57C65A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0436C65F">
            <w:pPr>
              <w:pStyle w:val="13"/>
              <w:shd w:val="clear"/>
              <w:spacing w:line="400" w:lineRule="exact"/>
              <w:jc w:val="center"/>
              <w:rPr>
                <w:rFonts w:hint="eastAsia" w:ascii="仿宋" w:hAnsi="仿宋" w:eastAsia="仿宋" w:cs="仿宋"/>
                <w:color w:val="auto"/>
                <w:sz w:val="28"/>
                <w:szCs w:val="28"/>
                <w:highlight w:val="none"/>
              </w:rPr>
            </w:pPr>
          </w:p>
        </w:tc>
      </w:tr>
      <w:tr w14:paraId="24F0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06DBFEEF">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46F10963">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ECE0179">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540E5D5">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EDB76F6">
            <w:pPr>
              <w:pStyle w:val="13"/>
              <w:shd w:val="clear"/>
              <w:spacing w:line="400" w:lineRule="exact"/>
              <w:jc w:val="center"/>
              <w:rPr>
                <w:rFonts w:hint="eastAsia" w:ascii="仿宋" w:hAnsi="仿宋" w:eastAsia="仿宋" w:cs="仿宋"/>
                <w:color w:val="auto"/>
                <w:sz w:val="28"/>
                <w:szCs w:val="28"/>
                <w:highlight w:val="none"/>
              </w:rPr>
            </w:pPr>
          </w:p>
        </w:tc>
      </w:tr>
      <w:tr w14:paraId="21B1A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3142B94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0828F89A">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C964AC3">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E136B51">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7B522A35">
            <w:pPr>
              <w:pStyle w:val="13"/>
              <w:shd w:val="clear"/>
              <w:spacing w:line="400" w:lineRule="exact"/>
              <w:jc w:val="center"/>
              <w:rPr>
                <w:rFonts w:hint="eastAsia" w:ascii="仿宋" w:hAnsi="仿宋" w:eastAsia="仿宋" w:cs="仿宋"/>
                <w:color w:val="auto"/>
                <w:sz w:val="28"/>
                <w:szCs w:val="28"/>
                <w:highlight w:val="none"/>
              </w:rPr>
            </w:pPr>
          </w:p>
        </w:tc>
      </w:tr>
      <w:tr w14:paraId="6F51E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97" w:type="pct"/>
            <w:noWrap w:val="0"/>
            <w:vAlign w:val="center"/>
          </w:tcPr>
          <w:p w14:paraId="73D66E41">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2B9EA925">
            <w:pPr>
              <w:pStyle w:val="13"/>
              <w:shd w:val="clear"/>
              <w:spacing w:line="400" w:lineRule="exact"/>
              <w:jc w:val="center"/>
              <w:rPr>
                <w:rFonts w:hint="eastAsia" w:ascii="仿宋" w:hAnsi="仿宋" w:eastAsia="仿宋" w:cs="仿宋"/>
                <w:color w:val="auto"/>
                <w:sz w:val="28"/>
                <w:szCs w:val="28"/>
                <w:highlight w:val="none"/>
              </w:rPr>
            </w:pPr>
          </w:p>
        </w:tc>
        <w:tc>
          <w:tcPr>
            <w:tcW w:w="1394" w:type="pct"/>
            <w:noWrap w:val="0"/>
            <w:vAlign w:val="center"/>
          </w:tcPr>
          <w:p w14:paraId="7B395DF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3E0DABCD">
            <w:pPr>
              <w:pStyle w:val="13"/>
              <w:shd w:val="clear"/>
              <w:spacing w:line="400" w:lineRule="exact"/>
              <w:jc w:val="center"/>
              <w:rPr>
                <w:rFonts w:hint="eastAsia" w:ascii="仿宋" w:hAnsi="仿宋" w:eastAsia="仿宋" w:cs="仿宋"/>
                <w:color w:val="auto"/>
                <w:sz w:val="28"/>
                <w:szCs w:val="28"/>
                <w:highlight w:val="none"/>
              </w:rPr>
            </w:pPr>
          </w:p>
        </w:tc>
        <w:tc>
          <w:tcPr>
            <w:tcW w:w="856" w:type="pct"/>
            <w:noWrap w:val="0"/>
            <w:vAlign w:val="center"/>
          </w:tcPr>
          <w:p w14:paraId="56D8FB47">
            <w:pPr>
              <w:pStyle w:val="13"/>
              <w:shd w:val="clear"/>
              <w:spacing w:line="400" w:lineRule="exact"/>
              <w:jc w:val="center"/>
              <w:rPr>
                <w:rFonts w:hint="eastAsia" w:ascii="仿宋" w:hAnsi="仿宋" w:eastAsia="仿宋" w:cs="仿宋"/>
                <w:color w:val="auto"/>
                <w:sz w:val="28"/>
                <w:szCs w:val="28"/>
                <w:highlight w:val="none"/>
              </w:rPr>
            </w:pPr>
          </w:p>
        </w:tc>
      </w:tr>
    </w:tbl>
    <w:p w14:paraId="2029731F">
      <w:pPr>
        <w:shd w:val="clear"/>
        <w:ind w:right="-309" w:rightChars="-14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注：无偏离可填写“无”字</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有偏离必须在本表列明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实际存在负偏离而在本表内没有列明的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视为虚假报价。</w:t>
      </w:r>
    </w:p>
    <w:p w14:paraId="2E2E3401">
      <w:pPr>
        <w:shd w:val="clear"/>
        <w:jc w:val="center"/>
        <w:rPr>
          <w:rFonts w:hint="eastAsia" w:ascii="仿宋" w:hAnsi="仿宋" w:eastAsia="仿宋" w:cs="仿宋"/>
          <w:color w:val="auto"/>
          <w:highlight w:val="none"/>
        </w:rPr>
      </w:pPr>
    </w:p>
    <w:p w14:paraId="50195469">
      <w:pPr>
        <w:shd w:val="clear"/>
        <w:rPr>
          <w:rFonts w:hint="eastAsia" w:ascii="仿宋" w:hAnsi="仿宋" w:eastAsia="仿宋" w:cs="仿宋"/>
          <w:color w:val="auto"/>
          <w:highlight w:val="none"/>
        </w:rPr>
      </w:pPr>
    </w:p>
    <w:p w14:paraId="50467986">
      <w:pPr>
        <w:shd w:val="clear"/>
        <w:spacing w:line="520" w:lineRule="exact"/>
        <w:ind w:firstLine="3900" w:firstLineChars="1300"/>
        <w:jc w:val="right"/>
        <w:rPr>
          <w:rFonts w:hint="eastAsia" w:ascii="仿宋" w:hAnsi="仿宋" w:eastAsia="仿宋" w:cs="仿宋"/>
          <w:color w:val="auto"/>
          <w:sz w:val="30"/>
          <w:szCs w:val="30"/>
          <w:highlight w:val="none"/>
        </w:rPr>
      </w:pPr>
    </w:p>
    <w:p w14:paraId="2280F9C1">
      <w:pPr>
        <w:shd w:val="clear"/>
        <w:rPr>
          <w:rFonts w:hint="eastAsia" w:ascii="仿宋" w:hAnsi="仿宋" w:eastAsia="仿宋" w:cs="仿宋"/>
          <w:color w:val="auto"/>
          <w:highlight w:val="none"/>
        </w:rPr>
      </w:pPr>
    </w:p>
    <w:p w14:paraId="22242603">
      <w:pPr>
        <w:shd w:val="clear"/>
        <w:snapToGrid w:val="0"/>
        <w:spacing w:line="560" w:lineRule="exact"/>
        <w:ind w:firstLine="422" w:firstLineChars="201"/>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highlight w:val="none"/>
        </w:rPr>
        <w:t xml:space="preserve">              </w:t>
      </w:r>
      <w:r>
        <w:rPr>
          <w:rFonts w:hint="eastAsia" w:ascii="仿宋" w:hAnsi="仿宋" w:eastAsia="仿宋" w:cs="仿宋"/>
          <w:color w:val="auto"/>
          <w:sz w:val="28"/>
          <w:szCs w:val="28"/>
          <w:highlight w:val="none"/>
        </w:rPr>
        <w:t xml:space="preserve">    投标人（签章）</w:t>
      </w:r>
      <w:r>
        <w:rPr>
          <w:rFonts w:hint="eastAsia" w:ascii="仿宋" w:hAnsi="仿宋" w:eastAsia="仿宋" w:cs="仿宋"/>
          <w:color w:val="auto"/>
          <w:sz w:val="28"/>
          <w:szCs w:val="28"/>
          <w:highlight w:val="none"/>
          <w:lang w:eastAsia="zh-CN"/>
        </w:rPr>
        <w:t>：</w:t>
      </w:r>
    </w:p>
    <w:p w14:paraId="3B95C46C">
      <w:pPr>
        <w:shd w:val="clear"/>
        <w:tabs>
          <w:tab w:val="left" w:pos="5580"/>
        </w:tabs>
        <w:wordWrap w:val="0"/>
        <w:spacing w:line="360" w:lineRule="auto"/>
        <w:ind w:right="28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3D0C294">
      <w:pPr>
        <w:shd w:val="clear"/>
        <w:tabs>
          <w:tab w:val="left" w:pos="5580"/>
        </w:tabs>
        <w:wordWrap w:val="0"/>
        <w:spacing w:line="360" w:lineRule="auto"/>
        <w:ind w:right="560"/>
        <w:jc w:val="right"/>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        </w:t>
      </w:r>
    </w:p>
    <w:p w14:paraId="790D6E50">
      <w:pPr>
        <w:shd w:val="clear"/>
        <w:wordWrap w:val="0"/>
        <w:spacing w:line="560" w:lineRule="exact"/>
        <w:jc w:val="righ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w:t>
      </w:r>
    </w:p>
    <w:p w14:paraId="5989BA0C">
      <w:pPr>
        <w:shd w:val="clear"/>
        <w:rPr>
          <w:rFonts w:hint="eastAsia" w:ascii="仿宋" w:hAnsi="仿宋" w:eastAsia="仿宋" w:cs="仿宋"/>
          <w:color w:val="auto"/>
          <w:highlight w:val="none"/>
        </w:rPr>
      </w:pPr>
    </w:p>
    <w:p w14:paraId="51E094AA">
      <w:pPr>
        <w:pStyle w:val="26"/>
        <w:shd w:val="clear"/>
        <w:spacing w:before="100" w:beforeAutospacing="1" w:after="100" w:afterAutospacing="1" w:line="415" w:lineRule="auto"/>
        <w:rPr>
          <w:rFonts w:hint="eastAsia" w:ascii="仿宋" w:hAnsi="仿宋" w:eastAsia="仿宋" w:cs="仿宋"/>
          <w:color w:val="auto"/>
          <w:sz w:val="44"/>
          <w:szCs w:val="44"/>
          <w:highlight w:val="none"/>
        </w:rPr>
        <w:sectPr>
          <w:pgSz w:w="11906" w:h="16838"/>
          <w:pgMar w:top="1440" w:right="1083" w:bottom="1440" w:left="1083" w:header="851" w:footer="992" w:gutter="0"/>
          <w:pgNumType w:fmt="decimal"/>
          <w:cols w:space="0" w:num="1"/>
          <w:rtlGutter w:val="0"/>
          <w:docGrid w:type="lines" w:linePitch="312" w:charSpace="0"/>
        </w:sectPr>
      </w:pPr>
    </w:p>
    <w:bookmarkEnd w:id="16"/>
    <w:bookmarkEnd w:id="17"/>
    <w:p w14:paraId="272AF3A1">
      <w:pPr>
        <w:pStyle w:val="26"/>
        <w:numPr>
          <w:ilvl w:val="0"/>
          <w:numId w:val="0"/>
        </w:numPr>
        <w:shd w:val="clear"/>
        <w:spacing w:before="100" w:beforeAutospacing="1" w:after="100" w:afterAutospacing="1" w:line="415" w:lineRule="auto"/>
        <w:ind w:left="1440" w:leftChars="0" w:hanging="1440" w:firstLineChars="0"/>
        <w:rPr>
          <w:rFonts w:hint="eastAsia" w:ascii="楷体_GB2312" w:hAnsi="宋体" w:eastAsia="楷体_GB2312" w:cs="宋体"/>
          <w:b/>
          <w:bCs/>
          <w:color w:val="auto"/>
          <w:kern w:val="2"/>
          <w:sz w:val="44"/>
          <w:szCs w:val="44"/>
          <w:highlight w:val="none"/>
          <w:lang w:val="en-US" w:eastAsia="zh-CN" w:bidi="ar-SA"/>
        </w:rPr>
        <w:sectPr>
          <w:pgSz w:w="11906" w:h="16838"/>
          <w:pgMar w:top="1440" w:right="1083" w:bottom="1440" w:left="1083" w:header="851" w:footer="992" w:gutter="0"/>
          <w:pgNumType w:fmt="decimal"/>
          <w:cols w:space="0" w:num="1"/>
          <w:rtlGutter w:val="0"/>
          <w:docGrid w:type="lines" w:linePitch="317" w:charSpace="0"/>
        </w:sectPr>
      </w:pPr>
      <w:r>
        <w:rPr>
          <w:rFonts w:hint="eastAsia" w:ascii="楷体_GB2312" w:hAnsi="宋体" w:eastAsia="楷体_GB2312" w:cs="宋体"/>
          <w:b/>
          <w:bCs/>
          <w:color w:val="auto"/>
          <w:kern w:val="2"/>
          <w:sz w:val="44"/>
          <w:szCs w:val="44"/>
          <w:highlight w:val="none"/>
          <w:lang w:val="en-US" w:eastAsia="zh-CN" w:bidi="ar-SA"/>
        </w:rPr>
        <w:t>第六章  采购合同（范本）</w:t>
      </w:r>
    </w:p>
    <w:p w14:paraId="54AA0E7F">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5DEF4CC">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7848B7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CA1B499">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138997B2">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4B840655">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3F4D6747">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287E49E0">
      <w:pPr>
        <w:keepNext w:val="0"/>
        <w:keepLines w:val="0"/>
        <w:pageBreakBefore w:val="0"/>
        <w:widowControl/>
        <w:kinsoku/>
        <w:wordWrap w:val="0"/>
        <w:overflowPunct/>
        <w:topLinePunct w:val="0"/>
        <w:autoSpaceDE w:val="0"/>
        <w:autoSpaceDN w:val="0"/>
        <w:bidi w:val="0"/>
        <w:adjustRightInd w:val="0"/>
        <w:snapToGrid w:val="0"/>
        <w:spacing w:line="560" w:lineRule="exact"/>
        <w:jc w:val="both"/>
        <w:textAlignment w:val="baseline"/>
        <w:rPr>
          <w:rFonts w:hint="eastAsia" w:ascii="仿宋" w:hAnsi="仿宋" w:eastAsia="仿宋" w:cs="仿宋"/>
          <w:b w:val="0"/>
          <w:bCs w:val="0"/>
          <w:sz w:val="28"/>
          <w:szCs w:val="28"/>
          <w:u w:val="none"/>
          <w:lang w:eastAsia="zh-CN"/>
        </w:rPr>
      </w:pPr>
    </w:p>
    <w:p w14:paraId="69F5C452">
      <w:pPr>
        <w:keepNext w:val="0"/>
        <w:keepLines w:val="0"/>
        <w:pageBreakBefore w:val="0"/>
        <w:widowControl/>
        <w:kinsoku/>
        <w:wordWrap w:val="0"/>
        <w:overflowPunct/>
        <w:topLinePunct w:val="0"/>
        <w:autoSpaceDE w:val="0"/>
        <w:autoSpaceDN w:val="0"/>
        <w:bidi w:val="0"/>
        <w:adjustRightInd w:val="0"/>
        <w:snapToGrid w:val="0"/>
        <w:spacing w:line="240" w:lineRule="auto"/>
        <w:ind w:firstLine="0" w:firstLineChars="0"/>
        <w:jc w:val="center"/>
        <w:textAlignment w:val="baseline"/>
        <w:rPr>
          <w:rFonts w:hint="eastAsia" w:ascii="仿宋" w:hAnsi="仿宋" w:eastAsia="仿宋" w:cs="仿宋"/>
          <w:b w:val="0"/>
          <w:bCs w:val="0"/>
          <w:sz w:val="60"/>
          <w:szCs w:val="60"/>
          <w:u w:val="none"/>
        </w:rPr>
      </w:pPr>
      <w:r>
        <w:rPr>
          <w:rFonts w:hint="eastAsia" w:ascii="仿宋" w:hAnsi="仿宋" w:eastAsia="仿宋" w:cs="仿宋"/>
          <w:b w:val="0"/>
          <w:bCs w:val="0"/>
          <w:sz w:val="60"/>
          <w:szCs w:val="60"/>
          <w:u w:val="none"/>
        </w:rPr>
        <w:t>常年法律顾问合同</w:t>
      </w:r>
    </w:p>
    <w:p w14:paraId="0D3C8334">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7F8DD12">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41EE840">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7731ECF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E8764AF">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19BE32F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4E5BA86B">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9F2C93">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38550E1D">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6C0C8288">
      <w:pPr>
        <w:keepNext w:val="0"/>
        <w:keepLines w:val="0"/>
        <w:pageBreakBefore w:val="0"/>
        <w:widowControl/>
        <w:kinsoku/>
        <w:wordWrap w:val="0"/>
        <w:overflowPunct/>
        <w:topLinePunct w:val="0"/>
        <w:autoSpaceDE w:val="0"/>
        <w:autoSpaceDN w:val="0"/>
        <w:bidi w:val="0"/>
        <w:adjustRightInd w:val="0"/>
        <w:snapToGrid w:val="0"/>
        <w:spacing w:line="560" w:lineRule="exact"/>
        <w:ind w:firstLine="640" w:firstLineChars="200"/>
        <w:jc w:val="both"/>
        <w:textAlignment w:val="baseline"/>
        <w:rPr>
          <w:rFonts w:hint="eastAsia" w:ascii="仿宋" w:hAnsi="仿宋" w:eastAsia="仿宋" w:cs="仿宋"/>
          <w:b w:val="0"/>
          <w:bCs w:val="0"/>
          <w:sz w:val="32"/>
          <w:szCs w:val="32"/>
          <w:u w:val="none"/>
        </w:rPr>
      </w:pPr>
    </w:p>
    <w:p w14:paraId="29C13492">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pPr>
      <w:r>
        <w:rPr>
          <w:rFonts w:hint="eastAsia" w:ascii="仿宋" w:hAnsi="仿宋" w:eastAsia="仿宋" w:cs="仿宋"/>
          <w:b w:val="0"/>
          <w:bCs w:val="0"/>
          <w:sz w:val="32"/>
          <w:szCs w:val="32"/>
          <w:u w:val="none"/>
        </w:rPr>
        <w:t>甲方：威海粮油发展有限公司</w:t>
      </w:r>
    </w:p>
    <w:p w14:paraId="0E49068A">
      <w:pPr>
        <w:keepNext w:val="0"/>
        <w:keepLines w:val="0"/>
        <w:pageBreakBefore w:val="0"/>
        <w:widowControl/>
        <w:kinsoku/>
        <w:wordWrap w:val="0"/>
        <w:overflowPunct/>
        <w:topLinePunct w:val="0"/>
        <w:autoSpaceDE w:val="0"/>
        <w:autoSpaceDN w:val="0"/>
        <w:bidi w:val="0"/>
        <w:adjustRightInd w:val="0"/>
        <w:snapToGrid w:val="0"/>
        <w:spacing w:line="560" w:lineRule="exact"/>
        <w:ind w:left="1680" w:leftChars="800" w:firstLine="0" w:firstLineChars="0"/>
        <w:jc w:val="both"/>
        <w:textAlignment w:val="baseline"/>
        <w:rPr>
          <w:rFonts w:hint="eastAsia" w:ascii="仿宋" w:hAnsi="仿宋" w:eastAsia="仿宋" w:cs="仿宋"/>
          <w:b w:val="0"/>
          <w:bCs w:val="0"/>
          <w:sz w:val="32"/>
          <w:szCs w:val="32"/>
          <w:u w:val="none"/>
        </w:rPr>
        <w:sectPr>
          <w:footerReference r:id="rId19" w:type="default"/>
          <w:pgSz w:w="11900" w:h="16820"/>
          <w:pgMar w:top="1440" w:right="1080" w:bottom="1440" w:left="1080" w:header="850" w:footer="992" w:gutter="0"/>
          <w:pgNumType w:fmt="decimal"/>
          <w:cols w:space="720" w:num="1"/>
        </w:sectPr>
      </w:pPr>
      <w:r>
        <w:rPr>
          <w:rFonts w:hint="eastAsia" w:ascii="仿宋" w:hAnsi="仿宋" w:eastAsia="仿宋" w:cs="仿宋"/>
          <w:b w:val="0"/>
          <w:bCs w:val="0"/>
          <w:sz w:val="32"/>
          <w:szCs w:val="32"/>
          <w:u w:val="none"/>
        </w:rPr>
        <w:t>乙方：</w:t>
      </w:r>
    </w:p>
    <w:p w14:paraId="6E26CF12">
      <w:pPr>
        <w:keepNext w:val="0"/>
        <w:keepLines w:val="0"/>
        <w:pageBreakBefore w:val="0"/>
        <w:widowControl/>
        <w:kinsoku/>
        <w:wordWrap w:val="0"/>
        <w:overflowPunct/>
        <w:topLinePunct w:val="0"/>
        <w:autoSpaceDE w:val="0"/>
        <w:autoSpaceDN w:val="0"/>
        <w:bidi w:val="0"/>
        <w:adjustRightInd w:val="0"/>
        <w:snapToGrid w:val="0"/>
        <w:spacing w:line="560" w:lineRule="exact"/>
        <w:ind w:firstLine="0" w:firstLineChars="0"/>
        <w:jc w:val="center"/>
        <w:textAlignment w:val="baseline"/>
        <w:rPr>
          <w:rFonts w:hint="eastAsia" w:ascii="仿宋" w:hAnsi="仿宋" w:eastAsia="仿宋" w:cs="仿宋"/>
          <w:b/>
          <w:bCs/>
          <w:sz w:val="36"/>
          <w:szCs w:val="36"/>
          <w:u w:val="none"/>
        </w:rPr>
      </w:pPr>
      <w:r>
        <w:rPr>
          <w:rFonts w:hint="eastAsia" w:ascii="仿宋" w:hAnsi="仿宋" w:eastAsia="仿宋" w:cs="仿宋"/>
          <w:b/>
          <w:bCs/>
          <w:sz w:val="36"/>
          <w:szCs w:val="36"/>
          <w:u w:val="none"/>
        </w:rPr>
        <w:t>常年法律顾问合同</w:t>
      </w:r>
    </w:p>
    <w:p w14:paraId="3D1CA474">
      <w:pPr>
        <w:rPr>
          <w:rFonts w:hint="eastAsia"/>
        </w:rPr>
      </w:pPr>
    </w:p>
    <w:p w14:paraId="5FE2465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甲方：威海粮油发展有限公司</w:t>
      </w:r>
    </w:p>
    <w:p w14:paraId="2C8E69B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法定代表人/单位</w:t>
      </w:r>
      <w:r>
        <w:rPr>
          <w:rFonts w:hint="eastAsia" w:ascii="仿宋" w:hAnsi="仿宋" w:eastAsia="仿宋" w:cs="仿宋"/>
          <w:b w:val="0"/>
          <w:bCs w:val="0"/>
          <w:sz w:val="28"/>
          <w:szCs w:val="28"/>
          <w:u w:val="none"/>
        </w:rPr>
        <w:t>负责人：卢志刚</w:t>
      </w:r>
    </w:p>
    <w:p w14:paraId="5596192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地址：山东省威海市临港经济技术开发区汪疃镇威浩路3号</w:t>
      </w:r>
    </w:p>
    <w:p w14:paraId="7D40FB2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联系电话：0631-8561801</w:t>
      </w:r>
    </w:p>
    <w:p w14:paraId="3FA7B67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w:t>
      </w:r>
    </w:p>
    <w:p w14:paraId="1B90BA0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法定代表人/单位负责人：</w:t>
      </w:r>
    </w:p>
    <w:p w14:paraId="4782A82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地址：</w:t>
      </w:r>
    </w:p>
    <w:p w14:paraId="77FAE7D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联系电话：</w:t>
      </w:r>
    </w:p>
    <w:p w14:paraId="26344CB6">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根据《中华人民共和国律师法》及相关法律、法规，乙方接受甲方的聘请，指派</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rPr>
        <w:t>律师</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上述人员在服务期内的任何更换，都必须事先获得</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的书面批准。</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担任甲方常年法律顾问，经双方协商一致，订立本合同。乙方担任甲方法律顾问，应以事实为根据，以法律为准绳，维护甲方的合法权益。</w:t>
      </w:r>
    </w:p>
    <w:p w14:paraId="769D4D1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default" w:ascii="仿宋" w:hAnsi="仿宋" w:eastAsia="仿宋" w:cs="仿宋"/>
          <w:b/>
          <w:bCs/>
          <w:sz w:val="28"/>
          <w:szCs w:val="28"/>
          <w:u w:val="none"/>
          <w:lang w:val="en-US" w:eastAsia="zh-CN"/>
        </w:rPr>
      </w:pPr>
      <w:r>
        <w:rPr>
          <w:rFonts w:hint="eastAsia" w:ascii="仿宋" w:hAnsi="仿宋" w:eastAsia="仿宋" w:cs="仿宋"/>
          <w:b/>
          <w:bCs/>
          <w:sz w:val="28"/>
          <w:szCs w:val="28"/>
          <w:u w:val="none"/>
        </w:rPr>
        <w:t>一、</w:t>
      </w:r>
      <w:r>
        <w:rPr>
          <w:rFonts w:hint="eastAsia" w:ascii="仿宋" w:hAnsi="仿宋" w:eastAsia="仿宋" w:cs="仿宋"/>
          <w:b/>
          <w:bCs/>
          <w:sz w:val="28"/>
          <w:szCs w:val="28"/>
          <w:u w:val="none"/>
          <w:lang w:val="en-US" w:eastAsia="zh-CN"/>
        </w:rPr>
        <w:t>服务期</w:t>
      </w:r>
    </w:p>
    <w:p w14:paraId="7C66657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3年</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2026年 月 日至2029年 月 日</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。双方若无异议，合同期满自动延续1年，总服务期不超过4年。</w:t>
      </w:r>
    </w:p>
    <w:p w14:paraId="5A12BB93">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二、服务内容</w:t>
      </w:r>
    </w:p>
    <w:p w14:paraId="48E7425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为</w:t>
      </w:r>
      <w:r>
        <w:rPr>
          <w:rFonts w:hint="eastAsia" w:ascii="仿宋" w:hAnsi="仿宋" w:eastAsia="仿宋" w:cs="仿宋"/>
          <w:b w:val="0"/>
          <w:bCs w:val="0"/>
          <w:sz w:val="28"/>
          <w:szCs w:val="28"/>
          <w:u w:val="none"/>
          <w:lang w:val="en-US" w:eastAsia="zh-CN"/>
        </w:rPr>
        <w:t>甲方</w:t>
      </w:r>
      <w:r>
        <w:rPr>
          <w:rFonts w:hint="eastAsia" w:ascii="仿宋" w:hAnsi="仿宋" w:eastAsia="仿宋" w:cs="仿宋"/>
          <w:b w:val="0"/>
          <w:bCs w:val="0"/>
          <w:sz w:val="28"/>
          <w:szCs w:val="28"/>
          <w:u w:val="none"/>
        </w:rPr>
        <w:t>及3家下属全资子公司</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本合同中统称甲方）</w:t>
      </w:r>
      <w:r>
        <w:rPr>
          <w:rFonts w:hint="eastAsia" w:ascii="仿宋" w:hAnsi="仿宋" w:eastAsia="仿宋" w:cs="仿宋"/>
          <w:b w:val="0"/>
          <w:bCs w:val="0"/>
          <w:sz w:val="28"/>
          <w:szCs w:val="28"/>
          <w:u w:val="none"/>
        </w:rPr>
        <w:t>提供法律方面相关服务。</w:t>
      </w:r>
    </w:p>
    <w:p w14:paraId="4E156E7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乙方应为甲方提供全面、及时、高效的法律顾问服务，包括但不限于下列内容。</w:t>
      </w:r>
    </w:p>
    <w:p w14:paraId="41D93BD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诉讼与仲裁代理：代表甲方处理诉讼、仲裁等全部应诉事宜，负责系统整理与保管所有庭审资料，并于案件所有法律程序终结后10个工作日内完成归档移交；同时，须每月定期向甲方书面汇报在办案件进展及后续工作计划。</w:t>
      </w:r>
    </w:p>
    <w:p w14:paraId="3E111F6D">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合同文书审查与管理：按照甲方要求起草、拟订、审查合同协议等相关法律文书，常规合同审核应在两个工作日内完成并签署意见及盖章；每季度整理合同常见问题并出具书面改进建议；根据甲方要求制作、修订并更新合同范本。</w:t>
      </w:r>
    </w:p>
    <w:p w14:paraId="224CE08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3.日常咨询与项目支持：为甲方生产、经营决策等提供法律咨询服务；参加重大的项目谈判；解答甲方提出的相关法律问题，包括但不限于出具法律意见书，进行法律分析和论证，提供电话咨询服务。</w:t>
      </w:r>
    </w:p>
    <w:p w14:paraId="7C25252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4.专题法律研究：根据甲方需求，在双方商定合理期限内（一般不超过15个工作日）完成专题研究并出具书面报告，内容应涵盖专题背景、法律法规梳理、法律分析与结论建议；必要时进行实地调研。</w:t>
      </w:r>
    </w:p>
    <w:p w14:paraId="59BB1DF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5.专项非诉业务：处理甲方在经营管理中涉及的各种专项非诉讼业务，包括但不限于公司设立、转制、并购、重组、增资扩股、股权转让、投资项目谈判及相关法律文书起草与审查等。</w:t>
      </w:r>
    </w:p>
    <w:p w14:paraId="13A8BC0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6.案例管理与风险防控：代理期内对甲方诉讼及仲裁案件进行梳理分析，编撰至少一期《典型案例汇编》，对每个案例进行法律评述，并提炼出具体的风险防范建议。</w:t>
      </w:r>
    </w:p>
    <w:p w14:paraId="7875136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7.争议纠纷处理：为未进入诉讼阶段的争议纠纷提供法律意见，协助处理重大投诉或上访事件。</w:t>
      </w:r>
    </w:p>
    <w:p w14:paraId="4DFC2C3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8.律师函业务：根据甲方需求出具并发送律师函，乙方应在收到服务需求后24小时内发出，需要送达的应提供有效送达凭证。</w:t>
      </w:r>
    </w:p>
    <w:p w14:paraId="472FD1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9.甲方交办的其他法律事务。</w:t>
      </w:r>
    </w:p>
    <w:p w14:paraId="42679492">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三、甲方的职责</w:t>
      </w:r>
    </w:p>
    <w:p w14:paraId="4EC47C3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甲方应就乙方需要提供与法律顾问工作有关的信息、资料和文件</w:t>
      </w:r>
      <w:r>
        <w:rPr>
          <w:rFonts w:hint="eastAsia" w:ascii="仿宋" w:hAnsi="仿宋" w:eastAsia="仿宋" w:cs="仿宋"/>
          <w:b w:val="0"/>
          <w:bCs w:val="0"/>
          <w:sz w:val="28"/>
          <w:szCs w:val="28"/>
          <w:u w:val="none"/>
          <w:lang w:eastAsia="zh-CN"/>
        </w:rPr>
        <w:t>。</w:t>
      </w:r>
    </w:p>
    <w:p w14:paraId="2A5E2833">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根据工作需要，指定专门联系人</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联系人：    ；联系电话：    。</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，进行联络工作</w:t>
      </w:r>
      <w:r>
        <w:rPr>
          <w:rFonts w:hint="eastAsia" w:ascii="仿宋" w:hAnsi="仿宋" w:eastAsia="仿宋" w:cs="仿宋"/>
          <w:b w:val="0"/>
          <w:bCs w:val="0"/>
          <w:sz w:val="28"/>
          <w:szCs w:val="28"/>
          <w:u w:val="none"/>
          <w:lang w:eastAsia="zh-CN"/>
        </w:rPr>
        <w:t>。</w:t>
      </w:r>
    </w:p>
    <w:p w14:paraId="7D5C59A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eastAsia="zh-CN"/>
        </w:rPr>
      </w:pP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积极协助法律顾问办理其他事务</w:t>
      </w:r>
      <w:r>
        <w:rPr>
          <w:rFonts w:hint="eastAsia" w:ascii="仿宋" w:hAnsi="仿宋" w:eastAsia="仿宋" w:cs="仿宋"/>
          <w:b w:val="0"/>
          <w:bCs w:val="0"/>
          <w:sz w:val="28"/>
          <w:szCs w:val="28"/>
          <w:u w:val="none"/>
          <w:lang w:eastAsia="zh-CN"/>
        </w:rPr>
        <w:t>。</w:t>
      </w:r>
    </w:p>
    <w:p w14:paraId="011E39F6">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四、法律顾问费用</w:t>
      </w:r>
    </w:p>
    <w:p w14:paraId="5444ADF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default"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.年度</w:t>
      </w:r>
      <w:r>
        <w:rPr>
          <w:rFonts w:hint="eastAsia" w:ascii="仿宋" w:hAnsi="仿宋" w:eastAsia="仿宋" w:cs="仿宋"/>
          <w:b w:val="0"/>
          <w:bCs w:val="0"/>
          <w:sz w:val="28"/>
          <w:szCs w:val="28"/>
          <w:u w:val="none"/>
        </w:rPr>
        <w:t>法律顾问费用</w:t>
      </w:r>
      <w:r>
        <w:rPr>
          <w:rFonts w:hint="eastAsia" w:ascii="仿宋" w:hAnsi="仿宋" w:eastAsia="仿宋" w:cs="仿宋"/>
          <w:b w:val="0"/>
          <w:bCs w:val="0"/>
          <w:sz w:val="28"/>
          <w:szCs w:val="28"/>
          <w:u w:val="none"/>
          <w:lang w:val="en-US" w:eastAsia="zh-CN"/>
        </w:rPr>
        <w:t>为人民币     （小写：￥     元）。</w:t>
      </w:r>
    </w:p>
    <w:p w14:paraId="4CFF62E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2.付款方式：</w:t>
      </w:r>
      <w:r>
        <w:rPr>
          <w:rFonts w:hint="eastAsia" w:ascii="仿宋" w:hAnsi="仿宋" w:eastAsia="仿宋" w:cs="仿宋"/>
          <w:b w:val="0"/>
          <w:bCs w:val="0"/>
          <w:sz w:val="28"/>
          <w:szCs w:val="28"/>
          <w:u w:val="none"/>
        </w:rPr>
        <w:t>按年支付。乙方开具税率为6%的增值税专用发票，甲方在收到合规发票后30个工作日内支付第一年服务费；后续每下一年度服务费于上一年服务期满前30个工作日内支付。</w:t>
      </w:r>
    </w:p>
    <w:p w14:paraId="71ACE1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3.</w:t>
      </w:r>
      <w:r>
        <w:rPr>
          <w:rFonts w:hint="eastAsia" w:ascii="仿宋" w:hAnsi="仿宋" w:eastAsia="仿宋" w:cs="仿宋"/>
          <w:b w:val="0"/>
          <w:bCs w:val="0"/>
          <w:sz w:val="28"/>
          <w:szCs w:val="28"/>
          <w:u w:val="none"/>
        </w:rPr>
        <w:t>乙方代理甲方诉讼（含一审、二审、执行程序）、仲裁、劳动争议、重大非诉业务案件的，代理费的收取标准届时由双方一案一议。</w:t>
      </w:r>
    </w:p>
    <w:p w14:paraId="0E47ECE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乙方代甲方应诉的，除上述费用外，甲方不再支付其他法律服务费用。对于外地（威海市外）应诉案件，甲方仅承担差旅费与食宿费。</w:t>
      </w:r>
    </w:p>
    <w:p w14:paraId="19256D2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本条涉及的服务费按照上述标准约定，不包括在本</w:t>
      </w:r>
      <w:r>
        <w:rPr>
          <w:rFonts w:hint="eastAsia" w:ascii="仿宋" w:hAnsi="仿宋" w:eastAsia="仿宋" w:cs="仿宋"/>
          <w:b w:val="0"/>
          <w:bCs w:val="0"/>
          <w:sz w:val="28"/>
          <w:szCs w:val="28"/>
          <w:u w:val="none"/>
          <w:lang w:val="en-US" w:eastAsia="zh-CN"/>
        </w:rPr>
        <w:t>合同法律顾问费用</w:t>
      </w:r>
      <w:r>
        <w:rPr>
          <w:rFonts w:hint="eastAsia" w:ascii="仿宋" w:hAnsi="仿宋" w:eastAsia="仿宋" w:cs="仿宋"/>
          <w:b w:val="0"/>
          <w:bCs w:val="0"/>
          <w:sz w:val="28"/>
          <w:szCs w:val="28"/>
          <w:u w:val="none"/>
        </w:rPr>
        <w:t>中。</w:t>
      </w:r>
    </w:p>
    <w:p w14:paraId="2F0CF9A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val="en-US" w:eastAsia="zh-CN"/>
        </w:rPr>
        <w:t>4.</w:t>
      </w:r>
      <w:r>
        <w:rPr>
          <w:rFonts w:hint="eastAsia" w:ascii="仿宋" w:hAnsi="仿宋" w:eastAsia="仿宋" w:cs="仿宋"/>
          <w:b w:val="0"/>
          <w:bCs w:val="0"/>
          <w:sz w:val="28"/>
          <w:szCs w:val="28"/>
          <w:u w:val="none"/>
        </w:rPr>
        <w:t>乙方律师办理甲方委托事项所发生的下列费用，应由甲方承担：</w:t>
      </w:r>
    </w:p>
    <w:p w14:paraId="3C805B5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行政、司法、鉴定、公证等部门收取的费用；</w:t>
      </w:r>
    </w:p>
    <w:p w14:paraId="1A0DF6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乙方律师为甲方到外地</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威海市外</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工作时，所需差旅费与食宿费；</w:t>
      </w:r>
    </w:p>
    <w:p w14:paraId="3D04919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3</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rPr>
        <w:t>征得甲方同意后支出的其他费用。</w:t>
      </w:r>
    </w:p>
    <w:p w14:paraId="6E817284">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五、合同的解除</w:t>
      </w:r>
    </w:p>
    <w:p w14:paraId="529EAB4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甲方有下列情形之一的，乙方有权拒绝代理或解除合同：</w:t>
      </w:r>
    </w:p>
    <w:p w14:paraId="5E76837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1</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甲方的委托事项违反法律或者违反律师执业规范的；</w:t>
      </w:r>
    </w:p>
    <w:p w14:paraId="466250A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2</w:t>
      </w:r>
      <w:r>
        <w:rPr>
          <w:rFonts w:hint="eastAsia"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rPr>
        <w:t>甲方有捏造事实、伪造证据或者隐瞒重要情节等情形，致使乙方律师不能提供合法有效的法律服务的。</w:t>
      </w:r>
    </w:p>
    <w:p w14:paraId="65269FF8">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bCs/>
          <w:sz w:val="28"/>
          <w:szCs w:val="28"/>
          <w:u w:val="none"/>
        </w:rPr>
        <w:t>六、</w:t>
      </w:r>
      <w:r>
        <w:rPr>
          <w:rFonts w:hint="eastAsia" w:ascii="仿宋" w:hAnsi="仿宋" w:eastAsia="仿宋" w:cs="仿宋"/>
          <w:b w:val="0"/>
          <w:bCs w:val="0"/>
          <w:sz w:val="28"/>
          <w:szCs w:val="28"/>
          <w:u w:val="none"/>
        </w:rPr>
        <w:t>双方在履行本合同的法律事务中，应保守商业、技术、信息等秘密，法律有规定除外。</w:t>
      </w:r>
    </w:p>
    <w:p w14:paraId="77A76C31">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七、违约责任</w:t>
      </w:r>
    </w:p>
    <w:p w14:paraId="5A091EA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合同期内，因甲方原因终止合同，乙方收取的法律顾问费用不予退还；因不可归责于乙方的事由导致合同不能履行或者因其他原因双方协商终止合同时，可以根据乙方的工作时间或工作量按比例退还部分法律顾问费用。</w:t>
      </w:r>
    </w:p>
    <w:p w14:paraId="623A38EC">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lang w:eastAsia="zh-CN"/>
        </w:rPr>
      </w:pPr>
      <w:r>
        <w:rPr>
          <w:rFonts w:hint="eastAsia" w:ascii="仿宋" w:hAnsi="仿宋" w:eastAsia="仿宋" w:cs="仿宋"/>
          <w:b/>
          <w:bCs/>
          <w:sz w:val="28"/>
          <w:szCs w:val="28"/>
          <w:u w:val="none"/>
        </w:rPr>
        <w:t>八、双方约定的其他补充事项</w:t>
      </w:r>
    </w:p>
    <w:p w14:paraId="023D18B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1.响应时效：</w:t>
      </w:r>
    </w:p>
    <w:p w14:paraId="1EEC04D2">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（1）常规法律咨询应在24小时内回应。</w:t>
      </w:r>
    </w:p>
    <w:p w14:paraId="23F910F9">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（2）常规合同审查应在2个工作日内完成；法律意见书等综合性书面文件应在3个工作日内交付。</w:t>
      </w:r>
    </w:p>
    <w:p w14:paraId="54A454B8">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（3）人力资源专项文件（含劳动合同、员工手册、规章制度等）审核应在3个工作日内完成。</w:t>
      </w:r>
    </w:p>
    <w:p w14:paraId="4E0EA961">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（4）对于甲方标识为“特殊紧急”的事务，乙方应按其要求时限完成。</w:t>
      </w:r>
    </w:p>
    <w:p w14:paraId="2C732785">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（5）甲方提出现场支持要求的，乙方应按时派员响应。对于诉讼、仲裁（含劳动仲裁）、调解等程序性事务，必须确保律师按时出席。</w:t>
      </w:r>
    </w:p>
    <w:p w14:paraId="769C205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2.服务质量保障：</w:t>
      </w:r>
    </w:p>
    <w:p w14:paraId="487548A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（1）所有正式法律文件均通过甲方指定方式发送存档；</w:t>
      </w:r>
    </w:p>
    <w:p w14:paraId="402D2DEC">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（2）每半年召开工作例会汇报服务情况；</w:t>
      </w:r>
    </w:p>
    <w:p w14:paraId="773F608A">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（3）甲方每年对服务质量进行评估，乙方需根据评估结果改进服务；</w:t>
      </w:r>
    </w:p>
    <w:p w14:paraId="1DFB40BB">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（4）出现重大执业过错的，甲方有权单方解除合同并追究责任。</w:t>
      </w:r>
    </w:p>
    <w:p w14:paraId="0454A4C9">
      <w:pPr>
        <w:keepNext w:val="0"/>
        <w:keepLines w:val="0"/>
        <w:pageBreakBefore w:val="0"/>
        <w:widowControl/>
        <w:kinsoku/>
        <w:wordWrap w:val="0"/>
        <w:overflowPunct/>
        <w:topLinePunct w:val="0"/>
        <w:autoSpaceDE w:val="0"/>
        <w:autoSpaceDN w:val="0"/>
        <w:bidi w:val="0"/>
        <w:adjustRightInd w:val="0"/>
        <w:snapToGrid w:val="0"/>
        <w:spacing w:line="540" w:lineRule="exact"/>
        <w:ind w:firstLine="562" w:firstLineChars="200"/>
        <w:jc w:val="both"/>
        <w:textAlignment w:val="baseline"/>
        <w:rPr>
          <w:rFonts w:hint="eastAsia" w:ascii="仿宋" w:hAnsi="仿宋" w:eastAsia="仿宋" w:cs="仿宋"/>
          <w:b/>
          <w:bCs/>
          <w:sz w:val="28"/>
          <w:szCs w:val="28"/>
          <w:u w:val="none"/>
        </w:rPr>
      </w:pPr>
      <w:r>
        <w:rPr>
          <w:rFonts w:hint="eastAsia" w:ascii="仿宋" w:hAnsi="仿宋" w:eastAsia="仿宋" w:cs="仿宋"/>
          <w:b/>
          <w:bCs/>
          <w:sz w:val="28"/>
          <w:szCs w:val="28"/>
          <w:u w:val="none"/>
        </w:rPr>
        <w:t>九、合同的生效</w:t>
      </w:r>
    </w:p>
    <w:p w14:paraId="447489D4">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r>
        <w:rPr>
          <w:rFonts w:hint="eastAsia" w:ascii="仿宋" w:hAnsi="仿宋" w:eastAsia="仿宋" w:cs="仿宋"/>
          <w:b w:val="0"/>
          <w:bCs w:val="0"/>
          <w:sz w:val="28"/>
          <w:szCs w:val="28"/>
          <w:u w:val="none"/>
        </w:rPr>
        <w:t>本合同自双方法定代表人/单位负责人盖章或签字</w:t>
      </w:r>
      <w:r>
        <w:rPr>
          <w:rFonts w:hint="eastAsia" w:ascii="仿宋" w:hAnsi="仿宋" w:eastAsia="仿宋" w:cs="仿宋"/>
          <w:b w:val="0"/>
          <w:bCs w:val="0"/>
          <w:sz w:val="28"/>
          <w:szCs w:val="28"/>
          <w:u w:val="none"/>
          <w:lang w:val="en-US" w:eastAsia="zh-CN"/>
        </w:rPr>
        <w:t>并加</w:t>
      </w:r>
      <w:r>
        <w:rPr>
          <w:rFonts w:hint="eastAsia" w:ascii="仿宋" w:hAnsi="仿宋" w:eastAsia="仿宋" w:cs="仿宋"/>
          <w:b w:val="0"/>
          <w:bCs w:val="0"/>
          <w:sz w:val="28"/>
          <w:szCs w:val="28"/>
          <w:u w:val="none"/>
        </w:rPr>
        <w:t>盖</w:t>
      </w:r>
      <w:r>
        <w:rPr>
          <w:rFonts w:hint="eastAsia" w:ascii="仿宋" w:hAnsi="仿宋" w:eastAsia="仿宋" w:cs="仿宋"/>
          <w:b w:val="0"/>
          <w:bCs w:val="0"/>
          <w:sz w:val="28"/>
          <w:szCs w:val="28"/>
          <w:u w:val="none"/>
          <w:lang w:val="en-US" w:eastAsia="zh-CN"/>
        </w:rPr>
        <w:t>公</w:t>
      </w:r>
      <w:r>
        <w:rPr>
          <w:rFonts w:hint="eastAsia" w:ascii="仿宋" w:hAnsi="仿宋" w:eastAsia="仿宋" w:cs="仿宋"/>
          <w:b w:val="0"/>
          <w:bCs w:val="0"/>
          <w:sz w:val="28"/>
          <w:szCs w:val="28"/>
          <w:u w:val="none"/>
        </w:rPr>
        <w:t>章之日起生效。</w:t>
      </w:r>
    </w:p>
    <w:p w14:paraId="41A36D1E">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rPr>
      </w:pPr>
    </w:p>
    <w:p w14:paraId="7D86000F">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rPr>
        <w:t>甲方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rPr>
        <w:t>：</w:t>
      </w:r>
      <w:r>
        <w:rPr>
          <w:rFonts w:hint="eastAsia" w:ascii="仿宋" w:hAnsi="仿宋" w:eastAsia="仿宋" w:cs="仿宋"/>
          <w:b w:val="0"/>
          <w:bCs w:val="0"/>
          <w:sz w:val="28"/>
          <w:szCs w:val="28"/>
          <w:u w:val="none"/>
          <w:lang w:val="en-US" w:eastAsia="zh-CN"/>
        </w:rPr>
        <w:t xml:space="preserve">                   乙方</w:t>
      </w:r>
      <w:r>
        <w:rPr>
          <w:rFonts w:hint="eastAsia" w:ascii="仿宋" w:hAnsi="仿宋" w:eastAsia="仿宋" w:cs="仿宋"/>
          <w:b w:val="0"/>
          <w:bCs w:val="0"/>
          <w:sz w:val="28"/>
          <w:szCs w:val="28"/>
          <w:u w:val="none"/>
          <w:lang w:eastAsia="zh-CN"/>
        </w:rPr>
        <w:t>（</w:t>
      </w:r>
      <w:r>
        <w:rPr>
          <w:rFonts w:hint="eastAsia" w:ascii="仿宋" w:hAnsi="仿宋" w:eastAsia="仿宋" w:cs="仿宋"/>
          <w:b w:val="0"/>
          <w:bCs w:val="0"/>
          <w:sz w:val="28"/>
          <w:szCs w:val="28"/>
          <w:u w:val="none"/>
          <w:lang w:val="en-US" w:eastAsia="zh-CN"/>
        </w:rPr>
        <w:t>盖章）：</w:t>
      </w:r>
      <w:bookmarkStart w:id="18" w:name="_GoBack"/>
      <w:bookmarkEnd w:id="18"/>
    </w:p>
    <w:p w14:paraId="343C22D7">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eastAsia" w:ascii="仿宋" w:hAnsi="仿宋" w:eastAsia="仿宋" w:cs="仿宋"/>
          <w:b w:val="0"/>
          <w:bCs w:val="0"/>
          <w:sz w:val="28"/>
          <w:szCs w:val="28"/>
          <w:u w:val="none"/>
          <w:lang w:val="en-US" w:eastAsia="zh-CN"/>
        </w:rPr>
        <w:t>法定代表人/单位负责人：          法定代表人/单位负责人：</w:t>
      </w:r>
    </w:p>
    <w:p w14:paraId="2A3508D0">
      <w:pPr>
        <w:keepNext w:val="0"/>
        <w:keepLines w:val="0"/>
        <w:pageBreakBefore w:val="0"/>
        <w:widowControl/>
        <w:kinsoku/>
        <w:wordWrap w:val="0"/>
        <w:overflowPunct/>
        <w:topLinePunct w:val="0"/>
        <w:autoSpaceDE w:val="0"/>
        <w:autoSpaceDN w:val="0"/>
        <w:bidi w:val="0"/>
        <w:adjustRightInd w:val="0"/>
        <w:snapToGrid w:val="0"/>
        <w:spacing w:line="540" w:lineRule="exact"/>
        <w:ind w:firstLine="560" w:firstLineChars="200"/>
        <w:jc w:val="both"/>
        <w:textAlignment w:val="baseline"/>
        <w:rPr>
          <w:rFonts w:hint="eastAsia" w:ascii="仿宋" w:hAnsi="仿宋" w:eastAsia="仿宋" w:cs="仿宋"/>
          <w:b w:val="0"/>
          <w:bCs w:val="0"/>
          <w:sz w:val="28"/>
          <w:szCs w:val="28"/>
          <w:u w:val="none"/>
          <w:lang w:val="en-US" w:eastAsia="zh-CN"/>
        </w:rPr>
      </w:pPr>
      <w:r>
        <w:rPr>
          <w:rFonts w:hint="default" w:ascii="仿宋" w:hAnsi="仿宋" w:eastAsia="仿宋" w:cs="仿宋"/>
          <w:b w:val="0"/>
          <w:bCs w:val="0"/>
          <w:sz w:val="28"/>
          <w:szCs w:val="28"/>
          <w:u w:val="none"/>
          <w:lang w:val="en-US" w:eastAsia="zh-CN"/>
        </w:rPr>
        <w:t>（盖章</w:t>
      </w:r>
      <w:r>
        <w:rPr>
          <w:rFonts w:hint="eastAsia" w:ascii="仿宋" w:hAnsi="仿宋" w:eastAsia="仿宋" w:cs="仿宋"/>
          <w:b w:val="0"/>
          <w:bCs w:val="0"/>
          <w:sz w:val="28"/>
          <w:szCs w:val="28"/>
          <w:u w:val="none"/>
          <w:lang w:val="en-US" w:eastAsia="zh-CN"/>
        </w:rPr>
        <w:t>或签字</w:t>
      </w:r>
      <w:r>
        <w:rPr>
          <w:rFonts w:hint="default" w:ascii="仿宋" w:hAnsi="仿宋" w:eastAsia="仿宋" w:cs="仿宋"/>
          <w:b w:val="0"/>
          <w:bCs w:val="0"/>
          <w:sz w:val="28"/>
          <w:szCs w:val="28"/>
          <w:u w:val="none"/>
          <w:lang w:val="en-US" w:eastAsia="zh-CN"/>
        </w:rPr>
        <w:t>）</w:t>
      </w:r>
      <w:r>
        <w:rPr>
          <w:rFonts w:hint="eastAsia" w:ascii="仿宋" w:hAnsi="仿宋" w:eastAsia="仿宋" w:cs="仿宋"/>
          <w:b w:val="0"/>
          <w:bCs w:val="0"/>
          <w:sz w:val="28"/>
          <w:szCs w:val="28"/>
          <w:u w:val="none"/>
          <w:lang w:val="en-US" w:eastAsia="zh-CN"/>
        </w:rPr>
        <w:t xml:space="preserve">                   （盖章或签字）</w:t>
      </w:r>
    </w:p>
    <w:p w14:paraId="7E1E9556">
      <w:pPr>
        <w:keepNext w:val="0"/>
        <w:keepLines w:val="0"/>
        <w:pageBreakBefore w:val="0"/>
        <w:widowControl/>
        <w:kinsoku/>
        <w:wordWrap w:val="0"/>
        <w:overflowPunct/>
        <w:topLinePunct w:val="0"/>
        <w:autoSpaceDE w:val="0"/>
        <w:autoSpaceDN w:val="0"/>
        <w:bidi w:val="0"/>
        <w:adjustRightInd w:val="0"/>
        <w:snapToGrid w:val="0"/>
        <w:spacing w:line="540" w:lineRule="exact"/>
        <w:ind w:firstLine="0" w:firstLineChars="0"/>
        <w:jc w:val="right"/>
        <w:textAlignment w:val="baseline"/>
        <w:rPr>
          <w:rFonts w:hint="eastAsia"/>
        </w:rPr>
      </w:pPr>
      <w:r>
        <w:rPr>
          <w:rFonts w:hint="eastAsia" w:ascii="仿宋" w:hAnsi="仿宋" w:eastAsia="仿宋" w:cs="仿宋"/>
          <w:b w:val="0"/>
          <w:bCs w:val="0"/>
          <w:sz w:val="28"/>
          <w:szCs w:val="28"/>
          <w:u w:val="none"/>
          <w:lang w:val="en-US" w:eastAsia="zh-CN"/>
        </w:rPr>
        <w:t>2026年 月 日</w:t>
      </w:r>
    </w:p>
    <w:sectPr>
      <w:pgSz w:w="11900" w:h="16820"/>
      <w:pgMar w:top="1440" w:right="1080" w:bottom="1440" w:left="1080" w:header="850" w:footer="99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华文细黑">
    <w:altName w:val="微软雅黑"/>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003F01FF" w:csb1="00000000"/>
  </w:font>
  <w:font w:name="KSOFF9CC6125">
    <w:panose1 w:val="02010609060101010101"/>
    <w:charset w:val="86"/>
    <w:family w:val="auto"/>
    <w:pitch w:val="default"/>
    <w:sig w:usb0="00000001" w:usb1="00000000" w:usb2="00000000"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05524B">
    <w:pPr>
      <w:pStyle w:val="17"/>
      <w:jc w:val="center"/>
    </w:pPr>
  </w:p>
  <w:p w14:paraId="42E92BCC">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F6ACA">
    <w:pPr>
      <w:pStyle w:val="17"/>
    </w:pPr>
    <w:r>
      <w:rPr>
        <w:sz w:val="18"/>
      </w:rPr>
      <w:pict>
        <v:shape id="_x0000_s4110" o:spid="_x0000_s4110"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14:paraId="4A0271BC">
                <w:pPr>
                  <w:pStyle w:val="17"/>
                </w:pPr>
                <w:r>
                  <w:fldChar w:fldCharType="begin"/>
                </w:r>
                <w:r>
                  <w:instrText xml:space="preserve"> PAGE  \* MERGEFORMAT </w:instrText>
                </w:r>
                <w:r>
                  <w:fldChar w:fldCharType="separate"/>
                </w:r>
                <w:r>
                  <w:t>57</w:t>
                </w:r>
                <w:r>
                  <w:fldChar w:fldCharType="end"/>
                </w:r>
              </w:p>
            </w:txbxContent>
          </v:textbox>
        </v:shape>
      </w:pic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23C68">
    <w:pPr>
      <w:pStyle w:val="17"/>
      <w:rPr>
        <w:rFonts w:hint="eastAsia"/>
        <w:lang w:eastAsia="zh-CN"/>
      </w:rPr>
    </w:pPr>
    <w:r>
      <w:rPr>
        <w:sz w:val="18"/>
      </w:rPr>
      <w:pict>
        <v:shape id="_x0000_s4112" o:spid="_x0000_s4112" o:spt="202" type="#_x0000_t202" style="position:absolute;left:0pt;margin-top:0pt;height:144pt;width:144pt;mso-position-horizontal:center;mso-position-horizontal-relative:margin;mso-wrap-style:none;z-index:251666432;mso-width-relative:page;mso-height-relative:page;" filled="f" stroked="f" coordsize="21600,21600">
          <v:path/>
          <v:fill on="f" focussize="0,0"/>
          <v:stroke on="f"/>
          <v:imagedata o:title=""/>
          <o:lock v:ext="edit" aspectratio="f"/>
          <v:textbox inset="0mm,0mm,0mm,0mm" style="mso-fit-shape-to-text:t;">
            <w:txbxContent>
              <w:p w14:paraId="03ED6E0F">
                <w:pPr>
                  <w:pStyle w:val="17"/>
                </w:pPr>
                <w:r>
                  <w:fldChar w:fldCharType="begin"/>
                </w:r>
                <w:r>
                  <w:instrText xml:space="preserve"> PAGE  \* MERGEFORMAT </w:instrText>
                </w:r>
                <w:r>
                  <w:fldChar w:fldCharType="separate"/>
                </w:r>
                <w:r>
                  <w:t>78</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C35B7">
    <w:pPr>
      <w:pStyle w:val="17"/>
    </w:pPr>
    <w:r>
      <w:rPr>
        <w:sz w:val="18"/>
      </w:rPr>
      <w:pict>
        <v:shape id="_x0000_s4104" o:spid="_x0000_s4104"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11C8F02">
                <w:pPr>
                  <w:pStyle w:val="17"/>
                </w:pPr>
                <w:r>
                  <w:fldChar w:fldCharType="begin"/>
                </w:r>
                <w:r>
                  <w:instrText xml:space="preserve"> PAGE  \* MERGEFORMAT </w:instrText>
                </w:r>
                <w:r>
                  <w:fldChar w:fldCharType="separate"/>
                </w:r>
                <w:r>
                  <w:t>0</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8ADAE">
    <w:pPr>
      <w:pStyle w:val="17"/>
      <w:jc w:val="center"/>
    </w:pPr>
  </w:p>
  <w:p w14:paraId="09650370">
    <w:pPr>
      <w:pStyle w:val="1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28FE4">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7B914">
    <w:pPr>
      <w:pStyle w:val="17"/>
    </w:pPr>
    <w:r>
      <w:rPr>
        <w:sz w:val="18"/>
      </w:rPr>
      <w:pict>
        <v:shape id="_x0000_s4105" o:spid="_x0000_s4105"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9C6C0AE">
                <w:pPr>
                  <w:pStyle w:val="17"/>
                </w:pPr>
                <w:r>
                  <w:fldChar w:fldCharType="begin"/>
                </w:r>
                <w:r>
                  <w:instrText xml:space="preserve"> PAGE  \* MERGEFORMAT </w:instrText>
                </w:r>
                <w:r>
                  <w:fldChar w:fldCharType="separate"/>
                </w:r>
                <w:r>
                  <w:t>3</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44076">
    <w:pPr>
      <w:pStyle w:val="17"/>
    </w:pPr>
    <w:r>
      <w:rPr>
        <w:sz w:val="18"/>
      </w:rPr>
      <w:pict>
        <v:shape id="_x0000_s4106" o:spid="_x0000_s4106"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14:paraId="706553AB">
                <w:pPr>
                  <w:pStyle w:val="17"/>
                </w:pPr>
                <w:r>
                  <w:fldChar w:fldCharType="begin"/>
                </w:r>
                <w:r>
                  <w:instrText xml:space="preserve"> PAGE  \* MERGEFORMAT </w:instrText>
                </w:r>
                <w:r>
                  <w:fldChar w:fldCharType="separate"/>
                </w:r>
                <w:r>
                  <w:t>2</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EEB182">
    <w:pPr>
      <w:pStyle w:val="17"/>
    </w:pPr>
    <w:r>
      <w:rPr>
        <w:sz w:val="18"/>
      </w:rPr>
      <w:pict>
        <v:shape id="_x0000_s4107" o:spid="_x0000_s4107"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6B2930F6">
                <w:pPr>
                  <w:pStyle w:val="17"/>
                </w:pPr>
                <w:r>
                  <w:fldChar w:fldCharType="begin"/>
                </w:r>
                <w:r>
                  <w:instrText xml:space="preserve"> PAGE  \* MERGEFORMAT </w:instrText>
                </w:r>
                <w:r>
                  <w:fldChar w:fldCharType="separate"/>
                </w:r>
                <w:r>
                  <w:t>17</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00E76">
    <w:pPr>
      <w:pStyle w:val="17"/>
    </w:pPr>
    <w:r>
      <w:rPr>
        <w:sz w:val="18"/>
      </w:rPr>
      <w:pict>
        <v:shape id="_x0000_s4108" o:spid="_x0000_s4108" o:spt="202" type="#_x0000_t202" style="position:absolute;left:0pt;margin-top:0pt;height:144pt;width:144pt;mso-position-horizontal:center;mso-position-horizontal-relative:margin;mso-wrap-style:none;z-index:251663360;mso-width-relative:page;mso-height-relative:page;" filled="f" stroked="f" coordsize="21600,21600">
          <v:path/>
          <v:fill on="f" focussize="0,0"/>
          <v:stroke on="f"/>
          <v:imagedata o:title=""/>
          <o:lock v:ext="edit" aspectratio="f"/>
          <v:textbox inset="0mm,0mm,0mm,0mm" style="mso-fit-shape-to-text:t;">
            <w:txbxContent>
              <w:p w14:paraId="60C69082">
                <w:pPr>
                  <w:pStyle w:val="17"/>
                </w:pPr>
                <w:r>
                  <w:fldChar w:fldCharType="begin"/>
                </w:r>
                <w:r>
                  <w:instrText xml:space="preserve"> PAGE  \* MERGEFORMAT </w:instrText>
                </w:r>
                <w:r>
                  <w:fldChar w:fldCharType="separate"/>
                </w:r>
                <w:r>
                  <w:t>46</w:t>
                </w:r>
                <w:r>
                  <w:fldChar w:fldCharType="end"/>
                </w:r>
              </w:p>
            </w:txbxContent>
          </v:textbox>
        </v:shape>
      </w:pic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2F1BA9">
    <w:pPr>
      <w:pStyle w:val="17"/>
    </w:pPr>
    <w:r>
      <w:rPr>
        <w:sz w:val="18"/>
      </w:rPr>
      <w:pict>
        <v:shape id="_x0000_s4109" o:spid="_x0000_s4109" o:spt="202" type="#_x0000_t202" style="position:absolute;left:0pt;margin-top:0pt;height:144pt;width:144pt;mso-position-horizontal:center;mso-position-horizontal-relative:margin;mso-wrap-style:none;z-index:251664384;mso-width-relative:page;mso-height-relative:page;" filled="f" stroked="f" coordsize="21600,21600">
          <v:path/>
          <v:fill on="f" focussize="0,0"/>
          <v:stroke on="f"/>
          <v:imagedata o:title=""/>
          <o:lock v:ext="edit" aspectratio="f"/>
          <v:textbox inset="0mm,0mm,0mm,0mm" style="mso-fit-shape-to-text:t;">
            <w:txbxContent>
              <w:p w14:paraId="50EFAC3D">
                <w:pPr>
                  <w:pStyle w:val="17"/>
                </w:pPr>
                <w:r>
                  <w:fldChar w:fldCharType="begin"/>
                </w:r>
                <w:r>
                  <w:instrText xml:space="preserve"> PAGE  \* MERGEFORMAT </w:instrText>
                </w:r>
                <w:r>
                  <w:fldChar w:fldCharType="separate"/>
                </w:r>
                <w:r>
                  <w:t>50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49850">
    <w:pPr>
      <w:pStyle w:val="18"/>
      <w:pBdr>
        <w:top w:val="none" w:color="auto" w:sz="0" w:space="0"/>
        <w:left w:val="none" w:color="auto" w:sz="0" w:space="0"/>
        <w:bottom w:val="none" w:color="auto" w:sz="0" w:space="1"/>
        <w:right w:val="none" w:color="auto" w:sz="0" w:space="0"/>
        <w:between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FF7F6">
    <w:pPr>
      <w:pStyle w:val="18"/>
      <w:pBdr>
        <w:top w:val="none" w:color="auto" w:sz="0" w:space="0"/>
        <w:left w:val="none" w:color="auto" w:sz="0" w:space="0"/>
        <w:bottom w:val="none" w:color="auto" w:sz="0" w:space="1"/>
        <w:right w:val="none" w:color="auto" w:sz="0" w:space="0"/>
        <w:between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B9B39">
    <w:pPr>
      <w:pStyle w:val="1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57905">
    <w:pPr>
      <w:pStyle w:val="18"/>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210F6">
    <w:pPr>
      <w:pStyle w:val="18"/>
      <w:pBdr>
        <w:top w:val="none" w:color="auto" w:sz="0" w:space="0"/>
        <w:left w:val="none" w:color="auto" w:sz="0" w:space="0"/>
        <w:bottom w:val="none" w:color="auto" w:sz="0" w:space="1"/>
        <w:right w:val="none" w:color="auto" w:sz="0" w:space="0"/>
        <w:between w:val="none" w:color="auto" w:sz="0" w:space="0"/>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358F3">
    <w:pPr>
      <w:pStyle w:val="18"/>
      <w:pBdr>
        <w:top w:val="none" w:color="auto" w:sz="0" w:space="0"/>
        <w:left w:val="none" w:color="auto" w:sz="0" w:space="0"/>
        <w:bottom w:val="none" w:color="auto" w:sz="0" w:space="1"/>
        <w:right w:val="none" w:color="auto" w:sz="0" w:space="0"/>
        <w:between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enforcement="0"/>
  <w:defaultTabStop w:val="420"/>
  <w:hyphenationZone w:val="360"/>
  <w:drawingGridHorizontalSpacing w:val="210"/>
  <w:drawingGridVerticalSpacing w:val="159"/>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GNiMmMyOTA3NDRjMjdlMGEwOTRiYzNlMTJjM2RkOWYifQ=="/>
  </w:docVars>
  <w:rsids>
    <w:rsidRoot w:val="00EF492A"/>
    <w:rsid w:val="000002BA"/>
    <w:rsid w:val="00000335"/>
    <w:rsid w:val="00000511"/>
    <w:rsid w:val="00000EA7"/>
    <w:rsid w:val="00000FFE"/>
    <w:rsid w:val="00003E1B"/>
    <w:rsid w:val="00011721"/>
    <w:rsid w:val="000125FB"/>
    <w:rsid w:val="00014002"/>
    <w:rsid w:val="00016D2A"/>
    <w:rsid w:val="00017CF8"/>
    <w:rsid w:val="0002027C"/>
    <w:rsid w:val="00020400"/>
    <w:rsid w:val="0002190F"/>
    <w:rsid w:val="00025156"/>
    <w:rsid w:val="00030ABD"/>
    <w:rsid w:val="000311A8"/>
    <w:rsid w:val="00031B64"/>
    <w:rsid w:val="000339F8"/>
    <w:rsid w:val="00033BEE"/>
    <w:rsid w:val="0003766E"/>
    <w:rsid w:val="0004135A"/>
    <w:rsid w:val="00041C8B"/>
    <w:rsid w:val="00041D07"/>
    <w:rsid w:val="0004293F"/>
    <w:rsid w:val="00043F9F"/>
    <w:rsid w:val="00044ACE"/>
    <w:rsid w:val="00045CC2"/>
    <w:rsid w:val="00047BB8"/>
    <w:rsid w:val="00051160"/>
    <w:rsid w:val="00051A58"/>
    <w:rsid w:val="00052B78"/>
    <w:rsid w:val="0005326C"/>
    <w:rsid w:val="000534D4"/>
    <w:rsid w:val="00053712"/>
    <w:rsid w:val="00054096"/>
    <w:rsid w:val="00057CB4"/>
    <w:rsid w:val="000619F0"/>
    <w:rsid w:val="00061DE2"/>
    <w:rsid w:val="00063CBD"/>
    <w:rsid w:val="000654CC"/>
    <w:rsid w:val="00066330"/>
    <w:rsid w:val="00067E80"/>
    <w:rsid w:val="00070BE8"/>
    <w:rsid w:val="000720DE"/>
    <w:rsid w:val="00072257"/>
    <w:rsid w:val="00077EAD"/>
    <w:rsid w:val="00080F28"/>
    <w:rsid w:val="000814DD"/>
    <w:rsid w:val="000829F0"/>
    <w:rsid w:val="00082E14"/>
    <w:rsid w:val="000856F6"/>
    <w:rsid w:val="00086EDB"/>
    <w:rsid w:val="000873E7"/>
    <w:rsid w:val="000874B5"/>
    <w:rsid w:val="000913EC"/>
    <w:rsid w:val="00091CF0"/>
    <w:rsid w:val="00092563"/>
    <w:rsid w:val="00092907"/>
    <w:rsid w:val="00092DBB"/>
    <w:rsid w:val="000955B7"/>
    <w:rsid w:val="000965B2"/>
    <w:rsid w:val="000A1BD5"/>
    <w:rsid w:val="000A298A"/>
    <w:rsid w:val="000B214F"/>
    <w:rsid w:val="000B2E48"/>
    <w:rsid w:val="000B3598"/>
    <w:rsid w:val="000B393B"/>
    <w:rsid w:val="000B3A93"/>
    <w:rsid w:val="000B4AA1"/>
    <w:rsid w:val="000B592D"/>
    <w:rsid w:val="000B5F41"/>
    <w:rsid w:val="000B6A10"/>
    <w:rsid w:val="000B6E37"/>
    <w:rsid w:val="000B7FC8"/>
    <w:rsid w:val="000C276A"/>
    <w:rsid w:val="000C3246"/>
    <w:rsid w:val="000C7C52"/>
    <w:rsid w:val="000D0CE7"/>
    <w:rsid w:val="000D1EE7"/>
    <w:rsid w:val="000D3539"/>
    <w:rsid w:val="000D3DDE"/>
    <w:rsid w:val="000D4E44"/>
    <w:rsid w:val="000D4F16"/>
    <w:rsid w:val="000D6186"/>
    <w:rsid w:val="000D69C9"/>
    <w:rsid w:val="000D7751"/>
    <w:rsid w:val="000E170A"/>
    <w:rsid w:val="000E2B93"/>
    <w:rsid w:val="000E3603"/>
    <w:rsid w:val="000E370D"/>
    <w:rsid w:val="000E41C3"/>
    <w:rsid w:val="000E4B64"/>
    <w:rsid w:val="000E59BA"/>
    <w:rsid w:val="000E7CFD"/>
    <w:rsid w:val="000F067A"/>
    <w:rsid w:val="000F2C01"/>
    <w:rsid w:val="000F2D7D"/>
    <w:rsid w:val="000F37F9"/>
    <w:rsid w:val="001018A2"/>
    <w:rsid w:val="00102107"/>
    <w:rsid w:val="00103D80"/>
    <w:rsid w:val="00106D70"/>
    <w:rsid w:val="0011077C"/>
    <w:rsid w:val="001108A2"/>
    <w:rsid w:val="00111B0F"/>
    <w:rsid w:val="00112845"/>
    <w:rsid w:val="001133BC"/>
    <w:rsid w:val="001162AE"/>
    <w:rsid w:val="00116A7C"/>
    <w:rsid w:val="00117D72"/>
    <w:rsid w:val="00122204"/>
    <w:rsid w:val="0012273C"/>
    <w:rsid w:val="00122955"/>
    <w:rsid w:val="00123622"/>
    <w:rsid w:val="00123C5D"/>
    <w:rsid w:val="001246F5"/>
    <w:rsid w:val="00125BE1"/>
    <w:rsid w:val="00127EF3"/>
    <w:rsid w:val="00130BAD"/>
    <w:rsid w:val="00131D4D"/>
    <w:rsid w:val="001350AC"/>
    <w:rsid w:val="0013671B"/>
    <w:rsid w:val="001405CC"/>
    <w:rsid w:val="001412E5"/>
    <w:rsid w:val="00142B56"/>
    <w:rsid w:val="00142C9C"/>
    <w:rsid w:val="00143636"/>
    <w:rsid w:val="00143855"/>
    <w:rsid w:val="0014707A"/>
    <w:rsid w:val="001476D0"/>
    <w:rsid w:val="00152B94"/>
    <w:rsid w:val="00153012"/>
    <w:rsid w:val="00153AD0"/>
    <w:rsid w:val="00156454"/>
    <w:rsid w:val="00160A63"/>
    <w:rsid w:val="00162BCF"/>
    <w:rsid w:val="00163D2C"/>
    <w:rsid w:val="00164CCE"/>
    <w:rsid w:val="00165DB6"/>
    <w:rsid w:val="00166B43"/>
    <w:rsid w:val="00170114"/>
    <w:rsid w:val="00170655"/>
    <w:rsid w:val="0017066C"/>
    <w:rsid w:val="00170FEA"/>
    <w:rsid w:val="001717F7"/>
    <w:rsid w:val="001726B5"/>
    <w:rsid w:val="0017290B"/>
    <w:rsid w:val="00175374"/>
    <w:rsid w:val="00176705"/>
    <w:rsid w:val="0017766C"/>
    <w:rsid w:val="0017780F"/>
    <w:rsid w:val="00177ED7"/>
    <w:rsid w:val="00180335"/>
    <w:rsid w:val="00180B3C"/>
    <w:rsid w:val="00181603"/>
    <w:rsid w:val="00181C6E"/>
    <w:rsid w:val="001829CB"/>
    <w:rsid w:val="00182B98"/>
    <w:rsid w:val="001831C4"/>
    <w:rsid w:val="00185DD4"/>
    <w:rsid w:val="00185DF8"/>
    <w:rsid w:val="00186213"/>
    <w:rsid w:val="0018784D"/>
    <w:rsid w:val="001878D7"/>
    <w:rsid w:val="0019057E"/>
    <w:rsid w:val="00192EE2"/>
    <w:rsid w:val="00193E37"/>
    <w:rsid w:val="001947BA"/>
    <w:rsid w:val="001948A1"/>
    <w:rsid w:val="00194F5A"/>
    <w:rsid w:val="00195220"/>
    <w:rsid w:val="001957FD"/>
    <w:rsid w:val="001A0F3A"/>
    <w:rsid w:val="001A287C"/>
    <w:rsid w:val="001A3ADC"/>
    <w:rsid w:val="001A653E"/>
    <w:rsid w:val="001A6E98"/>
    <w:rsid w:val="001A7635"/>
    <w:rsid w:val="001A7A81"/>
    <w:rsid w:val="001B023C"/>
    <w:rsid w:val="001B10A7"/>
    <w:rsid w:val="001B4660"/>
    <w:rsid w:val="001B4811"/>
    <w:rsid w:val="001B6774"/>
    <w:rsid w:val="001C05F8"/>
    <w:rsid w:val="001C16A9"/>
    <w:rsid w:val="001C1717"/>
    <w:rsid w:val="001C1975"/>
    <w:rsid w:val="001C1BA2"/>
    <w:rsid w:val="001C3A6C"/>
    <w:rsid w:val="001C504D"/>
    <w:rsid w:val="001C52CF"/>
    <w:rsid w:val="001C6553"/>
    <w:rsid w:val="001D064C"/>
    <w:rsid w:val="001D0CBB"/>
    <w:rsid w:val="001D17EE"/>
    <w:rsid w:val="001D194D"/>
    <w:rsid w:val="001D1ED7"/>
    <w:rsid w:val="001D4FA6"/>
    <w:rsid w:val="001D4FD9"/>
    <w:rsid w:val="001D50D4"/>
    <w:rsid w:val="001D6505"/>
    <w:rsid w:val="001D65EA"/>
    <w:rsid w:val="001D6A7B"/>
    <w:rsid w:val="001D6CC9"/>
    <w:rsid w:val="001D7A6C"/>
    <w:rsid w:val="001E101D"/>
    <w:rsid w:val="001E1AD3"/>
    <w:rsid w:val="001E50AD"/>
    <w:rsid w:val="001E5DF5"/>
    <w:rsid w:val="001E75E7"/>
    <w:rsid w:val="001F196A"/>
    <w:rsid w:val="001F39CA"/>
    <w:rsid w:val="001F5BE4"/>
    <w:rsid w:val="001F666C"/>
    <w:rsid w:val="001F68A8"/>
    <w:rsid w:val="00201DFF"/>
    <w:rsid w:val="002021C4"/>
    <w:rsid w:val="002027BC"/>
    <w:rsid w:val="002027CC"/>
    <w:rsid w:val="002066D4"/>
    <w:rsid w:val="002106CD"/>
    <w:rsid w:val="00210BBF"/>
    <w:rsid w:val="002118EC"/>
    <w:rsid w:val="002129BA"/>
    <w:rsid w:val="00212C75"/>
    <w:rsid w:val="0021736B"/>
    <w:rsid w:val="002175DB"/>
    <w:rsid w:val="002220A1"/>
    <w:rsid w:val="002236B2"/>
    <w:rsid w:val="002261EE"/>
    <w:rsid w:val="00226EFD"/>
    <w:rsid w:val="00230413"/>
    <w:rsid w:val="0023063B"/>
    <w:rsid w:val="00230BED"/>
    <w:rsid w:val="00231D7F"/>
    <w:rsid w:val="00231E1E"/>
    <w:rsid w:val="00232305"/>
    <w:rsid w:val="00233216"/>
    <w:rsid w:val="00233B7B"/>
    <w:rsid w:val="00236745"/>
    <w:rsid w:val="00237012"/>
    <w:rsid w:val="0024054B"/>
    <w:rsid w:val="002420B3"/>
    <w:rsid w:val="002425CC"/>
    <w:rsid w:val="00242983"/>
    <w:rsid w:val="00243502"/>
    <w:rsid w:val="00246825"/>
    <w:rsid w:val="002473AF"/>
    <w:rsid w:val="002473D0"/>
    <w:rsid w:val="002473E5"/>
    <w:rsid w:val="002475C4"/>
    <w:rsid w:val="00250BEA"/>
    <w:rsid w:val="002518E8"/>
    <w:rsid w:val="00253719"/>
    <w:rsid w:val="00253838"/>
    <w:rsid w:val="00253E3F"/>
    <w:rsid w:val="00255590"/>
    <w:rsid w:val="0025695E"/>
    <w:rsid w:val="00260816"/>
    <w:rsid w:val="00260FA9"/>
    <w:rsid w:val="00261890"/>
    <w:rsid w:val="0026237B"/>
    <w:rsid w:val="00262596"/>
    <w:rsid w:val="00265778"/>
    <w:rsid w:val="00265EF3"/>
    <w:rsid w:val="002667D6"/>
    <w:rsid w:val="002669E0"/>
    <w:rsid w:val="00266AF5"/>
    <w:rsid w:val="00266FFF"/>
    <w:rsid w:val="002677B9"/>
    <w:rsid w:val="00270A53"/>
    <w:rsid w:val="00270C1A"/>
    <w:rsid w:val="00272A77"/>
    <w:rsid w:val="00274E7A"/>
    <w:rsid w:val="002762CB"/>
    <w:rsid w:val="00276558"/>
    <w:rsid w:val="0027761A"/>
    <w:rsid w:val="0028108E"/>
    <w:rsid w:val="002811E8"/>
    <w:rsid w:val="0028228C"/>
    <w:rsid w:val="00282590"/>
    <w:rsid w:val="00282D30"/>
    <w:rsid w:val="00285329"/>
    <w:rsid w:val="002861CA"/>
    <w:rsid w:val="002873AF"/>
    <w:rsid w:val="0028796B"/>
    <w:rsid w:val="00287AF7"/>
    <w:rsid w:val="00290034"/>
    <w:rsid w:val="002915FA"/>
    <w:rsid w:val="0029181A"/>
    <w:rsid w:val="00292F2B"/>
    <w:rsid w:val="002946F4"/>
    <w:rsid w:val="00297079"/>
    <w:rsid w:val="002972E7"/>
    <w:rsid w:val="00297998"/>
    <w:rsid w:val="002A4727"/>
    <w:rsid w:val="002A4D75"/>
    <w:rsid w:val="002B031C"/>
    <w:rsid w:val="002B608A"/>
    <w:rsid w:val="002B63E9"/>
    <w:rsid w:val="002B6CDC"/>
    <w:rsid w:val="002B7202"/>
    <w:rsid w:val="002C12BB"/>
    <w:rsid w:val="002C2796"/>
    <w:rsid w:val="002C5F5A"/>
    <w:rsid w:val="002C64B5"/>
    <w:rsid w:val="002D0DA9"/>
    <w:rsid w:val="002D21E0"/>
    <w:rsid w:val="002D34CF"/>
    <w:rsid w:val="002D49FE"/>
    <w:rsid w:val="002D66BA"/>
    <w:rsid w:val="002E0355"/>
    <w:rsid w:val="002E0E46"/>
    <w:rsid w:val="002E4595"/>
    <w:rsid w:val="002E4D24"/>
    <w:rsid w:val="002E67CA"/>
    <w:rsid w:val="002E76AE"/>
    <w:rsid w:val="002F070F"/>
    <w:rsid w:val="002F3C1D"/>
    <w:rsid w:val="002F3D60"/>
    <w:rsid w:val="002F656E"/>
    <w:rsid w:val="002F764B"/>
    <w:rsid w:val="002F7B17"/>
    <w:rsid w:val="002F7F4A"/>
    <w:rsid w:val="00300042"/>
    <w:rsid w:val="003014F1"/>
    <w:rsid w:val="00301879"/>
    <w:rsid w:val="003019F5"/>
    <w:rsid w:val="00301E58"/>
    <w:rsid w:val="00301FD6"/>
    <w:rsid w:val="003021BE"/>
    <w:rsid w:val="0030282D"/>
    <w:rsid w:val="00302B5B"/>
    <w:rsid w:val="00303658"/>
    <w:rsid w:val="0030422B"/>
    <w:rsid w:val="00304AD3"/>
    <w:rsid w:val="00305AAE"/>
    <w:rsid w:val="00305DAA"/>
    <w:rsid w:val="0031045E"/>
    <w:rsid w:val="00311515"/>
    <w:rsid w:val="00311970"/>
    <w:rsid w:val="0031240A"/>
    <w:rsid w:val="003135AC"/>
    <w:rsid w:val="00313781"/>
    <w:rsid w:val="00313D72"/>
    <w:rsid w:val="003145CC"/>
    <w:rsid w:val="003154F4"/>
    <w:rsid w:val="00322AA3"/>
    <w:rsid w:val="00322C79"/>
    <w:rsid w:val="003235DD"/>
    <w:rsid w:val="00323E98"/>
    <w:rsid w:val="00326B0F"/>
    <w:rsid w:val="00326F06"/>
    <w:rsid w:val="00327975"/>
    <w:rsid w:val="00330A8F"/>
    <w:rsid w:val="003316A0"/>
    <w:rsid w:val="00332ACD"/>
    <w:rsid w:val="00333179"/>
    <w:rsid w:val="00333C89"/>
    <w:rsid w:val="0033425A"/>
    <w:rsid w:val="00336CD3"/>
    <w:rsid w:val="0034003C"/>
    <w:rsid w:val="003401AC"/>
    <w:rsid w:val="00340388"/>
    <w:rsid w:val="00340800"/>
    <w:rsid w:val="00341444"/>
    <w:rsid w:val="00342AAC"/>
    <w:rsid w:val="00343585"/>
    <w:rsid w:val="00344409"/>
    <w:rsid w:val="00344BAA"/>
    <w:rsid w:val="00344EBD"/>
    <w:rsid w:val="0034524D"/>
    <w:rsid w:val="00345567"/>
    <w:rsid w:val="00347BE8"/>
    <w:rsid w:val="00347F7F"/>
    <w:rsid w:val="00350248"/>
    <w:rsid w:val="00354413"/>
    <w:rsid w:val="003545E5"/>
    <w:rsid w:val="00355A7B"/>
    <w:rsid w:val="003565E8"/>
    <w:rsid w:val="00357D32"/>
    <w:rsid w:val="00360733"/>
    <w:rsid w:val="00363045"/>
    <w:rsid w:val="003630CC"/>
    <w:rsid w:val="0036605F"/>
    <w:rsid w:val="003679A7"/>
    <w:rsid w:val="0037048E"/>
    <w:rsid w:val="003708AB"/>
    <w:rsid w:val="0037184E"/>
    <w:rsid w:val="003719E5"/>
    <w:rsid w:val="003730E8"/>
    <w:rsid w:val="0037586F"/>
    <w:rsid w:val="003762D7"/>
    <w:rsid w:val="00376572"/>
    <w:rsid w:val="00376C48"/>
    <w:rsid w:val="003805DE"/>
    <w:rsid w:val="0038092B"/>
    <w:rsid w:val="003830C0"/>
    <w:rsid w:val="00384425"/>
    <w:rsid w:val="00385158"/>
    <w:rsid w:val="00385667"/>
    <w:rsid w:val="003858C1"/>
    <w:rsid w:val="003871C9"/>
    <w:rsid w:val="00390E18"/>
    <w:rsid w:val="0039107B"/>
    <w:rsid w:val="003916AD"/>
    <w:rsid w:val="00393042"/>
    <w:rsid w:val="00394CC2"/>
    <w:rsid w:val="00396E4D"/>
    <w:rsid w:val="00397FD4"/>
    <w:rsid w:val="003A2416"/>
    <w:rsid w:val="003A3EAD"/>
    <w:rsid w:val="003A4FA9"/>
    <w:rsid w:val="003A5BD5"/>
    <w:rsid w:val="003A618E"/>
    <w:rsid w:val="003A6FAD"/>
    <w:rsid w:val="003A7770"/>
    <w:rsid w:val="003B0855"/>
    <w:rsid w:val="003B0BE3"/>
    <w:rsid w:val="003B15EF"/>
    <w:rsid w:val="003B1D9C"/>
    <w:rsid w:val="003B2637"/>
    <w:rsid w:val="003B3292"/>
    <w:rsid w:val="003B42CD"/>
    <w:rsid w:val="003B43B0"/>
    <w:rsid w:val="003B488C"/>
    <w:rsid w:val="003B4FA2"/>
    <w:rsid w:val="003B537F"/>
    <w:rsid w:val="003B53EA"/>
    <w:rsid w:val="003B70FA"/>
    <w:rsid w:val="003B7AE3"/>
    <w:rsid w:val="003C0C84"/>
    <w:rsid w:val="003C0D66"/>
    <w:rsid w:val="003C1149"/>
    <w:rsid w:val="003C1177"/>
    <w:rsid w:val="003C124A"/>
    <w:rsid w:val="003C1B3D"/>
    <w:rsid w:val="003C495A"/>
    <w:rsid w:val="003C5454"/>
    <w:rsid w:val="003C5547"/>
    <w:rsid w:val="003C5A8E"/>
    <w:rsid w:val="003C5B7A"/>
    <w:rsid w:val="003D02A5"/>
    <w:rsid w:val="003D050A"/>
    <w:rsid w:val="003D300B"/>
    <w:rsid w:val="003D3096"/>
    <w:rsid w:val="003D51EF"/>
    <w:rsid w:val="003D52D2"/>
    <w:rsid w:val="003D5373"/>
    <w:rsid w:val="003D5C90"/>
    <w:rsid w:val="003D5D73"/>
    <w:rsid w:val="003D6929"/>
    <w:rsid w:val="003D6EC7"/>
    <w:rsid w:val="003E1B02"/>
    <w:rsid w:val="003E4032"/>
    <w:rsid w:val="003E71CB"/>
    <w:rsid w:val="003F110C"/>
    <w:rsid w:val="003F2397"/>
    <w:rsid w:val="003F3222"/>
    <w:rsid w:val="003F36AA"/>
    <w:rsid w:val="003F5563"/>
    <w:rsid w:val="003F5822"/>
    <w:rsid w:val="003F67B0"/>
    <w:rsid w:val="003F6FB8"/>
    <w:rsid w:val="003F76F5"/>
    <w:rsid w:val="003F7949"/>
    <w:rsid w:val="00402AA7"/>
    <w:rsid w:val="00402BBE"/>
    <w:rsid w:val="004050B8"/>
    <w:rsid w:val="00406016"/>
    <w:rsid w:val="00406ACC"/>
    <w:rsid w:val="0040769E"/>
    <w:rsid w:val="00413D9D"/>
    <w:rsid w:val="0041666C"/>
    <w:rsid w:val="00420681"/>
    <w:rsid w:val="00422CFD"/>
    <w:rsid w:val="00423D20"/>
    <w:rsid w:val="00424212"/>
    <w:rsid w:val="0042446F"/>
    <w:rsid w:val="004245B1"/>
    <w:rsid w:val="004301B4"/>
    <w:rsid w:val="00430795"/>
    <w:rsid w:val="00431383"/>
    <w:rsid w:val="004313CA"/>
    <w:rsid w:val="0043191F"/>
    <w:rsid w:val="00435E98"/>
    <w:rsid w:val="0043632A"/>
    <w:rsid w:val="004403AA"/>
    <w:rsid w:val="004406B3"/>
    <w:rsid w:val="0044424E"/>
    <w:rsid w:val="0044525C"/>
    <w:rsid w:val="0044679B"/>
    <w:rsid w:val="004554FF"/>
    <w:rsid w:val="00456E3F"/>
    <w:rsid w:val="00460983"/>
    <w:rsid w:val="004623D7"/>
    <w:rsid w:val="00462655"/>
    <w:rsid w:val="0046365B"/>
    <w:rsid w:val="00464417"/>
    <w:rsid w:val="0046466E"/>
    <w:rsid w:val="0046670C"/>
    <w:rsid w:val="00466D76"/>
    <w:rsid w:val="00466D79"/>
    <w:rsid w:val="0046738B"/>
    <w:rsid w:val="00467B12"/>
    <w:rsid w:val="00472FDE"/>
    <w:rsid w:val="00473D90"/>
    <w:rsid w:val="00474CD5"/>
    <w:rsid w:val="00475369"/>
    <w:rsid w:val="004766D9"/>
    <w:rsid w:val="00480B43"/>
    <w:rsid w:val="00481F10"/>
    <w:rsid w:val="0048359A"/>
    <w:rsid w:val="00483BE7"/>
    <w:rsid w:val="00485236"/>
    <w:rsid w:val="004859EB"/>
    <w:rsid w:val="00486D01"/>
    <w:rsid w:val="00487029"/>
    <w:rsid w:val="004902CC"/>
    <w:rsid w:val="00491A27"/>
    <w:rsid w:val="004933CE"/>
    <w:rsid w:val="00494F27"/>
    <w:rsid w:val="0049531A"/>
    <w:rsid w:val="00495D97"/>
    <w:rsid w:val="00497E5D"/>
    <w:rsid w:val="004A09D5"/>
    <w:rsid w:val="004A623D"/>
    <w:rsid w:val="004A6CA3"/>
    <w:rsid w:val="004A717F"/>
    <w:rsid w:val="004A7182"/>
    <w:rsid w:val="004B0534"/>
    <w:rsid w:val="004B0FBF"/>
    <w:rsid w:val="004B2E22"/>
    <w:rsid w:val="004B494C"/>
    <w:rsid w:val="004B53C7"/>
    <w:rsid w:val="004B6634"/>
    <w:rsid w:val="004B78AB"/>
    <w:rsid w:val="004B7FBD"/>
    <w:rsid w:val="004C277B"/>
    <w:rsid w:val="004C3922"/>
    <w:rsid w:val="004C4397"/>
    <w:rsid w:val="004C4F8D"/>
    <w:rsid w:val="004C6D30"/>
    <w:rsid w:val="004D01F1"/>
    <w:rsid w:val="004D1C5D"/>
    <w:rsid w:val="004D3F3C"/>
    <w:rsid w:val="004D433E"/>
    <w:rsid w:val="004D489C"/>
    <w:rsid w:val="004D6D06"/>
    <w:rsid w:val="004E0E89"/>
    <w:rsid w:val="004E105A"/>
    <w:rsid w:val="004E1528"/>
    <w:rsid w:val="004E19A4"/>
    <w:rsid w:val="004E1C50"/>
    <w:rsid w:val="004E20BC"/>
    <w:rsid w:val="004E274B"/>
    <w:rsid w:val="004E2BCD"/>
    <w:rsid w:val="004E5E18"/>
    <w:rsid w:val="004E6241"/>
    <w:rsid w:val="004E70F4"/>
    <w:rsid w:val="004F016C"/>
    <w:rsid w:val="004F1D1E"/>
    <w:rsid w:val="004F2151"/>
    <w:rsid w:val="004F40AA"/>
    <w:rsid w:val="004F4E51"/>
    <w:rsid w:val="004F53E5"/>
    <w:rsid w:val="004F5637"/>
    <w:rsid w:val="004F6A4A"/>
    <w:rsid w:val="004F73EA"/>
    <w:rsid w:val="00500360"/>
    <w:rsid w:val="005018DF"/>
    <w:rsid w:val="00502A4F"/>
    <w:rsid w:val="00502BA4"/>
    <w:rsid w:val="005037CD"/>
    <w:rsid w:val="00506324"/>
    <w:rsid w:val="00507CA4"/>
    <w:rsid w:val="00510F19"/>
    <w:rsid w:val="00512290"/>
    <w:rsid w:val="00512DFB"/>
    <w:rsid w:val="005141FF"/>
    <w:rsid w:val="0051509D"/>
    <w:rsid w:val="005158D1"/>
    <w:rsid w:val="00515992"/>
    <w:rsid w:val="00517176"/>
    <w:rsid w:val="00521F2C"/>
    <w:rsid w:val="005222F8"/>
    <w:rsid w:val="005245EB"/>
    <w:rsid w:val="00524D67"/>
    <w:rsid w:val="0052607D"/>
    <w:rsid w:val="0052691B"/>
    <w:rsid w:val="00526AC7"/>
    <w:rsid w:val="00526EA3"/>
    <w:rsid w:val="005276D3"/>
    <w:rsid w:val="00527FBC"/>
    <w:rsid w:val="0053136C"/>
    <w:rsid w:val="00531784"/>
    <w:rsid w:val="00533C76"/>
    <w:rsid w:val="005346E7"/>
    <w:rsid w:val="0053594D"/>
    <w:rsid w:val="00537882"/>
    <w:rsid w:val="00537E3C"/>
    <w:rsid w:val="005432E9"/>
    <w:rsid w:val="00543E8F"/>
    <w:rsid w:val="00544223"/>
    <w:rsid w:val="0054612C"/>
    <w:rsid w:val="00546BE5"/>
    <w:rsid w:val="0054772E"/>
    <w:rsid w:val="005511B3"/>
    <w:rsid w:val="0055130C"/>
    <w:rsid w:val="00552434"/>
    <w:rsid w:val="005556B2"/>
    <w:rsid w:val="005560FC"/>
    <w:rsid w:val="005603B2"/>
    <w:rsid w:val="00561290"/>
    <w:rsid w:val="00561BF3"/>
    <w:rsid w:val="00561E48"/>
    <w:rsid w:val="00562EA4"/>
    <w:rsid w:val="00563ED2"/>
    <w:rsid w:val="00564BD8"/>
    <w:rsid w:val="00564C74"/>
    <w:rsid w:val="0056648B"/>
    <w:rsid w:val="0057143D"/>
    <w:rsid w:val="00574E10"/>
    <w:rsid w:val="00577BCC"/>
    <w:rsid w:val="00581544"/>
    <w:rsid w:val="005839FC"/>
    <w:rsid w:val="00584037"/>
    <w:rsid w:val="0058449D"/>
    <w:rsid w:val="005850D8"/>
    <w:rsid w:val="005850F7"/>
    <w:rsid w:val="00586FEC"/>
    <w:rsid w:val="00590235"/>
    <w:rsid w:val="00591C90"/>
    <w:rsid w:val="005929C3"/>
    <w:rsid w:val="00595233"/>
    <w:rsid w:val="0059576F"/>
    <w:rsid w:val="005A0638"/>
    <w:rsid w:val="005A0A75"/>
    <w:rsid w:val="005A1946"/>
    <w:rsid w:val="005A30F3"/>
    <w:rsid w:val="005A3F11"/>
    <w:rsid w:val="005A619C"/>
    <w:rsid w:val="005B00FD"/>
    <w:rsid w:val="005B219E"/>
    <w:rsid w:val="005B2392"/>
    <w:rsid w:val="005B23EC"/>
    <w:rsid w:val="005B241D"/>
    <w:rsid w:val="005B3014"/>
    <w:rsid w:val="005B3936"/>
    <w:rsid w:val="005B6415"/>
    <w:rsid w:val="005B73E8"/>
    <w:rsid w:val="005B7D14"/>
    <w:rsid w:val="005C061C"/>
    <w:rsid w:val="005C0973"/>
    <w:rsid w:val="005C135F"/>
    <w:rsid w:val="005C162F"/>
    <w:rsid w:val="005C1EEB"/>
    <w:rsid w:val="005C2155"/>
    <w:rsid w:val="005C3077"/>
    <w:rsid w:val="005C397E"/>
    <w:rsid w:val="005C39E4"/>
    <w:rsid w:val="005C4B6A"/>
    <w:rsid w:val="005C51D6"/>
    <w:rsid w:val="005C5723"/>
    <w:rsid w:val="005C6487"/>
    <w:rsid w:val="005C6F70"/>
    <w:rsid w:val="005C7676"/>
    <w:rsid w:val="005D070F"/>
    <w:rsid w:val="005D191A"/>
    <w:rsid w:val="005D2600"/>
    <w:rsid w:val="005D26F6"/>
    <w:rsid w:val="005D37B5"/>
    <w:rsid w:val="005D44C7"/>
    <w:rsid w:val="005D452F"/>
    <w:rsid w:val="005D5713"/>
    <w:rsid w:val="005D60A9"/>
    <w:rsid w:val="005D7397"/>
    <w:rsid w:val="005D7F5C"/>
    <w:rsid w:val="005E028A"/>
    <w:rsid w:val="005E0C2D"/>
    <w:rsid w:val="005E2B21"/>
    <w:rsid w:val="005E33A3"/>
    <w:rsid w:val="005E68BD"/>
    <w:rsid w:val="005E69A2"/>
    <w:rsid w:val="005E7451"/>
    <w:rsid w:val="005E7581"/>
    <w:rsid w:val="005E7E9B"/>
    <w:rsid w:val="005F0C72"/>
    <w:rsid w:val="005F1F25"/>
    <w:rsid w:val="005F21C2"/>
    <w:rsid w:val="005F2A80"/>
    <w:rsid w:val="005F2A8D"/>
    <w:rsid w:val="005F5D44"/>
    <w:rsid w:val="005F62E1"/>
    <w:rsid w:val="005F7E42"/>
    <w:rsid w:val="00600C74"/>
    <w:rsid w:val="0060204F"/>
    <w:rsid w:val="00602AC3"/>
    <w:rsid w:val="00603B50"/>
    <w:rsid w:val="00607B45"/>
    <w:rsid w:val="0061171B"/>
    <w:rsid w:val="00613450"/>
    <w:rsid w:val="00613D62"/>
    <w:rsid w:val="00614D1E"/>
    <w:rsid w:val="006163F0"/>
    <w:rsid w:val="00617337"/>
    <w:rsid w:val="00617903"/>
    <w:rsid w:val="00620541"/>
    <w:rsid w:val="006208D6"/>
    <w:rsid w:val="0062176E"/>
    <w:rsid w:val="00624E8B"/>
    <w:rsid w:val="00625B92"/>
    <w:rsid w:val="00625F1D"/>
    <w:rsid w:val="00626B5B"/>
    <w:rsid w:val="006302DE"/>
    <w:rsid w:val="00633852"/>
    <w:rsid w:val="00635BC3"/>
    <w:rsid w:val="00635F49"/>
    <w:rsid w:val="0063639D"/>
    <w:rsid w:val="0063648E"/>
    <w:rsid w:val="00636ECF"/>
    <w:rsid w:val="00637012"/>
    <w:rsid w:val="006373A6"/>
    <w:rsid w:val="00643035"/>
    <w:rsid w:val="006454CA"/>
    <w:rsid w:val="006466FA"/>
    <w:rsid w:val="00646CAB"/>
    <w:rsid w:val="0065070E"/>
    <w:rsid w:val="00651DAE"/>
    <w:rsid w:val="006524CF"/>
    <w:rsid w:val="00653E43"/>
    <w:rsid w:val="00657C75"/>
    <w:rsid w:val="00660663"/>
    <w:rsid w:val="00660F0F"/>
    <w:rsid w:val="00662D59"/>
    <w:rsid w:val="00664288"/>
    <w:rsid w:val="00665AEC"/>
    <w:rsid w:val="00666EE4"/>
    <w:rsid w:val="00673307"/>
    <w:rsid w:val="006747BD"/>
    <w:rsid w:val="00674926"/>
    <w:rsid w:val="0067494F"/>
    <w:rsid w:val="00675409"/>
    <w:rsid w:val="00676FD8"/>
    <w:rsid w:val="00677D9B"/>
    <w:rsid w:val="00680FF1"/>
    <w:rsid w:val="00682882"/>
    <w:rsid w:val="0068299C"/>
    <w:rsid w:val="00683AFF"/>
    <w:rsid w:val="0068680C"/>
    <w:rsid w:val="006869F8"/>
    <w:rsid w:val="00687ADB"/>
    <w:rsid w:val="00690952"/>
    <w:rsid w:val="006913F6"/>
    <w:rsid w:val="00694683"/>
    <w:rsid w:val="00694A9C"/>
    <w:rsid w:val="00697891"/>
    <w:rsid w:val="006A0490"/>
    <w:rsid w:val="006A05D2"/>
    <w:rsid w:val="006A2EBA"/>
    <w:rsid w:val="006A5AA7"/>
    <w:rsid w:val="006A6505"/>
    <w:rsid w:val="006A77D7"/>
    <w:rsid w:val="006B00BF"/>
    <w:rsid w:val="006B057C"/>
    <w:rsid w:val="006B1D78"/>
    <w:rsid w:val="006B28FC"/>
    <w:rsid w:val="006B2906"/>
    <w:rsid w:val="006B524F"/>
    <w:rsid w:val="006C1060"/>
    <w:rsid w:val="006C400C"/>
    <w:rsid w:val="006C468E"/>
    <w:rsid w:val="006C4B32"/>
    <w:rsid w:val="006C5910"/>
    <w:rsid w:val="006D0144"/>
    <w:rsid w:val="006D04E6"/>
    <w:rsid w:val="006D06F3"/>
    <w:rsid w:val="006D0AE9"/>
    <w:rsid w:val="006D0C0B"/>
    <w:rsid w:val="006D2D30"/>
    <w:rsid w:val="006D6C1E"/>
    <w:rsid w:val="006E24D9"/>
    <w:rsid w:val="006E3C18"/>
    <w:rsid w:val="006E4DAB"/>
    <w:rsid w:val="006E5146"/>
    <w:rsid w:val="006E59E8"/>
    <w:rsid w:val="006E7517"/>
    <w:rsid w:val="006F00A3"/>
    <w:rsid w:val="006F0C46"/>
    <w:rsid w:val="006F4A00"/>
    <w:rsid w:val="006F5E23"/>
    <w:rsid w:val="006F65BF"/>
    <w:rsid w:val="006F749A"/>
    <w:rsid w:val="006F7A4B"/>
    <w:rsid w:val="00700914"/>
    <w:rsid w:val="00702F51"/>
    <w:rsid w:val="00703AB2"/>
    <w:rsid w:val="0070412E"/>
    <w:rsid w:val="00705F1C"/>
    <w:rsid w:val="007069EA"/>
    <w:rsid w:val="00707D48"/>
    <w:rsid w:val="007105DA"/>
    <w:rsid w:val="00710BBD"/>
    <w:rsid w:val="00710F76"/>
    <w:rsid w:val="007130AA"/>
    <w:rsid w:val="0071371C"/>
    <w:rsid w:val="00713742"/>
    <w:rsid w:val="00713749"/>
    <w:rsid w:val="00713864"/>
    <w:rsid w:val="0071426D"/>
    <w:rsid w:val="00714749"/>
    <w:rsid w:val="00716CAB"/>
    <w:rsid w:val="00721B9E"/>
    <w:rsid w:val="00722098"/>
    <w:rsid w:val="007223F3"/>
    <w:rsid w:val="007226B0"/>
    <w:rsid w:val="007230F4"/>
    <w:rsid w:val="00724F0B"/>
    <w:rsid w:val="00726DB1"/>
    <w:rsid w:val="007276AC"/>
    <w:rsid w:val="00730D1E"/>
    <w:rsid w:val="00732150"/>
    <w:rsid w:val="00735473"/>
    <w:rsid w:val="007416BF"/>
    <w:rsid w:val="00742DDA"/>
    <w:rsid w:val="007437FB"/>
    <w:rsid w:val="00744188"/>
    <w:rsid w:val="007451ED"/>
    <w:rsid w:val="00745951"/>
    <w:rsid w:val="00746570"/>
    <w:rsid w:val="00747162"/>
    <w:rsid w:val="0074726C"/>
    <w:rsid w:val="00747A22"/>
    <w:rsid w:val="00747A40"/>
    <w:rsid w:val="007515D3"/>
    <w:rsid w:val="007543AC"/>
    <w:rsid w:val="00754DC8"/>
    <w:rsid w:val="007562BC"/>
    <w:rsid w:val="00756FFD"/>
    <w:rsid w:val="007570C5"/>
    <w:rsid w:val="007628E5"/>
    <w:rsid w:val="00764044"/>
    <w:rsid w:val="00764BCC"/>
    <w:rsid w:val="00765D1C"/>
    <w:rsid w:val="00765D50"/>
    <w:rsid w:val="007664A0"/>
    <w:rsid w:val="00767F33"/>
    <w:rsid w:val="00770C1D"/>
    <w:rsid w:val="00773208"/>
    <w:rsid w:val="00776C54"/>
    <w:rsid w:val="00777923"/>
    <w:rsid w:val="00780054"/>
    <w:rsid w:val="0078138C"/>
    <w:rsid w:val="00782138"/>
    <w:rsid w:val="0078349E"/>
    <w:rsid w:val="00784836"/>
    <w:rsid w:val="00785DE0"/>
    <w:rsid w:val="00793CB2"/>
    <w:rsid w:val="0079555D"/>
    <w:rsid w:val="00795CC9"/>
    <w:rsid w:val="00796789"/>
    <w:rsid w:val="007A11A8"/>
    <w:rsid w:val="007A2E76"/>
    <w:rsid w:val="007A3508"/>
    <w:rsid w:val="007A36B1"/>
    <w:rsid w:val="007A3973"/>
    <w:rsid w:val="007A48F8"/>
    <w:rsid w:val="007A513B"/>
    <w:rsid w:val="007A5B8C"/>
    <w:rsid w:val="007A6FD5"/>
    <w:rsid w:val="007B0CF0"/>
    <w:rsid w:val="007B37DB"/>
    <w:rsid w:val="007B42A1"/>
    <w:rsid w:val="007B4BA9"/>
    <w:rsid w:val="007B58C6"/>
    <w:rsid w:val="007B6677"/>
    <w:rsid w:val="007B67D6"/>
    <w:rsid w:val="007B7369"/>
    <w:rsid w:val="007C1399"/>
    <w:rsid w:val="007C1985"/>
    <w:rsid w:val="007C1A3E"/>
    <w:rsid w:val="007C469D"/>
    <w:rsid w:val="007C549C"/>
    <w:rsid w:val="007C58FF"/>
    <w:rsid w:val="007C5C72"/>
    <w:rsid w:val="007C717D"/>
    <w:rsid w:val="007C7D49"/>
    <w:rsid w:val="007D0431"/>
    <w:rsid w:val="007D145A"/>
    <w:rsid w:val="007D182B"/>
    <w:rsid w:val="007D3095"/>
    <w:rsid w:val="007D4032"/>
    <w:rsid w:val="007D6E9B"/>
    <w:rsid w:val="007E2815"/>
    <w:rsid w:val="007E2EF6"/>
    <w:rsid w:val="007E3D9B"/>
    <w:rsid w:val="007E3DCF"/>
    <w:rsid w:val="007E3E78"/>
    <w:rsid w:val="007E573B"/>
    <w:rsid w:val="007E7E44"/>
    <w:rsid w:val="007F4BD1"/>
    <w:rsid w:val="007F6D3F"/>
    <w:rsid w:val="00802EFD"/>
    <w:rsid w:val="00803EBB"/>
    <w:rsid w:val="008047AA"/>
    <w:rsid w:val="008047F0"/>
    <w:rsid w:val="00812423"/>
    <w:rsid w:val="0081262E"/>
    <w:rsid w:val="008135D9"/>
    <w:rsid w:val="0081366B"/>
    <w:rsid w:val="00814010"/>
    <w:rsid w:val="008152EF"/>
    <w:rsid w:val="00815AFA"/>
    <w:rsid w:val="00816500"/>
    <w:rsid w:val="00816CD9"/>
    <w:rsid w:val="00820ADF"/>
    <w:rsid w:val="008214E6"/>
    <w:rsid w:val="008234B1"/>
    <w:rsid w:val="0082716D"/>
    <w:rsid w:val="008274A3"/>
    <w:rsid w:val="00834E99"/>
    <w:rsid w:val="00836736"/>
    <w:rsid w:val="008372ED"/>
    <w:rsid w:val="00841806"/>
    <w:rsid w:val="0084291F"/>
    <w:rsid w:val="0084300B"/>
    <w:rsid w:val="00846CEC"/>
    <w:rsid w:val="00846F2D"/>
    <w:rsid w:val="00847424"/>
    <w:rsid w:val="00852403"/>
    <w:rsid w:val="00853386"/>
    <w:rsid w:val="00856CE1"/>
    <w:rsid w:val="00857463"/>
    <w:rsid w:val="0085758F"/>
    <w:rsid w:val="00860B04"/>
    <w:rsid w:val="00861260"/>
    <w:rsid w:val="00861560"/>
    <w:rsid w:val="0086194E"/>
    <w:rsid w:val="00861EFC"/>
    <w:rsid w:val="00862424"/>
    <w:rsid w:val="008640A7"/>
    <w:rsid w:val="00866C95"/>
    <w:rsid w:val="00867269"/>
    <w:rsid w:val="00867975"/>
    <w:rsid w:val="00870627"/>
    <w:rsid w:val="008728A2"/>
    <w:rsid w:val="0087392D"/>
    <w:rsid w:val="0087426D"/>
    <w:rsid w:val="00874ABB"/>
    <w:rsid w:val="00875745"/>
    <w:rsid w:val="00876306"/>
    <w:rsid w:val="00877254"/>
    <w:rsid w:val="00877D04"/>
    <w:rsid w:val="00881921"/>
    <w:rsid w:val="00881E58"/>
    <w:rsid w:val="008823F2"/>
    <w:rsid w:val="00883ABE"/>
    <w:rsid w:val="00883EDA"/>
    <w:rsid w:val="0088469F"/>
    <w:rsid w:val="0088606A"/>
    <w:rsid w:val="00887D61"/>
    <w:rsid w:val="00887FD0"/>
    <w:rsid w:val="008907BA"/>
    <w:rsid w:val="00890C73"/>
    <w:rsid w:val="008911F3"/>
    <w:rsid w:val="0089278D"/>
    <w:rsid w:val="0089436B"/>
    <w:rsid w:val="00894959"/>
    <w:rsid w:val="0089495D"/>
    <w:rsid w:val="00894EB9"/>
    <w:rsid w:val="00895839"/>
    <w:rsid w:val="00895DF4"/>
    <w:rsid w:val="00896AFA"/>
    <w:rsid w:val="00896F5D"/>
    <w:rsid w:val="008973CD"/>
    <w:rsid w:val="00897C8F"/>
    <w:rsid w:val="008A1C1A"/>
    <w:rsid w:val="008A1E8C"/>
    <w:rsid w:val="008A243D"/>
    <w:rsid w:val="008A2AFF"/>
    <w:rsid w:val="008A2CB1"/>
    <w:rsid w:val="008A37E0"/>
    <w:rsid w:val="008A38C2"/>
    <w:rsid w:val="008A4A98"/>
    <w:rsid w:val="008A6F1D"/>
    <w:rsid w:val="008A746C"/>
    <w:rsid w:val="008B0B36"/>
    <w:rsid w:val="008B27C4"/>
    <w:rsid w:val="008B5FE6"/>
    <w:rsid w:val="008C04ED"/>
    <w:rsid w:val="008C0AD5"/>
    <w:rsid w:val="008C0C21"/>
    <w:rsid w:val="008C12DF"/>
    <w:rsid w:val="008C2364"/>
    <w:rsid w:val="008C2589"/>
    <w:rsid w:val="008C2B7C"/>
    <w:rsid w:val="008C3F9A"/>
    <w:rsid w:val="008C4205"/>
    <w:rsid w:val="008C58EA"/>
    <w:rsid w:val="008C6813"/>
    <w:rsid w:val="008C6FDA"/>
    <w:rsid w:val="008D0D9C"/>
    <w:rsid w:val="008D123A"/>
    <w:rsid w:val="008D14BC"/>
    <w:rsid w:val="008D2897"/>
    <w:rsid w:val="008D561A"/>
    <w:rsid w:val="008D5A30"/>
    <w:rsid w:val="008D5EEA"/>
    <w:rsid w:val="008D6541"/>
    <w:rsid w:val="008D6F4B"/>
    <w:rsid w:val="008E0D14"/>
    <w:rsid w:val="008E0E3D"/>
    <w:rsid w:val="008E1A89"/>
    <w:rsid w:val="008E3874"/>
    <w:rsid w:val="008F1347"/>
    <w:rsid w:val="008F19D1"/>
    <w:rsid w:val="008F20BF"/>
    <w:rsid w:val="008F217E"/>
    <w:rsid w:val="008F5482"/>
    <w:rsid w:val="008F6CE3"/>
    <w:rsid w:val="008F7000"/>
    <w:rsid w:val="008F780D"/>
    <w:rsid w:val="008F7C17"/>
    <w:rsid w:val="00900065"/>
    <w:rsid w:val="0090166D"/>
    <w:rsid w:val="00901CF1"/>
    <w:rsid w:val="00904DE9"/>
    <w:rsid w:val="0090537E"/>
    <w:rsid w:val="009071AD"/>
    <w:rsid w:val="00910348"/>
    <w:rsid w:val="00911DF7"/>
    <w:rsid w:val="00912745"/>
    <w:rsid w:val="009134C8"/>
    <w:rsid w:val="009165F7"/>
    <w:rsid w:val="00917149"/>
    <w:rsid w:val="00917440"/>
    <w:rsid w:val="0092140E"/>
    <w:rsid w:val="00921EAA"/>
    <w:rsid w:val="009221D7"/>
    <w:rsid w:val="00923DD7"/>
    <w:rsid w:val="00925038"/>
    <w:rsid w:val="0092607E"/>
    <w:rsid w:val="0092698D"/>
    <w:rsid w:val="00930B2D"/>
    <w:rsid w:val="00930C54"/>
    <w:rsid w:val="009341F0"/>
    <w:rsid w:val="00934E33"/>
    <w:rsid w:val="00935B91"/>
    <w:rsid w:val="00936704"/>
    <w:rsid w:val="009368E7"/>
    <w:rsid w:val="00936905"/>
    <w:rsid w:val="009376D2"/>
    <w:rsid w:val="00940980"/>
    <w:rsid w:val="0094455F"/>
    <w:rsid w:val="0094669F"/>
    <w:rsid w:val="00946F47"/>
    <w:rsid w:val="0094721B"/>
    <w:rsid w:val="009474BA"/>
    <w:rsid w:val="00950789"/>
    <w:rsid w:val="00950FB0"/>
    <w:rsid w:val="0095473F"/>
    <w:rsid w:val="00954942"/>
    <w:rsid w:val="009561BC"/>
    <w:rsid w:val="0095648E"/>
    <w:rsid w:val="00956A10"/>
    <w:rsid w:val="009579DF"/>
    <w:rsid w:val="009603FF"/>
    <w:rsid w:val="00960F2E"/>
    <w:rsid w:val="00961881"/>
    <w:rsid w:val="009618ED"/>
    <w:rsid w:val="0096397B"/>
    <w:rsid w:val="009645FF"/>
    <w:rsid w:val="00967A31"/>
    <w:rsid w:val="00967CF5"/>
    <w:rsid w:val="00971BE3"/>
    <w:rsid w:val="00971D86"/>
    <w:rsid w:val="00972D4D"/>
    <w:rsid w:val="00972FA9"/>
    <w:rsid w:val="009739C3"/>
    <w:rsid w:val="00973DE6"/>
    <w:rsid w:val="00974166"/>
    <w:rsid w:val="009748E2"/>
    <w:rsid w:val="00974C27"/>
    <w:rsid w:val="00981F3E"/>
    <w:rsid w:val="009836FE"/>
    <w:rsid w:val="0098417B"/>
    <w:rsid w:val="0098470E"/>
    <w:rsid w:val="00984CD0"/>
    <w:rsid w:val="00986284"/>
    <w:rsid w:val="00986502"/>
    <w:rsid w:val="00987C6B"/>
    <w:rsid w:val="00987C70"/>
    <w:rsid w:val="009916C7"/>
    <w:rsid w:val="00993701"/>
    <w:rsid w:val="009946B2"/>
    <w:rsid w:val="009948C2"/>
    <w:rsid w:val="00995AAC"/>
    <w:rsid w:val="009A05DD"/>
    <w:rsid w:val="009A23AB"/>
    <w:rsid w:val="009A3A44"/>
    <w:rsid w:val="009A4117"/>
    <w:rsid w:val="009A6A91"/>
    <w:rsid w:val="009A7F43"/>
    <w:rsid w:val="009B175E"/>
    <w:rsid w:val="009B2E31"/>
    <w:rsid w:val="009B3C64"/>
    <w:rsid w:val="009B3F1C"/>
    <w:rsid w:val="009B3F26"/>
    <w:rsid w:val="009B6B8B"/>
    <w:rsid w:val="009B6EF6"/>
    <w:rsid w:val="009C028B"/>
    <w:rsid w:val="009C1468"/>
    <w:rsid w:val="009C1C71"/>
    <w:rsid w:val="009C4FC3"/>
    <w:rsid w:val="009C51AD"/>
    <w:rsid w:val="009C6B49"/>
    <w:rsid w:val="009C71DC"/>
    <w:rsid w:val="009D0848"/>
    <w:rsid w:val="009D246D"/>
    <w:rsid w:val="009D4668"/>
    <w:rsid w:val="009D7EA2"/>
    <w:rsid w:val="009E1181"/>
    <w:rsid w:val="009E1AA7"/>
    <w:rsid w:val="009E3234"/>
    <w:rsid w:val="009E62F3"/>
    <w:rsid w:val="009E7115"/>
    <w:rsid w:val="009E722C"/>
    <w:rsid w:val="009E7619"/>
    <w:rsid w:val="009E7FC2"/>
    <w:rsid w:val="009F0A9A"/>
    <w:rsid w:val="009F5AD2"/>
    <w:rsid w:val="009F5EDB"/>
    <w:rsid w:val="009F7089"/>
    <w:rsid w:val="009F7259"/>
    <w:rsid w:val="00A00D13"/>
    <w:rsid w:val="00A0251F"/>
    <w:rsid w:val="00A0405F"/>
    <w:rsid w:val="00A047DA"/>
    <w:rsid w:val="00A05520"/>
    <w:rsid w:val="00A0614F"/>
    <w:rsid w:val="00A07E79"/>
    <w:rsid w:val="00A110E3"/>
    <w:rsid w:val="00A12861"/>
    <w:rsid w:val="00A1479E"/>
    <w:rsid w:val="00A15198"/>
    <w:rsid w:val="00A154E9"/>
    <w:rsid w:val="00A15FF1"/>
    <w:rsid w:val="00A16042"/>
    <w:rsid w:val="00A26CA0"/>
    <w:rsid w:val="00A2751B"/>
    <w:rsid w:val="00A27651"/>
    <w:rsid w:val="00A27829"/>
    <w:rsid w:val="00A318E5"/>
    <w:rsid w:val="00A33FD1"/>
    <w:rsid w:val="00A3511B"/>
    <w:rsid w:val="00A35DFA"/>
    <w:rsid w:val="00A372ED"/>
    <w:rsid w:val="00A410F5"/>
    <w:rsid w:val="00A4120F"/>
    <w:rsid w:val="00A438C5"/>
    <w:rsid w:val="00A44335"/>
    <w:rsid w:val="00A44D37"/>
    <w:rsid w:val="00A44DE4"/>
    <w:rsid w:val="00A46B83"/>
    <w:rsid w:val="00A46DD6"/>
    <w:rsid w:val="00A47205"/>
    <w:rsid w:val="00A472DE"/>
    <w:rsid w:val="00A477C5"/>
    <w:rsid w:val="00A47CAB"/>
    <w:rsid w:val="00A51500"/>
    <w:rsid w:val="00A520F5"/>
    <w:rsid w:val="00A52939"/>
    <w:rsid w:val="00A53E5C"/>
    <w:rsid w:val="00A53FAD"/>
    <w:rsid w:val="00A55443"/>
    <w:rsid w:val="00A55FC1"/>
    <w:rsid w:val="00A60E2A"/>
    <w:rsid w:val="00A61ED7"/>
    <w:rsid w:val="00A62B1C"/>
    <w:rsid w:val="00A62C21"/>
    <w:rsid w:val="00A6394B"/>
    <w:rsid w:val="00A660A0"/>
    <w:rsid w:val="00A666B2"/>
    <w:rsid w:val="00A67532"/>
    <w:rsid w:val="00A7059B"/>
    <w:rsid w:val="00A71578"/>
    <w:rsid w:val="00A722F1"/>
    <w:rsid w:val="00A727B7"/>
    <w:rsid w:val="00A72883"/>
    <w:rsid w:val="00A731F0"/>
    <w:rsid w:val="00A742A0"/>
    <w:rsid w:val="00A7554A"/>
    <w:rsid w:val="00A75DDB"/>
    <w:rsid w:val="00A77894"/>
    <w:rsid w:val="00A77902"/>
    <w:rsid w:val="00A8033E"/>
    <w:rsid w:val="00A810CD"/>
    <w:rsid w:val="00A8271C"/>
    <w:rsid w:val="00A836D0"/>
    <w:rsid w:val="00A8382B"/>
    <w:rsid w:val="00A83C79"/>
    <w:rsid w:val="00A86C6C"/>
    <w:rsid w:val="00A90B55"/>
    <w:rsid w:val="00A90F2F"/>
    <w:rsid w:val="00A91321"/>
    <w:rsid w:val="00A91AB4"/>
    <w:rsid w:val="00A92AB5"/>
    <w:rsid w:val="00A9344D"/>
    <w:rsid w:val="00A93FD7"/>
    <w:rsid w:val="00A941C7"/>
    <w:rsid w:val="00A97C46"/>
    <w:rsid w:val="00AA1E3C"/>
    <w:rsid w:val="00AA27D9"/>
    <w:rsid w:val="00AA286E"/>
    <w:rsid w:val="00AA34F0"/>
    <w:rsid w:val="00AA3DA6"/>
    <w:rsid w:val="00AA42BE"/>
    <w:rsid w:val="00AA43A9"/>
    <w:rsid w:val="00AA7056"/>
    <w:rsid w:val="00AA7780"/>
    <w:rsid w:val="00AB4403"/>
    <w:rsid w:val="00AB48F4"/>
    <w:rsid w:val="00AB4D59"/>
    <w:rsid w:val="00AB51BE"/>
    <w:rsid w:val="00AB5638"/>
    <w:rsid w:val="00AB5B15"/>
    <w:rsid w:val="00AB6E77"/>
    <w:rsid w:val="00AC0893"/>
    <w:rsid w:val="00AC1588"/>
    <w:rsid w:val="00AC2192"/>
    <w:rsid w:val="00AC2CFC"/>
    <w:rsid w:val="00AC35CA"/>
    <w:rsid w:val="00AC453F"/>
    <w:rsid w:val="00AC491E"/>
    <w:rsid w:val="00AC6309"/>
    <w:rsid w:val="00AC743C"/>
    <w:rsid w:val="00AD4B10"/>
    <w:rsid w:val="00AD65B7"/>
    <w:rsid w:val="00AD67EB"/>
    <w:rsid w:val="00AD77E2"/>
    <w:rsid w:val="00AD7F06"/>
    <w:rsid w:val="00AE10F2"/>
    <w:rsid w:val="00AE1744"/>
    <w:rsid w:val="00AE1A19"/>
    <w:rsid w:val="00AE1B23"/>
    <w:rsid w:val="00AE2362"/>
    <w:rsid w:val="00AE75DE"/>
    <w:rsid w:val="00AF1779"/>
    <w:rsid w:val="00AF43DA"/>
    <w:rsid w:val="00AF4633"/>
    <w:rsid w:val="00AF47A0"/>
    <w:rsid w:val="00AF52B1"/>
    <w:rsid w:val="00AF5DF7"/>
    <w:rsid w:val="00AF6B21"/>
    <w:rsid w:val="00AF7AB7"/>
    <w:rsid w:val="00B0064D"/>
    <w:rsid w:val="00B006F4"/>
    <w:rsid w:val="00B00A3E"/>
    <w:rsid w:val="00B012C1"/>
    <w:rsid w:val="00B017F8"/>
    <w:rsid w:val="00B01E5E"/>
    <w:rsid w:val="00B036A0"/>
    <w:rsid w:val="00B053C7"/>
    <w:rsid w:val="00B06B58"/>
    <w:rsid w:val="00B11BB2"/>
    <w:rsid w:val="00B1272D"/>
    <w:rsid w:val="00B13AFE"/>
    <w:rsid w:val="00B146CC"/>
    <w:rsid w:val="00B15E69"/>
    <w:rsid w:val="00B160B5"/>
    <w:rsid w:val="00B212E2"/>
    <w:rsid w:val="00B22432"/>
    <w:rsid w:val="00B25A1B"/>
    <w:rsid w:val="00B25A45"/>
    <w:rsid w:val="00B25B1B"/>
    <w:rsid w:val="00B30C2E"/>
    <w:rsid w:val="00B30D7C"/>
    <w:rsid w:val="00B311FF"/>
    <w:rsid w:val="00B31628"/>
    <w:rsid w:val="00B3397F"/>
    <w:rsid w:val="00B34251"/>
    <w:rsid w:val="00B34340"/>
    <w:rsid w:val="00B36333"/>
    <w:rsid w:val="00B40AC2"/>
    <w:rsid w:val="00B4119F"/>
    <w:rsid w:val="00B41550"/>
    <w:rsid w:val="00B4241B"/>
    <w:rsid w:val="00B444AA"/>
    <w:rsid w:val="00B446E9"/>
    <w:rsid w:val="00B44D5B"/>
    <w:rsid w:val="00B45186"/>
    <w:rsid w:val="00B45E5B"/>
    <w:rsid w:val="00B461DF"/>
    <w:rsid w:val="00B46233"/>
    <w:rsid w:val="00B46FF7"/>
    <w:rsid w:val="00B505BC"/>
    <w:rsid w:val="00B50EFF"/>
    <w:rsid w:val="00B51AD7"/>
    <w:rsid w:val="00B53D95"/>
    <w:rsid w:val="00B53F11"/>
    <w:rsid w:val="00B546E5"/>
    <w:rsid w:val="00B5694E"/>
    <w:rsid w:val="00B569BB"/>
    <w:rsid w:val="00B573C7"/>
    <w:rsid w:val="00B57A1D"/>
    <w:rsid w:val="00B57ED1"/>
    <w:rsid w:val="00B60489"/>
    <w:rsid w:val="00B627D4"/>
    <w:rsid w:val="00B66639"/>
    <w:rsid w:val="00B67018"/>
    <w:rsid w:val="00B7027E"/>
    <w:rsid w:val="00B70DC4"/>
    <w:rsid w:val="00B71FB4"/>
    <w:rsid w:val="00B7211A"/>
    <w:rsid w:val="00B73E96"/>
    <w:rsid w:val="00B772EA"/>
    <w:rsid w:val="00B77B70"/>
    <w:rsid w:val="00B816C5"/>
    <w:rsid w:val="00B81D7B"/>
    <w:rsid w:val="00B83C65"/>
    <w:rsid w:val="00B843DE"/>
    <w:rsid w:val="00B849EF"/>
    <w:rsid w:val="00B85939"/>
    <w:rsid w:val="00B85A97"/>
    <w:rsid w:val="00B86D4B"/>
    <w:rsid w:val="00B90A04"/>
    <w:rsid w:val="00B90BCE"/>
    <w:rsid w:val="00B914E5"/>
    <w:rsid w:val="00B91B09"/>
    <w:rsid w:val="00B921DB"/>
    <w:rsid w:val="00B923EF"/>
    <w:rsid w:val="00B93241"/>
    <w:rsid w:val="00B93D77"/>
    <w:rsid w:val="00B962EC"/>
    <w:rsid w:val="00B96465"/>
    <w:rsid w:val="00BA0E4E"/>
    <w:rsid w:val="00BA1FED"/>
    <w:rsid w:val="00BA5894"/>
    <w:rsid w:val="00BA5B90"/>
    <w:rsid w:val="00BA7B80"/>
    <w:rsid w:val="00BB02DA"/>
    <w:rsid w:val="00BB1ABB"/>
    <w:rsid w:val="00BB211E"/>
    <w:rsid w:val="00BB26F8"/>
    <w:rsid w:val="00BB4A81"/>
    <w:rsid w:val="00BB5449"/>
    <w:rsid w:val="00BC334F"/>
    <w:rsid w:val="00BC35E1"/>
    <w:rsid w:val="00BC3C84"/>
    <w:rsid w:val="00BC432D"/>
    <w:rsid w:val="00BC4485"/>
    <w:rsid w:val="00BC5B24"/>
    <w:rsid w:val="00BC71FB"/>
    <w:rsid w:val="00BC7F1C"/>
    <w:rsid w:val="00BD150A"/>
    <w:rsid w:val="00BD16F2"/>
    <w:rsid w:val="00BD3006"/>
    <w:rsid w:val="00BD7E38"/>
    <w:rsid w:val="00BE0435"/>
    <w:rsid w:val="00BE0874"/>
    <w:rsid w:val="00BE133A"/>
    <w:rsid w:val="00BE17D7"/>
    <w:rsid w:val="00BE1895"/>
    <w:rsid w:val="00BE1D8C"/>
    <w:rsid w:val="00BE273E"/>
    <w:rsid w:val="00BE401C"/>
    <w:rsid w:val="00BE4161"/>
    <w:rsid w:val="00BE455B"/>
    <w:rsid w:val="00BE51BC"/>
    <w:rsid w:val="00BE5764"/>
    <w:rsid w:val="00BE5FAE"/>
    <w:rsid w:val="00BE6727"/>
    <w:rsid w:val="00BE7E32"/>
    <w:rsid w:val="00BF0557"/>
    <w:rsid w:val="00BF059C"/>
    <w:rsid w:val="00BF246D"/>
    <w:rsid w:val="00BF47F7"/>
    <w:rsid w:val="00BF57FE"/>
    <w:rsid w:val="00BF7A8B"/>
    <w:rsid w:val="00C00DCD"/>
    <w:rsid w:val="00C01D73"/>
    <w:rsid w:val="00C01F74"/>
    <w:rsid w:val="00C021AC"/>
    <w:rsid w:val="00C0351B"/>
    <w:rsid w:val="00C059E8"/>
    <w:rsid w:val="00C05D06"/>
    <w:rsid w:val="00C066B4"/>
    <w:rsid w:val="00C07284"/>
    <w:rsid w:val="00C11FF6"/>
    <w:rsid w:val="00C14366"/>
    <w:rsid w:val="00C14A19"/>
    <w:rsid w:val="00C15D59"/>
    <w:rsid w:val="00C1661A"/>
    <w:rsid w:val="00C1724E"/>
    <w:rsid w:val="00C172A0"/>
    <w:rsid w:val="00C21829"/>
    <w:rsid w:val="00C21854"/>
    <w:rsid w:val="00C23455"/>
    <w:rsid w:val="00C23F8F"/>
    <w:rsid w:val="00C2550E"/>
    <w:rsid w:val="00C25832"/>
    <w:rsid w:val="00C25DF6"/>
    <w:rsid w:val="00C26012"/>
    <w:rsid w:val="00C278B5"/>
    <w:rsid w:val="00C27CDD"/>
    <w:rsid w:val="00C30911"/>
    <w:rsid w:val="00C315F6"/>
    <w:rsid w:val="00C324C6"/>
    <w:rsid w:val="00C32813"/>
    <w:rsid w:val="00C352EB"/>
    <w:rsid w:val="00C3694D"/>
    <w:rsid w:val="00C41C15"/>
    <w:rsid w:val="00C42CED"/>
    <w:rsid w:val="00C4448B"/>
    <w:rsid w:val="00C44846"/>
    <w:rsid w:val="00C461DB"/>
    <w:rsid w:val="00C476C3"/>
    <w:rsid w:val="00C50592"/>
    <w:rsid w:val="00C5167A"/>
    <w:rsid w:val="00C53FDC"/>
    <w:rsid w:val="00C5490A"/>
    <w:rsid w:val="00C556E5"/>
    <w:rsid w:val="00C55AE0"/>
    <w:rsid w:val="00C613B4"/>
    <w:rsid w:val="00C63971"/>
    <w:rsid w:val="00C63A4C"/>
    <w:rsid w:val="00C64191"/>
    <w:rsid w:val="00C64478"/>
    <w:rsid w:val="00C65DAB"/>
    <w:rsid w:val="00C675F9"/>
    <w:rsid w:val="00C72422"/>
    <w:rsid w:val="00C73FAD"/>
    <w:rsid w:val="00C74637"/>
    <w:rsid w:val="00C76DE5"/>
    <w:rsid w:val="00C77E94"/>
    <w:rsid w:val="00C807C3"/>
    <w:rsid w:val="00C80F12"/>
    <w:rsid w:val="00C81F90"/>
    <w:rsid w:val="00C8288C"/>
    <w:rsid w:val="00C8344F"/>
    <w:rsid w:val="00C837DC"/>
    <w:rsid w:val="00C841C4"/>
    <w:rsid w:val="00C84592"/>
    <w:rsid w:val="00C851D7"/>
    <w:rsid w:val="00C852AD"/>
    <w:rsid w:val="00C85B8D"/>
    <w:rsid w:val="00C8648C"/>
    <w:rsid w:val="00C86E1C"/>
    <w:rsid w:val="00C87335"/>
    <w:rsid w:val="00C87A16"/>
    <w:rsid w:val="00C87DBB"/>
    <w:rsid w:val="00C907B8"/>
    <w:rsid w:val="00C918CA"/>
    <w:rsid w:val="00C92303"/>
    <w:rsid w:val="00C92BD5"/>
    <w:rsid w:val="00C93F76"/>
    <w:rsid w:val="00C95B04"/>
    <w:rsid w:val="00CA1383"/>
    <w:rsid w:val="00CA1B54"/>
    <w:rsid w:val="00CA307E"/>
    <w:rsid w:val="00CA33C3"/>
    <w:rsid w:val="00CA3CDB"/>
    <w:rsid w:val="00CA51EA"/>
    <w:rsid w:val="00CA587B"/>
    <w:rsid w:val="00CB031D"/>
    <w:rsid w:val="00CB12B8"/>
    <w:rsid w:val="00CB1BAC"/>
    <w:rsid w:val="00CB1BAF"/>
    <w:rsid w:val="00CB2E75"/>
    <w:rsid w:val="00CB4120"/>
    <w:rsid w:val="00CB5C55"/>
    <w:rsid w:val="00CB6F84"/>
    <w:rsid w:val="00CC3ECC"/>
    <w:rsid w:val="00CC5376"/>
    <w:rsid w:val="00CC6CD8"/>
    <w:rsid w:val="00CD0B3B"/>
    <w:rsid w:val="00CD1C4A"/>
    <w:rsid w:val="00CD38F8"/>
    <w:rsid w:val="00CD3FF0"/>
    <w:rsid w:val="00CD4FAC"/>
    <w:rsid w:val="00CD5EB3"/>
    <w:rsid w:val="00CD722F"/>
    <w:rsid w:val="00CD7B08"/>
    <w:rsid w:val="00CD7B27"/>
    <w:rsid w:val="00CD7CCD"/>
    <w:rsid w:val="00CE00A7"/>
    <w:rsid w:val="00CE3109"/>
    <w:rsid w:val="00CE35EE"/>
    <w:rsid w:val="00CE39F1"/>
    <w:rsid w:val="00CE51E0"/>
    <w:rsid w:val="00CF1C14"/>
    <w:rsid w:val="00CF2231"/>
    <w:rsid w:val="00CF26E5"/>
    <w:rsid w:val="00CF4F4C"/>
    <w:rsid w:val="00CF544D"/>
    <w:rsid w:val="00CF56FC"/>
    <w:rsid w:val="00CF66FD"/>
    <w:rsid w:val="00CF7E65"/>
    <w:rsid w:val="00D003E9"/>
    <w:rsid w:val="00D0179D"/>
    <w:rsid w:val="00D02B5C"/>
    <w:rsid w:val="00D02F1E"/>
    <w:rsid w:val="00D06280"/>
    <w:rsid w:val="00D06475"/>
    <w:rsid w:val="00D06C4F"/>
    <w:rsid w:val="00D077EE"/>
    <w:rsid w:val="00D100FB"/>
    <w:rsid w:val="00D10578"/>
    <w:rsid w:val="00D105B0"/>
    <w:rsid w:val="00D111BA"/>
    <w:rsid w:val="00D11236"/>
    <w:rsid w:val="00D11753"/>
    <w:rsid w:val="00D12077"/>
    <w:rsid w:val="00D124D6"/>
    <w:rsid w:val="00D129D0"/>
    <w:rsid w:val="00D14281"/>
    <w:rsid w:val="00D1460C"/>
    <w:rsid w:val="00D14662"/>
    <w:rsid w:val="00D15FAF"/>
    <w:rsid w:val="00D16492"/>
    <w:rsid w:val="00D1737D"/>
    <w:rsid w:val="00D17A58"/>
    <w:rsid w:val="00D22D32"/>
    <w:rsid w:val="00D22FE8"/>
    <w:rsid w:val="00D24FB8"/>
    <w:rsid w:val="00D26E98"/>
    <w:rsid w:val="00D32C6D"/>
    <w:rsid w:val="00D3495F"/>
    <w:rsid w:val="00D34E80"/>
    <w:rsid w:val="00D350A5"/>
    <w:rsid w:val="00D35464"/>
    <w:rsid w:val="00D37517"/>
    <w:rsid w:val="00D40214"/>
    <w:rsid w:val="00D44480"/>
    <w:rsid w:val="00D449C4"/>
    <w:rsid w:val="00D45BCE"/>
    <w:rsid w:val="00D47258"/>
    <w:rsid w:val="00D47468"/>
    <w:rsid w:val="00D50BF6"/>
    <w:rsid w:val="00D513E2"/>
    <w:rsid w:val="00D515A6"/>
    <w:rsid w:val="00D52249"/>
    <w:rsid w:val="00D53784"/>
    <w:rsid w:val="00D544CA"/>
    <w:rsid w:val="00D56565"/>
    <w:rsid w:val="00D57D62"/>
    <w:rsid w:val="00D60206"/>
    <w:rsid w:val="00D60616"/>
    <w:rsid w:val="00D60E5B"/>
    <w:rsid w:val="00D61141"/>
    <w:rsid w:val="00D6150B"/>
    <w:rsid w:val="00D619A4"/>
    <w:rsid w:val="00D63376"/>
    <w:rsid w:val="00D63A01"/>
    <w:rsid w:val="00D64717"/>
    <w:rsid w:val="00D6586A"/>
    <w:rsid w:val="00D671B2"/>
    <w:rsid w:val="00D6766A"/>
    <w:rsid w:val="00D704B2"/>
    <w:rsid w:val="00D740CA"/>
    <w:rsid w:val="00D75FA8"/>
    <w:rsid w:val="00D779E0"/>
    <w:rsid w:val="00D77C6F"/>
    <w:rsid w:val="00D8064F"/>
    <w:rsid w:val="00D80D71"/>
    <w:rsid w:val="00D813D0"/>
    <w:rsid w:val="00D83773"/>
    <w:rsid w:val="00D84759"/>
    <w:rsid w:val="00D847F4"/>
    <w:rsid w:val="00D87B89"/>
    <w:rsid w:val="00D87DAD"/>
    <w:rsid w:val="00D907A7"/>
    <w:rsid w:val="00D930E3"/>
    <w:rsid w:val="00D93495"/>
    <w:rsid w:val="00D96150"/>
    <w:rsid w:val="00D96456"/>
    <w:rsid w:val="00D976CF"/>
    <w:rsid w:val="00DA0253"/>
    <w:rsid w:val="00DA0BFB"/>
    <w:rsid w:val="00DA2320"/>
    <w:rsid w:val="00DA262C"/>
    <w:rsid w:val="00DA2DAC"/>
    <w:rsid w:val="00DA4C86"/>
    <w:rsid w:val="00DA5D13"/>
    <w:rsid w:val="00DB0D8F"/>
    <w:rsid w:val="00DB13E7"/>
    <w:rsid w:val="00DB3027"/>
    <w:rsid w:val="00DB3752"/>
    <w:rsid w:val="00DB6BFE"/>
    <w:rsid w:val="00DC151C"/>
    <w:rsid w:val="00DC2081"/>
    <w:rsid w:val="00DC3110"/>
    <w:rsid w:val="00DC3246"/>
    <w:rsid w:val="00DC48EC"/>
    <w:rsid w:val="00DC4B8D"/>
    <w:rsid w:val="00DC706E"/>
    <w:rsid w:val="00DC7286"/>
    <w:rsid w:val="00DD2916"/>
    <w:rsid w:val="00DD562B"/>
    <w:rsid w:val="00DD568B"/>
    <w:rsid w:val="00DD7783"/>
    <w:rsid w:val="00DD788B"/>
    <w:rsid w:val="00DE3F42"/>
    <w:rsid w:val="00DE5244"/>
    <w:rsid w:val="00DE5A1D"/>
    <w:rsid w:val="00DE6B8B"/>
    <w:rsid w:val="00DE6BB3"/>
    <w:rsid w:val="00DE7800"/>
    <w:rsid w:val="00DF04F0"/>
    <w:rsid w:val="00DF3304"/>
    <w:rsid w:val="00DF4AA0"/>
    <w:rsid w:val="00DF4F39"/>
    <w:rsid w:val="00DF7556"/>
    <w:rsid w:val="00DF7AE6"/>
    <w:rsid w:val="00DF7FED"/>
    <w:rsid w:val="00E0231C"/>
    <w:rsid w:val="00E030DE"/>
    <w:rsid w:val="00E05AB8"/>
    <w:rsid w:val="00E064E1"/>
    <w:rsid w:val="00E07189"/>
    <w:rsid w:val="00E07996"/>
    <w:rsid w:val="00E10F88"/>
    <w:rsid w:val="00E1148D"/>
    <w:rsid w:val="00E13627"/>
    <w:rsid w:val="00E13885"/>
    <w:rsid w:val="00E179F6"/>
    <w:rsid w:val="00E21492"/>
    <w:rsid w:val="00E21699"/>
    <w:rsid w:val="00E22362"/>
    <w:rsid w:val="00E23EF6"/>
    <w:rsid w:val="00E24F0A"/>
    <w:rsid w:val="00E267DA"/>
    <w:rsid w:val="00E30482"/>
    <w:rsid w:val="00E3077E"/>
    <w:rsid w:val="00E40879"/>
    <w:rsid w:val="00E423F4"/>
    <w:rsid w:val="00E4376D"/>
    <w:rsid w:val="00E47A68"/>
    <w:rsid w:val="00E50240"/>
    <w:rsid w:val="00E50972"/>
    <w:rsid w:val="00E52971"/>
    <w:rsid w:val="00E53185"/>
    <w:rsid w:val="00E536BA"/>
    <w:rsid w:val="00E53FFE"/>
    <w:rsid w:val="00E615A8"/>
    <w:rsid w:val="00E61CBF"/>
    <w:rsid w:val="00E62704"/>
    <w:rsid w:val="00E6409F"/>
    <w:rsid w:val="00E64548"/>
    <w:rsid w:val="00E64959"/>
    <w:rsid w:val="00E64D74"/>
    <w:rsid w:val="00E6677A"/>
    <w:rsid w:val="00E72067"/>
    <w:rsid w:val="00E725D1"/>
    <w:rsid w:val="00E725DE"/>
    <w:rsid w:val="00E7274C"/>
    <w:rsid w:val="00E74A90"/>
    <w:rsid w:val="00E74E47"/>
    <w:rsid w:val="00E82AE1"/>
    <w:rsid w:val="00E87A8B"/>
    <w:rsid w:val="00E91E8E"/>
    <w:rsid w:val="00E944CE"/>
    <w:rsid w:val="00E95031"/>
    <w:rsid w:val="00E9671C"/>
    <w:rsid w:val="00E96EB9"/>
    <w:rsid w:val="00E979DC"/>
    <w:rsid w:val="00EA031C"/>
    <w:rsid w:val="00EA23EE"/>
    <w:rsid w:val="00EA31BA"/>
    <w:rsid w:val="00EA5171"/>
    <w:rsid w:val="00EA6AC0"/>
    <w:rsid w:val="00EB031D"/>
    <w:rsid w:val="00EB059A"/>
    <w:rsid w:val="00EB2004"/>
    <w:rsid w:val="00EB3951"/>
    <w:rsid w:val="00EB3A84"/>
    <w:rsid w:val="00EB43E4"/>
    <w:rsid w:val="00EB5267"/>
    <w:rsid w:val="00EB52B6"/>
    <w:rsid w:val="00EB55E8"/>
    <w:rsid w:val="00EB5847"/>
    <w:rsid w:val="00EB5E8E"/>
    <w:rsid w:val="00EB681F"/>
    <w:rsid w:val="00EB6C8E"/>
    <w:rsid w:val="00EB7BE1"/>
    <w:rsid w:val="00EC0504"/>
    <w:rsid w:val="00EC2178"/>
    <w:rsid w:val="00EC3EBB"/>
    <w:rsid w:val="00EC68A1"/>
    <w:rsid w:val="00EC6910"/>
    <w:rsid w:val="00EC6C98"/>
    <w:rsid w:val="00EC6EE3"/>
    <w:rsid w:val="00ED2A90"/>
    <w:rsid w:val="00ED3494"/>
    <w:rsid w:val="00ED5741"/>
    <w:rsid w:val="00EE1E90"/>
    <w:rsid w:val="00EE25CD"/>
    <w:rsid w:val="00EE2833"/>
    <w:rsid w:val="00EE2AC2"/>
    <w:rsid w:val="00EE4FA6"/>
    <w:rsid w:val="00EE52BF"/>
    <w:rsid w:val="00EE637A"/>
    <w:rsid w:val="00EE7C18"/>
    <w:rsid w:val="00EF0E36"/>
    <w:rsid w:val="00EF0F26"/>
    <w:rsid w:val="00EF29B2"/>
    <w:rsid w:val="00EF475A"/>
    <w:rsid w:val="00EF481F"/>
    <w:rsid w:val="00EF492A"/>
    <w:rsid w:val="00EF4DB5"/>
    <w:rsid w:val="00EF56AF"/>
    <w:rsid w:val="00EF6E3B"/>
    <w:rsid w:val="00F00BEC"/>
    <w:rsid w:val="00F078DC"/>
    <w:rsid w:val="00F07C18"/>
    <w:rsid w:val="00F07F39"/>
    <w:rsid w:val="00F10F4B"/>
    <w:rsid w:val="00F13C43"/>
    <w:rsid w:val="00F14BB2"/>
    <w:rsid w:val="00F15330"/>
    <w:rsid w:val="00F156E6"/>
    <w:rsid w:val="00F164B0"/>
    <w:rsid w:val="00F16B9C"/>
    <w:rsid w:val="00F202D6"/>
    <w:rsid w:val="00F276AF"/>
    <w:rsid w:val="00F3084D"/>
    <w:rsid w:val="00F32E9E"/>
    <w:rsid w:val="00F3336C"/>
    <w:rsid w:val="00F34968"/>
    <w:rsid w:val="00F349EB"/>
    <w:rsid w:val="00F35696"/>
    <w:rsid w:val="00F35B17"/>
    <w:rsid w:val="00F36FD7"/>
    <w:rsid w:val="00F415BF"/>
    <w:rsid w:val="00F416A3"/>
    <w:rsid w:val="00F4579D"/>
    <w:rsid w:val="00F45FF8"/>
    <w:rsid w:val="00F4624D"/>
    <w:rsid w:val="00F46ED9"/>
    <w:rsid w:val="00F47CB0"/>
    <w:rsid w:val="00F507B0"/>
    <w:rsid w:val="00F508E1"/>
    <w:rsid w:val="00F549F0"/>
    <w:rsid w:val="00F57109"/>
    <w:rsid w:val="00F607ED"/>
    <w:rsid w:val="00F60E63"/>
    <w:rsid w:val="00F617CF"/>
    <w:rsid w:val="00F622C1"/>
    <w:rsid w:val="00F64ABC"/>
    <w:rsid w:val="00F64FD7"/>
    <w:rsid w:val="00F657E2"/>
    <w:rsid w:val="00F66642"/>
    <w:rsid w:val="00F66ADD"/>
    <w:rsid w:val="00F66E56"/>
    <w:rsid w:val="00F679A3"/>
    <w:rsid w:val="00F735AE"/>
    <w:rsid w:val="00F75810"/>
    <w:rsid w:val="00F75B71"/>
    <w:rsid w:val="00F769D3"/>
    <w:rsid w:val="00F76B13"/>
    <w:rsid w:val="00F77918"/>
    <w:rsid w:val="00F8067B"/>
    <w:rsid w:val="00F81D38"/>
    <w:rsid w:val="00F8215A"/>
    <w:rsid w:val="00F8349B"/>
    <w:rsid w:val="00F84476"/>
    <w:rsid w:val="00F849AF"/>
    <w:rsid w:val="00F84A1E"/>
    <w:rsid w:val="00F8537E"/>
    <w:rsid w:val="00F85A10"/>
    <w:rsid w:val="00F87169"/>
    <w:rsid w:val="00F87C4A"/>
    <w:rsid w:val="00F90533"/>
    <w:rsid w:val="00F91E1F"/>
    <w:rsid w:val="00F92130"/>
    <w:rsid w:val="00F929CE"/>
    <w:rsid w:val="00F93696"/>
    <w:rsid w:val="00F9614A"/>
    <w:rsid w:val="00F96641"/>
    <w:rsid w:val="00F966A9"/>
    <w:rsid w:val="00F96818"/>
    <w:rsid w:val="00F96AAE"/>
    <w:rsid w:val="00FA2728"/>
    <w:rsid w:val="00FA2933"/>
    <w:rsid w:val="00FA4AA9"/>
    <w:rsid w:val="00FA64FA"/>
    <w:rsid w:val="00FB0796"/>
    <w:rsid w:val="00FB1467"/>
    <w:rsid w:val="00FB15BE"/>
    <w:rsid w:val="00FB1C0D"/>
    <w:rsid w:val="00FB1F97"/>
    <w:rsid w:val="00FB26A7"/>
    <w:rsid w:val="00FB3C3D"/>
    <w:rsid w:val="00FB4048"/>
    <w:rsid w:val="00FB609D"/>
    <w:rsid w:val="00FB672C"/>
    <w:rsid w:val="00FC01D2"/>
    <w:rsid w:val="00FC3B6D"/>
    <w:rsid w:val="00FC3C4F"/>
    <w:rsid w:val="00FC586A"/>
    <w:rsid w:val="00FC5885"/>
    <w:rsid w:val="00FC6291"/>
    <w:rsid w:val="00FD2E52"/>
    <w:rsid w:val="00FD35D3"/>
    <w:rsid w:val="00FD46C8"/>
    <w:rsid w:val="00FD6793"/>
    <w:rsid w:val="00FD6F90"/>
    <w:rsid w:val="00FD71AC"/>
    <w:rsid w:val="00FE1A1A"/>
    <w:rsid w:val="00FE25D5"/>
    <w:rsid w:val="00FE260C"/>
    <w:rsid w:val="00FE2B44"/>
    <w:rsid w:val="00FE4141"/>
    <w:rsid w:val="00FE4FBD"/>
    <w:rsid w:val="00FE5D12"/>
    <w:rsid w:val="00FE6151"/>
    <w:rsid w:val="00FE69CB"/>
    <w:rsid w:val="00FE6DC7"/>
    <w:rsid w:val="00FE7499"/>
    <w:rsid w:val="00FF2A22"/>
    <w:rsid w:val="00FF2A54"/>
    <w:rsid w:val="00FF408A"/>
    <w:rsid w:val="00FF4308"/>
    <w:rsid w:val="00FF443F"/>
    <w:rsid w:val="00FF48AC"/>
    <w:rsid w:val="00FF4FE9"/>
    <w:rsid w:val="00FF664E"/>
    <w:rsid w:val="01026637"/>
    <w:rsid w:val="012F6531"/>
    <w:rsid w:val="0149488C"/>
    <w:rsid w:val="015526F6"/>
    <w:rsid w:val="01583B17"/>
    <w:rsid w:val="015D11CD"/>
    <w:rsid w:val="017A004D"/>
    <w:rsid w:val="018A171A"/>
    <w:rsid w:val="01AA467D"/>
    <w:rsid w:val="01AA7F44"/>
    <w:rsid w:val="01C37F52"/>
    <w:rsid w:val="01E43A29"/>
    <w:rsid w:val="01F86AA7"/>
    <w:rsid w:val="02137583"/>
    <w:rsid w:val="023467D6"/>
    <w:rsid w:val="029E5780"/>
    <w:rsid w:val="02A26D68"/>
    <w:rsid w:val="02E1657F"/>
    <w:rsid w:val="03317A82"/>
    <w:rsid w:val="03953A1F"/>
    <w:rsid w:val="03C43FC1"/>
    <w:rsid w:val="03C47473"/>
    <w:rsid w:val="03EE5F86"/>
    <w:rsid w:val="03F540DB"/>
    <w:rsid w:val="03FA6D38"/>
    <w:rsid w:val="040E62F2"/>
    <w:rsid w:val="049D062F"/>
    <w:rsid w:val="04B67568"/>
    <w:rsid w:val="04BE225E"/>
    <w:rsid w:val="04CB69C2"/>
    <w:rsid w:val="04D37C42"/>
    <w:rsid w:val="04E02E3C"/>
    <w:rsid w:val="0502540D"/>
    <w:rsid w:val="05AA5499"/>
    <w:rsid w:val="05B02190"/>
    <w:rsid w:val="05E735C9"/>
    <w:rsid w:val="05EB65B6"/>
    <w:rsid w:val="06A11014"/>
    <w:rsid w:val="06AC335E"/>
    <w:rsid w:val="06C70DC5"/>
    <w:rsid w:val="06E06EB9"/>
    <w:rsid w:val="06E74B4A"/>
    <w:rsid w:val="06F038FC"/>
    <w:rsid w:val="0790271A"/>
    <w:rsid w:val="07AD09D8"/>
    <w:rsid w:val="07D9365B"/>
    <w:rsid w:val="07DE1CC2"/>
    <w:rsid w:val="07F13DD2"/>
    <w:rsid w:val="08147475"/>
    <w:rsid w:val="08375362"/>
    <w:rsid w:val="08393EE6"/>
    <w:rsid w:val="084B5F6D"/>
    <w:rsid w:val="08523C23"/>
    <w:rsid w:val="087578E8"/>
    <w:rsid w:val="087D58E7"/>
    <w:rsid w:val="088E0183"/>
    <w:rsid w:val="089C7DAA"/>
    <w:rsid w:val="08CA465E"/>
    <w:rsid w:val="08EC2547"/>
    <w:rsid w:val="08FC63B0"/>
    <w:rsid w:val="090754E0"/>
    <w:rsid w:val="0915338B"/>
    <w:rsid w:val="0943482A"/>
    <w:rsid w:val="095476B1"/>
    <w:rsid w:val="09587AD8"/>
    <w:rsid w:val="0975004C"/>
    <w:rsid w:val="097D0FA6"/>
    <w:rsid w:val="099B2330"/>
    <w:rsid w:val="09B9389A"/>
    <w:rsid w:val="09E54AF3"/>
    <w:rsid w:val="09F909CC"/>
    <w:rsid w:val="0A6A7873"/>
    <w:rsid w:val="0A9E1C57"/>
    <w:rsid w:val="0AAD1CF8"/>
    <w:rsid w:val="0AC262AF"/>
    <w:rsid w:val="0AF01F15"/>
    <w:rsid w:val="0B0D707C"/>
    <w:rsid w:val="0B1C3A38"/>
    <w:rsid w:val="0B4348D7"/>
    <w:rsid w:val="0B441393"/>
    <w:rsid w:val="0B51619F"/>
    <w:rsid w:val="0B781CBF"/>
    <w:rsid w:val="0B8913A2"/>
    <w:rsid w:val="0BB37FA4"/>
    <w:rsid w:val="0BFA708D"/>
    <w:rsid w:val="0BFD7AE7"/>
    <w:rsid w:val="0C095C2C"/>
    <w:rsid w:val="0C142811"/>
    <w:rsid w:val="0C1A645A"/>
    <w:rsid w:val="0C25564D"/>
    <w:rsid w:val="0C60163F"/>
    <w:rsid w:val="0C8A0C90"/>
    <w:rsid w:val="0CDE7230"/>
    <w:rsid w:val="0D3E7BD1"/>
    <w:rsid w:val="0D7E57B7"/>
    <w:rsid w:val="0D83430F"/>
    <w:rsid w:val="0DF6797D"/>
    <w:rsid w:val="0E1A3B33"/>
    <w:rsid w:val="0E551719"/>
    <w:rsid w:val="0E656F40"/>
    <w:rsid w:val="0E732E9D"/>
    <w:rsid w:val="0E8025FB"/>
    <w:rsid w:val="0EAD7A30"/>
    <w:rsid w:val="0EB7321C"/>
    <w:rsid w:val="0EC3668B"/>
    <w:rsid w:val="0ED9130A"/>
    <w:rsid w:val="0EEE37B4"/>
    <w:rsid w:val="0EEE72F6"/>
    <w:rsid w:val="0EEF3B6D"/>
    <w:rsid w:val="0F18454D"/>
    <w:rsid w:val="0F563250"/>
    <w:rsid w:val="0F757274"/>
    <w:rsid w:val="0F7B6D86"/>
    <w:rsid w:val="0FA049C5"/>
    <w:rsid w:val="100A56E5"/>
    <w:rsid w:val="1015296A"/>
    <w:rsid w:val="10290F0A"/>
    <w:rsid w:val="10873214"/>
    <w:rsid w:val="10996E23"/>
    <w:rsid w:val="10CD53CD"/>
    <w:rsid w:val="10D910AC"/>
    <w:rsid w:val="10DB2049"/>
    <w:rsid w:val="117008EA"/>
    <w:rsid w:val="119E784A"/>
    <w:rsid w:val="11CF58CD"/>
    <w:rsid w:val="11E93E30"/>
    <w:rsid w:val="120C5428"/>
    <w:rsid w:val="1215334A"/>
    <w:rsid w:val="1223540C"/>
    <w:rsid w:val="12306275"/>
    <w:rsid w:val="12470A0B"/>
    <w:rsid w:val="12541379"/>
    <w:rsid w:val="1280341C"/>
    <w:rsid w:val="12D84FD5"/>
    <w:rsid w:val="12E4664C"/>
    <w:rsid w:val="13323FAC"/>
    <w:rsid w:val="13C3798B"/>
    <w:rsid w:val="13F14325"/>
    <w:rsid w:val="13F32CA8"/>
    <w:rsid w:val="13FC430A"/>
    <w:rsid w:val="14AC25DE"/>
    <w:rsid w:val="14B35714"/>
    <w:rsid w:val="14EF355C"/>
    <w:rsid w:val="152768D8"/>
    <w:rsid w:val="15356A64"/>
    <w:rsid w:val="162B62E9"/>
    <w:rsid w:val="16844339"/>
    <w:rsid w:val="16933C4A"/>
    <w:rsid w:val="169E0698"/>
    <w:rsid w:val="16EB7FA4"/>
    <w:rsid w:val="16FC2501"/>
    <w:rsid w:val="177D3A9B"/>
    <w:rsid w:val="179B7A23"/>
    <w:rsid w:val="17AF6944"/>
    <w:rsid w:val="17BC13D2"/>
    <w:rsid w:val="17C42F60"/>
    <w:rsid w:val="17D10464"/>
    <w:rsid w:val="17EB2972"/>
    <w:rsid w:val="17FC5942"/>
    <w:rsid w:val="18014676"/>
    <w:rsid w:val="180A4EFC"/>
    <w:rsid w:val="18153111"/>
    <w:rsid w:val="18293A62"/>
    <w:rsid w:val="1831127B"/>
    <w:rsid w:val="183F3BEF"/>
    <w:rsid w:val="186F6EC0"/>
    <w:rsid w:val="187D5EF8"/>
    <w:rsid w:val="189F488C"/>
    <w:rsid w:val="190E24E6"/>
    <w:rsid w:val="19134BD1"/>
    <w:rsid w:val="192C39DF"/>
    <w:rsid w:val="193E60EE"/>
    <w:rsid w:val="1996299E"/>
    <w:rsid w:val="19A228BF"/>
    <w:rsid w:val="19B619E8"/>
    <w:rsid w:val="19C95B31"/>
    <w:rsid w:val="19D61A27"/>
    <w:rsid w:val="19D91860"/>
    <w:rsid w:val="19E70A3A"/>
    <w:rsid w:val="19E814BD"/>
    <w:rsid w:val="19EC5BA4"/>
    <w:rsid w:val="1A171DEC"/>
    <w:rsid w:val="1A34329B"/>
    <w:rsid w:val="1A3D688E"/>
    <w:rsid w:val="1A427461"/>
    <w:rsid w:val="1A4D58E6"/>
    <w:rsid w:val="1A90553B"/>
    <w:rsid w:val="1A9411A5"/>
    <w:rsid w:val="1A9D6100"/>
    <w:rsid w:val="1AB34E0F"/>
    <w:rsid w:val="1AC3220D"/>
    <w:rsid w:val="1AD67BC3"/>
    <w:rsid w:val="1AFD01FC"/>
    <w:rsid w:val="1AFD6AB0"/>
    <w:rsid w:val="1B0D38DF"/>
    <w:rsid w:val="1B20550F"/>
    <w:rsid w:val="1B40753A"/>
    <w:rsid w:val="1B660387"/>
    <w:rsid w:val="1B684210"/>
    <w:rsid w:val="1B795F34"/>
    <w:rsid w:val="1BAB7CB5"/>
    <w:rsid w:val="1BC94A3F"/>
    <w:rsid w:val="1BF508C5"/>
    <w:rsid w:val="1C227730"/>
    <w:rsid w:val="1C48610B"/>
    <w:rsid w:val="1C5A3C93"/>
    <w:rsid w:val="1C9D611F"/>
    <w:rsid w:val="1CE32A6B"/>
    <w:rsid w:val="1D18397A"/>
    <w:rsid w:val="1D1C1C5D"/>
    <w:rsid w:val="1D99336A"/>
    <w:rsid w:val="1DA557B9"/>
    <w:rsid w:val="1DC00260"/>
    <w:rsid w:val="1DC30D26"/>
    <w:rsid w:val="1DEE0128"/>
    <w:rsid w:val="1DF467B3"/>
    <w:rsid w:val="1DFA1AA6"/>
    <w:rsid w:val="1E6B1F65"/>
    <w:rsid w:val="1E6F248C"/>
    <w:rsid w:val="1E755389"/>
    <w:rsid w:val="1E782CFA"/>
    <w:rsid w:val="1E9A29BD"/>
    <w:rsid w:val="1EB7451C"/>
    <w:rsid w:val="1EDF7F79"/>
    <w:rsid w:val="1EE3240C"/>
    <w:rsid w:val="1EE3418D"/>
    <w:rsid w:val="1F012A08"/>
    <w:rsid w:val="1F3244CE"/>
    <w:rsid w:val="1F422D48"/>
    <w:rsid w:val="1F456D0F"/>
    <w:rsid w:val="1F4758F7"/>
    <w:rsid w:val="1F495180"/>
    <w:rsid w:val="1F4B120E"/>
    <w:rsid w:val="1F656B41"/>
    <w:rsid w:val="1F6A589A"/>
    <w:rsid w:val="1FB217EE"/>
    <w:rsid w:val="1FE725CB"/>
    <w:rsid w:val="201F309C"/>
    <w:rsid w:val="204A197D"/>
    <w:rsid w:val="206C4619"/>
    <w:rsid w:val="2080074D"/>
    <w:rsid w:val="20C67CE1"/>
    <w:rsid w:val="20CC7340"/>
    <w:rsid w:val="21020DD9"/>
    <w:rsid w:val="211C5AA8"/>
    <w:rsid w:val="21287AAE"/>
    <w:rsid w:val="21717559"/>
    <w:rsid w:val="2174661B"/>
    <w:rsid w:val="21BC7FE7"/>
    <w:rsid w:val="21C2460D"/>
    <w:rsid w:val="21F641C8"/>
    <w:rsid w:val="21FC3F25"/>
    <w:rsid w:val="220F0817"/>
    <w:rsid w:val="2216545C"/>
    <w:rsid w:val="22187A10"/>
    <w:rsid w:val="22463E3C"/>
    <w:rsid w:val="227B6E4F"/>
    <w:rsid w:val="23541D84"/>
    <w:rsid w:val="23701CFE"/>
    <w:rsid w:val="238F1B3F"/>
    <w:rsid w:val="23AE0AFD"/>
    <w:rsid w:val="23BC6016"/>
    <w:rsid w:val="23D9227D"/>
    <w:rsid w:val="2406396D"/>
    <w:rsid w:val="247A3B89"/>
    <w:rsid w:val="24A46CB3"/>
    <w:rsid w:val="24A829AF"/>
    <w:rsid w:val="24FD0384"/>
    <w:rsid w:val="25412BD2"/>
    <w:rsid w:val="25526E66"/>
    <w:rsid w:val="2561687F"/>
    <w:rsid w:val="258D1553"/>
    <w:rsid w:val="25994BCF"/>
    <w:rsid w:val="25DA3152"/>
    <w:rsid w:val="25E8386E"/>
    <w:rsid w:val="26000C3A"/>
    <w:rsid w:val="26024A18"/>
    <w:rsid w:val="26025DBB"/>
    <w:rsid w:val="26107CFC"/>
    <w:rsid w:val="263F51FE"/>
    <w:rsid w:val="26A111BC"/>
    <w:rsid w:val="26AD7626"/>
    <w:rsid w:val="27112091"/>
    <w:rsid w:val="27133AC9"/>
    <w:rsid w:val="276510B9"/>
    <w:rsid w:val="277749BC"/>
    <w:rsid w:val="27822B04"/>
    <w:rsid w:val="2784604A"/>
    <w:rsid w:val="27AC65DA"/>
    <w:rsid w:val="27B31333"/>
    <w:rsid w:val="27BD6278"/>
    <w:rsid w:val="28490AE1"/>
    <w:rsid w:val="284B0AFF"/>
    <w:rsid w:val="2850422B"/>
    <w:rsid w:val="288D78CB"/>
    <w:rsid w:val="28947F43"/>
    <w:rsid w:val="289E757B"/>
    <w:rsid w:val="28C66BE0"/>
    <w:rsid w:val="28C94F85"/>
    <w:rsid w:val="293E174E"/>
    <w:rsid w:val="294D65ED"/>
    <w:rsid w:val="294E39EE"/>
    <w:rsid w:val="29955175"/>
    <w:rsid w:val="29B6075C"/>
    <w:rsid w:val="29EC6114"/>
    <w:rsid w:val="2A233EC4"/>
    <w:rsid w:val="2A42504E"/>
    <w:rsid w:val="2A5F09D2"/>
    <w:rsid w:val="2A81520E"/>
    <w:rsid w:val="2A950CB9"/>
    <w:rsid w:val="2AE40825"/>
    <w:rsid w:val="2AE64F3B"/>
    <w:rsid w:val="2AE96D79"/>
    <w:rsid w:val="2B5F5D6D"/>
    <w:rsid w:val="2B8726F6"/>
    <w:rsid w:val="2BA467DB"/>
    <w:rsid w:val="2BAC0E1B"/>
    <w:rsid w:val="2BCD7688"/>
    <w:rsid w:val="2C2D32DE"/>
    <w:rsid w:val="2C546594"/>
    <w:rsid w:val="2CC15093"/>
    <w:rsid w:val="2CDD6D23"/>
    <w:rsid w:val="2CE439C5"/>
    <w:rsid w:val="2D074F37"/>
    <w:rsid w:val="2D473EB8"/>
    <w:rsid w:val="2D4D421D"/>
    <w:rsid w:val="2D4E11B8"/>
    <w:rsid w:val="2D4E1BC0"/>
    <w:rsid w:val="2D89591F"/>
    <w:rsid w:val="2D946C86"/>
    <w:rsid w:val="2DDE6D73"/>
    <w:rsid w:val="2DFB5192"/>
    <w:rsid w:val="2E395342"/>
    <w:rsid w:val="2E6840C9"/>
    <w:rsid w:val="2E712B0A"/>
    <w:rsid w:val="2EB26BE3"/>
    <w:rsid w:val="2EE63B48"/>
    <w:rsid w:val="2EF85E2C"/>
    <w:rsid w:val="2F0A2219"/>
    <w:rsid w:val="2F233DFC"/>
    <w:rsid w:val="2F2A1FB0"/>
    <w:rsid w:val="2F4879D2"/>
    <w:rsid w:val="2F666874"/>
    <w:rsid w:val="2F6C04E8"/>
    <w:rsid w:val="2F917C50"/>
    <w:rsid w:val="2FB03E01"/>
    <w:rsid w:val="2FD85612"/>
    <w:rsid w:val="2FDF308B"/>
    <w:rsid w:val="2FED31A4"/>
    <w:rsid w:val="2FED4C3D"/>
    <w:rsid w:val="30007555"/>
    <w:rsid w:val="30624425"/>
    <w:rsid w:val="30696528"/>
    <w:rsid w:val="307D33BC"/>
    <w:rsid w:val="309C4EE6"/>
    <w:rsid w:val="30A24262"/>
    <w:rsid w:val="31011CAB"/>
    <w:rsid w:val="3105069B"/>
    <w:rsid w:val="311C61EF"/>
    <w:rsid w:val="31330D53"/>
    <w:rsid w:val="31440242"/>
    <w:rsid w:val="31540F86"/>
    <w:rsid w:val="31621E34"/>
    <w:rsid w:val="31703FE9"/>
    <w:rsid w:val="318D2525"/>
    <w:rsid w:val="318D57EA"/>
    <w:rsid w:val="31F302A2"/>
    <w:rsid w:val="320D4BA0"/>
    <w:rsid w:val="320F08D7"/>
    <w:rsid w:val="322341A3"/>
    <w:rsid w:val="32674EDB"/>
    <w:rsid w:val="32906254"/>
    <w:rsid w:val="329D3B01"/>
    <w:rsid w:val="32CB093C"/>
    <w:rsid w:val="32D01C91"/>
    <w:rsid w:val="32F73068"/>
    <w:rsid w:val="331337DF"/>
    <w:rsid w:val="33402AB1"/>
    <w:rsid w:val="33900270"/>
    <w:rsid w:val="33CC0E26"/>
    <w:rsid w:val="33E36CF5"/>
    <w:rsid w:val="33F44BB3"/>
    <w:rsid w:val="340371D5"/>
    <w:rsid w:val="34C038D0"/>
    <w:rsid w:val="34D25CCA"/>
    <w:rsid w:val="34D96007"/>
    <w:rsid w:val="34DD74E5"/>
    <w:rsid w:val="34ED14DC"/>
    <w:rsid w:val="34FE2A23"/>
    <w:rsid w:val="35065DD6"/>
    <w:rsid w:val="35086ADC"/>
    <w:rsid w:val="350C25E8"/>
    <w:rsid w:val="352D6AB2"/>
    <w:rsid w:val="35333CB4"/>
    <w:rsid w:val="353B4710"/>
    <w:rsid w:val="3544158D"/>
    <w:rsid w:val="354F4233"/>
    <w:rsid w:val="35592AAC"/>
    <w:rsid w:val="35724FEB"/>
    <w:rsid w:val="359D4998"/>
    <w:rsid w:val="36315381"/>
    <w:rsid w:val="367B7B47"/>
    <w:rsid w:val="36AD1BC9"/>
    <w:rsid w:val="36C844EB"/>
    <w:rsid w:val="37170C10"/>
    <w:rsid w:val="371E13E2"/>
    <w:rsid w:val="37537346"/>
    <w:rsid w:val="375A0ADE"/>
    <w:rsid w:val="375D770A"/>
    <w:rsid w:val="375F25F9"/>
    <w:rsid w:val="37832D60"/>
    <w:rsid w:val="378D66A4"/>
    <w:rsid w:val="379B43B2"/>
    <w:rsid w:val="37AF5D39"/>
    <w:rsid w:val="37DD403B"/>
    <w:rsid w:val="380D6774"/>
    <w:rsid w:val="38283FC0"/>
    <w:rsid w:val="38684E44"/>
    <w:rsid w:val="38904518"/>
    <w:rsid w:val="38C04B0D"/>
    <w:rsid w:val="38E23656"/>
    <w:rsid w:val="39110A0C"/>
    <w:rsid w:val="3922119F"/>
    <w:rsid w:val="39674A58"/>
    <w:rsid w:val="39846C86"/>
    <w:rsid w:val="398A7FB7"/>
    <w:rsid w:val="39A042F7"/>
    <w:rsid w:val="39CF4DFD"/>
    <w:rsid w:val="39CF7234"/>
    <w:rsid w:val="3A166C37"/>
    <w:rsid w:val="3A533760"/>
    <w:rsid w:val="3A561958"/>
    <w:rsid w:val="3A5D6F69"/>
    <w:rsid w:val="3A6D2950"/>
    <w:rsid w:val="3AC74096"/>
    <w:rsid w:val="3ACC5038"/>
    <w:rsid w:val="3AFB08F6"/>
    <w:rsid w:val="3B4E3471"/>
    <w:rsid w:val="3B9D6CB7"/>
    <w:rsid w:val="3BA72A7E"/>
    <w:rsid w:val="3BBC6705"/>
    <w:rsid w:val="3BC32214"/>
    <w:rsid w:val="3BF33A92"/>
    <w:rsid w:val="3C082A5D"/>
    <w:rsid w:val="3C0B267B"/>
    <w:rsid w:val="3C340E6D"/>
    <w:rsid w:val="3C36282A"/>
    <w:rsid w:val="3C3F0A85"/>
    <w:rsid w:val="3C4A07B2"/>
    <w:rsid w:val="3C5617CC"/>
    <w:rsid w:val="3C766B03"/>
    <w:rsid w:val="3C817DC7"/>
    <w:rsid w:val="3C97266F"/>
    <w:rsid w:val="3D076F2B"/>
    <w:rsid w:val="3D3C2AD6"/>
    <w:rsid w:val="3D570EB8"/>
    <w:rsid w:val="3D5F338D"/>
    <w:rsid w:val="3D7E55D1"/>
    <w:rsid w:val="3D86409C"/>
    <w:rsid w:val="3D9D1513"/>
    <w:rsid w:val="3DB2599E"/>
    <w:rsid w:val="3E115286"/>
    <w:rsid w:val="3E4A7708"/>
    <w:rsid w:val="3E527279"/>
    <w:rsid w:val="3E6D574F"/>
    <w:rsid w:val="3E8D5FB7"/>
    <w:rsid w:val="3E9F501B"/>
    <w:rsid w:val="3EA5780B"/>
    <w:rsid w:val="3F204A39"/>
    <w:rsid w:val="3F446F89"/>
    <w:rsid w:val="3F6018C4"/>
    <w:rsid w:val="3F677693"/>
    <w:rsid w:val="3F677A31"/>
    <w:rsid w:val="3F880A18"/>
    <w:rsid w:val="3F9D7A12"/>
    <w:rsid w:val="3FA21671"/>
    <w:rsid w:val="3FA246A1"/>
    <w:rsid w:val="3FB35A12"/>
    <w:rsid w:val="3FB632C7"/>
    <w:rsid w:val="3FC764F7"/>
    <w:rsid w:val="3FCE09AB"/>
    <w:rsid w:val="3FDF03F4"/>
    <w:rsid w:val="3FE659CA"/>
    <w:rsid w:val="3FE9035D"/>
    <w:rsid w:val="3FEEA4CB"/>
    <w:rsid w:val="3FF81933"/>
    <w:rsid w:val="40425B82"/>
    <w:rsid w:val="40460AEF"/>
    <w:rsid w:val="405269E6"/>
    <w:rsid w:val="40760CD9"/>
    <w:rsid w:val="4099611D"/>
    <w:rsid w:val="40D43E92"/>
    <w:rsid w:val="40FD3EC4"/>
    <w:rsid w:val="41005A89"/>
    <w:rsid w:val="4106443B"/>
    <w:rsid w:val="410E76D9"/>
    <w:rsid w:val="410F79D5"/>
    <w:rsid w:val="412B09CA"/>
    <w:rsid w:val="414035F3"/>
    <w:rsid w:val="41582EBC"/>
    <w:rsid w:val="41C9034C"/>
    <w:rsid w:val="41D573D6"/>
    <w:rsid w:val="42511A0D"/>
    <w:rsid w:val="4289725D"/>
    <w:rsid w:val="428A44BD"/>
    <w:rsid w:val="428C6C4F"/>
    <w:rsid w:val="42AD334B"/>
    <w:rsid w:val="42D276C6"/>
    <w:rsid w:val="42ED271E"/>
    <w:rsid w:val="43057965"/>
    <w:rsid w:val="431B7BEF"/>
    <w:rsid w:val="433D7244"/>
    <w:rsid w:val="43522735"/>
    <w:rsid w:val="436704BF"/>
    <w:rsid w:val="437368C4"/>
    <w:rsid w:val="438F2FC3"/>
    <w:rsid w:val="43D76424"/>
    <w:rsid w:val="443B052A"/>
    <w:rsid w:val="443C3663"/>
    <w:rsid w:val="4452236A"/>
    <w:rsid w:val="44534092"/>
    <w:rsid w:val="44BB1EB4"/>
    <w:rsid w:val="44C20EA0"/>
    <w:rsid w:val="44CE4904"/>
    <w:rsid w:val="4534794B"/>
    <w:rsid w:val="457311A6"/>
    <w:rsid w:val="45B04CCB"/>
    <w:rsid w:val="46184820"/>
    <w:rsid w:val="4689334F"/>
    <w:rsid w:val="46983BAD"/>
    <w:rsid w:val="46BD1075"/>
    <w:rsid w:val="46D863A6"/>
    <w:rsid w:val="46DF0E9A"/>
    <w:rsid w:val="46EF46F6"/>
    <w:rsid w:val="470F0555"/>
    <w:rsid w:val="47140C94"/>
    <w:rsid w:val="47264254"/>
    <w:rsid w:val="47641572"/>
    <w:rsid w:val="47711830"/>
    <w:rsid w:val="477737C9"/>
    <w:rsid w:val="47947ED7"/>
    <w:rsid w:val="47EE0FE4"/>
    <w:rsid w:val="48333868"/>
    <w:rsid w:val="48377D91"/>
    <w:rsid w:val="4844740A"/>
    <w:rsid w:val="48480BDD"/>
    <w:rsid w:val="48BA4E3B"/>
    <w:rsid w:val="491D125E"/>
    <w:rsid w:val="492B0A3B"/>
    <w:rsid w:val="49374FBE"/>
    <w:rsid w:val="4938092B"/>
    <w:rsid w:val="495F103C"/>
    <w:rsid w:val="495F31B8"/>
    <w:rsid w:val="49685C25"/>
    <w:rsid w:val="49864A59"/>
    <w:rsid w:val="4991236B"/>
    <w:rsid w:val="49C3733F"/>
    <w:rsid w:val="49CB139A"/>
    <w:rsid w:val="4A3B218B"/>
    <w:rsid w:val="4A7C7F8F"/>
    <w:rsid w:val="4B2F2836"/>
    <w:rsid w:val="4B5D77FE"/>
    <w:rsid w:val="4B662180"/>
    <w:rsid w:val="4B68502C"/>
    <w:rsid w:val="4B904744"/>
    <w:rsid w:val="4B976800"/>
    <w:rsid w:val="4BC85129"/>
    <w:rsid w:val="4BCF2E1C"/>
    <w:rsid w:val="4BDE0AD1"/>
    <w:rsid w:val="4BDF0D6C"/>
    <w:rsid w:val="4BE202E2"/>
    <w:rsid w:val="4BF8070C"/>
    <w:rsid w:val="4C2A312F"/>
    <w:rsid w:val="4C3C5DE2"/>
    <w:rsid w:val="4C525195"/>
    <w:rsid w:val="4C7376AB"/>
    <w:rsid w:val="4CB22D83"/>
    <w:rsid w:val="4CB410BA"/>
    <w:rsid w:val="4CC97324"/>
    <w:rsid w:val="4CCC75F4"/>
    <w:rsid w:val="4CDB5999"/>
    <w:rsid w:val="4CE70BAF"/>
    <w:rsid w:val="4CF642CA"/>
    <w:rsid w:val="4D32625D"/>
    <w:rsid w:val="4D9012EC"/>
    <w:rsid w:val="4D9466DF"/>
    <w:rsid w:val="4DBF477E"/>
    <w:rsid w:val="4DC04257"/>
    <w:rsid w:val="4DEF107C"/>
    <w:rsid w:val="4E1C0791"/>
    <w:rsid w:val="4E7611DE"/>
    <w:rsid w:val="4E85660D"/>
    <w:rsid w:val="4E8A0CBC"/>
    <w:rsid w:val="4EC11CFF"/>
    <w:rsid w:val="4EDF59AF"/>
    <w:rsid w:val="4EE40DDC"/>
    <w:rsid w:val="4EE81FF4"/>
    <w:rsid w:val="4F192B25"/>
    <w:rsid w:val="4F3F4BCC"/>
    <w:rsid w:val="4F40001A"/>
    <w:rsid w:val="4F47427C"/>
    <w:rsid w:val="4F4A54F8"/>
    <w:rsid w:val="4F6500C3"/>
    <w:rsid w:val="4F661F7E"/>
    <w:rsid w:val="4F9C3DCC"/>
    <w:rsid w:val="4FD1635E"/>
    <w:rsid w:val="4FDF52D5"/>
    <w:rsid w:val="4FE96ADF"/>
    <w:rsid w:val="4FED68DC"/>
    <w:rsid w:val="500C5946"/>
    <w:rsid w:val="501C6439"/>
    <w:rsid w:val="50611F26"/>
    <w:rsid w:val="50664FBE"/>
    <w:rsid w:val="50742907"/>
    <w:rsid w:val="508B403A"/>
    <w:rsid w:val="50A414E4"/>
    <w:rsid w:val="50B150AA"/>
    <w:rsid w:val="50DD1205"/>
    <w:rsid w:val="50F15D58"/>
    <w:rsid w:val="51093BB7"/>
    <w:rsid w:val="5146430B"/>
    <w:rsid w:val="516B5AFB"/>
    <w:rsid w:val="516D15EF"/>
    <w:rsid w:val="516F7A6A"/>
    <w:rsid w:val="51C274C6"/>
    <w:rsid w:val="526470E2"/>
    <w:rsid w:val="527F6064"/>
    <w:rsid w:val="52861EB7"/>
    <w:rsid w:val="528F2678"/>
    <w:rsid w:val="52C052D1"/>
    <w:rsid w:val="52D21236"/>
    <w:rsid w:val="52D95BAA"/>
    <w:rsid w:val="52FD45C2"/>
    <w:rsid w:val="53052749"/>
    <w:rsid w:val="5344299E"/>
    <w:rsid w:val="53567FA9"/>
    <w:rsid w:val="537A4878"/>
    <w:rsid w:val="53884D49"/>
    <w:rsid w:val="53893EEA"/>
    <w:rsid w:val="539C626A"/>
    <w:rsid w:val="53CE00B8"/>
    <w:rsid w:val="5454568C"/>
    <w:rsid w:val="5473068E"/>
    <w:rsid w:val="54856274"/>
    <w:rsid w:val="54A9517E"/>
    <w:rsid w:val="54D54DCE"/>
    <w:rsid w:val="54E86B55"/>
    <w:rsid w:val="553116DC"/>
    <w:rsid w:val="553B3C48"/>
    <w:rsid w:val="554D3CEE"/>
    <w:rsid w:val="55772025"/>
    <w:rsid w:val="559E4E2C"/>
    <w:rsid w:val="55C51201"/>
    <w:rsid w:val="56085A32"/>
    <w:rsid w:val="56815ACA"/>
    <w:rsid w:val="56851442"/>
    <w:rsid w:val="56891F7D"/>
    <w:rsid w:val="56DD102C"/>
    <w:rsid w:val="57036D60"/>
    <w:rsid w:val="573E7448"/>
    <w:rsid w:val="576A4745"/>
    <w:rsid w:val="57766F2B"/>
    <w:rsid w:val="5782249F"/>
    <w:rsid w:val="57BD5E4D"/>
    <w:rsid w:val="57E835A4"/>
    <w:rsid w:val="57ED3B31"/>
    <w:rsid w:val="584118DE"/>
    <w:rsid w:val="58550366"/>
    <w:rsid w:val="58693E66"/>
    <w:rsid w:val="588C1193"/>
    <w:rsid w:val="58A322AF"/>
    <w:rsid w:val="59405516"/>
    <w:rsid w:val="594B0060"/>
    <w:rsid w:val="594B715D"/>
    <w:rsid w:val="598B4EA5"/>
    <w:rsid w:val="59D94150"/>
    <w:rsid w:val="59DD3B06"/>
    <w:rsid w:val="59FB24F3"/>
    <w:rsid w:val="5A504690"/>
    <w:rsid w:val="5A8F542C"/>
    <w:rsid w:val="5A9A7B7F"/>
    <w:rsid w:val="5AA020E9"/>
    <w:rsid w:val="5B051E5B"/>
    <w:rsid w:val="5B095BF3"/>
    <w:rsid w:val="5B2F1989"/>
    <w:rsid w:val="5B6921A3"/>
    <w:rsid w:val="5B865977"/>
    <w:rsid w:val="5B9B5A43"/>
    <w:rsid w:val="5BA03029"/>
    <w:rsid w:val="5BA2180E"/>
    <w:rsid w:val="5BBC43EF"/>
    <w:rsid w:val="5C130DBF"/>
    <w:rsid w:val="5C185B49"/>
    <w:rsid w:val="5C3133C9"/>
    <w:rsid w:val="5C4F1667"/>
    <w:rsid w:val="5C5D752A"/>
    <w:rsid w:val="5C9D1A2D"/>
    <w:rsid w:val="5CBC4164"/>
    <w:rsid w:val="5D0224F7"/>
    <w:rsid w:val="5D0653C7"/>
    <w:rsid w:val="5D4D125B"/>
    <w:rsid w:val="5D773E9C"/>
    <w:rsid w:val="5D9F728B"/>
    <w:rsid w:val="5DB652C3"/>
    <w:rsid w:val="5DBE4DB2"/>
    <w:rsid w:val="5DC30428"/>
    <w:rsid w:val="5DEA69EF"/>
    <w:rsid w:val="5E032983"/>
    <w:rsid w:val="5E07476C"/>
    <w:rsid w:val="5E536126"/>
    <w:rsid w:val="5E6815AA"/>
    <w:rsid w:val="5EAB75F6"/>
    <w:rsid w:val="5ECF7E48"/>
    <w:rsid w:val="5F1078D8"/>
    <w:rsid w:val="5F534870"/>
    <w:rsid w:val="5F5F147F"/>
    <w:rsid w:val="5F6B21B9"/>
    <w:rsid w:val="5F6E04A9"/>
    <w:rsid w:val="5F7B4BF2"/>
    <w:rsid w:val="5F8140E8"/>
    <w:rsid w:val="5FA111C0"/>
    <w:rsid w:val="5FA840C8"/>
    <w:rsid w:val="5FC1274C"/>
    <w:rsid w:val="5FD17D97"/>
    <w:rsid w:val="5FEC7770"/>
    <w:rsid w:val="5FEE44DB"/>
    <w:rsid w:val="5FF3306A"/>
    <w:rsid w:val="600953A1"/>
    <w:rsid w:val="60226E2F"/>
    <w:rsid w:val="60796F62"/>
    <w:rsid w:val="60AB52CC"/>
    <w:rsid w:val="60E51090"/>
    <w:rsid w:val="610721DF"/>
    <w:rsid w:val="61226F84"/>
    <w:rsid w:val="612F5D3F"/>
    <w:rsid w:val="61373E01"/>
    <w:rsid w:val="614B7400"/>
    <w:rsid w:val="616E25C0"/>
    <w:rsid w:val="61756C9F"/>
    <w:rsid w:val="617E675E"/>
    <w:rsid w:val="618D52F4"/>
    <w:rsid w:val="61BF21CE"/>
    <w:rsid w:val="61FE23EC"/>
    <w:rsid w:val="62006664"/>
    <w:rsid w:val="620C6DA4"/>
    <w:rsid w:val="625857EF"/>
    <w:rsid w:val="6269217D"/>
    <w:rsid w:val="6269725C"/>
    <w:rsid w:val="62AC30A7"/>
    <w:rsid w:val="62B9556C"/>
    <w:rsid w:val="62E21FE6"/>
    <w:rsid w:val="63477CBA"/>
    <w:rsid w:val="63562B36"/>
    <w:rsid w:val="63640AD8"/>
    <w:rsid w:val="63953886"/>
    <w:rsid w:val="639C3F43"/>
    <w:rsid w:val="63A95D0A"/>
    <w:rsid w:val="63CA64C2"/>
    <w:rsid w:val="63F51382"/>
    <w:rsid w:val="64006EFB"/>
    <w:rsid w:val="641E320A"/>
    <w:rsid w:val="642A296C"/>
    <w:rsid w:val="644F008D"/>
    <w:rsid w:val="646E681E"/>
    <w:rsid w:val="64925CF4"/>
    <w:rsid w:val="64AE1506"/>
    <w:rsid w:val="64CB5CBA"/>
    <w:rsid w:val="64CC0858"/>
    <w:rsid w:val="64FC55D6"/>
    <w:rsid w:val="65030064"/>
    <w:rsid w:val="65AF6083"/>
    <w:rsid w:val="65F45A9C"/>
    <w:rsid w:val="65F52ED8"/>
    <w:rsid w:val="65F732C9"/>
    <w:rsid w:val="660410DC"/>
    <w:rsid w:val="6607729F"/>
    <w:rsid w:val="66107929"/>
    <w:rsid w:val="66144219"/>
    <w:rsid w:val="6627269B"/>
    <w:rsid w:val="66761E23"/>
    <w:rsid w:val="669E2EA4"/>
    <w:rsid w:val="66C8490B"/>
    <w:rsid w:val="66D94778"/>
    <w:rsid w:val="66E97B34"/>
    <w:rsid w:val="66ED6DB5"/>
    <w:rsid w:val="675F5D34"/>
    <w:rsid w:val="67623F7F"/>
    <w:rsid w:val="678C48DD"/>
    <w:rsid w:val="678D547D"/>
    <w:rsid w:val="67937917"/>
    <w:rsid w:val="67C357CB"/>
    <w:rsid w:val="680D6AB9"/>
    <w:rsid w:val="68173E42"/>
    <w:rsid w:val="68322A9D"/>
    <w:rsid w:val="68585F9D"/>
    <w:rsid w:val="68880AC0"/>
    <w:rsid w:val="688B0C3F"/>
    <w:rsid w:val="68954EE6"/>
    <w:rsid w:val="68BC5EE6"/>
    <w:rsid w:val="68CB6066"/>
    <w:rsid w:val="68D1235C"/>
    <w:rsid w:val="68EB00F5"/>
    <w:rsid w:val="692939E8"/>
    <w:rsid w:val="69341CD7"/>
    <w:rsid w:val="693C3C42"/>
    <w:rsid w:val="695C789E"/>
    <w:rsid w:val="69974E79"/>
    <w:rsid w:val="69BB2F33"/>
    <w:rsid w:val="6A0F7DFB"/>
    <w:rsid w:val="6A125B38"/>
    <w:rsid w:val="6A2F781E"/>
    <w:rsid w:val="6A33746E"/>
    <w:rsid w:val="6A674144"/>
    <w:rsid w:val="6AA742DA"/>
    <w:rsid w:val="6AB6668F"/>
    <w:rsid w:val="6AE67343"/>
    <w:rsid w:val="6AE706D4"/>
    <w:rsid w:val="6AEA3B9E"/>
    <w:rsid w:val="6B6A7798"/>
    <w:rsid w:val="6B6E083F"/>
    <w:rsid w:val="6BC164C3"/>
    <w:rsid w:val="6BD630B3"/>
    <w:rsid w:val="6C147AB8"/>
    <w:rsid w:val="6C1C4DCD"/>
    <w:rsid w:val="6C5601CC"/>
    <w:rsid w:val="6C847DFC"/>
    <w:rsid w:val="6CBE2051"/>
    <w:rsid w:val="6D104378"/>
    <w:rsid w:val="6D331048"/>
    <w:rsid w:val="6D486EEA"/>
    <w:rsid w:val="6D7856B9"/>
    <w:rsid w:val="6D933DFA"/>
    <w:rsid w:val="6DAA35A7"/>
    <w:rsid w:val="6DD72EB8"/>
    <w:rsid w:val="6DDB19AD"/>
    <w:rsid w:val="6DDF4468"/>
    <w:rsid w:val="6E6602AD"/>
    <w:rsid w:val="6E694D63"/>
    <w:rsid w:val="6EF563BF"/>
    <w:rsid w:val="6F010B22"/>
    <w:rsid w:val="6F076466"/>
    <w:rsid w:val="6F1352D6"/>
    <w:rsid w:val="6F337B84"/>
    <w:rsid w:val="6F5608CC"/>
    <w:rsid w:val="6F6C19FB"/>
    <w:rsid w:val="6F900364"/>
    <w:rsid w:val="6FA44543"/>
    <w:rsid w:val="6FB4066F"/>
    <w:rsid w:val="7048119C"/>
    <w:rsid w:val="70794EF2"/>
    <w:rsid w:val="70AB017A"/>
    <w:rsid w:val="70B749E1"/>
    <w:rsid w:val="70D35108"/>
    <w:rsid w:val="71041C36"/>
    <w:rsid w:val="710737E0"/>
    <w:rsid w:val="71341F63"/>
    <w:rsid w:val="714006FF"/>
    <w:rsid w:val="714A3765"/>
    <w:rsid w:val="71654F43"/>
    <w:rsid w:val="71BE3339"/>
    <w:rsid w:val="72094297"/>
    <w:rsid w:val="721A5B61"/>
    <w:rsid w:val="726C70BA"/>
    <w:rsid w:val="727E2F3E"/>
    <w:rsid w:val="72824D48"/>
    <w:rsid w:val="72872E0A"/>
    <w:rsid w:val="729563D8"/>
    <w:rsid w:val="729F75AC"/>
    <w:rsid w:val="72A5200B"/>
    <w:rsid w:val="72A970AA"/>
    <w:rsid w:val="72BF19FC"/>
    <w:rsid w:val="72C45383"/>
    <w:rsid w:val="72E06788"/>
    <w:rsid w:val="72FC2DE6"/>
    <w:rsid w:val="730333BC"/>
    <w:rsid w:val="73323036"/>
    <w:rsid w:val="73393104"/>
    <w:rsid w:val="735F4A70"/>
    <w:rsid w:val="737D38DB"/>
    <w:rsid w:val="73907D5F"/>
    <w:rsid w:val="739F4420"/>
    <w:rsid w:val="73CD4AC9"/>
    <w:rsid w:val="73F50ACA"/>
    <w:rsid w:val="73F62DEB"/>
    <w:rsid w:val="744D0491"/>
    <w:rsid w:val="74657E71"/>
    <w:rsid w:val="74714B88"/>
    <w:rsid w:val="747B09FF"/>
    <w:rsid w:val="74BF1B57"/>
    <w:rsid w:val="74CA47ED"/>
    <w:rsid w:val="74F4070E"/>
    <w:rsid w:val="756E3B68"/>
    <w:rsid w:val="75A66501"/>
    <w:rsid w:val="7601345D"/>
    <w:rsid w:val="76F4202E"/>
    <w:rsid w:val="772422D8"/>
    <w:rsid w:val="776D739B"/>
    <w:rsid w:val="777F42E9"/>
    <w:rsid w:val="778133BE"/>
    <w:rsid w:val="77967596"/>
    <w:rsid w:val="779D6F26"/>
    <w:rsid w:val="77AE2B60"/>
    <w:rsid w:val="77E208EC"/>
    <w:rsid w:val="77F0506C"/>
    <w:rsid w:val="781A6671"/>
    <w:rsid w:val="781E5E50"/>
    <w:rsid w:val="783F77B7"/>
    <w:rsid w:val="78484242"/>
    <w:rsid w:val="784B00C7"/>
    <w:rsid w:val="785334EE"/>
    <w:rsid w:val="78603AA7"/>
    <w:rsid w:val="7874451D"/>
    <w:rsid w:val="78991756"/>
    <w:rsid w:val="789F07E0"/>
    <w:rsid w:val="78BB1314"/>
    <w:rsid w:val="78D5554C"/>
    <w:rsid w:val="78F30E2A"/>
    <w:rsid w:val="7919561A"/>
    <w:rsid w:val="793470AA"/>
    <w:rsid w:val="794013BD"/>
    <w:rsid w:val="799A2454"/>
    <w:rsid w:val="7A1112B2"/>
    <w:rsid w:val="7A6B1F56"/>
    <w:rsid w:val="7AAB443C"/>
    <w:rsid w:val="7AC8338F"/>
    <w:rsid w:val="7AE34912"/>
    <w:rsid w:val="7AED6944"/>
    <w:rsid w:val="7AF1296F"/>
    <w:rsid w:val="7B1810B3"/>
    <w:rsid w:val="7B1B54D9"/>
    <w:rsid w:val="7B330D36"/>
    <w:rsid w:val="7B493D2C"/>
    <w:rsid w:val="7B4D3C76"/>
    <w:rsid w:val="7B9B5387"/>
    <w:rsid w:val="7BA65801"/>
    <w:rsid w:val="7BB3324B"/>
    <w:rsid w:val="7BBB3A66"/>
    <w:rsid w:val="7BCA11E7"/>
    <w:rsid w:val="7C0B4190"/>
    <w:rsid w:val="7C160B8E"/>
    <w:rsid w:val="7C3B2AB5"/>
    <w:rsid w:val="7C43213F"/>
    <w:rsid w:val="7C681E92"/>
    <w:rsid w:val="7C935623"/>
    <w:rsid w:val="7CA222FE"/>
    <w:rsid w:val="7CDF55E4"/>
    <w:rsid w:val="7D06498F"/>
    <w:rsid w:val="7D2F0C7A"/>
    <w:rsid w:val="7D3F7E6F"/>
    <w:rsid w:val="7D41260A"/>
    <w:rsid w:val="7D8C3B75"/>
    <w:rsid w:val="7D9B48E2"/>
    <w:rsid w:val="7DF75930"/>
    <w:rsid w:val="7E043B3E"/>
    <w:rsid w:val="7E3C4FE2"/>
    <w:rsid w:val="7E740106"/>
    <w:rsid w:val="7E7F51B3"/>
    <w:rsid w:val="7ED10348"/>
    <w:rsid w:val="7F5F4A1B"/>
    <w:rsid w:val="7F9A7B42"/>
    <w:rsid w:val="7FF333E4"/>
    <w:rsid w:val="DEEE651C"/>
    <w:rsid w:val="EFBF869B"/>
    <w:rsid w:val="FFF6446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8"/>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autoRedefine/>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link w:val="17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51"/>
    <w:autoRedefine/>
    <w:qFormat/>
    <w:uiPriority w:val="0"/>
    <w:pPr>
      <w:keepNext/>
      <w:spacing w:line="440" w:lineRule="exact"/>
      <w:jc w:val="center"/>
      <w:outlineLvl w:val="3"/>
    </w:pPr>
    <w:rPr>
      <w:rFonts w:ascii="仿宋_GB2312" w:eastAsia="仿宋_GB2312"/>
      <w:sz w:val="28"/>
      <w:szCs w:val="28"/>
    </w:rPr>
  </w:style>
  <w:style w:type="character" w:default="1" w:styleId="32">
    <w:name w:val="Default Paragraph Font"/>
    <w:autoRedefine/>
    <w:unhideWhenUsed/>
    <w:qFormat/>
    <w:uiPriority w:val="1"/>
  </w:style>
  <w:style w:type="table" w:default="1" w:styleId="30">
    <w:name w:val="Normal Table"/>
    <w:autoRedefine/>
    <w:unhideWhenUsed/>
    <w:qFormat/>
    <w:uiPriority w:val="99"/>
    <w:tblPr>
      <w:tblCellMar>
        <w:top w:w="0" w:type="dxa"/>
        <w:left w:w="108" w:type="dxa"/>
        <w:bottom w:w="0" w:type="dxa"/>
        <w:right w:w="108" w:type="dxa"/>
      </w:tblCellMar>
    </w:tblPr>
  </w:style>
  <w:style w:type="paragraph" w:styleId="6">
    <w:name w:val="Normal Indent"/>
    <w:basedOn w:val="1"/>
    <w:link w:val="52"/>
    <w:autoRedefine/>
    <w:qFormat/>
    <w:uiPriority w:val="0"/>
    <w:pPr>
      <w:ind w:firstLine="420"/>
    </w:pPr>
    <w:rPr>
      <w:szCs w:val="21"/>
    </w:rPr>
  </w:style>
  <w:style w:type="paragraph" w:styleId="7">
    <w:name w:val="Document Map"/>
    <w:basedOn w:val="1"/>
    <w:link w:val="53"/>
    <w:autoRedefine/>
    <w:qFormat/>
    <w:uiPriority w:val="0"/>
    <w:pPr>
      <w:shd w:val="clear" w:color="auto" w:fill="000080"/>
    </w:pPr>
  </w:style>
  <w:style w:type="paragraph" w:styleId="8">
    <w:name w:val="annotation text"/>
    <w:basedOn w:val="1"/>
    <w:link w:val="54"/>
    <w:autoRedefine/>
    <w:qFormat/>
    <w:uiPriority w:val="0"/>
    <w:pPr>
      <w:jc w:val="left"/>
    </w:pPr>
  </w:style>
  <w:style w:type="paragraph" w:styleId="9">
    <w:name w:val="Body Text"/>
    <w:basedOn w:val="1"/>
    <w:link w:val="55"/>
    <w:autoRedefine/>
    <w:qFormat/>
    <w:uiPriority w:val="0"/>
    <w:pPr>
      <w:spacing w:after="120"/>
    </w:pPr>
    <w:rPr>
      <w:kern w:val="0"/>
      <w:sz w:val="24"/>
    </w:rPr>
  </w:style>
  <w:style w:type="paragraph" w:styleId="10">
    <w:name w:val="Body Text Indent"/>
    <w:basedOn w:val="1"/>
    <w:link w:val="56"/>
    <w:autoRedefine/>
    <w:qFormat/>
    <w:uiPriority w:val="0"/>
    <w:pPr>
      <w:ind w:firstLine="830" w:firstLineChars="352"/>
    </w:pPr>
    <w:rPr>
      <w:rFonts w:ascii="仿宋_GB2312" w:eastAsia="仿宋_GB2312"/>
      <w:kern w:val="0"/>
      <w:sz w:val="32"/>
      <w:szCs w:val="32"/>
    </w:rPr>
  </w:style>
  <w:style w:type="paragraph" w:styleId="11">
    <w:name w:val="Block Text"/>
    <w:basedOn w:val="1"/>
    <w:autoRedefine/>
    <w:qFormat/>
    <w:uiPriority w:val="0"/>
    <w:pPr>
      <w:autoSpaceDE w:val="0"/>
      <w:autoSpaceDN w:val="0"/>
      <w:adjustRightInd w:val="0"/>
      <w:spacing w:line="500" w:lineRule="exact"/>
      <w:ind w:left="391" w:right="246"/>
    </w:pPr>
    <w:rPr>
      <w:rFonts w:ascii="仿宋_GB2312" w:eastAsia="仿宋_GB2312" w:cs="仿宋_GB2312"/>
      <w:kern w:val="0"/>
      <w:sz w:val="24"/>
    </w:rPr>
  </w:style>
  <w:style w:type="paragraph" w:styleId="12">
    <w:name w:val="toc 3"/>
    <w:basedOn w:val="1"/>
    <w:next w:val="1"/>
    <w:autoRedefine/>
    <w:qFormat/>
    <w:uiPriority w:val="0"/>
    <w:pPr>
      <w:widowControl/>
      <w:spacing w:after="100" w:line="276" w:lineRule="auto"/>
      <w:ind w:left="440"/>
      <w:jc w:val="left"/>
    </w:pPr>
    <w:rPr>
      <w:rFonts w:ascii="Calibri" w:hAnsi="Calibri"/>
      <w:kern w:val="0"/>
      <w:sz w:val="22"/>
      <w:szCs w:val="22"/>
    </w:rPr>
  </w:style>
  <w:style w:type="paragraph" w:styleId="13">
    <w:name w:val="Plain Text"/>
    <w:basedOn w:val="1"/>
    <w:link w:val="57"/>
    <w:autoRedefine/>
    <w:qFormat/>
    <w:uiPriority w:val="0"/>
    <w:rPr>
      <w:rFonts w:ascii="宋体" w:hAnsi="Courier New"/>
      <w:kern w:val="0"/>
      <w:szCs w:val="21"/>
    </w:rPr>
  </w:style>
  <w:style w:type="paragraph" w:styleId="14">
    <w:name w:val="Date"/>
    <w:basedOn w:val="1"/>
    <w:next w:val="1"/>
    <w:link w:val="58"/>
    <w:autoRedefine/>
    <w:qFormat/>
    <w:uiPriority w:val="0"/>
    <w:pPr>
      <w:ind w:left="100" w:leftChars="2500"/>
    </w:pPr>
    <w:rPr>
      <w:rFonts w:ascii="宋体" w:hAnsi="Courier New"/>
      <w:kern w:val="0"/>
      <w:szCs w:val="21"/>
    </w:rPr>
  </w:style>
  <w:style w:type="paragraph" w:styleId="15">
    <w:name w:val="Body Text Indent 2"/>
    <w:basedOn w:val="1"/>
    <w:link w:val="59"/>
    <w:autoRedefine/>
    <w:qFormat/>
    <w:uiPriority w:val="0"/>
    <w:pPr>
      <w:spacing w:after="120" w:line="480" w:lineRule="auto"/>
      <w:ind w:left="420" w:leftChars="200"/>
    </w:pPr>
    <w:rPr>
      <w:kern w:val="0"/>
      <w:sz w:val="24"/>
    </w:rPr>
  </w:style>
  <w:style w:type="paragraph" w:styleId="16">
    <w:name w:val="Balloon Text"/>
    <w:basedOn w:val="1"/>
    <w:link w:val="60"/>
    <w:autoRedefine/>
    <w:qFormat/>
    <w:uiPriority w:val="0"/>
    <w:rPr>
      <w:sz w:val="18"/>
      <w:szCs w:val="18"/>
    </w:rPr>
  </w:style>
  <w:style w:type="paragraph" w:styleId="17">
    <w:name w:val="footer"/>
    <w:basedOn w:val="1"/>
    <w:link w:val="61"/>
    <w:autoRedefine/>
    <w:qFormat/>
    <w:uiPriority w:val="99"/>
    <w:pPr>
      <w:tabs>
        <w:tab w:val="center" w:pos="4153"/>
        <w:tab w:val="right" w:pos="8306"/>
      </w:tabs>
      <w:snapToGrid w:val="0"/>
      <w:jc w:val="left"/>
    </w:pPr>
    <w:rPr>
      <w:sz w:val="18"/>
      <w:szCs w:val="18"/>
    </w:rPr>
  </w:style>
  <w:style w:type="paragraph" w:styleId="18">
    <w:name w:val="header"/>
    <w:basedOn w:val="1"/>
    <w:link w:val="62"/>
    <w:autoRedefine/>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qFormat/>
    <w:uiPriority w:val="0"/>
    <w:pPr>
      <w:tabs>
        <w:tab w:val="right" w:leader="dot" w:pos="8834"/>
      </w:tabs>
      <w:spacing w:before="120" w:after="120"/>
      <w:jc w:val="left"/>
    </w:pPr>
    <w:rPr>
      <w:b/>
      <w:bCs/>
      <w:caps/>
      <w:sz w:val="28"/>
      <w:szCs w:val="28"/>
    </w:rPr>
  </w:style>
  <w:style w:type="paragraph" w:styleId="20">
    <w:name w:val="Subtitle"/>
    <w:basedOn w:val="1"/>
    <w:next w:val="1"/>
    <w:link w:val="63"/>
    <w:autoRedefine/>
    <w:qFormat/>
    <w:uiPriority w:val="0"/>
    <w:pPr>
      <w:spacing w:before="240" w:after="60" w:line="312" w:lineRule="auto"/>
      <w:jc w:val="center"/>
      <w:outlineLvl w:val="1"/>
    </w:pPr>
    <w:rPr>
      <w:rFonts w:ascii="Cambria" w:hAnsi="Cambria" w:eastAsia="方正楷体简体"/>
      <w:kern w:val="28"/>
      <w:sz w:val="32"/>
      <w:szCs w:val="32"/>
    </w:rPr>
  </w:style>
  <w:style w:type="paragraph" w:styleId="21">
    <w:name w:val="footnote text"/>
    <w:basedOn w:val="1"/>
    <w:autoRedefine/>
    <w:qFormat/>
    <w:uiPriority w:val="0"/>
    <w:rPr>
      <w:sz w:val="18"/>
    </w:rPr>
  </w:style>
  <w:style w:type="paragraph" w:styleId="22">
    <w:name w:val="Body Text Indent 3"/>
    <w:basedOn w:val="1"/>
    <w:link w:val="64"/>
    <w:autoRedefine/>
    <w:qFormat/>
    <w:uiPriority w:val="0"/>
    <w:pPr>
      <w:spacing w:after="120"/>
      <w:ind w:left="420" w:leftChars="200"/>
    </w:pPr>
    <w:rPr>
      <w:kern w:val="0"/>
      <w:sz w:val="16"/>
      <w:szCs w:val="16"/>
    </w:rPr>
  </w:style>
  <w:style w:type="paragraph" w:styleId="23">
    <w:name w:val="toc 2"/>
    <w:basedOn w:val="1"/>
    <w:next w:val="1"/>
    <w:autoRedefine/>
    <w:qFormat/>
    <w:uiPriority w:val="0"/>
    <w:pPr>
      <w:ind w:left="420" w:leftChars="200"/>
    </w:pPr>
    <w:rPr>
      <w:szCs w:val="21"/>
    </w:rPr>
  </w:style>
  <w:style w:type="paragraph" w:styleId="24">
    <w:name w:val="HTML Preformatted"/>
    <w:basedOn w:val="1"/>
    <w:link w:val="65"/>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25">
    <w:name w:val="Normal (Web)"/>
    <w:basedOn w:val="1"/>
    <w:link w:val="66"/>
    <w:autoRedefine/>
    <w:qFormat/>
    <w:uiPriority w:val="99"/>
    <w:pPr>
      <w:widowControl/>
      <w:spacing w:before="100" w:beforeAutospacing="1" w:after="100" w:afterAutospacing="1"/>
      <w:jc w:val="left"/>
    </w:pPr>
    <w:rPr>
      <w:rFonts w:ascii="宋体" w:hAnsi="宋体"/>
      <w:kern w:val="0"/>
      <w:sz w:val="24"/>
    </w:rPr>
  </w:style>
  <w:style w:type="paragraph" w:styleId="26">
    <w:name w:val="Title"/>
    <w:basedOn w:val="1"/>
    <w:next w:val="1"/>
    <w:link w:val="67"/>
    <w:autoRedefine/>
    <w:qFormat/>
    <w:uiPriority w:val="0"/>
    <w:pPr>
      <w:spacing w:before="240" w:after="60"/>
      <w:jc w:val="center"/>
      <w:outlineLvl w:val="0"/>
    </w:pPr>
    <w:rPr>
      <w:rFonts w:ascii="Cambria" w:hAnsi="Cambria" w:eastAsia="方正小标宋简体"/>
      <w:b/>
      <w:bCs/>
      <w:sz w:val="32"/>
      <w:szCs w:val="32"/>
    </w:rPr>
  </w:style>
  <w:style w:type="paragraph" w:styleId="27">
    <w:name w:val="annotation subject"/>
    <w:basedOn w:val="8"/>
    <w:next w:val="8"/>
    <w:link w:val="68"/>
    <w:autoRedefine/>
    <w:qFormat/>
    <w:uiPriority w:val="0"/>
    <w:rPr>
      <w:b/>
      <w:bCs/>
      <w:szCs w:val="21"/>
    </w:rPr>
  </w:style>
  <w:style w:type="paragraph" w:styleId="28">
    <w:name w:val="Body Text First Indent"/>
    <w:basedOn w:val="9"/>
    <w:link w:val="69"/>
    <w:autoRedefine/>
    <w:qFormat/>
    <w:uiPriority w:val="0"/>
    <w:pPr>
      <w:spacing w:line="560" w:lineRule="exact"/>
      <w:ind w:firstLine="420" w:firstLineChars="100"/>
    </w:pPr>
    <w:rPr>
      <w:kern w:val="2"/>
      <w:sz w:val="21"/>
      <w:szCs w:val="22"/>
    </w:rPr>
  </w:style>
  <w:style w:type="paragraph" w:styleId="29">
    <w:name w:val="Body Text First Indent 2"/>
    <w:basedOn w:val="10"/>
    <w:autoRedefine/>
    <w:qFormat/>
    <w:uiPriority w:val="0"/>
    <w:pPr>
      <w:spacing w:after="120" w:line="360" w:lineRule="auto"/>
      <w:ind w:left="420" w:leftChars="200" w:firstLine="210" w:firstLineChars="200"/>
    </w:pPr>
    <w:rPr>
      <w:sz w:val="21"/>
    </w:rPr>
  </w:style>
  <w:style w:type="table" w:styleId="31">
    <w:name w:val="Table Grid"/>
    <w:basedOn w:val="30"/>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autoRedefine/>
    <w:qFormat/>
    <w:uiPriority w:val="0"/>
    <w:rPr>
      <w:b/>
      <w:bCs/>
    </w:rPr>
  </w:style>
  <w:style w:type="character" w:styleId="34">
    <w:name w:val="page number"/>
    <w:basedOn w:val="32"/>
    <w:autoRedefine/>
    <w:qFormat/>
    <w:uiPriority w:val="0"/>
  </w:style>
  <w:style w:type="character" w:styleId="35">
    <w:name w:val="FollowedHyperlink"/>
    <w:autoRedefine/>
    <w:qFormat/>
    <w:uiPriority w:val="0"/>
    <w:rPr>
      <w:color w:val="800080"/>
      <w:u w:val="none"/>
    </w:rPr>
  </w:style>
  <w:style w:type="character" w:styleId="36">
    <w:name w:val="Emphasis"/>
    <w:autoRedefine/>
    <w:qFormat/>
    <w:uiPriority w:val="0"/>
    <w:rPr>
      <w:b/>
      <w:bCs/>
    </w:rPr>
  </w:style>
  <w:style w:type="character" w:styleId="37">
    <w:name w:val="HTML Definition"/>
    <w:autoRedefine/>
    <w:qFormat/>
    <w:uiPriority w:val="0"/>
  </w:style>
  <w:style w:type="character" w:styleId="38">
    <w:name w:val="HTML Typewriter"/>
    <w:autoRedefine/>
    <w:qFormat/>
    <w:uiPriority w:val="0"/>
    <w:rPr>
      <w:rFonts w:hint="default" w:ascii="monospace" w:hAnsi="monospace" w:eastAsia="monospace" w:cs="monospace"/>
      <w:sz w:val="20"/>
    </w:rPr>
  </w:style>
  <w:style w:type="character" w:styleId="39">
    <w:name w:val="HTML Acronym"/>
    <w:autoRedefine/>
    <w:qFormat/>
    <w:uiPriority w:val="0"/>
  </w:style>
  <w:style w:type="character" w:styleId="40">
    <w:name w:val="HTML Variable"/>
    <w:autoRedefine/>
    <w:qFormat/>
    <w:uiPriority w:val="0"/>
  </w:style>
  <w:style w:type="character" w:styleId="41">
    <w:name w:val="Hyperlink"/>
    <w:autoRedefine/>
    <w:qFormat/>
    <w:uiPriority w:val="0"/>
    <w:rPr>
      <w:color w:val="0000FF"/>
      <w:u w:val="none"/>
    </w:rPr>
  </w:style>
  <w:style w:type="character" w:styleId="42">
    <w:name w:val="HTML Code"/>
    <w:autoRedefine/>
    <w:qFormat/>
    <w:uiPriority w:val="0"/>
    <w:rPr>
      <w:rFonts w:ascii="monospace" w:hAnsi="monospace" w:eastAsia="monospace" w:cs="monospace"/>
      <w:sz w:val="20"/>
    </w:rPr>
  </w:style>
  <w:style w:type="character" w:styleId="43">
    <w:name w:val="annotation reference"/>
    <w:autoRedefine/>
    <w:qFormat/>
    <w:uiPriority w:val="0"/>
    <w:rPr>
      <w:sz w:val="21"/>
      <w:szCs w:val="21"/>
    </w:rPr>
  </w:style>
  <w:style w:type="character" w:styleId="44">
    <w:name w:val="HTML Cite"/>
    <w:autoRedefine/>
    <w:qFormat/>
    <w:uiPriority w:val="0"/>
  </w:style>
  <w:style w:type="character" w:styleId="45">
    <w:name w:val="HTML Keyboard"/>
    <w:autoRedefine/>
    <w:qFormat/>
    <w:uiPriority w:val="0"/>
    <w:rPr>
      <w:rFonts w:hint="default" w:ascii="monospace" w:hAnsi="monospace" w:eastAsia="monospace" w:cs="monospace"/>
      <w:sz w:val="20"/>
    </w:rPr>
  </w:style>
  <w:style w:type="character" w:styleId="46">
    <w:name w:val="HTML Sample"/>
    <w:autoRedefine/>
    <w:qFormat/>
    <w:uiPriority w:val="0"/>
    <w:rPr>
      <w:rFonts w:hint="default" w:ascii="monospace" w:hAnsi="monospace" w:eastAsia="monospace" w:cs="monospace"/>
    </w:rPr>
  </w:style>
  <w:style w:type="paragraph" w:styleId="47">
    <w:name w:val="List Paragraph"/>
    <w:basedOn w:val="1"/>
    <w:next w:val="1"/>
    <w:link w:val="102"/>
    <w:autoRedefine/>
    <w:qFormat/>
    <w:uiPriority w:val="0"/>
    <w:pPr>
      <w:ind w:firstLine="420" w:firstLineChars="200"/>
    </w:pPr>
    <w:rPr>
      <w:szCs w:val="21"/>
    </w:rPr>
  </w:style>
  <w:style w:type="character" w:customStyle="1" w:styleId="48">
    <w:name w:val="标题 1 Char"/>
    <w:link w:val="2"/>
    <w:autoRedefine/>
    <w:qFormat/>
    <w:uiPriority w:val="0"/>
    <w:rPr>
      <w:b/>
      <w:bCs/>
      <w:kern w:val="44"/>
      <w:sz w:val="44"/>
      <w:szCs w:val="44"/>
    </w:rPr>
  </w:style>
  <w:style w:type="character" w:customStyle="1" w:styleId="49">
    <w:name w:val="标题 2 Char"/>
    <w:link w:val="3"/>
    <w:autoRedefine/>
    <w:qFormat/>
    <w:uiPriority w:val="0"/>
    <w:rPr>
      <w:rFonts w:ascii="Arial" w:hAnsi="Arial" w:eastAsia="宋体"/>
      <w:b/>
      <w:bCs/>
      <w:kern w:val="2"/>
      <w:sz w:val="32"/>
      <w:szCs w:val="32"/>
      <w:lang w:val="en-US" w:eastAsia="zh-CN" w:bidi="ar-SA"/>
    </w:rPr>
  </w:style>
  <w:style w:type="character" w:customStyle="1" w:styleId="50">
    <w:name w:val="标题 3 Char"/>
    <w:link w:val="4"/>
    <w:autoRedefine/>
    <w:qFormat/>
    <w:uiPriority w:val="0"/>
    <w:rPr>
      <w:b/>
      <w:bCs/>
      <w:kern w:val="2"/>
      <w:sz w:val="32"/>
      <w:szCs w:val="32"/>
    </w:rPr>
  </w:style>
  <w:style w:type="character" w:customStyle="1" w:styleId="51">
    <w:name w:val="标题 4 Char"/>
    <w:link w:val="5"/>
    <w:autoRedefine/>
    <w:qFormat/>
    <w:uiPriority w:val="0"/>
    <w:rPr>
      <w:rFonts w:ascii="仿宋_GB2312" w:eastAsia="仿宋_GB2312" w:cs="仿宋_GB2312"/>
      <w:kern w:val="2"/>
      <w:sz w:val="28"/>
      <w:szCs w:val="28"/>
    </w:rPr>
  </w:style>
  <w:style w:type="character" w:customStyle="1" w:styleId="52">
    <w:name w:val="正文缩进 Char"/>
    <w:link w:val="6"/>
    <w:autoRedefine/>
    <w:qFormat/>
    <w:uiPriority w:val="0"/>
    <w:rPr>
      <w:kern w:val="2"/>
      <w:sz w:val="21"/>
      <w:szCs w:val="21"/>
    </w:rPr>
  </w:style>
  <w:style w:type="character" w:customStyle="1" w:styleId="53">
    <w:name w:val="文档结构图 Char"/>
    <w:link w:val="7"/>
    <w:autoRedefine/>
    <w:qFormat/>
    <w:uiPriority w:val="0"/>
    <w:rPr>
      <w:kern w:val="2"/>
      <w:sz w:val="21"/>
      <w:szCs w:val="24"/>
      <w:shd w:val="clear" w:color="auto" w:fill="000080"/>
    </w:rPr>
  </w:style>
  <w:style w:type="character" w:customStyle="1" w:styleId="54">
    <w:name w:val="批注文字 Char"/>
    <w:link w:val="8"/>
    <w:autoRedefine/>
    <w:qFormat/>
    <w:uiPriority w:val="0"/>
    <w:rPr>
      <w:kern w:val="2"/>
      <w:sz w:val="21"/>
      <w:szCs w:val="24"/>
    </w:rPr>
  </w:style>
  <w:style w:type="character" w:customStyle="1" w:styleId="55">
    <w:name w:val="正文文本 Char"/>
    <w:link w:val="9"/>
    <w:autoRedefine/>
    <w:qFormat/>
    <w:uiPriority w:val="0"/>
    <w:rPr>
      <w:sz w:val="24"/>
      <w:szCs w:val="24"/>
    </w:rPr>
  </w:style>
  <w:style w:type="character" w:customStyle="1" w:styleId="56">
    <w:name w:val="正文文本缩进 Char"/>
    <w:link w:val="10"/>
    <w:autoRedefine/>
    <w:qFormat/>
    <w:uiPriority w:val="0"/>
    <w:rPr>
      <w:rFonts w:ascii="仿宋_GB2312" w:eastAsia="仿宋_GB2312"/>
      <w:sz w:val="32"/>
      <w:szCs w:val="32"/>
    </w:rPr>
  </w:style>
  <w:style w:type="character" w:customStyle="1" w:styleId="57">
    <w:name w:val="纯文本 Char"/>
    <w:link w:val="13"/>
    <w:autoRedefine/>
    <w:qFormat/>
    <w:uiPriority w:val="0"/>
    <w:rPr>
      <w:rFonts w:ascii="宋体" w:hAnsi="Courier New"/>
      <w:sz w:val="21"/>
      <w:szCs w:val="21"/>
    </w:rPr>
  </w:style>
  <w:style w:type="character" w:customStyle="1" w:styleId="58">
    <w:name w:val="日期 Char"/>
    <w:link w:val="14"/>
    <w:autoRedefine/>
    <w:qFormat/>
    <w:uiPriority w:val="0"/>
    <w:rPr>
      <w:rFonts w:ascii="宋体" w:hAnsi="Courier New"/>
      <w:sz w:val="21"/>
      <w:szCs w:val="21"/>
    </w:rPr>
  </w:style>
  <w:style w:type="character" w:customStyle="1" w:styleId="59">
    <w:name w:val="正文文本缩进 2 Char"/>
    <w:link w:val="15"/>
    <w:autoRedefine/>
    <w:qFormat/>
    <w:uiPriority w:val="0"/>
    <w:rPr>
      <w:sz w:val="24"/>
      <w:szCs w:val="24"/>
    </w:rPr>
  </w:style>
  <w:style w:type="character" w:customStyle="1" w:styleId="60">
    <w:name w:val="批注框文本 Char"/>
    <w:link w:val="16"/>
    <w:autoRedefine/>
    <w:qFormat/>
    <w:uiPriority w:val="0"/>
    <w:rPr>
      <w:kern w:val="2"/>
      <w:sz w:val="18"/>
      <w:szCs w:val="18"/>
    </w:rPr>
  </w:style>
  <w:style w:type="character" w:customStyle="1" w:styleId="61">
    <w:name w:val="页脚 Char1"/>
    <w:link w:val="17"/>
    <w:autoRedefine/>
    <w:qFormat/>
    <w:uiPriority w:val="99"/>
    <w:rPr>
      <w:kern w:val="2"/>
      <w:sz w:val="18"/>
      <w:szCs w:val="18"/>
    </w:rPr>
  </w:style>
  <w:style w:type="character" w:customStyle="1" w:styleId="62">
    <w:name w:val="页眉 Char"/>
    <w:link w:val="18"/>
    <w:autoRedefine/>
    <w:qFormat/>
    <w:uiPriority w:val="0"/>
    <w:rPr>
      <w:kern w:val="2"/>
      <w:sz w:val="18"/>
      <w:szCs w:val="18"/>
    </w:rPr>
  </w:style>
  <w:style w:type="character" w:customStyle="1" w:styleId="63">
    <w:name w:val="副标题 Char"/>
    <w:link w:val="20"/>
    <w:autoRedefine/>
    <w:qFormat/>
    <w:uiPriority w:val="0"/>
    <w:rPr>
      <w:rFonts w:ascii="Cambria" w:hAnsi="Cambria" w:eastAsia="方正楷体简体"/>
      <w:kern w:val="28"/>
      <w:sz w:val="32"/>
      <w:szCs w:val="32"/>
    </w:rPr>
  </w:style>
  <w:style w:type="character" w:customStyle="1" w:styleId="64">
    <w:name w:val="正文文本缩进 3 Char"/>
    <w:link w:val="22"/>
    <w:autoRedefine/>
    <w:qFormat/>
    <w:uiPriority w:val="0"/>
    <w:rPr>
      <w:sz w:val="16"/>
      <w:szCs w:val="16"/>
    </w:rPr>
  </w:style>
  <w:style w:type="character" w:customStyle="1" w:styleId="65">
    <w:name w:val="HTML 预设格式 Char"/>
    <w:link w:val="24"/>
    <w:autoRedefine/>
    <w:qFormat/>
    <w:uiPriority w:val="0"/>
    <w:rPr>
      <w:rFonts w:ascii="Courier New" w:hAnsi="Courier New" w:cs="Courier New"/>
      <w:lang w:eastAsia="en-US"/>
    </w:rPr>
  </w:style>
  <w:style w:type="character" w:customStyle="1" w:styleId="66">
    <w:name w:val="普通(网站) Char"/>
    <w:link w:val="25"/>
    <w:autoRedefine/>
    <w:qFormat/>
    <w:uiPriority w:val="99"/>
    <w:rPr>
      <w:rFonts w:ascii="宋体" w:hAnsi="宋体" w:cs="宋体"/>
      <w:sz w:val="24"/>
      <w:szCs w:val="24"/>
    </w:rPr>
  </w:style>
  <w:style w:type="character" w:customStyle="1" w:styleId="67">
    <w:name w:val="标题 Char"/>
    <w:link w:val="26"/>
    <w:autoRedefine/>
    <w:qFormat/>
    <w:uiPriority w:val="0"/>
    <w:rPr>
      <w:rFonts w:ascii="Cambria" w:hAnsi="Cambria" w:eastAsia="方正小标宋简体"/>
      <w:b/>
      <w:bCs/>
      <w:kern w:val="2"/>
      <w:sz w:val="32"/>
      <w:szCs w:val="32"/>
    </w:rPr>
  </w:style>
  <w:style w:type="character" w:customStyle="1" w:styleId="68">
    <w:name w:val="批注主题 Char"/>
    <w:link w:val="27"/>
    <w:autoRedefine/>
    <w:qFormat/>
    <w:uiPriority w:val="0"/>
    <w:rPr>
      <w:b/>
      <w:bCs/>
      <w:kern w:val="2"/>
      <w:sz w:val="21"/>
      <w:szCs w:val="21"/>
    </w:rPr>
  </w:style>
  <w:style w:type="character" w:customStyle="1" w:styleId="69">
    <w:name w:val="正文首行缩进 Char"/>
    <w:link w:val="28"/>
    <w:autoRedefine/>
    <w:qFormat/>
    <w:uiPriority w:val="0"/>
    <w:rPr>
      <w:kern w:val="2"/>
      <w:sz w:val="21"/>
      <w:szCs w:val="22"/>
    </w:rPr>
  </w:style>
  <w:style w:type="character" w:customStyle="1" w:styleId="70">
    <w:name w:val="标题 2 Char1"/>
    <w:autoRedefine/>
    <w:qFormat/>
    <w:uiPriority w:val="0"/>
    <w:rPr>
      <w:rFonts w:ascii="Arial" w:hAnsi="Arial"/>
      <w:b/>
      <w:bCs/>
      <w:kern w:val="2"/>
      <w:sz w:val="28"/>
      <w:szCs w:val="32"/>
    </w:rPr>
  </w:style>
  <w:style w:type="character" w:customStyle="1" w:styleId="71">
    <w:name w:val="case31"/>
    <w:autoRedefine/>
    <w:qFormat/>
    <w:uiPriority w:val="0"/>
    <w:rPr>
      <w:sz w:val="21"/>
      <w:szCs w:val="21"/>
    </w:rPr>
  </w:style>
  <w:style w:type="character" w:customStyle="1" w:styleId="72">
    <w:name w:val="Body Text Indent 2 Char"/>
    <w:autoRedefine/>
    <w:qFormat/>
    <w:locked/>
    <w:uiPriority w:val="0"/>
    <w:rPr>
      <w:rFonts w:ascii="Times New Roman" w:hAnsi="Times New Roman" w:cs="Times New Roman"/>
      <w:sz w:val="24"/>
      <w:szCs w:val="24"/>
    </w:rPr>
  </w:style>
  <w:style w:type="character" w:customStyle="1" w:styleId="73">
    <w:name w:val="Body Text Indent 3 Char"/>
    <w:autoRedefine/>
    <w:qFormat/>
    <w:locked/>
    <w:uiPriority w:val="0"/>
    <w:rPr>
      <w:rFonts w:ascii="Times New Roman" w:hAnsi="Times New Roman" w:cs="Times New Roman"/>
      <w:sz w:val="16"/>
      <w:szCs w:val="16"/>
    </w:rPr>
  </w:style>
  <w:style w:type="character" w:customStyle="1" w:styleId="74">
    <w:name w:val="Header Char"/>
    <w:autoRedefine/>
    <w:qFormat/>
    <w:locked/>
    <w:uiPriority w:val="0"/>
    <w:rPr>
      <w:rFonts w:ascii="Times New Roman" w:hAnsi="Times New Roman" w:cs="Times New Roman"/>
      <w:sz w:val="18"/>
      <w:szCs w:val="18"/>
    </w:rPr>
  </w:style>
  <w:style w:type="character" w:customStyle="1" w:styleId="75">
    <w:name w:val="Title Char"/>
    <w:autoRedefine/>
    <w:qFormat/>
    <w:locked/>
    <w:uiPriority w:val="0"/>
    <w:rPr>
      <w:rFonts w:ascii="Cambria" w:hAnsi="Cambria" w:eastAsia="方正小标宋简体" w:cs="Cambria"/>
      <w:b/>
      <w:bCs/>
      <w:kern w:val="2"/>
      <w:sz w:val="32"/>
      <w:szCs w:val="32"/>
    </w:rPr>
  </w:style>
  <w:style w:type="character" w:customStyle="1" w:styleId="76">
    <w:name w:val="Date Char"/>
    <w:autoRedefine/>
    <w:qFormat/>
    <w:locked/>
    <w:uiPriority w:val="0"/>
    <w:rPr>
      <w:rFonts w:ascii="宋体" w:hAnsi="Courier New" w:cs="宋体"/>
      <w:sz w:val="21"/>
      <w:szCs w:val="21"/>
    </w:rPr>
  </w:style>
  <w:style w:type="character" w:customStyle="1" w:styleId="77">
    <w:name w:val="其他_"/>
    <w:link w:val="78"/>
    <w:autoRedefine/>
    <w:qFormat/>
    <w:uiPriority w:val="0"/>
    <w:rPr>
      <w:rFonts w:ascii="MingLiU" w:hAnsi="MingLiU" w:eastAsia="MingLiU" w:cs="MingLiU"/>
      <w:sz w:val="8"/>
      <w:szCs w:val="8"/>
      <w:shd w:val="clear" w:color="auto" w:fill="FFFFFF"/>
      <w:lang w:val="zh-CN" w:bidi="zh-CN"/>
    </w:rPr>
  </w:style>
  <w:style w:type="paragraph" w:customStyle="1" w:styleId="78">
    <w:name w:val="其他"/>
    <w:basedOn w:val="1"/>
    <w:link w:val="77"/>
    <w:autoRedefine/>
    <w:qFormat/>
    <w:uiPriority w:val="0"/>
    <w:pPr>
      <w:shd w:val="clear" w:color="auto" w:fill="FFFFFF"/>
      <w:spacing w:line="286" w:lineRule="auto"/>
      <w:ind w:firstLine="170"/>
      <w:jc w:val="left"/>
    </w:pPr>
    <w:rPr>
      <w:rFonts w:ascii="MingLiU" w:hAnsi="MingLiU" w:eastAsia="MingLiU" w:cs="MingLiU"/>
      <w:kern w:val="0"/>
      <w:sz w:val="8"/>
      <w:szCs w:val="8"/>
      <w:lang w:val="zh-CN" w:bidi="zh-CN"/>
    </w:rPr>
  </w:style>
  <w:style w:type="character" w:customStyle="1" w:styleId="79">
    <w:name w:val="批注主题 Char1"/>
    <w:autoRedefine/>
    <w:qFormat/>
    <w:uiPriority w:val="0"/>
    <w:rPr>
      <w:b/>
      <w:bCs/>
      <w:kern w:val="2"/>
      <w:sz w:val="21"/>
      <w:szCs w:val="22"/>
    </w:rPr>
  </w:style>
  <w:style w:type="character" w:customStyle="1" w:styleId="80">
    <w:name w:val="Char Char4"/>
    <w:autoRedefine/>
    <w:qFormat/>
    <w:uiPriority w:val="0"/>
    <w:rPr>
      <w:rFonts w:eastAsia="宋体"/>
      <w:b/>
      <w:bCs/>
      <w:kern w:val="44"/>
      <w:sz w:val="44"/>
      <w:szCs w:val="44"/>
      <w:lang w:val="en-US" w:eastAsia="zh-CN"/>
    </w:rPr>
  </w:style>
  <w:style w:type="character" w:customStyle="1" w:styleId="81">
    <w:name w:val="fontstyle01"/>
    <w:autoRedefine/>
    <w:qFormat/>
    <w:uiPriority w:val="0"/>
    <w:rPr>
      <w:rFonts w:hint="eastAsia" w:ascii="宋体" w:hAnsi="宋体" w:eastAsia="宋体"/>
      <w:color w:val="000000"/>
      <w:sz w:val="24"/>
      <w:szCs w:val="24"/>
    </w:rPr>
  </w:style>
  <w:style w:type="character" w:customStyle="1" w:styleId="82">
    <w:name w:val="hover"/>
    <w:autoRedefine/>
    <w:qFormat/>
    <w:uiPriority w:val="0"/>
    <w:rPr>
      <w:color w:val="2590EB"/>
    </w:rPr>
  </w:style>
  <w:style w:type="character" w:customStyle="1" w:styleId="83">
    <w:name w:val="Footer Char"/>
    <w:autoRedefine/>
    <w:qFormat/>
    <w:locked/>
    <w:uiPriority w:val="0"/>
    <w:rPr>
      <w:rFonts w:ascii="Times New Roman" w:hAnsi="Times New Roman" w:cs="Times New Roman"/>
      <w:sz w:val="18"/>
      <w:szCs w:val="18"/>
    </w:rPr>
  </w:style>
  <w:style w:type="character" w:customStyle="1" w:styleId="84">
    <w:name w:val="样式2 字符"/>
    <w:link w:val="85"/>
    <w:autoRedefine/>
    <w:qFormat/>
    <w:uiPriority w:val="0"/>
    <w:rPr>
      <w:rFonts w:ascii="楷体_GB2312" w:hAnsi="Arial" w:eastAsia="仿宋_GB2312"/>
      <w:kern w:val="2"/>
      <w:sz w:val="28"/>
      <w:szCs w:val="28"/>
    </w:rPr>
  </w:style>
  <w:style w:type="paragraph" w:customStyle="1" w:styleId="85">
    <w:name w:val="样式2"/>
    <w:basedOn w:val="1"/>
    <w:link w:val="84"/>
    <w:autoRedefine/>
    <w:qFormat/>
    <w:uiPriority w:val="0"/>
    <w:pPr>
      <w:spacing w:line="560" w:lineRule="exact"/>
      <w:ind w:firstLine="561" w:firstLineChars="200"/>
    </w:pPr>
    <w:rPr>
      <w:rFonts w:ascii="楷体_GB2312" w:hAnsi="Arial" w:eastAsia="仿宋_GB2312"/>
      <w:sz w:val="28"/>
      <w:szCs w:val="28"/>
    </w:rPr>
  </w:style>
  <w:style w:type="character" w:customStyle="1" w:styleId="86">
    <w:name w:val="正文首行缩进 Char1"/>
    <w:autoRedefine/>
    <w:qFormat/>
    <w:uiPriority w:val="0"/>
    <w:rPr>
      <w:kern w:val="2"/>
      <w:sz w:val="21"/>
      <w:szCs w:val="24"/>
    </w:rPr>
  </w:style>
  <w:style w:type="character" w:customStyle="1" w:styleId="87">
    <w:name w:val="Default Char"/>
    <w:link w:val="88"/>
    <w:autoRedefine/>
    <w:qFormat/>
    <w:locked/>
    <w:uiPriority w:val="0"/>
    <w:rPr>
      <w:rFonts w:ascii="......." w:eastAsia="......."/>
      <w:color w:val="000000"/>
      <w:sz w:val="24"/>
      <w:szCs w:val="24"/>
      <w:lang w:val="en-US" w:eastAsia="zh-CN" w:bidi="ar-SA"/>
    </w:rPr>
  </w:style>
  <w:style w:type="paragraph" w:customStyle="1" w:styleId="88">
    <w:name w:val="Default"/>
    <w:link w:val="87"/>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89">
    <w:name w:val="样式1 字符"/>
    <w:link w:val="90"/>
    <w:autoRedefine/>
    <w:qFormat/>
    <w:uiPriority w:val="0"/>
    <w:rPr>
      <w:rFonts w:ascii="宋体" w:hAnsi="宋体" w:cs="宋体"/>
      <w:sz w:val="21"/>
      <w:szCs w:val="21"/>
    </w:rPr>
  </w:style>
  <w:style w:type="paragraph" w:customStyle="1" w:styleId="90">
    <w:name w:val="样式1"/>
    <w:basedOn w:val="1"/>
    <w:link w:val="89"/>
    <w:autoRedefine/>
    <w:qFormat/>
    <w:uiPriority w:val="0"/>
    <w:pPr>
      <w:tabs>
        <w:tab w:val="left" w:pos="1674"/>
      </w:tabs>
      <w:adjustRightInd w:val="0"/>
      <w:ind w:left="1674" w:hanging="1125"/>
      <w:textAlignment w:val="baseline"/>
    </w:pPr>
    <w:rPr>
      <w:rFonts w:ascii="宋体" w:hAnsi="宋体"/>
      <w:kern w:val="0"/>
      <w:szCs w:val="21"/>
    </w:rPr>
  </w:style>
  <w:style w:type="character" w:customStyle="1" w:styleId="91">
    <w:name w:val="日期 Char1"/>
    <w:autoRedefine/>
    <w:qFormat/>
    <w:uiPriority w:val="0"/>
    <w:rPr>
      <w:kern w:val="2"/>
      <w:sz w:val="21"/>
      <w:szCs w:val="22"/>
    </w:rPr>
  </w:style>
  <w:style w:type="character" w:customStyle="1" w:styleId="92">
    <w:name w:val="页脚 Char"/>
    <w:autoRedefine/>
    <w:qFormat/>
    <w:uiPriority w:val="99"/>
    <w:rPr>
      <w:rFonts w:eastAsia="Calibri"/>
      <w:sz w:val="21"/>
    </w:rPr>
  </w:style>
  <w:style w:type="character" w:customStyle="1" w:styleId="93">
    <w:name w:val="标题 Char1"/>
    <w:autoRedefine/>
    <w:qFormat/>
    <w:uiPriority w:val="0"/>
    <w:rPr>
      <w:rFonts w:ascii="Cambria" w:hAnsi="Cambria" w:cs="Times New Roman"/>
      <w:b/>
      <w:bCs/>
      <w:kern w:val="2"/>
      <w:sz w:val="32"/>
      <w:szCs w:val="32"/>
    </w:rPr>
  </w:style>
  <w:style w:type="character" w:customStyle="1" w:styleId="94">
    <w:name w:val="正文文本首行缩进 字符1"/>
    <w:autoRedefine/>
    <w:qFormat/>
    <w:uiPriority w:val="0"/>
    <w:rPr>
      <w:kern w:val="2"/>
      <w:sz w:val="21"/>
      <w:szCs w:val="24"/>
    </w:rPr>
  </w:style>
  <w:style w:type="character" w:customStyle="1" w:styleId="95">
    <w:name w:val="hover1"/>
    <w:autoRedefine/>
    <w:qFormat/>
    <w:uiPriority w:val="0"/>
    <w:rPr>
      <w:color w:val="2590EB"/>
    </w:rPr>
  </w:style>
  <w:style w:type="character" w:customStyle="1" w:styleId="96">
    <w:name w:val="Subtitle Char"/>
    <w:autoRedefine/>
    <w:qFormat/>
    <w:locked/>
    <w:uiPriority w:val="0"/>
    <w:rPr>
      <w:rFonts w:ascii="Cambria" w:hAnsi="Cambria" w:eastAsia="方正楷体简体" w:cs="Cambria"/>
      <w:kern w:val="28"/>
      <w:sz w:val="32"/>
      <w:szCs w:val="32"/>
    </w:rPr>
  </w:style>
  <w:style w:type="character" w:customStyle="1" w:styleId="97">
    <w:name w:val="正文要点内容 Char Char"/>
    <w:link w:val="98"/>
    <w:autoRedefine/>
    <w:qFormat/>
    <w:locked/>
    <w:uiPriority w:val="0"/>
    <w:rPr>
      <w:kern w:val="2"/>
      <w:sz w:val="21"/>
      <w:szCs w:val="21"/>
    </w:rPr>
  </w:style>
  <w:style w:type="paragraph" w:customStyle="1" w:styleId="98">
    <w:name w:val="正文要点内容"/>
    <w:basedOn w:val="99"/>
    <w:link w:val="97"/>
    <w:autoRedefine/>
    <w:qFormat/>
    <w:uiPriority w:val="0"/>
    <w:pPr>
      <w:tabs>
        <w:tab w:val="left" w:pos="420"/>
        <w:tab w:val="left" w:pos="840"/>
      </w:tabs>
      <w:ind w:left="400" w:leftChars="400" w:firstLine="200" w:firstLineChars="200"/>
    </w:pPr>
  </w:style>
  <w:style w:type="paragraph" w:customStyle="1" w:styleId="99">
    <w:name w:val="正文要点"/>
    <w:basedOn w:val="1"/>
    <w:next w:val="98"/>
    <w:link w:val="100"/>
    <w:autoRedefine/>
    <w:qFormat/>
    <w:uiPriority w:val="0"/>
    <w:pPr>
      <w:tabs>
        <w:tab w:val="left" w:pos="420"/>
      </w:tabs>
      <w:spacing w:line="360" w:lineRule="auto"/>
      <w:ind w:left="840" w:hanging="420"/>
    </w:pPr>
    <w:rPr>
      <w:szCs w:val="21"/>
    </w:rPr>
  </w:style>
  <w:style w:type="character" w:customStyle="1" w:styleId="100">
    <w:name w:val="正文要点 Char Char"/>
    <w:link w:val="99"/>
    <w:autoRedefine/>
    <w:qFormat/>
    <w:locked/>
    <w:uiPriority w:val="0"/>
    <w:rPr>
      <w:kern w:val="2"/>
      <w:sz w:val="21"/>
      <w:szCs w:val="21"/>
    </w:rPr>
  </w:style>
  <w:style w:type="character" w:customStyle="1" w:styleId="101">
    <w:name w:val="Body Text Char"/>
    <w:autoRedefine/>
    <w:qFormat/>
    <w:locked/>
    <w:uiPriority w:val="0"/>
    <w:rPr>
      <w:rFonts w:ascii="Times New Roman" w:hAnsi="Times New Roman" w:cs="Times New Roman"/>
      <w:sz w:val="24"/>
      <w:szCs w:val="24"/>
    </w:rPr>
  </w:style>
  <w:style w:type="character" w:customStyle="1" w:styleId="102">
    <w:name w:val="列出段落 Char"/>
    <w:link w:val="47"/>
    <w:autoRedefine/>
    <w:qFormat/>
    <w:uiPriority w:val="0"/>
    <w:rPr>
      <w:kern w:val="2"/>
      <w:sz w:val="21"/>
      <w:szCs w:val="21"/>
    </w:rPr>
  </w:style>
  <w:style w:type="character" w:customStyle="1" w:styleId="103">
    <w:name w:val="无间隔 Char"/>
    <w:link w:val="104"/>
    <w:autoRedefine/>
    <w:qFormat/>
    <w:locked/>
    <w:uiPriority w:val="0"/>
    <w:rPr>
      <w:rFonts w:cs="Calibri"/>
      <w:sz w:val="22"/>
      <w:szCs w:val="22"/>
      <w:lang w:val="en-US" w:eastAsia="zh-CN" w:bidi="ar-SA"/>
    </w:rPr>
  </w:style>
  <w:style w:type="paragraph" w:customStyle="1" w:styleId="104">
    <w:name w:val="无间隔1"/>
    <w:link w:val="103"/>
    <w:autoRedefine/>
    <w:qFormat/>
    <w:uiPriority w:val="0"/>
    <w:rPr>
      <w:rFonts w:ascii="Times New Roman" w:hAnsi="Times New Roman" w:eastAsia="宋体" w:cs="Calibri"/>
      <w:sz w:val="22"/>
      <w:szCs w:val="22"/>
      <w:lang w:val="en-US" w:eastAsia="zh-CN" w:bidi="ar-SA"/>
    </w:rPr>
  </w:style>
  <w:style w:type="character" w:customStyle="1" w:styleId="105">
    <w:name w:val="Plain Text Char"/>
    <w:autoRedefine/>
    <w:qFormat/>
    <w:locked/>
    <w:uiPriority w:val="0"/>
    <w:rPr>
      <w:rFonts w:ascii="宋体" w:hAnsi="Courier New" w:cs="宋体"/>
      <w:sz w:val="21"/>
      <w:szCs w:val="21"/>
    </w:rPr>
  </w:style>
  <w:style w:type="character" w:customStyle="1" w:styleId="106">
    <w:name w:val="NormalCharacter"/>
    <w:autoRedefine/>
    <w:qFormat/>
    <w:uiPriority w:val="0"/>
  </w:style>
  <w:style w:type="character" w:customStyle="1" w:styleId="107">
    <w:name w:val="页眉 Char1"/>
    <w:autoRedefine/>
    <w:qFormat/>
    <w:uiPriority w:val="99"/>
    <w:rPr>
      <w:kern w:val="2"/>
      <w:sz w:val="18"/>
      <w:szCs w:val="18"/>
    </w:rPr>
  </w:style>
  <w:style w:type="character" w:customStyle="1" w:styleId="108">
    <w:name w:val="UserStyle_0"/>
    <w:autoRedefine/>
    <w:semiHidden/>
    <w:qFormat/>
    <w:uiPriority w:val="0"/>
    <w:rPr>
      <w:kern w:val="2"/>
      <w:sz w:val="21"/>
      <w:szCs w:val="24"/>
      <w:lang w:val="en-US" w:eastAsia="zh-CN" w:bidi="ar-SA"/>
    </w:rPr>
  </w:style>
  <w:style w:type="character" w:customStyle="1" w:styleId="109">
    <w:name w:val="普通文字 Char"/>
    <w:autoRedefine/>
    <w:qFormat/>
    <w:uiPriority w:val="0"/>
    <w:rPr>
      <w:rFonts w:ascii="宋体" w:hAnsi="Courier New" w:cs="宋体"/>
      <w:sz w:val="21"/>
      <w:szCs w:val="21"/>
    </w:rPr>
  </w:style>
  <w:style w:type="character" w:customStyle="1" w:styleId="110">
    <w:name w:val="正文文本缩进 2 Char1"/>
    <w:autoRedefine/>
    <w:qFormat/>
    <w:uiPriority w:val="0"/>
    <w:rPr>
      <w:kern w:val="2"/>
      <w:sz w:val="21"/>
      <w:szCs w:val="22"/>
    </w:rPr>
  </w:style>
  <w:style w:type="character" w:customStyle="1" w:styleId="111">
    <w:name w:val="Body Text Indent Char"/>
    <w:autoRedefine/>
    <w:qFormat/>
    <w:locked/>
    <w:uiPriority w:val="0"/>
    <w:rPr>
      <w:rFonts w:ascii="仿宋_GB2312" w:hAnsi="Times New Roman" w:eastAsia="仿宋_GB2312" w:cs="仿宋_GB2312"/>
      <w:sz w:val="32"/>
      <w:szCs w:val="32"/>
    </w:rPr>
  </w:style>
  <w:style w:type="character" w:customStyle="1" w:styleId="112">
    <w:name w:val="hover2"/>
    <w:autoRedefine/>
    <w:qFormat/>
    <w:uiPriority w:val="0"/>
  </w:style>
  <w:style w:type="paragraph" w:customStyle="1" w:styleId="113">
    <w:name w:val="样式 标题 3h3Level 3 HeadH3Heading 3 - oldlevel_3PIM 3BOD 0s..."/>
    <w:basedOn w:val="4"/>
    <w:autoRedefine/>
    <w:qFormat/>
    <w:uiPriority w:val="0"/>
    <w:pPr>
      <w:tabs>
        <w:tab w:val="left" w:pos="0"/>
      </w:tabs>
      <w:adjustRightInd w:val="0"/>
      <w:spacing w:before="0" w:after="0" w:line="500" w:lineRule="exact"/>
      <w:textAlignment w:val="baseline"/>
    </w:pPr>
    <w:rPr>
      <w:kern w:val="0"/>
      <w:sz w:val="28"/>
      <w:szCs w:val="28"/>
    </w:rPr>
  </w:style>
  <w:style w:type="paragraph" w:customStyle="1" w:styleId="114">
    <w:name w:val="默认段落字体 Para Char Char Char Char Char Char Char Char Char Char"/>
    <w:basedOn w:val="1"/>
    <w:autoRedefine/>
    <w:qFormat/>
    <w:uiPriority w:val="0"/>
    <w:rPr>
      <w:rFonts w:ascii="Tahoma" w:hAnsi="Tahoma" w:cs="Tahoma"/>
      <w:sz w:val="24"/>
    </w:rPr>
  </w:style>
  <w:style w:type="paragraph" w:customStyle="1" w:styleId="115">
    <w:name w:val="Char"/>
    <w:basedOn w:val="1"/>
    <w:autoRedefine/>
    <w:qFormat/>
    <w:uiPriority w:val="0"/>
    <w:rPr>
      <w:szCs w:val="21"/>
    </w:rPr>
  </w:style>
  <w:style w:type="paragraph" w:customStyle="1" w:styleId="116">
    <w:name w:val="xl84"/>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7">
    <w:name w:val="xl70"/>
    <w:basedOn w:val="1"/>
    <w:autoRedefine/>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1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paragraph" w:customStyle="1" w:styleId="119">
    <w:name w:val="xl92"/>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0">
    <w:name w:val="xl94"/>
    <w:basedOn w:val="1"/>
    <w:autoRedefine/>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21">
    <w:name w:val="正文格式"/>
    <w:basedOn w:val="1"/>
    <w:autoRedefine/>
    <w:qFormat/>
    <w:uiPriority w:val="0"/>
    <w:pPr>
      <w:widowControl/>
      <w:adjustRightInd w:val="0"/>
      <w:snapToGrid w:val="0"/>
      <w:spacing w:line="400" w:lineRule="atLeast"/>
      <w:ind w:firstLine="482"/>
      <w:textAlignment w:val="baseline"/>
    </w:pPr>
    <w:rPr>
      <w:kern w:val="0"/>
      <w:sz w:val="24"/>
    </w:rPr>
  </w:style>
  <w:style w:type="paragraph" w:customStyle="1" w:styleId="122">
    <w:name w:val="修订1"/>
    <w:autoRedefine/>
    <w:qFormat/>
    <w:uiPriority w:val="0"/>
    <w:rPr>
      <w:rFonts w:ascii="Times New Roman" w:hAnsi="Times New Roman" w:eastAsia="宋体" w:cs="Times New Roman"/>
      <w:kern w:val="2"/>
      <w:sz w:val="21"/>
      <w:szCs w:val="21"/>
      <w:lang w:val="en-US" w:eastAsia="zh-CN" w:bidi="ar-SA"/>
    </w:rPr>
  </w:style>
  <w:style w:type="paragraph" w:customStyle="1" w:styleId="123">
    <w:name w:val="font7"/>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4">
    <w:name w:val="Body Text First Indent 2"/>
    <w:basedOn w:val="18"/>
    <w:autoRedefine/>
    <w:qFormat/>
    <w:uiPriority w:val="0"/>
    <w:pPr>
      <w:spacing w:after="120" w:line="240" w:lineRule="auto"/>
      <w:ind w:left="420" w:leftChars="200" w:firstLine="420" w:firstLineChars="200"/>
    </w:pPr>
    <w:rPr>
      <w:rFonts w:hint="default" w:ascii="Times New Roman" w:hAnsi="Times New Roman" w:eastAsia="宋体" w:cs="Times New Roman"/>
      <w:sz w:val="21"/>
    </w:rPr>
  </w:style>
  <w:style w:type="paragraph" w:customStyle="1" w:styleId="125">
    <w:name w:val="Char Char1 Char Char Char Char Char Char Char Char Char Char Char Char Char Char Char"/>
    <w:basedOn w:val="1"/>
    <w:autoRedefine/>
    <w:qFormat/>
    <w:uiPriority w:val="0"/>
    <w:pPr>
      <w:widowControl/>
      <w:spacing w:after="160" w:line="240" w:lineRule="exact"/>
      <w:jc w:val="left"/>
    </w:pPr>
    <w:rPr>
      <w:rFonts w:ascii="Verdana" w:hAnsi="Verdana" w:cs="Verdana"/>
      <w:kern w:val="0"/>
      <w:sz w:val="20"/>
      <w:szCs w:val="20"/>
      <w:lang w:eastAsia="en-US"/>
    </w:rPr>
  </w:style>
  <w:style w:type="paragraph" w:customStyle="1" w:styleId="126">
    <w:name w:val="xl87"/>
    <w:basedOn w:val="1"/>
    <w:autoRedefine/>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27">
    <w:name w:val="xl71"/>
    <w:basedOn w:val="1"/>
    <w:autoRedefine/>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128">
    <w:name w:val="xl81"/>
    <w:basedOn w:val="1"/>
    <w:autoRedefine/>
    <w:qFormat/>
    <w:uiPriority w:val="0"/>
    <w:pPr>
      <w:widowControl/>
      <w:spacing w:before="100" w:beforeAutospacing="1" w:after="100" w:afterAutospacing="1"/>
      <w:jc w:val="left"/>
    </w:pPr>
    <w:rPr>
      <w:rFonts w:ascii="宋体" w:hAnsi="宋体" w:cs="宋体"/>
      <w:kern w:val="0"/>
      <w:szCs w:val="21"/>
    </w:rPr>
  </w:style>
  <w:style w:type="paragraph" w:customStyle="1" w:styleId="129">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30">
    <w:name w:val="xl86"/>
    <w:basedOn w:val="1"/>
    <w:autoRedefine/>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1">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32">
    <w:name w:val="Bullet"/>
    <w:basedOn w:val="1"/>
    <w:autoRedefine/>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paragraph" w:customStyle="1" w:styleId="133">
    <w:name w:val="xl96"/>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34">
    <w:name w:val="xl99"/>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5">
    <w:name w:val="0正文"/>
    <w:autoRedefine/>
    <w:unhideWhenUsed/>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136">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137">
    <w:name w:val="font9"/>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38">
    <w:name w:val="xl27"/>
    <w:basedOn w:val="1"/>
    <w:autoRedefine/>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paragraph" w:customStyle="1" w:styleId="139">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0">
    <w:name w:val="TOC 标题1"/>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41">
    <w:name w:val="xl100"/>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2">
    <w:name w:val="xl102"/>
    <w:basedOn w:val="1"/>
    <w:autoRedefine/>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3">
    <w:name w:val="xl91"/>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44">
    <w:name w:val="xl72"/>
    <w:basedOn w:val="1"/>
    <w:autoRedefine/>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5">
    <w:name w:val="xl97"/>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6">
    <w:name w:val="xl69"/>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147">
    <w:name w:val="xl93"/>
    <w:basedOn w:val="1"/>
    <w:autoRedefine/>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48">
    <w:name w:val="xl68"/>
    <w:basedOn w:val="1"/>
    <w:autoRedefine/>
    <w:qFormat/>
    <w:uiPriority w:val="0"/>
    <w:pPr>
      <w:widowControl/>
      <w:spacing w:before="100" w:beforeAutospacing="1" w:after="100" w:afterAutospacing="1"/>
      <w:jc w:val="left"/>
      <w:textAlignment w:val="center"/>
    </w:pPr>
    <w:rPr>
      <w:rFonts w:ascii="宋体" w:hAnsi="宋体" w:cs="宋体"/>
      <w:kern w:val="0"/>
      <w:szCs w:val="21"/>
    </w:rPr>
  </w:style>
  <w:style w:type="paragraph" w:customStyle="1" w:styleId="149">
    <w:name w:val="默认段落字体 Para Char Char Char Char"/>
    <w:basedOn w:val="1"/>
    <w:autoRedefine/>
    <w:qFormat/>
    <w:uiPriority w:val="0"/>
    <w:rPr>
      <w:szCs w:val="21"/>
    </w:rPr>
  </w:style>
  <w:style w:type="paragraph" w:customStyle="1" w:styleId="150">
    <w:name w:val="xl74"/>
    <w:basedOn w:val="1"/>
    <w:autoRedefine/>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151">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152">
    <w:name w:val="列出段落1"/>
    <w:basedOn w:val="1"/>
    <w:autoRedefine/>
    <w:qFormat/>
    <w:uiPriority w:val="0"/>
    <w:pPr>
      <w:ind w:firstLine="420" w:firstLineChars="200"/>
    </w:pPr>
    <w:rPr>
      <w:szCs w:val="21"/>
    </w:rPr>
  </w:style>
  <w:style w:type="paragraph" w:customStyle="1" w:styleId="153">
    <w:name w:val="xl66"/>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paragraph" w:customStyle="1" w:styleId="154">
    <w:name w:val="xl98"/>
    <w:basedOn w:val="1"/>
    <w:autoRedefine/>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55">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6">
    <w:name w:val="xl33"/>
    <w:basedOn w:val="1"/>
    <w:autoRedefine/>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paragraph" w:customStyle="1" w:styleId="157">
    <w:name w:val="Char1 Char Char Char"/>
    <w:basedOn w:val="1"/>
    <w:autoRedefine/>
    <w:qFormat/>
    <w:uiPriority w:val="0"/>
    <w:rPr>
      <w:rFonts w:eastAsia="仿宋_GB2312"/>
      <w:sz w:val="28"/>
      <w:szCs w:val="28"/>
    </w:rPr>
  </w:style>
  <w:style w:type="paragraph" w:customStyle="1" w:styleId="158">
    <w:name w:val="xl67"/>
    <w:basedOn w:val="1"/>
    <w:autoRedefine/>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styleId="159">
    <w:name w:val="No Spacing"/>
    <w:autoRedefine/>
    <w:qFormat/>
    <w:uiPriority w:val="0"/>
    <w:rPr>
      <w:rFonts w:ascii="Times New Roman" w:hAnsi="Times New Roman" w:eastAsia="宋体" w:cs="Calibri"/>
      <w:sz w:val="22"/>
      <w:szCs w:val="22"/>
      <w:lang w:val="en-US" w:eastAsia="zh-CN" w:bidi="ar-SA"/>
    </w:rPr>
  </w:style>
  <w:style w:type="paragraph" w:customStyle="1" w:styleId="160">
    <w:name w:val="font6"/>
    <w:basedOn w:val="1"/>
    <w:autoRedefine/>
    <w:qFormat/>
    <w:uiPriority w:val="0"/>
    <w:pPr>
      <w:widowControl/>
      <w:spacing w:before="100" w:beforeAutospacing="1" w:after="100" w:afterAutospacing="1"/>
      <w:jc w:val="left"/>
    </w:pPr>
    <w:rPr>
      <w:kern w:val="0"/>
      <w:szCs w:val="21"/>
    </w:rPr>
  </w:style>
  <w:style w:type="paragraph" w:customStyle="1" w:styleId="161">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2">
    <w:name w:val="xl101"/>
    <w:basedOn w:val="1"/>
    <w:autoRedefine/>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63">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paragraph" w:customStyle="1" w:styleId="164">
    <w:name w:val="BodyText"/>
    <w:basedOn w:val="1"/>
    <w:next w:val="1"/>
    <w:autoRedefine/>
    <w:qFormat/>
    <w:uiPriority w:val="0"/>
    <w:pPr>
      <w:ind w:left="108" w:firstLine="638"/>
      <w:jc w:val="both"/>
      <w:textAlignment w:val="baseline"/>
    </w:pPr>
    <w:rPr>
      <w:rFonts w:ascii="仿宋" w:hAnsi="仿宋" w:eastAsia="仿宋"/>
      <w:kern w:val="2"/>
      <w:sz w:val="32"/>
      <w:szCs w:val="32"/>
      <w:lang w:val="en-US" w:eastAsia="zh-CN" w:bidi="ar-SA"/>
    </w:rPr>
  </w:style>
  <w:style w:type="paragraph" w:customStyle="1" w:styleId="165">
    <w:name w:val="xl95"/>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66">
    <w:name w:val="_Style 165"/>
    <w:autoRedefine/>
    <w:qFormat/>
    <w:uiPriority w:val="0"/>
    <w:rPr>
      <w:rFonts w:ascii="Times New Roman" w:hAnsi="Times New Roman" w:eastAsia="宋体" w:cs="Times New Roman"/>
      <w:kern w:val="2"/>
      <w:sz w:val="21"/>
      <w:szCs w:val="21"/>
      <w:lang w:val="en-US" w:eastAsia="zh-CN" w:bidi="ar-SA"/>
    </w:rPr>
  </w:style>
  <w:style w:type="paragraph" w:customStyle="1" w:styleId="167">
    <w:name w:val="font8"/>
    <w:basedOn w:val="1"/>
    <w:autoRedefine/>
    <w:qFormat/>
    <w:uiPriority w:val="0"/>
    <w:pPr>
      <w:widowControl/>
      <w:spacing w:before="100" w:beforeAutospacing="1" w:after="100" w:afterAutospacing="1"/>
      <w:jc w:val="left"/>
    </w:pPr>
    <w:rPr>
      <w:rFonts w:ascii="黑体" w:hAnsi="Arial Unicode MS" w:eastAsia="黑体" w:cs="黑体"/>
      <w:kern w:val="0"/>
      <w:sz w:val="22"/>
      <w:szCs w:val="22"/>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69">
    <w:name w:val="BodyTextIndent"/>
    <w:basedOn w:val="1"/>
    <w:autoRedefine/>
    <w:qFormat/>
    <w:uiPriority w:val="0"/>
    <w:pPr>
      <w:widowControl/>
      <w:ind w:right="-258" w:rightChars="-123" w:firstLine="720"/>
      <w:textAlignment w:val="baseline"/>
    </w:pPr>
    <w:rPr>
      <w:rFonts w:ascii="仿宋_GB2312" w:eastAsia="仿宋_GB2312"/>
      <w:sz w:val="32"/>
    </w:rPr>
  </w:style>
  <w:style w:type="paragraph" w:customStyle="1" w:styleId="170">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paragraph" w:customStyle="1" w:styleId="171">
    <w:name w:val="_Style 170"/>
    <w:basedOn w:val="2"/>
    <w:next w:val="1"/>
    <w:autoRedefine/>
    <w:qFormat/>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172">
    <w:name w:val="xl90"/>
    <w:basedOn w:val="1"/>
    <w:autoRedefine/>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73">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paragraph" w:customStyle="1" w:styleId="174">
    <w:name w:val="xl73"/>
    <w:basedOn w:val="1"/>
    <w:autoRedefine/>
    <w:qFormat/>
    <w:uiPriority w:val="0"/>
    <w:pPr>
      <w:widowControl/>
      <w:spacing w:before="100" w:beforeAutospacing="1" w:after="100" w:afterAutospacing="1"/>
      <w:jc w:val="left"/>
      <w:textAlignment w:val="center"/>
    </w:pPr>
    <w:rPr>
      <w:rFonts w:ascii="宋体" w:hAnsi="宋体" w:cs="宋体"/>
      <w:b/>
      <w:bCs/>
      <w:kern w:val="0"/>
      <w:szCs w:val="21"/>
    </w:rPr>
  </w:style>
  <w:style w:type="character" w:customStyle="1" w:styleId="175">
    <w:name w:val="Heading 3 Char"/>
    <w:basedOn w:val="32"/>
    <w:link w:val="4"/>
    <w:autoRedefine/>
    <w:qFormat/>
    <w:locked/>
    <w:uiPriority w:val="99"/>
    <w:rPr>
      <w:rFonts w:cs="Times New Roman"/>
      <w:b/>
      <w:sz w:val="32"/>
    </w:rPr>
  </w:style>
  <w:style w:type="paragraph" w:customStyle="1" w:styleId="176">
    <w:name w:val="列表段落1"/>
    <w:basedOn w:val="1"/>
    <w:next w:val="1"/>
    <w:qFormat/>
    <w:uiPriority w:val="0"/>
    <w:pPr>
      <w:ind w:firstLine="420" w:firstLineChars="200"/>
    </w:pPr>
    <w:rPr>
      <w:szCs w:val="22"/>
    </w:rPr>
  </w:style>
  <w:style w:type="paragraph" w:customStyle="1" w:styleId="177">
    <w:name w:val="Table Text"/>
    <w:basedOn w:val="1"/>
    <w:semiHidden/>
    <w:qFormat/>
    <w:uiPriority w:val="0"/>
    <w:pPr>
      <w:widowControl/>
      <w:kinsoku w:val="0"/>
      <w:autoSpaceDE w:val="0"/>
      <w:autoSpaceDN w:val="0"/>
      <w:adjustRightInd w:val="0"/>
      <w:snapToGrid w:val="0"/>
      <w:spacing w:line="240" w:lineRule="auto"/>
      <w:jc w:val="left"/>
      <w:textAlignment w:val="baseline"/>
    </w:pPr>
    <w:rPr>
      <w:rFonts w:ascii="仿宋" w:hAnsi="仿宋" w:eastAsia="仿宋" w:cs="仿宋"/>
      <w:snapToGrid w:val="0"/>
      <w:color w:val="000000"/>
      <w:kern w:val="0"/>
      <w:sz w:val="28"/>
      <w:szCs w:val="28"/>
      <w:lang w:eastAsia="en-US"/>
    </w:rPr>
  </w:style>
  <w:style w:type="paragraph" w:customStyle="1" w:styleId="178">
    <w:name w:val="Char Char 字元 字元 字元 Char Char Char Char"/>
    <w:basedOn w:val="1"/>
    <w:next w:val="179"/>
    <w:qFormat/>
    <w:uiPriority w:val="0"/>
    <w:pPr>
      <w:spacing w:line="360" w:lineRule="auto"/>
    </w:pPr>
    <w:rPr>
      <w:sz w:val="24"/>
    </w:rPr>
  </w:style>
  <w:style w:type="paragraph" w:customStyle="1" w:styleId="179">
    <w:name w:val="_Style 3"/>
    <w:next w:val="1"/>
    <w:qFormat/>
    <w:uiPriority w:val="39"/>
    <w:pPr>
      <w:wordWrap w:val="0"/>
    </w:pPr>
    <w:rPr>
      <w:rFonts w:ascii="宋体" w:hAnsi="宋体" w:eastAsia="宋体" w:cs="Times New Roman"/>
      <w:sz w:val="32"/>
      <w:lang w:val="en-US" w:eastAsia="zh-CN" w:bidi="ar-SA"/>
    </w:rPr>
  </w:style>
  <w:style w:type="paragraph" w:customStyle="1" w:styleId="180">
    <w:name w:val="Table Paragraph"/>
    <w:basedOn w:val="1"/>
    <w:qFormat/>
    <w:uiPriority w:val="0"/>
    <w:pPr>
      <w:widowControl w:val="0"/>
      <w:spacing w:line="360" w:lineRule="auto"/>
      <w:jc w:val="both"/>
    </w:pPr>
    <w:rPr>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104" textRotate="1"/>
    <customShpInfo spid="_x0000_s4105" textRotate="1"/>
    <customShpInfo spid="_x0000_s4106" textRotate="1"/>
    <customShpInfo spid="_x0000_s4107" textRotate="1"/>
    <customShpInfo spid="_x0000_s4108" textRotate="1"/>
    <customShpInfo spid="_x0000_s4109" textRotate="1"/>
    <customShpInfo spid="_x0000_s4110" textRotate="1"/>
    <customShpInfo spid="_x0000_s4112"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84</Pages>
  <Words>4880</Words>
  <Characters>5771</Characters>
  <Lines>257</Lines>
  <Paragraphs>72</Paragraphs>
  <TotalTime>13</TotalTime>
  <ScaleCrop>false</ScaleCrop>
  <LinksUpToDate>false</LinksUpToDate>
  <CharactersWithSpaces>5831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2021-08-18T08:24:00Z</dcterms:created>
  <dc:creator>番茄花园</dc:creator>
  <cp:lastModifiedBy>ㅤ</cp:lastModifiedBy>
  <cp:lastPrinted>2021-03-19T01:31:00Z</cp:lastPrinted>
  <dcterms:modified xsi:type="dcterms:W3CDTF">2026-09-01T06:09:25Z</dcterms:modified>
  <dc:title>盘锦市政府采购项目预算表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68E8CCAB267344C9A8C96987D8FCAC23</vt:lpwstr>
  </property>
  <property fmtid="{D5CDD505-2E9C-101B-9397-08002B2CF9AE}" pid="4" name="KSOTemplateDocerSaveRecord">
    <vt:lpwstr>eyJoZGlkIjoiMGNiMmMyOTA3NDRjMjdlMGEwOTRiYzNlMTJjM2RkOWYiLCJ1c2VySWQiOiI2NjcxMzg3NjUifQ==</vt:lpwstr>
  </property>
</Properties>
</file>