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F17ED">
      <w:pPr>
        <w:shd w:val="clear"/>
        <w:snapToGrid w:val="0"/>
        <w:jc w:val="center"/>
        <w:rPr>
          <w:rFonts w:hint="eastAsia" w:ascii="方正小标宋简体" w:hAnsi="黑体" w:eastAsia="方正小标宋简体" w:cs="方正小标宋简体"/>
          <w:color w:val="auto"/>
          <w:kern w:val="0"/>
          <w:sz w:val="56"/>
          <w:szCs w:val="56"/>
          <w:highlight w:val="none"/>
        </w:rPr>
      </w:pPr>
      <w:bookmarkStart w:id="23" w:name="_GoBack"/>
      <w:bookmarkEnd w:id="23"/>
    </w:p>
    <w:p w14:paraId="19E087C9">
      <w:pPr>
        <w:shd w:val="clear"/>
        <w:snapToGrid w:val="0"/>
        <w:jc w:val="center"/>
        <w:rPr>
          <w:rFonts w:hint="eastAsia" w:ascii="方正小标宋简体" w:hAnsi="黑体" w:eastAsia="方正小标宋简体" w:cs="方正小标宋简体"/>
          <w:color w:val="auto"/>
          <w:kern w:val="0"/>
          <w:sz w:val="56"/>
          <w:szCs w:val="56"/>
          <w:highlight w:val="none"/>
        </w:rPr>
      </w:pPr>
    </w:p>
    <w:p w14:paraId="420A9EE1">
      <w:pPr>
        <w:shd w:val="clear"/>
        <w:snapToGrid w:val="0"/>
        <w:jc w:val="center"/>
        <w:rPr>
          <w:rFonts w:hint="eastAsia" w:ascii="方正小标宋简体" w:hAnsi="黑体" w:eastAsia="方正小标宋简体" w:cs="方正小标宋简体"/>
          <w:color w:val="auto"/>
          <w:kern w:val="0"/>
          <w:sz w:val="56"/>
          <w:szCs w:val="56"/>
          <w:highlight w:val="none"/>
        </w:rPr>
      </w:pPr>
    </w:p>
    <w:p w14:paraId="16F868A6">
      <w:pPr>
        <w:shd w:val="clear"/>
        <w:snapToGrid w:val="0"/>
        <w:jc w:val="center"/>
        <w:rPr>
          <w:rFonts w:hint="eastAsia" w:ascii="方正小标宋简体" w:hAnsi="黑体" w:eastAsia="方正小标宋简体" w:cs="方正小标宋简体"/>
          <w:color w:val="auto"/>
          <w:kern w:val="0"/>
          <w:sz w:val="72"/>
          <w:szCs w:val="52"/>
          <w:highlight w:val="none"/>
          <w:lang w:eastAsia="zh-CN"/>
        </w:rPr>
      </w:pPr>
      <w:r>
        <w:rPr>
          <w:rFonts w:hint="eastAsia" w:ascii="方正小标宋简体" w:hAnsi="黑体" w:eastAsia="方正小标宋简体" w:cs="方正小标宋简体"/>
          <w:color w:val="auto"/>
          <w:kern w:val="0"/>
          <w:sz w:val="56"/>
          <w:szCs w:val="56"/>
          <w:highlight w:val="none"/>
          <w:lang w:eastAsia="zh-CN"/>
        </w:rPr>
        <w:t>威海市国家粮食储备库有限公司</w:t>
      </w:r>
    </w:p>
    <w:p w14:paraId="24F08515">
      <w:pPr>
        <w:shd w:val="clear"/>
        <w:snapToGrid w:val="0"/>
        <w:jc w:val="center"/>
        <w:rPr>
          <w:rFonts w:hint="eastAsia" w:ascii="方正小标宋简体" w:hAnsi="黑体" w:eastAsia="方正小标宋简体" w:cs="方正小标宋简体"/>
          <w:color w:val="auto"/>
          <w:kern w:val="0"/>
          <w:sz w:val="72"/>
          <w:szCs w:val="52"/>
          <w:highlight w:val="none"/>
        </w:rPr>
      </w:pPr>
    </w:p>
    <w:p w14:paraId="30C413D7">
      <w:pPr>
        <w:shd w:val="clear"/>
        <w:snapToGrid w:val="0"/>
        <w:jc w:val="center"/>
        <w:rPr>
          <w:rFonts w:ascii="方正小标宋简体" w:hAnsi="黑体" w:eastAsia="方正小标宋简体"/>
          <w:color w:val="auto"/>
          <w:kern w:val="0"/>
          <w:sz w:val="72"/>
          <w:szCs w:val="52"/>
          <w:highlight w:val="none"/>
        </w:rPr>
      </w:pPr>
      <w:r>
        <w:rPr>
          <w:rFonts w:hint="eastAsia" w:ascii="方正小标宋简体" w:hAnsi="黑体" w:eastAsia="方正小标宋简体" w:cs="方正小标宋简体"/>
          <w:color w:val="auto"/>
          <w:kern w:val="0"/>
          <w:sz w:val="72"/>
          <w:szCs w:val="72"/>
          <w:highlight w:val="none"/>
        </w:rPr>
        <w:t>公开招标文件</w:t>
      </w:r>
    </w:p>
    <w:p w14:paraId="5B70052A">
      <w:pPr>
        <w:shd w:val="clear"/>
        <w:spacing w:line="360" w:lineRule="auto"/>
        <w:ind w:firstLine="723" w:firstLineChars="201"/>
        <w:jc w:val="left"/>
        <w:rPr>
          <w:rFonts w:hint="eastAsia" w:ascii="仿宋" w:hAnsi="仿宋" w:eastAsia="仿宋" w:cs="仿宋"/>
          <w:color w:val="auto"/>
          <w:sz w:val="36"/>
          <w:szCs w:val="36"/>
          <w:highlight w:val="none"/>
        </w:rPr>
      </w:pPr>
    </w:p>
    <w:p w14:paraId="5456B4CE">
      <w:pPr>
        <w:shd w:val="clear"/>
        <w:spacing w:line="360" w:lineRule="auto"/>
        <w:jc w:val="left"/>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 xml:space="preserve">    </w:t>
      </w:r>
    </w:p>
    <w:p w14:paraId="5C4DB04C">
      <w:pPr>
        <w:pStyle w:val="2"/>
        <w:rPr>
          <w:rFonts w:hint="eastAsia"/>
          <w:highlight w:val="none"/>
        </w:rPr>
      </w:pPr>
    </w:p>
    <w:p w14:paraId="62BA5B56">
      <w:pPr>
        <w:shd w:val="clear"/>
        <w:rPr>
          <w:rFonts w:hint="eastAsia" w:ascii="仿宋" w:hAnsi="仿宋" w:eastAsia="仿宋" w:cs="仿宋"/>
          <w:color w:val="auto"/>
          <w:highlight w:val="none"/>
        </w:rPr>
      </w:pPr>
    </w:p>
    <w:p w14:paraId="2F9ED6E3">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lang w:eastAsia="zh-CN"/>
        </w:rPr>
        <w:t>威海市国家粮食储备库有限公司高标准粮仓建设项目设计</w:t>
      </w:r>
    </w:p>
    <w:p w14:paraId="6CDB64FC">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eastAsia="仿宋" w:cs="仿宋"/>
          <w:b/>
          <w:color w:val="auto"/>
          <w:sz w:val="36"/>
          <w:szCs w:val="36"/>
          <w:highlight w:val="none"/>
          <w:lang w:eastAsia="zh-CN"/>
        </w:rPr>
        <w:t>WHZCZB2026-085</w:t>
      </w:r>
    </w:p>
    <w:p w14:paraId="1B3F51A2">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采购方式：公开招标</w:t>
      </w:r>
    </w:p>
    <w:p w14:paraId="2AF38D3E">
      <w:pPr>
        <w:shd w:val="clear"/>
        <w:spacing w:line="360" w:lineRule="auto"/>
        <w:rPr>
          <w:rFonts w:hint="eastAsia" w:ascii="仿宋" w:hAnsi="仿宋" w:eastAsia="仿宋" w:cs="仿宋"/>
          <w:b/>
          <w:color w:val="auto"/>
          <w:sz w:val="16"/>
          <w:szCs w:val="36"/>
          <w:highlight w:val="none"/>
        </w:rPr>
      </w:pPr>
    </w:p>
    <w:p w14:paraId="349A9C97">
      <w:pPr>
        <w:shd w:val="clear"/>
        <w:spacing w:line="360" w:lineRule="auto"/>
        <w:ind w:firstLine="363" w:firstLineChars="201"/>
        <w:jc w:val="center"/>
        <w:rPr>
          <w:rFonts w:hint="eastAsia" w:ascii="仿宋" w:hAnsi="仿宋" w:eastAsia="仿宋" w:cs="仿宋"/>
          <w:b/>
          <w:color w:val="auto"/>
          <w:sz w:val="18"/>
          <w:szCs w:val="36"/>
          <w:highlight w:val="none"/>
        </w:rPr>
      </w:pPr>
    </w:p>
    <w:p w14:paraId="0ECE3C85">
      <w:pPr>
        <w:pStyle w:val="2"/>
        <w:shd w:val="clear"/>
        <w:rPr>
          <w:rFonts w:hint="eastAsia" w:ascii="仿宋" w:hAnsi="仿宋" w:eastAsia="仿宋" w:cs="仿宋"/>
          <w:b/>
          <w:color w:val="auto"/>
          <w:sz w:val="18"/>
          <w:szCs w:val="36"/>
          <w:highlight w:val="none"/>
        </w:rPr>
      </w:pPr>
    </w:p>
    <w:p w14:paraId="6D3CC221">
      <w:pPr>
        <w:shd w:val="clear"/>
        <w:rPr>
          <w:rFonts w:hint="eastAsia" w:ascii="仿宋" w:hAnsi="仿宋" w:eastAsia="仿宋" w:cs="仿宋"/>
          <w:color w:val="auto"/>
          <w:highlight w:val="none"/>
        </w:rPr>
      </w:pPr>
    </w:p>
    <w:p w14:paraId="4003CA3E">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b/>
          <w:bCs/>
          <w:color w:val="auto"/>
          <w:kern w:val="0"/>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山东志诚工程咨询管理有限公司</w:t>
      </w:r>
    </w:p>
    <w:p w14:paraId="5AE742F3">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color w:val="auto"/>
          <w:highlight w:val="none"/>
        </w:rPr>
      </w:pPr>
      <w:r>
        <w:rPr>
          <w:rFonts w:hint="eastAsia" w:ascii="仿宋" w:hAnsi="仿宋" w:eastAsia="仿宋" w:cs="仿宋"/>
          <w:b/>
          <w:color w:val="auto"/>
          <w:sz w:val="36"/>
          <w:szCs w:val="36"/>
          <w:highlight w:val="none"/>
        </w:rPr>
        <w:t>编制时间：</w:t>
      </w:r>
      <w:r>
        <w:rPr>
          <w:rFonts w:hint="eastAsia" w:ascii="仿宋" w:hAnsi="仿宋" w:eastAsia="仿宋" w:cs="仿宋"/>
          <w:b/>
          <w:color w:val="auto"/>
          <w:sz w:val="36"/>
          <w:szCs w:val="36"/>
          <w:highlight w:val="none"/>
          <w:lang w:val="en-US" w:eastAsia="zh-CN"/>
        </w:rPr>
        <w:t>2026年8</w:t>
      </w:r>
      <w:r>
        <w:rPr>
          <w:rFonts w:hint="eastAsia" w:ascii="仿宋" w:hAnsi="仿宋" w:eastAsia="仿宋" w:cs="仿宋"/>
          <w:b/>
          <w:color w:val="auto"/>
          <w:sz w:val="36"/>
          <w:szCs w:val="36"/>
          <w:highlight w:val="none"/>
        </w:rPr>
        <w:t>月</w:t>
      </w:r>
    </w:p>
    <w:p w14:paraId="57668D05">
      <w:pPr>
        <w:shd w:val="clear"/>
        <w:spacing w:line="360" w:lineRule="auto"/>
        <w:jc w:val="center"/>
        <w:rPr>
          <w:rFonts w:hint="eastAsia" w:ascii="仿宋" w:hAnsi="仿宋" w:eastAsia="仿宋" w:cs="仿宋"/>
          <w:color w:val="auto"/>
          <w:kern w:val="0"/>
          <w:sz w:val="52"/>
          <w:szCs w:val="52"/>
          <w:highlight w:val="none"/>
        </w:rPr>
        <w:sectPr>
          <w:headerReference r:id="rId4" w:type="first"/>
          <w:footerReference r:id="rId6" w:type="first"/>
          <w:headerReference r:id="rId3" w:type="default"/>
          <w:footerReference r:id="rId5" w:type="default"/>
          <w:pgSz w:w="11906" w:h="16838"/>
          <w:pgMar w:top="1440" w:right="1083" w:bottom="1440" w:left="1083" w:header="851" w:footer="992" w:gutter="0"/>
          <w:pgNumType w:fmt="decimal" w:start="0"/>
          <w:cols w:space="0" w:num="1"/>
          <w:rtlGutter w:val="0"/>
          <w:docGrid w:type="lines" w:linePitch="312" w:charSpace="0"/>
        </w:sectPr>
      </w:pPr>
    </w:p>
    <w:p w14:paraId="59AFBC5F">
      <w:pPr>
        <w:shd w:val="clear"/>
        <w:spacing w:line="360" w:lineRule="auto"/>
        <w:jc w:val="center"/>
        <w:rPr>
          <w:rFonts w:ascii="黑体" w:hAnsi="黑体" w:eastAsia="黑体"/>
          <w:b/>
          <w:color w:val="auto"/>
          <w:sz w:val="44"/>
          <w:szCs w:val="44"/>
          <w:highlight w:val="none"/>
        </w:rPr>
      </w:pPr>
      <w:r>
        <w:rPr>
          <w:rFonts w:hint="eastAsia" w:ascii="黑体" w:hAnsi="黑体" w:eastAsia="黑体" w:cs="方正小标宋简体"/>
          <w:color w:val="auto"/>
          <w:kern w:val="0"/>
          <w:sz w:val="52"/>
          <w:szCs w:val="52"/>
          <w:highlight w:val="none"/>
        </w:rPr>
        <w:t>目  录</w:t>
      </w:r>
    </w:p>
    <w:p w14:paraId="64CCA07B">
      <w:pPr>
        <w:shd w:val="clear"/>
        <w:spacing w:line="720" w:lineRule="exact"/>
        <w:ind w:firstLine="562" w:firstLineChars="200"/>
        <w:jc w:val="left"/>
        <w:rPr>
          <w:rFonts w:hint="eastAsia" w:ascii="仿宋" w:hAnsi="仿宋" w:eastAsia="仿宋" w:cs="仿宋"/>
          <w:b/>
          <w:bCs/>
          <w:caps/>
          <w:color w:val="auto"/>
          <w:sz w:val="28"/>
          <w:szCs w:val="28"/>
          <w:highlight w:val="none"/>
        </w:rPr>
      </w:pPr>
    </w:p>
    <w:p w14:paraId="66251D64">
      <w:pPr>
        <w:shd w:val="clear"/>
        <w:spacing w:line="720" w:lineRule="exact"/>
        <w:ind w:firstLine="562" w:firstLineChars="200"/>
        <w:jc w:val="left"/>
        <w:rPr>
          <w:rFonts w:hint="eastAsia"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5C3B06A0">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30F63D43">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41E0E4BD">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0B5B2BAB">
      <w:pPr>
        <w:shd w:val="clear"/>
        <w:spacing w:line="720" w:lineRule="exact"/>
        <w:ind w:firstLine="565" w:firstLineChars="201"/>
        <w:jc w:val="left"/>
        <w:rPr>
          <w:rFonts w:hint="eastAsia" w:ascii="仿宋" w:hAnsi="仿宋" w:eastAsia="仿宋" w:cs="仿宋"/>
          <w:b/>
          <w:bCs/>
          <w:caps/>
          <w:color w:val="auto"/>
          <w:sz w:val="28"/>
          <w:szCs w:val="28"/>
          <w:highlight w:val="none"/>
          <w:lang w:eastAsia="zh-CN"/>
        </w:rPr>
      </w:pPr>
      <w:r>
        <w:rPr>
          <w:rFonts w:hint="eastAsia" w:ascii="仿宋" w:hAnsi="仿宋" w:eastAsia="仿宋" w:cs="仿宋"/>
          <w:b/>
          <w:bCs/>
          <w:caps/>
          <w:color w:val="auto"/>
          <w:sz w:val="28"/>
          <w:szCs w:val="28"/>
          <w:highlight w:val="none"/>
        </w:rPr>
        <w:t xml:space="preserve">第五章   </w:t>
      </w:r>
      <w:r>
        <w:rPr>
          <w:rFonts w:hint="eastAsia" w:ascii="仿宋" w:hAnsi="仿宋" w:eastAsia="仿宋" w:cs="仿宋"/>
          <w:b/>
          <w:bCs/>
          <w:caps/>
          <w:color w:val="auto"/>
          <w:sz w:val="28"/>
          <w:szCs w:val="28"/>
          <w:highlight w:val="none"/>
          <w:lang w:eastAsia="zh-CN"/>
        </w:rPr>
        <w:t>投标文件格式</w:t>
      </w:r>
    </w:p>
    <w:p w14:paraId="24E38B67">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625B62ED">
      <w:pPr>
        <w:shd w:val="clear"/>
        <w:spacing w:line="560" w:lineRule="exact"/>
        <w:ind w:firstLine="424" w:firstLineChars="151"/>
        <w:jc w:val="left"/>
        <w:rPr>
          <w:rFonts w:hint="eastAsia" w:ascii="仿宋" w:hAnsi="仿宋" w:eastAsia="仿宋" w:cs="仿宋"/>
          <w:b/>
          <w:bCs/>
          <w:caps/>
          <w:color w:val="auto"/>
          <w:sz w:val="28"/>
          <w:szCs w:val="28"/>
          <w:highlight w:val="none"/>
        </w:rPr>
      </w:pPr>
    </w:p>
    <w:p w14:paraId="5AFF27B4">
      <w:pPr>
        <w:shd w:val="clear"/>
        <w:rPr>
          <w:rFonts w:hint="eastAsia" w:ascii="仿宋" w:hAnsi="仿宋" w:eastAsia="仿宋" w:cs="仿宋"/>
          <w:color w:val="auto"/>
          <w:kern w:val="0"/>
          <w:highlight w:val="none"/>
        </w:rPr>
        <w:sectPr>
          <w:footerReference r:id="rId8" w:type="first"/>
          <w:footerReference r:id="rId7" w:type="default"/>
          <w:pgSz w:w="11906" w:h="16838"/>
          <w:pgMar w:top="1440" w:right="1083" w:bottom="1440" w:left="1083" w:header="851" w:footer="992" w:gutter="0"/>
          <w:pgNumType w:fmt="decimal" w:start="1"/>
          <w:cols w:space="0" w:num="1"/>
          <w:rtlGutter w:val="0"/>
          <w:docGrid w:type="lines" w:linePitch="312" w:charSpace="0"/>
        </w:sectPr>
      </w:pPr>
    </w:p>
    <w:p w14:paraId="34A8E14B">
      <w:pPr>
        <w:pStyle w:val="26"/>
        <w:numPr>
          <w:ilvl w:val="0"/>
          <w:numId w:val="0"/>
        </w:numPr>
        <w:shd w:val="clear"/>
        <w:spacing w:before="100" w:beforeAutospacing="1" w:after="100" w:afterAutospacing="1" w:line="415" w:lineRule="auto"/>
        <w:ind w:left="1440" w:leftChars="0" w:hanging="1440" w:firstLineChars="0"/>
        <w:rPr>
          <w:rFonts w:ascii="宋体" w:hAnsi="宋体" w:eastAsia="宋体" w:cs="宋体"/>
          <w:color w:val="auto"/>
          <w:sz w:val="44"/>
          <w:szCs w:val="44"/>
          <w:highlight w:val="none"/>
        </w:rPr>
      </w:pPr>
      <w:bookmarkStart w:id="0" w:name="_Toc253045125"/>
      <w:bookmarkStart w:id="1" w:name="_Toc266431116"/>
      <w:r>
        <w:rPr>
          <w:rFonts w:hint="eastAsia" w:ascii="楷体_GB2312" w:hAnsi="宋体" w:eastAsia="楷体_GB2312" w:cs="宋体"/>
          <w:b/>
          <w:bCs/>
          <w:color w:val="auto"/>
          <w:kern w:val="2"/>
          <w:sz w:val="44"/>
          <w:szCs w:val="44"/>
          <w:highlight w:val="none"/>
          <w:lang w:val="en-US" w:eastAsia="zh-CN" w:bidi="ar-SA"/>
        </w:rPr>
        <w:t>第一章</w:t>
      </w:r>
      <w:r>
        <w:rPr>
          <w:rFonts w:hint="eastAsia" w:ascii="楷体_GB2312" w:hAnsi="宋体" w:eastAsia="楷体_GB2312" w:cs="宋体"/>
          <w:color w:val="auto"/>
          <w:sz w:val="44"/>
          <w:szCs w:val="44"/>
          <w:highlight w:val="none"/>
        </w:rPr>
        <w:t xml:space="preserve">  招标公告</w:t>
      </w:r>
    </w:p>
    <w:p w14:paraId="41A59B78">
      <w:pPr>
        <w:shd w:val="clear"/>
        <w:rPr>
          <w:color w:val="auto"/>
          <w:highlight w:val="none"/>
        </w:rPr>
      </w:pPr>
    </w:p>
    <w:p w14:paraId="21B10035">
      <w:pPr>
        <w:shd w:val="clear"/>
        <w:rPr>
          <w:color w:val="auto"/>
          <w:highlight w:val="none"/>
        </w:rPr>
        <w:sectPr>
          <w:headerReference r:id="rId10" w:type="first"/>
          <w:footerReference r:id="rId12" w:type="first"/>
          <w:footerReference r:id="rId11" w:type="default"/>
          <w:headerReference r:id="rId9" w:type="even"/>
          <w:pgSz w:w="11906" w:h="16838"/>
          <w:pgMar w:top="1440" w:right="1083" w:bottom="1440" w:left="1083" w:header="851" w:footer="992" w:gutter="0"/>
          <w:pgNumType w:fmt="decimal" w:start="1"/>
          <w:cols w:space="0" w:num="1"/>
          <w:rtlGutter w:val="0"/>
          <w:docGrid w:type="lines" w:linePitch="312" w:charSpace="0"/>
        </w:sectPr>
      </w:pPr>
    </w:p>
    <w:p w14:paraId="5489D330">
      <w:pPr>
        <w:keepNext w:val="0"/>
        <w:keepLines w:val="0"/>
        <w:pageBreakBefore w:val="0"/>
        <w:widowControl w:val="0"/>
        <w:shd w:val="clear"/>
        <w:kinsoku/>
        <w:wordWrap/>
        <w:overflowPunct/>
        <w:topLinePunct w:val="0"/>
        <w:autoSpaceDE/>
        <w:autoSpaceDN/>
        <w:bidi w:val="0"/>
        <w:adjustRightInd/>
        <w:snapToGrid/>
        <w:spacing w:after="313" w:afterLines="100" w:line="360" w:lineRule="auto"/>
        <w:jc w:val="center"/>
        <w:textAlignment w:val="auto"/>
        <w:rPr>
          <w:rFonts w:ascii="方正小标宋简体" w:eastAsia="方正小标宋简体"/>
          <w:b/>
          <w:color w:val="auto"/>
          <w:sz w:val="30"/>
          <w:szCs w:val="30"/>
          <w:highlight w:val="none"/>
        </w:rPr>
      </w:pPr>
      <w:bookmarkStart w:id="2" w:name="_Toc382129899"/>
      <w:bookmarkStart w:id="3" w:name="_Toc413596381"/>
      <w:r>
        <w:rPr>
          <w:rFonts w:hint="eastAsia" w:ascii="方正小标宋简体" w:eastAsia="方正小标宋简体"/>
          <w:b/>
          <w:color w:val="auto"/>
          <w:sz w:val="30"/>
          <w:szCs w:val="30"/>
          <w:highlight w:val="none"/>
          <w:lang w:eastAsia="zh-CN"/>
        </w:rPr>
        <w:t>威海市国家粮食储备库有限公司威海市国家粮食储备库有限公司高标准粮仓建设项目设计</w:t>
      </w:r>
      <w:r>
        <w:rPr>
          <w:rFonts w:hint="eastAsia" w:ascii="方正小标宋简体" w:eastAsia="方正小标宋简体"/>
          <w:b/>
          <w:color w:val="auto"/>
          <w:sz w:val="30"/>
          <w:szCs w:val="30"/>
          <w:highlight w:val="none"/>
        </w:rPr>
        <w:t>公开招标公告</w:t>
      </w:r>
    </w:p>
    <w:p w14:paraId="32E5AE1A">
      <w:pPr>
        <w:pBdr>
          <w:top w:val="single" w:color="auto" w:sz="4" w:space="1"/>
          <w:left w:val="single" w:color="auto" w:sz="4" w:space="4"/>
          <w:bottom w:val="single" w:color="auto" w:sz="4" w:space="1"/>
          <w:right w:val="single" w:color="auto" w:sz="4" w:space="4"/>
        </w:pBdr>
        <w:shd w:val="clear"/>
        <w:spacing w:line="560" w:lineRule="exact"/>
        <w:ind w:firstLine="560" w:firstLineChars="200"/>
        <w:rPr>
          <w:rFonts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项目概况</w:t>
      </w:r>
    </w:p>
    <w:p w14:paraId="18BD5416">
      <w:pPr>
        <w:keepNext w:val="0"/>
        <w:keepLines w:val="0"/>
        <w:pageBreakBefore w:val="0"/>
        <w:widowControl/>
        <w:pBdr>
          <w:top w:val="single" w:color="auto" w:sz="4" w:space="1"/>
          <w:left w:val="single" w:color="auto" w:sz="4" w:space="4"/>
          <w:bottom w:val="single" w:color="auto" w:sz="4" w:space="1"/>
          <w:right w:val="single" w:color="auto" w:sz="4" w:space="4"/>
        </w:pBdr>
        <w:shd w:val="clear"/>
        <w:kinsoku/>
        <w:wordWrap/>
        <w:overflowPunct/>
        <w:topLinePunct w:val="0"/>
        <w:autoSpaceDE/>
        <w:autoSpaceDN/>
        <w:bidi w:val="0"/>
        <w:adjustRightInd w:val="0"/>
        <w:snapToGrid/>
        <w:spacing w:line="560" w:lineRule="exact"/>
        <w:ind w:firstLine="592" w:firstLineChars="20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eastAsia="zh-CN"/>
        </w:rPr>
        <w:t>威海市国家粮食储备库有限公司高标准粮仓建设项目设计</w:t>
      </w:r>
      <w:r>
        <w:rPr>
          <w:rFonts w:hint="eastAsia" w:ascii="仿宋" w:hAnsi="仿宋" w:eastAsia="仿宋" w:cs="仿宋"/>
          <w:color w:val="auto"/>
          <w:spacing w:val="8"/>
          <w:kern w:val="0"/>
          <w:sz w:val="28"/>
          <w:szCs w:val="28"/>
          <w:highlight w:val="none"/>
          <w:lang w:val="en-US" w:eastAsia="zh-CN"/>
        </w:rPr>
        <w:t>项目</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“威海市公共资源交易网”首页右侧“交易服务一网通办-（新版）一网通办系统”进行“平台切换”，点击“国企采购”进入国企阳光采购平台</w:t>
      </w:r>
      <w:r>
        <w:rPr>
          <w:rFonts w:hint="eastAsia" w:ascii="仿宋" w:hAnsi="仿宋" w:eastAsia="仿宋" w:cs="仿宋"/>
          <w:color w:val="auto"/>
          <w:spacing w:val="8"/>
          <w:kern w:val="0"/>
          <w:sz w:val="28"/>
          <w:szCs w:val="28"/>
          <w:highlight w:val="none"/>
        </w:rPr>
        <w:t>获取招标文件</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并于</w:t>
      </w:r>
      <w:r>
        <w:rPr>
          <w:rFonts w:hint="eastAsia" w:ascii="仿宋" w:hAnsi="仿宋" w:eastAsia="仿宋" w:cs="仿宋"/>
          <w:color w:val="auto"/>
          <w:spacing w:val="8"/>
          <w:kern w:val="0"/>
          <w:sz w:val="28"/>
          <w:szCs w:val="28"/>
          <w:highlight w:val="none"/>
          <w:u w:val="single"/>
          <w:lang w:eastAsia="zh-CN"/>
        </w:rPr>
        <w:t>2026年</w:t>
      </w:r>
      <w:r>
        <w:rPr>
          <w:rFonts w:hint="eastAsia" w:ascii="仿宋" w:hAnsi="仿宋" w:eastAsia="仿宋" w:cs="仿宋"/>
          <w:color w:val="auto"/>
          <w:spacing w:val="8"/>
          <w:kern w:val="0"/>
          <w:sz w:val="28"/>
          <w:szCs w:val="28"/>
          <w:highlight w:val="none"/>
          <w:u w:val="single"/>
          <w:lang w:val="en-US" w:eastAsia="zh-CN"/>
        </w:rPr>
        <w:t>8月28日9</w:t>
      </w:r>
      <w:r>
        <w:rPr>
          <w:rFonts w:hint="eastAsia" w:ascii="仿宋" w:hAnsi="仿宋" w:eastAsia="仿宋" w:cs="仿宋"/>
          <w:color w:val="auto"/>
          <w:spacing w:val="8"/>
          <w:kern w:val="0"/>
          <w:sz w:val="28"/>
          <w:szCs w:val="28"/>
          <w:highlight w:val="none"/>
          <w:u w:val="single"/>
          <w:lang w:eastAsia="zh-CN"/>
        </w:rPr>
        <w:t>时</w:t>
      </w:r>
      <w:r>
        <w:rPr>
          <w:rFonts w:hint="eastAsia" w:ascii="仿宋" w:hAnsi="仿宋" w:eastAsia="仿宋" w:cs="仿宋"/>
          <w:color w:val="auto"/>
          <w:spacing w:val="8"/>
          <w:kern w:val="0"/>
          <w:sz w:val="28"/>
          <w:szCs w:val="28"/>
          <w:highlight w:val="none"/>
          <w:u w:val="single"/>
          <w:lang w:val="en-US" w:eastAsia="zh-CN"/>
        </w:rPr>
        <w:t>00</w:t>
      </w:r>
      <w:r>
        <w:rPr>
          <w:rFonts w:hint="eastAsia" w:ascii="仿宋" w:hAnsi="仿宋" w:eastAsia="仿宋" w:cs="仿宋"/>
          <w:color w:val="auto"/>
          <w:spacing w:val="8"/>
          <w:kern w:val="0"/>
          <w:sz w:val="28"/>
          <w:szCs w:val="28"/>
          <w:highlight w:val="none"/>
          <w:u w:val="single"/>
          <w:lang w:eastAsia="zh-CN"/>
        </w:rPr>
        <w:t>分</w:t>
      </w:r>
      <w:r>
        <w:rPr>
          <w:rFonts w:hint="eastAsia" w:ascii="仿宋" w:hAnsi="仿宋" w:eastAsia="仿宋" w:cs="仿宋"/>
          <w:color w:val="auto"/>
          <w:spacing w:val="8"/>
          <w:kern w:val="0"/>
          <w:sz w:val="28"/>
          <w:szCs w:val="28"/>
          <w:highlight w:val="none"/>
          <w:u w:val="single"/>
        </w:rPr>
        <w:t>（北京时间）</w:t>
      </w:r>
      <w:r>
        <w:rPr>
          <w:rFonts w:hint="eastAsia" w:ascii="仿宋" w:hAnsi="仿宋" w:eastAsia="仿宋" w:cs="仿宋"/>
          <w:color w:val="auto"/>
          <w:spacing w:val="8"/>
          <w:kern w:val="0"/>
          <w:sz w:val="28"/>
          <w:szCs w:val="28"/>
          <w:highlight w:val="none"/>
        </w:rPr>
        <w:t>前递交投标文件。</w:t>
      </w:r>
    </w:p>
    <w:p w14:paraId="77E279BC">
      <w:pPr>
        <w:rPr>
          <w:rFonts w:hint="eastAsia"/>
          <w:highlight w:val="none"/>
        </w:rPr>
      </w:pPr>
    </w:p>
    <w:p w14:paraId="3BD12771">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eastAsia="zh-CN"/>
        </w:rPr>
      </w:pPr>
      <w:r>
        <w:rPr>
          <w:rFonts w:hint="eastAsia" w:ascii="黑体" w:hAnsi="黑体" w:eastAsia="黑体" w:cs="宋体"/>
          <w:color w:val="auto"/>
          <w:kern w:val="0"/>
          <w:sz w:val="28"/>
          <w:szCs w:val="28"/>
          <w:highlight w:val="none"/>
        </w:rPr>
        <w:t>一、项目基本情况</w:t>
      </w:r>
    </w:p>
    <w:p w14:paraId="3B170DCE">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WHZCZB2026-085</w:t>
      </w:r>
    </w:p>
    <w:p w14:paraId="3F8C7137">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威海市国家粮食储备库有限公司高标准粮仓建设项目设计</w:t>
      </w:r>
    </w:p>
    <w:p w14:paraId="5E4C3F04">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采购项目分包情况：</w:t>
      </w:r>
    </w:p>
    <w:tbl>
      <w:tblPr>
        <w:tblStyle w:val="30"/>
        <w:tblW w:w="5000"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504"/>
        <w:gridCol w:w="795"/>
        <w:gridCol w:w="1544"/>
        <w:gridCol w:w="1530"/>
        <w:gridCol w:w="1335"/>
        <w:gridCol w:w="1387"/>
      </w:tblGrid>
      <w:tr w14:paraId="0ED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right"/>
        </w:trPr>
        <w:tc>
          <w:tcPr>
            <w:tcW w:w="432" w:type="pct"/>
            <w:tcBorders>
              <w:bottom w:val="single" w:color="auto" w:sz="4" w:space="0"/>
            </w:tcBorders>
            <w:noWrap w:val="0"/>
            <w:vAlign w:val="center"/>
          </w:tcPr>
          <w:p w14:paraId="2A68B574">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标包</w:t>
            </w:r>
          </w:p>
        </w:tc>
        <w:tc>
          <w:tcPr>
            <w:tcW w:w="1257" w:type="pct"/>
            <w:noWrap w:val="0"/>
            <w:vAlign w:val="center"/>
          </w:tcPr>
          <w:p w14:paraId="50ACE6C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项目名称</w:t>
            </w:r>
          </w:p>
        </w:tc>
        <w:tc>
          <w:tcPr>
            <w:tcW w:w="399" w:type="pct"/>
            <w:noWrap w:val="0"/>
            <w:vAlign w:val="center"/>
          </w:tcPr>
          <w:p w14:paraId="60D4D0F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数量</w:t>
            </w:r>
          </w:p>
        </w:tc>
        <w:tc>
          <w:tcPr>
            <w:tcW w:w="775" w:type="pct"/>
            <w:tcBorders>
              <w:right w:val="single" w:color="auto" w:sz="4" w:space="0"/>
            </w:tcBorders>
            <w:noWrap w:val="0"/>
            <w:vAlign w:val="center"/>
          </w:tcPr>
          <w:p w14:paraId="2206DFB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预算金额</w:t>
            </w:r>
          </w:p>
          <w:p w14:paraId="4C45902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768" w:type="pct"/>
            <w:tcBorders>
              <w:right w:val="single" w:color="auto" w:sz="4" w:space="0"/>
            </w:tcBorders>
            <w:noWrap w:val="0"/>
            <w:vAlign w:val="center"/>
          </w:tcPr>
          <w:p w14:paraId="536DBD6B">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最高限价</w:t>
            </w:r>
          </w:p>
          <w:p w14:paraId="4294833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670" w:type="pct"/>
            <w:tcBorders>
              <w:right w:val="single" w:color="auto" w:sz="4" w:space="0"/>
            </w:tcBorders>
            <w:noWrap w:val="0"/>
            <w:vAlign w:val="center"/>
          </w:tcPr>
          <w:p w14:paraId="26F1CF5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采购需求</w:t>
            </w:r>
          </w:p>
        </w:tc>
        <w:tc>
          <w:tcPr>
            <w:tcW w:w="696" w:type="pct"/>
            <w:tcBorders>
              <w:right w:val="single" w:color="auto" w:sz="4" w:space="0"/>
            </w:tcBorders>
            <w:noWrap w:val="0"/>
            <w:vAlign w:val="center"/>
          </w:tcPr>
          <w:p w14:paraId="3203203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合同履行期限</w:t>
            </w:r>
          </w:p>
        </w:tc>
      </w:tr>
      <w:tr w14:paraId="1AC9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right"/>
        </w:trPr>
        <w:tc>
          <w:tcPr>
            <w:tcW w:w="432" w:type="pct"/>
            <w:tcBorders>
              <w:top w:val="single" w:color="auto" w:sz="4" w:space="0"/>
              <w:bottom w:val="single" w:color="auto" w:sz="4" w:space="0"/>
            </w:tcBorders>
            <w:noWrap w:val="0"/>
            <w:vAlign w:val="center"/>
          </w:tcPr>
          <w:p w14:paraId="2E47221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001</w:t>
            </w:r>
          </w:p>
        </w:tc>
        <w:tc>
          <w:tcPr>
            <w:tcW w:w="1257" w:type="pct"/>
            <w:noWrap w:val="0"/>
            <w:vAlign w:val="center"/>
          </w:tcPr>
          <w:p w14:paraId="22FAEAB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威海市国家粮食储备库有限公司高标准粮仓建设项目设计</w:t>
            </w:r>
          </w:p>
        </w:tc>
        <w:tc>
          <w:tcPr>
            <w:tcW w:w="399" w:type="pct"/>
            <w:noWrap w:val="0"/>
            <w:vAlign w:val="center"/>
          </w:tcPr>
          <w:p w14:paraId="2542912D">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spacing w:val="8"/>
                <w:kern w:val="0"/>
                <w:sz w:val="24"/>
                <w:szCs w:val="24"/>
                <w:highlight w:val="none"/>
                <w:lang w:eastAsia="zh-CN"/>
              </w:rPr>
            </w:pPr>
            <w:r>
              <w:rPr>
                <w:rFonts w:hint="eastAsia" w:ascii="仿宋" w:hAnsi="仿宋" w:eastAsia="仿宋" w:cs="仿宋"/>
                <w:color w:val="auto"/>
                <w:spacing w:val="8"/>
                <w:kern w:val="0"/>
                <w:sz w:val="24"/>
                <w:szCs w:val="24"/>
                <w:highlight w:val="none"/>
              </w:rPr>
              <w:t>1</w:t>
            </w:r>
            <w:r>
              <w:rPr>
                <w:rFonts w:hint="eastAsia" w:ascii="仿宋" w:hAnsi="仿宋" w:eastAsia="仿宋" w:cs="仿宋"/>
                <w:color w:val="auto"/>
                <w:spacing w:val="8"/>
                <w:kern w:val="0"/>
                <w:sz w:val="24"/>
                <w:szCs w:val="24"/>
                <w:highlight w:val="none"/>
                <w:lang w:val="en-US" w:eastAsia="zh-CN"/>
              </w:rPr>
              <w:t>宗</w:t>
            </w:r>
          </w:p>
        </w:tc>
        <w:tc>
          <w:tcPr>
            <w:tcW w:w="775" w:type="pct"/>
            <w:tcBorders>
              <w:right w:val="single" w:color="auto" w:sz="4" w:space="0"/>
            </w:tcBorders>
            <w:noWrap w:val="0"/>
            <w:vAlign w:val="center"/>
          </w:tcPr>
          <w:p w14:paraId="64B2537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440000.00</w:t>
            </w:r>
          </w:p>
        </w:tc>
        <w:tc>
          <w:tcPr>
            <w:tcW w:w="768" w:type="pct"/>
            <w:tcBorders>
              <w:right w:val="single" w:color="auto" w:sz="4" w:space="0"/>
            </w:tcBorders>
            <w:noWrap w:val="0"/>
            <w:vAlign w:val="center"/>
          </w:tcPr>
          <w:p w14:paraId="74BA337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440000.00</w:t>
            </w:r>
          </w:p>
        </w:tc>
        <w:tc>
          <w:tcPr>
            <w:tcW w:w="670" w:type="pct"/>
            <w:tcBorders>
              <w:right w:val="single" w:color="auto" w:sz="4" w:space="0"/>
            </w:tcBorders>
            <w:noWrap w:val="0"/>
            <w:vAlign w:val="center"/>
          </w:tcPr>
          <w:p w14:paraId="0D98340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c>
          <w:tcPr>
            <w:tcW w:w="696" w:type="pct"/>
            <w:tcBorders>
              <w:right w:val="single" w:color="auto" w:sz="4" w:space="0"/>
            </w:tcBorders>
            <w:noWrap w:val="0"/>
            <w:vAlign w:val="center"/>
          </w:tcPr>
          <w:p w14:paraId="24554888">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r>
    </w:tbl>
    <w:p w14:paraId="443E3D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本项目不接受联合体投标。</w:t>
      </w:r>
    </w:p>
    <w:p w14:paraId="48CE704D">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二、</w:t>
      </w:r>
      <w:r>
        <w:rPr>
          <w:rFonts w:hint="eastAsia" w:ascii="黑体" w:hAnsi="黑体" w:eastAsia="黑体" w:cs="宋体"/>
          <w:color w:val="auto"/>
          <w:kern w:val="0"/>
          <w:sz w:val="28"/>
          <w:szCs w:val="28"/>
          <w:highlight w:val="none"/>
          <w:lang w:val="en-US" w:eastAsia="zh-CN"/>
        </w:rPr>
        <w:t>投标人</w:t>
      </w:r>
      <w:r>
        <w:rPr>
          <w:rFonts w:hint="eastAsia" w:ascii="黑体" w:hAnsi="黑体" w:eastAsia="黑体" w:cs="宋体"/>
          <w:color w:val="auto"/>
          <w:kern w:val="0"/>
          <w:sz w:val="28"/>
          <w:szCs w:val="28"/>
          <w:highlight w:val="none"/>
        </w:rPr>
        <w:t>的资格要求</w:t>
      </w:r>
    </w:p>
    <w:p w14:paraId="35EA0C6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具有独立承担民事责任的能力</w:t>
      </w:r>
      <w:r>
        <w:rPr>
          <w:rFonts w:hint="eastAsia" w:ascii="仿宋" w:hAnsi="仿宋" w:eastAsia="仿宋" w:cs="仿宋"/>
          <w:color w:val="auto"/>
          <w:sz w:val="28"/>
          <w:szCs w:val="28"/>
          <w:highlight w:val="none"/>
        </w:rPr>
        <w:t>；</w:t>
      </w:r>
    </w:p>
    <w:p w14:paraId="5CC2E075">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具有良好的商业信誉和健全的财务会计制度</w:t>
      </w:r>
      <w:r>
        <w:rPr>
          <w:rFonts w:hint="eastAsia" w:ascii="仿宋" w:hAnsi="仿宋" w:eastAsia="仿宋" w:cs="仿宋"/>
          <w:color w:val="auto"/>
          <w:sz w:val="28"/>
          <w:szCs w:val="28"/>
          <w:highlight w:val="none"/>
        </w:rPr>
        <w:t>；</w:t>
      </w:r>
    </w:p>
    <w:p w14:paraId="0AA1D74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具有履行合同所必需的设备和专业技术能力</w:t>
      </w:r>
      <w:r>
        <w:rPr>
          <w:rFonts w:hint="eastAsia" w:ascii="仿宋" w:hAnsi="仿宋" w:eastAsia="仿宋" w:cs="仿宋"/>
          <w:color w:val="auto"/>
          <w:sz w:val="28"/>
          <w:szCs w:val="28"/>
          <w:highlight w:val="none"/>
        </w:rPr>
        <w:t>；</w:t>
      </w:r>
    </w:p>
    <w:p w14:paraId="713F042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具有依法缴纳税收和社会保障资金的良好记录</w:t>
      </w:r>
      <w:r>
        <w:rPr>
          <w:rFonts w:hint="eastAsia" w:ascii="仿宋" w:hAnsi="仿宋" w:eastAsia="仿宋" w:cs="仿宋"/>
          <w:color w:val="auto"/>
          <w:sz w:val="28"/>
          <w:szCs w:val="28"/>
          <w:highlight w:val="none"/>
        </w:rPr>
        <w:t>；</w:t>
      </w:r>
    </w:p>
    <w:p w14:paraId="7DB302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参加本次采购活动前三年内，在经营活动中没有重大违法记录</w:t>
      </w:r>
      <w:r>
        <w:rPr>
          <w:rFonts w:hint="eastAsia" w:ascii="仿宋" w:hAnsi="仿宋" w:eastAsia="仿宋" w:cs="仿宋"/>
          <w:color w:val="auto"/>
          <w:sz w:val="28"/>
          <w:szCs w:val="28"/>
          <w:highlight w:val="none"/>
        </w:rPr>
        <w:t>；</w:t>
      </w:r>
    </w:p>
    <w:p w14:paraId="5D4A6AEB">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w:t>
      </w:r>
      <w:r>
        <w:rPr>
          <w:rFonts w:hint="eastAsia" w:ascii="仿宋" w:hAnsi="仿宋" w:eastAsia="仿宋" w:cs="仿宋"/>
          <w:color w:val="auto"/>
          <w:sz w:val="28"/>
          <w:szCs w:val="28"/>
          <w:highlight w:val="none"/>
          <w:lang w:val="en-US" w:eastAsia="zh-CN"/>
        </w:rPr>
        <w:t>及其</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、被授权人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项目负责人</w:t>
      </w:r>
      <w:r>
        <w:rPr>
          <w:rFonts w:hint="eastAsia" w:ascii="仿宋" w:hAnsi="仿宋" w:eastAsia="仿宋" w:cs="仿宋"/>
          <w:color w:val="auto"/>
          <w:sz w:val="28"/>
          <w:szCs w:val="28"/>
          <w:highlight w:val="none"/>
          <w:lang w:eastAsia="zh-CN"/>
        </w:rPr>
        <w:t>未被最高人民法院列为失信被执行人</w:t>
      </w:r>
      <w:r>
        <w:rPr>
          <w:rFonts w:hint="eastAsia" w:ascii="仿宋" w:hAnsi="仿宋" w:eastAsia="仿宋" w:cs="仿宋"/>
          <w:color w:val="auto"/>
          <w:sz w:val="28"/>
          <w:szCs w:val="28"/>
          <w:highlight w:val="none"/>
        </w:rPr>
        <w:t>；</w:t>
      </w:r>
    </w:p>
    <w:p w14:paraId="0487EABC">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7.投标人近一年在“信用中国”或“信用中国（山东）”无严重失信记录；</w:t>
      </w:r>
    </w:p>
    <w:p w14:paraId="4A6E5CEC">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en-US" w:eastAsia="zh-CN"/>
        </w:rPr>
        <w:t>投标人具有工程设计综合甲级资质或工程设计商物粮行业乙级及以上资质或工程设计商物粮行业粮食工程专业乙级及以上资质；</w:t>
      </w:r>
    </w:p>
    <w:p w14:paraId="08932AA5">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9.拟派项目负责人具有一级注册建筑师执业资格或一级注册结构工程师执业资格；</w:t>
      </w:r>
    </w:p>
    <w:p w14:paraId="7BD0776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法律、行政法规及招标文件规定的其他要求。</w:t>
      </w:r>
    </w:p>
    <w:p w14:paraId="78F1E9AA">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三、获取招标文件时间及地点</w:t>
      </w:r>
    </w:p>
    <w:p w14:paraId="53D07FA8">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1.获取时间：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17</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分（北京时间）</w:t>
      </w:r>
      <w:r>
        <w:rPr>
          <w:rFonts w:hint="eastAsia" w:ascii="仿宋" w:hAnsi="仿宋" w:eastAsia="仿宋" w:cs="仿宋"/>
          <w:color w:val="auto"/>
          <w:sz w:val="28"/>
          <w:szCs w:val="28"/>
          <w:highlight w:val="none"/>
          <w:lang w:eastAsia="zh-CN"/>
        </w:rPr>
        <w:t>。</w:t>
      </w:r>
    </w:p>
    <w:p w14:paraId="260CB5D1">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获取地点：登录“威海市公共资源交易网”首页右侧“交易服务一网通办-（新版）一网通办系统”进行“平台切换”，点击“国企采购”进入国企阳光采购平台获取文件（网址：http://ggzyjy.weihai.cn/）。逾期无法从国企阳光采购平台中获取文件，未在规定时间内从系统中获取采购文件的投标人将无法提交电子投标（响应）文件。交易服务一网通办系统技术支持电话：0631-5311569（受理问题：系统登录、CA锁绑定、平台切换），一网通办技术支持QQ群：1143439694；CA锁办理咨询电话：0631-5172975；国企采购技术支持电话：17863029936，国企采购技术支持QQ群（投标人）：1046971257。</w:t>
      </w:r>
    </w:p>
    <w:p w14:paraId="2026312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登录“威海市公共资源交易网”首页右侧“交易服务一网通办-（新版）一网通办系统”进行注册登记，并办理“安全证书（CA）”和“电子签章”进行获取文件。“安全证书（CA）”和“电子签章”办理请按照“威海市公共资源交易网”首页右侧“CA办理”中“CA证书办理介绍”进行办理。</w:t>
      </w:r>
    </w:p>
    <w:p w14:paraId="7A45331C">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四、投标文件提交</w:t>
      </w:r>
    </w:p>
    <w:p w14:paraId="447EE8F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8月17日19</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8月28日9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19724C1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地点：登录“威海市公共资源交易网”首页右侧“交易服务一网通办-（新版）一网通办系统”进行“平台切换”，点击“国企采购”进入国企阳光采购平台进行提交。已在国企阳光采购平台获取文件的投标人在规定时间内提交电子投标文件。</w:t>
      </w:r>
    </w:p>
    <w:p w14:paraId="6F70794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val="en-US" w:eastAsia="zh-CN"/>
        </w:rPr>
      </w:pPr>
      <w:r>
        <w:rPr>
          <w:rFonts w:hint="eastAsia" w:ascii="黑体" w:hAnsi="黑体" w:eastAsia="黑体" w:cs="宋体"/>
          <w:color w:val="auto"/>
          <w:kern w:val="0"/>
          <w:sz w:val="28"/>
          <w:szCs w:val="28"/>
          <w:highlight w:val="none"/>
        </w:rPr>
        <w:t>五、开</w:t>
      </w:r>
      <w:r>
        <w:rPr>
          <w:rFonts w:hint="eastAsia" w:ascii="黑体" w:hAnsi="黑体" w:eastAsia="黑体" w:cs="宋体"/>
          <w:color w:val="auto"/>
          <w:kern w:val="0"/>
          <w:sz w:val="28"/>
          <w:szCs w:val="28"/>
          <w:highlight w:val="none"/>
          <w:lang w:val="en-US" w:eastAsia="zh-CN"/>
        </w:rPr>
        <w:t>标</w:t>
      </w:r>
    </w:p>
    <w:p w14:paraId="19108E5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8月28日9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0832065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交易</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lang w:eastAsia="zh-CN"/>
        </w:rPr>
        <w:t>厅（威海市环翠区塔山中路317号威海市政务服务中心四楼）。</w:t>
      </w:r>
    </w:p>
    <w:p w14:paraId="06D42A35">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六、其他补充事宜</w:t>
      </w:r>
    </w:p>
    <w:p w14:paraId="1AD765B0">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投标人提前熟悉交易系统（新版威海市国有企业阳光采购服务平台供应商用户手册网址：</w:t>
      </w:r>
      <w:r>
        <w:rPr>
          <w:rFonts w:hint="eastAsia" w:ascii="仿宋" w:hAnsi="仿宋" w:eastAsia="仿宋" w:cs="仿宋"/>
          <w:color w:val="auto"/>
          <w:sz w:val="28"/>
          <w:szCs w:val="28"/>
          <w:highlight w:val="none"/>
          <w:lang w:eastAsia="zh-CN"/>
        </w:rPr>
        <w:t>https://ggzyjy.weihai.cn/bszn/005005/20260109/eb4ba418-4b35-4f05-aa69-44fd7d8a7ffb.html</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通过交易系统线上参加开标活动。投标人应保持通讯畅通并提前在个人电脑上进行测试确保音频、视频功能、电子签章等功能可正常使用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否则一切后果由投标人自行承担。</w:t>
      </w:r>
    </w:p>
    <w:p w14:paraId="0FB46FF8">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七、对本次招标提出询问</w:t>
      </w:r>
      <w:r>
        <w:rPr>
          <w:rFonts w:hint="eastAsia" w:ascii="黑体" w:hAnsi="黑体" w:eastAsia="黑体" w:cs="宋体"/>
          <w:color w:val="auto"/>
          <w:kern w:val="0"/>
          <w:sz w:val="28"/>
          <w:szCs w:val="28"/>
          <w:highlight w:val="none"/>
          <w:lang w:eastAsia="zh-CN"/>
        </w:rPr>
        <w:t>，</w:t>
      </w:r>
      <w:r>
        <w:rPr>
          <w:rFonts w:hint="eastAsia" w:ascii="黑体" w:hAnsi="黑体" w:eastAsia="黑体" w:cs="宋体"/>
          <w:color w:val="auto"/>
          <w:kern w:val="0"/>
          <w:sz w:val="28"/>
          <w:szCs w:val="28"/>
          <w:highlight w:val="none"/>
        </w:rPr>
        <w:t>请按以下方式联系。</w:t>
      </w:r>
    </w:p>
    <w:p w14:paraId="259A9F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142888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称：威海市国家粮食储备库有限公司</w:t>
      </w:r>
    </w:p>
    <w:p w14:paraId="706FD8B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址：山东省威海市临港经济技术开发区汪疃镇威浩路3号</w:t>
      </w:r>
    </w:p>
    <w:p w14:paraId="0DA4D3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联系人：邹冬宁</w:t>
      </w:r>
    </w:p>
    <w:p w14:paraId="689C67ED">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联系方式：0631-8568008</w:t>
      </w:r>
    </w:p>
    <w:p w14:paraId="3D3BB0C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728577F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称：山东志诚工程咨询管理有限公司</w:t>
      </w:r>
    </w:p>
    <w:p w14:paraId="68BD3E7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址：威海经济技术开发区青岛中路-77A号长峰商业广场1211室</w:t>
      </w:r>
    </w:p>
    <w:p w14:paraId="120B07D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联系方式：0631-5188996</w:t>
      </w:r>
    </w:p>
    <w:p w14:paraId="027E653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537922F5">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项目联系人：张佳惠、赵洪斌</w:t>
      </w:r>
    </w:p>
    <w:p w14:paraId="2A334C6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电话：0631-5188996</w:t>
      </w:r>
    </w:p>
    <w:p w14:paraId="61F054A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八、发布公告的媒介</w:t>
      </w:r>
    </w:p>
    <w:p w14:paraId="7EAC995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本次公告在中国招标投标公共服务平台（www.cebpubservice.com）、威海市公共资源交易网（http://ggzyjy.weihai.cn/）同时发布，其它媒介转发无效。</w:t>
      </w:r>
    </w:p>
    <w:p w14:paraId="4CE210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549FAC9B">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山东志诚工程咨询管理有限公司</w:t>
      </w:r>
    </w:p>
    <w:p w14:paraId="6974ACA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8月17日</w:t>
      </w:r>
    </w:p>
    <w:p w14:paraId="670ADD4F">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sectPr>
          <w:pgSz w:w="11906" w:h="16838"/>
          <w:pgMar w:top="1440" w:right="1083" w:bottom="1440" w:left="1083" w:header="851" w:footer="992" w:gutter="0"/>
          <w:pgNumType w:fmt="decimal"/>
          <w:cols w:space="0" w:num="1"/>
          <w:rtlGutter w:val="0"/>
          <w:docGrid w:type="lines" w:linePitch="312" w:charSpace="0"/>
        </w:sectPr>
      </w:pPr>
    </w:p>
    <w:p w14:paraId="6EACF88F">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第二章  投标须知</w:t>
      </w:r>
    </w:p>
    <w:p w14:paraId="6429C4E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投标须知前附表</w:t>
      </w:r>
    </w:p>
    <w:p w14:paraId="06B7935A">
      <w:pPr>
        <w:shd w:val="clear"/>
        <w:spacing w:line="500" w:lineRule="exact"/>
        <w:ind w:firstLine="643" w:firstLineChars="201"/>
        <w:jc w:val="center"/>
        <w:rPr>
          <w:rFonts w:ascii="宋体" w:hAnsi="宋体"/>
          <w:color w:val="auto"/>
          <w:sz w:val="32"/>
          <w:szCs w:val="32"/>
          <w:highlight w:val="none"/>
        </w:rPr>
      </w:pPr>
    </w:p>
    <w:tbl>
      <w:tblPr>
        <w:tblStyle w:val="30"/>
        <w:tblW w:w="93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309"/>
      </w:tblGrid>
      <w:tr w14:paraId="75DF4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606C2E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331E44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309" w:type="dxa"/>
            <w:tcBorders>
              <w:top w:val="single" w:color="auto" w:sz="4" w:space="0"/>
              <w:left w:val="single" w:color="auto" w:sz="4" w:space="0"/>
              <w:bottom w:val="single" w:color="auto" w:sz="4" w:space="0"/>
            </w:tcBorders>
            <w:noWrap w:val="0"/>
            <w:vAlign w:val="center"/>
          </w:tcPr>
          <w:p w14:paraId="733BED1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41A3D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4CEC06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E24C8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309" w:type="dxa"/>
            <w:tcBorders>
              <w:top w:val="single" w:color="auto" w:sz="4" w:space="0"/>
              <w:left w:val="single" w:color="auto" w:sz="4" w:space="0"/>
              <w:bottom w:val="single" w:color="auto" w:sz="4" w:space="0"/>
            </w:tcBorders>
            <w:noWrap w:val="0"/>
            <w:vAlign w:val="center"/>
          </w:tcPr>
          <w:p w14:paraId="357E62B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威海市国家粮食储备库有限公司高标准粮仓建设项目设计</w:t>
            </w:r>
          </w:p>
        </w:tc>
      </w:tr>
      <w:tr w14:paraId="68B5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17CEFED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F84E43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6309" w:type="dxa"/>
            <w:tcBorders>
              <w:top w:val="single" w:color="auto" w:sz="4" w:space="0"/>
              <w:left w:val="single" w:color="auto" w:sz="4" w:space="0"/>
              <w:bottom w:val="single" w:color="auto" w:sz="4" w:space="0"/>
            </w:tcBorders>
            <w:noWrap w:val="0"/>
            <w:vAlign w:val="center"/>
          </w:tcPr>
          <w:p w14:paraId="748FE8E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WHZCZB2026-085</w:t>
            </w:r>
          </w:p>
        </w:tc>
      </w:tr>
      <w:tr w14:paraId="35DAA9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471756F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C1C31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采购人</w:t>
            </w:r>
          </w:p>
        </w:tc>
        <w:tc>
          <w:tcPr>
            <w:tcW w:w="6309" w:type="dxa"/>
            <w:tcBorders>
              <w:top w:val="single" w:color="auto" w:sz="4" w:space="0"/>
              <w:left w:val="single" w:color="auto" w:sz="4" w:space="0"/>
              <w:bottom w:val="single" w:color="auto" w:sz="4" w:space="0"/>
            </w:tcBorders>
            <w:noWrap w:val="0"/>
            <w:vAlign w:val="center"/>
          </w:tcPr>
          <w:p w14:paraId="0DBCC78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威海市国家粮食储备库有限公司</w:t>
            </w:r>
          </w:p>
          <w:p w14:paraId="0D2332C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z w:val="28"/>
                <w:szCs w:val="28"/>
                <w:highlight w:val="none"/>
                <w:lang w:eastAsia="zh-CN"/>
              </w:rPr>
              <w:t>山东省威海市临港经济技术开发区汪疃镇威浩路3号</w:t>
            </w:r>
          </w:p>
          <w:p w14:paraId="5DB71B1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邹冬宁</w:t>
            </w:r>
          </w:p>
          <w:p w14:paraId="63EB19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w:t>
            </w:r>
            <w:r>
              <w:rPr>
                <w:rFonts w:hint="eastAsia" w:ascii="仿宋" w:hAnsi="仿宋" w:eastAsia="仿宋" w:cs="仿宋"/>
                <w:color w:val="auto"/>
                <w:sz w:val="28"/>
                <w:szCs w:val="28"/>
                <w:highlight w:val="none"/>
                <w:lang w:val="en-US" w:eastAsia="zh-CN"/>
              </w:rPr>
              <w:t>电话</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0631-8568008</w:t>
            </w:r>
          </w:p>
        </w:tc>
      </w:tr>
      <w:tr w14:paraId="0937C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676550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BC69F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采购代理机构</w:t>
            </w:r>
          </w:p>
        </w:tc>
        <w:tc>
          <w:tcPr>
            <w:tcW w:w="6309" w:type="dxa"/>
            <w:tcBorders>
              <w:top w:val="single" w:color="auto" w:sz="4" w:space="0"/>
              <w:left w:val="single" w:color="auto" w:sz="4" w:space="0"/>
              <w:bottom w:val="single" w:color="auto" w:sz="4" w:space="0"/>
            </w:tcBorders>
            <w:noWrap w:val="0"/>
            <w:vAlign w:val="center"/>
          </w:tcPr>
          <w:p w14:paraId="1E4AE17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山东志诚工程咨询管理有限公司</w:t>
            </w:r>
          </w:p>
          <w:p w14:paraId="48C4D8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pacing w:val="8"/>
                <w:kern w:val="0"/>
                <w:sz w:val="28"/>
                <w:szCs w:val="28"/>
                <w:highlight w:val="none"/>
                <w:lang w:eastAsia="zh-CN"/>
              </w:rPr>
              <w:t>威海经济技术开发区青岛中路-77A号长峰商业广场1211室</w:t>
            </w:r>
          </w:p>
          <w:p w14:paraId="1C93A5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张佳惠、赵洪斌</w:t>
            </w:r>
          </w:p>
          <w:p w14:paraId="52C47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7B94A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CDB37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34D57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24F823B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309" w:type="dxa"/>
            <w:tcBorders>
              <w:top w:val="single" w:color="auto" w:sz="4" w:space="0"/>
              <w:left w:val="single" w:color="auto" w:sz="4" w:space="0"/>
              <w:bottom w:val="single" w:color="auto" w:sz="4" w:space="0"/>
            </w:tcBorders>
            <w:noWrap w:val="0"/>
            <w:vAlign w:val="center"/>
          </w:tcPr>
          <w:p w14:paraId="58C0D04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首页右侧“交易服务一网通办-（新版）一网通办系统”进行注册，取得用户名和密码（已经完成注册无须重复注册）；首次注册投标人应及时办理安全证书（CA锁）及电子签章。本项目必须网上递交投标文件，参与本项目投标人应利用办理好的CA锁登录国企阳光采购平台进行招标文件的获取、文件下载和网上递交投标文件，且安全证书（CA锁）在有效期内。</w:t>
            </w:r>
          </w:p>
          <w:p w14:paraId="5BC19C1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登录“威海市公共资源交易网”首页右侧“交易服务一网通办-（新版）一网通办系统”进行“平台切换”，点击“国企采购”进入国企阳光采购平台，如跳转国企阳光采购平台时，提示用户不存在，可拨打技术支持电话（17863029936）咨询。</w:t>
            </w:r>
          </w:p>
          <w:p w14:paraId="164DFC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BC4CBD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D1BED1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FAEB91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w:t>
            </w:r>
            <w:r>
              <w:rPr>
                <w:rFonts w:hint="eastAsia" w:ascii="仿宋" w:hAnsi="仿宋" w:eastAsia="仿宋" w:cs="仿宋"/>
                <w:color w:val="auto"/>
                <w:sz w:val="28"/>
                <w:szCs w:val="28"/>
                <w:highlight w:val="none"/>
                <w:lang w:val="en-US" w:eastAsia="zh-CN"/>
              </w:rPr>
              <w:t>必须</w:t>
            </w:r>
            <w:r>
              <w:rPr>
                <w:rFonts w:hint="eastAsia" w:ascii="仿宋" w:hAnsi="仿宋" w:eastAsia="仿宋" w:cs="仿宋"/>
                <w:color w:val="auto"/>
                <w:sz w:val="28"/>
                <w:szCs w:val="28"/>
                <w:highlight w:val="none"/>
              </w:rPr>
              <w:t>有电子签章方为合法的投标文件，未对电子投标文件进行电子签章的，将作为无效投标处理。电子投标文件的电子签章要求：在生成电子投标文件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格式时，都必须对电子投标文件进行电子签章；签章时需要将电子签章签署到相应的位置中。</w:t>
            </w:r>
          </w:p>
          <w:p w14:paraId="7A9931D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74D1EA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8.除网上递交电子投标文件外，如有要求递交相关资质证明文件原件的，还须按其要求独立密封递交（被授权人身份证原件除外）。</w:t>
            </w:r>
          </w:p>
          <w:p w14:paraId="55BD6FB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9.投标人应充分考虑到网上递交投标文件会发生的故障和风险。对发生的任何故障和风险造成投标人报价内容不一致或利益受损或投标失败的，采购人及采购代理机构不承担任何责任。</w:t>
            </w:r>
          </w:p>
        </w:tc>
      </w:tr>
      <w:tr w14:paraId="786F2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4DBE95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ED38B0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309" w:type="dxa"/>
            <w:tcBorders>
              <w:top w:val="single" w:color="auto" w:sz="4" w:space="0"/>
              <w:left w:val="single" w:color="auto" w:sz="4" w:space="0"/>
              <w:bottom w:val="single" w:color="auto" w:sz="4" w:space="0"/>
            </w:tcBorders>
            <w:noWrap w:val="0"/>
            <w:vAlign w:val="center"/>
          </w:tcPr>
          <w:p w14:paraId="5F69F51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76289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4D4C5B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4A5809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309" w:type="dxa"/>
            <w:tcBorders>
              <w:top w:val="single" w:color="auto" w:sz="4" w:space="0"/>
              <w:left w:val="single" w:color="auto" w:sz="4" w:space="0"/>
              <w:bottom w:val="single" w:color="auto" w:sz="4" w:space="0"/>
            </w:tcBorders>
            <w:noWrap w:val="0"/>
            <w:vAlign w:val="center"/>
          </w:tcPr>
          <w:p w14:paraId="6F82FD43">
            <w:pPr>
              <w:keepNext w:val="0"/>
              <w:keepLines w:val="0"/>
              <w:pageBreakBefore w:val="0"/>
              <w:widowControl w:val="0"/>
              <w:shd w:val="clear"/>
              <w:kinsoku/>
              <w:wordWrap/>
              <w:overflowPunct/>
              <w:topLinePunct w:val="0"/>
              <w:autoSpaceDE/>
              <w:autoSpaceDN/>
              <w:bidi w:val="0"/>
              <w:adjustRightInd/>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网上按时递交电子投标文件1份以及纸质投标文件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p>
        </w:tc>
      </w:tr>
      <w:tr w14:paraId="1AB5B6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130749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8A7ED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309" w:type="dxa"/>
            <w:tcBorders>
              <w:top w:val="single" w:color="auto" w:sz="4" w:space="0"/>
              <w:left w:val="single" w:color="auto" w:sz="4" w:space="0"/>
              <w:bottom w:val="single" w:color="auto" w:sz="4" w:space="0"/>
            </w:tcBorders>
            <w:noWrap w:val="0"/>
            <w:vAlign w:val="center"/>
          </w:tcPr>
          <w:p w14:paraId="786FC09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67E92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7E722D4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B0E2E3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309" w:type="dxa"/>
            <w:tcBorders>
              <w:top w:val="single" w:color="auto" w:sz="4" w:space="0"/>
              <w:left w:val="single" w:color="auto" w:sz="4" w:space="0"/>
              <w:bottom w:val="single" w:color="auto" w:sz="4" w:space="0"/>
            </w:tcBorders>
            <w:noWrap w:val="0"/>
            <w:vAlign w:val="center"/>
          </w:tcPr>
          <w:p w14:paraId="373AAD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A4D4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50EE9DE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FC2329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6309" w:type="dxa"/>
            <w:tcBorders>
              <w:top w:val="single" w:color="auto" w:sz="4" w:space="0"/>
              <w:left w:val="single" w:color="auto" w:sz="4" w:space="0"/>
              <w:bottom w:val="single" w:color="auto" w:sz="4" w:space="0"/>
            </w:tcBorders>
            <w:noWrap w:val="0"/>
            <w:vAlign w:val="center"/>
          </w:tcPr>
          <w:p w14:paraId="4E0C37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6640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71C69EE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824C6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309" w:type="dxa"/>
            <w:tcBorders>
              <w:top w:val="single" w:color="auto" w:sz="4" w:space="0"/>
              <w:left w:val="single" w:color="auto" w:sz="4" w:space="0"/>
              <w:bottom w:val="single" w:color="auto" w:sz="4" w:space="0"/>
            </w:tcBorders>
            <w:noWrap w:val="0"/>
            <w:vAlign w:val="center"/>
          </w:tcPr>
          <w:p w14:paraId="0E0912C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开标之日起90日</w:t>
            </w:r>
          </w:p>
        </w:tc>
      </w:tr>
      <w:tr w14:paraId="6C180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2B5C8B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900C8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6309" w:type="dxa"/>
            <w:tcBorders>
              <w:top w:val="single" w:color="auto" w:sz="4" w:space="0"/>
              <w:left w:val="single" w:color="auto" w:sz="4" w:space="0"/>
              <w:bottom w:val="single" w:color="auto" w:sz="4" w:space="0"/>
            </w:tcBorders>
            <w:noWrap w:val="0"/>
            <w:vAlign w:val="center"/>
          </w:tcPr>
          <w:p w14:paraId="70802FF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电子投标文件递交时间：</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8月17日19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8月28日9</w:t>
            </w:r>
            <w:r>
              <w:rPr>
                <w:rFonts w:hint="eastAsia" w:ascii="仿宋" w:hAnsi="仿宋" w:eastAsia="仿宋" w:cs="仿宋"/>
                <w:color w:val="auto"/>
                <w:spacing w:val="8"/>
                <w:kern w:val="0"/>
                <w:sz w:val="28"/>
                <w:szCs w:val="28"/>
                <w:highlight w:val="none"/>
                <w:lang w:eastAsia="zh-CN"/>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lang w:eastAsia="zh-CN"/>
              </w:rPr>
              <w:t>分</w:t>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具体显示时间为准）</w:t>
            </w:r>
            <w:r>
              <w:rPr>
                <w:rFonts w:hint="eastAsia" w:ascii="仿宋" w:hAnsi="仿宋" w:eastAsia="仿宋" w:cs="仿宋"/>
                <w:color w:val="auto"/>
                <w:sz w:val="28"/>
                <w:szCs w:val="28"/>
                <w:highlight w:val="none"/>
                <w:lang w:eastAsia="zh-CN"/>
              </w:rPr>
              <w:t>。</w:t>
            </w:r>
          </w:p>
          <w:p w14:paraId="5309DC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纸质投标文件递交：</w:t>
            </w:r>
          </w:p>
          <w:p w14:paraId="4C9D0C7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2.1投标人以邮寄的方式进行递交（收件人：</w:t>
            </w:r>
            <w:r>
              <w:rPr>
                <w:rFonts w:hint="eastAsia" w:ascii="仿宋" w:hAnsi="仿宋" w:eastAsia="仿宋" w:cs="仿宋"/>
                <w:color w:val="auto"/>
                <w:sz w:val="28"/>
                <w:szCs w:val="28"/>
                <w:highlight w:val="none"/>
                <w:lang w:eastAsia="zh-CN"/>
              </w:rPr>
              <w:t>张佳惠，</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0631-5188996，</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威海经济技术开发区青岛中路-77A号长峰商业广场1211室，山东志诚工程咨询管理有限公司</w:t>
            </w:r>
            <w:r>
              <w:rPr>
                <w:rFonts w:hint="eastAsia" w:ascii="仿宋" w:hAnsi="仿宋" w:eastAsia="仿宋" w:cs="仿宋"/>
                <w:color w:val="auto"/>
                <w:sz w:val="28"/>
                <w:szCs w:val="28"/>
                <w:highlight w:val="none"/>
              </w:rPr>
              <w:t>）。基于项目资料归档的要求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最迟邮寄到达时间为开标后三个工作日内。</w:t>
            </w:r>
          </w:p>
          <w:p w14:paraId="5C0EC75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2.2纸质投标文件（第一册、第二册</w:t>
            </w:r>
            <w:r>
              <w:rPr>
                <w:rFonts w:hint="eastAsia" w:ascii="仿宋" w:hAnsi="仿宋" w:eastAsia="仿宋" w:cs="仿宋"/>
                <w:color w:val="auto"/>
                <w:sz w:val="28"/>
                <w:szCs w:val="28"/>
                <w:highlight w:val="none"/>
                <w:lang w:val="en-US" w:eastAsia="zh-CN"/>
              </w:rPr>
              <w:t>装订</w:t>
            </w:r>
            <w:r>
              <w:rPr>
                <w:rFonts w:hint="eastAsia" w:ascii="仿宋" w:hAnsi="仿宋" w:eastAsia="仿宋" w:cs="仿宋"/>
                <w:color w:val="auto"/>
                <w:sz w:val="28"/>
                <w:szCs w:val="28"/>
                <w:highlight w:val="none"/>
              </w:rPr>
              <w:t>成一册）共</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将纸质投标文件密封在密封袋中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并在封口处粘贴封条。</w:t>
            </w:r>
          </w:p>
          <w:p w14:paraId="03FB9B8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2.3封套内容：</w:t>
            </w:r>
          </w:p>
          <w:p w14:paraId="0340287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山东志诚工程咨询管理有限公司</w:t>
            </w:r>
          </w:p>
          <w:p w14:paraId="23BB71D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威海市国家粮食储备库有限公司高标准粮仓建设项目设计</w:t>
            </w:r>
          </w:p>
          <w:p w14:paraId="1B5DF70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WHZCZB2026-085</w:t>
            </w:r>
          </w:p>
          <w:p w14:paraId="225CF22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投标单位：XXXXXX</w:t>
            </w:r>
          </w:p>
          <w:p w14:paraId="7FF69D9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注明“开标时才能启封”字样。</w:t>
            </w:r>
          </w:p>
        </w:tc>
      </w:tr>
      <w:tr w14:paraId="336F8B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3F834EA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9EFD6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309" w:type="dxa"/>
            <w:tcBorders>
              <w:top w:val="single" w:color="auto" w:sz="4" w:space="0"/>
              <w:left w:val="single" w:color="auto" w:sz="4" w:space="0"/>
              <w:bottom w:val="single" w:color="auto" w:sz="4" w:space="0"/>
            </w:tcBorders>
            <w:noWrap w:val="0"/>
            <w:vAlign w:val="center"/>
          </w:tcPr>
          <w:p w14:paraId="28634EB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8月28日9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p>
        </w:tc>
      </w:tr>
      <w:tr w14:paraId="6BAD0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3292705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B057DF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309" w:type="dxa"/>
            <w:tcBorders>
              <w:top w:val="single" w:color="auto" w:sz="4" w:space="0"/>
              <w:left w:val="single" w:color="auto" w:sz="4" w:space="0"/>
              <w:bottom w:val="single" w:color="auto" w:sz="4" w:space="0"/>
            </w:tcBorders>
            <w:noWrap w:val="0"/>
            <w:vAlign w:val="center"/>
          </w:tcPr>
          <w:p w14:paraId="14BEC0F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lang w:eastAsia="zh-CN"/>
              </w:rPr>
              <w:t>厅（威海市环翠区塔山中路317号威海市政务服务中心四楼）</w:t>
            </w:r>
          </w:p>
        </w:tc>
      </w:tr>
      <w:tr w14:paraId="132E8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5DECD1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495DF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309" w:type="dxa"/>
            <w:tcBorders>
              <w:top w:val="single" w:color="auto" w:sz="4" w:space="0"/>
              <w:left w:val="single" w:color="auto" w:sz="4" w:space="0"/>
              <w:bottom w:val="single" w:color="auto" w:sz="4" w:space="0"/>
            </w:tcBorders>
            <w:noWrap w:val="0"/>
            <w:vAlign w:val="center"/>
          </w:tcPr>
          <w:p w14:paraId="5875E8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通过交易系统线上参加开标活动。开评标期间需实时关注交易系统相关通知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且被授权人的联络方式应保持畅通。</w:t>
            </w:r>
          </w:p>
        </w:tc>
      </w:tr>
      <w:tr w14:paraId="4453E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4FA466C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8F29F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309" w:type="dxa"/>
            <w:tcBorders>
              <w:top w:val="single" w:color="auto" w:sz="4" w:space="0"/>
              <w:left w:val="single" w:color="auto" w:sz="4" w:space="0"/>
              <w:bottom w:val="single" w:color="auto" w:sz="4" w:space="0"/>
            </w:tcBorders>
            <w:noWrap w:val="0"/>
            <w:vAlign w:val="center"/>
          </w:tcPr>
          <w:p w14:paraId="4AC1A37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签到时间：开标时间前完成</w:t>
            </w:r>
          </w:p>
          <w:p w14:paraId="3D98A9F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48F26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F6A412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241FF9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309" w:type="dxa"/>
            <w:tcBorders>
              <w:top w:val="single" w:color="auto" w:sz="4" w:space="0"/>
              <w:left w:val="single" w:color="auto" w:sz="4" w:space="0"/>
              <w:bottom w:val="single" w:color="auto" w:sz="4" w:space="0"/>
            </w:tcBorders>
            <w:noWrap w:val="0"/>
            <w:vAlign w:val="center"/>
          </w:tcPr>
          <w:p w14:paraId="491942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70C656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CA2C4D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1519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309" w:type="dxa"/>
            <w:tcBorders>
              <w:top w:val="single" w:color="auto" w:sz="4" w:space="0"/>
              <w:left w:val="single" w:color="auto" w:sz="4" w:space="0"/>
              <w:bottom w:val="single" w:color="auto" w:sz="4" w:space="0"/>
            </w:tcBorders>
            <w:noWrap w:val="0"/>
            <w:vAlign w:val="center"/>
          </w:tcPr>
          <w:p w14:paraId="0A6365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68891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8C71B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A453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309" w:type="dxa"/>
            <w:tcBorders>
              <w:top w:val="single" w:color="auto" w:sz="4" w:space="0"/>
              <w:left w:val="single" w:color="auto" w:sz="4" w:space="0"/>
              <w:bottom w:val="single" w:color="auto" w:sz="4" w:space="0"/>
            </w:tcBorders>
            <w:noWrap w:val="0"/>
            <w:vAlign w:val="center"/>
          </w:tcPr>
          <w:p w14:paraId="40C8E4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235D75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61A42D0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41AC0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309" w:type="dxa"/>
            <w:tcBorders>
              <w:top w:val="single" w:color="auto" w:sz="4" w:space="0"/>
              <w:left w:val="single" w:color="auto" w:sz="4" w:space="0"/>
              <w:bottom w:val="single" w:color="auto" w:sz="4" w:space="0"/>
            </w:tcBorders>
            <w:noWrap w:val="0"/>
            <w:vAlign w:val="center"/>
          </w:tcPr>
          <w:p w14:paraId="1A0159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5A032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7129926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20F4EC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309" w:type="dxa"/>
            <w:tcBorders>
              <w:top w:val="single" w:color="auto" w:sz="4" w:space="0"/>
              <w:left w:val="single" w:color="auto" w:sz="4" w:space="0"/>
              <w:bottom w:val="single" w:color="auto" w:sz="4" w:space="0"/>
            </w:tcBorders>
            <w:noWrap w:val="0"/>
            <w:vAlign w:val="center"/>
          </w:tcPr>
          <w:p w14:paraId="33CCAD3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3E6BA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54A787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650DE0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309" w:type="dxa"/>
            <w:tcBorders>
              <w:top w:val="single" w:color="auto" w:sz="4" w:space="0"/>
              <w:left w:val="single" w:color="auto" w:sz="4" w:space="0"/>
              <w:bottom w:val="single" w:color="auto" w:sz="4" w:space="0"/>
            </w:tcBorders>
            <w:noWrap w:val="0"/>
            <w:vAlign w:val="center"/>
          </w:tcPr>
          <w:p w14:paraId="4BCF4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方案设计成果审查合格后5个工作日内付至合同总金额的30%，施工图设计成果审查合格后5个工作日内付至合同总金额的80%，工程主体验收后5个工作日内付至合同总金额的95%，余款于工程竣工验收合格后5个工作日内一次性无息付清。乙方应于甲方付款前提供合格的增值税发票，否则甲方有权顺延付款，且不承担任何违约责任，直至乙方按要求提供符合规定的发票为止。因乙方发票提供不及时造成的一切损失由乙方自行承担。</w:t>
            </w:r>
          </w:p>
        </w:tc>
      </w:tr>
      <w:tr w14:paraId="19E27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2756D2E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A8F0E3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服务期、设计周期、成果要求</w:t>
            </w:r>
          </w:p>
        </w:tc>
        <w:tc>
          <w:tcPr>
            <w:tcW w:w="6309" w:type="dxa"/>
            <w:tcBorders>
              <w:top w:val="single" w:color="auto" w:sz="4" w:space="0"/>
              <w:left w:val="single" w:color="auto" w:sz="4" w:space="0"/>
              <w:bottom w:val="single" w:color="auto" w:sz="4" w:space="0"/>
            </w:tcBorders>
            <w:noWrap w:val="0"/>
            <w:vAlign w:val="center"/>
          </w:tcPr>
          <w:p w14:paraId="62E3CD5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服务期：自合同签订生效之日起至威海市国家粮食储备库有限公司高标准粮仓建设项目竣工验收合格之日止。</w:t>
            </w:r>
          </w:p>
          <w:p w14:paraId="50770A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设计周期：合同签订生效后15日历天内完成方案设计成果，方案设计批复后15日历天内完成施工图设计成果。</w:t>
            </w:r>
          </w:p>
          <w:p w14:paraId="71587BA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成果要求：符合现行国家、地方及行业相关设计规范要求并满足</w:t>
            </w: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lang w:eastAsia="zh-CN"/>
              </w:rPr>
              <w:t>要求，通过有关部门的审查、设计成果不得侵犯知识产权。</w:t>
            </w:r>
          </w:p>
        </w:tc>
      </w:tr>
      <w:tr w14:paraId="56311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0"/>
            <w:vAlign w:val="center"/>
          </w:tcPr>
          <w:p w14:paraId="45FA310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DE85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w:t>
            </w:r>
          </w:p>
        </w:tc>
        <w:tc>
          <w:tcPr>
            <w:tcW w:w="6309" w:type="dxa"/>
            <w:tcBorders>
              <w:top w:val="single" w:color="auto" w:sz="4" w:space="0"/>
              <w:left w:val="single" w:color="auto" w:sz="4" w:space="0"/>
              <w:bottom w:val="single" w:color="auto" w:sz="4" w:space="0"/>
            </w:tcBorders>
            <w:noWrap w:val="0"/>
            <w:vAlign w:val="center"/>
          </w:tcPr>
          <w:p w14:paraId="61BAC87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自筹</w:t>
            </w:r>
            <w:r>
              <w:rPr>
                <w:rFonts w:hint="eastAsia" w:ascii="仿宋" w:hAnsi="仿宋" w:eastAsia="仿宋" w:cs="仿宋"/>
                <w:color w:val="auto"/>
                <w:sz w:val="28"/>
                <w:szCs w:val="28"/>
                <w:highlight w:val="none"/>
              </w:rPr>
              <w:t>资金</w:t>
            </w:r>
          </w:p>
        </w:tc>
      </w:tr>
      <w:tr w14:paraId="606EA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0"/>
            <w:vAlign w:val="center"/>
          </w:tcPr>
          <w:p w14:paraId="724B28D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9323D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309" w:type="dxa"/>
            <w:tcBorders>
              <w:top w:val="single" w:color="auto" w:sz="4" w:space="0"/>
              <w:left w:val="single" w:color="auto" w:sz="4" w:space="0"/>
              <w:bottom w:val="single" w:color="auto" w:sz="4" w:space="0"/>
            </w:tcBorders>
            <w:noWrap w:val="0"/>
            <w:vAlign w:val="center"/>
          </w:tcPr>
          <w:p w14:paraId="7950C41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1EB19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272115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1013A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309" w:type="dxa"/>
            <w:tcBorders>
              <w:top w:val="single" w:color="auto" w:sz="4" w:space="0"/>
              <w:left w:val="single" w:color="auto" w:sz="4" w:space="0"/>
              <w:bottom w:val="single" w:color="auto" w:sz="4" w:space="0"/>
            </w:tcBorders>
            <w:noWrap w:val="0"/>
            <w:vAlign w:val="center"/>
          </w:tcPr>
          <w:p w14:paraId="03655F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w:t>
            </w:r>
            <w:r>
              <w:rPr>
                <w:rFonts w:hint="eastAsia" w:ascii="仿宋" w:hAnsi="仿宋" w:eastAsia="仿宋" w:cs="仿宋"/>
                <w:b/>
                <w:bCs/>
                <w:color w:val="auto"/>
                <w:sz w:val="28"/>
                <w:szCs w:val="28"/>
                <w:highlight w:val="none"/>
                <w:lang w:eastAsia="zh-CN"/>
              </w:rPr>
              <w:t>服务类</w:t>
            </w:r>
            <w:r>
              <w:rPr>
                <w:rFonts w:hint="eastAsia" w:ascii="仿宋" w:hAnsi="仿宋" w:eastAsia="仿宋" w:cs="仿宋"/>
                <w:color w:val="auto"/>
                <w:sz w:val="28"/>
                <w:szCs w:val="28"/>
                <w:highlight w:val="none"/>
              </w:rPr>
              <w:t>以公开招标方式实施采购</w:t>
            </w:r>
          </w:p>
        </w:tc>
      </w:tr>
      <w:tr w14:paraId="75A03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9033E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C4A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309" w:type="dxa"/>
            <w:tcBorders>
              <w:top w:val="single" w:color="auto" w:sz="4" w:space="0"/>
              <w:left w:val="single" w:color="auto" w:sz="4" w:space="0"/>
              <w:bottom w:val="single" w:color="auto" w:sz="4" w:space="0"/>
            </w:tcBorders>
            <w:noWrap w:val="0"/>
            <w:vAlign w:val="center"/>
          </w:tcPr>
          <w:p w14:paraId="14FE101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本项目代理服务费参照原国家发展计划委员会规定标准（《招标代理服务收费管理暂行办法》计价格［2002］1980号）的60%收取，单个项目低于2000元，按2000元收取</w:t>
            </w:r>
            <w:r>
              <w:rPr>
                <w:rFonts w:hint="eastAsia" w:ascii="仿宋" w:hAnsi="仿宋" w:eastAsia="仿宋" w:cs="仿宋"/>
                <w:color w:val="auto"/>
                <w:sz w:val="28"/>
                <w:szCs w:val="28"/>
                <w:highlight w:val="none"/>
              </w:rPr>
              <w:t>。</w:t>
            </w:r>
          </w:p>
          <w:p w14:paraId="56F62E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交费时间及交费方式：</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rPr>
              <w:t>以电汇或现金形式缴纳。</w:t>
            </w:r>
          </w:p>
          <w:p w14:paraId="2F4845D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开户名称：山东志诚工程咨询管理有限公司威海分公司</w:t>
            </w:r>
          </w:p>
          <w:p w14:paraId="71D73D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开户银行：中国建设银行荣成支行</w:t>
            </w:r>
          </w:p>
          <w:p w14:paraId="43872AB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银行账号：37001706608050154211</w:t>
            </w:r>
          </w:p>
          <w:p w14:paraId="4259E2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（备注：项目编号+服务费）</w:t>
            </w:r>
          </w:p>
          <w:p w14:paraId="2764A3A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601647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08E57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62BAC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w:t>
            </w:r>
          </w:p>
        </w:tc>
        <w:tc>
          <w:tcPr>
            <w:tcW w:w="6309" w:type="dxa"/>
            <w:tcBorders>
              <w:top w:val="single" w:color="auto" w:sz="4" w:space="0"/>
              <w:left w:val="single" w:color="auto" w:sz="4" w:space="0"/>
              <w:bottom w:val="single" w:color="auto" w:sz="4" w:space="0"/>
            </w:tcBorders>
            <w:noWrap w:val="0"/>
            <w:vAlign w:val="center"/>
          </w:tcPr>
          <w:p w14:paraId="3366FC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评审劳务费由</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在收到中标通知书前</w:t>
            </w:r>
            <w:r>
              <w:rPr>
                <w:rFonts w:hint="eastAsia" w:ascii="仿宋" w:hAnsi="仿宋" w:eastAsia="仿宋" w:cs="仿宋"/>
                <w:color w:val="auto"/>
                <w:sz w:val="28"/>
                <w:szCs w:val="28"/>
                <w:highlight w:val="none"/>
                <w:lang w:val="en-US" w:eastAsia="zh-CN"/>
              </w:rPr>
              <w:t>按实</w:t>
            </w:r>
            <w:r>
              <w:rPr>
                <w:rFonts w:hint="eastAsia" w:ascii="仿宋" w:hAnsi="仿宋" w:eastAsia="仿宋" w:cs="仿宋"/>
                <w:color w:val="auto"/>
                <w:sz w:val="28"/>
                <w:szCs w:val="28"/>
                <w:highlight w:val="none"/>
              </w:rPr>
              <w:t>缴纳。</w:t>
            </w:r>
          </w:p>
        </w:tc>
      </w:tr>
      <w:tr w14:paraId="15221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B9C65D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8B67C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309" w:type="dxa"/>
            <w:tcBorders>
              <w:top w:val="single" w:color="auto" w:sz="4" w:space="0"/>
              <w:left w:val="single" w:color="auto" w:sz="4" w:space="0"/>
              <w:bottom w:val="single" w:color="auto" w:sz="4" w:space="0"/>
            </w:tcBorders>
            <w:noWrap w:val="0"/>
            <w:vAlign w:val="center"/>
          </w:tcPr>
          <w:p w14:paraId="2387A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r w14:paraId="4A84A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2E178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41008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失信被执行人查询路径</w:t>
            </w:r>
          </w:p>
        </w:tc>
        <w:tc>
          <w:tcPr>
            <w:tcW w:w="6309" w:type="dxa"/>
            <w:tcBorders>
              <w:top w:val="single" w:color="auto" w:sz="4" w:space="0"/>
              <w:left w:val="single" w:color="auto" w:sz="4" w:space="0"/>
              <w:bottom w:val="single" w:color="auto" w:sz="4" w:space="0"/>
            </w:tcBorders>
            <w:noWrap w:val="0"/>
            <w:vAlign w:val="center"/>
          </w:tcPr>
          <w:p w14:paraId="5AE3704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全国法院失信被执行人名单信息公布与查询平台（https://zxgk.court.gov.cn/shixin/）：进入页面→查询条件输入被执行人姓名/名称、身份证号码/组织机构代码（选填）等信息，省份选择全部→点击查询→有反馈结果后，保存。</w:t>
            </w:r>
          </w:p>
          <w:p w14:paraId="1F7EE07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中国执行信息公开网（https://zxgk.court.gov.cn/）：进入页面→点击左侧“失信被执行人”进入全国法院失信被执行人名单信息公布与查询平台（https://zxgk.court.gov.cn/shixin/）→查询条件输入被执行人姓名/名称、身份证号码/组织机构代码（选填）等信息，省份选择全部→点击查询→有反馈结果后，保存。</w:t>
            </w:r>
          </w:p>
          <w:p w14:paraId="7B18F7A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注：以上2个查询路径任选其一即可。</w:t>
            </w:r>
          </w:p>
        </w:tc>
      </w:tr>
      <w:tr w14:paraId="178D1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9F794B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10BF7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信用报告查询路径</w:t>
            </w:r>
          </w:p>
        </w:tc>
        <w:tc>
          <w:tcPr>
            <w:tcW w:w="6309" w:type="dxa"/>
            <w:tcBorders>
              <w:top w:val="single" w:color="auto" w:sz="4" w:space="0"/>
              <w:left w:val="single" w:color="auto" w:sz="4" w:space="0"/>
              <w:bottom w:val="single" w:color="auto" w:sz="4" w:space="0"/>
            </w:tcBorders>
            <w:noWrap w:val="0"/>
            <w:vAlign w:val="center"/>
          </w:tcPr>
          <w:p w14:paraId="436DD4B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t>1.信用中国（www.creditchina.gov.cn）：进入信用中国首页→右上方“信用信息”查询框内输入企业名称/统一社会信用代码等信息搜索→点击要查询的企业→下载信用信息报告。</w:t>
            </w:r>
          </w:p>
          <w:p w14:paraId="7C3A0DB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t>2.信用中国（山东）（credit.shandong.gov.cn）：进入信用中国（山东）首页→上方“信用中国信息查询”查询框内输入企业名称/统一社会信用代码等信息查询→点击要查询的企业→下载信用信息报告。</w:t>
            </w:r>
          </w:p>
          <w:p w14:paraId="7453EF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lang w:val="en-US" w:eastAsia="zh-CN"/>
              </w:rPr>
              <w:t>注：以上2个查询路径任选其一即可。</w:t>
            </w:r>
          </w:p>
        </w:tc>
      </w:tr>
    </w:tbl>
    <w:p w14:paraId="7B8D4A82">
      <w:pPr>
        <w:shd w:val="clear"/>
        <w:spacing w:line="560" w:lineRule="exact"/>
        <w:ind w:firstLine="643" w:firstLineChars="201"/>
        <w:jc w:val="center"/>
        <w:rPr>
          <w:rFonts w:eastAsia="黑体"/>
          <w:color w:val="auto"/>
          <w:sz w:val="32"/>
          <w:szCs w:val="32"/>
          <w:highlight w:val="none"/>
        </w:rPr>
      </w:pPr>
    </w:p>
    <w:p w14:paraId="172F3724">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eastAsia="黑体"/>
          <w:color w:val="auto"/>
          <w:sz w:val="32"/>
          <w:szCs w:val="32"/>
          <w:highlight w:val="none"/>
        </w:rPr>
      </w:pPr>
      <w:r>
        <w:rPr>
          <w:rFonts w:hint="eastAsia" w:eastAsia="黑体"/>
          <w:color w:val="auto"/>
          <w:sz w:val="32"/>
          <w:szCs w:val="32"/>
          <w:highlight w:val="none"/>
        </w:rPr>
        <w:t>《实质性条款一览表》</w:t>
      </w:r>
    </w:p>
    <w:p w14:paraId="5A483F2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否则投标将被否决。</w:t>
      </w:r>
    </w:p>
    <w:tbl>
      <w:tblPr>
        <w:tblStyle w:val="30"/>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8"/>
        <w:gridCol w:w="2156"/>
        <w:gridCol w:w="6888"/>
      </w:tblGrid>
      <w:tr w14:paraId="4C02DB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1F67595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0839CB76">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3459" w:type="pct"/>
            <w:tcBorders>
              <w:top w:val="single" w:color="auto" w:sz="4" w:space="0"/>
              <w:left w:val="single" w:color="auto" w:sz="4" w:space="0"/>
              <w:bottom w:val="single" w:color="auto" w:sz="4" w:space="0"/>
            </w:tcBorders>
            <w:noWrap w:val="0"/>
            <w:vAlign w:val="center"/>
          </w:tcPr>
          <w:p w14:paraId="296FA27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3859F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44F271A7">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37B7BF9">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3459" w:type="pct"/>
            <w:tcBorders>
              <w:top w:val="single" w:color="auto" w:sz="4" w:space="0"/>
              <w:left w:val="single" w:color="auto" w:sz="4" w:space="0"/>
              <w:bottom w:val="single" w:color="auto" w:sz="4" w:space="0"/>
            </w:tcBorders>
            <w:noWrap w:val="0"/>
            <w:vAlign w:val="center"/>
          </w:tcPr>
          <w:p w14:paraId="0CC9771B">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eastAsia="zh-CN"/>
              </w:rPr>
              <w:t>有效的营业执照扫描件或其他能证明具有独立承担民事责任的能力的证明材料扫描件</w:t>
            </w:r>
            <w:r>
              <w:rPr>
                <w:rFonts w:hint="eastAsia" w:ascii="仿宋" w:hAnsi="仿宋" w:eastAsia="仿宋" w:cs="仿宋"/>
                <w:color w:val="auto"/>
                <w:spacing w:val="8"/>
                <w:kern w:val="0"/>
                <w:sz w:val="28"/>
                <w:szCs w:val="28"/>
                <w:highlight w:val="none"/>
              </w:rPr>
              <w:t>；</w:t>
            </w:r>
          </w:p>
          <w:p w14:paraId="3203FEF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2.法定代表人/单位负责人</w:t>
            </w:r>
            <w:r>
              <w:rPr>
                <w:rFonts w:hint="eastAsia" w:ascii="仿宋" w:hAnsi="仿宋" w:eastAsia="仿宋" w:cs="仿宋"/>
                <w:color w:val="auto"/>
                <w:spacing w:val="8"/>
                <w:kern w:val="0"/>
                <w:sz w:val="28"/>
                <w:szCs w:val="28"/>
                <w:highlight w:val="none"/>
                <w:lang w:val="en-US" w:eastAsia="zh-CN"/>
              </w:rPr>
              <w:t>身份证明书（固定格式）；</w:t>
            </w:r>
          </w:p>
          <w:p w14:paraId="3D35963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法人授权委托书</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、被授权人身份证扫描件；若投标单位代表为企业法定代表人/单位负责人的</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则只需提供企业法定代表人/单位负责人身份证扫描件</w:t>
            </w:r>
            <w:r>
              <w:rPr>
                <w:rFonts w:hint="eastAsia" w:ascii="仿宋" w:hAnsi="仿宋" w:eastAsia="仿宋" w:cs="仿宋"/>
                <w:color w:val="auto"/>
                <w:spacing w:val="8"/>
                <w:kern w:val="0"/>
                <w:sz w:val="28"/>
                <w:szCs w:val="28"/>
                <w:highlight w:val="none"/>
                <w:lang w:eastAsia="zh-CN"/>
              </w:rPr>
              <w:t>（加盖投标单位公章）</w:t>
            </w:r>
            <w:r>
              <w:rPr>
                <w:rFonts w:hint="eastAsia" w:ascii="仿宋" w:hAnsi="仿宋" w:eastAsia="仿宋" w:cs="仿宋"/>
                <w:color w:val="auto"/>
                <w:spacing w:val="8"/>
                <w:kern w:val="0"/>
                <w:sz w:val="28"/>
                <w:szCs w:val="28"/>
                <w:highlight w:val="none"/>
              </w:rPr>
              <w:t>；</w:t>
            </w:r>
          </w:p>
          <w:p w14:paraId="2110F9A7">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.投标人具有良好的商业信誉和健全的财务会计制度</w:t>
            </w:r>
            <w:r>
              <w:rPr>
                <w:rFonts w:hint="eastAsia" w:ascii="仿宋" w:hAnsi="仿宋" w:eastAsia="仿宋" w:cs="仿宋"/>
                <w:color w:val="auto"/>
                <w:spacing w:val="8"/>
                <w:kern w:val="0"/>
                <w:sz w:val="28"/>
                <w:szCs w:val="28"/>
                <w:highlight w:val="none"/>
                <w:lang w:val="en-US" w:eastAsia="zh-CN"/>
              </w:rPr>
              <w:t>声明（固定格式）；</w:t>
            </w:r>
          </w:p>
          <w:p w14:paraId="4AEC168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5.投标人具有履行合同所必需的设备和专业技术能力声明（固定格式）；</w:t>
            </w:r>
          </w:p>
          <w:p w14:paraId="1991561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6.投标人的依法缴纳税收和社会保障资金的</w:t>
            </w:r>
            <w:r>
              <w:rPr>
                <w:rFonts w:hint="eastAsia" w:ascii="仿宋" w:hAnsi="仿宋" w:eastAsia="仿宋" w:cs="仿宋"/>
                <w:color w:val="auto"/>
                <w:spacing w:val="8"/>
                <w:kern w:val="0"/>
                <w:sz w:val="28"/>
                <w:szCs w:val="28"/>
                <w:highlight w:val="none"/>
              </w:rPr>
              <w:t>声明（固定格式）及</w:t>
            </w:r>
            <w:r>
              <w:rPr>
                <w:rFonts w:hint="eastAsia" w:ascii="仿宋" w:hAnsi="仿宋" w:eastAsia="仿宋" w:cs="仿宋"/>
                <w:color w:val="auto"/>
                <w:spacing w:val="8"/>
                <w:kern w:val="0"/>
                <w:sz w:val="28"/>
                <w:szCs w:val="28"/>
                <w:highlight w:val="none"/>
                <w:lang w:eastAsia="zh-CN"/>
              </w:rPr>
              <w:t>开标前6个月内任意月份的依法缴纳税收和社会保障资金</w:t>
            </w:r>
            <w:r>
              <w:rPr>
                <w:rFonts w:hint="eastAsia" w:ascii="仿宋" w:hAnsi="仿宋" w:eastAsia="仿宋" w:cs="仿宋"/>
                <w:color w:val="auto"/>
                <w:spacing w:val="8"/>
                <w:kern w:val="0"/>
                <w:sz w:val="28"/>
                <w:szCs w:val="28"/>
                <w:highlight w:val="none"/>
              </w:rPr>
              <w:t>的证明材料</w:t>
            </w:r>
            <w:r>
              <w:rPr>
                <w:rFonts w:hint="eastAsia" w:ascii="仿宋" w:hAnsi="仿宋" w:eastAsia="仿宋" w:cs="仿宋"/>
                <w:color w:val="auto"/>
                <w:spacing w:val="8"/>
                <w:kern w:val="0"/>
                <w:sz w:val="28"/>
                <w:szCs w:val="28"/>
                <w:highlight w:val="none"/>
                <w:lang w:eastAsia="zh-CN"/>
              </w:rPr>
              <w:t>；</w:t>
            </w:r>
          </w:p>
          <w:p w14:paraId="4170E51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.投标人无重大违法记录声明</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w:t>
            </w:r>
          </w:p>
          <w:p w14:paraId="6E6ECD30">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z w:val="28"/>
                <w:szCs w:val="28"/>
                <w:highlight w:val="none"/>
              </w:rPr>
              <w:t>投标人及其法定代表人/单位负责人、被授权人、项目负责人未被最高人民法院列为失信被执行人网站查询结果截图</w:t>
            </w:r>
            <w:r>
              <w:rPr>
                <w:rFonts w:hint="eastAsia" w:ascii="仿宋" w:hAnsi="仿宋" w:eastAsia="仿宋" w:cs="仿宋"/>
                <w:color w:val="auto"/>
                <w:sz w:val="28"/>
                <w:szCs w:val="28"/>
                <w:highlight w:val="none"/>
                <w:lang w:eastAsia="zh-CN"/>
              </w:rPr>
              <w:t>（查询路径</w:t>
            </w:r>
            <w:r>
              <w:rPr>
                <w:rFonts w:hint="eastAsia" w:ascii="仿宋" w:hAnsi="仿宋" w:eastAsia="仿宋" w:cs="仿宋"/>
                <w:color w:val="auto"/>
                <w:sz w:val="28"/>
                <w:szCs w:val="28"/>
                <w:highlight w:val="none"/>
                <w:lang w:val="en-US" w:eastAsia="zh-CN"/>
              </w:rPr>
              <w:t>见投标须知前附表）</w:t>
            </w:r>
            <w:r>
              <w:rPr>
                <w:rFonts w:hint="eastAsia" w:ascii="仿宋" w:hAnsi="仿宋" w:eastAsia="仿宋" w:cs="仿宋"/>
                <w:color w:val="auto"/>
                <w:spacing w:val="8"/>
                <w:kern w:val="0"/>
                <w:sz w:val="28"/>
                <w:szCs w:val="28"/>
                <w:highlight w:val="none"/>
              </w:rPr>
              <w:t>；</w:t>
            </w:r>
          </w:p>
          <w:p w14:paraId="22BD6AC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.投标人近一年在“信用中国”或“信用中国（山东）”无严重失信记录</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附通过网站查询的信用报告（查询路径见投标须知前附表）</w:t>
            </w:r>
            <w:r>
              <w:rPr>
                <w:rFonts w:hint="eastAsia" w:ascii="仿宋" w:hAnsi="仿宋" w:eastAsia="仿宋" w:cs="仿宋"/>
                <w:color w:val="auto"/>
                <w:spacing w:val="8"/>
                <w:kern w:val="0"/>
                <w:sz w:val="28"/>
                <w:szCs w:val="28"/>
                <w:highlight w:val="none"/>
              </w:rPr>
              <w:t>；</w:t>
            </w:r>
          </w:p>
          <w:p w14:paraId="0D8A83D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default"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10.投标人的工程设计综合甲级资质证书或工程设计商物粮行业乙级及以上资质证书或工程设计商物粮行业粮食工程专业乙级及以上资质证书扫描件；</w:t>
            </w:r>
          </w:p>
          <w:p w14:paraId="2168A8D5">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default"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11.拟派项目负责人的一级注册建筑师或一级注册结构工程师注册证书扫描件；</w:t>
            </w:r>
          </w:p>
          <w:p w14:paraId="5ED70FE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12</w:t>
            </w:r>
            <w:r>
              <w:rPr>
                <w:rFonts w:hint="eastAsia" w:ascii="仿宋" w:hAnsi="仿宋" w:eastAsia="仿宋" w:cs="仿宋"/>
                <w:color w:val="auto"/>
                <w:spacing w:val="8"/>
                <w:kern w:val="0"/>
                <w:sz w:val="28"/>
                <w:szCs w:val="28"/>
                <w:highlight w:val="none"/>
              </w:rPr>
              <w:t>.本项目不接受联合体投标；</w:t>
            </w:r>
          </w:p>
          <w:p w14:paraId="5BBEA82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.不存在招标文件24.1条规定的资格审查不通过的情形。</w:t>
            </w:r>
          </w:p>
        </w:tc>
      </w:tr>
      <w:tr w14:paraId="2684C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456" w:type="pct"/>
            <w:tcBorders>
              <w:top w:val="single" w:color="auto" w:sz="4" w:space="0"/>
              <w:bottom w:val="single" w:color="auto" w:sz="4" w:space="0"/>
              <w:right w:val="single" w:color="auto" w:sz="4" w:space="0"/>
            </w:tcBorders>
            <w:noWrap w:val="0"/>
            <w:vAlign w:val="center"/>
          </w:tcPr>
          <w:p w14:paraId="0971CF04">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530DB6D0">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3459" w:type="pct"/>
            <w:tcBorders>
              <w:top w:val="single" w:color="auto" w:sz="4" w:space="0"/>
              <w:left w:val="single" w:color="auto" w:sz="4" w:space="0"/>
              <w:bottom w:val="single" w:color="auto" w:sz="4" w:space="0"/>
            </w:tcBorders>
            <w:noWrap w:val="0"/>
            <w:vAlign w:val="center"/>
          </w:tcPr>
          <w:p w14:paraId="50B84DEF">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1.投标文件按规定签署及盖章；</w:t>
            </w:r>
          </w:p>
          <w:p w14:paraId="356F0AD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2.投标报价</w:t>
            </w:r>
            <w:r>
              <w:rPr>
                <w:rFonts w:hint="eastAsia" w:ascii="仿宋" w:hAnsi="仿宋" w:eastAsia="仿宋" w:cs="仿宋"/>
                <w:color w:val="auto"/>
                <w:spacing w:val="8"/>
                <w:kern w:val="0"/>
                <w:sz w:val="28"/>
                <w:szCs w:val="28"/>
                <w:highlight w:val="none"/>
                <w:lang w:val="en-US" w:eastAsia="zh-CN"/>
              </w:rPr>
              <w:t>不超过最高限价</w:t>
            </w:r>
            <w:r>
              <w:rPr>
                <w:rFonts w:hint="eastAsia" w:ascii="仿宋" w:hAnsi="仿宋" w:eastAsia="仿宋" w:cs="仿宋"/>
                <w:color w:val="auto"/>
                <w:spacing w:val="8"/>
                <w:kern w:val="0"/>
                <w:sz w:val="28"/>
                <w:szCs w:val="28"/>
                <w:highlight w:val="none"/>
              </w:rPr>
              <w:t>；</w:t>
            </w:r>
          </w:p>
          <w:p w14:paraId="3CE9AD7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3.投标有效期、</w:t>
            </w:r>
            <w:r>
              <w:rPr>
                <w:rFonts w:hint="eastAsia" w:ascii="仿宋" w:hAnsi="仿宋" w:eastAsia="仿宋" w:cs="仿宋"/>
                <w:color w:val="auto"/>
                <w:spacing w:val="8"/>
                <w:kern w:val="0"/>
                <w:sz w:val="28"/>
                <w:szCs w:val="28"/>
                <w:highlight w:val="none"/>
                <w:lang w:val="en-US" w:eastAsia="zh-CN"/>
              </w:rPr>
              <w:t>服务期、设计周期、成果要求、</w:t>
            </w:r>
            <w:r>
              <w:rPr>
                <w:rFonts w:hint="eastAsia" w:ascii="仿宋" w:hAnsi="仿宋" w:eastAsia="仿宋" w:cs="仿宋"/>
                <w:color w:val="auto"/>
                <w:spacing w:val="8"/>
                <w:kern w:val="0"/>
                <w:sz w:val="28"/>
                <w:szCs w:val="28"/>
                <w:highlight w:val="none"/>
              </w:rPr>
              <w:t>付款方式满足招标文件要求；</w:t>
            </w:r>
          </w:p>
          <w:p w14:paraId="1EBBD18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lang w:val="en-US" w:eastAsia="zh-CN"/>
              </w:rPr>
              <w:t>不</w:t>
            </w:r>
            <w:r>
              <w:rPr>
                <w:rFonts w:hint="eastAsia" w:ascii="仿宋" w:hAnsi="仿宋" w:eastAsia="仿宋" w:cs="仿宋"/>
                <w:color w:val="auto"/>
                <w:spacing w:val="8"/>
                <w:kern w:val="0"/>
                <w:sz w:val="28"/>
                <w:szCs w:val="28"/>
                <w:highlight w:val="none"/>
              </w:rPr>
              <w:t>存在招标文件24.3条的关于投标人串通投标的情形及其他投标无效的情形</w:t>
            </w:r>
            <w:r>
              <w:rPr>
                <w:rFonts w:hint="eastAsia" w:ascii="仿宋" w:hAnsi="仿宋" w:eastAsia="仿宋" w:cs="仿宋"/>
                <w:color w:val="auto"/>
                <w:spacing w:val="8"/>
                <w:kern w:val="0"/>
                <w:sz w:val="28"/>
                <w:szCs w:val="28"/>
                <w:highlight w:val="none"/>
                <w:lang w:eastAsia="zh-CN"/>
              </w:rPr>
              <w:t>；</w:t>
            </w:r>
          </w:p>
          <w:p w14:paraId="42E71A9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.评标委员会认为</w:t>
            </w:r>
            <w:r>
              <w:rPr>
                <w:rFonts w:hint="eastAsia" w:ascii="仿宋" w:hAnsi="仿宋" w:eastAsia="仿宋" w:cs="仿宋"/>
                <w:color w:val="auto"/>
                <w:spacing w:val="8"/>
                <w:kern w:val="0"/>
                <w:sz w:val="28"/>
                <w:szCs w:val="28"/>
                <w:highlight w:val="none"/>
                <w:lang w:val="en-US" w:eastAsia="zh-CN"/>
              </w:rPr>
              <w:t>不存在违反</w:t>
            </w:r>
            <w:r>
              <w:rPr>
                <w:rFonts w:hint="eastAsia" w:ascii="仿宋" w:hAnsi="仿宋" w:eastAsia="仿宋" w:cs="仿宋"/>
                <w:color w:val="auto"/>
                <w:spacing w:val="8"/>
                <w:kern w:val="0"/>
                <w:sz w:val="28"/>
                <w:szCs w:val="28"/>
                <w:highlight w:val="none"/>
              </w:rPr>
              <w:t>招标文件其他实质性要求或法律法规规定的其他情形</w:t>
            </w:r>
            <w:r>
              <w:rPr>
                <w:rFonts w:hint="eastAsia" w:ascii="仿宋" w:hAnsi="仿宋" w:eastAsia="仿宋" w:cs="仿宋"/>
                <w:color w:val="auto"/>
                <w:spacing w:val="8"/>
                <w:kern w:val="0"/>
                <w:sz w:val="28"/>
                <w:szCs w:val="28"/>
                <w:highlight w:val="none"/>
                <w:lang w:eastAsia="zh-CN"/>
              </w:rPr>
              <w:t>。</w:t>
            </w:r>
          </w:p>
        </w:tc>
      </w:tr>
    </w:tbl>
    <w:p w14:paraId="5925C93C">
      <w:pPr>
        <w:widowControl/>
        <w:shd w:val="clear"/>
        <w:spacing w:line="360" w:lineRule="auto"/>
        <w:rPr>
          <w:rFonts w:ascii="宋体" w:hAnsi="宋体"/>
          <w:color w:val="auto"/>
          <w:sz w:val="24"/>
          <w:szCs w:val="21"/>
          <w:highlight w:val="none"/>
        </w:rPr>
        <w:sectPr>
          <w:pgSz w:w="11906" w:h="16838"/>
          <w:pgMar w:top="1440" w:right="1083" w:bottom="1440" w:left="1083" w:header="851" w:footer="992" w:gutter="0"/>
          <w:pgNumType w:fmt="decimal"/>
          <w:cols w:space="0" w:num="1"/>
          <w:rtlGutter w:val="0"/>
          <w:docGrid w:type="lines" w:linePitch="312" w:charSpace="0"/>
        </w:sectPr>
      </w:pPr>
    </w:p>
    <w:bookmarkEnd w:id="0"/>
    <w:bookmarkEnd w:id="1"/>
    <w:bookmarkEnd w:id="2"/>
    <w:bookmarkEnd w:id="3"/>
    <w:p w14:paraId="253E08E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t>一、说明</w:t>
      </w:r>
    </w:p>
    <w:p w14:paraId="3A7B9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本文件依据《中华人民共和国招标投标法》《山东省省属企业阳光采购监督暂行办法》等法律法规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参照《国有企业采购操作规范》《国有企业采购管理规范》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结合《威海市市属国有企业阳光采购监督管理暂行办法》及国家和山东省有关法律、法规、规章制度编制。参加本项目投标人应接受本招标文件关于电子招投标各项规定。</w:t>
      </w:r>
    </w:p>
    <w:p w14:paraId="193B805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2C1631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15C858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1.2本招标文件的解释权属于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以书面解释为准。</w:t>
      </w:r>
    </w:p>
    <w:p w14:paraId="520CA0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1.3招标文件未做须知明示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而又有相关法律、法规规定的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从其规定。</w:t>
      </w:r>
    </w:p>
    <w:p w14:paraId="657ABB7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1843DF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均无义务和责任承担这些费用。</w:t>
      </w:r>
    </w:p>
    <w:p w14:paraId="776E04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2.2本项目若涉及采购货物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则合格的货物及相应服务应满足以下要求：</w:t>
      </w:r>
    </w:p>
    <w:p w14:paraId="0264867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2.2.1必须是全新、未使用过的原装合格正品（包括零部件）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如安装或配置了软件的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须为正版软件。</w:t>
      </w:r>
    </w:p>
    <w:p w14:paraId="3242A0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2.2.2国产货物及其有关服务必须符合中华人民共和国的设计和制造生产标准或行业标准。招标公告有其他要求的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05A374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2.2.3进口货物及其有关服务必须符合原产地和/或中华人民共和国的设计和制造生产标准或行业标准。进口的货物必须具有合法的进口手续和途径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并通过中华人民共和国商检部门检验。采购公告有其他要求的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4534CD9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2.2.4投标人应保证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其所提供的货物在提供给采购单位前具有完全的所有权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采购单位在中华人民共和国使用该货物或货物的任何一部分时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投标人应承担全部责任。</w:t>
      </w:r>
    </w:p>
    <w:p w14:paraId="5C7F0E9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投标人应登录“威海市公共资源交易网”首页右侧“交易服务一网通办-（新版）一网通办系统”进行“平台切换”，点击“国企采购”进入国企阳光采购平台获取招标文件，并通过国企阳光采购平台网上上传电子投标文件，未通过国企阳光采购平台上传电子投标文件的，为无效投标。</w:t>
      </w:r>
    </w:p>
    <w:p w14:paraId="32824FE1">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二、招标文件</w:t>
      </w:r>
    </w:p>
    <w:p w14:paraId="5311A3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699788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采用压缩包电子版文件格式提供。</w:t>
      </w:r>
    </w:p>
    <w:p w14:paraId="5C7B16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7439BF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9F7E7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1E458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A9F9E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48D8F0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投标文件格式</w:t>
      </w:r>
    </w:p>
    <w:p w14:paraId="5AB930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04157F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发出的修正和补充文件等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w:t>
      </w:r>
    </w:p>
    <w:p w14:paraId="5423CB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格式）由下列文件组成：</w:t>
      </w:r>
    </w:p>
    <w:p w14:paraId="52B0C0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D44F7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FEDA9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77F56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1382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8DBA5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如果投标人没有按照招标文件要求提交全部资料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或者投标人没有对招标文件在各方面都做出实质性响应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其风险应由投标人自行承担并根据有关政策和条款规定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其投标有可能被拒绝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或者被认定为无效投标。</w:t>
      </w:r>
    </w:p>
    <w:p w14:paraId="7835AAB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184C0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对招标文件若有任何疑问或要求澄清招标文件的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应在投标截止前2日内按“投标须知前附表”第四项向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提出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将协助</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组织所有</w:t>
      </w:r>
      <w:r>
        <w:rPr>
          <w:rFonts w:hint="eastAsia" w:ascii="仿宋" w:hAnsi="仿宋" w:eastAsia="仿宋" w:cs="仿宋"/>
          <w:color w:val="auto"/>
          <w:sz w:val="28"/>
          <w:szCs w:val="28"/>
          <w:highlight w:val="none"/>
          <w:lang w:val="en-US" w:eastAsia="zh-CN"/>
        </w:rPr>
        <w:t>获取</w:t>
      </w:r>
      <w:r>
        <w:rPr>
          <w:rFonts w:hint="eastAsia" w:ascii="仿宋" w:hAnsi="仿宋" w:eastAsia="仿宋" w:cs="仿宋"/>
          <w:color w:val="auto"/>
          <w:sz w:val="28"/>
          <w:szCs w:val="28"/>
          <w:highlight w:val="none"/>
        </w:rPr>
        <w:t>招标文件的潜在投标人举行答疑会</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根据需要主动对招标文件进行必要的澄清或根据投标人的要求对招标文件做出澄清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都将以原网站公开发布形式（包括电子交易系统推送）答复或发送给所有投标人。澄清文件作为招标文件的组成部分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对投标人起约束作用。</w:t>
      </w:r>
    </w:p>
    <w:p w14:paraId="746929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w:t>
      </w:r>
      <w:r>
        <w:rPr>
          <w:rFonts w:hint="eastAsia" w:ascii="仿宋" w:hAnsi="仿宋" w:eastAsia="仿宋" w:cs="仿宋"/>
          <w:color w:val="auto"/>
          <w:sz w:val="28"/>
          <w:szCs w:val="28"/>
          <w:highlight w:val="none"/>
          <w:lang w:val="en-US" w:eastAsia="zh-CN"/>
        </w:rPr>
        <w:t>要求</w:t>
      </w:r>
      <w:r>
        <w:rPr>
          <w:rFonts w:hint="eastAsia" w:ascii="仿宋" w:hAnsi="仿宋" w:eastAsia="仿宋" w:cs="仿宋"/>
          <w:color w:val="auto"/>
          <w:sz w:val="28"/>
          <w:szCs w:val="28"/>
          <w:highlight w:val="none"/>
        </w:rPr>
        <w:t>澄清或提出疑问的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将视其为接受招标文件的所有条款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对招标文件没有异议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此后也不再受理对招标文件的相关质疑。</w:t>
      </w:r>
    </w:p>
    <w:p w14:paraId="40BA43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68E9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无论出于何种原因</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可主动或在解答投标人提出的疑问时对招标文件进行修改。</w:t>
      </w:r>
    </w:p>
    <w:p w14:paraId="29EB51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将会通过原发布媒介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以更正公告形式（电子交易系统发送更正提醒通知）一并告知所有潜在投标人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并对潜在投标人具有约束力。潜在投标人在收到上述通知后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应立即以书面形式向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如在24小时内无书面回函则视为同意修改内容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并有义务履行相应的义务。</w:t>
      </w:r>
    </w:p>
    <w:p w14:paraId="1EBBA7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将在投标截止时间2日前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通过原发布媒介发布公告的形式（电子交易系统内发送更正提醒通知）通知所有获取招标文件的潜在投标人（招标文件变更的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投标人必须从电子交易系统中重新下载招标文件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并在新下载文件的基础上编制投标文件）；不足2日的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将顺延提交投标文件的截止时间。</w:t>
      </w:r>
    </w:p>
    <w:p w14:paraId="4A956F63">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三、投标文件的编制</w:t>
      </w:r>
    </w:p>
    <w:p w14:paraId="7B7E6A9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8C063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投标人应将其译成中文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如未翻译该文件为无效文件。</w:t>
      </w:r>
    </w:p>
    <w:p w14:paraId="7C3CEF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5FF2831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并接受</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对其中任何资料进一步核实的要求。如果因为投标文件填报的内容不详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或没有提供招标文件中所要求的全部资料及数据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或提供虚假文件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由此造成的后果由投标人自负。</w:t>
      </w:r>
    </w:p>
    <w:p w14:paraId="48673E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6.4投标人应按招标文件中提供的投标文件格式（详见第五章 </w:t>
      </w:r>
      <w:r>
        <w:rPr>
          <w:rFonts w:hint="eastAsia" w:ascii="仿宋" w:hAnsi="仿宋" w:eastAsia="仿宋" w:cs="仿宋"/>
          <w:color w:val="auto"/>
          <w:sz w:val="28"/>
          <w:szCs w:val="28"/>
          <w:highlight w:val="none"/>
          <w:lang w:eastAsia="zh-CN"/>
        </w:rPr>
        <w:t>投标文件格式</w:t>
      </w:r>
      <w:r>
        <w:rPr>
          <w:rFonts w:hint="eastAsia" w:ascii="仿宋" w:hAnsi="仿宋" w:eastAsia="仿宋" w:cs="仿宋"/>
          <w:color w:val="auto"/>
          <w:sz w:val="28"/>
          <w:szCs w:val="28"/>
          <w:highlight w:val="none"/>
        </w:rPr>
        <w:t>）按包段编写投标文件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并使用A4规格编制。投标文件应编写目录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具有结构清晰的文档结构图（打开word视图中的“文档结构图”后能看到详细章节）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页码连续。</w:t>
      </w:r>
    </w:p>
    <w:p w14:paraId="7D0400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经扫描后粘贴到投标文件的相关页上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确保清晰度可辨认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评审时由于无法辨认所产生的后果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8900AF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6.6投标人应自行确保本文件的内容已充分覆盖了数据文件中《评审对照表》和《评分对照表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》中的各项要求</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并准确将对应的起止页码填写到数据文件《评审对照表》《评分对照表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》表格中每项后的起始页码和终止页码栏位上。对于不涉及或无法填写的评审项（评分项）（例如：报价）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可在页码索引处填写1。</w:t>
      </w:r>
    </w:p>
    <w:p w14:paraId="71A511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系统对所投递的电子文件有大小的限制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投标人应尽可能降低本文件的大小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小尺寸投标文件将使递交更快捷、减少差错发生几率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避免投标截止时间前未能完整上传文件。</w:t>
      </w:r>
    </w:p>
    <w:p w14:paraId="4B0704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任何人的口头协议不影响投标文件的任何条款和内容。</w:t>
      </w:r>
    </w:p>
    <w:p w14:paraId="4E0EFB8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均无义务向投标人解释其中标或未中标的原因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且无论投标人是否中标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投标人所递交的投标文件均不予退还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不提供副本拷贝。</w:t>
      </w:r>
    </w:p>
    <w:p w14:paraId="45E7DFB2">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41AB46F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必须在原文件上严格按照其中要求填写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其内部已约定好固定格式和相关内容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且带有特定的唯一性数字指纹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对采用非该文件基础上编制或对该文件进行任何工作表、表格行、表格列的增减、对工作表先后顺序的变动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都会破坏本文件中的数字指纹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3D0FCFA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完整、准确地填写《封面》《投标报价表（含明细）》《需求响应表（如有）》《评审对照表》《评分对照表（如有）》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任何的漏表、漏项及信息不完整、填写数据不规范或不正确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2673517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应按照上述2项的要求进行认真检查、确认。因投标人自身原因所导致其投标失败的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须自行承担相关责任。</w:t>
      </w:r>
    </w:p>
    <w:p w14:paraId="5F3FE57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42984CD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每个包段的投标文件分两册必须包括：投标文件（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以上内容缺一不可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130EBB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格式）（第一册）应包括但不少于下列内容：</w:t>
      </w:r>
    </w:p>
    <w:p w14:paraId="00BE7B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248BECD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6F5486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（3）投标承诺函</w:t>
      </w:r>
      <w:r>
        <w:rPr>
          <w:rFonts w:hint="eastAsia" w:ascii="仿宋" w:hAnsi="仿宋" w:eastAsia="仿宋" w:cs="仿宋"/>
          <w:color w:val="auto"/>
          <w:sz w:val="28"/>
          <w:szCs w:val="28"/>
          <w:highlight w:val="none"/>
          <w:lang w:eastAsia="zh-CN"/>
        </w:rPr>
        <w:t>（格式见本文件第五章）</w:t>
      </w:r>
    </w:p>
    <w:p w14:paraId="692BA6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报价明细表</w:t>
      </w:r>
      <w:r>
        <w:rPr>
          <w:rFonts w:hint="eastAsia" w:ascii="仿宋" w:hAnsi="仿宋" w:eastAsia="仿宋" w:cs="仿宋"/>
          <w:color w:val="auto"/>
          <w:sz w:val="28"/>
          <w:szCs w:val="28"/>
          <w:highlight w:val="none"/>
          <w:lang w:eastAsia="zh-CN"/>
        </w:rPr>
        <w:t>（格式见本文件第五章）</w:t>
      </w:r>
    </w:p>
    <w:p w14:paraId="79A8B9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w:t>
      </w:r>
    </w:p>
    <w:p w14:paraId="3916C9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有效的营业执照扫描件或其他能证明具有独立承担民事责任的能力的证明材料扫描件</w:t>
      </w:r>
      <w:r>
        <w:rPr>
          <w:rFonts w:hint="eastAsia" w:ascii="仿宋" w:hAnsi="仿宋" w:eastAsia="仿宋" w:cs="仿宋"/>
          <w:color w:val="auto"/>
          <w:sz w:val="28"/>
          <w:szCs w:val="28"/>
          <w:highlight w:val="none"/>
        </w:rPr>
        <w:t>；</w:t>
      </w:r>
    </w:p>
    <w:p w14:paraId="333AB9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②法定代表人/单位负责人身份证明书（格式见本文件第五章）</w:t>
      </w:r>
      <w:r>
        <w:rPr>
          <w:rFonts w:hint="eastAsia" w:ascii="仿宋" w:hAnsi="仿宋" w:eastAsia="仿宋" w:cs="仿宋"/>
          <w:color w:val="auto"/>
          <w:sz w:val="28"/>
          <w:szCs w:val="28"/>
          <w:highlight w:val="none"/>
          <w:lang w:eastAsia="zh-CN"/>
        </w:rPr>
        <w:t>；</w:t>
      </w:r>
    </w:p>
    <w:p w14:paraId="2D1B05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③法人授权委托书（格式见本文件第五章）、被授权人身份证扫描件；</w:t>
      </w:r>
    </w:p>
    <w:p w14:paraId="61D3AC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highlight w:val="none"/>
          <w:lang w:eastAsia="zh-CN"/>
        </w:rPr>
        <w:t>；</w:t>
      </w:r>
    </w:p>
    <w:p w14:paraId="0F1909A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④投标人具有良好的商业信誉和健全的财务会计制度声明（格式见本文件第五章）；</w:t>
      </w:r>
    </w:p>
    <w:p w14:paraId="4C2E1E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w:t>
      </w:r>
      <w:r>
        <w:rPr>
          <w:rFonts w:hint="eastAsia" w:ascii="仿宋" w:hAnsi="仿宋" w:eastAsia="仿宋" w:cs="仿宋"/>
          <w:color w:val="auto"/>
          <w:sz w:val="28"/>
          <w:szCs w:val="28"/>
          <w:highlight w:val="none"/>
          <w:lang w:eastAsia="zh-CN"/>
        </w:rPr>
        <w:t>投标人具有履行合同所必需的设备和专业技术能力声明（格式见本文件第五章）</w:t>
      </w:r>
      <w:r>
        <w:rPr>
          <w:rFonts w:hint="eastAsia" w:ascii="仿宋" w:hAnsi="仿宋" w:eastAsia="仿宋" w:cs="仿宋"/>
          <w:color w:val="auto"/>
          <w:sz w:val="28"/>
          <w:szCs w:val="28"/>
          <w:highlight w:val="none"/>
        </w:rPr>
        <w:t>；</w:t>
      </w:r>
    </w:p>
    <w:p w14:paraId="2DD640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⑥投标人的依法缴纳税收和社会保障资金的声明（格式见本文件第五章）及开标前6个月内任意月份的依法缴纳税收和社会保障资金的证明材料；</w:t>
      </w:r>
    </w:p>
    <w:p w14:paraId="646AF9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⑦投标人无重大违法记录声明（格式见本文件第五章）；</w:t>
      </w:r>
    </w:p>
    <w:p w14:paraId="7CBDF15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⑧投标人及其法定代表人/单位负责人、被授权人、项目负责人未被最高人民法院列为失信被执行人网站查询结果截图（查询路径见投标须知前附表）；</w:t>
      </w:r>
    </w:p>
    <w:p w14:paraId="33065E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⑨投标人近一年在“信用中国”或“信用中国（山东）”无严重失信记录，附通过网站查询的信用报告（查询路径见投标须知前附表）；</w:t>
      </w:r>
    </w:p>
    <w:p w14:paraId="402107E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⑩</w:t>
      </w:r>
      <w:r>
        <w:rPr>
          <w:rFonts w:hint="eastAsia" w:ascii="仿宋" w:hAnsi="仿宋" w:eastAsia="仿宋" w:cs="仿宋"/>
          <w:color w:val="auto"/>
          <w:sz w:val="28"/>
          <w:szCs w:val="28"/>
          <w:highlight w:val="none"/>
        </w:rPr>
        <w:t>投标人的工程设计综合甲级资质证书或工程设计商物粮行业乙级及以上资质证书或工程设计商物粮行业粮食工程专业乙级及以上资质证书扫描件；</w:t>
      </w:r>
    </w:p>
    <w:p w14:paraId="00A47C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⑪拟派项目负责人的一级注册建筑师或一级注册结构工程师注册证书扫描件；</w:t>
      </w:r>
    </w:p>
    <w:p w14:paraId="19991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⑫投标人认为需要提供的其他资质资格证明文件。</w:t>
      </w:r>
    </w:p>
    <w:p w14:paraId="0F1BDB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以上所有资质资格证明文件均需加盖投标人签章。</w:t>
      </w:r>
    </w:p>
    <w:p w14:paraId="3D3DB5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（6）符合性审查表</w:t>
      </w:r>
      <w:r>
        <w:rPr>
          <w:rFonts w:hint="eastAsia" w:ascii="仿宋" w:hAnsi="仿宋" w:eastAsia="仿宋" w:cs="仿宋"/>
          <w:color w:val="auto"/>
          <w:sz w:val="28"/>
          <w:szCs w:val="28"/>
          <w:highlight w:val="none"/>
          <w:lang w:eastAsia="zh-CN"/>
        </w:rPr>
        <w:t>（格式见本文件第五章）</w:t>
      </w:r>
    </w:p>
    <w:p w14:paraId="64AE67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（7）投标人基本情况</w:t>
      </w:r>
      <w:r>
        <w:rPr>
          <w:rFonts w:hint="eastAsia" w:ascii="仿宋" w:hAnsi="仿宋" w:eastAsia="仿宋" w:cs="仿宋"/>
          <w:color w:val="auto"/>
          <w:sz w:val="28"/>
          <w:szCs w:val="28"/>
          <w:highlight w:val="none"/>
          <w:lang w:val="en-US" w:eastAsia="zh-CN"/>
        </w:rPr>
        <w:t>表</w:t>
      </w:r>
      <w:r>
        <w:rPr>
          <w:rFonts w:hint="eastAsia" w:ascii="仿宋" w:hAnsi="仿宋" w:eastAsia="仿宋" w:cs="仿宋"/>
          <w:color w:val="auto"/>
          <w:sz w:val="28"/>
          <w:szCs w:val="28"/>
          <w:highlight w:val="none"/>
        </w:rPr>
        <w:t>（格式见本文件第五章）</w:t>
      </w:r>
    </w:p>
    <w:p w14:paraId="35F1F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同类项目业绩表（格式见本文件第五章）</w:t>
      </w:r>
    </w:p>
    <w:p w14:paraId="373CA27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技术文件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包括但不限于以下内容：</w:t>
      </w:r>
    </w:p>
    <w:p w14:paraId="1B3F88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人员配备；</w:t>
      </w:r>
    </w:p>
    <w:p w14:paraId="3FB2E16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②</w:t>
      </w:r>
      <w:r>
        <w:rPr>
          <w:rFonts w:hint="eastAsia" w:ascii="仿宋" w:hAnsi="仿宋" w:eastAsia="仿宋" w:cs="仿宋"/>
          <w:color w:val="auto"/>
          <w:sz w:val="28"/>
          <w:szCs w:val="28"/>
          <w:highlight w:val="none"/>
          <w:lang w:eastAsia="zh-CN"/>
        </w:rPr>
        <w:t>设计方案；</w:t>
      </w:r>
    </w:p>
    <w:p w14:paraId="563746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③</w:t>
      </w:r>
      <w:r>
        <w:rPr>
          <w:rFonts w:hint="eastAsia" w:ascii="仿宋" w:hAnsi="仿宋" w:eastAsia="仿宋" w:cs="仿宋"/>
          <w:color w:val="auto"/>
          <w:sz w:val="28"/>
          <w:szCs w:val="28"/>
          <w:highlight w:val="none"/>
          <w:lang w:eastAsia="zh-CN"/>
        </w:rPr>
        <w:t>进度计划及保障措施；</w:t>
      </w:r>
    </w:p>
    <w:p w14:paraId="7CBCE6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④</w:t>
      </w:r>
      <w:r>
        <w:rPr>
          <w:rFonts w:hint="eastAsia" w:ascii="仿宋" w:hAnsi="仿宋" w:eastAsia="仿宋" w:cs="仿宋"/>
          <w:color w:val="auto"/>
          <w:sz w:val="28"/>
          <w:szCs w:val="28"/>
          <w:highlight w:val="none"/>
          <w:lang w:eastAsia="zh-CN"/>
        </w:rPr>
        <w:t>质量保障措施；</w:t>
      </w:r>
    </w:p>
    <w:p w14:paraId="0DA094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⑤</w:t>
      </w:r>
      <w:r>
        <w:rPr>
          <w:rFonts w:hint="eastAsia" w:ascii="仿宋" w:hAnsi="仿宋" w:eastAsia="仿宋" w:cs="仿宋"/>
          <w:color w:val="auto"/>
          <w:sz w:val="28"/>
          <w:szCs w:val="28"/>
          <w:highlight w:val="none"/>
          <w:lang w:eastAsia="zh-CN"/>
        </w:rPr>
        <w:t>投资控制措施；</w:t>
      </w:r>
    </w:p>
    <w:p w14:paraId="069F615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⑥</w:t>
      </w:r>
      <w:r>
        <w:rPr>
          <w:rFonts w:hint="eastAsia" w:ascii="仿宋" w:hAnsi="仿宋" w:eastAsia="仿宋" w:cs="仿宋"/>
          <w:color w:val="auto"/>
          <w:sz w:val="28"/>
          <w:szCs w:val="28"/>
          <w:highlight w:val="none"/>
          <w:lang w:eastAsia="zh-CN"/>
        </w:rPr>
        <w:t>服务承诺；</w:t>
      </w:r>
    </w:p>
    <w:p w14:paraId="2D282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⑦</w:t>
      </w:r>
      <w:r>
        <w:rPr>
          <w:rFonts w:hint="eastAsia" w:ascii="仿宋" w:hAnsi="仿宋" w:eastAsia="仿宋" w:cs="仿宋"/>
          <w:color w:val="auto"/>
          <w:sz w:val="28"/>
          <w:szCs w:val="28"/>
          <w:highlight w:val="none"/>
        </w:rPr>
        <w:t>投标人认为需要提交的其他相关技术文件（根据评分标准及项目要求格式自拟）</w:t>
      </w:r>
      <w:r>
        <w:rPr>
          <w:rFonts w:hint="eastAsia" w:ascii="仿宋" w:hAnsi="仿宋" w:eastAsia="仿宋" w:cs="仿宋"/>
          <w:color w:val="auto"/>
          <w:sz w:val="28"/>
          <w:szCs w:val="28"/>
          <w:highlight w:val="none"/>
          <w:lang w:eastAsia="zh-CN"/>
        </w:rPr>
        <w:t>。</w:t>
      </w:r>
    </w:p>
    <w:p w14:paraId="20BF6B8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）投标偏离表</w:t>
      </w:r>
      <w:r>
        <w:rPr>
          <w:rFonts w:hint="eastAsia" w:ascii="仿宋" w:hAnsi="仿宋" w:eastAsia="仿宋" w:cs="仿宋"/>
          <w:color w:val="auto"/>
          <w:sz w:val="28"/>
          <w:szCs w:val="28"/>
          <w:highlight w:val="none"/>
          <w:lang w:eastAsia="zh-CN"/>
        </w:rPr>
        <w:t>（格式见本文件第五章）</w:t>
      </w:r>
    </w:p>
    <w:p w14:paraId="6EA45F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p>
    <w:p w14:paraId="7E05D7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并严格按照要求填写。填写完成后在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中上传该数据文件（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系统将自动转换为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再加盖投标人电子印章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未按要求填写或盖章为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格式）包含下列内容：</w:t>
      </w:r>
    </w:p>
    <w:p w14:paraId="6BDBB2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1B74C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488412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2A425A7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47DC6A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AFB68B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185AB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9.1投标人所提供的（产品）货物或服务或工程均以人民币报价，精确到小数点后两位。</w:t>
      </w:r>
    </w:p>
    <w:p w14:paraId="646ED3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w:t>
      </w:r>
    </w:p>
    <w:p w14:paraId="27F4E8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并加盖电子公章。</w:t>
      </w:r>
    </w:p>
    <w:p w14:paraId="12EB8D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33B247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CDF6D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（2）投标人应对本次招标的全部或部分内容以包为单位进行报价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包内缺项报价投标无效。如因投标人自身的原因报价失误而造成的损失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EFCC2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（3）投标人须严格按照报价明细表说明进行填写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报价明细表中“*”是必填项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任何必填项为空时都可能导致本次投标无效。</w:t>
      </w:r>
    </w:p>
    <w:p w14:paraId="74B34B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（4）《投标报价表（含明细）》中“报价产品的型号”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型号填写的一般规则为：品牌+产品型号。</w:t>
      </w:r>
    </w:p>
    <w:p w14:paraId="38DA56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无需手工录入。</w:t>
      </w:r>
    </w:p>
    <w:p w14:paraId="29BBC5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5E8ECA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有“*”的列是必输项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任何必输项为空都可能导致您的本次投标无效；</w:t>
      </w:r>
    </w:p>
    <w:p w14:paraId="720AD5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应采用选择性粘贴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只粘贴文本</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否则单元格填写无效或被锁死；</w:t>
      </w:r>
    </w:p>
    <w:p w14:paraId="266E1E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请点击编辑栏进行查看；</w:t>
      </w:r>
    </w:p>
    <w:p w14:paraId="5BB47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的招标需求的逐一说明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如实填写。“响应需求”中需详细列明所报产品（服务）的明细；若与投标文件中提供的产品检测报告（如有）、生产厂家出具的产品彩页等证明材料的实质性响应情况不一致（如有）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由投标人自行承担不利后果，包括但不限于投标无效，相应评审因素对应的分值为0分。</w:t>
      </w:r>
    </w:p>
    <w:p w14:paraId="5E01B5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211FB7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必须在原表上填写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3FFD9D3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288AC9E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7784D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两个以上的自然人、法人或者其他组织可以组成一个联合体，以一个投标人的身份共同参加采购活动。</w:t>
      </w:r>
    </w:p>
    <w:p w14:paraId="12344A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采购活动的，参加联合体的投标人均应当满足采购公告及采购文件的资质要求，并应当向采购人提交联合体协议，载明联合体各方承担的工作和义务。联合体各方应当共同与采购人签订采购合同，就采购合同约定的事项对采购人承担连带责任。</w:t>
      </w:r>
    </w:p>
    <w:p w14:paraId="127C87C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445469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10.3联合体的各方应当共同推荐一名联合体投标授权代表方，由联合体各方提交一份授权书，证明其有资格代表联合体各方签署投标文件，该授权书作为投标文件的组成部分一并提交给采购代理机构。</w:t>
      </w:r>
    </w:p>
    <w:p w14:paraId="000B60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67194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776113A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17A5D3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6AA72BD6">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3066BC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将组织投标人对项目现场及周围环境进行踏勘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以便投标人获取有关编制投标文件和签署合同所需的所有资料。踏勘现场所发生的费用由投标人自己承担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投标人应按投标须知前附表所约定的时间、地点踏勘现场。</w:t>
      </w:r>
    </w:p>
    <w:p w14:paraId="6D0E15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的允许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可以踏勘目的进入采购单位的项目现场。若本项目招标文件要求投标人于统一时间地点踏勘现场的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投标人应当按时前往。</w:t>
      </w:r>
    </w:p>
    <w:p w14:paraId="51369F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的原因外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投标人自行负责在踏勘现场中所发生的人员伤亡和财产损失。</w:t>
      </w:r>
    </w:p>
    <w:p w14:paraId="6B695F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C4C62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1B8628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0F2745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投标有效期为90天。投标有效期短于90天的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其投标为无效投标。</w:t>
      </w:r>
    </w:p>
    <w:p w14:paraId="0D069F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在投标有效期满之前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可以要求投标人延长投标有效期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投标人可以书面形式拒绝或接受上述要求。同意延长投标有效期的投标人不得修改投标文件的实质性内容。</w:t>
      </w:r>
    </w:p>
    <w:p w14:paraId="367E6730">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0C8F40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本项目投标保证金收取情况见《投标须知前附表》。</w:t>
      </w:r>
    </w:p>
    <w:p w14:paraId="6A7E782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2789B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本项目履约保证金收取情况见《投标须知前附表》。</w:t>
      </w:r>
    </w:p>
    <w:p w14:paraId="2024297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7E2DEC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格式）（第一册）1份</w:t>
      </w:r>
    </w:p>
    <w:p w14:paraId="4FC9DD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电子人名章）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电子印章与实物印章具有同等法律效力。</w:t>
      </w:r>
    </w:p>
    <w:p w14:paraId="5A097D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最后通过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格式（或者其他</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转换工具）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之后通过签章功能在</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文件上逐页加盖电子印章并保存到本地计算机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加盖了电子印章的</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文件即为最终的投标文件。</w:t>
      </w:r>
    </w:p>
    <w:p w14:paraId="155112C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16.1.3文件中要求法定代表人/单位负责人签字或签章的须加盖法定代表人/单位负责人电子人名章。</w:t>
      </w:r>
    </w:p>
    <w:p w14:paraId="39EA3C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被授权人又无电子章的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在word编制时可将被授权人手写签字扫描后的图片粘贴到投标文件中对应位置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并加盖单位电子公章。</w:t>
      </w:r>
    </w:p>
    <w:p w14:paraId="52D1FE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581303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0EB24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16.2数据文件（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格式）（第二册）1份</w:t>
      </w:r>
    </w:p>
    <w:p w14:paraId="667AAA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加盖电子印章后保存到本地计算机。加盖了电子印章的文件即为最终的数据文件（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格式）用于投标。</w:t>
      </w:r>
    </w:p>
    <w:p w14:paraId="28B2DA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16.2.2文件中要求法定代表人/单位负责人签字或签章的须加盖法定代表人/单位负责人电子人名章。</w:t>
      </w:r>
    </w:p>
    <w:p w14:paraId="660A5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BE3F5C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四、投标文件的递交</w:t>
      </w:r>
    </w:p>
    <w:p w14:paraId="6575E43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3FEED31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E5A73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格式）须在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进行提交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提交前系统会自动在本地进行加密和数字签名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加密和电子签章后的文件除了会上传到系统中之外还会同步保存到本地计算机。</w:t>
      </w:r>
    </w:p>
    <w:p w14:paraId="282EBCA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05653F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投标人应使用密封袋将资质证明文件原件密封（身份证原件除外）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加盖公章并标明投标人（单位）名称、项目名称、项目编号、所投包号以及“资质证明文件原件”字样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粘贴密封条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每一密封条注明“于*年*月*日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*之前不准启封”（</w:t>
      </w:r>
      <w:r>
        <w:rPr>
          <w:rFonts w:hint="eastAsia" w:ascii="仿宋" w:hAnsi="仿宋" w:eastAsia="仿宋" w:cs="仿宋"/>
          <w:b/>
          <w:bCs/>
          <w:color w:val="auto"/>
          <w:sz w:val="28"/>
          <w:szCs w:val="28"/>
          <w:highlight w:val="none"/>
        </w:rPr>
        <w:t>开标时间</w:t>
      </w:r>
      <w:r>
        <w:rPr>
          <w:rFonts w:hint="eastAsia" w:ascii="仿宋" w:hAnsi="仿宋" w:eastAsia="仿宋" w:cs="仿宋"/>
          <w:color w:val="auto"/>
          <w:sz w:val="28"/>
          <w:szCs w:val="28"/>
          <w:highlight w:val="none"/>
        </w:rPr>
        <w:t>）的字样。</w:t>
      </w:r>
    </w:p>
    <w:p w14:paraId="31EE43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按照招标文件的要求送达指定地点。</w:t>
      </w:r>
    </w:p>
    <w:p w14:paraId="50EF1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对误投或提前启封概不负责。</w:t>
      </w:r>
    </w:p>
    <w:p w14:paraId="7A07B3A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2990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17.3.1</w:t>
      </w:r>
      <w:r>
        <w:rPr>
          <w:rFonts w:hint="eastAsia" w:ascii="仿宋" w:hAnsi="仿宋" w:eastAsia="仿宋" w:cs="仿宋"/>
          <w:color w:val="auto"/>
          <w:sz w:val="28"/>
          <w:szCs w:val="28"/>
          <w:highlight w:val="none"/>
        </w:rPr>
        <w:t>投标人应在投标须知前附表规定的时间前在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上递交电子投标文件和数据文件。投标人应充分评估集中投标带来的网络影响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尽量避开投标高峰时间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错峰进行电子投标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系统以收到投标人发出的递交指令的时间作为其投标时间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如该时间超过投标截止时间</w:t>
      </w:r>
      <w:r>
        <w:rPr>
          <w:rFonts w:hint="eastAsia" w:ascii="仿宋" w:hAnsi="仿宋" w:eastAsia="仿宋" w:cs="仿宋"/>
          <w:color w:val="auto"/>
          <w:sz w:val="28"/>
          <w:szCs w:val="28"/>
          <w:highlight w:val="none"/>
          <w:lang w:eastAsia="zh-CN"/>
        </w:rPr>
        <w:t>，</w:t>
      </w:r>
      <w:r>
        <w:rPr>
          <w:rFonts w:hint="eastAsia" w:ascii="仿宋" w:hAnsi="仿宋" w:eastAsia="仿宋" w:cs="仿宋"/>
          <w:b/>
          <w:bCs/>
          <w:color w:val="auto"/>
          <w:sz w:val="28"/>
          <w:szCs w:val="28"/>
          <w:highlight w:val="none"/>
        </w:rPr>
        <w:t>其投标将会被判定为无效</w:t>
      </w:r>
      <w:r>
        <w:rPr>
          <w:rFonts w:hint="eastAsia" w:ascii="仿宋" w:hAnsi="仿宋" w:eastAsia="仿宋" w:cs="仿宋"/>
          <w:color w:val="auto"/>
          <w:sz w:val="28"/>
          <w:szCs w:val="28"/>
          <w:highlight w:val="none"/>
        </w:rPr>
        <w:t>。</w:t>
      </w:r>
    </w:p>
    <w:p w14:paraId="101251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17.3.2投标人须牢记投标加密密码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该密码将用于开标时解密其电子投标文件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如忘记密码或输入错误密码超过5次</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其递交的电子投标文件将无法解密</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导致无法提取数据和供他人阅读文件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致使其投标失败。</w:t>
      </w:r>
    </w:p>
    <w:p w14:paraId="46B3D1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拒绝接收纸质投标文件。</w:t>
      </w:r>
    </w:p>
    <w:p w14:paraId="47DF1C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17.3.4投标人应将网上递交的已盖章未加密的数据文件和投标文件谨慎保存以便启动应急开标程序时使用。</w:t>
      </w:r>
    </w:p>
    <w:p w14:paraId="7B0FC49C">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141150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本次招标的投标截止期见《投标须知前附表》。</w:t>
      </w:r>
    </w:p>
    <w:p w14:paraId="703FB4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41EAE1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4" w:name="_Toc429313655"/>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无法接收投标截止期后递交的投标文件。</w:t>
      </w:r>
    </w:p>
    <w:p w14:paraId="00F31DA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
      <w:r>
        <w:rPr>
          <w:rFonts w:hint="eastAsia" w:ascii="仿宋" w:hAnsi="仿宋" w:eastAsia="仿宋" w:cs="仿宋"/>
          <w:b/>
          <w:color w:val="auto"/>
          <w:sz w:val="28"/>
          <w:szCs w:val="28"/>
          <w:highlight w:val="none"/>
        </w:rPr>
        <w:t>演示/样品递交</w:t>
      </w:r>
    </w:p>
    <w:p w14:paraId="252FD2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可以要求投标人对其提供的信息化、自动化等相关类别服务进行演示。</w:t>
      </w:r>
    </w:p>
    <w:p w14:paraId="6B5FD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20.2若项目涉及货物时</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可以要求投标人提供样品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样品作为投标文件的一部分。未中标的投标人提供的样品将于评审结束后退还。中标人的样品由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保留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作为验收的依据。</w:t>
      </w:r>
    </w:p>
    <w:p w14:paraId="7ED5FC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详见招标文件《投标须知前附表》的有关规定。</w:t>
      </w:r>
    </w:p>
    <w:p w14:paraId="5E615B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61BEE3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在投标截止期之后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投标人不得对其投标文件做任何修改。</w:t>
      </w:r>
    </w:p>
    <w:p w14:paraId="4E60E8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可以在投标截止期之前撤回其投标。</w:t>
      </w:r>
    </w:p>
    <w:p w14:paraId="4DBAA8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不得撤回投标文件。</w:t>
      </w:r>
    </w:p>
    <w:p w14:paraId="38418BDF">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五、开标与评审</w:t>
      </w:r>
    </w:p>
    <w:p w14:paraId="204BAFD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25476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投标人不足3家的不得开标。</w:t>
      </w:r>
    </w:p>
    <w:p w14:paraId="541D7F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在招标公告规定的时间和地点组织开标。到现场开标的投标人须携带CA锁和笔记本电脑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以便进行开标操作。不到现场开标的投标人需提前准备已配置好环境的电脑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在规定的时间进行远程开标的各项操作。</w:t>
      </w:r>
    </w:p>
    <w:p w14:paraId="18A222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22.3现场开标和远程开标的投标人代表应在签到表格相应位置上加盖CA锁中的法定代表人/单位负责人电子人名章</w:t>
      </w:r>
      <w:r>
        <w:rPr>
          <w:rFonts w:hint="eastAsia" w:ascii="仿宋" w:hAnsi="仿宋" w:eastAsia="仿宋" w:cs="仿宋"/>
          <w:color w:val="auto"/>
          <w:sz w:val="28"/>
          <w:szCs w:val="28"/>
          <w:highlight w:val="none"/>
          <w:lang w:val="en-US" w:eastAsia="zh-CN"/>
        </w:rPr>
        <w:t>或公章</w:t>
      </w:r>
      <w:r>
        <w:rPr>
          <w:rFonts w:hint="eastAsia" w:ascii="仿宋" w:hAnsi="仿宋" w:eastAsia="仿宋" w:cs="仿宋"/>
          <w:color w:val="auto"/>
          <w:sz w:val="28"/>
          <w:szCs w:val="28"/>
          <w:highlight w:val="none"/>
        </w:rPr>
        <w:t>以证明其出席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在开标时间前未完成签到的将会被</w:t>
      </w:r>
      <w:r>
        <w:rPr>
          <w:rFonts w:hint="eastAsia" w:ascii="仿宋" w:hAnsi="仿宋" w:eastAsia="仿宋" w:cs="仿宋"/>
          <w:b/>
          <w:bCs/>
          <w:color w:val="auto"/>
          <w:sz w:val="28"/>
          <w:szCs w:val="28"/>
          <w:highlight w:val="none"/>
        </w:rPr>
        <w:t>视作</w:t>
      </w:r>
      <w:r>
        <w:rPr>
          <w:rFonts w:hint="eastAsia" w:ascii="仿宋" w:hAnsi="仿宋" w:eastAsia="仿宋" w:cs="仿宋"/>
          <w:color w:val="auto"/>
          <w:sz w:val="28"/>
          <w:szCs w:val="28"/>
          <w:highlight w:val="none"/>
        </w:rPr>
        <w:t>认同开标结果。</w:t>
      </w:r>
    </w:p>
    <w:p w14:paraId="37C340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投标人输入密码错误（5次输入机会）、未能按时完成解密、其《数据文件》填写、盖章不规范等导致系统无法解析的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将会被视为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E2D73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最终形成开标一览表并由各投标人代表在表格相应位置上加盖CA锁中的法定代表人/单位负责人电子人名章或公章确认。</w:t>
      </w:r>
    </w:p>
    <w:p w14:paraId="66D063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以及认为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相关工作人员有需要回避的情形的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应当场提出询问或者回避申请。</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对投标人代表提出的询问或者回避申请应当及时处理。</w:t>
      </w:r>
    </w:p>
    <w:p w14:paraId="4F73A5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确保声音清楚、图像清晰、内容无遗漏。</w:t>
      </w:r>
    </w:p>
    <w:p w14:paraId="52E82D5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如遇特殊情况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服从威海市公共资源交易中心场地调配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并遵守相关规章制度。</w:t>
      </w:r>
    </w:p>
    <w:p w14:paraId="7FFB1F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按以下规定修正：</w:t>
      </w:r>
    </w:p>
    <w:p w14:paraId="0B4744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以“投标（报价）一览表”的报价为准；</w:t>
      </w:r>
    </w:p>
    <w:p w14:paraId="03CB75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以大写金额为准；</w:t>
      </w:r>
    </w:p>
    <w:p w14:paraId="3C349E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以投标（报价）一览表的总价为准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并修改单价。</w:t>
      </w:r>
    </w:p>
    <w:p w14:paraId="729034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以单价金额计算结果为准。</w:t>
      </w:r>
    </w:p>
    <w:p w14:paraId="6361E5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按照前款规定的顺序修正。修正后的报价经投标人确认后产生约束力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投标人不确认的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4EDC84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245EED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24DB5E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22B5D1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投标人开始输入解密密码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解密时间到或所有投标人均完成解密后工作人员启动停止解密指令。</w:t>
      </w:r>
    </w:p>
    <w:p w14:paraId="6386AC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22.10.4唱标：停止解密后现场工作人员将根据电子交易平台自动提取各投标人数据文件中的相关数据进行公开唱标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唱标结束系统将自动生成开标一览表。投标人应及时关注开标过程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查看开标结果并在开标一览表上进行电子签署。若投标人在启动唱标后10分钟内不在开标一览表上签字确认，则视为投标人认可开标结果。</w:t>
      </w:r>
    </w:p>
    <w:p w14:paraId="3CF29F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6DA227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249A77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导致系统无法正常运行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或者无法保证开标过程的公平、公正和信息安全时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沟通后可启动应急开标程序。</w:t>
      </w:r>
    </w:p>
    <w:p w14:paraId="08AE62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无法访问或无法使用系统；</w:t>
      </w:r>
    </w:p>
    <w:p w14:paraId="1F0F21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不能进行正常操作；</w:t>
      </w:r>
    </w:p>
    <w:p w14:paraId="2E9E4EA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有潜在的泄密危险；</w:t>
      </w:r>
    </w:p>
    <w:p w14:paraId="3A1978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363BEF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3A7DF59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48159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63642E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等待系统恢复正常后再组织进行开标。</w:t>
      </w:r>
    </w:p>
    <w:p w14:paraId="04780B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通过系统的备案功能进行文件上传备案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无效投标处理</w:t>
      </w:r>
      <w:r>
        <w:rPr>
          <w:rFonts w:hint="eastAsia" w:ascii="仿宋" w:hAnsi="仿宋" w:eastAsia="仿宋" w:cs="仿宋"/>
          <w:color w:val="auto"/>
          <w:sz w:val="28"/>
          <w:szCs w:val="28"/>
          <w:highlight w:val="none"/>
        </w:rPr>
        <w:t>。</w:t>
      </w:r>
    </w:p>
    <w:p w14:paraId="2FCEDC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或代理机构的监督下可针对所有在平台中已投标的投标人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启用其电子邮件递交的投标文件进行开标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同时开标由线上转为线下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开标、评标均以电子邮件递交的投标文件为准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投标人必须在获取招标文件时留有本单位详细的邮箱和电话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处理。</w:t>
      </w:r>
    </w:p>
    <w:p w14:paraId="2D4573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143079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whzczb1@163.com</w:t>
      </w:r>
    </w:p>
    <w:p w14:paraId="502019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6239D2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398B2F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44F61B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每个包段含已盖章且未加密的数据文件、投标文件各一份。数据文件、投标文件与网上最终递交的必须为同一文件（可将所投包段的所有文件打包压缩）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如果不一致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系统后台会判定为无效投标文件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导致投标无效。</w:t>
      </w:r>
    </w:p>
    <w:p w14:paraId="6C425DF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7D12C0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9437A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不接受、不处理任何通过电子邮件提交的投标文件）；</w:t>
      </w:r>
    </w:p>
    <w:p w14:paraId="68E325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工作人员开始下载投标文件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将投标报价形成开标报告并邮件回复各投标人；</w:t>
      </w:r>
    </w:p>
    <w:p w14:paraId="1F1AED7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不及时回复的视为对开标报告的内容无异议。</w:t>
      </w:r>
    </w:p>
    <w:p w14:paraId="5D27A5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114064E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负责组织评标工作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具体评审事务由依法组建的评标委员会负责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评标委员会成员由</w:t>
      </w:r>
      <w:r>
        <w:rPr>
          <w:rFonts w:hint="eastAsia" w:ascii="仿宋" w:hAnsi="仿宋" w:eastAsia="仿宋" w:cs="仿宋"/>
          <w:color w:val="auto"/>
          <w:sz w:val="28"/>
          <w:szCs w:val="28"/>
          <w:highlight w:val="none"/>
          <w:lang w:val="en-US" w:eastAsia="zh-CN"/>
        </w:rPr>
        <w:t>采购人代表和</w:t>
      </w:r>
      <w:r>
        <w:rPr>
          <w:rFonts w:hint="eastAsia" w:ascii="仿宋" w:hAnsi="仿宋" w:eastAsia="仿宋" w:cs="仿宋"/>
          <w:color w:val="auto"/>
          <w:sz w:val="28"/>
          <w:szCs w:val="28"/>
          <w:highlight w:val="none"/>
        </w:rPr>
        <w:t>评审专家5人以上的单数组成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其中专家人数不得少于评标委员会成员总数的2/3。</w:t>
      </w:r>
    </w:p>
    <w:p w14:paraId="1FB673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员及相关人员与投标人有利害关系的应当回避。曾参与招标</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征询意见或论证的专家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不得再作为评标专家参加评标。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不得以专家身份参与本项目的评标。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工作人员离职或退休不满三年的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不能作为专家参加评标工作。</w:t>
      </w:r>
    </w:p>
    <w:p w14:paraId="4F06F5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37C25D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评标委员会成员应当主动确认与投标人是否有利害关系。如有利害关系应当主动回避</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如无利害关系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应当在含有相关内容的《无利害关系声明》上签字；</w:t>
      </w:r>
    </w:p>
    <w:p w14:paraId="1D2B6D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对投标文件的内容进行评审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并对评审结果承担责任；</w:t>
      </w:r>
    </w:p>
    <w:p w14:paraId="2DE6A7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以及投标人的商业秘密进行保密；</w:t>
      </w:r>
    </w:p>
    <w:p w14:paraId="5EBD29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70B819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答复投标人质疑；</w:t>
      </w:r>
    </w:p>
    <w:p w14:paraId="1A9A92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反映评标工作中的问题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提出意见和建议。</w:t>
      </w:r>
    </w:p>
    <w:p w14:paraId="44EC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2E844D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起草评标报告。对评标结论持有异议的评标委员会成员可以书面方式阐述其不同意见和理由。评标委员会成员拒绝在评标报告上签字且不陈述其不同意见和理由的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视为同意评标结论。评标委员会应当对此做出书面说明并记录在案；</w:t>
      </w:r>
    </w:p>
    <w:p w14:paraId="1F7DAEB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答复投标人的质疑；</w:t>
      </w:r>
    </w:p>
    <w:p w14:paraId="71A112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（3）必要时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向投标人解释评标结果；</w:t>
      </w:r>
    </w:p>
    <w:p w14:paraId="03E7D5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（4）向主管部门或者有关部门报告非法干预评标工作的行为。</w:t>
      </w:r>
    </w:p>
    <w:p w14:paraId="0E824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23.5</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的职责：</w:t>
      </w:r>
    </w:p>
    <w:p w14:paraId="663043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w:t>
      </w:r>
      <w:r>
        <w:rPr>
          <w:rFonts w:hint="eastAsia" w:ascii="仿宋" w:hAnsi="仿宋" w:eastAsia="仿宋" w:cs="仿宋"/>
          <w:color w:val="auto"/>
          <w:sz w:val="28"/>
          <w:szCs w:val="28"/>
          <w:highlight w:val="none"/>
          <w:lang w:eastAsia="zh-CN"/>
        </w:rPr>
        <w:t>采购人代表授权委托书，</w:t>
      </w:r>
      <w:r>
        <w:rPr>
          <w:rFonts w:hint="eastAsia" w:ascii="仿宋" w:hAnsi="仿宋" w:eastAsia="仿宋" w:cs="仿宋"/>
          <w:color w:val="auto"/>
          <w:sz w:val="28"/>
          <w:szCs w:val="28"/>
          <w:highlight w:val="none"/>
        </w:rPr>
        <w:t>对评审专家在采购活动中的职责履行情况予以记录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并及时将有关违法违规行为向主管部门报告；</w:t>
      </w:r>
    </w:p>
    <w:p w14:paraId="5C0A06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65375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告知评审专家应当回避的情形；</w:t>
      </w:r>
    </w:p>
    <w:p w14:paraId="214DD1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（4）评标期间采取必要的通讯管理措施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保证评标活动不受外界干扰；</w:t>
      </w:r>
    </w:p>
    <w:p w14:paraId="4DA1DF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根据</w:t>
      </w:r>
      <w:r>
        <w:rPr>
          <w:rFonts w:hint="eastAsia" w:ascii="仿宋" w:hAnsi="仿宋" w:eastAsia="仿宋" w:cs="仿宋"/>
          <w:color w:val="auto"/>
          <w:sz w:val="28"/>
          <w:szCs w:val="28"/>
          <w:highlight w:val="none"/>
        </w:rPr>
        <w:t>评标委员会的要求介绍采购相关政策法规、招标文件；</w:t>
      </w:r>
    </w:p>
    <w:p w14:paraId="646F28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（6）维护评标秩序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监督评标委员会依照招标文件规定的评标程序、方法和标准进行独立评审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及时制止和纠正</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代表、评审专家的倾向性言论或者违法违规行为；</w:t>
      </w:r>
    </w:p>
    <w:p w14:paraId="4BB6E1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（7）核对评标结果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存在分值汇总计算错误的、分项评分超出评分标准范围的、评标委员会成员对客观评审因素评分不一致的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经评标委员会认定评分畸高畸低的情形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要求评标小组复核或者书面说明理由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评标小组拒绝的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应予记录并向主管部门报告；</w:t>
      </w:r>
    </w:p>
    <w:p w14:paraId="5DE45C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（8）评审工作完成后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按照规定向评审专家支付劳务报酬和异地评审差旅费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不得向评审专家以外的其他人员支付评审劳务报酬；专家劳务报酬标准参照山东省财政厅《关于印发&lt;山东省政府采购评审劳务报酬标准&gt;的通知》（鲁财采〔2017〕28号）规定执行。</w:t>
      </w:r>
    </w:p>
    <w:p w14:paraId="4A598E0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（9）处理与评标有关的其他事项。</w:t>
      </w:r>
    </w:p>
    <w:p w14:paraId="13CBBFF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可以在评标前说明项目背景和采购需求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说明内容不得含有歧视性、倾向性意见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不得超出招标文件所述范围。说明应当提交书面材料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618F01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工作人员向评标委员会成员宣布评标纪律和工作规则。评标委员会成员签署《无利害关系声明表》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并遵照执行。</w:t>
      </w:r>
    </w:p>
    <w:p w14:paraId="3B5ED1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w:t>
      </w:r>
    </w:p>
    <w:p w14:paraId="668E26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23.8评标委员会将按照招标文件确定的评标原则和方法进行评标。评标委员会对投标文件的评审内容分为资格性审查、符合性审查、商务评议、技术评议和价格评议。</w:t>
      </w:r>
    </w:p>
    <w:p w14:paraId="589717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7FD9BDC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22BAD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7DAB4C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793F3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以及根据</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委托直接确定中标人；</w:t>
      </w:r>
    </w:p>
    <w:p w14:paraId="0E9177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或者有关部门报告评标中发现的违法行为。</w:t>
      </w:r>
    </w:p>
    <w:p w14:paraId="33FDF8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23.10评标中因评标委员会成员缺席、回避或者健康等特殊原因导致评标委员会组成不符合本办法规定的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应当依法补足后继续评标。被更换的评标委员会成员所作出的评标意见无效。</w:t>
      </w:r>
    </w:p>
    <w:p w14:paraId="3B4EB6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应当停止评标活动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封存所有投标文件和开标、评标资料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依法重新组建评标委员会进行评标。原评标委员会作出的评标意见无效。</w:t>
      </w:r>
    </w:p>
    <w:p w14:paraId="1B7B2C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应当将变更、重新组建评标委员会的情况予以记录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75C8A5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E7136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评标委员会对投标人的资格进行审查。合格投标人不足3家的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不得评标。在资格性检查时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5C38CB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1）单位负责人为同一人或者存在控股、管理关系的不同投标人的；</w:t>
      </w:r>
    </w:p>
    <w:p w14:paraId="6DBBC4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2）为采购项目提供整体设计、规范编制或者项目管理、监理、检测等服务的；</w:t>
      </w:r>
    </w:p>
    <w:p w14:paraId="1D1EE7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3）投标人和响应货物资格证明文件不满足招标文件要求和过期失效的。</w:t>
      </w:r>
    </w:p>
    <w:p w14:paraId="1005BB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24.2符合性审查。评标委员会应当对符合资格的投标人的投标文件进行符合性审查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以确定其是否满足招标文件的实质性要求。评标委员会决定投标的响应性只根据投标文件本身的内容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而不依据外部的证据。在符合性检查时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如有不满足下列情况之一的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146352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049F94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视为投标人串通投标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2065E7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4A9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5BD8A9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B0689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04E703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BF5F8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2D5FA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（7）不同投标人的投标文件相互混装； </w:t>
      </w:r>
    </w:p>
    <w:p w14:paraId="01A259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（8）不同投标人的投标保证金从同一单位或者个人的账户转出</w:t>
      </w:r>
      <w:r>
        <w:rPr>
          <w:rFonts w:hint="eastAsia" w:ascii="仿宋" w:hAnsi="仿宋" w:eastAsia="仿宋" w:cs="仿宋"/>
          <w:color w:val="auto"/>
          <w:sz w:val="28"/>
          <w:szCs w:val="28"/>
          <w:highlight w:val="none"/>
          <w:lang w:eastAsia="zh-CN"/>
        </w:rPr>
        <w:t>；</w:t>
      </w:r>
    </w:p>
    <w:p w14:paraId="3FB707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）以他人名义投标或者以其他方式弄虚作假，骗取中标的；</w:t>
      </w:r>
    </w:p>
    <w:p w14:paraId="499BC2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10）被交易服务平台列入黑名单的；</w:t>
      </w:r>
    </w:p>
    <w:p w14:paraId="4CCB36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lang w:eastAsia="zh-CN"/>
        </w:rPr>
        <w:t>不同投标人制作的电子投标文件经系统审查存在cpu编码、硬盘编码及MAC地址三项编码均相同的；</w:t>
      </w:r>
    </w:p>
    <w:p w14:paraId="071A8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12）经评标委员会评定认为可以判定无效的其他情况</w:t>
      </w:r>
      <w:r>
        <w:rPr>
          <w:rFonts w:hint="eastAsia" w:ascii="仿宋" w:hAnsi="仿宋" w:eastAsia="仿宋" w:cs="仿宋"/>
          <w:color w:val="auto"/>
          <w:sz w:val="28"/>
          <w:szCs w:val="28"/>
          <w:highlight w:val="none"/>
        </w:rPr>
        <w:t>。</w:t>
      </w:r>
    </w:p>
    <w:p w14:paraId="5F35A7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24.4投标截止后投标人不足3家或者通过资格审查或符合性审查的投标人不足3家的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除采购任务取消情形外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按照以下方式处理：</w:t>
      </w:r>
    </w:p>
    <w:p w14:paraId="74DEE0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改正后依法重新招标；</w:t>
      </w:r>
    </w:p>
    <w:p w14:paraId="3973294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需要采用其他招标方式招标的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应当依法报主管部门批准。</w:t>
      </w:r>
    </w:p>
    <w:p w14:paraId="41083FD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05F738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对于投标文件中含义不明确、同类问题表述不一致或者有明显文字和计算错误的内容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评标委员会应当以书面形式要求投标人作出必要的澄清、说明或者补正。请投标人澄清其投标内容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或其授权人必须接受评标委员会的询标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未在规定的时间内澄清、说明或补正的，由投标人自行承担不利后果，包括但不限于投标无效，相应评审因素对应的分值为0分。</w:t>
      </w:r>
    </w:p>
    <w:p w14:paraId="5AA817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或者由法定代表人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或其授权的代表签字。投标人的澄清、说明或者补正不得超出投标文件的范围或者改变投标文件的实质性内容。此书面文件是投标文件的组成部分。</w:t>
      </w:r>
    </w:p>
    <w:p w14:paraId="5DA6688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65AF72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26.1评审采用百分制。评标委员会各成员分别独立对实质上响应的投标人进行逐项评价打分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对评标委员会各成员每一因素的打分汇总后的得分为投标人的得分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汇总得分保留两位小数。</w:t>
      </w:r>
    </w:p>
    <w:p w14:paraId="48A6DE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132AF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价格分值由评审系统根据投标人上传的《投标（报价）一览表》中的投标报价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依据规定公式自动计算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其结果由评标委员会所有成员签字确认。</w:t>
      </w:r>
    </w:p>
    <w:p w14:paraId="5936D9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代理机构工作人员负责复核、统计评标委员会成员的评审情况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发现评审意见有失公正时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提请该评标委员会成员修改评审意见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并形成书面意见备查。</w:t>
      </w:r>
    </w:p>
    <w:p w14:paraId="0AC5560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还将考虑以下因素：</w:t>
      </w:r>
    </w:p>
    <w:p w14:paraId="7E38D9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625888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08545A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有可能影响产品质量或者不能诚信履约的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应当要求其在评标现场合理的时间内提供书面说明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必要时提交相关证明材料；投标人不能证明其报价合理性的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评标委员会应当将其作为无效投标处理。</w:t>
      </w:r>
    </w:p>
    <w:p w14:paraId="6CE113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或者招标文件内容违反国家有关强制性规定的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应当停止评标工作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沟通并作书面记录。</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应当修改招标文件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重新组织采购活动。</w:t>
      </w:r>
    </w:p>
    <w:p w14:paraId="17C473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不得恶意串通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不得妨碍其他投标人的竞争行为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不得损坏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或者其他投标人的合法权益。在评标过程中发现投标人有上述情形的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评标委员会应当认定其投标无效。</w:t>
      </w:r>
    </w:p>
    <w:p w14:paraId="77C0630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055656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应予废标：</w:t>
      </w:r>
    </w:p>
    <w:p w14:paraId="2FE365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554904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3B8A69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（3）所有投标报价均超过招标文件中规定的预算金额</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177FD9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采购任务取消的。</w:t>
      </w:r>
    </w:p>
    <w:p w14:paraId="7B9F8F27">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六、定标</w:t>
      </w:r>
    </w:p>
    <w:p w14:paraId="6AD8FE8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28.确定中标候选人</w:t>
      </w:r>
    </w:p>
    <w:p w14:paraId="761B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对投标文件进行评审。评标结束后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按综合得分由高到低对投标人的评审名次进行排序，确定3名中标候选人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根据全体评标成员签字的原始评标记录和评标结果编写评标报告。</w:t>
      </w:r>
    </w:p>
    <w:p w14:paraId="3BF7312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评标报告的主要内容包括：</w:t>
      </w:r>
    </w:p>
    <w:p w14:paraId="7A14CE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16B10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CE1C8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238A40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无效投标人名单及原因；</w:t>
      </w:r>
    </w:p>
    <w:p w14:paraId="04FF7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确定的中标候选人名单或者经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委托直接确定的中标人；</w:t>
      </w:r>
    </w:p>
    <w:p w14:paraId="322C85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包括评标过程中投标人根据评标委员会要求进行澄清、说明或者补正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评标委员会成员的更换等。</w:t>
      </w:r>
    </w:p>
    <w:p w14:paraId="5C560C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29.确定中标人</w:t>
      </w:r>
    </w:p>
    <w:p w14:paraId="2B590B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可委托评标委员会直接定标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确定排名第一的投标人为中标人；也可以自主定标。自主定标的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应当在收到评审报告后3个工作日内确定中标人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逾期未确定中标人且不提出异议的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视为确定评审报告提出的排名第一的投标人为中标人。</w:t>
      </w:r>
    </w:p>
    <w:p w14:paraId="6094E06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七、结果公示及公告</w:t>
      </w:r>
    </w:p>
    <w:p w14:paraId="0451F6F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30.结果公示</w:t>
      </w:r>
    </w:p>
    <w:p w14:paraId="0026DE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自收到评标报告之日起2日内在原招标公告发布媒介公示中标候选人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公示期3日。由评标委员会直接定标的项目不需要公示中标候选人。</w:t>
      </w:r>
    </w:p>
    <w:p w14:paraId="51126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31.结果公告</w:t>
      </w:r>
    </w:p>
    <w:p w14:paraId="29DFD9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应当自定标结束之日起3日内在原招标公告发布媒介发布中标公告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有效期</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w:t>
      </w:r>
    </w:p>
    <w:p w14:paraId="68B8876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32.签发中标通知书</w:t>
      </w:r>
    </w:p>
    <w:p w14:paraId="76CCC9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和代理机构联合向中标人发出中标通知书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并同时将中标结果通知所有未中标的投标人。对未通过资格</w:t>
      </w:r>
      <w:r>
        <w:rPr>
          <w:rFonts w:hint="eastAsia" w:ascii="仿宋" w:hAnsi="仿宋" w:eastAsia="仿宋" w:cs="仿宋"/>
          <w:color w:val="auto"/>
          <w:sz w:val="28"/>
          <w:szCs w:val="28"/>
          <w:highlight w:val="none"/>
          <w:lang w:val="en-US" w:eastAsia="zh-CN"/>
        </w:rPr>
        <w:t>性、符合性</w:t>
      </w:r>
      <w:r>
        <w:rPr>
          <w:rFonts w:hint="eastAsia" w:ascii="仿宋" w:hAnsi="仿宋" w:eastAsia="仿宋" w:cs="仿宋"/>
          <w:color w:val="auto"/>
          <w:sz w:val="28"/>
          <w:szCs w:val="28"/>
          <w:highlight w:val="none"/>
        </w:rPr>
        <w:t>审查的投标人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应当告知其未通过的原因；《中标通知书》是合同的组成部分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对中标人和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具有同等法律效力。《中标通知书》发出后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不得违法改变中标结果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中标人无正当理由不得放弃中标。</w:t>
      </w:r>
    </w:p>
    <w:p w14:paraId="2C7D0D2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八、质疑</w:t>
      </w:r>
    </w:p>
    <w:p w14:paraId="138E709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33.质疑</w:t>
      </w:r>
    </w:p>
    <w:p w14:paraId="370CCD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33.1投标人认为招标文件、采购过程、中标结果使自己的权益受到损害的，应于10个工作日内以书面形式向采购人或采购代理机构提出质疑，采购人或采购代理机构应当在收到投标人的书面质疑后3个工作日内做出书面答复，但答复内容不得涉及商业秘密。</w:t>
      </w:r>
    </w:p>
    <w:p w14:paraId="130746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33.2提出质疑的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应当是参与所质疑项目采购活动的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。投标人已依法获取其可质疑的采购文件的，可以对该文件提出质疑。</w:t>
      </w:r>
    </w:p>
    <w:p w14:paraId="036099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33.3投标人应在法定质疑期内一次性提出针对同一采购程序环节的质疑。</w:t>
      </w:r>
    </w:p>
    <w:p w14:paraId="24849B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33.4质疑采用实名制，以书面形式提出。为了使提出的质疑事项在规定时间内得到有效答复、处理，提交的质疑函应当包括下列内容：</w:t>
      </w:r>
    </w:p>
    <w:p w14:paraId="1F4D9C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（1）投标人的姓名或者名称、地址（邮箱）、邮编、联系人及联系电话；</w:t>
      </w:r>
    </w:p>
    <w:p w14:paraId="0AC0A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（2）质疑项目的名称、编号；</w:t>
      </w:r>
    </w:p>
    <w:p w14:paraId="2EC49B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（3）具体、明确的质疑事项和与质疑事项相关的请求；</w:t>
      </w:r>
    </w:p>
    <w:p w14:paraId="3708A7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（4）事实依据；</w:t>
      </w:r>
    </w:p>
    <w:p w14:paraId="08B4FA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（5）必要的法律依据；</w:t>
      </w:r>
    </w:p>
    <w:p w14:paraId="627EA8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（6）提出质疑的日期。</w:t>
      </w:r>
    </w:p>
    <w:p w14:paraId="39F63F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投标人为法人或者其他组织的，应当由法定代表人、单位负责人或者被授权人签字或盖章，并加盖公章。被授权人签字或盖章的应同时提供法人授权委托书。</w:t>
      </w:r>
    </w:p>
    <w:p w14:paraId="6DD6E4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33.5采购人或采购代理机构正式受理后方可生效。否则，为无效质疑。</w:t>
      </w:r>
    </w:p>
    <w:p w14:paraId="4581EE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33.6有下列情况之一的质疑不予受理：</w:t>
      </w:r>
    </w:p>
    <w:p w14:paraId="0F6499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（1）无质疑函件或质疑函件缺少投标人法人印章、投标人法定代表人或单位负责人或者被授权人签字或盖章、有效授权书和联系方式之一的质疑；</w:t>
      </w:r>
    </w:p>
    <w:p w14:paraId="6498D5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（2）质疑函件无实质性内容或佐证文件资料，主观臆断及推理得出结论的质疑；</w:t>
      </w:r>
    </w:p>
    <w:p w14:paraId="42F21F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（3）相应证明材料不真实或来源不合法的质疑；</w:t>
      </w:r>
    </w:p>
    <w:p w14:paraId="2676FA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（4）未按规定时间或超过公示期限提出的质疑；</w:t>
      </w:r>
    </w:p>
    <w:p w14:paraId="3E5E79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33.7对捏造事实，提供虚假材料或者以非法手段取得证明材料进行恶意质疑的，一经查实，将列入平台黑名单。</w:t>
      </w:r>
    </w:p>
    <w:p w14:paraId="7208F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34.仲裁或起诉</w:t>
      </w:r>
    </w:p>
    <w:p w14:paraId="357FE6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投标人对答复不满意，或者采购人、采购代理机构未在规定的时间内做出书面答复的，投标人可以在答复期满后向采购人所在地仲裁机构、人民法院申请仲裁或起诉。</w:t>
      </w:r>
    </w:p>
    <w:p w14:paraId="25EF808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九、签订合同</w:t>
      </w:r>
    </w:p>
    <w:p w14:paraId="10834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5</w:t>
      </w:r>
      <w:r>
        <w:rPr>
          <w:rFonts w:hint="eastAsia" w:ascii="仿宋" w:hAnsi="仿宋" w:eastAsia="仿宋" w:cs="仿宋"/>
          <w:b/>
          <w:color w:val="auto"/>
          <w:sz w:val="28"/>
          <w:szCs w:val="28"/>
          <w:highlight w:val="none"/>
        </w:rPr>
        <w:t>.合同的签订</w:t>
      </w:r>
    </w:p>
    <w:p w14:paraId="455E2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按招标文件、中标人的投标文件签订采购合同。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应当自采购合同签订之日起5日内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将采购合同上传至</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同时在指定的媒介上公告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但采购合同中涉及国家秘密、商业秘密的内容除外。</w:t>
      </w:r>
    </w:p>
    <w:p w14:paraId="25F40B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按照监督部门的要求，本项目合同通过国企阳光采购平台进行签订。</w:t>
      </w:r>
    </w:p>
    <w:p w14:paraId="6FFEE5E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应当按照招标文件和中标人投标文件的规定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与中标人签订书面合同。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与中标人所签订的合同不得对招标文件和中标人的投标文件作实质性修改。</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不得向中标人提出任何不合理的要求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作为签订合同的条件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不得与中标人私下订立背离合同实质性内容的协议。合同原则以第六章</w:t>
      </w:r>
      <w:r>
        <w:rPr>
          <w:rFonts w:hint="eastAsia" w:ascii="仿宋" w:hAnsi="仿宋" w:eastAsia="仿宋" w:cs="仿宋"/>
          <w:color w:val="auto"/>
          <w:sz w:val="28"/>
          <w:szCs w:val="28"/>
          <w:highlight w:val="none"/>
          <w:lang w:eastAsia="zh-CN"/>
        </w:rPr>
        <w:t>采购合同（范本）</w:t>
      </w:r>
      <w:r>
        <w:rPr>
          <w:rFonts w:hint="eastAsia" w:ascii="仿宋" w:hAnsi="仿宋" w:eastAsia="仿宋" w:cs="仿宋"/>
          <w:color w:val="auto"/>
          <w:sz w:val="28"/>
          <w:szCs w:val="28"/>
          <w:highlight w:val="none"/>
        </w:rPr>
        <w:t>为基础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并根据响应、答疑情况进行修改补充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自签订之日起生效。</w:t>
      </w:r>
    </w:p>
    <w:p w14:paraId="0A09C0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eastAsia="zh-CN"/>
        </w:rPr>
        <w:t>放弃中标、不能履行合同、不按照采购文件要求提供履约担保、在规定时间内无正当理由拒绝与采购人签订合同，或者被查实存在影响中标结果的违法违规行为等不符合中标条件的情形的，</w:t>
      </w:r>
      <w:r>
        <w:rPr>
          <w:rFonts w:hint="eastAsia" w:ascii="仿宋" w:hAnsi="仿宋" w:eastAsia="仿宋" w:cs="仿宋"/>
          <w:color w:val="auto"/>
          <w:sz w:val="28"/>
          <w:szCs w:val="28"/>
          <w:highlight w:val="none"/>
        </w:rPr>
        <w:t>有效投标人符合法定数量的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可以按照评审报告推荐的中标候选人名单排序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确定下一候选人为中标人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也可以重新开展招标活动。</w:t>
      </w:r>
    </w:p>
    <w:p w14:paraId="52F241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采购合同的履行、违约责任和解决争议的方法适用《中华人民共和国民法典》。</w:t>
      </w:r>
    </w:p>
    <w:p w14:paraId="28D3C5EC">
      <w:pPr>
        <w:pStyle w:val="26"/>
        <w:keepNext w:val="0"/>
        <w:keepLines w:val="0"/>
        <w:pageBreakBefore w:val="0"/>
        <w:widowControl w:val="0"/>
        <w:shd w:val="clear"/>
        <w:kinsoku/>
        <w:wordWrap/>
        <w:overflowPunct/>
        <w:topLinePunct w:val="0"/>
        <w:autoSpaceDE/>
        <w:autoSpaceDN/>
        <w:bidi w:val="0"/>
        <w:adjustRightInd/>
        <w:spacing w:before="0" w:beforeAutospacing="0" w:after="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sectPr>
          <w:footerReference r:id="rId13" w:type="default"/>
          <w:pgSz w:w="11906" w:h="16838"/>
          <w:pgMar w:top="1440" w:right="1083" w:bottom="1440" w:left="1083" w:header="851" w:footer="992" w:gutter="0"/>
          <w:pgNumType w:fmt="decimal"/>
          <w:cols w:space="0" w:num="1"/>
          <w:rtlGutter w:val="0"/>
          <w:docGrid w:type="lines" w:linePitch="312" w:charSpace="0"/>
        </w:sectPr>
      </w:pPr>
    </w:p>
    <w:p w14:paraId="67DAB9F9">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第三章  采购内容与要求</w:t>
      </w:r>
    </w:p>
    <w:p w14:paraId="2C2EF3AE">
      <w:pPr>
        <w:shd w:val="clear"/>
        <w:snapToGrid w:val="0"/>
        <w:spacing w:line="560" w:lineRule="exact"/>
        <w:ind w:firstLine="562" w:firstLineChars="201"/>
        <w:rPr>
          <w:rFonts w:hint="default" w:ascii="仿宋_GB2312" w:hAnsi="宋体" w:eastAsia="仿宋_GB2312" w:cs="Times New Roman"/>
          <w:color w:val="auto"/>
          <w:sz w:val="28"/>
          <w:szCs w:val="28"/>
          <w:highlight w:val="none"/>
          <w:lang w:val="en-US" w:eastAsia="zh-CN"/>
        </w:rPr>
      </w:pPr>
    </w:p>
    <w:p w14:paraId="19B463F3">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56A977CB">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09CD2546">
      <w:pPr>
        <w:pStyle w:val="5"/>
        <w:shd w:val="clear"/>
        <w:rPr>
          <w:color w:val="auto"/>
          <w:highlight w:val="none"/>
        </w:rPr>
      </w:pPr>
    </w:p>
    <w:p w14:paraId="4763F91E">
      <w:pPr>
        <w:shd w:val="clear"/>
        <w:snapToGrid w:val="0"/>
        <w:spacing w:line="560" w:lineRule="exact"/>
        <w:ind w:firstLine="562" w:firstLineChars="201"/>
        <w:rPr>
          <w:rFonts w:ascii="仿宋_GB2312" w:hAnsi="宋体" w:eastAsia="仿宋_GB2312"/>
          <w:color w:val="auto"/>
          <w:sz w:val="28"/>
          <w:szCs w:val="28"/>
          <w:highlight w:val="none"/>
        </w:rPr>
        <w:sectPr>
          <w:footerReference r:id="rId14" w:type="default"/>
          <w:pgSz w:w="11906" w:h="16838"/>
          <w:pgMar w:top="1440" w:right="1083" w:bottom="1440" w:left="1083" w:header="851" w:footer="992" w:gutter="0"/>
          <w:pgNumType w:fmt="decimal"/>
          <w:cols w:space="0" w:num="1"/>
          <w:rtlGutter w:val="0"/>
          <w:docGrid w:type="lines" w:linePitch="312" w:charSpace="0"/>
        </w:sectPr>
      </w:pPr>
    </w:p>
    <w:p w14:paraId="0CBB17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一、项目概况</w:t>
      </w:r>
    </w:p>
    <w:p w14:paraId="4D9910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本项目位于威海市。拟新建设散粮平房仓约2.71万吨、消防泵房、地下消防水池及一站式服务中心等，同步配套相应粮食仓储、装卸、检化验设备、智能化信息系统、道路、地坪、排水沟、外网工程等。</w:t>
      </w:r>
    </w:p>
    <w:p w14:paraId="5ED4AB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设计依据</w:t>
      </w:r>
    </w:p>
    <w:p w14:paraId="10FF8E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zh-CN" w:eastAsia="zh-CN"/>
        </w:rPr>
        <w:t>工程主要技术标准：国家、行业及地方现行有效的较高的标准及设计规范以及</w:t>
      </w:r>
      <w:r>
        <w:rPr>
          <w:rFonts w:hint="eastAsia" w:ascii="仿宋" w:hAnsi="仿宋" w:eastAsia="仿宋" w:cs="仿宋"/>
          <w:color w:val="auto"/>
          <w:sz w:val="28"/>
          <w:szCs w:val="28"/>
          <w:highlight w:val="none"/>
          <w:lang w:val="en-US" w:eastAsia="zh-CN"/>
        </w:rPr>
        <w:t>建设单位</w:t>
      </w:r>
      <w:r>
        <w:rPr>
          <w:rFonts w:hint="eastAsia" w:ascii="仿宋" w:hAnsi="仿宋" w:eastAsia="仿宋" w:cs="仿宋"/>
          <w:color w:val="auto"/>
          <w:sz w:val="28"/>
          <w:szCs w:val="28"/>
          <w:highlight w:val="none"/>
          <w:lang w:val="zh-CN" w:eastAsia="zh-CN"/>
        </w:rPr>
        <w:t>内部要求。</w:t>
      </w:r>
    </w:p>
    <w:tbl>
      <w:tblPr>
        <w:tblStyle w:val="30"/>
        <w:tblW w:w="501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92"/>
        <w:gridCol w:w="6160"/>
        <w:gridCol w:w="2923"/>
      </w:tblGrid>
      <w:tr w14:paraId="05F1F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354" w:type="pct"/>
            <w:tcBorders>
              <w:left w:val="single" w:color="auto" w:sz="4" w:space="0"/>
            </w:tcBorders>
            <w:noWrap w:val="0"/>
            <w:vAlign w:val="center"/>
          </w:tcPr>
          <w:p w14:paraId="170DCFD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序号</w:t>
            </w:r>
          </w:p>
        </w:tc>
        <w:tc>
          <w:tcPr>
            <w:tcW w:w="3151" w:type="pct"/>
            <w:noWrap w:val="0"/>
            <w:vAlign w:val="center"/>
          </w:tcPr>
          <w:p w14:paraId="4CD1DCA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名称</w:t>
            </w:r>
          </w:p>
        </w:tc>
        <w:tc>
          <w:tcPr>
            <w:tcW w:w="1493" w:type="pct"/>
            <w:tcBorders>
              <w:right w:val="single" w:color="auto" w:sz="4" w:space="0"/>
            </w:tcBorders>
            <w:noWrap w:val="0"/>
            <w:vAlign w:val="center"/>
          </w:tcPr>
          <w:p w14:paraId="41EA258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编号</w:t>
            </w:r>
          </w:p>
        </w:tc>
      </w:tr>
      <w:tr w14:paraId="14ABE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5000" w:type="pct"/>
            <w:gridSpan w:val="3"/>
            <w:tcBorders>
              <w:left w:val="single" w:color="auto" w:sz="4" w:space="0"/>
              <w:right w:val="single" w:color="auto" w:sz="4" w:space="0"/>
            </w:tcBorders>
            <w:noWrap w:val="0"/>
            <w:vAlign w:val="center"/>
          </w:tcPr>
          <w:p w14:paraId="28559E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通用标准、规范、规程</w:t>
            </w:r>
          </w:p>
        </w:tc>
      </w:tr>
      <w:tr w14:paraId="05AC11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0115438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1</w:t>
            </w:r>
          </w:p>
        </w:tc>
        <w:tc>
          <w:tcPr>
            <w:tcW w:w="3151" w:type="pct"/>
            <w:noWrap w:val="0"/>
            <w:vAlign w:val="center"/>
          </w:tcPr>
          <w:p w14:paraId="592A54A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建筑工程设计文件编制深度的规定</w:t>
            </w:r>
          </w:p>
        </w:tc>
        <w:tc>
          <w:tcPr>
            <w:tcW w:w="1493" w:type="pct"/>
            <w:tcBorders>
              <w:right w:val="single" w:color="auto" w:sz="4" w:space="0"/>
            </w:tcBorders>
            <w:noWrap w:val="0"/>
            <w:vAlign w:val="center"/>
          </w:tcPr>
          <w:p w14:paraId="5BD796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2022 年版</w:t>
            </w:r>
          </w:p>
        </w:tc>
      </w:tr>
      <w:tr w14:paraId="4EE17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354" w:type="pct"/>
            <w:tcBorders>
              <w:left w:val="single" w:color="auto" w:sz="4" w:space="0"/>
            </w:tcBorders>
            <w:noWrap w:val="0"/>
            <w:vAlign w:val="center"/>
          </w:tcPr>
          <w:p w14:paraId="55AC61E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2</w:t>
            </w:r>
          </w:p>
        </w:tc>
        <w:tc>
          <w:tcPr>
            <w:tcW w:w="3151" w:type="pct"/>
            <w:noWrap w:val="0"/>
            <w:vAlign w:val="center"/>
          </w:tcPr>
          <w:p w14:paraId="0BBD891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粮食工程设计文件编制深度规定</w:t>
            </w:r>
          </w:p>
        </w:tc>
        <w:tc>
          <w:tcPr>
            <w:tcW w:w="1493" w:type="pct"/>
            <w:tcBorders>
              <w:right w:val="single" w:color="auto" w:sz="4" w:space="0"/>
            </w:tcBorders>
            <w:noWrap w:val="0"/>
            <w:vAlign w:val="center"/>
          </w:tcPr>
          <w:p w14:paraId="3CA154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LS/T8002-2007</w:t>
            </w:r>
          </w:p>
        </w:tc>
      </w:tr>
      <w:tr w14:paraId="54AD07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354" w:type="pct"/>
            <w:tcBorders>
              <w:left w:val="single" w:color="auto" w:sz="4" w:space="0"/>
            </w:tcBorders>
            <w:noWrap w:val="0"/>
            <w:vAlign w:val="center"/>
          </w:tcPr>
          <w:p w14:paraId="4D02C8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rPr>
              <w:t>3</w:t>
            </w:r>
          </w:p>
        </w:tc>
        <w:tc>
          <w:tcPr>
            <w:tcW w:w="3151" w:type="pct"/>
            <w:noWrap w:val="0"/>
            <w:vAlign w:val="center"/>
          </w:tcPr>
          <w:p w14:paraId="08031D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en-US"/>
              </w:rPr>
              <w:t>粮食仓库建设标准</w:t>
            </w:r>
          </w:p>
        </w:tc>
        <w:tc>
          <w:tcPr>
            <w:tcW w:w="1493" w:type="pct"/>
            <w:tcBorders>
              <w:right w:val="single" w:color="auto" w:sz="4" w:space="0"/>
            </w:tcBorders>
            <w:noWrap w:val="0"/>
            <w:vAlign w:val="center"/>
          </w:tcPr>
          <w:p w14:paraId="1A481F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建标172-2016</w:t>
            </w:r>
          </w:p>
        </w:tc>
      </w:tr>
      <w:tr w14:paraId="0F41B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354" w:type="pct"/>
            <w:tcBorders>
              <w:left w:val="single" w:color="auto" w:sz="4" w:space="0"/>
            </w:tcBorders>
            <w:noWrap w:val="0"/>
            <w:vAlign w:val="center"/>
          </w:tcPr>
          <w:p w14:paraId="23727A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4</w:t>
            </w:r>
          </w:p>
        </w:tc>
        <w:tc>
          <w:tcPr>
            <w:tcW w:w="3151" w:type="pct"/>
            <w:noWrap w:val="0"/>
            <w:vAlign w:val="center"/>
          </w:tcPr>
          <w:p w14:paraId="3C52DD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高标准粮仓建设标准</w:t>
            </w:r>
          </w:p>
        </w:tc>
        <w:tc>
          <w:tcPr>
            <w:tcW w:w="1493" w:type="pct"/>
            <w:tcBorders>
              <w:right w:val="single" w:color="auto" w:sz="4" w:space="0"/>
            </w:tcBorders>
            <w:noWrap w:val="0"/>
            <w:vAlign w:val="center"/>
          </w:tcPr>
          <w:p w14:paraId="299935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LS/T8014-2023</w:t>
            </w:r>
          </w:p>
        </w:tc>
      </w:tr>
      <w:tr w14:paraId="25A37F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2B8E4FA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5</w:t>
            </w:r>
          </w:p>
        </w:tc>
        <w:tc>
          <w:tcPr>
            <w:tcW w:w="3151" w:type="pct"/>
            <w:noWrap w:val="0"/>
            <w:vAlign w:val="center"/>
          </w:tcPr>
          <w:p w14:paraId="40EB0E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粮食平房仓设计规范</w:t>
            </w:r>
          </w:p>
        </w:tc>
        <w:tc>
          <w:tcPr>
            <w:tcW w:w="1493" w:type="pct"/>
            <w:tcBorders>
              <w:right w:val="single" w:color="auto" w:sz="4" w:space="0"/>
            </w:tcBorders>
            <w:noWrap w:val="0"/>
            <w:vAlign w:val="center"/>
          </w:tcPr>
          <w:p w14:paraId="105CF83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GB50320-2014</w:t>
            </w:r>
          </w:p>
        </w:tc>
      </w:tr>
      <w:tr w14:paraId="6C78B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33526A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6</w:t>
            </w:r>
          </w:p>
        </w:tc>
        <w:tc>
          <w:tcPr>
            <w:tcW w:w="3151" w:type="pct"/>
            <w:noWrap w:val="0"/>
            <w:vAlign w:val="center"/>
          </w:tcPr>
          <w:p w14:paraId="5FA821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建筑设计防火规范（ 2018 年版）</w:t>
            </w:r>
          </w:p>
        </w:tc>
        <w:tc>
          <w:tcPr>
            <w:tcW w:w="1493" w:type="pct"/>
            <w:tcBorders>
              <w:right w:val="single" w:color="auto" w:sz="4" w:space="0"/>
            </w:tcBorders>
            <w:noWrap w:val="0"/>
            <w:vAlign w:val="center"/>
          </w:tcPr>
          <w:p w14:paraId="5A892C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GB50016-2014</w:t>
            </w:r>
          </w:p>
        </w:tc>
      </w:tr>
      <w:tr w14:paraId="49563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1366A3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7</w:t>
            </w:r>
          </w:p>
        </w:tc>
        <w:tc>
          <w:tcPr>
            <w:tcW w:w="3151" w:type="pct"/>
            <w:noWrap w:val="0"/>
            <w:vAlign w:val="center"/>
          </w:tcPr>
          <w:p w14:paraId="6FF1E8D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粮食加工、储运系统粉尘防爆安全规程</w:t>
            </w:r>
          </w:p>
        </w:tc>
        <w:tc>
          <w:tcPr>
            <w:tcW w:w="1493" w:type="pct"/>
            <w:tcBorders>
              <w:right w:val="single" w:color="auto" w:sz="4" w:space="0"/>
            </w:tcBorders>
            <w:noWrap w:val="0"/>
            <w:vAlign w:val="center"/>
          </w:tcPr>
          <w:p w14:paraId="7BFE45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GB17440-2025</w:t>
            </w:r>
          </w:p>
        </w:tc>
      </w:tr>
      <w:tr w14:paraId="3C476B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1C9BE4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8</w:t>
            </w:r>
          </w:p>
        </w:tc>
        <w:tc>
          <w:tcPr>
            <w:tcW w:w="3151" w:type="pct"/>
            <w:noWrap w:val="0"/>
            <w:vAlign w:val="center"/>
          </w:tcPr>
          <w:p w14:paraId="4FEFFC3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粮食仓库安全操作规程</w:t>
            </w:r>
          </w:p>
        </w:tc>
        <w:tc>
          <w:tcPr>
            <w:tcW w:w="1493" w:type="pct"/>
            <w:tcBorders>
              <w:right w:val="single" w:color="auto" w:sz="4" w:space="0"/>
            </w:tcBorders>
            <w:noWrap w:val="0"/>
            <w:vAlign w:val="center"/>
          </w:tcPr>
          <w:p w14:paraId="0F6FB9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GB46033-2025</w:t>
            </w:r>
          </w:p>
        </w:tc>
      </w:tr>
      <w:tr w14:paraId="1EABF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45CBD22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9</w:t>
            </w:r>
          </w:p>
        </w:tc>
        <w:tc>
          <w:tcPr>
            <w:tcW w:w="3151" w:type="pct"/>
            <w:noWrap w:val="0"/>
            <w:vAlign w:val="center"/>
          </w:tcPr>
          <w:p w14:paraId="451894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粮油储藏技术规范</w:t>
            </w:r>
          </w:p>
        </w:tc>
        <w:tc>
          <w:tcPr>
            <w:tcW w:w="1493" w:type="pct"/>
            <w:tcBorders>
              <w:right w:val="single" w:color="auto" w:sz="4" w:space="0"/>
            </w:tcBorders>
            <w:noWrap w:val="0"/>
            <w:vAlign w:val="center"/>
          </w:tcPr>
          <w:p w14:paraId="6ACA1B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GB/T29890-2013</w:t>
            </w:r>
          </w:p>
        </w:tc>
      </w:tr>
      <w:tr w14:paraId="20C984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354" w:type="pct"/>
            <w:tcBorders>
              <w:left w:val="single" w:color="auto" w:sz="4" w:space="0"/>
            </w:tcBorders>
            <w:noWrap w:val="0"/>
            <w:vAlign w:val="center"/>
          </w:tcPr>
          <w:p w14:paraId="33AC17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10</w:t>
            </w:r>
          </w:p>
        </w:tc>
        <w:tc>
          <w:tcPr>
            <w:tcW w:w="3151" w:type="pct"/>
            <w:noWrap w:val="0"/>
            <w:vAlign w:val="center"/>
          </w:tcPr>
          <w:p w14:paraId="710401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粉尘防爆安全规程</w:t>
            </w:r>
          </w:p>
        </w:tc>
        <w:tc>
          <w:tcPr>
            <w:tcW w:w="1493" w:type="pct"/>
            <w:tcBorders>
              <w:right w:val="single" w:color="auto" w:sz="4" w:space="0"/>
            </w:tcBorders>
            <w:noWrap w:val="0"/>
            <w:vAlign w:val="center"/>
          </w:tcPr>
          <w:p w14:paraId="2F1A9B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GB15577</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en-US"/>
              </w:rPr>
              <w:t>2018</w:t>
            </w:r>
          </w:p>
        </w:tc>
      </w:tr>
      <w:tr w14:paraId="3ECB5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1DF5EC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3151" w:type="pct"/>
            <w:noWrap w:val="0"/>
            <w:vAlign w:val="center"/>
          </w:tcPr>
          <w:p w14:paraId="5857232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建筑防火通用规范</w:t>
            </w:r>
          </w:p>
        </w:tc>
        <w:tc>
          <w:tcPr>
            <w:tcW w:w="1493" w:type="pct"/>
            <w:tcBorders>
              <w:right w:val="single" w:color="auto" w:sz="4" w:space="0"/>
            </w:tcBorders>
            <w:noWrap w:val="0"/>
            <w:vAlign w:val="center"/>
          </w:tcPr>
          <w:p w14:paraId="50BA2C6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GB55037-2022</w:t>
            </w:r>
          </w:p>
        </w:tc>
      </w:tr>
      <w:tr w14:paraId="096A1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5000" w:type="pct"/>
            <w:gridSpan w:val="3"/>
            <w:tcBorders>
              <w:left w:val="single" w:color="auto" w:sz="4" w:space="0"/>
              <w:right w:val="single" w:color="auto" w:sz="4" w:space="0"/>
            </w:tcBorders>
            <w:noWrap w:val="0"/>
            <w:vAlign w:val="center"/>
          </w:tcPr>
          <w:p w14:paraId="5FC1E8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二、建筑专业标准、规范、规程</w:t>
            </w:r>
          </w:p>
        </w:tc>
      </w:tr>
      <w:tr w14:paraId="525A35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35A91C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1</w:t>
            </w:r>
          </w:p>
        </w:tc>
        <w:tc>
          <w:tcPr>
            <w:tcW w:w="3151" w:type="pct"/>
            <w:noWrap w:val="0"/>
            <w:vAlign w:val="center"/>
          </w:tcPr>
          <w:p w14:paraId="4FB327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总图制图标准</w:t>
            </w:r>
          </w:p>
        </w:tc>
        <w:tc>
          <w:tcPr>
            <w:tcW w:w="1493" w:type="pct"/>
            <w:tcBorders>
              <w:right w:val="single" w:color="auto" w:sz="4" w:space="0"/>
            </w:tcBorders>
            <w:noWrap w:val="0"/>
            <w:vAlign w:val="center"/>
          </w:tcPr>
          <w:p w14:paraId="5197C2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GB/T50103-2010</w:t>
            </w:r>
          </w:p>
        </w:tc>
      </w:tr>
      <w:tr w14:paraId="09FB67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626E16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2</w:t>
            </w:r>
          </w:p>
        </w:tc>
        <w:tc>
          <w:tcPr>
            <w:tcW w:w="3151" w:type="pct"/>
            <w:noWrap w:val="0"/>
            <w:vAlign w:val="center"/>
          </w:tcPr>
          <w:p w14:paraId="04E2E5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屋面工程技术规范</w:t>
            </w:r>
          </w:p>
        </w:tc>
        <w:tc>
          <w:tcPr>
            <w:tcW w:w="1493" w:type="pct"/>
            <w:tcBorders>
              <w:right w:val="single" w:color="auto" w:sz="4" w:space="0"/>
            </w:tcBorders>
            <w:noWrap w:val="0"/>
            <w:vAlign w:val="center"/>
          </w:tcPr>
          <w:p w14:paraId="106D281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GB50345-2012</w:t>
            </w:r>
          </w:p>
        </w:tc>
      </w:tr>
      <w:tr w14:paraId="61319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5B004C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3</w:t>
            </w:r>
          </w:p>
        </w:tc>
        <w:tc>
          <w:tcPr>
            <w:tcW w:w="3151" w:type="pct"/>
            <w:noWrap w:val="0"/>
            <w:vAlign w:val="center"/>
          </w:tcPr>
          <w:p w14:paraId="66009AC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建筑内部装修设计防火规范</w:t>
            </w:r>
          </w:p>
        </w:tc>
        <w:tc>
          <w:tcPr>
            <w:tcW w:w="1493" w:type="pct"/>
            <w:tcBorders>
              <w:right w:val="single" w:color="auto" w:sz="4" w:space="0"/>
            </w:tcBorders>
            <w:noWrap w:val="0"/>
            <w:vAlign w:val="center"/>
          </w:tcPr>
          <w:p w14:paraId="2F048A7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GB50222-2017</w:t>
            </w:r>
          </w:p>
        </w:tc>
      </w:tr>
      <w:tr w14:paraId="089C3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62EA381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4</w:t>
            </w:r>
          </w:p>
        </w:tc>
        <w:tc>
          <w:tcPr>
            <w:tcW w:w="3151" w:type="pct"/>
            <w:noWrap w:val="0"/>
            <w:vAlign w:val="center"/>
          </w:tcPr>
          <w:p w14:paraId="2F9740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建筑地面设计规范</w:t>
            </w:r>
          </w:p>
        </w:tc>
        <w:tc>
          <w:tcPr>
            <w:tcW w:w="1493" w:type="pct"/>
            <w:tcBorders>
              <w:right w:val="single" w:color="auto" w:sz="4" w:space="0"/>
            </w:tcBorders>
            <w:noWrap w:val="0"/>
            <w:vAlign w:val="center"/>
          </w:tcPr>
          <w:p w14:paraId="4B3794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GB50037-2013</w:t>
            </w:r>
          </w:p>
        </w:tc>
      </w:tr>
      <w:tr w14:paraId="7543D7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2F5AF3D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5</w:t>
            </w:r>
          </w:p>
        </w:tc>
        <w:tc>
          <w:tcPr>
            <w:tcW w:w="3151" w:type="pct"/>
            <w:noWrap w:val="0"/>
            <w:vAlign w:val="center"/>
          </w:tcPr>
          <w:p w14:paraId="3A99345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工业企业总平面设计规范</w:t>
            </w:r>
          </w:p>
        </w:tc>
        <w:tc>
          <w:tcPr>
            <w:tcW w:w="1493" w:type="pct"/>
            <w:tcBorders>
              <w:right w:val="single" w:color="auto" w:sz="4" w:space="0"/>
            </w:tcBorders>
            <w:noWrap w:val="0"/>
            <w:vAlign w:val="center"/>
          </w:tcPr>
          <w:p w14:paraId="051638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GB50187-2012</w:t>
            </w:r>
          </w:p>
        </w:tc>
      </w:tr>
      <w:tr w14:paraId="14E8B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52B317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6</w:t>
            </w:r>
          </w:p>
        </w:tc>
        <w:tc>
          <w:tcPr>
            <w:tcW w:w="3151" w:type="pct"/>
            <w:noWrap w:val="0"/>
            <w:vAlign w:val="center"/>
          </w:tcPr>
          <w:p w14:paraId="4D42B8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粮食物流园区总平面设计规范</w:t>
            </w:r>
          </w:p>
        </w:tc>
        <w:tc>
          <w:tcPr>
            <w:tcW w:w="1493" w:type="pct"/>
            <w:tcBorders>
              <w:right w:val="single" w:color="auto" w:sz="4" w:space="0"/>
            </w:tcBorders>
            <w:noWrap w:val="0"/>
            <w:vAlign w:val="center"/>
          </w:tcPr>
          <w:p w14:paraId="624A6F5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LS/T8009-2010</w:t>
            </w:r>
          </w:p>
        </w:tc>
      </w:tr>
      <w:tr w14:paraId="682E0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486295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7</w:t>
            </w:r>
          </w:p>
        </w:tc>
        <w:tc>
          <w:tcPr>
            <w:tcW w:w="3151" w:type="pct"/>
            <w:noWrap w:val="0"/>
            <w:vAlign w:val="center"/>
          </w:tcPr>
          <w:p w14:paraId="54E4DC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厂矿道路设计规范</w:t>
            </w:r>
          </w:p>
        </w:tc>
        <w:tc>
          <w:tcPr>
            <w:tcW w:w="1493" w:type="pct"/>
            <w:tcBorders>
              <w:right w:val="single" w:color="auto" w:sz="4" w:space="0"/>
            </w:tcBorders>
            <w:noWrap w:val="0"/>
            <w:vAlign w:val="center"/>
          </w:tcPr>
          <w:p w14:paraId="3130278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GBJ22-87</w:t>
            </w:r>
          </w:p>
        </w:tc>
      </w:tr>
      <w:tr w14:paraId="72866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5FDFC3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8</w:t>
            </w:r>
          </w:p>
        </w:tc>
        <w:tc>
          <w:tcPr>
            <w:tcW w:w="3151" w:type="pct"/>
            <w:noWrap w:val="0"/>
            <w:vAlign w:val="center"/>
          </w:tcPr>
          <w:p w14:paraId="3354D5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建筑与市政工程防水通用规范</w:t>
            </w:r>
          </w:p>
        </w:tc>
        <w:tc>
          <w:tcPr>
            <w:tcW w:w="1493" w:type="pct"/>
            <w:tcBorders>
              <w:right w:val="single" w:color="auto" w:sz="4" w:space="0"/>
            </w:tcBorders>
            <w:noWrap w:val="0"/>
            <w:vAlign w:val="center"/>
          </w:tcPr>
          <w:p w14:paraId="162C8F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GB55030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en-US"/>
              </w:rPr>
              <w:t>2022</w:t>
            </w:r>
          </w:p>
        </w:tc>
      </w:tr>
      <w:tr w14:paraId="036461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354" w:type="pct"/>
            <w:tcBorders>
              <w:left w:val="single" w:color="auto" w:sz="4" w:space="0"/>
            </w:tcBorders>
            <w:noWrap w:val="0"/>
            <w:vAlign w:val="center"/>
          </w:tcPr>
          <w:p w14:paraId="64645C5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9</w:t>
            </w:r>
          </w:p>
        </w:tc>
        <w:tc>
          <w:tcPr>
            <w:tcW w:w="3151" w:type="pct"/>
            <w:noWrap w:val="0"/>
            <w:vAlign w:val="center"/>
          </w:tcPr>
          <w:p w14:paraId="1664253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物流建筑设计规范</w:t>
            </w:r>
          </w:p>
        </w:tc>
        <w:tc>
          <w:tcPr>
            <w:tcW w:w="1493" w:type="pct"/>
            <w:tcBorders>
              <w:right w:val="single" w:color="auto" w:sz="4" w:space="0"/>
            </w:tcBorders>
            <w:noWrap w:val="0"/>
            <w:vAlign w:val="center"/>
          </w:tcPr>
          <w:p w14:paraId="211FC3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GB51157-2016</w:t>
            </w:r>
          </w:p>
        </w:tc>
      </w:tr>
      <w:tr w14:paraId="55102D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354" w:type="pct"/>
            <w:tcBorders>
              <w:left w:val="single" w:color="auto" w:sz="4" w:space="0"/>
            </w:tcBorders>
            <w:noWrap w:val="0"/>
            <w:vAlign w:val="center"/>
          </w:tcPr>
          <w:p w14:paraId="1C2A192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en-US"/>
              </w:rPr>
            </w:pPr>
            <w:r>
              <w:rPr>
                <w:rFonts w:hint="eastAsia" w:ascii="仿宋" w:hAnsi="仿宋" w:eastAsia="仿宋" w:cs="仿宋"/>
                <w:color w:val="auto"/>
                <w:sz w:val="24"/>
                <w:szCs w:val="24"/>
                <w:highlight w:val="none"/>
                <w:lang w:eastAsia="en-US"/>
              </w:rPr>
              <w:t>10</w:t>
            </w:r>
          </w:p>
        </w:tc>
        <w:tc>
          <w:tcPr>
            <w:tcW w:w="3151" w:type="pct"/>
            <w:noWrap w:val="0"/>
            <w:vAlign w:val="center"/>
          </w:tcPr>
          <w:p w14:paraId="53BD67C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外墙外保温工程技术标准</w:t>
            </w:r>
          </w:p>
        </w:tc>
        <w:tc>
          <w:tcPr>
            <w:tcW w:w="1493" w:type="pct"/>
            <w:tcBorders>
              <w:right w:val="single" w:color="auto" w:sz="4" w:space="0"/>
            </w:tcBorders>
            <w:noWrap w:val="0"/>
            <w:vAlign w:val="center"/>
          </w:tcPr>
          <w:p w14:paraId="723012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en-US"/>
              </w:rPr>
              <w:t>JGJ144-2019</w:t>
            </w:r>
          </w:p>
        </w:tc>
      </w:tr>
      <w:tr w14:paraId="17FAC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5000" w:type="pct"/>
            <w:gridSpan w:val="3"/>
            <w:tcBorders>
              <w:left w:val="single" w:color="auto" w:sz="4" w:space="0"/>
              <w:right w:val="single" w:color="auto" w:sz="4" w:space="0"/>
            </w:tcBorders>
            <w:noWrap w:val="0"/>
            <w:vAlign w:val="center"/>
          </w:tcPr>
          <w:p w14:paraId="59807E6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三、结构专业标准、规范、规程</w:t>
            </w:r>
          </w:p>
        </w:tc>
      </w:tr>
      <w:tr w14:paraId="2A6985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4EA8617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3151" w:type="pct"/>
            <w:noWrap w:val="0"/>
            <w:vAlign w:val="center"/>
          </w:tcPr>
          <w:p w14:paraId="0F1D3B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建筑结构可靠性设计统一标准</w:t>
            </w:r>
          </w:p>
        </w:tc>
        <w:tc>
          <w:tcPr>
            <w:tcW w:w="1493" w:type="pct"/>
            <w:tcBorders>
              <w:right w:val="single" w:color="auto" w:sz="4" w:space="0"/>
            </w:tcBorders>
            <w:noWrap w:val="0"/>
            <w:vAlign w:val="center"/>
          </w:tcPr>
          <w:p w14:paraId="575D9A6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GB50068-2018</w:t>
            </w:r>
          </w:p>
        </w:tc>
      </w:tr>
      <w:tr w14:paraId="76A979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15CB2E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3151" w:type="pct"/>
            <w:noWrap w:val="0"/>
            <w:vAlign w:val="center"/>
          </w:tcPr>
          <w:p w14:paraId="3E8A15C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建筑工程抗震设防分类标准</w:t>
            </w:r>
          </w:p>
        </w:tc>
        <w:tc>
          <w:tcPr>
            <w:tcW w:w="1493" w:type="pct"/>
            <w:tcBorders>
              <w:right w:val="single" w:color="auto" w:sz="4" w:space="0"/>
            </w:tcBorders>
            <w:noWrap w:val="0"/>
            <w:vAlign w:val="center"/>
          </w:tcPr>
          <w:p w14:paraId="025ACF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GB50223-2008</w:t>
            </w:r>
          </w:p>
        </w:tc>
      </w:tr>
      <w:tr w14:paraId="032F2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354" w:type="pct"/>
            <w:tcBorders>
              <w:left w:val="single" w:color="auto" w:sz="4" w:space="0"/>
            </w:tcBorders>
            <w:noWrap w:val="0"/>
            <w:vAlign w:val="center"/>
          </w:tcPr>
          <w:p w14:paraId="4C5E67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3151" w:type="pct"/>
            <w:noWrap w:val="0"/>
            <w:vAlign w:val="center"/>
          </w:tcPr>
          <w:p w14:paraId="37F7213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《建筑抗震设计标准》（ 2024 年版）</w:t>
            </w:r>
          </w:p>
        </w:tc>
        <w:tc>
          <w:tcPr>
            <w:tcW w:w="1493" w:type="pct"/>
            <w:tcBorders>
              <w:right w:val="single" w:color="auto" w:sz="4" w:space="0"/>
            </w:tcBorders>
            <w:noWrap w:val="0"/>
            <w:vAlign w:val="center"/>
          </w:tcPr>
          <w:p w14:paraId="6F31F0E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GB/T50011-2010</w:t>
            </w:r>
          </w:p>
        </w:tc>
      </w:tr>
      <w:tr w14:paraId="43108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54" w:type="pct"/>
            <w:tcBorders>
              <w:left w:val="single" w:color="auto" w:sz="4" w:space="0"/>
            </w:tcBorders>
            <w:noWrap w:val="0"/>
            <w:vAlign w:val="center"/>
          </w:tcPr>
          <w:p w14:paraId="5B4ACED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3151" w:type="pct"/>
            <w:noWrap w:val="0"/>
            <w:vAlign w:val="center"/>
          </w:tcPr>
          <w:p w14:paraId="4E108B7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构筑物抗震设计规范</w:t>
            </w:r>
          </w:p>
        </w:tc>
        <w:tc>
          <w:tcPr>
            <w:tcW w:w="1493" w:type="pct"/>
            <w:tcBorders>
              <w:right w:val="single" w:color="auto" w:sz="4" w:space="0"/>
            </w:tcBorders>
            <w:noWrap w:val="0"/>
            <w:vAlign w:val="center"/>
          </w:tcPr>
          <w:p w14:paraId="59E5F45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GB50191-2012</w:t>
            </w:r>
          </w:p>
        </w:tc>
      </w:tr>
      <w:tr w14:paraId="4F70B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779A03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3151" w:type="pct"/>
            <w:noWrap w:val="0"/>
            <w:vAlign w:val="center"/>
          </w:tcPr>
          <w:p w14:paraId="32F2965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建筑结构荷载规范</w:t>
            </w:r>
          </w:p>
        </w:tc>
        <w:tc>
          <w:tcPr>
            <w:tcW w:w="1493" w:type="pct"/>
            <w:tcBorders>
              <w:right w:val="single" w:color="auto" w:sz="4" w:space="0"/>
            </w:tcBorders>
            <w:noWrap w:val="0"/>
            <w:vAlign w:val="center"/>
          </w:tcPr>
          <w:p w14:paraId="76FF36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GB50009-2012</w:t>
            </w:r>
          </w:p>
        </w:tc>
      </w:tr>
      <w:tr w14:paraId="4C06C0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54" w:type="pct"/>
            <w:tcBorders>
              <w:left w:val="single" w:color="auto" w:sz="4" w:space="0"/>
            </w:tcBorders>
            <w:noWrap w:val="0"/>
            <w:vAlign w:val="center"/>
          </w:tcPr>
          <w:p w14:paraId="7F0D4E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3151" w:type="pct"/>
            <w:noWrap w:val="0"/>
            <w:vAlign w:val="center"/>
          </w:tcPr>
          <w:p w14:paraId="35F647A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混凝土结构设计标准（ 2024 年版）</w:t>
            </w:r>
          </w:p>
        </w:tc>
        <w:tc>
          <w:tcPr>
            <w:tcW w:w="1493" w:type="pct"/>
            <w:tcBorders>
              <w:right w:val="single" w:color="auto" w:sz="4" w:space="0"/>
            </w:tcBorders>
            <w:noWrap w:val="0"/>
            <w:vAlign w:val="center"/>
          </w:tcPr>
          <w:p w14:paraId="068708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GB/T50010-2010</w:t>
            </w:r>
          </w:p>
        </w:tc>
      </w:tr>
      <w:tr w14:paraId="2FB40A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21D4D3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3151" w:type="pct"/>
            <w:noWrap w:val="0"/>
            <w:vAlign w:val="center"/>
          </w:tcPr>
          <w:p w14:paraId="32C31F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钢结构设计标准</w:t>
            </w:r>
          </w:p>
        </w:tc>
        <w:tc>
          <w:tcPr>
            <w:tcW w:w="1493" w:type="pct"/>
            <w:tcBorders>
              <w:right w:val="single" w:color="auto" w:sz="4" w:space="0"/>
            </w:tcBorders>
            <w:noWrap w:val="0"/>
            <w:vAlign w:val="center"/>
          </w:tcPr>
          <w:p w14:paraId="144B1C6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GB50017-2017</w:t>
            </w:r>
          </w:p>
        </w:tc>
      </w:tr>
      <w:tr w14:paraId="76DF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594BAA8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3151" w:type="pct"/>
            <w:noWrap w:val="0"/>
            <w:vAlign w:val="center"/>
          </w:tcPr>
          <w:p w14:paraId="40F748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砌体结构设计规范</w:t>
            </w:r>
          </w:p>
        </w:tc>
        <w:tc>
          <w:tcPr>
            <w:tcW w:w="1493" w:type="pct"/>
            <w:tcBorders>
              <w:right w:val="single" w:color="auto" w:sz="4" w:space="0"/>
            </w:tcBorders>
            <w:noWrap w:val="0"/>
            <w:vAlign w:val="center"/>
          </w:tcPr>
          <w:p w14:paraId="5BE040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GB50003-2011</w:t>
            </w:r>
          </w:p>
        </w:tc>
      </w:tr>
      <w:tr w14:paraId="796F6F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54" w:type="pct"/>
            <w:tcBorders>
              <w:left w:val="single" w:color="auto" w:sz="4" w:space="0"/>
            </w:tcBorders>
            <w:noWrap w:val="0"/>
            <w:vAlign w:val="center"/>
          </w:tcPr>
          <w:p w14:paraId="06BE71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3151" w:type="pct"/>
            <w:noWrap w:val="0"/>
            <w:vAlign w:val="center"/>
          </w:tcPr>
          <w:p w14:paraId="1F1680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工程结构通用规范</w:t>
            </w:r>
          </w:p>
        </w:tc>
        <w:tc>
          <w:tcPr>
            <w:tcW w:w="1493" w:type="pct"/>
            <w:tcBorders>
              <w:right w:val="single" w:color="auto" w:sz="4" w:space="0"/>
            </w:tcBorders>
            <w:noWrap w:val="0"/>
            <w:vAlign w:val="center"/>
          </w:tcPr>
          <w:p w14:paraId="3F20EF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GB55001-2021</w:t>
            </w:r>
          </w:p>
        </w:tc>
      </w:tr>
      <w:tr w14:paraId="0A988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54" w:type="pct"/>
            <w:tcBorders>
              <w:left w:val="single" w:color="auto" w:sz="4" w:space="0"/>
            </w:tcBorders>
            <w:noWrap w:val="0"/>
            <w:vAlign w:val="center"/>
          </w:tcPr>
          <w:p w14:paraId="4D4539B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3151" w:type="pct"/>
            <w:noWrap w:val="0"/>
            <w:vAlign w:val="center"/>
          </w:tcPr>
          <w:p w14:paraId="0E5E4AD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混凝土结构通用规范</w:t>
            </w:r>
          </w:p>
        </w:tc>
        <w:tc>
          <w:tcPr>
            <w:tcW w:w="1493" w:type="pct"/>
            <w:tcBorders>
              <w:right w:val="single" w:color="auto" w:sz="4" w:space="0"/>
            </w:tcBorders>
            <w:noWrap w:val="0"/>
            <w:vAlign w:val="center"/>
          </w:tcPr>
          <w:p w14:paraId="2EA432D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GB55008-2021</w:t>
            </w:r>
          </w:p>
        </w:tc>
      </w:tr>
      <w:tr w14:paraId="3A0B1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7B7384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3151" w:type="pct"/>
            <w:noWrap w:val="0"/>
            <w:vAlign w:val="center"/>
          </w:tcPr>
          <w:p w14:paraId="203ED9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钢结构焊接规范</w:t>
            </w:r>
          </w:p>
        </w:tc>
        <w:tc>
          <w:tcPr>
            <w:tcW w:w="1493" w:type="pct"/>
            <w:tcBorders>
              <w:right w:val="single" w:color="auto" w:sz="4" w:space="0"/>
            </w:tcBorders>
            <w:noWrap w:val="0"/>
            <w:vAlign w:val="center"/>
          </w:tcPr>
          <w:p w14:paraId="32C66D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GB50661-2011</w:t>
            </w:r>
          </w:p>
        </w:tc>
      </w:tr>
      <w:tr w14:paraId="17A2F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65AA88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w:t>
            </w:r>
          </w:p>
        </w:tc>
        <w:tc>
          <w:tcPr>
            <w:tcW w:w="3151" w:type="pct"/>
            <w:noWrap w:val="0"/>
            <w:vAlign w:val="center"/>
          </w:tcPr>
          <w:p w14:paraId="4A0B1F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建筑地基基础设计规范</w:t>
            </w:r>
          </w:p>
        </w:tc>
        <w:tc>
          <w:tcPr>
            <w:tcW w:w="1493" w:type="pct"/>
            <w:tcBorders>
              <w:right w:val="single" w:color="auto" w:sz="4" w:space="0"/>
            </w:tcBorders>
            <w:noWrap w:val="0"/>
            <w:vAlign w:val="center"/>
          </w:tcPr>
          <w:p w14:paraId="117704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GB50007-2011</w:t>
            </w:r>
          </w:p>
        </w:tc>
      </w:tr>
      <w:tr w14:paraId="3BA467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54" w:type="pct"/>
            <w:tcBorders>
              <w:left w:val="single" w:color="auto" w:sz="4" w:space="0"/>
            </w:tcBorders>
            <w:noWrap w:val="0"/>
            <w:vAlign w:val="center"/>
          </w:tcPr>
          <w:p w14:paraId="7257A8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p>
        </w:tc>
        <w:tc>
          <w:tcPr>
            <w:tcW w:w="3151" w:type="pct"/>
            <w:noWrap w:val="0"/>
            <w:vAlign w:val="center"/>
          </w:tcPr>
          <w:p w14:paraId="7E921C9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建筑钢结构防火技术规范</w:t>
            </w:r>
          </w:p>
        </w:tc>
        <w:tc>
          <w:tcPr>
            <w:tcW w:w="1493" w:type="pct"/>
            <w:tcBorders>
              <w:right w:val="single" w:color="auto" w:sz="4" w:space="0"/>
            </w:tcBorders>
            <w:noWrap w:val="0"/>
            <w:vAlign w:val="center"/>
          </w:tcPr>
          <w:p w14:paraId="3F9D27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GB51249-2017</w:t>
            </w:r>
          </w:p>
        </w:tc>
      </w:tr>
      <w:tr w14:paraId="152C2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37B68D0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w:t>
            </w:r>
          </w:p>
        </w:tc>
        <w:tc>
          <w:tcPr>
            <w:tcW w:w="3151" w:type="pct"/>
            <w:noWrap w:val="0"/>
            <w:vAlign w:val="center"/>
          </w:tcPr>
          <w:p w14:paraId="226041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工业建筑防腐蚀设计标准</w:t>
            </w:r>
          </w:p>
        </w:tc>
        <w:tc>
          <w:tcPr>
            <w:tcW w:w="1493" w:type="pct"/>
            <w:tcBorders>
              <w:right w:val="single" w:color="auto" w:sz="4" w:space="0"/>
            </w:tcBorders>
            <w:noWrap w:val="0"/>
            <w:vAlign w:val="center"/>
          </w:tcPr>
          <w:p w14:paraId="76159E1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GB/T50046-2018</w:t>
            </w:r>
          </w:p>
        </w:tc>
      </w:tr>
      <w:tr w14:paraId="0A2D1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3F50C0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3151" w:type="pct"/>
            <w:noWrap w:val="0"/>
            <w:vAlign w:val="center"/>
          </w:tcPr>
          <w:p w14:paraId="58F85D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混凝土结构耐久性设计标准</w:t>
            </w:r>
          </w:p>
        </w:tc>
        <w:tc>
          <w:tcPr>
            <w:tcW w:w="1493" w:type="pct"/>
            <w:tcBorders>
              <w:right w:val="single" w:color="auto" w:sz="4" w:space="0"/>
            </w:tcBorders>
            <w:noWrap w:val="0"/>
            <w:vAlign w:val="center"/>
          </w:tcPr>
          <w:p w14:paraId="4AC88B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GB/T50476-2019</w:t>
            </w:r>
          </w:p>
        </w:tc>
      </w:tr>
      <w:tr w14:paraId="264C6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54" w:type="pct"/>
            <w:tcBorders>
              <w:left w:val="single" w:color="auto" w:sz="4" w:space="0"/>
            </w:tcBorders>
            <w:noWrap w:val="0"/>
            <w:vAlign w:val="center"/>
          </w:tcPr>
          <w:p w14:paraId="1CE789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w:t>
            </w:r>
          </w:p>
        </w:tc>
        <w:tc>
          <w:tcPr>
            <w:tcW w:w="3151" w:type="pct"/>
            <w:noWrap w:val="0"/>
            <w:vAlign w:val="center"/>
          </w:tcPr>
          <w:p w14:paraId="0E0C9AF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混凝土结构工程施工质量验收规范</w:t>
            </w:r>
          </w:p>
        </w:tc>
        <w:tc>
          <w:tcPr>
            <w:tcW w:w="1493" w:type="pct"/>
            <w:tcBorders>
              <w:right w:val="single" w:color="auto" w:sz="4" w:space="0"/>
            </w:tcBorders>
            <w:noWrap w:val="0"/>
            <w:vAlign w:val="center"/>
          </w:tcPr>
          <w:p w14:paraId="7CC759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GB50204-2015</w:t>
            </w:r>
          </w:p>
        </w:tc>
      </w:tr>
      <w:tr w14:paraId="6E584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0ED8AB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w:t>
            </w:r>
          </w:p>
        </w:tc>
        <w:tc>
          <w:tcPr>
            <w:tcW w:w="3151" w:type="pct"/>
            <w:noWrap w:val="0"/>
            <w:vAlign w:val="center"/>
          </w:tcPr>
          <w:p w14:paraId="11417A8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钢结构工程施工质量验收标准</w:t>
            </w:r>
          </w:p>
        </w:tc>
        <w:tc>
          <w:tcPr>
            <w:tcW w:w="1493" w:type="pct"/>
            <w:tcBorders>
              <w:right w:val="single" w:color="auto" w:sz="4" w:space="0"/>
            </w:tcBorders>
            <w:noWrap w:val="0"/>
            <w:vAlign w:val="center"/>
          </w:tcPr>
          <w:p w14:paraId="1D31E3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GB50205-2020</w:t>
            </w:r>
          </w:p>
        </w:tc>
      </w:tr>
      <w:tr w14:paraId="1153E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0334465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w:t>
            </w:r>
          </w:p>
        </w:tc>
        <w:tc>
          <w:tcPr>
            <w:tcW w:w="3151" w:type="pct"/>
            <w:noWrap w:val="0"/>
            <w:vAlign w:val="center"/>
          </w:tcPr>
          <w:p w14:paraId="2B6DB7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砌体结构工程施工质量验收规范</w:t>
            </w:r>
          </w:p>
        </w:tc>
        <w:tc>
          <w:tcPr>
            <w:tcW w:w="1493" w:type="pct"/>
            <w:tcBorders>
              <w:right w:val="single" w:color="auto" w:sz="4" w:space="0"/>
            </w:tcBorders>
            <w:noWrap w:val="0"/>
            <w:vAlign w:val="center"/>
          </w:tcPr>
          <w:p w14:paraId="357615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GB50203-2011</w:t>
            </w:r>
          </w:p>
        </w:tc>
      </w:tr>
      <w:tr w14:paraId="53E8D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54" w:type="pct"/>
            <w:tcBorders>
              <w:left w:val="single" w:color="auto" w:sz="4" w:space="0"/>
            </w:tcBorders>
            <w:noWrap w:val="0"/>
            <w:vAlign w:val="center"/>
          </w:tcPr>
          <w:p w14:paraId="2816D4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w:t>
            </w:r>
          </w:p>
        </w:tc>
        <w:tc>
          <w:tcPr>
            <w:tcW w:w="3151" w:type="pct"/>
            <w:noWrap w:val="0"/>
            <w:vAlign w:val="center"/>
          </w:tcPr>
          <w:p w14:paraId="00C14B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建筑边坡工程技术规范</w:t>
            </w:r>
          </w:p>
        </w:tc>
        <w:tc>
          <w:tcPr>
            <w:tcW w:w="1493" w:type="pct"/>
            <w:tcBorders>
              <w:right w:val="single" w:color="auto" w:sz="4" w:space="0"/>
            </w:tcBorders>
            <w:noWrap w:val="0"/>
            <w:vAlign w:val="center"/>
          </w:tcPr>
          <w:p w14:paraId="32F68D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GB50330-2013</w:t>
            </w:r>
          </w:p>
        </w:tc>
      </w:tr>
      <w:tr w14:paraId="4B3732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54" w:type="pct"/>
            <w:tcBorders>
              <w:left w:val="single" w:color="auto" w:sz="4" w:space="0"/>
            </w:tcBorders>
            <w:noWrap w:val="0"/>
            <w:vAlign w:val="center"/>
          </w:tcPr>
          <w:p w14:paraId="4BAC67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p>
        </w:tc>
        <w:tc>
          <w:tcPr>
            <w:tcW w:w="3151" w:type="pct"/>
            <w:noWrap w:val="0"/>
            <w:vAlign w:val="center"/>
          </w:tcPr>
          <w:p w14:paraId="4413640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建筑基坑支护技术规程</w:t>
            </w:r>
          </w:p>
        </w:tc>
        <w:tc>
          <w:tcPr>
            <w:tcW w:w="1493" w:type="pct"/>
            <w:tcBorders>
              <w:right w:val="single" w:color="auto" w:sz="4" w:space="0"/>
            </w:tcBorders>
            <w:noWrap w:val="0"/>
            <w:vAlign w:val="center"/>
          </w:tcPr>
          <w:p w14:paraId="62BA9DA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JGJ120-2012</w:t>
            </w:r>
          </w:p>
        </w:tc>
      </w:tr>
      <w:tr w14:paraId="080230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354" w:type="pct"/>
            <w:tcBorders>
              <w:left w:val="single" w:color="auto" w:sz="4" w:space="0"/>
            </w:tcBorders>
            <w:noWrap w:val="0"/>
            <w:vAlign w:val="center"/>
          </w:tcPr>
          <w:p w14:paraId="4F93A1D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p>
        </w:tc>
        <w:tc>
          <w:tcPr>
            <w:tcW w:w="3151" w:type="pct"/>
            <w:noWrap w:val="0"/>
            <w:vAlign w:val="center"/>
          </w:tcPr>
          <w:p w14:paraId="735795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预应力筋锚具、夹具和连接应用技术规程</w:t>
            </w:r>
          </w:p>
        </w:tc>
        <w:tc>
          <w:tcPr>
            <w:tcW w:w="1493" w:type="pct"/>
            <w:tcBorders>
              <w:right w:val="single" w:color="auto" w:sz="4" w:space="0"/>
            </w:tcBorders>
            <w:noWrap w:val="0"/>
            <w:vAlign w:val="center"/>
          </w:tcPr>
          <w:p w14:paraId="1E0595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JGJ85-2010</w:t>
            </w:r>
          </w:p>
        </w:tc>
      </w:tr>
      <w:tr w14:paraId="088A4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354" w:type="pct"/>
            <w:tcBorders>
              <w:left w:val="single" w:color="auto" w:sz="4" w:space="0"/>
              <w:bottom w:val="single" w:color="auto" w:sz="4" w:space="0"/>
            </w:tcBorders>
            <w:noWrap w:val="0"/>
            <w:vAlign w:val="center"/>
          </w:tcPr>
          <w:p w14:paraId="7109E03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p>
        </w:tc>
        <w:tc>
          <w:tcPr>
            <w:tcW w:w="3151" w:type="pct"/>
            <w:noWrap w:val="0"/>
            <w:vAlign w:val="center"/>
          </w:tcPr>
          <w:p w14:paraId="280E7AC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砌筑砂浆配合比设计规程</w:t>
            </w:r>
          </w:p>
        </w:tc>
        <w:tc>
          <w:tcPr>
            <w:tcW w:w="1493" w:type="pct"/>
            <w:tcBorders>
              <w:right w:val="single" w:color="auto" w:sz="4" w:space="0"/>
            </w:tcBorders>
            <w:noWrap w:val="0"/>
            <w:vAlign w:val="center"/>
          </w:tcPr>
          <w:p w14:paraId="0B25B2B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JGJ/T98-2010</w:t>
            </w:r>
          </w:p>
        </w:tc>
      </w:tr>
      <w:tr w14:paraId="1D63E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top w:val="single" w:color="auto" w:sz="4" w:space="0"/>
              <w:left w:val="single" w:color="auto" w:sz="4" w:space="0"/>
            </w:tcBorders>
            <w:noWrap w:val="0"/>
            <w:vAlign w:val="center"/>
          </w:tcPr>
          <w:p w14:paraId="4CA0CBA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3</w:t>
            </w:r>
          </w:p>
        </w:tc>
        <w:tc>
          <w:tcPr>
            <w:tcW w:w="3151" w:type="pct"/>
            <w:tcBorders>
              <w:top w:val="single" w:color="auto" w:sz="4" w:space="0"/>
            </w:tcBorders>
            <w:noWrap w:val="0"/>
            <w:vAlign w:val="center"/>
          </w:tcPr>
          <w:p w14:paraId="2AE980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建筑地基处理技术规范</w:t>
            </w:r>
          </w:p>
        </w:tc>
        <w:tc>
          <w:tcPr>
            <w:tcW w:w="1493" w:type="pct"/>
            <w:tcBorders>
              <w:top w:val="single" w:color="auto" w:sz="4" w:space="0"/>
              <w:right w:val="single" w:color="auto" w:sz="4" w:space="0"/>
            </w:tcBorders>
            <w:noWrap w:val="0"/>
            <w:vAlign w:val="center"/>
          </w:tcPr>
          <w:p w14:paraId="3B7CA8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JGJ79-2012</w:t>
            </w:r>
          </w:p>
        </w:tc>
      </w:tr>
      <w:tr w14:paraId="6F92B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54" w:type="pct"/>
            <w:tcBorders>
              <w:left w:val="single" w:color="auto" w:sz="4" w:space="0"/>
            </w:tcBorders>
            <w:noWrap w:val="0"/>
            <w:vAlign w:val="center"/>
          </w:tcPr>
          <w:p w14:paraId="0459B0E8">
            <w:pPr>
              <w:snapToGrid w:val="0"/>
              <w:spacing w:line="560" w:lineRule="exact"/>
              <w:ind w:firstLine="0" w:firstLineChars="0"/>
              <w:jc w:val="center"/>
              <w:outlineLvl w:val="9"/>
              <w:rPr>
                <w:rFonts w:hint="eastAsia" w:eastAsia="仿宋"/>
                <w:highlight w:val="none"/>
                <w:lang w:val="en-US"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4</w:t>
            </w:r>
          </w:p>
        </w:tc>
        <w:tc>
          <w:tcPr>
            <w:tcW w:w="3151" w:type="pct"/>
            <w:noWrap w:val="0"/>
            <w:vAlign w:val="center"/>
          </w:tcPr>
          <w:p w14:paraId="07CD59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钢筋机械连接技术规程</w:t>
            </w:r>
          </w:p>
        </w:tc>
        <w:tc>
          <w:tcPr>
            <w:tcW w:w="1493" w:type="pct"/>
            <w:tcBorders>
              <w:right w:val="single" w:color="auto" w:sz="4" w:space="0"/>
            </w:tcBorders>
            <w:noWrap w:val="0"/>
            <w:vAlign w:val="center"/>
          </w:tcPr>
          <w:p w14:paraId="55CCB2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JGJ107-2016</w:t>
            </w:r>
          </w:p>
        </w:tc>
      </w:tr>
      <w:tr w14:paraId="0F5A0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5000" w:type="pct"/>
            <w:gridSpan w:val="3"/>
            <w:tcBorders>
              <w:left w:val="single" w:color="auto" w:sz="4" w:space="0"/>
              <w:right w:val="single" w:color="auto" w:sz="4" w:space="0"/>
            </w:tcBorders>
            <w:noWrap w:val="0"/>
            <w:vAlign w:val="center"/>
          </w:tcPr>
          <w:p w14:paraId="73478D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四、电气专业标准、规范、规程</w:t>
            </w:r>
          </w:p>
        </w:tc>
      </w:tr>
      <w:tr w14:paraId="73B29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46F373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p>
        </w:tc>
        <w:tc>
          <w:tcPr>
            <w:tcW w:w="3151" w:type="pct"/>
            <w:noWrap w:val="0"/>
            <w:vAlign w:val="center"/>
          </w:tcPr>
          <w:p w14:paraId="2408C4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20KV 及以下变电所设计规范</w:t>
            </w:r>
          </w:p>
        </w:tc>
        <w:tc>
          <w:tcPr>
            <w:tcW w:w="1493" w:type="pct"/>
            <w:tcBorders>
              <w:right w:val="single" w:color="auto" w:sz="4" w:space="0"/>
            </w:tcBorders>
            <w:noWrap w:val="0"/>
            <w:vAlign w:val="center"/>
          </w:tcPr>
          <w:p w14:paraId="7F691A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GB50053-2013</w:t>
            </w:r>
          </w:p>
        </w:tc>
      </w:tr>
      <w:tr w14:paraId="45C8E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54" w:type="pct"/>
            <w:tcBorders>
              <w:left w:val="single" w:color="auto" w:sz="4" w:space="0"/>
            </w:tcBorders>
            <w:noWrap w:val="0"/>
            <w:vAlign w:val="center"/>
          </w:tcPr>
          <w:p w14:paraId="3AA7AF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w:t>
            </w:r>
          </w:p>
        </w:tc>
        <w:tc>
          <w:tcPr>
            <w:tcW w:w="3151" w:type="pct"/>
            <w:noWrap w:val="0"/>
            <w:vAlign w:val="center"/>
          </w:tcPr>
          <w:p w14:paraId="7CAD4DC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建筑照明设计标准</w:t>
            </w:r>
          </w:p>
        </w:tc>
        <w:tc>
          <w:tcPr>
            <w:tcW w:w="1493" w:type="pct"/>
            <w:tcBorders>
              <w:right w:val="single" w:color="auto" w:sz="4" w:space="0"/>
            </w:tcBorders>
            <w:noWrap w:val="0"/>
            <w:vAlign w:val="center"/>
          </w:tcPr>
          <w:p w14:paraId="7AB3566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GB/T 50034-2024</w:t>
            </w:r>
          </w:p>
        </w:tc>
      </w:tr>
      <w:tr w14:paraId="784E1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354" w:type="pct"/>
            <w:tcBorders>
              <w:left w:val="single" w:color="auto" w:sz="4" w:space="0"/>
            </w:tcBorders>
            <w:noWrap w:val="0"/>
            <w:vAlign w:val="center"/>
          </w:tcPr>
          <w:p w14:paraId="3CF0D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w:t>
            </w:r>
          </w:p>
        </w:tc>
        <w:tc>
          <w:tcPr>
            <w:tcW w:w="3151" w:type="pct"/>
            <w:noWrap w:val="0"/>
            <w:vAlign w:val="center"/>
          </w:tcPr>
          <w:p w14:paraId="7EADE49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供配电系统设计规范</w:t>
            </w:r>
          </w:p>
        </w:tc>
        <w:tc>
          <w:tcPr>
            <w:tcW w:w="1493" w:type="pct"/>
            <w:tcBorders>
              <w:right w:val="single" w:color="auto" w:sz="4" w:space="0"/>
            </w:tcBorders>
            <w:noWrap w:val="0"/>
            <w:vAlign w:val="center"/>
          </w:tcPr>
          <w:p w14:paraId="353DDC7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GB50052-2009</w:t>
            </w:r>
          </w:p>
        </w:tc>
      </w:tr>
      <w:tr w14:paraId="74486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24F5BFF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p>
        </w:tc>
        <w:tc>
          <w:tcPr>
            <w:tcW w:w="3151" w:type="pct"/>
            <w:noWrap w:val="0"/>
            <w:vAlign w:val="center"/>
          </w:tcPr>
          <w:p w14:paraId="739EAD7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低压配电设计规范</w:t>
            </w:r>
          </w:p>
        </w:tc>
        <w:tc>
          <w:tcPr>
            <w:tcW w:w="1493" w:type="pct"/>
            <w:tcBorders>
              <w:right w:val="single" w:color="auto" w:sz="4" w:space="0"/>
            </w:tcBorders>
            <w:noWrap w:val="0"/>
            <w:vAlign w:val="center"/>
          </w:tcPr>
          <w:p w14:paraId="48523BF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GB50054-2011</w:t>
            </w:r>
          </w:p>
        </w:tc>
      </w:tr>
      <w:tr w14:paraId="43001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54" w:type="pct"/>
            <w:tcBorders>
              <w:left w:val="single" w:color="auto" w:sz="4" w:space="0"/>
            </w:tcBorders>
            <w:noWrap w:val="0"/>
            <w:vAlign w:val="center"/>
          </w:tcPr>
          <w:p w14:paraId="6D8F866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w:t>
            </w:r>
          </w:p>
        </w:tc>
        <w:tc>
          <w:tcPr>
            <w:tcW w:w="3151" w:type="pct"/>
            <w:noWrap w:val="0"/>
            <w:vAlign w:val="center"/>
          </w:tcPr>
          <w:p w14:paraId="7C7A36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通用用电设备配电设计规范</w:t>
            </w:r>
          </w:p>
        </w:tc>
        <w:tc>
          <w:tcPr>
            <w:tcW w:w="1493" w:type="pct"/>
            <w:tcBorders>
              <w:right w:val="single" w:color="auto" w:sz="4" w:space="0"/>
            </w:tcBorders>
            <w:noWrap w:val="0"/>
            <w:vAlign w:val="center"/>
          </w:tcPr>
          <w:p w14:paraId="032724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GB50055-2011</w:t>
            </w:r>
          </w:p>
        </w:tc>
      </w:tr>
      <w:tr w14:paraId="13620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0E4247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w:t>
            </w:r>
          </w:p>
        </w:tc>
        <w:tc>
          <w:tcPr>
            <w:tcW w:w="3151" w:type="pct"/>
            <w:noWrap w:val="0"/>
            <w:vAlign w:val="center"/>
          </w:tcPr>
          <w:p w14:paraId="6BAA63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建筑物防雷设计规范</w:t>
            </w:r>
          </w:p>
        </w:tc>
        <w:tc>
          <w:tcPr>
            <w:tcW w:w="1493" w:type="pct"/>
            <w:tcBorders>
              <w:right w:val="single" w:color="auto" w:sz="4" w:space="0"/>
            </w:tcBorders>
            <w:noWrap w:val="0"/>
            <w:vAlign w:val="center"/>
          </w:tcPr>
          <w:p w14:paraId="6F576D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GB50057-2010</w:t>
            </w:r>
          </w:p>
        </w:tc>
      </w:tr>
      <w:tr w14:paraId="0D4F7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2E9A962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w:t>
            </w:r>
          </w:p>
        </w:tc>
        <w:tc>
          <w:tcPr>
            <w:tcW w:w="3151" w:type="pct"/>
            <w:noWrap w:val="0"/>
            <w:vAlign w:val="center"/>
          </w:tcPr>
          <w:p w14:paraId="3CC982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电力工程电缆设计标准</w:t>
            </w:r>
          </w:p>
        </w:tc>
        <w:tc>
          <w:tcPr>
            <w:tcW w:w="1493" w:type="pct"/>
            <w:tcBorders>
              <w:right w:val="single" w:color="auto" w:sz="4" w:space="0"/>
            </w:tcBorders>
            <w:noWrap w:val="0"/>
            <w:vAlign w:val="center"/>
          </w:tcPr>
          <w:p w14:paraId="4C231C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GB50217-2018</w:t>
            </w:r>
          </w:p>
        </w:tc>
      </w:tr>
      <w:tr w14:paraId="26D74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0067C2E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w:t>
            </w:r>
          </w:p>
        </w:tc>
        <w:tc>
          <w:tcPr>
            <w:tcW w:w="3151" w:type="pct"/>
            <w:noWrap w:val="0"/>
            <w:vAlign w:val="center"/>
          </w:tcPr>
          <w:p w14:paraId="386BAC1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建筑电气工程施工质量验收规范</w:t>
            </w:r>
          </w:p>
        </w:tc>
        <w:tc>
          <w:tcPr>
            <w:tcW w:w="1493" w:type="pct"/>
            <w:tcBorders>
              <w:right w:val="single" w:color="auto" w:sz="4" w:space="0"/>
            </w:tcBorders>
            <w:noWrap w:val="0"/>
            <w:vAlign w:val="center"/>
          </w:tcPr>
          <w:p w14:paraId="6236FE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GB50303-2015</w:t>
            </w:r>
          </w:p>
        </w:tc>
      </w:tr>
      <w:tr w14:paraId="6A5D5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354" w:type="pct"/>
            <w:tcBorders>
              <w:left w:val="single" w:color="auto" w:sz="4" w:space="0"/>
            </w:tcBorders>
            <w:noWrap w:val="0"/>
            <w:vAlign w:val="center"/>
          </w:tcPr>
          <w:p w14:paraId="122759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w:t>
            </w:r>
          </w:p>
        </w:tc>
        <w:tc>
          <w:tcPr>
            <w:tcW w:w="3151" w:type="pct"/>
            <w:noWrap w:val="0"/>
            <w:vAlign w:val="center"/>
          </w:tcPr>
          <w:p w14:paraId="324280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爆炸危险环境电力装置设计规范</w:t>
            </w:r>
          </w:p>
        </w:tc>
        <w:tc>
          <w:tcPr>
            <w:tcW w:w="1493" w:type="pct"/>
            <w:tcBorders>
              <w:right w:val="single" w:color="auto" w:sz="4" w:space="0"/>
            </w:tcBorders>
            <w:noWrap w:val="0"/>
            <w:vAlign w:val="center"/>
          </w:tcPr>
          <w:p w14:paraId="13F6B5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GB50058-2014</w:t>
            </w:r>
          </w:p>
        </w:tc>
      </w:tr>
      <w:tr w14:paraId="2C7DAB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3EE850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w:t>
            </w:r>
          </w:p>
        </w:tc>
        <w:tc>
          <w:tcPr>
            <w:tcW w:w="3151" w:type="pct"/>
            <w:noWrap w:val="0"/>
            <w:vAlign w:val="center"/>
          </w:tcPr>
          <w:p w14:paraId="7CF468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建筑物电子信息系统防雷设计规范</w:t>
            </w:r>
          </w:p>
        </w:tc>
        <w:tc>
          <w:tcPr>
            <w:tcW w:w="1493" w:type="pct"/>
            <w:tcBorders>
              <w:right w:val="single" w:color="auto" w:sz="4" w:space="0"/>
            </w:tcBorders>
            <w:noWrap w:val="0"/>
            <w:vAlign w:val="center"/>
          </w:tcPr>
          <w:p w14:paraId="2D8798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GB50343-2012</w:t>
            </w:r>
          </w:p>
        </w:tc>
      </w:tr>
      <w:tr w14:paraId="7FB98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698E35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p>
        </w:tc>
        <w:tc>
          <w:tcPr>
            <w:tcW w:w="3151" w:type="pct"/>
            <w:noWrap w:val="0"/>
            <w:vAlign w:val="center"/>
          </w:tcPr>
          <w:p w14:paraId="6EB395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安全防范工程技术规范</w:t>
            </w:r>
          </w:p>
        </w:tc>
        <w:tc>
          <w:tcPr>
            <w:tcW w:w="1493" w:type="pct"/>
            <w:tcBorders>
              <w:right w:val="single" w:color="auto" w:sz="4" w:space="0"/>
            </w:tcBorders>
            <w:noWrap w:val="0"/>
            <w:vAlign w:val="center"/>
          </w:tcPr>
          <w:p w14:paraId="5C66D17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GB50348-2018</w:t>
            </w:r>
          </w:p>
        </w:tc>
      </w:tr>
      <w:tr w14:paraId="427DE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354" w:type="pct"/>
            <w:tcBorders>
              <w:left w:val="single" w:color="auto" w:sz="4" w:space="0"/>
            </w:tcBorders>
            <w:noWrap w:val="0"/>
            <w:vAlign w:val="center"/>
          </w:tcPr>
          <w:p w14:paraId="7FEB7F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2</w:t>
            </w:r>
          </w:p>
        </w:tc>
        <w:tc>
          <w:tcPr>
            <w:tcW w:w="3151" w:type="pct"/>
            <w:noWrap w:val="0"/>
            <w:vAlign w:val="center"/>
          </w:tcPr>
          <w:p w14:paraId="0DEB01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建筑与市政工程抗震通用规范</w:t>
            </w:r>
          </w:p>
        </w:tc>
        <w:tc>
          <w:tcPr>
            <w:tcW w:w="1493" w:type="pct"/>
            <w:tcBorders>
              <w:right w:val="single" w:color="auto" w:sz="4" w:space="0"/>
            </w:tcBorders>
            <w:noWrap w:val="0"/>
            <w:vAlign w:val="center"/>
          </w:tcPr>
          <w:p w14:paraId="4D5B51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 55002-2021</w:t>
            </w:r>
          </w:p>
        </w:tc>
      </w:tr>
      <w:tr w14:paraId="59ECCB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589595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3</w:t>
            </w:r>
          </w:p>
        </w:tc>
        <w:tc>
          <w:tcPr>
            <w:tcW w:w="3151" w:type="pct"/>
            <w:noWrap w:val="0"/>
            <w:vAlign w:val="center"/>
          </w:tcPr>
          <w:p w14:paraId="01C1DF0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综合布线系统工程设计规范</w:t>
            </w:r>
          </w:p>
        </w:tc>
        <w:tc>
          <w:tcPr>
            <w:tcW w:w="1493" w:type="pct"/>
            <w:tcBorders>
              <w:right w:val="single" w:color="auto" w:sz="4" w:space="0"/>
            </w:tcBorders>
            <w:noWrap w:val="0"/>
            <w:vAlign w:val="center"/>
          </w:tcPr>
          <w:p w14:paraId="31C726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GB50311-2016</w:t>
            </w:r>
          </w:p>
        </w:tc>
      </w:tr>
      <w:tr w14:paraId="6AEE9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354" w:type="pct"/>
            <w:tcBorders>
              <w:left w:val="single" w:color="auto" w:sz="4" w:space="0"/>
            </w:tcBorders>
            <w:noWrap w:val="0"/>
            <w:vAlign w:val="center"/>
          </w:tcPr>
          <w:p w14:paraId="4493C6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4</w:t>
            </w:r>
          </w:p>
        </w:tc>
        <w:tc>
          <w:tcPr>
            <w:tcW w:w="3151" w:type="pct"/>
            <w:noWrap w:val="0"/>
            <w:vAlign w:val="center"/>
          </w:tcPr>
          <w:p w14:paraId="04240A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安全防范工程通用规范</w:t>
            </w:r>
          </w:p>
        </w:tc>
        <w:tc>
          <w:tcPr>
            <w:tcW w:w="1493" w:type="pct"/>
            <w:tcBorders>
              <w:right w:val="single" w:color="auto" w:sz="4" w:space="0"/>
            </w:tcBorders>
            <w:noWrap w:val="0"/>
            <w:vAlign w:val="center"/>
          </w:tcPr>
          <w:p w14:paraId="2DB3A56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 55029-2022</w:t>
            </w:r>
          </w:p>
        </w:tc>
      </w:tr>
      <w:tr w14:paraId="7B571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54" w:type="pct"/>
            <w:tcBorders>
              <w:left w:val="single" w:color="auto" w:sz="4" w:space="0"/>
            </w:tcBorders>
            <w:noWrap w:val="0"/>
            <w:vAlign w:val="center"/>
          </w:tcPr>
          <w:p w14:paraId="4026A5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5</w:t>
            </w:r>
          </w:p>
        </w:tc>
        <w:tc>
          <w:tcPr>
            <w:tcW w:w="3151" w:type="pct"/>
            <w:noWrap w:val="0"/>
            <w:vAlign w:val="center"/>
          </w:tcPr>
          <w:p w14:paraId="36087DA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粮情测控系统</w:t>
            </w:r>
          </w:p>
        </w:tc>
        <w:tc>
          <w:tcPr>
            <w:tcW w:w="1493" w:type="pct"/>
            <w:tcBorders>
              <w:right w:val="single" w:color="auto" w:sz="4" w:space="0"/>
            </w:tcBorders>
            <w:noWrap w:val="0"/>
            <w:vAlign w:val="center"/>
          </w:tcPr>
          <w:p w14:paraId="093863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GB/T 26882.1-2024</w:t>
            </w:r>
          </w:p>
        </w:tc>
      </w:tr>
      <w:tr w14:paraId="57D47D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354" w:type="pct"/>
            <w:tcBorders>
              <w:left w:val="single" w:color="auto" w:sz="4" w:space="0"/>
            </w:tcBorders>
            <w:noWrap w:val="0"/>
            <w:vAlign w:val="center"/>
          </w:tcPr>
          <w:p w14:paraId="435F3D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w:t>
            </w:r>
          </w:p>
        </w:tc>
        <w:tc>
          <w:tcPr>
            <w:tcW w:w="3151" w:type="pct"/>
            <w:tcBorders>
              <w:bottom w:val="single" w:color="000000" w:sz="4" w:space="0"/>
            </w:tcBorders>
            <w:noWrap w:val="0"/>
            <w:vAlign w:val="center"/>
          </w:tcPr>
          <w:p w14:paraId="6C40D7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建筑电气与智能化通用规范</w:t>
            </w:r>
          </w:p>
        </w:tc>
        <w:tc>
          <w:tcPr>
            <w:tcW w:w="1493" w:type="pct"/>
            <w:tcBorders>
              <w:bottom w:val="single" w:color="000000" w:sz="4" w:space="0"/>
              <w:right w:val="single" w:color="auto" w:sz="4" w:space="0"/>
            </w:tcBorders>
            <w:noWrap w:val="0"/>
            <w:vAlign w:val="center"/>
          </w:tcPr>
          <w:p w14:paraId="7D37EF1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GB55024-2022</w:t>
            </w:r>
          </w:p>
        </w:tc>
      </w:tr>
      <w:tr w14:paraId="31C359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354" w:type="pct"/>
            <w:tcBorders>
              <w:left w:val="single" w:color="auto" w:sz="4" w:space="0"/>
            </w:tcBorders>
            <w:noWrap w:val="0"/>
            <w:vAlign w:val="center"/>
          </w:tcPr>
          <w:p w14:paraId="4D3DC23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17</w:t>
            </w:r>
          </w:p>
        </w:tc>
        <w:tc>
          <w:tcPr>
            <w:tcW w:w="3151" w:type="pct"/>
            <w:tcBorders>
              <w:bottom w:val="single" w:color="000000" w:sz="4" w:space="0"/>
            </w:tcBorders>
            <w:noWrap w:val="0"/>
            <w:vAlign w:val="center"/>
          </w:tcPr>
          <w:p w14:paraId="18E96AF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粮食加工、储运系统粉尘防爆安全规范</w:t>
            </w:r>
          </w:p>
        </w:tc>
        <w:tc>
          <w:tcPr>
            <w:tcW w:w="1493" w:type="pct"/>
            <w:tcBorders>
              <w:bottom w:val="single" w:color="000000" w:sz="4" w:space="0"/>
              <w:right w:val="single" w:color="auto" w:sz="4" w:space="0"/>
            </w:tcBorders>
            <w:noWrap w:val="0"/>
            <w:vAlign w:val="center"/>
          </w:tcPr>
          <w:p w14:paraId="6167B6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GB17440-2025</w:t>
            </w:r>
          </w:p>
        </w:tc>
      </w:tr>
      <w:tr w14:paraId="3DF22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5000" w:type="pct"/>
            <w:gridSpan w:val="3"/>
            <w:tcBorders>
              <w:left w:val="single" w:color="auto" w:sz="4" w:space="0"/>
              <w:right w:val="single" w:color="auto" w:sz="4" w:space="0"/>
            </w:tcBorders>
            <w:noWrap w:val="0"/>
            <w:vAlign w:val="center"/>
          </w:tcPr>
          <w:p w14:paraId="67085B9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五、给排水、暖通专业标准、规范、规程</w:t>
            </w:r>
          </w:p>
        </w:tc>
      </w:tr>
      <w:tr w14:paraId="2F241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54" w:type="pct"/>
            <w:tcBorders>
              <w:top w:val="single" w:color="000000" w:sz="2" w:space="0"/>
              <w:left w:val="single" w:color="auto" w:sz="4" w:space="0"/>
              <w:bottom w:val="single" w:color="000000" w:sz="2" w:space="0"/>
            </w:tcBorders>
            <w:noWrap w:val="0"/>
            <w:vAlign w:val="center"/>
          </w:tcPr>
          <w:p w14:paraId="347839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p>
        </w:tc>
        <w:tc>
          <w:tcPr>
            <w:tcW w:w="3151" w:type="pct"/>
            <w:noWrap w:val="0"/>
            <w:vAlign w:val="center"/>
          </w:tcPr>
          <w:p w14:paraId="2B81A2A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建筑给水排水设计标准</w:t>
            </w:r>
          </w:p>
        </w:tc>
        <w:tc>
          <w:tcPr>
            <w:tcW w:w="1493" w:type="pct"/>
            <w:tcBorders>
              <w:right w:val="single" w:color="auto" w:sz="4" w:space="0"/>
            </w:tcBorders>
            <w:noWrap w:val="0"/>
            <w:vAlign w:val="center"/>
          </w:tcPr>
          <w:p w14:paraId="40AE56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GB50015-2019</w:t>
            </w:r>
          </w:p>
        </w:tc>
      </w:tr>
      <w:tr w14:paraId="0929D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354" w:type="pct"/>
            <w:tcBorders>
              <w:top w:val="single" w:color="000000" w:sz="2" w:space="0"/>
              <w:left w:val="single" w:color="auto" w:sz="4" w:space="0"/>
              <w:bottom w:val="single" w:color="000000" w:sz="2" w:space="0"/>
            </w:tcBorders>
            <w:noWrap w:val="0"/>
            <w:vAlign w:val="center"/>
          </w:tcPr>
          <w:p w14:paraId="57526D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w:t>
            </w:r>
          </w:p>
        </w:tc>
        <w:tc>
          <w:tcPr>
            <w:tcW w:w="3151" w:type="pct"/>
            <w:noWrap w:val="0"/>
            <w:vAlign w:val="center"/>
          </w:tcPr>
          <w:p w14:paraId="1A3B2D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室外排水设计标准</w:t>
            </w:r>
          </w:p>
        </w:tc>
        <w:tc>
          <w:tcPr>
            <w:tcW w:w="1493" w:type="pct"/>
            <w:tcBorders>
              <w:right w:val="single" w:color="auto" w:sz="4" w:space="0"/>
            </w:tcBorders>
            <w:noWrap w:val="0"/>
            <w:vAlign w:val="center"/>
          </w:tcPr>
          <w:p w14:paraId="260EF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GB50014-2021</w:t>
            </w:r>
          </w:p>
        </w:tc>
      </w:tr>
      <w:tr w14:paraId="799F9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354" w:type="pct"/>
            <w:tcBorders>
              <w:top w:val="single" w:color="000000" w:sz="2" w:space="0"/>
              <w:left w:val="single" w:color="auto" w:sz="4" w:space="0"/>
              <w:bottom w:val="single" w:color="000000" w:sz="2" w:space="0"/>
            </w:tcBorders>
            <w:noWrap w:val="0"/>
            <w:vAlign w:val="center"/>
          </w:tcPr>
          <w:p w14:paraId="080F3F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w:t>
            </w:r>
          </w:p>
        </w:tc>
        <w:tc>
          <w:tcPr>
            <w:tcW w:w="3151" w:type="pct"/>
            <w:noWrap w:val="0"/>
            <w:vAlign w:val="center"/>
          </w:tcPr>
          <w:p w14:paraId="2B802B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室外给水设计标准</w:t>
            </w:r>
          </w:p>
        </w:tc>
        <w:tc>
          <w:tcPr>
            <w:tcW w:w="1493" w:type="pct"/>
            <w:tcBorders>
              <w:right w:val="single" w:color="auto" w:sz="4" w:space="0"/>
            </w:tcBorders>
            <w:noWrap w:val="0"/>
            <w:vAlign w:val="center"/>
          </w:tcPr>
          <w:p w14:paraId="6F0463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GB50013-2018</w:t>
            </w:r>
          </w:p>
        </w:tc>
      </w:tr>
      <w:tr w14:paraId="4D066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354" w:type="pct"/>
            <w:tcBorders>
              <w:top w:val="single" w:color="000000" w:sz="2" w:space="0"/>
              <w:left w:val="single" w:color="auto" w:sz="4" w:space="0"/>
              <w:bottom w:val="single" w:color="000000" w:sz="2" w:space="0"/>
            </w:tcBorders>
            <w:noWrap w:val="0"/>
            <w:vAlign w:val="center"/>
          </w:tcPr>
          <w:p w14:paraId="10FF4D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p>
        </w:tc>
        <w:tc>
          <w:tcPr>
            <w:tcW w:w="3151" w:type="pct"/>
            <w:tcBorders>
              <w:bottom w:val="single" w:color="000000" w:sz="6" w:space="0"/>
            </w:tcBorders>
            <w:noWrap w:val="0"/>
            <w:vAlign w:val="center"/>
          </w:tcPr>
          <w:p w14:paraId="42968ED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消防给水及消火栓系统技术规范</w:t>
            </w:r>
          </w:p>
        </w:tc>
        <w:tc>
          <w:tcPr>
            <w:tcW w:w="1493" w:type="pct"/>
            <w:tcBorders>
              <w:bottom w:val="single" w:color="000000" w:sz="6" w:space="0"/>
              <w:right w:val="single" w:color="auto" w:sz="4" w:space="0"/>
            </w:tcBorders>
            <w:noWrap w:val="0"/>
            <w:vAlign w:val="center"/>
          </w:tcPr>
          <w:p w14:paraId="68FD86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GB50974-2014</w:t>
            </w:r>
          </w:p>
        </w:tc>
      </w:tr>
      <w:tr w14:paraId="1A7B8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354" w:type="pct"/>
            <w:tcBorders>
              <w:top w:val="single" w:color="000000" w:sz="2" w:space="0"/>
              <w:left w:val="single" w:color="auto" w:sz="4" w:space="0"/>
              <w:bottom w:val="single" w:color="000000" w:sz="2" w:space="0"/>
            </w:tcBorders>
            <w:noWrap w:val="0"/>
            <w:vAlign w:val="center"/>
          </w:tcPr>
          <w:p w14:paraId="797DC9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w:t>
            </w:r>
          </w:p>
        </w:tc>
        <w:tc>
          <w:tcPr>
            <w:tcW w:w="3151" w:type="pct"/>
            <w:tcBorders>
              <w:top w:val="single" w:color="000000" w:sz="6" w:space="0"/>
            </w:tcBorders>
            <w:noWrap w:val="0"/>
            <w:vAlign w:val="center"/>
          </w:tcPr>
          <w:p w14:paraId="22240B5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建筑灭火器配置设计规范</w:t>
            </w:r>
          </w:p>
        </w:tc>
        <w:tc>
          <w:tcPr>
            <w:tcW w:w="1493" w:type="pct"/>
            <w:tcBorders>
              <w:top w:val="single" w:color="000000" w:sz="6" w:space="0"/>
              <w:right w:val="single" w:color="auto" w:sz="4" w:space="0"/>
            </w:tcBorders>
            <w:noWrap w:val="0"/>
            <w:vAlign w:val="center"/>
          </w:tcPr>
          <w:p w14:paraId="2B15098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GB50140-2005</w:t>
            </w:r>
          </w:p>
        </w:tc>
      </w:tr>
      <w:tr w14:paraId="5AC01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354" w:type="pct"/>
            <w:tcBorders>
              <w:top w:val="single" w:color="000000" w:sz="2" w:space="0"/>
              <w:left w:val="single" w:color="auto" w:sz="4" w:space="0"/>
              <w:bottom w:val="single" w:color="000000" w:sz="2" w:space="0"/>
            </w:tcBorders>
            <w:noWrap w:val="0"/>
            <w:vAlign w:val="center"/>
          </w:tcPr>
          <w:p w14:paraId="1C6831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w:t>
            </w:r>
          </w:p>
        </w:tc>
        <w:tc>
          <w:tcPr>
            <w:tcW w:w="3151" w:type="pct"/>
            <w:noWrap w:val="0"/>
            <w:vAlign w:val="center"/>
          </w:tcPr>
          <w:p w14:paraId="774285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消防设施通用规范</w:t>
            </w:r>
          </w:p>
        </w:tc>
        <w:tc>
          <w:tcPr>
            <w:tcW w:w="1493" w:type="pct"/>
            <w:tcBorders>
              <w:right w:val="single" w:color="auto" w:sz="4" w:space="0"/>
            </w:tcBorders>
            <w:noWrap w:val="0"/>
            <w:vAlign w:val="center"/>
          </w:tcPr>
          <w:p w14:paraId="6336E6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GB55036-2022</w:t>
            </w:r>
          </w:p>
        </w:tc>
      </w:tr>
      <w:tr w14:paraId="0FE38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354" w:type="pct"/>
            <w:tcBorders>
              <w:top w:val="single" w:color="000000" w:sz="2" w:space="0"/>
              <w:left w:val="single" w:color="auto" w:sz="4" w:space="0"/>
              <w:bottom w:val="single" w:color="000000" w:sz="2" w:space="0"/>
            </w:tcBorders>
            <w:noWrap w:val="0"/>
            <w:vAlign w:val="center"/>
          </w:tcPr>
          <w:p w14:paraId="555A71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w:t>
            </w:r>
          </w:p>
        </w:tc>
        <w:tc>
          <w:tcPr>
            <w:tcW w:w="3151" w:type="pct"/>
            <w:noWrap w:val="0"/>
            <w:vAlign w:val="center"/>
          </w:tcPr>
          <w:p w14:paraId="242655F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民用建筑供暖通风与空</w:t>
            </w:r>
            <w:r>
              <w:rPr>
                <w:rFonts w:hint="eastAsia" w:ascii="仿宋" w:hAnsi="仿宋" w:eastAsia="仿宋" w:cs="仿宋"/>
                <w:color w:val="auto"/>
                <w:sz w:val="24"/>
                <w:szCs w:val="24"/>
                <w:highlight w:val="none"/>
                <w:lang w:val="en-US" w:eastAsia="zh-CN"/>
              </w:rPr>
              <w:t>气</w:t>
            </w:r>
            <w:r>
              <w:rPr>
                <w:rFonts w:hint="eastAsia" w:ascii="仿宋" w:hAnsi="仿宋" w:eastAsia="仿宋" w:cs="仿宋"/>
                <w:color w:val="auto"/>
                <w:sz w:val="24"/>
                <w:szCs w:val="24"/>
                <w:highlight w:val="none"/>
                <w:lang w:eastAsia="zh-CN"/>
              </w:rPr>
              <w:t>调节设计规范</w:t>
            </w:r>
          </w:p>
        </w:tc>
        <w:tc>
          <w:tcPr>
            <w:tcW w:w="1493" w:type="pct"/>
            <w:tcBorders>
              <w:right w:val="single" w:color="auto" w:sz="4" w:space="0"/>
            </w:tcBorders>
            <w:noWrap w:val="0"/>
            <w:vAlign w:val="center"/>
          </w:tcPr>
          <w:p w14:paraId="624326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GB50736-2012</w:t>
            </w:r>
          </w:p>
        </w:tc>
      </w:tr>
      <w:tr w14:paraId="7C7E2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354" w:type="pct"/>
            <w:tcBorders>
              <w:top w:val="single" w:color="000000" w:sz="2" w:space="0"/>
              <w:left w:val="single" w:color="auto" w:sz="4" w:space="0"/>
              <w:bottom w:val="single" w:color="000000" w:sz="2" w:space="0"/>
            </w:tcBorders>
            <w:noWrap w:val="0"/>
            <w:vAlign w:val="center"/>
          </w:tcPr>
          <w:p w14:paraId="02DA360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w:t>
            </w:r>
          </w:p>
        </w:tc>
        <w:tc>
          <w:tcPr>
            <w:tcW w:w="3151" w:type="pct"/>
            <w:noWrap w:val="0"/>
            <w:vAlign w:val="center"/>
          </w:tcPr>
          <w:p w14:paraId="45BA05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工业建筑供暖通风与空</w:t>
            </w:r>
            <w:r>
              <w:rPr>
                <w:rFonts w:hint="eastAsia" w:ascii="仿宋" w:hAnsi="仿宋" w:eastAsia="仿宋" w:cs="仿宋"/>
                <w:color w:val="auto"/>
                <w:sz w:val="24"/>
                <w:szCs w:val="24"/>
                <w:highlight w:val="none"/>
                <w:lang w:val="en-US" w:eastAsia="zh-CN"/>
              </w:rPr>
              <w:t>气</w:t>
            </w:r>
            <w:r>
              <w:rPr>
                <w:rFonts w:hint="eastAsia" w:ascii="仿宋" w:hAnsi="仿宋" w:eastAsia="仿宋" w:cs="仿宋"/>
                <w:color w:val="auto"/>
                <w:sz w:val="24"/>
                <w:szCs w:val="24"/>
                <w:highlight w:val="none"/>
                <w:lang w:eastAsia="zh-CN"/>
              </w:rPr>
              <w:t>调节设计规范</w:t>
            </w:r>
          </w:p>
        </w:tc>
        <w:tc>
          <w:tcPr>
            <w:tcW w:w="1493" w:type="pct"/>
            <w:tcBorders>
              <w:right w:val="single" w:color="auto" w:sz="4" w:space="0"/>
            </w:tcBorders>
            <w:noWrap w:val="0"/>
            <w:vAlign w:val="center"/>
          </w:tcPr>
          <w:p w14:paraId="491140A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GB50019-2015</w:t>
            </w:r>
          </w:p>
        </w:tc>
      </w:tr>
      <w:tr w14:paraId="2D3B79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354" w:type="pct"/>
            <w:tcBorders>
              <w:top w:val="single" w:color="000000" w:sz="2" w:space="0"/>
              <w:left w:val="single" w:color="auto" w:sz="4" w:space="0"/>
              <w:bottom w:val="single" w:color="000000" w:sz="2" w:space="0"/>
            </w:tcBorders>
            <w:noWrap w:val="0"/>
            <w:vAlign w:val="center"/>
          </w:tcPr>
          <w:p w14:paraId="075BB3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w:t>
            </w:r>
          </w:p>
        </w:tc>
        <w:tc>
          <w:tcPr>
            <w:tcW w:w="3151" w:type="pct"/>
            <w:noWrap w:val="0"/>
            <w:vAlign w:val="center"/>
          </w:tcPr>
          <w:p w14:paraId="176F69A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建筑防烟排烟系统技术标准</w:t>
            </w:r>
          </w:p>
        </w:tc>
        <w:tc>
          <w:tcPr>
            <w:tcW w:w="1493" w:type="pct"/>
            <w:tcBorders>
              <w:right w:val="single" w:color="auto" w:sz="4" w:space="0"/>
            </w:tcBorders>
            <w:noWrap w:val="0"/>
            <w:vAlign w:val="center"/>
          </w:tcPr>
          <w:p w14:paraId="4AB2F8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GB51251-2017</w:t>
            </w:r>
          </w:p>
        </w:tc>
      </w:tr>
      <w:tr w14:paraId="042B08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354" w:type="pct"/>
            <w:tcBorders>
              <w:top w:val="single" w:color="000000" w:sz="2" w:space="0"/>
              <w:left w:val="single" w:color="auto" w:sz="4" w:space="0"/>
              <w:bottom w:val="single" w:color="000000" w:sz="2" w:space="0"/>
            </w:tcBorders>
            <w:noWrap w:val="0"/>
            <w:vAlign w:val="center"/>
          </w:tcPr>
          <w:p w14:paraId="3B6391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w:t>
            </w:r>
          </w:p>
        </w:tc>
        <w:tc>
          <w:tcPr>
            <w:tcW w:w="3151" w:type="pct"/>
            <w:noWrap w:val="0"/>
            <w:vAlign w:val="center"/>
          </w:tcPr>
          <w:p w14:paraId="027199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通风与空调工程施工规范</w:t>
            </w:r>
          </w:p>
        </w:tc>
        <w:tc>
          <w:tcPr>
            <w:tcW w:w="1493" w:type="pct"/>
            <w:tcBorders>
              <w:right w:val="single" w:color="auto" w:sz="4" w:space="0"/>
            </w:tcBorders>
            <w:noWrap w:val="0"/>
            <w:vAlign w:val="center"/>
          </w:tcPr>
          <w:p w14:paraId="1BE1C75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GB50738-2011</w:t>
            </w:r>
          </w:p>
        </w:tc>
      </w:tr>
      <w:tr w14:paraId="48BBD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354" w:type="pct"/>
            <w:tcBorders>
              <w:top w:val="single" w:color="000000" w:sz="2" w:space="0"/>
              <w:left w:val="single" w:color="auto" w:sz="4" w:space="0"/>
              <w:bottom w:val="single" w:color="000000" w:sz="2" w:space="0"/>
            </w:tcBorders>
            <w:noWrap w:val="0"/>
            <w:vAlign w:val="center"/>
          </w:tcPr>
          <w:p w14:paraId="5CA0F76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p>
        </w:tc>
        <w:tc>
          <w:tcPr>
            <w:tcW w:w="3151" w:type="pct"/>
            <w:noWrap w:val="0"/>
            <w:vAlign w:val="center"/>
          </w:tcPr>
          <w:p w14:paraId="66D4CE8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通风与空调工程施工质量验收规范</w:t>
            </w:r>
          </w:p>
        </w:tc>
        <w:tc>
          <w:tcPr>
            <w:tcW w:w="1493" w:type="pct"/>
            <w:tcBorders>
              <w:right w:val="single" w:color="auto" w:sz="4" w:space="0"/>
            </w:tcBorders>
            <w:noWrap w:val="0"/>
            <w:vAlign w:val="center"/>
          </w:tcPr>
          <w:p w14:paraId="0EAF49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GB50243-2016</w:t>
            </w:r>
          </w:p>
        </w:tc>
      </w:tr>
      <w:tr w14:paraId="72F2B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354" w:type="pct"/>
            <w:tcBorders>
              <w:top w:val="single" w:color="000000" w:sz="2" w:space="0"/>
              <w:left w:val="single" w:color="auto" w:sz="4" w:space="0"/>
              <w:bottom w:val="single" w:color="000000" w:sz="2" w:space="0"/>
            </w:tcBorders>
            <w:noWrap w:val="0"/>
            <w:vAlign w:val="center"/>
          </w:tcPr>
          <w:p w14:paraId="340E23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w:t>
            </w:r>
          </w:p>
        </w:tc>
        <w:tc>
          <w:tcPr>
            <w:tcW w:w="3151" w:type="pct"/>
            <w:noWrap w:val="0"/>
            <w:vAlign w:val="center"/>
          </w:tcPr>
          <w:p w14:paraId="28D493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建筑节能与可再生能源利用通用规范</w:t>
            </w:r>
          </w:p>
        </w:tc>
        <w:tc>
          <w:tcPr>
            <w:tcW w:w="1493" w:type="pct"/>
            <w:tcBorders>
              <w:right w:val="single" w:color="auto" w:sz="4" w:space="0"/>
            </w:tcBorders>
            <w:noWrap w:val="0"/>
            <w:vAlign w:val="center"/>
          </w:tcPr>
          <w:p w14:paraId="2521E5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GB55015-2021</w:t>
            </w:r>
          </w:p>
        </w:tc>
      </w:tr>
      <w:tr w14:paraId="3FCD7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354" w:type="pct"/>
            <w:tcBorders>
              <w:top w:val="single" w:color="000000" w:sz="2" w:space="0"/>
              <w:left w:val="single" w:color="auto" w:sz="4" w:space="0"/>
            </w:tcBorders>
            <w:noWrap w:val="0"/>
            <w:vAlign w:val="center"/>
          </w:tcPr>
          <w:p w14:paraId="314B50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13</w:t>
            </w:r>
          </w:p>
        </w:tc>
        <w:tc>
          <w:tcPr>
            <w:tcW w:w="3151" w:type="pct"/>
            <w:noWrap w:val="0"/>
            <w:vAlign w:val="center"/>
          </w:tcPr>
          <w:p w14:paraId="7CDA19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建筑与市政工程抗震通用规范</w:t>
            </w:r>
          </w:p>
        </w:tc>
        <w:tc>
          <w:tcPr>
            <w:tcW w:w="1493" w:type="pct"/>
            <w:tcBorders>
              <w:right w:val="single" w:color="auto" w:sz="4" w:space="0"/>
            </w:tcBorders>
            <w:noWrap w:val="0"/>
            <w:vAlign w:val="center"/>
          </w:tcPr>
          <w:p w14:paraId="6970719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GB55002-2021</w:t>
            </w:r>
          </w:p>
        </w:tc>
      </w:tr>
      <w:tr w14:paraId="083F9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5000" w:type="pct"/>
            <w:gridSpan w:val="3"/>
            <w:tcBorders>
              <w:left w:val="single" w:color="auto" w:sz="4" w:space="0"/>
              <w:right w:val="single" w:color="auto" w:sz="4" w:space="0"/>
            </w:tcBorders>
            <w:noWrap w:val="0"/>
            <w:vAlign w:val="center"/>
          </w:tcPr>
          <w:p w14:paraId="751F2E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六、粮食工艺专业标准、规范、规程</w:t>
            </w:r>
          </w:p>
        </w:tc>
      </w:tr>
      <w:tr w14:paraId="13481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354" w:type="pct"/>
            <w:tcBorders>
              <w:left w:val="single" w:color="auto" w:sz="4" w:space="0"/>
              <w:bottom w:val="single" w:color="000000" w:sz="2" w:space="0"/>
            </w:tcBorders>
            <w:noWrap w:val="0"/>
            <w:vAlign w:val="center"/>
          </w:tcPr>
          <w:p w14:paraId="25659B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3151" w:type="pct"/>
            <w:noWrap w:val="0"/>
            <w:vAlign w:val="center"/>
          </w:tcPr>
          <w:p w14:paraId="3DB821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储粮机械通风技术规程</w:t>
            </w:r>
          </w:p>
        </w:tc>
        <w:tc>
          <w:tcPr>
            <w:tcW w:w="1493" w:type="pct"/>
            <w:tcBorders>
              <w:right w:val="single" w:color="auto" w:sz="4" w:space="0"/>
            </w:tcBorders>
            <w:noWrap w:val="0"/>
            <w:vAlign w:val="center"/>
          </w:tcPr>
          <w:p w14:paraId="0E4A8DF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LS/T1202-2002</w:t>
            </w:r>
          </w:p>
        </w:tc>
      </w:tr>
      <w:tr w14:paraId="00031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354" w:type="pct"/>
            <w:tcBorders>
              <w:top w:val="single" w:color="000000" w:sz="2" w:space="0"/>
              <w:left w:val="single" w:color="auto" w:sz="4" w:space="0"/>
              <w:bottom w:val="single" w:color="000000" w:sz="2" w:space="0"/>
            </w:tcBorders>
            <w:noWrap w:val="0"/>
            <w:vAlign w:val="center"/>
          </w:tcPr>
          <w:p w14:paraId="64E95C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3151" w:type="pct"/>
            <w:noWrap w:val="0"/>
            <w:vAlign w:val="center"/>
          </w:tcPr>
          <w:p w14:paraId="48B40B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机械设备安装工程施工及验收通用规范</w:t>
            </w:r>
          </w:p>
        </w:tc>
        <w:tc>
          <w:tcPr>
            <w:tcW w:w="1493" w:type="pct"/>
            <w:tcBorders>
              <w:right w:val="single" w:color="auto" w:sz="4" w:space="0"/>
            </w:tcBorders>
            <w:noWrap w:val="0"/>
            <w:vAlign w:val="center"/>
          </w:tcPr>
          <w:p w14:paraId="36D5616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GB50231-2009</w:t>
            </w:r>
          </w:p>
        </w:tc>
      </w:tr>
      <w:tr w14:paraId="36750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354" w:type="pct"/>
            <w:tcBorders>
              <w:top w:val="single" w:color="000000" w:sz="2" w:space="0"/>
              <w:left w:val="single" w:color="auto" w:sz="4" w:space="0"/>
              <w:bottom w:val="single" w:color="000000" w:sz="2" w:space="0"/>
            </w:tcBorders>
            <w:noWrap w:val="0"/>
            <w:vAlign w:val="center"/>
          </w:tcPr>
          <w:p w14:paraId="67B30D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3151" w:type="pct"/>
            <w:noWrap w:val="0"/>
            <w:vAlign w:val="center"/>
          </w:tcPr>
          <w:p w14:paraId="37049B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粮食仓库机电设备安装技术规程</w:t>
            </w:r>
          </w:p>
        </w:tc>
        <w:tc>
          <w:tcPr>
            <w:tcW w:w="1493" w:type="pct"/>
            <w:tcBorders>
              <w:right w:val="single" w:color="auto" w:sz="4" w:space="0"/>
            </w:tcBorders>
            <w:noWrap w:val="0"/>
            <w:vAlign w:val="center"/>
          </w:tcPr>
          <w:p w14:paraId="574ECB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LS1207-2005</w:t>
            </w:r>
          </w:p>
        </w:tc>
      </w:tr>
      <w:tr w14:paraId="5964E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354" w:type="pct"/>
            <w:tcBorders>
              <w:top w:val="single" w:color="000000" w:sz="2" w:space="0"/>
              <w:left w:val="single" w:color="auto" w:sz="4" w:space="0"/>
              <w:bottom w:val="single" w:color="000000" w:sz="2" w:space="0"/>
            </w:tcBorders>
            <w:noWrap w:val="0"/>
            <w:vAlign w:val="center"/>
          </w:tcPr>
          <w:p w14:paraId="1682DB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p>
        </w:tc>
        <w:tc>
          <w:tcPr>
            <w:tcW w:w="3151" w:type="pct"/>
            <w:noWrap w:val="0"/>
            <w:vAlign w:val="center"/>
          </w:tcPr>
          <w:p w14:paraId="4856C93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粮油储藏 粮仓气密性要求</w:t>
            </w:r>
          </w:p>
        </w:tc>
        <w:tc>
          <w:tcPr>
            <w:tcW w:w="1493" w:type="pct"/>
            <w:tcBorders>
              <w:right w:val="single" w:color="auto" w:sz="4" w:space="0"/>
            </w:tcBorders>
            <w:noWrap w:val="0"/>
            <w:vAlign w:val="center"/>
          </w:tcPr>
          <w:p w14:paraId="4BAAC0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GB/T25229-2024</w:t>
            </w:r>
          </w:p>
        </w:tc>
      </w:tr>
      <w:tr w14:paraId="3CF9C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354" w:type="pct"/>
            <w:tcBorders>
              <w:top w:val="single" w:color="000000" w:sz="2" w:space="0"/>
              <w:left w:val="single" w:color="auto" w:sz="4" w:space="0"/>
              <w:bottom w:val="single" w:color="000000" w:sz="2" w:space="0"/>
            </w:tcBorders>
            <w:noWrap w:val="0"/>
            <w:vAlign w:val="center"/>
          </w:tcPr>
          <w:p w14:paraId="1EE245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w:t>
            </w:r>
          </w:p>
        </w:tc>
        <w:tc>
          <w:tcPr>
            <w:tcW w:w="3151" w:type="pct"/>
            <w:noWrap w:val="0"/>
            <w:vAlign w:val="center"/>
          </w:tcPr>
          <w:p w14:paraId="5737023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粮油储藏技术规范</w:t>
            </w:r>
          </w:p>
        </w:tc>
        <w:tc>
          <w:tcPr>
            <w:tcW w:w="1493" w:type="pct"/>
            <w:tcBorders>
              <w:right w:val="single" w:color="auto" w:sz="4" w:space="0"/>
            </w:tcBorders>
            <w:noWrap w:val="0"/>
            <w:vAlign w:val="center"/>
          </w:tcPr>
          <w:p w14:paraId="62D3CE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GB/T29890-2013</w:t>
            </w:r>
          </w:p>
        </w:tc>
      </w:tr>
      <w:tr w14:paraId="4B2C1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354" w:type="pct"/>
            <w:tcBorders>
              <w:top w:val="single" w:color="000000" w:sz="2" w:space="0"/>
              <w:left w:val="single" w:color="auto" w:sz="4" w:space="0"/>
              <w:bottom w:val="single" w:color="000000" w:sz="2" w:space="0"/>
            </w:tcBorders>
            <w:noWrap w:val="0"/>
            <w:vAlign w:val="center"/>
          </w:tcPr>
          <w:p w14:paraId="7168CC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w:t>
            </w:r>
          </w:p>
        </w:tc>
        <w:tc>
          <w:tcPr>
            <w:tcW w:w="3151" w:type="pct"/>
            <w:noWrap w:val="0"/>
            <w:vAlign w:val="center"/>
          </w:tcPr>
          <w:p w14:paraId="7B0B8AB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粮油储藏 磷化氢环流熏蒸装备</w:t>
            </w:r>
          </w:p>
        </w:tc>
        <w:tc>
          <w:tcPr>
            <w:tcW w:w="1493" w:type="pct"/>
            <w:tcBorders>
              <w:right w:val="single" w:color="auto" w:sz="4" w:space="0"/>
            </w:tcBorders>
            <w:noWrap w:val="0"/>
            <w:vAlign w:val="center"/>
          </w:tcPr>
          <w:p w14:paraId="3408B7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GB/T17913-2024</w:t>
            </w:r>
          </w:p>
        </w:tc>
      </w:tr>
      <w:tr w14:paraId="6A07C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354" w:type="pct"/>
            <w:tcBorders>
              <w:top w:val="single" w:color="000000" w:sz="2" w:space="0"/>
              <w:left w:val="single" w:color="auto" w:sz="4" w:space="0"/>
              <w:bottom w:val="single" w:color="000000" w:sz="2" w:space="0"/>
            </w:tcBorders>
            <w:noWrap w:val="0"/>
            <w:vAlign w:val="center"/>
          </w:tcPr>
          <w:p w14:paraId="54B2A4E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w:t>
            </w:r>
          </w:p>
        </w:tc>
        <w:tc>
          <w:tcPr>
            <w:tcW w:w="3151" w:type="pct"/>
            <w:noWrap w:val="0"/>
            <w:vAlign w:val="center"/>
          </w:tcPr>
          <w:p w14:paraId="67F74E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粮油储藏 平房仓隔热技术规范</w:t>
            </w:r>
          </w:p>
        </w:tc>
        <w:tc>
          <w:tcPr>
            <w:tcW w:w="1493" w:type="pct"/>
            <w:tcBorders>
              <w:right w:val="single" w:color="auto" w:sz="4" w:space="0"/>
            </w:tcBorders>
            <w:noWrap w:val="0"/>
            <w:vAlign w:val="center"/>
          </w:tcPr>
          <w:p w14:paraId="65AEC4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0" w:firstLineChars="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GB/T26879-2025</w:t>
            </w:r>
          </w:p>
        </w:tc>
      </w:tr>
    </w:tbl>
    <w:p w14:paraId="02BA1DA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、设计内容</w:t>
      </w:r>
    </w:p>
    <w:p w14:paraId="56AF2D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包括方案设计、施工图设计和施工配合三个阶段的相关服务（包括但不限于以下服务：各阶段设计调整修改深化，配合各类政府审批及专家审查论证，专业设计人员提供设计技术交底，解决施工中的设计技术问题，设计变更调整深化，参加竣工验收，配合审计等；提供相关的技术规范和技术要求。）。</w:t>
      </w:r>
    </w:p>
    <w:p w14:paraId="0D461B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1、负责项目的详细规划设计（总图规划方案）；</w:t>
      </w:r>
    </w:p>
    <w:p w14:paraId="06DEDDB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2、规划方案设计，包含建筑、结构、设备基础、给排水、供配电、通风及空调、消防等内容；</w:t>
      </w:r>
    </w:p>
    <w:p w14:paraId="5921712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3、施工图设计，各单体建筑物的建筑、结构、给排水、供配电、通风及空调、消防、智能化、工艺、专业工程的深化设计等设计文件。</w:t>
      </w:r>
    </w:p>
    <w:p w14:paraId="679DAC5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4、厂区内的监控系统等；</w:t>
      </w:r>
    </w:p>
    <w:p w14:paraId="316250B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5、负责项目的综合管线平衡设计和协助建设单位办理规划报批；</w:t>
      </w:r>
    </w:p>
    <w:p w14:paraId="7D9E30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负责规划用地红线范围内新建的单体方案设计、该项目中所有生产、辅助、生活和公用动力用房的土建、公用工程设计、以及与上述工程相配套的给排水、空调通风、动力、电气、电控、消防设施设计等的方案设计、施工图设计等；</w:t>
      </w:r>
    </w:p>
    <w:p w14:paraId="6A0FE07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7、负责协助建设单位办理各专业报建手续；</w:t>
      </w:r>
    </w:p>
    <w:p w14:paraId="6344C95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8、负责与规划部门及需求部门进行需求对接，满足需求功能，并在施工过程中根据建设单位需求进行施工指导及设计建议。</w:t>
      </w:r>
    </w:p>
    <w:p w14:paraId="0AD4563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9、协助建设单位做好设计项目的技术咨询服务，方案报建、施工图备案、规划许可阶段的报建手续及相关工作。</w:t>
      </w:r>
    </w:p>
    <w:p w14:paraId="7F75A4A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10、与本项目相关的零星变更工程，积极配合建设单位完成电子版图纸。</w:t>
      </w:r>
    </w:p>
    <w:p w14:paraId="1DB110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11、现场如需技术协助，设计单位应尽快答疑或现场解决，对现场施工及报建事宜进行支持。</w:t>
      </w:r>
    </w:p>
    <w:p w14:paraId="743358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12、后期服务，包含设计交底、施工配合、设计修改、设计变更、项目验收等；</w:t>
      </w:r>
    </w:p>
    <w:p w14:paraId="77979CD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13、以及国家规定的相关服务工作内容。</w:t>
      </w:r>
    </w:p>
    <w:p w14:paraId="5ED8D4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、主要设计要求</w:t>
      </w:r>
    </w:p>
    <w:p w14:paraId="56D84C5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1、应充分考虑设计的完整性，设计要简洁、美观、安全、耐用，整体结构相协调。</w:t>
      </w:r>
    </w:p>
    <w:p w14:paraId="0670EA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、设计过程中要与建设单位做好沟通工作，严格按照国家技术规范、标准、规程和当地有关部门的审批要求及建设单位提出的设计要求，进行工程整体设计。向建设单位提交质量合格的设计资料，并对其负责。</w:t>
      </w:r>
    </w:p>
    <w:p w14:paraId="630B32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投标报价</w:t>
      </w:r>
      <w:r>
        <w:rPr>
          <w:rFonts w:hint="eastAsia" w:ascii="仿宋" w:hAnsi="仿宋" w:eastAsia="仿宋" w:cs="仿宋"/>
          <w:color w:val="auto"/>
          <w:sz w:val="28"/>
          <w:szCs w:val="28"/>
          <w:highlight w:val="none"/>
        </w:rPr>
        <w:t>包括但不限于完成本项目所有工作所需的人工费、材料费、设备费、办公费、交通费、差旅费、资料费、成果制作费、管理费、税金、利润及附带服务等所有费用。</w:t>
      </w:r>
    </w:p>
    <w:p w14:paraId="2287B0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、按</w:t>
      </w:r>
      <w:r>
        <w:rPr>
          <w:rFonts w:hint="eastAsia" w:ascii="仿宋" w:hAnsi="仿宋" w:eastAsia="仿宋" w:cs="仿宋"/>
          <w:color w:val="auto"/>
          <w:sz w:val="28"/>
          <w:szCs w:val="28"/>
          <w:highlight w:val="none"/>
          <w:lang w:val="en-US" w:eastAsia="zh-CN"/>
        </w:rPr>
        <w:t>招标文件、</w:t>
      </w: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及建设单位</w:t>
      </w:r>
      <w:r>
        <w:rPr>
          <w:rFonts w:hint="eastAsia" w:ascii="仿宋" w:hAnsi="仿宋" w:eastAsia="仿宋" w:cs="仿宋"/>
          <w:color w:val="auto"/>
          <w:sz w:val="28"/>
          <w:szCs w:val="28"/>
          <w:highlight w:val="none"/>
        </w:rPr>
        <w:t>要求</w:t>
      </w:r>
      <w:r>
        <w:rPr>
          <w:rFonts w:hint="eastAsia" w:ascii="仿宋" w:hAnsi="仿宋" w:eastAsia="仿宋" w:cs="仿宋"/>
          <w:color w:val="auto"/>
          <w:sz w:val="28"/>
          <w:szCs w:val="28"/>
          <w:highlight w:val="none"/>
          <w:lang w:val="en-US" w:eastAsia="zh-CN"/>
        </w:rPr>
        <w:t>并结合</w:t>
      </w:r>
      <w:r>
        <w:rPr>
          <w:rFonts w:hint="eastAsia" w:ascii="仿宋" w:hAnsi="仿宋" w:eastAsia="仿宋" w:cs="仿宋"/>
          <w:color w:val="auto"/>
          <w:sz w:val="28"/>
          <w:szCs w:val="28"/>
          <w:highlight w:val="none"/>
        </w:rPr>
        <w:t>批复内容出具本项目全部</w:t>
      </w:r>
      <w:r>
        <w:rPr>
          <w:rFonts w:hint="eastAsia" w:ascii="仿宋" w:hAnsi="仿宋" w:eastAsia="仿宋" w:cs="仿宋"/>
          <w:color w:val="auto"/>
          <w:sz w:val="28"/>
          <w:szCs w:val="28"/>
          <w:highlight w:val="none"/>
          <w:lang w:val="en-US" w:eastAsia="zh-CN"/>
        </w:rPr>
        <w:t>设计成果</w:t>
      </w:r>
      <w:r>
        <w:rPr>
          <w:rFonts w:hint="eastAsia" w:ascii="仿宋" w:hAnsi="仿宋" w:eastAsia="仿宋" w:cs="仿宋"/>
          <w:color w:val="auto"/>
          <w:sz w:val="28"/>
          <w:szCs w:val="28"/>
          <w:highlight w:val="none"/>
        </w:rPr>
        <w:t>文件。</w:t>
      </w:r>
    </w:p>
    <w:p w14:paraId="71048D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5、设计应符合国家现行的有关法规和规范的规定，满足功能和使用要求，本着安全可靠、经济耐久等原则进行设计，并考虑因地制宜、就地取材、方便施工和维护管理等因素。</w:t>
      </w:r>
    </w:p>
    <w:p w14:paraId="02AAB7D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6、项目负责人具有良好的协调能力，项目组成员要有类似工程设计经验，专业齐全。并针对该设计项目的复杂性、综合性要求，在项目负责人的指导、协调下，设立专业设计组。各专业设计组明确</w:t>
      </w:r>
      <w:r>
        <w:rPr>
          <w:rFonts w:hint="eastAsia" w:ascii="仿宋" w:hAnsi="仿宋" w:eastAsia="仿宋" w:cs="仿宋"/>
          <w:color w:val="auto"/>
          <w:sz w:val="28"/>
          <w:szCs w:val="28"/>
          <w:highlight w:val="none"/>
          <w:lang w:val="en-US" w:eastAsia="zh-CN"/>
        </w:rPr>
        <w:t>专业</w:t>
      </w:r>
      <w:r>
        <w:rPr>
          <w:rFonts w:hint="eastAsia" w:ascii="仿宋" w:hAnsi="仿宋" w:eastAsia="仿宋" w:cs="仿宋"/>
          <w:color w:val="auto"/>
          <w:sz w:val="28"/>
          <w:szCs w:val="28"/>
          <w:highlight w:val="none"/>
        </w:rPr>
        <w:t>负责人，既做到各专业设计组突出专业特色和优势，又要做到各项工程设计前后衔接、综合协调。项目负责人及</w:t>
      </w:r>
      <w:r>
        <w:rPr>
          <w:rFonts w:hint="eastAsia" w:ascii="仿宋" w:hAnsi="仿宋" w:eastAsia="仿宋" w:cs="仿宋"/>
          <w:color w:val="auto"/>
          <w:sz w:val="28"/>
          <w:szCs w:val="28"/>
          <w:highlight w:val="none"/>
          <w:lang w:val="en-US" w:eastAsia="zh-CN"/>
        </w:rPr>
        <w:t>专业</w:t>
      </w:r>
      <w:r>
        <w:rPr>
          <w:rFonts w:hint="eastAsia" w:ascii="仿宋" w:hAnsi="仿宋" w:eastAsia="仿宋" w:cs="仿宋"/>
          <w:color w:val="auto"/>
          <w:sz w:val="28"/>
          <w:szCs w:val="28"/>
          <w:highlight w:val="none"/>
        </w:rPr>
        <w:t>负责人一经确定，中途不得变更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确实需要变更的，应书面争得建设单位同意</w:t>
      </w:r>
      <w:r>
        <w:rPr>
          <w:rFonts w:hint="eastAsia" w:ascii="仿宋" w:hAnsi="仿宋" w:eastAsia="仿宋" w:cs="仿宋"/>
          <w:color w:val="auto"/>
          <w:sz w:val="28"/>
          <w:szCs w:val="28"/>
          <w:highlight w:val="none"/>
        </w:rPr>
        <w:t>。</w:t>
      </w:r>
    </w:p>
    <w:p w14:paraId="4C26DF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设计单位应当根据工程实际情况编制设计方案，确保以最少的投资取得最佳的效益。设计单位必须与建设单位积极配合，随时汇报工作情况，研究工作措施，及时解决项目中存在的问题。各阶段设计文件完成后，项目负责人及相关设计人员须积极准备参加</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及有关部门召开的审查会议，项目负责人须组织有关设计人员按会议确定的意见，及时完成设计变更或设计文件修改工作。工程设计交底须做到系统完整，如遇设计文件说明不清之处，应以文件形式给予补充。</w:t>
      </w:r>
    </w:p>
    <w:p w14:paraId="7025CEF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rPr>
        <w:t>单位要充分了解现状情况，熟悉已有资料成果，设计过程中要做好与各部门的沟通与联系，多渠道收集方案设计素材，充分听取相关方面意见。</w:t>
      </w:r>
    </w:p>
    <w:p w14:paraId="4B13DE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有权要求</w:t>
      </w: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rPr>
        <w:t>单位对设计方案进行调整、修改和深化设计，直至达到</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满意为止。但是方案的调整、修改和深化设计均不得影响已确定的合同价格。</w:t>
      </w:r>
    </w:p>
    <w:p w14:paraId="0AFBB16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10、施工过程中，做好施工指导、咨询等工作，解决施工过程中遇到的问题。</w:t>
      </w:r>
    </w:p>
    <w:p w14:paraId="605F8F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11、工程竣工后配合</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进行工程竣工验收。</w:t>
      </w:r>
    </w:p>
    <w:p w14:paraId="4EFD9E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、成果文件要求</w:t>
      </w:r>
    </w:p>
    <w:p w14:paraId="798320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1、设计说明文法通顺、前后内容连贯有序、层次明晰、重点突出，并备有索引和目录。</w:t>
      </w:r>
    </w:p>
    <w:p w14:paraId="27F5C9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2、设计文件中使用的物理量、数字的书写格式必须符合有关国家标准要求。</w:t>
      </w:r>
    </w:p>
    <w:p w14:paraId="02DC017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3、设计成果图表必须符合制图规范，图幅宽度应尽量与报告书大小一致，需加长时应尽量在横向加长。成果图表必须按国家标准要求统一编号，应尽量与报告书统一装订成册。</w:t>
      </w:r>
    </w:p>
    <w:p w14:paraId="0A2BB4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4、所有材料、图表装订美观、整齐。</w:t>
      </w:r>
    </w:p>
    <w:p w14:paraId="47BF07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5、对电子文件的要求：资料要齐全，并有详细的使用说明。</w:t>
      </w:r>
    </w:p>
    <w:p w14:paraId="4949266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b w:val="0"/>
          <w:bCs w:val="0"/>
          <w:color w:val="auto"/>
          <w:sz w:val="28"/>
          <w:szCs w:val="28"/>
          <w:highlight w:val="none"/>
          <w:lang w:val="en-US" w:eastAsia="zh-CN"/>
        </w:rPr>
        <w:t>6</w:t>
      </w:r>
      <w:r>
        <w:rPr>
          <w:rFonts w:hint="eastAsia" w:ascii="仿宋" w:hAnsi="仿宋" w:eastAsia="仿宋" w:cs="仿宋"/>
          <w:b w:val="0"/>
          <w:bCs w:val="0"/>
          <w:color w:val="auto"/>
          <w:sz w:val="28"/>
          <w:szCs w:val="28"/>
          <w:highlight w:val="none"/>
        </w:rPr>
        <w:t>、提</w:t>
      </w:r>
      <w:r>
        <w:rPr>
          <w:rFonts w:hint="eastAsia" w:ascii="仿宋" w:hAnsi="仿宋" w:eastAsia="仿宋" w:cs="仿宋"/>
          <w:color w:val="auto"/>
          <w:sz w:val="28"/>
          <w:szCs w:val="28"/>
          <w:highlight w:val="none"/>
        </w:rPr>
        <w:t>供设计成果包括方案设计文件、经主管部门审查通过的施工图设计文件及电子版相关图纸资料等一切相关技术服务成果文件。</w:t>
      </w:r>
    </w:p>
    <w:p w14:paraId="6BE4E9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rPr>
        <w:t>单位须向</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提交</w:t>
      </w:r>
      <w:r>
        <w:rPr>
          <w:rFonts w:hint="eastAsia" w:ascii="仿宋" w:hAnsi="仿宋" w:eastAsia="仿宋" w:cs="仿宋"/>
          <w:color w:val="auto"/>
          <w:sz w:val="28"/>
          <w:szCs w:val="28"/>
          <w:highlight w:val="none"/>
          <w:lang w:val="en-US" w:eastAsia="zh-CN"/>
        </w:rPr>
        <w:t>纸质</w:t>
      </w:r>
      <w:r>
        <w:rPr>
          <w:rFonts w:hint="eastAsia" w:ascii="仿宋" w:hAnsi="仿宋" w:eastAsia="仿宋" w:cs="仿宋"/>
          <w:color w:val="auto"/>
          <w:sz w:val="28"/>
          <w:szCs w:val="28"/>
          <w:highlight w:val="none"/>
        </w:rPr>
        <w:t>设计成果文件不少于</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份。</w:t>
      </w:r>
    </w:p>
    <w:p w14:paraId="2F6778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8、成果文件符合现行国家、地方及行业相关设计规范要求并满足采购人要求，通过有关部门的审查、设计成果不得侵犯知识产权。</w:t>
      </w:r>
    </w:p>
    <w:p w14:paraId="253CD3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六、设计成果验收</w:t>
      </w:r>
    </w:p>
    <w:p w14:paraId="19ADCFA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rPr>
        <w:t>成果按规定时间编制完成后，由</w:t>
      </w:r>
      <w:r>
        <w:rPr>
          <w:rFonts w:hint="eastAsia" w:ascii="仿宋" w:hAnsi="仿宋" w:eastAsia="仿宋" w:cs="仿宋"/>
          <w:color w:val="auto"/>
          <w:sz w:val="28"/>
          <w:szCs w:val="28"/>
          <w:highlight w:val="none"/>
          <w:lang w:val="en-US" w:eastAsia="zh-CN"/>
        </w:rPr>
        <w:t>建设单位</w:t>
      </w:r>
      <w:r>
        <w:rPr>
          <w:rFonts w:hint="eastAsia" w:ascii="仿宋" w:hAnsi="仿宋" w:eastAsia="仿宋" w:cs="仿宋"/>
          <w:color w:val="auto"/>
          <w:sz w:val="28"/>
          <w:szCs w:val="28"/>
          <w:highlight w:val="none"/>
        </w:rPr>
        <w:t>对成果进行</w:t>
      </w:r>
      <w:r>
        <w:rPr>
          <w:rFonts w:hint="eastAsia" w:ascii="仿宋" w:hAnsi="仿宋" w:eastAsia="仿宋" w:cs="仿宋"/>
          <w:color w:val="auto"/>
          <w:sz w:val="28"/>
          <w:szCs w:val="28"/>
          <w:highlight w:val="none"/>
          <w:lang w:val="en-US" w:eastAsia="zh-CN"/>
        </w:rPr>
        <w:t>验收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设计单位</w:t>
      </w:r>
      <w:r>
        <w:rPr>
          <w:rFonts w:hint="eastAsia" w:ascii="仿宋" w:hAnsi="仿宋" w:eastAsia="仿宋" w:cs="仿宋"/>
          <w:color w:val="auto"/>
          <w:sz w:val="28"/>
          <w:szCs w:val="28"/>
          <w:highlight w:val="none"/>
        </w:rPr>
        <w:t>应严格按照</w:t>
      </w:r>
      <w:r>
        <w:rPr>
          <w:rFonts w:hint="eastAsia" w:ascii="仿宋" w:hAnsi="仿宋" w:eastAsia="仿宋" w:cs="仿宋"/>
          <w:color w:val="auto"/>
          <w:sz w:val="28"/>
          <w:szCs w:val="28"/>
          <w:highlight w:val="none"/>
          <w:lang w:val="en-US" w:eastAsia="zh-CN"/>
        </w:rPr>
        <w:t>验收</w:t>
      </w:r>
      <w:r>
        <w:rPr>
          <w:rFonts w:hint="eastAsia" w:ascii="仿宋" w:hAnsi="仿宋" w:eastAsia="仿宋" w:cs="仿宋"/>
          <w:color w:val="auto"/>
          <w:sz w:val="28"/>
          <w:szCs w:val="28"/>
          <w:highlight w:val="none"/>
        </w:rPr>
        <w:t>意见对</w:t>
      </w:r>
      <w:r>
        <w:rPr>
          <w:rFonts w:hint="eastAsia" w:ascii="仿宋" w:hAnsi="仿宋" w:eastAsia="仿宋" w:cs="仿宋"/>
          <w:color w:val="auto"/>
          <w:sz w:val="28"/>
          <w:szCs w:val="28"/>
          <w:highlight w:val="none"/>
          <w:lang w:val="en-US" w:eastAsia="zh-CN"/>
        </w:rPr>
        <w:t>设计成果</w:t>
      </w:r>
      <w:r>
        <w:rPr>
          <w:rFonts w:hint="eastAsia" w:ascii="仿宋" w:hAnsi="仿宋" w:eastAsia="仿宋" w:cs="仿宋"/>
          <w:color w:val="auto"/>
          <w:sz w:val="28"/>
          <w:szCs w:val="28"/>
          <w:highlight w:val="none"/>
        </w:rPr>
        <w:t>进行完善、补充和修改。</w:t>
      </w:r>
    </w:p>
    <w:p w14:paraId="33684D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七、设计成果知识产权的说明</w:t>
      </w:r>
    </w:p>
    <w:p w14:paraId="3F3DEB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rPr>
        <w:t>单位应保证</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不受到第三方关于侵犯设计权的指控，任何第三方如果提出侵权指控，</w:t>
      </w: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rPr>
        <w:t>单位应与第三方交涉并承担可能发生的一切法律责任以及造成的后果和费用，并赔偿</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的损失。</w:t>
      </w:r>
    </w:p>
    <w:p w14:paraId="5677D53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rPr>
        <w:t>单位设计成果资料（含电子版）归</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所有，</w:t>
      </w:r>
      <w:r>
        <w:rPr>
          <w:rFonts w:hint="eastAsia" w:ascii="仿宋" w:hAnsi="仿宋" w:eastAsia="仿宋" w:cs="仿宋"/>
          <w:color w:val="auto"/>
          <w:sz w:val="28"/>
          <w:szCs w:val="28"/>
          <w:highlight w:val="none"/>
          <w:lang w:val="en-US" w:eastAsia="zh-CN"/>
        </w:rPr>
        <w:t>设计</w:t>
      </w:r>
      <w:r>
        <w:rPr>
          <w:rFonts w:hint="eastAsia" w:ascii="仿宋" w:hAnsi="仿宋" w:eastAsia="仿宋" w:cs="仿宋"/>
          <w:color w:val="auto"/>
          <w:sz w:val="28"/>
          <w:szCs w:val="28"/>
          <w:highlight w:val="none"/>
        </w:rPr>
        <w:t>单位未经</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同意不得以任何形式向</w:t>
      </w:r>
      <w:r>
        <w:rPr>
          <w:rFonts w:hint="eastAsia" w:ascii="仿宋" w:hAnsi="仿宋" w:eastAsia="仿宋" w:cs="仿宋"/>
          <w:color w:val="auto"/>
          <w:sz w:val="28"/>
          <w:szCs w:val="28"/>
          <w:highlight w:val="none"/>
          <w:lang w:eastAsia="zh-CN"/>
        </w:rPr>
        <w:t>建设单位</w:t>
      </w:r>
      <w:r>
        <w:rPr>
          <w:rFonts w:hint="eastAsia" w:ascii="仿宋" w:hAnsi="仿宋" w:eastAsia="仿宋" w:cs="仿宋"/>
          <w:color w:val="auto"/>
          <w:sz w:val="28"/>
          <w:szCs w:val="28"/>
          <w:highlight w:val="none"/>
        </w:rPr>
        <w:t>以外的任何单位和个人提供方案成果资料。</w:t>
      </w:r>
    </w:p>
    <w:p w14:paraId="34C842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八、服务期</w:t>
      </w:r>
    </w:p>
    <w:p w14:paraId="0D4E4A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自合同签订生效之日起至威海市国家粮食储备库有限公司高标准粮仓建设项目竣工验收合格之日止。</w:t>
      </w:r>
    </w:p>
    <w:p w14:paraId="77B35A2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九、设计周期</w:t>
      </w:r>
    </w:p>
    <w:p w14:paraId="0504B7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合同签订生效后15日历天内完成方案设计成果，方案设计批复后15日历天内完成施工图设计成果。</w:t>
      </w:r>
    </w:p>
    <w:p w14:paraId="50FF71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十、付款方式</w:t>
      </w:r>
    </w:p>
    <w:p w14:paraId="4DD780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方案设计成果审查合格后5个工作日内付至合同总金额的30%，施工图设计成果审查合格后5个工作日内付至合同总金额的80%，工程主体验收后5个工作日内付至合同总金额的95%，余款于工程竣工验收合格后5个工作日内一次性无息付清。乙方应于甲方付款前提供合格的增值税发票，否则甲方有权顺延付款，且不承担任何违约责任，直至乙方按要求提供符合规定的发票为止。因乙方发票提供不及时造成的一切损失由乙方自行承担。</w:t>
      </w:r>
    </w:p>
    <w:p w14:paraId="4E7B98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十一、最高限价</w:t>
      </w:r>
    </w:p>
    <w:p w14:paraId="7EC054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r>
        <w:rPr>
          <w:rFonts w:hint="eastAsia" w:ascii="仿宋" w:hAnsi="仿宋" w:eastAsia="仿宋" w:cs="仿宋"/>
          <w:color w:val="auto"/>
          <w:sz w:val="28"/>
          <w:szCs w:val="28"/>
          <w:highlight w:val="none"/>
          <w:lang w:val="en-US" w:eastAsia="zh-CN"/>
        </w:rPr>
        <w:t>人民币440000.00元。</w:t>
      </w:r>
    </w:p>
    <w:p w14:paraId="59FE7408">
      <w:pPr>
        <w:pStyle w:val="26"/>
        <w:numPr>
          <w:ilvl w:val="0"/>
          <w:numId w:val="0"/>
        </w:numPr>
        <w:shd w:val="clear"/>
        <w:spacing w:before="100" w:beforeAutospacing="1" w:after="100" w:afterAutospacing="1" w:line="415" w:lineRule="auto"/>
        <w:ind w:left="1440" w:leftChars="0" w:hanging="1440" w:firstLineChars="0"/>
        <w:rPr>
          <w:rFonts w:ascii="宋体" w:hAnsi="宋体" w:cs="宋体"/>
          <w:b/>
          <w:bCs/>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第四章  评标原则、程序与方法</w:t>
      </w:r>
    </w:p>
    <w:p w14:paraId="392C6DA8">
      <w:pPr>
        <w:shd w:val="clear"/>
        <w:spacing w:line="720" w:lineRule="auto"/>
        <w:ind w:firstLine="562" w:firstLineChars="200"/>
        <w:rPr>
          <w:rFonts w:ascii="楷体_GB2312" w:eastAsia="楷体_GB2312"/>
          <w:b/>
          <w:color w:val="auto"/>
          <w:sz w:val="28"/>
          <w:szCs w:val="28"/>
          <w:highlight w:val="none"/>
        </w:rPr>
      </w:pPr>
    </w:p>
    <w:p w14:paraId="75BBD585">
      <w:pPr>
        <w:shd w:val="clear"/>
        <w:tabs>
          <w:tab w:val="left" w:pos="1507"/>
        </w:tabs>
        <w:spacing w:line="480" w:lineRule="auto"/>
        <w:ind w:firstLine="562" w:firstLineChars="200"/>
        <w:rPr>
          <w:rFonts w:hint="eastAsia" w:ascii="仿宋_GB2312" w:hAnsi="宋体" w:eastAsia="仿宋_GB2312"/>
          <w:b/>
          <w:color w:val="auto"/>
          <w:sz w:val="28"/>
          <w:szCs w:val="21"/>
          <w:highlight w:val="none"/>
        </w:rPr>
        <w:sectPr>
          <w:pgSz w:w="11906" w:h="16838"/>
          <w:pgMar w:top="1440" w:right="1083" w:bottom="1440" w:left="1083" w:header="851" w:footer="992" w:gutter="0"/>
          <w:pgNumType w:fmt="decimal"/>
          <w:cols w:space="0" w:num="1"/>
          <w:rtlGutter w:val="0"/>
          <w:docGrid w:type="lines" w:linePitch="312" w:charSpace="0"/>
        </w:sectPr>
      </w:pPr>
    </w:p>
    <w:p w14:paraId="03C38CA9">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 xml:space="preserve">一、评审原则 </w:t>
      </w:r>
    </w:p>
    <w:p w14:paraId="1078441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评标委员会将按照这一原则的要求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公正、平等地对待各投标人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在评标时恪守以下原则：</w:t>
      </w:r>
    </w:p>
    <w:p w14:paraId="30702B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1.客观性原则：评标委员会将严格按照招标文件的要求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对投标人的投标文件进行认真评审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评标委员会对投标文件的评审仅依据投标文件本身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而不依靠投标文件以外的任何因素。 </w:t>
      </w:r>
    </w:p>
    <w:p w14:paraId="09C367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采用统一标准进行评标。</w:t>
      </w:r>
    </w:p>
    <w:p w14:paraId="77DAC789">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不受外界任何因素的干扰和影响。</w:t>
      </w:r>
    </w:p>
    <w:p w14:paraId="4CE025C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不得外泄。</w:t>
      </w:r>
    </w:p>
    <w:p w14:paraId="3A1077A0">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而不以单项指标的优劣评定出中标人。</w:t>
      </w:r>
    </w:p>
    <w:p w14:paraId="05890B42">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二、评标程序</w:t>
      </w:r>
    </w:p>
    <w:p w14:paraId="410A48A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.核对评审专家身份和采购人代表授权委托书。</w:t>
      </w:r>
    </w:p>
    <w:p w14:paraId="0D30B0F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.宣布评标纪律。</w:t>
      </w:r>
    </w:p>
    <w:p w14:paraId="51846C97">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.公布投标人名单，告知评审专家应当回避的情形。</w:t>
      </w:r>
    </w:p>
    <w:p w14:paraId="4BFE428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.组织评标委员会推选评标组长，采购人代表不得担任组长。</w:t>
      </w:r>
    </w:p>
    <w:p w14:paraId="26767F3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评审专家依法对投标人的资格进行审查。</w:t>
      </w:r>
    </w:p>
    <w:p w14:paraId="2CAC8A8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评标委员会对符合资格的投标人的投标文件进行符合性审查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详见《投标须知》-《实质性条款一览表》中符合性</w:t>
      </w:r>
      <w:r>
        <w:rPr>
          <w:rFonts w:hint="eastAsia" w:ascii="仿宋" w:hAnsi="仿宋" w:eastAsia="仿宋" w:cs="仿宋"/>
          <w:color w:val="auto"/>
          <w:sz w:val="28"/>
          <w:szCs w:val="28"/>
          <w:highlight w:val="none"/>
          <w:lang w:val="en-US" w:eastAsia="zh-CN"/>
        </w:rPr>
        <w:t>审查</w:t>
      </w:r>
      <w:r>
        <w:rPr>
          <w:rFonts w:hint="eastAsia" w:ascii="仿宋" w:hAnsi="仿宋" w:eastAsia="仿宋" w:cs="仿宋"/>
          <w:color w:val="auto"/>
          <w:sz w:val="28"/>
          <w:szCs w:val="28"/>
          <w:highlight w:val="none"/>
        </w:rPr>
        <w:t>条款。</w:t>
      </w:r>
    </w:p>
    <w:p w14:paraId="53201E8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属于无效投标的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投标人不能通过修正或撤销投标文件中不符合之处而成为实质性响应的投标</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lang w:val="en-US" w:eastAsia="zh-CN"/>
        </w:rPr>
        <w:t>机构</w:t>
      </w:r>
      <w:r>
        <w:rPr>
          <w:rFonts w:hint="eastAsia" w:ascii="仿宋" w:hAnsi="仿宋" w:eastAsia="仿宋" w:cs="仿宋"/>
          <w:color w:val="auto"/>
          <w:sz w:val="28"/>
          <w:szCs w:val="28"/>
          <w:highlight w:val="none"/>
        </w:rPr>
        <w:t>将通知投标人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并说明无效投标理由；属于有效投标文件的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将进行下一轮次的询标和澄清、说明或补正。</w:t>
      </w:r>
    </w:p>
    <w:p w14:paraId="5AC95C8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.澄清、说明或者补正</w:t>
      </w:r>
    </w:p>
    <w:p w14:paraId="720F874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对有效投标文件中含义不明确、同类问题前后表述不一致或者有明显文字和计算错误的内容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评标委员会可以书面形式要求投标人在规定的时间内作出必要的澄清、说明或者纠正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投标人应在要求的时间内以书面形式澄清、说明或者补正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w:t>
      </w:r>
      <w:r>
        <w:rPr>
          <w:rFonts w:hint="eastAsia" w:ascii="仿宋" w:hAnsi="仿宋" w:eastAsia="仿宋" w:cs="仿宋"/>
          <w:color w:val="auto"/>
          <w:sz w:val="28"/>
          <w:szCs w:val="28"/>
          <w:highlight w:val="none"/>
          <w:lang w:val="en-US" w:eastAsia="zh-CN"/>
        </w:rPr>
        <w:t>加盖公章，或者</w:t>
      </w:r>
      <w:r>
        <w:rPr>
          <w:rFonts w:hint="eastAsia" w:ascii="仿宋" w:hAnsi="仿宋" w:eastAsia="仿宋" w:cs="仿宋"/>
          <w:color w:val="auto"/>
          <w:sz w:val="28"/>
          <w:szCs w:val="28"/>
          <w:highlight w:val="none"/>
        </w:rPr>
        <w:t>由其法定代表人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或被授权人签字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且不得超出投标文件的范围或者改变投标文件的实质性内容。</w:t>
      </w:r>
    </w:p>
    <w:p w14:paraId="273B4E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投标人依据评审要求进行澄清、说明或者补正的内容构成投标文件的组成部分。</w:t>
      </w:r>
    </w:p>
    <w:p w14:paraId="193F7B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.比较与评价</w:t>
      </w:r>
    </w:p>
    <w:p w14:paraId="5CE1AB7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综合比较和评价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按综合得分高低列出中标候选人排序表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若总分相同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以报价得分高的排前；若总分、报价得分都相同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则以投标技术方面得分高的排前。</w:t>
      </w:r>
    </w:p>
    <w:p w14:paraId="6F9509A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.出现下列情况之一的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均予以废标</w:t>
      </w:r>
    </w:p>
    <w:p w14:paraId="0C4A61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合格的投标人或参加投标的企业不足三家的；</w:t>
      </w:r>
    </w:p>
    <w:p w14:paraId="3182474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出现影响招标公正的违法、违规行为的；</w:t>
      </w:r>
    </w:p>
    <w:p w14:paraId="5211279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投标人的报价均超过了预算价格</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79789B3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采购任务取消的。</w:t>
      </w:r>
    </w:p>
    <w:p w14:paraId="1238CD98">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三、评标方法</w:t>
      </w:r>
    </w:p>
    <w:p w14:paraId="66E4AAF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w:t>
      </w:r>
    </w:p>
    <w:p w14:paraId="127B90D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30"/>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944"/>
        <w:gridCol w:w="1216"/>
        <w:gridCol w:w="6113"/>
        <w:gridCol w:w="863"/>
        <w:gridCol w:w="714"/>
      </w:tblGrid>
      <w:tr w14:paraId="7FE6C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shd w:val="clear" w:color="auto" w:fill="D9D9D9"/>
            <w:noWrap w:val="0"/>
            <w:vAlign w:val="center"/>
          </w:tcPr>
          <w:p w14:paraId="09DA949A">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617" w:type="pct"/>
            <w:shd w:val="clear" w:color="auto" w:fill="D9D9D9"/>
            <w:noWrap w:val="0"/>
            <w:vAlign w:val="center"/>
          </w:tcPr>
          <w:p w14:paraId="76A820F8">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评分标题</w:t>
            </w:r>
          </w:p>
        </w:tc>
        <w:tc>
          <w:tcPr>
            <w:tcW w:w="3102" w:type="pct"/>
            <w:shd w:val="clear" w:color="auto" w:fill="D9D9D9"/>
            <w:noWrap w:val="0"/>
            <w:vAlign w:val="center"/>
          </w:tcPr>
          <w:p w14:paraId="62421B49">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438" w:type="pct"/>
            <w:shd w:val="clear" w:color="auto" w:fill="D9D9D9"/>
            <w:noWrap w:val="0"/>
            <w:vAlign w:val="center"/>
          </w:tcPr>
          <w:p w14:paraId="2E94F248">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362" w:type="pct"/>
            <w:shd w:val="clear" w:color="auto" w:fill="D9D9D9"/>
            <w:noWrap w:val="0"/>
            <w:vAlign w:val="center"/>
          </w:tcPr>
          <w:p w14:paraId="784343E8">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121A9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88DDD88">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w:t>
            </w:r>
          </w:p>
        </w:tc>
        <w:tc>
          <w:tcPr>
            <w:tcW w:w="617" w:type="pct"/>
            <w:noWrap w:val="0"/>
            <w:vAlign w:val="center"/>
          </w:tcPr>
          <w:p w14:paraId="030A50E9">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w:t>
            </w:r>
          </w:p>
        </w:tc>
        <w:tc>
          <w:tcPr>
            <w:tcW w:w="3102" w:type="pct"/>
            <w:noWrap w:val="0"/>
            <w:vAlign w:val="center"/>
          </w:tcPr>
          <w:p w14:paraId="35F20752">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标基准价计算方法：当0≤有效投标人个数≤6时，评标基准价=所有有效标书的投标报价的算术平均值；当7≤有效投标人个数≤9时，评标基准价=所有有效标书的投标报价去掉1个最高价、1个最低价后的算术平均值；当10≤有效投标人个数≤∞时，评标基准价=所有有效标书的投标报价去掉2个最高价、2个最低价后的算术平均值。</w:t>
            </w:r>
          </w:p>
          <w:p w14:paraId="75904A85">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投标报价与评标基准价进行比较，相同得满分；每高于评标基准价1%，扣减0.5分，扣完为止；每低于评标基准价1%，扣减0.25分，扣完为止；偏离不足1%时，按照插入法计算得分，分数保留两位小数。</w:t>
            </w:r>
          </w:p>
        </w:tc>
        <w:tc>
          <w:tcPr>
            <w:tcW w:w="438" w:type="pct"/>
            <w:noWrap w:val="0"/>
            <w:vAlign w:val="center"/>
          </w:tcPr>
          <w:p w14:paraId="15C4570D">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价格分</w:t>
            </w:r>
          </w:p>
        </w:tc>
        <w:tc>
          <w:tcPr>
            <w:tcW w:w="362" w:type="pct"/>
            <w:noWrap w:val="0"/>
            <w:vAlign w:val="center"/>
          </w:tcPr>
          <w:p w14:paraId="78F7CD61">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p>
        </w:tc>
      </w:tr>
      <w:tr w14:paraId="0D6F9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B34419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770B224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业绩</w:t>
            </w:r>
          </w:p>
        </w:tc>
        <w:tc>
          <w:tcPr>
            <w:tcW w:w="3102" w:type="pct"/>
            <w:noWrap w:val="0"/>
            <w:vAlign w:val="center"/>
          </w:tcPr>
          <w:p w14:paraId="1995713B">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投标人2023年1月1日至今（以合同签订时间为准）承揽的同类项目（指粮食仓储工程设计）业绩，每有一个得2分，本项最高得4分。</w:t>
            </w:r>
          </w:p>
          <w:p w14:paraId="2643A0C5">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注：投标文件中附合同主要条款页扫描件，不提供或提供的不满足要求不计分。</w:t>
            </w:r>
          </w:p>
        </w:tc>
        <w:tc>
          <w:tcPr>
            <w:tcW w:w="438" w:type="pct"/>
            <w:noWrap w:val="0"/>
            <w:vAlign w:val="center"/>
          </w:tcPr>
          <w:p w14:paraId="2F5FC492">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4A0AA1CF">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r>
      <w:tr w14:paraId="7F1B7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139438A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5B5DE33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人员配备</w:t>
            </w:r>
          </w:p>
        </w:tc>
        <w:tc>
          <w:tcPr>
            <w:tcW w:w="3102" w:type="pct"/>
            <w:noWrap w:val="0"/>
            <w:vAlign w:val="center"/>
          </w:tcPr>
          <w:p w14:paraId="71376A0A">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拟派设计人员数量充足，</w:t>
            </w:r>
            <w:r>
              <w:rPr>
                <w:rFonts w:hint="eastAsia" w:ascii="仿宋" w:hAnsi="仿宋" w:eastAsia="仿宋" w:cs="仿宋"/>
                <w:b w:val="0"/>
                <w:bCs w:val="0"/>
                <w:color w:val="auto"/>
                <w:sz w:val="24"/>
                <w:szCs w:val="24"/>
                <w:highlight w:val="none"/>
                <w:lang w:val="en-US" w:eastAsia="zh-CN"/>
              </w:rPr>
              <w:t>岗位</w:t>
            </w:r>
            <w:r>
              <w:rPr>
                <w:rFonts w:hint="eastAsia" w:ascii="仿宋" w:hAnsi="仿宋" w:eastAsia="仿宋" w:cs="仿宋"/>
                <w:b w:val="0"/>
                <w:bCs w:val="0"/>
                <w:color w:val="auto"/>
                <w:sz w:val="24"/>
                <w:szCs w:val="24"/>
                <w:highlight w:val="none"/>
                <w:lang w:eastAsia="zh-CN"/>
              </w:rPr>
              <w:t>工作经验丰富，设立专业设计组</w:t>
            </w:r>
            <w:r>
              <w:rPr>
                <w:rFonts w:hint="eastAsia" w:ascii="仿宋" w:hAnsi="仿宋" w:eastAsia="仿宋" w:cs="仿宋"/>
                <w:b w:val="0"/>
                <w:bCs w:val="0"/>
                <w:color w:val="auto"/>
                <w:sz w:val="24"/>
                <w:szCs w:val="24"/>
                <w:highlight w:val="none"/>
                <w:lang w:val="en-US" w:eastAsia="zh-CN"/>
              </w:rPr>
              <w:t>且</w:t>
            </w:r>
            <w:r>
              <w:rPr>
                <w:rFonts w:hint="eastAsia" w:ascii="仿宋" w:hAnsi="仿宋" w:eastAsia="仿宋" w:cs="仿宋"/>
                <w:b w:val="0"/>
                <w:bCs w:val="0"/>
                <w:color w:val="auto"/>
                <w:sz w:val="24"/>
                <w:szCs w:val="24"/>
                <w:highlight w:val="none"/>
                <w:lang w:eastAsia="zh-CN"/>
              </w:rPr>
              <w:t>各组明确专业负责人，</w:t>
            </w:r>
            <w:r>
              <w:rPr>
                <w:rFonts w:hint="eastAsia" w:ascii="仿宋" w:hAnsi="仿宋" w:eastAsia="仿宋" w:cs="仿宋"/>
                <w:b w:val="0"/>
                <w:bCs w:val="0"/>
                <w:color w:val="auto"/>
                <w:sz w:val="24"/>
                <w:szCs w:val="24"/>
                <w:highlight w:val="none"/>
                <w:lang w:val="en-US" w:eastAsia="zh-CN"/>
              </w:rPr>
              <w:t>团队</w:t>
            </w:r>
            <w:r>
              <w:rPr>
                <w:rFonts w:hint="eastAsia" w:ascii="仿宋" w:hAnsi="仿宋" w:eastAsia="仿宋" w:cs="仿宋"/>
                <w:b w:val="0"/>
                <w:bCs w:val="0"/>
                <w:color w:val="auto"/>
                <w:sz w:val="24"/>
                <w:szCs w:val="24"/>
                <w:highlight w:val="none"/>
                <w:lang w:eastAsia="zh-CN"/>
              </w:rPr>
              <w:t>专业配备齐全（至少涵盖建筑、结构、暖通空调、给水排水、电气、</w:t>
            </w:r>
            <w:r>
              <w:rPr>
                <w:rFonts w:hint="eastAsia" w:ascii="仿宋" w:hAnsi="仿宋" w:eastAsia="仿宋" w:cs="仿宋"/>
                <w:b w:val="0"/>
                <w:bCs w:val="0"/>
                <w:color w:val="auto"/>
                <w:sz w:val="24"/>
                <w:szCs w:val="24"/>
                <w:highlight w:val="none"/>
                <w:lang w:val="en-US" w:eastAsia="zh-CN"/>
              </w:rPr>
              <w:t>工艺</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造价</w:t>
            </w:r>
            <w:r>
              <w:rPr>
                <w:rFonts w:hint="eastAsia" w:ascii="仿宋" w:hAnsi="仿宋" w:eastAsia="仿宋" w:cs="仿宋"/>
                <w:b w:val="0"/>
                <w:bCs w:val="0"/>
                <w:color w:val="auto"/>
                <w:sz w:val="24"/>
                <w:szCs w:val="24"/>
                <w:highlight w:val="none"/>
                <w:lang w:eastAsia="zh-CN"/>
              </w:rPr>
              <w:t>），组织架构清晰，岗位分工及职责标准明确，能够充分贴合本项目的实际需要。</w:t>
            </w:r>
          </w:p>
          <w:p w14:paraId="25ABED5B">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7BC4C910">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2C334394">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r>
      <w:tr w14:paraId="1C600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4584A17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77757B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设计方案</w:t>
            </w:r>
          </w:p>
        </w:tc>
        <w:tc>
          <w:tcPr>
            <w:tcW w:w="3102" w:type="pct"/>
            <w:noWrap w:val="0"/>
            <w:vAlign w:val="center"/>
          </w:tcPr>
          <w:p w14:paraId="37BBF94D">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①对项目的总体理解和认识全面深刻，论述完整清晰，总体设计思路合理，综合措施科学得当；②对项目设计特点的描述准确到位，针对关键技术问题有深入阐述，提出的解决方案完整、经济、安全、切实可行，保障措施得力；③设计方案充分体现了项目的功能与特色，方案选择经济合理。</w:t>
            </w:r>
          </w:p>
          <w:p w14:paraId="033F2456">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以上每小项7分，共计21分。投标人针对上述内容描述详细完善，内容全面，表述思路清晰，能够充分满足要求，该项得满分。无相应内容的该项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2CFAD841">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45029B33">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w:t>
            </w:r>
          </w:p>
        </w:tc>
      </w:tr>
      <w:tr w14:paraId="67B0F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70D3615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55ECEB12">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进度计划及保障措施</w:t>
            </w:r>
          </w:p>
        </w:tc>
        <w:tc>
          <w:tcPr>
            <w:tcW w:w="3102" w:type="pct"/>
            <w:noWrap w:val="0"/>
            <w:vAlign w:val="center"/>
          </w:tcPr>
          <w:p w14:paraId="146A9653">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工作计划安排科学合理，各设计环节的任务排布均衡有序，设计任务的时间节点划分清晰明确，进度保障措施先进科学，符合项目整体推进的实际逻辑与规律，整体安排合理合规。</w:t>
            </w:r>
          </w:p>
          <w:p w14:paraId="678026BA">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7431583B">
            <w:pPr>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62CB8E76">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14:paraId="17190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C46E64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3908C1F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质量保障措施</w:t>
            </w:r>
          </w:p>
        </w:tc>
        <w:tc>
          <w:tcPr>
            <w:tcW w:w="3102" w:type="pct"/>
            <w:noWrap w:val="0"/>
            <w:vAlign w:val="center"/>
          </w:tcPr>
          <w:p w14:paraId="09EBD010">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制定的质量保障措施合理合规，管控要求清晰得当，针对设计全流程的过程控制措施覆盖完整，管控内容紧密贴合本项目实际建设特点与设计需求，完全符合现行工程设计的相关规范要求。</w:t>
            </w:r>
          </w:p>
          <w:p w14:paraId="644BDE7F">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6DB1DCE5">
            <w:pPr>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0823E952">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14:paraId="468419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6F8614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2DE837CF">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投资控制措施</w:t>
            </w:r>
          </w:p>
        </w:tc>
        <w:tc>
          <w:tcPr>
            <w:tcW w:w="3102" w:type="pct"/>
            <w:noWrap w:val="0"/>
            <w:vAlign w:val="center"/>
          </w:tcPr>
          <w:p w14:paraId="6BA935B4">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资控制方案内容完整，投资管控流程、重点、目标清晰，各项措施科学合理，设计限额控制手段完善，明确限额设计落实办法、各专业限额分解方案、超限额预警机制与纠偏处置机制，设计方案比选、优化、造价对比分析、材料设备选型管控、减少后期设计变更等配套措施合理。</w:t>
            </w:r>
          </w:p>
          <w:p w14:paraId="1FAF3904">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7698F9B4">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2AE09154">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14:paraId="619A2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0F88EC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w:t>
            </w:r>
          </w:p>
        </w:tc>
        <w:tc>
          <w:tcPr>
            <w:tcW w:w="617" w:type="pct"/>
            <w:noWrap w:val="0"/>
            <w:vAlign w:val="center"/>
          </w:tcPr>
          <w:p w14:paraId="48BA8DD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服务承诺</w:t>
            </w:r>
          </w:p>
        </w:tc>
        <w:tc>
          <w:tcPr>
            <w:tcW w:w="3102" w:type="pct"/>
            <w:noWrap w:val="0"/>
            <w:vAlign w:val="center"/>
          </w:tcPr>
          <w:p w14:paraId="1652767F">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default" w:ascii="仿宋" w:hAnsi="仿宋" w:eastAsia="仿宋" w:cs="仿宋"/>
                <w:b w:val="0"/>
                <w:bCs w:val="0"/>
                <w:color w:val="auto"/>
                <w:sz w:val="24"/>
                <w:szCs w:val="24"/>
                <w:highlight w:val="none"/>
                <w:lang w:val="en-US" w:eastAsia="zh-CN"/>
              </w:rPr>
              <w:t>服务承诺内容全面，技术支持响应速度快，各类问题处理解决效率高，承诺提供深化设计、技术交底、施工配合、设计变更及现场技术服务等相关工作，全程参与项目竣工验收阶段的技术服务工作，能够积极配合各相关单位完成本项目的施工任务。</w:t>
            </w:r>
          </w:p>
          <w:p w14:paraId="2629D85E">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04DEEF15">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6D68283C">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bl>
    <w:p w14:paraId="0069139A">
      <w:pPr>
        <w:shd w:val="clear"/>
        <w:spacing w:before="100" w:beforeAutospacing="1" w:after="100" w:afterAutospacing="1" w:line="415" w:lineRule="auto"/>
        <w:jc w:val="center"/>
        <w:outlineLvl w:val="0"/>
        <w:rPr>
          <w:rFonts w:hint="eastAsia" w:ascii="楷体_GB2312" w:hAnsi="宋体" w:eastAsia="楷体_GB2312" w:cs="宋体"/>
          <w:b/>
          <w:bCs/>
          <w:color w:val="auto"/>
          <w:sz w:val="44"/>
          <w:szCs w:val="44"/>
          <w:highlight w:val="none"/>
        </w:rPr>
      </w:pPr>
    </w:p>
    <w:p w14:paraId="19BE52C0">
      <w:pPr>
        <w:shd w:val="clear"/>
        <w:spacing w:before="100" w:beforeAutospacing="1" w:after="100" w:afterAutospacing="1" w:line="415" w:lineRule="auto"/>
        <w:jc w:val="center"/>
        <w:outlineLvl w:val="0"/>
        <w:rPr>
          <w:rFonts w:ascii="楷体_GB2312" w:hAnsi="宋体" w:eastAsia="楷体_GB2312" w:cs="宋体"/>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5F40E932">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sz w:val="44"/>
          <w:szCs w:val="44"/>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第五章  投标文件格式</w:t>
      </w:r>
    </w:p>
    <w:p w14:paraId="18A64A28">
      <w:pPr>
        <w:shd w:val="clear"/>
        <w:rPr>
          <w:rFonts w:hint="eastAsia"/>
          <w:color w:val="auto"/>
          <w:highlight w:val="none"/>
        </w:rPr>
      </w:pPr>
    </w:p>
    <w:p w14:paraId="7E49C012">
      <w:pPr>
        <w:pStyle w:val="2"/>
        <w:shd w:val="clear"/>
        <w:rPr>
          <w:rFonts w:hint="eastAsia"/>
          <w:color w:val="auto"/>
          <w:highlight w:val="none"/>
        </w:rPr>
      </w:pPr>
    </w:p>
    <w:p w14:paraId="14A2F161">
      <w:pPr>
        <w:shd w:val="clear"/>
        <w:rPr>
          <w:rFonts w:hint="eastAsia"/>
          <w:color w:val="auto"/>
          <w:highlight w:val="none"/>
        </w:rPr>
      </w:pPr>
    </w:p>
    <w:p w14:paraId="7939702F">
      <w:pPr>
        <w:pStyle w:val="2"/>
        <w:shd w:val="clear"/>
        <w:rPr>
          <w:rFonts w:hint="eastAsia"/>
          <w:color w:val="auto"/>
          <w:highlight w:val="none"/>
        </w:rPr>
      </w:pPr>
    </w:p>
    <w:p w14:paraId="5F29A9C2">
      <w:pPr>
        <w:shd w:val="clear"/>
        <w:rPr>
          <w:rFonts w:hint="eastAsia"/>
          <w:color w:val="auto"/>
          <w:highlight w:val="none"/>
        </w:rPr>
      </w:pPr>
    </w:p>
    <w:p w14:paraId="5EE5F81E">
      <w:pPr>
        <w:pStyle w:val="2"/>
        <w:shd w:val="clear"/>
        <w:rPr>
          <w:rFonts w:hint="eastAsia"/>
          <w:color w:val="auto"/>
          <w:highlight w:val="none"/>
        </w:rPr>
      </w:pPr>
    </w:p>
    <w:p w14:paraId="14740490">
      <w:pPr>
        <w:shd w:val="clear"/>
        <w:rPr>
          <w:color w:val="auto"/>
          <w:highlight w:val="none"/>
        </w:rPr>
      </w:pPr>
    </w:p>
    <w:p w14:paraId="0433F6EA">
      <w:pPr>
        <w:shd w:val="clear"/>
        <w:jc w:val="center"/>
        <w:rPr>
          <w:rFonts w:ascii="方正小标宋简体" w:hAnsi="仿宋" w:eastAsia="方正小标宋简体"/>
          <w:bCs/>
          <w:color w:val="auto"/>
          <w:sz w:val="84"/>
          <w:highlight w:val="none"/>
        </w:rPr>
      </w:pPr>
      <w:r>
        <w:rPr>
          <w:rFonts w:hint="eastAsia" w:ascii="方正小标宋简体" w:hAnsi="仿宋" w:eastAsia="方正小标宋简体"/>
          <w:bCs/>
          <w:color w:val="auto"/>
          <w:sz w:val="84"/>
          <w:highlight w:val="none"/>
        </w:rPr>
        <w:t>投 标 文 件</w:t>
      </w:r>
    </w:p>
    <w:p w14:paraId="13AB8451">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0CC21DB8">
      <w:pPr>
        <w:shd w:val="clear"/>
        <w:jc w:val="center"/>
        <w:rPr>
          <w:rFonts w:hint="eastAsia" w:ascii="仿宋" w:hAnsi="仿宋" w:eastAsia="仿宋" w:cs="仿宋"/>
          <w:color w:val="auto"/>
          <w:sz w:val="72"/>
          <w:highlight w:val="none"/>
        </w:rPr>
      </w:pPr>
    </w:p>
    <w:p w14:paraId="79DA556E">
      <w:pPr>
        <w:shd w:val="clear"/>
        <w:jc w:val="left"/>
        <w:rPr>
          <w:rFonts w:hint="eastAsia" w:ascii="仿宋" w:hAnsi="仿宋" w:eastAsia="仿宋" w:cs="仿宋"/>
          <w:b/>
          <w:color w:val="auto"/>
          <w:sz w:val="36"/>
          <w:szCs w:val="36"/>
          <w:highlight w:val="none"/>
        </w:rPr>
      </w:pPr>
      <w:r>
        <w:rPr>
          <w:rFonts w:hint="eastAsia" w:ascii="仿宋" w:hAnsi="仿宋" w:eastAsia="仿宋" w:cs="仿宋"/>
          <w:b/>
          <w:bCs/>
          <w:color w:val="auto"/>
          <w:sz w:val="36"/>
          <w:szCs w:val="36"/>
          <w:highlight w:val="none"/>
        </w:rPr>
        <w:t>采购项目：</w:t>
      </w:r>
      <w:r>
        <w:rPr>
          <w:rFonts w:hint="eastAsia" w:ascii="仿宋" w:hAnsi="仿宋" w:eastAsia="仿宋" w:cs="仿宋"/>
          <w:b/>
          <w:bCs/>
          <w:color w:val="auto"/>
          <w:sz w:val="36"/>
          <w:szCs w:val="36"/>
          <w:highlight w:val="none"/>
          <w:lang w:eastAsia="zh-CN"/>
        </w:rPr>
        <w:t>威海市国家粮食储备库有限公司高标准粮仓建设项目</w:t>
      </w:r>
      <w:r>
        <w:rPr>
          <w:rFonts w:hint="eastAsia" w:ascii="仿宋" w:hAnsi="仿宋" w:eastAsia="仿宋" w:cs="仿宋"/>
          <w:b/>
          <w:bCs/>
          <w:color w:val="auto"/>
          <w:sz w:val="36"/>
          <w:szCs w:val="36"/>
          <w:highlight w:val="none"/>
        </w:rPr>
        <w:t>设计</w:t>
      </w:r>
    </w:p>
    <w:p w14:paraId="71F89436">
      <w:pPr>
        <w:shd w:val="clear"/>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采购编号：</w:t>
      </w:r>
      <w:r>
        <w:rPr>
          <w:rFonts w:hint="eastAsia" w:ascii="仿宋" w:hAnsi="仿宋" w:eastAsia="仿宋" w:cs="仿宋"/>
          <w:b/>
          <w:bCs/>
          <w:color w:val="auto"/>
          <w:sz w:val="36"/>
          <w:szCs w:val="36"/>
          <w:highlight w:val="none"/>
          <w:lang w:eastAsia="zh-CN"/>
        </w:rPr>
        <w:t>WHZCZB2026-085</w:t>
      </w:r>
    </w:p>
    <w:p w14:paraId="346DFF86">
      <w:pPr>
        <w:shd w:val="clear"/>
        <w:jc w:val="left"/>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rPr>
        <w:t>所投包号：</w:t>
      </w:r>
      <w:r>
        <w:rPr>
          <w:rFonts w:hint="eastAsia" w:ascii="仿宋" w:hAnsi="仿宋" w:eastAsia="仿宋" w:cs="仿宋"/>
          <w:b/>
          <w:bCs/>
          <w:color w:val="auto"/>
          <w:sz w:val="36"/>
          <w:szCs w:val="36"/>
          <w:highlight w:val="none"/>
          <w:lang w:val="en-US" w:eastAsia="zh-CN"/>
        </w:rPr>
        <w:t>001</w:t>
      </w:r>
    </w:p>
    <w:p w14:paraId="430B93D9">
      <w:pPr>
        <w:shd w:val="clear"/>
        <w:jc w:val="left"/>
        <w:rPr>
          <w:rFonts w:hint="eastAsia" w:ascii="仿宋" w:hAnsi="仿宋" w:eastAsia="仿宋" w:cs="仿宋"/>
          <w:color w:val="auto"/>
          <w:sz w:val="36"/>
          <w:highlight w:val="none"/>
        </w:rPr>
      </w:pPr>
    </w:p>
    <w:p w14:paraId="5F00E856">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326E5A95">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5BFAB5F9">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lang w:val="en-US" w:eastAsia="zh-CN"/>
        </w:rPr>
        <w:t>盖章</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rPr>
        <w:t>：</w:t>
      </w:r>
    </w:p>
    <w:p w14:paraId="6BD54B72">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4FA64601">
      <w:pPr>
        <w:widowControl/>
        <w:shd w:val="clear"/>
        <w:jc w:val="center"/>
        <w:rPr>
          <w:rFonts w:ascii="黑体" w:hAnsi="黑体" w:eastAsia="黑体"/>
          <w:color w:val="auto"/>
          <w:sz w:val="44"/>
          <w:szCs w:val="44"/>
          <w:highlight w:val="none"/>
        </w:rPr>
      </w:pPr>
      <w:r>
        <w:rPr>
          <w:rFonts w:hint="eastAsia" w:ascii="仿宋" w:hAnsi="仿宋" w:eastAsia="仿宋" w:cs="仿宋"/>
          <w:color w:val="auto"/>
          <w:sz w:val="36"/>
          <w:szCs w:val="36"/>
          <w:highlight w:val="none"/>
        </w:rPr>
        <w:br w:type="page"/>
      </w:r>
      <w:r>
        <w:rPr>
          <w:rFonts w:hint="eastAsia" w:ascii="黑体" w:hAnsi="黑体" w:eastAsia="黑体"/>
          <w:b/>
          <w:bCs/>
          <w:color w:val="auto"/>
          <w:sz w:val="44"/>
          <w:szCs w:val="44"/>
          <w:highlight w:val="none"/>
        </w:rPr>
        <w:t>目录</w:t>
      </w:r>
    </w:p>
    <w:p w14:paraId="0872029E">
      <w:pPr>
        <w:widowControl/>
        <w:shd w:val="clear"/>
        <w:jc w:val="center"/>
        <w:rPr>
          <w:rFonts w:hint="eastAsia"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723CAD7B">
      <w:pPr>
        <w:widowControl/>
        <w:shd w:val="clear"/>
        <w:ind w:right="-35"/>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sz w:val="36"/>
          <w:szCs w:val="36"/>
          <w:highlight w:val="none"/>
        </w:rPr>
        <w:br w:type="page"/>
      </w:r>
      <w:bookmarkStart w:id="5" w:name="_Toc522526779"/>
      <w:bookmarkStart w:id="6" w:name="_Toc521936040"/>
      <w:r>
        <w:rPr>
          <w:rFonts w:hint="eastAsia" w:ascii="黑体" w:hAnsi="黑体" w:eastAsia="黑体" w:cs="Times New Roman"/>
          <w:b/>
          <w:bCs/>
          <w:color w:val="auto"/>
          <w:sz w:val="44"/>
          <w:szCs w:val="44"/>
          <w:highlight w:val="none"/>
        </w:rPr>
        <w:t>投标承诺函</w:t>
      </w:r>
      <w:bookmarkEnd w:id="5"/>
      <w:bookmarkEnd w:id="6"/>
    </w:p>
    <w:p w14:paraId="73723BAB">
      <w:pPr>
        <w:shd w:val="clear"/>
        <w:spacing w:line="560" w:lineRule="exact"/>
        <w:rPr>
          <w:rFonts w:hint="eastAsia" w:ascii="仿宋" w:hAnsi="仿宋" w:eastAsia="仿宋" w:cs="仿宋"/>
          <w:color w:val="auto"/>
          <w:sz w:val="30"/>
          <w:szCs w:val="30"/>
          <w:highlight w:val="none"/>
        </w:rPr>
      </w:pPr>
    </w:p>
    <w:p w14:paraId="1AC6A676">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7787A7A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我方收到项目编号为</w:t>
      </w:r>
      <w:r>
        <w:rPr>
          <w:rFonts w:hint="eastAsia" w:ascii="仿宋" w:hAnsi="仿宋" w:eastAsia="仿宋" w:cs="仿宋"/>
          <w:color w:val="auto"/>
          <w:kern w:val="0"/>
          <w:sz w:val="30"/>
          <w:szCs w:val="30"/>
          <w:highlight w:val="none"/>
          <w:lang w:eastAsia="zh-CN"/>
        </w:rPr>
        <w:t>WHZCZB2026-085威海市国家粮食储备库有限公司高标准粮仓建设项目设计</w:t>
      </w:r>
      <w:r>
        <w:rPr>
          <w:rFonts w:hint="eastAsia" w:ascii="仿宋" w:hAnsi="仿宋" w:eastAsia="仿宋" w:cs="仿宋"/>
          <w:color w:val="auto"/>
          <w:kern w:val="0"/>
          <w:sz w:val="30"/>
          <w:szCs w:val="30"/>
          <w:highlight w:val="none"/>
        </w:rPr>
        <w:t>的招标文件</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经详细研究决定参加投标。</w:t>
      </w:r>
    </w:p>
    <w:p w14:paraId="31653208">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1.我方接受本招标文件中关于电子招投标的各项规定</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遵守《中华人民共和国电子签名法》关于电子签名的各项规定。我方愿意按照招标文件的规定和要求提供服务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报价详见《开标一览表》。</w:t>
      </w:r>
    </w:p>
    <w:p w14:paraId="5554D94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2.我方同意90天的投标有效期</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严格遵守投标文件的各项承诺。在此期限届满之前</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本投标文件始终对我方具有约束力</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并随时接受中标。我方承诺在投标有效期内不修改、撤销投标文件。</w:t>
      </w:r>
    </w:p>
    <w:p w14:paraId="4CECFE1E">
      <w:pPr>
        <w:shd w:val="clear"/>
        <w:spacing w:line="560" w:lineRule="exact"/>
        <w:ind w:firstLine="600" w:firstLineChars="200"/>
        <w:rPr>
          <w:rFonts w:hint="eastAsia" w:ascii="仿宋" w:hAnsi="仿宋" w:eastAsia="仿宋" w:cs="仿宋"/>
          <w:strike/>
          <w:color w:val="auto"/>
          <w:kern w:val="0"/>
          <w:sz w:val="30"/>
          <w:szCs w:val="30"/>
          <w:highlight w:val="none"/>
        </w:rPr>
      </w:pPr>
      <w:r>
        <w:rPr>
          <w:rFonts w:hint="eastAsia" w:ascii="仿宋" w:hAnsi="仿宋" w:eastAsia="仿宋" w:cs="仿宋"/>
          <w:color w:val="auto"/>
          <w:kern w:val="0"/>
          <w:sz w:val="30"/>
          <w:szCs w:val="30"/>
          <w:highlight w:val="none"/>
        </w:rPr>
        <w:t>3.我方愿意遵守本招标文件的规定和要求并提供招标文件中要求的所有资料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若投标文件中存在虚假资料的</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则视为我方隐瞒真实情况、提供虚假资料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我方愿意接受主管部门做出的行政处罚。</w:t>
      </w:r>
    </w:p>
    <w:p w14:paraId="2479499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4.我方同意最低价是中标的主要选择标准，但不是唯一的选择标准。</w:t>
      </w:r>
    </w:p>
    <w:p w14:paraId="0B75511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rPr>
        <w:t>5.</w:t>
      </w:r>
      <w:r>
        <w:rPr>
          <w:rFonts w:hint="eastAsia" w:ascii="仿宋" w:hAnsi="仿宋" w:eastAsia="仿宋" w:cs="仿宋"/>
          <w:color w:val="auto"/>
          <w:kern w:val="0"/>
          <w:sz w:val="30"/>
          <w:szCs w:val="30"/>
          <w:highlight w:val="none"/>
        </w:rPr>
        <w:t>如果我方中标：</w:t>
      </w:r>
    </w:p>
    <w:p w14:paraId="190B51E4">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（1）我方承诺在中标通知书发出后</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在规定期限内与</w:t>
      </w:r>
      <w:r>
        <w:rPr>
          <w:rFonts w:hint="eastAsia" w:ascii="仿宋" w:hAnsi="仿宋" w:eastAsia="仿宋" w:cs="仿宋"/>
          <w:color w:val="auto"/>
          <w:kern w:val="0"/>
          <w:sz w:val="30"/>
          <w:szCs w:val="30"/>
          <w:highlight w:val="none"/>
          <w:lang w:eastAsia="zh-CN"/>
        </w:rPr>
        <w:t>采购人</w:t>
      </w:r>
      <w:r>
        <w:rPr>
          <w:rFonts w:hint="eastAsia" w:ascii="仿宋" w:hAnsi="仿宋" w:eastAsia="仿宋" w:cs="仿宋"/>
          <w:color w:val="auto"/>
          <w:kern w:val="0"/>
          <w:sz w:val="30"/>
          <w:szCs w:val="30"/>
          <w:highlight w:val="none"/>
        </w:rPr>
        <w:t>签订合同；</w:t>
      </w:r>
    </w:p>
    <w:p w14:paraId="789CAB3E">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（2）我方承诺在合同约定的期限内</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按期、保质、保量完成</w:t>
      </w:r>
      <w:r>
        <w:rPr>
          <w:rFonts w:hint="eastAsia" w:ascii="仿宋" w:hAnsi="仿宋" w:eastAsia="仿宋" w:cs="仿宋"/>
          <w:color w:val="auto"/>
          <w:kern w:val="0"/>
          <w:sz w:val="30"/>
          <w:szCs w:val="30"/>
          <w:highlight w:val="none"/>
          <w:lang w:val="en-US" w:eastAsia="zh-CN"/>
        </w:rPr>
        <w:t>服务</w:t>
      </w:r>
      <w:r>
        <w:rPr>
          <w:rFonts w:hint="eastAsia" w:ascii="仿宋" w:hAnsi="仿宋" w:eastAsia="仿宋" w:cs="仿宋"/>
          <w:color w:val="auto"/>
          <w:kern w:val="0"/>
          <w:sz w:val="30"/>
          <w:szCs w:val="30"/>
          <w:highlight w:val="none"/>
        </w:rPr>
        <w:t>任务；</w:t>
      </w:r>
    </w:p>
    <w:p w14:paraId="5FD09A6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（3）我方承诺将按照招标文件的规定全额交纳代理服务费。</w:t>
      </w:r>
    </w:p>
    <w:p w14:paraId="10E6846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eastAsia="zh-CN"/>
        </w:rPr>
        <w:t>6</w:t>
      </w:r>
      <w:r>
        <w:rPr>
          <w:rFonts w:hint="eastAsia" w:ascii="仿宋" w:hAnsi="仿宋" w:eastAsia="仿宋" w:cs="仿宋"/>
          <w:color w:val="auto"/>
          <w:kern w:val="0"/>
          <w:sz w:val="30"/>
          <w:szCs w:val="30"/>
          <w:highlight w:val="none"/>
        </w:rPr>
        <w:t>.所有有关本投标的函电</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请按下列地址联系：</w:t>
      </w:r>
    </w:p>
    <w:p w14:paraId="12A7B11D">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    位：                     邮政编码：</w:t>
      </w:r>
    </w:p>
    <w:p w14:paraId="3A38006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    址：                     联 系 人：</w:t>
      </w:r>
    </w:p>
    <w:p w14:paraId="751BB60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电    话：                     传    真：</w:t>
      </w:r>
    </w:p>
    <w:p w14:paraId="3628262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开户名称：</w:t>
      </w:r>
    </w:p>
    <w:p w14:paraId="22757211">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开户银行：</w:t>
      </w:r>
    </w:p>
    <w:p w14:paraId="248AA9F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开户账号：</w:t>
      </w:r>
    </w:p>
    <w:p w14:paraId="0FD1123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投标人（盖章）：</w:t>
      </w:r>
    </w:p>
    <w:p w14:paraId="25ABC9E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r>
        <w:rPr>
          <w:rFonts w:hint="eastAsia" w:ascii="仿宋" w:hAnsi="仿宋" w:eastAsia="仿宋" w:cs="仿宋"/>
          <w:color w:val="auto"/>
          <w:kern w:val="0"/>
          <w:sz w:val="30"/>
          <w:szCs w:val="30"/>
          <w:highlight w:val="none"/>
          <w:lang w:val="en-US" w:eastAsia="zh-CN"/>
        </w:rPr>
        <w:t>/单位负责人</w:t>
      </w:r>
      <w:r>
        <w:rPr>
          <w:rFonts w:hint="eastAsia" w:ascii="仿宋" w:hAnsi="仿宋" w:eastAsia="仿宋" w:cs="仿宋"/>
          <w:color w:val="auto"/>
          <w:kern w:val="0"/>
          <w:sz w:val="30"/>
          <w:szCs w:val="30"/>
          <w:highlight w:val="none"/>
        </w:rPr>
        <w:t>或被授权人（签字或盖章）：</w:t>
      </w:r>
    </w:p>
    <w:p w14:paraId="531C87E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投标日期：××年××月××日 </w:t>
      </w:r>
    </w:p>
    <w:p w14:paraId="24C5DDEE">
      <w:pPr>
        <w:shd w:val="clear"/>
        <w:spacing w:line="560" w:lineRule="exact"/>
        <w:ind w:firstLine="600" w:firstLineChars="200"/>
        <w:rPr>
          <w:rFonts w:hint="eastAsia"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48569E0B">
      <w:pPr>
        <w:shd w:val="clear"/>
        <w:spacing w:line="560" w:lineRule="exact"/>
        <w:ind w:firstLine="600" w:firstLineChars="200"/>
        <w:rPr>
          <w:rFonts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6399BB19">
      <w:pPr>
        <w:keepNext/>
        <w:keepLines/>
        <w:shd w:val="clear"/>
        <w:spacing w:line="560" w:lineRule="exact"/>
        <w:jc w:val="center"/>
        <w:outlineLvl w:val="1"/>
        <w:rPr>
          <w:rFonts w:ascii="Arial" w:hAnsi="Arial" w:eastAsia="黑体"/>
          <w:bCs/>
          <w:color w:val="auto"/>
          <w:sz w:val="44"/>
          <w:szCs w:val="32"/>
          <w:highlight w:val="none"/>
        </w:rPr>
        <w:sectPr>
          <w:headerReference r:id="rId15" w:type="default"/>
          <w:footerReference r:id="rId16" w:type="default"/>
          <w:pgSz w:w="11906" w:h="16838"/>
          <w:pgMar w:top="1440" w:right="1083" w:bottom="1440" w:left="1083" w:header="851" w:footer="992" w:gutter="0"/>
          <w:pgNumType w:fmt="decimal"/>
          <w:cols w:space="0" w:num="1"/>
          <w:rtlGutter w:val="0"/>
          <w:docGrid w:type="lines" w:linePitch="312" w:charSpace="0"/>
        </w:sectPr>
      </w:pPr>
      <w:bookmarkStart w:id="7" w:name="_Toc521936041"/>
      <w:bookmarkStart w:id="8" w:name="_Toc522526780"/>
    </w:p>
    <w:p w14:paraId="358BBC54">
      <w:pPr>
        <w:widowControl/>
        <w:shd w:val="clear"/>
        <w:jc w:val="center"/>
        <w:rPr>
          <w:rFonts w:hint="eastAsia" w:ascii="黑体" w:hAnsi="黑体" w:eastAsia="黑体" w:cs="Times New Roman"/>
          <w:b/>
          <w:bCs/>
          <w:color w:val="auto"/>
          <w:sz w:val="44"/>
          <w:szCs w:val="44"/>
          <w:highlight w:val="none"/>
          <w:lang w:eastAsia="zh-CN"/>
        </w:rPr>
      </w:pPr>
      <w:r>
        <w:rPr>
          <w:rFonts w:hint="eastAsia" w:ascii="黑体" w:hAnsi="黑体" w:eastAsia="黑体" w:cs="Times New Roman"/>
          <w:b/>
          <w:bCs/>
          <w:color w:val="auto"/>
          <w:sz w:val="44"/>
          <w:szCs w:val="44"/>
          <w:highlight w:val="none"/>
          <w:lang w:eastAsia="zh-CN"/>
        </w:rPr>
        <w:t>报价明细表</w:t>
      </w:r>
    </w:p>
    <w:p w14:paraId="02F92ACB">
      <w:pPr>
        <w:pStyle w:val="176"/>
        <w:keepNext w:val="0"/>
        <w:keepLines w:val="0"/>
        <w:pageBreakBefore w:val="0"/>
        <w:widowControl w:val="0"/>
        <w:shd w:val="clear"/>
        <w:kinsoku/>
        <w:wordWrap/>
        <w:overflowPunct/>
        <w:topLinePunct w:val="0"/>
        <w:bidi w:val="0"/>
        <w:snapToGrid/>
        <w:spacing w:line="480" w:lineRule="exact"/>
        <w:ind w:right="0" w:rightChars="0" w:firstLine="0" w:firstLineChars="0"/>
        <w:jc w:val="right"/>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单位：元</w:t>
      </w:r>
    </w:p>
    <w:tbl>
      <w:tblPr>
        <w:tblStyle w:val="3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2046"/>
        <w:gridCol w:w="2046"/>
        <w:gridCol w:w="1170"/>
        <w:gridCol w:w="1170"/>
        <w:gridCol w:w="1171"/>
        <w:gridCol w:w="1179"/>
      </w:tblGrid>
      <w:tr w14:paraId="7A68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trPr>
        <w:tc>
          <w:tcPr>
            <w:tcW w:w="588" w:type="pct"/>
            <w:noWrap w:val="0"/>
            <w:vAlign w:val="center"/>
          </w:tcPr>
          <w:p w14:paraId="017DB7C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序号</w:t>
            </w:r>
          </w:p>
        </w:tc>
        <w:tc>
          <w:tcPr>
            <w:tcW w:w="1028" w:type="pct"/>
            <w:noWrap w:val="0"/>
            <w:vAlign w:val="center"/>
          </w:tcPr>
          <w:p w14:paraId="6CA338A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服务内容</w:t>
            </w:r>
          </w:p>
        </w:tc>
        <w:tc>
          <w:tcPr>
            <w:tcW w:w="1028" w:type="pct"/>
            <w:noWrap w:val="0"/>
            <w:vAlign w:val="center"/>
          </w:tcPr>
          <w:p w14:paraId="1A54B3D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详细说明</w:t>
            </w:r>
          </w:p>
        </w:tc>
        <w:tc>
          <w:tcPr>
            <w:tcW w:w="588" w:type="pct"/>
            <w:noWrap w:val="0"/>
            <w:vAlign w:val="center"/>
          </w:tcPr>
          <w:p w14:paraId="2CBF99C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数量</w:t>
            </w:r>
          </w:p>
        </w:tc>
        <w:tc>
          <w:tcPr>
            <w:tcW w:w="588" w:type="pct"/>
            <w:noWrap w:val="0"/>
            <w:vAlign w:val="center"/>
          </w:tcPr>
          <w:p w14:paraId="44008FC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单位</w:t>
            </w:r>
          </w:p>
        </w:tc>
        <w:tc>
          <w:tcPr>
            <w:tcW w:w="588" w:type="pct"/>
            <w:noWrap w:val="0"/>
            <w:vAlign w:val="center"/>
          </w:tcPr>
          <w:p w14:paraId="30A65341">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单价</w:t>
            </w:r>
          </w:p>
        </w:tc>
        <w:tc>
          <w:tcPr>
            <w:tcW w:w="588" w:type="pct"/>
            <w:noWrap w:val="0"/>
            <w:vAlign w:val="center"/>
          </w:tcPr>
          <w:p w14:paraId="126DBB6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合价</w:t>
            </w:r>
          </w:p>
        </w:tc>
      </w:tr>
      <w:tr w14:paraId="293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tcBorders>
              <w:bottom w:val="single" w:color="auto" w:sz="4" w:space="0"/>
            </w:tcBorders>
            <w:noWrap w:val="0"/>
            <w:vAlign w:val="center"/>
          </w:tcPr>
          <w:p w14:paraId="1BF63FF0">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tcBorders>
              <w:bottom w:val="single" w:color="auto" w:sz="4" w:space="0"/>
            </w:tcBorders>
            <w:noWrap w:val="0"/>
            <w:vAlign w:val="center"/>
          </w:tcPr>
          <w:p w14:paraId="3324EE48">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tcBorders>
              <w:bottom w:val="single" w:color="auto" w:sz="4" w:space="0"/>
            </w:tcBorders>
            <w:noWrap w:val="0"/>
            <w:vAlign w:val="center"/>
          </w:tcPr>
          <w:p w14:paraId="355C742E">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tcBorders>
              <w:bottom w:val="single" w:color="auto" w:sz="4" w:space="0"/>
            </w:tcBorders>
            <w:noWrap w:val="0"/>
            <w:vAlign w:val="center"/>
          </w:tcPr>
          <w:p w14:paraId="5EEAB12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lang w:val="en-US" w:eastAsia="zh-CN"/>
              </w:rPr>
            </w:pPr>
          </w:p>
        </w:tc>
        <w:tc>
          <w:tcPr>
            <w:tcW w:w="588" w:type="pct"/>
            <w:tcBorders>
              <w:bottom w:val="single" w:color="auto" w:sz="4" w:space="0"/>
            </w:tcBorders>
            <w:noWrap w:val="0"/>
            <w:vAlign w:val="center"/>
          </w:tcPr>
          <w:p w14:paraId="3D108AC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399114D6">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18017B9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17A1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tcBorders>
              <w:bottom w:val="single" w:color="auto" w:sz="4" w:space="0"/>
            </w:tcBorders>
            <w:noWrap w:val="0"/>
            <w:vAlign w:val="center"/>
          </w:tcPr>
          <w:p w14:paraId="5A3406D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tcBorders>
              <w:bottom w:val="single" w:color="auto" w:sz="4" w:space="0"/>
            </w:tcBorders>
            <w:noWrap w:val="0"/>
            <w:vAlign w:val="center"/>
          </w:tcPr>
          <w:p w14:paraId="4F8D092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tcBorders>
              <w:bottom w:val="single" w:color="auto" w:sz="4" w:space="0"/>
            </w:tcBorders>
            <w:noWrap w:val="0"/>
            <w:vAlign w:val="center"/>
          </w:tcPr>
          <w:p w14:paraId="0AEE0251">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tcBorders>
              <w:bottom w:val="single" w:color="auto" w:sz="4" w:space="0"/>
            </w:tcBorders>
            <w:noWrap w:val="0"/>
            <w:vAlign w:val="center"/>
          </w:tcPr>
          <w:p w14:paraId="5498A07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22282ED0">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6B62507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6C70FAC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424B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2D3A4432">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7ED34C2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06252862">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03B6B37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6E102A6D">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1955C812">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5C609251">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055C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5616CBD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166F787A">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3BDF8239">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745A2F9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45D92AE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60072E8E">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0BAD8BE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2120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3C6F8238">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3D69CF1E">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01C81DB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5FFFF88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7EB6F3BC">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216AD37E">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51928B1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58E9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7"/>
            <w:tcBorders>
              <w:bottom w:val="single" w:color="auto" w:sz="4" w:space="0"/>
            </w:tcBorders>
            <w:noWrap w:val="0"/>
            <w:vAlign w:val="center"/>
          </w:tcPr>
          <w:p w14:paraId="33374CE4">
            <w:pPr>
              <w:keepNext w:val="0"/>
              <w:keepLines w:val="0"/>
              <w:pageBreakBefore w:val="0"/>
              <w:widowControl w:val="0"/>
              <w:shd w:val="clear"/>
              <w:kinsoku/>
              <w:wordWrap/>
              <w:overflowPunct/>
              <w:topLinePunct w:val="0"/>
              <w:bidi w:val="0"/>
              <w:snapToGrid/>
              <w:spacing w:line="480" w:lineRule="exact"/>
              <w:ind w:right="0" w:rightChars="0" w:firstLine="0" w:firstLineChars="0"/>
              <w:jc w:val="left"/>
              <w:textAlignment w:val="auto"/>
              <w:rPr>
                <w:rFonts w:hint="eastAsia" w:ascii="仿宋" w:hAnsi="仿宋" w:eastAsia="仿宋" w:cs="仿宋"/>
                <w:sz w:val="32"/>
                <w:szCs w:val="32"/>
                <w:highlight w:val="none"/>
              </w:rPr>
            </w:pPr>
            <w:r>
              <w:rPr>
                <w:rFonts w:hint="eastAsia" w:ascii="仿宋" w:hAnsi="仿宋" w:eastAsia="仿宋" w:cs="仿宋"/>
                <w:b/>
                <w:sz w:val="32"/>
                <w:szCs w:val="32"/>
                <w:highlight w:val="none"/>
              </w:rPr>
              <w:t xml:space="preserve">总报价：人民币 </w:t>
            </w:r>
            <w:r>
              <w:rPr>
                <w:rFonts w:hint="eastAsia" w:ascii="仿宋" w:hAnsi="仿宋" w:eastAsia="仿宋" w:cs="仿宋"/>
                <w:b/>
                <w:sz w:val="32"/>
                <w:szCs w:val="32"/>
                <w:highlight w:val="none"/>
                <w:u w:val="single"/>
              </w:rPr>
              <w:t xml:space="preserve">               </w:t>
            </w:r>
            <w:r>
              <w:rPr>
                <w:rFonts w:hint="eastAsia" w:ascii="仿宋" w:hAnsi="仿宋" w:eastAsia="仿宋" w:cs="仿宋"/>
                <w:b/>
                <w:sz w:val="32"/>
                <w:szCs w:val="32"/>
                <w:highlight w:val="none"/>
              </w:rPr>
              <w:t>元。</w:t>
            </w:r>
          </w:p>
        </w:tc>
      </w:tr>
    </w:tbl>
    <w:p w14:paraId="79FD20AE">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注：此表应详细填写。</w:t>
      </w:r>
    </w:p>
    <w:p w14:paraId="7E159223">
      <w:pPr>
        <w:pStyle w:val="21"/>
        <w:shd w:val="clear"/>
        <w:rPr>
          <w:rFonts w:hint="eastAsia" w:ascii="仿宋" w:hAnsi="仿宋" w:eastAsia="仿宋" w:cs="仿宋"/>
          <w:highlight w:val="none"/>
          <w:lang w:eastAsia="zh-CN"/>
        </w:rPr>
      </w:pPr>
    </w:p>
    <w:p w14:paraId="4DB51FBF">
      <w:pPr>
        <w:shd w:val="clear"/>
        <w:spacing w:line="440" w:lineRule="exact"/>
        <w:rPr>
          <w:rFonts w:hint="eastAsia" w:ascii="仿宋" w:hAnsi="仿宋" w:eastAsia="仿宋" w:cs="仿宋"/>
          <w:color w:val="auto"/>
          <w:sz w:val="24"/>
          <w:highlight w:val="none"/>
          <w:lang w:val="en-US" w:eastAsia="zh-CN"/>
        </w:rPr>
      </w:pPr>
    </w:p>
    <w:p w14:paraId="16639805">
      <w:pPr>
        <w:shd w:val="clear"/>
        <w:jc w:val="center"/>
        <w:rPr>
          <w:rFonts w:hint="eastAsia" w:ascii="仿宋" w:hAnsi="仿宋" w:eastAsia="仿宋" w:cs="仿宋"/>
          <w:color w:val="auto"/>
          <w:highlight w:val="none"/>
        </w:rPr>
      </w:pPr>
    </w:p>
    <w:p w14:paraId="13D0D25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9BEE5BF">
      <w:pPr>
        <w:shd w:val="clear"/>
        <w:rPr>
          <w:rFonts w:hint="eastAsia" w:ascii="仿宋" w:hAnsi="仿宋" w:eastAsia="仿宋" w:cs="仿宋"/>
          <w:color w:val="auto"/>
          <w:highlight w:val="none"/>
        </w:rPr>
      </w:pPr>
    </w:p>
    <w:p w14:paraId="6F35B77E">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7"/>
    <w:bookmarkEnd w:id="8"/>
    <w:p w14:paraId="7E30DD7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投标人资格证明文件</w:t>
      </w:r>
    </w:p>
    <w:p w14:paraId="6A703B3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lang w:eastAsia="zh-CN"/>
        </w:rPr>
      </w:pPr>
      <w:r>
        <w:rPr>
          <w:rFonts w:hint="eastAsia" w:eastAsia="黑体" w:cs="Times New Roman"/>
          <w:bCs/>
          <w:color w:val="auto"/>
          <w:sz w:val="32"/>
          <w:szCs w:val="32"/>
          <w:highlight w:val="none"/>
          <w:lang w:eastAsia="zh-CN"/>
        </w:rPr>
        <w:t>有效的营业执照扫描件或其他能证明具有独立承担民事责任的能力的证明材料扫描件</w:t>
      </w:r>
    </w:p>
    <w:p w14:paraId="58EB9A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2959AC1F">
      <w:pPr>
        <w:shd w:val="clear"/>
        <w:jc w:val="center"/>
        <w:rPr>
          <w:rFonts w:hint="eastAsia" w:ascii="仿宋" w:hAnsi="仿宋" w:eastAsia="仿宋" w:cs="仿宋"/>
          <w:color w:val="auto"/>
          <w:highlight w:val="none"/>
        </w:rPr>
      </w:pPr>
    </w:p>
    <w:p w14:paraId="1B1765AD">
      <w:pPr>
        <w:shd w:val="clear"/>
        <w:jc w:val="center"/>
        <w:rPr>
          <w:rFonts w:hint="eastAsia" w:ascii="仿宋" w:hAnsi="仿宋" w:eastAsia="仿宋" w:cs="仿宋"/>
          <w:color w:val="auto"/>
          <w:highlight w:val="none"/>
        </w:rPr>
      </w:pPr>
    </w:p>
    <w:p w14:paraId="7427F16F">
      <w:pPr>
        <w:shd w:val="clear"/>
        <w:jc w:val="center"/>
        <w:rPr>
          <w:rFonts w:hint="eastAsia" w:ascii="仿宋" w:hAnsi="仿宋" w:eastAsia="仿宋" w:cs="仿宋"/>
          <w:color w:val="auto"/>
          <w:highlight w:val="none"/>
        </w:rPr>
      </w:pPr>
    </w:p>
    <w:p w14:paraId="607C2F0B">
      <w:pPr>
        <w:shd w:val="clear"/>
        <w:jc w:val="center"/>
        <w:rPr>
          <w:rFonts w:hint="eastAsia" w:ascii="仿宋" w:hAnsi="仿宋" w:eastAsia="仿宋" w:cs="仿宋"/>
          <w:color w:val="auto"/>
          <w:highlight w:val="none"/>
        </w:rPr>
      </w:pPr>
    </w:p>
    <w:p w14:paraId="5B56C85C">
      <w:pPr>
        <w:shd w:val="clear"/>
        <w:jc w:val="center"/>
        <w:rPr>
          <w:rFonts w:hint="eastAsia" w:ascii="仿宋" w:hAnsi="仿宋" w:eastAsia="仿宋" w:cs="仿宋"/>
          <w:color w:val="auto"/>
          <w:highlight w:val="none"/>
        </w:rPr>
      </w:pPr>
    </w:p>
    <w:p w14:paraId="67FBCA46">
      <w:pPr>
        <w:shd w:val="clear"/>
        <w:jc w:val="center"/>
        <w:rPr>
          <w:rFonts w:hint="eastAsia" w:ascii="仿宋" w:hAnsi="仿宋" w:eastAsia="仿宋" w:cs="仿宋"/>
          <w:color w:val="auto"/>
          <w:highlight w:val="none"/>
        </w:rPr>
      </w:pPr>
    </w:p>
    <w:p w14:paraId="5BFAE080">
      <w:pPr>
        <w:shd w:val="clear"/>
        <w:jc w:val="center"/>
        <w:rPr>
          <w:rFonts w:hint="eastAsia" w:ascii="仿宋" w:hAnsi="仿宋" w:eastAsia="仿宋" w:cs="仿宋"/>
          <w:color w:val="auto"/>
          <w:highlight w:val="none"/>
        </w:rPr>
      </w:pPr>
    </w:p>
    <w:p w14:paraId="4CB80FAF">
      <w:pPr>
        <w:shd w:val="clear"/>
        <w:jc w:val="center"/>
        <w:rPr>
          <w:rFonts w:hint="eastAsia" w:ascii="仿宋" w:hAnsi="仿宋" w:eastAsia="仿宋" w:cs="仿宋"/>
          <w:color w:val="auto"/>
          <w:highlight w:val="none"/>
        </w:rPr>
      </w:pPr>
    </w:p>
    <w:p w14:paraId="1A95AB6A">
      <w:pPr>
        <w:shd w:val="clear"/>
        <w:jc w:val="center"/>
        <w:rPr>
          <w:rFonts w:hint="eastAsia" w:ascii="仿宋" w:hAnsi="仿宋" w:eastAsia="仿宋" w:cs="仿宋"/>
          <w:color w:val="auto"/>
          <w:highlight w:val="none"/>
        </w:rPr>
      </w:pPr>
    </w:p>
    <w:p w14:paraId="3B12E262">
      <w:pPr>
        <w:shd w:val="clear"/>
        <w:jc w:val="center"/>
        <w:rPr>
          <w:rFonts w:hint="eastAsia" w:ascii="仿宋" w:hAnsi="仿宋" w:eastAsia="仿宋" w:cs="仿宋"/>
          <w:color w:val="auto"/>
          <w:highlight w:val="none"/>
        </w:rPr>
      </w:pPr>
    </w:p>
    <w:p w14:paraId="7D085D88">
      <w:pPr>
        <w:shd w:val="clear"/>
        <w:jc w:val="center"/>
        <w:rPr>
          <w:rFonts w:hint="eastAsia" w:ascii="仿宋" w:hAnsi="仿宋" w:eastAsia="仿宋" w:cs="仿宋"/>
          <w:color w:val="auto"/>
          <w:highlight w:val="none"/>
        </w:rPr>
      </w:pPr>
    </w:p>
    <w:p w14:paraId="6EB753C7">
      <w:pPr>
        <w:shd w:val="clear"/>
        <w:jc w:val="center"/>
        <w:rPr>
          <w:rFonts w:hint="eastAsia" w:ascii="仿宋" w:hAnsi="仿宋" w:eastAsia="仿宋" w:cs="仿宋"/>
          <w:color w:val="auto"/>
          <w:highlight w:val="none"/>
        </w:rPr>
      </w:pPr>
    </w:p>
    <w:p w14:paraId="06470B19">
      <w:pPr>
        <w:shd w:val="clear"/>
        <w:jc w:val="center"/>
        <w:rPr>
          <w:rFonts w:hint="eastAsia" w:ascii="仿宋" w:hAnsi="仿宋" w:eastAsia="仿宋" w:cs="仿宋"/>
          <w:color w:val="auto"/>
          <w:highlight w:val="none"/>
        </w:rPr>
      </w:pPr>
    </w:p>
    <w:p w14:paraId="362C3D91">
      <w:pPr>
        <w:shd w:val="clear"/>
        <w:jc w:val="center"/>
        <w:rPr>
          <w:rFonts w:hint="eastAsia" w:ascii="仿宋" w:hAnsi="仿宋" w:eastAsia="仿宋" w:cs="仿宋"/>
          <w:color w:val="auto"/>
          <w:highlight w:val="none"/>
        </w:rPr>
      </w:pPr>
    </w:p>
    <w:p w14:paraId="5ED480BF">
      <w:pPr>
        <w:shd w:val="clear"/>
        <w:jc w:val="center"/>
        <w:rPr>
          <w:rFonts w:hint="eastAsia" w:ascii="仿宋" w:hAnsi="仿宋" w:eastAsia="仿宋" w:cs="仿宋"/>
          <w:color w:val="auto"/>
          <w:highlight w:val="none"/>
        </w:rPr>
      </w:pPr>
    </w:p>
    <w:p w14:paraId="51D93D92">
      <w:pPr>
        <w:shd w:val="clear"/>
        <w:jc w:val="center"/>
        <w:rPr>
          <w:rFonts w:hint="eastAsia" w:ascii="仿宋" w:hAnsi="仿宋" w:eastAsia="仿宋" w:cs="仿宋"/>
          <w:color w:val="auto"/>
          <w:highlight w:val="none"/>
        </w:rPr>
      </w:pPr>
    </w:p>
    <w:p w14:paraId="4C0938FC">
      <w:pPr>
        <w:shd w:val="clear"/>
        <w:jc w:val="center"/>
        <w:rPr>
          <w:rFonts w:hint="eastAsia" w:ascii="仿宋" w:hAnsi="仿宋" w:eastAsia="仿宋" w:cs="仿宋"/>
          <w:color w:val="auto"/>
          <w:highlight w:val="none"/>
        </w:rPr>
      </w:pPr>
    </w:p>
    <w:p w14:paraId="65DB1D7A">
      <w:pPr>
        <w:shd w:val="clear"/>
        <w:jc w:val="center"/>
        <w:rPr>
          <w:rFonts w:hint="eastAsia" w:ascii="仿宋" w:hAnsi="仿宋" w:eastAsia="仿宋" w:cs="仿宋"/>
          <w:color w:val="auto"/>
          <w:highlight w:val="none"/>
        </w:rPr>
      </w:pPr>
    </w:p>
    <w:p w14:paraId="03316236">
      <w:pPr>
        <w:shd w:val="clear"/>
        <w:jc w:val="center"/>
        <w:rPr>
          <w:rFonts w:hint="eastAsia" w:ascii="仿宋" w:hAnsi="仿宋" w:eastAsia="仿宋" w:cs="仿宋"/>
          <w:color w:val="auto"/>
          <w:highlight w:val="none"/>
        </w:rPr>
      </w:pPr>
    </w:p>
    <w:p w14:paraId="139BD0ED">
      <w:pPr>
        <w:shd w:val="clear"/>
        <w:jc w:val="center"/>
        <w:rPr>
          <w:rFonts w:hint="eastAsia" w:ascii="仿宋" w:hAnsi="仿宋" w:eastAsia="仿宋" w:cs="仿宋"/>
          <w:color w:val="auto"/>
          <w:highlight w:val="none"/>
        </w:rPr>
      </w:pPr>
    </w:p>
    <w:p w14:paraId="70DCAA1F">
      <w:pPr>
        <w:shd w:val="clear"/>
        <w:jc w:val="center"/>
        <w:rPr>
          <w:rFonts w:hint="eastAsia" w:ascii="仿宋" w:hAnsi="仿宋" w:eastAsia="仿宋" w:cs="仿宋"/>
          <w:color w:val="auto"/>
          <w:highlight w:val="none"/>
        </w:rPr>
      </w:pPr>
    </w:p>
    <w:p w14:paraId="24D5C274">
      <w:pPr>
        <w:shd w:val="clear"/>
        <w:jc w:val="center"/>
        <w:rPr>
          <w:rFonts w:hint="eastAsia" w:ascii="仿宋" w:hAnsi="仿宋" w:eastAsia="仿宋" w:cs="仿宋"/>
          <w:color w:val="auto"/>
          <w:highlight w:val="none"/>
        </w:rPr>
      </w:pPr>
    </w:p>
    <w:p w14:paraId="7A4339D3">
      <w:pPr>
        <w:shd w:val="clear"/>
        <w:jc w:val="center"/>
        <w:rPr>
          <w:rFonts w:hint="eastAsia" w:ascii="仿宋" w:hAnsi="仿宋" w:eastAsia="仿宋" w:cs="仿宋"/>
          <w:color w:val="auto"/>
          <w:highlight w:val="none"/>
        </w:rPr>
      </w:pPr>
    </w:p>
    <w:p w14:paraId="025B3EE4">
      <w:pPr>
        <w:shd w:val="clear"/>
        <w:jc w:val="center"/>
        <w:rPr>
          <w:rFonts w:hint="eastAsia" w:ascii="仿宋" w:hAnsi="仿宋" w:eastAsia="仿宋" w:cs="仿宋"/>
          <w:color w:val="auto"/>
          <w:highlight w:val="none"/>
        </w:rPr>
      </w:pPr>
    </w:p>
    <w:p w14:paraId="68F62081">
      <w:pPr>
        <w:shd w:val="clear"/>
        <w:jc w:val="center"/>
        <w:rPr>
          <w:rFonts w:hint="eastAsia" w:ascii="仿宋" w:hAnsi="仿宋" w:eastAsia="仿宋" w:cs="仿宋"/>
          <w:color w:val="auto"/>
          <w:highlight w:val="none"/>
        </w:rPr>
      </w:pPr>
    </w:p>
    <w:p w14:paraId="471C3C8D">
      <w:pPr>
        <w:shd w:val="clear"/>
        <w:jc w:val="center"/>
        <w:rPr>
          <w:rFonts w:hint="eastAsia" w:ascii="仿宋" w:hAnsi="仿宋" w:eastAsia="仿宋" w:cs="仿宋"/>
          <w:color w:val="auto"/>
          <w:highlight w:val="none"/>
        </w:rPr>
      </w:pPr>
    </w:p>
    <w:p w14:paraId="6B8E4103">
      <w:pPr>
        <w:shd w:val="clear"/>
        <w:jc w:val="center"/>
        <w:rPr>
          <w:rFonts w:hint="eastAsia" w:ascii="仿宋" w:hAnsi="仿宋" w:eastAsia="仿宋" w:cs="仿宋"/>
          <w:color w:val="auto"/>
          <w:highlight w:val="none"/>
        </w:rPr>
      </w:pPr>
    </w:p>
    <w:p w14:paraId="60D2269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bookmarkStart w:id="9" w:name="_Toc522526782"/>
      <w:bookmarkStart w:id="10" w:name="_Toc521936044"/>
    </w:p>
    <w:p w14:paraId="6DB645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法定代表人/单位负责人身份证明书</w:t>
      </w:r>
    </w:p>
    <w:p w14:paraId="4192D133">
      <w:pPr>
        <w:shd w:val="clear"/>
        <w:jc w:val="center"/>
        <w:rPr>
          <w:rFonts w:hint="eastAsia" w:ascii="仿宋" w:hAnsi="仿宋" w:eastAsia="仿宋" w:cs="仿宋"/>
          <w:color w:val="auto"/>
          <w:highlight w:val="none"/>
        </w:rPr>
      </w:pPr>
    </w:p>
    <w:p w14:paraId="57CDDDD5">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致</w:t>
      </w:r>
      <w:r>
        <w:rPr>
          <w:rFonts w:hint="eastAsia" w:ascii="仿宋" w:hAnsi="仿宋" w:eastAsia="仿宋" w:cs="仿宋"/>
          <w:color w:val="auto"/>
          <w:kern w:val="0"/>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3F883803">
      <w:pPr>
        <w:shd w:val="clear"/>
        <w:spacing w:line="560" w:lineRule="exact"/>
        <w:ind w:firstLine="600" w:firstLineChars="200"/>
        <w:rPr>
          <w:rFonts w:hint="eastAsia" w:ascii="仿宋" w:hAnsi="仿宋" w:eastAsia="仿宋" w:cs="仿宋"/>
          <w:color w:val="auto"/>
          <w:kern w:val="0"/>
          <w:sz w:val="30"/>
          <w:szCs w:val="30"/>
          <w:highlight w:val="none"/>
        </w:rPr>
      </w:pPr>
    </w:p>
    <w:p w14:paraId="52C7B4F9">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u w:val="single"/>
        </w:rPr>
        <w:t>（姓名、性别、年龄、身份证号码）</w:t>
      </w:r>
      <w:r>
        <w:rPr>
          <w:rFonts w:hint="eastAsia" w:ascii="仿宋" w:hAnsi="仿宋" w:eastAsia="仿宋" w:cs="仿宋"/>
          <w:color w:val="auto"/>
          <w:kern w:val="0"/>
          <w:sz w:val="30"/>
          <w:szCs w:val="30"/>
          <w:highlight w:val="none"/>
        </w:rPr>
        <w:t>在我单位任</w:t>
      </w:r>
      <w:r>
        <w:rPr>
          <w:rFonts w:hint="eastAsia" w:ascii="仿宋" w:hAnsi="仿宋" w:eastAsia="仿宋" w:cs="仿宋"/>
          <w:color w:val="auto"/>
          <w:kern w:val="0"/>
          <w:sz w:val="30"/>
          <w:szCs w:val="30"/>
          <w:highlight w:val="none"/>
          <w:u w:val="single"/>
        </w:rPr>
        <w:t>（董事长、总经理等）</w:t>
      </w:r>
      <w:r>
        <w:rPr>
          <w:rFonts w:hint="eastAsia" w:ascii="仿宋" w:hAnsi="仿宋" w:eastAsia="仿宋" w:cs="仿宋"/>
          <w:color w:val="auto"/>
          <w:kern w:val="0"/>
          <w:sz w:val="30"/>
          <w:szCs w:val="30"/>
          <w:highlight w:val="none"/>
        </w:rPr>
        <w:t>职务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是我单位的法定代表人/</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负责人。</w:t>
      </w:r>
    </w:p>
    <w:p w14:paraId="1607EC30">
      <w:pPr>
        <w:shd w:val="clear"/>
        <w:spacing w:line="560" w:lineRule="exact"/>
        <w:ind w:firstLine="600" w:firstLineChars="200"/>
        <w:rPr>
          <w:rFonts w:hint="eastAsia" w:ascii="仿宋" w:hAnsi="仿宋" w:eastAsia="仿宋" w:cs="仿宋"/>
          <w:color w:val="auto"/>
          <w:kern w:val="0"/>
          <w:sz w:val="30"/>
          <w:szCs w:val="30"/>
          <w:highlight w:val="none"/>
        </w:rPr>
      </w:pPr>
    </w:p>
    <w:p w14:paraId="6530E8E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特此证明。</w:t>
      </w:r>
    </w:p>
    <w:p w14:paraId="37E43D76">
      <w:pPr>
        <w:shd w:val="clear"/>
        <w:spacing w:line="560" w:lineRule="exact"/>
        <w:ind w:firstLine="600" w:firstLineChars="200"/>
        <w:rPr>
          <w:rFonts w:hint="eastAsia" w:ascii="仿宋" w:hAnsi="仿宋" w:eastAsia="仿宋" w:cs="仿宋"/>
          <w:color w:val="auto"/>
          <w:kern w:val="0"/>
          <w:sz w:val="30"/>
          <w:szCs w:val="30"/>
          <w:highlight w:val="none"/>
        </w:rPr>
      </w:pPr>
    </w:p>
    <w:p w14:paraId="36162A81">
      <w:pPr>
        <w:shd w:val="clear"/>
        <w:spacing w:line="560" w:lineRule="exact"/>
        <w:ind w:firstLine="600" w:firstLineChars="200"/>
        <w:rPr>
          <w:rFonts w:hint="eastAsia" w:ascii="仿宋" w:hAnsi="仿宋" w:eastAsia="仿宋" w:cs="仿宋"/>
          <w:color w:val="auto"/>
          <w:kern w:val="0"/>
          <w:sz w:val="30"/>
          <w:szCs w:val="30"/>
          <w:highlight w:val="none"/>
        </w:rPr>
      </w:pPr>
    </w:p>
    <w:p w14:paraId="08458653">
      <w:pPr>
        <w:shd w:val="clear"/>
        <w:jc w:val="center"/>
        <w:rPr>
          <w:rFonts w:hint="eastAsia" w:ascii="仿宋" w:hAnsi="仿宋" w:eastAsia="仿宋" w:cs="仿宋"/>
          <w:color w:val="auto"/>
          <w:highlight w:val="none"/>
        </w:rPr>
      </w:pPr>
    </w:p>
    <w:p w14:paraId="38EE8EBD">
      <w:pPr>
        <w:shd w:val="clear"/>
        <w:jc w:val="center"/>
        <w:rPr>
          <w:rFonts w:hint="eastAsia" w:ascii="仿宋" w:hAnsi="仿宋" w:eastAsia="仿宋" w:cs="仿宋"/>
          <w:color w:val="auto"/>
          <w:highlight w:val="none"/>
        </w:rPr>
      </w:pPr>
    </w:p>
    <w:p w14:paraId="43C50262">
      <w:pPr>
        <w:shd w:val="clear"/>
        <w:jc w:val="center"/>
        <w:rPr>
          <w:rFonts w:hint="eastAsia" w:ascii="仿宋" w:hAnsi="仿宋" w:eastAsia="仿宋" w:cs="仿宋"/>
          <w:color w:val="auto"/>
          <w:highlight w:val="none"/>
        </w:rPr>
      </w:pPr>
    </w:p>
    <w:p w14:paraId="66304B65">
      <w:pPr>
        <w:shd w:val="clear"/>
        <w:jc w:val="center"/>
        <w:rPr>
          <w:rFonts w:hint="eastAsia" w:ascii="仿宋" w:hAnsi="仿宋" w:eastAsia="仿宋" w:cs="仿宋"/>
          <w:color w:val="auto"/>
          <w:highlight w:val="none"/>
        </w:rPr>
      </w:pPr>
    </w:p>
    <w:p w14:paraId="32890510">
      <w:pPr>
        <w:shd w:val="clear"/>
        <w:jc w:val="center"/>
        <w:rPr>
          <w:rFonts w:hint="eastAsia" w:ascii="仿宋" w:hAnsi="仿宋" w:eastAsia="仿宋" w:cs="仿宋"/>
          <w:color w:val="auto"/>
          <w:highlight w:val="none"/>
        </w:rPr>
      </w:pPr>
    </w:p>
    <w:p w14:paraId="0E4B0542">
      <w:pPr>
        <w:shd w:val="clear"/>
        <w:jc w:val="center"/>
        <w:rPr>
          <w:rFonts w:hint="eastAsia" w:ascii="仿宋" w:hAnsi="仿宋" w:eastAsia="仿宋" w:cs="仿宋"/>
          <w:color w:val="auto"/>
          <w:highlight w:val="none"/>
        </w:rPr>
      </w:pPr>
    </w:p>
    <w:p w14:paraId="2CCFE326">
      <w:pPr>
        <w:shd w:val="clear"/>
        <w:jc w:val="center"/>
        <w:rPr>
          <w:rFonts w:hint="eastAsia" w:ascii="仿宋" w:hAnsi="仿宋" w:eastAsia="仿宋" w:cs="仿宋"/>
          <w:color w:val="auto"/>
          <w:highlight w:val="none"/>
        </w:rPr>
      </w:pPr>
    </w:p>
    <w:p w14:paraId="721FEE21">
      <w:pPr>
        <w:shd w:val="clear"/>
        <w:jc w:val="center"/>
        <w:rPr>
          <w:rFonts w:hint="eastAsia" w:ascii="仿宋" w:hAnsi="仿宋" w:eastAsia="仿宋" w:cs="仿宋"/>
          <w:color w:val="auto"/>
          <w:highlight w:val="none"/>
        </w:rPr>
      </w:pPr>
    </w:p>
    <w:p w14:paraId="740CFA53">
      <w:pPr>
        <w:shd w:val="clear"/>
        <w:jc w:val="center"/>
        <w:rPr>
          <w:rFonts w:hint="eastAsia" w:ascii="仿宋" w:hAnsi="仿宋" w:eastAsia="仿宋" w:cs="仿宋"/>
          <w:color w:val="auto"/>
          <w:highlight w:val="none"/>
        </w:rPr>
      </w:pPr>
    </w:p>
    <w:p w14:paraId="52590D22">
      <w:pPr>
        <w:shd w:val="clear"/>
        <w:spacing w:line="520" w:lineRule="exact"/>
        <w:ind w:firstLine="3900" w:firstLineChars="1300"/>
        <w:jc w:val="right"/>
        <w:rPr>
          <w:rFonts w:hint="eastAsia" w:ascii="仿宋" w:hAnsi="仿宋" w:eastAsia="仿宋" w:cs="仿宋"/>
          <w:color w:val="auto"/>
          <w:sz w:val="30"/>
          <w:szCs w:val="30"/>
          <w:highlight w:val="none"/>
        </w:rPr>
      </w:pPr>
    </w:p>
    <w:p w14:paraId="2E3EB9EE">
      <w:pPr>
        <w:shd w:val="clear"/>
        <w:rPr>
          <w:rFonts w:hint="eastAsia" w:ascii="仿宋" w:hAnsi="仿宋" w:eastAsia="仿宋" w:cs="仿宋"/>
          <w:color w:val="auto"/>
          <w:highlight w:val="none"/>
        </w:rPr>
      </w:pPr>
    </w:p>
    <w:p w14:paraId="2E4C68B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5E8E41C">
      <w:pPr>
        <w:shd w:val="clear"/>
        <w:jc w:val="center"/>
        <w:rPr>
          <w:rFonts w:hint="eastAsia" w:ascii="仿宋" w:hAnsi="仿宋" w:eastAsia="仿宋" w:cs="仿宋"/>
          <w:color w:val="auto"/>
          <w:highlight w:val="none"/>
        </w:rPr>
      </w:pPr>
    </w:p>
    <w:p w14:paraId="32CF9F29">
      <w:pPr>
        <w:shd w:val="clear"/>
        <w:jc w:val="center"/>
        <w:rPr>
          <w:rFonts w:hint="eastAsia" w:ascii="仿宋" w:hAnsi="仿宋" w:eastAsia="仿宋" w:cs="仿宋"/>
          <w:color w:val="auto"/>
          <w:highlight w:val="none"/>
        </w:rPr>
      </w:pPr>
    </w:p>
    <w:p w14:paraId="0844F967">
      <w:pPr>
        <w:shd w:val="clear"/>
        <w:jc w:val="center"/>
        <w:rPr>
          <w:rFonts w:hint="eastAsia" w:ascii="仿宋" w:hAnsi="仿宋" w:eastAsia="仿宋" w:cs="仿宋"/>
          <w:color w:val="auto"/>
          <w:highlight w:val="none"/>
        </w:rPr>
      </w:pPr>
    </w:p>
    <w:p w14:paraId="043BCFFF">
      <w:pPr>
        <w:shd w:val="clear"/>
        <w:jc w:val="center"/>
        <w:rPr>
          <w:rFonts w:hint="eastAsia" w:ascii="仿宋" w:hAnsi="仿宋" w:eastAsia="仿宋" w:cs="仿宋"/>
          <w:bCs/>
          <w:color w:val="auto"/>
          <w:sz w:val="32"/>
          <w:szCs w:val="32"/>
          <w:highlight w:val="none"/>
        </w:rPr>
        <w:sectPr>
          <w:headerReference r:id="rId17" w:type="default"/>
          <w:footerReference r:id="rId18" w:type="default"/>
          <w:pgSz w:w="11906" w:h="16838"/>
          <w:pgMar w:top="1440" w:right="1083" w:bottom="1440" w:left="1083" w:header="851" w:footer="992" w:gutter="0"/>
          <w:pgNumType w:fmt="decimal"/>
          <w:cols w:space="0" w:num="1"/>
          <w:rtlGutter w:val="0"/>
          <w:docGrid w:type="lines" w:linePitch="312" w:charSpace="0"/>
        </w:sectPr>
      </w:pPr>
    </w:p>
    <w:p w14:paraId="2D99FC1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法人授权委托书</w:t>
      </w:r>
      <w:bookmarkEnd w:id="9"/>
      <w:bookmarkEnd w:id="10"/>
    </w:p>
    <w:p w14:paraId="6A634B2D">
      <w:pPr>
        <w:shd w:val="clear"/>
        <w:rPr>
          <w:color w:val="auto"/>
          <w:highlight w:val="none"/>
        </w:rPr>
      </w:pPr>
    </w:p>
    <w:p w14:paraId="0614E851">
      <w:pPr>
        <w:shd w:val="clear"/>
        <w:spacing w:line="480" w:lineRule="exact"/>
        <w:ind w:firstLine="640" w:firstLineChars="200"/>
        <w:rPr>
          <w:rFonts w:hint="eastAsia" w:ascii="仿宋" w:hAnsi="仿宋" w:eastAsia="仿宋" w:cs="仿宋"/>
          <w:color w:val="auto"/>
          <w:highlight w:val="none"/>
        </w:rPr>
      </w:pPr>
      <w:r>
        <w:rPr>
          <w:rFonts w:hint="eastAsia" w:ascii="仿宋" w:hAnsi="仿宋" w:eastAsia="仿宋" w:cs="仿宋"/>
          <w:color w:val="auto"/>
          <w:sz w:val="32"/>
          <w:szCs w:val="32"/>
          <w:highlight w:val="none"/>
        </w:rPr>
        <w:t>本授权书声明：注册于</w:t>
      </w:r>
      <w:r>
        <w:rPr>
          <w:rFonts w:hint="eastAsia" w:ascii="仿宋" w:hAnsi="仿宋" w:eastAsia="仿宋" w:cs="仿宋"/>
          <w:color w:val="auto"/>
          <w:sz w:val="32"/>
          <w:szCs w:val="32"/>
          <w:highlight w:val="none"/>
          <w:u w:val="single"/>
        </w:rPr>
        <w:t xml:space="preserve">   （国家或地区的名称）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单位</w:t>
      </w:r>
      <w:r>
        <w:rPr>
          <w:rFonts w:hint="eastAsia" w:ascii="仿宋" w:hAnsi="仿宋" w:eastAsia="仿宋" w:cs="仿宋"/>
          <w:color w:val="auto"/>
          <w:sz w:val="32"/>
          <w:szCs w:val="32"/>
          <w:highlight w:val="none"/>
          <w:u w:val="single"/>
        </w:rPr>
        <w:t xml:space="preserve">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法定代表人/单位负责人</w:t>
      </w:r>
      <w:r>
        <w:rPr>
          <w:rFonts w:hint="eastAsia" w:ascii="仿宋" w:hAnsi="仿宋" w:eastAsia="仿宋" w:cs="仿宋"/>
          <w:color w:val="auto"/>
          <w:sz w:val="32"/>
          <w:szCs w:val="32"/>
          <w:highlight w:val="none"/>
          <w:u w:val="single"/>
        </w:rPr>
        <w:t xml:space="preserve">姓名、职务）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代表本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授权</w:t>
      </w:r>
      <w:r>
        <w:rPr>
          <w:rFonts w:hint="eastAsia" w:ascii="仿宋" w:hAnsi="仿宋" w:eastAsia="仿宋" w:cs="仿宋"/>
          <w:color w:val="auto"/>
          <w:sz w:val="32"/>
          <w:szCs w:val="32"/>
          <w:highlight w:val="none"/>
          <w:u w:val="single"/>
        </w:rPr>
        <w:t xml:space="preserve">  （被授权单位名称）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（被授权人的姓名、职务）</w:t>
      </w:r>
      <w:r>
        <w:rPr>
          <w:rFonts w:hint="eastAsia" w:ascii="仿宋" w:hAnsi="仿宋" w:eastAsia="仿宋" w:cs="仿宋"/>
          <w:color w:val="auto"/>
          <w:sz w:val="32"/>
          <w:szCs w:val="32"/>
          <w:highlight w:val="none"/>
        </w:rPr>
        <w:t>为本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的合法代理人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参加编号为</w:t>
      </w:r>
      <w:r>
        <w:rPr>
          <w:rFonts w:hint="eastAsia" w:ascii="仿宋" w:hAnsi="仿宋" w:eastAsia="仿宋" w:cs="仿宋"/>
          <w:color w:val="auto"/>
          <w:kern w:val="0"/>
          <w:sz w:val="30"/>
          <w:szCs w:val="30"/>
          <w:highlight w:val="none"/>
          <w:lang w:eastAsia="zh-CN"/>
        </w:rPr>
        <w:t>WHZCZB2026-085</w:t>
      </w:r>
      <w:r>
        <w:rPr>
          <w:rFonts w:hint="eastAsia" w:ascii="仿宋" w:hAnsi="仿宋" w:eastAsia="仿宋" w:cs="仿宋"/>
          <w:color w:val="auto"/>
          <w:sz w:val="32"/>
          <w:szCs w:val="32"/>
          <w:highlight w:val="none"/>
        </w:rPr>
        <w:t>号的公开招标采购活动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以本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名义处理一切与之有关的事宜。</w:t>
      </w:r>
    </w:p>
    <w:p w14:paraId="7C1530BA">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如果本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在此次采购活动中中标</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被授权人有权代表本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签署采购合同。</w:t>
      </w:r>
    </w:p>
    <w:p w14:paraId="2B95AFC4">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本授权书于</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日法定代表人/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负责人签章并由被授权人签字、单位盖章生效</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特此声明。</w:t>
      </w:r>
    </w:p>
    <w:p w14:paraId="0FAAF55D">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被授权人无转委托权。</w:t>
      </w:r>
    </w:p>
    <w:p w14:paraId="324DF221">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w:t>
      </w:r>
    </w:p>
    <w:p w14:paraId="2D18E31E">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 授 权人签字：</w:t>
      </w:r>
    </w:p>
    <w:p w14:paraId="56F4DC55">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投标人  公  章：</w:t>
      </w:r>
    </w:p>
    <w:tbl>
      <w:tblPr>
        <w:tblStyle w:val="30"/>
        <w:tblpPr w:leftFromText="180" w:rightFromText="180" w:vertAnchor="text" w:horzAnchor="margin" w:tblpY="817"/>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11DC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noWrap w:val="0"/>
            <w:vAlign w:val="center"/>
          </w:tcPr>
          <w:p w14:paraId="3D3C3B42">
            <w:pPr>
              <w:widowControl/>
              <w:shd w:val="clear"/>
              <w:spacing w:beforeAutospacing="1" w:afterAutospacing="1" w:line="360" w:lineRule="auto"/>
              <w:ind w:firstLine="160" w:firstLineChars="5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正面</w:t>
            </w:r>
          </w:p>
        </w:tc>
      </w:tr>
    </w:tbl>
    <w:p w14:paraId="7C813737">
      <w:pPr>
        <w:shd w:val="clear"/>
        <w:spacing w:line="480" w:lineRule="exact"/>
        <w:ind w:firstLine="640" w:firstLineChars="200"/>
        <w:jc w:val="left"/>
        <w:rPr>
          <w:rFonts w:hint="eastAsia" w:ascii="仿宋" w:hAnsi="仿宋" w:eastAsia="仿宋" w:cs="仿宋"/>
          <w:color w:val="auto"/>
          <w:kern w:val="0"/>
          <w:sz w:val="32"/>
          <w:szCs w:val="32"/>
          <w:highlight w:val="none"/>
        </w:rPr>
      </w:pPr>
    </w:p>
    <w:p w14:paraId="5642675D">
      <w:pPr>
        <w:shd w:val="clear"/>
        <w:rPr>
          <w:rFonts w:hint="eastAsia" w:ascii="仿宋" w:hAnsi="仿宋" w:eastAsia="仿宋" w:cs="仿宋"/>
          <w:vanish/>
          <w:color w:val="auto"/>
          <w:highlight w:val="none"/>
        </w:rPr>
      </w:pPr>
    </w:p>
    <w:tbl>
      <w:tblPr>
        <w:tblStyle w:val="30"/>
        <w:tblpPr w:leftFromText="180" w:rightFromText="180" w:vertAnchor="text" w:horzAnchor="page" w:tblpX="6632" w:tblpY="383"/>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3E9A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noWrap w:val="0"/>
            <w:vAlign w:val="center"/>
          </w:tcPr>
          <w:p w14:paraId="42052C85">
            <w:pPr>
              <w:widowControl/>
              <w:shd w:val="clear"/>
              <w:spacing w:beforeAutospacing="1" w:afterAutospacing="1" w:line="360" w:lineRule="auto"/>
              <w:jc w:val="center"/>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反面</w:t>
            </w:r>
          </w:p>
        </w:tc>
      </w:tr>
    </w:tbl>
    <w:p w14:paraId="4D537B21">
      <w:pPr>
        <w:shd w:val="clear"/>
        <w:rPr>
          <w:rFonts w:hint="eastAsia" w:ascii="仿宋" w:hAnsi="仿宋" w:eastAsia="仿宋" w:cs="仿宋"/>
          <w:color w:val="auto"/>
          <w:highlight w:val="none"/>
        </w:rPr>
      </w:pPr>
    </w:p>
    <w:p w14:paraId="017F49D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24059C24">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C1E7E45">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48CF338">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50C854B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0BB403A0">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10FC09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br w:type="page"/>
      </w:r>
      <w:r>
        <w:rPr>
          <w:rFonts w:hint="eastAsia" w:ascii="Times New Roman" w:hAnsi="Times New Roman" w:eastAsia="黑体" w:cs="Times New Roman"/>
          <w:bCs/>
          <w:color w:val="auto"/>
          <w:sz w:val="32"/>
          <w:szCs w:val="32"/>
          <w:highlight w:val="none"/>
        </w:rPr>
        <w:t>具有良好的商业信誉和健全的财务会计制度声明</w:t>
      </w:r>
    </w:p>
    <w:p w14:paraId="4699D005">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37DAF9B7">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我单位自愿参加本项目采购活动，现郑重声明：具有良好的商业信誉和健全的财务会计制度。</w:t>
      </w:r>
    </w:p>
    <w:p w14:paraId="22B32AE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7D113EF9">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3479CC90">
      <w:pPr>
        <w:shd w:val="clear"/>
        <w:jc w:val="center"/>
        <w:rPr>
          <w:rFonts w:hint="eastAsia" w:ascii="仿宋" w:hAnsi="仿宋" w:eastAsia="仿宋" w:cs="仿宋"/>
          <w:color w:val="auto"/>
          <w:sz w:val="28"/>
          <w:szCs w:val="28"/>
          <w:highlight w:val="none"/>
        </w:rPr>
      </w:pPr>
    </w:p>
    <w:p w14:paraId="039FF17B">
      <w:pPr>
        <w:shd w:val="clear"/>
        <w:jc w:val="center"/>
        <w:rPr>
          <w:rFonts w:hint="eastAsia" w:ascii="仿宋" w:hAnsi="仿宋" w:eastAsia="仿宋" w:cs="仿宋"/>
          <w:color w:val="auto"/>
          <w:sz w:val="28"/>
          <w:szCs w:val="28"/>
          <w:highlight w:val="none"/>
        </w:rPr>
      </w:pPr>
    </w:p>
    <w:p w14:paraId="67625EF7">
      <w:pPr>
        <w:shd w:val="clear"/>
        <w:jc w:val="center"/>
        <w:rPr>
          <w:rFonts w:hint="eastAsia" w:ascii="仿宋" w:hAnsi="仿宋" w:eastAsia="仿宋" w:cs="仿宋"/>
          <w:color w:val="auto"/>
          <w:sz w:val="28"/>
          <w:szCs w:val="28"/>
          <w:highlight w:val="none"/>
        </w:rPr>
      </w:pPr>
    </w:p>
    <w:p w14:paraId="1204B892">
      <w:pPr>
        <w:shd w:val="clear"/>
        <w:spacing w:line="520" w:lineRule="exact"/>
        <w:ind w:firstLine="3900" w:firstLineChars="1300"/>
        <w:jc w:val="right"/>
        <w:rPr>
          <w:rFonts w:hint="eastAsia" w:ascii="仿宋" w:hAnsi="仿宋" w:eastAsia="仿宋" w:cs="仿宋"/>
          <w:color w:val="auto"/>
          <w:sz w:val="30"/>
          <w:szCs w:val="30"/>
          <w:highlight w:val="none"/>
        </w:rPr>
      </w:pPr>
    </w:p>
    <w:p w14:paraId="70693076">
      <w:pPr>
        <w:shd w:val="clear"/>
        <w:rPr>
          <w:rFonts w:hint="eastAsia" w:ascii="仿宋" w:hAnsi="仿宋" w:eastAsia="仿宋" w:cs="仿宋"/>
          <w:color w:val="auto"/>
          <w:highlight w:val="none"/>
        </w:rPr>
      </w:pPr>
    </w:p>
    <w:p w14:paraId="705B10E8">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4720DA0">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3C3BC001">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具有履行合同所必需的设备和专业技术能力声明</w:t>
      </w:r>
    </w:p>
    <w:p w14:paraId="646ECF5E">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486F96FF">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我单位自愿参加本项目采购活动，现郑重声明：具有履行合同所必需的设备和专业技术能力。</w:t>
      </w:r>
    </w:p>
    <w:p w14:paraId="17C740DA">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EB39842">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48D0C294">
      <w:pPr>
        <w:shd w:val="clear"/>
        <w:jc w:val="center"/>
        <w:rPr>
          <w:rFonts w:hint="eastAsia" w:ascii="仿宋" w:hAnsi="仿宋" w:eastAsia="仿宋" w:cs="仿宋"/>
          <w:color w:val="auto"/>
          <w:sz w:val="28"/>
          <w:szCs w:val="28"/>
          <w:highlight w:val="none"/>
        </w:rPr>
      </w:pPr>
    </w:p>
    <w:p w14:paraId="5DDBFD5E">
      <w:pPr>
        <w:shd w:val="clear"/>
        <w:jc w:val="center"/>
        <w:rPr>
          <w:rFonts w:hint="eastAsia" w:ascii="仿宋" w:hAnsi="仿宋" w:eastAsia="仿宋" w:cs="仿宋"/>
          <w:color w:val="auto"/>
          <w:sz w:val="28"/>
          <w:szCs w:val="28"/>
          <w:highlight w:val="none"/>
        </w:rPr>
      </w:pPr>
    </w:p>
    <w:p w14:paraId="29A3A7AB">
      <w:pPr>
        <w:shd w:val="clear"/>
        <w:jc w:val="center"/>
        <w:rPr>
          <w:rFonts w:hint="eastAsia" w:ascii="仿宋" w:hAnsi="仿宋" w:eastAsia="仿宋" w:cs="仿宋"/>
          <w:color w:val="auto"/>
          <w:sz w:val="28"/>
          <w:szCs w:val="28"/>
          <w:highlight w:val="none"/>
        </w:rPr>
      </w:pPr>
    </w:p>
    <w:p w14:paraId="4EDD99EE">
      <w:pPr>
        <w:shd w:val="clear"/>
        <w:spacing w:line="520" w:lineRule="exact"/>
        <w:ind w:firstLine="3900" w:firstLineChars="1300"/>
        <w:jc w:val="right"/>
        <w:rPr>
          <w:rFonts w:hint="eastAsia" w:ascii="仿宋" w:hAnsi="仿宋" w:eastAsia="仿宋" w:cs="仿宋"/>
          <w:color w:val="auto"/>
          <w:sz w:val="30"/>
          <w:szCs w:val="30"/>
          <w:highlight w:val="none"/>
        </w:rPr>
      </w:pPr>
    </w:p>
    <w:p w14:paraId="156F07B9">
      <w:pPr>
        <w:shd w:val="clear"/>
        <w:rPr>
          <w:rFonts w:hint="eastAsia" w:ascii="仿宋" w:hAnsi="仿宋" w:eastAsia="仿宋" w:cs="仿宋"/>
          <w:color w:val="auto"/>
          <w:highlight w:val="none"/>
        </w:rPr>
      </w:pPr>
    </w:p>
    <w:p w14:paraId="74C943AD">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D3DB0E8">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2DF415B4">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依法缴纳税收和社会保障资金的声明</w:t>
      </w:r>
    </w:p>
    <w:p w14:paraId="477EBFF7">
      <w:pPr>
        <w:shd w:val="clear"/>
        <w:spacing w:line="560" w:lineRule="exact"/>
        <w:ind w:firstLine="600" w:firstLineChars="200"/>
        <w:rPr>
          <w:rFonts w:hint="eastAsia" w:ascii="仿宋" w:hAnsi="仿宋" w:eastAsia="仿宋" w:cs="仿宋"/>
          <w:color w:val="auto"/>
          <w:kern w:val="0"/>
          <w:sz w:val="30"/>
          <w:szCs w:val="30"/>
          <w:highlight w:val="none"/>
          <w:u w:val="none"/>
        </w:rPr>
      </w:pPr>
      <w:bookmarkStart w:id="11" w:name="_Toc522526785"/>
    </w:p>
    <w:p w14:paraId="7E2C7C96">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w:t>
      </w:r>
      <w:r>
        <w:rPr>
          <w:rFonts w:hint="eastAsia" w:ascii="仿宋" w:hAnsi="仿宋" w:eastAsia="仿宋" w:cs="仿宋"/>
          <w:color w:val="auto"/>
          <w:kern w:val="0"/>
          <w:sz w:val="30"/>
          <w:szCs w:val="30"/>
          <w:highlight w:val="none"/>
          <w:u w:val="none"/>
          <w:lang w:val="en-US" w:eastAsia="zh-CN"/>
        </w:rPr>
        <w:t>已依法缴纳税收和社会保障资金</w:t>
      </w:r>
      <w:r>
        <w:rPr>
          <w:rFonts w:hint="eastAsia" w:ascii="仿宋" w:hAnsi="仿宋" w:eastAsia="仿宋" w:cs="仿宋"/>
          <w:color w:val="auto"/>
          <w:kern w:val="0"/>
          <w:sz w:val="30"/>
          <w:szCs w:val="30"/>
          <w:highlight w:val="none"/>
          <w:u w:val="none"/>
        </w:rPr>
        <w:t>。</w:t>
      </w:r>
    </w:p>
    <w:p w14:paraId="5B1F8F38">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9E89B0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7232C49F">
      <w:pPr>
        <w:shd w:val="clear"/>
        <w:jc w:val="center"/>
        <w:rPr>
          <w:rFonts w:hint="eastAsia" w:ascii="仿宋" w:hAnsi="仿宋" w:eastAsia="仿宋" w:cs="仿宋"/>
          <w:color w:val="auto"/>
          <w:sz w:val="28"/>
          <w:szCs w:val="28"/>
          <w:highlight w:val="none"/>
        </w:rPr>
      </w:pPr>
    </w:p>
    <w:p w14:paraId="1CCB6983">
      <w:pPr>
        <w:shd w:val="clear"/>
        <w:jc w:val="center"/>
        <w:rPr>
          <w:rFonts w:hint="eastAsia" w:ascii="仿宋" w:hAnsi="仿宋" w:eastAsia="仿宋" w:cs="仿宋"/>
          <w:color w:val="auto"/>
          <w:sz w:val="28"/>
          <w:szCs w:val="28"/>
          <w:highlight w:val="none"/>
        </w:rPr>
      </w:pPr>
    </w:p>
    <w:p w14:paraId="1CDD76B0">
      <w:pPr>
        <w:shd w:val="clear"/>
        <w:jc w:val="center"/>
        <w:rPr>
          <w:rFonts w:hint="eastAsia" w:ascii="仿宋" w:hAnsi="仿宋" w:eastAsia="仿宋" w:cs="仿宋"/>
          <w:color w:val="auto"/>
          <w:sz w:val="28"/>
          <w:szCs w:val="28"/>
          <w:highlight w:val="none"/>
        </w:rPr>
      </w:pPr>
    </w:p>
    <w:p w14:paraId="149C0173">
      <w:pPr>
        <w:shd w:val="clear"/>
        <w:spacing w:line="520" w:lineRule="exact"/>
        <w:ind w:firstLine="3900" w:firstLineChars="1300"/>
        <w:jc w:val="right"/>
        <w:rPr>
          <w:rFonts w:hint="eastAsia" w:ascii="仿宋" w:hAnsi="仿宋" w:eastAsia="仿宋" w:cs="仿宋"/>
          <w:color w:val="auto"/>
          <w:sz w:val="30"/>
          <w:szCs w:val="30"/>
          <w:highlight w:val="none"/>
        </w:rPr>
      </w:pPr>
    </w:p>
    <w:p w14:paraId="6D30BCE5">
      <w:pPr>
        <w:shd w:val="clear"/>
        <w:rPr>
          <w:rFonts w:hint="eastAsia" w:ascii="仿宋" w:hAnsi="仿宋" w:eastAsia="仿宋" w:cs="仿宋"/>
          <w:color w:val="auto"/>
          <w:highlight w:val="none"/>
        </w:rPr>
      </w:pPr>
    </w:p>
    <w:p w14:paraId="2D3A4D00">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7B7B8202">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0CDAA9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eastAsia="黑体" w:cs="Times New Roman"/>
          <w:bCs/>
          <w:color w:val="auto"/>
          <w:sz w:val="32"/>
          <w:szCs w:val="32"/>
          <w:highlight w:val="none"/>
          <w:lang w:eastAsia="zh-CN"/>
        </w:rPr>
        <w:t>开标前6个月内任意月份的依法缴纳税收和社会保障资金的证明材料</w:t>
      </w:r>
    </w:p>
    <w:p w14:paraId="2D03BC22">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4D0A9FF7">
      <w:pPr>
        <w:shd w:val="clear"/>
        <w:jc w:val="center"/>
        <w:rPr>
          <w:rFonts w:hint="eastAsia" w:ascii="仿宋" w:hAnsi="仿宋" w:eastAsia="仿宋" w:cs="仿宋"/>
          <w:color w:val="auto"/>
          <w:highlight w:val="none"/>
        </w:rPr>
      </w:pPr>
    </w:p>
    <w:p w14:paraId="6EF632B4">
      <w:pPr>
        <w:shd w:val="clear"/>
        <w:jc w:val="center"/>
        <w:rPr>
          <w:rFonts w:hint="eastAsia" w:ascii="仿宋" w:hAnsi="仿宋" w:eastAsia="仿宋" w:cs="仿宋"/>
          <w:color w:val="auto"/>
          <w:highlight w:val="none"/>
        </w:rPr>
      </w:pPr>
    </w:p>
    <w:p w14:paraId="3F771707">
      <w:pPr>
        <w:shd w:val="clear"/>
        <w:jc w:val="center"/>
        <w:rPr>
          <w:rFonts w:hint="eastAsia" w:ascii="仿宋" w:hAnsi="仿宋" w:eastAsia="仿宋" w:cs="仿宋"/>
          <w:color w:val="auto"/>
          <w:highlight w:val="none"/>
        </w:rPr>
      </w:pPr>
    </w:p>
    <w:p w14:paraId="6ACE5820">
      <w:pPr>
        <w:shd w:val="clear"/>
        <w:jc w:val="center"/>
        <w:rPr>
          <w:rFonts w:hint="eastAsia" w:ascii="仿宋" w:hAnsi="仿宋" w:eastAsia="仿宋" w:cs="仿宋"/>
          <w:color w:val="auto"/>
          <w:highlight w:val="none"/>
        </w:rPr>
      </w:pPr>
    </w:p>
    <w:p w14:paraId="1AE337B8">
      <w:pPr>
        <w:shd w:val="clear"/>
        <w:jc w:val="center"/>
        <w:rPr>
          <w:rFonts w:hint="eastAsia" w:ascii="仿宋" w:hAnsi="仿宋" w:eastAsia="仿宋" w:cs="仿宋"/>
          <w:color w:val="auto"/>
          <w:highlight w:val="none"/>
        </w:rPr>
      </w:pPr>
    </w:p>
    <w:p w14:paraId="193482AF">
      <w:pPr>
        <w:shd w:val="clear"/>
        <w:jc w:val="center"/>
        <w:rPr>
          <w:rFonts w:hint="eastAsia" w:ascii="仿宋" w:hAnsi="仿宋" w:eastAsia="仿宋" w:cs="仿宋"/>
          <w:color w:val="auto"/>
          <w:highlight w:val="none"/>
        </w:rPr>
      </w:pPr>
    </w:p>
    <w:p w14:paraId="5BBD0574">
      <w:pPr>
        <w:shd w:val="clear"/>
        <w:jc w:val="center"/>
        <w:rPr>
          <w:rFonts w:hint="eastAsia" w:ascii="仿宋" w:hAnsi="仿宋" w:eastAsia="仿宋" w:cs="仿宋"/>
          <w:color w:val="auto"/>
          <w:highlight w:val="none"/>
        </w:rPr>
      </w:pPr>
    </w:p>
    <w:p w14:paraId="5BF9372A">
      <w:pPr>
        <w:shd w:val="clear"/>
        <w:jc w:val="center"/>
        <w:rPr>
          <w:rFonts w:hint="eastAsia" w:ascii="仿宋" w:hAnsi="仿宋" w:eastAsia="仿宋" w:cs="仿宋"/>
          <w:color w:val="auto"/>
          <w:highlight w:val="none"/>
        </w:rPr>
      </w:pPr>
    </w:p>
    <w:p w14:paraId="3DC2E685">
      <w:pPr>
        <w:shd w:val="clear"/>
        <w:jc w:val="center"/>
        <w:rPr>
          <w:rFonts w:hint="eastAsia" w:ascii="仿宋" w:hAnsi="仿宋" w:eastAsia="仿宋" w:cs="仿宋"/>
          <w:color w:val="auto"/>
          <w:highlight w:val="none"/>
        </w:rPr>
      </w:pPr>
    </w:p>
    <w:p w14:paraId="4ED159E3">
      <w:pPr>
        <w:shd w:val="clear"/>
        <w:jc w:val="center"/>
        <w:rPr>
          <w:rFonts w:hint="eastAsia" w:ascii="仿宋" w:hAnsi="仿宋" w:eastAsia="仿宋" w:cs="仿宋"/>
          <w:color w:val="auto"/>
          <w:highlight w:val="none"/>
        </w:rPr>
      </w:pPr>
    </w:p>
    <w:p w14:paraId="53047B88">
      <w:pPr>
        <w:shd w:val="clear"/>
        <w:jc w:val="center"/>
        <w:rPr>
          <w:rFonts w:hint="eastAsia" w:ascii="仿宋" w:hAnsi="仿宋" w:eastAsia="仿宋" w:cs="仿宋"/>
          <w:color w:val="auto"/>
          <w:highlight w:val="none"/>
        </w:rPr>
      </w:pPr>
    </w:p>
    <w:p w14:paraId="72F824B0">
      <w:pPr>
        <w:shd w:val="clear"/>
        <w:jc w:val="center"/>
        <w:rPr>
          <w:rFonts w:hint="eastAsia" w:ascii="仿宋" w:hAnsi="仿宋" w:eastAsia="仿宋" w:cs="仿宋"/>
          <w:color w:val="auto"/>
          <w:highlight w:val="none"/>
        </w:rPr>
      </w:pPr>
    </w:p>
    <w:p w14:paraId="1817279B">
      <w:pPr>
        <w:shd w:val="clear"/>
        <w:jc w:val="center"/>
        <w:rPr>
          <w:rFonts w:hint="eastAsia" w:ascii="仿宋" w:hAnsi="仿宋" w:eastAsia="仿宋" w:cs="仿宋"/>
          <w:color w:val="auto"/>
          <w:highlight w:val="none"/>
        </w:rPr>
      </w:pPr>
    </w:p>
    <w:p w14:paraId="0D30158D">
      <w:pPr>
        <w:shd w:val="clear"/>
        <w:jc w:val="center"/>
        <w:rPr>
          <w:rFonts w:hint="eastAsia" w:ascii="仿宋" w:hAnsi="仿宋" w:eastAsia="仿宋" w:cs="仿宋"/>
          <w:color w:val="auto"/>
          <w:highlight w:val="none"/>
        </w:rPr>
      </w:pPr>
    </w:p>
    <w:p w14:paraId="1209C81F">
      <w:pPr>
        <w:shd w:val="clear"/>
        <w:jc w:val="center"/>
        <w:rPr>
          <w:rFonts w:hint="eastAsia" w:ascii="仿宋" w:hAnsi="仿宋" w:eastAsia="仿宋" w:cs="仿宋"/>
          <w:color w:val="auto"/>
          <w:highlight w:val="none"/>
        </w:rPr>
      </w:pPr>
    </w:p>
    <w:p w14:paraId="6B557E33">
      <w:pPr>
        <w:shd w:val="clear"/>
        <w:jc w:val="center"/>
        <w:rPr>
          <w:rFonts w:hint="eastAsia" w:ascii="仿宋" w:hAnsi="仿宋" w:eastAsia="仿宋" w:cs="仿宋"/>
          <w:color w:val="auto"/>
          <w:highlight w:val="none"/>
        </w:rPr>
      </w:pPr>
    </w:p>
    <w:p w14:paraId="31320672">
      <w:pPr>
        <w:shd w:val="clear"/>
        <w:jc w:val="center"/>
        <w:rPr>
          <w:rFonts w:hint="eastAsia" w:ascii="仿宋" w:hAnsi="仿宋" w:eastAsia="仿宋" w:cs="仿宋"/>
          <w:color w:val="auto"/>
          <w:highlight w:val="none"/>
        </w:rPr>
      </w:pPr>
    </w:p>
    <w:p w14:paraId="0408FDBF">
      <w:pPr>
        <w:shd w:val="clear"/>
        <w:jc w:val="center"/>
        <w:rPr>
          <w:rFonts w:hint="eastAsia" w:ascii="仿宋" w:hAnsi="仿宋" w:eastAsia="仿宋" w:cs="仿宋"/>
          <w:color w:val="auto"/>
          <w:highlight w:val="none"/>
        </w:rPr>
      </w:pPr>
    </w:p>
    <w:p w14:paraId="5D44A2C4">
      <w:pPr>
        <w:shd w:val="clear"/>
        <w:jc w:val="center"/>
        <w:rPr>
          <w:rFonts w:hint="eastAsia" w:ascii="仿宋" w:hAnsi="仿宋" w:eastAsia="仿宋" w:cs="仿宋"/>
          <w:color w:val="auto"/>
          <w:highlight w:val="none"/>
        </w:rPr>
      </w:pPr>
    </w:p>
    <w:p w14:paraId="139E77E9">
      <w:pPr>
        <w:shd w:val="clear"/>
        <w:jc w:val="center"/>
        <w:rPr>
          <w:rFonts w:hint="eastAsia" w:ascii="仿宋" w:hAnsi="仿宋" w:eastAsia="仿宋" w:cs="仿宋"/>
          <w:color w:val="auto"/>
          <w:highlight w:val="none"/>
        </w:rPr>
      </w:pPr>
    </w:p>
    <w:p w14:paraId="6C2102B4">
      <w:pPr>
        <w:shd w:val="clear"/>
        <w:jc w:val="center"/>
        <w:rPr>
          <w:rFonts w:hint="eastAsia" w:ascii="仿宋" w:hAnsi="仿宋" w:eastAsia="仿宋" w:cs="仿宋"/>
          <w:color w:val="auto"/>
          <w:highlight w:val="none"/>
        </w:rPr>
      </w:pPr>
    </w:p>
    <w:p w14:paraId="176CECEF">
      <w:pPr>
        <w:shd w:val="clear"/>
        <w:jc w:val="center"/>
        <w:rPr>
          <w:rFonts w:hint="eastAsia" w:ascii="仿宋" w:hAnsi="仿宋" w:eastAsia="仿宋" w:cs="仿宋"/>
          <w:color w:val="auto"/>
          <w:highlight w:val="none"/>
        </w:rPr>
      </w:pPr>
    </w:p>
    <w:p w14:paraId="47EA3CDD">
      <w:pPr>
        <w:shd w:val="clear"/>
        <w:jc w:val="center"/>
        <w:rPr>
          <w:rFonts w:hint="eastAsia" w:ascii="仿宋" w:hAnsi="仿宋" w:eastAsia="仿宋" w:cs="仿宋"/>
          <w:color w:val="auto"/>
          <w:highlight w:val="none"/>
        </w:rPr>
      </w:pPr>
    </w:p>
    <w:p w14:paraId="16E83D27">
      <w:pPr>
        <w:shd w:val="clear"/>
        <w:jc w:val="center"/>
        <w:rPr>
          <w:rFonts w:hint="eastAsia" w:ascii="仿宋" w:hAnsi="仿宋" w:eastAsia="仿宋" w:cs="仿宋"/>
          <w:color w:val="auto"/>
          <w:highlight w:val="none"/>
        </w:rPr>
      </w:pPr>
    </w:p>
    <w:p w14:paraId="5B4137F5">
      <w:pPr>
        <w:shd w:val="clear"/>
        <w:jc w:val="center"/>
        <w:rPr>
          <w:rFonts w:hint="eastAsia" w:ascii="仿宋" w:hAnsi="仿宋" w:eastAsia="仿宋" w:cs="仿宋"/>
          <w:color w:val="auto"/>
          <w:highlight w:val="none"/>
        </w:rPr>
      </w:pPr>
    </w:p>
    <w:p w14:paraId="3A3FB028">
      <w:pPr>
        <w:shd w:val="clear"/>
        <w:jc w:val="center"/>
        <w:rPr>
          <w:rFonts w:hint="eastAsia" w:ascii="仿宋" w:hAnsi="仿宋" w:eastAsia="仿宋" w:cs="仿宋"/>
          <w:color w:val="auto"/>
          <w:highlight w:val="none"/>
        </w:rPr>
      </w:pPr>
    </w:p>
    <w:p w14:paraId="20A7D5B7">
      <w:pPr>
        <w:shd w:val="clear"/>
        <w:jc w:val="center"/>
        <w:rPr>
          <w:rFonts w:hint="eastAsia" w:ascii="仿宋" w:hAnsi="仿宋" w:eastAsia="仿宋" w:cs="仿宋"/>
          <w:color w:val="auto"/>
          <w:highlight w:val="none"/>
        </w:rPr>
      </w:pPr>
    </w:p>
    <w:p w14:paraId="48B8DFA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51C49953">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无重大违法记录声明</w:t>
      </w:r>
    </w:p>
    <w:p w14:paraId="358AF443">
      <w:pPr>
        <w:shd w:val="clear"/>
        <w:spacing w:line="480" w:lineRule="auto"/>
        <w:rPr>
          <w:rFonts w:hint="eastAsia" w:ascii="仿宋" w:hAnsi="仿宋" w:eastAsia="仿宋" w:cs="仿宋"/>
          <w:bCs/>
          <w:color w:val="auto"/>
          <w:sz w:val="28"/>
          <w:szCs w:val="28"/>
          <w:highlight w:val="none"/>
        </w:rPr>
      </w:pPr>
    </w:p>
    <w:p w14:paraId="00B036E0">
      <w:pPr>
        <w:shd w:val="clear"/>
        <w:spacing w:line="48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山东志诚工程咨询管理有限公司</w:t>
      </w:r>
      <w:r>
        <w:rPr>
          <w:rFonts w:hint="eastAsia" w:ascii="仿宋" w:hAnsi="仿宋" w:eastAsia="仿宋" w:cs="仿宋"/>
          <w:bCs/>
          <w:color w:val="auto"/>
          <w:sz w:val="28"/>
          <w:szCs w:val="28"/>
          <w:highlight w:val="none"/>
        </w:rPr>
        <w:t>：</w:t>
      </w:r>
    </w:p>
    <w:p w14:paraId="51700C8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名称）现郑重声明</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自参加本项目（编号为               ）采购活动前三年内</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无因违法经营受到刑事处罚或者责令停产停业的、吊销许可证或者执照的、较大数额罚款等行政处罚。  </w:t>
      </w:r>
    </w:p>
    <w:p w14:paraId="4692796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自行承担因此产生的所有法律责任。</w:t>
      </w:r>
    </w:p>
    <w:p w14:paraId="2FAD8728">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447A24DE">
      <w:pPr>
        <w:shd w:val="clear"/>
        <w:spacing w:line="480" w:lineRule="auto"/>
        <w:ind w:left="1747" w:leftChars="832"/>
        <w:rPr>
          <w:rFonts w:hint="eastAsia" w:ascii="仿宋" w:hAnsi="仿宋" w:eastAsia="仿宋" w:cs="仿宋"/>
          <w:bCs/>
          <w:color w:val="auto"/>
          <w:sz w:val="28"/>
          <w:szCs w:val="28"/>
          <w:highlight w:val="none"/>
        </w:rPr>
      </w:pPr>
    </w:p>
    <w:p w14:paraId="7CE9D1C5">
      <w:pPr>
        <w:shd w:val="clear"/>
        <w:spacing w:line="480" w:lineRule="auto"/>
        <w:ind w:left="1747" w:leftChars="832"/>
        <w:rPr>
          <w:rFonts w:hint="eastAsia" w:ascii="仿宋" w:hAnsi="仿宋" w:eastAsia="仿宋" w:cs="仿宋"/>
          <w:bCs/>
          <w:color w:val="auto"/>
          <w:sz w:val="28"/>
          <w:szCs w:val="28"/>
          <w:highlight w:val="none"/>
        </w:rPr>
      </w:pPr>
    </w:p>
    <w:p w14:paraId="0AD4F1FA">
      <w:pPr>
        <w:shd w:val="clear"/>
        <w:spacing w:line="480" w:lineRule="auto"/>
        <w:ind w:left="1747" w:leftChars="832"/>
        <w:rPr>
          <w:rFonts w:hint="eastAsia" w:ascii="仿宋" w:hAnsi="仿宋" w:eastAsia="仿宋" w:cs="仿宋"/>
          <w:bCs/>
          <w:color w:val="auto"/>
          <w:sz w:val="28"/>
          <w:szCs w:val="28"/>
          <w:highlight w:val="none"/>
        </w:rPr>
      </w:pPr>
    </w:p>
    <w:p w14:paraId="7ECCFEEA">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val="en-US" w:eastAsia="zh-CN"/>
        </w:rPr>
        <w:t>签</w:t>
      </w:r>
      <w:r>
        <w:rPr>
          <w:rFonts w:hint="eastAsia" w:ascii="仿宋" w:hAnsi="仿宋" w:eastAsia="仿宋" w:cs="仿宋"/>
          <w:color w:val="auto"/>
          <w:kern w:val="0"/>
          <w:sz w:val="28"/>
          <w:szCs w:val="28"/>
          <w:highlight w:val="none"/>
        </w:rPr>
        <w:t xml:space="preserve">章）：        </w:t>
      </w:r>
    </w:p>
    <w:p w14:paraId="1896D679">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bCs/>
          <w:color w:val="auto"/>
          <w:kern w:val="0"/>
          <w:sz w:val="28"/>
          <w:szCs w:val="28"/>
          <w:highlight w:val="none"/>
        </w:rPr>
        <w:t>法定代表人</w:t>
      </w:r>
      <w:r>
        <w:rPr>
          <w:rFonts w:hint="eastAsia" w:ascii="仿宋" w:hAnsi="仿宋" w:eastAsia="仿宋" w:cs="仿宋"/>
          <w:bCs/>
          <w:color w:val="auto"/>
          <w:kern w:val="0"/>
          <w:sz w:val="28"/>
          <w:szCs w:val="28"/>
          <w:highlight w:val="none"/>
          <w:lang w:val="en-US" w:eastAsia="zh-CN"/>
        </w:rPr>
        <w:t>/单位负责人</w:t>
      </w:r>
      <w:r>
        <w:rPr>
          <w:rFonts w:hint="eastAsia" w:ascii="仿宋" w:hAnsi="仿宋" w:eastAsia="仿宋" w:cs="仿宋"/>
          <w:bCs/>
          <w:color w:val="auto"/>
          <w:kern w:val="0"/>
          <w:sz w:val="28"/>
          <w:szCs w:val="28"/>
          <w:highlight w:val="none"/>
        </w:rPr>
        <w:t>签章</w:t>
      </w:r>
      <w:r>
        <w:rPr>
          <w:rFonts w:hint="eastAsia" w:ascii="仿宋" w:hAnsi="仿宋" w:eastAsia="仿宋" w:cs="仿宋"/>
          <w:color w:val="auto"/>
          <w:kern w:val="0"/>
          <w:sz w:val="28"/>
          <w:szCs w:val="28"/>
          <w:highlight w:val="none"/>
        </w:rPr>
        <w:t xml:space="preserve">：      </w:t>
      </w:r>
    </w:p>
    <w:p w14:paraId="484E1154">
      <w:pPr>
        <w:widowControl/>
        <w:shd w:val="clear"/>
        <w:wordWrap w:val="0"/>
        <w:ind w:right="560" w:firstLine="4760" w:firstLineChars="1700"/>
        <w:jc w:val="right"/>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年   月   日</w:t>
      </w:r>
    </w:p>
    <w:p w14:paraId="7FC62A20">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color w:val="auto"/>
          <w:sz w:val="28"/>
          <w:szCs w:val="28"/>
          <w:highlight w:val="none"/>
        </w:rPr>
        <w:br w:type="page"/>
      </w:r>
      <w:bookmarkEnd w:id="11"/>
      <w:bookmarkStart w:id="12" w:name="_Toc522526789"/>
      <w:bookmarkStart w:id="13" w:name="_Toc521936050"/>
      <w:r>
        <w:rPr>
          <w:rFonts w:hint="eastAsia" w:ascii="Times New Roman" w:hAnsi="Times New Roman" w:eastAsia="黑体" w:cs="Times New Roman"/>
          <w:bCs/>
          <w:color w:val="auto"/>
          <w:sz w:val="32"/>
          <w:szCs w:val="32"/>
          <w:highlight w:val="none"/>
        </w:rPr>
        <w:t>投标人及其法定代表人/单位负责人、被授权人、项目负责人未被最高人民法院列为失信被执行人网站查询结果截图</w:t>
      </w:r>
    </w:p>
    <w:p w14:paraId="287B6E4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F8208A2">
      <w:pPr>
        <w:shd w:val="clear"/>
        <w:snapToGrid w:val="0"/>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4CF29271">
      <w:pPr>
        <w:shd w:val="clear"/>
        <w:snapToGrid w:val="0"/>
        <w:spacing w:line="560" w:lineRule="exact"/>
        <w:ind w:firstLine="562" w:firstLineChars="201"/>
        <w:rPr>
          <w:rFonts w:hint="eastAsia" w:ascii="仿宋" w:hAnsi="仿宋" w:eastAsia="仿宋" w:cs="仿宋"/>
          <w:color w:val="auto"/>
          <w:sz w:val="28"/>
          <w:szCs w:val="28"/>
          <w:highlight w:val="none"/>
        </w:rPr>
      </w:pPr>
    </w:p>
    <w:p w14:paraId="7B295FF5">
      <w:pPr>
        <w:pStyle w:val="2"/>
        <w:shd w:val="clear"/>
        <w:rPr>
          <w:rFonts w:hint="eastAsia" w:ascii="仿宋" w:hAnsi="仿宋" w:eastAsia="仿宋" w:cs="仿宋"/>
          <w:color w:val="auto"/>
          <w:highlight w:val="none"/>
        </w:rPr>
      </w:pPr>
    </w:p>
    <w:p w14:paraId="7065D2E2">
      <w:pPr>
        <w:shd w:val="clear"/>
        <w:snapToGrid w:val="0"/>
        <w:spacing w:line="560" w:lineRule="exact"/>
        <w:ind w:firstLine="562" w:firstLineChars="201"/>
        <w:rPr>
          <w:rFonts w:hint="eastAsia" w:ascii="仿宋" w:hAnsi="仿宋" w:eastAsia="仿宋" w:cs="仿宋"/>
          <w:color w:val="auto"/>
          <w:sz w:val="28"/>
          <w:szCs w:val="28"/>
          <w:highlight w:val="none"/>
        </w:rPr>
      </w:pPr>
    </w:p>
    <w:p w14:paraId="48F06331">
      <w:pPr>
        <w:shd w:val="clear"/>
        <w:snapToGrid w:val="0"/>
        <w:spacing w:line="560" w:lineRule="exact"/>
        <w:ind w:firstLine="562" w:firstLineChars="201"/>
        <w:rPr>
          <w:rFonts w:hint="eastAsia" w:ascii="仿宋" w:hAnsi="仿宋" w:eastAsia="仿宋" w:cs="仿宋"/>
          <w:color w:val="auto"/>
          <w:sz w:val="28"/>
          <w:szCs w:val="28"/>
          <w:highlight w:val="none"/>
        </w:rPr>
      </w:pPr>
    </w:p>
    <w:p w14:paraId="2CDB4A0F">
      <w:pPr>
        <w:shd w:val="clear"/>
        <w:jc w:val="center"/>
        <w:rPr>
          <w:rFonts w:hint="eastAsia" w:ascii="仿宋" w:hAnsi="仿宋" w:eastAsia="仿宋" w:cs="仿宋"/>
          <w:b/>
          <w:color w:val="auto"/>
          <w:sz w:val="28"/>
          <w:szCs w:val="28"/>
          <w:highlight w:val="none"/>
        </w:rPr>
      </w:pPr>
    </w:p>
    <w:p w14:paraId="72B250E8">
      <w:pPr>
        <w:shd w:val="clear"/>
        <w:jc w:val="center"/>
        <w:rPr>
          <w:rFonts w:hint="eastAsia" w:ascii="仿宋" w:hAnsi="仿宋" w:eastAsia="仿宋" w:cs="仿宋"/>
          <w:b/>
          <w:color w:val="auto"/>
          <w:sz w:val="28"/>
          <w:szCs w:val="28"/>
          <w:highlight w:val="none"/>
        </w:rPr>
      </w:pPr>
    </w:p>
    <w:p w14:paraId="54193184">
      <w:pPr>
        <w:shd w:val="clear"/>
        <w:jc w:val="center"/>
        <w:rPr>
          <w:rFonts w:hint="eastAsia" w:ascii="仿宋" w:hAnsi="仿宋" w:eastAsia="仿宋" w:cs="仿宋"/>
          <w:b/>
          <w:color w:val="auto"/>
          <w:sz w:val="28"/>
          <w:szCs w:val="28"/>
          <w:highlight w:val="none"/>
        </w:rPr>
      </w:pPr>
    </w:p>
    <w:p w14:paraId="4871CB68">
      <w:pPr>
        <w:shd w:val="clear"/>
        <w:jc w:val="center"/>
        <w:rPr>
          <w:rFonts w:hint="eastAsia" w:ascii="仿宋" w:hAnsi="仿宋" w:eastAsia="仿宋" w:cs="仿宋"/>
          <w:b/>
          <w:color w:val="auto"/>
          <w:sz w:val="28"/>
          <w:szCs w:val="28"/>
          <w:highlight w:val="none"/>
        </w:rPr>
      </w:pPr>
    </w:p>
    <w:p w14:paraId="176C4AD0">
      <w:pPr>
        <w:shd w:val="clear"/>
        <w:jc w:val="center"/>
        <w:rPr>
          <w:rFonts w:hint="eastAsia" w:ascii="仿宋" w:hAnsi="仿宋" w:eastAsia="仿宋" w:cs="仿宋"/>
          <w:b/>
          <w:color w:val="auto"/>
          <w:sz w:val="28"/>
          <w:szCs w:val="28"/>
          <w:highlight w:val="none"/>
        </w:rPr>
      </w:pPr>
    </w:p>
    <w:p w14:paraId="4FAEC067">
      <w:pPr>
        <w:shd w:val="clear"/>
        <w:snapToGrid w:val="0"/>
        <w:spacing w:line="560" w:lineRule="exact"/>
        <w:ind w:firstLine="643" w:firstLineChars="201"/>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3244A8E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投标人近一年在“信用中国”或“信用中国（山东）”无严重失信记录，附通过网站查询的信用报告</w:t>
      </w:r>
    </w:p>
    <w:p w14:paraId="25CC3D41">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06D1ED3">
      <w:pPr>
        <w:shd w:val="clea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56B97B7D">
      <w:pPr>
        <w:shd w:val="clear"/>
        <w:snapToGrid w:val="0"/>
        <w:spacing w:line="560" w:lineRule="exact"/>
        <w:ind w:firstLine="562" w:firstLineChars="201"/>
        <w:rPr>
          <w:rFonts w:hint="eastAsia" w:ascii="仿宋" w:hAnsi="仿宋" w:eastAsia="仿宋" w:cs="仿宋"/>
          <w:color w:val="auto"/>
          <w:sz w:val="28"/>
          <w:szCs w:val="28"/>
          <w:highlight w:val="none"/>
        </w:rPr>
      </w:pPr>
    </w:p>
    <w:p w14:paraId="66B11F40">
      <w:pPr>
        <w:shd w:val="clear"/>
        <w:snapToGrid w:val="0"/>
        <w:spacing w:line="560" w:lineRule="exact"/>
        <w:ind w:firstLine="562" w:firstLineChars="201"/>
        <w:rPr>
          <w:rFonts w:hint="eastAsia" w:ascii="仿宋" w:hAnsi="仿宋" w:eastAsia="仿宋" w:cs="仿宋"/>
          <w:color w:val="auto"/>
          <w:sz w:val="28"/>
          <w:szCs w:val="28"/>
          <w:highlight w:val="none"/>
        </w:rPr>
      </w:pPr>
    </w:p>
    <w:p w14:paraId="0AE8EBDF">
      <w:pPr>
        <w:shd w:val="clear"/>
        <w:snapToGrid w:val="0"/>
        <w:spacing w:line="560" w:lineRule="exact"/>
        <w:ind w:firstLine="562" w:firstLineChars="201"/>
        <w:rPr>
          <w:rFonts w:hint="eastAsia" w:ascii="仿宋" w:hAnsi="仿宋" w:eastAsia="仿宋" w:cs="仿宋"/>
          <w:color w:val="auto"/>
          <w:sz w:val="28"/>
          <w:szCs w:val="28"/>
          <w:highlight w:val="none"/>
        </w:rPr>
      </w:pPr>
    </w:p>
    <w:p w14:paraId="19A60995">
      <w:pPr>
        <w:shd w:val="clea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40D2292A">
      <w:pPr>
        <w:shd w:val="clear"/>
        <w:snapToGrid w:val="0"/>
        <w:spacing w:line="560" w:lineRule="exact"/>
        <w:ind w:firstLine="562" w:firstLineChars="201"/>
        <w:rPr>
          <w:rFonts w:hint="eastAsia" w:ascii="仿宋" w:hAnsi="仿宋" w:eastAsia="仿宋" w:cs="仿宋"/>
          <w:color w:val="auto"/>
          <w:sz w:val="28"/>
          <w:szCs w:val="28"/>
          <w:highlight w:val="none"/>
        </w:rPr>
      </w:pPr>
    </w:p>
    <w:p w14:paraId="3F37C497">
      <w:pPr>
        <w:shd w:val="clear"/>
        <w:snapToGrid w:val="0"/>
        <w:spacing w:line="560" w:lineRule="exact"/>
        <w:ind w:firstLine="562" w:firstLineChars="201"/>
        <w:rPr>
          <w:rFonts w:hint="eastAsia" w:ascii="仿宋" w:hAnsi="仿宋" w:eastAsia="仿宋" w:cs="仿宋"/>
          <w:color w:val="auto"/>
          <w:sz w:val="28"/>
          <w:szCs w:val="28"/>
          <w:highlight w:val="none"/>
        </w:rPr>
      </w:pPr>
    </w:p>
    <w:p w14:paraId="390F3EA6">
      <w:pPr>
        <w:shd w:val="clear"/>
        <w:snapToGrid w:val="0"/>
        <w:spacing w:line="560" w:lineRule="exact"/>
        <w:ind w:firstLine="562" w:firstLineChars="201"/>
        <w:rPr>
          <w:rFonts w:hint="eastAsia" w:ascii="仿宋" w:hAnsi="仿宋" w:eastAsia="仿宋" w:cs="仿宋"/>
          <w:color w:val="auto"/>
          <w:sz w:val="28"/>
          <w:szCs w:val="28"/>
          <w:highlight w:val="none"/>
        </w:rPr>
      </w:pPr>
    </w:p>
    <w:p w14:paraId="2DE5CDDC">
      <w:pPr>
        <w:shd w:val="clear"/>
        <w:jc w:val="center"/>
        <w:rPr>
          <w:rFonts w:hint="eastAsia" w:ascii="仿宋" w:hAnsi="仿宋" w:eastAsia="仿宋" w:cs="仿宋"/>
          <w:b/>
          <w:color w:val="auto"/>
          <w:sz w:val="28"/>
          <w:szCs w:val="28"/>
          <w:highlight w:val="none"/>
        </w:rPr>
      </w:pPr>
    </w:p>
    <w:p w14:paraId="5D4A0609">
      <w:pPr>
        <w:shd w:val="clear"/>
        <w:jc w:val="center"/>
        <w:rPr>
          <w:rFonts w:hint="eastAsia" w:ascii="仿宋" w:hAnsi="仿宋" w:eastAsia="仿宋" w:cs="仿宋"/>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bookmarkEnd w:id="12"/>
    <w:bookmarkEnd w:id="13"/>
    <w:p w14:paraId="0A5A06A2">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投标人的资质证书扫描件</w:t>
      </w:r>
    </w:p>
    <w:p w14:paraId="2A5A92B0">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03E6EFF3">
      <w:pPr>
        <w:shd w:val="clear"/>
        <w:rPr>
          <w:rFonts w:hint="eastAsia" w:ascii="仿宋" w:hAnsi="仿宋" w:eastAsia="仿宋" w:cs="仿宋"/>
          <w:color w:val="auto"/>
          <w:highlight w:val="none"/>
        </w:rPr>
      </w:pPr>
    </w:p>
    <w:p w14:paraId="3189B693">
      <w:pPr>
        <w:shd w:val="clear"/>
        <w:jc w:val="center"/>
        <w:rPr>
          <w:rFonts w:hint="eastAsia" w:ascii="仿宋" w:hAnsi="仿宋" w:eastAsia="仿宋" w:cs="仿宋"/>
          <w:color w:val="auto"/>
          <w:highlight w:val="none"/>
        </w:rPr>
      </w:pPr>
    </w:p>
    <w:p w14:paraId="378DD159">
      <w:pPr>
        <w:shd w:val="clear"/>
        <w:jc w:val="center"/>
        <w:rPr>
          <w:rFonts w:hint="eastAsia" w:ascii="仿宋" w:hAnsi="仿宋" w:eastAsia="仿宋" w:cs="仿宋"/>
          <w:color w:val="auto"/>
          <w:highlight w:val="none"/>
        </w:rPr>
      </w:pPr>
    </w:p>
    <w:p w14:paraId="0CA36077">
      <w:pPr>
        <w:shd w:val="clear"/>
        <w:jc w:val="center"/>
        <w:rPr>
          <w:rFonts w:hint="eastAsia" w:ascii="仿宋" w:hAnsi="仿宋" w:eastAsia="仿宋" w:cs="仿宋"/>
          <w:color w:val="auto"/>
          <w:highlight w:val="none"/>
        </w:rPr>
      </w:pPr>
    </w:p>
    <w:p w14:paraId="2EEFCB99">
      <w:pPr>
        <w:shd w:val="clear"/>
        <w:jc w:val="center"/>
        <w:rPr>
          <w:rFonts w:hint="eastAsia" w:ascii="仿宋" w:hAnsi="仿宋" w:eastAsia="仿宋" w:cs="仿宋"/>
          <w:color w:val="auto"/>
          <w:highlight w:val="none"/>
        </w:rPr>
      </w:pPr>
    </w:p>
    <w:p w14:paraId="224ACE64">
      <w:pPr>
        <w:shd w:val="clear"/>
        <w:jc w:val="center"/>
        <w:rPr>
          <w:rFonts w:hint="eastAsia" w:ascii="仿宋" w:hAnsi="仿宋" w:eastAsia="仿宋" w:cs="仿宋"/>
          <w:color w:val="auto"/>
          <w:highlight w:val="none"/>
        </w:rPr>
      </w:pPr>
    </w:p>
    <w:p w14:paraId="4D02AB00">
      <w:pPr>
        <w:shd w:val="clear"/>
        <w:jc w:val="center"/>
        <w:rPr>
          <w:rFonts w:hint="eastAsia" w:ascii="仿宋" w:hAnsi="仿宋" w:eastAsia="仿宋" w:cs="仿宋"/>
          <w:color w:val="auto"/>
          <w:highlight w:val="none"/>
        </w:rPr>
      </w:pPr>
    </w:p>
    <w:p w14:paraId="2BE1D6C2">
      <w:pPr>
        <w:shd w:val="clear"/>
        <w:jc w:val="center"/>
        <w:rPr>
          <w:rFonts w:hint="eastAsia" w:ascii="仿宋" w:hAnsi="仿宋" w:eastAsia="仿宋" w:cs="仿宋"/>
          <w:color w:val="auto"/>
          <w:highlight w:val="none"/>
        </w:rPr>
      </w:pPr>
    </w:p>
    <w:p w14:paraId="20DE9755">
      <w:pPr>
        <w:shd w:val="clear"/>
        <w:jc w:val="center"/>
        <w:rPr>
          <w:rFonts w:hint="eastAsia" w:ascii="仿宋" w:hAnsi="仿宋" w:eastAsia="仿宋" w:cs="仿宋"/>
          <w:color w:val="auto"/>
          <w:highlight w:val="none"/>
        </w:rPr>
      </w:pPr>
    </w:p>
    <w:p w14:paraId="1A00F383">
      <w:pPr>
        <w:shd w:val="clear"/>
        <w:jc w:val="center"/>
        <w:rPr>
          <w:rFonts w:hint="eastAsia" w:ascii="仿宋" w:hAnsi="仿宋" w:eastAsia="仿宋" w:cs="仿宋"/>
          <w:color w:val="auto"/>
          <w:highlight w:val="none"/>
        </w:rPr>
      </w:pPr>
    </w:p>
    <w:p w14:paraId="07CD9F9D">
      <w:pPr>
        <w:shd w:val="clear"/>
        <w:jc w:val="center"/>
        <w:rPr>
          <w:rFonts w:hint="eastAsia" w:ascii="仿宋" w:hAnsi="仿宋" w:eastAsia="仿宋" w:cs="仿宋"/>
          <w:color w:val="auto"/>
          <w:highlight w:val="none"/>
        </w:rPr>
      </w:pPr>
    </w:p>
    <w:p w14:paraId="3915CF62">
      <w:pPr>
        <w:shd w:val="clear"/>
        <w:jc w:val="center"/>
        <w:rPr>
          <w:rFonts w:hint="eastAsia" w:ascii="仿宋" w:hAnsi="仿宋" w:eastAsia="仿宋" w:cs="仿宋"/>
          <w:color w:val="auto"/>
          <w:highlight w:val="none"/>
        </w:rPr>
      </w:pPr>
    </w:p>
    <w:p w14:paraId="30B9A04F">
      <w:pPr>
        <w:shd w:val="clear"/>
        <w:jc w:val="center"/>
        <w:rPr>
          <w:rFonts w:hint="eastAsia" w:ascii="仿宋" w:hAnsi="仿宋" w:eastAsia="仿宋" w:cs="仿宋"/>
          <w:color w:val="auto"/>
          <w:highlight w:val="none"/>
        </w:rPr>
      </w:pPr>
    </w:p>
    <w:p w14:paraId="2E5AB095">
      <w:pPr>
        <w:shd w:val="clear"/>
        <w:jc w:val="center"/>
        <w:rPr>
          <w:rFonts w:hint="eastAsia" w:ascii="仿宋" w:hAnsi="仿宋" w:eastAsia="仿宋" w:cs="仿宋"/>
          <w:color w:val="auto"/>
          <w:highlight w:val="none"/>
        </w:rPr>
      </w:pPr>
    </w:p>
    <w:p w14:paraId="2FA476BB">
      <w:pPr>
        <w:shd w:val="clear"/>
        <w:jc w:val="center"/>
        <w:rPr>
          <w:rFonts w:hint="eastAsia" w:ascii="仿宋" w:hAnsi="仿宋" w:eastAsia="仿宋" w:cs="仿宋"/>
          <w:color w:val="auto"/>
          <w:highlight w:val="none"/>
        </w:rPr>
      </w:pPr>
    </w:p>
    <w:p w14:paraId="62995402">
      <w:pPr>
        <w:shd w:val="clear"/>
        <w:jc w:val="center"/>
        <w:rPr>
          <w:rFonts w:hint="eastAsia" w:ascii="仿宋" w:hAnsi="仿宋" w:eastAsia="仿宋" w:cs="仿宋"/>
          <w:color w:val="auto"/>
          <w:highlight w:val="none"/>
        </w:rPr>
      </w:pPr>
    </w:p>
    <w:p w14:paraId="135172F2">
      <w:pPr>
        <w:shd w:val="clear"/>
        <w:jc w:val="center"/>
        <w:rPr>
          <w:rFonts w:hint="eastAsia" w:ascii="仿宋" w:hAnsi="仿宋" w:eastAsia="仿宋" w:cs="仿宋"/>
          <w:color w:val="auto"/>
          <w:highlight w:val="none"/>
        </w:rPr>
      </w:pPr>
    </w:p>
    <w:p w14:paraId="2B403DB2">
      <w:pPr>
        <w:shd w:val="clear"/>
        <w:jc w:val="center"/>
        <w:rPr>
          <w:rFonts w:hint="eastAsia" w:ascii="仿宋" w:hAnsi="仿宋" w:eastAsia="仿宋" w:cs="仿宋"/>
          <w:color w:val="auto"/>
          <w:highlight w:val="none"/>
        </w:rPr>
      </w:pPr>
    </w:p>
    <w:p w14:paraId="14962AAA">
      <w:pPr>
        <w:shd w:val="clear"/>
        <w:jc w:val="center"/>
        <w:rPr>
          <w:rFonts w:hint="eastAsia" w:ascii="仿宋" w:hAnsi="仿宋" w:eastAsia="仿宋" w:cs="仿宋"/>
          <w:color w:val="auto"/>
          <w:highlight w:val="none"/>
        </w:rPr>
      </w:pPr>
    </w:p>
    <w:p w14:paraId="3A4D3E29">
      <w:pPr>
        <w:shd w:val="clear"/>
        <w:jc w:val="center"/>
        <w:rPr>
          <w:rFonts w:hint="eastAsia" w:ascii="仿宋" w:hAnsi="仿宋" w:eastAsia="仿宋" w:cs="仿宋"/>
          <w:color w:val="auto"/>
          <w:highlight w:val="none"/>
        </w:rPr>
      </w:pPr>
    </w:p>
    <w:p w14:paraId="50964BA0">
      <w:pPr>
        <w:shd w:val="clear"/>
        <w:jc w:val="center"/>
        <w:rPr>
          <w:rFonts w:hint="eastAsia" w:ascii="仿宋" w:hAnsi="仿宋" w:eastAsia="仿宋" w:cs="仿宋"/>
          <w:color w:val="auto"/>
          <w:highlight w:val="none"/>
        </w:rPr>
      </w:pPr>
    </w:p>
    <w:p w14:paraId="3D0B35EA">
      <w:pPr>
        <w:shd w:val="clear"/>
        <w:jc w:val="center"/>
        <w:rPr>
          <w:rFonts w:hint="eastAsia" w:ascii="仿宋" w:hAnsi="仿宋" w:eastAsia="仿宋" w:cs="仿宋"/>
          <w:color w:val="auto"/>
          <w:highlight w:val="none"/>
        </w:rPr>
      </w:pPr>
    </w:p>
    <w:p w14:paraId="3B4AEAEF">
      <w:pPr>
        <w:shd w:val="clear"/>
        <w:jc w:val="center"/>
        <w:rPr>
          <w:rFonts w:hint="eastAsia" w:ascii="仿宋" w:hAnsi="仿宋" w:eastAsia="仿宋" w:cs="仿宋"/>
          <w:color w:val="auto"/>
          <w:highlight w:val="none"/>
        </w:rPr>
      </w:pPr>
    </w:p>
    <w:p w14:paraId="4520FB73">
      <w:pPr>
        <w:shd w:val="clear"/>
        <w:jc w:val="center"/>
        <w:rPr>
          <w:rFonts w:hint="eastAsia" w:ascii="仿宋" w:hAnsi="仿宋" w:eastAsia="仿宋" w:cs="仿宋"/>
          <w:color w:val="auto"/>
          <w:highlight w:val="none"/>
        </w:rPr>
      </w:pPr>
    </w:p>
    <w:p w14:paraId="3687B5ED">
      <w:pPr>
        <w:shd w:val="clear"/>
        <w:jc w:val="center"/>
        <w:rPr>
          <w:rFonts w:hint="eastAsia" w:ascii="仿宋" w:hAnsi="仿宋" w:eastAsia="仿宋" w:cs="仿宋"/>
          <w:color w:val="auto"/>
          <w:highlight w:val="none"/>
        </w:rPr>
      </w:pPr>
    </w:p>
    <w:p w14:paraId="599CD59D">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22E344D7">
      <w:pPr>
        <w:shd w:val="clear"/>
        <w:jc w:val="center"/>
        <w:rPr>
          <w:rFonts w:hint="eastAsia" w:ascii="仿宋" w:hAnsi="仿宋" w:eastAsia="仿宋" w:cs="仿宋"/>
          <w:color w:val="auto"/>
          <w:highlight w:val="none"/>
        </w:rPr>
      </w:pPr>
    </w:p>
    <w:p w14:paraId="609B940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color w:val="auto"/>
          <w:highlight w:val="none"/>
        </w:rPr>
        <w:br w:type="page"/>
      </w:r>
      <w:r>
        <w:rPr>
          <w:rFonts w:hint="eastAsia" w:ascii="Times New Roman" w:hAnsi="Times New Roman" w:eastAsia="黑体" w:cs="Times New Roman"/>
          <w:bCs/>
          <w:color w:val="auto"/>
          <w:sz w:val="32"/>
          <w:szCs w:val="32"/>
          <w:highlight w:val="none"/>
        </w:rPr>
        <w:t>拟派项目负责人的注册证书扫描件</w:t>
      </w:r>
    </w:p>
    <w:p w14:paraId="108A8DB7">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7BFD5B3F">
      <w:pPr>
        <w:shd w:val="clear"/>
        <w:rPr>
          <w:rFonts w:hint="eastAsia" w:ascii="仿宋" w:hAnsi="仿宋" w:eastAsia="仿宋" w:cs="仿宋"/>
          <w:color w:val="auto"/>
          <w:highlight w:val="none"/>
        </w:rPr>
      </w:pPr>
    </w:p>
    <w:p w14:paraId="5864D645">
      <w:pPr>
        <w:shd w:val="clear"/>
        <w:jc w:val="center"/>
        <w:rPr>
          <w:rFonts w:hint="eastAsia" w:ascii="仿宋" w:hAnsi="仿宋" w:eastAsia="仿宋" w:cs="仿宋"/>
          <w:color w:val="auto"/>
          <w:highlight w:val="none"/>
        </w:rPr>
      </w:pPr>
    </w:p>
    <w:p w14:paraId="1FF14790">
      <w:pPr>
        <w:shd w:val="clear"/>
        <w:jc w:val="center"/>
        <w:rPr>
          <w:rFonts w:hint="eastAsia" w:ascii="仿宋" w:hAnsi="仿宋" w:eastAsia="仿宋" w:cs="仿宋"/>
          <w:color w:val="auto"/>
          <w:highlight w:val="none"/>
        </w:rPr>
      </w:pPr>
    </w:p>
    <w:p w14:paraId="14F04FC3">
      <w:pPr>
        <w:shd w:val="clear"/>
        <w:jc w:val="center"/>
        <w:rPr>
          <w:rFonts w:hint="eastAsia" w:ascii="仿宋" w:hAnsi="仿宋" w:eastAsia="仿宋" w:cs="仿宋"/>
          <w:color w:val="auto"/>
          <w:highlight w:val="none"/>
        </w:rPr>
      </w:pPr>
    </w:p>
    <w:p w14:paraId="664D242C">
      <w:pPr>
        <w:shd w:val="clear"/>
        <w:jc w:val="center"/>
        <w:rPr>
          <w:rFonts w:hint="eastAsia" w:ascii="仿宋" w:hAnsi="仿宋" w:eastAsia="仿宋" w:cs="仿宋"/>
          <w:color w:val="auto"/>
          <w:highlight w:val="none"/>
        </w:rPr>
      </w:pPr>
    </w:p>
    <w:p w14:paraId="717EA42C">
      <w:pPr>
        <w:shd w:val="clear"/>
        <w:jc w:val="center"/>
        <w:rPr>
          <w:rFonts w:hint="eastAsia" w:ascii="仿宋" w:hAnsi="仿宋" w:eastAsia="仿宋" w:cs="仿宋"/>
          <w:color w:val="auto"/>
          <w:highlight w:val="none"/>
        </w:rPr>
      </w:pPr>
    </w:p>
    <w:p w14:paraId="54490D61">
      <w:pPr>
        <w:shd w:val="clear"/>
        <w:jc w:val="center"/>
        <w:rPr>
          <w:rFonts w:hint="eastAsia" w:ascii="仿宋" w:hAnsi="仿宋" w:eastAsia="仿宋" w:cs="仿宋"/>
          <w:color w:val="auto"/>
          <w:highlight w:val="none"/>
        </w:rPr>
      </w:pPr>
    </w:p>
    <w:p w14:paraId="6AD306E6">
      <w:pPr>
        <w:shd w:val="clear"/>
        <w:jc w:val="center"/>
        <w:rPr>
          <w:rFonts w:hint="eastAsia" w:ascii="仿宋" w:hAnsi="仿宋" w:eastAsia="仿宋" w:cs="仿宋"/>
          <w:color w:val="auto"/>
          <w:highlight w:val="none"/>
        </w:rPr>
      </w:pPr>
    </w:p>
    <w:p w14:paraId="1D27E678">
      <w:pPr>
        <w:shd w:val="clear"/>
        <w:jc w:val="center"/>
        <w:rPr>
          <w:rFonts w:hint="eastAsia" w:ascii="仿宋" w:hAnsi="仿宋" w:eastAsia="仿宋" w:cs="仿宋"/>
          <w:color w:val="auto"/>
          <w:highlight w:val="none"/>
        </w:rPr>
      </w:pPr>
    </w:p>
    <w:p w14:paraId="2A11FC66">
      <w:pPr>
        <w:shd w:val="clear"/>
        <w:jc w:val="center"/>
        <w:rPr>
          <w:rFonts w:hint="eastAsia" w:ascii="仿宋" w:hAnsi="仿宋" w:eastAsia="仿宋" w:cs="仿宋"/>
          <w:color w:val="auto"/>
          <w:highlight w:val="none"/>
        </w:rPr>
      </w:pPr>
    </w:p>
    <w:p w14:paraId="4764F087">
      <w:pPr>
        <w:shd w:val="clear"/>
        <w:jc w:val="center"/>
        <w:rPr>
          <w:rFonts w:hint="eastAsia" w:ascii="仿宋" w:hAnsi="仿宋" w:eastAsia="仿宋" w:cs="仿宋"/>
          <w:color w:val="auto"/>
          <w:highlight w:val="none"/>
        </w:rPr>
      </w:pPr>
    </w:p>
    <w:p w14:paraId="1CAC3B0D">
      <w:pPr>
        <w:shd w:val="clear"/>
        <w:jc w:val="center"/>
        <w:rPr>
          <w:rFonts w:hint="eastAsia" w:ascii="仿宋" w:hAnsi="仿宋" w:eastAsia="仿宋" w:cs="仿宋"/>
          <w:color w:val="auto"/>
          <w:highlight w:val="none"/>
        </w:rPr>
      </w:pPr>
    </w:p>
    <w:p w14:paraId="44BA33E1">
      <w:pPr>
        <w:shd w:val="clear"/>
        <w:jc w:val="center"/>
        <w:rPr>
          <w:rFonts w:hint="eastAsia" w:ascii="仿宋" w:hAnsi="仿宋" w:eastAsia="仿宋" w:cs="仿宋"/>
          <w:color w:val="auto"/>
          <w:highlight w:val="none"/>
        </w:rPr>
      </w:pPr>
    </w:p>
    <w:p w14:paraId="5BE330B4">
      <w:pPr>
        <w:shd w:val="clear"/>
        <w:jc w:val="center"/>
        <w:rPr>
          <w:rFonts w:hint="eastAsia" w:ascii="仿宋" w:hAnsi="仿宋" w:eastAsia="仿宋" w:cs="仿宋"/>
          <w:color w:val="auto"/>
          <w:highlight w:val="none"/>
        </w:rPr>
      </w:pPr>
    </w:p>
    <w:p w14:paraId="4011A4F4">
      <w:pPr>
        <w:shd w:val="clear"/>
        <w:jc w:val="center"/>
        <w:rPr>
          <w:rFonts w:hint="eastAsia" w:ascii="仿宋" w:hAnsi="仿宋" w:eastAsia="仿宋" w:cs="仿宋"/>
          <w:color w:val="auto"/>
          <w:highlight w:val="none"/>
        </w:rPr>
      </w:pPr>
    </w:p>
    <w:p w14:paraId="7C3223BA">
      <w:pPr>
        <w:shd w:val="clear"/>
        <w:jc w:val="center"/>
        <w:rPr>
          <w:rFonts w:hint="eastAsia" w:ascii="仿宋" w:hAnsi="仿宋" w:eastAsia="仿宋" w:cs="仿宋"/>
          <w:color w:val="auto"/>
          <w:highlight w:val="none"/>
        </w:rPr>
      </w:pPr>
    </w:p>
    <w:p w14:paraId="3F4378DC">
      <w:pPr>
        <w:shd w:val="clear"/>
        <w:jc w:val="center"/>
        <w:rPr>
          <w:rFonts w:hint="eastAsia" w:ascii="仿宋" w:hAnsi="仿宋" w:eastAsia="仿宋" w:cs="仿宋"/>
          <w:color w:val="auto"/>
          <w:highlight w:val="none"/>
        </w:rPr>
      </w:pPr>
    </w:p>
    <w:p w14:paraId="4917B035">
      <w:pPr>
        <w:shd w:val="clear"/>
        <w:jc w:val="center"/>
        <w:rPr>
          <w:rFonts w:hint="eastAsia" w:ascii="仿宋" w:hAnsi="仿宋" w:eastAsia="仿宋" w:cs="仿宋"/>
          <w:color w:val="auto"/>
          <w:highlight w:val="none"/>
        </w:rPr>
      </w:pPr>
    </w:p>
    <w:p w14:paraId="180D3387">
      <w:pPr>
        <w:shd w:val="clear"/>
        <w:jc w:val="center"/>
        <w:rPr>
          <w:rFonts w:hint="eastAsia" w:ascii="仿宋" w:hAnsi="仿宋" w:eastAsia="仿宋" w:cs="仿宋"/>
          <w:color w:val="auto"/>
          <w:highlight w:val="none"/>
        </w:rPr>
      </w:pPr>
    </w:p>
    <w:p w14:paraId="60A5F6CB">
      <w:pPr>
        <w:shd w:val="clear"/>
        <w:jc w:val="center"/>
        <w:rPr>
          <w:rFonts w:hint="eastAsia" w:ascii="仿宋" w:hAnsi="仿宋" w:eastAsia="仿宋" w:cs="仿宋"/>
          <w:color w:val="auto"/>
          <w:highlight w:val="none"/>
        </w:rPr>
      </w:pPr>
    </w:p>
    <w:p w14:paraId="5C600698">
      <w:pPr>
        <w:shd w:val="clear"/>
        <w:jc w:val="center"/>
        <w:rPr>
          <w:rFonts w:hint="eastAsia" w:ascii="仿宋" w:hAnsi="仿宋" w:eastAsia="仿宋" w:cs="仿宋"/>
          <w:color w:val="auto"/>
          <w:highlight w:val="none"/>
        </w:rPr>
      </w:pPr>
    </w:p>
    <w:p w14:paraId="2082E0F3">
      <w:pPr>
        <w:shd w:val="clear"/>
        <w:jc w:val="center"/>
        <w:rPr>
          <w:rFonts w:hint="eastAsia" w:ascii="仿宋" w:hAnsi="仿宋" w:eastAsia="仿宋" w:cs="仿宋"/>
          <w:color w:val="auto"/>
          <w:highlight w:val="none"/>
        </w:rPr>
      </w:pPr>
    </w:p>
    <w:p w14:paraId="58ABB3F2">
      <w:pPr>
        <w:shd w:val="clear"/>
        <w:jc w:val="center"/>
        <w:rPr>
          <w:rFonts w:hint="eastAsia" w:ascii="仿宋" w:hAnsi="仿宋" w:eastAsia="仿宋" w:cs="仿宋"/>
          <w:color w:val="auto"/>
          <w:highlight w:val="none"/>
        </w:rPr>
      </w:pPr>
    </w:p>
    <w:p w14:paraId="08FA32C2">
      <w:pPr>
        <w:shd w:val="clear"/>
        <w:jc w:val="center"/>
        <w:rPr>
          <w:rFonts w:hint="eastAsia" w:ascii="仿宋" w:hAnsi="仿宋" w:eastAsia="仿宋" w:cs="仿宋"/>
          <w:color w:val="auto"/>
          <w:highlight w:val="none"/>
        </w:rPr>
      </w:pPr>
    </w:p>
    <w:p w14:paraId="0A13CD4E">
      <w:pPr>
        <w:shd w:val="clear"/>
        <w:jc w:val="center"/>
        <w:rPr>
          <w:rFonts w:hint="eastAsia" w:ascii="仿宋" w:hAnsi="仿宋" w:eastAsia="仿宋" w:cs="仿宋"/>
          <w:color w:val="auto"/>
          <w:highlight w:val="none"/>
        </w:rPr>
      </w:pPr>
    </w:p>
    <w:p w14:paraId="393AD4F0">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2EB76897">
      <w:pPr>
        <w:shd w:val="clear"/>
        <w:jc w:val="center"/>
        <w:rPr>
          <w:rFonts w:hint="eastAsia" w:ascii="仿宋" w:hAnsi="仿宋" w:eastAsia="仿宋" w:cs="仿宋"/>
          <w:color w:val="auto"/>
          <w:highlight w:val="none"/>
        </w:rPr>
      </w:pPr>
    </w:p>
    <w:p w14:paraId="7969FB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color w:val="auto"/>
          <w:highlight w:val="none"/>
        </w:rPr>
        <w:br w:type="page"/>
      </w:r>
      <w:r>
        <w:rPr>
          <w:rFonts w:hint="eastAsia" w:ascii="Times New Roman" w:hAnsi="Times New Roman" w:eastAsia="黑体" w:cs="Times New Roman"/>
          <w:bCs/>
          <w:color w:val="auto"/>
          <w:sz w:val="32"/>
          <w:szCs w:val="32"/>
          <w:highlight w:val="none"/>
        </w:rPr>
        <w:t>其他资质资格证明文件</w:t>
      </w:r>
    </w:p>
    <w:p w14:paraId="79EF4B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1D446294">
      <w:pPr>
        <w:shd w:val="clear"/>
        <w:rPr>
          <w:rFonts w:hint="eastAsia" w:ascii="仿宋" w:hAnsi="仿宋" w:eastAsia="仿宋" w:cs="仿宋"/>
          <w:color w:val="auto"/>
          <w:highlight w:val="none"/>
        </w:rPr>
      </w:pPr>
    </w:p>
    <w:p w14:paraId="709D1E81">
      <w:pPr>
        <w:shd w:val="clear"/>
        <w:jc w:val="center"/>
        <w:rPr>
          <w:rFonts w:hint="eastAsia" w:ascii="仿宋" w:hAnsi="仿宋" w:eastAsia="仿宋" w:cs="仿宋"/>
          <w:color w:val="auto"/>
          <w:highlight w:val="none"/>
        </w:rPr>
      </w:pPr>
    </w:p>
    <w:p w14:paraId="06786767">
      <w:pPr>
        <w:shd w:val="clear"/>
        <w:jc w:val="center"/>
        <w:rPr>
          <w:rFonts w:hint="eastAsia" w:ascii="仿宋" w:hAnsi="仿宋" w:eastAsia="仿宋" w:cs="仿宋"/>
          <w:color w:val="auto"/>
          <w:highlight w:val="none"/>
        </w:rPr>
      </w:pPr>
    </w:p>
    <w:p w14:paraId="3F42AD44">
      <w:pPr>
        <w:shd w:val="clear"/>
        <w:jc w:val="center"/>
        <w:rPr>
          <w:rFonts w:hint="eastAsia" w:ascii="仿宋" w:hAnsi="仿宋" w:eastAsia="仿宋" w:cs="仿宋"/>
          <w:color w:val="auto"/>
          <w:highlight w:val="none"/>
        </w:rPr>
      </w:pPr>
    </w:p>
    <w:p w14:paraId="4CAEB7D6">
      <w:pPr>
        <w:shd w:val="clear"/>
        <w:jc w:val="center"/>
        <w:rPr>
          <w:rFonts w:hint="eastAsia" w:ascii="仿宋" w:hAnsi="仿宋" w:eastAsia="仿宋" w:cs="仿宋"/>
          <w:color w:val="auto"/>
          <w:highlight w:val="none"/>
        </w:rPr>
      </w:pPr>
    </w:p>
    <w:p w14:paraId="1698C1FD">
      <w:pPr>
        <w:shd w:val="clear"/>
        <w:jc w:val="center"/>
        <w:rPr>
          <w:rFonts w:hint="eastAsia" w:ascii="仿宋" w:hAnsi="仿宋" w:eastAsia="仿宋" w:cs="仿宋"/>
          <w:color w:val="auto"/>
          <w:highlight w:val="none"/>
        </w:rPr>
      </w:pPr>
    </w:p>
    <w:p w14:paraId="003FFA6D">
      <w:pPr>
        <w:shd w:val="clear"/>
        <w:jc w:val="center"/>
        <w:rPr>
          <w:rFonts w:hint="eastAsia" w:ascii="仿宋" w:hAnsi="仿宋" w:eastAsia="仿宋" w:cs="仿宋"/>
          <w:color w:val="auto"/>
          <w:highlight w:val="none"/>
        </w:rPr>
      </w:pPr>
    </w:p>
    <w:p w14:paraId="091D57FE">
      <w:pPr>
        <w:shd w:val="clear"/>
        <w:jc w:val="center"/>
        <w:rPr>
          <w:rFonts w:hint="eastAsia" w:ascii="仿宋" w:hAnsi="仿宋" w:eastAsia="仿宋" w:cs="仿宋"/>
          <w:color w:val="auto"/>
          <w:highlight w:val="none"/>
        </w:rPr>
      </w:pPr>
    </w:p>
    <w:p w14:paraId="57862241">
      <w:pPr>
        <w:shd w:val="clear"/>
        <w:jc w:val="center"/>
        <w:rPr>
          <w:rFonts w:hint="eastAsia" w:ascii="仿宋" w:hAnsi="仿宋" w:eastAsia="仿宋" w:cs="仿宋"/>
          <w:color w:val="auto"/>
          <w:highlight w:val="none"/>
        </w:rPr>
      </w:pPr>
    </w:p>
    <w:p w14:paraId="0C5F5FD5">
      <w:pPr>
        <w:shd w:val="clear"/>
        <w:jc w:val="center"/>
        <w:rPr>
          <w:rFonts w:hint="eastAsia" w:ascii="仿宋" w:hAnsi="仿宋" w:eastAsia="仿宋" w:cs="仿宋"/>
          <w:color w:val="auto"/>
          <w:highlight w:val="none"/>
        </w:rPr>
      </w:pPr>
    </w:p>
    <w:p w14:paraId="0D71A54A">
      <w:pPr>
        <w:shd w:val="clear"/>
        <w:jc w:val="center"/>
        <w:rPr>
          <w:rFonts w:hint="eastAsia" w:ascii="仿宋" w:hAnsi="仿宋" w:eastAsia="仿宋" w:cs="仿宋"/>
          <w:color w:val="auto"/>
          <w:highlight w:val="none"/>
        </w:rPr>
      </w:pPr>
    </w:p>
    <w:p w14:paraId="799D6DAD">
      <w:pPr>
        <w:shd w:val="clear"/>
        <w:jc w:val="center"/>
        <w:rPr>
          <w:rFonts w:hint="eastAsia" w:ascii="仿宋" w:hAnsi="仿宋" w:eastAsia="仿宋" w:cs="仿宋"/>
          <w:color w:val="auto"/>
          <w:highlight w:val="none"/>
        </w:rPr>
      </w:pPr>
    </w:p>
    <w:p w14:paraId="48A309FE">
      <w:pPr>
        <w:shd w:val="clear"/>
        <w:jc w:val="center"/>
        <w:rPr>
          <w:rFonts w:hint="eastAsia" w:ascii="仿宋" w:hAnsi="仿宋" w:eastAsia="仿宋" w:cs="仿宋"/>
          <w:color w:val="auto"/>
          <w:highlight w:val="none"/>
        </w:rPr>
      </w:pPr>
    </w:p>
    <w:p w14:paraId="59D6AF43">
      <w:pPr>
        <w:shd w:val="clear"/>
        <w:jc w:val="center"/>
        <w:rPr>
          <w:rFonts w:hint="eastAsia" w:ascii="仿宋" w:hAnsi="仿宋" w:eastAsia="仿宋" w:cs="仿宋"/>
          <w:color w:val="auto"/>
          <w:highlight w:val="none"/>
        </w:rPr>
      </w:pPr>
    </w:p>
    <w:p w14:paraId="72AF74F5">
      <w:pPr>
        <w:shd w:val="clear"/>
        <w:jc w:val="center"/>
        <w:rPr>
          <w:rFonts w:hint="eastAsia" w:ascii="仿宋" w:hAnsi="仿宋" w:eastAsia="仿宋" w:cs="仿宋"/>
          <w:color w:val="auto"/>
          <w:highlight w:val="none"/>
        </w:rPr>
      </w:pPr>
    </w:p>
    <w:p w14:paraId="3BCD2492">
      <w:pPr>
        <w:shd w:val="clear"/>
        <w:jc w:val="center"/>
        <w:rPr>
          <w:rFonts w:hint="eastAsia" w:ascii="仿宋" w:hAnsi="仿宋" w:eastAsia="仿宋" w:cs="仿宋"/>
          <w:color w:val="auto"/>
          <w:highlight w:val="none"/>
        </w:rPr>
      </w:pPr>
    </w:p>
    <w:p w14:paraId="7BBAB7BF">
      <w:pPr>
        <w:shd w:val="clear"/>
        <w:jc w:val="center"/>
        <w:rPr>
          <w:rFonts w:hint="eastAsia" w:ascii="仿宋" w:hAnsi="仿宋" w:eastAsia="仿宋" w:cs="仿宋"/>
          <w:color w:val="auto"/>
          <w:highlight w:val="none"/>
        </w:rPr>
      </w:pPr>
    </w:p>
    <w:p w14:paraId="416E02FF">
      <w:pPr>
        <w:shd w:val="clear"/>
        <w:jc w:val="center"/>
        <w:rPr>
          <w:rFonts w:hint="eastAsia" w:ascii="仿宋" w:hAnsi="仿宋" w:eastAsia="仿宋" w:cs="仿宋"/>
          <w:color w:val="auto"/>
          <w:highlight w:val="none"/>
        </w:rPr>
      </w:pPr>
    </w:p>
    <w:p w14:paraId="640F2997">
      <w:pPr>
        <w:shd w:val="clear"/>
        <w:jc w:val="center"/>
        <w:rPr>
          <w:rFonts w:hint="eastAsia" w:ascii="仿宋" w:hAnsi="仿宋" w:eastAsia="仿宋" w:cs="仿宋"/>
          <w:color w:val="auto"/>
          <w:highlight w:val="none"/>
        </w:rPr>
      </w:pPr>
    </w:p>
    <w:p w14:paraId="54259544">
      <w:pPr>
        <w:shd w:val="clear"/>
        <w:jc w:val="center"/>
        <w:rPr>
          <w:rFonts w:hint="eastAsia" w:ascii="仿宋" w:hAnsi="仿宋" w:eastAsia="仿宋" w:cs="仿宋"/>
          <w:color w:val="auto"/>
          <w:highlight w:val="none"/>
        </w:rPr>
      </w:pPr>
    </w:p>
    <w:p w14:paraId="0CAE8469">
      <w:pPr>
        <w:shd w:val="clear"/>
        <w:jc w:val="center"/>
        <w:rPr>
          <w:rFonts w:hint="eastAsia" w:ascii="仿宋" w:hAnsi="仿宋" w:eastAsia="仿宋" w:cs="仿宋"/>
          <w:color w:val="auto"/>
          <w:highlight w:val="none"/>
        </w:rPr>
      </w:pPr>
    </w:p>
    <w:p w14:paraId="2098A977">
      <w:pPr>
        <w:shd w:val="clear"/>
        <w:jc w:val="center"/>
        <w:rPr>
          <w:rFonts w:hint="eastAsia" w:ascii="仿宋" w:hAnsi="仿宋" w:eastAsia="仿宋" w:cs="仿宋"/>
          <w:color w:val="auto"/>
          <w:highlight w:val="none"/>
        </w:rPr>
      </w:pPr>
    </w:p>
    <w:p w14:paraId="5500C8DD">
      <w:pPr>
        <w:shd w:val="clear"/>
        <w:jc w:val="center"/>
        <w:rPr>
          <w:rFonts w:hint="eastAsia" w:ascii="仿宋" w:hAnsi="仿宋" w:eastAsia="仿宋" w:cs="仿宋"/>
          <w:color w:val="auto"/>
          <w:highlight w:val="none"/>
        </w:rPr>
      </w:pPr>
    </w:p>
    <w:p w14:paraId="37184F9D">
      <w:pPr>
        <w:shd w:val="clear"/>
        <w:jc w:val="center"/>
        <w:rPr>
          <w:rFonts w:hint="eastAsia" w:ascii="仿宋" w:hAnsi="仿宋" w:eastAsia="仿宋" w:cs="仿宋"/>
          <w:color w:val="auto"/>
          <w:highlight w:val="none"/>
        </w:rPr>
      </w:pPr>
    </w:p>
    <w:p w14:paraId="7356B103">
      <w:pPr>
        <w:shd w:val="clear"/>
        <w:jc w:val="center"/>
        <w:rPr>
          <w:rFonts w:hint="eastAsia" w:ascii="仿宋" w:hAnsi="仿宋" w:eastAsia="仿宋" w:cs="仿宋"/>
          <w:color w:val="auto"/>
          <w:highlight w:val="none"/>
        </w:rPr>
      </w:pPr>
    </w:p>
    <w:p w14:paraId="234DA0BC">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B54F2C1">
      <w:pPr>
        <w:shd w:val="clear"/>
        <w:jc w:val="center"/>
        <w:rPr>
          <w:rFonts w:hint="eastAsia" w:ascii="仿宋" w:hAnsi="仿宋" w:eastAsia="仿宋" w:cs="仿宋"/>
          <w:color w:val="auto"/>
          <w:highlight w:val="none"/>
        </w:rPr>
      </w:pPr>
    </w:p>
    <w:p w14:paraId="200F3021">
      <w:pPr>
        <w:widowControl/>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bookmarkStart w:id="14" w:name="_Toc522526790"/>
      <w:bookmarkStart w:id="15" w:name="_Toc521936051"/>
      <w:r>
        <w:rPr>
          <w:rFonts w:hint="eastAsia" w:ascii="黑体" w:hAnsi="黑体" w:eastAsia="黑体" w:cs="Times New Roman"/>
          <w:b/>
          <w:bCs/>
          <w:color w:val="auto"/>
          <w:sz w:val="44"/>
          <w:szCs w:val="44"/>
          <w:highlight w:val="none"/>
        </w:rPr>
        <w:t>符合性审查表</w:t>
      </w:r>
    </w:p>
    <w:p w14:paraId="4C5C60C7">
      <w:pPr>
        <w:shd w:val="clear"/>
        <w:rPr>
          <w:rFonts w:hint="eastAsia" w:ascii="仿宋" w:hAnsi="仿宋" w:eastAsia="仿宋" w:cs="仿宋"/>
          <w:highlight w:val="none"/>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4708"/>
        <w:gridCol w:w="4708"/>
      </w:tblGrid>
      <w:tr w14:paraId="22333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0ACEC8FC">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364" w:type="pct"/>
            <w:tcBorders>
              <w:top w:val="single" w:color="auto" w:sz="4" w:space="0"/>
              <w:left w:val="nil"/>
              <w:bottom w:val="single" w:color="auto" w:sz="4" w:space="0"/>
              <w:right w:val="single" w:color="auto" w:sz="4" w:space="0"/>
            </w:tcBorders>
            <w:noWrap w:val="0"/>
            <w:vAlign w:val="center"/>
          </w:tcPr>
          <w:p w14:paraId="67748A02">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审查内容</w:t>
            </w:r>
          </w:p>
        </w:tc>
        <w:tc>
          <w:tcPr>
            <w:tcW w:w="2364" w:type="pct"/>
            <w:tcBorders>
              <w:top w:val="single" w:color="auto" w:sz="4" w:space="0"/>
              <w:left w:val="nil"/>
              <w:bottom w:val="single" w:color="auto" w:sz="4" w:space="0"/>
              <w:right w:val="single" w:color="auto" w:sz="4" w:space="0"/>
            </w:tcBorders>
            <w:noWrap w:val="0"/>
            <w:vAlign w:val="center"/>
          </w:tcPr>
          <w:p w14:paraId="28E5F359">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响应内容</w:t>
            </w:r>
          </w:p>
        </w:tc>
      </w:tr>
      <w:tr w14:paraId="4FDF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FBC0C66">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364" w:type="pct"/>
            <w:tcBorders>
              <w:top w:val="single" w:color="auto" w:sz="4" w:space="0"/>
              <w:left w:val="nil"/>
              <w:bottom w:val="single" w:color="auto" w:sz="4" w:space="0"/>
              <w:right w:val="single" w:color="auto" w:sz="4" w:space="0"/>
            </w:tcBorders>
            <w:noWrap w:val="0"/>
            <w:vAlign w:val="center"/>
          </w:tcPr>
          <w:p w14:paraId="16B88FE7">
            <w:pPr>
              <w:shd w:val="clear"/>
              <w:snapToGrid w:val="0"/>
              <w:spacing w:line="44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投标有效期：开标之日起90日。</w:t>
            </w:r>
          </w:p>
        </w:tc>
        <w:tc>
          <w:tcPr>
            <w:tcW w:w="2364" w:type="pct"/>
            <w:tcBorders>
              <w:top w:val="single" w:color="auto" w:sz="4" w:space="0"/>
              <w:left w:val="nil"/>
              <w:bottom w:val="single" w:color="auto" w:sz="4" w:space="0"/>
              <w:right w:val="single" w:color="auto" w:sz="4" w:space="0"/>
            </w:tcBorders>
            <w:noWrap w:val="0"/>
            <w:vAlign w:val="center"/>
          </w:tcPr>
          <w:p w14:paraId="4C94A1AF">
            <w:pPr>
              <w:shd w:val="clear"/>
              <w:snapToGrid w:val="0"/>
              <w:spacing w:line="440" w:lineRule="exact"/>
              <w:jc w:val="both"/>
              <w:rPr>
                <w:rFonts w:hint="eastAsia" w:ascii="仿宋" w:hAnsi="仿宋" w:eastAsia="仿宋" w:cs="仿宋"/>
                <w:color w:val="auto"/>
                <w:sz w:val="28"/>
                <w:szCs w:val="28"/>
                <w:highlight w:val="none"/>
              </w:rPr>
            </w:pPr>
          </w:p>
        </w:tc>
      </w:tr>
      <w:tr w14:paraId="2FEB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547506E7">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p>
        </w:tc>
        <w:tc>
          <w:tcPr>
            <w:tcW w:w="2364" w:type="pct"/>
            <w:tcBorders>
              <w:top w:val="single" w:color="auto" w:sz="4" w:space="0"/>
              <w:left w:val="nil"/>
              <w:bottom w:val="single" w:color="auto" w:sz="4" w:space="0"/>
              <w:right w:val="single" w:color="auto" w:sz="4" w:space="0"/>
            </w:tcBorders>
            <w:noWrap w:val="0"/>
            <w:vAlign w:val="center"/>
          </w:tcPr>
          <w:p w14:paraId="766C72BE">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服务期：自合同签订生效之日起至威海市国家粮食储备库有限公司高标准粮仓建设项目竣工验收合格之日止。</w:t>
            </w:r>
          </w:p>
        </w:tc>
        <w:tc>
          <w:tcPr>
            <w:tcW w:w="2364" w:type="pct"/>
            <w:tcBorders>
              <w:top w:val="single" w:color="auto" w:sz="4" w:space="0"/>
              <w:left w:val="nil"/>
              <w:bottom w:val="single" w:color="auto" w:sz="4" w:space="0"/>
              <w:right w:val="single" w:color="auto" w:sz="4" w:space="0"/>
            </w:tcBorders>
            <w:noWrap w:val="0"/>
            <w:vAlign w:val="center"/>
          </w:tcPr>
          <w:p w14:paraId="50EC1640">
            <w:pPr>
              <w:shd w:val="clear"/>
              <w:snapToGrid w:val="0"/>
              <w:spacing w:line="440" w:lineRule="exact"/>
              <w:jc w:val="both"/>
              <w:rPr>
                <w:rFonts w:hint="eastAsia" w:ascii="仿宋" w:hAnsi="仿宋" w:eastAsia="仿宋" w:cs="仿宋"/>
                <w:color w:val="auto"/>
                <w:sz w:val="28"/>
                <w:szCs w:val="28"/>
                <w:highlight w:val="none"/>
              </w:rPr>
            </w:pPr>
          </w:p>
        </w:tc>
      </w:tr>
      <w:tr w14:paraId="0308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5779DA77">
            <w:pPr>
              <w:shd w:val="clear"/>
              <w:snapToGrid w:val="0"/>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2364" w:type="pct"/>
            <w:tcBorders>
              <w:top w:val="single" w:color="auto" w:sz="4" w:space="0"/>
              <w:left w:val="nil"/>
              <w:bottom w:val="single" w:color="auto" w:sz="4" w:space="0"/>
              <w:right w:val="single" w:color="auto" w:sz="4" w:space="0"/>
            </w:tcBorders>
            <w:noWrap w:val="0"/>
            <w:vAlign w:val="center"/>
          </w:tcPr>
          <w:p w14:paraId="465A0DA6">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设计周期：合同签订生效后15日历天内完成方案设计成果，方案设计批复后15日历天内完成施工图设计成果。</w:t>
            </w:r>
          </w:p>
        </w:tc>
        <w:tc>
          <w:tcPr>
            <w:tcW w:w="2364" w:type="pct"/>
            <w:tcBorders>
              <w:top w:val="single" w:color="auto" w:sz="4" w:space="0"/>
              <w:left w:val="nil"/>
              <w:bottom w:val="single" w:color="auto" w:sz="4" w:space="0"/>
              <w:right w:val="single" w:color="auto" w:sz="4" w:space="0"/>
            </w:tcBorders>
            <w:noWrap w:val="0"/>
            <w:vAlign w:val="center"/>
          </w:tcPr>
          <w:p w14:paraId="4490B4A8">
            <w:pPr>
              <w:shd w:val="clear"/>
              <w:snapToGrid w:val="0"/>
              <w:spacing w:line="440" w:lineRule="exact"/>
              <w:jc w:val="both"/>
              <w:rPr>
                <w:rFonts w:hint="eastAsia" w:ascii="仿宋" w:hAnsi="仿宋" w:eastAsia="仿宋" w:cs="仿宋"/>
                <w:color w:val="auto"/>
                <w:sz w:val="28"/>
                <w:szCs w:val="28"/>
                <w:highlight w:val="none"/>
              </w:rPr>
            </w:pPr>
          </w:p>
        </w:tc>
      </w:tr>
      <w:tr w14:paraId="2C60B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2FAA7FA8">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p>
        </w:tc>
        <w:tc>
          <w:tcPr>
            <w:tcW w:w="2364" w:type="pct"/>
            <w:tcBorders>
              <w:top w:val="single" w:color="auto" w:sz="4" w:space="0"/>
              <w:left w:val="nil"/>
              <w:bottom w:val="single" w:color="auto" w:sz="4" w:space="0"/>
              <w:right w:val="single" w:color="auto" w:sz="4" w:space="0"/>
            </w:tcBorders>
            <w:noWrap w:val="0"/>
            <w:vAlign w:val="center"/>
          </w:tcPr>
          <w:p w14:paraId="36040E35">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成果要求：符合现行国家、地方及行业相关设计规范要求并满足采购人要求，通过有关部门的审查、设计成果不得侵犯知识产权。</w:t>
            </w:r>
          </w:p>
        </w:tc>
        <w:tc>
          <w:tcPr>
            <w:tcW w:w="2364" w:type="pct"/>
            <w:tcBorders>
              <w:top w:val="single" w:color="auto" w:sz="4" w:space="0"/>
              <w:left w:val="nil"/>
              <w:bottom w:val="single" w:color="auto" w:sz="4" w:space="0"/>
              <w:right w:val="single" w:color="auto" w:sz="4" w:space="0"/>
            </w:tcBorders>
            <w:noWrap w:val="0"/>
            <w:vAlign w:val="center"/>
          </w:tcPr>
          <w:p w14:paraId="66E80B43">
            <w:pPr>
              <w:shd w:val="clear"/>
              <w:snapToGrid w:val="0"/>
              <w:spacing w:line="440" w:lineRule="exact"/>
              <w:jc w:val="both"/>
              <w:rPr>
                <w:rFonts w:hint="eastAsia" w:ascii="仿宋" w:hAnsi="仿宋" w:eastAsia="仿宋" w:cs="仿宋"/>
                <w:color w:val="auto"/>
                <w:sz w:val="28"/>
                <w:szCs w:val="28"/>
                <w:highlight w:val="none"/>
              </w:rPr>
            </w:pPr>
          </w:p>
        </w:tc>
      </w:tr>
      <w:tr w14:paraId="0A15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7227BA9">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p>
        </w:tc>
        <w:tc>
          <w:tcPr>
            <w:tcW w:w="2364" w:type="pct"/>
            <w:tcBorders>
              <w:top w:val="single" w:color="auto" w:sz="4" w:space="0"/>
              <w:left w:val="nil"/>
              <w:bottom w:val="single" w:color="auto" w:sz="4" w:space="0"/>
              <w:right w:val="single" w:color="auto" w:sz="4" w:space="0"/>
            </w:tcBorders>
            <w:noWrap w:val="0"/>
            <w:vAlign w:val="center"/>
          </w:tcPr>
          <w:p w14:paraId="7745B09D">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付款方式：方案设计成果审查合格后5个工作日内付至合同总金额的30%，施工图设计成果审查合格后5个工作日内付至合同总金额的80%，工程主体验收后5个工作日内付至合同总金额的95%，余款于工程竣工验收合格后5个工作日内一次性无息付清。乙方应于甲方付款前提供合格的增值税发票，否则甲方有权顺延付款，且不承担任何违约责任，直至乙方按要求提供符合规定的发票为止。因乙方发票提供不及时造成的一切损失由乙方自行承担。</w:t>
            </w:r>
          </w:p>
        </w:tc>
        <w:tc>
          <w:tcPr>
            <w:tcW w:w="2364" w:type="pct"/>
            <w:tcBorders>
              <w:top w:val="single" w:color="auto" w:sz="4" w:space="0"/>
              <w:left w:val="nil"/>
              <w:bottom w:val="single" w:color="auto" w:sz="4" w:space="0"/>
              <w:right w:val="single" w:color="auto" w:sz="4" w:space="0"/>
            </w:tcBorders>
            <w:noWrap w:val="0"/>
            <w:vAlign w:val="center"/>
          </w:tcPr>
          <w:p w14:paraId="3E6CCE80">
            <w:pPr>
              <w:shd w:val="clear"/>
              <w:snapToGrid w:val="0"/>
              <w:spacing w:line="440" w:lineRule="exact"/>
              <w:jc w:val="both"/>
              <w:rPr>
                <w:rFonts w:hint="eastAsia" w:ascii="仿宋" w:hAnsi="仿宋" w:eastAsia="仿宋" w:cs="仿宋"/>
                <w:color w:val="auto"/>
                <w:sz w:val="28"/>
                <w:szCs w:val="28"/>
                <w:highlight w:val="none"/>
              </w:rPr>
            </w:pPr>
          </w:p>
        </w:tc>
      </w:tr>
    </w:tbl>
    <w:p w14:paraId="41204B11">
      <w:pPr>
        <w:shd w:val="clear"/>
        <w:rPr>
          <w:rFonts w:hint="eastAsia" w:ascii="仿宋" w:hAnsi="仿宋" w:eastAsia="仿宋" w:cs="仿宋"/>
          <w:color w:val="auto"/>
          <w:highlight w:val="none"/>
        </w:rPr>
      </w:pPr>
    </w:p>
    <w:p w14:paraId="66A612FB">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2EE5A96">
      <w:pPr>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b/>
          <w:bCs/>
          <w:color w:val="auto"/>
          <w:sz w:val="32"/>
          <w:szCs w:val="32"/>
          <w:highlight w:val="none"/>
        </w:rPr>
        <w:br w:type="page"/>
      </w:r>
      <w:r>
        <w:rPr>
          <w:rFonts w:hint="eastAsia" w:ascii="黑体" w:hAnsi="黑体" w:eastAsia="黑体" w:cs="Times New Roman"/>
          <w:b/>
          <w:bCs/>
          <w:color w:val="auto"/>
          <w:sz w:val="44"/>
          <w:szCs w:val="44"/>
          <w:highlight w:val="none"/>
        </w:rPr>
        <w:t>投标人基本情况表</w:t>
      </w:r>
    </w:p>
    <w:p w14:paraId="445E28F5">
      <w:pPr>
        <w:shd w:val="clear"/>
        <w:rPr>
          <w:rFonts w:hint="eastAsia" w:ascii="仿宋" w:hAnsi="仿宋" w:eastAsia="仿宋" w:cs="仿宋"/>
          <w:highlight w:val="none"/>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771"/>
        <w:gridCol w:w="886"/>
        <w:gridCol w:w="1176"/>
        <w:gridCol w:w="1043"/>
        <w:gridCol w:w="237"/>
        <w:gridCol w:w="1560"/>
        <w:gridCol w:w="175"/>
        <w:gridCol w:w="291"/>
        <w:gridCol w:w="2206"/>
      </w:tblGrid>
      <w:tr w14:paraId="37DA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9747B6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1560" w:type="pct"/>
            <w:gridSpan w:val="3"/>
            <w:noWrap w:val="0"/>
            <w:vAlign w:val="center"/>
          </w:tcPr>
          <w:p w14:paraId="1905E04E">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0FFD20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106" w:type="pct"/>
            <w:noWrap w:val="0"/>
            <w:vAlign w:val="center"/>
          </w:tcPr>
          <w:p w14:paraId="3CDD02E4">
            <w:pPr>
              <w:shd w:val="clear"/>
              <w:spacing w:line="440" w:lineRule="exact"/>
              <w:jc w:val="center"/>
              <w:rPr>
                <w:rFonts w:hint="eastAsia" w:ascii="仿宋" w:hAnsi="仿宋" w:eastAsia="仿宋" w:cs="仿宋"/>
                <w:color w:val="auto"/>
                <w:sz w:val="28"/>
                <w:szCs w:val="28"/>
                <w:highlight w:val="none"/>
              </w:rPr>
            </w:pPr>
          </w:p>
        </w:tc>
      </w:tr>
      <w:tr w14:paraId="324A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2E3419E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1560" w:type="pct"/>
            <w:gridSpan w:val="3"/>
            <w:noWrap w:val="0"/>
            <w:vAlign w:val="center"/>
          </w:tcPr>
          <w:p w14:paraId="08047A93">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313781C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106" w:type="pct"/>
            <w:noWrap w:val="0"/>
            <w:vAlign w:val="center"/>
          </w:tcPr>
          <w:p w14:paraId="671916FB">
            <w:pPr>
              <w:shd w:val="clear"/>
              <w:spacing w:line="440" w:lineRule="exact"/>
              <w:jc w:val="center"/>
              <w:rPr>
                <w:rFonts w:hint="eastAsia" w:ascii="仿宋" w:hAnsi="仿宋" w:eastAsia="仿宋" w:cs="仿宋"/>
                <w:color w:val="auto"/>
                <w:sz w:val="28"/>
                <w:szCs w:val="28"/>
                <w:highlight w:val="none"/>
              </w:rPr>
            </w:pPr>
          </w:p>
        </w:tc>
      </w:tr>
      <w:tr w14:paraId="4395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0684FA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3804" w:type="pct"/>
            <w:gridSpan w:val="8"/>
            <w:noWrap w:val="0"/>
            <w:vAlign w:val="center"/>
          </w:tcPr>
          <w:p w14:paraId="72E5454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7F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03A9A5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036" w:type="pct"/>
            <w:gridSpan w:val="2"/>
            <w:noWrap w:val="0"/>
            <w:vAlign w:val="center"/>
          </w:tcPr>
          <w:p w14:paraId="48E53C84">
            <w:pPr>
              <w:shd w:val="clear"/>
              <w:spacing w:line="440" w:lineRule="exact"/>
              <w:jc w:val="center"/>
              <w:rPr>
                <w:rFonts w:hint="eastAsia" w:ascii="仿宋" w:hAnsi="仿宋" w:eastAsia="仿宋" w:cs="仿宋"/>
                <w:color w:val="auto"/>
                <w:sz w:val="28"/>
                <w:szCs w:val="28"/>
                <w:highlight w:val="none"/>
              </w:rPr>
            </w:pPr>
          </w:p>
        </w:tc>
        <w:tc>
          <w:tcPr>
            <w:tcW w:w="1515" w:type="pct"/>
            <w:gridSpan w:val="4"/>
            <w:noWrap w:val="0"/>
            <w:vAlign w:val="center"/>
          </w:tcPr>
          <w:p w14:paraId="67BC82D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固定办公面积（平米）</w:t>
            </w:r>
          </w:p>
        </w:tc>
        <w:tc>
          <w:tcPr>
            <w:tcW w:w="1252" w:type="pct"/>
            <w:gridSpan w:val="2"/>
            <w:noWrap w:val="0"/>
            <w:vAlign w:val="center"/>
          </w:tcPr>
          <w:p w14:paraId="137263E3">
            <w:pPr>
              <w:shd w:val="clear"/>
              <w:spacing w:line="440" w:lineRule="exact"/>
              <w:jc w:val="center"/>
              <w:rPr>
                <w:rFonts w:hint="eastAsia" w:ascii="仿宋" w:hAnsi="仿宋" w:eastAsia="仿宋" w:cs="仿宋"/>
                <w:color w:val="auto"/>
                <w:sz w:val="28"/>
                <w:szCs w:val="28"/>
                <w:highlight w:val="none"/>
              </w:rPr>
            </w:pPr>
          </w:p>
        </w:tc>
      </w:tr>
      <w:tr w14:paraId="46DC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restart"/>
            <w:noWrap w:val="0"/>
            <w:vAlign w:val="center"/>
          </w:tcPr>
          <w:p w14:paraId="42E877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1335" w:type="pct"/>
            <w:gridSpan w:val="2"/>
            <w:noWrap w:val="0"/>
            <w:vAlign w:val="center"/>
          </w:tcPr>
          <w:p w14:paraId="5EBC760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c>
          <w:tcPr>
            <w:tcW w:w="3358" w:type="pct"/>
            <w:gridSpan w:val="7"/>
            <w:noWrap w:val="0"/>
            <w:vAlign w:val="center"/>
          </w:tcPr>
          <w:p w14:paraId="0865FA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DD7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35144A2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D8741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3358" w:type="pct"/>
            <w:gridSpan w:val="7"/>
            <w:noWrap w:val="0"/>
            <w:vAlign w:val="center"/>
          </w:tcPr>
          <w:p w14:paraId="78333C5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0DB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135D28E8">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608FAD4C">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p>
        </w:tc>
        <w:tc>
          <w:tcPr>
            <w:tcW w:w="1234" w:type="pct"/>
            <w:gridSpan w:val="3"/>
            <w:noWrap w:val="0"/>
            <w:vAlign w:val="center"/>
          </w:tcPr>
          <w:p w14:paraId="43BE5C8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4CD588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1339" w:type="pct"/>
            <w:gridSpan w:val="3"/>
            <w:noWrap w:val="0"/>
            <w:vAlign w:val="center"/>
          </w:tcPr>
          <w:p w14:paraId="0D9EA63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FF0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04CB3022">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47EFCD7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1234" w:type="pct"/>
            <w:gridSpan w:val="3"/>
            <w:noWrap w:val="0"/>
            <w:vAlign w:val="center"/>
          </w:tcPr>
          <w:p w14:paraId="3C8ED4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0292EB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1339" w:type="pct"/>
            <w:gridSpan w:val="3"/>
            <w:noWrap w:val="0"/>
            <w:vAlign w:val="center"/>
          </w:tcPr>
          <w:p w14:paraId="268DD9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9A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697449B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C8FFA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3358" w:type="pct"/>
            <w:gridSpan w:val="7"/>
            <w:noWrap w:val="0"/>
            <w:vAlign w:val="center"/>
          </w:tcPr>
          <w:p w14:paraId="447BF5FA">
            <w:pPr>
              <w:shd w:val="clear"/>
              <w:spacing w:line="440" w:lineRule="exact"/>
              <w:jc w:val="center"/>
              <w:rPr>
                <w:rFonts w:hint="eastAsia" w:ascii="仿宋" w:hAnsi="仿宋" w:eastAsia="仿宋" w:cs="仿宋"/>
                <w:color w:val="auto"/>
                <w:sz w:val="28"/>
                <w:szCs w:val="28"/>
                <w:highlight w:val="none"/>
              </w:rPr>
            </w:pPr>
          </w:p>
        </w:tc>
      </w:tr>
      <w:tr w14:paraId="40ED0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732CF9BC">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1.与我单位</w:t>
            </w:r>
            <w:r>
              <w:rPr>
                <w:rFonts w:hint="eastAsia" w:ascii="仿宋" w:hAnsi="仿宋" w:eastAsia="仿宋" w:cs="仿宋"/>
                <w:color w:val="auto"/>
                <w:sz w:val="28"/>
                <w:szCs w:val="28"/>
                <w:highlight w:val="none"/>
              </w:rPr>
              <w:t>单位负责人为同一人</w:t>
            </w:r>
            <w:r>
              <w:rPr>
                <w:rFonts w:hint="eastAsia" w:ascii="仿宋" w:hAnsi="仿宋" w:eastAsia="仿宋" w:cs="仿宋"/>
                <w:color w:val="auto"/>
                <w:sz w:val="28"/>
                <w:szCs w:val="28"/>
                <w:highlight w:val="none"/>
                <w:lang w:val="en-US" w:eastAsia="zh-CN"/>
              </w:rPr>
              <w:t>的其他单位为：</w:t>
            </w:r>
          </w:p>
          <w:p w14:paraId="2AFCAC37">
            <w:pPr>
              <w:shd w:val="clear"/>
              <w:spacing w:line="440" w:lineRule="exact"/>
              <w:jc w:val="both"/>
              <w:rPr>
                <w:rFonts w:hint="eastAsia" w:ascii="仿宋" w:hAnsi="仿宋" w:eastAsia="仿宋" w:cs="仿宋"/>
                <w:color w:val="auto"/>
                <w:sz w:val="28"/>
                <w:szCs w:val="28"/>
                <w:highlight w:val="none"/>
                <w:lang w:val="en-US" w:eastAsia="zh-CN"/>
              </w:rPr>
            </w:pPr>
          </w:p>
          <w:p w14:paraId="28F11047">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2.与我单位</w:t>
            </w:r>
            <w:r>
              <w:rPr>
                <w:rFonts w:hint="eastAsia" w:ascii="仿宋" w:hAnsi="仿宋" w:eastAsia="仿宋" w:cs="仿宋"/>
                <w:color w:val="auto"/>
                <w:sz w:val="28"/>
                <w:szCs w:val="28"/>
                <w:highlight w:val="none"/>
              </w:rPr>
              <w:t>存在控股、管理关系的</w:t>
            </w:r>
            <w:r>
              <w:rPr>
                <w:rFonts w:hint="eastAsia" w:ascii="仿宋" w:hAnsi="仿宋" w:eastAsia="仿宋" w:cs="仿宋"/>
                <w:color w:val="auto"/>
                <w:sz w:val="28"/>
                <w:szCs w:val="28"/>
                <w:highlight w:val="none"/>
                <w:lang w:val="en-US" w:eastAsia="zh-CN"/>
              </w:rPr>
              <w:t>其他单位为：</w:t>
            </w:r>
          </w:p>
          <w:p w14:paraId="56057E9D">
            <w:pPr>
              <w:shd w:val="clear"/>
              <w:spacing w:line="440" w:lineRule="exact"/>
              <w:jc w:val="both"/>
              <w:rPr>
                <w:rFonts w:hint="default" w:ascii="仿宋" w:hAnsi="仿宋" w:eastAsia="仿宋" w:cs="仿宋"/>
                <w:color w:val="auto"/>
                <w:sz w:val="28"/>
                <w:szCs w:val="28"/>
                <w:highlight w:val="none"/>
                <w:lang w:val="en-US" w:eastAsia="zh-CN"/>
              </w:rPr>
            </w:pPr>
          </w:p>
        </w:tc>
      </w:tr>
      <w:tr w14:paraId="11F8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05919F4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4AFB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5000" w:type="pct"/>
            <w:gridSpan w:val="10"/>
            <w:noWrap w:val="0"/>
            <w:vAlign w:val="top"/>
          </w:tcPr>
          <w:p w14:paraId="2FFC6233">
            <w:pPr>
              <w:shd w:val="clear"/>
              <w:spacing w:line="44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bl>
    <w:p w14:paraId="2DDF69E8">
      <w:pPr>
        <w:shd w:val="clear"/>
        <w:jc w:val="center"/>
        <w:rPr>
          <w:rFonts w:hint="eastAsia" w:ascii="仿宋" w:hAnsi="仿宋" w:eastAsia="仿宋" w:cs="仿宋"/>
          <w:b/>
          <w:color w:val="auto"/>
          <w:sz w:val="44"/>
          <w:szCs w:val="44"/>
          <w:highlight w:val="none"/>
        </w:rPr>
      </w:pPr>
    </w:p>
    <w:p w14:paraId="20026C31">
      <w:pPr>
        <w:shd w:val="clear"/>
        <w:spacing w:line="520" w:lineRule="exact"/>
        <w:ind w:firstLine="3900" w:firstLineChars="1300"/>
        <w:jc w:val="right"/>
        <w:rPr>
          <w:rFonts w:hint="eastAsia" w:ascii="仿宋" w:hAnsi="仿宋" w:eastAsia="仿宋" w:cs="仿宋"/>
          <w:color w:val="auto"/>
          <w:sz w:val="30"/>
          <w:szCs w:val="30"/>
          <w:highlight w:val="none"/>
        </w:rPr>
      </w:pPr>
    </w:p>
    <w:p w14:paraId="17535285">
      <w:pPr>
        <w:shd w:val="clear"/>
        <w:rPr>
          <w:rFonts w:hint="eastAsia" w:ascii="仿宋" w:hAnsi="仿宋" w:eastAsia="仿宋" w:cs="仿宋"/>
          <w:color w:val="auto"/>
          <w:highlight w:val="none"/>
        </w:rPr>
      </w:pPr>
    </w:p>
    <w:p w14:paraId="1613E5F7">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0AFE9D45">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42A49FD9">
      <w:pPr>
        <w:keepNext/>
        <w:keepLines/>
        <w:shd w:val="clear"/>
        <w:spacing w:before="120" w:after="120" w:line="560" w:lineRule="exact"/>
        <w:jc w:val="center"/>
        <w:outlineLvl w:val="2"/>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r>
        <w:rPr>
          <w:rFonts w:hint="eastAsia" w:ascii="黑体" w:hAnsi="黑体" w:eastAsia="黑体" w:cs="Times New Roman"/>
          <w:b/>
          <w:bCs/>
          <w:color w:val="auto"/>
          <w:sz w:val="44"/>
          <w:szCs w:val="44"/>
          <w:highlight w:val="none"/>
        </w:rPr>
        <w:t>同类项目业绩表</w:t>
      </w:r>
    </w:p>
    <w:p w14:paraId="26B3CCF1">
      <w:pPr>
        <w:shd w:val="clear"/>
        <w:rPr>
          <w:rFonts w:hint="eastAsia" w:ascii="仿宋" w:hAnsi="仿宋" w:eastAsia="仿宋" w:cs="仿宋"/>
          <w:highlight w:val="none"/>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1489"/>
        <w:gridCol w:w="1489"/>
        <w:gridCol w:w="864"/>
        <w:gridCol w:w="1177"/>
        <w:gridCol w:w="2112"/>
        <w:gridCol w:w="1957"/>
      </w:tblGrid>
      <w:tr w14:paraId="252E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34" w:type="pct"/>
            <w:noWrap/>
            <w:vAlign w:val="center"/>
          </w:tcPr>
          <w:p w14:paraId="1E50084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748" w:type="pct"/>
            <w:noWrap/>
            <w:vAlign w:val="center"/>
          </w:tcPr>
          <w:p w14:paraId="6BC864F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48" w:type="pct"/>
            <w:noWrap/>
            <w:vAlign w:val="center"/>
          </w:tcPr>
          <w:p w14:paraId="0C1C83E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用户名称</w:t>
            </w:r>
          </w:p>
        </w:tc>
        <w:tc>
          <w:tcPr>
            <w:tcW w:w="434" w:type="pct"/>
            <w:noWrap/>
            <w:vAlign w:val="center"/>
          </w:tcPr>
          <w:p w14:paraId="3672B8A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标的</w:t>
            </w:r>
          </w:p>
        </w:tc>
        <w:tc>
          <w:tcPr>
            <w:tcW w:w="591" w:type="pct"/>
            <w:noWrap/>
            <w:vAlign w:val="center"/>
          </w:tcPr>
          <w:p w14:paraId="65E60C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061" w:type="pct"/>
            <w:noWrap/>
            <w:vAlign w:val="center"/>
          </w:tcPr>
          <w:p w14:paraId="67A5E32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合同签订时间</w:t>
            </w:r>
          </w:p>
        </w:tc>
        <w:tc>
          <w:tcPr>
            <w:tcW w:w="983" w:type="pct"/>
            <w:noWrap/>
            <w:vAlign w:val="center"/>
          </w:tcPr>
          <w:p w14:paraId="5E9B15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7EF1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951E95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0CB1E79">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C7CE344">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131AADB">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8C54CF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47D228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2DBB135D">
            <w:pPr>
              <w:shd w:val="clear"/>
              <w:spacing w:line="440" w:lineRule="exact"/>
              <w:jc w:val="center"/>
              <w:rPr>
                <w:rFonts w:hint="eastAsia" w:ascii="仿宋" w:hAnsi="仿宋" w:eastAsia="仿宋" w:cs="仿宋"/>
                <w:color w:val="auto"/>
                <w:sz w:val="28"/>
                <w:szCs w:val="28"/>
                <w:highlight w:val="none"/>
              </w:rPr>
            </w:pPr>
          </w:p>
        </w:tc>
      </w:tr>
      <w:tr w14:paraId="653A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0E74387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28156F2">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F4B5C52">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6B11F66">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972272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3FA3FABF">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D706F5">
            <w:pPr>
              <w:shd w:val="clear"/>
              <w:spacing w:line="440" w:lineRule="exact"/>
              <w:jc w:val="center"/>
              <w:rPr>
                <w:rFonts w:hint="eastAsia" w:ascii="仿宋" w:hAnsi="仿宋" w:eastAsia="仿宋" w:cs="仿宋"/>
                <w:color w:val="auto"/>
                <w:sz w:val="28"/>
                <w:szCs w:val="28"/>
                <w:highlight w:val="none"/>
              </w:rPr>
            </w:pPr>
          </w:p>
        </w:tc>
      </w:tr>
      <w:tr w14:paraId="4568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37962CD4">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3FDFA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67F4A1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AC59769">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C04FA09">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E27BF6E">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23596F3">
            <w:pPr>
              <w:shd w:val="clear"/>
              <w:spacing w:line="440" w:lineRule="exact"/>
              <w:jc w:val="center"/>
              <w:rPr>
                <w:rFonts w:hint="eastAsia" w:ascii="仿宋" w:hAnsi="仿宋" w:eastAsia="仿宋" w:cs="仿宋"/>
                <w:color w:val="auto"/>
                <w:sz w:val="28"/>
                <w:szCs w:val="28"/>
                <w:highlight w:val="none"/>
              </w:rPr>
            </w:pPr>
          </w:p>
        </w:tc>
      </w:tr>
      <w:tr w14:paraId="7339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11C18CE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A9271C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79E84B1C">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1712C53">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5F0EA8A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5B521B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F4E3134">
            <w:pPr>
              <w:shd w:val="clear"/>
              <w:spacing w:line="440" w:lineRule="exact"/>
              <w:jc w:val="center"/>
              <w:rPr>
                <w:rFonts w:hint="eastAsia" w:ascii="仿宋" w:hAnsi="仿宋" w:eastAsia="仿宋" w:cs="仿宋"/>
                <w:color w:val="auto"/>
                <w:sz w:val="28"/>
                <w:szCs w:val="28"/>
                <w:highlight w:val="none"/>
              </w:rPr>
            </w:pPr>
          </w:p>
        </w:tc>
      </w:tr>
      <w:tr w14:paraId="64B9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DCCB82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D02E98">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BA0A4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E4345F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5627F4F">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765F1C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0E19427">
            <w:pPr>
              <w:shd w:val="clear"/>
              <w:spacing w:line="440" w:lineRule="exact"/>
              <w:jc w:val="center"/>
              <w:rPr>
                <w:rFonts w:hint="eastAsia" w:ascii="仿宋" w:hAnsi="仿宋" w:eastAsia="仿宋" w:cs="仿宋"/>
                <w:color w:val="auto"/>
                <w:sz w:val="28"/>
                <w:szCs w:val="28"/>
                <w:highlight w:val="none"/>
              </w:rPr>
            </w:pPr>
          </w:p>
        </w:tc>
      </w:tr>
      <w:tr w14:paraId="605E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9A627F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B5B8B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54E46A">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54C88482">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576D6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2BCF5A8C">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15C05D3E">
            <w:pPr>
              <w:shd w:val="clear"/>
              <w:spacing w:line="440" w:lineRule="exact"/>
              <w:jc w:val="center"/>
              <w:rPr>
                <w:rFonts w:hint="eastAsia" w:ascii="仿宋" w:hAnsi="仿宋" w:eastAsia="仿宋" w:cs="仿宋"/>
                <w:color w:val="auto"/>
                <w:sz w:val="28"/>
                <w:szCs w:val="28"/>
                <w:highlight w:val="none"/>
              </w:rPr>
            </w:pPr>
          </w:p>
        </w:tc>
      </w:tr>
      <w:tr w14:paraId="587F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24D9E9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9F9940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2A336A7">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CFAC9C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3EDC2D4">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D798F2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E761D4A">
            <w:pPr>
              <w:shd w:val="clear"/>
              <w:spacing w:line="440" w:lineRule="exact"/>
              <w:jc w:val="center"/>
              <w:rPr>
                <w:rFonts w:hint="eastAsia" w:ascii="仿宋" w:hAnsi="仿宋" w:eastAsia="仿宋" w:cs="仿宋"/>
                <w:color w:val="auto"/>
                <w:sz w:val="28"/>
                <w:szCs w:val="28"/>
                <w:highlight w:val="none"/>
              </w:rPr>
            </w:pPr>
          </w:p>
        </w:tc>
      </w:tr>
      <w:tr w14:paraId="04CA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6623A1C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5C52B2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6682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F2B29D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0328CB88">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7A7FA2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4F76303">
            <w:pPr>
              <w:shd w:val="clear"/>
              <w:spacing w:line="440" w:lineRule="exact"/>
              <w:jc w:val="center"/>
              <w:rPr>
                <w:rFonts w:hint="eastAsia" w:ascii="仿宋" w:hAnsi="仿宋" w:eastAsia="仿宋" w:cs="仿宋"/>
                <w:color w:val="auto"/>
                <w:sz w:val="28"/>
                <w:szCs w:val="28"/>
                <w:highlight w:val="none"/>
              </w:rPr>
            </w:pPr>
          </w:p>
        </w:tc>
      </w:tr>
      <w:tr w14:paraId="475F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8A2CFC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F902A1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1218DAB">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DC0751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FB12E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1D5549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1BA3BB8">
            <w:pPr>
              <w:shd w:val="clear"/>
              <w:spacing w:line="440" w:lineRule="exact"/>
              <w:jc w:val="center"/>
              <w:rPr>
                <w:rFonts w:hint="eastAsia" w:ascii="仿宋" w:hAnsi="仿宋" w:eastAsia="仿宋" w:cs="仿宋"/>
                <w:color w:val="auto"/>
                <w:sz w:val="28"/>
                <w:szCs w:val="28"/>
                <w:highlight w:val="none"/>
              </w:rPr>
            </w:pPr>
          </w:p>
        </w:tc>
      </w:tr>
      <w:tr w14:paraId="42D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450C04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BCF2EA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4783D6">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2EE6DF5">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1E7148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ADADE3B">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3C3B71">
            <w:pPr>
              <w:shd w:val="clear"/>
              <w:spacing w:line="440" w:lineRule="exact"/>
              <w:jc w:val="center"/>
              <w:rPr>
                <w:rFonts w:hint="eastAsia" w:ascii="仿宋" w:hAnsi="仿宋" w:eastAsia="仿宋" w:cs="仿宋"/>
                <w:color w:val="auto"/>
                <w:sz w:val="28"/>
                <w:szCs w:val="28"/>
                <w:highlight w:val="none"/>
              </w:rPr>
            </w:pPr>
          </w:p>
        </w:tc>
      </w:tr>
      <w:tr w14:paraId="020C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33E50F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03A033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1D017FB8">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5CF0A0C">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FD9F587">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D6A0EE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EE7A5C0">
            <w:pPr>
              <w:shd w:val="clear"/>
              <w:spacing w:line="440" w:lineRule="exact"/>
              <w:jc w:val="center"/>
              <w:rPr>
                <w:rFonts w:hint="eastAsia" w:ascii="仿宋" w:hAnsi="仿宋" w:eastAsia="仿宋" w:cs="仿宋"/>
                <w:color w:val="auto"/>
                <w:sz w:val="28"/>
                <w:szCs w:val="28"/>
                <w:highlight w:val="none"/>
              </w:rPr>
            </w:pPr>
          </w:p>
        </w:tc>
      </w:tr>
    </w:tbl>
    <w:p w14:paraId="6B8FBD5D">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备注：此表应认真填写，不得提供虚假业绩。后附证明材料扫描件。</w:t>
      </w:r>
    </w:p>
    <w:p w14:paraId="73719163">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7311E446">
      <w:pPr>
        <w:shd w:val="clear"/>
        <w:rPr>
          <w:rFonts w:hint="eastAsia" w:ascii="仿宋" w:hAnsi="仿宋" w:eastAsia="仿宋" w:cs="仿宋"/>
          <w:color w:val="auto"/>
          <w:highlight w:val="none"/>
        </w:rPr>
      </w:pPr>
    </w:p>
    <w:p w14:paraId="2D73811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645D7B88">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7FDFF9C8">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技术文件</w:t>
      </w:r>
    </w:p>
    <w:bookmarkEnd w:id="14"/>
    <w:bookmarkEnd w:id="15"/>
    <w:p w14:paraId="2BAB26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16" w:name="_Toc522526800"/>
      <w:bookmarkStart w:id="17" w:name="_Toc521936062"/>
      <w:r>
        <w:rPr>
          <w:rFonts w:hint="eastAsia" w:ascii="仿宋" w:hAnsi="仿宋" w:eastAsia="仿宋" w:cs="仿宋"/>
          <w:color w:val="auto"/>
          <w:sz w:val="28"/>
          <w:szCs w:val="28"/>
          <w:highlight w:val="none"/>
        </w:rPr>
        <w:t>包括但不限于以下内容：</w:t>
      </w:r>
    </w:p>
    <w:p w14:paraId="5F404E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人员配备；</w:t>
      </w:r>
    </w:p>
    <w:p w14:paraId="64C890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②</w:t>
      </w:r>
      <w:r>
        <w:rPr>
          <w:rFonts w:hint="eastAsia" w:ascii="仿宋" w:hAnsi="仿宋" w:eastAsia="仿宋" w:cs="仿宋"/>
          <w:color w:val="auto"/>
          <w:sz w:val="28"/>
          <w:szCs w:val="28"/>
          <w:highlight w:val="none"/>
          <w:lang w:eastAsia="zh-CN"/>
        </w:rPr>
        <w:t>设计方案；</w:t>
      </w:r>
    </w:p>
    <w:p w14:paraId="09EB800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③</w:t>
      </w:r>
      <w:r>
        <w:rPr>
          <w:rFonts w:hint="eastAsia" w:ascii="仿宋" w:hAnsi="仿宋" w:eastAsia="仿宋" w:cs="仿宋"/>
          <w:color w:val="auto"/>
          <w:sz w:val="28"/>
          <w:szCs w:val="28"/>
          <w:highlight w:val="none"/>
          <w:lang w:eastAsia="zh-CN"/>
        </w:rPr>
        <w:t>进度计划及保障措施；</w:t>
      </w:r>
    </w:p>
    <w:p w14:paraId="68A51CC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④</w:t>
      </w:r>
      <w:r>
        <w:rPr>
          <w:rFonts w:hint="eastAsia" w:ascii="仿宋" w:hAnsi="仿宋" w:eastAsia="仿宋" w:cs="仿宋"/>
          <w:color w:val="auto"/>
          <w:sz w:val="28"/>
          <w:szCs w:val="28"/>
          <w:highlight w:val="none"/>
          <w:lang w:eastAsia="zh-CN"/>
        </w:rPr>
        <w:t>质量保障措施；</w:t>
      </w:r>
    </w:p>
    <w:p w14:paraId="4A356C8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⑤</w:t>
      </w:r>
      <w:r>
        <w:rPr>
          <w:rFonts w:hint="eastAsia" w:ascii="仿宋" w:hAnsi="仿宋" w:eastAsia="仿宋" w:cs="仿宋"/>
          <w:color w:val="auto"/>
          <w:sz w:val="28"/>
          <w:szCs w:val="28"/>
          <w:highlight w:val="none"/>
          <w:lang w:eastAsia="zh-CN"/>
        </w:rPr>
        <w:t>投资控制措施；</w:t>
      </w:r>
    </w:p>
    <w:p w14:paraId="070277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⑥</w:t>
      </w:r>
      <w:r>
        <w:rPr>
          <w:rFonts w:hint="eastAsia" w:ascii="仿宋" w:hAnsi="仿宋" w:eastAsia="仿宋" w:cs="仿宋"/>
          <w:color w:val="auto"/>
          <w:sz w:val="28"/>
          <w:szCs w:val="28"/>
          <w:highlight w:val="none"/>
          <w:lang w:eastAsia="zh-CN"/>
        </w:rPr>
        <w:t>服务承诺；</w:t>
      </w:r>
    </w:p>
    <w:p w14:paraId="3C5C6F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⑦</w:t>
      </w:r>
      <w:r>
        <w:rPr>
          <w:rFonts w:hint="eastAsia" w:ascii="仿宋" w:hAnsi="仿宋" w:eastAsia="仿宋" w:cs="仿宋"/>
          <w:color w:val="auto"/>
          <w:sz w:val="28"/>
          <w:szCs w:val="28"/>
          <w:highlight w:val="none"/>
        </w:rPr>
        <w:t>投标人认为需要提交的其他相关技术文件（根据评分标准及项目要求格式自拟）；</w:t>
      </w:r>
    </w:p>
    <w:p w14:paraId="54160787">
      <w:pPr>
        <w:pStyle w:val="2"/>
        <w:rPr>
          <w:rFonts w:hint="eastAsia" w:ascii="仿宋" w:hAnsi="仿宋" w:eastAsia="仿宋" w:cs="仿宋"/>
          <w:color w:val="auto"/>
          <w:sz w:val="28"/>
          <w:szCs w:val="28"/>
          <w:highlight w:val="none"/>
        </w:rPr>
      </w:pPr>
    </w:p>
    <w:p w14:paraId="5B529426">
      <w:pPr>
        <w:rPr>
          <w:rFonts w:hint="eastAsia" w:ascii="仿宋" w:hAnsi="仿宋" w:eastAsia="仿宋" w:cs="仿宋"/>
          <w:color w:val="auto"/>
          <w:sz w:val="28"/>
          <w:szCs w:val="28"/>
          <w:highlight w:val="none"/>
        </w:rPr>
      </w:pPr>
    </w:p>
    <w:p w14:paraId="0F2E7D0C">
      <w:pPr>
        <w:pStyle w:val="2"/>
        <w:rPr>
          <w:rFonts w:hint="eastAsia" w:ascii="仿宋" w:hAnsi="仿宋" w:eastAsia="仿宋" w:cs="仿宋"/>
          <w:color w:val="auto"/>
          <w:sz w:val="28"/>
          <w:szCs w:val="28"/>
          <w:highlight w:val="none"/>
        </w:rPr>
      </w:pPr>
    </w:p>
    <w:p w14:paraId="116BF2DE">
      <w:pPr>
        <w:rPr>
          <w:rFonts w:hint="eastAsia" w:ascii="仿宋" w:hAnsi="仿宋" w:eastAsia="仿宋" w:cs="仿宋"/>
          <w:color w:val="auto"/>
          <w:sz w:val="28"/>
          <w:szCs w:val="28"/>
          <w:highlight w:val="none"/>
        </w:rPr>
      </w:pPr>
    </w:p>
    <w:p w14:paraId="664D1785">
      <w:pPr>
        <w:pStyle w:val="2"/>
        <w:rPr>
          <w:rFonts w:hint="eastAsia" w:ascii="仿宋" w:hAnsi="仿宋" w:eastAsia="仿宋" w:cs="仿宋"/>
          <w:highlight w:val="none"/>
        </w:rPr>
      </w:pPr>
    </w:p>
    <w:p w14:paraId="5BA8868A">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2B8D2C03">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3E72442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投标偏离表</w:t>
      </w:r>
    </w:p>
    <w:p w14:paraId="423DFC3C">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（包括技术规格、参数和商务条款偏离）</w:t>
      </w: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776"/>
        <w:gridCol w:w="2776"/>
        <w:gridCol w:w="1705"/>
        <w:gridCol w:w="1705"/>
      </w:tblGrid>
      <w:tr w14:paraId="3A59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497" w:type="pct"/>
            <w:noWrap w:val="0"/>
            <w:vAlign w:val="center"/>
          </w:tcPr>
          <w:p w14:paraId="066BD820">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1394" w:type="pct"/>
            <w:noWrap w:val="0"/>
            <w:vAlign w:val="center"/>
          </w:tcPr>
          <w:p w14:paraId="60C67E69">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招标文件的内容</w:t>
            </w:r>
          </w:p>
        </w:tc>
        <w:tc>
          <w:tcPr>
            <w:tcW w:w="1394" w:type="pct"/>
            <w:noWrap w:val="0"/>
            <w:vAlign w:val="center"/>
          </w:tcPr>
          <w:p w14:paraId="5A9675AD">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投标文件</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内容</w:t>
            </w:r>
          </w:p>
        </w:tc>
        <w:tc>
          <w:tcPr>
            <w:tcW w:w="856" w:type="pct"/>
            <w:noWrap w:val="0"/>
            <w:vAlign w:val="center"/>
          </w:tcPr>
          <w:p w14:paraId="676006D4">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偏离情况</w:t>
            </w:r>
          </w:p>
        </w:tc>
        <w:tc>
          <w:tcPr>
            <w:tcW w:w="856" w:type="pct"/>
            <w:noWrap w:val="0"/>
            <w:vAlign w:val="center"/>
          </w:tcPr>
          <w:p w14:paraId="41A7E0AC">
            <w:pPr>
              <w:pStyle w:val="13"/>
              <w:shd w:val="clear"/>
              <w:spacing w:line="400" w:lineRule="exact"/>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对应页码</w:t>
            </w:r>
          </w:p>
        </w:tc>
      </w:tr>
      <w:tr w14:paraId="0199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0BCE03C">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51B8DBB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1616BC3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F9B945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26E3236">
            <w:pPr>
              <w:pStyle w:val="13"/>
              <w:shd w:val="clear"/>
              <w:spacing w:line="400" w:lineRule="exact"/>
              <w:jc w:val="center"/>
              <w:rPr>
                <w:rFonts w:hint="eastAsia" w:ascii="仿宋" w:hAnsi="仿宋" w:eastAsia="仿宋" w:cs="仿宋"/>
                <w:color w:val="auto"/>
                <w:sz w:val="28"/>
                <w:szCs w:val="28"/>
                <w:highlight w:val="none"/>
              </w:rPr>
            </w:pPr>
          </w:p>
        </w:tc>
      </w:tr>
      <w:tr w14:paraId="5A95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2914379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56E9AB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DCA2DCA">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7B557EF">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442A646">
            <w:pPr>
              <w:pStyle w:val="13"/>
              <w:shd w:val="clear"/>
              <w:spacing w:line="400" w:lineRule="exact"/>
              <w:jc w:val="center"/>
              <w:rPr>
                <w:rFonts w:hint="eastAsia" w:ascii="仿宋" w:hAnsi="仿宋" w:eastAsia="仿宋" w:cs="仿宋"/>
                <w:color w:val="auto"/>
                <w:sz w:val="28"/>
                <w:szCs w:val="28"/>
                <w:highlight w:val="none"/>
              </w:rPr>
            </w:pPr>
          </w:p>
        </w:tc>
      </w:tr>
      <w:tr w14:paraId="6CFB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16BFC0A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8D8164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424F7F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391963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5BFC598">
            <w:pPr>
              <w:pStyle w:val="13"/>
              <w:shd w:val="clear"/>
              <w:spacing w:line="400" w:lineRule="exact"/>
              <w:jc w:val="center"/>
              <w:rPr>
                <w:rFonts w:hint="eastAsia" w:ascii="仿宋" w:hAnsi="仿宋" w:eastAsia="仿宋" w:cs="仿宋"/>
                <w:color w:val="auto"/>
                <w:sz w:val="28"/>
                <w:szCs w:val="28"/>
                <w:highlight w:val="none"/>
              </w:rPr>
            </w:pPr>
          </w:p>
        </w:tc>
      </w:tr>
      <w:tr w14:paraId="0F04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4C0E7EA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D598E42">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9A52B6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57C65A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436C65F">
            <w:pPr>
              <w:pStyle w:val="13"/>
              <w:shd w:val="clear"/>
              <w:spacing w:line="400" w:lineRule="exact"/>
              <w:jc w:val="center"/>
              <w:rPr>
                <w:rFonts w:hint="eastAsia" w:ascii="仿宋" w:hAnsi="仿宋" w:eastAsia="仿宋" w:cs="仿宋"/>
                <w:color w:val="auto"/>
                <w:sz w:val="28"/>
                <w:szCs w:val="28"/>
                <w:highlight w:val="none"/>
              </w:rPr>
            </w:pPr>
          </w:p>
        </w:tc>
      </w:tr>
      <w:tr w14:paraId="24F0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06DBFEE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46F1096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ECE0179">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540E5D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EDB76F6">
            <w:pPr>
              <w:pStyle w:val="13"/>
              <w:shd w:val="clear"/>
              <w:spacing w:line="400" w:lineRule="exact"/>
              <w:jc w:val="center"/>
              <w:rPr>
                <w:rFonts w:hint="eastAsia" w:ascii="仿宋" w:hAnsi="仿宋" w:eastAsia="仿宋" w:cs="仿宋"/>
                <w:color w:val="auto"/>
                <w:sz w:val="28"/>
                <w:szCs w:val="28"/>
                <w:highlight w:val="none"/>
              </w:rPr>
            </w:pPr>
          </w:p>
        </w:tc>
      </w:tr>
      <w:tr w14:paraId="21B1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142B94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828F89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C964AC3">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E136B51">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B522A35">
            <w:pPr>
              <w:pStyle w:val="13"/>
              <w:shd w:val="clear"/>
              <w:spacing w:line="400" w:lineRule="exact"/>
              <w:jc w:val="center"/>
              <w:rPr>
                <w:rFonts w:hint="eastAsia" w:ascii="仿宋" w:hAnsi="仿宋" w:eastAsia="仿宋" w:cs="仿宋"/>
                <w:color w:val="auto"/>
                <w:sz w:val="28"/>
                <w:szCs w:val="28"/>
                <w:highlight w:val="none"/>
              </w:rPr>
            </w:pPr>
          </w:p>
        </w:tc>
      </w:tr>
      <w:tr w14:paraId="6F51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73D66E41">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B9EA92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B395DF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3E0DABC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6D8FB47">
            <w:pPr>
              <w:pStyle w:val="13"/>
              <w:shd w:val="clear"/>
              <w:spacing w:line="400" w:lineRule="exact"/>
              <w:jc w:val="center"/>
              <w:rPr>
                <w:rFonts w:hint="eastAsia" w:ascii="仿宋" w:hAnsi="仿宋" w:eastAsia="仿宋" w:cs="仿宋"/>
                <w:color w:val="auto"/>
                <w:sz w:val="28"/>
                <w:szCs w:val="28"/>
                <w:highlight w:val="none"/>
              </w:rPr>
            </w:pPr>
          </w:p>
        </w:tc>
      </w:tr>
    </w:tbl>
    <w:p w14:paraId="2029731F">
      <w:pPr>
        <w:shd w:val="clear"/>
        <w:ind w:right="-309" w:rightChars="-14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注：无偏离可填写“无”字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有偏离必须在本表列明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实际存在负偏离而在本表内没有列明的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视为虚假报价。</w:t>
      </w:r>
    </w:p>
    <w:p w14:paraId="2E2E3401">
      <w:pPr>
        <w:shd w:val="clear"/>
        <w:jc w:val="center"/>
        <w:rPr>
          <w:rFonts w:hint="eastAsia" w:ascii="仿宋" w:hAnsi="仿宋" w:eastAsia="仿宋" w:cs="仿宋"/>
          <w:color w:val="auto"/>
          <w:highlight w:val="none"/>
        </w:rPr>
      </w:pPr>
    </w:p>
    <w:p w14:paraId="50195469">
      <w:pPr>
        <w:shd w:val="clear"/>
        <w:rPr>
          <w:rFonts w:hint="eastAsia" w:ascii="仿宋" w:hAnsi="仿宋" w:eastAsia="仿宋" w:cs="仿宋"/>
          <w:color w:val="auto"/>
          <w:highlight w:val="none"/>
        </w:rPr>
      </w:pPr>
    </w:p>
    <w:p w14:paraId="50467986">
      <w:pPr>
        <w:shd w:val="clear"/>
        <w:spacing w:line="520" w:lineRule="exact"/>
        <w:ind w:firstLine="3900" w:firstLineChars="1300"/>
        <w:jc w:val="right"/>
        <w:rPr>
          <w:rFonts w:hint="eastAsia" w:ascii="仿宋" w:hAnsi="仿宋" w:eastAsia="仿宋" w:cs="仿宋"/>
          <w:color w:val="auto"/>
          <w:sz w:val="30"/>
          <w:szCs w:val="30"/>
          <w:highlight w:val="none"/>
        </w:rPr>
      </w:pPr>
    </w:p>
    <w:p w14:paraId="2280F9C1">
      <w:pPr>
        <w:shd w:val="clear"/>
        <w:rPr>
          <w:rFonts w:hint="eastAsia" w:ascii="仿宋" w:hAnsi="仿宋" w:eastAsia="仿宋" w:cs="仿宋"/>
          <w:color w:val="auto"/>
          <w:highlight w:val="none"/>
        </w:rPr>
      </w:pPr>
    </w:p>
    <w:p w14:paraId="22242603">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B95C46C">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3D0C294">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90D6E50">
      <w:pPr>
        <w:shd w:val="clear"/>
        <w:wordWrap w:val="0"/>
        <w:spacing w:line="560" w:lineRule="exact"/>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14:paraId="5989BA0C">
      <w:pPr>
        <w:shd w:val="clear"/>
        <w:rPr>
          <w:rFonts w:hint="eastAsia" w:ascii="仿宋" w:hAnsi="仿宋" w:eastAsia="仿宋" w:cs="仿宋"/>
          <w:color w:val="auto"/>
          <w:highlight w:val="none"/>
        </w:rPr>
      </w:pPr>
    </w:p>
    <w:p w14:paraId="51E094AA">
      <w:pPr>
        <w:pStyle w:val="26"/>
        <w:shd w:val="clear"/>
        <w:spacing w:before="100" w:beforeAutospacing="1" w:after="100" w:afterAutospacing="1" w:line="415" w:lineRule="auto"/>
        <w:rPr>
          <w:rFonts w:hint="eastAsia" w:ascii="仿宋" w:hAnsi="仿宋" w:eastAsia="仿宋" w:cs="仿宋"/>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16"/>
    <w:bookmarkEnd w:id="17"/>
    <w:p w14:paraId="272AF3A1">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kern w:val="2"/>
          <w:sz w:val="44"/>
          <w:szCs w:val="44"/>
          <w:highlight w:val="none"/>
          <w:lang w:val="en-US" w:eastAsia="zh-CN" w:bidi="ar-SA"/>
        </w:rPr>
        <w:sectPr>
          <w:pgSz w:w="11906" w:h="16838"/>
          <w:pgMar w:top="1440" w:right="1083" w:bottom="1440" w:left="1083" w:header="851" w:footer="992" w:gutter="0"/>
          <w:pgNumType w:fmt="decimal"/>
          <w:cols w:space="0" w:num="1"/>
          <w:rtlGutter w:val="0"/>
          <w:docGrid w:type="lines" w:linePitch="317" w:charSpace="0"/>
        </w:sectPr>
      </w:pPr>
      <w:r>
        <w:rPr>
          <w:rFonts w:hint="eastAsia" w:ascii="楷体_GB2312" w:hAnsi="宋体" w:eastAsia="楷体_GB2312" w:cs="宋体"/>
          <w:b/>
          <w:bCs/>
          <w:color w:val="auto"/>
          <w:kern w:val="2"/>
          <w:sz w:val="44"/>
          <w:szCs w:val="44"/>
          <w:highlight w:val="none"/>
          <w:lang w:val="en-US" w:eastAsia="zh-CN" w:bidi="ar-SA"/>
        </w:rPr>
        <w:t>第六章  采购合同（范本）</w:t>
      </w:r>
    </w:p>
    <w:p w14:paraId="3B12ADE9">
      <w:pPr>
        <w:widowControl/>
        <w:spacing w:line="280" w:lineRule="atLeast"/>
        <w:jc w:val="left"/>
        <w:rPr>
          <w:rFonts w:ascii="楷体_GB2312" w:hAnsi="_x000B__x000C_" w:eastAsia="楷体_GB2312" w:cs="宋体"/>
          <w:color w:val="auto"/>
          <w:kern w:val="0"/>
          <w:sz w:val="32"/>
          <w:szCs w:val="18"/>
          <w:highlight w:val="none"/>
          <w:lang w:val="en-US" w:eastAsia="zh-CN" w:bidi="ar-SA"/>
        </w:rPr>
      </w:pPr>
      <w:bookmarkStart w:id="18" w:name="_Hlk80878257"/>
      <w:r>
        <w:rPr>
          <w:rFonts w:hint="eastAsia" w:ascii="楷体_GB2312" w:hAnsi="_x000B__x000C_" w:eastAsia="楷体_GB2312" w:cs="宋体"/>
          <w:color w:val="auto"/>
          <w:kern w:val="0"/>
          <w:sz w:val="32"/>
          <w:szCs w:val="18"/>
          <w:highlight w:val="none"/>
          <w:lang w:val="en-US" w:eastAsia="zh-CN" w:bidi="ar-SA"/>
        </w:rPr>
        <w:t>GF-2000-0210</w:t>
      </w:r>
    </w:p>
    <w:bookmarkEnd w:id="18"/>
    <w:p w14:paraId="02D0DF73">
      <w:pPr>
        <w:widowControl/>
        <w:spacing w:line="280" w:lineRule="atLeast"/>
        <w:jc w:val="center"/>
        <w:rPr>
          <w:rFonts w:ascii="黑体" w:hAnsi="_x000B__x000C_" w:eastAsia="黑体" w:cs="宋体"/>
          <w:color w:val="auto"/>
          <w:kern w:val="0"/>
          <w:sz w:val="48"/>
          <w:szCs w:val="48"/>
          <w:highlight w:val="none"/>
          <w:lang w:val="en-US" w:eastAsia="zh-CN" w:bidi="ar-SA"/>
        </w:rPr>
      </w:pPr>
      <w:r>
        <w:rPr>
          <w:rFonts w:hint="eastAsia" w:ascii="黑体" w:hAnsi="_x000B__x000C_" w:eastAsia="黑体" w:cs="宋体"/>
          <w:b/>
          <w:bCs/>
          <w:color w:val="auto"/>
          <w:kern w:val="0"/>
          <w:sz w:val="48"/>
          <w:szCs w:val="48"/>
          <w:highlight w:val="none"/>
          <w:lang w:val="en-US" w:eastAsia="zh-CN" w:bidi="ar-SA"/>
        </w:rPr>
        <w:t>建设工程设计合同</w:t>
      </w:r>
    </w:p>
    <w:p w14:paraId="68CC9033">
      <w:pPr>
        <w:widowControl/>
        <w:spacing w:line="280" w:lineRule="atLeast"/>
        <w:jc w:val="center"/>
        <w:rPr>
          <w:rFonts w:ascii="宋体" w:hAnsi="宋体" w:eastAsia="宋体" w:cs="宋体"/>
          <w:color w:val="auto"/>
          <w:kern w:val="0"/>
          <w:sz w:val="32"/>
          <w:szCs w:val="18"/>
          <w:highlight w:val="none"/>
          <w:lang w:val="en-US" w:eastAsia="zh-CN" w:bidi="ar-SA"/>
        </w:rPr>
      </w:pPr>
      <w:r>
        <w:rPr>
          <w:rFonts w:hint="eastAsia" w:ascii="宋体" w:hAnsi="宋体" w:eastAsia="宋体" w:cs="宋体"/>
          <w:color w:val="auto"/>
          <w:kern w:val="0"/>
          <w:sz w:val="32"/>
          <w:szCs w:val="18"/>
          <w:highlight w:val="none"/>
          <w:lang w:val="en-US" w:eastAsia="zh-CN" w:bidi="ar-SA"/>
        </w:rPr>
        <w:t>（专业建设工程设计合同）</w:t>
      </w:r>
    </w:p>
    <w:p w14:paraId="1A90640B">
      <w:pPr>
        <w:spacing w:line="480" w:lineRule="auto"/>
        <w:ind w:firstLine="1124" w:firstLineChars="400"/>
        <w:rPr>
          <w:rFonts w:ascii="宋体" w:hAnsi="宋体" w:cs="宋体"/>
          <w:b/>
          <w:color w:val="auto"/>
          <w:sz w:val="28"/>
          <w:szCs w:val="28"/>
          <w:highlight w:val="none"/>
        </w:rPr>
      </w:pPr>
    </w:p>
    <w:p w14:paraId="30F92E4C">
      <w:pPr>
        <w:widowControl w:val="0"/>
        <w:spacing w:after="120"/>
        <w:jc w:val="both"/>
        <w:rPr>
          <w:rFonts w:ascii="Times New Roman" w:hAnsi="Times New Roman" w:eastAsia="宋体" w:cs="Times New Roman"/>
          <w:color w:val="auto"/>
          <w:kern w:val="2"/>
          <w:sz w:val="21"/>
          <w:szCs w:val="24"/>
          <w:highlight w:val="none"/>
          <w:lang w:val="en-US" w:eastAsia="zh-CN" w:bidi="ar-SA"/>
        </w:rPr>
      </w:pPr>
    </w:p>
    <w:p w14:paraId="23123FA1">
      <w:pPr>
        <w:widowControl w:val="0"/>
        <w:spacing w:line="360" w:lineRule="auto"/>
        <w:jc w:val="both"/>
        <w:rPr>
          <w:rFonts w:hint="eastAsia" w:ascii="Times New Roman" w:hAnsi="Times New Roman" w:eastAsia="宋体" w:cs="Times New Roman"/>
          <w:color w:val="auto"/>
          <w:kern w:val="2"/>
          <w:sz w:val="24"/>
          <w:szCs w:val="24"/>
          <w:highlight w:val="none"/>
          <w:lang w:val="en-US" w:eastAsia="zh-CN" w:bidi="ar-SA"/>
        </w:rPr>
      </w:pPr>
    </w:p>
    <w:tbl>
      <w:tblPr>
        <w:tblStyle w:val="30"/>
        <w:tblW w:w="0" w:type="auto"/>
        <w:jc w:val="center"/>
        <w:tblLayout w:type="autofit"/>
        <w:tblCellMar>
          <w:top w:w="0" w:type="dxa"/>
          <w:left w:w="108" w:type="dxa"/>
          <w:bottom w:w="0" w:type="dxa"/>
          <w:right w:w="108" w:type="dxa"/>
        </w:tblCellMar>
      </w:tblPr>
      <w:tblGrid>
        <w:gridCol w:w="1854"/>
        <w:gridCol w:w="300"/>
        <w:gridCol w:w="6126"/>
      </w:tblGrid>
      <w:tr w14:paraId="58AFCC81">
        <w:tblPrEx>
          <w:tblCellMar>
            <w:top w:w="0" w:type="dxa"/>
            <w:left w:w="108" w:type="dxa"/>
            <w:bottom w:w="0" w:type="dxa"/>
            <w:right w:w="108" w:type="dxa"/>
          </w:tblCellMar>
        </w:tblPrEx>
        <w:trPr>
          <w:trHeight w:val="725" w:hRule="atLeast"/>
          <w:jc w:val="center"/>
        </w:trPr>
        <w:tc>
          <w:tcPr>
            <w:tcW w:w="1854" w:type="dxa"/>
            <w:noWrap w:val="0"/>
            <w:tcMar>
              <w:top w:w="85" w:type="dxa"/>
              <w:left w:w="0" w:type="dxa"/>
              <w:bottom w:w="85" w:type="dxa"/>
              <w:right w:w="0" w:type="dxa"/>
            </w:tcMar>
            <w:vAlign w:val="center"/>
          </w:tcPr>
          <w:p w14:paraId="397D67D9">
            <w:pPr>
              <w:widowControl/>
              <w:jc w:val="distribute"/>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项目名称</w:t>
            </w:r>
          </w:p>
        </w:tc>
        <w:tc>
          <w:tcPr>
            <w:tcW w:w="300" w:type="dxa"/>
            <w:noWrap w:val="0"/>
            <w:tcMar>
              <w:top w:w="85" w:type="dxa"/>
              <w:left w:w="0" w:type="dxa"/>
              <w:bottom w:w="85" w:type="dxa"/>
              <w:right w:w="0" w:type="dxa"/>
            </w:tcMar>
            <w:vAlign w:val="center"/>
          </w:tcPr>
          <w:p w14:paraId="5E5940E9">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w:t>
            </w:r>
          </w:p>
        </w:tc>
        <w:tc>
          <w:tcPr>
            <w:tcW w:w="6126" w:type="dxa"/>
            <w:noWrap w:val="0"/>
            <w:tcMar>
              <w:top w:w="85" w:type="dxa"/>
              <w:bottom w:w="85" w:type="dxa"/>
            </w:tcMar>
            <w:vAlign w:val="center"/>
          </w:tcPr>
          <w:p w14:paraId="363C8731">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cs="宋体"/>
                <w:b w:val="0"/>
                <w:bCs w:val="0"/>
                <w:color w:val="auto"/>
                <w:kern w:val="0"/>
                <w:sz w:val="30"/>
                <w:szCs w:val="30"/>
                <w:highlight w:val="none"/>
                <w:u w:val="none"/>
                <w:lang w:val="en-US" w:eastAsia="zh-CN" w:bidi="ar-SA"/>
              </w:rPr>
              <w:t>威海市国家粮食储备库有限公司高标准粮仓建设项目</w:t>
            </w:r>
          </w:p>
        </w:tc>
      </w:tr>
      <w:tr w14:paraId="4967C126">
        <w:tblPrEx>
          <w:tblCellMar>
            <w:top w:w="0" w:type="dxa"/>
            <w:left w:w="108" w:type="dxa"/>
            <w:bottom w:w="0" w:type="dxa"/>
            <w:right w:w="108" w:type="dxa"/>
          </w:tblCellMar>
        </w:tblPrEx>
        <w:trPr>
          <w:trHeight w:val="616" w:hRule="atLeast"/>
          <w:jc w:val="center"/>
        </w:trPr>
        <w:tc>
          <w:tcPr>
            <w:tcW w:w="1854" w:type="dxa"/>
            <w:noWrap w:val="0"/>
            <w:tcMar>
              <w:top w:w="85" w:type="dxa"/>
              <w:left w:w="0" w:type="dxa"/>
              <w:bottom w:w="85" w:type="dxa"/>
              <w:right w:w="0" w:type="dxa"/>
            </w:tcMar>
            <w:vAlign w:val="center"/>
          </w:tcPr>
          <w:p w14:paraId="6564429B">
            <w:pPr>
              <w:widowControl/>
              <w:jc w:val="distribute"/>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工程地点</w:t>
            </w:r>
          </w:p>
        </w:tc>
        <w:tc>
          <w:tcPr>
            <w:tcW w:w="300" w:type="dxa"/>
            <w:noWrap w:val="0"/>
            <w:tcMar>
              <w:top w:w="85" w:type="dxa"/>
              <w:left w:w="0" w:type="dxa"/>
              <w:bottom w:w="85" w:type="dxa"/>
              <w:right w:w="0" w:type="dxa"/>
            </w:tcMar>
            <w:vAlign w:val="center"/>
          </w:tcPr>
          <w:p w14:paraId="47194EE3">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w:t>
            </w:r>
          </w:p>
        </w:tc>
        <w:tc>
          <w:tcPr>
            <w:tcW w:w="6126" w:type="dxa"/>
            <w:noWrap w:val="0"/>
            <w:tcMar>
              <w:top w:w="85" w:type="dxa"/>
              <w:bottom w:w="85" w:type="dxa"/>
            </w:tcMar>
            <w:vAlign w:val="center"/>
          </w:tcPr>
          <w:p w14:paraId="02A05193">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威海市</w:t>
            </w:r>
          </w:p>
        </w:tc>
      </w:tr>
      <w:tr w14:paraId="5825E966">
        <w:tblPrEx>
          <w:tblCellMar>
            <w:top w:w="0" w:type="dxa"/>
            <w:left w:w="108" w:type="dxa"/>
            <w:bottom w:w="0" w:type="dxa"/>
            <w:right w:w="108" w:type="dxa"/>
          </w:tblCellMar>
        </w:tblPrEx>
        <w:trPr>
          <w:trHeight w:val="628" w:hRule="atLeast"/>
          <w:jc w:val="center"/>
        </w:trPr>
        <w:tc>
          <w:tcPr>
            <w:tcW w:w="1854" w:type="dxa"/>
            <w:noWrap w:val="0"/>
            <w:tcMar>
              <w:top w:w="85" w:type="dxa"/>
              <w:left w:w="0" w:type="dxa"/>
              <w:bottom w:w="85" w:type="dxa"/>
              <w:right w:w="0" w:type="dxa"/>
            </w:tcMar>
            <w:vAlign w:val="center"/>
          </w:tcPr>
          <w:p w14:paraId="0CD80705">
            <w:pPr>
              <w:widowControl/>
              <w:jc w:val="distribute"/>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合同编号</w:t>
            </w:r>
          </w:p>
        </w:tc>
        <w:tc>
          <w:tcPr>
            <w:tcW w:w="300" w:type="dxa"/>
            <w:noWrap w:val="0"/>
            <w:tcMar>
              <w:top w:w="85" w:type="dxa"/>
              <w:left w:w="0" w:type="dxa"/>
              <w:bottom w:w="85" w:type="dxa"/>
              <w:right w:w="0" w:type="dxa"/>
            </w:tcMar>
            <w:vAlign w:val="center"/>
          </w:tcPr>
          <w:p w14:paraId="22E1695F">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w:t>
            </w:r>
          </w:p>
        </w:tc>
        <w:tc>
          <w:tcPr>
            <w:tcW w:w="6126" w:type="dxa"/>
            <w:noWrap w:val="0"/>
            <w:tcMar>
              <w:top w:w="85" w:type="dxa"/>
              <w:bottom w:w="85" w:type="dxa"/>
            </w:tcMar>
            <w:vAlign w:val="center"/>
          </w:tcPr>
          <w:p w14:paraId="3D0680CE">
            <w:pPr>
              <w:widowControl/>
              <w:jc w:val="both"/>
              <w:rPr>
                <w:rFonts w:hint="eastAsia" w:ascii="宋体" w:hAnsi="宋体" w:eastAsia="宋体" w:cs="宋体"/>
                <w:b w:val="0"/>
                <w:bCs w:val="0"/>
                <w:color w:val="auto"/>
                <w:kern w:val="0"/>
                <w:sz w:val="30"/>
                <w:szCs w:val="30"/>
                <w:highlight w:val="none"/>
                <w:u w:val="none"/>
                <w:lang w:val="en-US" w:eastAsia="zh-CN" w:bidi="ar-SA"/>
              </w:rPr>
            </w:pPr>
          </w:p>
        </w:tc>
      </w:tr>
      <w:tr w14:paraId="2ED50B75">
        <w:tblPrEx>
          <w:tblCellMar>
            <w:top w:w="0" w:type="dxa"/>
            <w:left w:w="108" w:type="dxa"/>
            <w:bottom w:w="0" w:type="dxa"/>
            <w:right w:w="108" w:type="dxa"/>
          </w:tblCellMar>
        </w:tblPrEx>
        <w:trPr>
          <w:trHeight w:val="1244" w:hRule="atLeast"/>
          <w:jc w:val="center"/>
        </w:trPr>
        <w:tc>
          <w:tcPr>
            <w:tcW w:w="1854" w:type="dxa"/>
            <w:noWrap w:val="0"/>
            <w:tcMar>
              <w:top w:w="85" w:type="dxa"/>
              <w:left w:w="0" w:type="dxa"/>
              <w:bottom w:w="85" w:type="dxa"/>
              <w:right w:w="0" w:type="dxa"/>
            </w:tcMar>
            <w:vAlign w:val="center"/>
          </w:tcPr>
          <w:p w14:paraId="5EA0385C">
            <w:pPr>
              <w:widowControl/>
              <w:jc w:val="distribute"/>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设计证书等级</w:t>
            </w:r>
          </w:p>
        </w:tc>
        <w:tc>
          <w:tcPr>
            <w:tcW w:w="300" w:type="dxa"/>
            <w:noWrap w:val="0"/>
            <w:tcMar>
              <w:top w:w="85" w:type="dxa"/>
              <w:left w:w="0" w:type="dxa"/>
              <w:bottom w:w="85" w:type="dxa"/>
              <w:right w:w="0" w:type="dxa"/>
            </w:tcMar>
            <w:vAlign w:val="center"/>
          </w:tcPr>
          <w:p w14:paraId="57F5DD0A">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w:t>
            </w:r>
          </w:p>
        </w:tc>
        <w:tc>
          <w:tcPr>
            <w:tcW w:w="6126" w:type="dxa"/>
            <w:noWrap w:val="0"/>
            <w:tcMar>
              <w:top w:w="85" w:type="dxa"/>
              <w:bottom w:w="85" w:type="dxa"/>
            </w:tcMar>
            <w:vAlign w:val="center"/>
          </w:tcPr>
          <w:p w14:paraId="18FD668C">
            <w:pPr>
              <w:widowControl/>
              <w:jc w:val="both"/>
              <w:rPr>
                <w:rFonts w:hint="eastAsia" w:ascii="宋体" w:hAnsi="宋体" w:eastAsia="宋体" w:cs="宋体"/>
                <w:b w:val="0"/>
                <w:bCs w:val="0"/>
                <w:color w:val="auto"/>
                <w:kern w:val="0"/>
                <w:sz w:val="30"/>
                <w:szCs w:val="30"/>
                <w:highlight w:val="none"/>
                <w:u w:val="none"/>
                <w:lang w:val="en-US" w:eastAsia="zh-CN" w:bidi="ar-SA"/>
              </w:rPr>
            </w:pPr>
          </w:p>
        </w:tc>
      </w:tr>
      <w:tr w14:paraId="1900CA2E">
        <w:tblPrEx>
          <w:tblCellMar>
            <w:top w:w="0" w:type="dxa"/>
            <w:left w:w="108" w:type="dxa"/>
            <w:bottom w:w="0" w:type="dxa"/>
            <w:right w:w="108" w:type="dxa"/>
          </w:tblCellMar>
        </w:tblPrEx>
        <w:trPr>
          <w:trHeight w:val="628" w:hRule="atLeast"/>
          <w:jc w:val="center"/>
        </w:trPr>
        <w:tc>
          <w:tcPr>
            <w:tcW w:w="1854" w:type="dxa"/>
            <w:noWrap w:val="0"/>
            <w:tcMar>
              <w:top w:w="85" w:type="dxa"/>
              <w:left w:w="0" w:type="dxa"/>
              <w:bottom w:w="85" w:type="dxa"/>
              <w:right w:w="0" w:type="dxa"/>
            </w:tcMar>
            <w:vAlign w:val="center"/>
          </w:tcPr>
          <w:p w14:paraId="3318F8FC">
            <w:pPr>
              <w:widowControl/>
              <w:jc w:val="distribute"/>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建设单位</w:t>
            </w:r>
          </w:p>
        </w:tc>
        <w:tc>
          <w:tcPr>
            <w:tcW w:w="300" w:type="dxa"/>
            <w:noWrap w:val="0"/>
            <w:tcMar>
              <w:top w:w="85" w:type="dxa"/>
              <w:left w:w="0" w:type="dxa"/>
              <w:bottom w:w="85" w:type="dxa"/>
              <w:right w:w="0" w:type="dxa"/>
            </w:tcMar>
            <w:vAlign w:val="center"/>
          </w:tcPr>
          <w:p w14:paraId="5092E888">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w:t>
            </w:r>
          </w:p>
        </w:tc>
        <w:tc>
          <w:tcPr>
            <w:tcW w:w="6126" w:type="dxa"/>
            <w:noWrap w:val="0"/>
            <w:tcMar>
              <w:top w:w="85" w:type="dxa"/>
              <w:bottom w:w="85" w:type="dxa"/>
            </w:tcMar>
            <w:vAlign w:val="center"/>
          </w:tcPr>
          <w:p w14:paraId="2DF9678E">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威海市国家粮食储备库有限公司</w:t>
            </w:r>
          </w:p>
        </w:tc>
      </w:tr>
      <w:tr w14:paraId="5F93A4C7">
        <w:tblPrEx>
          <w:tblCellMar>
            <w:top w:w="0" w:type="dxa"/>
            <w:left w:w="108" w:type="dxa"/>
            <w:bottom w:w="0" w:type="dxa"/>
            <w:right w:w="108" w:type="dxa"/>
          </w:tblCellMar>
        </w:tblPrEx>
        <w:trPr>
          <w:trHeight w:val="616" w:hRule="atLeast"/>
          <w:jc w:val="center"/>
        </w:trPr>
        <w:tc>
          <w:tcPr>
            <w:tcW w:w="1854" w:type="dxa"/>
            <w:noWrap w:val="0"/>
            <w:tcMar>
              <w:top w:w="85" w:type="dxa"/>
              <w:left w:w="0" w:type="dxa"/>
              <w:bottom w:w="85" w:type="dxa"/>
              <w:right w:w="0" w:type="dxa"/>
            </w:tcMar>
            <w:vAlign w:val="center"/>
          </w:tcPr>
          <w:p w14:paraId="6F9396E4">
            <w:pPr>
              <w:widowControl/>
              <w:jc w:val="distribute"/>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设计单位</w:t>
            </w:r>
          </w:p>
        </w:tc>
        <w:tc>
          <w:tcPr>
            <w:tcW w:w="300" w:type="dxa"/>
            <w:noWrap w:val="0"/>
            <w:tcMar>
              <w:top w:w="85" w:type="dxa"/>
              <w:left w:w="0" w:type="dxa"/>
              <w:bottom w:w="85" w:type="dxa"/>
              <w:right w:w="0" w:type="dxa"/>
            </w:tcMar>
            <w:vAlign w:val="center"/>
          </w:tcPr>
          <w:p w14:paraId="12131BDD">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w:t>
            </w:r>
          </w:p>
        </w:tc>
        <w:tc>
          <w:tcPr>
            <w:tcW w:w="6126" w:type="dxa"/>
            <w:noWrap w:val="0"/>
            <w:tcMar>
              <w:top w:w="85" w:type="dxa"/>
              <w:bottom w:w="85" w:type="dxa"/>
            </w:tcMar>
            <w:vAlign w:val="center"/>
          </w:tcPr>
          <w:p w14:paraId="742B292B">
            <w:pPr>
              <w:widowControl/>
              <w:jc w:val="both"/>
              <w:rPr>
                <w:rFonts w:hint="eastAsia" w:ascii="宋体" w:hAnsi="宋体" w:eastAsia="宋体" w:cs="宋体"/>
                <w:b w:val="0"/>
                <w:bCs w:val="0"/>
                <w:color w:val="auto"/>
                <w:kern w:val="0"/>
                <w:sz w:val="30"/>
                <w:szCs w:val="30"/>
                <w:highlight w:val="none"/>
                <w:u w:val="none"/>
                <w:lang w:val="en-US" w:eastAsia="zh-CN" w:bidi="ar-SA"/>
              </w:rPr>
            </w:pPr>
          </w:p>
        </w:tc>
      </w:tr>
      <w:tr w14:paraId="513CD554">
        <w:tblPrEx>
          <w:tblCellMar>
            <w:top w:w="0" w:type="dxa"/>
            <w:left w:w="108" w:type="dxa"/>
            <w:bottom w:w="0" w:type="dxa"/>
            <w:right w:w="108" w:type="dxa"/>
          </w:tblCellMar>
        </w:tblPrEx>
        <w:trPr>
          <w:trHeight w:val="616" w:hRule="atLeast"/>
          <w:jc w:val="center"/>
        </w:trPr>
        <w:tc>
          <w:tcPr>
            <w:tcW w:w="1854" w:type="dxa"/>
            <w:noWrap w:val="0"/>
            <w:tcMar>
              <w:top w:w="85" w:type="dxa"/>
              <w:left w:w="0" w:type="dxa"/>
              <w:bottom w:w="85" w:type="dxa"/>
              <w:right w:w="0" w:type="dxa"/>
            </w:tcMar>
            <w:vAlign w:val="center"/>
          </w:tcPr>
          <w:p w14:paraId="76ADE032">
            <w:pPr>
              <w:widowControl/>
              <w:jc w:val="distribute"/>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签订日期</w:t>
            </w:r>
          </w:p>
        </w:tc>
        <w:tc>
          <w:tcPr>
            <w:tcW w:w="300" w:type="dxa"/>
            <w:noWrap w:val="0"/>
            <w:tcMar>
              <w:top w:w="85" w:type="dxa"/>
              <w:left w:w="0" w:type="dxa"/>
              <w:bottom w:w="85" w:type="dxa"/>
              <w:right w:w="0" w:type="dxa"/>
            </w:tcMar>
            <w:vAlign w:val="center"/>
          </w:tcPr>
          <w:p w14:paraId="7287D1ED">
            <w:pPr>
              <w:widowControl/>
              <w:jc w:val="both"/>
              <w:rPr>
                <w:rFonts w:hint="eastAsia" w:ascii="宋体" w:hAnsi="宋体" w:eastAsia="宋体" w:cs="宋体"/>
                <w:b w:val="0"/>
                <w:bCs w:val="0"/>
                <w:color w:val="auto"/>
                <w:kern w:val="0"/>
                <w:sz w:val="30"/>
                <w:szCs w:val="30"/>
                <w:highlight w:val="none"/>
                <w:u w:val="none"/>
                <w:lang w:val="en-US" w:eastAsia="zh-CN" w:bidi="ar-SA"/>
              </w:rPr>
            </w:pPr>
            <w:r>
              <w:rPr>
                <w:rFonts w:hint="eastAsia" w:ascii="宋体" w:hAnsi="宋体" w:eastAsia="宋体" w:cs="宋体"/>
                <w:b w:val="0"/>
                <w:bCs w:val="0"/>
                <w:color w:val="auto"/>
                <w:kern w:val="0"/>
                <w:sz w:val="30"/>
                <w:szCs w:val="30"/>
                <w:highlight w:val="none"/>
                <w:u w:val="none"/>
                <w:lang w:val="en-US" w:eastAsia="zh-CN" w:bidi="ar-SA"/>
              </w:rPr>
              <w:t>：</w:t>
            </w:r>
          </w:p>
        </w:tc>
        <w:tc>
          <w:tcPr>
            <w:tcW w:w="6126" w:type="dxa"/>
            <w:noWrap w:val="0"/>
            <w:tcMar>
              <w:top w:w="85" w:type="dxa"/>
              <w:bottom w:w="85" w:type="dxa"/>
            </w:tcMar>
            <w:vAlign w:val="center"/>
          </w:tcPr>
          <w:p w14:paraId="6B2957A7">
            <w:pPr>
              <w:widowControl/>
              <w:jc w:val="both"/>
              <w:rPr>
                <w:rFonts w:hint="eastAsia" w:ascii="宋体" w:hAnsi="宋体" w:eastAsia="宋体" w:cs="宋体"/>
                <w:b w:val="0"/>
                <w:bCs w:val="0"/>
                <w:color w:val="auto"/>
                <w:kern w:val="0"/>
                <w:sz w:val="30"/>
                <w:szCs w:val="30"/>
                <w:highlight w:val="none"/>
                <w:u w:val="none"/>
                <w:lang w:val="en-US" w:eastAsia="zh-CN" w:bidi="ar-SA"/>
              </w:rPr>
            </w:pPr>
          </w:p>
        </w:tc>
      </w:tr>
    </w:tbl>
    <w:p w14:paraId="50D56844">
      <w:pPr>
        <w:widowControl w:val="0"/>
        <w:spacing w:after="120"/>
        <w:jc w:val="both"/>
        <w:rPr>
          <w:rFonts w:ascii="Times New Roman" w:hAnsi="Times New Roman" w:eastAsia="宋体" w:cs="Times New Roman"/>
          <w:color w:val="auto"/>
          <w:kern w:val="2"/>
          <w:sz w:val="21"/>
          <w:szCs w:val="24"/>
          <w:highlight w:val="none"/>
          <w:lang w:val="en-US" w:eastAsia="zh-CN" w:bidi="ar-SA"/>
        </w:rPr>
      </w:pPr>
    </w:p>
    <w:p w14:paraId="5DB3BE22">
      <w:pPr>
        <w:widowControl w:val="0"/>
        <w:spacing w:line="360" w:lineRule="auto"/>
        <w:jc w:val="both"/>
        <w:rPr>
          <w:rFonts w:ascii="Times New Roman" w:hAnsi="Times New Roman" w:eastAsia="宋体" w:cs="Times New Roman"/>
          <w:color w:val="auto"/>
          <w:kern w:val="2"/>
          <w:sz w:val="24"/>
          <w:szCs w:val="24"/>
          <w:highlight w:val="none"/>
          <w:lang w:val="en-US" w:eastAsia="zh-CN" w:bidi="ar-SA"/>
        </w:rPr>
      </w:pPr>
    </w:p>
    <w:p w14:paraId="03915449">
      <w:pPr>
        <w:pStyle w:val="179"/>
        <w:rPr>
          <w:rFonts w:hint="eastAsia"/>
          <w:color w:val="auto"/>
          <w:highlight w:val="none"/>
        </w:rPr>
      </w:pPr>
    </w:p>
    <w:tbl>
      <w:tblPr>
        <w:tblStyle w:val="30"/>
        <w:tblW w:w="0" w:type="auto"/>
        <w:jc w:val="center"/>
        <w:tblCellSpacing w:w="0" w:type="dxa"/>
        <w:tblLayout w:type="autofit"/>
        <w:tblCellMar>
          <w:top w:w="75" w:type="dxa"/>
          <w:left w:w="75" w:type="dxa"/>
          <w:bottom w:w="75" w:type="dxa"/>
          <w:right w:w="75" w:type="dxa"/>
        </w:tblCellMar>
      </w:tblPr>
      <w:tblGrid>
        <w:gridCol w:w="2961"/>
        <w:gridCol w:w="713"/>
      </w:tblGrid>
      <w:tr w14:paraId="60D75873">
        <w:tblPrEx>
          <w:tblCellMar>
            <w:top w:w="75" w:type="dxa"/>
            <w:left w:w="75" w:type="dxa"/>
            <w:bottom w:w="75" w:type="dxa"/>
            <w:right w:w="75" w:type="dxa"/>
          </w:tblCellMar>
        </w:tblPrEx>
        <w:trPr>
          <w:cantSplit/>
          <w:trHeight w:val="225" w:hRule="atLeast"/>
          <w:tblCellSpacing w:w="0" w:type="dxa"/>
          <w:jc w:val="center"/>
        </w:trPr>
        <w:tc>
          <w:tcPr>
            <w:tcW w:w="0" w:type="auto"/>
            <w:noWrap w:val="0"/>
            <w:vAlign w:val="center"/>
          </w:tcPr>
          <w:p w14:paraId="58AF40A2">
            <w:pPr>
              <w:rPr>
                <w:rFonts w:ascii="宋体" w:hAnsi="宋体" w:cs="Arial Unicode MS"/>
                <w:b/>
                <w:bCs/>
                <w:color w:val="auto"/>
                <w:sz w:val="28"/>
                <w:szCs w:val="28"/>
                <w:highlight w:val="none"/>
              </w:rPr>
            </w:pPr>
            <w:r>
              <w:rPr>
                <w:rFonts w:ascii="宋体" w:hAnsi="宋体"/>
                <w:b/>
                <w:bCs/>
                <w:color w:val="auto"/>
                <w:sz w:val="28"/>
                <w:szCs w:val="28"/>
                <w:highlight w:val="none"/>
              </w:rPr>
              <w:t>中华人民共和国建设部</w:t>
            </w:r>
          </w:p>
        </w:tc>
        <w:tc>
          <w:tcPr>
            <w:tcW w:w="0" w:type="auto"/>
            <w:vMerge w:val="restart"/>
            <w:noWrap w:val="0"/>
            <w:vAlign w:val="center"/>
          </w:tcPr>
          <w:p w14:paraId="6548B013">
            <w:pPr>
              <w:rPr>
                <w:rFonts w:ascii="宋体" w:hAnsi="宋体" w:cs="Arial Unicode MS"/>
                <w:b/>
                <w:bCs/>
                <w:color w:val="auto"/>
                <w:sz w:val="28"/>
                <w:szCs w:val="28"/>
                <w:highlight w:val="none"/>
              </w:rPr>
            </w:pPr>
            <w:r>
              <w:rPr>
                <w:rFonts w:ascii="宋体" w:hAnsi="宋体"/>
                <w:b/>
                <w:bCs/>
                <w:color w:val="auto"/>
                <w:sz w:val="28"/>
                <w:szCs w:val="28"/>
                <w:highlight w:val="none"/>
              </w:rPr>
              <w:t>监制</w:t>
            </w:r>
          </w:p>
        </w:tc>
      </w:tr>
      <w:tr w14:paraId="4C71CCEA">
        <w:tblPrEx>
          <w:tblCellMar>
            <w:top w:w="75" w:type="dxa"/>
            <w:left w:w="75" w:type="dxa"/>
            <w:bottom w:w="75" w:type="dxa"/>
            <w:right w:w="75" w:type="dxa"/>
          </w:tblCellMar>
        </w:tblPrEx>
        <w:trPr>
          <w:cantSplit/>
          <w:tblCellSpacing w:w="0" w:type="dxa"/>
          <w:jc w:val="center"/>
        </w:trPr>
        <w:tc>
          <w:tcPr>
            <w:tcW w:w="0" w:type="auto"/>
            <w:noWrap w:val="0"/>
            <w:vAlign w:val="center"/>
          </w:tcPr>
          <w:p w14:paraId="4C2CA373">
            <w:pPr>
              <w:rPr>
                <w:rFonts w:ascii="宋体" w:hAnsi="宋体" w:cs="Arial Unicode MS"/>
                <w:b/>
                <w:bCs/>
                <w:color w:val="auto"/>
                <w:sz w:val="28"/>
                <w:szCs w:val="28"/>
                <w:highlight w:val="none"/>
              </w:rPr>
            </w:pPr>
            <w:r>
              <w:rPr>
                <w:rFonts w:ascii="宋体" w:hAnsi="宋体"/>
                <w:b/>
                <w:bCs/>
                <w:color w:val="auto"/>
                <w:sz w:val="28"/>
                <w:szCs w:val="28"/>
                <w:highlight w:val="none"/>
              </w:rPr>
              <w:t>国家工商行政管理局</w:t>
            </w:r>
          </w:p>
        </w:tc>
        <w:tc>
          <w:tcPr>
            <w:tcW w:w="0" w:type="auto"/>
            <w:vMerge w:val="continue"/>
            <w:noWrap w:val="0"/>
            <w:vAlign w:val="center"/>
          </w:tcPr>
          <w:p w14:paraId="0CE61AC4">
            <w:pPr>
              <w:rPr>
                <w:rFonts w:ascii="宋体" w:hAnsi="宋体" w:cs="Arial Unicode MS"/>
                <w:b/>
                <w:bCs/>
                <w:color w:val="auto"/>
                <w:sz w:val="28"/>
                <w:szCs w:val="28"/>
                <w:highlight w:val="none"/>
              </w:rPr>
            </w:pPr>
          </w:p>
        </w:tc>
      </w:tr>
    </w:tbl>
    <w:p w14:paraId="24E99708">
      <w:pPr>
        <w:rPr>
          <w:rFonts w:hint="eastAsia"/>
          <w:color w:val="auto"/>
          <w:highlight w:val="none"/>
        </w:rPr>
      </w:pPr>
    </w:p>
    <w:p w14:paraId="2433BE6B">
      <w:pPr>
        <w:spacing w:line="360" w:lineRule="auto"/>
        <w:jc w:val="left"/>
        <w:rPr>
          <w:rFonts w:hint="eastAsia" w:ascii="宋体" w:hAnsi="宋体" w:cs="宋体"/>
          <w:color w:val="auto"/>
          <w:sz w:val="24"/>
          <w:highlight w:val="none"/>
        </w:rPr>
      </w:pPr>
      <w:r>
        <w:rPr>
          <w:rFonts w:hint="eastAsia" w:ascii="宋体" w:hAnsi="宋体" w:cs="宋体"/>
          <w:b/>
          <w:color w:val="auto"/>
          <w:sz w:val="28"/>
          <w:szCs w:val="28"/>
          <w:highlight w:val="none"/>
        </w:rPr>
        <w:br w:type="page"/>
      </w:r>
    </w:p>
    <w:p w14:paraId="3BE4F186">
      <w:pPr>
        <w:keepNext w:val="0"/>
        <w:keepLines w:val="0"/>
        <w:pageBreakBefore w:val="0"/>
        <w:widowControl w:val="0"/>
        <w:kinsoku/>
        <w:wordWrap/>
        <w:overflowPunct/>
        <w:topLinePunct w:val="0"/>
        <w:autoSpaceDE/>
        <w:autoSpaceDN/>
        <w:bidi w:val="0"/>
        <w:adjustRightInd/>
        <w:snapToGrid/>
        <w:spacing w:line="360" w:lineRule="auto"/>
        <w:ind w:firstLine="462" w:firstLineChars="200"/>
        <w:textAlignment w:val="auto"/>
        <w:rPr>
          <w:rFonts w:hint="eastAsia" w:ascii="宋体" w:hAnsi="宋体" w:cs="宋体"/>
          <w:b/>
          <w:bCs/>
          <w:color w:val="auto"/>
          <w:spacing w:val="-5"/>
          <w:sz w:val="24"/>
          <w:highlight w:val="none"/>
          <w:u w:val="single"/>
        </w:rPr>
      </w:pPr>
      <w:r>
        <w:rPr>
          <w:rFonts w:hint="eastAsia" w:ascii="宋体" w:hAnsi="宋体" w:cs="宋体"/>
          <w:b/>
          <w:bCs/>
          <w:color w:val="auto"/>
          <w:spacing w:val="-5"/>
          <w:sz w:val="24"/>
          <w:highlight w:val="none"/>
        </w:rPr>
        <w:t xml:space="preserve">甲 </w:t>
      </w:r>
      <w:r>
        <w:rPr>
          <w:rFonts w:ascii="宋体" w:hAnsi="宋体" w:cs="宋体"/>
          <w:b/>
          <w:bCs/>
          <w:color w:val="auto"/>
          <w:spacing w:val="-5"/>
          <w:sz w:val="24"/>
          <w:highlight w:val="none"/>
        </w:rPr>
        <w:t xml:space="preserve"> </w:t>
      </w:r>
      <w:r>
        <w:rPr>
          <w:rFonts w:hint="eastAsia" w:ascii="宋体" w:hAnsi="宋体" w:cs="宋体"/>
          <w:b/>
          <w:bCs/>
          <w:color w:val="auto"/>
          <w:spacing w:val="-5"/>
          <w:sz w:val="24"/>
          <w:highlight w:val="none"/>
        </w:rPr>
        <w:t>方</w:t>
      </w:r>
      <w:r>
        <w:rPr>
          <w:rFonts w:hint="eastAsia" w:ascii="宋体" w:hAnsi="宋体" w:cs="宋体"/>
          <w:b/>
          <w:bCs/>
          <w:color w:val="auto"/>
          <w:spacing w:val="-5"/>
          <w:sz w:val="24"/>
          <w:highlight w:val="none"/>
          <w:lang w:eastAsia="zh-CN"/>
        </w:rPr>
        <w:t>（</w:t>
      </w:r>
      <w:r>
        <w:rPr>
          <w:rFonts w:hint="eastAsia" w:ascii="宋体" w:hAnsi="宋体" w:cs="宋体"/>
          <w:b/>
          <w:bCs/>
          <w:color w:val="auto"/>
          <w:spacing w:val="-5"/>
          <w:sz w:val="24"/>
          <w:highlight w:val="none"/>
          <w:lang w:val="en-US" w:eastAsia="zh-CN"/>
        </w:rPr>
        <w:t>建设单位）</w:t>
      </w:r>
      <w:r>
        <w:rPr>
          <w:rFonts w:hint="eastAsia" w:ascii="宋体" w:hAnsi="宋体" w:cs="宋体"/>
          <w:b/>
          <w:bCs/>
          <w:color w:val="auto"/>
          <w:spacing w:val="-5"/>
          <w:sz w:val="24"/>
          <w:highlight w:val="none"/>
        </w:rPr>
        <w:t>：</w:t>
      </w:r>
      <w:r>
        <w:rPr>
          <w:rFonts w:hint="eastAsia" w:ascii="宋体" w:hAnsi="宋体" w:cs="宋体"/>
          <w:b/>
          <w:bCs/>
          <w:color w:val="auto"/>
          <w:spacing w:val="-5"/>
          <w:sz w:val="24"/>
          <w:highlight w:val="none"/>
          <w:u w:val="single"/>
        </w:rPr>
        <w:t>威海市国家粮食储备库有限公司</w:t>
      </w:r>
    </w:p>
    <w:p w14:paraId="1B741EFA">
      <w:pPr>
        <w:keepNext w:val="0"/>
        <w:keepLines w:val="0"/>
        <w:pageBreakBefore w:val="0"/>
        <w:widowControl w:val="0"/>
        <w:kinsoku/>
        <w:wordWrap/>
        <w:overflowPunct/>
        <w:topLinePunct w:val="0"/>
        <w:autoSpaceDE/>
        <w:autoSpaceDN/>
        <w:bidi w:val="0"/>
        <w:adjustRightInd/>
        <w:snapToGrid/>
        <w:spacing w:line="360" w:lineRule="auto"/>
        <w:ind w:firstLine="462" w:firstLineChars="200"/>
        <w:textAlignment w:val="auto"/>
        <w:rPr>
          <w:rFonts w:hint="eastAsia" w:ascii="宋体" w:hAnsi="宋体" w:cs="宋体"/>
          <w:b/>
          <w:bCs/>
          <w:color w:val="auto"/>
          <w:spacing w:val="-5"/>
          <w:sz w:val="24"/>
          <w:highlight w:val="none"/>
          <w:u w:val="single"/>
        </w:rPr>
      </w:pPr>
      <w:r>
        <w:rPr>
          <w:rFonts w:hint="eastAsia" w:ascii="宋体" w:hAnsi="宋体" w:cs="宋体"/>
          <w:b/>
          <w:bCs/>
          <w:color w:val="auto"/>
          <w:spacing w:val="-5"/>
          <w:sz w:val="24"/>
          <w:highlight w:val="none"/>
        </w:rPr>
        <w:t xml:space="preserve">乙 </w:t>
      </w:r>
      <w:r>
        <w:rPr>
          <w:rFonts w:ascii="宋体" w:hAnsi="宋体" w:cs="宋体"/>
          <w:b/>
          <w:bCs/>
          <w:color w:val="auto"/>
          <w:spacing w:val="-5"/>
          <w:sz w:val="24"/>
          <w:highlight w:val="none"/>
        </w:rPr>
        <w:t xml:space="preserve"> </w:t>
      </w:r>
      <w:r>
        <w:rPr>
          <w:rFonts w:hint="eastAsia" w:ascii="宋体" w:hAnsi="宋体" w:cs="宋体"/>
          <w:b/>
          <w:bCs/>
          <w:color w:val="auto"/>
          <w:spacing w:val="-5"/>
          <w:sz w:val="24"/>
          <w:highlight w:val="none"/>
        </w:rPr>
        <w:t>方：</w:t>
      </w:r>
    </w:p>
    <w:p w14:paraId="7AA6C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就甲方委托乙方承担</w:t>
      </w:r>
      <w:r>
        <w:rPr>
          <w:rFonts w:hint="eastAsia" w:ascii="宋体" w:hAnsi="宋体" w:cs="宋体"/>
          <w:color w:val="auto"/>
          <w:sz w:val="24"/>
          <w:highlight w:val="none"/>
          <w:u w:val="single"/>
          <w:lang w:eastAsia="zh-CN"/>
        </w:rPr>
        <w:t>威海市国家粮食储备库有限公司高标准粮仓建设项目</w:t>
      </w:r>
      <w:r>
        <w:rPr>
          <w:rFonts w:hint="eastAsia" w:ascii="宋体" w:hAnsi="宋体" w:cs="宋体"/>
          <w:color w:val="auto"/>
          <w:sz w:val="24"/>
          <w:highlight w:val="none"/>
          <w:u w:val="single"/>
        </w:rPr>
        <w:t>设计</w:t>
      </w:r>
      <w:r>
        <w:rPr>
          <w:rFonts w:hint="eastAsia" w:ascii="宋体" w:hAnsi="宋体" w:cs="宋体"/>
          <w:color w:val="auto"/>
          <w:sz w:val="24"/>
          <w:highlight w:val="none"/>
        </w:rPr>
        <w:t>事宜，经甲乙双方协商一致，签订本协议，以资双方共同遵守。本协议签订后，与后期签订的合同具有同等法律效力。</w:t>
      </w:r>
    </w:p>
    <w:p w14:paraId="5304C3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第一条 合同签订依据</w:t>
      </w:r>
    </w:p>
    <w:p w14:paraId="00476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1.1《中华人民共和国民法典》《中华人民共和国建筑法》和《</w:t>
      </w:r>
      <w:r>
        <w:rPr>
          <w:rFonts w:hint="eastAsia" w:ascii="宋体" w:hAnsi="宋体" w:cs="宋体"/>
          <w:color w:val="auto"/>
          <w:sz w:val="24"/>
          <w:highlight w:val="none"/>
          <w:lang w:eastAsia="zh-CN"/>
        </w:rPr>
        <w:t>建设工程勘察设计管理条例</w:t>
      </w:r>
      <w:r>
        <w:rPr>
          <w:rFonts w:hint="eastAsia" w:ascii="宋体" w:hAnsi="宋体" w:cs="宋体"/>
          <w:color w:val="auto"/>
          <w:sz w:val="24"/>
          <w:highlight w:val="none"/>
        </w:rPr>
        <w:t>》等有关法律规定。</w:t>
      </w:r>
    </w:p>
    <w:p w14:paraId="68FF47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1.2国家及地方有关建设工程管理法规和规章。</w:t>
      </w:r>
    </w:p>
    <w:p w14:paraId="110BD1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1.3建设工程批准文件</w:t>
      </w:r>
      <w:r>
        <w:rPr>
          <w:rFonts w:hint="eastAsia" w:ascii="宋体" w:hAnsi="宋体" w:cs="宋体"/>
          <w:color w:val="auto"/>
          <w:sz w:val="24"/>
          <w:highlight w:val="none"/>
          <w:lang w:eastAsia="zh-CN"/>
        </w:rPr>
        <w:t>。</w:t>
      </w:r>
    </w:p>
    <w:p w14:paraId="3307D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1</w:t>
      </w:r>
      <w:r>
        <w:rPr>
          <w:rFonts w:ascii="宋体" w:hAnsi="宋体" w:cs="宋体"/>
          <w:color w:val="auto"/>
          <w:sz w:val="24"/>
          <w:highlight w:val="none"/>
        </w:rPr>
        <w:t>.4</w:t>
      </w:r>
      <w:r>
        <w:rPr>
          <w:rFonts w:hint="eastAsia" w:ascii="宋体" w:hAnsi="宋体" w:cs="宋体"/>
          <w:color w:val="auto"/>
          <w:sz w:val="24"/>
          <w:highlight w:val="none"/>
        </w:rPr>
        <w:t>甲方要求</w:t>
      </w:r>
      <w:r>
        <w:rPr>
          <w:rFonts w:hint="eastAsia" w:ascii="宋体" w:hAnsi="宋体" w:cs="宋体"/>
          <w:color w:val="auto"/>
          <w:sz w:val="24"/>
          <w:highlight w:val="none"/>
          <w:lang w:eastAsia="zh-CN"/>
        </w:rPr>
        <w:t>。</w:t>
      </w:r>
    </w:p>
    <w:p w14:paraId="0EC658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1</w:t>
      </w:r>
      <w:r>
        <w:rPr>
          <w:rFonts w:ascii="宋体" w:hAnsi="宋体" w:cs="宋体"/>
          <w:color w:val="auto"/>
          <w:sz w:val="24"/>
          <w:highlight w:val="none"/>
        </w:rPr>
        <w:t>.5</w:t>
      </w:r>
      <w:r>
        <w:rPr>
          <w:rFonts w:hint="eastAsia" w:ascii="宋体" w:hAnsi="宋体" w:cs="宋体"/>
          <w:color w:val="auto"/>
          <w:sz w:val="24"/>
          <w:highlight w:val="none"/>
        </w:rPr>
        <w:t>技术标准</w:t>
      </w:r>
      <w:r>
        <w:rPr>
          <w:rFonts w:hint="eastAsia" w:ascii="宋体" w:hAnsi="宋体" w:cs="宋体"/>
          <w:color w:val="auto"/>
          <w:sz w:val="24"/>
          <w:highlight w:val="none"/>
          <w:lang w:eastAsia="zh-CN"/>
        </w:rPr>
        <w:t>。</w:t>
      </w:r>
    </w:p>
    <w:p w14:paraId="2906BB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.6</w:t>
      </w:r>
      <w:r>
        <w:rPr>
          <w:rFonts w:hint="eastAsia" w:ascii="宋体" w:hAnsi="宋体" w:cs="宋体"/>
          <w:color w:val="auto"/>
          <w:sz w:val="24"/>
          <w:highlight w:val="none"/>
        </w:rPr>
        <w:t>其他合同文本（如有）。</w:t>
      </w:r>
    </w:p>
    <w:p w14:paraId="25A49D8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b/>
          <w:bCs/>
          <w:color w:val="auto"/>
          <w:sz w:val="24"/>
          <w:highlight w:val="none"/>
        </w:rPr>
      </w:pPr>
      <w:r>
        <w:rPr>
          <w:rFonts w:hint="eastAsia" w:ascii="宋体" w:hAnsi="宋体" w:cs="宋体"/>
          <w:b/>
          <w:bCs/>
          <w:color w:val="auto"/>
          <w:sz w:val="24"/>
          <w:highlight w:val="none"/>
        </w:rPr>
        <w:t>第二条 工程概况</w:t>
      </w:r>
    </w:p>
    <w:p w14:paraId="7E5E35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1.1</w:t>
      </w:r>
      <w:r>
        <w:rPr>
          <w:rFonts w:hint="eastAsia" w:ascii="宋体" w:hAnsi="宋体" w:cs="宋体"/>
          <w:color w:val="auto"/>
          <w:sz w:val="24"/>
          <w:highlight w:val="none"/>
        </w:rPr>
        <w:t>工程名称：</w:t>
      </w:r>
      <w:r>
        <w:rPr>
          <w:rFonts w:hint="eastAsia" w:ascii="宋体" w:hAnsi="宋体" w:cs="宋体"/>
          <w:color w:val="auto"/>
          <w:sz w:val="24"/>
          <w:highlight w:val="none"/>
          <w:u w:val="single"/>
          <w:lang w:eastAsia="zh-CN"/>
        </w:rPr>
        <w:t>威海市国家粮食储备库有限公司高标准粮仓建设项目</w:t>
      </w:r>
      <w:r>
        <w:rPr>
          <w:rFonts w:hint="eastAsia" w:ascii="宋体" w:hAnsi="宋体" w:cs="宋体"/>
          <w:color w:val="auto"/>
          <w:sz w:val="24"/>
          <w:highlight w:val="none"/>
          <w:lang w:eastAsia="zh-CN"/>
        </w:rPr>
        <w:t>。</w:t>
      </w:r>
    </w:p>
    <w:p w14:paraId="00C402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1.2</w:t>
      </w:r>
      <w:r>
        <w:rPr>
          <w:rFonts w:hint="eastAsia" w:ascii="宋体" w:hAnsi="宋体" w:cs="宋体"/>
          <w:color w:val="auto"/>
          <w:sz w:val="24"/>
          <w:highlight w:val="none"/>
        </w:rPr>
        <w:t>工程内容及规模：</w:t>
      </w:r>
      <w:r>
        <w:rPr>
          <w:rFonts w:hint="eastAsia" w:ascii="宋体" w:hAnsi="宋体" w:cs="宋体"/>
          <w:color w:val="auto"/>
          <w:sz w:val="24"/>
          <w:highlight w:val="none"/>
          <w:u w:val="single"/>
        </w:rPr>
        <w:t>拟新建设散粮平房仓约</w:t>
      </w:r>
      <w:r>
        <w:rPr>
          <w:rFonts w:hint="eastAsia" w:ascii="宋体" w:hAnsi="宋体" w:cs="宋体"/>
          <w:color w:val="auto"/>
          <w:sz w:val="24"/>
          <w:highlight w:val="none"/>
          <w:u w:val="single"/>
          <w:lang w:eastAsia="zh-CN"/>
        </w:rPr>
        <w:t>2.71</w:t>
      </w:r>
      <w:r>
        <w:rPr>
          <w:rFonts w:hint="eastAsia" w:ascii="宋体" w:hAnsi="宋体" w:cs="宋体"/>
          <w:color w:val="auto"/>
          <w:sz w:val="24"/>
          <w:highlight w:val="none"/>
          <w:u w:val="single"/>
        </w:rPr>
        <w:t>万吨、</w:t>
      </w:r>
      <w:r>
        <w:rPr>
          <w:rFonts w:hint="eastAsia" w:ascii="宋体" w:hAnsi="宋体" w:cs="宋体"/>
          <w:color w:val="auto"/>
          <w:sz w:val="24"/>
          <w:highlight w:val="none"/>
          <w:u w:val="single"/>
          <w:lang w:eastAsia="zh-CN"/>
        </w:rPr>
        <w:t>消防泵房、地下消防水池及一站式服务中心等</w:t>
      </w:r>
      <w:r>
        <w:rPr>
          <w:rFonts w:hint="eastAsia" w:ascii="宋体" w:hAnsi="宋体" w:cs="宋体"/>
          <w:color w:val="auto"/>
          <w:sz w:val="24"/>
          <w:highlight w:val="none"/>
          <w:u w:val="single"/>
        </w:rPr>
        <w:t>，同步配套相应粮食仓储、装卸、检化验设备、智能化信息系统、道路、地坪、排水沟、外网工程等</w:t>
      </w:r>
      <w:r>
        <w:rPr>
          <w:rFonts w:hint="eastAsia" w:ascii="宋体" w:hAnsi="宋体" w:cs="宋体"/>
          <w:color w:val="auto"/>
          <w:sz w:val="24"/>
          <w:highlight w:val="none"/>
        </w:rPr>
        <w:t>。</w:t>
      </w:r>
    </w:p>
    <w:p w14:paraId="4FEB9A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1</w:t>
      </w:r>
      <w:r>
        <w:rPr>
          <w:rFonts w:ascii="宋体" w:hAnsi="宋体" w:cs="宋体"/>
          <w:color w:val="auto"/>
          <w:sz w:val="24"/>
          <w:highlight w:val="none"/>
        </w:rPr>
        <w:t>.3</w:t>
      </w:r>
      <w:r>
        <w:rPr>
          <w:rFonts w:hint="eastAsia" w:ascii="宋体" w:hAnsi="宋体" w:cs="宋体"/>
          <w:color w:val="auto"/>
          <w:sz w:val="24"/>
          <w:highlight w:val="none"/>
        </w:rPr>
        <w:t>工程所在地详细地址：</w:t>
      </w:r>
      <w:r>
        <w:rPr>
          <w:rFonts w:hint="eastAsia" w:ascii="宋体" w:hAnsi="宋体" w:cs="宋体"/>
          <w:color w:val="auto"/>
          <w:sz w:val="24"/>
          <w:highlight w:val="none"/>
          <w:u w:val="single"/>
          <w:lang w:val="en-US" w:eastAsia="zh-CN"/>
        </w:rPr>
        <w:t>威海市</w:t>
      </w:r>
      <w:r>
        <w:rPr>
          <w:rFonts w:hint="eastAsia" w:ascii="宋体" w:hAnsi="宋体" w:cs="宋体"/>
          <w:color w:val="auto"/>
          <w:sz w:val="24"/>
          <w:highlight w:val="none"/>
          <w:u w:val="none"/>
          <w:lang w:val="en-US" w:eastAsia="zh-CN"/>
        </w:rPr>
        <w:t>。</w:t>
      </w:r>
    </w:p>
    <w:p w14:paraId="5AC2D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1</w:t>
      </w:r>
      <w:r>
        <w:rPr>
          <w:rFonts w:ascii="宋体" w:hAnsi="宋体" w:cs="宋体"/>
          <w:color w:val="auto"/>
          <w:sz w:val="24"/>
          <w:highlight w:val="none"/>
        </w:rPr>
        <w:t>.4</w:t>
      </w:r>
      <w:r>
        <w:rPr>
          <w:rFonts w:hint="eastAsia" w:ascii="宋体" w:hAnsi="宋体" w:cs="宋体"/>
          <w:color w:val="auto"/>
          <w:sz w:val="24"/>
          <w:highlight w:val="none"/>
        </w:rPr>
        <w:t>工程投资估算：</w:t>
      </w:r>
      <w:r>
        <w:rPr>
          <w:rFonts w:hint="eastAsia" w:ascii="宋体" w:hAnsi="宋体" w:cs="宋体"/>
          <w:color w:val="auto"/>
          <w:sz w:val="24"/>
          <w:highlight w:val="none"/>
          <w:u w:val="single"/>
          <w:lang w:val="en-US" w:eastAsia="zh-CN"/>
        </w:rPr>
        <w:t>约3800万元</w:t>
      </w:r>
      <w:r>
        <w:rPr>
          <w:rFonts w:hint="eastAsia" w:ascii="宋体" w:hAnsi="宋体" w:cs="宋体"/>
          <w:color w:val="auto"/>
          <w:sz w:val="24"/>
          <w:highlight w:val="none"/>
          <w:lang w:val="en-US" w:eastAsia="zh-CN"/>
        </w:rPr>
        <w:t>。</w:t>
      </w:r>
    </w:p>
    <w:p w14:paraId="087922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.5</w:t>
      </w:r>
      <w:r>
        <w:rPr>
          <w:rFonts w:hint="eastAsia" w:ascii="宋体" w:hAnsi="宋体" w:cs="宋体"/>
          <w:color w:val="auto"/>
          <w:sz w:val="24"/>
          <w:highlight w:val="none"/>
        </w:rPr>
        <w:t>工程主要技术标准：</w:t>
      </w:r>
      <w:r>
        <w:rPr>
          <w:rFonts w:hint="eastAsia" w:ascii="宋体" w:hAnsi="宋体" w:cs="宋体"/>
          <w:color w:val="auto"/>
          <w:sz w:val="24"/>
          <w:highlight w:val="none"/>
          <w:u w:val="single"/>
        </w:rPr>
        <w:t>国家、行业及地方现行</w:t>
      </w:r>
      <w:r>
        <w:rPr>
          <w:rFonts w:hint="eastAsia" w:ascii="宋体" w:hAnsi="宋体" w:cs="宋体"/>
          <w:color w:val="auto"/>
          <w:sz w:val="24"/>
          <w:highlight w:val="none"/>
          <w:u w:val="single"/>
          <w:lang w:val="en-US" w:eastAsia="zh-CN"/>
        </w:rPr>
        <w:t>有效</w:t>
      </w:r>
      <w:r>
        <w:rPr>
          <w:rFonts w:hint="eastAsia" w:ascii="宋体" w:hAnsi="宋体" w:cs="宋体"/>
          <w:color w:val="auto"/>
          <w:sz w:val="24"/>
          <w:highlight w:val="none"/>
          <w:u w:val="single"/>
        </w:rPr>
        <w:t>的</w:t>
      </w:r>
      <w:r>
        <w:rPr>
          <w:rFonts w:hint="eastAsia" w:ascii="宋体" w:hAnsi="宋体" w:cs="宋体"/>
          <w:color w:val="auto"/>
          <w:sz w:val="24"/>
          <w:highlight w:val="none"/>
          <w:u w:val="single"/>
          <w:lang w:val="en-US" w:eastAsia="zh-CN"/>
        </w:rPr>
        <w:t>较高的</w:t>
      </w:r>
      <w:r>
        <w:rPr>
          <w:rFonts w:hint="eastAsia" w:ascii="宋体" w:hAnsi="宋体" w:cs="宋体"/>
          <w:color w:val="auto"/>
          <w:sz w:val="24"/>
          <w:highlight w:val="none"/>
          <w:u w:val="single"/>
        </w:rPr>
        <w:t>标准及设计规范以及</w:t>
      </w:r>
      <w:r>
        <w:rPr>
          <w:rFonts w:hint="eastAsia" w:ascii="宋体" w:hAnsi="宋体" w:cs="宋体"/>
          <w:color w:val="auto"/>
          <w:sz w:val="24"/>
          <w:highlight w:val="none"/>
          <w:u w:val="single"/>
          <w:lang w:eastAsia="zh-CN"/>
        </w:rPr>
        <w:t>甲方</w:t>
      </w:r>
      <w:r>
        <w:rPr>
          <w:rFonts w:hint="eastAsia" w:ascii="宋体" w:hAnsi="宋体" w:cs="宋体"/>
          <w:color w:val="auto"/>
          <w:sz w:val="24"/>
          <w:highlight w:val="none"/>
          <w:u w:val="single"/>
        </w:rPr>
        <w:t>内部要求。</w:t>
      </w:r>
    </w:p>
    <w:p w14:paraId="68FBFDC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第三条 工程设计范围及服务内容</w:t>
      </w:r>
    </w:p>
    <w:p w14:paraId="5FF472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lang w:eastAsia="zh-CN"/>
        </w:rPr>
      </w:pPr>
      <w:r>
        <w:rPr>
          <w:rFonts w:ascii="宋体" w:hAnsi="宋体" w:cs="宋体"/>
          <w:color w:val="auto"/>
          <w:sz w:val="24"/>
          <w:highlight w:val="none"/>
        </w:rPr>
        <w:t>3.1</w:t>
      </w:r>
      <w:bookmarkStart w:id="19" w:name="OLE_LINK1"/>
      <w:bookmarkStart w:id="20" w:name="OLE_LINK2"/>
      <w:r>
        <w:rPr>
          <w:rFonts w:hint="eastAsia" w:ascii="宋体" w:hAnsi="宋体" w:cs="宋体"/>
          <w:color w:val="auto"/>
          <w:sz w:val="24"/>
          <w:highlight w:val="none"/>
        </w:rPr>
        <w:t>工程设计阶段：</w:t>
      </w:r>
      <w:bookmarkEnd w:id="19"/>
      <w:bookmarkEnd w:id="20"/>
      <w:r>
        <w:rPr>
          <w:rFonts w:hint="eastAsia" w:ascii="宋体" w:hAnsi="宋体" w:cs="宋体"/>
          <w:color w:val="auto"/>
          <w:sz w:val="24"/>
          <w:highlight w:val="none"/>
          <w:u w:val="single"/>
          <w:lang w:val="en-US" w:eastAsia="zh-CN"/>
        </w:rPr>
        <w:t>包括方案设计、施工图设计和施工配合三个阶段的相关服务（包括但不限于以下服务：各阶段设计调整修改深化，配合各类政府审批及专家审查论证，专业设计人员提供设计技术交底，解决施工中的设计技术问题，设计变更调整深化，参加竣工验收，配合审计等；提供相关的技术规范和技术要求。）。</w:t>
      </w:r>
    </w:p>
    <w:p w14:paraId="0E0C3D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3.2</w:t>
      </w:r>
      <w:r>
        <w:rPr>
          <w:rFonts w:hint="eastAsia" w:ascii="宋体" w:hAnsi="宋体" w:cs="宋体"/>
          <w:color w:val="auto"/>
          <w:sz w:val="24"/>
          <w:highlight w:val="none"/>
        </w:rPr>
        <w:t>工程设计服务内容：</w:t>
      </w:r>
    </w:p>
    <w:p w14:paraId="07CE1A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1、负责项目的详细规划设计（总图规划方案）；</w:t>
      </w:r>
    </w:p>
    <w:p w14:paraId="642805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2、规划方案设计，包含建筑、结构、设备基础、给排水、供配电、通风及空调、消防等内容；</w:t>
      </w:r>
    </w:p>
    <w:p w14:paraId="4DD9F7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3、施工图设计，各单体建筑物的建筑、结构、给排水、供配电、通风及空调、消防、智能化、工艺、专业工程的深化设计等设计文件。</w:t>
      </w:r>
    </w:p>
    <w:p w14:paraId="00CD15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4、厂区内的监控系统等；</w:t>
      </w:r>
    </w:p>
    <w:p w14:paraId="4A6C21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5、负责项目的综合管线平衡设计和协助建设单位办理规划报批；</w:t>
      </w:r>
    </w:p>
    <w:p w14:paraId="1BBC84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6、负责规划用地红线范围内新建的单体方案设计、该项目中所有生产、辅助、生活和公用动力用房的土建、公用工程设计、以及与上述工程相配套的给排水、空调通风、动力、电气、电控、消防设施设计等的方案设计、施工图设计等；</w:t>
      </w:r>
    </w:p>
    <w:p w14:paraId="0D91FF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7、负责协助建设单位办理各专业报建手续；</w:t>
      </w:r>
    </w:p>
    <w:p w14:paraId="2D012B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8、负责与规划部门及需求部门进行需求对接，满足需求功能，并在施工过程中根据建设单位需求进行施工指导及设计建议。</w:t>
      </w:r>
    </w:p>
    <w:p w14:paraId="17073C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9、协助建设单位做好设计项目的技术咨询服务，方案报建、施工图备案、规划许可阶段的报建手续及相关工作。</w:t>
      </w:r>
    </w:p>
    <w:p w14:paraId="1A26C8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10、与本项目相关的零星变更工程，积极配合建设单位完成电子版图纸。</w:t>
      </w:r>
    </w:p>
    <w:p w14:paraId="2D2C4D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11、现场如需技术协助，设计单位应尽快答疑或现场解决，对现场施工及报建事宜进行支持。</w:t>
      </w:r>
    </w:p>
    <w:p w14:paraId="74F2A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u w:val="single"/>
          <w:lang w:val="en-US" w:eastAsia="zh-CN"/>
        </w:rPr>
      </w:pPr>
      <w:r>
        <w:rPr>
          <w:rFonts w:hint="eastAsia" w:ascii="宋体" w:hAnsi="宋体" w:cs="宋体"/>
          <w:color w:val="auto"/>
          <w:sz w:val="24"/>
          <w:highlight w:val="none"/>
          <w:u w:val="single"/>
          <w:lang w:val="en-US" w:eastAsia="zh-CN"/>
        </w:rPr>
        <w:t>12、后期服务，包含设计交底、施工配合、设计修改、设计变更、项目验收等；</w:t>
      </w:r>
    </w:p>
    <w:p w14:paraId="4CCA47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u w:val="single"/>
          <w:lang w:val="en-US" w:eastAsia="zh-CN"/>
        </w:rPr>
        <w:t>13、以及国家规定的相关服务工作内容。</w:t>
      </w:r>
    </w:p>
    <w:p w14:paraId="519E5F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第四条 服务费用及付款比例</w:t>
      </w:r>
    </w:p>
    <w:p w14:paraId="0DF6CE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highlight w:val="none"/>
        </w:rPr>
      </w:pPr>
      <w:r>
        <w:rPr>
          <w:rFonts w:ascii="宋体" w:hAnsi="宋体" w:cs="宋体"/>
          <w:b w:val="0"/>
          <w:bCs w:val="0"/>
          <w:color w:val="auto"/>
          <w:sz w:val="24"/>
          <w:highlight w:val="none"/>
        </w:rPr>
        <w:t>4</w:t>
      </w:r>
      <w:r>
        <w:rPr>
          <w:rFonts w:hint="eastAsia" w:ascii="宋体" w:hAnsi="宋体" w:cs="宋体"/>
          <w:b w:val="0"/>
          <w:bCs w:val="0"/>
          <w:color w:val="auto"/>
          <w:sz w:val="24"/>
          <w:highlight w:val="none"/>
        </w:rPr>
        <w:t>.1合同价款：</w:t>
      </w:r>
    </w:p>
    <w:p w14:paraId="64286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highlight w:val="none"/>
        </w:rPr>
        <w:t>本合同为</w:t>
      </w:r>
      <w:bookmarkStart w:id="21" w:name="_Hlk199262997"/>
      <w:r>
        <w:rPr>
          <w:rFonts w:hint="eastAsia" w:ascii="宋体" w:hAnsi="宋体" w:cs="宋体"/>
          <w:color w:val="auto"/>
          <w:sz w:val="24"/>
          <w:highlight w:val="none"/>
          <w:u w:val="single"/>
        </w:rPr>
        <w:t>固定</w:t>
      </w:r>
      <w:r>
        <w:rPr>
          <w:rFonts w:hint="eastAsia" w:ascii="宋体" w:hAnsi="宋体" w:cs="宋体"/>
          <w:color w:val="auto"/>
          <w:sz w:val="24"/>
          <w:highlight w:val="none"/>
          <w:u w:val="single"/>
          <w:lang w:val="en-US" w:eastAsia="zh-CN"/>
        </w:rPr>
        <w:t>总价</w:t>
      </w:r>
      <w:r>
        <w:rPr>
          <w:rFonts w:hint="eastAsia" w:ascii="宋体" w:hAnsi="宋体" w:cs="宋体"/>
          <w:color w:val="auto"/>
          <w:sz w:val="24"/>
          <w:highlight w:val="none"/>
          <w:u w:val="single"/>
        </w:rPr>
        <w:t>合同</w:t>
      </w:r>
      <w:bookmarkEnd w:id="21"/>
      <w:r>
        <w:rPr>
          <w:rFonts w:hint="eastAsia" w:ascii="宋体" w:hAnsi="宋体" w:cs="宋体"/>
          <w:color w:val="auto"/>
          <w:sz w:val="24"/>
          <w:highlight w:val="none"/>
        </w:rPr>
        <w:t>，合同金额为</w:t>
      </w: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含税</w:t>
      </w:r>
      <w:r>
        <w:rPr>
          <w:rFonts w:hint="eastAsia" w:ascii="宋体" w:hAnsi="宋体" w:eastAsia="宋体" w:cs="宋体"/>
          <w:color w:val="auto"/>
          <w:sz w:val="24"/>
          <w:szCs w:val="24"/>
          <w:highlight w:val="none"/>
        </w:rPr>
        <w:t>）。</w:t>
      </w:r>
    </w:p>
    <w:p w14:paraId="34A647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本合同总价包括但不限于完成本项目所有工作所需的人工费、材料费、设备费、办公费、交通费、差旅费、资料费、成果制作费、管理费、税金、利润及附带服务等所有费用。</w:t>
      </w:r>
    </w:p>
    <w:p w14:paraId="2406F2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.2</w:t>
      </w:r>
      <w:r>
        <w:rPr>
          <w:rFonts w:hint="eastAsia" w:ascii="宋体" w:hAnsi="宋体" w:cs="宋体"/>
          <w:color w:val="auto"/>
          <w:sz w:val="24"/>
          <w:highlight w:val="none"/>
          <w:lang w:val="en-US" w:eastAsia="zh-CN"/>
        </w:rPr>
        <w:t>付款方式</w:t>
      </w:r>
      <w:r>
        <w:rPr>
          <w:rFonts w:hint="eastAsia" w:ascii="宋体" w:hAnsi="宋体" w:cs="宋体"/>
          <w:color w:val="auto"/>
          <w:sz w:val="24"/>
          <w:highlight w:val="none"/>
        </w:rPr>
        <w:t>：</w:t>
      </w:r>
    </w:p>
    <w:p w14:paraId="35C0FF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eastAsia="zh-CN"/>
        </w:rPr>
        <w:t>方案设计成果审查合格后5个工作日内付至合同总金额的30%，施工图设计成果审查合格后5个工作日内付至合同总金额的80%，工程主体验收后5个工作日内付至合同总金额的95%，余款于工程竣工验收合格后5个工作日内一次性无息付清。乙方应于甲方付款前提供合格的增值税发票，否则甲方有权顺延付款，且不承担任何违约责任，直至乙方按要求提供符合规定的发票为止。因乙方发票提供不及时造成的一切损失由乙方自行承担。</w:t>
      </w:r>
    </w:p>
    <w:p w14:paraId="09BE4B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第五条 项目进度及成果要求</w:t>
      </w:r>
    </w:p>
    <w:p w14:paraId="09836B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ascii="宋体" w:hAnsi="宋体" w:eastAsia="宋体" w:cs="宋体"/>
          <w:color w:val="auto"/>
          <w:sz w:val="24"/>
          <w:highlight w:val="none"/>
        </w:rPr>
        <w:t>5</w:t>
      </w:r>
      <w:r>
        <w:rPr>
          <w:rFonts w:hint="eastAsia" w:ascii="宋体" w:hAnsi="宋体" w:eastAsia="宋体" w:cs="宋体"/>
          <w:color w:val="auto"/>
          <w:sz w:val="24"/>
          <w:highlight w:val="none"/>
        </w:rPr>
        <w:t>.1服务期：</w:t>
      </w:r>
    </w:p>
    <w:p w14:paraId="7E0A39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自合同签订生效之日起至</w:t>
      </w:r>
      <w:r>
        <w:rPr>
          <w:rFonts w:hint="eastAsia" w:ascii="宋体" w:hAnsi="宋体" w:cs="宋体"/>
          <w:color w:val="auto"/>
          <w:sz w:val="24"/>
          <w:highlight w:val="none"/>
          <w:lang w:eastAsia="zh-CN"/>
        </w:rPr>
        <w:t>威海市国家粮食储备库有限公司高标准粮仓建设项目</w:t>
      </w:r>
      <w:r>
        <w:rPr>
          <w:rFonts w:hint="eastAsia" w:ascii="宋体" w:hAnsi="宋体" w:eastAsia="宋体" w:cs="宋体"/>
          <w:color w:val="auto"/>
          <w:sz w:val="24"/>
          <w:highlight w:val="none"/>
        </w:rPr>
        <w:t>竣工验收</w:t>
      </w:r>
      <w:r>
        <w:rPr>
          <w:rFonts w:hint="eastAsia" w:ascii="宋体" w:hAnsi="宋体" w:eastAsia="宋体" w:cs="宋体"/>
          <w:color w:val="auto"/>
          <w:sz w:val="24"/>
          <w:highlight w:val="none"/>
          <w:lang w:val="en-US" w:eastAsia="zh-CN"/>
        </w:rPr>
        <w:t>合格</w:t>
      </w:r>
      <w:r>
        <w:rPr>
          <w:rFonts w:hint="eastAsia" w:ascii="宋体" w:hAnsi="宋体" w:eastAsia="宋体" w:cs="宋体"/>
          <w:color w:val="auto"/>
          <w:sz w:val="24"/>
          <w:highlight w:val="none"/>
        </w:rPr>
        <w:t>之日止</w:t>
      </w:r>
      <w:r>
        <w:rPr>
          <w:rFonts w:hint="eastAsia" w:ascii="宋体" w:hAnsi="宋体" w:eastAsia="宋体" w:cs="宋体"/>
          <w:color w:val="auto"/>
          <w:sz w:val="24"/>
          <w:highlight w:val="none"/>
          <w:lang w:eastAsia="zh-CN"/>
        </w:rPr>
        <w:t>。</w:t>
      </w:r>
    </w:p>
    <w:p w14:paraId="4BAA26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5.2设计周期：</w:t>
      </w:r>
    </w:p>
    <w:p w14:paraId="20FDE3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cs="宋体"/>
          <w:kern w:val="0"/>
          <w:sz w:val="24"/>
          <w:highlight w:val="none"/>
          <w:lang w:val="en-US" w:eastAsia="zh-CN"/>
        </w:rPr>
        <w:t>合同签订生效后</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lang w:val="en-US" w:eastAsia="zh-CN"/>
        </w:rPr>
        <w:t>日历天内完成方案设计成果，方案设计批复后</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lang w:val="en-US" w:eastAsia="zh-CN"/>
        </w:rPr>
        <w:t>日历天内完成施工图设计成果。</w:t>
      </w:r>
    </w:p>
    <w:p w14:paraId="3D2B29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ascii="宋体" w:hAnsi="宋体" w:eastAsia="宋体" w:cs="宋体"/>
          <w:color w:val="auto"/>
          <w:sz w:val="24"/>
          <w:highlight w:val="none"/>
        </w:rPr>
        <w:t>5</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成果要求：</w:t>
      </w:r>
    </w:p>
    <w:p w14:paraId="675A32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符合现行国家、地方及行业相关设计规范要求并满足</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要求</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通过有关部门的审查、设计成果不得侵犯知识产权</w:t>
      </w:r>
      <w:r>
        <w:rPr>
          <w:rFonts w:hint="eastAsia" w:ascii="宋体" w:hAnsi="宋体" w:eastAsia="宋体" w:cs="宋体"/>
          <w:color w:val="auto"/>
          <w:sz w:val="24"/>
          <w:highlight w:val="none"/>
          <w:lang w:eastAsia="zh-CN"/>
        </w:rPr>
        <w:t>。</w:t>
      </w:r>
    </w:p>
    <w:p w14:paraId="0C8997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5.4提供设计成果包括方案设计文件、经主管部门审查通过的施工图设计文件及电子版相关图纸资料等一切相关技术服务成果文件。乙方向甲方提交纸质设计成果文件不少于8份。</w:t>
      </w:r>
    </w:p>
    <w:p w14:paraId="51CF371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第六条 双方的权利及义务</w:t>
      </w:r>
    </w:p>
    <w:p w14:paraId="3EDDCF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（一）甲方的权利及义务</w:t>
      </w:r>
    </w:p>
    <w:p w14:paraId="3329C9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.1甲方有义务向乙方提供</w:t>
      </w:r>
      <w:r>
        <w:rPr>
          <w:rFonts w:hint="eastAsia" w:ascii="宋体" w:hAnsi="宋体" w:cs="宋体"/>
          <w:color w:val="auto"/>
          <w:sz w:val="24"/>
          <w:highlight w:val="none"/>
          <w:lang w:eastAsia="zh-CN"/>
        </w:rPr>
        <w:t>方案设计</w:t>
      </w:r>
      <w:r>
        <w:rPr>
          <w:rFonts w:hint="eastAsia" w:ascii="宋体" w:hAnsi="宋体" w:cs="宋体"/>
          <w:color w:val="auto"/>
          <w:sz w:val="24"/>
          <w:highlight w:val="none"/>
        </w:rPr>
        <w:t>、施工图设计所需的相关基础资料，这些资料经确认后由甲方向乙方提供，甲方须对所提供资料的完整性、正确性、时效性负责。</w:t>
      </w:r>
    </w:p>
    <w:p w14:paraId="04F219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2在乙方完成相应设计成果并经甲方验收合格，且甲方付清本合同约定的全部合同价款后，除依法不得转让的权利外，乙方方案设计、施工图设计成果及其他服务成果的所有权和可转让、可许可使用的全部权利归甲方所有。</w:t>
      </w:r>
    </w:p>
    <w:p w14:paraId="59E1CC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甲方有权自行或授权第三方永久、完整、不得将可撤销地使用、复制、修改、编辑、转让或许可使用前述成果，乙方不得以任何理由限制。乙方仅享有依法享有的设计署名权，并可为履行本合同之目的使用相关成果；未经甲方书面同意，乙方不得自行使用、复制、披露、转让、许可第三方使用前述成果，或将其用于其他项目。</w:t>
      </w:r>
    </w:p>
    <w:p w14:paraId="3BB45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.3甲方应根据本合同约定按期向乙方支付费用。甲方应承担因不能按合同规定支付费用而造成乙方</w:t>
      </w:r>
      <w:r>
        <w:rPr>
          <w:rFonts w:hint="eastAsia" w:ascii="宋体" w:hAnsi="宋体" w:cs="宋体"/>
          <w:color w:val="auto"/>
          <w:sz w:val="24"/>
          <w:highlight w:val="none"/>
          <w:lang w:val="en-US" w:eastAsia="zh-CN"/>
        </w:rPr>
        <w:t>设计周期</w:t>
      </w:r>
      <w:r>
        <w:rPr>
          <w:rFonts w:hint="eastAsia" w:ascii="宋体" w:hAnsi="宋体" w:cs="宋体"/>
          <w:color w:val="auto"/>
          <w:sz w:val="24"/>
          <w:highlight w:val="none"/>
        </w:rPr>
        <w:t>延误的责任。</w:t>
      </w:r>
    </w:p>
    <w:p w14:paraId="53D89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（二）乙方的权利及义务</w:t>
      </w:r>
    </w:p>
    <w:p w14:paraId="2B1992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.4乙方应按照本合同规定的内容、进度、份数向甲方提交相应阶段的成果，对提交的工作成果的科学性、有效性、实用性负责。</w:t>
      </w:r>
    </w:p>
    <w:p w14:paraId="3B3758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5乙方完成的方案设计、施工图设计成果及其他服务成果，在甲方付清本合同约定的全部合同价款后，除依法不得转让的权利外，其所有权及可转让、可许可使用的全部权利归甲方独家所有。乙方不得保留与甲方权利相冲突的所有权、独家许可权或任意使用权，不得擅自披露、复制、转让、许可第三方使用或将成果用于其他项目；未经甲方书面同意，乙方仅可为履行本合同之目的使用相关成果。</w:t>
      </w:r>
    </w:p>
    <w:p w14:paraId="205003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.6乙方有义务对</w:t>
      </w:r>
      <w:r>
        <w:rPr>
          <w:rFonts w:hint="eastAsia" w:ascii="宋体" w:hAnsi="宋体" w:cs="宋体"/>
          <w:color w:val="auto"/>
          <w:sz w:val="24"/>
          <w:highlight w:val="none"/>
          <w:lang w:eastAsia="zh-CN"/>
        </w:rPr>
        <w:t>方案设计</w:t>
      </w:r>
      <w:r>
        <w:rPr>
          <w:rFonts w:hint="eastAsia" w:ascii="宋体" w:hAnsi="宋体" w:cs="宋体"/>
          <w:color w:val="auto"/>
          <w:sz w:val="24"/>
          <w:highlight w:val="none"/>
        </w:rPr>
        <w:t>、施工图设计成果进行解释说明，根据成果的阶段性，向甲方及甲方组织的论证团队、审查团队进行解释说明。</w:t>
      </w:r>
    </w:p>
    <w:p w14:paraId="434683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.7乙方拥有知识产权的署名权利。</w:t>
      </w:r>
    </w:p>
    <w:p w14:paraId="6477E7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.8乙方有权要求甲方按照合同约定付款时间支付服务费用，因甲方</w:t>
      </w:r>
      <w:r>
        <w:rPr>
          <w:rFonts w:hint="eastAsia" w:ascii="宋体" w:hAnsi="宋体" w:cs="宋体"/>
          <w:color w:val="auto"/>
          <w:sz w:val="24"/>
          <w:highlight w:val="none"/>
          <w:lang w:val="en-US" w:eastAsia="zh-CN"/>
        </w:rPr>
        <w:t>无正当理由</w:t>
      </w:r>
      <w:r>
        <w:rPr>
          <w:rFonts w:hint="eastAsia" w:ascii="宋体" w:hAnsi="宋体" w:cs="宋体"/>
          <w:color w:val="auto"/>
          <w:sz w:val="24"/>
          <w:highlight w:val="none"/>
        </w:rPr>
        <w:t>迟延付款等原因，乙方有权暂停或延缓工作推进进度，并按相应设计节点延后。</w:t>
      </w:r>
    </w:p>
    <w:p w14:paraId="1B32B3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9乙方应保护甲方的知识产权及因履行本合同而获知的甲方商业秘密或其它秘密信息，不得向第三人泄露、转让甲方提交的图纸以及本项目设计成果等技术经济资料，不得以任何方式向第三方泄露、透露、转让甲方的商业秘密或其他秘密信息。</w:t>
      </w:r>
    </w:p>
    <w:p w14:paraId="224FCE7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第七条 双方责任</w:t>
      </w:r>
    </w:p>
    <w:p w14:paraId="5C84A1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.1甲方责任</w:t>
      </w:r>
    </w:p>
    <w:p w14:paraId="106051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.1.1甲方按本合同第三条规定的内容</w:t>
      </w:r>
      <w:r>
        <w:rPr>
          <w:rFonts w:hint="eastAsia" w:ascii="宋体" w:hAnsi="宋体" w:cs="宋体"/>
          <w:color w:val="auto"/>
          <w:sz w:val="24"/>
          <w:highlight w:val="none"/>
          <w:lang w:eastAsia="zh-CN"/>
        </w:rPr>
        <w:t>，</w:t>
      </w:r>
      <w:r>
        <w:rPr>
          <w:rFonts w:hint="eastAsia" w:ascii="宋体" w:hAnsi="宋体" w:cs="宋体"/>
          <w:color w:val="auto"/>
          <w:sz w:val="24"/>
          <w:highlight w:val="none"/>
        </w:rPr>
        <w:t>在规定的时间内向</w:t>
      </w:r>
      <w:bookmarkStart w:id="22" w:name="_Hlk199263658"/>
      <w:r>
        <w:rPr>
          <w:rFonts w:hint="eastAsia" w:ascii="宋体" w:hAnsi="宋体" w:cs="宋体"/>
          <w:color w:val="auto"/>
          <w:sz w:val="24"/>
          <w:highlight w:val="none"/>
        </w:rPr>
        <w:t>乙方</w:t>
      </w:r>
      <w:bookmarkEnd w:id="22"/>
      <w:r>
        <w:rPr>
          <w:rFonts w:hint="eastAsia" w:ascii="宋体" w:hAnsi="宋体" w:cs="宋体"/>
          <w:color w:val="auto"/>
          <w:sz w:val="24"/>
          <w:highlight w:val="none"/>
        </w:rPr>
        <w:t>提交资料及文件</w:t>
      </w:r>
      <w:r>
        <w:rPr>
          <w:rFonts w:hint="eastAsia" w:ascii="宋体" w:hAnsi="宋体" w:cs="宋体"/>
          <w:color w:val="auto"/>
          <w:sz w:val="24"/>
          <w:highlight w:val="none"/>
          <w:lang w:eastAsia="zh-CN"/>
        </w:rPr>
        <w:t>，</w:t>
      </w:r>
      <w:r>
        <w:rPr>
          <w:rFonts w:hint="eastAsia" w:ascii="宋体" w:hAnsi="宋体" w:cs="宋体"/>
          <w:color w:val="auto"/>
          <w:sz w:val="24"/>
          <w:highlight w:val="none"/>
        </w:rPr>
        <w:t>并对其完整性、正确性及时限性负责。甲方不得要求乙方违反国家有关标准进行设计。</w:t>
      </w:r>
    </w:p>
    <w:p w14:paraId="21C9E8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1.2甲方有权在本项目范围内，自行或授权第三方使用、复制、修改、编辑、转让或许可使用乙方交付的方案、文件、资料、图纸、数据、计算软件和及本项目设计成果，乙方不得以任何理由限制或拒绝。乙方对其依法享有权利的既有技术、软件、专利技术等基础成果，应确保甲方及授权第三方在使用本项目设计资成果时不受第三方权利主张，并不得据此限制甲方对本合同外的项目设计成果的使用。</w:t>
      </w:r>
    </w:p>
    <w:p w14:paraId="435CEF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.2乙方责任</w:t>
      </w:r>
    </w:p>
    <w:p w14:paraId="31182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.2.1乙方应严格按现行的国家、省、市、行业等各项技术规范、标准、规程及甲方提出的设计要求进行设计，按合同规定的进度要求提交满足</w:t>
      </w:r>
      <w:r>
        <w:rPr>
          <w:rFonts w:ascii="宋体" w:hAnsi="宋体" w:cs="宋体"/>
          <w:color w:val="auto"/>
          <w:sz w:val="24"/>
          <w:highlight w:val="none"/>
        </w:rPr>
        <w:t>5.</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条约定的设计资料，并对其负责。</w:t>
      </w:r>
    </w:p>
    <w:p w14:paraId="7D4DFF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.2.2乙方需按照合同规定的服务范围，做好设计本职工作，做好与其他专业单位的协调衔接工作。</w:t>
      </w:r>
    </w:p>
    <w:p w14:paraId="770AB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.2.3乙方项目负责人：</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。项目负责人需做好与甲方及其他相关单位的协调配合工作，并根据甲方的要求和项目进展情况进行技术服务。</w:t>
      </w:r>
    </w:p>
    <w:p w14:paraId="096A1E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.2.4乙方按本合同规定的内容、进度及份数向甲方交付资料及文件，若甲方要求另行增加成果文件份数时，乙方不再单独收费。</w:t>
      </w:r>
    </w:p>
    <w:p w14:paraId="6438EE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w:t>
      </w:r>
      <w:r>
        <w:rPr>
          <w:rFonts w:ascii="宋体" w:hAnsi="宋体" w:cs="宋体"/>
          <w:color w:val="auto"/>
          <w:sz w:val="24"/>
          <w:highlight w:val="none"/>
        </w:rPr>
        <w:t>5</w:t>
      </w:r>
      <w:r>
        <w:rPr>
          <w:rFonts w:hint="eastAsia" w:ascii="宋体" w:hAnsi="宋体" w:cs="宋体"/>
          <w:color w:val="auto"/>
          <w:sz w:val="24"/>
          <w:highlight w:val="none"/>
        </w:rPr>
        <w:t>若由于乙方原因导致设计未能满足有关规范、规定、甲方或者相关政府部门要求的，乙方有义务按相关规范、规定要求进行无偿修改，直至满足甲方要求及相关规范规定。</w:t>
      </w:r>
      <w:r>
        <w:rPr>
          <w:rFonts w:hint="eastAsia" w:ascii="宋体" w:hAnsi="宋体" w:cs="宋体"/>
          <w:color w:val="auto"/>
          <w:sz w:val="24"/>
          <w:highlight w:val="none"/>
          <w:lang w:val="en-US" w:eastAsia="zh-CN"/>
        </w:rPr>
        <w:t>否则，</w:t>
      </w:r>
      <w:r>
        <w:rPr>
          <w:rFonts w:hint="eastAsia" w:ascii="宋体" w:hAnsi="宋体" w:cs="宋体"/>
          <w:color w:val="auto"/>
          <w:sz w:val="24"/>
          <w:highlight w:val="none"/>
        </w:rPr>
        <w:t>甲方有权终止合同。</w:t>
      </w:r>
    </w:p>
    <w:p w14:paraId="08E6DA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w:t>
      </w:r>
      <w:r>
        <w:rPr>
          <w:rFonts w:ascii="宋体" w:hAnsi="宋体" w:cs="宋体"/>
          <w:color w:val="auto"/>
          <w:sz w:val="24"/>
          <w:highlight w:val="none"/>
        </w:rPr>
        <w:t>6</w:t>
      </w:r>
      <w:r>
        <w:rPr>
          <w:rFonts w:hint="eastAsia" w:ascii="宋体" w:hAnsi="宋体" w:cs="宋体"/>
          <w:color w:val="auto"/>
          <w:sz w:val="24"/>
          <w:highlight w:val="none"/>
        </w:rPr>
        <w:t>乙方应保护甲方的知识产权，不得向第三人泄露、转让甲方提交的各类资料。如发生以上情况并给甲方造成经济损失，甲方有权向乙方索赔。</w:t>
      </w:r>
    </w:p>
    <w:p w14:paraId="427157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w:t>
      </w:r>
      <w:r>
        <w:rPr>
          <w:rFonts w:ascii="宋体" w:hAnsi="宋体" w:cs="宋体"/>
          <w:color w:val="auto"/>
          <w:sz w:val="24"/>
          <w:highlight w:val="none"/>
        </w:rPr>
        <w:t>7</w:t>
      </w:r>
      <w:r>
        <w:rPr>
          <w:rFonts w:hint="eastAsia" w:ascii="宋体" w:hAnsi="宋体" w:cs="宋体"/>
          <w:color w:val="auto"/>
          <w:sz w:val="24"/>
          <w:highlight w:val="none"/>
        </w:rPr>
        <w:t>乙方应确保所提交的成果资料未涉嫌抄袭或剽窃任何第三方作品，否则相关法律责任及赔偿全部由乙方承担，同时乙方需赔偿甲方因此受到的实际损失。</w:t>
      </w:r>
    </w:p>
    <w:p w14:paraId="322238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w:t>
      </w:r>
      <w:r>
        <w:rPr>
          <w:rFonts w:ascii="宋体" w:hAnsi="宋体" w:cs="宋体"/>
          <w:color w:val="auto"/>
          <w:sz w:val="24"/>
          <w:highlight w:val="none"/>
        </w:rPr>
        <w:t>8</w:t>
      </w:r>
      <w:r>
        <w:rPr>
          <w:rFonts w:hint="eastAsia" w:ascii="宋体" w:hAnsi="宋体" w:cs="宋体"/>
          <w:color w:val="auto"/>
          <w:sz w:val="24"/>
          <w:highlight w:val="none"/>
        </w:rPr>
        <w:t>经查实乙方在服务过程中有泄露甲方商业秘密、私自转让设计成果等违背职业道德的</w:t>
      </w:r>
      <w:r>
        <w:rPr>
          <w:rFonts w:hint="eastAsia" w:ascii="宋体" w:hAnsi="宋体" w:cs="宋体"/>
          <w:color w:val="auto"/>
          <w:sz w:val="24"/>
          <w:highlight w:val="none"/>
          <w:lang w:val="en-US" w:eastAsia="zh-CN"/>
        </w:rPr>
        <w:t>情形</w:t>
      </w:r>
      <w:r>
        <w:rPr>
          <w:rFonts w:hint="eastAsia" w:ascii="宋体" w:hAnsi="宋体" w:cs="宋体"/>
          <w:color w:val="auto"/>
          <w:sz w:val="24"/>
          <w:highlight w:val="none"/>
        </w:rPr>
        <w:t>，乙方</w:t>
      </w:r>
      <w:r>
        <w:rPr>
          <w:rFonts w:hint="eastAsia" w:ascii="宋体" w:hAnsi="宋体" w:cs="宋体"/>
          <w:color w:val="auto"/>
          <w:sz w:val="24"/>
          <w:highlight w:val="none"/>
          <w:lang w:val="en-US" w:eastAsia="zh-CN"/>
        </w:rPr>
        <w:t>应按</w:t>
      </w:r>
      <w:r>
        <w:rPr>
          <w:rFonts w:hint="eastAsia" w:ascii="宋体" w:hAnsi="宋体" w:cs="宋体"/>
          <w:color w:val="auto"/>
          <w:sz w:val="24"/>
          <w:highlight w:val="none"/>
        </w:rPr>
        <w:t>合同总额10%</w:t>
      </w:r>
      <w:r>
        <w:rPr>
          <w:rFonts w:hint="eastAsia" w:ascii="宋体" w:hAnsi="宋体" w:cs="宋体"/>
          <w:color w:val="auto"/>
          <w:sz w:val="24"/>
          <w:highlight w:val="none"/>
          <w:lang w:val="en-US" w:eastAsia="zh-CN"/>
        </w:rPr>
        <w:t>向甲方支付违约金</w:t>
      </w:r>
      <w:r>
        <w:rPr>
          <w:rFonts w:hint="eastAsia" w:ascii="宋体" w:hAnsi="宋体" w:cs="宋体"/>
          <w:color w:val="auto"/>
          <w:sz w:val="24"/>
          <w:highlight w:val="none"/>
        </w:rPr>
        <w:t>，情节严重的，甲方有权解除合同，乙方承担甲方的一切损失。</w:t>
      </w:r>
    </w:p>
    <w:p w14:paraId="199A31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w:t>
      </w:r>
      <w:r>
        <w:rPr>
          <w:rFonts w:ascii="宋体" w:hAnsi="宋体" w:cs="宋体"/>
          <w:color w:val="auto"/>
          <w:sz w:val="24"/>
          <w:highlight w:val="none"/>
        </w:rPr>
        <w:t>9</w:t>
      </w:r>
      <w:r>
        <w:rPr>
          <w:rFonts w:hint="eastAsia" w:ascii="宋体" w:hAnsi="宋体" w:cs="宋体"/>
          <w:color w:val="auto"/>
          <w:sz w:val="24"/>
          <w:highlight w:val="none"/>
        </w:rPr>
        <w:t>未经甲方书面同意，乙方不得将本合同赋予乙方的责任（包括主要工作和辅助工作在内的全部服务工作）转让给第三方，或由第三方承继。</w:t>
      </w:r>
    </w:p>
    <w:p w14:paraId="389A12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.2.1</w:t>
      </w:r>
      <w:r>
        <w:rPr>
          <w:rFonts w:ascii="宋体" w:hAnsi="宋体" w:cs="宋体"/>
          <w:color w:val="auto"/>
          <w:sz w:val="24"/>
          <w:highlight w:val="none"/>
        </w:rPr>
        <w:t>0</w:t>
      </w:r>
      <w:r>
        <w:rPr>
          <w:rFonts w:hint="eastAsia" w:ascii="宋体" w:hAnsi="宋体" w:cs="宋体"/>
          <w:color w:val="auto"/>
          <w:sz w:val="24"/>
          <w:highlight w:val="none"/>
        </w:rPr>
        <w:t>除不可抗力外，非甲方原因导致本合同约定的实际进度明显落后于计划进度时，乙方有义务、甲方也有权利要求乙方立即采取措施赶上计划进度，严格按照本合同的约定提交成果。</w:t>
      </w:r>
    </w:p>
    <w:p w14:paraId="567B5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.2.1</w:t>
      </w:r>
      <w:r>
        <w:rPr>
          <w:rFonts w:ascii="宋体" w:hAnsi="宋体" w:cs="宋体"/>
          <w:color w:val="auto"/>
          <w:sz w:val="24"/>
          <w:highlight w:val="none"/>
        </w:rPr>
        <w:t>1</w:t>
      </w:r>
      <w:r>
        <w:rPr>
          <w:rFonts w:hint="eastAsia" w:ascii="宋体" w:hAnsi="宋体" w:cs="宋体"/>
          <w:color w:val="auto"/>
          <w:sz w:val="24"/>
          <w:highlight w:val="none"/>
        </w:rPr>
        <w:t>除本合同约定的技术服务费外，乙方不得以任何方式、任何理由向甲方主张其他任何费用，也不得以此为由拒绝履行本合同约定的义务，否则应当承担违约责任。</w:t>
      </w:r>
    </w:p>
    <w:p w14:paraId="03BB2E2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第八条 违约责任</w:t>
      </w:r>
    </w:p>
    <w:p w14:paraId="3B7227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1在合同履行期间，甲方有权要求终止或解除合同。解除或终止时乙方未开始服务工作的，甲方不支付服务费；已开始服务工作的，甲方应根据乙方已进行的实际工作量，不足一半时，按该阶段设计费的一半支付；超过一半时，按该阶段设计费的全部支付。</w:t>
      </w:r>
    </w:p>
    <w:p w14:paraId="7ABB69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.2乙方</w:t>
      </w:r>
      <w:r>
        <w:rPr>
          <w:rFonts w:ascii="宋体" w:hAnsi="宋体" w:cs="宋体"/>
          <w:color w:val="auto"/>
          <w:sz w:val="24"/>
          <w:highlight w:val="none"/>
        </w:rPr>
        <w:t>对设计资料及文件出现的遗漏或错误负责修改或补充。由于</w:t>
      </w:r>
      <w:r>
        <w:rPr>
          <w:rFonts w:hint="eastAsia" w:ascii="宋体" w:hAnsi="宋体" w:cs="宋体"/>
          <w:color w:val="auto"/>
          <w:sz w:val="24"/>
          <w:highlight w:val="none"/>
        </w:rPr>
        <w:t>乙方</w:t>
      </w:r>
      <w:r>
        <w:rPr>
          <w:rFonts w:hint="eastAsia" w:ascii="宋体" w:hAnsi="宋体" w:cs="宋体"/>
          <w:color w:val="auto"/>
          <w:sz w:val="24"/>
          <w:highlight w:val="none"/>
          <w:lang w:val="en-US" w:eastAsia="zh-CN"/>
        </w:rPr>
        <w:t>人</w:t>
      </w:r>
      <w:r>
        <w:rPr>
          <w:rFonts w:ascii="宋体" w:hAnsi="宋体" w:cs="宋体"/>
          <w:color w:val="auto"/>
          <w:sz w:val="24"/>
          <w:highlight w:val="none"/>
        </w:rPr>
        <w:t>员错误造成工程质量事故损失，</w:t>
      </w:r>
      <w:r>
        <w:rPr>
          <w:rFonts w:hint="eastAsia" w:ascii="宋体" w:hAnsi="宋体" w:cs="宋体"/>
          <w:color w:val="auto"/>
          <w:sz w:val="24"/>
          <w:highlight w:val="none"/>
          <w:lang w:eastAsia="zh-CN"/>
        </w:rPr>
        <w:t>乙方</w:t>
      </w:r>
      <w:r>
        <w:rPr>
          <w:rFonts w:ascii="宋体" w:hAnsi="宋体" w:cs="宋体"/>
          <w:color w:val="auto"/>
          <w:sz w:val="24"/>
          <w:highlight w:val="none"/>
        </w:rPr>
        <w:t>除负责采取补救措施外，应免收直接受损失部分的设计费。损失严重的根据损失的程度和设计责任大小向</w:t>
      </w:r>
      <w:r>
        <w:rPr>
          <w:rFonts w:hint="eastAsia" w:ascii="宋体" w:hAnsi="宋体" w:cs="宋体"/>
          <w:color w:val="auto"/>
          <w:sz w:val="24"/>
          <w:highlight w:val="none"/>
        </w:rPr>
        <w:t>甲方</w:t>
      </w:r>
      <w:r>
        <w:rPr>
          <w:rFonts w:ascii="宋体" w:hAnsi="宋体" w:cs="宋体"/>
          <w:color w:val="auto"/>
          <w:sz w:val="24"/>
          <w:highlight w:val="none"/>
        </w:rPr>
        <w:t>支付赔偿金，赔偿金为实际损失，但最高不超过设计费总额。</w:t>
      </w:r>
    </w:p>
    <w:p w14:paraId="07721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.3由于乙方自身原因，延误了按本合同第五条规定的成果资料及文件的交付时间，每延误一天，应减收该项目应收服务费的千分之一。逾期30天以上的，甲方有权解除合同。</w:t>
      </w:r>
    </w:p>
    <w:p w14:paraId="3852A7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.4未经甲方书面同意，乙方不得更换本合同约定的项目负责人。如乙方擅自更换，则甲方有权解除合同，乙方无权向甲方主张包括技术服务费在内的任何费用。</w:t>
      </w:r>
    </w:p>
    <w:p w14:paraId="3135D2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未经甲方书面同意，乙方不得以任何方式、任何理由（不可抗力除外）主张其他任何合同价款以外的费用或拒绝履行本合同约定的义务，否则甲方有权解除合同，若甲方未按照合同约定支付技术服务费，经乙方书面催告后15个工作日内仍未支付的，乙方有权要求解除合同，并有权要求甲方支付在合同签订前及之后阶段已经完成的工作量的成果补偿。</w:t>
      </w:r>
    </w:p>
    <w:p w14:paraId="5B89FC1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rPr>
        <w:t xml:space="preserve">第九条 </w:t>
      </w:r>
      <w:r>
        <w:rPr>
          <w:rFonts w:hint="eastAsia" w:ascii="宋体" w:hAnsi="宋体" w:cs="宋体"/>
          <w:b/>
          <w:bCs/>
          <w:color w:val="auto"/>
          <w:sz w:val="24"/>
          <w:highlight w:val="none"/>
          <w:lang w:val="en-US" w:eastAsia="zh-CN"/>
        </w:rPr>
        <w:t>其他</w:t>
      </w:r>
    </w:p>
    <w:p w14:paraId="4270E5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bCs/>
          <w:color w:val="auto"/>
          <w:sz w:val="24"/>
          <w:highlight w:val="none"/>
        </w:rPr>
      </w:pPr>
      <w:r>
        <w:rPr>
          <w:rFonts w:hint="eastAsia" w:ascii="宋体" w:hAnsi="宋体" w:cs="宋体"/>
          <w:color w:val="auto"/>
          <w:sz w:val="24"/>
          <w:highlight w:val="none"/>
          <w:lang w:val="en-US" w:eastAsia="zh-CN"/>
        </w:rPr>
        <w:t>9.1</w:t>
      </w:r>
      <w:r>
        <w:rPr>
          <w:rFonts w:hint="eastAsia" w:ascii="宋体" w:hAnsi="宋体" w:cs="宋体"/>
          <w:color w:val="auto"/>
          <w:sz w:val="24"/>
          <w:highlight w:val="none"/>
        </w:rPr>
        <w:t>由于不可抗力因素致使合同无法履行时，受到不可抗力的一方应于24小时内通知对方，并于七个工作日内出具官方证明文件。双方应及时协商解决。</w:t>
      </w:r>
    </w:p>
    <w:p w14:paraId="5D4443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.2本合同未尽事宜，双方可签订补充协议，与本合同具有同等法律效力。</w:t>
      </w:r>
    </w:p>
    <w:p w14:paraId="69EEE0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.3双方就本协议发生纠纷，应当先自行协商或者报上级主管部门协调解决；协商不成，双方当事人同意由工程所在地人民法院管辖。</w:t>
      </w:r>
    </w:p>
    <w:p w14:paraId="1D08BB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.4本合同生效后，如任何一方违约，守约方通过仲裁或者诉讼实现债权所产生的一切费用开支（包括但不限于律师费、仲裁费或诉讼费、保全费、鉴定费、差旅费等）均由违约方承担。</w:t>
      </w:r>
    </w:p>
    <w:p w14:paraId="180B1E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.5本合同经甲乙双方盖章后生效。</w:t>
      </w:r>
    </w:p>
    <w:p w14:paraId="4BC500BC">
      <w:pPr>
        <w:widowControl w:val="0"/>
        <w:spacing w:after="120"/>
        <w:jc w:val="both"/>
        <w:rPr>
          <w:rFonts w:hint="eastAsia" w:ascii="Times New Roman" w:hAnsi="Times New Roman" w:eastAsia="宋体" w:cs="Times New Roman"/>
          <w:kern w:val="2"/>
          <w:sz w:val="21"/>
          <w:szCs w:val="24"/>
          <w:highlight w:val="none"/>
          <w:lang w:val="en-US" w:eastAsia="zh-CN" w:bidi="ar-SA"/>
        </w:rPr>
      </w:pPr>
    </w:p>
    <w:tbl>
      <w:tblPr>
        <w:tblStyle w:val="3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04"/>
        <w:gridCol w:w="342"/>
        <w:gridCol w:w="4806"/>
      </w:tblGrid>
      <w:tr w14:paraId="28090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3" w:type="pct"/>
          </w:tcPr>
          <w:p w14:paraId="78BA1248">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 xml:space="preserve">甲方（盖章）： </w:t>
            </w:r>
          </w:p>
          <w:p w14:paraId="07E71E07">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p>
          <w:p w14:paraId="77656492">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p>
        </w:tc>
        <w:tc>
          <w:tcPr>
            <w:tcW w:w="172" w:type="pct"/>
          </w:tcPr>
          <w:p w14:paraId="180726F7">
            <w:pPr>
              <w:widowControl w:val="0"/>
              <w:spacing w:line="360" w:lineRule="auto"/>
              <w:jc w:val="both"/>
              <w:rPr>
                <w:rFonts w:hint="default"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 xml:space="preserve">  </w:t>
            </w:r>
          </w:p>
        </w:tc>
        <w:tc>
          <w:tcPr>
            <w:tcW w:w="2414" w:type="pct"/>
          </w:tcPr>
          <w:p w14:paraId="2BB0017F">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 xml:space="preserve">乙方（盖章）： </w:t>
            </w:r>
          </w:p>
        </w:tc>
      </w:tr>
      <w:tr w14:paraId="49C87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3" w:type="pct"/>
          </w:tcPr>
          <w:p w14:paraId="12F6E814">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法定代表人或授权代理人：</w:t>
            </w:r>
          </w:p>
          <w:p w14:paraId="61F33067">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（签字或盖章）</w:t>
            </w:r>
          </w:p>
        </w:tc>
        <w:tc>
          <w:tcPr>
            <w:tcW w:w="172" w:type="pct"/>
          </w:tcPr>
          <w:p w14:paraId="07668E59">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p>
        </w:tc>
        <w:tc>
          <w:tcPr>
            <w:tcW w:w="2414" w:type="pct"/>
          </w:tcPr>
          <w:p w14:paraId="7B204430">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法定代表人或授权代理人：</w:t>
            </w:r>
          </w:p>
          <w:p w14:paraId="7E0ADB81">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（签字或盖章）</w:t>
            </w:r>
          </w:p>
        </w:tc>
      </w:tr>
      <w:tr w14:paraId="5D9F7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3" w:type="pct"/>
          </w:tcPr>
          <w:p w14:paraId="15FB1FD4">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开户银行：</w:t>
            </w:r>
          </w:p>
        </w:tc>
        <w:tc>
          <w:tcPr>
            <w:tcW w:w="172" w:type="pct"/>
          </w:tcPr>
          <w:p w14:paraId="0C4B966B">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p>
        </w:tc>
        <w:tc>
          <w:tcPr>
            <w:tcW w:w="2414" w:type="pct"/>
            <w:vAlign w:val="top"/>
          </w:tcPr>
          <w:p w14:paraId="745AC650">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开户银行：</w:t>
            </w:r>
          </w:p>
        </w:tc>
      </w:tr>
      <w:tr w14:paraId="07165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3" w:type="pct"/>
          </w:tcPr>
          <w:p w14:paraId="60232517">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账号：</w:t>
            </w:r>
          </w:p>
        </w:tc>
        <w:tc>
          <w:tcPr>
            <w:tcW w:w="172" w:type="pct"/>
          </w:tcPr>
          <w:p w14:paraId="546EEE01">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p>
        </w:tc>
        <w:tc>
          <w:tcPr>
            <w:tcW w:w="2414" w:type="pct"/>
            <w:vAlign w:val="top"/>
          </w:tcPr>
          <w:p w14:paraId="2FD2B232">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账号：</w:t>
            </w:r>
          </w:p>
        </w:tc>
      </w:tr>
      <w:tr w14:paraId="349A2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3" w:type="pct"/>
          </w:tcPr>
          <w:p w14:paraId="60DA1711">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地址：</w:t>
            </w:r>
          </w:p>
        </w:tc>
        <w:tc>
          <w:tcPr>
            <w:tcW w:w="172" w:type="pct"/>
          </w:tcPr>
          <w:p w14:paraId="2B13DACA">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p>
        </w:tc>
        <w:tc>
          <w:tcPr>
            <w:tcW w:w="2414" w:type="pct"/>
            <w:vAlign w:val="top"/>
          </w:tcPr>
          <w:p w14:paraId="01DB12A7">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地址：</w:t>
            </w:r>
          </w:p>
        </w:tc>
      </w:tr>
      <w:tr w14:paraId="5484E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3" w:type="pct"/>
          </w:tcPr>
          <w:p w14:paraId="396F369D">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电话：</w:t>
            </w:r>
          </w:p>
        </w:tc>
        <w:tc>
          <w:tcPr>
            <w:tcW w:w="172" w:type="pct"/>
          </w:tcPr>
          <w:p w14:paraId="1E096C02">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p>
        </w:tc>
        <w:tc>
          <w:tcPr>
            <w:tcW w:w="2414" w:type="pct"/>
            <w:vAlign w:val="top"/>
          </w:tcPr>
          <w:p w14:paraId="5C77AA01">
            <w:pPr>
              <w:widowControl w:val="0"/>
              <w:spacing w:line="360" w:lineRule="auto"/>
              <w:jc w:val="both"/>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kern w:val="2"/>
                <w:sz w:val="24"/>
                <w:szCs w:val="24"/>
                <w:highlight w:val="none"/>
                <w:vertAlign w:val="baseline"/>
                <w:lang w:val="en-US" w:eastAsia="zh-CN" w:bidi="ar-SA"/>
              </w:rPr>
              <w:t>电话：</w:t>
            </w:r>
          </w:p>
        </w:tc>
      </w:tr>
    </w:tbl>
    <w:p w14:paraId="3539B189">
      <w:pPr>
        <w:rPr>
          <w:rFonts w:hint="eastAsia"/>
          <w:highlight w:val="none"/>
        </w:rPr>
      </w:pPr>
    </w:p>
    <w:sectPr>
      <w:headerReference r:id="rId19" w:type="default"/>
      <w:footerReference r:id="rId20" w:type="default"/>
      <w:pgSz w:w="11906" w:h="16838"/>
      <w:pgMar w:top="1440" w:right="1083" w:bottom="1440" w:left="1083"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auto"/>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_x000B__x000C_">
    <w:altName w:val="Times New Roman"/>
    <w:panose1 w:val="00000000000000000000"/>
    <w:charset w:val="00"/>
    <w:family w:val="roman"/>
    <w:pitch w:val="default"/>
    <w:sig w:usb0="00000000"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5524B">
    <w:pPr>
      <w:pStyle w:val="17"/>
      <w:jc w:val="center"/>
    </w:pPr>
  </w:p>
  <w:p w14:paraId="42E92BCC">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F6ACA">
    <w:pPr>
      <w:pStyle w:val="17"/>
    </w:pPr>
    <w:r>
      <w:rPr>
        <w:sz w:val="18"/>
      </w:rPr>
      <w:pict>
        <v:shape id="_x0000_s4110" o:spid="_x0000_s4110"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4A0271BC">
                <w:pPr>
                  <w:pStyle w:val="17"/>
                </w:pPr>
                <w:r>
                  <w:fldChar w:fldCharType="begin"/>
                </w:r>
                <w:r>
                  <w:instrText xml:space="preserve"> PAGE  \* MERGEFORMAT </w:instrText>
                </w:r>
                <w:r>
                  <w:fldChar w:fldCharType="separate"/>
                </w:r>
                <w:r>
                  <w:t>57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A38C1">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pict>
        <v:shape id="_x0000_s4112" o:spid="_x0000_s411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9F6D66C">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52</w:t>
                </w:r>
                <w:r>
                  <w:rPr>
                    <w:rFonts w:ascii="Times New Roman" w:hAnsi="Times New Roman" w:eastAsia="宋体" w:cs="Times New Roman"/>
                    <w:kern w:val="2"/>
                    <w:sz w:val="18"/>
                    <w:szCs w:val="18"/>
                    <w:lang w:val="en-US" w:eastAsia="zh-CN" w:bidi="ar-S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35B7">
    <w:pPr>
      <w:pStyle w:val="17"/>
    </w:pPr>
    <w:r>
      <w:rPr>
        <w:sz w:val="18"/>
      </w:rPr>
      <w:pict>
        <v:shape id="_x0000_s4104" o:spid="_x0000_s410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11C8F02">
                <w:pPr>
                  <w:pStyle w:val="17"/>
                </w:pPr>
                <w:r>
                  <w:fldChar w:fldCharType="begin"/>
                </w:r>
                <w:r>
                  <w:instrText xml:space="preserve"> PAGE  \* MERGEFORMAT </w:instrText>
                </w:r>
                <w:r>
                  <w:fldChar w:fldCharType="separate"/>
                </w:r>
                <w:r>
                  <w:t>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8ADAE">
    <w:pPr>
      <w:pStyle w:val="17"/>
      <w:jc w:val="center"/>
    </w:pPr>
  </w:p>
  <w:p w14:paraId="09650370">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8FE4">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7B914">
    <w:pPr>
      <w:pStyle w:val="17"/>
    </w:pPr>
    <w:r>
      <w:rPr>
        <w:sz w:val="18"/>
      </w:rPr>
      <w:pict>
        <v:shape id="_x0000_s4105" o:spid="_x0000_s410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9C6C0AE">
                <w:pPr>
                  <w:pStyle w:val="17"/>
                </w:pPr>
                <w:r>
                  <w:fldChar w:fldCharType="begin"/>
                </w:r>
                <w:r>
                  <w:instrText xml:space="preserve"> PAGE  \* MERGEFORMAT </w:instrText>
                </w:r>
                <w:r>
                  <w:fldChar w:fldCharType="separate"/>
                </w:r>
                <w:r>
                  <w:t>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44076">
    <w:pPr>
      <w:pStyle w:val="17"/>
    </w:pPr>
    <w:r>
      <w:rPr>
        <w:sz w:val="18"/>
      </w:rPr>
      <w:pict>
        <v:shape id="_x0000_s4106" o:spid="_x0000_s4106"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706553AB">
                <w:pPr>
                  <w:pStyle w:val="17"/>
                </w:pPr>
                <w:r>
                  <w:fldChar w:fldCharType="begin"/>
                </w:r>
                <w:r>
                  <w:instrText xml:space="preserve"> PAGE  \* MERGEFORMAT </w:instrText>
                </w:r>
                <w:r>
                  <w:fldChar w:fldCharType="separate"/>
                </w:r>
                <w:r>
                  <w:t>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B182">
    <w:pPr>
      <w:pStyle w:val="17"/>
    </w:pPr>
    <w:r>
      <w:rPr>
        <w:sz w:val="18"/>
      </w:rPr>
      <w:pict>
        <v:shape id="_x0000_s4107" o:spid="_x0000_s4107"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6B2930F6">
                <w:pPr>
                  <w:pStyle w:val="17"/>
                </w:pPr>
                <w:r>
                  <w:fldChar w:fldCharType="begin"/>
                </w:r>
                <w:r>
                  <w:instrText xml:space="preserve"> PAGE  \* MERGEFORMAT </w:instrText>
                </w:r>
                <w:r>
                  <w:fldChar w:fldCharType="separate"/>
                </w:r>
                <w:r>
                  <w:t>17</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00E76">
    <w:pPr>
      <w:pStyle w:val="17"/>
    </w:pPr>
    <w:r>
      <w:rPr>
        <w:sz w:val="18"/>
      </w:rPr>
      <w:pict>
        <v:shape id="_x0000_s4108" o:spid="_x0000_s4108"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60C69082">
                <w:pPr>
                  <w:pStyle w:val="17"/>
                </w:pPr>
                <w:r>
                  <w:fldChar w:fldCharType="begin"/>
                </w:r>
                <w:r>
                  <w:instrText xml:space="preserve"> PAGE  \* MERGEFORMAT </w:instrText>
                </w:r>
                <w:r>
                  <w:fldChar w:fldCharType="separate"/>
                </w:r>
                <w:r>
                  <w:t>46</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1BA9">
    <w:pPr>
      <w:pStyle w:val="17"/>
    </w:pPr>
    <w:r>
      <w:rPr>
        <w:sz w:val="18"/>
      </w:rPr>
      <w:pict>
        <v:shape id="_x0000_s4109" o:spid="_x0000_s4109"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50EFAC3D">
                <w:pPr>
                  <w:pStyle w:val="17"/>
                </w:pPr>
                <w:r>
                  <w:fldChar w:fldCharType="begin"/>
                </w:r>
                <w:r>
                  <w:instrText xml:space="preserve"> PAGE  \* MERGEFORMAT </w:instrText>
                </w:r>
                <w:r>
                  <w:fldChar w:fldCharType="separate"/>
                </w:r>
                <w:r>
                  <w:t>50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49850">
    <w:pPr>
      <w:pStyle w:val="18"/>
      <w:pBdr>
        <w:top w:val="none" w:color="auto" w:sz="0" w:space="0"/>
        <w:left w:val="none" w:color="auto" w:sz="0" w:space="0"/>
        <w:bottom w:val="none" w:color="auto" w:sz="0" w:space="1"/>
        <w:right w:val="none" w:color="auto" w:sz="0" w:space="0"/>
        <w:between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FF7F6">
    <w:pPr>
      <w:pStyle w:val="18"/>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B9B39">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57905">
    <w:pPr>
      <w:pStyle w:val="18"/>
      <w:pBdr>
        <w:top w:val="none" w:color="auto" w:sz="0" w:space="0"/>
        <w:left w:val="none" w:color="auto" w:sz="0" w:space="0"/>
        <w:bottom w:val="none" w:color="auto" w:sz="0" w:space="1"/>
        <w:right w:val="none" w:color="auto" w:sz="0" w:space="0"/>
        <w:between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210F6">
    <w:pPr>
      <w:pStyle w:val="18"/>
      <w:pBdr>
        <w:top w:val="none" w:color="auto" w:sz="0" w:space="0"/>
        <w:left w:val="none" w:color="auto" w:sz="0" w:space="0"/>
        <w:bottom w:val="none" w:color="auto" w:sz="0" w:space="1"/>
        <w:right w:val="none" w:color="auto" w:sz="0" w:space="0"/>
        <w:between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358F3">
    <w:pPr>
      <w:pStyle w:val="18"/>
      <w:pBdr>
        <w:top w:val="none" w:color="auto" w:sz="0" w:space="0"/>
        <w:left w:val="none" w:color="auto" w:sz="0" w:space="0"/>
        <w:bottom w:val="none" w:color="auto" w:sz="0" w:space="1"/>
        <w:right w:val="none" w:color="auto" w:sz="0" w:space="0"/>
        <w:between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3C1F9">
    <w:pPr>
      <w:widowControl w:val="0"/>
      <w:pBdr>
        <w:bottom w:val="none" w:color="auto" w:sz="0" w:space="1"/>
      </w:pBdr>
      <w:tabs>
        <w:tab w:val="left" w:pos="3019"/>
      </w:tabs>
      <w:snapToGrid w:val="0"/>
      <w:jc w:val="left"/>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hyphenationZone w:val="360"/>
  <w:drawingGridHorizontalSpacing w:val="210"/>
  <w:drawingGridVerticalSpacing w:val="159"/>
  <w:displayHorizontalDrawingGridEvery w:val="1"/>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NiMmMyOTA3NDRjMjdlMGEwOTRiYzNlMTJjM2RkOWYifQ=="/>
  </w:docVars>
  <w:rsids>
    <w:rsidRoot w:val="00EF492A"/>
    <w:rsid w:val="000002BA"/>
    <w:rsid w:val="00000335"/>
    <w:rsid w:val="00000511"/>
    <w:rsid w:val="00000EA7"/>
    <w:rsid w:val="00000FFE"/>
    <w:rsid w:val="00003E1B"/>
    <w:rsid w:val="00011721"/>
    <w:rsid w:val="000125FB"/>
    <w:rsid w:val="00014002"/>
    <w:rsid w:val="00016D2A"/>
    <w:rsid w:val="00017CF8"/>
    <w:rsid w:val="0002027C"/>
    <w:rsid w:val="00020400"/>
    <w:rsid w:val="0002190F"/>
    <w:rsid w:val="00025156"/>
    <w:rsid w:val="00030ABD"/>
    <w:rsid w:val="000311A8"/>
    <w:rsid w:val="00031B64"/>
    <w:rsid w:val="000339F8"/>
    <w:rsid w:val="00033BEE"/>
    <w:rsid w:val="0003766E"/>
    <w:rsid w:val="0004135A"/>
    <w:rsid w:val="00041C8B"/>
    <w:rsid w:val="00041D07"/>
    <w:rsid w:val="0004293F"/>
    <w:rsid w:val="00043F9F"/>
    <w:rsid w:val="00044ACE"/>
    <w:rsid w:val="00045CC2"/>
    <w:rsid w:val="00047BB8"/>
    <w:rsid w:val="00051160"/>
    <w:rsid w:val="00051A58"/>
    <w:rsid w:val="00052B78"/>
    <w:rsid w:val="0005326C"/>
    <w:rsid w:val="000534D4"/>
    <w:rsid w:val="00053712"/>
    <w:rsid w:val="00054096"/>
    <w:rsid w:val="00057CB4"/>
    <w:rsid w:val="000619F0"/>
    <w:rsid w:val="00061DE2"/>
    <w:rsid w:val="00063CBD"/>
    <w:rsid w:val="000654CC"/>
    <w:rsid w:val="00066330"/>
    <w:rsid w:val="00067E80"/>
    <w:rsid w:val="00070BE8"/>
    <w:rsid w:val="000720DE"/>
    <w:rsid w:val="00072257"/>
    <w:rsid w:val="00077EAD"/>
    <w:rsid w:val="00080F28"/>
    <w:rsid w:val="000814DD"/>
    <w:rsid w:val="000829F0"/>
    <w:rsid w:val="00082E14"/>
    <w:rsid w:val="000856F6"/>
    <w:rsid w:val="00086EDB"/>
    <w:rsid w:val="000873E7"/>
    <w:rsid w:val="000874B5"/>
    <w:rsid w:val="000913EC"/>
    <w:rsid w:val="00091CF0"/>
    <w:rsid w:val="00092563"/>
    <w:rsid w:val="00092907"/>
    <w:rsid w:val="00092DBB"/>
    <w:rsid w:val="000955B7"/>
    <w:rsid w:val="000965B2"/>
    <w:rsid w:val="000A1BD5"/>
    <w:rsid w:val="000A298A"/>
    <w:rsid w:val="000B214F"/>
    <w:rsid w:val="000B2E48"/>
    <w:rsid w:val="000B3598"/>
    <w:rsid w:val="000B393B"/>
    <w:rsid w:val="000B3A93"/>
    <w:rsid w:val="000B4AA1"/>
    <w:rsid w:val="000B592D"/>
    <w:rsid w:val="000B5F41"/>
    <w:rsid w:val="000B6A10"/>
    <w:rsid w:val="000B6E37"/>
    <w:rsid w:val="000B7FC8"/>
    <w:rsid w:val="000C276A"/>
    <w:rsid w:val="000C3246"/>
    <w:rsid w:val="000C7C52"/>
    <w:rsid w:val="000D0CE7"/>
    <w:rsid w:val="000D1EE7"/>
    <w:rsid w:val="000D3539"/>
    <w:rsid w:val="000D3DDE"/>
    <w:rsid w:val="000D4E44"/>
    <w:rsid w:val="000D4F16"/>
    <w:rsid w:val="000D6186"/>
    <w:rsid w:val="000D69C9"/>
    <w:rsid w:val="000D7751"/>
    <w:rsid w:val="000E170A"/>
    <w:rsid w:val="000E2B93"/>
    <w:rsid w:val="000E3603"/>
    <w:rsid w:val="000E370D"/>
    <w:rsid w:val="000E41C3"/>
    <w:rsid w:val="000E4B64"/>
    <w:rsid w:val="000E59BA"/>
    <w:rsid w:val="000E7CFD"/>
    <w:rsid w:val="000F067A"/>
    <w:rsid w:val="000F2C01"/>
    <w:rsid w:val="000F2D7D"/>
    <w:rsid w:val="000F37F9"/>
    <w:rsid w:val="001018A2"/>
    <w:rsid w:val="00102107"/>
    <w:rsid w:val="00103D80"/>
    <w:rsid w:val="00106D70"/>
    <w:rsid w:val="0011077C"/>
    <w:rsid w:val="001108A2"/>
    <w:rsid w:val="00111B0F"/>
    <w:rsid w:val="00112845"/>
    <w:rsid w:val="001133BC"/>
    <w:rsid w:val="001162AE"/>
    <w:rsid w:val="00116A7C"/>
    <w:rsid w:val="00117D72"/>
    <w:rsid w:val="00122204"/>
    <w:rsid w:val="0012273C"/>
    <w:rsid w:val="00122955"/>
    <w:rsid w:val="00123622"/>
    <w:rsid w:val="00123C5D"/>
    <w:rsid w:val="001246F5"/>
    <w:rsid w:val="00125BE1"/>
    <w:rsid w:val="00127EF3"/>
    <w:rsid w:val="00130BAD"/>
    <w:rsid w:val="00131D4D"/>
    <w:rsid w:val="001350AC"/>
    <w:rsid w:val="0013671B"/>
    <w:rsid w:val="001405CC"/>
    <w:rsid w:val="001412E5"/>
    <w:rsid w:val="00142B56"/>
    <w:rsid w:val="00142C9C"/>
    <w:rsid w:val="00143636"/>
    <w:rsid w:val="00143855"/>
    <w:rsid w:val="0014707A"/>
    <w:rsid w:val="001476D0"/>
    <w:rsid w:val="00152B94"/>
    <w:rsid w:val="00153012"/>
    <w:rsid w:val="00153AD0"/>
    <w:rsid w:val="00156454"/>
    <w:rsid w:val="00160A63"/>
    <w:rsid w:val="00162BCF"/>
    <w:rsid w:val="00163D2C"/>
    <w:rsid w:val="00164CCE"/>
    <w:rsid w:val="00165DB6"/>
    <w:rsid w:val="00166B43"/>
    <w:rsid w:val="00170114"/>
    <w:rsid w:val="00170655"/>
    <w:rsid w:val="0017066C"/>
    <w:rsid w:val="00170FEA"/>
    <w:rsid w:val="001717F7"/>
    <w:rsid w:val="001726B5"/>
    <w:rsid w:val="0017290B"/>
    <w:rsid w:val="00175374"/>
    <w:rsid w:val="00176705"/>
    <w:rsid w:val="0017766C"/>
    <w:rsid w:val="0017780F"/>
    <w:rsid w:val="00177ED7"/>
    <w:rsid w:val="00180335"/>
    <w:rsid w:val="00180B3C"/>
    <w:rsid w:val="00181603"/>
    <w:rsid w:val="00181C6E"/>
    <w:rsid w:val="001829CB"/>
    <w:rsid w:val="00182B98"/>
    <w:rsid w:val="001831C4"/>
    <w:rsid w:val="00185DD4"/>
    <w:rsid w:val="00185DF8"/>
    <w:rsid w:val="00186213"/>
    <w:rsid w:val="0018784D"/>
    <w:rsid w:val="001878D7"/>
    <w:rsid w:val="0019057E"/>
    <w:rsid w:val="00192EE2"/>
    <w:rsid w:val="00193E37"/>
    <w:rsid w:val="001947BA"/>
    <w:rsid w:val="001948A1"/>
    <w:rsid w:val="00194F5A"/>
    <w:rsid w:val="00195220"/>
    <w:rsid w:val="001957FD"/>
    <w:rsid w:val="001A0F3A"/>
    <w:rsid w:val="001A287C"/>
    <w:rsid w:val="001A3ADC"/>
    <w:rsid w:val="001A653E"/>
    <w:rsid w:val="001A6E98"/>
    <w:rsid w:val="001A7635"/>
    <w:rsid w:val="001A7A81"/>
    <w:rsid w:val="001B023C"/>
    <w:rsid w:val="001B10A7"/>
    <w:rsid w:val="001B4660"/>
    <w:rsid w:val="001B4811"/>
    <w:rsid w:val="001B6774"/>
    <w:rsid w:val="001C05F8"/>
    <w:rsid w:val="001C16A9"/>
    <w:rsid w:val="001C1717"/>
    <w:rsid w:val="001C1975"/>
    <w:rsid w:val="001C1BA2"/>
    <w:rsid w:val="001C3A6C"/>
    <w:rsid w:val="001C504D"/>
    <w:rsid w:val="001C52CF"/>
    <w:rsid w:val="001C6553"/>
    <w:rsid w:val="001D064C"/>
    <w:rsid w:val="001D0CBB"/>
    <w:rsid w:val="001D17EE"/>
    <w:rsid w:val="001D194D"/>
    <w:rsid w:val="001D1ED7"/>
    <w:rsid w:val="001D4FA6"/>
    <w:rsid w:val="001D4FD9"/>
    <w:rsid w:val="001D50D4"/>
    <w:rsid w:val="001D6505"/>
    <w:rsid w:val="001D65EA"/>
    <w:rsid w:val="001D6A7B"/>
    <w:rsid w:val="001D6CC9"/>
    <w:rsid w:val="001D7A6C"/>
    <w:rsid w:val="001E101D"/>
    <w:rsid w:val="001E1AD3"/>
    <w:rsid w:val="001E50AD"/>
    <w:rsid w:val="001E5DF5"/>
    <w:rsid w:val="001E75E7"/>
    <w:rsid w:val="001F196A"/>
    <w:rsid w:val="001F39CA"/>
    <w:rsid w:val="001F5BE4"/>
    <w:rsid w:val="001F666C"/>
    <w:rsid w:val="001F68A8"/>
    <w:rsid w:val="00201DFF"/>
    <w:rsid w:val="002021C4"/>
    <w:rsid w:val="002027BC"/>
    <w:rsid w:val="002027CC"/>
    <w:rsid w:val="002066D4"/>
    <w:rsid w:val="002106CD"/>
    <w:rsid w:val="00210BBF"/>
    <w:rsid w:val="002118EC"/>
    <w:rsid w:val="002129BA"/>
    <w:rsid w:val="00212C75"/>
    <w:rsid w:val="0021736B"/>
    <w:rsid w:val="002175DB"/>
    <w:rsid w:val="002220A1"/>
    <w:rsid w:val="002236B2"/>
    <w:rsid w:val="002261EE"/>
    <w:rsid w:val="00226EFD"/>
    <w:rsid w:val="00230413"/>
    <w:rsid w:val="0023063B"/>
    <w:rsid w:val="00230BED"/>
    <w:rsid w:val="00231D7F"/>
    <w:rsid w:val="00231E1E"/>
    <w:rsid w:val="00232305"/>
    <w:rsid w:val="00233216"/>
    <w:rsid w:val="00233B7B"/>
    <w:rsid w:val="00236745"/>
    <w:rsid w:val="00237012"/>
    <w:rsid w:val="0024054B"/>
    <w:rsid w:val="002420B3"/>
    <w:rsid w:val="002425CC"/>
    <w:rsid w:val="00242983"/>
    <w:rsid w:val="00243502"/>
    <w:rsid w:val="00246825"/>
    <w:rsid w:val="002473AF"/>
    <w:rsid w:val="002473D0"/>
    <w:rsid w:val="002473E5"/>
    <w:rsid w:val="002475C4"/>
    <w:rsid w:val="00250BEA"/>
    <w:rsid w:val="002518E8"/>
    <w:rsid w:val="00253719"/>
    <w:rsid w:val="00253838"/>
    <w:rsid w:val="00253E3F"/>
    <w:rsid w:val="00255590"/>
    <w:rsid w:val="0025695E"/>
    <w:rsid w:val="00260816"/>
    <w:rsid w:val="00260FA9"/>
    <w:rsid w:val="00261890"/>
    <w:rsid w:val="0026237B"/>
    <w:rsid w:val="00262596"/>
    <w:rsid w:val="00265778"/>
    <w:rsid w:val="00265EF3"/>
    <w:rsid w:val="002667D6"/>
    <w:rsid w:val="002669E0"/>
    <w:rsid w:val="00266AF5"/>
    <w:rsid w:val="00266FFF"/>
    <w:rsid w:val="002677B9"/>
    <w:rsid w:val="00270A53"/>
    <w:rsid w:val="00270C1A"/>
    <w:rsid w:val="00272A77"/>
    <w:rsid w:val="00274E7A"/>
    <w:rsid w:val="002762CB"/>
    <w:rsid w:val="00276558"/>
    <w:rsid w:val="0027761A"/>
    <w:rsid w:val="0028108E"/>
    <w:rsid w:val="002811E8"/>
    <w:rsid w:val="0028228C"/>
    <w:rsid w:val="00282590"/>
    <w:rsid w:val="00282D30"/>
    <w:rsid w:val="00285329"/>
    <w:rsid w:val="002861CA"/>
    <w:rsid w:val="002873AF"/>
    <w:rsid w:val="0028796B"/>
    <w:rsid w:val="00287AF7"/>
    <w:rsid w:val="00290034"/>
    <w:rsid w:val="002915FA"/>
    <w:rsid w:val="0029181A"/>
    <w:rsid w:val="00292F2B"/>
    <w:rsid w:val="002946F4"/>
    <w:rsid w:val="00297079"/>
    <w:rsid w:val="002972E7"/>
    <w:rsid w:val="00297998"/>
    <w:rsid w:val="002A4727"/>
    <w:rsid w:val="002A4D75"/>
    <w:rsid w:val="002B031C"/>
    <w:rsid w:val="002B608A"/>
    <w:rsid w:val="002B63E9"/>
    <w:rsid w:val="002B6CDC"/>
    <w:rsid w:val="002B7202"/>
    <w:rsid w:val="002C12BB"/>
    <w:rsid w:val="002C2796"/>
    <w:rsid w:val="002C5F5A"/>
    <w:rsid w:val="002C64B5"/>
    <w:rsid w:val="002D0DA9"/>
    <w:rsid w:val="002D21E0"/>
    <w:rsid w:val="002D34CF"/>
    <w:rsid w:val="002D49FE"/>
    <w:rsid w:val="002D66BA"/>
    <w:rsid w:val="002E0355"/>
    <w:rsid w:val="002E0E46"/>
    <w:rsid w:val="002E4595"/>
    <w:rsid w:val="002E4D24"/>
    <w:rsid w:val="002E67CA"/>
    <w:rsid w:val="002E76AE"/>
    <w:rsid w:val="002F070F"/>
    <w:rsid w:val="002F3C1D"/>
    <w:rsid w:val="002F3D60"/>
    <w:rsid w:val="002F656E"/>
    <w:rsid w:val="002F764B"/>
    <w:rsid w:val="002F7B17"/>
    <w:rsid w:val="002F7F4A"/>
    <w:rsid w:val="00300042"/>
    <w:rsid w:val="003014F1"/>
    <w:rsid w:val="00301879"/>
    <w:rsid w:val="003019F5"/>
    <w:rsid w:val="00301E58"/>
    <w:rsid w:val="00301FD6"/>
    <w:rsid w:val="003021BE"/>
    <w:rsid w:val="0030282D"/>
    <w:rsid w:val="00302B5B"/>
    <w:rsid w:val="00303658"/>
    <w:rsid w:val="0030422B"/>
    <w:rsid w:val="00304AD3"/>
    <w:rsid w:val="00305AAE"/>
    <w:rsid w:val="00305DAA"/>
    <w:rsid w:val="0031045E"/>
    <w:rsid w:val="00311515"/>
    <w:rsid w:val="00311970"/>
    <w:rsid w:val="0031240A"/>
    <w:rsid w:val="003135AC"/>
    <w:rsid w:val="00313781"/>
    <w:rsid w:val="00313D72"/>
    <w:rsid w:val="003145CC"/>
    <w:rsid w:val="003154F4"/>
    <w:rsid w:val="00322AA3"/>
    <w:rsid w:val="00322C79"/>
    <w:rsid w:val="003235DD"/>
    <w:rsid w:val="00323E98"/>
    <w:rsid w:val="00326B0F"/>
    <w:rsid w:val="00326F06"/>
    <w:rsid w:val="00327975"/>
    <w:rsid w:val="00330A8F"/>
    <w:rsid w:val="003316A0"/>
    <w:rsid w:val="00332ACD"/>
    <w:rsid w:val="00333179"/>
    <w:rsid w:val="00333C89"/>
    <w:rsid w:val="0033425A"/>
    <w:rsid w:val="00336CD3"/>
    <w:rsid w:val="0034003C"/>
    <w:rsid w:val="003401AC"/>
    <w:rsid w:val="00340388"/>
    <w:rsid w:val="00340800"/>
    <w:rsid w:val="00341444"/>
    <w:rsid w:val="00342AAC"/>
    <w:rsid w:val="00343585"/>
    <w:rsid w:val="00344409"/>
    <w:rsid w:val="00344BAA"/>
    <w:rsid w:val="00344EBD"/>
    <w:rsid w:val="0034524D"/>
    <w:rsid w:val="00345567"/>
    <w:rsid w:val="00347BE8"/>
    <w:rsid w:val="00347F7F"/>
    <w:rsid w:val="00350248"/>
    <w:rsid w:val="00354413"/>
    <w:rsid w:val="003545E5"/>
    <w:rsid w:val="00355A7B"/>
    <w:rsid w:val="003565E8"/>
    <w:rsid w:val="00357D32"/>
    <w:rsid w:val="00360733"/>
    <w:rsid w:val="00363045"/>
    <w:rsid w:val="003630CC"/>
    <w:rsid w:val="0036605F"/>
    <w:rsid w:val="003679A7"/>
    <w:rsid w:val="0037048E"/>
    <w:rsid w:val="003708AB"/>
    <w:rsid w:val="0037184E"/>
    <w:rsid w:val="003719E5"/>
    <w:rsid w:val="003730E8"/>
    <w:rsid w:val="0037586F"/>
    <w:rsid w:val="003762D7"/>
    <w:rsid w:val="00376572"/>
    <w:rsid w:val="00376C48"/>
    <w:rsid w:val="003805DE"/>
    <w:rsid w:val="0038092B"/>
    <w:rsid w:val="003830C0"/>
    <w:rsid w:val="00384425"/>
    <w:rsid w:val="00385158"/>
    <w:rsid w:val="00385667"/>
    <w:rsid w:val="003858C1"/>
    <w:rsid w:val="003871C9"/>
    <w:rsid w:val="00390E18"/>
    <w:rsid w:val="0039107B"/>
    <w:rsid w:val="003916AD"/>
    <w:rsid w:val="00393042"/>
    <w:rsid w:val="00394CC2"/>
    <w:rsid w:val="00396E4D"/>
    <w:rsid w:val="00397FD4"/>
    <w:rsid w:val="003A2416"/>
    <w:rsid w:val="003A3EAD"/>
    <w:rsid w:val="003A4FA9"/>
    <w:rsid w:val="003A5BD5"/>
    <w:rsid w:val="003A618E"/>
    <w:rsid w:val="003A6FAD"/>
    <w:rsid w:val="003A7770"/>
    <w:rsid w:val="003B0855"/>
    <w:rsid w:val="003B0BE3"/>
    <w:rsid w:val="003B15EF"/>
    <w:rsid w:val="003B1D9C"/>
    <w:rsid w:val="003B2637"/>
    <w:rsid w:val="003B3292"/>
    <w:rsid w:val="003B42CD"/>
    <w:rsid w:val="003B43B0"/>
    <w:rsid w:val="003B488C"/>
    <w:rsid w:val="003B4FA2"/>
    <w:rsid w:val="003B537F"/>
    <w:rsid w:val="003B53EA"/>
    <w:rsid w:val="003B70FA"/>
    <w:rsid w:val="003B7AE3"/>
    <w:rsid w:val="003C0C84"/>
    <w:rsid w:val="003C0D66"/>
    <w:rsid w:val="003C1149"/>
    <w:rsid w:val="003C1177"/>
    <w:rsid w:val="003C124A"/>
    <w:rsid w:val="003C1B3D"/>
    <w:rsid w:val="003C495A"/>
    <w:rsid w:val="003C5454"/>
    <w:rsid w:val="003C5547"/>
    <w:rsid w:val="003C5A8E"/>
    <w:rsid w:val="003C5B7A"/>
    <w:rsid w:val="003D02A5"/>
    <w:rsid w:val="003D050A"/>
    <w:rsid w:val="003D300B"/>
    <w:rsid w:val="003D3096"/>
    <w:rsid w:val="003D51EF"/>
    <w:rsid w:val="003D52D2"/>
    <w:rsid w:val="003D5373"/>
    <w:rsid w:val="003D5C90"/>
    <w:rsid w:val="003D5D73"/>
    <w:rsid w:val="003D6929"/>
    <w:rsid w:val="003D6EC7"/>
    <w:rsid w:val="003E1B02"/>
    <w:rsid w:val="003E4032"/>
    <w:rsid w:val="003E71CB"/>
    <w:rsid w:val="003F110C"/>
    <w:rsid w:val="003F2397"/>
    <w:rsid w:val="003F3222"/>
    <w:rsid w:val="003F36AA"/>
    <w:rsid w:val="003F5563"/>
    <w:rsid w:val="003F5822"/>
    <w:rsid w:val="003F67B0"/>
    <w:rsid w:val="003F6FB8"/>
    <w:rsid w:val="003F76F5"/>
    <w:rsid w:val="003F7949"/>
    <w:rsid w:val="00402AA7"/>
    <w:rsid w:val="00402BBE"/>
    <w:rsid w:val="004050B8"/>
    <w:rsid w:val="00406016"/>
    <w:rsid w:val="00406ACC"/>
    <w:rsid w:val="0040769E"/>
    <w:rsid w:val="00413D9D"/>
    <w:rsid w:val="0041666C"/>
    <w:rsid w:val="00420681"/>
    <w:rsid w:val="00422CFD"/>
    <w:rsid w:val="00423D20"/>
    <w:rsid w:val="00424212"/>
    <w:rsid w:val="0042446F"/>
    <w:rsid w:val="004245B1"/>
    <w:rsid w:val="004301B4"/>
    <w:rsid w:val="00430795"/>
    <w:rsid w:val="00431383"/>
    <w:rsid w:val="004313CA"/>
    <w:rsid w:val="0043191F"/>
    <w:rsid w:val="00435E98"/>
    <w:rsid w:val="0043632A"/>
    <w:rsid w:val="004403AA"/>
    <w:rsid w:val="004406B3"/>
    <w:rsid w:val="0044424E"/>
    <w:rsid w:val="0044525C"/>
    <w:rsid w:val="0044679B"/>
    <w:rsid w:val="004554FF"/>
    <w:rsid w:val="00456E3F"/>
    <w:rsid w:val="00460983"/>
    <w:rsid w:val="004623D7"/>
    <w:rsid w:val="00462655"/>
    <w:rsid w:val="0046365B"/>
    <w:rsid w:val="00464417"/>
    <w:rsid w:val="0046466E"/>
    <w:rsid w:val="0046670C"/>
    <w:rsid w:val="00466D76"/>
    <w:rsid w:val="00466D79"/>
    <w:rsid w:val="0046738B"/>
    <w:rsid w:val="00467B12"/>
    <w:rsid w:val="00472FDE"/>
    <w:rsid w:val="00473D90"/>
    <w:rsid w:val="00474CD5"/>
    <w:rsid w:val="00475369"/>
    <w:rsid w:val="004766D9"/>
    <w:rsid w:val="00480B43"/>
    <w:rsid w:val="00481F10"/>
    <w:rsid w:val="0048359A"/>
    <w:rsid w:val="00483BE7"/>
    <w:rsid w:val="00485236"/>
    <w:rsid w:val="004859EB"/>
    <w:rsid w:val="00486D01"/>
    <w:rsid w:val="00487029"/>
    <w:rsid w:val="004902CC"/>
    <w:rsid w:val="00491A27"/>
    <w:rsid w:val="004933CE"/>
    <w:rsid w:val="00494F27"/>
    <w:rsid w:val="0049531A"/>
    <w:rsid w:val="00495D97"/>
    <w:rsid w:val="00497E5D"/>
    <w:rsid w:val="004A09D5"/>
    <w:rsid w:val="004A623D"/>
    <w:rsid w:val="004A6CA3"/>
    <w:rsid w:val="004A717F"/>
    <w:rsid w:val="004A7182"/>
    <w:rsid w:val="004B0534"/>
    <w:rsid w:val="004B0FBF"/>
    <w:rsid w:val="004B2E22"/>
    <w:rsid w:val="004B494C"/>
    <w:rsid w:val="004B53C7"/>
    <w:rsid w:val="004B6634"/>
    <w:rsid w:val="004B78AB"/>
    <w:rsid w:val="004B7FBD"/>
    <w:rsid w:val="004C277B"/>
    <w:rsid w:val="004C3922"/>
    <w:rsid w:val="004C4397"/>
    <w:rsid w:val="004C4F8D"/>
    <w:rsid w:val="004C6D30"/>
    <w:rsid w:val="004D01F1"/>
    <w:rsid w:val="004D1C5D"/>
    <w:rsid w:val="004D3F3C"/>
    <w:rsid w:val="004D433E"/>
    <w:rsid w:val="004D489C"/>
    <w:rsid w:val="004D6D06"/>
    <w:rsid w:val="004E0E89"/>
    <w:rsid w:val="004E105A"/>
    <w:rsid w:val="004E1528"/>
    <w:rsid w:val="004E19A4"/>
    <w:rsid w:val="004E1C50"/>
    <w:rsid w:val="004E20BC"/>
    <w:rsid w:val="004E274B"/>
    <w:rsid w:val="004E2BCD"/>
    <w:rsid w:val="004E5E18"/>
    <w:rsid w:val="004E6241"/>
    <w:rsid w:val="004E70F4"/>
    <w:rsid w:val="004F016C"/>
    <w:rsid w:val="004F1D1E"/>
    <w:rsid w:val="004F2151"/>
    <w:rsid w:val="004F40AA"/>
    <w:rsid w:val="004F4E51"/>
    <w:rsid w:val="004F53E5"/>
    <w:rsid w:val="004F5637"/>
    <w:rsid w:val="004F6A4A"/>
    <w:rsid w:val="004F73EA"/>
    <w:rsid w:val="00500360"/>
    <w:rsid w:val="005018DF"/>
    <w:rsid w:val="00502A4F"/>
    <w:rsid w:val="00502BA4"/>
    <w:rsid w:val="005037CD"/>
    <w:rsid w:val="00506324"/>
    <w:rsid w:val="00507CA4"/>
    <w:rsid w:val="00510F19"/>
    <w:rsid w:val="00512290"/>
    <w:rsid w:val="00512DFB"/>
    <w:rsid w:val="005141FF"/>
    <w:rsid w:val="0051509D"/>
    <w:rsid w:val="005158D1"/>
    <w:rsid w:val="00515992"/>
    <w:rsid w:val="00517176"/>
    <w:rsid w:val="00521F2C"/>
    <w:rsid w:val="005222F8"/>
    <w:rsid w:val="005245EB"/>
    <w:rsid w:val="00524D67"/>
    <w:rsid w:val="0052607D"/>
    <w:rsid w:val="0052691B"/>
    <w:rsid w:val="00526AC7"/>
    <w:rsid w:val="00526EA3"/>
    <w:rsid w:val="005276D3"/>
    <w:rsid w:val="00527FBC"/>
    <w:rsid w:val="0053136C"/>
    <w:rsid w:val="00531784"/>
    <w:rsid w:val="00533C76"/>
    <w:rsid w:val="005346E7"/>
    <w:rsid w:val="0053594D"/>
    <w:rsid w:val="00537882"/>
    <w:rsid w:val="00537E3C"/>
    <w:rsid w:val="005432E9"/>
    <w:rsid w:val="00543E8F"/>
    <w:rsid w:val="00544223"/>
    <w:rsid w:val="0054612C"/>
    <w:rsid w:val="00546BE5"/>
    <w:rsid w:val="0054772E"/>
    <w:rsid w:val="005511B3"/>
    <w:rsid w:val="0055130C"/>
    <w:rsid w:val="00552434"/>
    <w:rsid w:val="005556B2"/>
    <w:rsid w:val="005560FC"/>
    <w:rsid w:val="005603B2"/>
    <w:rsid w:val="00561290"/>
    <w:rsid w:val="00561BF3"/>
    <w:rsid w:val="00561E48"/>
    <w:rsid w:val="00562EA4"/>
    <w:rsid w:val="00563ED2"/>
    <w:rsid w:val="00564BD8"/>
    <w:rsid w:val="00564C74"/>
    <w:rsid w:val="0056648B"/>
    <w:rsid w:val="0057143D"/>
    <w:rsid w:val="00574E10"/>
    <w:rsid w:val="00577BCC"/>
    <w:rsid w:val="00581544"/>
    <w:rsid w:val="005839FC"/>
    <w:rsid w:val="00584037"/>
    <w:rsid w:val="0058449D"/>
    <w:rsid w:val="005850D8"/>
    <w:rsid w:val="005850F7"/>
    <w:rsid w:val="00586FEC"/>
    <w:rsid w:val="00590235"/>
    <w:rsid w:val="00591C90"/>
    <w:rsid w:val="005929C3"/>
    <w:rsid w:val="00595233"/>
    <w:rsid w:val="0059576F"/>
    <w:rsid w:val="005A0638"/>
    <w:rsid w:val="005A0A75"/>
    <w:rsid w:val="005A1946"/>
    <w:rsid w:val="005A30F3"/>
    <w:rsid w:val="005A3F11"/>
    <w:rsid w:val="005A619C"/>
    <w:rsid w:val="005B00FD"/>
    <w:rsid w:val="005B219E"/>
    <w:rsid w:val="005B2392"/>
    <w:rsid w:val="005B23EC"/>
    <w:rsid w:val="005B241D"/>
    <w:rsid w:val="005B3014"/>
    <w:rsid w:val="005B3936"/>
    <w:rsid w:val="005B6415"/>
    <w:rsid w:val="005B73E8"/>
    <w:rsid w:val="005B7D14"/>
    <w:rsid w:val="005C061C"/>
    <w:rsid w:val="005C0973"/>
    <w:rsid w:val="005C135F"/>
    <w:rsid w:val="005C162F"/>
    <w:rsid w:val="005C1EEB"/>
    <w:rsid w:val="005C2155"/>
    <w:rsid w:val="005C3077"/>
    <w:rsid w:val="005C397E"/>
    <w:rsid w:val="005C39E4"/>
    <w:rsid w:val="005C4B6A"/>
    <w:rsid w:val="005C51D6"/>
    <w:rsid w:val="005C5723"/>
    <w:rsid w:val="005C6487"/>
    <w:rsid w:val="005C6F70"/>
    <w:rsid w:val="005C7676"/>
    <w:rsid w:val="005D070F"/>
    <w:rsid w:val="005D191A"/>
    <w:rsid w:val="005D2600"/>
    <w:rsid w:val="005D26F6"/>
    <w:rsid w:val="005D37B5"/>
    <w:rsid w:val="005D44C7"/>
    <w:rsid w:val="005D452F"/>
    <w:rsid w:val="005D5713"/>
    <w:rsid w:val="005D60A9"/>
    <w:rsid w:val="005D7397"/>
    <w:rsid w:val="005D7F5C"/>
    <w:rsid w:val="005E028A"/>
    <w:rsid w:val="005E0C2D"/>
    <w:rsid w:val="005E2B21"/>
    <w:rsid w:val="005E33A3"/>
    <w:rsid w:val="005E68BD"/>
    <w:rsid w:val="005E69A2"/>
    <w:rsid w:val="005E7451"/>
    <w:rsid w:val="005E7581"/>
    <w:rsid w:val="005E7E9B"/>
    <w:rsid w:val="005F0C72"/>
    <w:rsid w:val="005F1F25"/>
    <w:rsid w:val="005F21C2"/>
    <w:rsid w:val="005F2A80"/>
    <w:rsid w:val="005F2A8D"/>
    <w:rsid w:val="005F5D44"/>
    <w:rsid w:val="005F62E1"/>
    <w:rsid w:val="005F7E42"/>
    <w:rsid w:val="00600C74"/>
    <w:rsid w:val="0060204F"/>
    <w:rsid w:val="00602AC3"/>
    <w:rsid w:val="00603B50"/>
    <w:rsid w:val="00607B45"/>
    <w:rsid w:val="0061171B"/>
    <w:rsid w:val="00613450"/>
    <w:rsid w:val="00613D62"/>
    <w:rsid w:val="00614D1E"/>
    <w:rsid w:val="006163F0"/>
    <w:rsid w:val="00617337"/>
    <w:rsid w:val="00617903"/>
    <w:rsid w:val="00620541"/>
    <w:rsid w:val="006208D6"/>
    <w:rsid w:val="0062176E"/>
    <w:rsid w:val="00624E8B"/>
    <w:rsid w:val="00625B92"/>
    <w:rsid w:val="00625F1D"/>
    <w:rsid w:val="00626B5B"/>
    <w:rsid w:val="006302DE"/>
    <w:rsid w:val="00633852"/>
    <w:rsid w:val="00635BC3"/>
    <w:rsid w:val="00635F49"/>
    <w:rsid w:val="0063639D"/>
    <w:rsid w:val="0063648E"/>
    <w:rsid w:val="00636ECF"/>
    <w:rsid w:val="00637012"/>
    <w:rsid w:val="006373A6"/>
    <w:rsid w:val="00643035"/>
    <w:rsid w:val="006454CA"/>
    <w:rsid w:val="006466FA"/>
    <w:rsid w:val="00646CAB"/>
    <w:rsid w:val="0065070E"/>
    <w:rsid w:val="00651DAE"/>
    <w:rsid w:val="006524CF"/>
    <w:rsid w:val="00653E43"/>
    <w:rsid w:val="00657C75"/>
    <w:rsid w:val="00660663"/>
    <w:rsid w:val="00660F0F"/>
    <w:rsid w:val="00662D59"/>
    <w:rsid w:val="00664288"/>
    <w:rsid w:val="00665AEC"/>
    <w:rsid w:val="00666EE4"/>
    <w:rsid w:val="00673307"/>
    <w:rsid w:val="006747BD"/>
    <w:rsid w:val="00674926"/>
    <w:rsid w:val="0067494F"/>
    <w:rsid w:val="00675409"/>
    <w:rsid w:val="00676FD8"/>
    <w:rsid w:val="00677D9B"/>
    <w:rsid w:val="00680FF1"/>
    <w:rsid w:val="00682882"/>
    <w:rsid w:val="0068299C"/>
    <w:rsid w:val="00683AFF"/>
    <w:rsid w:val="0068680C"/>
    <w:rsid w:val="006869F8"/>
    <w:rsid w:val="00687ADB"/>
    <w:rsid w:val="00690952"/>
    <w:rsid w:val="006913F6"/>
    <w:rsid w:val="00694683"/>
    <w:rsid w:val="00694A9C"/>
    <w:rsid w:val="00697891"/>
    <w:rsid w:val="006A0490"/>
    <w:rsid w:val="006A05D2"/>
    <w:rsid w:val="006A2EBA"/>
    <w:rsid w:val="006A5AA7"/>
    <w:rsid w:val="006A6505"/>
    <w:rsid w:val="006A77D7"/>
    <w:rsid w:val="006B00BF"/>
    <w:rsid w:val="006B057C"/>
    <w:rsid w:val="006B1D78"/>
    <w:rsid w:val="006B28FC"/>
    <w:rsid w:val="006B2906"/>
    <w:rsid w:val="006B524F"/>
    <w:rsid w:val="006C1060"/>
    <w:rsid w:val="006C400C"/>
    <w:rsid w:val="006C468E"/>
    <w:rsid w:val="006C4B32"/>
    <w:rsid w:val="006C5910"/>
    <w:rsid w:val="006D0144"/>
    <w:rsid w:val="006D04E6"/>
    <w:rsid w:val="006D06F3"/>
    <w:rsid w:val="006D0AE9"/>
    <w:rsid w:val="006D0C0B"/>
    <w:rsid w:val="006D2D30"/>
    <w:rsid w:val="006D6C1E"/>
    <w:rsid w:val="006E24D9"/>
    <w:rsid w:val="006E3C18"/>
    <w:rsid w:val="006E4DAB"/>
    <w:rsid w:val="006E5146"/>
    <w:rsid w:val="006E59E8"/>
    <w:rsid w:val="006E7517"/>
    <w:rsid w:val="006F00A3"/>
    <w:rsid w:val="006F0C46"/>
    <w:rsid w:val="006F4A00"/>
    <w:rsid w:val="006F5E23"/>
    <w:rsid w:val="006F65BF"/>
    <w:rsid w:val="006F749A"/>
    <w:rsid w:val="006F7A4B"/>
    <w:rsid w:val="00700914"/>
    <w:rsid w:val="00702F51"/>
    <w:rsid w:val="00703AB2"/>
    <w:rsid w:val="0070412E"/>
    <w:rsid w:val="00705F1C"/>
    <w:rsid w:val="007069EA"/>
    <w:rsid w:val="00707D48"/>
    <w:rsid w:val="007105DA"/>
    <w:rsid w:val="00710BBD"/>
    <w:rsid w:val="00710F76"/>
    <w:rsid w:val="007130AA"/>
    <w:rsid w:val="0071371C"/>
    <w:rsid w:val="00713742"/>
    <w:rsid w:val="00713749"/>
    <w:rsid w:val="00713864"/>
    <w:rsid w:val="0071426D"/>
    <w:rsid w:val="00714749"/>
    <w:rsid w:val="00716CAB"/>
    <w:rsid w:val="00721B9E"/>
    <w:rsid w:val="00722098"/>
    <w:rsid w:val="007223F3"/>
    <w:rsid w:val="007226B0"/>
    <w:rsid w:val="007230F4"/>
    <w:rsid w:val="00724F0B"/>
    <w:rsid w:val="00726DB1"/>
    <w:rsid w:val="007276AC"/>
    <w:rsid w:val="00730D1E"/>
    <w:rsid w:val="00732150"/>
    <w:rsid w:val="00735473"/>
    <w:rsid w:val="007416BF"/>
    <w:rsid w:val="00742DDA"/>
    <w:rsid w:val="007437FB"/>
    <w:rsid w:val="00744188"/>
    <w:rsid w:val="007451ED"/>
    <w:rsid w:val="00745951"/>
    <w:rsid w:val="00746570"/>
    <w:rsid w:val="00747162"/>
    <w:rsid w:val="0074726C"/>
    <w:rsid w:val="00747A22"/>
    <w:rsid w:val="00747A40"/>
    <w:rsid w:val="007515D3"/>
    <w:rsid w:val="007543AC"/>
    <w:rsid w:val="00754DC8"/>
    <w:rsid w:val="007562BC"/>
    <w:rsid w:val="00756FFD"/>
    <w:rsid w:val="007570C5"/>
    <w:rsid w:val="007628E5"/>
    <w:rsid w:val="00764044"/>
    <w:rsid w:val="00764BCC"/>
    <w:rsid w:val="00765D1C"/>
    <w:rsid w:val="00765D50"/>
    <w:rsid w:val="007664A0"/>
    <w:rsid w:val="00767F33"/>
    <w:rsid w:val="00770C1D"/>
    <w:rsid w:val="00773208"/>
    <w:rsid w:val="00776C54"/>
    <w:rsid w:val="00777923"/>
    <w:rsid w:val="00780054"/>
    <w:rsid w:val="0078138C"/>
    <w:rsid w:val="00782138"/>
    <w:rsid w:val="0078349E"/>
    <w:rsid w:val="00784836"/>
    <w:rsid w:val="00785DE0"/>
    <w:rsid w:val="00793CB2"/>
    <w:rsid w:val="0079555D"/>
    <w:rsid w:val="00795CC9"/>
    <w:rsid w:val="00796789"/>
    <w:rsid w:val="007A11A8"/>
    <w:rsid w:val="007A2E76"/>
    <w:rsid w:val="007A3508"/>
    <w:rsid w:val="007A36B1"/>
    <w:rsid w:val="007A3973"/>
    <w:rsid w:val="007A48F8"/>
    <w:rsid w:val="007A513B"/>
    <w:rsid w:val="007A5B8C"/>
    <w:rsid w:val="007A6FD5"/>
    <w:rsid w:val="007B0CF0"/>
    <w:rsid w:val="007B37DB"/>
    <w:rsid w:val="007B42A1"/>
    <w:rsid w:val="007B4BA9"/>
    <w:rsid w:val="007B58C6"/>
    <w:rsid w:val="007B6677"/>
    <w:rsid w:val="007B67D6"/>
    <w:rsid w:val="007B7369"/>
    <w:rsid w:val="007C1399"/>
    <w:rsid w:val="007C1985"/>
    <w:rsid w:val="007C1A3E"/>
    <w:rsid w:val="007C469D"/>
    <w:rsid w:val="007C549C"/>
    <w:rsid w:val="007C58FF"/>
    <w:rsid w:val="007C5C72"/>
    <w:rsid w:val="007C717D"/>
    <w:rsid w:val="007C7D49"/>
    <w:rsid w:val="007D0431"/>
    <w:rsid w:val="007D145A"/>
    <w:rsid w:val="007D182B"/>
    <w:rsid w:val="007D3095"/>
    <w:rsid w:val="007D4032"/>
    <w:rsid w:val="007D6E9B"/>
    <w:rsid w:val="007E2815"/>
    <w:rsid w:val="007E2EF6"/>
    <w:rsid w:val="007E3D9B"/>
    <w:rsid w:val="007E3DCF"/>
    <w:rsid w:val="007E3E78"/>
    <w:rsid w:val="007E573B"/>
    <w:rsid w:val="007E7E44"/>
    <w:rsid w:val="007F4BD1"/>
    <w:rsid w:val="007F6D3F"/>
    <w:rsid w:val="00802EFD"/>
    <w:rsid w:val="00803EBB"/>
    <w:rsid w:val="008047AA"/>
    <w:rsid w:val="008047F0"/>
    <w:rsid w:val="00812423"/>
    <w:rsid w:val="0081262E"/>
    <w:rsid w:val="008135D9"/>
    <w:rsid w:val="0081366B"/>
    <w:rsid w:val="00814010"/>
    <w:rsid w:val="008152EF"/>
    <w:rsid w:val="00815AFA"/>
    <w:rsid w:val="00816500"/>
    <w:rsid w:val="00816CD9"/>
    <w:rsid w:val="00820ADF"/>
    <w:rsid w:val="008214E6"/>
    <w:rsid w:val="008234B1"/>
    <w:rsid w:val="0082716D"/>
    <w:rsid w:val="008274A3"/>
    <w:rsid w:val="00834E99"/>
    <w:rsid w:val="00836736"/>
    <w:rsid w:val="008372ED"/>
    <w:rsid w:val="00841806"/>
    <w:rsid w:val="0084291F"/>
    <w:rsid w:val="0084300B"/>
    <w:rsid w:val="00846CEC"/>
    <w:rsid w:val="00846F2D"/>
    <w:rsid w:val="00847424"/>
    <w:rsid w:val="00852403"/>
    <w:rsid w:val="00853386"/>
    <w:rsid w:val="00856CE1"/>
    <w:rsid w:val="00857463"/>
    <w:rsid w:val="0085758F"/>
    <w:rsid w:val="00860B04"/>
    <w:rsid w:val="00861260"/>
    <w:rsid w:val="00861560"/>
    <w:rsid w:val="0086194E"/>
    <w:rsid w:val="00861EFC"/>
    <w:rsid w:val="00862424"/>
    <w:rsid w:val="008640A7"/>
    <w:rsid w:val="00866C95"/>
    <w:rsid w:val="00867269"/>
    <w:rsid w:val="00867975"/>
    <w:rsid w:val="00870627"/>
    <w:rsid w:val="008728A2"/>
    <w:rsid w:val="0087392D"/>
    <w:rsid w:val="0087426D"/>
    <w:rsid w:val="00874ABB"/>
    <w:rsid w:val="00875745"/>
    <w:rsid w:val="00876306"/>
    <w:rsid w:val="00877254"/>
    <w:rsid w:val="00877D04"/>
    <w:rsid w:val="00881921"/>
    <w:rsid w:val="00881E58"/>
    <w:rsid w:val="008823F2"/>
    <w:rsid w:val="00883ABE"/>
    <w:rsid w:val="00883EDA"/>
    <w:rsid w:val="0088469F"/>
    <w:rsid w:val="0088606A"/>
    <w:rsid w:val="00887D61"/>
    <w:rsid w:val="00887FD0"/>
    <w:rsid w:val="008907BA"/>
    <w:rsid w:val="00890C73"/>
    <w:rsid w:val="008911F3"/>
    <w:rsid w:val="0089278D"/>
    <w:rsid w:val="0089436B"/>
    <w:rsid w:val="00894959"/>
    <w:rsid w:val="0089495D"/>
    <w:rsid w:val="00894EB9"/>
    <w:rsid w:val="00895839"/>
    <w:rsid w:val="00895DF4"/>
    <w:rsid w:val="00896AFA"/>
    <w:rsid w:val="00896F5D"/>
    <w:rsid w:val="008973CD"/>
    <w:rsid w:val="00897C8F"/>
    <w:rsid w:val="008A1C1A"/>
    <w:rsid w:val="008A1E8C"/>
    <w:rsid w:val="008A243D"/>
    <w:rsid w:val="008A2AFF"/>
    <w:rsid w:val="008A2CB1"/>
    <w:rsid w:val="008A37E0"/>
    <w:rsid w:val="008A38C2"/>
    <w:rsid w:val="008A4A98"/>
    <w:rsid w:val="008A6F1D"/>
    <w:rsid w:val="008A746C"/>
    <w:rsid w:val="008B0B36"/>
    <w:rsid w:val="008B27C4"/>
    <w:rsid w:val="008B5FE6"/>
    <w:rsid w:val="008C04ED"/>
    <w:rsid w:val="008C0AD5"/>
    <w:rsid w:val="008C0C21"/>
    <w:rsid w:val="008C12DF"/>
    <w:rsid w:val="008C2364"/>
    <w:rsid w:val="008C2589"/>
    <w:rsid w:val="008C2B7C"/>
    <w:rsid w:val="008C3F9A"/>
    <w:rsid w:val="008C4205"/>
    <w:rsid w:val="008C58EA"/>
    <w:rsid w:val="008C6813"/>
    <w:rsid w:val="008C6FDA"/>
    <w:rsid w:val="008D0D9C"/>
    <w:rsid w:val="008D123A"/>
    <w:rsid w:val="008D14BC"/>
    <w:rsid w:val="008D2897"/>
    <w:rsid w:val="008D561A"/>
    <w:rsid w:val="008D5A30"/>
    <w:rsid w:val="008D5EEA"/>
    <w:rsid w:val="008D6541"/>
    <w:rsid w:val="008D6F4B"/>
    <w:rsid w:val="008E0D14"/>
    <w:rsid w:val="008E0E3D"/>
    <w:rsid w:val="008E1A89"/>
    <w:rsid w:val="008E3874"/>
    <w:rsid w:val="008F1347"/>
    <w:rsid w:val="008F19D1"/>
    <w:rsid w:val="008F20BF"/>
    <w:rsid w:val="008F217E"/>
    <w:rsid w:val="008F5482"/>
    <w:rsid w:val="008F6CE3"/>
    <w:rsid w:val="008F7000"/>
    <w:rsid w:val="008F780D"/>
    <w:rsid w:val="008F7C17"/>
    <w:rsid w:val="00900065"/>
    <w:rsid w:val="0090166D"/>
    <w:rsid w:val="00901CF1"/>
    <w:rsid w:val="00904DE9"/>
    <w:rsid w:val="0090537E"/>
    <w:rsid w:val="009071AD"/>
    <w:rsid w:val="00910348"/>
    <w:rsid w:val="00911DF7"/>
    <w:rsid w:val="00912745"/>
    <w:rsid w:val="009134C8"/>
    <w:rsid w:val="009165F7"/>
    <w:rsid w:val="00917149"/>
    <w:rsid w:val="00917440"/>
    <w:rsid w:val="0092140E"/>
    <w:rsid w:val="00921EAA"/>
    <w:rsid w:val="009221D7"/>
    <w:rsid w:val="00923DD7"/>
    <w:rsid w:val="00925038"/>
    <w:rsid w:val="0092607E"/>
    <w:rsid w:val="0092698D"/>
    <w:rsid w:val="00930B2D"/>
    <w:rsid w:val="00930C54"/>
    <w:rsid w:val="009341F0"/>
    <w:rsid w:val="00934E33"/>
    <w:rsid w:val="00935B91"/>
    <w:rsid w:val="00936704"/>
    <w:rsid w:val="009368E7"/>
    <w:rsid w:val="00936905"/>
    <w:rsid w:val="009376D2"/>
    <w:rsid w:val="00940980"/>
    <w:rsid w:val="0094455F"/>
    <w:rsid w:val="0094669F"/>
    <w:rsid w:val="00946F47"/>
    <w:rsid w:val="0094721B"/>
    <w:rsid w:val="009474BA"/>
    <w:rsid w:val="00950789"/>
    <w:rsid w:val="00950FB0"/>
    <w:rsid w:val="0095473F"/>
    <w:rsid w:val="00954942"/>
    <w:rsid w:val="009561BC"/>
    <w:rsid w:val="0095648E"/>
    <w:rsid w:val="00956A10"/>
    <w:rsid w:val="009579DF"/>
    <w:rsid w:val="009603FF"/>
    <w:rsid w:val="00960F2E"/>
    <w:rsid w:val="00961881"/>
    <w:rsid w:val="009618ED"/>
    <w:rsid w:val="0096397B"/>
    <w:rsid w:val="009645FF"/>
    <w:rsid w:val="00967A31"/>
    <w:rsid w:val="00967CF5"/>
    <w:rsid w:val="00971BE3"/>
    <w:rsid w:val="00971D86"/>
    <w:rsid w:val="00972D4D"/>
    <w:rsid w:val="00972FA9"/>
    <w:rsid w:val="009739C3"/>
    <w:rsid w:val="00973DE6"/>
    <w:rsid w:val="00974166"/>
    <w:rsid w:val="009748E2"/>
    <w:rsid w:val="00974C27"/>
    <w:rsid w:val="00981F3E"/>
    <w:rsid w:val="009836FE"/>
    <w:rsid w:val="0098417B"/>
    <w:rsid w:val="0098470E"/>
    <w:rsid w:val="00984CD0"/>
    <w:rsid w:val="00986284"/>
    <w:rsid w:val="00986502"/>
    <w:rsid w:val="00987C6B"/>
    <w:rsid w:val="00987C70"/>
    <w:rsid w:val="009916C7"/>
    <w:rsid w:val="00993701"/>
    <w:rsid w:val="009946B2"/>
    <w:rsid w:val="009948C2"/>
    <w:rsid w:val="00995AAC"/>
    <w:rsid w:val="009A05DD"/>
    <w:rsid w:val="009A23AB"/>
    <w:rsid w:val="009A3A44"/>
    <w:rsid w:val="009A4117"/>
    <w:rsid w:val="009A6A91"/>
    <w:rsid w:val="009A7F43"/>
    <w:rsid w:val="009B175E"/>
    <w:rsid w:val="009B2E31"/>
    <w:rsid w:val="009B3C64"/>
    <w:rsid w:val="009B3F1C"/>
    <w:rsid w:val="009B3F26"/>
    <w:rsid w:val="009B6B8B"/>
    <w:rsid w:val="009B6EF6"/>
    <w:rsid w:val="009C028B"/>
    <w:rsid w:val="009C1468"/>
    <w:rsid w:val="009C1C71"/>
    <w:rsid w:val="009C4FC3"/>
    <w:rsid w:val="009C51AD"/>
    <w:rsid w:val="009C6B49"/>
    <w:rsid w:val="009C71DC"/>
    <w:rsid w:val="009D0848"/>
    <w:rsid w:val="009D246D"/>
    <w:rsid w:val="009D4668"/>
    <w:rsid w:val="009D7EA2"/>
    <w:rsid w:val="009E1181"/>
    <w:rsid w:val="009E1AA7"/>
    <w:rsid w:val="009E3234"/>
    <w:rsid w:val="009E62F3"/>
    <w:rsid w:val="009E7115"/>
    <w:rsid w:val="009E722C"/>
    <w:rsid w:val="009E7619"/>
    <w:rsid w:val="009E7FC2"/>
    <w:rsid w:val="009F0A9A"/>
    <w:rsid w:val="009F5AD2"/>
    <w:rsid w:val="009F5EDB"/>
    <w:rsid w:val="009F7089"/>
    <w:rsid w:val="009F7259"/>
    <w:rsid w:val="00A00D13"/>
    <w:rsid w:val="00A0251F"/>
    <w:rsid w:val="00A0405F"/>
    <w:rsid w:val="00A047DA"/>
    <w:rsid w:val="00A05520"/>
    <w:rsid w:val="00A0614F"/>
    <w:rsid w:val="00A07E79"/>
    <w:rsid w:val="00A110E3"/>
    <w:rsid w:val="00A12861"/>
    <w:rsid w:val="00A1479E"/>
    <w:rsid w:val="00A15198"/>
    <w:rsid w:val="00A154E9"/>
    <w:rsid w:val="00A15FF1"/>
    <w:rsid w:val="00A16042"/>
    <w:rsid w:val="00A26CA0"/>
    <w:rsid w:val="00A2751B"/>
    <w:rsid w:val="00A27651"/>
    <w:rsid w:val="00A27829"/>
    <w:rsid w:val="00A318E5"/>
    <w:rsid w:val="00A33FD1"/>
    <w:rsid w:val="00A3511B"/>
    <w:rsid w:val="00A35DFA"/>
    <w:rsid w:val="00A372ED"/>
    <w:rsid w:val="00A410F5"/>
    <w:rsid w:val="00A4120F"/>
    <w:rsid w:val="00A438C5"/>
    <w:rsid w:val="00A44335"/>
    <w:rsid w:val="00A44D37"/>
    <w:rsid w:val="00A44DE4"/>
    <w:rsid w:val="00A46B83"/>
    <w:rsid w:val="00A46DD6"/>
    <w:rsid w:val="00A47205"/>
    <w:rsid w:val="00A472DE"/>
    <w:rsid w:val="00A477C5"/>
    <w:rsid w:val="00A47CAB"/>
    <w:rsid w:val="00A51500"/>
    <w:rsid w:val="00A520F5"/>
    <w:rsid w:val="00A52939"/>
    <w:rsid w:val="00A53E5C"/>
    <w:rsid w:val="00A53FAD"/>
    <w:rsid w:val="00A55443"/>
    <w:rsid w:val="00A55FC1"/>
    <w:rsid w:val="00A60E2A"/>
    <w:rsid w:val="00A61ED7"/>
    <w:rsid w:val="00A62B1C"/>
    <w:rsid w:val="00A62C21"/>
    <w:rsid w:val="00A6394B"/>
    <w:rsid w:val="00A660A0"/>
    <w:rsid w:val="00A666B2"/>
    <w:rsid w:val="00A67532"/>
    <w:rsid w:val="00A7059B"/>
    <w:rsid w:val="00A71578"/>
    <w:rsid w:val="00A722F1"/>
    <w:rsid w:val="00A727B7"/>
    <w:rsid w:val="00A72883"/>
    <w:rsid w:val="00A731F0"/>
    <w:rsid w:val="00A742A0"/>
    <w:rsid w:val="00A7554A"/>
    <w:rsid w:val="00A75DDB"/>
    <w:rsid w:val="00A77894"/>
    <w:rsid w:val="00A77902"/>
    <w:rsid w:val="00A8033E"/>
    <w:rsid w:val="00A810CD"/>
    <w:rsid w:val="00A8271C"/>
    <w:rsid w:val="00A836D0"/>
    <w:rsid w:val="00A8382B"/>
    <w:rsid w:val="00A83C79"/>
    <w:rsid w:val="00A86C6C"/>
    <w:rsid w:val="00A90B55"/>
    <w:rsid w:val="00A90F2F"/>
    <w:rsid w:val="00A91321"/>
    <w:rsid w:val="00A91AB4"/>
    <w:rsid w:val="00A92AB5"/>
    <w:rsid w:val="00A9344D"/>
    <w:rsid w:val="00A93FD7"/>
    <w:rsid w:val="00A941C7"/>
    <w:rsid w:val="00A97C46"/>
    <w:rsid w:val="00AA1E3C"/>
    <w:rsid w:val="00AA27D9"/>
    <w:rsid w:val="00AA286E"/>
    <w:rsid w:val="00AA34F0"/>
    <w:rsid w:val="00AA3DA6"/>
    <w:rsid w:val="00AA42BE"/>
    <w:rsid w:val="00AA43A9"/>
    <w:rsid w:val="00AA7056"/>
    <w:rsid w:val="00AA7780"/>
    <w:rsid w:val="00AB4403"/>
    <w:rsid w:val="00AB48F4"/>
    <w:rsid w:val="00AB4D59"/>
    <w:rsid w:val="00AB51BE"/>
    <w:rsid w:val="00AB5638"/>
    <w:rsid w:val="00AB5B15"/>
    <w:rsid w:val="00AB6E77"/>
    <w:rsid w:val="00AC0893"/>
    <w:rsid w:val="00AC1588"/>
    <w:rsid w:val="00AC2192"/>
    <w:rsid w:val="00AC2CFC"/>
    <w:rsid w:val="00AC35CA"/>
    <w:rsid w:val="00AC453F"/>
    <w:rsid w:val="00AC491E"/>
    <w:rsid w:val="00AC6309"/>
    <w:rsid w:val="00AC743C"/>
    <w:rsid w:val="00AD4B10"/>
    <w:rsid w:val="00AD65B7"/>
    <w:rsid w:val="00AD67EB"/>
    <w:rsid w:val="00AD77E2"/>
    <w:rsid w:val="00AD7F06"/>
    <w:rsid w:val="00AE10F2"/>
    <w:rsid w:val="00AE1744"/>
    <w:rsid w:val="00AE1A19"/>
    <w:rsid w:val="00AE1B23"/>
    <w:rsid w:val="00AE2362"/>
    <w:rsid w:val="00AE75DE"/>
    <w:rsid w:val="00AF1779"/>
    <w:rsid w:val="00AF43DA"/>
    <w:rsid w:val="00AF4633"/>
    <w:rsid w:val="00AF47A0"/>
    <w:rsid w:val="00AF52B1"/>
    <w:rsid w:val="00AF5DF7"/>
    <w:rsid w:val="00AF6B21"/>
    <w:rsid w:val="00AF7AB7"/>
    <w:rsid w:val="00B0064D"/>
    <w:rsid w:val="00B006F4"/>
    <w:rsid w:val="00B00A3E"/>
    <w:rsid w:val="00B012C1"/>
    <w:rsid w:val="00B017F8"/>
    <w:rsid w:val="00B01E5E"/>
    <w:rsid w:val="00B036A0"/>
    <w:rsid w:val="00B053C7"/>
    <w:rsid w:val="00B06B58"/>
    <w:rsid w:val="00B11BB2"/>
    <w:rsid w:val="00B1272D"/>
    <w:rsid w:val="00B13AFE"/>
    <w:rsid w:val="00B146CC"/>
    <w:rsid w:val="00B15E69"/>
    <w:rsid w:val="00B160B5"/>
    <w:rsid w:val="00B212E2"/>
    <w:rsid w:val="00B22432"/>
    <w:rsid w:val="00B25A1B"/>
    <w:rsid w:val="00B25A45"/>
    <w:rsid w:val="00B25B1B"/>
    <w:rsid w:val="00B30C2E"/>
    <w:rsid w:val="00B30D7C"/>
    <w:rsid w:val="00B311FF"/>
    <w:rsid w:val="00B31628"/>
    <w:rsid w:val="00B3397F"/>
    <w:rsid w:val="00B34251"/>
    <w:rsid w:val="00B34340"/>
    <w:rsid w:val="00B36333"/>
    <w:rsid w:val="00B40AC2"/>
    <w:rsid w:val="00B4119F"/>
    <w:rsid w:val="00B41550"/>
    <w:rsid w:val="00B4241B"/>
    <w:rsid w:val="00B444AA"/>
    <w:rsid w:val="00B446E9"/>
    <w:rsid w:val="00B44D5B"/>
    <w:rsid w:val="00B45186"/>
    <w:rsid w:val="00B45E5B"/>
    <w:rsid w:val="00B461DF"/>
    <w:rsid w:val="00B46233"/>
    <w:rsid w:val="00B46FF7"/>
    <w:rsid w:val="00B505BC"/>
    <w:rsid w:val="00B50EFF"/>
    <w:rsid w:val="00B51AD7"/>
    <w:rsid w:val="00B53D95"/>
    <w:rsid w:val="00B53F11"/>
    <w:rsid w:val="00B546E5"/>
    <w:rsid w:val="00B5694E"/>
    <w:rsid w:val="00B569BB"/>
    <w:rsid w:val="00B573C7"/>
    <w:rsid w:val="00B57A1D"/>
    <w:rsid w:val="00B57ED1"/>
    <w:rsid w:val="00B60489"/>
    <w:rsid w:val="00B627D4"/>
    <w:rsid w:val="00B66639"/>
    <w:rsid w:val="00B67018"/>
    <w:rsid w:val="00B7027E"/>
    <w:rsid w:val="00B70DC4"/>
    <w:rsid w:val="00B71FB4"/>
    <w:rsid w:val="00B7211A"/>
    <w:rsid w:val="00B73E96"/>
    <w:rsid w:val="00B772EA"/>
    <w:rsid w:val="00B77B70"/>
    <w:rsid w:val="00B816C5"/>
    <w:rsid w:val="00B81D7B"/>
    <w:rsid w:val="00B83C65"/>
    <w:rsid w:val="00B843DE"/>
    <w:rsid w:val="00B849EF"/>
    <w:rsid w:val="00B85939"/>
    <w:rsid w:val="00B85A97"/>
    <w:rsid w:val="00B86D4B"/>
    <w:rsid w:val="00B90A04"/>
    <w:rsid w:val="00B90BCE"/>
    <w:rsid w:val="00B914E5"/>
    <w:rsid w:val="00B91B09"/>
    <w:rsid w:val="00B921DB"/>
    <w:rsid w:val="00B923EF"/>
    <w:rsid w:val="00B93241"/>
    <w:rsid w:val="00B93D77"/>
    <w:rsid w:val="00B962EC"/>
    <w:rsid w:val="00B96465"/>
    <w:rsid w:val="00BA0E4E"/>
    <w:rsid w:val="00BA1FED"/>
    <w:rsid w:val="00BA5894"/>
    <w:rsid w:val="00BA5B90"/>
    <w:rsid w:val="00BA7B80"/>
    <w:rsid w:val="00BB02DA"/>
    <w:rsid w:val="00BB1ABB"/>
    <w:rsid w:val="00BB211E"/>
    <w:rsid w:val="00BB26F8"/>
    <w:rsid w:val="00BB4A81"/>
    <w:rsid w:val="00BB5449"/>
    <w:rsid w:val="00BC334F"/>
    <w:rsid w:val="00BC35E1"/>
    <w:rsid w:val="00BC3C84"/>
    <w:rsid w:val="00BC432D"/>
    <w:rsid w:val="00BC4485"/>
    <w:rsid w:val="00BC5B24"/>
    <w:rsid w:val="00BC71FB"/>
    <w:rsid w:val="00BC7F1C"/>
    <w:rsid w:val="00BD150A"/>
    <w:rsid w:val="00BD16F2"/>
    <w:rsid w:val="00BD3006"/>
    <w:rsid w:val="00BD7E38"/>
    <w:rsid w:val="00BE0435"/>
    <w:rsid w:val="00BE0874"/>
    <w:rsid w:val="00BE133A"/>
    <w:rsid w:val="00BE17D7"/>
    <w:rsid w:val="00BE1895"/>
    <w:rsid w:val="00BE1D8C"/>
    <w:rsid w:val="00BE273E"/>
    <w:rsid w:val="00BE401C"/>
    <w:rsid w:val="00BE4161"/>
    <w:rsid w:val="00BE455B"/>
    <w:rsid w:val="00BE51BC"/>
    <w:rsid w:val="00BE5764"/>
    <w:rsid w:val="00BE5FAE"/>
    <w:rsid w:val="00BE6727"/>
    <w:rsid w:val="00BE7E32"/>
    <w:rsid w:val="00BF0557"/>
    <w:rsid w:val="00BF059C"/>
    <w:rsid w:val="00BF246D"/>
    <w:rsid w:val="00BF47F7"/>
    <w:rsid w:val="00BF57FE"/>
    <w:rsid w:val="00BF7A8B"/>
    <w:rsid w:val="00C00DCD"/>
    <w:rsid w:val="00C01D73"/>
    <w:rsid w:val="00C01F74"/>
    <w:rsid w:val="00C021AC"/>
    <w:rsid w:val="00C0351B"/>
    <w:rsid w:val="00C059E8"/>
    <w:rsid w:val="00C05D06"/>
    <w:rsid w:val="00C066B4"/>
    <w:rsid w:val="00C07284"/>
    <w:rsid w:val="00C11FF6"/>
    <w:rsid w:val="00C14366"/>
    <w:rsid w:val="00C14A19"/>
    <w:rsid w:val="00C15D59"/>
    <w:rsid w:val="00C1661A"/>
    <w:rsid w:val="00C1724E"/>
    <w:rsid w:val="00C172A0"/>
    <w:rsid w:val="00C21829"/>
    <w:rsid w:val="00C21854"/>
    <w:rsid w:val="00C23455"/>
    <w:rsid w:val="00C23F8F"/>
    <w:rsid w:val="00C2550E"/>
    <w:rsid w:val="00C25832"/>
    <w:rsid w:val="00C25DF6"/>
    <w:rsid w:val="00C26012"/>
    <w:rsid w:val="00C278B5"/>
    <w:rsid w:val="00C27CDD"/>
    <w:rsid w:val="00C30911"/>
    <w:rsid w:val="00C315F6"/>
    <w:rsid w:val="00C324C6"/>
    <w:rsid w:val="00C32813"/>
    <w:rsid w:val="00C352EB"/>
    <w:rsid w:val="00C3694D"/>
    <w:rsid w:val="00C41C15"/>
    <w:rsid w:val="00C42CED"/>
    <w:rsid w:val="00C4448B"/>
    <w:rsid w:val="00C44846"/>
    <w:rsid w:val="00C461DB"/>
    <w:rsid w:val="00C476C3"/>
    <w:rsid w:val="00C50592"/>
    <w:rsid w:val="00C5167A"/>
    <w:rsid w:val="00C53FDC"/>
    <w:rsid w:val="00C5490A"/>
    <w:rsid w:val="00C556E5"/>
    <w:rsid w:val="00C55AE0"/>
    <w:rsid w:val="00C613B4"/>
    <w:rsid w:val="00C63971"/>
    <w:rsid w:val="00C63A4C"/>
    <w:rsid w:val="00C64191"/>
    <w:rsid w:val="00C64478"/>
    <w:rsid w:val="00C65DAB"/>
    <w:rsid w:val="00C675F9"/>
    <w:rsid w:val="00C72422"/>
    <w:rsid w:val="00C73FAD"/>
    <w:rsid w:val="00C74637"/>
    <w:rsid w:val="00C76DE5"/>
    <w:rsid w:val="00C77E94"/>
    <w:rsid w:val="00C807C3"/>
    <w:rsid w:val="00C80F12"/>
    <w:rsid w:val="00C81F90"/>
    <w:rsid w:val="00C8288C"/>
    <w:rsid w:val="00C8344F"/>
    <w:rsid w:val="00C837DC"/>
    <w:rsid w:val="00C841C4"/>
    <w:rsid w:val="00C84592"/>
    <w:rsid w:val="00C851D7"/>
    <w:rsid w:val="00C852AD"/>
    <w:rsid w:val="00C85B8D"/>
    <w:rsid w:val="00C8648C"/>
    <w:rsid w:val="00C86E1C"/>
    <w:rsid w:val="00C87335"/>
    <w:rsid w:val="00C87A16"/>
    <w:rsid w:val="00C87DBB"/>
    <w:rsid w:val="00C907B8"/>
    <w:rsid w:val="00C918CA"/>
    <w:rsid w:val="00C92303"/>
    <w:rsid w:val="00C92BD5"/>
    <w:rsid w:val="00C93F76"/>
    <w:rsid w:val="00C95B04"/>
    <w:rsid w:val="00CA1383"/>
    <w:rsid w:val="00CA1B54"/>
    <w:rsid w:val="00CA307E"/>
    <w:rsid w:val="00CA33C3"/>
    <w:rsid w:val="00CA3CDB"/>
    <w:rsid w:val="00CA51EA"/>
    <w:rsid w:val="00CA587B"/>
    <w:rsid w:val="00CB031D"/>
    <w:rsid w:val="00CB12B8"/>
    <w:rsid w:val="00CB1BAC"/>
    <w:rsid w:val="00CB1BAF"/>
    <w:rsid w:val="00CB2E75"/>
    <w:rsid w:val="00CB4120"/>
    <w:rsid w:val="00CB5C55"/>
    <w:rsid w:val="00CB6F84"/>
    <w:rsid w:val="00CC3ECC"/>
    <w:rsid w:val="00CC5376"/>
    <w:rsid w:val="00CC6CD8"/>
    <w:rsid w:val="00CD0B3B"/>
    <w:rsid w:val="00CD1C4A"/>
    <w:rsid w:val="00CD38F8"/>
    <w:rsid w:val="00CD3FF0"/>
    <w:rsid w:val="00CD4FAC"/>
    <w:rsid w:val="00CD5EB3"/>
    <w:rsid w:val="00CD722F"/>
    <w:rsid w:val="00CD7B08"/>
    <w:rsid w:val="00CD7B27"/>
    <w:rsid w:val="00CD7CCD"/>
    <w:rsid w:val="00CE00A7"/>
    <w:rsid w:val="00CE3109"/>
    <w:rsid w:val="00CE35EE"/>
    <w:rsid w:val="00CE39F1"/>
    <w:rsid w:val="00CE51E0"/>
    <w:rsid w:val="00CF1C14"/>
    <w:rsid w:val="00CF2231"/>
    <w:rsid w:val="00CF26E5"/>
    <w:rsid w:val="00CF4F4C"/>
    <w:rsid w:val="00CF544D"/>
    <w:rsid w:val="00CF56FC"/>
    <w:rsid w:val="00CF66FD"/>
    <w:rsid w:val="00CF7E65"/>
    <w:rsid w:val="00D003E9"/>
    <w:rsid w:val="00D0179D"/>
    <w:rsid w:val="00D02B5C"/>
    <w:rsid w:val="00D02F1E"/>
    <w:rsid w:val="00D06280"/>
    <w:rsid w:val="00D06475"/>
    <w:rsid w:val="00D06C4F"/>
    <w:rsid w:val="00D077EE"/>
    <w:rsid w:val="00D100FB"/>
    <w:rsid w:val="00D10578"/>
    <w:rsid w:val="00D105B0"/>
    <w:rsid w:val="00D111BA"/>
    <w:rsid w:val="00D11236"/>
    <w:rsid w:val="00D11753"/>
    <w:rsid w:val="00D12077"/>
    <w:rsid w:val="00D124D6"/>
    <w:rsid w:val="00D129D0"/>
    <w:rsid w:val="00D14281"/>
    <w:rsid w:val="00D1460C"/>
    <w:rsid w:val="00D14662"/>
    <w:rsid w:val="00D15FAF"/>
    <w:rsid w:val="00D16492"/>
    <w:rsid w:val="00D1737D"/>
    <w:rsid w:val="00D17A58"/>
    <w:rsid w:val="00D22D32"/>
    <w:rsid w:val="00D22FE8"/>
    <w:rsid w:val="00D24FB8"/>
    <w:rsid w:val="00D26E98"/>
    <w:rsid w:val="00D32C6D"/>
    <w:rsid w:val="00D3495F"/>
    <w:rsid w:val="00D34E80"/>
    <w:rsid w:val="00D350A5"/>
    <w:rsid w:val="00D35464"/>
    <w:rsid w:val="00D37517"/>
    <w:rsid w:val="00D40214"/>
    <w:rsid w:val="00D44480"/>
    <w:rsid w:val="00D449C4"/>
    <w:rsid w:val="00D45BCE"/>
    <w:rsid w:val="00D47258"/>
    <w:rsid w:val="00D47468"/>
    <w:rsid w:val="00D50BF6"/>
    <w:rsid w:val="00D513E2"/>
    <w:rsid w:val="00D515A6"/>
    <w:rsid w:val="00D52249"/>
    <w:rsid w:val="00D53784"/>
    <w:rsid w:val="00D544CA"/>
    <w:rsid w:val="00D56565"/>
    <w:rsid w:val="00D57D62"/>
    <w:rsid w:val="00D60206"/>
    <w:rsid w:val="00D60616"/>
    <w:rsid w:val="00D60E5B"/>
    <w:rsid w:val="00D61141"/>
    <w:rsid w:val="00D6150B"/>
    <w:rsid w:val="00D619A4"/>
    <w:rsid w:val="00D63376"/>
    <w:rsid w:val="00D63A01"/>
    <w:rsid w:val="00D64717"/>
    <w:rsid w:val="00D6586A"/>
    <w:rsid w:val="00D671B2"/>
    <w:rsid w:val="00D6766A"/>
    <w:rsid w:val="00D704B2"/>
    <w:rsid w:val="00D740CA"/>
    <w:rsid w:val="00D75FA8"/>
    <w:rsid w:val="00D779E0"/>
    <w:rsid w:val="00D77C6F"/>
    <w:rsid w:val="00D8064F"/>
    <w:rsid w:val="00D80D71"/>
    <w:rsid w:val="00D813D0"/>
    <w:rsid w:val="00D83773"/>
    <w:rsid w:val="00D84759"/>
    <w:rsid w:val="00D847F4"/>
    <w:rsid w:val="00D87B89"/>
    <w:rsid w:val="00D87DAD"/>
    <w:rsid w:val="00D907A7"/>
    <w:rsid w:val="00D930E3"/>
    <w:rsid w:val="00D93495"/>
    <w:rsid w:val="00D96150"/>
    <w:rsid w:val="00D96456"/>
    <w:rsid w:val="00D976CF"/>
    <w:rsid w:val="00DA0253"/>
    <w:rsid w:val="00DA0BFB"/>
    <w:rsid w:val="00DA2320"/>
    <w:rsid w:val="00DA262C"/>
    <w:rsid w:val="00DA2DAC"/>
    <w:rsid w:val="00DA4C86"/>
    <w:rsid w:val="00DA5D13"/>
    <w:rsid w:val="00DB0D8F"/>
    <w:rsid w:val="00DB13E7"/>
    <w:rsid w:val="00DB3027"/>
    <w:rsid w:val="00DB3752"/>
    <w:rsid w:val="00DB6BFE"/>
    <w:rsid w:val="00DC151C"/>
    <w:rsid w:val="00DC2081"/>
    <w:rsid w:val="00DC3110"/>
    <w:rsid w:val="00DC3246"/>
    <w:rsid w:val="00DC48EC"/>
    <w:rsid w:val="00DC4B8D"/>
    <w:rsid w:val="00DC706E"/>
    <w:rsid w:val="00DC7286"/>
    <w:rsid w:val="00DD2916"/>
    <w:rsid w:val="00DD562B"/>
    <w:rsid w:val="00DD568B"/>
    <w:rsid w:val="00DD7783"/>
    <w:rsid w:val="00DD788B"/>
    <w:rsid w:val="00DE3F42"/>
    <w:rsid w:val="00DE5244"/>
    <w:rsid w:val="00DE5A1D"/>
    <w:rsid w:val="00DE6B8B"/>
    <w:rsid w:val="00DE6BB3"/>
    <w:rsid w:val="00DE7800"/>
    <w:rsid w:val="00DF04F0"/>
    <w:rsid w:val="00DF3304"/>
    <w:rsid w:val="00DF4AA0"/>
    <w:rsid w:val="00DF4F39"/>
    <w:rsid w:val="00DF7556"/>
    <w:rsid w:val="00DF7AE6"/>
    <w:rsid w:val="00DF7FED"/>
    <w:rsid w:val="00E0231C"/>
    <w:rsid w:val="00E030DE"/>
    <w:rsid w:val="00E05AB8"/>
    <w:rsid w:val="00E064E1"/>
    <w:rsid w:val="00E07189"/>
    <w:rsid w:val="00E07996"/>
    <w:rsid w:val="00E10F88"/>
    <w:rsid w:val="00E1148D"/>
    <w:rsid w:val="00E13627"/>
    <w:rsid w:val="00E13885"/>
    <w:rsid w:val="00E179F6"/>
    <w:rsid w:val="00E21492"/>
    <w:rsid w:val="00E21699"/>
    <w:rsid w:val="00E22362"/>
    <w:rsid w:val="00E23EF6"/>
    <w:rsid w:val="00E24F0A"/>
    <w:rsid w:val="00E267DA"/>
    <w:rsid w:val="00E30482"/>
    <w:rsid w:val="00E3077E"/>
    <w:rsid w:val="00E40879"/>
    <w:rsid w:val="00E423F4"/>
    <w:rsid w:val="00E4376D"/>
    <w:rsid w:val="00E47A68"/>
    <w:rsid w:val="00E50240"/>
    <w:rsid w:val="00E50972"/>
    <w:rsid w:val="00E52971"/>
    <w:rsid w:val="00E53185"/>
    <w:rsid w:val="00E536BA"/>
    <w:rsid w:val="00E53FFE"/>
    <w:rsid w:val="00E615A8"/>
    <w:rsid w:val="00E61CBF"/>
    <w:rsid w:val="00E62704"/>
    <w:rsid w:val="00E6409F"/>
    <w:rsid w:val="00E64548"/>
    <w:rsid w:val="00E64959"/>
    <w:rsid w:val="00E64D74"/>
    <w:rsid w:val="00E6677A"/>
    <w:rsid w:val="00E72067"/>
    <w:rsid w:val="00E725D1"/>
    <w:rsid w:val="00E725DE"/>
    <w:rsid w:val="00E7274C"/>
    <w:rsid w:val="00E74A90"/>
    <w:rsid w:val="00E74E47"/>
    <w:rsid w:val="00E82AE1"/>
    <w:rsid w:val="00E87A8B"/>
    <w:rsid w:val="00E91E8E"/>
    <w:rsid w:val="00E944CE"/>
    <w:rsid w:val="00E95031"/>
    <w:rsid w:val="00E9671C"/>
    <w:rsid w:val="00E96EB9"/>
    <w:rsid w:val="00E979DC"/>
    <w:rsid w:val="00EA031C"/>
    <w:rsid w:val="00EA23EE"/>
    <w:rsid w:val="00EA31BA"/>
    <w:rsid w:val="00EA5171"/>
    <w:rsid w:val="00EA6AC0"/>
    <w:rsid w:val="00EB031D"/>
    <w:rsid w:val="00EB059A"/>
    <w:rsid w:val="00EB2004"/>
    <w:rsid w:val="00EB3951"/>
    <w:rsid w:val="00EB3A84"/>
    <w:rsid w:val="00EB43E4"/>
    <w:rsid w:val="00EB5267"/>
    <w:rsid w:val="00EB52B6"/>
    <w:rsid w:val="00EB55E8"/>
    <w:rsid w:val="00EB5847"/>
    <w:rsid w:val="00EB5E8E"/>
    <w:rsid w:val="00EB681F"/>
    <w:rsid w:val="00EB6C8E"/>
    <w:rsid w:val="00EB7BE1"/>
    <w:rsid w:val="00EC0504"/>
    <w:rsid w:val="00EC2178"/>
    <w:rsid w:val="00EC3EBB"/>
    <w:rsid w:val="00EC68A1"/>
    <w:rsid w:val="00EC6910"/>
    <w:rsid w:val="00EC6C98"/>
    <w:rsid w:val="00EC6EE3"/>
    <w:rsid w:val="00ED2A90"/>
    <w:rsid w:val="00ED3494"/>
    <w:rsid w:val="00ED5741"/>
    <w:rsid w:val="00EE1E90"/>
    <w:rsid w:val="00EE25CD"/>
    <w:rsid w:val="00EE2833"/>
    <w:rsid w:val="00EE2AC2"/>
    <w:rsid w:val="00EE4FA6"/>
    <w:rsid w:val="00EE52BF"/>
    <w:rsid w:val="00EE637A"/>
    <w:rsid w:val="00EE7C18"/>
    <w:rsid w:val="00EF0E36"/>
    <w:rsid w:val="00EF0F26"/>
    <w:rsid w:val="00EF29B2"/>
    <w:rsid w:val="00EF475A"/>
    <w:rsid w:val="00EF481F"/>
    <w:rsid w:val="00EF492A"/>
    <w:rsid w:val="00EF4DB5"/>
    <w:rsid w:val="00EF56AF"/>
    <w:rsid w:val="00EF6E3B"/>
    <w:rsid w:val="00F00BEC"/>
    <w:rsid w:val="00F078DC"/>
    <w:rsid w:val="00F07C18"/>
    <w:rsid w:val="00F07F39"/>
    <w:rsid w:val="00F10F4B"/>
    <w:rsid w:val="00F13C43"/>
    <w:rsid w:val="00F14BB2"/>
    <w:rsid w:val="00F15330"/>
    <w:rsid w:val="00F156E6"/>
    <w:rsid w:val="00F164B0"/>
    <w:rsid w:val="00F16B9C"/>
    <w:rsid w:val="00F202D6"/>
    <w:rsid w:val="00F276AF"/>
    <w:rsid w:val="00F3084D"/>
    <w:rsid w:val="00F32E9E"/>
    <w:rsid w:val="00F3336C"/>
    <w:rsid w:val="00F34968"/>
    <w:rsid w:val="00F349EB"/>
    <w:rsid w:val="00F35696"/>
    <w:rsid w:val="00F35B17"/>
    <w:rsid w:val="00F36FD7"/>
    <w:rsid w:val="00F415BF"/>
    <w:rsid w:val="00F416A3"/>
    <w:rsid w:val="00F4579D"/>
    <w:rsid w:val="00F45FF8"/>
    <w:rsid w:val="00F4624D"/>
    <w:rsid w:val="00F46ED9"/>
    <w:rsid w:val="00F47CB0"/>
    <w:rsid w:val="00F507B0"/>
    <w:rsid w:val="00F508E1"/>
    <w:rsid w:val="00F549F0"/>
    <w:rsid w:val="00F57109"/>
    <w:rsid w:val="00F607ED"/>
    <w:rsid w:val="00F60E63"/>
    <w:rsid w:val="00F617CF"/>
    <w:rsid w:val="00F622C1"/>
    <w:rsid w:val="00F64ABC"/>
    <w:rsid w:val="00F64FD7"/>
    <w:rsid w:val="00F657E2"/>
    <w:rsid w:val="00F66642"/>
    <w:rsid w:val="00F66ADD"/>
    <w:rsid w:val="00F66E56"/>
    <w:rsid w:val="00F679A3"/>
    <w:rsid w:val="00F735AE"/>
    <w:rsid w:val="00F75810"/>
    <w:rsid w:val="00F75B71"/>
    <w:rsid w:val="00F769D3"/>
    <w:rsid w:val="00F76B13"/>
    <w:rsid w:val="00F77918"/>
    <w:rsid w:val="00F8067B"/>
    <w:rsid w:val="00F81D38"/>
    <w:rsid w:val="00F8215A"/>
    <w:rsid w:val="00F8349B"/>
    <w:rsid w:val="00F84476"/>
    <w:rsid w:val="00F849AF"/>
    <w:rsid w:val="00F84A1E"/>
    <w:rsid w:val="00F8537E"/>
    <w:rsid w:val="00F85A10"/>
    <w:rsid w:val="00F87169"/>
    <w:rsid w:val="00F87C4A"/>
    <w:rsid w:val="00F90533"/>
    <w:rsid w:val="00F91E1F"/>
    <w:rsid w:val="00F92130"/>
    <w:rsid w:val="00F929CE"/>
    <w:rsid w:val="00F93696"/>
    <w:rsid w:val="00F9614A"/>
    <w:rsid w:val="00F96641"/>
    <w:rsid w:val="00F966A9"/>
    <w:rsid w:val="00F96818"/>
    <w:rsid w:val="00F96AAE"/>
    <w:rsid w:val="00FA2728"/>
    <w:rsid w:val="00FA2933"/>
    <w:rsid w:val="00FA4AA9"/>
    <w:rsid w:val="00FA64FA"/>
    <w:rsid w:val="00FB0796"/>
    <w:rsid w:val="00FB1467"/>
    <w:rsid w:val="00FB15BE"/>
    <w:rsid w:val="00FB1C0D"/>
    <w:rsid w:val="00FB1F97"/>
    <w:rsid w:val="00FB26A7"/>
    <w:rsid w:val="00FB3C3D"/>
    <w:rsid w:val="00FB4048"/>
    <w:rsid w:val="00FB609D"/>
    <w:rsid w:val="00FB672C"/>
    <w:rsid w:val="00FC01D2"/>
    <w:rsid w:val="00FC3B6D"/>
    <w:rsid w:val="00FC3C4F"/>
    <w:rsid w:val="00FC586A"/>
    <w:rsid w:val="00FC5885"/>
    <w:rsid w:val="00FC6291"/>
    <w:rsid w:val="00FD2E52"/>
    <w:rsid w:val="00FD35D3"/>
    <w:rsid w:val="00FD46C8"/>
    <w:rsid w:val="00FD6793"/>
    <w:rsid w:val="00FD6F90"/>
    <w:rsid w:val="00FD71AC"/>
    <w:rsid w:val="00FE1A1A"/>
    <w:rsid w:val="00FE25D5"/>
    <w:rsid w:val="00FE260C"/>
    <w:rsid w:val="00FE2B44"/>
    <w:rsid w:val="00FE4141"/>
    <w:rsid w:val="00FE4FBD"/>
    <w:rsid w:val="00FE5D12"/>
    <w:rsid w:val="00FE6151"/>
    <w:rsid w:val="00FE69CB"/>
    <w:rsid w:val="00FE6DC7"/>
    <w:rsid w:val="00FE7499"/>
    <w:rsid w:val="00FF2A22"/>
    <w:rsid w:val="00FF2A54"/>
    <w:rsid w:val="00FF408A"/>
    <w:rsid w:val="00FF4308"/>
    <w:rsid w:val="00FF443F"/>
    <w:rsid w:val="00FF48AC"/>
    <w:rsid w:val="00FF4FE9"/>
    <w:rsid w:val="00FF664E"/>
    <w:rsid w:val="01026637"/>
    <w:rsid w:val="012F6531"/>
    <w:rsid w:val="015526F6"/>
    <w:rsid w:val="01583B17"/>
    <w:rsid w:val="015D11CD"/>
    <w:rsid w:val="017A004D"/>
    <w:rsid w:val="018A171A"/>
    <w:rsid w:val="01AA467D"/>
    <w:rsid w:val="01AA7F44"/>
    <w:rsid w:val="01C37F52"/>
    <w:rsid w:val="01E43A29"/>
    <w:rsid w:val="01F86AA7"/>
    <w:rsid w:val="02137583"/>
    <w:rsid w:val="023467D6"/>
    <w:rsid w:val="029E5780"/>
    <w:rsid w:val="02A26D68"/>
    <w:rsid w:val="02E1657F"/>
    <w:rsid w:val="03317A82"/>
    <w:rsid w:val="03953A1F"/>
    <w:rsid w:val="03C43FC1"/>
    <w:rsid w:val="03C47473"/>
    <w:rsid w:val="03EE5F86"/>
    <w:rsid w:val="03F540DB"/>
    <w:rsid w:val="03FA6D38"/>
    <w:rsid w:val="040E62F2"/>
    <w:rsid w:val="049D062F"/>
    <w:rsid w:val="04B67568"/>
    <w:rsid w:val="04BE225E"/>
    <w:rsid w:val="04D37C42"/>
    <w:rsid w:val="04E02E3C"/>
    <w:rsid w:val="0502540D"/>
    <w:rsid w:val="05AA5499"/>
    <w:rsid w:val="05B02190"/>
    <w:rsid w:val="05E735C9"/>
    <w:rsid w:val="05EB65B6"/>
    <w:rsid w:val="06A11014"/>
    <w:rsid w:val="06AC335E"/>
    <w:rsid w:val="06C70DC5"/>
    <w:rsid w:val="06E06EB9"/>
    <w:rsid w:val="06E74B4A"/>
    <w:rsid w:val="06F038FC"/>
    <w:rsid w:val="0790271A"/>
    <w:rsid w:val="07AD09D8"/>
    <w:rsid w:val="07D9365B"/>
    <w:rsid w:val="07DE1CC2"/>
    <w:rsid w:val="07F13DD2"/>
    <w:rsid w:val="08147475"/>
    <w:rsid w:val="08375362"/>
    <w:rsid w:val="08393EE6"/>
    <w:rsid w:val="084B5F6D"/>
    <w:rsid w:val="08523C23"/>
    <w:rsid w:val="087578E8"/>
    <w:rsid w:val="087D58E7"/>
    <w:rsid w:val="088E0183"/>
    <w:rsid w:val="089C7DAA"/>
    <w:rsid w:val="08CA465E"/>
    <w:rsid w:val="08FC63B0"/>
    <w:rsid w:val="090754E0"/>
    <w:rsid w:val="0915338B"/>
    <w:rsid w:val="0943482A"/>
    <w:rsid w:val="095476B1"/>
    <w:rsid w:val="09587AD8"/>
    <w:rsid w:val="0975004C"/>
    <w:rsid w:val="097D0FA6"/>
    <w:rsid w:val="099B2330"/>
    <w:rsid w:val="09B9389A"/>
    <w:rsid w:val="09E54AF3"/>
    <w:rsid w:val="09F909CC"/>
    <w:rsid w:val="0A9E1C57"/>
    <w:rsid w:val="0AAD1CF8"/>
    <w:rsid w:val="0AC262AF"/>
    <w:rsid w:val="0AF01F15"/>
    <w:rsid w:val="0B0D707C"/>
    <w:rsid w:val="0B1C3A38"/>
    <w:rsid w:val="0B4348D7"/>
    <w:rsid w:val="0B441393"/>
    <w:rsid w:val="0B51619F"/>
    <w:rsid w:val="0B781CBF"/>
    <w:rsid w:val="0B8913A2"/>
    <w:rsid w:val="0BB37FA4"/>
    <w:rsid w:val="0BFA708D"/>
    <w:rsid w:val="0BFD7AE7"/>
    <w:rsid w:val="0C095C2C"/>
    <w:rsid w:val="0C142811"/>
    <w:rsid w:val="0C1A645A"/>
    <w:rsid w:val="0C25564D"/>
    <w:rsid w:val="0C60163F"/>
    <w:rsid w:val="0C8A0C90"/>
    <w:rsid w:val="0CDE7230"/>
    <w:rsid w:val="0D3E7BD1"/>
    <w:rsid w:val="0D7E57B7"/>
    <w:rsid w:val="0D83430F"/>
    <w:rsid w:val="0DF6797D"/>
    <w:rsid w:val="0E551719"/>
    <w:rsid w:val="0E656F40"/>
    <w:rsid w:val="0E732E9D"/>
    <w:rsid w:val="0E8025FB"/>
    <w:rsid w:val="0EAD7A30"/>
    <w:rsid w:val="0EB7321C"/>
    <w:rsid w:val="0EC3668B"/>
    <w:rsid w:val="0ED9130A"/>
    <w:rsid w:val="0EEE37B4"/>
    <w:rsid w:val="0EEE72F6"/>
    <w:rsid w:val="0EEF3B6D"/>
    <w:rsid w:val="0F18454D"/>
    <w:rsid w:val="0F563250"/>
    <w:rsid w:val="0F757274"/>
    <w:rsid w:val="0F7B6D86"/>
    <w:rsid w:val="0FA049C5"/>
    <w:rsid w:val="100A56E5"/>
    <w:rsid w:val="1015296A"/>
    <w:rsid w:val="10290F0A"/>
    <w:rsid w:val="10873214"/>
    <w:rsid w:val="10996E23"/>
    <w:rsid w:val="10CD53CD"/>
    <w:rsid w:val="10D910AC"/>
    <w:rsid w:val="10DB2049"/>
    <w:rsid w:val="117008EA"/>
    <w:rsid w:val="119E784A"/>
    <w:rsid w:val="11CF58CD"/>
    <w:rsid w:val="11E93E30"/>
    <w:rsid w:val="120C5428"/>
    <w:rsid w:val="1215334A"/>
    <w:rsid w:val="1223540C"/>
    <w:rsid w:val="12306275"/>
    <w:rsid w:val="12470A0B"/>
    <w:rsid w:val="12541379"/>
    <w:rsid w:val="1280341C"/>
    <w:rsid w:val="12D84FD5"/>
    <w:rsid w:val="12E4664C"/>
    <w:rsid w:val="13323FAC"/>
    <w:rsid w:val="13C3798B"/>
    <w:rsid w:val="13F14325"/>
    <w:rsid w:val="13F32CA8"/>
    <w:rsid w:val="13FC430A"/>
    <w:rsid w:val="14AC25DE"/>
    <w:rsid w:val="14B35714"/>
    <w:rsid w:val="14EF355C"/>
    <w:rsid w:val="152768D8"/>
    <w:rsid w:val="15356A64"/>
    <w:rsid w:val="162B62E9"/>
    <w:rsid w:val="16844339"/>
    <w:rsid w:val="16933C4A"/>
    <w:rsid w:val="169E0698"/>
    <w:rsid w:val="16EB7FA4"/>
    <w:rsid w:val="16FC2501"/>
    <w:rsid w:val="177D3A9B"/>
    <w:rsid w:val="179B7A23"/>
    <w:rsid w:val="17AF6944"/>
    <w:rsid w:val="17BC13D2"/>
    <w:rsid w:val="17C42F60"/>
    <w:rsid w:val="17D10464"/>
    <w:rsid w:val="17EB2972"/>
    <w:rsid w:val="17FC5942"/>
    <w:rsid w:val="18014676"/>
    <w:rsid w:val="180A4EFC"/>
    <w:rsid w:val="18153111"/>
    <w:rsid w:val="18293A62"/>
    <w:rsid w:val="1831127B"/>
    <w:rsid w:val="183F3BEF"/>
    <w:rsid w:val="186F6EC0"/>
    <w:rsid w:val="187D5EF8"/>
    <w:rsid w:val="189F488C"/>
    <w:rsid w:val="190E24E6"/>
    <w:rsid w:val="19134BD1"/>
    <w:rsid w:val="192C39DF"/>
    <w:rsid w:val="193E60EE"/>
    <w:rsid w:val="1996299E"/>
    <w:rsid w:val="19A228BF"/>
    <w:rsid w:val="19B619E8"/>
    <w:rsid w:val="19C95B31"/>
    <w:rsid w:val="19D61A27"/>
    <w:rsid w:val="19D91860"/>
    <w:rsid w:val="19E70A3A"/>
    <w:rsid w:val="19E814BD"/>
    <w:rsid w:val="19EC5BA4"/>
    <w:rsid w:val="1A171DEC"/>
    <w:rsid w:val="1A3D688E"/>
    <w:rsid w:val="1A427461"/>
    <w:rsid w:val="1A4D58E6"/>
    <w:rsid w:val="1A9411A5"/>
    <w:rsid w:val="1A9D6100"/>
    <w:rsid w:val="1AB34E0F"/>
    <w:rsid w:val="1AC3220D"/>
    <w:rsid w:val="1AD67BC3"/>
    <w:rsid w:val="1AFD01FC"/>
    <w:rsid w:val="1AFD6AB0"/>
    <w:rsid w:val="1B0D38DF"/>
    <w:rsid w:val="1B20550F"/>
    <w:rsid w:val="1B40753A"/>
    <w:rsid w:val="1B660387"/>
    <w:rsid w:val="1B684210"/>
    <w:rsid w:val="1B795F34"/>
    <w:rsid w:val="1BAB7CB5"/>
    <w:rsid w:val="1BC94A3F"/>
    <w:rsid w:val="1BF508C5"/>
    <w:rsid w:val="1C227730"/>
    <w:rsid w:val="1C48610B"/>
    <w:rsid w:val="1C5A3C93"/>
    <w:rsid w:val="1C9D611F"/>
    <w:rsid w:val="1CE32A6B"/>
    <w:rsid w:val="1D18397A"/>
    <w:rsid w:val="1D1C1C5D"/>
    <w:rsid w:val="1D99336A"/>
    <w:rsid w:val="1DA557B9"/>
    <w:rsid w:val="1DC00260"/>
    <w:rsid w:val="1DC30D26"/>
    <w:rsid w:val="1DEE0128"/>
    <w:rsid w:val="1DF467B3"/>
    <w:rsid w:val="1DFA1AA6"/>
    <w:rsid w:val="1E6B1F65"/>
    <w:rsid w:val="1E6F248C"/>
    <w:rsid w:val="1E755389"/>
    <w:rsid w:val="1E782CFA"/>
    <w:rsid w:val="1E9A29BD"/>
    <w:rsid w:val="1EB7451C"/>
    <w:rsid w:val="1EDF7F79"/>
    <w:rsid w:val="1EE3240C"/>
    <w:rsid w:val="1EE3418D"/>
    <w:rsid w:val="1F012A08"/>
    <w:rsid w:val="1F3244CE"/>
    <w:rsid w:val="1F422D48"/>
    <w:rsid w:val="1F456D0F"/>
    <w:rsid w:val="1F4758F7"/>
    <w:rsid w:val="1F495180"/>
    <w:rsid w:val="1F4B120E"/>
    <w:rsid w:val="1F656B41"/>
    <w:rsid w:val="1F6A589A"/>
    <w:rsid w:val="1FB217EE"/>
    <w:rsid w:val="1FDE0176"/>
    <w:rsid w:val="1FE725CB"/>
    <w:rsid w:val="201F309C"/>
    <w:rsid w:val="204A197D"/>
    <w:rsid w:val="206C4619"/>
    <w:rsid w:val="2080074D"/>
    <w:rsid w:val="20C67CE1"/>
    <w:rsid w:val="20CC7340"/>
    <w:rsid w:val="21020DD9"/>
    <w:rsid w:val="211C5AA8"/>
    <w:rsid w:val="21287AAE"/>
    <w:rsid w:val="21717559"/>
    <w:rsid w:val="2174661B"/>
    <w:rsid w:val="21BC7FE7"/>
    <w:rsid w:val="21C2460D"/>
    <w:rsid w:val="21F641C8"/>
    <w:rsid w:val="21FC3F25"/>
    <w:rsid w:val="220F0817"/>
    <w:rsid w:val="2216545C"/>
    <w:rsid w:val="22187A10"/>
    <w:rsid w:val="22463E3C"/>
    <w:rsid w:val="227B6E4F"/>
    <w:rsid w:val="23541D84"/>
    <w:rsid w:val="238F1B3F"/>
    <w:rsid w:val="23AE0AFD"/>
    <w:rsid w:val="23BC6016"/>
    <w:rsid w:val="23D9227D"/>
    <w:rsid w:val="2406396D"/>
    <w:rsid w:val="247A3B89"/>
    <w:rsid w:val="24A46CB3"/>
    <w:rsid w:val="24A829AF"/>
    <w:rsid w:val="24FD0384"/>
    <w:rsid w:val="25412BD2"/>
    <w:rsid w:val="25526E66"/>
    <w:rsid w:val="2561687F"/>
    <w:rsid w:val="258D1553"/>
    <w:rsid w:val="25994BCF"/>
    <w:rsid w:val="25DA3152"/>
    <w:rsid w:val="25E8386E"/>
    <w:rsid w:val="26000C3A"/>
    <w:rsid w:val="26024A18"/>
    <w:rsid w:val="26025DBB"/>
    <w:rsid w:val="26107CFC"/>
    <w:rsid w:val="263F51FE"/>
    <w:rsid w:val="26A111BC"/>
    <w:rsid w:val="26AD7626"/>
    <w:rsid w:val="27112091"/>
    <w:rsid w:val="27133AC9"/>
    <w:rsid w:val="276510B9"/>
    <w:rsid w:val="277749BC"/>
    <w:rsid w:val="2784604A"/>
    <w:rsid w:val="27AC65DA"/>
    <w:rsid w:val="27B31333"/>
    <w:rsid w:val="27BD6278"/>
    <w:rsid w:val="28490AE1"/>
    <w:rsid w:val="284B0AFF"/>
    <w:rsid w:val="2850422B"/>
    <w:rsid w:val="288D78CB"/>
    <w:rsid w:val="28947F43"/>
    <w:rsid w:val="289E757B"/>
    <w:rsid w:val="28C66BE0"/>
    <w:rsid w:val="28C94F85"/>
    <w:rsid w:val="29282836"/>
    <w:rsid w:val="293E174E"/>
    <w:rsid w:val="294E39EE"/>
    <w:rsid w:val="29955175"/>
    <w:rsid w:val="29EC6114"/>
    <w:rsid w:val="2A233EC4"/>
    <w:rsid w:val="2A42504E"/>
    <w:rsid w:val="2A5F09D2"/>
    <w:rsid w:val="2A81520E"/>
    <w:rsid w:val="2A950CB9"/>
    <w:rsid w:val="2AE40825"/>
    <w:rsid w:val="2AE64F3B"/>
    <w:rsid w:val="2AE96D79"/>
    <w:rsid w:val="2B5F5D6D"/>
    <w:rsid w:val="2B8726F6"/>
    <w:rsid w:val="2BA467DB"/>
    <w:rsid w:val="2BAC0E1B"/>
    <w:rsid w:val="2BCD7688"/>
    <w:rsid w:val="2C2D32DE"/>
    <w:rsid w:val="2C546594"/>
    <w:rsid w:val="2CC15093"/>
    <w:rsid w:val="2CDD6D23"/>
    <w:rsid w:val="2CE439C5"/>
    <w:rsid w:val="2D074F37"/>
    <w:rsid w:val="2D473EB8"/>
    <w:rsid w:val="2D4D421D"/>
    <w:rsid w:val="2D4E11B8"/>
    <w:rsid w:val="2D4E1BC0"/>
    <w:rsid w:val="2D89591F"/>
    <w:rsid w:val="2D946C86"/>
    <w:rsid w:val="2DDE6D73"/>
    <w:rsid w:val="2DFB5192"/>
    <w:rsid w:val="2E395342"/>
    <w:rsid w:val="2E6840C9"/>
    <w:rsid w:val="2E712B0A"/>
    <w:rsid w:val="2EB26BE3"/>
    <w:rsid w:val="2EE63B48"/>
    <w:rsid w:val="2EF85E2C"/>
    <w:rsid w:val="2F0A2219"/>
    <w:rsid w:val="2F233DFC"/>
    <w:rsid w:val="2F2A1FB0"/>
    <w:rsid w:val="2F4879D2"/>
    <w:rsid w:val="2F666874"/>
    <w:rsid w:val="2F6C04E8"/>
    <w:rsid w:val="2F917C50"/>
    <w:rsid w:val="2FB03E01"/>
    <w:rsid w:val="2FD85612"/>
    <w:rsid w:val="2FDF308B"/>
    <w:rsid w:val="2FED31A4"/>
    <w:rsid w:val="2FED4C3D"/>
    <w:rsid w:val="30007555"/>
    <w:rsid w:val="30624425"/>
    <w:rsid w:val="30696528"/>
    <w:rsid w:val="307D33BC"/>
    <w:rsid w:val="309C4EE6"/>
    <w:rsid w:val="30A24262"/>
    <w:rsid w:val="31011CAB"/>
    <w:rsid w:val="3105069B"/>
    <w:rsid w:val="311C61EF"/>
    <w:rsid w:val="31330D53"/>
    <w:rsid w:val="31440242"/>
    <w:rsid w:val="31540F86"/>
    <w:rsid w:val="31621E34"/>
    <w:rsid w:val="31703FE9"/>
    <w:rsid w:val="318D2525"/>
    <w:rsid w:val="318D57EA"/>
    <w:rsid w:val="31F302A2"/>
    <w:rsid w:val="320D4BA0"/>
    <w:rsid w:val="320F08D7"/>
    <w:rsid w:val="322341A3"/>
    <w:rsid w:val="32674EDB"/>
    <w:rsid w:val="32906254"/>
    <w:rsid w:val="329D3B01"/>
    <w:rsid w:val="32CB093C"/>
    <w:rsid w:val="32D01C91"/>
    <w:rsid w:val="32F73068"/>
    <w:rsid w:val="331337DF"/>
    <w:rsid w:val="33402AB1"/>
    <w:rsid w:val="33900270"/>
    <w:rsid w:val="33CC0E26"/>
    <w:rsid w:val="33E36CF5"/>
    <w:rsid w:val="33F44BB3"/>
    <w:rsid w:val="340371D5"/>
    <w:rsid w:val="34C038D0"/>
    <w:rsid w:val="34D25CCA"/>
    <w:rsid w:val="34D96007"/>
    <w:rsid w:val="34DD74E5"/>
    <w:rsid w:val="34ED14DC"/>
    <w:rsid w:val="34FE2A23"/>
    <w:rsid w:val="35065DD6"/>
    <w:rsid w:val="35086ADC"/>
    <w:rsid w:val="350C25E8"/>
    <w:rsid w:val="352D6AB2"/>
    <w:rsid w:val="353B4710"/>
    <w:rsid w:val="3544158D"/>
    <w:rsid w:val="354F4233"/>
    <w:rsid w:val="35592AAC"/>
    <w:rsid w:val="35724FEB"/>
    <w:rsid w:val="359D4998"/>
    <w:rsid w:val="36315381"/>
    <w:rsid w:val="367B7B47"/>
    <w:rsid w:val="36AD1BC9"/>
    <w:rsid w:val="36C844EB"/>
    <w:rsid w:val="37170C10"/>
    <w:rsid w:val="371E13E2"/>
    <w:rsid w:val="37537346"/>
    <w:rsid w:val="375A0ADE"/>
    <w:rsid w:val="375D770A"/>
    <w:rsid w:val="375F25F9"/>
    <w:rsid w:val="37832D60"/>
    <w:rsid w:val="378D66A4"/>
    <w:rsid w:val="379B43B2"/>
    <w:rsid w:val="37AF5D39"/>
    <w:rsid w:val="37DD403B"/>
    <w:rsid w:val="380D6774"/>
    <w:rsid w:val="38283FC0"/>
    <w:rsid w:val="38684E44"/>
    <w:rsid w:val="38904518"/>
    <w:rsid w:val="38C04B0D"/>
    <w:rsid w:val="38E23656"/>
    <w:rsid w:val="39110A0C"/>
    <w:rsid w:val="3922119F"/>
    <w:rsid w:val="39674A58"/>
    <w:rsid w:val="39846C86"/>
    <w:rsid w:val="398A7FB7"/>
    <w:rsid w:val="39A042F7"/>
    <w:rsid w:val="39CF4DFD"/>
    <w:rsid w:val="39CF7234"/>
    <w:rsid w:val="3A166C37"/>
    <w:rsid w:val="3A533760"/>
    <w:rsid w:val="3A561958"/>
    <w:rsid w:val="3A5D6F69"/>
    <w:rsid w:val="3A6D2950"/>
    <w:rsid w:val="3AC74096"/>
    <w:rsid w:val="3ACC5038"/>
    <w:rsid w:val="3AFB08F6"/>
    <w:rsid w:val="3B4E3471"/>
    <w:rsid w:val="3B9D6CB7"/>
    <w:rsid w:val="3BA72A7E"/>
    <w:rsid w:val="3BBC6705"/>
    <w:rsid w:val="3BC32214"/>
    <w:rsid w:val="3BF33A92"/>
    <w:rsid w:val="3C082A5D"/>
    <w:rsid w:val="3C0B267B"/>
    <w:rsid w:val="3C340E6D"/>
    <w:rsid w:val="3C36282A"/>
    <w:rsid w:val="3C3F0A85"/>
    <w:rsid w:val="3C4A07B2"/>
    <w:rsid w:val="3C5617CC"/>
    <w:rsid w:val="3C766B03"/>
    <w:rsid w:val="3C817DC7"/>
    <w:rsid w:val="3C97266F"/>
    <w:rsid w:val="3D076F2B"/>
    <w:rsid w:val="3D3C2AD6"/>
    <w:rsid w:val="3D570EB8"/>
    <w:rsid w:val="3D5F338D"/>
    <w:rsid w:val="3D7E55D1"/>
    <w:rsid w:val="3D86409C"/>
    <w:rsid w:val="3D9D1513"/>
    <w:rsid w:val="3DB2599E"/>
    <w:rsid w:val="3E115286"/>
    <w:rsid w:val="3E4A7708"/>
    <w:rsid w:val="3E527279"/>
    <w:rsid w:val="3E6D574F"/>
    <w:rsid w:val="3E8D5FB7"/>
    <w:rsid w:val="3E9F501B"/>
    <w:rsid w:val="3EA5780B"/>
    <w:rsid w:val="3F204A39"/>
    <w:rsid w:val="3F446F89"/>
    <w:rsid w:val="3F6018C4"/>
    <w:rsid w:val="3F677693"/>
    <w:rsid w:val="3F677A31"/>
    <w:rsid w:val="3F880A18"/>
    <w:rsid w:val="3F9D7A12"/>
    <w:rsid w:val="3FA21671"/>
    <w:rsid w:val="3FA246A1"/>
    <w:rsid w:val="3FB35A12"/>
    <w:rsid w:val="3FB632C7"/>
    <w:rsid w:val="3FC764F7"/>
    <w:rsid w:val="3FCE09AB"/>
    <w:rsid w:val="3FDF03F4"/>
    <w:rsid w:val="3FE659CA"/>
    <w:rsid w:val="3FE9035D"/>
    <w:rsid w:val="3FEEA4CB"/>
    <w:rsid w:val="3FF81933"/>
    <w:rsid w:val="40425B82"/>
    <w:rsid w:val="40460AEF"/>
    <w:rsid w:val="405269E6"/>
    <w:rsid w:val="40760CD9"/>
    <w:rsid w:val="4099611D"/>
    <w:rsid w:val="40D43E92"/>
    <w:rsid w:val="40FD3EC4"/>
    <w:rsid w:val="4106443B"/>
    <w:rsid w:val="410E76D9"/>
    <w:rsid w:val="410F79D5"/>
    <w:rsid w:val="412B09CA"/>
    <w:rsid w:val="41582EBC"/>
    <w:rsid w:val="41C9034C"/>
    <w:rsid w:val="41D573D6"/>
    <w:rsid w:val="42511A0D"/>
    <w:rsid w:val="4289725D"/>
    <w:rsid w:val="428A44BD"/>
    <w:rsid w:val="428C6C4F"/>
    <w:rsid w:val="42AD334B"/>
    <w:rsid w:val="42D276C6"/>
    <w:rsid w:val="42ED271E"/>
    <w:rsid w:val="43057965"/>
    <w:rsid w:val="431B7BEF"/>
    <w:rsid w:val="432D79AD"/>
    <w:rsid w:val="433D7244"/>
    <w:rsid w:val="43522735"/>
    <w:rsid w:val="436704BF"/>
    <w:rsid w:val="437368C4"/>
    <w:rsid w:val="438F2FC3"/>
    <w:rsid w:val="43D76424"/>
    <w:rsid w:val="443B052A"/>
    <w:rsid w:val="443C3663"/>
    <w:rsid w:val="4452236A"/>
    <w:rsid w:val="44534092"/>
    <w:rsid w:val="44BB1EB4"/>
    <w:rsid w:val="44C20EA0"/>
    <w:rsid w:val="44CE4904"/>
    <w:rsid w:val="4534794B"/>
    <w:rsid w:val="457311A6"/>
    <w:rsid w:val="45B04CCB"/>
    <w:rsid w:val="46184820"/>
    <w:rsid w:val="4689334F"/>
    <w:rsid w:val="469301B8"/>
    <w:rsid w:val="46983BAD"/>
    <w:rsid w:val="46BD1075"/>
    <w:rsid w:val="46D863A6"/>
    <w:rsid w:val="46DF0E9A"/>
    <w:rsid w:val="46EF46F6"/>
    <w:rsid w:val="470F0555"/>
    <w:rsid w:val="47140C94"/>
    <w:rsid w:val="47264254"/>
    <w:rsid w:val="47641572"/>
    <w:rsid w:val="47711830"/>
    <w:rsid w:val="477737C9"/>
    <w:rsid w:val="47947ED7"/>
    <w:rsid w:val="47EE0FE4"/>
    <w:rsid w:val="48333868"/>
    <w:rsid w:val="48377D91"/>
    <w:rsid w:val="4844740A"/>
    <w:rsid w:val="48480BDD"/>
    <w:rsid w:val="48BA4E3B"/>
    <w:rsid w:val="491D125E"/>
    <w:rsid w:val="492B0A3B"/>
    <w:rsid w:val="49374FBE"/>
    <w:rsid w:val="4938092B"/>
    <w:rsid w:val="495F103C"/>
    <w:rsid w:val="495F31B8"/>
    <w:rsid w:val="49685C25"/>
    <w:rsid w:val="49864A59"/>
    <w:rsid w:val="4991236B"/>
    <w:rsid w:val="49C3733F"/>
    <w:rsid w:val="49CB139A"/>
    <w:rsid w:val="4A3B218B"/>
    <w:rsid w:val="4A7C7F8F"/>
    <w:rsid w:val="4B2F2836"/>
    <w:rsid w:val="4B5D77FE"/>
    <w:rsid w:val="4B662180"/>
    <w:rsid w:val="4B68502C"/>
    <w:rsid w:val="4B904744"/>
    <w:rsid w:val="4B976800"/>
    <w:rsid w:val="4BC85129"/>
    <w:rsid w:val="4BCF2E1C"/>
    <w:rsid w:val="4BDE0AD1"/>
    <w:rsid w:val="4BDF0D6C"/>
    <w:rsid w:val="4BE202E2"/>
    <w:rsid w:val="4BF8070C"/>
    <w:rsid w:val="4C2A312F"/>
    <w:rsid w:val="4C3C5DE2"/>
    <w:rsid w:val="4C525195"/>
    <w:rsid w:val="4C7376AB"/>
    <w:rsid w:val="4CAF7389"/>
    <w:rsid w:val="4CB22D83"/>
    <w:rsid w:val="4CB410BA"/>
    <w:rsid w:val="4CC97324"/>
    <w:rsid w:val="4CCC75F4"/>
    <w:rsid w:val="4CDB5999"/>
    <w:rsid w:val="4CE70BAF"/>
    <w:rsid w:val="4CF642CA"/>
    <w:rsid w:val="4D32625D"/>
    <w:rsid w:val="4D9012EC"/>
    <w:rsid w:val="4D9466DF"/>
    <w:rsid w:val="4DBF477E"/>
    <w:rsid w:val="4DC04257"/>
    <w:rsid w:val="4DEF107C"/>
    <w:rsid w:val="4E1C0791"/>
    <w:rsid w:val="4E7611DE"/>
    <w:rsid w:val="4E85660D"/>
    <w:rsid w:val="4E8A0CBC"/>
    <w:rsid w:val="4EC11CFF"/>
    <w:rsid w:val="4EDF59AF"/>
    <w:rsid w:val="4EE40DDC"/>
    <w:rsid w:val="4EE81FF4"/>
    <w:rsid w:val="4F192B25"/>
    <w:rsid w:val="4F3F4BCC"/>
    <w:rsid w:val="4F40001A"/>
    <w:rsid w:val="4F47427C"/>
    <w:rsid w:val="4F4A54F8"/>
    <w:rsid w:val="4F6500C3"/>
    <w:rsid w:val="4F661F7E"/>
    <w:rsid w:val="4F9C3DCC"/>
    <w:rsid w:val="4FD1635E"/>
    <w:rsid w:val="4FDF52D5"/>
    <w:rsid w:val="4FE96ADF"/>
    <w:rsid w:val="4FED68DC"/>
    <w:rsid w:val="501C6439"/>
    <w:rsid w:val="50611F26"/>
    <w:rsid w:val="50664FBE"/>
    <w:rsid w:val="50742907"/>
    <w:rsid w:val="508B403A"/>
    <w:rsid w:val="50A414E4"/>
    <w:rsid w:val="50DD1205"/>
    <w:rsid w:val="50F15D58"/>
    <w:rsid w:val="51093BB7"/>
    <w:rsid w:val="5146430B"/>
    <w:rsid w:val="516B5AFB"/>
    <w:rsid w:val="516D15EF"/>
    <w:rsid w:val="516F7A6A"/>
    <w:rsid w:val="51C274C6"/>
    <w:rsid w:val="526470E2"/>
    <w:rsid w:val="527F6064"/>
    <w:rsid w:val="52861EB7"/>
    <w:rsid w:val="528F2678"/>
    <w:rsid w:val="52C052D1"/>
    <w:rsid w:val="52D21236"/>
    <w:rsid w:val="52D95BAA"/>
    <w:rsid w:val="52FD45C2"/>
    <w:rsid w:val="53052749"/>
    <w:rsid w:val="5344299E"/>
    <w:rsid w:val="53567FA9"/>
    <w:rsid w:val="537A4878"/>
    <w:rsid w:val="53884D49"/>
    <w:rsid w:val="53893EEA"/>
    <w:rsid w:val="539C626A"/>
    <w:rsid w:val="53CE00B8"/>
    <w:rsid w:val="5454568C"/>
    <w:rsid w:val="5473068E"/>
    <w:rsid w:val="54856274"/>
    <w:rsid w:val="54A9517E"/>
    <w:rsid w:val="54D54DCE"/>
    <w:rsid w:val="54E86B55"/>
    <w:rsid w:val="553116DC"/>
    <w:rsid w:val="553B3C48"/>
    <w:rsid w:val="554D3CEE"/>
    <w:rsid w:val="55772025"/>
    <w:rsid w:val="559E4E2C"/>
    <w:rsid w:val="55C51201"/>
    <w:rsid w:val="56085A32"/>
    <w:rsid w:val="56815ACA"/>
    <w:rsid w:val="56851442"/>
    <w:rsid w:val="56891F7D"/>
    <w:rsid w:val="56DD102C"/>
    <w:rsid w:val="57036D60"/>
    <w:rsid w:val="573E7448"/>
    <w:rsid w:val="576A4745"/>
    <w:rsid w:val="5782249F"/>
    <w:rsid w:val="57BD5E4D"/>
    <w:rsid w:val="57E835A4"/>
    <w:rsid w:val="57ED3B31"/>
    <w:rsid w:val="584118DE"/>
    <w:rsid w:val="585020FE"/>
    <w:rsid w:val="58550366"/>
    <w:rsid w:val="58693E66"/>
    <w:rsid w:val="588C1193"/>
    <w:rsid w:val="58A322AF"/>
    <w:rsid w:val="59405516"/>
    <w:rsid w:val="594B0060"/>
    <w:rsid w:val="594B715D"/>
    <w:rsid w:val="598B4EA5"/>
    <w:rsid w:val="59D94150"/>
    <w:rsid w:val="59DD3B06"/>
    <w:rsid w:val="59FB24F3"/>
    <w:rsid w:val="5A504690"/>
    <w:rsid w:val="5A8F542C"/>
    <w:rsid w:val="5A9A7B7F"/>
    <w:rsid w:val="5AA020E9"/>
    <w:rsid w:val="5B051E5B"/>
    <w:rsid w:val="5B095BF3"/>
    <w:rsid w:val="5B2F1989"/>
    <w:rsid w:val="5B6921A3"/>
    <w:rsid w:val="5B865977"/>
    <w:rsid w:val="5B9B5A43"/>
    <w:rsid w:val="5BA03029"/>
    <w:rsid w:val="5BA2180E"/>
    <w:rsid w:val="5BBC43EF"/>
    <w:rsid w:val="5C130DBF"/>
    <w:rsid w:val="5C185B49"/>
    <w:rsid w:val="5C3133C9"/>
    <w:rsid w:val="5C4F1667"/>
    <w:rsid w:val="5C5D752A"/>
    <w:rsid w:val="5C9D1A2D"/>
    <w:rsid w:val="5D0224F7"/>
    <w:rsid w:val="5D0653C7"/>
    <w:rsid w:val="5D4D125B"/>
    <w:rsid w:val="5D773E9C"/>
    <w:rsid w:val="5D9F728B"/>
    <w:rsid w:val="5DB652C3"/>
    <w:rsid w:val="5DBE4DB2"/>
    <w:rsid w:val="5DC30428"/>
    <w:rsid w:val="5DEA69EF"/>
    <w:rsid w:val="5E032983"/>
    <w:rsid w:val="5E07476C"/>
    <w:rsid w:val="5E215F67"/>
    <w:rsid w:val="5E536126"/>
    <w:rsid w:val="5E6815AA"/>
    <w:rsid w:val="5EAB75F6"/>
    <w:rsid w:val="5ECF7E48"/>
    <w:rsid w:val="5F1078D8"/>
    <w:rsid w:val="5F534870"/>
    <w:rsid w:val="5F5F147F"/>
    <w:rsid w:val="5F6B21B9"/>
    <w:rsid w:val="5F6E04A9"/>
    <w:rsid w:val="5F7B4BF2"/>
    <w:rsid w:val="5F8140E8"/>
    <w:rsid w:val="5FA111C0"/>
    <w:rsid w:val="5FA840C8"/>
    <w:rsid w:val="5FC1274C"/>
    <w:rsid w:val="5FD17D97"/>
    <w:rsid w:val="5FEC7770"/>
    <w:rsid w:val="5FEE44DB"/>
    <w:rsid w:val="5FF3306A"/>
    <w:rsid w:val="600953A1"/>
    <w:rsid w:val="60226E2F"/>
    <w:rsid w:val="60796F62"/>
    <w:rsid w:val="60AB52CC"/>
    <w:rsid w:val="60E51090"/>
    <w:rsid w:val="610721DF"/>
    <w:rsid w:val="61226F84"/>
    <w:rsid w:val="612F5D3F"/>
    <w:rsid w:val="61373E01"/>
    <w:rsid w:val="614B7400"/>
    <w:rsid w:val="616E25C0"/>
    <w:rsid w:val="61756C9F"/>
    <w:rsid w:val="617E675E"/>
    <w:rsid w:val="618D52F4"/>
    <w:rsid w:val="61BF21CE"/>
    <w:rsid w:val="61FE23EC"/>
    <w:rsid w:val="62006664"/>
    <w:rsid w:val="620C6DA4"/>
    <w:rsid w:val="625857EF"/>
    <w:rsid w:val="6269217D"/>
    <w:rsid w:val="6269725C"/>
    <w:rsid w:val="62AC30A7"/>
    <w:rsid w:val="62B9556C"/>
    <w:rsid w:val="62E21FE6"/>
    <w:rsid w:val="63477CBA"/>
    <w:rsid w:val="63562B36"/>
    <w:rsid w:val="63640AD8"/>
    <w:rsid w:val="63953886"/>
    <w:rsid w:val="639C3F43"/>
    <w:rsid w:val="63A95D0A"/>
    <w:rsid w:val="63CA64C2"/>
    <w:rsid w:val="63F51382"/>
    <w:rsid w:val="64006EFB"/>
    <w:rsid w:val="641E320A"/>
    <w:rsid w:val="642A296C"/>
    <w:rsid w:val="644F008D"/>
    <w:rsid w:val="646E681E"/>
    <w:rsid w:val="64925CF4"/>
    <w:rsid w:val="64AE1506"/>
    <w:rsid w:val="64CB5CBA"/>
    <w:rsid w:val="64CC0858"/>
    <w:rsid w:val="64FC55D6"/>
    <w:rsid w:val="65030064"/>
    <w:rsid w:val="65AF6083"/>
    <w:rsid w:val="65F45A9C"/>
    <w:rsid w:val="65F52ED8"/>
    <w:rsid w:val="65F732C9"/>
    <w:rsid w:val="660410DC"/>
    <w:rsid w:val="6607729F"/>
    <w:rsid w:val="66107929"/>
    <w:rsid w:val="66144219"/>
    <w:rsid w:val="6627269B"/>
    <w:rsid w:val="66761E23"/>
    <w:rsid w:val="669E2EA4"/>
    <w:rsid w:val="66C8490B"/>
    <w:rsid w:val="66D94778"/>
    <w:rsid w:val="66E97B34"/>
    <w:rsid w:val="66ED6DB5"/>
    <w:rsid w:val="675F5D34"/>
    <w:rsid w:val="67623F7F"/>
    <w:rsid w:val="678C48DD"/>
    <w:rsid w:val="678D547D"/>
    <w:rsid w:val="67937917"/>
    <w:rsid w:val="67C357CB"/>
    <w:rsid w:val="680D6AB9"/>
    <w:rsid w:val="68173E42"/>
    <w:rsid w:val="68322A9D"/>
    <w:rsid w:val="68585F9D"/>
    <w:rsid w:val="68880AC0"/>
    <w:rsid w:val="688B0C3F"/>
    <w:rsid w:val="68954EE6"/>
    <w:rsid w:val="68BC5EE6"/>
    <w:rsid w:val="68CB6066"/>
    <w:rsid w:val="68D1235C"/>
    <w:rsid w:val="68EB00F5"/>
    <w:rsid w:val="692939E8"/>
    <w:rsid w:val="69341CD7"/>
    <w:rsid w:val="693C3C42"/>
    <w:rsid w:val="695C789E"/>
    <w:rsid w:val="69974E79"/>
    <w:rsid w:val="69BB2F33"/>
    <w:rsid w:val="6A0F7DFB"/>
    <w:rsid w:val="6A125B38"/>
    <w:rsid w:val="6A2F781E"/>
    <w:rsid w:val="6A33746E"/>
    <w:rsid w:val="6A674144"/>
    <w:rsid w:val="6AA742DA"/>
    <w:rsid w:val="6AB6668F"/>
    <w:rsid w:val="6AE67343"/>
    <w:rsid w:val="6AE706D4"/>
    <w:rsid w:val="6AEA3B9E"/>
    <w:rsid w:val="6B6A7798"/>
    <w:rsid w:val="6B6E083F"/>
    <w:rsid w:val="6BC164C3"/>
    <w:rsid w:val="6BD630B3"/>
    <w:rsid w:val="6C147AB8"/>
    <w:rsid w:val="6C1C4DCD"/>
    <w:rsid w:val="6C5601CC"/>
    <w:rsid w:val="6C847DFC"/>
    <w:rsid w:val="6CBE2051"/>
    <w:rsid w:val="6D104378"/>
    <w:rsid w:val="6D331048"/>
    <w:rsid w:val="6D486EEA"/>
    <w:rsid w:val="6D7856B9"/>
    <w:rsid w:val="6D933DFA"/>
    <w:rsid w:val="6DAA35A7"/>
    <w:rsid w:val="6DD72EB8"/>
    <w:rsid w:val="6DDB19AD"/>
    <w:rsid w:val="6DDF4468"/>
    <w:rsid w:val="6E6602AD"/>
    <w:rsid w:val="6E694D63"/>
    <w:rsid w:val="6EF563BF"/>
    <w:rsid w:val="6F010B22"/>
    <w:rsid w:val="6F076466"/>
    <w:rsid w:val="6F1352D6"/>
    <w:rsid w:val="6F337B84"/>
    <w:rsid w:val="6F5608CC"/>
    <w:rsid w:val="6F6C19FB"/>
    <w:rsid w:val="6F900364"/>
    <w:rsid w:val="6FA44543"/>
    <w:rsid w:val="6FB4066F"/>
    <w:rsid w:val="7048119C"/>
    <w:rsid w:val="70794EF2"/>
    <w:rsid w:val="70AB017A"/>
    <w:rsid w:val="70B749E1"/>
    <w:rsid w:val="70D35108"/>
    <w:rsid w:val="71041C36"/>
    <w:rsid w:val="710737E0"/>
    <w:rsid w:val="71341F63"/>
    <w:rsid w:val="714006FF"/>
    <w:rsid w:val="714A3765"/>
    <w:rsid w:val="71654F43"/>
    <w:rsid w:val="71BE3339"/>
    <w:rsid w:val="72094297"/>
    <w:rsid w:val="721A5B61"/>
    <w:rsid w:val="726C70BA"/>
    <w:rsid w:val="727E2F3E"/>
    <w:rsid w:val="72824D48"/>
    <w:rsid w:val="72872E0A"/>
    <w:rsid w:val="729563D8"/>
    <w:rsid w:val="729F75AC"/>
    <w:rsid w:val="72A5200B"/>
    <w:rsid w:val="72A970AA"/>
    <w:rsid w:val="72BF19FC"/>
    <w:rsid w:val="72C45383"/>
    <w:rsid w:val="72E06788"/>
    <w:rsid w:val="72FC2DE6"/>
    <w:rsid w:val="730333BC"/>
    <w:rsid w:val="73323036"/>
    <w:rsid w:val="73393104"/>
    <w:rsid w:val="735F4A70"/>
    <w:rsid w:val="737D38DB"/>
    <w:rsid w:val="73907D5F"/>
    <w:rsid w:val="73CD4AC9"/>
    <w:rsid w:val="73F50ACA"/>
    <w:rsid w:val="73F62DEB"/>
    <w:rsid w:val="744D0491"/>
    <w:rsid w:val="74657E71"/>
    <w:rsid w:val="74714B88"/>
    <w:rsid w:val="747B09FF"/>
    <w:rsid w:val="74BF1B57"/>
    <w:rsid w:val="74CA47ED"/>
    <w:rsid w:val="74F4070E"/>
    <w:rsid w:val="756E3B68"/>
    <w:rsid w:val="75A66501"/>
    <w:rsid w:val="7601345D"/>
    <w:rsid w:val="76F4202E"/>
    <w:rsid w:val="772422D8"/>
    <w:rsid w:val="776D739B"/>
    <w:rsid w:val="777F42E9"/>
    <w:rsid w:val="778133BE"/>
    <w:rsid w:val="77967596"/>
    <w:rsid w:val="779D6F26"/>
    <w:rsid w:val="77AE2B60"/>
    <w:rsid w:val="77E208EC"/>
    <w:rsid w:val="77F0506C"/>
    <w:rsid w:val="781A6671"/>
    <w:rsid w:val="781E5E50"/>
    <w:rsid w:val="783F77B7"/>
    <w:rsid w:val="78484242"/>
    <w:rsid w:val="784B00C7"/>
    <w:rsid w:val="785334EE"/>
    <w:rsid w:val="78603AA7"/>
    <w:rsid w:val="7874451D"/>
    <w:rsid w:val="78991756"/>
    <w:rsid w:val="789F07E0"/>
    <w:rsid w:val="78BB1314"/>
    <w:rsid w:val="78D5554C"/>
    <w:rsid w:val="78F30E2A"/>
    <w:rsid w:val="7919561A"/>
    <w:rsid w:val="794013BD"/>
    <w:rsid w:val="799A2454"/>
    <w:rsid w:val="7A1112B2"/>
    <w:rsid w:val="7A6B1F56"/>
    <w:rsid w:val="7AAB443C"/>
    <w:rsid w:val="7AC8338F"/>
    <w:rsid w:val="7AE34912"/>
    <w:rsid w:val="7AED6944"/>
    <w:rsid w:val="7AF1296F"/>
    <w:rsid w:val="7B1810B3"/>
    <w:rsid w:val="7B1B54D9"/>
    <w:rsid w:val="7B330D36"/>
    <w:rsid w:val="7B493D2C"/>
    <w:rsid w:val="7B4D3C76"/>
    <w:rsid w:val="7B9B5387"/>
    <w:rsid w:val="7BA65801"/>
    <w:rsid w:val="7BB3324B"/>
    <w:rsid w:val="7BBB3A66"/>
    <w:rsid w:val="7BCA11E7"/>
    <w:rsid w:val="7C0B4190"/>
    <w:rsid w:val="7C160B8E"/>
    <w:rsid w:val="7C3B2AB5"/>
    <w:rsid w:val="7C43213F"/>
    <w:rsid w:val="7C681E92"/>
    <w:rsid w:val="7C935623"/>
    <w:rsid w:val="7CA222FE"/>
    <w:rsid w:val="7CDF55E4"/>
    <w:rsid w:val="7D06498F"/>
    <w:rsid w:val="7D0D377F"/>
    <w:rsid w:val="7D3F7E6F"/>
    <w:rsid w:val="7D41260A"/>
    <w:rsid w:val="7D8C3B75"/>
    <w:rsid w:val="7D9B48E2"/>
    <w:rsid w:val="7DF75930"/>
    <w:rsid w:val="7E043B3E"/>
    <w:rsid w:val="7E3C4FE2"/>
    <w:rsid w:val="7E740106"/>
    <w:rsid w:val="7ED10348"/>
    <w:rsid w:val="7F5F4A1B"/>
    <w:rsid w:val="7F9A7B42"/>
    <w:rsid w:val="7FF333E4"/>
    <w:rsid w:val="DEEE651C"/>
    <w:rsid w:val="EFBF869B"/>
    <w:rsid w:val="FFF644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
    <w:autoRedefine/>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175"/>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51"/>
    <w:autoRedefine/>
    <w:qFormat/>
    <w:uiPriority w:val="0"/>
    <w:pPr>
      <w:keepNext/>
      <w:spacing w:line="440" w:lineRule="exact"/>
      <w:jc w:val="center"/>
      <w:outlineLvl w:val="3"/>
    </w:pPr>
    <w:rPr>
      <w:rFonts w:ascii="仿宋_GB2312" w:eastAsia="仿宋_GB2312"/>
      <w:sz w:val="28"/>
      <w:szCs w:val="28"/>
    </w:rPr>
  </w:style>
  <w:style w:type="character" w:default="1" w:styleId="32">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1"/>
    <w:link w:val="55"/>
    <w:autoRedefine/>
    <w:qFormat/>
    <w:uiPriority w:val="0"/>
    <w:pPr>
      <w:spacing w:after="120"/>
    </w:pPr>
    <w:rPr>
      <w:kern w:val="0"/>
      <w:sz w:val="24"/>
    </w:rPr>
  </w:style>
  <w:style w:type="paragraph" w:styleId="7">
    <w:name w:val="Normal Indent"/>
    <w:basedOn w:val="1"/>
    <w:link w:val="52"/>
    <w:autoRedefine/>
    <w:qFormat/>
    <w:uiPriority w:val="0"/>
    <w:pPr>
      <w:ind w:firstLine="420"/>
    </w:pPr>
    <w:rPr>
      <w:szCs w:val="21"/>
    </w:rPr>
  </w:style>
  <w:style w:type="paragraph" w:styleId="8">
    <w:name w:val="Document Map"/>
    <w:basedOn w:val="1"/>
    <w:link w:val="53"/>
    <w:autoRedefine/>
    <w:qFormat/>
    <w:uiPriority w:val="0"/>
    <w:pPr>
      <w:shd w:val="clear" w:color="auto" w:fill="000080"/>
    </w:pPr>
  </w:style>
  <w:style w:type="paragraph" w:styleId="9">
    <w:name w:val="annotation text"/>
    <w:basedOn w:val="1"/>
    <w:link w:val="54"/>
    <w:autoRedefine/>
    <w:qFormat/>
    <w:uiPriority w:val="0"/>
    <w:pPr>
      <w:jc w:val="left"/>
    </w:pPr>
  </w:style>
  <w:style w:type="paragraph" w:styleId="10">
    <w:name w:val="Body Text Indent"/>
    <w:basedOn w:val="1"/>
    <w:link w:val="56"/>
    <w:autoRedefine/>
    <w:qFormat/>
    <w:uiPriority w:val="0"/>
    <w:pPr>
      <w:ind w:firstLine="830" w:firstLineChars="352"/>
    </w:pPr>
    <w:rPr>
      <w:rFonts w:ascii="仿宋_GB2312" w:eastAsia="仿宋_GB2312"/>
      <w:kern w:val="0"/>
      <w:sz w:val="32"/>
      <w:szCs w:val="32"/>
    </w:rPr>
  </w:style>
  <w:style w:type="paragraph" w:styleId="11">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12">
    <w:name w:val="toc 3"/>
    <w:basedOn w:val="1"/>
    <w:next w:val="1"/>
    <w:autoRedefine/>
    <w:qFormat/>
    <w:uiPriority w:val="0"/>
    <w:pPr>
      <w:widowControl/>
      <w:spacing w:after="100" w:line="276" w:lineRule="auto"/>
      <w:ind w:left="440"/>
      <w:jc w:val="left"/>
    </w:pPr>
    <w:rPr>
      <w:rFonts w:ascii="Calibri" w:hAnsi="Calibri"/>
      <w:kern w:val="0"/>
      <w:sz w:val="22"/>
      <w:szCs w:val="22"/>
    </w:rPr>
  </w:style>
  <w:style w:type="paragraph" w:styleId="13">
    <w:name w:val="Plain Text"/>
    <w:basedOn w:val="1"/>
    <w:link w:val="57"/>
    <w:autoRedefine/>
    <w:qFormat/>
    <w:uiPriority w:val="0"/>
    <w:rPr>
      <w:rFonts w:ascii="宋体" w:hAnsi="Courier New"/>
      <w:kern w:val="0"/>
      <w:szCs w:val="21"/>
    </w:rPr>
  </w:style>
  <w:style w:type="paragraph" w:styleId="14">
    <w:name w:val="Date"/>
    <w:basedOn w:val="1"/>
    <w:next w:val="1"/>
    <w:link w:val="58"/>
    <w:autoRedefine/>
    <w:qFormat/>
    <w:uiPriority w:val="0"/>
    <w:pPr>
      <w:ind w:left="100" w:leftChars="2500"/>
    </w:pPr>
    <w:rPr>
      <w:rFonts w:ascii="宋体" w:hAnsi="Courier New"/>
      <w:kern w:val="0"/>
      <w:szCs w:val="21"/>
    </w:rPr>
  </w:style>
  <w:style w:type="paragraph" w:styleId="15">
    <w:name w:val="Body Text Indent 2"/>
    <w:basedOn w:val="1"/>
    <w:link w:val="59"/>
    <w:autoRedefine/>
    <w:qFormat/>
    <w:uiPriority w:val="0"/>
    <w:pPr>
      <w:spacing w:after="120" w:line="480" w:lineRule="auto"/>
      <w:ind w:left="420" w:leftChars="200"/>
    </w:pPr>
    <w:rPr>
      <w:kern w:val="0"/>
      <w:sz w:val="24"/>
    </w:rPr>
  </w:style>
  <w:style w:type="paragraph" w:styleId="16">
    <w:name w:val="Balloon Text"/>
    <w:basedOn w:val="1"/>
    <w:link w:val="60"/>
    <w:autoRedefine/>
    <w:qFormat/>
    <w:uiPriority w:val="0"/>
    <w:rPr>
      <w:sz w:val="18"/>
      <w:szCs w:val="18"/>
    </w:rPr>
  </w:style>
  <w:style w:type="paragraph" w:styleId="17">
    <w:name w:val="footer"/>
    <w:basedOn w:val="1"/>
    <w:link w:val="61"/>
    <w:autoRedefine/>
    <w:qFormat/>
    <w:uiPriority w:val="99"/>
    <w:pPr>
      <w:tabs>
        <w:tab w:val="center" w:pos="4153"/>
        <w:tab w:val="right" w:pos="8306"/>
      </w:tabs>
      <w:snapToGrid w:val="0"/>
      <w:jc w:val="left"/>
    </w:pPr>
    <w:rPr>
      <w:sz w:val="18"/>
      <w:szCs w:val="18"/>
    </w:rPr>
  </w:style>
  <w:style w:type="paragraph" w:styleId="18">
    <w:name w:val="header"/>
    <w:basedOn w:val="1"/>
    <w:link w:val="62"/>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0"/>
    <w:pPr>
      <w:tabs>
        <w:tab w:val="right" w:leader="dot" w:pos="8834"/>
      </w:tabs>
      <w:spacing w:before="120" w:after="120"/>
      <w:jc w:val="left"/>
    </w:pPr>
    <w:rPr>
      <w:b/>
      <w:bCs/>
      <w:caps/>
      <w:sz w:val="28"/>
      <w:szCs w:val="28"/>
    </w:rPr>
  </w:style>
  <w:style w:type="paragraph" w:styleId="20">
    <w:name w:val="Subtitle"/>
    <w:basedOn w:val="1"/>
    <w:next w:val="1"/>
    <w:link w:val="63"/>
    <w:autoRedefine/>
    <w:qFormat/>
    <w:uiPriority w:val="0"/>
    <w:pPr>
      <w:spacing w:before="240" w:after="60" w:line="312" w:lineRule="auto"/>
      <w:jc w:val="center"/>
      <w:outlineLvl w:val="1"/>
    </w:pPr>
    <w:rPr>
      <w:rFonts w:ascii="Cambria" w:hAnsi="Cambria" w:eastAsia="方正楷体简体"/>
      <w:kern w:val="28"/>
      <w:sz w:val="32"/>
      <w:szCs w:val="32"/>
    </w:rPr>
  </w:style>
  <w:style w:type="paragraph" w:styleId="21">
    <w:name w:val="footnote text"/>
    <w:basedOn w:val="1"/>
    <w:autoRedefine/>
    <w:qFormat/>
    <w:uiPriority w:val="0"/>
    <w:rPr>
      <w:sz w:val="18"/>
    </w:rPr>
  </w:style>
  <w:style w:type="paragraph" w:styleId="22">
    <w:name w:val="Body Text Indent 3"/>
    <w:basedOn w:val="1"/>
    <w:link w:val="64"/>
    <w:autoRedefine/>
    <w:qFormat/>
    <w:uiPriority w:val="0"/>
    <w:pPr>
      <w:spacing w:after="120"/>
      <w:ind w:left="420" w:leftChars="200"/>
    </w:pPr>
    <w:rPr>
      <w:kern w:val="0"/>
      <w:sz w:val="16"/>
      <w:szCs w:val="16"/>
    </w:rPr>
  </w:style>
  <w:style w:type="paragraph" w:styleId="23">
    <w:name w:val="toc 2"/>
    <w:basedOn w:val="1"/>
    <w:next w:val="1"/>
    <w:autoRedefine/>
    <w:qFormat/>
    <w:uiPriority w:val="0"/>
    <w:pPr>
      <w:ind w:left="420" w:leftChars="200"/>
    </w:pPr>
    <w:rPr>
      <w:szCs w:val="21"/>
    </w:rPr>
  </w:style>
  <w:style w:type="paragraph" w:styleId="24">
    <w:name w:val="HTML Preformatted"/>
    <w:basedOn w:val="1"/>
    <w:link w:val="6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25">
    <w:name w:val="Normal (Web)"/>
    <w:basedOn w:val="1"/>
    <w:link w:val="66"/>
    <w:autoRedefine/>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67"/>
    <w:autoRedefine/>
    <w:qFormat/>
    <w:uiPriority w:val="0"/>
    <w:pPr>
      <w:spacing w:before="240" w:after="60"/>
      <w:jc w:val="center"/>
      <w:outlineLvl w:val="0"/>
    </w:pPr>
    <w:rPr>
      <w:rFonts w:ascii="Cambria" w:hAnsi="Cambria" w:eastAsia="方正小标宋简体"/>
      <w:b/>
      <w:bCs/>
      <w:sz w:val="32"/>
      <w:szCs w:val="32"/>
    </w:rPr>
  </w:style>
  <w:style w:type="paragraph" w:styleId="27">
    <w:name w:val="annotation subject"/>
    <w:basedOn w:val="9"/>
    <w:next w:val="9"/>
    <w:link w:val="68"/>
    <w:autoRedefine/>
    <w:qFormat/>
    <w:uiPriority w:val="0"/>
    <w:rPr>
      <w:b/>
      <w:bCs/>
      <w:szCs w:val="21"/>
    </w:rPr>
  </w:style>
  <w:style w:type="paragraph" w:styleId="28">
    <w:name w:val="Body Text First Indent"/>
    <w:basedOn w:val="2"/>
    <w:link w:val="69"/>
    <w:autoRedefine/>
    <w:qFormat/>
    <w:uiPriority w:val="0"/>
    <w:pPr>
      <w:spacing w:line="560" w:lineRule="exact"/>
      <w:ind w:firstLine="420" w:firstLineChars="100"/>
    </w:pPr>
    <w:rPr>
      <w:kern w:val="2"/>
      <w:sz w:val="21"/>
      <w:szCs w:val="22"/>
    </w:rPr>
  </w:style>
  <w:style w:type="paragraph" w:styleId="29">
    <w:name w:val="Body Text First Indent 2"/>
    <w:basedOn w:val="10"/>
    <w:autoRedefine/>
    <w:qFormat/>
    <w:uiPriority w:val="0"/>
    <w:pPr>
      <w:spacing w:after="120" w:line="360" w:lineRule="auto"/>
      <w:ind w:left="420" w:leftChars="200" w:firstLine="210" w:firstLineChars="200"/>
    </w:pPr>
    <w:rPr>
      <w:sz w:val="21"/>
    </w:r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autoRedefine/>
    <w:qFormat/>
    <w:uiPriority w:val="0"/>
    <w:rPr>
      <w:b/>
      <w:bCs/>
    </w:rPr>
  </w:style>
  <w:style w:type="character" w:styleId="34">
    <w:name w:val="page number"/>
    <w:basedOn w:val="32"/>
    <w:autoRedefine/>
    <w:qFormat/>
    <w:uiPriority w:val="0"/>
  </w:style>
  <w:style w:type="character" w:styleId="35">
    <w:name w:val="FollowedHyperlink"/>
    <w:autoRedefine/>
    <w:qFormat/>
    <w:uiPriority w:val="0"/>
    <w:rPr>
      <w:color w:val="800080"/>
      <w:u w:val="none"/>
    </w:rPr>
  </w:style>
  <w:style w:type="character" w:styleId="36">
    <w:name w:val="Emphasis"/>
    <w:autoRedefine/>
    <w:qFormat/>
    <w:uiPriority w:val="0"/>
    <w:rPr>
      <w:b/>
      <w:bCs/>
    </w:rPr>
  </w:style>
  <w:style w:type="character" w:styleId="37">
    <w:name w:val="HTML Definition"/>
    <w:autoRedefine/>
    <w:qFormat/>
    <w:uiPriority w:val="0"/>
  </w:style>
  <w:style w:type="character" w:styleId="38">
    <w:name w:val="HTML Typewriter"/>
    <w:autoRedefine/>
    <w:qFormat/>
    <w:uiPriority w:val="0"/>
    <w:rPr>
      <w:rFonts w:hint="default" w:ascii="monospace" w:hAnsi="monospace" w:eastAsia="monospace" w:cs="monospace"/>
      <w:sz w:val="20"/>
    </w:rPr>
  </w:style>
  <w:style w:type="character" w:styleId="39">
    <w:name w:val="HTML Acronym"/>
    <w:autoRedefine/>
    <w:qFormat/>
    <w:uiPriority w:val="0"/>
  </w:style>
  <w:style w:type="character" w:styleId="40">
    <w:name w:val="HTML Variable"/>
    <w:autoRedefine/>
    <w:qFormat/>
    <w:uiPriority w:val="0"/>
  </w:style>
  <w:style w:type="character" w:styleId="41">
    <w:name w:val="Hyperlink"/>
    <w:autoRedefine/>
    <w:qFormat/>
    <w:uiPriority w:val="0"/>
    <w:rPr>
      <w:color w:val="0000FF"/>
      <w:u w:val="none"/>
    </w:rPr>
  </w:style>
  <w:style w:type="character" w:styleId="42">
    <w:name w:val="HTML Code"/>
    <w:autoRedefine/>
    <w:qFormat/>
    <w:uiPriority w:val="0"/>
    <w:rPr>
      <w:rFonts w:ascii="monospace" w:hAnsi="monospace" w:eastAsia="monospace" w:cs="monospace"/>
      <w:sz w:val="20"/>
    </w:rPr>
  </w:style>
  <w:style w:type="character" w:styleId="43">
    <w:name w:val="annotation reference"/>
    <w:autoRedefine/>
    <w:qFormat/>
    <w:uiPriority w:val="0"/>
    <w:rPr>
      <w:sz w:val="21"/>
      <w:szCs w:val="21"/>
    </w:rPr>
  </w:style>
  <w:style w:type="character" w:styleId="44">
    <w:name w:val="HTML Cite"/>
    <w:autoRedefine/>
    <w:qFormat/>
    <w:uiPriority w:val="0"/>
  </w:style>
  <w:style w:type="character" w:styleId="45">
    <w:name w:val="HTML Keyboard"/>
    <w:autoRedefine/>
    <w:qFormat/>
    <w:uiPriority w:val="0"/>
    <w:rPr>
      <w:rFonts w:hint="default" w:ascii="monospace" w:hAnsi="monospace" w:eastAsia="monospace" w:cs="monospace"/>
      <w:sz w:val="20"/>
    </w:rPr>
  </w:style>
  <w:style w:type="character" w:styleId="46">
    <w:name w:val="HTML Sample"/>
    <w:autoRedefine/>
    <w:qFormat/>
    <w:uiPriority w:val="0"/>
    <w:rPr>
      <w:rFonts w:hint="default" w:ascii="monospace" w:hAnsi="monospace" w:eastAsia="monospace" w:cs="monospace"/>
    </w:rPr>
  </w:style>
  <w:style w:type="paragraph" w:styleId="47">
    <w:name w:val="List Paragraph"/>
    <w:basedOn w:val="1"/>
    <w:next w:val="1"/>
    <w:link w:val="102"/>
    <w:autoRedefine/>
    <w:qFormat/>
    <w:uiPriority w:val="0"/>
    <w:pPr>
      <w:ind w:firstLine="420" w:firstLineChars="200"/>
    </w:pPr>
    <w:rPr>
      <w:szCs w:val="21"/>
    </w:rPr>
  </w:style>
  <w:style w:type="character" w:customStyle="1" w:styleId="48">
    <w:name w:val="标题 1 Char"/>
    <w:link w:val="3"/>
    <w:autoRedefine/>
    <w:qFormat/>
    <w:uiPriority w:val="0"/>
    <w:rPr>
      <w:b/>
      <w:bCs/>
      <w:kern w:val="44"/>
      <w:sz w:val="44"/>
      <w:szCs w:val="44"/>
    </w:rPr>
  </w:style>
  <w:style w:type="character" w:customStyle="1" w:styleId="49">
    <w:name w:val="标题 2 Char"/>
    <w:link w:val="4"/>
    <w:autoRedefine/>
    <w:qFormat/>
    <w:uiPriority w:val="0"/>
    <w:rPr>
      <w:rFonts w:ascii="Arial" w:hAnsi="Arial" w:eastAsia="宋体"/>
      <w:b/>
      <w:bCs/>
      <w:kern w:val="2"/>
      <w:sz w:val="32"/>
      <w:szCs w:val="32"/>
      <w:lang w:val="en-US" w:eastAsia="zh-CN" w:bidi="ar-SA"/>
    </w:rPr>
  </w:style>
  <w:style w:type="character" w:customStyle="1" w:styleId="50">
    <w:name w:val="标题 3 Char"/>
    <w:link w:val="5"/>
    <w:autoRedefine/>
    <w:qFormat/>
    <w:uiPriority w:val="0"/>
    <w:rPr>
      <w:b/>
      <w:bCs/>
      <w:kern w:val="2"/>
      <w:sz w:val="32"/>
      <w:szCs w:val="32"/>
    </w:rPr>
  </w:style>
  <w:style w:type="character" w:customStyle="1" w:styleId="51">
    <w:name w:val="标题 4 Char"/>
    <w:link w:val="6"/>
    <w:autoRedefine/>
    <w:qFormat/>
    <w:uiPriority w:val="0"/>
    <w:rPr>
      <w:rFonts w:ascii="仿宋_GB2312" w:eastAsia="仿宋_GB2312" w:cs="仿宋_GB2312"/>
      <w:kern w:val="2"/>
      <w:sz w:val="28"/>
      <w:szCs w:val="28"/>
    </w:rPr>
  </w:style>
  <w:style w:type="character" w:customStyle="1" w:styleId="52">
    <w:name w:val="正文缩进 Char"/>
    <w:link w:val="7"/>
    <w:autoRedefine/>
    <w:qFormat/>
    <w:uiPriority w:val="0"/>
    <w:rPr>
      <w:kern w:val="2"/>
      <w:sz w:val="21"/>
      <w:szCs w:val="21"/>
    </w:rPr>
  </w:style>
  <w:style w:type="character" w:customStyle="1" w:styleId="53">
    <w:name w:val="文档结构图 Char"/>
    <w:link w:val="8"/>
    <w:autoRedefine/>
    <w:qFormat/>
    <w:uiPriority w:val="0"/>
    <w:rPr>
      <w:kern w:val="2"/>
      <w:sz w:val="21"/>
      <w:szCs w:val="24"/>
      <w:shd w:val="clear" w:color="auto" w:fill="000080"/>
    </w:rPr>
  </w:style>
  <w:style w:type="character" w:customStyle="1" w:styleId="54">
    <w:name w:val="批注文字 Char"/>
    <w:link w:val="9"/>
    <w:autoRedefine/>
    <w:qFormat/>
    <w:uiPriority w:val="0"/>
    <w:rPr>
      <w:kern w:val="2"/>
      <w:sz w:val="21"/>
      <w:szCs w:val="24"/>
    </w:rPr>
  </w:style>
  <w:style w:type="character" w:customStyle="1" w:styleId="55">
    <w:name w:val="正文文本 Char"/>
    <w:link w:val="2"/>
    <w:autoRedefine/>
    <w:qFormat/>
    <w:uiPriority w:val="0"/>
    <w:rPr>
      <w:sz w:val="24"/>
      <w:szCs w:val="24"/>
    </w:rPr>
  </w:style>
  <w:style w:type="character" w:customStyle="1" w:styleId="56">
    <w:name w:val="正文文本缩进 Char"/>
    <w:link w:val="10"/>
    <w:autoRedefine/>
    <w:qFormat/>
    <w:uiPriority w:val="0"/>
    <w:rPr>
      <w:rFonts w:ascii="仿宋_GB2312" w:eastAsia="仿宋_GB2312"/>
      <w:sz w:val="32"/>
      <w:szCs w:val="32"/>
    </w:rPr>
  </w:style>
  <w:style w:type="character" w:customStyle="1" w:styleId="57">
    <w:name w:val="纯文本 Char"/>
    <w:link w:val="13"/>
    <w:autoRedefine/>
    <w:qFormat/>
    <w:uiPriority w:val="0"/>
    <w:rPr>
      <w:rFonts w:ascii="宋体" w:hAnsi="Courier New"/>
      <w:sz w:val="21"/>
      <w:szCs w:val="21"/>
    </w:rPr>
  </w:style>
  <w:style w:type="character" w:customStyle="1" w:styleId="58">
    <w:name w:val="日期 Char"/>
    <w:link w:val="14"/>
    <w:autoRedefine/>
    <w:qFormat/>
    <w:uiPriority w:val="0"/>
    <w:rPr>
      <w:rFonts w:ascii="宋体" w:hAnsi="Courier New"/>
      <w:sz w:val="21"/>
      <w:szCs w:val="21"/>
    </w:rPr>
  </w:style>
  <w:style w:type="character" w:customStyle="1" w:styleId="59">
    <w:name w:val="正文文本缩进 2 Char"/>
    <w:link w:val="15"/>
    <w:autoRedefine/>
    <w:qFormat/>
    <w:uiPriority w:val="0"/>
    <w:rPr>
      <w:sz w:val="24"/>
      <w:szCs w:val="24"/>
    </w:rPr>
  </w:style>
  <w:style w:type="character" w:customStyle="1" w:styleId="60">
    <w:name w:val="批注框文本 Char"/>
    <w:link w:val="16"/>
    <w:autoRedefine/>
    <w:qFormat/>
    <w:uiPriority w:val="0"/>
    <w:rPr>
      <w:kern w:val="2"/>
      <w:sz w:val="18"/>
      <w:szCs w:val="18"/>
    </w:rPr>
  </w:style>
  <w:style w:type="character" w:customStyle="1" w:styleId="61">
    <w:name w:val="页脚 Char1"/>
    <w:link w:val="17"/>
    <w:autoRedefine/>
    <w:qFormat/>
    <w:uiPriority w:val="99"/>
    <w:rPr>
      <w:kern w:val="2"/>
      <w:sz w:val="18"/>
      <w:szCs w:val="18"/>
    </w:rPr>
  </w:style>
  <w:style w:type="character" w:customStyle="1" w:styleId="62">
    <w:name w:val="页眉 Char"/>
    <w:link w:val="18"/>
    <w:autoRedefine/>
    <w:qFormat/>
    <w:uiPriority w:val="0"/>
    <w:rPr>
      <w:kern w:val="2"/>
      <w:sz w:val="18"/>
      <w:szCs w:val="18"/>
    </w:rPr>
  </w:style>
  <w:style w:type="character" w:customStyle="1" w:styleId="63">
    <w:name w:val="副标题 Char"/>
    <w:link w:val="20"/>
    <w:autoRedefine/>
    <w:qFormat/>
    <w:uiPriority w:val="0"/>
    <w:rPr>
      <w:rFonts w:ascii="Cambria" w:hAnsi="Cambria" w:eastAsia="方正楷体简体"/>
      <w:kern w:val="28"/>
      <w:sz w:val="32"/>
      <w:szCs w:val="32"/>
    </w:rPr>
  </w:style>
  <w:style w:type="character" w:customStyle="1" w:styleId="64">
    <w:name w:val="正文文本缩进 3 Char"/>
    <w:link w:val="22"/>
    <w:autoRedefine/>
    <w:qFormat/>
    <w:uiPriority w:val="0"/>
    <w:rPr>
      <w:sz w:val="16"/>
      <w:szCs w:val="16"/>
    </w:rPr>
  </w:style>
  <w:style w:type="character" w:customStyle="1" w:styleId="65">
    <w:name w:val="HTML 预设格式 Char"/>
    <w:link w:val="24"/>
    <w:autoRedefine/>
    <w:qFormat/>
    <w:uiPriority w:val="0"/>
    <w:rPr>
      <w:rFonts w:ascii="Courier New" w:hAnsi="Courier New" w:cs="Courier New"/>
      <w:lang w:eastAsia="en-US"/>
    </w:rPr>
  </w:style>
  <w:style w:type="character" w:customStyle="1" w:styleId="66">
    <w:name w:val="普通(网站) Char"/>
    <w:link w:val="25"/>
    <w:autoRedefine/>
    <w:qFormat/>
    <w:uiPriority w:val="99"/>
    <w:rPr>
      <w:rFonts w:ascii="宋体" w:hAnsi="宋体" w:cs="宋体"/>
      <w:sz w:val="24"/>
      <w:szCs w:val="24"/>
    </w:rPr>
  </w:style>
  <w:style w:type="character" w:customStyle="1" w:styleId="67">
    <w:name w:val="标题 Char"/>
    <w:link w:val="26"/>
    <w:autoRedefine/>
    <w:qFormat/>
    <w:uiPriority w:val="0"/>
    <w:rPr>
      <w:rFonts w:ascii="Cambria" w:hAnsi="Cambria" w:eastAsia="方正小标宋简体"/>
      <w:b/>
      <w:bCs/>
      <w:kern w:val="2"/>
      <w:sz w:val="32"/>
      <w:szCs w:val="32"/>
    </w:rPr>
  </w:style>
  <w:style w:type="character" w:customStyle="1" w:styleId="68">
    <w:name w:val="批注主题 Char"/>
    <w:link w:val="27"/>
    <w:autoRedefine/>
    <w:qFormat/>
    <w:uiPriority w:val="0"/>
    <w:rPr>
      <w:b/>
      <w:bCs/>
      <w:kern w:val="2"/>
      <w:sz w:val="21"/>
      <w:szCs w:val="21"/>
    </w:rPr>
  </w:style>
  <w:style w:type="character" w:customStyle="1" w:styleId="69">
    <w:name w:val="正文首行缩进 Char"/>
    <w:link w:val="28"/>
    <w:autoRedefine/>
    <w:qFormat/>
    <w:uiPriority w:val="0"/>
    <w:rPr>
      <w:kern w:val="2"/>
      <w:sz w:val="21"/>
      <w:szCs w:val="22"/>
    </w:rPr>
  </w:style>
  <w:style w:type="character" w:customStyle="1" w:styleId="70">
    <w:name w:val="标题 2 Char1"/>
    <w:autoRedefine/>
    <w:qFormat/>
    <w:uiPriority w:val="0"/>
    <w:rPr>
      <w:rFonts w:ascii="Arial" w:hAnsi="Arial"/>
      <w:b/>
      <w:bCs/>
      <w:kern w:val="2"/>
      <w:sz w:val="28"/>
      <w:szCs w:val="32"/>
    </w:rPr>
  </w:style>
  <w:style w:type="character" w:customStyle="1" w:styleId="71">
    <w:name w:val="case31"/>
    <w:autoRedefine/>
    <w:qFormat/>
    <w:uiPriority w:val="0"/>
    <w:rPr>
      <w:sz w:val="21"/>
      <w:szCs w:val="21"/>
    </w:rPr>
  </w:style>
  <w:style w:type="character" w:customStyle="1" w:styleId="72">
    <w:name w:val="Body Text Indent 2 Char"/>
    <w:autoRedefine/>
    <w:qFormat/>
    <w:locked/>
    <w:uiPriority w:val="0"/>
    <w:rPr>
      <w:rFonts w:ascii="Times New Roman" w:hAnsi="Times New Roman" w:cs="Times New Roman"/>
      <w:sz w:val="24"/>
      <w:szCs w:val="24"/>
    </w:rPr>
  </w:style>
  <w:style w:type="character" w:customStyle="1" w:styleId="73">
    <w:name w:val="Body Text Indent 3 Char"/>
    <w:autoRedefine/>
    <w:qFormat/>
    <w:locked/>
    <w:uiPriority w:val="0"/>
    <w:rPr>
      <w:rFonts w:ascii="Times New Roman" w:hAnsi="Times New Roman" w:cs="Times New Roman"/>
      <w:sz w:val="16"/>
      <w:szCs w:val="16"/>
    </w:rPr>
  </w:style>
  <w:style w:type="character" w:customStyle="1" w:styleId="74">
    <w:name w:val="Header Char"/>
    <w:autoRedefine/>
    <w:qFormat/>
    <w:locked/>
    <w:uiPriority w:val="0"/>
    <w:rPr>
      <w:rFonts w:ascii="Times New Roman" w:hAnsi="Times New Roman" w:cs="Times New Roman"/>
      <w:sz w:val="18"/>
      <w:szCs w:val="18"/>
    </w:rPr>
  </w:style>
  <w:style w:type="character" w:customStyle="1" w:styleId="75">
    <w:name w:val="Title Char"/>
    <w:autoRedefine/>
    <w:qFormat/>
    <w:locked/>
    <w:uiPriority w:val="0"/>
    <w:rPr>
      <w:rFonts w:ascii="Cambria" w:hAnsi="Cambria" w:eastAsia="方正小标宋简体" w:cs="Cambria"/>
      <w:b/>
      <w:bCs/>
      <w:kern w:val="2"/>
      <w:sz w:val="32"/>
      <w:szCs w:val="32"/>
    </w:rPr>
  </w:style>
  <w:style w:type="character" w:customStyle="1" w:styleId="76">
    <w:name w:val="Date Char"/>
    <w:autoRedefine/>
    <w:qFormat/>
    <w:locked/>
    <w:uiPriority w:val="0"/>
    <w:rPr>
      <w:rFonts w:ascii="宋体" w:hAnsi="Courier New" w:cs="宋体"/>
      <w:sz w:val="21"/>
      <w:szCs w:val="21"/>
    </w:rPr>
  </w:style>
  <w:style w:type="character" w:customStyle="1" w:styleId="77">
    <w:name w:val="其他_"/>
    <w:link w:val="78"/>
    <w:autoRedefine/>
    <w:qFormat/>
    <w:uiPriority w:val="0"/>
    <w:rPr>
      <w:rFonts w:ascii="MingLiU" w:hAnsi="MingLiU" w:eastAsia="MingLiU" w:cs="MingLiU"/>
      <w:sz w:val="8"/>
      <w:szCs w:val="8"/>
      <w:shd w:val="clear" w:color="auto" w:fill="FFFFFF"/>
      <w:lang w:val="zh-CN" w:bidi="zh-CN"/>
    </w:rPr>
  </w:style>
  <w:style w:type="paragraph" w:customStyle="1" w:styleId="78">
    <w:name w:val="其他"/>
    <w:basedOn w:val="1"/>
    <w:link w:val="77"/>
    <w:autoRedefine/>
    <w:qFormat/>
    <w:uiPriority w:val="0"/>
    <w:pPr>
      <w:shd w:val="clear" w:color="auto" w:fill="FFFFFF"/>
      <w:spacing w:line="286" w:lineRule="auto"/>
      <w:ind w:firstLine="170"/>
      <w:jc w:val="left"/>
    </w:pPr>
    <w:rPr>
      <w:rFonts w:ascii="MingLiU" w:hAnsi="MingLiU" w:eastAsia="MingLiU" w:cs="MingLiU"/>
      <w:kern w:val="0"/>
      <w:sz w:val="8"/>
      <w:szCs w:val="8"/>
      <w:lang w:val="zh-CN" w:bidi="zh-CN"/>
    </w:rPr>
  </w:style>
  <w:style w:type="character" w:customStyle="1" w:styleId="79">
    <w:name w:val="批注主题 Char1"/>
    <w:autoRedefine/>
    <w:qFormat/>
    <w:uiPriority w:val="0"/>
    <w:rPr>
      <w:b/>
      <w:bCs/>
      <w:kern w:val="2"/>
      <w:sz w:val="21"/>
      <w:szCs w:val="22"/>
    </w:rPr>
  </w:style>
  <w:style w:type="character" w:customStyle="1" w:styleId="80">
    <w:name w:val="Char Char4"/>
    <w:autoRedefine/>
    <w:qFormat/>
    <w:uiPriority w:val="0"/>
    <w:rPr>
      <w:rFonts w:eastAsia="宋体"/>
      <w:b/>
      <w:bCs/>
      <w:kern w:val="44"/>
      <w:sz w:val="44"/>
      <w:szCs w:val="44"/>
      <w:lang w:val="en-US" w:eastAsia="zh-CN"/>
    </w:rPr>
  </w:style>
  <w:style w:type="character" w:customStyle="1" w:styleId="81">
    <w:name w:val="fontstyle01"/>
    <w:autoRedefine/>
    <w:qFormat/>
    <w:uiPriority w:val="0"/>
    <w:rPr>
      <w:rFonts w:hint="eastAsia" w:ascii="宋体" w:hAnsi="宋体" w:eastAsia="宋体"/>
      <w:color w:val="000000"/>
      <w:sz w:val="24"/>
      <w:szCs w:val="24"/>
    </w:rPr>
  </w:style>
  <w:style w:type="character" w:customStyle="1" w:styleId="82">
    <w:name w:val="hover"/>
    <w:autoRedefine/>
    <w:qFormat/>
    <w:uiPriority w:val="0"/>
    <w:rPr>
      <w:color w:val="2590EB"/>
    </w:rPr>
  </w:style>
  <w:style w:type="character" w:customStyle="1" w:styleId="83">
    <w:name w:val="Footer Char"/>
    <w:autoRedefine/>
    <w:qFormat/>
    <w:locked/>
    <w:uiPriority w:val="0"/>
    <w:rPr>
      <w:rFonts w:ascii="Times New Roman" w:hAnsi="Times New Roman" w:cs="Times New Roman"/>
      <w:sz w:val="18"/>
      <w:szCs w:val="18"/>
    </w:rPr>
  </w:style>
  <w:style w:type="character" w:customStyle="1" w:styleId="84">
    <w:name w:val="样式2 字符"/>
    <w:link w:val="85"/>
    <w:autoRedefine/>
    <w:qFormat/>
    <w:uiPriority w:val="0"/>
    <w:rPr>
      <w:rFonts w:ascii="楷体_GB2312" w:hAnsi="Arial" w:eastAsia="仿宋_GB2312"/>
      <w:kern w:val="2"/>
      <w:sz w:val="28"/>
      <w:szCs w:val="28"/>
    </w:rPr>
  </w:style>
  <w:style w:type="paragraph" w:customStyle="1" w:styleId="85">
    <w:name w:val="样式2"/>
    <w:basedOn w:val="1"/>
    <w:link w:val="84"/>
    <w:autoRedefine/>
    <w:qFormat/>
    <w:uiPriority w:val="0"/>
    <w:pPr>
      <w:spacing w:line="560" w:lineRule="exact"/>
      <w:ind w:firstLine="561" w:firstLineChars="200"/>
    </w:pPr>
    <w:rPr>
      <w:rFonts w:ascii="楷体_GB2312" w:hAnsi="Arial" w:eastAsia="仿宋_GB2312"/>
      <w:sz w:val="28"/>
      <w:szCs w:val="28"/>
    </w:rPr>
  </w:style>
  <w:style w:type="character" w:customStyle="1" w:styleId="86">
    <w:name w:val="正文首行缩进 Char1"/>
    <w:autoRedefine/>
    <w:qFormat/>
    <w:uiPriority w:val="0"/>
    <w:rPr>
      <w:kern w:val="2"/>
      <w:sz w:val="21"/>
      <w:szCs w:val="24"/>
    </w:rPr>
  </w:style>
  <w:style w:type="character" w:customStyle="1" w:styleId="87">
    <w:name w:val="Default Char"/>
    <w:link w:val="88"/>
    <w:autoRedefine/>
    <w:qFormat/>
    <w:locked/>
    <w:uiPriority w:val="0"/>
    <w:rPr>
      <w:rFonts w:ascii="......." w:eastAsia="......."/>
      <w:color w:val="000000"/>
      <w:sz w:val="24"/>
      <w:szCs w:val="24"/>
      <w:lang w:val="en-US" w:eastAsia="zh-CN" w:bidi="ar-SA"/>
    </w:rPr>
  </w:style>
  <w:style w:type="paragraph" w:customStyle="1" w:styleId="88">
    <w:name w:val="Default"/>
    <w:link w:val="87"/>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89">
    <w:name w:val="样式1 字符"/>
    <w:link w:val="90"/>
    <w:autoRedefine/>
    <w:qFormat/>
    <w:uiPriority w:val="0"/>
    <w:rPr>
      <w:rFonts w:ascii="宋体" w:hAnsi="宋体" w:cs="宋体"/>
      <w:sz w:val="21"/>
      <w:szCs w:val="21"/>
    </w:rPr>
  </w:style>
  <w:style w:type="paragraph" w:customStyle="1" w:styleId="90">
    <w:name w:val="样式1"/>
    <w:basedOn w:val="1"/>
    <w:link w:val="89"/>
    <w:autoRedefine/>
    <w:qFormat/>
    <w:uiPriority w:val="0"/>
    <w:pPr>
      <w:tabs>
        <w:tab w:val="left" w:pos="1674"/>
      </w:tabs>
      <w:adjustRightInd w:val="0"/>
      <w:ind w:left="1674" w:hanging="1125"/>
      <w:textAlignment w:val="baseline"/>
    </w:pPr>
    <w:rPr>
      <w:rFonts w:ascii="宋体" w:hAnsi="宋体"/>
      <w:kern w:val="0"/>
      <w:szCs w:val="21"/>
    </w:rPr>
  </w:style>
  <w:style w:type="character" w:customStyle="1" w:styleId="91">
    <w:name w:val="日期 Char1"/>
    <w:autoRedefine/>
    <w:qFormat/>
    <w:uiPriority w:val="0"/>
    <w:rPr>
      <w:kern w:val="2"/>
      <w:sz w:val="21"/>
      <w:szCs w:val="22"/>
    </w:rPr>
  </w:style>
  <w:style w:type="character" w:customStyle="1" w:styleId="92">
    <w:name w:val="页脚 Char"/>
    <w:autoRedefine/>
    <w:qFormat/>
    <w:uiPriority w:val="99"/>
    <w:rPr>
      <w:rFonts w:eastAsia="Calibri"/>
      <w:sz w:val="21"/>
    </w:rPr>
  </w:style>
  <w:style w:type="character" w:customStyle="1" w:styleId="93">
    <w:name w:val="标题 Char1"/>
    <w:autoRedefine/>
    <w:qFormat/>
    <w:uiPriority w:val="0"/>
    <w:rPr>
      <w:rFonts w:ascii="Cambria" w:hAnsi="Cambria" w:cs="Times New Roman"/>
      <w:b/>
      <w:bCs/>
      <w:kern w:val="2"/>
      <w:sz w:val="32"/>
      <w:szCs w:val="32"/>
    </w:rPr>
  </w:style>
  <w:style w:type="character" w:customStyle="1" w:styleId="94">
    <w:name w:val="正文文本首行缩进 字符1"/>
    <w:autoRedefine/>
    <w:qFormat/>
    <w:uiPriority w:val="0"/>
    <w:rPr>
      <w:kern w:val="2"/>
      <w:sz w:val="21"/>
      <w:szCs w:val="24"/>
    </w:rPr>
  </w:style>
  <w:style w:type="character" w:customStyle="1" w:styleId="95">
    <w:name w:val="hover1"/>
    <w:autoRedefine/>
    <w:qFormat/>
    <w:uiPriority w:val="0"/>
    <w:rPr>
      <w:color w:val="2590EB"/>
    </w:rPr>
  </w:style>
  <w:style w:type="character" w:customStyle="1" w:styleId="96">
    <w:name w:val="Subtitle Char"/>
    <w:autoRedefine/>
    <w:qFormat/>
    <w:locked/>
    <w:uiPriority w:val="0"/>
    <w:rPr>
      <w:rFonts w:ascii="Cambria" w:hAnsi="Cambria" w:eastAsia="方正楷体简体" w:cs="Cambria"/>
      <w:kern w:val="28"/>
      <w:sz w:val="32"/>
      <w:szCs w:val="32"/>
    </w:rPr>
  </w:style>
  <w:style w:type="character" w:customStyle="1" w:styleId="97">
    <w:name w:val="正文要点内容 Char Char"/>
    <w:link w:val="98"/>
    <w:autoRedefine/>
    <w:qFormat/>
    <w:locked/>
    <w:uiPriority w:val="0"/>
    <w:rPr>
      <w:kern w:val="2"/>
      <w:sz w:val="21"/>
      <w:szCs w:val="21"/>
    </w:rPr>
  </w:style>
  <w:style w:type="paragraph" w:customStyle="1" w:styleId="98">
    <w:name w:val="正文要点内容"/>
    <w:basedOn w:val="99"/>
    <w:link w:val="97"/>
    <w:autoRedefine/>
    <w:qFormat/>
    <w:uiPriority w:val="0"/>
    <w:pPr>
      <w:tabs>
        <w:tab w:val="left" w:pos="420"/>
        <w:tab w:val="left" w:pos="840"/>
      </w:tabs>
      <w:ind w:left="400" w:leftChars="400" w:firstLine="200" w:firstLineChars="200"/>
    </w:pPr>
  </w:style>
  <w:style w:type="paragraph" w:customStyle="1" w:styleId="99">
    <w:name w:val="正文要点"/>
    <w:basedOn w:val="1"/>
    <w:next w:val="98"/>
    <w:link w:val="100"/>
    <w:autoRedefine/>
    <w:qFormat/>
    <w:uiPriority w:val="0"/>
    <w:pPr>
      <w:tabs>
        <w:tab w:val="left" w:pos="420"/>
      </w:tabs>
      <w:spacing w:line="360" w:lineRule="auto"/>
      <w:ind w:left="840" w:hanging="420"/>
    </w:pPr>
    <w:rPr>
      <w:szCs w:val="21"/>
    </w:rPr>
  </w:style>
  <w:style w:type="character" w:customStyle="1" w:styleId="100">
    <w:name w:val="正文要点 Char Char"/>
    <w:link w:val="99"/>
    <w:autoRedefine/>
    <w:qFormat/>
    <w:locked/>
    <w:uiPriority w:val="0"/>
    <w:rPr>
      <w:kern w:val="2"/>
      <w:sz w:val="21"/>
      <w:szCs w:val="21"/>
    </w:rPr>
  </w:style>
  <w:style w:type="character" w:customStyle="1" w:styleId="101">
    <w:name w:val="Body Text Char"/>
    <w:autoRedefine/>
    <w:qFormat/>
    <w:locked/>
    <w:uiPriority w:val="0"/>
    <w:rPr>
      <w:rFonts w:ascii="Times New Roman" w:hAnsi="Times New Roman" w:cs="Times New Roman"/>
      <w:sz w:val="24"/>
      <w:szCs w:val="24"/>
    </w:rPr>
  </w:style>
  <w:style w:type="character" w:customStyle="1" w:styleId="102">
    <w:name w:val="列出段落 Char"/>
    <w:link w:val="47"/>
    <w:autoRedefine/>
    <w:qFormat/>
    <w:uiPriority w:val="0"/>
    <w:rPr>
      <w:kern w:val="2"/>
      <w:sz w:val="21"/>
      <w:szCs w:val="21"/>
    </w:rPr>
  </w:style>
  <w:style w:type="character" w:customStyle="1" w:styleId="103">
    <w:name w:val="无间隔 Char"/>
    <w:link w:val="104"/>
    <w:autoRedefine/>
    <w:qFormat/>
    <w:locked/>
    <w:uiPriority w:val="0"/>
    <w:rPr>
      <w:rFonts w:cs="Calibri"/>
      <w:sz w:val="22"/>
      <w:szCs w:val="22"/>
      <w:lang w:val="en-US" w:eastAsia="zh-CN" w:bidi="ar-SA"/>
    </w:rPr>
  </w:style>
  <w:style w:type="paragraph" w:customStyle="1" w:styleId="104">
    <w:name w:val="无间隔1"/>
    <w:link w:val="103"/>
    <w:autoRedefine/>
    <w:qFormat/>
    <w:uiPriority w:val="0"/>
    <w:rPr>
      <w:rFonts w:ascii="Times New Roman" w:hAnsi="Times New Roman" w:eastAsia="宋体" w:cs="Calibri"/>
      <w:sz w:val="22"/>
      <w:szCs w:val="22"/>
      <w:lang w:val="en-US" w:eastAsia="zh-CN" w:bidi="ar-SA"/>
    </w:rPr>
  </w:style>
  <w:style w:type="character" w:customStyle="1" w:styleId="105">
    <w:name w:val="Plain Text Char"/>
    <w:autoRedefine/>
    <w:qFormat/>
    <w:locked/>
    <w:uiPriority w:val="0"/>
    <w:rPr>
      <w:rFonts w:ascii="宋体" w:hAnsi="Courier New" w:cs="宋体"/>
      <w:sz w:val="21"/>
      <w:szCs w:val="21"/>
    </w:rPr>
  </w:style>
  <w:style w:type="character" w:customStyle="1" w:styleId="106">
    <w:name w:val="NormalCharacter"/>
    <w:autoRedefine/>
    <w:qFormat/>
    <w:uiPriority w:val="0"/>
  </w:style>
  <w:style w:type="character" w:customStyle="1" w:styleId="107">
    <w:name w:val="页眉 Char1"/>
    <w:autoRedefine/>
    <w:qFormat/>
    <w:uiPriority w:val="99"/>
    <w:rPr>
      <w:kern w:val="2"/>
      <w:sz w:val="18"/>
      <w:szCs w:val="18"/>
    </w:rPr>
  </w:style>
  <w:style w:type="character" w:customStyle="1" w:styleId="108">
    <w:name w:val="UserStyle_0"/>
    <w:autoRedefine/>
    <w:semiHidden/>
    <w:qFormat/>
    <w:uiPriority w:val="0"/>
    <w:rPr>
      <w:kern w:val="2"/>
      <w:sz w:val="21"/>
      <w:szCs w:val="24"/>
      <w:lang w:val="en-US" w:eastAsia="zh-CN" w:bidi="ar-SA"/>
    </w:rPr>
  </w:style>
  <w:style w:type="character" w:customStyle="1" w:styleId="109">
    <w:name w:val="普通文字 Char"/>
    <w:autoRedefine/>
    <w:qFormat/>
    <w:uiPriority w:val="0"/>
    <w:rPr>
      <w:rFonts w:ascii="宋体" w:hAnsi="Courier New" w:cs="宋体"/>
      <w:sz w:val="21"/>
      <w:szCs w:val="21"/>
    </w:rPr>
  </w:style>
  <w:style w:type="character" w:customStyle="1" w:styleId="110">
    <w:name w:val="正文文本缩进 2 Char1"/>
    <w:autoRedefine/>
    <w:qFormat/>
    <w:uiPriority w:val="0"/>
    <w:rPr>
      <w:kern w:val="2"/>
      <w:sz w:val="21"/>
      <w:szCs w:val="22"/>
    </w:rPr>
  </w:style>
  <w:style w:type="character" w:customStyle="1" w:styleId="111">
    <w:name w:val="Body Text Indent Char"/>
    <w:autoRedefine/>
    <w:qFormat/>
    <w:locked/>
    <w:uiPriority w:val="0"/>
    <w:rPr>
      <w:rFonts w:ascii="仿宋_GB2312" w:hAnsi="Times New Roman" w:eastAsia="仿宋_GB2312" w:cs="仿宋_GB2312"/>
      <w:sz w:val="32"/>
      <w:szCs w:val="32"/>
    </w:rPr>
  </w:style>
  <w:style w:type="character" w:customStyle="1" w:styleId="112">
    <w:name w:val="hover2"/>
    <w:autoRedefine/>
    <w:qFormat/>
    <w:uiPriority w:val="0"/>
  </w:style>
  <w:style w:type="paragraph" w:customStyle="1" w:styleId="113">
    <w:name w:val="样式 标题 3h3Level 3 HeadH3Heading 3 - oldlevel_3PIM 3BOD 0s..."/>
    <w:basedOn w:val="5"/>
    <w:autoRedefine/>
    <w:qFormat/>
    <w:uiPriority w:val="0"/>
    <w:pPr>
      <w:tabs>
        <w:tab w:val="left" w:pos="0"/>
      </w:tabs>
      <w:adjustRightInd w:val="0"/>
      <w:spacing w:before="0" w:after="0" w:line="500" w:lineRule="exact"/>
      <w:textAlignment w:val="baseline"/>
    </w:pPr>
    <w:rPr>
      <w:kern w:val="0"/>
      <w:sz w:val="28"/>
      <w:szCs w:val="28"/>
    </w:rPr>
  </w:style>
  <w:style w:type="paragraph" w:customStyle="1" w:styleId="114">
    <w:name w:val="默认段落字体 Para Char Char Char Char Char Char Char Char Char Char"/>
    <w:basedOn w:val="1"/>
    <w:autoRedefine/>
    <w:qFormat/>
    <w:uiPriority w:val="0"/>
    <w:rPr>
      <w:rFonts w:ascii="Tahoma" w:hAnsi="Tahoma" w:cs="Tahoma"/>
      <w:sz w:val="24"/>
    </w:rPr>
  </w:style>
  <w:style w:type="paragraph" w:customStyle="1" w:styleId="115">
    <w:name w:val="Char"/>
    <w:basedOn w:val="1"/>
    <w:autoRedefine/>
    <w:qFormat/>
    <w:uiPriority w:val="0"/>
    <w:rPr>
      <w:szCs w:val="21"/>
    </w:rPr>
  </w:style>
  <w:style w:type="paragraph" w:customStyle="1" w:styleId="116">
    <w:name w:val="xl84"/>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7">
    <w:name w:val="xl70"/>
    <w:basedOn w:val="1"/>
    <w:autoRedefine/>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1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19">
    <w:name w:val="xl92"/>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0">
    <w:name w:val="xl94"/>
    <w:basedOn w:val="1"/>
    <w:autoRedefine/>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1">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22">
    <w:name w:val="修订1"/>
    <w:autoRedefine/>
    <w:qFormat/>
    <w:uiPriority w:val="0"/>
    <w:rPr>
      <w:rFonts w:ascii="Times New Roman" w:hAnsi="Times New Roman" w:eastAsia="宋体" w:cs="Times New Roman"/>
      <w:kern w:val="2"/>
      <w:sz w:val="21"/>
      <w:szCs w:val="21"/>
      <w:lang w:val="en-US" w:eastAsia="zh-CN" w:bidi="ar-SA"/>
    </w:rPr>
  </w:style>
  <w:style w:type="paragraph" w:customStyle="1" w:styleId="123">
    <w:name w:val="font7"/>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4">
    <w:name w:val="Body Text First Indent 2"/>
    <w:basedOn w:val="18"/>
    <w:autoRedefine/>
    <w:qFormat/>
    <w:uiPriority w:val="0"/>
    <w:pPr>
      <w:spacing w:after="120" w:line="240" w:lineRule="auto"/>
      <w:ind w:left="420" w:leftChars="200" w:firstLine="420" w:firstLineChars="200"/>
    </w:pPr>
    <w:rPr>
      <w:rFonts w:hint="default" w:ascii="Times New Roman" w:hAnsi="Times New Roman" w:eastAsia="宋体" w:cs="Times New Roman"/>
      <w:sz w:val="21"/>
    </w:rPr>
  </w:style>
  <w:style w:type="paragraph" w:customStyle="1" w:styleId="125">
    <w:name w:val="Char Char1 Char Char Char Char Char Char Char Char Char Char Char Char Char Char Char"/>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126">
    <w:name w:val="xl87"/>
    <w:basedOn w:val="1"/>
    <w:autoRedefine/>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7">
    <w:name w:val="xl71"/>
    <w:basedOn w:val="1"/>
    <w:autoRedefine/>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28">
    <w:name w:val="xl81"/>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9">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0">
    <w:name w:val="xl86"/>
    <w:basedOn w:val="1"/>
    <w:autoRedefine/>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1">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2">
    <w:name w:val="Bullet"/>
    <w:basedOn w:val="1"/>
    <w:autoRedefine/>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3">
    <w:name w:val="xl9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4">
    <w:name w:val="xl9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5">
    <w:name w:val="0正文"/>
    <w:autoRedefine/>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37">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xl27"/>
    <w:basedOn w:val="1"/>
    <w:autoRedefine/>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9">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
    <w:name w:val="TOC 标题1"/>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1">
    <w:name w:val="xl100"/>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
    <w:name w:val="xl102"/>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
    <w:name w:val="xl91"/>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4">
    <w:name w:val="xl72"/>
    <w:basedOn w:val="1"/>
    <w:autoRedefine/>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5">
    <w:name w:val="xl9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69"/>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
    <w:name w:val="xl93"/>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8">
    <w:name w:val="xl68"/>
    <w:basedOn w:val="1"/>
    <w:autoRedefine/>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9">
    <w:name w:val="默认段落字体 Para Char Char Char Char"/>
    <w:basedOn w:val="1"/>
    <w:autoRedefine/>
    <w:qFormat/>
    <w:uiPriority w:val="0"/>
    <w:rPr>
      <w:szCs w:val="21"/>
    </w:rPr>
  </w:style>
  <w:style w:type="paragraph" w:customStyle="1" w:styleId="150">
    <w:name w:val="xl74"/>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1">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列出段落1"/>
    <w:basedOn w:val="1"/>
    <w:autoRedefine/>
    <w:qFormat/>
    <w:uiPriority w:val="0"/>
    <w:pPr>
      <w:ind w:firstLine="420" w:firstLineChars="200"/>
    </w:pPr>
    <w:rPr>
      <w:szCs w:val="21"/>
    </w:rPr>
  </w:style>
  <w:style w:type="paragraph" w:customStyle="1" w:styleId="153">
    <w:name w:val="xl66"/>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4">
    <w:name w:val="xl98"/>
    <w:basedOn w:val="1"/>
    <w:autoRedefine/>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33"/>
    <w:basedOn w:val="1"/>
    <w:autoRedefine/>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57">
    <w:name w:val="Char1 Char Char Char"/>
    <w:basedOn w:val="1"/>
    <w:autoRedefine/>
    <w:qFormat/>
    <w:uiPriority w:val="0"/>
    <w:rPr>
      <w:rFonts w:eastAsia="仿宋_GB2312"/>
      <w:sz w:val="28"/>
      <w:szCs w:val="28"/>
    </w:rPr>
  </w:style>
  <w:style w:type="paragraph" w:customStyle="1" w:styleId="158">
    <w:name w:val="xl67"/>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styleId="159">
    <w:name w:val="No Spacing"/>
    <w:autoRedefine/>
    <w:qFormat/>
    <w:uiPriority w:val="0"/>
    <w:rPr>
      <w:rFonts w:ascii="Times New Roman" w:hAnsi="Times New Roman" w:eastAsia="宋体" w:cs="Calibri"/>
      <w:sz w:val="22"/>
      <w:szCs w:val="22"/>
      <w:lang w:val="en-US" w:eastAsia="zh-CN" w:bidi="ar-SA"/>
    </w:rPr>
  </w:style>
  <w:style w:type="paragraph" w:customStyle="1" w:styleId="160">
    <w:name w:val="font6"/>
    <w:basedOn w:val="1"/>
    <w:autoRedefine/>
    <w:qFormat/>
    <w:uiPriority w:val="0"/>
    <w:pPr>
      <w:widowControl/>
      <w:spacing w:before="100" w:beforeAutospacing="1" w:after="100" w:afterAutospacing="1"/>
      <w:jc w:val="left"/>
    </w:pPr>
    <w:rPr>
      <w:kern w:val="0"/>
      <w:szCs w:val="21"/>
    </w:rPr>
  </w:style>
  <w:style w:type="paragraph" w:customStyle="1" w:styleId="16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4">
    <w:name w:val="BodyText"/>
    <w:basedOn w:val="1"/>
    <w:next w:val="1"/>
    <w:autoRedefine/>
    <w:qFormat/>
    <w:uiPriority w:val="0"/>
    <w:pPr>
      <w:ind w:left="108" w:firstLine="638"/>
      <w:jc w:val="both"/>
      <w:textAlignment w:val="baseline"/>
    </w:pPr>
    <w:rPr>
      <w:rFonts w:ascii="仿宋" w:hAnsi="仿宋" w:eastAsia="仿宋"/>
      <w:kern w:val="2"/>
      <w:sz w:val="32"/>
      <w:szCs w:val="32"/>
      <w:lang w:val="en-US" w:eastAsia="zh-CN" w:bidi="ar-SA"/>
    </w:rPr>
  </w:style>
  <w:style w:type="paragraph" w:customStyle="1" w:styleId="165">
    <w:name w:val="xl9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_Style 165"/>
    <w:autoRedefine/>
    <w:qFormat/>
    <w:uiPriority w:val="0"/>
    <w:rPr>
      <w:rFonts w:ascii="Times New Roman" w:hAnsi="Times New Roman" w:eastAsia="宋体" w:cs="Times New Roman"/>
      <w:kern w:val="2"/>
      <w:sz w:val="21"/>
      <w:szCs w:val="21"/>
      <w:lang w:val="en-US" w:eastAsia="zh-CN" w:bidi="ar-SA"/>
    </w:rPr>
  </w:style>
  <w:style w:type="paragraph" w:customStyle="1" w:styleId="167">
    <w:name w:val="font8"/>
    <w:basedOn w:val="1"/>
    <w:autoRedefine/>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BodyTextIndent"/>
    <w:basedOn w:val="1"/>
    <w:autoRedefine/>
    <w:qFormat/>
    <w:uiPriority w:val="0"/>
    <w:pPr>
      <w:widowControl/>
      <w:ind w:right="-258" w:rightChars="-123" w:firstLine="720"/>
      <w:textAlignment w:val="baseline"/>
    </w:pPr>
    <w:rPr>
      <w:rFonts w:ascii="仿宋_GB2312" w:eastAsia="仿宋_GB2312"/>
      <w:sz w:val="32"/>
    </w:rPr>
  </w:style>
  <w:style w:type="paragraph" w:customStyle="1" w:styleId="17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1">
    <w:name w:val="_Style 170"/>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72">
    <w:name w:val="xl90"/>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3"/>
    <w:basedOn w:val="1"/>
    <w:autoRedefine/>
    <w:qFormat/>
    <w:uiPriority w:val="0"/>
    <w:pPr>
      <w:widowControl/>
      <w:spacing w:before="100" w:beforeAutospacing="1" w:after="100" w:afterAutospacing="1"/>
      <w:jc w:val="left"/>
      <w:textAlignment w:val="center"/>
    </w:pPr>
    <w:rPr>
      <w:rFonts w:ascii="宋体" w:hAnsi="宋体" w:cs="宋体"/>
      <w:b/>
      <w:bCs/>
      <w:kern w:val="0"/>
      <w:szCs w:val="21"/>
    </w:rPr>
  </w:style>
  <w:style w:type="character" w:customStyle="1" w:styleId="175">
    <w:name w:val="Heading 3 Char"/>
    <w:basedOn w:val="32"/>
    <w:link w:val="5"/>
    <w:autoRedefine/>
    <w:qFormat/>
    <w:locked/>
    <w:uiPriority w:val="99"/>
    <w:rPr>
      <w:rFonts w:cs="Times New Roman"/>
      <w:b/>
      <w:sz w:val="32"/>
    </w:rPr>
  </w:style>
  <w:style w:type="paragraph" w:customStyle="1" w:styleId="176">
    <w:name w:val="列表段落1"/>
    <w:basedOn w:val="1"/>
    <w:next w:val="1"/>
    <w:qFormat/>
    <w:uiPriority w:val="0"/>
    <w:pPr>
      <w:ind w:firstLine="420" w:firstLineChars="200"/>
    </w:pPr>
    <w:rPr>
      <w:szCs w:val="22"/>
    </w:rPr>
  </w:style>
  <w:style w:type="paragraph" w:customStyle="1" w:styleId="177">
    <w:name w:val="Table Text"/>
    <w:basedOn w:val="1"/>
    <w:semiHidden/>
    <w:qFormat/>
    <w:uiPriority w:val="0"/>
    <w:pPr>
      <w:widowControl/>
      <w:kinsoku w:val="0"/>
      <w:autoSpaceDE w:val="0"/>
      <w:autoSpaceDN w:val="0"/>
      <w:adjustRightInd w:val="0"/>
      <w:snapToGrid w:val="0"/>
      <w:spacing w:line="240" w:lineRule="auto"/>
      <w:jc w:val="left"/>
      <w:textAlignment w:val="baseline"/>
    </w:pPr>
    <w:rPr>
      <w:rFonts w:ascii="仿宋" w:hAnsi="仿宋" w:eastAsia="仿宋" w:cs="仿宋"/>
      <w:snapToGrid w:val="0"/>
      <w:color w:val="000000"/>
      <w:kern w:val="0"/>
      <w:sz w:val="28"/>
      <w:szCs w:val="28"/>
      <w:lang w:eastAsia="en-US"/>
    </w:rPr>
  </w:style>
  <w:style w:type="paragraph" w:customStyle="1" w:styleId="178">
    <w:name w:val="Char Char 字元 字元 字元 Char Char Char Char"/>
    <w:basedOn w:val="1"/>
    <w:next w:val="179"/>
    <w:qFormat/>
    <w:uiPriority w:val="0"/>
    <w:pPr>
      <w:spacing w:line="360" w:lineRule="auto"/>
    </w:pPr>
    <w:rPr>
      <w:sz w:val="24"/>
    </w:rPr>
  </w:style>
  <w:style w:type="paragraph" w:customStyle="1" w:styleId="179">
    <w:name w:val="_Style 3"/>
    <w:next w:val="1"/>
    <w:qFormat/>
    <w:uiPriority w:val="39"/>
    <w:pPr>
      <w:wordWrap w:val="0"/>
    </w:pPr>
    <w:rPr>
      <w:rFonts w:ascii="宋体" w:hAnsi="宋体" w:eastAsia="宋体" w:cs="Times New Roman"/>
      <w:sz w:val="32"/>
      <w:lang w:val="en-US" w:eastAsia="zh-CN" w:bidi="ar-SA"/>
    </w:rPr>
  </w:style>
  <w:style w:type="paragraph" w:customStyle="1" w:styleId="180">
    <w:name w:val="Table Paragraph"/>
    <w:basedOn w:val="1"/>
    <w:qFormat/>
    <w:uiPriority w:val="0"/>
    <w:pPr>
      <w:widowControl w:val="0"/>
      <w:spacing w:line="360" w:lineRule="auto"/>
      <w:jc w:val="both"/>
    </w:pPr>
    <w:rPr>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4" textRotate="1"/>
    <customShpInfo spid="_x0000_s4105" textRotate="1"/>
    <customShpInfo spid="_x0000_s4106" textRotate="1"/>
    <customShpInfo spid="_x0000_s4107" textRotate="1"/>
    <customShpInfo spid="_x0000_s4108" textRotate="1"/>
    <customShpInfo spid="_x0000_s4109" textRotate="1"/>
    <customShpInfo spid="_x0000_s4110" textRotate="1"/>
    <customShpInfo spid="_x0000_s411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93</Pages>
  <Words>5177</Words>
  <Characters>6085</Characters>
  <Lines>257</Lines>
  <Paragraphs>72</Paragraphs>
  <TotalTime>2</TotalTime>
  <ScaleCrop>false</ScaleCrop>
  <LinksUpToDate>false</LinksUpToDate>
  <CharactersWithSpaces>6145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番茄花园</dc:creator>
  <cp:lastModifiedBy>ㅤ</cp:lastModifiedBy>
  <cp:lastPrinted>2021-03-19T01:31:00Z</cp:lastPrinted>
  <dcterms:modified xsi:type="dcterms:W3CDTF">2026-08-16T23:59:53Z</dcterms:modified>
  <dc:title>盘锦市政府采购项目预算表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68E8CCAB267344C9A8C96987D8FCAC23</vt:lpwstr>
  </property>
  <property fmtid="{D5CDD505-2E9C-101B-9397-08002B2CF9AE}" pid="4" name="KSOTemplateDocerSaveRecord">
    <vt:lpwstr>eyJoZGlkIjoiMGNiMmMyOTA3NDRjMjdlMGEwOTRiYzNlMTJjM2RkOWYiLCJ1c2VySWQiOiI2NjcxMzg3NjUifQ==</vt:lpwstr>
  </property>
</Properties>
</file>