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9734B">
      <w:pPr>
        <w:widowControl/>
        <w:adjustRightInd w:val="0"/>
        <w:spacing w:line="240" w:lineRule="atLeast"/>
        <w:jc w:val="center"/>
        <w:rPr>
          <w:rFonts w:eastAsia="方正小标宋简体" w:cs="宋体"/>
          <w:color w:val="auto"/>
          <w:sz w:val="36"/>
          <w:szCs w:val="36"/>
          <w:highlight w:val="none"/>
        </w:rPr>
      </w:pPr>
    </w:p>
    <w:p w14:paraId="1518DEB0">
      <w:pPr>
        <w:spacing w:line="360" w:lineRule="exact"/>
        <w:rPr>
          <w:rFonts w:ascii="宋体" w:hAnsi="宋体"/>
          <w:color w:val="auto"/>
          <w:szCs w:val="21"/>
          <w:highlight w:val="none"/>
        </w:rPr>
      </w:pPr>
    </w:p>
    <w:p w14:paraId="7623C2A0">
      <w:pPr>
        <w:spacing w:line="360" w:lineRule="exact"/>
        <w:rPr>
          <w:rFonts w:ascii="宋体" w:hAnsi="宋体"/>
          <w:color w:val="auto"/>
          <w:szCs w:val="21"/>
          <w:highlight w:val="none"/>
        </w:rPr>
      </w:pPr>
    </w:p>
    <w:p w14:paraId="54EE7946">
      <w:pPr>
        <w:spacing w:line="360" w:lineRule="auto"/>
        <w:ind w:firstLine="565" w:firstLineChars="201"/>
        <w:jc w:val="center"/>
        <w:rPr>
          <w:rFonts w:ascii="宋体" w:hAnsi="宋体"/>
          <w:b/>
          <w:bCs/>
          <w:color w:val="auto"/>
          <w:kern w:val="0"/>
          <w:sz w:val="28"/>
          <w:szCs w:val="28"/>
          <w:highlight w:val="none"/>
        </w:rPr>
      </w:pPr>
    </w:p>
    <w:p w14:paraId="5BAF43BA">
      <w:pPr>
        <w:snapToGrid w:val="0"/>
        <w:jc w:val="center"/>
        <w:rPr>
          <w:rFonts w:ascii="方正小标宋简体" w:hAnsi="黑体" w:eastAsia="方正小标宋简体" w:cs="方正小标宋简体"/>
          <w:color w:val="auto"/>
          <w:kern w:val="0"/>
          <w:sz w:val="56"/>
          <w:szCs w:val="52"/>
          <w:highlight w:val="none"/>
        </w:rPr>
      </w:pPr>
      <w:r>
        <w:rPr>
          <w:rFonts w:hint="eastAsia" w:ascii="方正小标宋简体" w:hAnsi="黑体" w:eastAsia="方正小标宋简体" w:cs="方正小标宋简体"/>
          <w:color w:val="auto"/>
          <w:kern w:val="0"/>
          <w:sz w:val="56"/>
          <w:szCs w:val="52"/>
          <w:highlight w:val="none"/>
        </w:rPr>
        <w:t>乳山图曼热力安装有限公司</w:t>
      </w:r>
    </w:p>
    <w:p w14:paraId="6DC6137B">
      <w:pPr>
        <w:spacing w:before="624" w:beforeLines="200" w:line="360" w:lineRule="auto"/>
        <w:jc w:val="center"/>
        <w:rPr>
          <w:rFonts w:ascii="方正小标宋简体" w:hAnsi="黑体" w:eastAsia="方正小标宋简体"/>
          <w:color w:val="auto"/>
          <w:kern w:val="0"/>
          <w:sz w:val="72"/>
          <w:szCs w:val="52"/>
          <w:highlight w:val="none"/>
        </w:rPr>
      </w:pPr>
      <w:r>
        <w:rPr>
          <w:rFonts w:hint="eastAsia" w:ascii="方正小标宋简体" w:hAnsi="黑体" w:eastAsia="方正小标宋简体" w:cs="方正小标宋简体"/>
          <w:color w:val="auto"/>
          <w:kern w:val="0"/>
          <w:sz w:val="72"/>
          <w:szCs w:val="52"/>
          <w:highlight w:val="none"/>
        </w:rPr>
        <w:t>自愿公开招标文件</w:t>
      </w:r>
    </w:p>
    <w:p w14:paraId="62E63883">
      <w:pPr>
        <w:spacing w:line="360" w:lineRule="auto"/>
        <w:ind w:firstLine="723" w:firstLineChars="201"/>
        <w:jc w:val="left"/>
        <w:rPr>
          <w:rFonts w:ascii="宋体" w:hAnsi="宋体"/>
          <w:color w:val="auto"/>
          <w:sz w:val="36"/>
          <w:szCs w:val="36"/>
          <w:highlight w:val="none"/>
        </w:rPr>
      </w:pPr>
    </w:p>
    <w:p w14:paraId="3512E9E9">
      <w:pPr>
        <w:spacing w:line="360" w:lineRule="auto"/>
        <w:jc w:val="left"/>
        <w:rPr>
          <w:rFonts w:ascii="宋体" w:hAnsi="宋体"/>
          <w:color w:val="auto"/>
          <w:sz w:val="36"/>
          <w:szCs w:val="36"/>
          <w:highlight w:val="none"/>
        </w:rPr>
      </w:pPr>
      <w:r>
        <w:rPr>
          <w:rFonts w:hint="eastAsia" w:ascii="宋体" w:hAnsi="宋体"/>
          <w:color w:val="auto"/>
          <w:sz w:val="36"/>
          <w:szCs w:val="36"/>
          <w:highlight w:val="none"/>
        </w:rPr>
        <w:t xml:space="preserve">    </w:t>
      </w:r>
    </w:p>
    <w:p w14:paraId="31A44DD6">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项目名称：</w:t>
      </w:r>
      <w:r>
        <w:rPr>
          <w:rFonts w:hint="eastAsia" w:ascii="仿宋_GB2312" w:hAnsi="仿宋" w:eastAsia="仿宋_GB2312" w:cs="方正楷体简体"/>
          <w:color w:val="auto"/>
          <w:sz w:val="36"/>
          <w:szCs w:val="36"/>
          <w:highlight w:val="none"/>
        </w:rPr>
        <w:t>乳山市非直供小区电力改造监理项目</w:t>
      </w:r>
    </w:p>
    <w:p w14:paraId="074ADB72">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项目编号：</w:t>
      </w:r>
      <w:r>
        <w:rPr>
          <w:rFonts w:hint="eastAsia" w:ascii="仿宋_GB2312" w:hAnsi="仿宋" w:eastAsia="仿宋_GB2312" w:cs="方正楷体简体"/>
          <w:color w:val="auto"/>
          <w:sz w:val="36"/>
          <w:szCs w:val="36"/>
          <w:highlight w:val="none"/>
        </w:rPr>
        <w:t>SDRS-TPZB-2026-171</w:t>
      </w:r>
    </w:p>
    <w:p w14:paraId="5DD1499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包段名称：</w:t>
      </w:r>
      <w:r>
        <w:rPr>
          <w:rFonts w:hint="eastAsia" w:ascii="仿宋_GB2312" w:hAnsi="仿宋" w:eastAsia="仿宋_GB2312" w:cs="方正楷体简体"/>
          <w:color w:val="auto"/>
          <w:sz w:val="36"/>
          <w:szCs w:val="36"/>
          <w:highlight w:val="none"/>
        </w:rPr>
        <w:t xml:space="preserve">乳山市非直供小区电力改造监理项目(第A包，共1包) </w:t>
      </w:r>
    </w:p>
    <w:p w14:paraId="4100903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采购方式：</w:t>
      </w:r>
      <w:r>
        <w:rPr>
          <w:rFonts w:hint="eastAsia" w:ascii="仿宋_GB2312" w:hAnsi="仿宋" w:eastAsia="仿宋_GB2312" w:cs="方正楷体简体"/>
          <w:color w:val="auto"/>
          <w:sz w:val="36"/>
          <w:szCs w:val="36"/>
          <w:highlight w:val="none"/>
        </w:rPr>
        <w:t>自愿公开招标</w:t>
      </w:r>
    </w:p>
    <w:p w14:paraId="4DA8E1C6">
      <w:pPr>
        <w:spacing w:line="360" w:lineRule="auto"/>
        <w:rPr>
          <w:rFonts w:ascii="仿宋_GB2312" w:hAnsi="仿宋" w:eastAsia="仿宋_GB2312" w:cs="方正楷体简体"/>
          <w:b/>
          <w:color w:val="auto"/>
          <w:sz w:val="16"/>
          <w:szCs w:val="36"/>
          <w:highlight w:val="none"/>
        </w:rPr>
      </w:pPr>
    </w:p>
    <w:p w14:paraId="62EA3C53">
      <w:pPr>
        <w:spacing w:line="360" w:lineRule="auto"/>
        <w:ind w:firstLine="363" w:firstLineChars="201"/>
        <w:jc w:val="center"/>
        <w:rPr>
          <w:rFonts w:ascii="仿宋_GB2312" w:hAnsi="仿宋" w:eastAsia="仿宋_GB2312" w:cs="方正楷体简体"/>
          <w:b/>
          <w:color w:val="auto"/>
          <w:sz w:val="18"/>
          <w:szCs w:val="36"/>
          <w:highlight w:val="none"/>
        </w:rPr>
      </w:pPr>
    </w:p>
    <w:p w14:paraId="4F191C5C">
      <w:pPr>
        <w:spacing w:before="156" w:beforeLines="50" w:line="360" w:lineRule="auto"/>
        <w:jc w:val="center"/>
        <w:rPr>
          <w:rFonts w:ascii="仿宋_GB2312" w:hAnsi="仿宋" w:eastAsia="仿宋_GB2312"/>
          <w:b/>
          <w:bCs/>
          <w:color w:val="auto"/>
          <w:kern w:val="0"/>
          <w:sz w:val="36"/>
          <w:szCs w:val="36"/>
          <w:highlight w:val="none"/>
        </w:rPr>
      </w:pPr>
      <w:r>
        <w:rPr>
          <w:rFonts w:hint="eastAsia" w:ascii="仿宋_GB2312" w:hAnsi="仿宋" w:eastAsia="仿宋_GB2312" w:cs="方正楷体简体"/>
          <w:b/>
          <w:color w:val="auto"/>
          <w:sz w:val="36"/>
          <w:szCs w:val="36"/>
          <w:highlight w:val="none"/>
        </w:rPr>
        <w:t>代理机构：</w:t>
      </w:r>
      <w:r>
        <w:rPr>
          <w:rFonts w:hint="eastAsia" w:ascii="仿宋_GB2312" w:hAnsi="仿宋" w:eastAsia="仿宋_GB2312" w:cs="方正楷体简体"/>
          <w:color w:val="auto"/>
          <w:sz w:val="36"/>
          <w:szCs w:val="36"/>
          <w:highlight w:val="none"/>
        </w:rPr>
        <w:t>乳山天平建设工程咨询有限公司</w:t>
      </w:r>
    </w:p>
    <w:p w14:paraId="1161D7F5">
      <w:pPr>
        <w:spacing w:before="156" w:beforeLines="50" w:line="360" w:lineRule="auto"/>
        <w:ind w:firstLine="726" w:firstLineChars="201"/>
        <w:jc w:val="center"/>
        <w:rPr>
          <w:rFonts w:ascii="仿宋_GB2312" w:hAnsi="仿宋" w:eastAsia="仿宋_GB2312" w:cs="方正楷体简体"/>
          <w:color w:val="auto"/>
          <w:sz w:val="36"/>
          <w:szCs w:val="36"/>
          <w:highlight w:val="none"/>
        </w:rPr>
      </w:pPr>
      <w:r>
        <w:rPr>
          <w:rFonts w:hint="eastAsia" w:ascii="仿宋_GB2312" w:hAnsi="仿宋" w:eastAsia="仿宋_GB2312" w:cs="方正楷体简体"/>
          <w:b/>
          <w:color w:val="auto"/>
          <w:sz w:val="36"/>
          <w:szCs w:val="36"/>
          <w:highlight w:val="none"/>
        </w:rPr>
        <w:t>编制时间：</w:t>
      </w:r>
      <w:r>
        <w:rPr>
          <w:rFonts w:hint="eastAsia" w:ascii="仿宋_GB2312" w:hAnsi="仿宋" w:eastAsia="仿宋_GB2312" w:cs="方正楷体简体"/>
          <w:color w:val="auto"/>
          <w:sz w:val="36"/>
          <w:szCs w:val="36"/>
          <w:highlight w:val="none"/>
        </w:rPr>
        <w:t xml:space="preserve"> 2026年10月16日</w:t>
      </w:r>
    </w:p>
    <w:p w14:paraId="71A68002">
      <w:pPr>
        <w:spacing w:before="156" w:beforeLines="50" w:line="360" w:lineRule="auto"/>
        <w:ind w:firstLine="726" w:firstLineChars="201"/>
        <w:jc w:val="center"/>
        <w:rPr>
          <w:rFonts w:ascii="仿宋_GB2312" w:hAnsi="仿宋" w:eastAsia="仿宋_GB2312" w:cs="方正楷体简体"/>
          <w:b/>
          <w:color w:val="auto"/>
          <w:sz w:val="36"/>
          <w:szCs w:val="36"/>
          <w:highlight w:val="none"/>
        </w:rPr>
      </w:pPr>
    </w:p>
    <w:p w14:paraId="1B89BACC">
      <w:pPr>
        <w:spacing w:line="360" w:lineRule="auto"/>
        <w:ind w:firstLine="1045" w:firstLineChars="201"/>
        <w:jc w:val="center"/>
        <w:rPr>
          <w:rFonts w:ascii="黑体" w:hAnsi="黑体" w:eastAsia="黑体" w:cs="方正小标宋简体"/>
          <w:color w:val="auto"/>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0DCFF782">
      <w:pPr>
        <w:spacing w:line="360" w:lineRule="auto"/>
        <w:ind w:firstLine="1045" w:firstLineChars="201"/>
        <w:jc w:val="center"/>
        <w:rPr>
          <w:rFonts w:ascii="黑体" w:hAnsi="黑体" w:eastAsia="黑体"/>
          <w:b/>
          <w:color w:val="auto"/>
          <w:sz w:val="44"/>
          <w:szCs w:val="44"/>
          <w:highlight w:val="none"/>
        </w:rPr>
      </w:pPr>
      <w:r>
        <w:rPr>
          <w:rFonts w:hint="eastAsia" w:ascii="黑体" w:hAnsi="黑体" w:eastAsia="黑体" w:cs="方正小标宋简体"/>
          <w:color w:val="auto"/>
          <w:kern w:val="0"/>
          <w:sz w:val="52"/>
          <w:szCs w:val="52"/>
          <w:highlight w:val="none"/>
        </w:rPr>
        <w:t>目  录</w:t>
      </w:r>
    </w:p>
    <w:p w14:paraId="7E56F011">
      <w:pPr>
        <w:spacing w:line="560" w:lineRule="exact"/>
        <w:ind w:firstLine="562" w:firstLineChars="201"/>
        <w:jc w:val="left"/>
        <w:rPr>
          <w:rFonts w:ascii="宋体" w:hAnsi="宋体" w:cs="方正楷体简体"/>
          <w:color w:val="auto"/>
          <w:sz w:val="28"/>
          <w:szCs w:val="28"/>
          <w:highlight w:val="none"/>
        </w:rPr>
      </w:pPr>
    </w:p>
    <w:p w14:paraId="6844C511">
      <w:pPr>
        <w:spacing w:line="560" w:lineRule="exact"/>
        <w:ind w:firstLine="562" w:firstLineChars="201"/>
        <w:jc w:val="left"/>
        <w:rPr>
          <w:rFonts w:ascii="宋体" w:hAnsi="宋体" w:cs="方正楷体简体"/>
          <w:color w:val="auto"/>
          <w:sz w:val="28"/>
          <w:szCs w:val="28"/>
          <w:highlight w:val="none"/>
        </w:rPr>
      </w:pPr>
    </w:p>
    <w:p w14:paraId="314917FC">
      <w:pPr>
        <w:spacing w:line="720" w:lineRule="exact"/>
        <w:ind w:firstLine="565" w:firstLineChars="201"/>
        <w:jc w:val="left"/>
        <w:rPr>
          <w:rFonts w:ascii="宋体" w:hAnsi="宋体" w:cs="宋体"/>
          <w:color w:val="auto"/>
          <w:sz w:val="24"/>
          <w:szCs w:val="44"/>
          <w:highlight w:val="none"/>
        </w:rPr>
      </w:pPr>
      <w:r>
        <w:rPr>
          <w:rFonts w:hint="eastAsia" w:ascii="仿宋_GB2312" w:hAnsi="黑体" w:eastAsia="仿宋_GB2312" w:cs="宋体"/>
          <w:b/>
          <w:bCs/>
          <w:caps/>
          <w:color w:val="auto"/>
          <w:sz w:val="28"/>
          <w:szCs w:val="28"/>
          <w:highlight w:val="none"/>
        </w:rPr>
        <w:t>第一章   自愿公开招标公告</w:t>
      </w:r>
    </w:p>
    <w:p w14:paraId="5C29ED38">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第二章   投标须知</w:t>
      </w:r>
    </w:p>
    <w:p w14:paraId="4F7E72E8">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第三章   采购内容与要求</w:t>
      </w:r>
    </w:p>
    <w:p w14:paraId="410B07E5">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第四章   评标原则和方法</w:t>
      </w:r>
    </w:p>
    <w:p w14:paraId="5F3ABF52">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第五章   投标文件格式与要求</w:t>
      </w:r>
    </w:p>
    <w:p w14:paraId="6BCA928A">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第六章   政府采购合同（范本）</w:t>
      </w:r>
    </w:p>
    <w:p w14:paraId="5564AB99">
      <w:pPr>
        <w:spacing w:line="560" w:lineRule="exact"/>
        <w:ind w:firstLine="565" w:firstLineChars="201"/>
        <w:jc w:val="left"/>
        <w:rPr>
          <w:rFonts w:ascii="仿宋_GB2312" w:hAnsi="宋体" w:eastAsia="仿宋_GB2312" w:cs="宋体"/>
          <w:b/>
          <w:bCs/>
          <w:caps/>
          <w:color w:val="auto"/>
          <w:sz w:val="28"/>
          <w:szCs w:val="28"/>
          <w:highlight w:val="none"/>
        </w:rPr>
      </w:pPr>
    </w:p>
    <w:p w14:paraId="1217E2FA">
      <w:pPr>
        <w:rPr>
          <w:rFonts w:ascii="仿宋_GB2312" w:hAnsi="宋体" w:eastAsia="仿宋_GB2312"/>
          <w:b/>
          <w:color w:val="auto"/>
          <w:highlight w:val="none"/>
        </w:rPr>
      </w:pPr>
    </w:p>
    <w:p w14:paraId="396B54DB">
      <w:pPr>
        <w:spacing w:line="560" w:lineRule="exact"/>
        <w:ind w:firstLine="565" w:firstLineChars="201"/>
        <w:jc w:val="left"/>
        <w:rPr>
          <w:rFonts w:ascii="仿宋_GB2312" w:hAnsi="宋体" w:eastAsia="仿宋_GB2312"/>
          <w:b/>
          <w:bCs/>
          <w:caps/>
          <w:color w:val="auto"/>
          <w:sz w:val="28"/>
          <w:szCs w:val="28"/>
          <w:highlight w:val="none"/>
        </w:rPr>
      </w:pPr>
    </w:p>
    <w:p w14:paraId="65A32CB3">
      <w:pPr>
        <w:spacing w:line="560" w:lineRule="exact"/>
        <w:ind w:firstLine="424" w:firstLineChars="151"/>
        <w:jc w:val="left"/>
        <w:rPr>
          <w:rFonts w:ascii="仿宋_GB2312" w:hAnsi="宋体" w:eastAsia="仿宋_GB2312" w:cs="宋体"/>
          <w:b/>
          <w:bCs/>
          <w:caps/>
          <w:color w:val="auto"/>
          <w:sz w:val="28"/>
          <w:szCs w:val="28"/>
          <w:highlight w:val="none"/>
        </w:rPr>
      </w:pPr>
    </w:p>
    <w:p w14:paraId="3FF6B262">
      <w:pPr>
        <w:spacing w:line="560" w:lineRule="exact"/>
        <w:ind w:firstLine="424" w:firstLineChars="151"/>
        <w:jc w:val="left"/>
        <w:rPr>
          <w:rFonts w:ascii="仿宋_GB2312" w:hAnsi="宋体" w:eastAsia="仿宋_GB2312"/>
          <w:b/>
          <w:bCs/>
          <w:caps/>
          <w:color w:val="auto"/>
          <w:sz w:val="28"/>
          <w:szCs w:val="28"/>
          <w:highlight w:val="none"/>
        </w:rPr>
      </w:pPr>
    </w:p>
    <w:p w14:paraId="76262DE5">
      <w:pPr>
        <w:rPr>
          <w:rFonts w:ascii="宋体" w:hAnsi="宋体"/>
          <w:color w:val="auto"/>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31BB914B">
      <w:pPr>
        <w:pStyle w:val="29"/>
        <w:spacing w:before="100" w:beforeAutospacing="1" w:after="100" w:afterAutospacing="1" w:line="415" w:lineRule="auto"/>
        <w:rPr>
          <w:rFonts w:ascii="宋体" w:hAnsi="宋体" w:cs="宋体"/>
          <w:color w:val="auto"/>
          <w:sz w:val="24"/>
          <w:szCs w:val="44"/>
          <w:highlight w:val="none"/>
        </w:rPr>
      </w:pPr>
      <w:r>
        <w:rPr>
          <w:rFonts w:hint="eastAsia" w:ascii="楷体_GB2312" w:hAnsi="宋体" w:eastAsia="楷体_GB2312" w:cs="宋体"/>
          <w:color w:val="auto"/>
          <w:sz w:val="44"/>
          <w:szCs w:val="44"/>
          <w:highlight w:val="none"/>
        </w:rPr>
        <w:t>第一章 采购公告</w:t>
      </w:r>
    </w:p>
    <w:p w14:paraId="03C1C1B1">
      <w:pPr>
        <w:rPr>
          <w:color w:val="auto"/>
          <w:highlight w:val="none"/>
        </w:rPr>
      </w:pPr>
    </w:p>
    <w:p w14:paraId="3B3055CE">
      <w:pPr>
        <w:rPr>
          <w:color w:val="auto"/>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85883A5">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乳山市非直供小区电力改造监理项目</w:t>
      </w:r>
    </w:p>
    <w:p w14:paraId="06BF398C">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自愿公开招标公告</w:t>
      </w:r>
    </w:p>
    <w:p w14:paraId="710F52D9">
      <w:pPr>
        <w:jc w:val="center"/>
        <w:rPr>
          <w:rFonts w:ascii="方正小标宋简体" w:eastAsia="方正小标宋简体"/>
          <w:b/>
          <w:color w:val="auto"/>
          <w:sz w:val="30"/>
          <w:szCs w:val="30"/>
          <w:highlight w:val="none"/>
        </w:rPr>
      </w:pPr>
    </w:p>
    <w:p w14:paraId="73EA485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项目概况</w:t>
      </w:r>
    </w:p>
    <w:p w14:paraId="7DE70999">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乳山市非直供小区电力改造监理项目的潜在投标人应</w:t>
      </w:r>
      <w:r>
        <w:rPr>
          <w:rFonts w:hint="eastAsia" w:ascii="仿宋_GB2312" w:hAnsi="仿宋" w:eastAsia="仿宋_GB2312" w:cs="宋体"/>
          <w:color w:val="auto"/>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highlight w:val="none"/>
        </w:rPr>
        <w:t>获取招标文件，并于</w:t>
      </w:r>
      <w:r>
        <w:rPr>
          <w:rFonts w:hint="eastAsia" w:ascii="仿宋_GB2312" w:hAnsi="宋体" w:eastAsia="仿宋_GB2312" w:cs="宋体"/>
          <w:color w:val="auto"/>
          <w:spacing w:val="8"/>
          <w:kern w:val="0"/>
          <w:sz w:val="28"/>
          <w:szCs w:val="28"/>
          <w:highlight w:val="none"/>
          <w:u w:val="single"/>
        </w:rPr>
        <w:t xml:space="preserve"> </w:t>
      </w:r>
      <w:r>
        <w:rPr>
          <w:rFonts w:hint="eastAsia" w:ascii="仿宋_GB2312" w:hAnsi="仿宋" w:eastAsia="仿宋_GB2312" w:cs="宋体"/>
          <w:color w:val="auto"/>
          <w:spacing w:val="8"/>
          <w:kern w:val="0"/>
          <w:sz w:val="28"/>
          <w:szCs w:val="28"/>
          <w:highlight w:val="none"/>
          <w:u w:val="single"/>
        </w:rPr>
        <w:t>2026年10月28日09时00分（北京时间）</w:t>
      </w:r>
      <w:r>
        <w:rPr>
          <w:rFonts w:hint="eastAsia" w:ascii="仿宋_GB2312" w:hAnsi="仿宋" w:eastAsia="仿宋_GB2312" w:cs="宋体"/>
          <w:color w:val="auto"/>
          <w:spacing w:val="8"/>
          <w:kern w:val="0"/>
          <w:sz w:val="28"/>
          <w:szCs w:val="28"/>
          <w:highlight w:val="none"/>
        </w:rPr>
        <w:t>前递交投标文件。</w:t>
      </w:r>
    </w:p>
    <w:p w14:paraId="23682F7D">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一、项目基本情况</w:t>
      </w:r>
    </w:p>
    <w:p w14:paraId="6EF2A074">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项目编号：SDRS-TPZB-2026-171</w:t>
      </w:r>
    </w:p>
    <w:p w14:paraId="6D027E5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项目名称：乳山市非直供小区电力改造监理项目</w:t>
      </w:r>
    </w:p>
    <w:p w14:paraId="13B6E2A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采购项目分包情况：</w:t>
      </w:r>
    </w:p>
    <w:tbl>
      <w:tblPr>
        <w:tblStyle w:val="31"/>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0317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6A21AF94">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标包</w:t>
            </w:r>
          </w:p>
        </w:tc>
        <w:tc>
          <w:tcPr>
            <w:tcW w:w="2268" w:type="dxa"/>
            <w:vAlign w:val="center"/>
          </w:tcPr>
          <w:p w14:paraId="2959A03A">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名称</w:t>
            </w:r>
          </w:p>
        </w:tc>
        <w:tc>
          <w:tcPr>
            <w:tcW w:w="709" w:type="dxa"/>
            <w:vAlign w:val="center"/>
          </w:tcPr>
          <w:p w14:paraId="6E649447">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数量</w:t>
            </w:r>
          </w:p>
        </w:tc>
        <w:tc>
          <w:tcPr>
            <w:tcW w:w="1818" w:type="dxa"/>
            <w:tcBorders>
              <w:right w:val="single" w:color="auto" w:sz="4" w:space="0"/>
            </w:tcBorders>
            <w:vAlign w:val="center"/>
          </w:tcPr>
          <w:p w14:paraId="23996560">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包预算金额</w:t>
            </w:r>
          </w:p>
          <w:p w14:paraId="4ED2D7D6">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（元）</w:t>
            </w:r>
          </w:p>
        </w:tc>
        <w:tc>
          <w:tcPr>
            <w:tcW w:w="1559" w:type="dxa"/>
            <w:vAlign w:val="center"/>
          </w:tcPr>
          <w:p w14:paraId="09AEFCEB">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最高限价（元）</w:t>
            </w:r>
          </w:p>
        </w:tc>
        <w:tc>
          <w:tcPr>
            <w:tcW w:w="1417" w:type="dxa"/>
            <w:tcBorders>
              <w:right w:val="single" w:color="auto" w:sz="4" w:space="0"/>
            </w:tcBorders>
            <w:vAlign w:val="center"/>
          </w:tcPr>
          <w:p w14:paraId="1929847D">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采购需求</w:t>
            </w:r>
          </w:p>
        </w:tc>
        <w:tc>
          <w:tcPr>
            <w:tcW w:w="1357" w:type="dxa"/>
            <w:tcBorders>
              <w:right w:val="single" w:color="auto" w:sz="4" w:space="0"/>
            </w:tcBorders>
            <w:vAlign w:val="center"/>
          </w:tcPr>
          <w:p w14:paraId="68CC5CF7">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合同履行期限</w:t>
            </w:r>
          </w:p>
        </w:tc>
      </w:tr>
      <w:tr w14:paraId="7431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31F21ABE">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A</w:t>
            </w:r>
          </w:p>
        </w:tc>
        <w:tc>
          <w:tcPr>
            <w:tcW w:w="2268" w:type="dxa"/>
            <w:vAlign w:val="center"/>
          </w:tcPr>
          <w:p w14:paraId="2FF8C20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乳山市非直供小区电力改造监理项目</w:t>
            </w:r>
          </w:p>
        </w:tc>
        <w:tc>
          <w:tcPr>
            <w:tcW w:w="709" w:type="dxa"/>
            <w:vAlign w:val="center"/>
          </w:tcPr>
          <w:p w14:paraId="7537FFDF">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006007D9">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lang w:eastAsia="zh-CN"/>
              </w:rPr>
              <w:t>263000</w:t>
            </w:r>
            <w:r>
              <w:rPr>
                <w:rFonts w:hint="eastAsia" w:ascii="仿宋_GB2312" w:hAnsi="宋体" w:eastAsia="仿宋_GB2312" w:cs="宋体"/>
                <w:color w:val="auto"/>
                <w:kern w:val="0"/>
                <w:sz w:val="24"/>
                <w:highlight w:val="none"/>
              </w:rPr>
              <w:t>.00</w:t>
            </w:r>
          </w:p>
        </w:tc>
        <w:tc>
          <w:tcPr>
            <w:tcW w:w="1559" w:type="dxa"/>
            <w:vAlign w:val="center"/>
          </w:tcPr>
          <w:p w14:paraId="7F19D0CB">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lang w:eastAsia="zh-CN"/>
              </w:rPr>
              <w:t>263000</w:t>
            </w:r>
            <w:r>
              <w:rPr>
                <w:rFonts w:hint="eastAsia" w:ascii="仿宋_GB2312" w:hAnsi="宋体" w:eastAsia="仿宋_GB2312" w:cs="宋体"/>
                <w:color w:val="auto"/>
                <w:kern w:val="0"/>
                <w:sz w:val="24"/>
                <w:highlight w:val="none"/>
              </w:rPr>
              <w:t>.00</w:t>
            </w:r>
          </w:p>
        </w:tc>
        <w:tc>
          <w:tcPr>
            <w:tcW w:w="1417" w:type="dxa"/>
            <w:tcBorders>
              <w:right w:val="single" w:color="auto" w:sz="4" w:space="0"/>
            </w:tcBorders>
            <w:vAlign w:val="center"/>
          </w:tcPr>
          <w:p w14:paraId="1C6BE819">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72B3BB9B">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bl>
    <w:p w14:paraId="193864A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本项目不接受联合体投标</w:t>
      </w:r>
    </w:p>
    <w:p w14:paraId="2378FB4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二、申请人的资格要求：</w:t>
      </w:r>
    </w:p>
    <w:p w14:paraId="734DCD7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1.具有独立承担民事责任的能力；</w:t>
      </w:r>
    </w:p>
    <w:p w14:paraId="0AD0C1F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 xml:space="preserve">2.具有行政主管部门颁发的房屋建筑工程监理乙级及以上或市政公用工程监理乙级及以上资质； </w:t>
      </w:r>
    </w:p>
    <w:p w14:paraId="05AE42A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3.具有良好的商业信誉和健全的财务会计制度及履约能力；</w:t>
      </w:r>
    </w:p>
    <w:p w14:paraId="093FC84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4.具有履行合同所必需的设备和专业技术能力；</w:t>
      </w:r>
    </w:p>
    <w:p w14:paraId="6EF3FE5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5.有依法缴纳税收和社会保障资金的良好记录；</w:t>
      </w:r>
    </w:p>
    <w:p w14:paraId="2170938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6.供应商参加采购活动前3年内在经营活动中没有重大违法记录;</w:t>
      </w:r>
    </w:p>
    <w:p w14:paraId="76D7EF0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7.投标人、法定代表人、授权委托人未被最高法院列入失信被执行人；</w:t>
      </w:r>
    </w:p>
    <w:p w14:paraId="54F951E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8.投标人未被工商行政管理机关在全国企业信用信息公示系统中列入严重违法失信企业名单。</w:t>
      </w:r>
    </w:p>
    <w:p w14:paraId="7BC8090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三、获取招标文件</w:t>
      </w:r>
    </w:p>
    <w:p w14:paraId="440EF98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1.时间：2026年10月19日17时00分至2026年10月26日17时00分（北京时间）</w:t>
      </w:r>
    </w:p>
    <w:p w14:paraId="0D88966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w:t>
      </w:r>
      <w:r>
        <w:rPr>
          <w:color w:val="auto"/>
          <w:highlight w:val="none"/>
        </w:rPr>
        <w:fldChar w:fldCharType="begin"/>
      </w:r>
      <w:r>
        <w:rPr>
          <w:color w:val="auto"/>
          <w:highlight w:val="none"/>
        </w:rPr>
        <w:instrText xml:space="preserve"> HYPERLINK "http://ggzyjy.weihai.cn/rongcheng/）。逾期无法从威海市国有企业阳光采购电子化服务平台中获取文件，未在规定时间内从系统中获取招标文件的投标人将无法递交电子投标文件。" </w:instrText>
      </w:r>
      <w:r>
        <w:rPr>
          <w:color w:val="auto"/>
          <w:highlight w:val="none"/>
        </w:rPr>
        <w:fldChar w:fldCharType="separate"/>
      </w:r>
      <w:r>
        <w:rPr>
          <w:rFonts w:hint="eastAsia" w:ascii="仿宋_GB2312" w:hAnsi="仿宋" w:eastAsia="仿宋_GB2312" w:cs="宋体"/>
          <w:color w:val="auto"/>
          <w:spacing w:val="8"/>
          <w:kern w:val="0"/>
          <w:sz w:val="28"/>
          <w:szCs w:val="28"/>
          <w:highlight w:val="none"/>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auto"/>
          <w:spacing w:val="8"/>
          <w:kern w:val="0"/>
          <w:sz w:val="28"/>
          <w:szCs w:val="28"/>
          <w:highlight w:val="none"/>
        </w:rPr>
        <w:fldChar w:fldCharType="end"/>
      </w:r>
    </w:p>
    <w:p w14:paraId="4BFFA54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29742175">
      <w:pPr>
        <w:widowControl/>
        <w:adjustRightInd w:val="0"/>
        <w:spacing w:line="560" w:lineRule="exact"/>
        <w:ind w:firstLine="592" w:firstLineChars="200"/>
        <w:jc w:val="left"/>
        <w:rPr>
          <w:rFonts w:ascii="仿宋_GB2312" w:hAnsi="黑体"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auto"/>
          <w:spacing w:val="8"/>
          <w:kern w:val="0"/>
          <w:sz w:val="28"/>
          <w:szCs w:val="28"/>
          <w:highlight w:val="none"/>
        </w:rPr>
        <w:t>“安全证书（CA）”和“电子签章”办理请按照“威海市公共资源交易网（乳山分中心）”右侧“CA办理”中“CA证书办理介绍”进行办理。</w:t>
      </w:r>
    </w:p>
    <w:p w14:paraId="673453B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3.售价：免费</w:t>
      </w:r>
    </w:p>
    <w:p w14:paraId="5D7CF8A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四、提交投标文件截止时间、开标时间和地点</w:t>
      </w:r>
    </w:p>
    <w:p w14:paraId="1E5D43EB">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1.提交投标文件时间：2026年10月19日18时00分至2026年10月28日09时00分</w:t>
      </w:r>
    </w:p>
    <w:p w14:paraId="7B0348E3">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已在威海市国有企业阳光采购电子化服务平台获取文件的投标人在规定时间内递交电子投标文件。</w:t>
      </w:r>
    </w:p>
    <w:p w14:paraId="48102759">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3.开标时间：2026年10月28日09时00分（北京时间）</w:t>
      </w:r>
    </w:p>
    <w:p w14:paraId="2EC256FA">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4.开标地点：威海市乳山市深圳路108号市民服务中心三楼</w:t>
      </w:r>
    </w:p>
    <w:p w14:paraId="708F7FE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五、公告期限</w:t>
      </w:r>
    </w:p>
    <w:p w14:paraId="4C2A748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自本公告发布之日起5日历天。</w:t>
      </w:r>
    </w:p>
    <w:p w14:paraId="13C5D82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六、其他补充事宜</w:t>
      </w:r>
    </w:p>
    <w:p w14:paraId="280334D4">
      <w:pPr>
        <w:spacing w:line="520" w:lineRule="exact"/>
        <w:ind w:firstLine="592" w:firstLineChars="200"/>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本项目实行全流程电子化，实行远程开标，投标人无需到现场，并保持通讯畅通，提前在个人电脑上进行测试确保音频、视频功能可正常使用，因通讯不畅造成的一切后果由投标人自行承担。</w:t>
      </w:r>
    </w:p>
    <w:p w14:paraId="1E0E73D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七、对本次招标提出询问，请按以下方式联系。</w:t>
      </w:r>
    </w:p>
    <w:p w14:paraId="2B7FF71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1.采购人信息</w:t>
      </w:r>
    </w:p>
    <w:p w14:paraId="67373FB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称：乳山图曼热力安装有限公司</w:t>
      </w:r>
    </w:p>
    <w:p w14:paraId="4D933953">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址：山东省威海市乳山市胜利街西首</w:t>
      </w:r>
    </w:p>
    <w:p w14:paraId="240AFEB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联系方式：0631-6877129</w:t>
      </w:r>
    </w:p>
    <w:p w14:paraId="54D9A87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2.采购代理机构信息</w:t>
      </w:r>
    </w:p>
    <w:p w14:paraId="3D20A0B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称：乳山天平建设工程咨询有限公司</w:t>
      </w:r>
    </w:p>
    <w:p w14:paraId="27C365C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址：乳山市北环路21号</w:t>
      </w:r>
    </w:p>
    <w:p w14:paraId="0E23509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项目联系人：刘伟</w:t>
      </w:r>
    </w:p>
    <w:p w14:paraId="7BD78286">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电  话：0631-6868778</w:t>
      </w:r>
    </w:p>
    <w:p w14:paraId="15B74E6F">
      <w:pPr>
        <w:spacing w:line="560" w:lineRule="exact"/>
        <w:ind w:firstLine="560" w:firstLineChars="200"/>
        <w:rPr>
          <w:rFonts w:hint="eastAsia"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八、发布公告的媒介</w:t>
      </w:r>
    </w:p>
    <w:p w14:paraId="3448C6A0">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微软雅黑" w:eastAsia="仿宋_GB2312" w:cs="宋体"/>
          <w:color w:val="auto"/>
          <w:spacing w:val="8"/>
          <w:kern w:val="0"/>
          <w:sz w:val="28"/>
          <w:szCs w:val="28"/>
          <w:highlight w:val="none"/>
        </w:rPr>
        <w:t>本次公告在中国招标投标公共服务平台（www.cebpubservice.com）、威海市公共资源交易网（乳山分中心）（http://ggzyjy.weihai.cn/rushan/）同时发布，其它媒介转发无效。</w:t>
      </w:r>
    </w:p>
    <w:p w14:paraId="66F8BAD8">
      <w:pPr>
        <w:spacing w:line="560" w:lineRule="exact"/>
        <w:jc w:val="right"/>
        <w:rPr>
          <w:rFonts w:ascii="仿宋_GB2312" w:hAnsi="宋体" w:eastAsia="仿宋_GB2312"/>
          <w:color w:val="auto"/>
          <w:sz w:val="28"/>
          <w:szCs w:val="28"/>
          <w:highlight w:val="none"/>
        </w:rPr>
      </w:pPr>
      <w:r>
        <w:rPr>
          <w:rFonts w:hint="eastAsia" w:ascii="仿宋_GB2312" w:hAnsi="宋体" w:eastAsia="仿宋_GB2312" w:cs="宋体"/>
          <w:color w:val="auto"/>
          <w:kern w:val="0"/>
          <w:sz w:val="28"/>
          <w:szCs w:val="28"/>
          <w:highlight w:val="none"/>
        </w:rPr>
        <w:t>发布人：乳山天平建设工程咨询有限公司</w:t>
      </w:r>
      <w:r>
        <w:rPr>
          <w:rFonts w:hint="eastAsia" w:ascii="仿宋_GB2312" w:hAnsi="宋体" w:eastAsia="仿宋_GB2312"/>
          <w:color w:val="auto"/>
          <w:sz w:val="28"/>
          <w:szCs w:val="28"/>
          <w:highlight w:val="none"/>
        </w:rPr>
        <w:t xml:space="preserve"> </w:t>
      </w:r>
    </w:p>
    <w:p w14:paraId="6F24DEB0">
      <w:pPr>
        <w:widowControl/>
        <w:adjustRightInd w:val="0"/>
        <w:spacing w:line="360" w:lineRule="auto"/>
        <w:ind w:left="-240"/>
        <w:jc w:val="right"/>
        <w:rPr>
          <w:rFonts w:ascii="仿宋_GB2312" w:hAnsi="宋体" w:eastAsia="仿宋_GB2312" w:cs="宋体"/>
          <w:color w:val="auto"/>
          <w:kern w:val="0"/>
          <w:sz w:val="28"/>
          <w:szCs w:val="28"/>
          <w:highlight w:val="none"/>
        </w:rPr>
      </w:pPr>
      <w:r>
        <w:rPr>
          <w:rFonts w:hint="eastAsia" w:ascii="仿宋_GB2312" w:hAnsi="宋体" w:eastAsia="仿宋_GB2312" w:cs="宋体"/>
          <w:color w:val="auto"/>
          <w:kern w:val="0"/>
          <w:sz w:val="28"/>
          <w:szCs w:val="28"/>
          <w:highlight w:val="none"/>
        </w:rPr>
        <w:t>发布时间：2026年10月19日</w:t>
      </w:r>
    </w:p>
    <w:p w14:paraId="747FE731">
      <w:pPr>
        <w:widowControl/>
        <w:adjustRightInd w:val="0"/>
        <w:spacing w:line="360" w:lineRule="auto"/>
        <w:ind w:left="-240"/>
        <w:jc w:val="right"/>
        <w:rPr>
          <w:rFonts w:hint="eastAsia" w:ascii="宋体" w:hAnsi="宋体" w:cs="宋体"/>
          <w:color w:val="auto"/>
          <w:kern w:val="0"/>
          <w:sz w:val="24"/>
          <w:highlight w:val="none"/>
        </w:rPr>
      </w:pPr>
    </w:p>
    <w:p w14:paraId="69D53A4F">
      <w:pPr>
        <w:rPr>
          <w:color w:val="auto"/>
          <w:highlight w:val="none"/>
        </w:rPr>
        <w:sectPr>
          <w:footerReference r:id="rId8" w:type="default"/>
          <w:pgSz w:w="11906" w:h="16838"/>
          <w:pgMar w:top="1440" w:right="1080" w:bottom="1440" w:left="1080" w:header="851" w:footer="992" w:gutter="0"/>
          <w:cols w:space="720" w:num="1"/>
          <w:docGrid w:type="lines" w:linePitch="312" w:charSpace="0"/>
        </w:sectPr>
      </w:pPr>
    </w:p>
    <w:p w14:paraId="342ADE1D">
      <w:pPr>
        <w:pStyle w:val="29"/>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第二章 投标（响应）须知</w:t>
      </w:r>
    </w:p>
    <w:p w14:paraId="6B97CA36">
      <w:pPr>
        <w:rPr>
          <w:color w:val="auto"/>
          <w:highlight w:val="none"/>
        </w:rPr>
      </w:pPr>
    </w:p>
    <w:p w14:paraId="393564FD">
      <w:pPr>
        <w:rPr>
          <w:color w:val="auto"/>
          <w:highlight w:val="none"/>
        </w:rPr>
        <w:sectPr>
          <w:pgSz w:w="11906" w:h="16838"/>
          <w:pgMar w:top="1440" w:right="1077" w:bottom="1440" w:left="1077" w:header="851" w:footer="992" w:gutter="0"/>
          <w:cols w:space="720" w:num="1"/>
          <w:docGrid w:type="lines" w:linePitch="312" w:charSpace="0"/>
        </w:sectPr>
      </w:pPr>
    </w:p>
    <w:p w14:paraId="507022FD">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投标须知前附表</w:t>
      </w:r>
    </w:p>
    <w:p w14:paraId="78FB1F05">
      <w:pPr>
        <w:spacing w:line="560" w:lineRule="exact"/>
        <w:ind w:firstLine="560" w:firstLineChars="200"/>
        <w:jc w:val="left"/>
        <w:rPr>
          <w:rFonts w:ascii="仿宋_GB2312" w:hAnsi="宋体" w:eastAsia="仿宋_GB2312"/>
          <w:color w:val="auto"/>
          <w:sz w:val="28"/>
          <w:szCs w:val="28"/>
          <w:highlight w:val="none"/>
        </w:rPr>
      </w:pPr>
    </w:p>
    <w:p w14:paraId="54E1FE39">
      <w:pPr>
        <w:spacing w:line="560" w:lineRule="exact"/>
        <w:ind w:firstLine="560" w:firstLineChars="20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本表是本招标项目的具体资料，是对投标（响应）须知的汇总和补充，如有矛盾，应以本资料表为准。</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5448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CE2B0D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序号</w:t>
            </w:r>
          </w:p>
        </w:tc>
        <w:tc>
          <w:tcPr>
            <w:tcW w:w="8291" w:type="dxa"/>
            <w:tcBorders>
              <w:top w:val="single" w:color="auto" w:sz="4" w:space="0"/>
              <w:left w:val="single" w:color="auto" w:sz="4" w:space="0"/>
              <w:bottom w:val="single" w:color="auto" w:sz="4" w:space="0"/>
            </w:tcBorders>
            <w:vAlign w:val="center"/>
          </w:tcPr>
          <w:p w14:paraId="1FA703AC">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内           容</w:t>
            </w:r>
          </w:p>
        </w:tc>
      </w:tr>
      <w:tr w14:paraId="2FC13D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24C011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08D35DC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项目名称：乳山市非直供小区电力改造监理项目</w:t>
            </w:r>
          </w:p>
        </w:tc>
      </w:tr>
      <w:tr w14:paraId="6BCF0D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3542BA2">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6F1AA23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项目编号：SDRS-TPZB-2026-171</w:t>
            </w:r>
          </w:p>
        </w:tc>
      </w:tr>
      <w:tr w14:paraId="1CFA17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01512CE5">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2234025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采购人名称：乳山图曼热力安装有限公司</w:t>
            </w:r>
          </w:p>
          <w:p w14:paraId="4049AEF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w:t>
            </w:r>
            <w:r>
              <w:rPr>
                <w:rFonts w:hint="eastAsia" w:ascii="仿宋_GB2312" w:hAnsi="仿宋" w:eastAsia="仿宋_GB2312" w:cs="宋体"/>
                <w:color w:val="auto"/>
                <w:spacing w:val="8"/>
                <w:sz w:val="28"/>
                <w:szCs w:val="28"/>
                <w:highlight w:val="none"/>
              </w:rPr>
              <w:t>山东省威海市乳山市胜利街西首</w:t>
            </w:r>
          </w:p>
          <w:p w14:paraId="65C9773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联系人：张佳辉</w:t>
            </w:r>
          </w:p>
          <w:p w14:paraId="7CEFF79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联系方式：0631-6877129</w:t>
            </w:r>
          </w:p>
        </w:tc>
      </w:tr>
      <w:tr w14:paraId="0B2D6B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1673366">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2F2BB77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采购代理机构名称：乳山天平建设工程咨询有限公司</w:t>
            </w:r>
          </w:p>
          <w:p w14:paraId="3B29D07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地址：乳山市北环路21号</w:t>
            </w:r>
            <w:r>
              <w:rPr>
                <w:rFonts w:ascii="仿宋_GB2312" w:hAnsi="宋体" w:eastAsia="仿宋_GB2312"/>
                <w:color w:val="auto"/>
                <w:sz w:val="28"/>
                <w:szCs w:val="28"/>
                <w:highlight w:val="none"/>
              </w:rPr>
              <w:t xml:space="preserve"> </w:t>
            </w:r>
          </w:p>
          <w:p w14:paraId="4E2EE0E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联系人：刘伟</w:t>
            </w:r>
          </w:p>
          <w:p w14:paraId="777629C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联系方式：0631-6868778</w:t>
            </w:r>
          </w:p>
        </w:tc>
      </w:tr>
      <w:tr w14:paraId="730E8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87FB812">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06C58B92">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1．登录威海市公共资源交易网（乳山分中心）（</w:t>
            </w:r>
            <w:r>
              <w:rPr>
                <w:color w:val="auto"/>
                <w:highlight w:val="none"/>
              </w:rPr>
              <w:fldChar w:fldCharType="begin"/>
            </w:r>
            <w:r>
              <w:rPr>
                <w:color w:val="auto"/>
                <w:highlight w:val="none"/>
              </w:rPr>
              <w:instrText xml:space="preserve"> HYPERLINK "http://rc.whggzyjy.cn/" </w:instrText>
            </w:r>
            <w:r>
              <w:rPr>
                <w:color w:val="auto"/>
                <w:highlight w:val="none"/>
              </w:rPr>
              <w:fldChar w:fldCharType="separate"/>
            </w:r>
            <w:r>
              <w:rPr>
                <w:rFonts w:hint="eastAsia" w:ascii="仿宋_GB2312" w:hAnsi="宋体" w:eastAsia="仿宋_GB2312"/>
                <w:color w:val="auto"/>
                <w:sz w:val="28"/>
                <w:szCs w:val="28"/>
                <w:highlight w:val="none"/>
              </w:rPr>
              <w:t>http://ggzyjy.weihai.cn/rushan/</w:t>
            </w:r>
            <w:r>
              <w:rPr>
                <w:rFonts w:hint="eastAsia" w:ascii="仿宋_GB2312" w:hAnsi="宋体" w:eastAsia="仿宋_GB2312"/>
                <w:color w:val="auto"/>
                <w:sz w:val="28"/>
                <w:szCs w:val="28"/>
                <w:highlight w:val="none"/>
              </w:rPr>
              <w:fldChar w:fldCharType="end"/>
            </w:r>
            <w:r>
              <w:rPr>
                <w:rFonts w:hint="eastAsia" w:ascii="仿宋_GB2312" w:hAnsi="宋体" w:eastAsia="仿宋_GB2312"/>
                <w:color w:val="auto"/>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63880B45">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5254ED9">
            <w:pP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color w:val="auto"/>
                <w:sz w:val="28"/>
                <w:szCs w:val="28"/>
                <w:highlight w:val="none"/>
              </w:rPr>
              <w:t>18769124292</w:t>
            </w:r>
            <w:r>
              <w:rPr>
                <w:rFonts w:hint="eastAsia" w:ascii="仿宋_GB2312" w:hAnsi="宋体" w:eastAsia="仿宋_GB2312"/>
                <w:color w:val="auto"/>
                <w:sz w:val="28"/>
                <w:szCs w:val="28"/>
                <w:highlight w:val="none"/>
              </w:rPr>
              <w:t>；0631-5307028；平台QQ服务群：</w:t>
            </w:r>
            <w:r>
              <w:rPr>
                <w:rFonts w:ascii="仿宋_GB2312" w:hAnsi="宋体" w:eastAsia="仿宋_GB2312"/>
                <w:color w:val="auto"/>
                <w:sz w:val="28"/>
                <w:szCs w:val="28"/>
                <w:highlight w:val="none"/>
              </w:rPr>
              <w:t>1146578397</w:t>
            </w:r>
            <w:r>
              <w:rPr>
                <w:rFonts w:hint="eastAsia" w:ascii="仿宋_GB2312" w:hAnsi="宋体" w:eastAsia="仿宋_GB2312"/>
                <w:color w:val="auto"/>
                <w:sz w:val="28"/>
                <w:szCs w:val="28"/>
                <w:highlight w:val="none"/>
              </w:rPr>
              <w:t>。</w:t>
            </w:r>
          </w:p>
          <w:p w14:paraId="334ED38B">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721646F2">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BACAEBE">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AB8A08B">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67F3AF17">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8．除网上递交电子投标文件外，如有要求递交相关资质证明文件原件的，还须按其要求独立密封递交（被授权人身份证原件除外）</w:t>
            </w:r>
          </w:p>
          <w:p w14:paraId="0A90E0D9">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color w:val="auto"/>
                <w:sz w:val="28"/>
                <w:szCs w:val="28"/>
                <w:highlight w:val="none"/>
              </w:rPr>
              <w:t>招标代理机构</w:t>
            </w:r>
            <w:r>
              <w:rPr>
                <w:rFonts w:hint="eastAsia" w:ascii="仿宋_GB2312" w:hAnsi="宋体" w:eastAsia="仿宋_GB2312"/>
                <w:color w:val="auto"/>
                <w:sz w:val="28"/>
                <w:szCs w:val="28"/>
                <w:highlight w:val="none"/>
              </w:rPr>
              <w:t>不承担任何责任。</w:t>
            </w:r>
          </w:p>
        </w:tc>
      </w:tr>
      <w:tr w14:paraId="4B7D0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0B6CEBB">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50258C1D">
            <w:pPr>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资质证明文件原件：无需提供资质证明文件原件</w:t>
            </w:r>
          </w:p>
        </w:tc>
      </w:tr>
      <w:tr w14:paraId="01AC9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66F7821">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4D6047B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投标文件份数：网上按时递交电子投标文件1份</w:t>
            </w:r>
          </w:p>
        </w:tc>
      </w:tr>
      <w:tr w14:paraId="2314B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63D5554">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09FF52B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实物样品：无 </w:t>
            </w:r>
          </w:p>
        </w:tc>
      </w:tr>
      <w:tr w14:paraId="5034A9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CA686A6">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9</w:t>
            </w:r>
          </w:p>
        </w:tc>
        <w:tc>
          <w:tcPr>
            <w:tcW w:w="8291" w:type="dxa"/>
            <w:tcBorders>
              <w:top w:val="single" w:color="auto" w:sz="4" w:space="0"/>
              <w:left w:val="single" w:color="auto" w:sz="4" w:space="0"/>
              <w:bottom w:val="single" w:color="auto" w:sz="4" w:space="0"/>
            </w:tcBorders>
            <w:vAlign w:val="center"/>
          </w:tcPr>
          <w:p w14:paraId="4B888A76">
            <w:pPr>
              <w:spacing w:line="560" w:lineRule="exact"/>
              <w:textAlignment w:val="top"/>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现场踏勘：无 </w:t>
            </w:r>
          </w:p>
        </w:tc>
      </w:tr>
      <w:tr w14:paraId="1AC5D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F68F4B9">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10</w:t>
            </w:r>
          </w:p>
        </w:tc>
        <w:tc>
          <w:tcPr>
            <w:tcW w:w="8291" w:type="dxa"/>
            <w:tcBorders>
              <w:top w:val="single" w:color="auto" w:sz="4" w:space="0"/>
              <w:left w:val="single" w:color="auto" w:sz="4" w:space="0"/>
              <w:bottom w:val="single" w:color="auto" w:sz="4" w:space="0"/>
            </w:tcBorders>
            <w:vAlign w:val="center"/>
          </w:tcPr>
          <w:p w14:paraId="4881131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现场演示：无 </w:t>
            </w:r>
          </w:p>
        </w:tc>
      </w:tr>
      <w:tr w14:paraId="68E442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2DA15C7">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73824D8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报价有效期：开标之日起</w:t>
            </w:r>
            <w:r>
              <w:rPr>
                <w:rFonts w:ascii="仿宋_GB2312" w:hAnsi="宋体" w:eastAsia="仿宋_GB2312"/>
                <w:color w:val="auto"/>
                <w:sz w:val="28"/>
                <w:szCs w:val="28"/>
                <w:highlight w:val="none"/>
              </w:rPr>
              <w:t>9</w:t>
            </w:r>
            <w:r>
              <w:rPr>
                <w:rFonts w:hint="eastAsia" w:ascii="仿宋_GB2312" w:hAnsi="宋体" w:eastAsia="仿宋_GB2312"/>
                <w:color w:val="auto"/>
                <w:sz w:val="28"/>
                <w:szCs w:val="28"/>
                <w:highlight w:val="none"/>
              </w:rPr>
              <w:t>0天</w:t>
            </w:r>
          </w:p>
        </w:tc>
      </w:tr>
      <w:tr w14:paraId="4F6894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7D3481A">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1F81BE27">
            <w:pPr>
              <w:spacing w:line="6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本分包最高限价：</w:t>
            </w:r>
            <w:r>
              <w:rPr>
                <w:rFonts w:hint="eastAsia" w:ascii="仿宋_GB2312" w:hAnsi="宋体" w:eastAsia="仿宋_GB2312"/>
                <w:color w:val="auto"/>
                <w:sz w:val="28"/>
                <w:szCs w:val="28"/>
                <w:highlight w:val="none"/>
                <w:u w:val="single"/>
                <w:lang w:eastAsia="zh-CN"/>
              </w:rPr>
              <w:t>263000</w:t>
            </w:r>
            <w:r>
              <w:rPr>
                <w:rFonts w:hint="eastAsia" w:ascii="仿宋_GB2312" w:hAnsi="宋体" w:eastAsia="仿宋_GB2312"/>
                <w:color w:val="auto"/>
                <w:sz w:val="28"/>
                <w:szCs w:val="28"/>
                <w:highlight w:val="none"/>
                <w:u w:val="single"/>
              </w:rPr>
              <w:t>.00</w:t>
            </w:r>
            <w:r>
              <w:rPr>
                <w:rFonts w:hint="eastAsia" w:ascii="仿宋_GB2312" w:hAnsi="宋体" w:eastAsia="仿宋_GB2312"/>
                <w:color w:val="auto"/>
                <w:sz w:val="28"/>
                <w:szCs w:val="28"/>
                <w:highlight w:val="none"/>
              </w:rPr>
              <w:t>元</w:t>
            </w:r>
          </w:p>
        </w:tc>
      </w:tr>
      <w:tr w14:paraId="4C22A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A09F437">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6AEAC8B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本项目不接受联合体投标</w:t>
            </w:r>
          </w:p>
        </w:tc>
      </w:tr>
      <w:tr w14:paraId="546C90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7CC13E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1B24235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本项目不收取投标保证金</w:t>
            </w:r>
          </w:p>
        </w:tc>
      </w:tr>
      <w:tr w14:paraId="6EE0A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3F829E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426C349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投标文件递交时间：</w:t>
            </w:r>
          </w:p>
          <w:p w14:paraId="4C2A957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2026年10月19日18时00分至2026年10月28日09时00分（以电子交易系统具体显示时间为准）</w:t>
            </w:r>
          </w:p>
          <w:p w14:paraId="18B4E5C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投标文件递交网址：</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w:t>
            </w:r>
          </w:p>
        </w:tc>
      </w:tr>
      <w:tr w14:paraId="75E80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3C9B294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278C36D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投标文件开启（解密）时间：2026年10月28日09时00分</w:t>
            </w:r>
          </w:p>
          <w:p w14:paraId="4920444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开标地点：威海市乳山市深圳路108号市民服务中心三楼</w:t>
            </w:r>
          </w:p>
        </w:tc>
      </w:tr>
      <w:tr w14:paraId="6D3564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0B1F6F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265D87F4">
            <w:pPr>
              <w:spacing w:line="560" w:lineRule="exact"/>
              <w:rPr>
                <w:rFonts w:ascii="仿宋_GB2312" w:hAnsi="宋体" w:eastAsia="仿宋_GB2312"/>
                <w:color w:val="auto"/>
                <w:sz w:val="28"/>
                <w:szCs w:val="28"/>
                <w:highlight w:val="none"/>
              </w:rPr>
            </w:pPr>
            <w:r>
              <w:rPr>
                <w:rFonts w:hint="eastAsia" w:ascii="仿宋_GB2312" w:eastAsia="仿宋_GB2312"/>
                <w:color w:val="auto"/>
                <w:sz w:val="28"/>
                <w:szCs w:val="28"/>
                <w:highlight w:val="none"/>
              </w:rPr>
              <w:t>投标文件开启（解密）、评标方式：远程解密、评标，投标人无需到现场参与解密、评标，</w:t>
            </w:r>
            <w:r>
              <w:rPr>
                <w:rFonts w:hint="eastAsia" w:ascii="仿宋_GB2312" w:hAnsi="宋体" w:eastAsia="仿宋_GB2312"/>
                <w:color w:val="auto"/>
                <w:sz w:val="28"/>
                <w:szCs w:val="28"/>
                <w:highlight w:val="none"/>
              </w:rPr>
              <w:t>请提前熟悉电子交易系统操作流程，并实时关注电子交易系统相关通知，且联络方式应保持通讯畅通。</w:t>
            </w:r>
          </w:p>
        </w:tc>
      </w:tr>
      <w:tr w14:paraId="26001A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44AFF7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3C38390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投标文件开启（解密）程序：</w:t>
            </w:r>
          </w:p>
          <w:p w14:paraId="53EF7FA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投标文件开启（解密）后15分钟内完成解密</w:t>
            </w:r>
          </w:p>
        </w:tc>
      </w:tr>
      <w:tr w14:paraId="4316E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CF376E0">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19</w:t>
            </w:r>
          </w:p>
        </w:tc>
        <w:tc>
          <w:tcPr>
            <w:tcW w:w="8291" w:type="dxa"/>
            <w:tcBorders>
              <w:top w:val="single" w:color="auto" w:sz="4" w:space="0"/>
              <w:left w:val="single" w:color="auto" w:sz="4" w:space="0"/>
              <w:bottom w:val="single" w:color="auto" w:sz="4" w:space="0"/>
            </w:tcBorders>
            <w:vAlign w:val="center"/>
          </w:tcPr>
          <w:p w14:paraId="532464A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乳山市非直供小区电力改造监理项目(A包)</w:t>
            </w:r>
          </w:p>
          <w:p w14:paraId="3635A56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服务期：至竣工保修期满为止</w:t>
            </w:r>
          </w:p>
        </w:tc>
      </w:tr>
      <w:tr w14:paraId="14803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60CBB5C7">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20</w:t>
            </w:r>
          </w:p>
        </w:tc>
        <w:tc>
          <w:tcPr>
            <w:tcW w:w="8291" w:type="dxa"/>
            <w:tcBorders>
              <w:top w:val="single" w:color="auto" w:sz="4" w:space="0"/>
              <w:left w:val="single" w:color="auto" w:sz="4" w:space="0"/>
              <w:bottom w:val="single" w:color="auto" w:sz="4" w:space="0"/>
            </w:tcBorders>
            <w:vAlign w:val="center"/>
          </w:tcPr>
          <w:p w14:paraId="02096ED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乳山市非直供小区电力改造监理项目(A包)</w:t>
            </w:r>
          </w:p>
          <w:p w14:paraId="7886E5A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交付期:</w:t>
            </w:r>
            <w:r>
              <w:rPr>
                <w:rFonts w:hint="eastAsia" w:ascii="仿宋_GB2312" w:hAnsi="宋体" w:eastAsia="仿宋_GB2312"/>
                <w:color w:val="auto"/>
                <w:sz w:val="28"/>
                <w:szCs w:val="21"/>
                <w:highlight w:val="none"/>
                <w:lang w:val="en-US" w:eastAsia="zh-CN"/>
              </w:rPr>
              <w:t>180天（</w:t>
            </w:r>
            <w:r>
              <w:rPr>
                <w:rFonts w:hint="eastAsia" w:ascii="仿宋_GB2312" w:hAnsi="宋体" w:eastAsia="仿宋_GB2312"/>
                <w:color w:val="auto"/>
                <w:sz w:val="28"/>
                <w:szCs w:val="21"/>
                <w:highlight w:val="none"/>
              </w:rPr>
              <w:t>与施工同期</w:t>
            </w:r>
            <w:r>
              <w:rPr>
                <w:rFonts w:hint="eastAsia" w:ascii="仿宋_GB2312" w:hAnsi="宋体" w:eastAsia="仿宋_GB2312"/>
                <w:color w:val="auto"/>
                <w:sz w:val="28"/>
                <w:szCs w:val="21"/>
                <w:highlight w:val="none"/>
                <w:lang w:eastAsia="zh-CN"/>
              </w:rPr>
              <w:t>）</w:t>
            </w:r>
          </w:p>
          <w:p w14:paraId="637EDA0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交付地点:采购人指定地点</w:t>
            </w:r>
          </w:p>
        </w:tc>
      </w:tr>
      <w:tr w14:paraId="5575C2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614E73E">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3AF7F4C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评标办法：乳山市非直供小区电力改造监理项目(A包),综合评分法</w:t>
            </w:r>
          </w:p>
        </w:tc>
      </w:tr>
      <w:tr w14:paraId="341C9C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1AE6EB6">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3BD9F86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本项目不收取履约保证金。</w:t>
            </w:r>
          </w:p>
        </w:tc>
      </w:tr>
      <w:tr w14:paraId="39CA57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8B1B251">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6412A17E">
            <w:pPr>
              <w:spacing w:line="600" w:lineRule="exact"/>
              <w:rPr>
                <w:rFonts w:ascii="仿宋_GB2312" w:hAnsi="宋体" w:eastAsia="仿宋_GB2312"/>
                <w:color w:val="auto"/>
                <w:sz w:val="28"/>
                <w:szCs w:val="28"/>
                <w:highlight w:val="none"/>
              </w:rPr>
            </w:pPr>
            <w:r>
              <w:rPr>
                <w:rFonts w:ascii="仿宋_GB2312" w:hAnsi="宋体" w:eastAsia="仿宋_GB2312"/>
                <w:color w:val="auto"/>
                <w:sz w:val="28"/>
                <w:szCs w:val="28"/>
                <w:highlight w:val="none"/>
              </w:rPr>
              <w:t>是否兼投不兼中：否</w:t>
            </w:r>
          </w:p>
        </w:tc>
      </w:tr>
      <w:tr w14:paraId="62EC9F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2853BA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6C4F805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本项目付款方式如下：</w:t>
            </w:r>
          </w:p>
          <w:p w14:paraId="40FA71C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服务期满第一年支付50%，第二年支付剩余的40%，剩余10%随最后一次施工费一起支付。</w:t>
            </w:r>
          </w:p>
        </w:tc>
      </w:tr>
      <w:tr w14:paraId="3032D8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AA891BC">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1FEBB2B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是否委托评审委员会确定成交供应商：是</w:t>
            </w:r>
          </w:p>
        </w:tc>
      </w:tr>
      <w:tr w14:paraId="7482EE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99B8F03">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4FCA321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反腐倡廉监督联系方式：</w:t>
            </w:r>
          </w:p>
          <w:p w14:paraId="1AEF971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电话/邮箱：</w:t>
            </w:r>
            <w:r>
              <w:rPr>
                <w:rFonts w:ascii="仿宋_GB2312" w:hAnsi="宋体" w:eastAsia="仿宋_GB2312"/>
                <w:color w:val="auto"/>
                <w:sz w:val="28"/>
                <w:szCs w:val="28"/>
                <w:highlight w:val="none"/>
              </w:rPr>
              <w:t>0631-6662267/rushanjyzx@wh.shandong.cn</w:t>
            </w:r>
          </w:p>
        </w:tc>
      </w:tr>
      <w:tr w14:paraId="481E5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E1675BC">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27</w:t>
            </w:r>
          </w:p>
        </w:tc>
        <w:tc>
          <w:tcPr>
            <w:tcW w:w="8291" w:type="dxa"/>
            <w:tcBorders>
              <w:top w:val="single" w:color="auto" w:sz="4" w:space="0"/>
              <w:left w:val="single" w:color="auto" w:sz="4" w:space="0"/>
              <w:bottom w:val="single" w:color="auto" w:sz="4" w:space="0"/>
            </w:tcBorders>
            <w:vAlign w:val="center"/>
          </w:tcPr>
          <w:p w14:paraId="1EAF9ED1">
            <w:pPr>
              <w:spacing w:line="560" w:lineRule="exact"/>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质疑受理方式：</w:t>
            </w:r>
          </w:p>
          <w:p w14:paraId="526C7285">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（1）当面接收：接收地址详见本表采购人及代理机构地址。</w:t>
            </w:r>
          </w:p>
          <w:p w14:paraId="257233CE">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（2）邮件接收：rstprea@163.com</w:t>
            </w:r>
          </w:p>
          <w:p w14:paraId="293A375C">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（3）采购电子交易系统上传：通过威海市国有企业阳光采购电子化服务平台中“公文管理-供”功能上传。</w:t>
            </w:r>
          </w:p>
          <w:p w14:paraId="396A8FE0">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以上三种方式任选其一。</w:t>
            </w:r>
          </w:p>
        </w:tc>
      </w:tr>
      <w:tr w14:paraId="07442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F8FDB79">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28</w:t>
            </w:r>
          </w:p>
        </w:tc>
        <w:tc>
          <w:tcPr>
            <w:tcW w:w="8291" w:type="dxa"/>
            <w:tcBorders>
              <w:top w:val="single" w:color="auto" w:sz="4" w:space="0"/>
              <w:left w:val="single" w:color="auto" w:sz="4" w:space="0"/>
              <w:bottom w:val="single" w:color="auto" w:sz="4" w:space="0"/>
            </w:tcBorders>
            <w:vAlign w:val="center"/>
          </w:tcPr>
          <w:p w14:paraId="5CE383F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代理服务费：参照“发改价格[2011]534号”规定的收费标准收取代理服务费。人民币5000.00元，由成交单位在签订合同前向采购代理机构缴纳，包含在报价中。</w:t>
            </w:r>
          </w:p>
          <w:p w14:paraId="1F4AF18D">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开户名称：乳山天平建设工程咨询有限公司</w:t>
            </w:r>
          </w:p>
          <w:p w14:paraId="19217F0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开户行：威海银行股份有限公司乳山城区支行</w:t>
            </w:r>
          </w:p>
          <w:p w14:paraId="3511CF2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账号：817894001421003969</w:t>
            </w:r>
          </w:p>
        </w:tc>
      </w:tr>
      <w:tr w14:paraId="13DD0C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C3F7B60">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29</w:t>
            </w:r>
          </w:p>
        </w:tc>
        <w:tc>
          <w:tcPr>
            <w:tcW w:w="8291" w:type="dxa"/>
            <w:tcBorders>
              <w:top w:val="single" w:color="auto" w:sz="4" w:space="0"/>
              <w:left w:val="single" w:color="auto" w:sz="4" w:space="0"/>
              <w:bottom w:val="single" w:color="auto" w:sz="4" w:space="0"/>
            </w:tcBorders>
            <w:vAlign w:val="center"/>
          </w:tcPr>
          <w:p w14:paraId="0A6D081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本项目按服务类以自愿公开招标方式实施采购</w:t>
            </w:r>
          </w:p>
        </w:tc>
      </w:tr>
    </w:tbl>
    <w:p w14:paraId="22277F1F">
      <w:pPr>
        <w:spacing w:line="560" w:lineRule="exact"/>
        <w:ind w:firstLine="560" w:firstLineChars="200"/>
        <w:jc w:val="left"/>
        <w:rPr>
          <w:rFonts w:ascii="仿宋_GB2312" w:hAnsi="宋体" w:eastAsia="仿宋_GB2312"/>
          <w:color w:val="auto"/>
          <w:sz w:val="28"/>
          <w:szCs w:val="28"/>
          <w:highlight w:val="none"/>
        </w:rPr>
      </w:pPr>
    </w:p>
    <w:p w14:paraId="60448B05">
      <w:pPr>
        <w:pStyle w:val="27"/>
        <w:spacing w:line="432" w:lineRule="auto"/>
        <w:ind w:firstLine="480" w:firstLineChars="150"/>
        <w:rPr>
          <w:rFonts w:eastAsia="黑体"/>
          <w:color w:val="auto"/>
          <w:sz w:val="32"/>
          <w:szCs w:val="32"/>
          <w:highlight w:val="none"/>
        </w:rPr>
      </w:pPr>
    </w:p>
    <w:p w14:paraId="409638F3">
      <w:pPr>
        <w:spacing w:line="560" w:lineRule="exact"/>
        <w:ind w:firstLine="643" w:firstLineChars="201"/>
        <w:jc w:val="center"/>
        <w:rPr>
          <w:rFonts w:eastAsia="黑体"/>
          <w:color w:val="auto"/>
          <w:sz w:val="32"/>
          <w:szCs w:val="32"/>
          <w:highlight w:val="none"/>
        </w:rPr>
      </w:pPr>
      <w:r>
        <w:rPr>
          <w:rFonts w:eastAsia="黑体"/>
          <w:color w:val="auto"/>
          <w:sz w:val="32"/>
          <w:szCs w:val="32"/>
          <w:highlight w:val="none"/>
        </w:rPr>
        <w:br w:type="page"/>
      </w:r>
      <w:r>
        <w:rPr>
          <w:rFonts w:hint="eastAsia" w:eastAsia="黑体"/>
          <w:color w:val="auto"/>
          <w:sz w:val="32"/>
          <w:szCs w:val="32"/>
          <w:highlight w:val="none"/>
        </w:rPr>
        <w:t>《实质性条款一览表》</w:t>
      </w:r>
    </w:p>
    <w:p w14:paraId="5E139EF6">
      <w:pPr>
        <w:snapToGrid w:val="0"/>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说明：本表系招标文件及修改性文件中涉及的所有实质性条款的汇总。不允许有任何负偏离，否则投标将被否决。</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1C51F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1C637A8">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资格性核查</w:t>
            </w:r>
          </w:p>
        </w:tc>
      </w:tr>
      <w:tr w14:paraId="59C6E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10949FE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1、法人或其他组织的营业执照等证明文件扫描件；(A)包</w:t>
            </w:r>
          </w:p>
          <w:p w14:paraId="30C6CD37">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2、法定代表人授权委托书；被授权人身份证扫描件；</w:t>
            </w:r>
          </w:p>
          <w:p w14:paraId="55BB7339">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若响应单位代表为企业法定代表人/单位负责人的，则只需提供企业法定代表人/单位负责人身份证扫描件；(A)包</w:t>
            </w:r>
          </w:p>
          <w:p w14:paraId="13402D0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3、具有行政主管部门颁发的房屋建筑工程监理乙级及以上资质或市政公用工程监理乙级及以上资质证书扫描件。(A)包</w:t>
            </w:r>
          </w:p>
          <w:p w14:paraId="200CE8F2">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4、要求总监理工程师 1名，专业监理工程师1名，监理员1名，合计3人。以上人员不得兼任，且须为本企业正式员工，投标文件中须附人员证书扫描件及缴纳社保证明资料，退休在职人员没有保险证明，可提供返聘协议、退休证书或企业职工退休审核表扫描件）。</w:t>
            </w:r>
          </w:p>
          <w:p w14:paraId="2A515F9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总监理工程师具有国家注册监理工程师资格(专业为房屋建筑工程或市政公用工程) 的人员；</w:t>
            </w:r>
          </w:p>
          <w:p w14:paraId="0ECDB96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专业为房屋建筑工程或市政公用工程)</w:t>
            </w:r>
          </w:p>
          <w:p w14:paraId="054E036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监理员最低定岗标准（满足以下任一条均可）：</w:t>
            </w:r>
          </w:p>
          <w:p w14:paraId="1CE44FBF">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具有有效期内的省级建设监理协会颁发的“建设工程监理从业人员教育与信用信息卡”或监理人员(监理员)上岗证；（2）具有中专及以上学历并经过监理业务培训的人员（需提供中专学历和监理业务培训证明材料）；（专业为市政公用工程或房屋建筑工程，监理人员证件，如不能体现专业，需附体现专业类型的证明材料或网上截图）(A)包</w:t>
            </w:r>
          </w:p>
          <w:p w14:paraId="7DD40C0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5、依法缴纳税收和社会保障资金的声明（格式自拟）；近期的完税凭证及交纳社保资金凭证的扫描件（依法免税或不需要缴纳社会保障资金的供应商，应提供相关证明材料）；(A)包</w:t>
            </w:r>
          </w:p>
          <w:p w14:paraId="4ADD765A">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6、参加本项目报价前三年内无重大违法记录声明（格式自定）；(A)包</w:t>
            </w:r>
          </w:p>
          <w:p w14:paraId="2D123B6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7、报价供应商未被工商行政管理机关在全国企业信用信息公示系统中列入严重违法失信企业名单网站截图（查询网址http://www.gsxt.gov.cn/index.html）；</w:t>
            </w:r>
          </w:p>
          <w:p w14:paraId="2F7EB18B">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报价供应商及其法定代表人、授权委托人在“全国法院失信被执行人名单公布及查询（http://zxgk.court.gov.cn/shixin/）”网站截图；(A)包</w:t>
            </w:r>
          </w:p>
          <w:p w14:paraId="2A6DFF62">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8、财务状况报告等相关材料</w:t>
            </w:r>
          </w:p>
          <w:p w14:paraId="58EB1CE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投标单位自行编制的2025年度公司财务报表或由中介机构出具的2024或2025年度财务审计报告书扫描件(2026年以后新成立公司须提供自成立至今的自行编制的公司财务报表扫描件)；</w:t>
            </w:r>
          </w:p>
          <w:p w14:paraId="4EC1B77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78A93F3A">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注：A、B两项提供任意一项均可。(A)包</w:t>
            </w:r>
          </w:p>
          <w:p w14:paraId="0FEB87D6">
            <w:pPr>
              <w:spacing w:line="560" w:lineRule="exact"/>
              <w:ind w:firstLine="341" w:firstLineChars="12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9、具有履行合同所必需的设备和专业技术能力承诺函（格式自拟）；(A)包</w:t>
            </w:r>
          </w:p>
        </w:tc>
      </w:tr>
      <w:tr w14:paraId="7A1A3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ED7DBDB">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符合性检查</w:t>
            </w:r>
          </w:p>
        </w:tc>
      </w:tr>
      <w:tr w14:paraId="4D349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B112ECB">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1、响应文件未按规定签章的，作为无效报价；(A)包</w:t>
            </w:r>
          </w:p>
          <w:p w14:paraId="3D3D16DC">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2、被授权人未在规定时间内答疑或澄清的，作为无效报价；(A)包</w:t>
            </w:r>
          </w:p>
          <w:p w14:paraId="6BA2CC16">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3、响应文件含有采购人不能接受的附加条件的，作为无效报价；(A)包</w:t>
            </w:r>
          </w:p>
          <w:p w14:paraId="5F7C63D9">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4、响应报价、交付期（工期）、服务期（质保期）、付款方式、报价有效期等内容不满足采购文件要求的作为无效报价；(A)包</w:t>
            </w:r>
          </w:p>
          <w:p w14:paraId="420F5F69">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5、参加同一项目的不同供应商的电子投标文件文件制作机器码（MAC地址、主硬盘序列号、CPU信息、计算机名称）一致导致串标率100%，将作为无效报价；(A)包</w:t>
            </w:r>
          </w:p>
          <w:p w14:paraId="62CC2858">
            <w:pPr>
              <w:widowControl/>
              <w:adjustRightInd w:val="0"/>
              <w:spacing w:line="520" w:lineRule="exact"/>
              <w:ind w:firstLine="341" w:firstLineChars="122"/>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6、评审小组认为不符合采购文件其他实质性要求或法律法规规定的其他情形；作为无效报价。(A)包</w:t>
            </w:r>
          </w:p>
        </w:tc>
      </w:tr>
    </w:tbl>
    <w:p w14:paraId="74ED0251">
      <w:pPr>
        <w:rPr>
          <w:rFonts w:ascii="宋体" w:hAnsi="宋体"/>
          <w:color w:val="auto"/>
          <w:szCs w:val="28"/>
          <w:highlight w:val="none"/>
        </w:rPr>
      </w:pPr>
    </w:p>
    <w:p w14:paraId="437ED217">
      <w:pPr>
        <w:pStyle w:val="4"/>
        <w:spacing w:before="0" w:after="0" w:line="560" w:lineRule="exact"/>
        <w:ind w:firstLine="562" w:firstLineChars="200"/>
        <w:rPr>
          <w:rFonts w:ascii="黑体" w:hAnsi="黑体" w:eastAsia="黑体"/>
          <w:b w:val="0"/>
          <w:color w:val="auto"/>
          <w:highlight w:val="none"/>
        </w:rPr>
      </w:pPr>
      <w:r>
        <w:rPr>
          <w:rFonts w:hint="eastAsia" w:ascii="宋体" w:hAnsi="宋体"/>
          <w:color w:val="auto"/>
          <w:highlight w:val="none"/>
        </w:rPr>
        <w:br w:type="page"/>
      </w:r>
      <w:r>
        <w:rPr>
          <w:rFonts w:hint="eastAsia" w:ascii="黑体" w:hAnsi="黑体" w:eastAsia="黑体"/>
          <w:b w:val="0"/>
          <w:color w:val="auto"/>
          <w:highlight w:val="none"/>
        </w:rPr>
        <w:t>一、说明</w:t>
      </w:r>
    </w:p>
    <w:p w14:paraId="734E8F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27D699F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1.适用范围</w:t>
      </w:r>
    </w:p>
    <w:p w14:paraId="6EDE826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 本招标文件仅适用于本次招标公告中所涉及的项目和内容。</w:t>
      </w:r>
    </w:p>
    <w:p w14:paraId="693DC7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 本招标文件的解释权为</w:t>
      </w:r>
      <w:r>
        <w:rPr>
          <w:rFonts w:hint="eastAsia" w:ascii="仿宋_GB2312" w:hAnsi="宋体" w:eastAsia="仿宋_GB2312"/>
          <w:color w:val="auto"/>
          <w:sz w:val="28"/>
          <w:szCs w:val="28"/>
          <w:highlight w:val="none"/>
        </w:rPr>
        <w:t>乳山天平建设工程咨询有限公司</w:t>
      </w:r>
      <w:r>
        <w:rPr>
          <w:rFonts w:hint="eastAsia" w:ascii="仿宋_GB2312" w:hAnsi="仿宋" w:eastAsia="仿宋_GB2312" w:cs="宋体"/>
          <w:color w:val="auto"/>
          <w:sz w:val="28"/>
          <w:szCs w:val="28"/>
          <w:highlight w:val="none"/>
        </w:rPr>
        <w:t>，以书面解释为准。</w:t>
      </w:r>
    </w:p>
    <w:p w14:paraId="021BF6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 招标文件未做须知明示，而又有相关法律、法规规定的，从其规定。</w:t>
      </w:r>
    </w:p>
    <w:p w14:paraId="05DEE7D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2.采购人、采购代理机构及投标人</w:t>
      </w:r>
    </w:p>
    <w:p w14:paraId="537098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2.1采购人：本项目的采购人见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193262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52AD3E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2.3投标人</w:t>
      </w:r>
      <w:r>
        <w:rPr>
          <w:rFonts w:ascii="仿宋_GB2312" w:hAnsi="仿宋" w:eastAsia="仿宋_GB2312" w:cs="宋体"/>
          <w:color w:val="auto"/>
          <w:sz w:val="28"/>
          <w:szCs w:val="28"/>
          <w:highlight w:val="none"/>
        </w:rPr>
        <w:t>：是指向采购人提供货物</w:t>
      </w:r>
      <w:r>
        <w:rPr>
          <w:rFonts w:hint="eastAsia" w:ascii="仿宋_GB2312" w:hAnsi="仿宋" w:eastAsia="仿宋_GB2312" w:cs="宋体"/>
          <w:color w:val="auto"/>
          <w:sz w:val="28"/>
          <w:szCs w:val="28"/>
          <w:highlight w:val="none"/>
        </w:rPr>
        <w:t>及伴随的</w:t>
      </w:r>
      <w:r>
        <w:rPr>
          <w:rFonts w:ascii="仿宋_GB2312" w:hAnsi="仿宋" w:eastAsia="仿宋_GB2312" w:cs="宋体"/>
          <w:color w:val="auto"/>
          <w:sz w:val="28"/>
          <w:szCs w:val="28"/>
          <w:highlight w:val="none"/>
        </w:rPr>
        <w:t>服务的法人、其他组织或者自然人。</w:t>
      </w:r>
      <w:r>
        <w:rPr>
          <w:rFonts w:hint="eastAsia" w:ascii="仿宋_GB2312" w:hAnsi="仿宋" w:eastAsia="仿宋_GB2312" w:cs="宋体"/>
          <w:color w:val="auto"/>
          <w:sz w:val="28"/>
          <w:szCs w:val="28"/>
          <w:highlight w:val="none"/>
        </w:rPr>
        <w:t>潜在</w:t>
      </w:r>
      <w:r>
        <w:rPr>
          <w:rFonts w:ascii="仿宋_GB2312" w:hAnsi="仿宋" w:eastAsia="仿宋_GB2312" w:cs="宋体"/>
          <w:color w:val="auto"/>
          <w:sz w:val="28"/>
          <w:szCs w:val="28"/>
          <w:highlight w:val="none"/>
        </w:rPr>
        <w:t>投标人：是指</w:t>
      </w:r>
      <w:r>
        <w:rPr>
          <w:rFonts w:hint="eastAsia" w:ascii="仿宋_GB2312" w:hAnsi="仿宋" w:eastAsia="仿宋_GB2312" w:cs="宋体"/>
          <w:color w:val="auto"/>
          <w:sz w:val="28"/>
          <w:szCs w:val="28"/>
          <w:highlight w:val="none"/>
        </w:rPr>
        <w:t>响应招标</w:t>
      </w:r>
      <w:r>
        <w:rPr>
          <w:rFonts w:ascii="仿宋_GB2312" w:hAnsi="仿宋" w:eastAsia="仿宋_GB2312" w:cs="宋体"/>
          <w:color w:val="auto"/>
          <w:sz w:val="28"/>
          <w:szCs w:val="28"/>
          <w:highlight w:val="none"/>
        </w:rPr>
        <w:t>、参加投标竞争的法人、其他组织或者自然人</w:t>
      </w:r>
      <w:r>
        <w:rPr>
          <w:rFonts w:hint="eastAsia" w:ascii="仿宋_GB2312" w:hAnsi="仿宋" w:eastAsia="仿宋_GB2312" w:cs="宋体"/>
          <w:color w:val="auto"/>
          <w:sz w:val="28"/>
          <w:szCs w:val="28"/>
          <w:highlight w:val="none"/>
        </w:rPr>
        <w:t>，以招标文件规定</w:t>
      </w:r>
      <w:r>
        <w:rPr>
          <w:rFonts w:ascii="仿宋_GB2312" w:hAnsi="仿宋" w:eastAsia="仿宋_GB2312" w:cs="宋体"/>
          <w:color w:val="auto"/>
          <w:sz w:val="28"/>
          <w:szCs w:val="28"/>
          <w:highlight w:val="none"/>
        </w:rPr>
        <w:t>的方式</w:t>
      </w:r>
      <w:r>
        <w:rPr>
          <w:rFonts w:hint="eastAsia" w:ascii="仿宋_GB2312" w:hAnsi="仿宋" w:eastAsia="仿宋_GB2312" w:cs="宋体"/>
          <w:color w:val="auto"/>
          <w:sz w:val="28"/>
          <w:szCs w:val="28"/>
          <w:highlight w:val="none"/>
        </w:rPr>
        <w:t>获取本项目</w:t>
      </w:r>
      <w:r>
        <w:rPr>
          <w:rFonts w:ascii="仿宋_GB2312" w:hAnsi="仿宋" w:eastAsia="仿宋_GB2312" w:cs="宋体"/>
          <w:color w:val="auto"/>
          <w:sz w:val="28"/>
          <w:szCs w:val="28"/>
          <w:highlight w:val="none"/>
        </w:rPr>
        <w:t>招标文件的法人、其他组织或者自然人。</w:t>
      </w:r>
    </w:p>
    <w:p w14:paraId="770FE7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2.4货物，是指投标人按招标文件要求，向采购人提供全新的、未使用过的各种形态和种类的物品，包括原材料、燃料、设备、产品等。</w:t>
      </w:r>
    </w:p>
    <w:p w14:paraId="382F69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2.5服务，是指投标人按招标文件要求，完成规定的货物供货过程中须承担的制造、运输、吊拉、安装、调试、技术协助、培训及其他各项义务。</w:t>
      </w:r>
    </w:p>
    <w:p w14:paraId="0DF2A9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2.6单位</w:t>
      </w:r>
      <w:r>
        <w:rPr>
          <w:rFonts w:ascii="仿宋_GB2312" w:hAnsi="仿宋" w:eastAsia="仿宋_GB2312" w:cs="宋体"/>
          <w:color w:val="auto"/>
          <w:sz w:val="28"/>
          <w:szCs w:val="28"/>
          <w:highlight w:val="none"/>
        </w:rPr>
        <w:t>负责人为同一</w:t>
      </w:r>
      <w:r>
        <w:rPr>
          <w:rFonts w:hint="eastAsia" w:ascii="仿宋_GB2312" w:hAnsi="仿宋" w:eastAsia="仿宋_GB2312" w:cs="宋体"/>
          <w:color w:val="auto"/>
          <w:sz w:val="28"/>
          <w:szCs w:val="28"/>
          <w:highlight w:val="none"/>
        </w:rPr>
        <w:t>人</w:t>
      </w:r>
      <w:r>
        <w:rPr>
          <w:rFonts w:ascii="仿宋_GB2312" w:hAnsi="仿宋" w:eastAsia="仿宋_GB2312" w:cs="宋体"/>
          <w:color w:val="auto"/>
          <w:sz w:val="28"/>
          <w:szCs w:val="28"/>
          <w:highlight w:val="none"/>
        </w:rPr>
        <w:t>或者存在</w:t>
      </w:r>
      <w:r>
        <w:rPr>
          <w:rFonts w:hint="eastAsia" w:ascii="仿宋_GB2312" w:hAnsi="仿宋" w:eastAsia="仿宋_GB2312" w:cs="宋体"/>
          <w:color w:val="auto"/>
          <w:sz w:val="28"/>
          <w:szCs w:val="28"/>
          <w:highlight w:val="none"/>
        </w:rPr>
        <w:t>直接</w:t>
      </w:r>
      <w:r>
        <w:rPr>
          <w:rFonts w:ascii="仿宋_GB2312" w:hAnsi="仿宋" w:eastAsia="仿宋_GB2312" w:cs="宋体"/>
          <w:color w:val="auto"/>
          <w:sz w:val="28"/>
          <w:szCs w:val="28"/>
          <w:highlight w:val="none"/>
        </w:rPr>
        <w:t>控股、管理</w:t>
      </w:r>
      <w:r>
        <w:rPr>
          <w:rFonts w:hint="eastAsia" w:ascii="仿宋_GB2312" w:hAnsi="仿宋" w:eastAsia="仿宋_GB2312" w:cs="宋体"/>
          <w:color w:val="auto"/>
          <w:sz w:val="28"/>
          <w:szCs w:val="28"/>
          <w:highlight w:val="none"/>
        </w:rPr>
        <w:t>关系</w:t>
      </w:r>
      <w:r>
        <w:rPr>
          <w:rFonts w:ascii="仿宋_GB2312" w:hAnsi="仿宋" w:eastAsia="仿宋_GB2312" w:cs="宋体"/>
          <w:color w:val="auto"/>
          <w:sz w:val="28"/>
          <w:szCs w:val="28"/>
          <w:highlight w:val="none"/>
        </w:rPr>
        <w:t>的不同</w:t>
      </w:r>
      <w:r>
        <w:rPr>
          <w:rFonts w:hint="eastAsia" w:ascii="仿宋_GB2312" w:hAnsi="仿宋" w:eastAsia="仿宋_GB2312" w:cs="宋体"/>
          <w:color w:val="auto"/>
          <w:sz w:val="28"/>
          <w:szCs w:val="28"/>
          <w:highlight w:val="none"/>
        </w:rPr>
        <w:t>投标人</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参加同一合同项下的政府采购活动，否则其相关投标均将被认定为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316C2FC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2.7投标人在投标过程中不得向采购人提供或给予影响其正常决策行为的任何有价值物品或</w:t>
      </w:r>
      <w:r>
        <w:rPr>
          <w:rFonts w:ascii="仿宋_GB2312" w:hAnsi="仿宋" w:eastAsia="仿宋_GB2312" w:cs="宋体"/>
          <w:color w:val="auto"/>
          <w:sz w:val="28"/>
          <w:szCs w:val="28"/>
          <w:highlight w:val="none"/>
        </w:rPr>
        <w:t>服务</w:t>
      </w:r>
      <w:r>
        <w:rPr>
          <w:rFonts w:hint="eastAsia" w:ascii="仿宋_GB2312" w:hAnsi="仿宋" w:eastAsia="仿宋_GB2312" w:cs="宋体"/>
          <w:color w:val="auto"/>
          <w:sz w:val="28"/>
          <w:szCs w:val="28"/>
          <w:highlight w:val="none"/>
        </w:rPr>
        <w:t>。</w:t>
      </w:r>
    </w:p>
    <w:p w14:paraId="1E709A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8投标人须对本项目指定一个项目负责人，对本项目所有事宜全程负责。未经采购人同意中途不得更换项目负责人。</w:t>
      </w:r>
    </w:p>
    <w:p w14:paraId="60EE05A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3.资金来源</w:t>
      </w:r>
    </w:p>
    <w:p w14:paraId="265BB7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本项目的采购人已获得足以支付本次招标后所签订的合同项下的资金。</w:t>
      </w:r>
    </w:p>
    <w:p w14:paraId="279010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3.2项目预算金额和分项或分包最高限价见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5CC555A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3.3投标人报价超过招标文件规定的预算金额或者分项、分包最高限价的，其投标将被认定为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1973128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4.相关要求</w:t>
      </w:r>
    </w:p>
    <w:p w14:paraId="6E9B77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4.1投标人应承担所有与准备和参加投标有关的费用。不论投标结果如何，采购人和采购代理机构均无义务和责任承担这些费用。</w:t>
      </w:r>
    </w:p>
    <w:p w14:paraId="5D529F3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4.2本项目若涉及采购货物，则合格的货物及相应服务应满足以下要求：</w:t>
      </w:r>
    </w:p>
    <w:p w14:paraId="45B409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4.2.1必须是全新、未使用过的原装合格正品（包括零部件），如安装或配置了软件的，须为正版软件。</w:t>
      </w:r>
    </w:p>
    <w:p w14:paraId="26E9F0F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4.2.2国产的货物及其有关服务必须符合中华人民共和国的设计和制造生产标准或行业标准。招标公告有其他要求的，亦应符合其要求。</w:t>
      </w:r>
    </w:p>
    <w:p w14:paraId="77CE23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中未写明允许采购进口产品，如投标人所投产品为进口产品，其投标将被认定为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3A3885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56D9A5D">
      <w:pPr>
        <w:snapToGrid w:val="0"/>
        <w:spacing w:line="560" w:lineRule="exact"/>
        <w:ind w:firstLine="565" w:firstLineChars="201"/>
        <w:rPr>
          <w:rFonts w:ascii="仿宋_GB2312" w:hAnsi="仿宋" w:eastAsia="仿宋_GB2312" w:cs="宋体"/>
          <w:color w:val="auto"/>
          <w:sz w:val="28"/>
          <w:szCs w:val="28"/>
          <w:highlight w:val="none"/>
        </w:rPr>
      </w:pPr>
      <w:r>
        <w:rPr>
          <w:rFonts w:hint="eastAsia" w:ascii="仿宋_GB2312" w:hAnsi="宋体" w:eastAsia="仿宋_GB2312"/>
          <w:b/>
          <w:color w:val="auto"/>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78C7AB10">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5</w:t>
      </w:r>
      <w:r>
        <w:rPr>
          <w:rFonts w:hint="eastAsia" w:ascii="楷体_GB2312" w:hAnsi="仿宋" w:eastAsia="楷体_GB2312" w:cs="宋体"/>
          <w:b/>
          <w:color w:val="auto"/>
          <w:sz w:val="28"/>
          <w:szCs w:val="28"/>
          <w:highlight w:val="none"/>
        </w:rPr>
        <w:t>.电子投标特别提示</w:t>
      </w:r>
    </w:p>
    <w:p w14:paraId="1EFA77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本项目供应商必须登录威海市公共资源交易网（乳山分中心）（http://ggzyjy.weihai.cn/rushan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09C293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网上递交投标文件</w:t>
      </w:r>
      <w:r>
        <w:rPr>
          <w:rFonts w:hint="eastAsia" w:ascii="仿宋_GB2312" w:hAnsi="仿宋" w:eastAsia="仿宋_GB2312" w:cs="宋体"/>
          <w:color w:val="auto"/>
          <w:sz w:val="28"/>
          <w:szCs w:val="28"/>
          <w:highlight w:val="none"/>
        </w:rPr>
        <w:t>，参与本项目报价的供应商应利用办理好的CA锁登录威海市国有企业阳光采购电子化服务平台获取采购文件、文件下载和网上报价，且安全证书（CA锁）在有效期内。</w:t>
      </w:r>
    </w:p>
    <w:p w14:paraId="08AA88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XX投标（响应）文件制作及递交等有关操作见本文件及</w:t>
      </w:r>
      <w:r>
        <w:rPr>
          <w:rFonts w:hint="eastAsia" w:ascii="仿宋_GB2312" w:hAnsi="宋体" w:eastAsia="仿宋_GB2312"/>
          <w:color w:val="auto"/>
          <w:sz w:val="28"/>
          <w:szCs w:val="28"/>
          <w:highlight w:val="none"/>
        </w:rPr>
        <w:t>威海市公共资源交易网）办事指南栏目-国企采购专区-《威海国企阳光采购电子化服务平台供应商操作视频教程》，网址:</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http://ggzyjy.weihai.cn/bszn/005005/20200902/98115c60-a132-4b41-b609-6b7c08ad502b.html、投标文件制作及系统使用咨询电话：18769124292；0631-5307028；平台QQ服务群：1146578397。</w:t>
      </w:r>
    </w:p>
    <w:p w14:paraId="114E59AB">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5D2B603">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7F9D501A">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报价文件中的相关扫描件应保证清晰度，无法辨认的评审时受到影响的，由供应商承担相应责任。</w:t>
      </w:r>
    </w:p>
    <w:p w14:paraId="5116EC6E">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777922E1">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二、招标文件</w:t>
      </w:r>
    </w:p>
    <w:p w14:paraId="7D3C19A8">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7</w:t>
      </w:r>
      <w:r>
        <w:rPr>
          <w:rFonts w:hint="eastAsia" w:ascii="楷体_GB2312" w:hAnsi="仿宋" w:eastAsia="楷体_GB2312" w:cs="宋体"/>
          <w:b/>
          <w:color w:val="auto"/>
          <w:sz w:val="28"/>
          <w:szCs w:val="28"/>
          <w:highlight w:val="none"/>
        </w:rPr>
        <w:t>.招标文件的构成</w:t>
      </w:r>
    </w:p>
    <w:p w14:paraId="05B12F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由各包段本文件（</w:t>
      </w:r>
      <w:r>
        <w:rPr>
          <w:rFonts w:ascii="仿宋_GB2312" w:hAnsi="仿宋" w:eastAsia="仿宋_GB2312" w:cs="宋体"/>
          <w:color w:val="auto"/>
          <w:sz w:val="28"/>
          <w:szCs w:val="28"/>
          <w:highlight w:val="none"/>
        </w:rPr>
        <w:t>WORD</w:t>
      </w:r>
      <w:r>
        <w:rPr>
          <w:rFonts w:hint="eastAsia" w:ascii="仿宋_GB2312" w:hAnsi="仿宋" w:eastAsia="仿宋_GB2312" w:cs="宋体"/>
          <w:color w:val="auto"/>
          <w:sz w:val="28"/>
          <w:szCs w:val="28"/>
          <w:highlight w:val="none"/>
        </w:rPr>
        <w:t>格式）和各包段的数据文件（</w:t>
      </w:r>
      <w:r>
        <w:rPr>
          <w:rFonts w:ascii="仿宋_GB2312" w:hAnsi="仿宋" w:eastAsia="仿宋_GB2312" w:cs="宋体"/>
          <w:color w:val="auto"/>
          <w:sz w:val="28"/>
          <w:szCs w:val="28"/>
          <w:highlight w:val="none"/>
        </w:rPr>
        <w:t>EXCEL</w:t>
      </w:r>
      <w:r>
        <w:rPr>
          <w:rFonts w:hint="eastAsia" w:ascii="仿宋_GB2312" w:hAnsi="仿宋" w:eastAsia="仿宋_GB2312" w:cs="宋体"/>
          <w:color w:val="auto"/>
          <w:sz w:val="28"/>
          <w:szCs w:val="28"/>
          <w:highlight w:val="none"/>
        </w:rPr>
        <w:t>格式）构成，采用压缩包电子版文件格式提供。</w:t>
      </w:r>
    </w:p>
    <w:p w14:paraId="7966EAA6">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7.1本文件（WORD格式）由下列文件组成：</w:t>
      </w:r>
    </w:p>
    <w:p w14:paraId="7C44D5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（1）采购公告</w:t>
      </w:r>
    </w:p>
    <w:p w14:paraId="77CC9C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（2）投标须知</w:t>
      </w:r>
    </w:p>
    <w:p w14:paraId="7FAC37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（3）采购内容与要求</w:t>
      </w:r>
    </w:p>
    <w:p w14:paraId="0CCFF9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（4）评审原则和方法</w:t>
      </w:r>
    </w:p>
    <w:p w14:paraId="21A745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（5）投标（响应）文件格式</w:t>
      </w:r>
    </w:p>
    <w:p w14:paraId="292A3C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（6）政府采购合同（范本）</w:t>
      </w:r>
    </w:p>
    <w:p w14:paraId="546E04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（7）在采购过程中由采购人或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发出的修正和补充文件等（如有）</w:t>
      </w:r>
    </w:p>
    <w:p w14:paraId="1BA0A2DB">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7.2数据文件（EXCEL格式）由下列文件组成：</w:t>
      </w:r>
    </w:p>
    <w:p w14:paraId="7C94689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647E9D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6868C2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15EAF8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（4）评审对照表</w:t>
      </w:r>
    </w:p>
    <w:p w14:paraId="724B07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（5）评分对照表</w:t>
      </w:r>
    </w:p>
    <w:p w14:paraId="435AA0C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highlight w:val="none"/>
        </w:rPr>
        <w:t>其风险应由投标人自行承担并根据有关政策和条款规定</w:t>
      </w:r>
      <w:r>
        <w:rPr>
          <w:rFonts w:hint="eastAsia" w:ascii="仿宋_GB2312" w:hAnsi="仿宋" w:eastAsia="仿宋_GB2312" w:cs="宋体"/>
          <w:color w:val="auto"/>
          <w:sz w:val="28"/>
          <w:szCs w:val="28"/>
          <w:highlight w:val="none"/>
        </w:rPr>
        <w:t>，可能导致其投标被认定为</w:t>
      </w:r>
      <w:r>
        <w:rPr>
          <w:rFonts w:hint="eastAsia" w:ascii="仿宋_GB2312" w:hAnsi="仿宋" w:eastAsia="仿宋_GB2312" w:cs="宋体"/>
          <w:b/>
          <w:color w:val="auto"/>
          <w:sz w:val="28"/>
          <w:szCs w:val="28"/>
          <w:highlight w:val="none"/>
        </w:rPr>
        <w:t>投标无效。</w:t>
      </w:r>
    </w:p>
    <w:p w14:paraId="06D662A3">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4招标文件</w:t>
      </w:r>
      <w:r>
        <w:rPr>
          <w:rFonts w:ascii="仿宋_GB2312" w:hAnsi="仿宋" w:eastAsia="仿宋_GB2312" w:cs="宋体"/>
          <w:color w:val="auto"/>
          <w:sz w:val="28"/>
          <w:szCs w:val="28"/>
          <w:highlight w:val="none"/>
        </w:rPr>
        <w:t>中有不一致的，有澄清的部分</w:t>
      </w:r>
      <w:r>
        <w:rPr>
          <w:rFonts w:hint="eastAsia"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rPr>
        <w:t>最终的澄清更正内容为准</w:t>
      </w:r>
      <w:r>
        <w:rPr>
          <w:rFonts w:hint="eastAsia" w:ascii="仿宋_GB2312" w:hAnsi="仿宋" w:eastAsia="仿宋_GB2312" w:cs="宋体"/>
          <w:color w:val="auto"/>
          <w:sz w:val="28"/>
          <w:szCs w:val="28"/>
          <w:highlight w:val="none"/>
        </w:rPr>
        <w:t>；未澄清的，</w:t>
      </w:r>
      <w:r>
        <w:rPr>
          <w:rFonts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u w:val="single"/>
        </w:rPr>
        <w:t>投标须知前附表</w:t>
      </w:r>
      <w:r>
        <w:rPr>
          <w:rFonts w:ascii="仿宋_GB2312" w:hAnsi="仿宋" w:eastAsia="仿宋_GB2312" w:cs="宋体"/>
          <w:color w:val="auto"/>
          <w:sz w:val="28"/>
          <w:szCs w:val="28"/>
          <w:highlight w:val="none"/>
        </w:rPr>
        <w:t>为准</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不涉及的内容，以编排在后的描述为准。</w:t>
      </w:r>
    </w:p>
    <w:p w14:paraId="6992BC1D">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7.5招标文件以中文编印，且以中文为准。</w:t>
      </w:r>
    </w:p>
    <w:p w14:paraId="3D47878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7.6除非有特殊要求，招标文件不单独提供招标货物使用地的自然环境、气候条件、公用设施等情况，投标人被视为熟悉上述与履行合同有关的一切情况。</w:t>
      </w:r>
    </w:p>
    <w:p w14:paraId="7C26AAC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7.7除招标文件中另有规定外，招标文件所使用的时间单位“天”、“日”均指日历天，且所有时刻均为北京时间。</w:t>
      </w:r>
    </w:p>
    <w:p w14:paraId="72721CE8">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7.8参与招标投标活动的各方应对招标文件和投标文件中的商业和技术等秘密保密，违者应对由此造成的后果承担法律责任。</w:t>
      </w:r>
    </w:p>
    <w:p w14:paraId="1ECBEC4A">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8</w:t>
      </w:r>
      <w:r>
        <w:rPr>
          <w:rFonts w:hint="eastAsia" w:ascii="楷体_GB2312" w:hAnsi="仿宋" w:eastAsia="楷体_GB2312" w:cs="宋体"/>
          <w:b/>
          <w:color w:val="auto"/>
          <w:sz w:val="28"/>
          <w:szCs w:val="28"/>
          <w:highlight w:val="none"/>
        </w:rPr>
        <w:t>.招标文件的澄清</w:t>
      </w:r>
    </w:p>
    <w:p w14:paraId="10349E0A">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在收到招标文件后，对招标文件若有任何疑问或要求澄清招标文件的，应在有效期内按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向</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提出，必要时</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将协助采购人组织所有获取采购文件</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举行答疑会，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根据需要主动对招标文件进行必要的澄清或根据</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的要求对招标文件做出澄清，都将以原网站公开发布形式（包括电子交易系统推送）答复或发送给所有</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。澄清文件作为招标文件的组成部分，对</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起约束作用。</w:t>
      </w:r>
    </w:p>
    <w:p w14:paraId="4D9FA03A">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8.2投标人在规定的时间内未对招标文件澄清或提出疑问的，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将视其为接受招标文件的所有条款，对招标文件没有异议，此后也不再受理对招标文件的相关质疑。</w:t>
      </w:r>
    </w:p>
    <w:p w14:paraId="7FD2AC8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9.招标文件的修改</w:t>
      </w:r>
    </w:p>
    <w:p w14:paraId="5032BB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9.l在投标截止时间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日以前，无论出于何种原因，采购人或采购代理机构可主动或在解答投标人提出的疑问时对招标文件进行修改。</w:t>
      </w:r>
    </w:p>
    <w:p w14:paraId="454EDC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9.2修改后的内容是招标文件的组成部分，采购人、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7D6A7E9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9.3澄清或者修改的内容可能影响投标文件编制的，采购人或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color w:val="auto"/>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highlight w:val="none"/>
        </w:rPr>
        <w:t>不足</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将顺延提交投标文件的截止时间。</w:t>
      </w:r>
    </w:p>
    <w:p w14:paraId="79881809">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750F0AB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10.投标文件编制要求</w:t>
      </w:r>
    </w:p>
    <w:p w14:paraId="5D1B6C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00183FA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10.2投标文件中使用的计量单位应使用中华人民共和国法定计量单位。</w:t>
      </w:r>
    </w:p>
    <w:p w14:paraId="3D4F32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10.3投标人必须保证投标文件所提供的全部资料真实可靠，并接受采购人或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225044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7C5BADA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10.5</w:t>
      </w:r>
      <w:r>
        <w:rPr>
          <w:rFonts w:hint="eastAsia" w:ascii="仿宋_GB2312" w:hAnsi="宋体" w:eastAsia="仿宋_GB2312"/>
          <w:color w:val="auto"/>
          <w:sz w:val="28"/>
          <w:szCs w:val="28"/>
          <w:highlight w:val="none"/>
        </w:rPr>
        <w:t>投标人按照采购文件要求所提供的各种证明文件必须真实且合法有效,经扫描后粘贴到投标文件的相关页上，确保清晰度可辨认，评审时由于无法辨认所产生的后果，由投标人自行承担。</w:t>
      </w:r>
    </w:p>
    <w:p w14:paraId="6421C1E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highlight w:val="none"/>
        </w:rPr>
        <w:t>对于不涉及或无法填写的评审项（评分项）（例如：报价），可在页码索引处填写1。</w:t>
      </w:r>
    </w:p>
    <w:p w14:paraId="7E1873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B1361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10.8投标文件具有法律效力，投标人与采购人或采购代理机构任何人的口头协议不影响投标文件的任何条款和内容。</w:t>
      </w:r>
    </w:p>
    <w:p w14:paraId="0192EB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10.9投标人应自行承担其准备和参加投标活动发生的所有费用。不论投标结果如何，采购人及采购代理机构在任何情况下无义务也无责任承担这些费用。</w:t>
      </w:r>
    </w:p>
    <w:p w14:paraId="7C7059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10.10采购人或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均无义务向投标人解释其中标或未中标的原因，且无论投标人是否中标，投标人所递交的投标文件均不予退还，不提供副本拷贝。</w:t>
      </w:r>
    </w:p>
    <w:p w14:paraId="7D171B0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11.数据文件编制要求</w:t>
      </w:r>
    </w:p>
    <w:p w14:paraId="7A74C62A">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11.1投标人须从所投项目的招标文件压缩包内对应包段目录下获取本文件</w:t>
      </w:r>
      <w:r>
        <w:rPr>
          <w:rFonts w:hint="eastAsia" w:ascii="仿宋_GB2312" w:hAnsi="宋体" w:eastAsia="仿宋_GB2312"/>
          <w:color w:val="auto"/>
          <w:sz w:val="28"/>
          <w:szCs w:val="28"/>
          <w:highlight w:val="none"/>
        </w:rPr>
        <w:t>（变更后的数据文件需要重新下载）</w:t>
      </w:r>
      <w:r>
        <w:rPr>
          <w:rFonts w:hint="eastAsia" w:ascii="仿宋_GB2312" w:hAnsi="仿宋" w:eastAsia="仿宋_GB2312" w:cs="宋体"/>
          <w:color w:val="auto"/>
          <w:sz w:val="28"/>
          <w:szCs w:val="28"/>
          <w:highlight w:val="none"/>
        </w:rPr>
        <w:t>，必须在原文件上严格按照其中要求填写，其内部已约定好固定格式和相关内容，且带有特定的唯一性数字指纹，</w:t>
      </w:r>
      <w:r>
        <w:rPr>
          <w:rFonts w:ascii="仿宋_GB2312" w:hAnsi="仿宋" w:eastAsia="仿宋_GB2312" w:cs="宋体"/>
          <w:color w:val="auto"/>
          <w:sz w:val="28"/>
          <w:szCs w:val="28"/>
          <w:highlight w:val="none"/>
        </w:rPr>
        <w:t>必须在原表上填写，</w:t>
      </w:r>
      <w:r>
        <w:rPr>
          <w:rFonts w:hint="eastAsia" w:ascii="仿宋_GB2312" w:hAnsi="仿宋" w:eastAsia="仿宋_GB2312" w:cs="宋体"/>
          <w:color w:val="auto"/>
          <w:sz w:val="28"/>
          <w:szCs w:val="28"/>
          <w:highlight w:val="none"/>
        </w:rPr>
        <w:t>对采用非该文件基础上编制或对该文件进行任何工作表、表格行、表格列的增减</w:t>
      </w:r>
      <w:r>
        <w:rPr>
          <w:rFonts w:ascii="Calibri" w:hAnsi="Calibri" w:eastAsia="仿宋_GB2312" w:cs="宋体"/>
          <w:color w:val="auto"/>
          <w:sz w:val="28"/>
          <w:szCs w:val="28"/>
          <w:highlight w:val="none"/>
        </w:rPr>
        <w:t>、对工作表先后顺序的变动，</w:t>
      </w:r>
      <w:r>
        <w:rPr>
          <w:rFonts w:hint="eastAsia" w:ascii="仿宋_GB2312" w:hAnsi="仿宋" w:eastAsia="仿宋_GB2312" w:cs="宋体"/>
          <w:color w:val="auto"/>
          <w:sz w:val="28"/>
          <w:szCs w:val="28"/>
          <w:highlight w:val="none"/>
        </w:rPr>
        <w:t>以及对锁定区域内的数据进行更改、</w:t>
      </w:r>
      <w:r>
        <w:rPr>
          <w:rFonts w:hint="eastAsia" w:ascii="仿宋_GB2312" w:hAnsi="仿宋" w:eastAsia="仿宋_GB2312" w:cs="宋体"/>
          <w:b/>
          <w:color w:val="auto"/>
          <w:sz w:val="28"/>
          <w:szCs w:val="28"/>
          <w:highlight w:val="none"/>
        </w:rPr>
        <w:t>文件另存到其他文件</w:t>
      </w:r>
      <w:r>
        <w:rPr>
          <w:rFonts w:hint="eastAsia" w:ascii="仿宋_GB2312" w:hAnsi="仿宋" w:eastAsia="仿宋_GB2312" w:cs="宋体"/>
          <w:color w:val="auto"/>
          <w:sz w:val="28"/>
          <w:szCs w:val="28"/>
          <w:highlight w:val="none"/>
        </w:rPr>
        <w:t>等违规性操作，都会破坏本文件中的数字指纹，导致系统无法接收该文件使其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6CE325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611DD8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11.3投标人在对数据文件电子签章前，应按照上述2项的要求进行认真检查、确认。因投标人自身原因所导致其投标失败的，须自行承担相关责任。</w:t>
      </w:r>
    </w:p>
    <w:p w14:paraId="50FECDC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12.文件构成</w:t>
      </w:r>
    </w:p>
    <w:p w14:paraId="5A28DE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投标人应按不同包段分别编制投标文件，每个包段的投标文件分两册必须包括：投标文件（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格式）（第一册）、数据文件（PDF格式）（第二册），以上内容缺一不可，否则为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6CE5F5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12.1投标人编制的投标文件（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格式）（第一册）应包括但不少于下列内容：</w:t>
      </w:r>
    </w:p>
    <w:p w14:paraId="4CFDEBE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（1）投标文件封面（格式见本文件第五章）</w:t>
      </w:r>
    </w:p>
    <w:p w14:paraId="444F75A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（2）投标文件目录</w:t>
      </w:r>
    </w:p>
    <w:p w14:paraId="376149C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（3）投标承诺函（格式见本文件第五章）</w:t>
      </w:r>
    </w:p>
    <w:p w14:paraId="2A5752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（4）投标人资格证明文件</w:t>
      </w:r>
    </w:p>
    <w:p w14:paraId="7313F69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①法人或其他组织的营业执照等证明文件扫描件；</w:t>
      </w:r>
    </w:p>
    <w:p w14:paraId="5FE862DC">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②法定代表人授权委托书；被授权人身份证扫描件；</w:t>
      </w:r>
    </w:p>
    <w:p w14:paraId="712587E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47DCB8E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③具有行政主管部门颁发的房屋建筑工程监理乙级及以上资质或市政公用工程监理乙级及以上资质证书扫描件。</w:t>
      </w:r>
    </w:p>
    <w:p w14:paraId="79ADA704">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④要求总监理工程师 1名，专业监理工程师1名，监理员1名，合计3人。以上人员不得兼任，且须为本企业正式员工，投标文件中须附人员证书扫描件及缴纳社保证明资料，退休在职人员没有保险证明，可提供返聘协议、退休证书或企业职工退休审核表扫描件）。</w:t>
      </w:r>
    </w:p>
    <w:p w14:paraId="15ED3A65">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总监理工程师具有国家注册监理工程师资格(专业为房屋建筑工程或市政公用工程) 的人员；</w:t>
      </w:r>
    </w:p>
    <w:p w14:paraId="48E5E492">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专业为房屋建筑工程或市政公用工程)</w:t>
      </w:r>
    </w:p>
    <w:p w14:paraId="367E9180">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监理员最低定岗标准（满足以下任一条均可）：</w:t>
      </w:r>
    </w:p>
    <w:p w14:paraId="30A0BAE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具有有效期内的省级建设监理协会颁发的“建设工程监理从业人员教育与信用信息卡”或监理人员(监理员)上岗证；（2）具有中专及以上学历并经过监理业务培训的人员（需提供中专学历和监理业务培训证明材料）；（专业为市政公用工程或房屋建筑工程，监理人员证件，如不能体现专业，需附体现专业类型的证明材料或网上截图）</w:t>
      </w:r>
    </w:p>
    <w:p w14:paraId="212E52B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⑤依法缴纳税收和社会保障资金的声明（格式自拟）；近期的完税凭证及交纳社保资金凭证的扫描件（依法免税或不需要缴纳社会保障资金的供应商，应提供相关证明材料）；</w:t>
      </w:r>
    </w:p>
    <w:p w14:paraId="0927C518">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⑥参加本项目报价前三年内无重大违法记录声明（格式自定）；</w:t>
      </w:r>
    </w:p>
    <w:p w14:paraId="55C0ED4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⑦报价供应商未被工商行政管理机关在全国企业信用信息公示系统中列入严重违法失信企业名单网站截图（查询网址http://www.gsxt.gov.cn/index.html）；</w:t>
      </w:r>
    </w:p>
    <w:p w14:paraId="655C9D0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w:t>
      </w:r>
    </w:p>
    <w:p w14:paraId="2D0111A0">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⑧财务状况报告等相关材料</w:t>
      </w:r>
    </w:p>
    <w:p w14:paraId="1D0DF92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投标单位自行编制的2025年度公司财务报表或由中介机构出具的2024或2025年度财务审计报告书扫描件(2026年以后新成立公司须提供自成立至今的自行编制的公司财务报表扫描件)；</w:t>
      </w:r>
    </w:p>
    <w:p w14:paraId="3C1CE2D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3B37A52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w:t>
      </w:r>
    </w:p>
    <w:p w14:paraId="60C8A35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⑨具有履行合同所必需的设备和专业技术能力承诺函（格式自拟）；</w:t>
      </w:r>
    </w:p>
    <w:p w14:paraId="0C2EFAFA">
      <w:pPr>
        <w:snapToGrid w:val="0"/>
        <w:spacing w:line="560" w:lineRule="exact"/>
        <w:ind w:firstLine="562" w:firstLineChars="201"/>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⑩</w:t>
      </w:r>
      <w:r>
        <w:rPr>
          <w:rFonts w:hint="eastAsia" w:ascii="仿宋_GB2312" w:hAnsi="宋体" w:eastAsia="仿宋_GB2312"/>
          <w:color w:val="auto"/>
          <w:sz w:val="28"/>
          <w:szCs w:val="28"/>
          <w:highlight w:val="none"/>
          <w:lang w:eastAsia="zh-CN"/>
        </w:rPr>
        <w:t>企业实力文件（如有）</w:t>
      </w:r>
    </w:p>
    <w:p w14:paraId="015F0F68">
      <w:pPr>
        <w:snapToGrid w:val="0"/>
        <w:spacing w:line="560" w:lineRule="exact"/>
        <w:ind w:firstLine="562" w:firstLineChars="201"/>
        <w:rPr>
          <w:rFonts w:ascii="仿宋_GB2312" w:hAnsi="宋体" w:eastAsia="仿宋_GB2312"/>
          <w:color w:val="auto"/>
          <w:sz w:val="28"/>
          <w:szCs w:val="28"/>
          <w:highlight w:val="none"/>
        </w:rPr>
      </w:pPr>
      <w:r>
        <w:rPr>
          <w:rFonts w:ascii="Cambria Math" w:hAnsi="Cambria Math" w:eastAsia="仿宋_GB2312" w:cs="Cambria Math"/>
          <w:color w:val="auto"/>
          <w:sz w:val="28"/>
          <w:szCs w:val="28"/>
          <w:highlight w:val="none"/>
        </w:rPr>
        <w:t>⑪</w:t>
      </w:r>
      <w:r>
        <w:rPr>
          <w:rFonts w:hint="eastAsia" w:ascii="微软雅黑" w:hAnsi="微软雅黑" w:eastAsia="微软雅黑" w:cs="微软雅黑"/>
          <w:color w:val="auto"/>
          <w:sz w:val="28"/>
          <w:szCs w:val="28"/>
          <w:highlight w:val="none"/>
        </w:rPr>
        <w:t>报价供应商认为需要提供的</w:t>
      </w:r>
      <w:r>
        <w:rPr>
          <w:rFonts w:hint="eastAsia" w:ascii="微软雅黑" w:hAnsi="微软雅黑" w:eastAsia="微软雅黑" w:cs="微软雅黑"/>
          <w:color w:val="auto"/>
          <w:sz w:val="28"/>
          <w:szCs w:val="28"/>
          <w:highlight w:val="none"/>
          <w:lang w:eastAsia="zh-CN"/>
        </w:rPr>
        <w:t>其他</w:t>
      </w:r>
      <w:r>
        <w:rPr>
          <w:rFonts w:hint="eastAsia" w:ascii="微软雅黑" w:hAnsi="微软雅黑" w:eastAsia="微软雅黑" w:cs="微软雅黑"/>
          <w:color w:val="auto"/>
          <w:sz w:val="28"/>
          <w:szCs w:val="28"/>
          <w:highlight w:val="none"/>
        </w:rPr>
        <w:t>资质资格证明文件。</w:t>
      </w:r>
    </w:p>
    <w:p w14:paraId="36DEC04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以上所有资质资格证明文件均需加盖投标人签章。</w:t>
      </w:r>
    </w:p>
    <w:p w14:paraId="1A843AAB">
      <w:pPr>
        <w:numPr>
          <w:ilvl w:val="0"/>
          <w:numId w:val="1"/>
        </w:num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投标人基本情况（格式见本文件第五章）</w:t>
      </w:r>
    </w:p>
    <w:p w14:paraId="0F93BE9C">
      <w:pPr>
        <w:numPr>
          <w:ilvl w:val="0"/>
          <w:numId w:val="1"/>
        </w:num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项目负责人及拟派主要人员情况表</w:t>
      </w:r>
    </w:p>
    <w:p w14:paraId="30DAC214">
      <w:pPr>
        <w:numPr>
          <w:ilvl w:val="0"/>
          <w:numId w:val="1"/>
        </w:numPr>
        <w:snapToGrid w:val="0"/>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技术部分</w:t>
      </w:r>
      <w:r>
        <w:rPr>
          <w:rFonts w:hint="eastAsia" w:ascii="仿宋_GB2312" w:hAnsi="宋体" w:eastAsia="仿宋_GB2312"/>
          <w:color w:val="auto"/>
          <w:sz w:val="28"/>
          <w:szCs w:val="28"/>
          <w:highlight w:val="none"/>
          <w:lang w:eastAsia="zh-CN"/>
        </w:rPr>
        <w:t>，</w:t>
      </w:r>
      <w:r>
        <w:rPr>
          <w:rFonts w:hint="eastAsia" w:ascii="仿宋_GB2312" w:hAnsi="仿宋" w:eastAsia="仿宋_GB2312" w:cs="宋体"/>
          <w:color w:val="auto"/>
          <w:sz w:val="28"/>
          <w:szCs w:val="28"/>
          <w:highlight w:val="none"/>
        </w:rPr>
        <w:t>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53544A7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①监理大纲1</w:t>
      </w:r>
    </w:p>
    <w:p w14:paraId="63BA735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②监理大纲2</w:t>
      </w:r>
    </w:p>
    <w:p w14:paraId="02E82AA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③监理大纲3</w:t>
      </w:r>
    </w:p>
    <w:p w14:paraId="575EC62A">
      <w:pPr>
        <w:numPr>
          <w:ilvl w:val="0"/>
          <w:numId w:val="1"/>
        </w:numPr>
        <w:spacing w:line="560" w:lineRule="exact"/>
        <w:ind w:left="0" w:leftChars="0"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国内类</w:t>
      </w:r>
      <w:r>
        <w:rPr>
          <w:rFonts w:hint="eastAsia" w:ascii="仿宋_GB2312" w:hAnsi="仿宋" w:eastAsia="仿宋_GB2312" w:cs="宋体"/>
          <w:color w:val="auto"/>
          <w:sz w:val="28"/>
          <w:szCs w:val="28"/>
          <w:highlight w:val="none"/>
          <w:lang w:eastAsia="zh-CN"/>
        </w:rPr>
        <w:t>似</w:t>
      </w:r>
      <w:r>
        <w:rPr>
          <w:rFonts w:hint="eastAsia" w:ascii="仿宋_GB2312" w:hAnsi="仿宋" w:eastAsia="仿宋_GB2312" w:cs="宋体"/>
          <w:color w:val="auto"/>
          <w:sz w:val="28"/>
          <w:szCs w:val="28"/>
          <w:highlight w:val="none"/>
        </w:rPr>
        <w:t>项目业绩表</w:t>
      </w:r>
    </w:p>
    <w:p w14:paraId="40DEC1C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注：中标公告将对中标人提交的第（</w:t>
      </w:r>
      <w:r>
        <w:rPr>
          <w:rFonts w:hint="eastAsia" w:ascii="仿宋_GB2312" w:hAnsi="仿宋" w:eastAsia="仿宋_GB2312" w:cs="宋体"/>
          <w:b/>
          <w:color w:val="auto"/>
          <w:sz w:val="28"/>
          <w:szCs w:val="28"/>
          <w:highlight w:val="none"/>
          <w:lang w:val="en-US" w:eastAsia="zh-CN"/>
        </w:rPr>
        <w:t>8</w:t>
      </w:r>
      <w:r>
        <w:rPr>
          <w:rFonts w:hint="eastAsia" w:ascii="仿宋_GB2312" w:hAnsi="仿宋" w:eastAsia="仿宋_GB2312" w:cs="宋体"/>
          <w:b/>
          <w:color w:val="auto"/>
          <w:sz w:val="28"/>
          <w:szCs w:val="28"/>
          <w:highlight w:val="none"/>
        </w:rPr>
        <w:t>）项一并予以公示。</w:t>
      </w:r>
    </w:p>
    <w:p w14:paraId="3CBC3C6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lang w:val="en-US" w:eastAsia="zh-CN"/>
        </w:rPr>
        <w:t>9</w:t>
      </w:r>
      <w:r>
        <w:rPr>
          <w:rFonts w:hint="eastAsia" w:ascii="仿宋_GB2312" w:hAnsi="仿宋" w:eastAsia="仿宋_GB2312" w:cs="宋体"/>
          <w:color w:val="auto"/>
          <w:sz w:val="28"/>
          <w:szCs w:val="28"/>
          <w:highlight w:val="none"/>
        </w:rPr>
        <w:t>）要求采购人提供的配合；</w:t>
      </w:r>
    </w:p>
    <w:p w14:paraId="1C66A1E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12.2数据文件（PDF格式）（第二册）</w:t>
      </w:r>
    </w:p>
    <w:p w14:paraId="285DC3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30315C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70B542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74C44F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2A1EAA7F">
      <w:pPr>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757F9DA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13.投标报价</w:t>
      </w:r>
    </w:p>
    <w:p w14:paraId="3BD10A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13.1投标人所提供的服务均以人民币报价，精确到小数点后两位。</w:t>
      </w:r>
    </w:p>
    <w:p w14:paraId="5D871F7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23D02E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《投标报价表（含明细）》填写时应响应下列要求：</w:t>
      </w:r>
    </w:p>
    <w:p w14:paraId="0488EC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（1）投标人须严格按照投标报价表（含明细）说明进行填写，报价明细表投标报价表（含明细）中“*”是必填项，任何必填项为空时都可能导致本次投标无效。</w:t>
      </w:r>
    </w:p>
    <w:p w14:paraId="13E907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（2）投标人应对本次招标的全部内容进行报价，缺项报价投标无效。如因投标人自身的原因报价失误而造成的损失，由投标人自行承担。</w:t>
      </w:r>
    </w:p>
    <w:p w14:paraId="6DD9CD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（3）投标报价包括完成该项目的一切费用总和，</w:t>
      </w:r>
      <w:r>
        <w:rPr>
          <w:rFonts w:hint="eastAsia" w:ascii="仿宋_GB2312" w:hAnsi="宋体" w:eastAsia="仿宋_GB2312"/>
          <w:color w:val="auto"/>
          <w:sz w:val="28"/>
          <w:szCs w:val="28"/>
          <w:highlight w:val="none"/>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color w:val="auto"/>
          <w:sz w:val="28"/>
          <w:szCs w:val="28"/>
          <w:highlight w:val="none"/>
        </w:rPr>
        <w:t>，以人民币为结算单位。投标报价中免费提供的项目，应注明免费。所有根据合同或其它原因应由投标人支付的税款和其它应交纳的费用都要包括在投标人提交的报价中。</w:t>
      </w:r>
    </w:p>
    <w:p w14:paraId="57AA8F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（4）投标报价表（含明细）中合价将由单价*数量自动计算，无需手工录入。</w:t>
      </w:r>
    </w:p>
    <w:p w14:paraId="4543EE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（5）本次招标项目质保期见投标须知前附表或第3章。质保期大于招标文件要求的，投标人视投标需要提供制造商出具的质保函。</w:t>
      </w:r>
    </w:p>
    <w:p w14:paraId="5A11D76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w:t>
      </w:r>
      <w:r>
        <w:rPr>
          <w:rFonts w:ascii="仿宋_GB2312" w:hAnsi="仿宋" w:eastAsia="仿宋_GB2312" w:cs="宋体"/>
          <w:b/>
          <w:color w:val="auto"/>
          <w:sz w:val="28"/>
          <w:szCs w:val="28"/>
          <w:highlight w:val="none"/>
        </w:rPr>
        <w:t>6</w:t>
      </w:r>
      <w:r>
        <w:rPr>
          <w:rFonts w:hint="eastAsia" w:ascii="仿宋_GB2312" w:hAnsi="仿宋" w:eastAsia="仿宋_GB2312" w:cs="宋体"/>
          <w:b/>
          <w:color w:val="auto"/>
          <w:sz w:val="28"/>
          <w:szCs w:val="28"/>
          <w:highlight w:val="none"/>
        </w:rPr>
        <w:t>）未经检验的新产品、试制品不能参加投标。</w:t>
      </w:r>
    </w:p>
    <w:p w14:paraId="7981453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w:t>
      </w:r>
      <w:r>
        <w:rPr>
          <w:rFonts w:hint="eastAsia" w:ascii="仿宋_GB2312" w:hAnsi="宋体" w:eastAsia="仿宋_GB2312"/>
          <w:color w:val="auto"/>
          <w:sz w:val="28"/>
          <w:szCs w:val="28"/>
          <w:highlight w:val="none"/>
        </w:rPr>
        <w:t>投标人的报价在合同执行过程中是固定不变的，不得以任何理由改变。所有价格折扣、优惠条件必须在报价明细表中注明，否则评审时不予认可。</w:t>
      </w:r>
    </w:p>
    <w:p w14:paraId="6F49FF30">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需求响应表</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（如有）填写时应响应下列要求：</w:t>
      </w:r>
    </w:p>
    <w:p w14:paraId="04CFBFF7">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（1）有底色标识的单元格须填写，有“*”的列是必输项，任何必输项为空都可能导致您的本次投标（响应）无效；</w:t>
      </w:r>
    </w:p>
    <w:p w14:paraId="31040D05">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（2）如想拷贝数据到某个待填写单元格，应采用选择性粘贴(只粘贴文本)，否则单元格填写无效或被锁死；</w:t>
      </w:r>
    </w:p>
    <w:p w14:paraId="03744BB1">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（3）当招标需求列的内容显示不完整时，请点击编辑栏进行查看；</w:t>
      </w:r>
    </w:p>
    <w:p w14:paraId="1F8874BC">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（4）</w:t>
      </w:r>
      <w:r>
        <w:rPr>
          <w:rFonts w:hint="eastAsia" w:ascii="仿宋_GB2312" w:hAnsi="仿宋" w:eastAsia="仿宋_GB2312" w:cs="宋体"/>
          <w:b/>
          <w:color w:val="auto"/>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highlight w:val="none"/>
        </w:rPr>
        <w:t>无效投标（响应）处理</w:t>
      </w:r>
      <w:r>
        <w:rPr>
          <w:rFonts w:ascii="仿宋_GB2312" w:hAnsi="仿宋" w:eastAsia="仿宋_GB2312" w:cs="宋体"/>
          <w:color w:val="auto"/>
          <w:sz w:val="28"/>
          <w:szCs w:val="28"/>
          <w:highlight w:val="none"/>
        </w:rPr>
        <w:t>。</w:t>
      </w:r>
    </w:p>
    <w:p w14:paraId="50F302F3">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15C4F607">
      <w:pPr>
        <w:spacing w:line="560" w:lineRule="exact"/>
        <w:ind w:firstLine="562" w:firstLineChars="200"/>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（6）本次招标不允许投标人复制粘贴招标文件的技术要求作为其投标文件的响应情况。</w:t>
      </w:r>
    </w:p>
    <w:p w14:paraId="401F248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14.联合体投标</w:t>
      </w:r>
    </w:p>
    <w:p w14:paraId="05C98C3E">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本项目不接受联合体投标详见《投标须知前附表》。</w:t>
      </w:r>
    </w:p>
    <w:p w14:paraId="2015CC4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15.关于分包</w:t>
      </w:r>
    </w:p>
    <w:p w14:paraId="7F4AFB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投标人拟将成交项目的非主体、非关键性工作分包的，应当在投标文件中载明分包承担主体，分包承担主体应当具备相应资质条件且不得再次分包。</w:t>
      </w:r>
    </w:p>
    <w:p w14:paraId="7A9904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投标人应当就分包项目向采购人负责，分包承担主体就分包项目承担责任。</w:t>
      </w:r>
    </w:p>
    <w:p w14:paraId="5B5D28A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16.现场踏勘</w:t>
      </w:r>
    </w:p>
    <w:p w14:paraId="1FED13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16.1</w:t>
      </w:r>
      <w:r>
        <w:rPr>
          <w:rFonts w:hint="eastAsia" w:ascii="仿宋_GB2312" w:hAnsi="仿宋" w:eastAsia="仿宋_GB2312" w:cs="宋体"/>
          <w:color w:val="auto"/>
          <w:sz w:val="28"/>
          <w:szCs w:val="28"/>
          <w:highlight w:val="none"/>
          <w:u w:val="single"/>
        </w:rPr>
        <w:t>投标须知前附表中</w:t>
      </w:r>
      <w:r>
        <w:rPr>
          <w:rFonts w:hint="eastAsia" w:ascii="仿宋_GB2312" w:hAnsi="仿宋" w:eastAsia="仿宋_GB2312" w:cs="宋体"/>
          <w:color w:val="auto"/>
          <w:sz w:val="28"/>
          <w:szCs w:val="28"/>
          <w:highlight w:val="none"/>
        </w:rPr>
        <w:t>规定组织踏勘现场的，采购人按规定的时间、地点组织投标人踏勘项目现场，踏勘现场所发生的费用由投标人承担。</w:t>
      </w:r>
    </w:p>
    <w:p w14:paraId="6524A6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16.2采购人向投标人提供的有关现场的资料和数据，是采购人现有的能使投标人利用的资料，采购人对投标人由此而做出的推论、理解和结论概不负责。</w:t>
      </w:r>
    </w:p>
    <w:p w14:paraId="4A1F004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225A71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2BDF69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16.5未参与现场踏勘不作为否定投标人资格的理由。</w:t>
      </w:r>
    </w:p>
    <w:p w14:paraId="4CAA5EE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17.投标的有效期</w:t>
      </w:r>
    </w:p>
    <w:p w14:paraId="3F072E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17.1投标应在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中规定时间内保持有效。投标有效期不满足要求的投标，其投标将被认定为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119803D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17.2特殊情况下，在投标有效期满之前，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可以要求投标人延长投标有效期，投标人可以书面形式拒绝或接受上述要求。同意延长投标有效期的投标人不得修改投标文件的实质性内容。</w:t>
      </w:r>
    </w:p>
    <w:p w14:paraId="0FD71A88">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1</w:t>
      </w:r>
      <w:r>
        <w:rPr>
          <w:rFonts w:hint="eastAsia" w:ascii="楷体_GB2312" w:hAnsi="仿宋" w:eastAsia="楷体_GB2312" w:cs="宋体"/>
          <w:b/>
          <w:color w:val="auto"/>
          <w:sz w:val="28"/>
          <w:szCs w:val="28"/>
          <w:highlight w:val="none"/>
        </w:rPr>
        <w:t>8.投标保证金</w:t>
      </w:r>
    </w:p>
    <w:p w14:paraId="4A2190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本项目不收取投标保证金</w:t>
      </w:r>
      <w:r>
        <w:rPr>
          <w:rFonts w:ascii="仿宋_GB2312" w:hAnsi="仿宋" w:eastAsia="仿宋_GB2312" w:cs="宋体"/>
          <w:color w:val="auto"/>
          <w:sz w:val="28"/>
          <w:szCs w:val="28"/>
          <w:highlight w:val="none"/>
        </w:rPr>
        <w:t>。</w:t>
      </w:r>
    </w:p>
    <w:p w14:paraId="04AA8D7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19.投标文件的数量和签署</w:t>
      </w:r>
    </w:p>
    <w:p w14:paraId="1E026C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19.1投标文件（PDF格式）（第一册）1份</w:t>
      </w:r>
    </w:p>
    <w:p w14:paraId="5E0AE7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63625B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文件上加盖电子印章并保存到本地计算机，加盖了电子印章的</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文件即为最终的投标文件。</w:t>
      </w:r>
    </w:p>
    <w:p w14:paraId="4F64BA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19.1.3文件中要求法定代表人签字或签章的须加盖法定代表人电子人名章。</w:t>
      </w:r>
    </w:p>
    <w:p w14:paraId="665167C7">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19.1.4</w:t>
      </w:r>
      <w:r>
        <w:rPr>
          <w:rFonts w:hint="eastAsia" w:ascii="仿宋_GB2312" w:hAnsi="宋体" w:eastAsia="仿宋_GB2312"/>
          <w:color w:val="auto"/>
          <w:sz w:val="28"/>
          <w:szCs w:val="28"/>
          <w:highlight w:val="none"/>
        </w:rPr>
        <w:t>须被授权人签字的，被授权人又无电子章，在</w:t>
      </w:r>
      <w:r>
        <w:rPr>
          <w:rFonts w:hint="eastAsia" w:ascii="仿宋_GB2312" w:hAnsi="仿宋" w:eastAsia="仿宋_GB2312" w:cs="宋体"/>
          <w:color w:val="auto"/>
          <w:sz w:val="28"/>
          <w:szCs w:val="28"/>
          <w:highlight w:val="none"/>
        </w:rPr>
        <w:t>WORD</w:t>
      </w:r>
      <w:r>
        <w:rPr>
          <w:rFonts w:hint="eastAsia" w:ascii="仿宋_GB2312" w:hAnsi="宋体" w:eastAsia="仿宋_GB2312"/>
          <w:color w:val="auto"/>
          <w:sz w:val="28"/>
          <w:szCs w:val="28"/>
          <w:highlight w:val="none"/>
        </w:rPr>
        <w:t>编制时可将被授权人手写签字扫描后的图片粘贴到投标文件中对应位置，并加盖单位电子公章。</w:t>
      </w:r>
    </w:p>
    <w:p w14:paraId="5C07184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19.1.5可使用系统的批量盖章功能快速签章。但须浏览检查并注意印章重叠及完整性。</w:t>
      </w:r>
    </w:p>
    <w:p w14:paraId="173A63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19.1.6采用扫描粘贴投标人公章或扫描法定代表人人名章而不加盖单位电子公章的为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5F804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19.2数据文件（PDF格式）（第二册）1份</w:t>
      </w:r>
    </w:p>
    <w:p w14:paraId="06E1F24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25197D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19.2.2</w:t>
      </w:r>
      <w:r>
        <w:rPr>
          <w:rFonts w:hint="eastAsia" w:ascii="仿宋_GB2312" w:hAnsi="宋体" w:eastAsia="仿宋_GB2312"/>
          <w:color w:val="auto"/>
          <w:sz w:val="28"/>
          <w:szCs w:val="28"/>
          <w:highlight w:val="none"/>
        </w:rPr>
        <w:t>文件中要求法定代表人签字或签章的须加盖法定代表人电子人名章。</w:t>
      </w:r>
    </w:p>
    <w:p w14:paraId="5E03431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19.2.3采用扫描粘贴投标人公章或法定代表人人名章的为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E312CE2">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7F93B30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20.投标文件的密封和标记</w:t>
      </w:r>
    </w:p>
    <w:p w14:paraId="604877C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20.1电子投标文件的密封和标记</w:t>
      </w:r>
    </w:p>
    <w:p w14:paraId="5727CB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CB9049E">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20.2资质证明文件原件的密封和标记</w:t>
      </w:r>
    </w:p>
    <w:p w14:paraId="50F2E8CE">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本项目不收取资质证明文件原件。</w:t>
      </w:r>
    </w:p>
    <w:p w14:paraId="11DA04A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20.3文件递交</w:t>
      </w:r>
    </w:p>
    <w:p w14:paraId="73F117A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20.3.1投标人应在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highlight w:val="none"/>
        </w:rPr>
        <w:t>其投标将会被判定为无效。</w:t>
      </w:r>
    </w:p>
    <w:p w14:paraId="0325B9EA">
      <w:pPr>
        <w:spacing w:line="560" w:lineRule="exact"/>
        <w:ind w:firstLine="565" w:firstLineChars="201"/>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95A01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20.3.3除</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另有规定，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拒绝接收纸质投标文件。</w:t>
      </w:r>
    </w:p>
    <w:p w14:paraId="6D06CD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20.3.4投标人应将网上递交的已盖章未加密的数据文件和投标文件谨慎保存备份，以便启动应急开标程序时备案使用。</w:t>
      </w:r>
    </w:p>
    <w:p w14:paraId="38FC65F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21.投标截止期</w:t>
      </w:r>
    </w:p>
    <w:p w14:paraId="45E18A07">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本次招标的投标截止期见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w:t>
      </w:r>
    </w:p>
    <w:p w14:paraId="787916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zh-CN"/>
        </w:rPr>
        <w:t>采购人和</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有权按本须知的规定，延迟投标截止时间。在此情况下，采购人、</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和投标人受投标截止时间制约的所有权利和义务均应延长至新的截止时间。</w:t>
      </w:r>
    </w:p>
    <w:p w14:paraId="5868709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22.迟交的投标文件</w:t>
      </w:r>
    </w:p>
    <w:p w14:paraId="39B37D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威海市国有企业阳光采购电子化服务平台无法接收投标截止期后递交的电子投标文件。</w:t>
      </w:r>
    </w:p>
    <w:p w14:paraId="35CFAC1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23.</w:t>
      </w:r>
      <w:r>
        <w:rPr>
          <w:rFonts w:hint="eastAsia" w:ascii="楷体_GB2312" w:hAnsi="宋体" w:eastAsia="楷体_GB2312"/>
          <w:b/>
          <w:color w:val="auto"/>
          <w:sz w:val="28"/>
          <w:szCs w:val="28"/>
          <w:highlight w:val="none"/>
        </w:rPr>
        <w:t>现场演示</w:t>
      </w:r>
      <w:r>
        <w:rPr>
          <w:rFonts w:ascii="楷体_GB2312" w:hAnsi="宋体" w:eastAsia="楷体_GB2312"/>
          <w:b/>
          <w:color w:val="auto"/>
          <w:sz w:val="28"/>
          <w:szCs w:val="28"/>
          <w:highlight w:val="none"/>
        </w:rPr>
        <w:t>/</w:t>
      </w:r>
      <w:r>
        <w:rPr>
          <w:rFonts w:hint="eastAsia" w:ascii="楷体_GB2312" w:hAnsi="宋体" w:eastAsia="楷体_GB2312"/>
          <w:b/>
          <w:color w:val="auto"/>
          <w:sz w:val="28"/>
          <w:szCs w:val="28"/>
          <w:highlight w:val="none"/>
        </w:rPr>
        <w:t>样品递交</w:t>
      </w:r>
    </w:p>
    <w:p w14:paraId="7B0AAE12">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23.1采购人可以要求投标人对其提供的信息化、自动化等相关类别服务进行演示。</w:t>
      </w:r>
      <w:r>
        <w:rPr>
          <w:rFonts w:hint="eastAsia" w:ascii="仿宋_GB2312" w:hAnsi="仿宋" w:eastAsia="仿宋_GB2312" w:cs="宋体"/>
          <w:color w:val="auto"/>
          <w:sz w:val="28"/>
          <w:szCs w:val="28"/>
          <w:highlight w:val="none"/>
        </w:rPr>
        <w:t>投标人可以到现场演示，也可以使用系统“网上评标”中的“谈判”功能与评标专家进行远程演示。</w:t>
      </w:r>
    </w:p>
    <w:p w14:paraId="63C4EB1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23.2若服务项目涉及货物时，采购人可以要求投标人提供样品，样品作为投标文件的一部分。未中标人提供的样品将于评审结束后退还。中标人的样品由采购人保留，作为验收的依据。</w:t>
      </w:r>
    </w:p>
    <w:p w14:paraId="147AAED7">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本项目投标人无需</w:t>
      </w:r>
      <w:r>
        <w:rPr>
          <w:rFonts w:hint="eastAsia" w:ascii="仿宋_GB2312" w:hAnsi="宋体" w:eastAsia="仿宋_GB2312"/>
          <w:b/>
          <w:color w:val="auto"/>
          <w:sz w:val="28"/>
          <w:szCs w:val="28"/>
          <w:highlight w:val="none"/>
        </w:rPr>
        <w:t>提供演示/提交样品</w:t>
      </w:r>
      <w:r>
        <w:rPr>
          <w:rFonts w:hint="eastAsia" w:ascii="仿宋_GB2312" w:hAnsi="仿宋" w:eastAsia="仿宋_GB2312" w:cs="宋体"/>
          <w:b/>
          <w:color w:val="auto"/>
          <w:sz w:val="28"/>
          <w:szCs w:val="28"/>
          <w:highlight w:val="none"/>
        </w:rPr>
        <w:t>，详见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的规定。</w:t>
      </w:r>
    </w:p>
    <w:p w14:paraId="4192226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24.投标文件的修改和撤回</w:t>
      </w:r>
    </w:p>
    <w:p w14:paraId="1E3EC1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688D78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24.2投标人在递交投标文件后，可以在投标截止期之前撤回其投标。</w:t>
      </w:r>
    </w:p>
    <w:p w14:paraId="165ABD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24.3开标后不允许对投标文件做实质性修改和补充，不得撤回投标文件。</w:t>
      </w:r>
    </w:p>
    <w:p w14:paraId="322DED67">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五、开标与评审</w:t>
      </w:r>
    </w:p>
    <w:p w14:paraId="26F957E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25.开标</w:t>
      </w:r>
    </w:p>
    <w:p w14:paraId="46AEA17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25.1投标截止时间结束后，投标人不足3家的不得开标。</w:t>
      </w:r>
    </w:p>
    <w:p w14:paraId="347657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25.2</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3B127A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highlight w:val="none"/>
        </w:rPr>
        <w:t>视作</w:t>
      </w:r>
      <w:r>
        <w:rPr>
          <w:rFonts w:hint="eastAsia" w:ascii="仿宋_GB2312" w:hAnsi="仿宋" w:eastAsia="仿宋_GB2312" w:cs="宋体"/>
          <w:color w:val="auto"/>
          <w:sz w:val="28"/>
          <w:szCs w:val="28"/>
          <w:highlight w:val="none"/>
        </w:rPr>
        <w:t>认同开标结果。</w:t>
      </w:r>
    </w:p>
    <w:p w14:paraId="4F01FB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1A2053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25.5开标过程应当由采购人或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负责记录，最终形成开标一览表并由各投标人代表和相关工作人员签字或盖章确认。</w:t>
      </w:r>
    </w:p>
    <w:p w14:paraId="651DAB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25.6投标人代表对开标过程和开标记录有疑义，以及认为采购人、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相关工作人员有需要回避的情形的，应当场提出询问或者回避申请。采购人、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对投标人代表提出的询问或者回避申请应当及时处理。</w:t>
      </w:r>
    </w:p>
    <w:p w14:paraId="3E4463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25.7录音、录像：威海市公共资源交易中心乳山分中心负责从递交投标文件开始到定标结束全过程的录音、录像工作，确保声音清楚、图像清晰、内容无遗漏。</w:t>
      </w:r>
    </w:p>
    <w:p w14:paraId="60A75F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25.8评审过程中，如遇特殊情况，服从威海市公共资源交易中心乳山分中心场地调配，并遵守相关规章制度。</w:t>
      </w:r>
    </w:p>
    <w:p w14:paraId="101445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25.9对投标文件报价出现前后不一致的，按以下规定修正：</w:t>
      </w:r>
    </w:p>
    <w:p w14:paraId="74B343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（1）“投标（报价）一览表”的报价与“报价明细表”的报价不一致的，以“投标（报价）一览表”的报价为准；</w:t>
      </w:r>
    </w:p>
    <w:p w14:paraId="1C2077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（2）大写金额和小写金额不一致的，以大写金额为准；</w:t>
      </w:r>
    </w:p>
    <w:p w14:paraId="24862CF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（3）单价金额小数点或者百分比有明显错位的，以投标（报价）一览表的总价为准，并修改单价。</w:t>
      </w:r>
    </w:p>
    <w:p w14:paraId="4A76BC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（4）总价金额与按单价汇总金额不一致的，以单价金额计算结果为准。</w:t>
      </w:r>
    </w:p>
    <w:p w14:paraId="4834934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highlight w:val="none"/>
        </w:rPr>
        <w:t>无效</w:t>
      </w:r>
      <w:r>
        <w:rPr>
          <w:rFonts w:hint="eastAsia" w:ascii="仿宋_GB2312" w:hAnsi="仿宋" w:eastAsia="仿宋_GB2312" w:cs="宋体"/>
          <w:color w:val="auto"/>
          <w:sz w:val="28"/>
          <w:szCs w:val="28"/>
          <w:highlight w:val="none"/>
        </w:rPr>
        <w:t>。</w:t>
      </w:r>
    </w:p>
    <w:p w14:paraId="2402F0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25.10开标程序</w:t>
      </w:r>
    </w:p>
    <w:p w14:paraId="1FC1B8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25.10.1签到：在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规定的时间完成签到。</w:t>
      </w:r>
    </w:p>
    <w:p w14:paraId="65D8F3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25.10.2开标：工作人员在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规定的开标时间启动开标。</w:t>
      </w:r>
    </w:p>
    <w:p w14:paraId="4EFC31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25.10.3解密：开标后工作人员启动开始解密指令，投标人开始输入解密密码，解密时间到后工作人员启动停止解密指令。</w:t>
      </w:r>
    </w:p>
    <w:p w14:paraId="3C0EDC6A">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212A93A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highlight w:val="none"/>
        </w:rPr>
        <w:t>视为</w:t>
      </w:r>
      <w:r>
        <w:rPr>
          <w:rFonts w:hint="eastAsia" w:ascii="仿宋_GB2312" w:hAnsi="仿宋" w:eastAsia="仿宋_GB2312" w:cs="宋体"/>
          <w:color w:val="auto"/>
          <w:sz w:val="28"/>
          <w:szCs w:val="28"/>
          <w:highlight w:val="none"/>
        </w:rPr>
        <w:t>其对开标一览表中所载内容无疑议。</w:t>
      </w:r>
    </w:p>
    <w:p w14:paraId="796FD3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25.10.5投标人可使用电子交易系统“网上开标”中的“看直播”功能参与开标程序。</w:t>
      </w:r>
    </w:p>
    <w:p w14:paraId="521945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25.11应急开标程序</w:t>
      </w:r>
    </w:p>
    <w:p w14:paraId="2E9C957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481E3C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（1）系统服务器发生故障，无法访问或无法使用系统；</w:t>
      </w:r>
    </w:p>
    <w:p w14:paraId="4AFF73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（2）系统的软件或数据库出现错误，不能进行正常操作；</w:t>
      </w:r>
    </w:p>
    <w:p w14:paraId="44EFEE8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（3）系统发现有安全漏洞，有潜在的泄密危险；</w:t>
      </w:r>
    </w:p>
    <w:p w14:paraId="439DDC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（4）病毒发作或受到外来病毒的攻击；</w:t>
      </w:r>
    </w:p>
    <w:p w14:paraId="1A193F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（5）其他无法保证开标过程公平、公正和信息安全的情形。</w:t>
      </w:r>
    </w:p>
    <w:p w14:paraId="5596AD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应急开标程序包括：</w:t>
      </w:r>
    </w:p>
    <w:p w14:paraId="107A899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（1）对</w:t>
      </w:r>
      <w:r>
        <w:rPr>
          <w:rFonts w:ascii="仿宋_GB2312" w:hAnsi="仿宋" w:eastAsia="仿宋_GB2312" w:cs="宋体"/>
          <w:color w:val="auto"/>
          <w:sz w:val="28"/>
          <w:szCs w:val="28"/>
          <w:highlight w:val="none"/>
        </w:rPr>
        <w:t>未在系统中开标的可暂停开标</w:t>
      </w:r>
      <w:r>
        <w:rPr>
          <w:rFonts w:hint="eastAsia" w:ascii="仿宋_GB2312" w:hAnsi="仿宋" w:eastAsia="仿宋_GB2312" w:cs="宋体"/>
          <w:color w:val="auto"/>
          <w:sz w:val="28"/>
          <w:szCs w:val="28"/>
          <w:highlight w:val="none"/>
        </w:rPr>
        <w:t>；</w:t>
      </w:r>
    </w:p>
    <w:p w14:paraId="47FC6D7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（2）对已在系统中开标的应停止，等待系统恢复正常后再组织进行开标。</w:t>
      </w:r>
    </w:p>
    <w:p w14:paraId="39FF8C3A">
      <w:pPr>
        <w:spacing w:line="560" w:lineRule="exact"/>
        <w:ind w:firstLine="562" w:firstLineChars="201"/>
        <w:rPr>
          <w:rFonts w:ascii="仿宋_GB2312" w:hAnsi="仿宋" w:eastAsia="仿宋_GB2312" w:cs="宋体"/>
          <w:b/>
          <w:color w:val="auto"/>
          <w:sz w:val="28"/>
          <w:szCs w:val="28"/>
          <w:highlight w:val="none"/>
        </w:rPr>
      </w:pPr>
      <w:r>
        <w:rPr>
          <w:rFonts w:hint="eastAsia" w:ascii="仿宋_GB2312" w:hAnsi="仿宋" w:eastAsia="仿宋_GB2312" w:cs="宋体"/>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highlight w:val="none"/>
        </w:rPr>
        <w:t>无效投标（响应）处理。</w:t>
      </w:r>
    </w:p>
    <w:p w14:paraId="1BB350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492171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25.12应急开标电子邮件递交规定</w:t>
      </w:r>
    </w:p>
    <w:p w14:paraId="22FD47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接收电子邮箱：rstprea@163.com</w:t>
      </w:r>
    </w:p>
    <w:p w14:paraId="69B1495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递交时间：以电子邮件或电话通知的时间为准；</w:t>
      </w:r>
    </w:p>
    <w:p w14:paraId="5156AF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邮件数量：一封；</w:t>
      </w:r>
    </w:p>
    <w:p w14:paraId="058CEE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邮件主题：项目编号、投标人名称；</w:t>
      </w:r>
    </w:p>
    <w:p w14:paraId="0AB136A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B8AE0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25.13启动电子邮件开标流程</w:t>
      </w:r>
    </w:p>
    <w:p w14:paraId="29D6C9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工作人员电话通知所有投标人启动应急开标程序；</w:t>
      </w:r>
    </w:p>
    <w:p w14:paraId="30014D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投标人收到通知后在规定时间内通过电子邮件递交投标文件（在非应急开标期间</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不接受、不处理任何通过电子邮件提交的投标文件）；</w:t>
      </w:r>
    </w:p>
    <w:p w14:paraId="3D135D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递交截止时间到，工作人员开始下载投标文件，将投标报价形成开标报告并邮件回复各投标人；</w:t>
      </w:r>
    </w:p>
    <w:p w14:paraId="2AF922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投标人确认报价并邮件回复，不及时回复的视为对开标报告的内容无异议。</w:t>
      </w:r>
    </w:p>
    <w:p w14:paraId="32BAA7E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26.评标委员会的组成和评标方法</w:t>
      </w:r>
    </w:p>
    <w:p w14:paraId="3DC78D2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highlight w:val="none"/>
        </w:rPr>
        <w:t>情况特殊，通过随机方式难以确定合适的评审专家的项目，经主管部门同意，可以自行选定评审专家。</w:t>
      </w:r>
    </w:p>
    <w:p w14:paraId="2B7DE0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26.2采购人员及相关人员与</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工作人员离职或退休不满三年的，不能作为专家参加评标工作。</w:t>
      </w:r>
    </w:p>
    <w:p w14:paraId="1717098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26.3评标委员会成员职责：</w:t>
      </w:r>
    </w:p>
    <w:p w14:paraId="69D5D47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4B44B1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（2）按照招标文件中确定的评标办法，对投标文件的内容进行评审，并对评审结果承担责任；</w:t>
      </w:r>
    </w:p>
    <w:p w14:paraId="254EAE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（3）对评标过程和结果，以及投标人的商业秘密进行保密；</w:t>
      </w:r>
    </w:p>
    <w:p w14:paraId="568718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（4）在评标委员会集体起草的评标报告上签字；</w:t>
      </w:r>
    </w:p>
    <w:p w14:paraId="17CCF5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（5）配合</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答复投标人质疑；</w:t>
      </w:r>
    </w:p>
    <w:p w14:paraId="2D01B6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（6）配合主管部门处理投标人投诉；</w:t>
      </w:r>
    </w:p>
    <w:p w14:paraId="35B66C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（7）向主管部门反映评标工作中的问题，提出意见和建议。</w:t>
      </w:r>
    </w:p>
    <w:p w14:paraId="325A612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26.4评标委员会集体职责：</w:t>
      </w:r>
    </w:p>
    <w:p w14:paraId="504D88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98621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（2）配合采购人和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答复投标人的质疑；</w:t>
      </w:r>
    </w:p>
    <w:p w14:paraId="39CB7C9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（3）配合主管部门做好投诉处理工作；</w:t>
      </w:r>
    </w:p>
    <w:p w14:paraId="4E7722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（4）必要时，向投标人解释评标结果；</w:t>
      </w:r>
    </w:p>
    <w:p w14:paraId="4B62BA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（5）向主管部门或者有关部门报告非法干预评标工作的行为。</w:t>
      </w:r>
    </w:p>
    <w:p w14:paraId="258735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26.5</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或采购人的职责：</w:t>
      </w:r>
    </w:p>
    <w:p w14:paraId="4F1B2C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（1）核对评审专家身份和采购人委托授权，对评审专家在政府采购活动中的职责履行情况予以记录，并及时将有关违法违规行为向主管部门报告；</w:t>
      </w:r>
    </w:p>
    <w:p w14:paraId="60910B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（2）宣布评标纪律；</w:t>
      </w:r>
    </w:p>
    <w:p w14:paraId="377160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（3）公布投标人名单，告知评审专家应当回避的情形；</w:t>
      </w:r>
    </w:p>
    <w:p w14:paraId="138DC0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（4）组织评标委员会推选评标组长，采购人代表不得担任组长；</w:t>
      </w:r>
    </w:p>
    <w:p w14:paraId="4012FC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（5）在评标期间采取必要的通讯管理措施，保证评标活动不受外界干扰；</w:t>
      </w:r>
    </w:p>
    <w:p w14:paraId="33651F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（6）根据评标委员会的要求介绍政府采购相关政策法规、招标文件；</w:t>
      </w:r>
    </w:p>
    <w:p w14:paraId="498517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（7）维护评标秩序，监督评标委员会依照招标文件规定的评标程序、方法和标准进行独立评审，及时制止和纠正采购人代表、评审专家的倾向性言论或者违法违规行为；</w:t>
      </w:r>
    </w:p>
    <w:p w14:paraId="11D4909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（8）核对评标结果，有财政部令第87号第六十四条规定的，要求评标委员会复核或者书面说明理由，评标委员会拒绝的，应予记录并向主管部门报告；</w:t>
      </w:r>
    </w:p>
    <w:p w14:paraId="22BC07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（9）评审工作完成后，按照规定向评审专家支付劳务报酬和异地评审差旅费，不得向评审专家以外的其他人员支付评审劳务报酬；</w:t>
      </w:r>
    </w:p>
    <w:p w14:paraId="228B36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（10）处理与评标有关的其他事项。</w:t>
      </w:r>
    </w:p>
    <w:p w14:paraId="51B877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采购人可以在评标前说明项目背景和采购需求，说明内容不得含有歧视性、倾向性意见，不得超出招标文件所述范围。说明应当提交书面材料，并随采购文件一并存档。</w:t>
      </w:r>
    </w:p>
    <w:p w14:paraId="2CC186F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26.6评标委员会采用集中办公、封闭方式进行评审。评标前，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工作人员向评标委员会成员宣布评标纪律和工作规则。评标委员会成员签署《无利害关系声明表》，并遵照执行。</w:t>
      </w:r>
    </w:p>
    <w:p w14:paraId="176293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26.7评标委员会成员对与自己有利害关系的评标项目应当主动提出回避。</w:t>
      </w:r>
    </w:p>
    <w:p w14:paraId="3BCF1D4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13A271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26.9评标委员会独立履行下列职责：</w:t>
      </w:r>
    </w:p>
    <w:p w14:paraId="59FB47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（1）审查、评价投标文件是否符合招标文件的商务、技术等实质性要求；</w:t>
      </w:r>
    </w:p>
    <w:p w14:paraId="17E3B4F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（2）要求投标人对投标文件有关事项做出澄清或者说明；</w:t>
      </w:r>
    </w:p>
    <w:p w14:paraId="15A35A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（3）对投标文件进行比较和评价；</w:t>
      </w:r>
    </w:p>
    <w:p w14:paraId="36D2CA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（4）确定中标候选人名单，以及根据采购人委托直接确定中标人；</w:t>
      </w:r>
    </w:p>
    <w:p w14:paraId="4FBD8A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或者有关部门报告评标中发现的违法行为。</w:t>
      </w:r>
    </w:p>
    <w:p w14:paraId="357B1BA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26.10评标中因评标委员会成员缺席、回避或者健康等特殊原因导致评标委员会组成不符合本办法规定的，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应当依法补足后继续评标。被更换的评标委员会成员所做出的评标意见无效。</w:t>
      </w:r>
    </w:p>
    <w:p w14:paraId="4EDF8F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无法及时补足评标委员会成员的，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应当停止评标活动，封存所有投标文件和开标、评标资料，依法重新组建评标委员会进行评标。原评标委员会做出的评标意见无效。</w:t>
      </w:r>
    </w:p>
    <w:p w14:paraId="7187B1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采购代理机构应当将变更、重新组建评标委员会的情况予以记录，并随采购文件一并存档。</w:t>
      </w:r>
    </w:p>
    <w:p w14:paraId="7DAE128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27.投标文件的初审</w:t>
      </w:r>
    </w:p>
    <w:p w14:paraId="1A0AFD4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27.1资格性审查。在采购项目开标结束后,采购人或者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工作人员应当依照有关法律和招标文件的规定对投标人的资格进行审查，具体内容详见</w:t>
      </w:r>
      <w:r>
        <w:rPr>
          <w:rFonts w:hint="eastAsia" w:ascii="仿宋_GB2312" w:hAnsi="仿宋" w:eastAsia="仿宋_GB2312" w:cs="宋体"/>
          <w:b/>
          <w:color w:val="auto"/>
          <w:sz w:val="28"/>
          <w:szCs w:val="28"/>
          <w:highlight w:val="none"/>
        </w:rPr>
        <w:t>《投标须知》-《实质性条款一览表》中资格性审查条件</w:t>
      </w:r>
      <w:r>
        <w:rPr>
          <w:rFonts w:hint="eastAsia" w:ascii="仿宋_GB2312" w:hAnsi="仿宋" w:eastAsia="仿宋_GB2312" w:cs="宋体"/>
          <w:color w:val="auto"/>
          <w:sz w:val="28"/>
          <w:szCs w:val="28"/>
          <w:highlight w:val="none"/>
        </w:rPr>
        <w:t>。合格投标人不足3家的，不得评标。在资格性检查时,如有下列情况之一的，经采购人认定，视为非实质性响应，为无效投标（响应）：</w:t>
      </w:r>
    </w:p>
    <w:p w14:paraId="32A2391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（1）单位负责人为同一人或者存在直接控股、管理关系的不同</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w:t>
      </w:r>
    </w:p>
    <w:p w14:paraId="14762EE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（2）为采购项目提供整体设计、规范编制或者项目管理、监理、检测等服务的；</w:t>
      </w:r>
    </w:p>
    <w:p w14:paraId="14F3440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（3）投标人和投标服务资格证明文件不满足招标文件要求和过期失效的。</w:t>
      </w:r>
    </w:p>
    <w:p w14:paraId="53861C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highlight w:val="none"/>
        </w:rPr>
        <w:t xml:space="preserve"> 如有不满足</w:t>
      </w:r>
      <w:r>
        <w:rPr>
          <w:rFonts w:hint="eastAsia" w:ascii="仿宋_GB2312" w:hAnsi="宋体" w:eastAsia="仿宋_GB2312"/>
          <w:b/>
          <w:color w:val="auto"/>
          <w:sz w:val="28"/>
          <w:szCs w:val="28"/>
          <w:highlight w:val="none"/>
        </w:rPr>
        <w:t>《投标须知》-《实质性条款一览表》中符合性审查条件</w:t>
      </w:r>
      <w:r>
        <w:rPr>
          <w:rFonts w:hint="eastAsia" w:ascii="仿宋_GB2312" w:hAnsi="宋体" w:eastAsia="仿宋_GB2312"/>
          <w:color w:val="auto"/>
          <w:sz w:val="28"/>
          <w:szCs w:val="28"/>
          <w:highlight w:val="none"/>
        </w:rPr>
        <w:t>情况之一的，</w:t>
      </w:r>
      <w:r>
        <w:rPr>
          <w:rFonts w:hint="eastAsia" w:ascii="仿宋_GB2312" w:hAnsi="仿宋" w:eastAsia="仿宋_GB2312" w:cs="宋体"/>
          <w:color w:val="auto"/>
          <w:sz w:val="28"/>
          <w:szCs w:val="28"/>
          <w:highlight w:val="none"/>
        </w:rPr>
        <w:t>经评标委员会认定，视为非实质性响应，为无效投标（响应）。</w:t>
      </w:r>
    </w:p>
    <w:p w14:paraId="5B0CF21E">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27.3</w:t>
      </w:r>
      <w:r>
        <w:rPr>
          <w:rFonts w:ascii="仿宋_GB2312" w:hAnsi="宋体" w:eastAsia="仿宋_GB2312"/>
          <w:color w:val="auto"/>
          <w:sz w:val="28"/>
          <w:szCs w:val="28"/>
          <w:highlight w:val="none"/>
        </w:rPr>
        <w:t>经</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集体审核通过，</w:t>
      </w:r>
      <w:r>
        <w:rPr>
          <w:rFonts w:hint="eastAsia" w:ascii="仿宋_GB2312" w:hAnsi="宋体" w:eastAsia="仿宋_GB2312"/>
          <w:color w:val="auto"/>
          <w:sz w:val="28"/>
          <w:szCs w:val="28"/>
          <w:highlight w:val="none"/>
        </w:rPr>
        <w:t>未实质性响应招标文件的投标文件按无效</w:t>
      </w:r>
      <w:r>
        <w:rPr>
          <w:rFonts w:hint="eastAsia" w:ascii="仿宋_GB2312" w:hAnsi="仿宋" w:eastAsia="仿宋_GB2312" w:cs="宋体"/>
          <w:color w:val="auto"/>
          <w:sz w:val="28"/>
          <w:szCs w:val="28"/>
          <w:highlight w:val="none"/>
        </w:rPr>
        <w:t>投标（响应）</w:t>
      </w:r>
      <w:r>
        <w:rPr>
          <w:rFonts w:hint="eastAsia" w:ascii="仿宋_GB2312" w:hAnsi="宋体" w:eastAsia="仿宋_GB2312"/>
          <w:color w:val="auto"/>
          <w:sz w:val="28"/>
          <w:szCs w:val="28"/>
          <w:highlight w:val="none"/>
        </w:rPr>
        <w:t>处理，评标委员会应当告知提交投标文件的投标人，</w:t>
      </w:r>
      <w:r>
        <w:rPr>
          <w:rFonts w:ascii="仿宋_GB2312" w:hAnsi="宋体" w:eastAsia="仿宋_GB2312"/>
          <w:color w:val="auto"/>
          <w:sz w:val="28"/>
          <w:szCs w:val="28"/>
          <w:highlight w:val="none"/>
        </w:rPr>
        <w:t>说明其不符合要求的原因，由其法定代表人或授权代表签字确认，</w:t>
      </w:r>
      <w:r>
        <w:rPr>
          <w:rFonts w:hint="eastAsia" w:ascii="仿宋_GB2312" w:hAnsi="宋体" w:eastAsia="仿宋_GB2312"/>
          <w:color w:val="auto"/>
          <w:sz w:val="28"/>
          <w:szCs w:val="28"/>
          <w:highlight w:val="none"/>
        </w:rPr>
        <w:t>投标人被授权</w:t>
      </w:r>
      <w:r>
        <w:rPr>
          <w:rFonts w:ascii="仿宋_GB2312" w:hAnsi="宋体" w:eastAsia="仿宋_GB2312"/>
          <w:color w:val="auto"/>
          <w:sz w:val="28"/>
          <w:szCs w:val="28"/>
          <w:highlight w:val="none"/>
        </w:rPr>
        <w:t>代表拒不签字的，并不影响</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所做出的结论。</w:t>
      </w:r>
    </w:p>
    <w:p w14:paraId="1AB1417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28.投标文件的澄清</w:t>
      </w:r>
    </w:p>
    <w:p w14:paraId="1D29408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529D742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D7CDDD7">
      <w:pPr>
        <w:spacing w:line="560" w:lineRule="exact"/>
        <w:ind w:firstLine="562" w:firstLineChars="201"/>
        <w:rPr>
          <w:rFonts w:ascii="仿宋_GB2312" w:hAnsi="仿宋" w:eastAsia="仿宋_GB2312" w:cs="宋体"/>
          <w:color w:val="auto"/>
          <w:sz w:val="28"/>
          <w:szCs w:val="28"/>
          <w:highlight w:val="none"/>
          <w:lang w:val="zh-CN"/>
        </w:rPr>
      </w:pPr>
      <w:r>
        <w:rPr>
          <w:rFonts w:hint="eastAsia" w:ascii="仿宋_GB2312" w:hAnsi="仿宋" w:eastAsia="仿宋_GB2312" w:cs="宋体"/>
          <w:color w:val="auto"/>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3A5788B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29.投标偏离</w:t>
      </w:r>
    </w:p>
    <w:p w14:paraId="4B2518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评标委员会可以接受投标文件中不构成实质性偏离的不正规或不一致。</w:t>
      </w:r>
    </w:p>
    <w:p w14:paraId="693219D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30.投标文件的评价</w:t>
      </w:r>
    </w:p>
    <w:p w14:paraId="4215520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30.1评标委员会只对确定为实质响应招标文件要求的投标文件进行评价和比较，必要时需标明评审理由。</w:t>
      </w:r>
    </w:p>
    <w:p w14:paraId="46F7932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30.2评标采用综合评分法的，价格分值由评审系统根据投标人上传的《投标（报价）一览表》中的投标报价，依据规定公式自动计算，其结果由评标委员会所有成员签字确认。</w:t>
      </w:r>
    </w:p>
    <w:p w14:paraId="22D43D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政府代理机构工作人员负责复核、统计评标委员会成员的评审情况，发现评审意见有失公正时，提请该评标委员会成员修改评审意见，并形成书面意见备查。</w:t>
      </w:r>
    </w:p>
    <w:p w14:paraId="434CAE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30.3评审时除考虑投标人的报价之外，还将考虑以下因素：</w:t>
      </w:r>
    </w:p>
    <w:p w14:paraId="6FBE89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（1）投标文件的响应状况（包括是否按照招标文件要求制作）；</w:t>
      </w:r>
    </w:p>
    <w:p w14:paraId="7BB0F6F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（2）投标产品的技术性能、功能、质量等指标的响应情况，包括其响应是否有技术佐证文件的支持；</w:t>
      </w:r>
    </w:p>
    <w:p w14:paraId="4EFE3EE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（3）服务方案（包括服务机构和人员、服务响应时间、安装调试、培训方案等）、服务期、服务体系和业绩等；</w:t>
      </w:r>
    </w:p>
    <w:p w14:paraId="0AC055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（4）招标文件规定的其它评审因素。</w:t>
      </w:r>
    </w:p>
    <w:p w14:paraId="0FAB35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361F73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5</w:t>
      </w:r>
      <w:r>
        <w:rPr>
          <w:rFonts w:hint="eastAsia" w:ascii="仿宋_GB2312" w:hAnsi="仿宋" w:eastAsia="仿宋_GB2312" w:cs="宋体"/>
          <w:color w:val="auto"/>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6FA32E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6</w:t>
      </w:r>
      <w:r>
        <w:rPr>
          <w:rFonts w:hint="eastAsia" w:ascii="仿宋_GB2312" w:hAnsi="仿宋" w:eastAsia="仿宋_GB2312" w:cs="宋体"/>
          <w:color w:val="auto"/>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248E205">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投标人有下列情形之一的，视为投标人串通投标，其投标无效：</w:t>
      </w:r>
    </w:p>
    <w:p w14:paraId="2113B3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（1）不同投标人的投标文件由同一单位或者个人编制；</w:t>
      </w:r>
    </w:p>
    <w:p w14:paraId="0BE005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（2）不同投标人委托同一单位或者个人办理投标事宜；</w:t>
      </w:r>
    </w:p>
    <w:p w14:paraId="2C47A3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（3）不同投标人的投标文件载明的项目管理成员或者联系人员为同一人；</w:t>
      </w:r>
    </w:p>
    <w:p w14:paraId="5362FD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（4）不同投标人的投标文件异常一致或者投标报价呈规律性差异；</w:t>
      </w:r>
    </w:p>
    <w:p w14:paraId="17B292D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（5）不同投标人的投标文件相互混装；</w:t>
      </w:r>
    </w:p>
    <w:p w14:paraId="38B8A7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（6）不同投标人的投标保证金从同一单位或者个人的账户转出。</w:t>
      </w:r>
    </w:p>
    <w:p w14:paraId="1F0013A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31.废标条款</w:t>
      </w:r>
    </w:p>
    <w:p w14:paraId="60FEC2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在招标采购中，出现下列情形之一的，应予废标：</w:t>
      </w:r>
    </w:p>
    <w:p w14:paraId="286C81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（1）符合专业条件的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或者对招标文件作实质响应的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不足3家的；</w:t>
      </w:r>
    </w:p>
    <w:p w14:paraId="65A0CD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（2）出现影响采购公正的违法、违规行为的；</w:t>
      </w:r>
    </w:p>
    <w:p w14:paraId="650072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（3）所有投标报价均超过招标文件中规定的预算金额，采购人不能支付的；</w:t>
      </w:r>
    </w:p>
    <w:p w14:paraId="5D3EC2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（4）因重大变故，采购人采购任务取消的。</w:t>
      </w:r>
    </w:p>
    <w:p w14:paraId="4BBD920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32.保密要求</w:t>
      </w:r>
    </w:p>
    <w:p w14:paraId="4296D8F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评标将在严格保密的情况下进行，有关人员</w:t>
      </w:r>
      <w:r>
        <w:rPr>
          <w:rFonts w:ascii="仿宋_GB2312" w:hAnsi="仿宋" w:eastAsia="仿宋_GB2312" w:cs="宋体"/>
          <w:color w:val="auto"/>
          <w:sz w:val="28"/>
          <w:szCs w:val="28"/>
          <w:highlight w:val="none"/>
        </w:rPr>
        <w:t>应当</w:t>
      </w:r>
      <w:r>
        <w:rPr>
          <w:rFonts w:hint="eastAsia" w:ascii="仿宋_GB2312" w:hAnsi="仿宋" w:eastAsia="仿宋_GB2312" w:cs="宋体"/>
          <w:color w:val="auto"/>
          <w:sz w:val="28"/>
          <w:szCs w:val="28"/>
          <w:highlight w:val="none"/>
        </w:rPr>
        <w:t>遵</w:t>
      </w:r>
      <w:r>
        <w:rPr>
          <w:rFonts w:ascii="仿宋_GB2312" w:hAnsi="仿宋" w:eastAsia="仿宋_GB2312" w:cs="宋体"/>
          <w:color w:val="auto"/>
          <w:sz w:val="28"/>
          <w:szCs w:val="28"/>
          <w:highlight w:val="none"/>
        </w:rPr>
        <w:t>守评审工作纪律，</w:t>
      </w:r>
      <w:r>
        <w:rPr>
          <w:rFonts w:hint="eastAsia" w:ascii="仿宋_GB2312" w:hAnsi="仿宋" w:eastAsia="仿宋_GB2312" w:cs="宋体"/>
          <w:b/>
          <w:color w:val="auto"/>
          <w:sz w:val="28"/>
          <w:szCs w:val="28"/>
          <w:highlight w:val="none"/>
        </w:rPr>
        <w:t>不得记录、复制或者带走任何评标资料</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泄露</w:t>
      </w:r>
      <w:r>
        <w:rPr>
          <w:rFonts w:ascii="仿宋_GB2312" w:hAnsi="仿宋" w:eastAsia="仿宋_GB2312" w:cs="宋体"/>
          <w:color w:val="auto"/>
          <w:sz w:val="28"/>
          <w:szCs w:val="28"/>
          <w:highlight w:val="none"/>
        </w:rPr>
        <w:t>评审</w:t>
      </w:r>
      <w:r>
        <w:rPr>
          <w:rFonts w:hint="eastAsia" w:ascii="仿宋_GB2312" w:hAnsi="仿宋" w:eastAsia="仿宋_GB2312" w:cs="宋体"/>
          <w:color w:val="auto"/>
          <w:sz w:val="28"/>
          <w:szCs w:val="28"/>
          <w:highlight w:val="none"/>
        </w:rPr>
        <w:t>文件</w:t>
      </w:r>
      <w:r>
        <w:rPr>
          <w:rFonts w:ascii="仿宋_GB2312" w:hAnsi="仿宋" w:eastAsia="仿宋_GB2312" w:cs="宋体"/>
          <w:color w:val="auto"/>
          <w:sz w:val="28"/>
          <w:szCs w:val="28"/>
          <w:highlight w:val="none"/>
        </w:rPr>
        <w:t>、评审情况和评审中获悉的商业秘密。</w:t>
      </w:r>
    </w:p>
    <w:p w14:paraId="300EB388">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六、定标</w:t>
      </w:r>
    </w:p>
    <w:p w14:paraId="3F0A318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33.定标</w:t>
      </w:r>
    </w:p>
    <w:p w14:paraId="051B39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0075D5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33.2评委会所有成员应当在评标报告上签字确认，评标报告的主要内容包括：</w:t>
      </w:r>
    </w:p>
    <w:p w14:paraId="4394E1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（1）招标公告刊登的媒体名称、开标日期和地点；</w:t>
      </w:r>
    </w:p>
    <w:p w14:paraId="41A021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（2）投标人名单和评标委员会成员名单；</w:t>
      </w:r>
    </w:p>
    <w:p w14:paraId="373F50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（3）评标方法和评标标准；</w:t>
      </w:r>
    </w:p>
    <w:p w14:paraId="13061A2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（4）开标记录和评标情况及说明，包括投标无效投标人名单及原因；</w:t>
      </w:r>
    </w:p>
    <w:p w14:paraId="6C26B4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（5）评标结果，确定的中标候选人名单或者经采购人委托直接确定的中标人；</w:t>
      </w:r>
    </w:p>
    <w:p w14:paraId="23FA582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（6）其他需要说明的情况，包括评标过程中投标人根据评标委员会要求进行澄清、说明或者补正，评标委员会成员的更换等。</w:t>
      </w:r>
    </w:p>
    <w:p w14:paraId="5614AEF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33.3由评标委员会直接确定预中标候选人的，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自评标结束之日起2个工作日内在指定媒体上公布评标结果；需要采购人确认的，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自评标结束之日起2个工作日内，将评标报告送交采购人。采购人应当自收到评标报告之日起5个工作日内在评标报告确定的中标候选人名单中按顺序确定预中标人。</w:t>
      </w:r>
    </w:p>
    <w:p w14:paraId="728897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33.4评标结果汇总完成后，除下列情形外，任何人不得修改评标结果：</w:t>
      </w:r>
    </w:p>
    <w:p w14:paraId="7D36CF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（1）分值汇总计算错误的；</w:t>
      </w:r>
    </w:p>
    <w:p w14:paraId="3AB8CB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（2）分项评分超出评分标准范围的；</w:t>
      </w:r>
    </w:p>
    <w:p w14:paraId="5E544E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（3）评标委员会成员对客观评审因素评分不一致的；</w:t>
      </w:r>
    </w:p>
    <w:p w14:paraId="63595A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（4）经评标委员会认定评分畸高、畸低的。</w:t>
      </w:r>
    </w:p>
    <w:p w14:paraId="75EF86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可以组织原评标委员会进行重新评审，重新评审改变评标结果的，应当书面报告本级主管部门。</w:t>
      </w:r>
    </w:p>
    <w:p w14:paraId="01107A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33.6中标人在规定的期限内无正当理由拒绝签订合同，采购人可以按照评审报告推荐的中标候选人名单排序，确定下一候选人为中标人，也可以重新开展政府采购活动。</w:t>
      </w:r>
    </w:p>
    <w:p w14:paraId="7027B89D">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七、公告</w:t>
      </w:r>
    </w:p>
    <w:p w14:paraId="3EE2421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34.公告</w:t>
      </w:r>
    </w:p>
    <w:p w14:paraId="090E56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34.1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自中标人确定之日起2个工作日内，在“原发布媒介”上公告中标结果。中标公告期限为1个工作日。中标公告应当包括下列内容：</w:t>
      </w:r>
    </w:p>
    <w:p w14:paraId="062021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的名称、地址和联系方式；</w:t>
      </w:r>
    </w:p>
    <w:p w14:paraId="19AD94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（2）项目名称和项目编号；</w:t>
      </w:r>
    </w:p>
    <w:p w14:paraId="331697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（3）中标人名称、地址和中标金额；</w:t>
      </w:r>
    </w:p>
    <w:p w14:paraId="04B2D0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（4）主要中标标的的名称、服务内容、数量、单价、服务要求；</w:t>
      </w:r>
    </w:p>
    <w:p w14:paraId="5AFD28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（5）中标公告期限；</w:t>
      </w:r>
    </w:p>
    <w:p w14:paraId="3D0FA5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（6）评审专家名单；</w:t>
      </w:r>
    </w:p>
    <w:p w14:paraId="1C3DF8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w:t>
      </w:r>
      <w:r>
        <w:rPr>
          <w:rFonts w:ascii="仿宋_GB2312" w:hAnsi="仿宋" w:eastAsia="仿宋_GB2312" w:cs="宋体"/>
          <w:color w:val="auto"/>
          <w:sz w:val="28"/>
          <w:szCs w:val="28"/>
          <w:highlight w:val="none"/>
        </w:rPr>
        <w:t>投标人未中标的原因</w:t>
      </w:r>
      <w:r>
        <w:rPr>
          <w:rFonts w:hint="eastAsia" w:ascii="仿宋_GB2312" w:hAnsi="仿宋" w:eastAsia="仿宋_GB2312" w:cs="宋体"/>
          <w:color w:val="auto"/>
          <w:sz w:val="28"/>
          <w:szCs w:val="28"/>
          <w:highlight w:val="none"/>
        </w:rPr>
        <w:t>；</w:t>
      </w:r>
    </w:p>
    <w:p w14:paraId="1076956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（8）采用综合评分法评审的，还将告知未中标人本人的评审得分和排序。</w:t>
      </w:r>
    </w:p>
    <w:p w14:paraId="304E03AE">
      <w:pPr>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34.2</w:t>
      </w:r>
      <w:r>
        <w:rPr>
          <w:rFonts w:hint="eastAsia" w:ascii="仿宋_GB2312" w:hAnsi="宋体" w:eastAsia="仿宋_GB2312"/>
          <w:color w:val="auto"/>
          <w:sz w:val="28"/>
          <w:szCs w:val="28"/>
          <w:highlight w:val="none"/>
        </w:rPr>
        <w:t>采购代理机构应当在中标公告公示期满</w:t>
      </w:r>
      <w:r>
        <w:rPr>
          <w:rFonts w:hint="eastAsia" w:ascii="仿宋_GB2312" w:hAnsi="仿宋" w:eastAsia="仿宋_GB2312" w:cs="宋体"/>
          <w:color w:val="auto"/>
          <w:sz w:val="28"/>
          <w:szCs w:val="28"/>
          <w:highlight w:val="none"/>
        </w:rPr>
        <w:t>，</w:t>
      </w:r>
      <w:r>
        <w:rPr>
          <w:rFonts w:hint="eastAsia" w:ascii="仿宋_GB2312" w:hAnsi="仿宋" w:eastAsia="仿宋_GB2312"/>
          <w:color w:val="auto"/>
          <w:sz w:val="28"/>
          <w:szCs w:val="28"/>
          <w:highlight w:val="none"/>
        </w:rPr>
        <w:t>且无尚未处理的异议后，</w:t>
      </w:r>
      <w:r>
        <w:rPr>
          <w:rFonts w:hint="eastAsia" w:ascii="仿宋_GB2312" w:hAnsi="仿宋" w:eastAsia="仿宋_GB2312" w:cs="宋体"/>
          <w:color w:val="auto"/>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highlight w:val="none"/>
        </w:rPr>
        <w:t>采购人不得违法改变中标结果，中标人无正当理由不得放弃中标。</w:t>
      </w:r>
    </w:p>
    <w:p w14:paraId="3BF008B2">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八、质疑</w:t>
      </w:r>
    </w:p>
    <w:p w14:paraId="028A706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35.质疑</w:t>
      </w:r>
    </w:p>
    <w:p w14:paraId="1405F94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委托授权范围的，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应当告知其向采购人提出。</w:t>
      </w:r>
    </w:p>
    <w:p w14:paraId="4439E4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35.2投标人认为招标文件使自己的权益受到损害的，应当在获取招标文件之日起7个工作日内向</w:t>
      </w:r>
      <w:r>
        <w:rPr>
          <w:rFonts w:hint="eastAsia" w:ascii="仿宋_GB2312" w:hAnsi="宋体" w:eastAsia="仿宋_GB2312"/>
          <w:color w:val="auto"/>
          <w:sz w:val="28"/>
          <w:szCs w:val="28"/>
          <w:highlight w:val="none"/>
        </w:rPr>
        <w:t>采购</w:t>
      </w:r>
      <w:r>
        <w:rPr>
          <w:rFonts w:hint="eastAsia" w:ascii="仿宋_GB2312" w:hAnsi="仿宋" w:eastAsia="仿宋_GB2312" w:cs="宋体"/>
          <w:color w:val="auto"/>
          <w:sz w:val="28"/>
          <w:szCs w:val="28"/>
          <w:highlight w:val="none"/>
        </w:rPr>
        <w:t>提供书面质疑，由采购人和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按规定予以答复。</w:t>
      </w:r>
    </w:p>
    <w:p w14:paraId="7BFD18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35.3投标人对采购过程提出质疑的，可以在质疑采购程序环节结束之日，以书面形式向采购人和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3795ED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0DC683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35.5采购人或者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收到</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的书面质疑后，应当签收回执。</w:t>
      </w:r>
    </w:p>
    <w:p w14:paraId="13B374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35.6采购人或者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应当自签收回执之日起7个工作日内对质疑事项依法予以处理并做出答复，书面通知提出质疑的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和相关的其他</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。质疑事项成立的，应当中止采购活动并予以纠正。</w:t>
      </w:r>
    </w:p>
    <w:p w14:paraId="6695A0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35.7</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在法定质疑期内一次性提出针对同一采购程序环节的质疑。</w:t>
      </w:r>
    </w:p>
    <w:p w14:paraId="153118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w:t>
      </w:r>
    </w:p>
    <w:p w14:paraId="179820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的姓名或名称、地址（邮箱）、邮编、联系人及联系电话；</w:t>
      </w:r>
    </w:p>
    <w:p w14:paraId="421D64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（2）质疑项目的名称、编号；</w:t>
      </w:r>
    </w:p>
    <w:p w14:paraId="7C99D4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（3）具体、明确的质疑事项和与质疑事项相关的请求；</w:t>
      </w:r>
    </w:p>
    <w:p w14:paraId="34676E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（4）事实依据；</w:t>
      </w:r>
    </w:p>
    <w:p w14:paraId="7F19384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（5）必要的法律依据；</w:t>
      </w:r>
    </w:p>
    <w:p w14:paraId="0590AB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（6）提出质疑的日期。</w:t>
      </w:r>
    </w:p>
    <w:p w14:paraId="1A1F61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35.9</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为自然人的，应当由本人签字；</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为法人或者其他组织的，应当由法定代表人、主要负责人，或者其被授权人签字或者盖章，并加盖公章。</w:t>
      </w:r>
    </w:p>
    <w:p w14:paraId="40F43D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35.10质疑函由法定代表人或投标授权人递交到采购人或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，受理方式见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正式受理后方可生效。否则，为无效质疑。</w:t>
      </w:r>
    </w:p>
    <w:p w14:paraId="74F04A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对答复不满意或者采购人、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逾期未答复的，可以在答复期满后15个工作日内向主管部门投诉，并列明具体事项及事实依据。</w:t>
      </w:r>
    </w:p>
    <w:p w14:paraId="416AED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35.12</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不得捏造事实进行虚假投诉。</w:t>
      </w:r>
    </w:p>
    <w:p w14:paraId="3E32CF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35.13有下列情况之一的质疑不予受理：</w:t>
      </w:r>
    </w:p>
    <w:p w14:paraId="3E5BF4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（1）无质疑函件或质疑函件缺少投标人法人印章、投标人法定代表人签字、有效授权书和联系方式之一的质疑；</w:t>
      </w:r>
    </w:p>
    <w:p w14:paraId="68CCF3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（2）质疑函件无实质性内容或佐证文件资料，主观臆断及推理得出结论的质疑；</w:t>
      </w:r>
    </w:p>
    <w:p w14:paraId="19B32B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（3）相应证明材料不真实或来源不合法的质疑；</w:t>
      </w:r>
    </w:p>
    <w:p w14:paraId="09A2BB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（4）未按规定时间或超过公示期提出的质疑；</w:t>
      </w:r>
    </w:p>
    <w:p w14:paraId="4302A0D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（5）其他不符合《政府采购质疑和投诉办法》（中华人民共和国财政部令第94号）的相关规定。</w:t>
      </w:r>
    </w:p>
    <w:p w14:paraId="56E01E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35.14对捏造事实，提供虚假材料或者以非法手段取得证明材料进行恶意质疑的，一经查实，将上报主管部门列入黑名单，并给以相应处罚。</w:t>
      </w:r>
    </w:p>
    <w:p w14:paraId="6EEDFEC3">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九、投诉</w:t>
      </w:r>
    </w:p>
    <w:p w14:paraId="3B536C7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36.投诉</w:t>
      </w:r>
    </w:p>
    <w:p w14:paraId="0A74BA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疑供应商对答复不满意，或者采购人、代理机构未在规定的时间内做出书面答复的，可以在答复期满后15个工作日内向主管理部门投诉。</w:t>
      </w:r>
    </w:p>
    <w:p w14:paraId="3B2FB67F">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十、签订合同</w:t>
      </w:r>
    </w:p>
    <w:p w14:paraId="3079066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37.合同的签订</w:t>
      </w:r>
    </w:p>
    <w:p w14:paraId="2DF820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采购人应当自中标通知书发出之日起</w:t>
      </w:r>
      <w:r>
        <w:rPr>
          <w:rFonts w:ascii="仿宋_GB2312" w:hAnsi="仿宋" w:eastAsia="仿宋_GB2312" w:cs="宋体"/>
          <w:color w:val="auto"/>
          <w:sz w:val="28"/>
          <w:szCs w:val="28"/>
          <w:highlight w:val="none"/>
        </w:rPr>
        <w:t>30</w:t>
      </w:r>
      <w:r>
        <w:rPr>
          <w:rFonts w:hint="eastAsia" w:ascii="仿宋_GB2312" w:hAnsi="仿宋" w:eastAsia="仿宋_GB2312" w:cs="宋体"/>
          <w:color w:val="auto"/>
          <w:sz w:val="28"/>
          <w:szCs w:val="28"/>
          <w:highlight w:val="none"/>
        </w:rPr>
        <w:t>日内，按照招标文件、中标人的投标文件及其澄清文件等的规定，与中标人签订书面合同。</w:t>
      </w:r>
    </w:p>
    <w:p w14:paraId="22FEAC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F367C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中标人在规定时间内无正当理由拒绝与采购人签订合同的，投标人符合法定数量的，采购人可以按照评标报告推荐的中标候选人名单排序，确定下一候选人为中标人，也可以重新开展政府采购活动。</w:t>
      </w:r>
    </w:p>
    <w:p w14:paraId="086339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highlight w:val="none"/>
        </w:rPr>
        <w:t>采购活动</w:t>
      </w:r>
      <w:r>
        <w:rPr>
          <w:rFonts w:hint="eastAsia" w:ascii="仿宋_GB2312" w:hAnsi="仿宋" w:eastAsia="仿宋_GB2312" w:cs="宋体"/>
          <w:color w:val="auto"/>
          <w:sz w:val="28"/>
          <w:szCs w:val="28"/>
          <w:highlight w:val="none"/>
        </w:rPr>
        <w:t>。</w:t>
      </w:r>
    </w:p>
    <w:p w14:paraId="61A301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采购合同的履行、违约责任和解决争议的方法适用《中华人民共和国民法典》。</w:t>
      </w:r>
    </w:p>
    <w:p w14:paraId="4579B4F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38.履约保证金</w:t>
      </w:r>
    </w:p>
    <w:p w14:paraId="691F6A4C">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本项目不收取履约保证金。</w:t>
      </w:r>
    </w:p>
    <w:p w14:paraId="753DE343">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39</w:t>
      </w:r>
      <w:r>
        <w:rPr>
          <w:rFonts w:hint="eastAsia" w:ascii="楷体_GB2312" w:hAnsi="仿宋" w:eastAsia="楷体_GB2312" w:cs="宋体"/>
          <w:b/>
          <w:color w:val="auto"/>
          <w:sz w:val="28"/>
          <w:szCs w:val="28"/>
          <w:highlight w:val="none"/>
        </w:rPr>
        <w:t>.预付款</w:t>
      </w:r>
    </w:p>
    <w:p w14:paraId="624472A1">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本项目无预付款。</w:t>
      </w:r>
    </w:p>
    <w:p w14:paraId="76EE7C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预付款是在指</w:t>
      </w:r>
      <w:r>
        <w:rPr>
          <w:rFonts w:ascii="仿宋_GB2312" w:hAnsi="仿宋" w:eastAsia="仿宋_GB2312" w:cs="宋体"/>
          <w:color w:val="auto"/>
          <w:sz w:val="28"/>
          <w:szCs w:val="28"/>
          <w:highlight w:val="none"/>
        </w:rPr>
        <w:t>政府采购合同签订后</w:t>
      </w:r>
      <w:r>
        <w:rPr>
          <w:rFonts w:hint="eastAsia" w:ascii="仿宋_GB2312" w:hAnsi="仿宋" w:eastAsia="仿宋_GB2312" w:cs="宋体"/>
          <w:color w:val="auto"/>
          <w:sz w:val="28"/>
          <w:szCs w:val="28"/>
          <w:highlight w:val="none"/>
        </w:rPr>
        <w:t>、履行前，</w:t>
      </w:r>
      <w:r>
        <w:rPr>
          <w:rFonts w:ascii="仿宋_GB2312" w:hAnsi="仿宋" w:eastAsia="仿宋_GB2312" w:cs="宋体"/>
          <w:color w:val="auto"/>
          <w:sz w:val="28"/>
          <w:szCs w:val="28"/>
          <w:highlight w:val="none"/>
        </w:rPr>
        <w:t>采购人向</w:t>
      </w:r>
      <w:r>
        <w:rPr>
          <w:rFonts w:hint="eastAsia" w:ascii="仿宋_GB2312" w:hAnsi="仿宋" w:eastAsia="仿宋_GB2312" w:cs="宋体"/>
          <w:color w:val="auto"/>
          <w:sz w:val="28"/>
          <w:szCs w:val="28"/>
          <w:highlight w:val="none"/>
        </w:rPr>
        <w:t>中标供应商</w:t>
      </w:r>
      <w:r>
        <w:rPr>
          <w:rFonts w:ascii="仿宋_GB2312" w:hAnsi="仿宋" w:eastAsia="仿宋_GB2312" w:cs="宋体"/>
          <w:color w:val="auto"/>
          <w:sz w:val="28"/>
          <w:szCs w:val="28"/>
          <w:highlight w:val="none"/>
        </w:rPr>
        <w:t>预先支付部分合同款项</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采购人预付款方式见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363A91C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w:t>
      </w:r>
      <w:r>
        <w:rPr>
          <w:rFonts w:ascii="楷体_GB2312" w:hAnsi="仿宋" w:eastAsia="楷体_GB2312" w:cs="宋体"/>
          <w:b/>
          <w:color w:val="auto"/>
          <w:sz w:val="28"/>
          <w:szCs w:val="28"/>
          <w:highlight w:val="none"/>
        </w:rPr>
        <w:t>0.</w:t>
      </w:r>
      <w:r>
        <w:rPr>
          <w:rFonts w:hint="eastAsia" w:ascii="楷体_GB2312" w:hAnsi="仿宋" w:eastAsia="楷体_GB2312" w:cs="宋体"/>
          <w:b/>
          <w:color w:val="auto"/>
          <w:sz w:val="28"/>
          <w:szCs w:val="28"/>
          <w:highlight w:val="none"/>
        </w:rPr>
        <w:t>廉洁自律</w:t>
      </w:r>
      <w:r>
        <w:rPr>
          <w:rFonts w:ascii="楷体_GB2312" w:hAnsi="仿宋" w:eastAsia="楷体_GB2312" w:cs="宋体"/>
          <w:b/>
          <w:color w:val="auto"/>
          <w:sz w:val="28"/>
          <w:szCs w:val="28"/>
          <w:highlight w:val="none"/>
        </w:rPr>
        <w:t>规定</w:t>
      </w:r>
    </w:p>
    <w:p w14:paraId="7FF703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w:t>
      </w:r>
      <w:r>
        <w:rPr>
          <w:rFonts w:ascii="仿宋_GB2312" w:hAnsi="仿宋" w:eastAsia="仿宋_GB2312" w:cs="宋体"/>
          <w:color w:val="auto"/>
          <w:sz w:val="28"/>
          <w:szCs w:val="28"/>
          <w:highlight w:val="none"/>
        </w:rPr>
        <w:t>工作人员</w:t>
      </w:r>
      <w:r>
        <w:rPr>
          <w:rFonts w:hint="eastAsia" w:ascii="仿宋_GB2312" w:hAnsi="仿宋" w:eastAsia="仿宋_GB2312" w:cs="宋体"/>
          <w:color w:val="auto"/>
          <w:sz w:val="28"/>
          <w:szCs w:val="28"/>
          <w:highlight w:val="none"/>
        </w:rPr>
        <w:t>不得与采购人、投标人恶意串通操纵政府采购活动。</w:t>
      </w:r>
    </w:p>
    <w:p w14:paraId="423F537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采购代理机构工作人员不得接受采购人或者投标人组织的宴请、旅游、娱乐，不得收受礼品、现金、有价证券等，不得向采购人或者投标人报销应当由个人承担的费用。</w:t>
      </w:r>
    </w:p>
    <w:p w14:paraId="1272C8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为强化采购</w:t>
      </w:r>
      <w:r>
        <w:rPr>
          <w:rFonts w:ascii="仿宋_GB2312" w:hAnsi="仿宋" w:eastAsia="仿宋_GB2312" w:cs="宋体"/>
          <w:color w:val="auto"/>
          <w:sz w:val="28"/>
          <w:szCs w:val="28"/>
          <w:highlight w:val="none"/>
        </w:rPr>
        <w:t>代理机构内部监督机制</w:t>
      </w:r>
      <w:r>
        <w:rPr>
          <w:rFonts w:hint="eastAsia" w:ascii="仿宋_GB2312" w:hAnsi="仿宋" w:eastAsia="仿宋_GB2312" w:cs="宋体"/>
          <w:color w:val="auto"/>
          <w:sz w:val="28"/>
          <w:szCs w:val="28"/>
          <w:highlight w:val="none"/>
        </w:rPr>
        <w:t>，投标人可按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w:t>
      </w:r>
      <w:r>
        <w:rPr>
          <w:rFonts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rPr>
        <w:t>监督电话</w:t>
      </w:r>
      <w:r>
        <w:rPr>
          <w:rFonts w:ascii="仿宋_GB2312" w:hAnsi="仿宋" w:eastAsia="仿宋_GB2312" w:cs="宋体"/>
          <w:color w:val="auto"/>
          <w:sz w:val="28"/>
          <w:szCs w:val="28"/>
          <w:highlight w:val="none"/>
        </w:rPr>
        <w:t>和</w:t>
      </w:r>
      <w:r>
        <w:rPr>
          <w:rFonts w:hint="eastAsia" w:ascii="仿宋_GB2312" w:hAnsi="仿宋" w:eastAsia="仿宋_GB2312" w:cs="宋体"/>
          <w:color w:val="auto"/>
          <w:sz w:val="28"/>
          <w:szCs w:val="28"/>
          <w:highlight w:val="none"/>
        </w:rPr>
        <w:t>邮箱，反映采购代理机构的廉洁自律</w:t>
      </w:r>
      <w:r>
        <w:rPr>
          <w:rFonts w:ascii="仿宋_GB2312" w:hAnsi="仿宋" w:eastAsia="仿宋_GB2312" w:cs="宋体"/>
          <w:color w:val="auto"/>
          <w:sz w:val="28"/>
          <w:szCs w:val="28"/>
          <w:highlight w:val="none"/>
        </w:rPr>
        <w:t>等</w:t>
      </w:r>
      <w:r>
        <w:rPr>
          <w:rFonts w:hint="eastAsia" w:ascii="仿宋_GB2312" w:hAnsi="仿宋" w:eastAsia="仿宋_GB2312" w:cs="宋体"/>
          <w:color w:val="auto"/>
          <w:sz w:val="28"/>
          <w:szCs w:val="28"/>
          <w:highlight w:val="none"/>
        </w:rPr>
        <w:t>问题。</w:t>
      </w:r>
    </w:p>
    <w:p w14:paraId="5878A03B">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4</w:t>
      </w:r>
      <w:r>
        <w:rPr>
          <w:rFonts w:ascii="仿宋_GB2312" w:hAnsi="仿宋" w:eastAsia="仿宋_GB2312" w:cs="宋体"/>
          <w:b/>
          <w:color w:val="auto"/>
          <w:sz w:val="28"/>
          <w:szCs w:val="28"/>
          <w:highlight w:val="none"/>
        </w:rPr>
        <w:t>1</w:t>
      </w:r>
      <w:r>
        <w:rPr>
          <w:rFonts w:hint="eastAsia" w:ascii="仿宋_GB2312" w:hAnsi="仿宋" w:eastAsia="仿宋_GB2312" w:cs="宋体"/>
          <w:b/>
          <w:color w:val="auto"/>
          <w:sz w:val="28"/>
          <w:szCs w:val="28"/>
          <w:highlight w:val="none"/>
        </w:rPr>
        <w:t>.项目其他相关费用</w:t>
      </w:r>
    </w:p>
    <w:p w14:paraId="26A7C9A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代理服务费</w:t>
      </w:r>
    </w:p>
    <w:p w14:paraId="0DEF09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代理服务费</w:t>
      </w:r>
      <w:r>
        <w:rPr>
          <w:rFonts w:hint="eastAsia" w:ascii="仿宋_GB2312" w:hAnsi="仿宋" w:eastAsia="仿宋_GB2312" w:cs="宋体"/>
          <w:color w:val="auto"/>
          <w:sz w:val="28"/>
          <w:szCs w:val="28"/>
          <w:highlight w:val="none"/>
        </w:rPr>
        <w:t>收取标准：</w:t>
      </w:r>
      <w:r>
        <w:rPr>
          <w:rFonts w:hint="eastAsia" w:ascii="仿宋_GB2312" w:hAnsi="仿宋" w:eastAsia="仿宋_GB2312" w:cs="宋体"/>
          <w:color w:val="auto"/>
          <w:sz w:val="28"/>
          <w:szCs w:val="28"/>
          <w:highlight w:val="none"/>
          <w:u w:val="single"/>
        </w:rPr>
        <w:t>见投标须知前附表。</w:t>
      </w:r>
    </w:p>
    <w:p w14:paraId="264459FD">
      <w:pPr>
        <w:ind w:firstLine="425" w:firstLineChars="152"/>
        <w:rPr>
          <w:rFonts w:ascii="仿宋_GB2312" w:hAnsi="仿宋" w:eastAsia="仿宋_GB2312" w:cs="宋体"/>
          <w:color w:val="auto"/>
          <w:sz w:val="28"/>
          <w:szCs w:val="28"/>
          <w:highlight w:val="none"/>
        </w:rPr>
      </w:pPr>
    </w:p>
    <w:p w14:paraId="273D0D49">
      <w:pPr>
        <w:rPr>
          <w:color w:val="auto"/>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6C338335">
      <w:pPr>
        <w:pStyle w:val="29"/>
        <w:spacing w:before="100" w:beforeAutospacing="1" w:after="100" w:afterAutospacing="1" w:line="415" w:lineRule="auto"/>
        <w:ind w:left="1440"/>
        <w:jc w:val="both"/>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第三章  采购内容与要求</w:t>
      </w:r>
    </w:p>
    <w:p w14:paraId="0F3D725B">
      <w:pPr>
        <w:rPr>
          <w:color w:val="auto"/>
          <w:highlight w:val="none"/>
        </w:rPr>
      </w:pPr>
    </w:p>
    <w:p w14:paraId="4358C854">
      <w:pPr>
        <w:rPr>
          <w:color w:val="auto"/>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400A0BFE">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第一部分 项目背景</w:t>
      </w:r>
    </w:p>
    <w:p w14:paraId="5C7AE211">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一、项目概况</w:t>
      </w:r>
    </w:p>
    <w:p w14:paraId="713F9B5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项目名称：乳山市非直供小区电力改造监理项目</w:t>
      </w:r>
    </w:p>
    <w:p w14:paraId="30381BE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项目编号：SDRS-TPZB-2026-171</w:t>
      </w:r>
    </w:p>
    <w:p w14:paraId="5F4520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jc w:val="left"/>
        <w:rPr>
          <w:rFonts w:hint="eastAsia" w:ascii="微软雅黑" w:hAnsi="微软雅黑" w:eastAsia="微软雅黑" w:cs="微软雅黑"/>
          <w:color w:val="auto"/>
          <w:sz w:val="21"/>
          <w:szCs w:val="21"/>
          <w:highlight w:val="none"/>
        </w:rPr>
      </w:pPr>
      <w:r>
        <w:rPr>
          <w:rFonts w:hint="eastAsia" w:ascii="仿宋_GB2312" w:hAnsi="宋体" w:eastAsia="仿宋_GB2312"/>
          <w:color w:val="auto"/>
          <w:sz w:val="28"/>
          <w:szCs w:val="21"/>
          <w:highlight w:val="none"/>
        </w:rPr>
        <w:t>项目概况说明：乳山市非直供小区电力改造监理项目位于乳山市，建设内容包括：2026 年乳山市计划对 60 个非直供电小区变配电设备改造，涉及 42951 户。本项目为图纸范围内的小区内管沟挖填及配套构筑物，铺设电缆管，道路拆除及恢复，绿化苗木搬迁等工程施工及保修阶段监理</w:t>
      </w:r>
      <w:r>
        <w:rPr>
          <w:rFonts w:hint="eastAsia" w:ascii="仿宋_GB2312" w:hAnsi="宋体" w:eastAsia="仿宋_GB2312"/>
          <w:color w:val="auto"/>
          <w:sz w:val="28"/>
          <w:szCs w:val="21"/>
          <w:highlight w:val="none"/>
          <w:lang w:eastAsia="zh-CN"/>
        </w:rPr>
        <w:t>。</w:t>
      </w:r>
    </w:p>
    <w:p w14:paraId="7393FE2E">
      <w:pPr>
        <w:spacing w:line="560" w:lineRule="exact"/>
        <w:ind w:firstLine="560" w:firstLineChars="200"/>
        <w:rPr>
          <w:rFonts w:hint="eastAsia" w:ascii="仿宋_GB2312" w:hAnsi="宋体" w:eastAsia="仿宋_GB2312"/>
          <w:color w:val="auto"/>
          <w:sz w:val="28"/>
          <w:szCs w:val="21"/>
          <w:highlight w:val="none"/>
          <w:lang w:eastAsia="zh-CN"/>
        </w:rPr>
      </w:pPr>
    </w:p>
    <w:p w14:paraId="0F8B1590">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二、采购目标</w:t>
      </w:r>
    </w:p>
    <w:p w14:paraId="65C6E9AF">
      <w:pPr>
        <w:pStyle w:val="62"/>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采购标的需实现的功能或者目标：</w:t>
      </w:r>
      <w:r>
        <w:rPr>
          <w:rFonts w:ascii="仿宋_GB2312" w:hAnsi="宋体" w:eastAsia="仿宋_GB2312"/>
          <w:color w:val="auto"/>
          <w:highlight w:val="none"/>
        </w:rPr>
        <w:t xml:space="preserve"> </w:t>
      </w:r>
      <w:r>
        <w:rPr>
          <w:rFonts w:hint="eastAsia" w:ascii="仿宋_GB2312" w:hAnsi="宋体" w:eastAsia="仿宋_GB2312"/>
          <w:color w:val="auto"/>
          <w:szCs w:val="21"/>
          <w:highlight w:val="none"/>
        </w:rPr>
        <w:t>乳山市非直供小区电力改造监理。</w:t>
      </w:r>
    </w:p>
    <w:p w14:paraId="1AFFDD81">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三、采购预算</w:t>
      </w:r>
    </w:p>
    <w:p w14:paraId="64E16C29">
      <w:pPr>
        <w:pStyle w:val="62"/>
        <w:spacing w:line="560" w:lineRule="exact"/>
        <w:ind w:firstLine="560"/>
        <w:jc w:val="left"/>
        <w:rPr>
          <w:rFonts w:ascii="仿宋_GB2312" w:hAnsi="宋体" w:eastAsia="仿宋_GB2312"/>
          <w:color w:val="auto"/>
          <w:highlight w:val="none"/>
        </w:rPr>
      </w:pPr>
      <w:r>
        <w:rPr>
          <w:rFonts w:hint="eastAsia" w:ascii="仿宋_GB2312" w:hAnsi="宋体" w:eastAsia="仿宋_GB2312"/>
          <w:color w:val="auto"/>
          <w:highlight w:val="none"/>
        </w:rPr>
        <w:t>本项目</w:t>
      </w:r>
      <w:r>
        <w:rPr>
          <w:rFonts w:hint="eastAsia" w:ascii="仿宋_GB2312" w:hAnsi="宋体" w:eastAsia="仿宋_GB2312"/>
          <w:color w:val="auto"/>
          <w:highlight w:val="none"/>
          <w:lang w:eastAsia="zh-CN"/>
        </w:rPr>
        <w:t>工程投资额</w:t>
      </w:r>
      <w:r>
        <w:rPr>
          <w:rFonts w:hint="eastAsia" w:ascii="仿宋_GB2312" w:hAnsi="宋体" w:eastAsia="仿宋_GB2312"/>
          <w:color w:val="auto"/>
          <w:highlight w:val="none"/>
          <w:lang w:val="en-US" w:eastAsia="zh-CN"/>
        </w:rPr>
        <w:t>21524000.00元，本</w:t>
      </w:r>
      <w:r>
        <w:rPr>
          <w:rFonts w:hint="eastAsia" w:ascii="仿宋_GB2312" w:hAnsi="宋体" w:eastAsia="仿宋_GB2312"/>
          <w:color w:val="auto"/>
          <w:highlight w:val="none"/>
        </w:rPr>
        <w:t>包段的</w:t>
      </w:r>
      <w:r>
        <w:rPr>
          <w:rFonts w:hint="eastAsia" w:ascii="仿宋_GB2312" w:hAnsi="宋体" w:eastAsia="仿宋_GB2312"/>
          <w:color w:val="auto"/>
          <w:highlight w:val="none"/>
          <w:lang w:eastAsia="zh-CN"/>
        </w:rPr>
        <w:t>监理</w:t>
      </w:r>
      <w:r>
        <w:rPr>
          <w:rFonts w:hint="eastAsia" w:ascii="仿宋_GB2312" w:hAnsi="宋体" w:eastAsia="仿宋_GB2312"/>
          <w:color w:val="auto"/>
          <w:highlight w:val="none"/>
        </w:rPr>
        <w:t>采购预算金额为</w:t>
      </w:r>
      <w:r>
        <w:rPr>
          <w:rFonts w:hint="eastAsia" w:ascii="仿宋_GB2312" w:hAnsi="宋体" w:eastAsia="仿宋_GB2312"/>
          <w:color w:val="auto"/>
          <w:highlight w:val="none"/>
          <w:lang w:eastAsia="zh-CN"/>
        </w:rPr>
        <w:t>263000</w:t>
      </w:r>
      <w:r>
        <w:rPr>
          <w:rFonts w:hint="eastAsia" w:ascii="仿宋_GB2312" w:hAnsi="宋体" w:eastAsia="仿宋_GB2312"/>
          <w:color w:val="auto"/>
          <w:highlight w:val="none"/>
        </w:rPr>
        <w:t>.00元。</w:t>
      </w:r>
    </w:p>
    <w:p w14:paraId="36FF59FB">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四、采购方式</w:t>
      </w:r>
    </w:p>
    <w:p w14:paraId="7D2BBA09">
      <w:pPr>
        <w:pStyle w:val="62"/>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本项目包段采用公开招标方式进行采购。</w:t>
      </w:r>
    </w:p>
    <w:p w14:paraId="118CF2E5">
      <w:pPr>
        <w:widowControl/>
        <w:spacing w:line="560" w:lineRule="exact"/>
        <w:ind w:firstLine="643" w:firstLineChars="200"/>
        <w:jc w:val="center"/>
        <w:rPr>
          <w:rFonts w:ascii="楷体_GB2312" w:hAnsi="宋体" w:eastAsia="楷体_GB2312"/>
          <w:b/>
          <w:bCs/>
          <w:color w:val="auto"/>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674EE5F9">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第二部分 采购清单及技术参数</w:t>
      </w:r>
    </w:p>
    <w:p w14:paraId="58D976CB">
      <w:pPr>
        <w:pStyle w:val="15"/>
        <w:spacing w:line="560" w:lineRule="exact"/>
        <w:ind w:firstLine="560"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本项目包段的采购标的物如下，供应商需逐项进行报价： </w:t>
      </w:r>
    </w:p>
    <w:tbl>
      <w:tblPr>
        <w:tblStyle w:val="31"/>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6514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29AF34D2">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序号</w:t>
            </w:r>
          </w:p>
        </w:tc>
        <w:tc>
          <w:tcPr>
            <w:tcW w:w="993" w:type="dxa"/>
            <w:shd w:val="clear" w:color="auto" w:fill="D9D9D9"/>
            <w:vAlign w:val="center"/>
          </w:tcPr>
          <w:p w14:paraId="418A256B">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分类</w:t>
            </w:r>
          </w:p>
        </w:tc>
        <w:tc>
          <w:tcPr>
            <w:tcW w:w="992" w:type="dxa"/>
            <w:shd w:val="clear" w:color="auto" w:fill="D9D9D9"/>
            <w:vAlign w:val="center"/>
          </w:tcPr>
          <w:p w14:paraId="6BCA5E7F">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w:t>
            </w:r>
          </w:p>
          <w:p w14:paraId="4D982C2A">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分组</w:t>
            </w:r>
          </w:p>
        </w:tc>
        <w:tc>
          <w:tcPr>
            <w:tcW w:w="1417" w:type="dxa"/>
            <w:shd w:val="clear" w:color="auto" w:fill="D9D9D9"/>
            <w:vAlign w:val="center"/>
          </w:tcPr>
          <w:p w14:paraId="61E3352D">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清单名称</w:t>
            </w:r>
          </w:p>
        </w:tc>
        <w:tc>
          <w:tcPr>
            <w:tcW w:w="1134" w:type="dxa"/>
            <w:shd w:val="clear" w:color="auto" w:fill="D9D9D9"/>
            <w:vAlign w:val="center"/>
          </w:tcPr>
          <w:p w14:paraId="647BEB18">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数量</w:t>
            </w:r>
          </w:p>
        </w:tc>
        <w:tc>
          <w:tcPr>
            <w:tcW w:w="851" w:type="dxa"/>
            <w:shd w:val="clear" w:color="auto" w:fill="D9D9D9"/>
            <w:vAlign w:val="center"/>
          </w:tcPr>
          <w:p w14:paraId="00F6D934">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单位</w:t>
            </w:r>
          </w:p>
        </w:tc>
        <w:tc>
          <w:tcPr>
            <w:tcW w:w="7008" w:type="dxa"/>
            <w:shd w:val="clear" w:color="auto" w:fill="D9D9D9"/>
            <w:vAlign w:val="center"/>
          </w:tcPr>
          <w:p w14:paraId="18F75F6F">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功能与技术参数</w:t>
            </w:r>
          </w:p>
        </w:tc>
      </w:tr>
      <w:tr w14:paraId="5383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BFC0B93">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993" w:type="dxa"/>
            <w:vAlign w:val="center"/>
          </w:tcPr>
          <w:p w14:paraId="3F54F931">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服务</w:t>
            </w:r>
          </w:p>
        </w:tc>
        <w:tc>
          <w:tcPr>
            <w:tcW w:w="992" w:type="dxa"/>
            <w:vAlign w:val="center"/>
          </w:tcPr>
          <w:p w14:paraId="39E8B121">
            <w:pPr>
              <w:jc w:val="center"/>
              <w:rPr>
                <w:rFonts w:ascii="仿宋_GB2312" w:hAnsi="宋体" w:eastAsia="仿宋_GB2312"/>
                <w:color w:val="auto"/>
                <w:sz w:val="24"/>
                <w:highlight w:val="none"/>
              </w:rPr>
            </w:pPr>
          </w:p>
        </w:tc>
        <w:tc>
          <w:tcPr>
            <w:tcW w:w="1417" w:type="dxa"/>
            <w:vAlign w:val="center"/>
          </w:tcPr>
          <w:p w14:paraId="2EE02125">
            <w:pPr>
              <w:jc w:val="center"/>
              <w:rPr>
                <w:rFonts w:ascii="仿宋_GB2312" w:hAnsi="宋体" w:eastAsia="仿宋_GB2312"/>
                <w:color w:val="auto"/>
                <w:sz w:val="24"/>
                <w:highlight w:val="none"/>
              </w:rPr>
            </w:pPr>
            <w:r>
              <w:rPr>
                <w:rFonts w:hint="eastAsia" w:ascii="仿宋_GB2312" w:hAnsi="宋体" w:eastAsia="仿宋_GB2312"/>
                <w:color w:val="auto"/>
                <w:sz w:val="28"/>
                <w:szCs w:val="21"/>
                <w:highlight w:val="none"/>
              </w:rPr>
              <w:t>乳山市非直供小区电力改造监理项目</w:t>
            </w:r>
          </w:p>
        </w:tc>
        <w:tc>
          <w:tcPr>
            <w:tcW w:w="1134" w:type="dxa"/>
            <w:vAlign w:val="center"/>
          </w:tcPr>
          <w:p w14:paraId="67646055">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851" w:type="dxa"/>
            <w:vAlign w:val="center"/>
          </w:tcPr>
          <w:p w14:paraId="10D07932">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项</w:t>
            </w:r>
          </w:p>
        </w:tc>
        <w:tc>
          <w:tcPr>
            <w:tcW w:w="7008" w:type="dxa"/>
          </w:tcPr>
          <w:p w14:paraId="28C61E40">
            <w:pPr>
              <w:rPr>
                <w:rFonts w:ascii="仿宋_GB2312" w:hAnsi="宋体" w:eastAsia="仿宋_GB2312"/>
                <w:color w:val="auto"/>
                <w:sz w:val="24"/>
                <w:highlight w:val="none"/>
              </w:rPr>
            </w:pPr>
            <w:r>
              <w:rPr>
                <w:rFonts w:hint="eastAsia" w:ascii="仿宋_GB2312" w:hAnsi="宋体" w:eastAsia="仿宋_GB2312"/>
                <w:color w:val="auto"/>
                <w:sz w:val="28"/>
                <w:szCs w:val="21"/>
                <w:highlight w:val="none"/>
              </w:rPr>
              <w:t>图纸范围内的小区内管沟挖填及配套构筑物，铺设电缆管，道路拆除及恢复，绿化苗木搬迁等工程施工及保修阶段监理。</w:t>
            </w:r>
          </w:p>
        </w:tc>
      </w:tr>
    </w:tbl>
    <w:p w14:paraId="00AE7330">
      <w:pPr>
        <w:widowControl/>
        <w:spacing w:line="200" w:lineRule="exact"/>
        <w:ind w:firstLine="200" w:firstLineChars="200"/>
        <w:jc w:val="center"/>
        <w:rPr>
          <w:rFonts w:ascii="仿宋_GB2312" w:hAnsi="宋体" w:eastAsia="仿宋_GB2312"/>
          <w:color w:val="auto"/>
          <w:sz w:val="10"/>
          <w:szCs w:val="10"/>
          <w:highlight w:val="none"/>
        </w:rPr>
      </w:pPr>
    </w:p>
    <w:p w14:paraId="3F859ECE">
      <w:pPr>
        <w:widowControl/>
        <w:spacing w:line="560" w:lineRule="exact"/>
        <w:ind w:firstLine="643" w:firstLineChars="200"/>
        <w:jc w:val="left"/>
        <w:rPr>
          <w:rFonts w:ascii="楷体_GB2312" w:hAnsi="宋体" w:eastAsia="楷体_GB2312"/>
          <w:b/>
          <w:bCs/>
          <w:color w:val="auto"/>
          <w:kern w:val="44"/>
          <w:sz w:val="32"/>
          <w:szCs w:val="30"/>
          <w:highlight w:val="none"/>
        </w:rPr>
      </w:pPr>
    </w:p>
    <w:p w14:paraId="042A0F50">
      <w:pPr>
        <w:widowControl/>
        <w:spacing w:line="560" w:lineRule="exact"/>
        <w:ind w:firstLine="708" w:firstLineChars="253"/>
        <w:jc w:val="left"/>
        <w:rPr>
          <w:rFonts w:hint="eastAsia" w:ascii="仿宋_GB2312" w:hAnsi="宋体" w:eastAsia="仿宋_GB2312"/>
          <w:color w:val="auto"/>
          <w:sz w:val="28"/>
          <w:szCs w:val="21"/>
          <w:highlight w:val="none"/>
        </w:rPr>
        <w:sectPr>
          <w:pgSz w:w="16838" w:h="11906" w:orient="landscape"/>
          <w:pgMar w:top="1077" w:right="1440" w:bottom="1077" w:left="1440" w:header="851" w:footer="992" w:gutter="0"/>
          <w:cols w:space="720" w:num="1"/>
          <w:docGrid w:type="lines" w:linePitch="312" w:charSpace="0"/>
        </w:sectPr>
      </w:pPr>
    </w:p>
    <w:p w14:paraId="5C9A258F">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第三部分 技术要求</w:t>
      </w:r>
    </w:p>
    <w:p w14:paraId="209FD351">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一、需执行的标准</w:t>
      </w:r>
    </w:p>
    <w:p w14:paraId="2E7A814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1）国家相关标准：按照国家最新标准执行  </w:t>
      </w:r>
    </w:p>
    <w:p w14:paraId="2CBE32C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2）行业标准：按照行业最新标准执行  </w:t>
      </w:r>
    </w:p>
    <w:p w14:paraId="17AE8F5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3）地方标准：按照地方最新标准执行  </w:t>
      </w:r>
    </w:p>
    <w:p w14:paraId="1EBD423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4）其他标准：按照最新标准执行  </w:t>
      </w:r>
    </w:p>
    <w:p w14:paraId="5DA2E4E4">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二、实施及交付</w:t>
      </w:r>
    </w:p>
    <w:p w14:paraId="4D33EAA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1）质量要求</w:t>
      </w:r>
    </w:p>
    <w:p w14:paraId="5BBDCAC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合格  </w:t>
      </w:r>
    </w:p>
    <w:p w14:paraId="1B182FE6">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2）安全要求</w:t>
      </w:r>
    </w:p>
    <w:p w14:paraId="09F23F9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 使用安全、可靠   </w:t>
      </w:r>
    </w:p>
    <w:p w14:paraId="2D7EE7D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3）交付期</w:t>
      </w:r>
    </w:p>
    <w:p w14:paraId="7891D8DB">
      <w:pPr>
        <w:spacing w:line="560" w:lineRule="exact"/>
        <w:ind w:firstLine="560" w:firstLineChars="200"/>
        <w:rPr>
          <w:rFonts w:hint="eastAsia" w:ascii="仿宋_GB2312" w:hAnsi="宋体" w:eastAsia="仿宋_GB2312"/>
          <w:color w:val="auto"/>
          <w:sz w:val="28"/>
          <w:szCs w:val="21"/>
          <w:highlight w:val="none"/>
          <w:lang w:eastAsia="zh-CN"/>
        </w:rPr>
      </w:pPr>
      <w:r>
        <w:rPr>
          <w:rFonts w:hint="eastAsia" w:ascii="仿宋_GB2312" w:hAnsi="宋体" w:eastAsia="仿宋_GB2312"/>
          <w:color w:val="auto"/>
          <w:sz w:val="28"/>
          <w:szCs w:val="21"/>
          <w:highlight w:val="none"/>
          <w:lang w:val="en-US" w:eastAsia="zh-CN"/>
        </w:rPr>
        <w:t>180天（</w:t>
      </w:r>
      <w:r>
        <w:rPr>
          <w:rFonts w:hint="eastAsia" w:ascii="仿宋_GB2312" w:hAnsi="宋体" w:eastAsia="仿宋_GB2312"/>
          <w:color w:val="auto"/>
          <w:sz w:val="28"/>
          <w:szCs w:val="21"/>
          <w:highlight w:val="none"/>
        </w:rPr>
        <w:t>与施工同期</w:t>
      </w:r>
      <w:r>
        <w:rPr>
          <w:rFonts w:hint="eastAsia" w:ascii="仿宋_GB2312" w:hAnsi="宋体" w:eastAsia="仿宋_GB2312"/>
          <w:color w:val="auto"/>
          <w:sz w:val="28"/>
          <w:szCs w:val="21"/>
          <w:highlight w:val="none"/>
          <w:lang w:eastAsia="zh-CN"/>
        </w:rPr>
        <w:t>）</w:t>
      </w:r>
    </w:p>
    <w:p w14:paraId="0E394605">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4）交付（实施）地点</w:t>
      </w:r>
    </w:p>
    <w:p w14:paraId="463FD60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采购人指定地点 </w:t>
      </w:r>
    </w:p>
    <w:p w14:paraId="1A039F52">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5）付款方式</w:t>
      </w:r>
    </w:p>
    <w:p w14:paraId="1803C42A">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服务期满第一年支付50%，第二年支付剩余的40%，剩余10%随最后一次施工费一起支付。</w:t>
      </w:r>
    </w:p>
    <w:p w14:paraId="63893BA6">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三、服务要求</w:t>
      </w:r>
    </w:p>
    <w:p w14:paraId="22C23895">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1）服务标准</w:t>
      </w:r>
    </w:p>
    <w:p w14:paraId="1001677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在规定的期限内，保质保量完成供货任务。  </w:t>
      </w:r>
    </w:p>
    <w:p w14:paraId="20EB6167">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rPr>
        <w:t>服务期</w:t>
      </w:r>
    </w:p>
    <w:p w14:paraId="01047B1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至竣工保修期满为止</w:t>
      </w:r>
    </w:p>
    <w:p w14:paraId="23F316EC">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四、验收标准</w:t>
      </w:r>
    </w:p>
    <w:p w14:paraId="3FC30EF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8"/>
          <w:highlight w:val="none"/>
        </w:rPr>
        <w:t xml:space="preserve">符合相关技术要求及行业标准。 </w:t>
      </w:r>
      <w:r>
        <w:rPr>
          <w:rFonts w:hint="eastAsia" w:ascii="仿宋_GB2312" w:hAnsi="宋体" w:eastAsia="仿宋_GB2312"/>
          <w:color w:val="auto"/>
          <w:sz w:val="28"/>
          <w:szCs w:val="21"/>
          <w:highlight w:val="none"/>
        </w:rPr>
        <w:t xml:space="preserve"> </w:t>
      </w:r>
    </w:p>
    <w:p w14:paraId="3922C82E">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五、其他技术及服务要求</w:t>
      </w:r>
    </w:p>
    <w:p w14:paraId="06665ACA">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详见采购清单。</w:t>
      </w:r>
    </w:p>
    <w:p w14:paraId="1FB5B533">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 xml:space="preserve">六、联系方式 </w:t>
      </w:r>
    </w:p>
    <w:p w14:paraId="18F539C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w:t>
      </w:r>
      <w:r>
        <w:rPr>
          <w:rFonts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rPr>
        <w:t>乳山图曼热力安装有限公司</w:t>
      </w:r>
    </w:p>
    <w:p w14:paraId="12B5348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采购人地址：山东省威海市乳山市胜利街西首</w:t>
      </w:r>
    </w:p>
    <w:p w14:paraId="4CACADE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联系人：张佳辉</w:t>
      </w:r>
    </w:p>
    <w:p w14:paraId="1797693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联系电话：0631-6877129</w:t>
      </w:r>
    </w:p>
    <w:p w14:paraId="26ACC3C4">
      <w:pPr>
        <w:spacing w:line="560" w:lineRule="exact"/>
        <w:ind w:firstLine="560" w:firstLineChars="200"/>
        <w:rPr>
          <w:rFonts w:ascii="仿宋_GB2312" w:hAnsi="宋体" w:eastAsia="仿宋_GB2312"/>
          <w:color w:val="auto"/>
          <w:sz w:val="28"/>
          <w:szCs w:val="21"/>
          <w:highlight w:val="none"/>
        </w:rPr>
      </w:pPr>
    </w:p>
    <w:p w14:paraId="4CDF0D0B">
      <w:pPr>
        <w:rPr>
          <w:color w:val="auto"/>
          <w:highlight w:val="none"/>
        </w:rPr>
        <w:sectPr>
          <w:pgSz w:w="11906" w:h="16838"/>
          <w:pgMar w:top="1440" w:right="1077" w:bottom="1440" w:left="1077" w:header="851" w:footer="992" w:gutter="0"/>
          <w:cols w:space="720" w:num="1"/>
          <w:docGrid w:type="lines" w:linePitch="312" w:charSpace="0"/>
        </w:sectPr>
      </w:pPr>
    </w:p>
    <w:p w14:paraId="24044CD8">
      <w:pPr>
        <w:pStyle w:val="29"/>
        <w:spacing w:before="100" w:beforeAutospacing="1" w:after="100" w:afterAutospacing="1" w:line="415"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第四章 </w:t>
      </w:r>
      <w:r>
        <w:rPr>
          <w:rFonts w:hint="eastAsia" w:ascii="楷体_GB2312" w:hAnsi="宋体" w:eastAsia="楷体_GB2312" w:cs="宋体"/>
          <w:color w:val="auto"/>
          <w:sz w:val="44"/>
          <w:szCs w:val="44"/>
          <w:highlight w:val="none"/>
        </w:rPr>
        <w:t>评标原则、程序与方法</w:t>
      </w:r>
    </w:p>
    <w:p w14:paraId="5404B8E2">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一、评审原则</w:t>
      </w:r>
      <w:r>
        <w:rPr>
          <w:rFonts w:ascii="楷体_GB2312" w:eastAsia="楷体_GB2312"/>
          <w:b/>
          <w:color w:val="auto"/>
          <w:sz w:val="28"/>
          <w:szCs w:val="28"/>
          <w:highlight w:val="none"/>
        </w:rPr>
        <w:t xml:space="preserve"> </w:t>
      </w:r>
    </w:p>
    <w:p w14:paraId="54359BB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“公平、公正、科学、择优”为本次评标的基本原则，评标委员会将按照这一原则的要求，公正、平等地对待各投标人，同时，在评标时恪守以下原则：</w:t>
      </w:r>
    </w:p>
    <w:p w14:paraId="27A32DE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3A256EE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2.统一性原则：评标委员会将按照统一的评标原则和评标方法，采用统一标准进行评标。</w:t>
      </w:r>
    </w:p>
    <w:p w14:paraId="491D832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3.独立性原则：评标工作在评标委员会内部独立进行，不受外界任何因素的干扰和影响。</w:t>
      </w:r>
    </w:p>
    <w:p w14:paraId="0C3CDE6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4.保密性原则：评标委员会及熟知情况的有关工作人员必须对每位评委的评标意见和投标人的商业秘密严格保密，不得外泄。</w:t>
      </w:r>
    </w:p>
    <w:p w14:paraId="162C3B6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5.综合性原则：评标委员会将综合分析、评审投标人的各项指标，而不以单项指标的优劣评定出中标人。</w:t>
      </w:r>
    </w:p>
    <w:p w14:paraId="39F0BF08">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二、评标程序</w:t>
      </w:r>
    </w:p>
    <w:p w14:paraId="63DD681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1．宣布评标纪律；</w:t>
      </w:r>
    </w:p>
    <w:p w14:paraId="3FEF914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2．公布投标人名单，告知评审专家应当回避的情形；</w:t>
      </w:r>
    </w:p>
    <w:p w14:paraId="64A41BF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3．组织评标委员会推选评标组长，采购人代表不得担任组长；</w:t>
      </w:r>
    </w:p>
    <w:p w14:paraId="06D2ADA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4．核对评审专家身份和采购人代表授权函。</w:t>
      </w:r>
    </w:p>
    <w:p w14:paraId="5B5C92F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5．开标结束后，采购人或者采购代理机构依法对投标人的资格进行审查。</w:t>
      </w:r>
    </w:p>
    <w:p w14:paraId="0980046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6．评标委员会对符合资格的投标人的投标文件进行符合性审查，以确定其是否满足招标文件的实质性要求。</w:t>
      </w:r>
    </w:p>
    <w:p w14:paraId="0F349226">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7．出现下列情形之一的，视为对招标文件未做出实质性响应，按照无效投标处理。</w:t>
      </w:r>
    </w:p>
    <w:p w14:paraId="6ED762E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详见《投标须知前附表》-《实质性条款一览表》中符合性检查条款。</w:t>
      </w:r>
    </w:p>
    <w:p w14:paraId="57FAA42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4578D48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9.澄清、说明或者补正</w:t>
      </w:r>
    </w:p>
    <w:p w14:paraId="477DD66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4197BA7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(2)投标人依据评审要求进行澄清、说明或者补正的内容构成投标文件的组成部分。</w:t>
      </w:r>
    </w:p>
    <w:p w14:paraId="74DA0B4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10.比较与评价</w:t>
      </w:r>
    </w:p>
    <w:p w14:paraId="6BF0642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003F54F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11.出现下列情况之一的，均予以废标</w:t>
      </w:r>
    </w:p>
    <w:p w14:paraId="18AC042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(1)合格的投标人或参加投标的企业不足三家的；</w:t>
      </w:r>
    </w:p>
    <w:p w14:paraId="1A28971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(2)出现影响采购公正的违法、违规行为的；</w:t>
      </w:r>
    </w:p>
    <w:p w14:paraId="2238979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(3)投标人的报价均超过了预算上限价格，采购人不能支付的；</w:t>
      </w:r>
    </w:p>
    <w:p w14:paraId="701D3AA7">
      <w:pPr>
        <w:spacing w:line="520" w:lineRule="exact"/>
        <w:ind w:firstLine="560" w:firstLineChars="200"/>
        <w:rPr>
          <w:rFonts w:ascii="宋体" w:hAnsi="宋体"/>
          <w:color w:val="auto"/>
          <w:sz w:val="24"/>
          <w:szCs w:val="21"/>
          <w:highlight w:val="none"/>
        </w:rPr>
      </w:pPr>
      <w:r>
        <w:rPr>
          <w:rFonts w:hint="eastAsia" w:ascii="仿宋_GB2312" w:hAnsi="宋体" w:eastAsia="仿宋_GB2312"/>
          <w:color w:val="auto"/>
          <w:sz w:val="28"/>
          <w:szCs w:val="21"/>
          <w:highlight w:val="none"/>
        </w:rPr>
        <w:t>(4)因重大变故，采购任务取消的。</w:t>
      </w:r>
    </w:p>
    <w:p w14:paraId="2C601C2B">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三、评标方法</w:t>
      </w:r>
    </w:p>
    <w:p w14:paraId="7E256F1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（1）评标方法：综合评分法，即投标人的投标文件满足招标文件全部实质性要求，且按评审因素的量化指标评审得分最高的投标人为中标候选供应商的评审方法。</w:t>
      </w:r>
    </w:p>
    <w:p w14:paraId="7D22CA0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（2）评标细则</w:t>
      </w:r>
    </w:p>
    <w:tbl>
      <w:tblPr>
        <w:tblStyle w:val="31"/>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4857A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3AAD22EB">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编号</w:t>
            </w:r>
          </w:p>
        </w:tc>
        <w:tc>
          <w:tcPr>
            <w:tcW w:w="773" w:type="dxa"/>
            <w:shd w:val="clear" w:color="auto" w:fill="D9D9D9"/>
            <w:vAlign w:val="center"/>
          </w:tcPr>
          <w:p w14:paraId="1F216A03">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类型</w:t>
            </w:r>
          </w:p>
        </w:tc>
        <w:tc>
          <w:tcPr>
            <w:tcW w:w="1665" w:type="dxa"/>
            <w:shd w:val="clear" w:color="auto" w:fill="D9D9D9"/>
            <w:vAlign w:val="center"/>
          </w:tcPr>
          <w:p w14:paraId="5FECCA5B">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评分标题</w:t>
            </w:r>
          </w:p>
        </w:tc>
        <w:tc>
          <w:tcPr>
            <w:tcW w:w="4689" w:type="dxa"/>
            <w:shd w:val="clear" w:color="auto" w:fill="D9D9D9"/>
            <w:vAlign w:val="center"/>
          </w:tcPr>
          <w:p w14:paraId="1A1BFA06">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评分标准</w:t>
            </w:r>
          </w:p>
        </w:tc>
        <w:tc>
          <w:tcPr>
            <w:tcW w:w="1026" w:type="dxa"/>
            <w:shd w:val="clear" w:color="auto" w:fill="D9D9D9"/>
            <w:vAlign w:val="center"/>
          </w:tcPr>
          <w:p w14:paraId="3E538069">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性质</w:t>
            </w:r>
          </w:p>
        </w:tc>
        <w:tc>
          <w:tcPr>
            <w:tcW w:w="773" w:type="dxa"/>
            <w:shd w:val="clear" w:color="auto" w:fill="D9D9D9"/>
            <w:vAlign w:val="center"/>
          </w:tcPr>
          <w:p w14:paraId="247219E2">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分数</w:t>
            </w:r>
          </w:p>
        </w:tc>
      </w:tr>
      <w:tr w14:paraId="145E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6F45E0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773" w:type="dxa"/>
            <w:vAlign w:val="center"/>
          </w:tcPr>
          <w:p w14:paraId="47C8D41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7E7C649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052CF671">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无</w:t>
            </w:r>
          </w:p>
        </w:tc>
        <w:tc>
          <w:tcPr>
            <w:tcW w:w="1026" w:type="dxa"/>
            <w:vAlign w:val="center"/>
          </w:tcPr>
          <w:p w14:paraId="28F6F60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系统分</w:t>
            </w:r>
          </w:p>
        </w:tc>
        <w:tc>
          <w:tcPr>
            <w:tcW w:w="773" w:type="dxa"/>
            <w:vAlign w:val="center"/>
          </w:tcPr>
          <w:p w14:paraId="25499ED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0</w:t>
            </w:r>
          </w:p>
        </w:tc>
      </w:tr>
      <w:tr w14:paraId="4E63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0F2D9D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773" w:type="dxa"/>
            <w:vAlign w:val="center"/>
          </w:tcPr>
          <w:p w14:paraId="4F9C464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393FFF1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6729AFCE">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报价采用综合平均法计算，投标报价与评标基准价一致的，得最高分30分。</w:t>
            </w:r>
          </w:p>
          <w:p w14:paraId="454A503F">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在评标基准价以上，每提高一个百分点，在最高分基础上减0.1分；</w:t>
            </w:r>
          </w:p>
          <w:p w14:paraId="4EF555A1">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在评标基准价以下，每减少一个百分点，在最高分的基础上减0.1分，扣完为止。</w:t>
            </w:r>
          </w:p>
          <w:p w14:paraId="34E2EC0A">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不足1％，内插。报价分值计算保留小数点后两位。</w:t>
            </w:r>
          </w:p>
          <w:p w14:paraId="0085FA5A">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投标报价评标基准价确定：当有效投标单位家数＞9家，评标基准价=（所有供应商的有效报价之和-有效报价的最高值及次高值-有效报价的最低值及次低值）算术平均值作为评标基准价；当5家≤有效投标单位≤9家，评标基准价=（所有供应商的有效报价之和-有效报价的最高值-有效报价的最低值）算术平均值作为评标基准价；当有效投标单位数＜5家，评标基准价= 所有供应商的有效报价算术平均值作为评标基准价。</w:t>
            </w:r>
          </w:p>
        </w:tc>
        <w:tc>
          <w:tcPr>
            <w:tcW w:w="1026" w:type="dxa"/>
            <w:vAlign w:val="center"/>
          </w:tcPr>
          <w:p w14:paraId="2EE20372">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2FAB017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30</w:t>
            </w:r>
          </w:p>
        </w:tc>
      </w:tr>
      <w:tr w14:paraId="3F736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658360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773" w:type="dxa"/>
            <w:vAlign w:val="center"/>
          </w:tcPr>
          <w:p w14:paraId="611E942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6D26403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企业业绩</w:t>
            </w:r>
          </w:p>
        </w:tc>
        <w:tc>
          <w:tcPr>
            <w:tcW w:w="4689" w:type="dxa"/>
            <w:vAlign w:val="center"/>
          </w:tcPr>
          <w:p w14:paraId="6F7A1940">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2023年1月1日至今（以合同签订时间为准），</w:t>
            </w:r>
            <w:r>
              <w:rPr>
                <w:rFonts w:hint="eastAsia" w:ascii="仿宋_GB2312" w:hAnsi="宋体" w:eastAsia="仿宋_GB2312"/>
                <w:color w:val="auto"/>
                <w:sz w:val="24"/>
                <w:szCs w:val="24"/>
                <w:highlight w:val="none"/>
                <w:lang w:eastAsia="zh-CN"/>
              </w:rPr>
              <w:t>投标企业</w:t>
            </w:r>
            <w:r>
              <w:rPr>
                <w:rFonts w:hint="eastAsia" w:ascii="仿宋_GB2312" w:hAnsi="宋体" w:eastAsia="仿宋_GB2312"/>
                <w:color w:val="auto"/>
                <w:sz w:val="24"/>
                <w:szCs w:val="24"/>
                <w:highlight w:val="none"/>
              </w:rPr>
              <w:t>承揽的类似工程（</w:t>
            </w:r>
            <w:r>
              <w:rPr>
                <w:rFonts w:hint="eastAsia" w:ascii="仿宋_GB2312" w:hAnsi="宋体" w:eastAsia="仿宋_GB2312"/>
                <w:color w:val="auto"/>
                <w:sz w:val="24"/>
                <w:szCs w:val="24"/>
                <w:highlight w:val="none"/>
                <w:lang w:eastAsia="zh-CN"/>
              </w:rPr>
              <w:t>工程投资额</w:t>
            </w:r>
            <w:r>
              <w:rPr>
                <w:rFonts w:hint="eastAsia" w:ascii="仿宋_GB2312" w:hAnsi="宋体" w:eastAsia="仿宋_GB2312"/>
                <w:color w:val="auto"/>
                <w:sz w:val="24"/>
                <w:szCs w:val="24"/>
                <w:highlight w:val="none"/>
                <w:lang w:val="en-US" w:eastAsia="zh-CN"/>
              </w:rPr>
              <w:t>2000万元及以上的</w:t>
            </w:r>
            <w:r>
              <w:rPr>
                <w:rFonts w:hint="eastAsia" w:ascii="仿宋_GB2312" w:hAnsi="宋体" w:eastAsia="仿宋_GB2312"/>
                <w:color w:val="auto"/>
                <w:sz w:val="24"/>
                <w:szCs w:val="24"/>
                <w:highlight w:val="none"/>
              </w:rPr>
              <w:t>老旧小区改造工程）监理业绩，每有一项得2分，最高得6分。</w:t>
            </w:r>
          </w:p>
          <w:p w14:paraId="3A27B0F3">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w:t>
            </w:r>
            <w:r>
              <w:rPr>
                <w:rFonts w:hint="eastAsia" w:ascii="仿宋_GB2312" w:hAnsi="宋体" w:eastAsia="仿宋_GB2312"/>
                <w:color w:val="auto"/>
                <w:sz w:val="24"/>
                <w:szCs w:val="24"/>
                <w:highlight w:val="none"/>
                <w:lang w:eastAsia="zh-CN"/>
              </w:rPr>
              <w:t>投标</w:t>
            </w:r>
            <w:r>
              <w:rPr>
                <w:rFonts w:hint="eastAsia" w:ascii="仿宋_GB2312" w:hAnsi="宋体" w:eastAsia="仿宋_GB2312"/>
                <w:color w:val="auto"/>
                <w:sz w:val="24"/>
                <w:szCs w:val="24"/>
                <w:highlight w:val="none"/>
              </w:rPr>
              <w:t>文件附中标通知书、合同及中标公告网上截图扫描件，否则不予计分。】</w:t>
            </w:r>
          </w:p>
        </w:tc>
        <w:tc>
          <w:tcPr>
            <w:tcW w:w="1026" w:type="dxa"/>
            <w:vAlign w:val="center"/>
          </w:tcPr>
          <w:p w14:paraId="1FBC282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105C4944">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r>
      <w:tr w14:paraId="392F3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A998FB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773" w:type="dxa"/>
            <w:vAlign w:val="center"/>
          </w:tcPr>
          <w:p w14:paraId="002C5228">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3F586BBF">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企业实力</w:t>
            </w:r>
          </w:p>
        </w:tc>
        <w:tc>
          <w:tcPr>
            <w:tcW w:w="4689" w:type="dxa"/>
            <w:vAlign w:val="center"/>
          </w:tcPr>
          <w:p w14:paraId="3E2A6677">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企业同时具备有效期内的 ISO9001 质量管理体系、ISO45001 职业健康安全管理体系、ISO14001 环境体系认证的得3 分（缺任一项不得分）。</w:t>
            </w:r>
          </w:p>
        </w:tc>
        <w:tc>
          <w:tcPr>
            <w:tcW w:w="1026" w:type="dxa"/>
            <w:vAlign w:val="center"/>
          </w:tcPr>
          <w:p w14:paraId="7BA9B08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37E722CF">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r>
      <w:tr w14:paraId="14AEB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3448AF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w:t>
            </w:r>
          </w:p>
        </w:tc>
        <w:tc>
          <w:tcPr>
            <w:tcW w:w="773" w:type="dxa"/>
            <w:vAlign w:val="center"/>
          </w:tcPr>
          <w:p w14:paraId="5793D3A9">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5D2BE17F">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项目监理机构</w:t>
            </w:r>
          </w:p>
        </w:tc>
        <w:tc>
          <w:tcPr>
            <w:tcW w:w="4689" w:type="dxa"/>
            <w:vAlign w:val="center"/>
          </w:tcPr>
          <w:p w14:paraId="77769C93">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项目监理机构配置须满足采购人要求规定。供应商根据项目情况组成适当的监理项目机构，得16分。</w:t>
            </w:r>
          </w:p>
          <w:p w14:paraId="1C61B2A2">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监理组织人员必须是本企业注册的在岗人员。不符合下述最低定岗标准的作为监理组织不合格，其投标将被否决。要求监理人员最低配备：总监理工程师1名（房建工程或市政公用工程专业），专业监理工程师1名（房建工程或市政公用工程专业），监理员</w:t>
            </w:r>
            <w:r>
              <w:rPr>
                <w:rFonts w:hint="eastAsia" w:ascii="仿宋_GB2312" w:hAnsi="宋体" w:eastAsia="仿宋_GB2312"/>
                <w:color w:val="auto"/>
                <w:sz w:val="24"/>
                <w:szCs w:val="24"/>
                <w:highlight w:val="none"/>
                <w:lang w:val="en-US" w:eastAsia="zh-CN"/>
              </w:rPr>
              <w:t>1</w:t>
            </w:r>
            <w:bookmarkStart w:id="0" w:name="_GoBack"/>
            <w:bookmarkEnd w:id="0"/>
            <w:r>
              <w:rPr>
                <w:rFonts w:hint="eastAsia" w:ascii="仿宋_GB2312" w:hAnsi="宋体" w:eastAsia="仿宋_GB2312"/>
                <w:color w:val="auto"/>
                <w:sz w:val="24"/>
                <w:szCs w:val="24"/>
                <w:highlight w:val="none"/>
              </w:rPr>
              <w:t>名（房建工程或市政公用工程专业）。</w:t>
            </w:r>
          </w:p>
          <w:p w14:paraId="6B0EB4CF">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注：供应商须在响应文件中附项目监理机构人员证书及社会保险缴费证明扫描件，退休在职人员没有保险证明，可提供返聘协议、退休证书或企业职工退休审核表或电子退休证书扫描件。</w:t>
            </w:r>
          </w:p>
        </w:tc>
        <w:tc>
          <w:tcPr>
            <w:tcW w:w="1026" w:type="dxa"/>
            <w:vAlign w:val="center"/>
          </w:tcPr>
          <w:p w14:paraId="2E3B5FBD">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36D496E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16</w:t>
            </w:r>
          </w:p>
        </w:tc>
      </w:tr>
      <w:tr w14:paraId="2F879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EAC2C3D">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c>
          <w:tcPr>
            <w:tcW w:w="773" w:type="dxa"/>
            <w:vAlign w:val="center"/>
          </w:tcPr>
          <w:p w14:paraId="7E29E697">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2880252B">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监理大纲1</w:t>
            </w:r>
          </w:p>
        </w:tc>
        <w:tc>
          <w:tcPr>
            <w:tcW w:w="4689" w:type="dxa"/>
            <w:vAlign w:val="center"/>
          </w:tcPr>
          <w:p w14:paraId="571EB54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以下14项根据其措施可行程度评委据情每项打1-2.5分，以0.1分为单位打分，如缺项则该项得0分。</w:t>
            </w:r>
          </w:p>
          <w:p w14:paraId="501CD8F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(1)工程概况、监理工作范围、内容、依据、程序，监理工作指导思想和目标；</w:t>
            </w:r>
          </w:p>
          <w:p w14:paraId="7DBBEE0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(2)施工阶段质量控制的工作任务、方法、措施和承诺；</w:t>
            </w:r>
          </w:p>
          <w:p w14:paraId="2DA70671">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(3)施工阶段造价控制的工作任务、方法、措施和承诺；</w:t>
            </w:r>
          </w:p>
          <w:p w14:paraId="7BAEE19B">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(4)施工阶段进度控制的工作任务、方法、措施和承诺；</w:t>
            </w:r>
          </w:p>
          <w:p w14:paraId="7F11FF3A">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(5)安全生产管理监督工作任务、方法、措施和承诺；</w:t>
            </w:r>
          </w:p>
          <w:p w14:paraId="70794117">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(6)合同管理工作任务和方法；</w:t>
            </w:r>
          </w:p>
          <w:p w14:paraId="76C2F448">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(7)信息管理工作任务和方法；</w:t>
            </w:r>
          </w:p>
          <w:p w14:paraId="302261C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(8)组织协调的工作任务和方法；</w:t>
            </w:r>
          </w:p>
          <w:p w14:paraId="320DA6E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(9)对工程施工过程中设计变更的管理措施；</w:t>
            </w:r>
          </w:p>
          <w:p w14:paraId="50C88159">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(10)节能环保、文明施工的工作任务和方法；</w:t>
            </w:r>
          </w:p>
          <w:p w14:paraId="37170B39">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(11)针对本工程的合理化建议；</w:t>
            </w:r>
          </w:p>
          <w:p w14:paraId="0A16660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(12)监理工作制度；</w:t>
            </w:r>
          </w:p>
          <w:p w14:paraId="18549F4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(13)监理资料规范化管理的工作方法；</w:t>
            </w:r>
          </w:p>
          <w:p w14:paraId="016EB831">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(14)拟投入本工程的监理设施；</w:t>
            </w:r>
          </w:p>
        </w:tc>
        <w:tc>
          <w:tcPr>
            <w:tcW w:w="1026" w:type="dxa"/>
            <w:vAlign w:val="center"/>
          </w:tcPr>
          <w:p w14:paraId="0F9CE407">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10E4AB2D">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35</w:t>
            </w:r>
          </w:p>
        </w:tc>
      </w:tr>
      <w:tr w14:paraId="1E897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006822B">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w:t>
            </w:r>
          </w:p>
        </w:tc>
        <w:tc>
          <w:tcPr>
            <w:tcW w:w="773" w:type="dxa"/>
            <w:vAlign w:val="center"/>
          </w:tcPr>
          <w:p w14:paraId="14BC549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180535E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监理大纲2</w:t>
            </w:r>
          </w:p>
        </w:tc>
        <w:tc>
          <w:tcPr>
            <w:tcW w:w="4689" w:type="dxa"/>
            <w:vAlign w:val="center"/>
          </w:tcPr>
          <w:p w14:paraId="1AF29C86">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监理大纲思路清晰、有针对性、有创新、全面、系统并有超出上述14项以外的内容且切实可行得0-2分。</w:t>
            </w:r>
          </w:p>
        </w:tc>
        <w:tc>
          <w:tcPr>
            <w:tcW w:w="1026" w:type="dxa"/>
            <w:vAlign w:val="center"/>
          </w:tcPr>
          <w:p w14:paraId="686B7B07">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7E5BB05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r>
      <w:tr w14:paraId="35FFE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A29199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w:t>
            </w:r>
          </w:p>
        </w:tc>
        <w:tc>
          <w:tcPr>
            <w:tcW w:w="773" w:type="dxa"/>
            <w:vAlign w:val="center"/>
          </w:tcPr>
          <w:p w14:paraId="35C83F4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5E2F625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监理大纲3</w:t>
            </w:r>
          </w:p>
        </w:tc>
        <w:tc>
          <w:tcPr>
            <w:tcW w:w="4689" w:type="dxa"/>
            <w:vAlign w:val="center"/>
          </w:tcPr>
          <w:p w14:paraId="5ADBEF7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以下4项根据其本工程的设计、施工、现场管理上的重点难点论述评委据情每项打0-2分，如缺项则该项得0分。</w:t>
            </w:r>
          </w:p>
          <w:p w14:paraId="427E2529">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（1）质量控制专业重点及建议；</w:t>
            </w:r>
          </w:p>
          <w:p w14:paraId="7C645E92">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（2）安全管理专业重点及建议；</w:t>
            </w:r>
          </w:p>
          <w:p w14:paraId="318D0E9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（3）进度管理专业重点及建议；</w:t>
            </w:r>
          </w:p>
          <w:p w14:paraId="0B755A9A">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（4）合同和信息管理重点及建议；</w:t>
            </w:r>
          </w:p>
        </w:tc>
        <w:tc>
          <w:tcPr>
            <w:tcW w:w="1026" w:type="dxa"/>
            <w:vAlign w:val="center"/>
          </w:tcPr>
          <w:p w14:paraId="30216BB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0D2DED94">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w:t>
            </w:r>
          </w:p>
        </w:tc>
      </w:tr>
    </w:tbl>
    <w:p w14:paraId="3627A59B">
      <w:pPr>
        <w:spacing w:line="520" w:lineRule="exact"/>
        <w:ind w:firstLine="420" w:firstLineChars="200"/>
        <w:rPr>
          <w:rFonts w:ascii="仿宋_GB2312" w:hAnsi="宋体" w:eastAsia="仿宋_GB2312"/>
          <w:color w:val="auto"/>
          <w:szCs w:val="21"/>
          <w:highlight w:val="none"/>
        </w:rPr>
      </w:pPr>
    </w:p>
    <w:p w14:paraId="2A08EF58">
      <w:pPr>
        <w:spacing w:line="520" w:lineRule="exact"/>
        <w:ind w:firstLine="420" w:firstLineChars="200"/>
        <w:rPr>
          <w:rFonts w:ascii="仿宋_GB2312" w:hAnsi="宋体" w:eastAsia="仿宋_GB2312"/>
          <w:color w:val="auto"/>
          <w:szCs w:val="21"/>
          <w:highlight w:val="none"/>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33D2DA1D">
      <w:pPr>
        <w:spacing w:before="100" w:beforeAutospacing="1" w:after="100" w:afterAutospacing="1" w:line="415" w:lineRule="auto"/>
        <w:ind w:left="2410"/>
        <w:outlineLvl w:val="0"/>
        <w:rPr>
          <w:rFonts w:ascii="楷体_GB2312" w:hAnsi="宋体" w:eastAsia="楷体_GB2312" w:cs="宋体"/>
          <w:b/>
          <w:bCs/>
          <w:color w:val="auto"/>
          <w:sz w:val="44"/>
          <w:szCs w:val="44"/>
          <w:highlight w:val="none"/>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highlight w:val="none"/>
        </w:rPr>
        <w:t>第五章 投标（响应）文件格式</w:t>
      </w:r>
    </w:p>
    <w:p w14:paraId="3B064787">
      <w:pPr>
        <w:spacing w:line="460" w:lineRule="exact"/>
        <w:jc w:val="left"/>
        <w:rPr>
          <w:b/>
          <w:color w:val="auto"/>
          <w:kern w:val="0"/>
          <w:sz w:val="24"/>
          <w:highlight w:val="none"/>
        </w:rPr>
      </w:pPr>
    </w:p>
    <w:p w14:paraId="7AF2DA56">
      <w:pPr>
        <w:ind w:right="2080"/>
        <w:rPr>
          <w:rFonts w:ascii="仿宋" w:hAnsi="仿宋" w:eastAsia="仿宋"/>
          <w:color w:val="auto"/>
          <w:sz w:val="52"/>
          <w:highlight w:val="none"/>
        </w:rPr>
      </w:pPr>
    </w:p>
    <w:p w14:paraId="51AEFC58">
      <w:pPr>
        <w:ind w:right="2080"/>
        <w:rPr>
          <w:rFonts w:ascii="仿宋" w:hAnsi="仿宋" w:eastAsia="仿宋"/>
          <w:color w:val="auto"/>
          <w:sz w:val="52"/>
          <w:highlight w:val="none"/>
        </w:rPr>
      </w:pPr>
    </w:p>
    <w:p w14:paraId="41139369">
      <w:pPr>
        <w:rPr>
          <w:rFonts w:ascii="方正小标宋简体" w:hAnsi="仿宋" w:eastAsia="方正小标宋简体"/>
          <w:bCs/>
          <w:color w:val="auto"/>
          <w:sz w:val="84"/>
          <w:highlight w:val="none"/>
        </w:rPr>
      </w:pPr>
    </w:p>
    <w:p w14:paraId="270AFC03">
      <w:pPr>
        <w:jc w:val="center"/>
        <w:rPr>
          <w:rFonts w:ascii="方正小标宋简体" w:hAnsi="仿宋" w:eastAsia="方正小标宋简体"/>
          <w:bCs/>
          <w:color w:val="auto"/>
          <w:sz w:val="84"/>
          <w:highlight w:val="none"/>
        </w:rPr>
      </w:pPr>
      <w:r>
        <w:rPr>
          <w:rFonts w:hint="eastAsia" w:ascii="方正小标宋简体" w:hAnsi="仿宋" w:eastAsia="方正小标宋简体"/>
          <w:bCs/>
          <w:color w:val="auto"/>
          <w:sz w:val="84"/>
          <w:highlight w:val="none"/>
        </w:rPr>
        <w:t>投 标 文 件</w:t>
      </w:r>
    </w:p>
    <w:p w14:paraId="6B72C2E6">
      <w:pPr>
        <w:jc w:val="center"/>
        <w:rPr>
          <w:rFonts w:ascii="仿宋_GB2312" w:hAnsi="仿宋" w:eastAsia="仿宋_GB2312"/>
          <w:color w:val="auto"/>
          <w:sz w:val="72"/>
          <w:highlight w:val="none"/>
        </w:rPr>
      </w:pPr>
      <w:r>
        <w:rPr>
          <w:rFonts w:hint="eastAsia" w:ascii="仿宋_GB2312" w:hAnsi="仿宋" w:eastAsia="仿宋_GB2312"/>
          <w:color w:val="auto"/>
          <w:sz w:val="72"/>
          <w:highlight w:val="none"/>
        </w:rPr>
        <w:t>（第一册）</w:t>
      </w:r>
    </w:p>
    <w:p w14:paraId="2CABDA28">
      <w:pPr>
        <w:jc w:val="center"/>
        <w:rPr>
          <w:rFonts w:ascii="仿宋" w:hAnsi="仿宋" w:eastAsia="仿宋"/>
          <w:color w:val="auto"/>
          <w:sz w:val="72"/>
          <w:highlight w:val="none"/>
        </w:rPr>
      </w:pPr>
    </w:p>
    <w:p w14:paraId="57DCF9E3">
      <w:pPr>
        <w:jc w:val="center"/>
        <w:rPr>
          <w:rFonts w:ascii="仿宋" w:hAnsi="仿宋" w:eastAsia="仿宋"/>
          <w:color w:val="auto"/>
          <w:sz w:val="72"/>
          <w:highlight w:val="none"/>
        </w:rPr>
      </w:pPr>
    </w:p>
    <w:p w14:paraId="536B4CA2">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采购项目：</w:t>
      </w:r>
      <w:r>
        <w:rPr>
          <w:rFonts w:hint="eastAsia" w:ascii="仿宋_GB2312" w:hAnsi="宋体" w:eastAsia="仿宋_GB2312"/>
          <w:bCs/>
          <w:color w:val="auto"/>
          <w:kern w:val="0"/>
          <w:sz w:val="36"/>
          <w:szCs w:val="36"/>
          <w:highlight w:val="none"/>
        </w:rPr>
        <w:t>乳山市非直供小区电力改造监理项目</w:t>
      </w:r>
    </w:p>
    <w:p w14:paraId="5667D484">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采购编号：</w:t>
      </w:r>
      <w:r>
        <w:rPr>
          <w:rFonts w:hint="eastAsia" w:ascii="仿宋_GB2312" w:hAnsi="宋体" w:eastAsia="仿宋_GB2312"/>
          <w:color w:val="auto"/>
          <w:sz w:val="36"/>
          <w:szCs w:val="36"/>
          <w:highlight w:val="none"/>
        </w:rPr>
        <w:t>SDRS-TPZB-2026-171</w:t>
      </w:r>
    </w:p>
    <w:p w14:paraId="6850BAD8">
      <w:pPr>
        <w:jc w:val="left"/>
        <w:rPr>
          <w:rFonts w:ascii="仿宋_GB2312" w:hAnsi="宋体" w:eastAsia="仿宋_GB2312"/>
          <w:bCs/>
          <w:color w:val="auto"/>
          <w:sz w:val="36"/>
          <w:szCs w:val="36"/>
          <w:highlight w:val="none"/>
        </w:rPr>
      </w:pPr>
      <w:r>
        <w:rPr>
          <w:rFonts w:hint="eastAsia" w:ascii="仿宋_GB2312" w:hAnsi="宋体" w:eastAsia="仿宋_GB2312"/>
          <w:bCs/>
          <w:color w:val="auto"/>
          <w:sz w:val="36"/>
          <w:szCs w:val="36"/>
          <w:highlight w:val="none"/>
        </w:rPr>
        <w:t>所投包段：A包</w:t>
      </w:r>
    </w:p>
    <w:p w14:paraId="7C1CEA13">
      <w:pPr>
        <w:jc w:val="left"/>
        <w:rPr>
          <w:rFonts w:ascii="仿宋" w:hAnsi="仿宋" w:eastAsia="仿宋"/>
          <w:color w:val="auto"/>
          <w:sz w:val="44"/>
          <w:highlight w:val="none"/>
        </w:rPr>
      </w:pPr>
    </w:p>
    <w:p w14:paraId="7C4CD389">
      <w:pPr>
        <w:jc w:val="left"/>
        <w:rPr>
          <w:rFonts w:ascii="仿宋" w:hAnsi="仿宋" w:eastAsia="仿宋"/>
          <w:color w:val="auto"/>
          <w:sz w:val="36"/>
          <w:highlight w:val="none"/>
        </w:rPr>
      </w:pPr>
    </w:p>
    <w:p w14:paraId="2A5C19B2">
      <w:pPr>
        <w:tabs>
          <w:tab w:val="left" w:pos="580"/>
        </w:tabs>
        <w:ind w:left="185" w:leftChars="88" w:firstLine="1800" w:firstLineChars="500"/>
        <w:rPr>
          <w:rFonts w:ascii="仿宋" w:hAnsi="仿宋" w:eastAsia="仿宋"/>
          <w:color w:val="auto"/>
          <w:kern w:val="0"/>
          <w:sz w:val="36"/>
          <w:szCs w:val="21"/>
          <w:highlight w:val="none"/>
        </w:rPr>
      </w:pPr>
    </w:p>
    <w:p w14:paraId="2A527CEF">
      <w:pPr>
        <w:tabs>
          <w:tab w:val="left" w:pos="580"/>
        </w:tabs>
        <w:ind w:left="185" w:leftChars="88" w:firstLine="1800" w:firstLineChars="500"/>
        <w:rPr>
          <w:rFonts w:ascii="仿宋_GB2312" w:hAnsi="仿宋" w:eastAsia="仿宋_GB2312"/>
          <w:color w:val="auto"/>
          <w:kern w:val="0"/>
          <w:sz w:val="36"/>
          <w:szCs w:val="36"/>
          <w:highlight w:val="none"/>
        </w:rPr>
      </w:pPr>
    </w:p>
    <w:p w14:paraId="398FAA4D">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投标人名称：***有限公司</w:t>
      </w:r>
    </w:p>
    <w:p w14:paraId="57851EC4">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日      期：   年  月  日</w:t>
      </w:r>
    </w:p>
    <w:p w14:paraId="28FA3A65">
      <w:pPr>
        <w:tabs>
          <w:tab w:val="left" w:pos="580"/>
        </w:tabs>
        <w:ind w:firstLine="1800" w:firstLineChars="500"/>
        <w:rPr>
          <w:rFonts w:ascii="仿宋_GB2312" w:hAnsi="仿宋" w:eastAsia="仿宋_GB2312"/>
          <w:color w:val="auto"/>
          <w:kern w:val="0"/>
          <w:sz w:val="36"/>
          <w:szCs w:val="36"/>
          <w:highlight w:val="none"/>
        </w:rPr>
      </w:pPr>
    </w:p>
    <w:p w14:paraId="229EEB77">
      <w:pPr>
        <w:rPr>
          <w:color w:val="auto"/>
          <w:highlight w:val="none"/>
        </w:rPr>
      </w:pPr>
    </w:p>
    <w:p w14:paraId="45BC059A">
      <w:pPr>
        <w:widowControl/>
        <w:jc w:val="right"/>
        <w:rPr>
          <w:rFonts w:ascii="仿宋_GB2312" w:hAnsi="宋体" w:eastAsia="仿宋_GB2312"/>
          <w:b/>
          <w:bCs/>
          <w:color w:val="auto"/>
          <w:sz w:val="30"/>
          <w:szCs w:val="30"/>
          <w:highlight w:val="none"/>
        </w:rPr>
        <w:sectPr>
          <w:headerReference r:id="rId21" w:type="default"/>
          <w:pgSz w:w="11906" w:h="16838"/>
          <w:pgMar w:top="1440" w:right="1077" w:bottom="1440" w:left="1077" w:header="851" w:footer="992" w:gutter="0"/>
          <w:cols w:space="720" w:num="1"/>
          <w:docGrid w:linePitch="312" w:charSpace="0"/>
        </w:sectPr>
      </w:pPr>
    </w:p>
    <w:p w14:paraId="592FC8D3">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目录</w:t>
      </w:r>
    </w:p>
    <w:p w14:paraId="1938255D">
      <w:pPr>
        <w:jc w:val="center"/>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（由投标人自行编制）</w:t>
      </w:r>
    </w:p>
    <w:p w14:paraId="19FE2B0B">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宋体" w:eastAsia="仿宋_GB2312"/>
          <w:b/>
          <w:bCs/>
          <w:color w:val="auto"/>
          <w:sz w:val="30"/>
          <w:szCs w:val="30"/>
          <w:highlight w:val="none"/>
        </w:rPr>
        <w:br w:type="page"/>
      </w:r>
      <w:r>
        <w:rPr>
          <w:rFonts w:hint="eastAsia" w:ascii="Arial" w:hAnsi="Arial" w:eastAsia="黑体"/>
          <w:bCs/>
          <w:color w:val="auto"/>
          <w:sz w:val="44"/>
          <w:szCs w:val="32"/>
          <w:highlight w:val="none"/>
        </w:rPr>
        <w:t>投标承诺函</w:t>
      </w:r>
    </w:p>
    <w:p w14:paraId="46C5F8B2">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33E2AB3E">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我方根据项目编号为</w:t>
      </w:r>
      <w:r>
        <w:rPr>
          <w:rFonts w:hint="eastAsia" w:ascii="仿宋_GB2312" w:hAnsi="宋体" w:eastAsia="仿宋_GB2312" w:cs="宋体"/>
          <w:color w:val="auto"/>
          <w:kern w:val="0"/>
          <w:sz w:val="30"/>
          <w:szCs w:val="30"/>
          <w:highlight w:val="none"/>
        </w:rPr>
        <w:t>SDRS-TPZB-2026-171名称乳山市非直供小区电力改造监理项目的</w:t>
      </w:r>
      <w:r>
        <w:rPr>
          <w:rFonts w:hint="eastAsia" w:ascii="仿宋_GB2312" w:hAnsi="仿宋" w:eastAsia="仿宋_GB2312"/>
          <w:color w:val="auto"/>
          <w:kern w:val="0"/>
          <w:sz w:val="30"/>
          <w:szCs w:val="30"/>
          <w:highlight w:val="none"/>
        </w:rPr>
        <w:t>招标文件的要求，经详细研究决定参加投标。</w:t>
      </w:r>
    </w:p>
    <w:p w14:paraId="19D0368D">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63C98E92">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2.我方同意</w:t>
      </w:r>
      <w:r>
        <w:rPr>
          <w:rFonts w:hint="eastAsia" w:ascii="仿宋_GB2312" w:hAnsi="宋体" w:eastAsia="仿宋_GB2312" w:cs="宋体"/>
          <w:color w:val="auto"/>
          <w:kern w:val="0"/>
          <w:sz w:val="30"/>
          <w:szCs w:val="30"/>
          <w:highlight w:val="none"/>
        </w:rPr>
        <w:t>90天</w:t>
      </w:r>
      <w:r>
        <w:rPr>
          <w:rFonts w:hint="eastAsia" w:ascii="仿宋_GB2312" w:hAnsi="仿宋" w:eastAsia="仿宋_GB2312"/>
          <w:color w:val="auto"/>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466F5E97">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 我方愿意遵守本采购文件的规定和要求并提供招标文件中要求的所有资料，若投标文件中存在虚假资料的，则视为我方隐瞒真实情况、提供虚假资料，我方愿意接受主管部门做出的行政处罚。</w:t>
      </w:r>
    </w:p>
    <w:p w14:paraId="398CA1BF">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4.我方同意最低价是中标的主要选择标准，但不是唯一的选择标准。</w:t>
      </w:r>
    </w:p>
    <w:p w14:paraId="6325DC86">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5.如果我方中标：</w:t>
      </w:r>
    </w:p>
    <w:p w14:paraId="3E89ED1A">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（1）我方承诺在中标通知书发出后，在规定期限内与招标人签订合同；认同本项目的付款方式并了解其中的风险；</w:t>
      </w:r>
    </w:p>
    <w:p w14:paraId="4C59D1EA">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（2）我方承诺在合同约定的期限内，按期、保质、保量完成服务任务;</w:t>
      </w:r>
    </w:p>
    <w:p w14:paraId="2CD6E530">
      <w:pPr>
        <w:spacing w:line="560" w:lineRule="exact"/>
        <w:ind w:firstLine="450" w:firstLineChars="15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（3）我方承诺将按照招标文件的规定交纳代理服务费。</w:t>
      </w:r>
    </w:p>
    <w:p w14:paraId="4B231A7C">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6.所有有关本投标的函电，请按下列地址联系：</w:t>
      </w:r>
    </w:p>
    <w:p w14:paraId="1CBBDBCB">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单    位：                     邮政编码：</w:t>
      </w:r>
    </w:p>
    <w:p w14:paraId="6DEBBEEE">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地    址：                     联 系 人：</w:t>
      </w:r>
    </w:p>
    <w:p w14:paraId="0808958B">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电    话：                     传    真：</w:t>
      </w:r>
    </w:p>
    <w:p w14:paraId="4C5DAA52">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开户名称：</w:t>
      </w:r>
    </w:p>
    <w:p w14:paraId="405BE7C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开户银行：</w:t>
      </w:r>
    </w:p>
    <w:p w14:paraId="20D87F69">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开户账号：</w:t>
      </w:r>
    </w:p>
    <w:p w14:paraId="2C9CB41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投标人（盖章）： </w:t>
      </w:r>
    </w:p>
    <w:p w14:paraId="12B695A1">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法定代表人（依法登记的负责人）或授权代表（签字或签章）：</w:t>
      </w:r>
    </w:p>
    <w:p w14:paraId="0196F3D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投标日期：××年××月××日 </w:t>
      </w:r>
    </w:p>
    <w:p w14:paraId="17155B5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    </w:t>
      </w:r>
    </w:p>
    <w:p w14:paraId="295E0973">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仿宋" w:eastAsia="仿宋_GB2312"/>
          <w:bCs/>
          <w:color w:val="auto"/>
          <w:sz w:val="30"/>
          <w:szCs w:val="30"/>
          <w:highlight w:val="none"/>
        </w:rPr>
        <w:br w:type="page"/>
      </w:r>
      <w:r>
        <w:rPr>
          <w:rFonts w:hint="eastAsia" w:ascii="Arial" w:hAnsi="Arial" w:eastAsia="黑体"/>
          <w:bCs/>
          <w:color w:val="auto"/>
          <w:sz w:val="44"/>
          <w:szCs w:val="32"/>
          <w:highlight w:val="none"/>
        </w:rPr>
        <w:t>投标人资格证明文件</w:t>
      </w:r>
    </w:p>
    <w:p w14:paraId="179D54E3">
      <w:pPr>
        <w:keepNext/>
        <w:keepLines/>
        <w:spacing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有效的营业执照副本扫描件</w:t>
      </w:r>
    </w:p>
    <w:p w14:paraId="09CE4AF8">
      <w:pPr>
        <w:rPr>
          <w:color w:val="auto"/>
          <w:highlight w:val="none"/>
        </w:rPr>
      </w:pPr>
    </w:p>
    <w:p w14:paraId="4A1EB44B">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投标单位资质证书扫描件</w:t>
      </w:r>
    </w:p>
    <w:p w14:paraId="16F7792D">
      <w:pPr>
        <w:rPr>
          <w:color w:val="auto"/>
          <w:highlight w:val="none"/>
        </w:rPr>
      </w:pPr>
    </w:p>
    <w:p w14:paraId="2EF07FED">
      <w:pPr>
        <w:keepNext/>
        <w:keepLines/>
        <w:spacing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法定代表人（依法登记的负责人）身份证明书</w:t>
      </w:r>
    </w:p>
    <w:p w14:paraId="5B687300">
      <w:pPr>
        <w:ind w:right="840"/>
        <w:jc w:val="center"/>
        <w:rPr>
          <w:rFonts w:hAnsi="宋体"/>
          <w:color w:val="auto"/>
          <w:highlight w:val="none"/>
        </w:rPr>
      </w:pPr>
    </w:p>
    <w:p w14:paraId="5110A0EA">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2"/>
          <w:szCs w:val="32"/>
          <w:highlight w:val="none"/>
        </w:rPr>
        <w:t>致</w:t>
      </w: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05FA09A7">
      <w:pPr>
        <w:tabs>
          <w:tab w:val="left" w:pos="5580"/>
        </w:tabs>
        <w:spacing w:line="600" w:lineRule="exact"/>
        <w:ind w:left="1100" w:leftChars="-29" w:hanging="1161"/>
        <w:rPr>
          <w:rFonts w:ascii="仿宋_GB2312" w:hAnsi="仿宋" w:eastAsia="仿宋_GB2312"/>
          <w:color w:val="auto"/>
          <w:sz w:val="32"/>
          <w:szCs w:val="32"/>
          <w:highlight w:val="none"/>
        </w:rPr>
      </w:pPr>
    </w:p>
    <w:p w14:paraId="6450FA92">
      <w:pPr>
        <w:tabs>
          <w:tab w:val="left" w:pos="5580"/>
        </w:tabs>
        <w:spacing w:line="600" w:lineRule="exact"/>
        <w:ind w:left="-113" w:leftChars="-54"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（姓名、性别、年龄、身份证号码）在我单位任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（董事长、总经理等）职务，是我单位的法定代表人/（依法登记的负责人）。</w:t>
      </w:r>
    </w:p>
    <w:p w14:paraId="11A9A801">
      <w:pPr>
        <w:tabs>
          <w:tab w:val="left" w:pos="5580"/>
        </w:tabs>
        <w:spacing w:line="600" w:lineRule="exact"/>
        <w:rPr>
          <w:rFonts w:ascii="仿宋_GB2312" w:hAnsi="仿宋" w:eastAsia="仿宋_GB2312"/>
          <w:color w:val="auto"/>
          <w:sz w:val="32"/>
          <w:szCs w:val="32"/>
          <w:highlight w:val="none"/>
        </w:rPr>
      </w:pPr>
    </w:p>
    <w:p w14:paraId="349EF698">
      <w:pPr>
        <w:tabs>
          <w:tab w:val="left" w:pos="5580"/>
        </w:tabs>
        <w:spacing w:line="600" w:lineRule="exact"/>
        <w:ind w:left="1080" w:leftChars="257" w:hanging="5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特此证明。</w:t>
      </w:r>
    </w:p>
    <w:p w14:paraId="516702F4">
      <w:pPr>
        <w:spacing w:line="600" w:lineRule="exact"/>
        <w:rPr>
          <w:rFonts w:ascii="仿宋_GB2312" w:hAnsi="仿宋" w:eastAsia="仿宋_GB2312"/>
          <w:color w:val="auto"/>
          <w:sz w:val="32"/>
          <w:szCs w:val="32"/>
          <w:highlight w:val="none"/>
        </w:rPr>
      </w:pPr>
    </w:p>
    <w:p w14:paraId="77E92D65">
      <w:pPr>
        <w:tabs>
          <w:tab w:val="left" w:pos="5580"/>
        </w:tabs>
        <w:spacing w:line="600" w:lineRule="exact"/>
        <w:ind w:left="-540" w:leftChars="-257" w:right="960" w:firstLine="1200" w:firstLineChars="375"/>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投标人名称（公</w:t>
      </w:r>
      <w:r>
        <w:rPr>
          <w:rFonts w:ascii="仿宋_GB2312" w:hAnsi="仿宋" w:eastAsia="仿宋_GB2312"/>
          <w:color w:val="auto"/>
          <w:sz w:val="32"/>
          <w:szCs w:val="32"/>
          <w:highlight w:val="none"/>
        </w:rPr>
        <w:t>章）：</w:t>
      </w:r>
      <w:r>
        <w:rPr>
          <w:rFonts w:hint="eastAsia" w:ascii="仿宋_GB2312" w:hAnsi="仿宋" w:eastAsia="仿宋_GB2312"/>
          <w:color w:val="auto"/>
          <w:sz w:val="32"/>
          <w:szCs w:val="32"/>
          <w:highlight w:val="none"/>
        </w:rPr>
        <w:t xml:space="preserve">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477F64F7">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授权委托书</w:t>
      </w:r>
    </w:p>
    <w:p w14:paraId="7D513982">
      <w:pPr>
        <w:spacing w:line="480" w:lineRule="exact"/>
        <w:ind w:firstLine="640" w:firstLineChars="200"/>
        <w:rPr>
          <w:color w:val="auto"/>
          <w:highlight w:val="none"/>
        </w:rPr>
      </w:pPr>
      <w:r>
        <w:rPr>
          <w:rFonts w:hint="eastAsia" w:ascii="仿宋_GB2312" w:hAnsi="仿宋" w:eastAsia="仿宋_GB2312"/>
          <w:color w:val="auto"/>
          <w:sz w:val="32"/>
          <w:szCs w:val="32"/>
          <w:highlight w:val="none"/>
        </w:rPr>
        <w:t>本授权书声明：注册于</w:t>
      </w:r>
      <w:r>
        <w:rPr>
          <w:rFonts w:hint="eastAsia" w:ascii="仿宋_GB2312" w:hAnsi="仿宋" w:eastAsia="仿宋_GB2312"/>
          <w:color w:val="auto"/>
          <w:sz w:val="32"/>
          <w:szCs w:val="32"/>
          <w:highlight w:val="none"/>
          <w:u w:val="single"/>
        </w:rPr>
        <w:t xml:space="preserve">   （国家或地区的名称）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（公司名称）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（法人代表/负责人姓名、职务）  （</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，代表本公司授权</w:t>
      </w:r>
      <w:r>
        <w:rPr>
          <w:rFonts w:hint="eastAsia" w:ascii="仿宋_GB2312" w:hAnsi="仿宋" w:eastAsia="仿宋_GB2312"/>
          <w:color w:val="auto"/>
          <w:sz w:val="32"/>
          <w:szCs w:val="32"/>
          <w:highlight w:val="none"/>
          <w:u w:val="single"/>
        </w:rPr>
        <w:t xml:space="preserve">  （被授权单位名称）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（被授权人的姓名、职务）（</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为本公司的合法代理人，参加编号为SDRS-TPZB-2026-171号的公开招标采购活动，以本公司名义处理一切与之有关的事宜。</w:t>
      </w:r>
    </w:p>
    <w:p w14:paraId="30183201">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如果本公司在此次采购活动中成交，被授权人有权代表本公司签署采购合同。</w:t>
      </w:r>
    </w:p>
    <w:p w14:paraId="2B431AE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本授权书于</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年</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月</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日法定代表人（负责人）签字或盖章并由被授权人签字、单位盖章生效，特此声明。</w:t>
      </w:r>
    </w:p>
    <w:p w14:paraId="486C78F2">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被授权人无转委托权。</w:t>
      </w:r>
    </w:p>
    <w:p w14:paraId="0468B203">
      <w:pPr>
        <w:spacing w:line="480" w:lineRule="exact"/>
        <w:ind w:firstLine="640" w:firstLineChars="200"/>
        <w:jc w:val="left"/>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法定代表人</w:t>
      </w:r>
      <w:r>
        <w:rPr>
          <w:rFonts w:hint="eastAsia" w:ascii="仿宋_GB2312" w:hAnsi="仿宋" w:eastAsia="仿宋_GB2312"/>
          <w:color w:val="auto"/>
          <w:sz w:val="32"/>
          <w:szCs w:val="32"/>
          <w:highlight w:val="none"/>
        </w:rPr>
        <w:t>（依法登记的负责人）</w:t>
      </w:r>
      <w:r>
        <w:rPr>
          <w:rFonts w:hint="eastAsia" w:ascii="仿宋_GB2312" w:hAnsi="仿宋" w:eastAsia="仿宋_GB2312"/>
          <w:color w:val="auto"/>
          <w:kern w:val="0"/>
          <w:sz w:val="32"/>
          <w:szCs w:val="32"/>
          <w:highlight w:val="none"/>
        </w:rPr>
        <w:t>签章：</w:t>
      </w:r>
    </w:p>
    <w:p w14:paraId="3F81C540">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被授权人签字：</w:t>
      </w:r>
    </w:p>
    <w:p w14:paraId="70790FE0">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投标人（公章）:</w:t>
      </w:r>
    </w:p>
    <w:p w14:paraId="6F62E63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详细通讯地址：</w:t>
      </w:r>
    </w:p>
    <w:p w14:paraId="402747F7">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邮 政 编 码 ：</w:t>
      </w:r>
    </w:p>
    <w:p w14:paraId="3E00A32D">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传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真：</w:t>
      </w:r>
    </w:p>
    <w:p w14:paraId="3980C406">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电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话：</w:t>
      </w:r>
    </w:p>
    <w:p w14:paraId="1BECE962">
      <w:pPr>
        <w:spacing w:line="560" w:lineRule="exact"/>
        <w:ind w:firstLine="640" w:firstLineChars="200"/>
        <w:jc w:val="left"/>
        <w:rPr>
          <w:rFonts w:ascii="仿宋_GB2312" w:hAnsi="仿宋" w:eastAsia="仿宋_GB2312"/>
          <w:color w:val="auto"/>
          <w:kern w:val="0"/>
          <w:sz w:val="32"/>
          <w:szCs w:val="32"/>
          <w:highlight w:val="none"/>
        </w:rPr>
      </w:pPr>
    </w:p>
    <w:tbl>
      <w:tblPr>
        <w:tblStyle w:val="31"/>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083C6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6AC207DA">
            <w:pPr>
              <w:widowControl/>
              <w:spacing w:beforeAutospacing="1" w:afterAutospacing="1" w:line="360" w:lineRule="auto"/>
              <w:jc w:val="center"/>
              <w:rPr>
                <w:rFonts w:ascii="仿宋_GB2312" w:hAnsi="仿宋" w:eastAsia="仿宋_GB2312" w:cs="宋体"/>
                <w:color w:val="auto"/>
                <w:kern w:val="0"/>
                <w:sz w:val="32"/>
                <w:szCs w:val="32"/>
                <w:highlight w:val="none"/>
              </w:rPr>
            </w:pPr>
            <w:r>
              <w:rPr>
                <w:rFonts w:hint="eastAsia" w:ascii="仿宋_GB2312" w:hAnsi="仿宋" w:eastAsia="仿宋_GB2312" w:cs="宋体"/>
                <w:color w:val="auto"/>
                <w:sz w:val="32"/>
                <w:szCs w:val="32"/>
                <w:highlight w:val="none"/>
              </w:rPr>
              <w:t>被授权人身份证扫描件正面</w:t>
            </w:r>
          </w:p>
        </w:tc>
        <w:tc>
          <w:tcPr>
            <w:tcW w:w="4503" w:type="dxa"/>
            <w:vAlign w:val="center"/>
          </w:tcPr>
          <w:p w14:paraId="30B41954">
            <w:pPr>
              <w:widowControl/>
              <w:spacing w:beforeAutospacing="1" w:afterAutospacing="1" w:line="360" w:lineRule="auto"/>
              <w:jc w:val="center"/>
              <w:rPr>
                <w:rFonts w:hint="eastAsia"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被授权人身份证扫描件反面</w:t>
            </w:r>
          </w:p>
        </w:tc>
      </w:tr>
    </w:tbl>
    <w:p w14:paraId="10DE1363">
      <w:pPr>
        <w:rPr>
          <w:vanish/>
          <w:color w:val="auto"/>
          <w:highlight w:val="none"/>
        </w:rPr>
      </w:pPr>
    </w:p>
    <w:p w14:paraId="329A6CEC">
      <w:pPr>
        <w:spacing w:line="520" w:lineRule="exact"/>
        <w:rPr>
          <w:rFonts w:ascii="仿宋_GB2312" w:hAnsi="仿宋" w:eastAsia="仿宋_GB2312"/>
          <w:b/>
          <w:color w:val="auto"/>
          <w:kern w:val="0"/>
          <w:sz w:val="36"/>
          <w:szCs w:val="21"/>
          <w:highlight w:val="none"/>
        </w:rPr>
      </w:pPr>
    </w:p>
    <w:p w14:paraId="695156CC">
      <w:pPr>
        <w:keepNext/>
        <w:keepLines/>
        <w:spacing w:line="560" w:lineRule="exact"/>
        <w:jc w:val="center"/>
        <w:outlineLvl w:val="2"/>
        <w:rPr>
          <w:rFonts w:eastAsia="黑体"/>
          <w:bCs/>
          <w:color w:val="auto"/>
          <w:sz w:val="44"/>
          <w:szCs w:val="32"/>
          <w:highlight w:val="none"/>
        </w:rPr>
      </w:pPr>
      <w:r>
        <w:rPr>
          <w:rFonts w:hint="eastAsia" w:ascii="仿宋_GB2312" w:hAnsi="仿宋" w:eastAsia="仿宋_GB2312"/>
          <w:bCs/>
          <w:color w:val="auto"/>
          <w:sz w:val="28"/>
          <w:szCs w:val="28"/>
          <w:highlight w:val="none"/>
        </w:rPr>
        <w:br w:type="page"/>
      </w:r>
      <w:r>
        <w:rPr>
          <w:rFonts w:hint="eastAsia" w:eastAsia="黑体"/>
          <w:bCs/>
          <w:color w:val="auto"/>
          <w:sz w:val="32"/>
          <w:szCs w:val="32"/>
          <w:highlight w:val="none"/>
        </w:rPr>
        <w:t>投标人依法缴纳税收和社会保障资金的声明</w:t>
      </w:r>
    </w:p>
    <w:p w14:paraId="707BD1BC">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（格式自拟，加盖投标人公章）</w:t>
      </w:r>
    </w:p>
    <w:p w14:paraId="5929FC47">
      <w:pPr>
        <w:keepNext/>
        <w:keepLines/>
        <w:spacing w:line="560" w:lineRule="exact"/>
        <w:jc w:val="center"/>
        <w:outlineLvl w:val="2"/>
        <w:rPr>
          <w:rFonts w:eastAsia="黑体"/>
          <w:bCs/>
          <w:color w:val="auto"/>
          <w:sz w:val="44"/>
          <w:szCs w:val="32"/>
          <w:highlight w:val="none"/>
        </w:rPr>
      </w:pPr>
      <w:r>
        <w:rPr>
          <w:rFonts w:ascii="仿宋_GB2312" w:eastAsia="仿宋_GB2312"/>
          <w:bCs/>
          <w:color w:val="auto"/>
          <w:sz w:val="28"/>
          <w:szCs w:val="28"/>
          <w:highlight w:val="none"/>
        </w:rPr>
        <w:br w:type="page"/>
      </w:r>
      <w:r>
        <w:rPr>
          <w:rFonts w:hint="eastAsia" w:eastAsia="黑体"/>
          <w:bCs/>
          <w:color w:val="auto"/>
          <w:sz w:val="32"/>
          <w:szCs w:val="32"/>
          <w:highlight w:val="none"/>
        </w:rPr>
        <w:t>投标人近期的完税凭证及缴纳社保资金凭证扫描件</w:t>
      </w:r>
    </w:p>
    <w:p w14:paraId="3AC007AF">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（加盖投标人公章）</w:t>
      </w:r>
    </w:p>
    <w:p w14:paraId="73F3A0E2">
      <w:pPr>
        <w:jc w:val="center"/>
        <w:rPr>
          <w:rFonts w:ascii="仿宋_GB2312" w:eastAsia="仿宋_GB2312"/>
          <w:color w:val="auto"/>
          <w:sz w:val="28"/>
          <w:szCs w:val="28"/>
          <w:highlight w:val="none"/>
        </w:rPr>
      </w:pPr>
    </w:p>
    <w:p w14:paraId="646FF5E9">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无重大违法记录声明</w:t>
      </w:r>
    </w:p>
    <w:p w14:paraId="3639D691">
      <w:pPr>
        <w:tabs>
          <w:tab w:val="left" w:pos="5580"/>
        </w:tabs>
        <w:spacing w:line="360" w:lineRule="auto"/>
        <w:rPr>
          <w:rFonts w:ascii="仿宋_GB2312" w:hAnsi="仿宋" w:eastAsia="仿宋_GB2312"/>
          <w:bCs/>
          <w:color w:val="auto"/>
          <w:sz w:val="28"/>
          <w:szCs w:val="28"/>
          <w:highlight w:val="none"/>
        </w:rPr>
      </w:pPr>
    </w:p>
    <w:p w14:paraId="63E95A3B">
      <w:pPr>
        <w:spacing w:line="480" w:lineRule="auto"/>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本单位郑重声明：</w:t>
      </w:r>
    </w:p>
    <w:p w14:paraId="0A37764F">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我单位在参加采购活动前三年内在经营活动中没有重大违法记录，包括：</w:t>
      </w:r>
    </w:p>
    <w:p w14:paraId="0CC26542">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我单位或者其法定代表人、董事、监事、高级管理人员未因经营活动中的违法行为受到刑事处罚或者责令停产停业、吊销许可证或者执照、较大数额罚款等行政处罚。</w:t>
      </w:r>
    </w:p>
    <w:p w14:paraId="18B33D11">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如有瞒报、虚报，我公司自行承担因此产生的所有法律责任。</w:t>
      </w:r>
    </w:p>
    <w:p w14:paraId="2F3A6F79">
      <w:pPr>
        <w:spacing w:line="600" w:lineRule="exact"/>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特此声明！</w:t>
      </w:r>
    </w:p>
    <w:p w14:paraId="6FD33492">
      <w:pPr>
        <w:tabs>
          <w:tab w:val="left" w:pos="5580"/>
        </w:tabs>
        <w:spacing w:line="360" w:lineRule="auto"/>
        <w:ind w:firstLine="4132" w:firstLineChars="1476"/>
        <w:rPr>
          <w:rFonts w:ascii="仿宋_GB2312" w:hAnsi="仿宋" w:eastAsia="仿宋_GB2312"/>
          <w:bCs/>
          <w:color w:val="auto"/>
          <w:sz w:val="28"/>
          <w:szCs w:val="28"/>
          <w:highlight w:val="none"/>
        </w:rPr>
      </w:pPr>
    </w:p>
    <w:p w14:paraId="1494A70C">
      <w:pPr>
        <w:tabs>
          <w:tab w:val="left" w:pos="5580"/>
        </w:tabs>
        <w:spacing w:line="360" w:lineRule="auto"/>
        <w:ind w:firstLine="4132" w:firstLineChars="1476"/>
        <w:rPr>
          <w:rFonts w:ascii="仿宋_GB2312" w:hAnsi="仿宋" w:eastAsia="仿宋_GB2312"/>
          <w:bCs/>
          <w:color w:val="auto"/>
          <w:sz w:val="28"/>
          <w:szCs w:val="28"/>
          <w:highlight w:val="none"/>
        </w:rPr>
      </w:pPr>
    </w:p>
    <w:p w14:paraId="25D94151">
      <w:pPr>
        <w:tabs>
          <w:tab w:val="left" w:pos="5580"/>
        </w:tabs>
        <w:spacing w:line="360" w:lineRule="auto"/>
        <w:ind w:firstLine="4132" w:firstLineChars="1476"/>
        <w:rPr>
          <w:rFonts w:ascii="仿宋_GB2312" w:hAnsi="仿宋" w:eastAsia="仿宋_GB2312"/>
          <w:bCs/>
          <w:color w:val="auto"/>
          <w:sz w:val="28"/>
          <w:szCs w:val="28"/>
          <w:highlight w:val="none"/>
        </w:rPr>
      </w:pPr>
    </w:p>
    <w:p w14:paraId="1AAB7E9E">
      <w:pPr>
        <w:tabs>
          <w:tab w:val="left" w:pos="5580"/>
        </w:tabs>
        <w:spacing w:line="360" w:lineRule="auto"/>
        <w:ind w:firstLine="4132" w:firstLineChars="1476"/>
        <w:rPr>
          <w:rFonts w:ascii="仿宋_GB2312" w:hAnsi="仿宋" w:eastAsia="仿宋_GB2312"/>
          <w:bCs/>
          <w:color w:val="auto"/>
          <w:sz w:val="28"/>
          <w:szCs w:val="28"/>
          <w:highlight w:val="none"/>
        </w:rPr>
      </w:pPr>
    </w:p>
    <w:p w14:paraId="40254419">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70B23E9B">
      <w:pPr>
        <w:tabs>
          <w:tab w:val="left" w:pos="5580"/>
        </w:tabs>
        <w:wordWrap w:val="0"/>
        <w:spacing w:line="360" w:lineRule="auto"/>
        <w:ind w:firstLine="2125" w:firstLineChars="759"/>
        <w:jc w:val="right"/>
        <w:rPr>
          <w:rFonts w:ascii="仿宋_GB2312" w:eastAsia="仿宋_GB2312"/>
          <w:color w:val="auto"/>
          <w:kern w:val="0"/>
          <w:sz w:val="28"/>
          <w:szCs w:val="28"/>
          <w:highlight w:val="none"/>
        </w:rPr>
      </w:pPr>
      <w:r>
        <w:rPr>
          <w:rFonts w:hint="eastAsia" w:ascii="仿宋_GB2312" w:hAnsi="仿宋" w:eastAsia="仿宋_GB2312"/>
          <w:bCs/>
          <w:color w:val="auto"/>
          <w:sz w:val="28"/>
          <w:szCs w:val="28"/>
          <w:highlight w:val="none"/>
        </w:rPr>
        <w:t>法定代表人（依法登记的负责人）或授权代表（签字或签章）</w:t>
      </w:r>
      <w:r>
        <w:rPr>
          <w:rFonts w:ascii="仿宋_GB2312" w:eastAsia="仿宋_GB2312"/>
          <w:color w:val="auto"/>
          <w:kern w:val="0"/>
          <w:sz w:val="28"/>
          <w:szCs w:val="28"/>
          <w:highlight w:val="none"/>
        </w:rPr>
        <w:t>：</w:t>
      </w:r>
      <w:r>
        <w:rPr>
          <w:rFonts w:hint="eastAsia" w:ascii="仿宋_GB2312" w:eastAsia="仿宋_GB2312"/>
          <w:color w:val="auto"/>
          <w:kern w:val="0"/>
          <w:sz w:val="28"/>
          <w:szCs w:val="28"/>
          <w:highlight w:val="none"/>
        </w:rPr>
        <w:t xml:space="preserve">          </w:t>
      </w:r>
    </w:p>
    <w:p w14:paraId="0118C41D">
      <w:pPr>
        <w:tabs>
          <w:tab w:val="left" w:pos="5580"/>
        </w:tabs>
        <w:spacing w:line="360" w:lineRule="auto"/>
        <w:ind w:firstLine="4132" w:firstLineChars="1476"/>
        <w:rPr>
          <w:rFonts w:ascii="仿宋_GB2312" w:eastAsia="仿宋_GB2312"/>
          <w:color w:val="auto"/>
          <w:kern w:val="0"/>
          <w:sz w:val="28"/>
          <w:szCs w:val="28"/>
          <w:highlight w:val="none"/>
        </w:rPr>
      </w:pPr>
    </w:p>
    <w:p w14:paraId="2E282D21">
      <w:pPr>
        <w:widowControl/>
        <w:wordWrap w:val="0"/>
        <w:ind w:firstLine="4200" w:firstLineChars="1500"/>
        <w:jc w:val="right"/>
        <w:rPr>
          <w:rFonts w:ascii="宋体" w:hAnsi="宋体"/>
          <w:color w:val="auto"/>
          <w:kern w:val="0"/>
          <w:sz w:val="28"/>
          <w:szCs w:val="28"/>
          <w:highlight w:val="none"/>
        </w:rPr>
      </w:pPr>
      <w:r>
        <w:rPr>
          <w:rFonts w:hint="eastAsia" w:ascii="仿宋_GB2312" w:eastAsia="仿宋_GB2312"/>
          <w:color w:val="auto"/>
          <w:sz w:val="28"/>
          <w:szCs w:val="28"/>
          <w:highlight w:val="none"/>
        </w:rPr>
        <w:t>年</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月</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日   </w:t>
      </w:r>
    </w:p>
    <w:p w14:paraId="5658255A">
      <w:pPr>
        <w:keepNext/>
        <w:keepLines/>
        <w:spacing w:before="120" w:after="120" w:line="560" w:lineRule="exact"/>
        <w:jc w:val="center"/>
        <w:outlineLvl w:val="2"/>
        <w:rPr>
          <w:rFonts w:eastAsia="黑体"/>
          <w:bCs/>
          <w:color w:val="auto"/>
          <w:sz w:val="32"/>
          <w:szCs w:val="32"/>
          <w:highlight w:val="none"/>
        </w:rPr>
      </w:pPr>
      <w:r>
        <w:rPr>
          <w:rFonts w:ascii="宋体" w:hAnsi="宋体" w:eastAsia="黑体"/>
          <w:bCs/>
          <w:color w:val="auto"/>
          <w:kern w:val="0"/>
          <w:sz w:val="28"/>
          <w:szCs w:val="28"/>
          <w:highlight w:val="none"/>
        </w:rPr>
        <w:br w:type="page"/>
      </w:r>
      <w:r>
        <w:rPr>
          <w:rFonts w:hint="eastAsia" w:eastAsia="黑体"/>
          <w:bCs/>
          <w:color w:val="auto"/>
          <w:sz w:val="32"/>
          <w:szCs w:val="32"/>
          <w:highlight w:val="none"/>
        </w:rPr>
        <w:t>失信查询</w:t>
      </w:r>
    </w:p>
    <w:p w14:paraId="0E9DD549">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580C1CBF">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投标人在工商行政管理机关全国企业信用信息公示系统中未被列入严重违法失信企业名单截图或报告（</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仿宋_GB2312" w:hAnsi="宋体" w:eastAsia="仿宋_GB2312"/>
          <w:color w:val="auto"/>
          <w:sz w:val="28"/>
          <w:szCs w:val="28"/>
          <w:highlight w:val="none"/>
          <w:u w:val="single"/>
        </w:rPr>
        <w:t>http://www.gsxt.gov.cn/index.html</w:t>
      </w:r>
      <w:r>
        <w:rPr>
          <w:rFonts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63B7B34F">
      <w:pPr>
        <w:jc w:val="center"/>
        <w:rPr>
          <w:rFonts w:ascii="黑体" w:hAnsi="黑体" w:eastAsia="黑体"/>
          <w:color w:val="auto"/>
          <w:sz w:val="32"/>
          <w:szCs w:val="32"/>
          <w:highlight w:val="none"/>
        </w:rPr>
      </w:pPr>
      <w:r>
        <w:rPr>
          <w:rFonts w:ascii="仿宋_GB2312" w:hAnsi="宋体" w:eastAsia="仿宋_GB2312"/>
          <w:color w:val="auto"/>
          <w:sz w:val="28"/>
          <w:szCs w:val="28"/>
          <w:highlight w:val="none"/>
        </w:rPr>
        <w:br w:type="page"/>
      </w:r>
      <w:r>
        <w:rPr>
          <w:rFonts w:hint="eastAsia" w:ascii="仿宋_GB2312" w:hAnsi="宋体" w:eastAsia="仿宋_GB2312"/>
          <w:color w:val="auto"/>
          <w:sz w:val="28"/>
          <w:szCs w:val="28"/>
          <w:highlight w:val="none"/>
        </w:rPr>
        <w:t>投标人、法定代表人(授权委托人)未被最高院列入失信被执行人截图（</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"http://zxgk.court.gov.cn/shixin%20/" </w:instrText>
      </w:r>
      <w:r>
        <w:rPr>
          <w:color w:val="auto"/>
          <w:highlight w:val="none"/>
        </w:rPr>
        <w:fldChar w:fldCharType="separate"/>
      </w:r>
      <w:r>
        <w:rPr>
          <w:rFonts w:hint="eastAsia" w:ascii="仿宋_GB2312" w:hAnsi="宋体" w:eastAsia="仿宋_GB2312"/>
          <w:color w:val="auto"/>
          <w:sz w:val="28"/>
          <w:szCs w:val="28"/>
          <w:highlight w:val="none"/>
          <w:u w:val="single"/>
        </w:rPr>
        <w:t>http://zxgk.court.gov.cn/</w:t>
      </w:r>
      <w:r>
        <w:rPr>
          <w:rFonts w:ascii="仿宋_GB2312" w:hAnsi="宋体" w:eastAsia="仿宋_GB2312"/>
          <w:color w:val="auto"/>
          <w:sz w:val="28"/>
          <w:szCs w:val="28"/>
          <w:highlight w:val="none"/>
          <w:u w:val="single"/>
        </w:rPr>
        <w:t>shixin</w:t>
      </w:r>
      <w:r>
        <w:rPr>
          <w:rFonts w:hint="eastAsia" w:ascii="仿宋_GB2312" w:hAnsi="宋体" w:eastAsia="仿宋_GB2312"/>
          <w:color w:val="auto"/>
          <w:sz w:val="28"/>
          <w:szCs w:val="28"/>
          <w:highlight w:val="none"/>
          <w:u w:val="single"/>
        </w:rPr>
        <w:t>/</w:t>
      </w:r>
      <w:r>
        <w:rPr>
          <w:rFonts w:hint="eastAsia"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1966DB6E">
      <w:pPr>
        <w:keepNext/>
        <w:keepLines/>
        <w:spacing w:before="120" w:after="120"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财务状况报告等相关材料</w:t>
      </w:r>
    </w:p>
    <w:p w14:paraId="19FCDCDC">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14B1ABDB">
      <w:pPr>
        <w:rPr>
          <w:rFonts w:hint="eastAsia"/>
          <w:color w:val="auto"/>
          <w:highlight w:val="none"/>
        </w:rPr>
      </w:pPr>
    </w:p>
    <w:p w14:paraId="7F1AB26B">
      <w:pPr>
        <w:rPr>
          <w:rFonts w:ascii="宋体" w:hAnsi="Courier New"/>
          <w:color w:val="auto"/>
          <w:kern w:val="0"/>
          <w:szCs w:val="21"/>
          <w:highlight w:val="none"/>
        </w:rPr>
      </w:pPr>
    </w:p>
    <w:p w14:paraId="3E3BA61C">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投标人具有履行合同所必需的设备和专业技术能力承诺函</w:t>
      </w:r>
    </w:p>
    <w:p w14:paraId="1160681A">
      <w:pPr>
        <w:widowControl/>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（格式自拟，加盖公章）</w:t>
      </w:r>
    </w:p>
    <w:p w14:paraId="5B7FAE7B">
      <w:pPr>
        <w:rPr>
          <w:rFonts w:hint="eastAsia" w:ascii="黑体" w:hAnsi="黑体" w:eastAsia="黑体"/>
          <w:color w:val="auto"/>
          <w:sz w:val="32"/>
          <w:szCs w:val="32"/>
          <w:highlight w:val="none"/>
          <w:lang w:eastAsia="zh-CN"/>
        </w:rPr>
      </w:pPr>
      <w:r>
        <w:rPr>
          <w:color w:val="auto"/>
          <w:highlight w:val="none"/>
        </w:rPr>
        <w:br w:type="page"/>
      </w:r>
      <w:r>
        <w:rPr>
          <w:rFonts w:hint="eastAsia"/>
          <w:color w:val="auto"/>
          <w:highlight w:val="none"/>
          <w:lang w:val="en-US" w:eastAsia="zh-CN"/>
        </w:rPr>
        <w:t xml:space="preserve">                              </w:t>
      </w:r>
      <w:r>
        <w:rPr>
          <w:rFonts w:hint="eastAsia" w:ascii="黑体" w:hAnsi="黑体" w:eastAsia="黑体"/>
          <w:color w:val="auto"/>
          <w:sz w:val="32"/>
          <w:szCs w:val="32"/>
          <w:highlight w:val="none"/>
          <w:lang w:val="en-US" w:eastAsia="zh-CN"/>
        </w:rPr>
        <w:t xml:space="preserve">    </w:t>
      </w:r>
      <w:r>
        <w:rPr>
          <w:rFonts w:hint="eastAsia" w:ascii="黑体" w:hAnsi="黑体" w:eastAsia="黑体"/>
          <w:color w:val="auto"/>
          <w:sz w:val="32"/>
          <w:szCs w:val="32"/>
          <w:highlight w:val="none"/>
          <w:lang w:eastAsia="zh-CN"/>
        </w:rPr>
        <w:t>企业实力文件（如有）</w:t>
      </w:r>
    </w:p>
    <w:p w14:paraId="4F517465">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r>
    </w:p>
    <w:p w14:paraId="3A865E73">
      <w:pPr>
        <w:keepNext/>
        <w:keepLines/>
        <w:spacing w:before="120" w:after="120" w:line="560" w:lineRule="exact"/>
        <w:jc w:val="center"/>
        <w:outlineLvl w:val="2"/>
        <w:rPr>
          <w:rFonts w:ascii="黑体" w:hAnsi="黑体" w:eastAsia="黑体"/>
          <w:color w:val="auto"/>
          <w:sz w:val="32"/>
          <w:szCs w:val="32"/>
          <w:highlight w:val="none"/>
        </w:rPr>
      </w:pPr>
      <w:r>
        <w:rPr>
          <w:rFonts w:hint="eastAsia" w:ascii="黑体" w:hAnsi="黑体" w:eastAsia="黑体"/>
          <w:color w:val="auto"/>
          <w:sz w:val="32"/>
          <w:szCs w:val="32"/>
          <w:highlight w:val="none"/>
        </w:rPr>
        <w:t>其他资质资格文件</w:t>
      </w:r>
    </w:p>
    <w:p w14:paraId="4FE233AC">
      <w:pPr>
        <w:rPr>
          <w:color w:val="auto"/>
          <w:highlight w:val="none"/>
        </w:rPr>
      </w:pPr>
    </w:p>
    <w:p w14:paraId="33E53BC8">
      <w:pPr>
        <w:jc w:val="center"/>
        <w:rPr>
          <w:rFonts w:ascii="黑体" w:hAnsi="黑体" w:eastAsia="黑体"/>
          <w:color w:val="auto"/>
          <w:sz w:val="40"/>
          <w:szCs w:val="44"/>
          <w:highlight w:val="none"/>
        </w:rPr>
      </w:pPr>
      <w:r>
        <w:rPr>
          <w:color w:val="auto"/>
          <w:highlight w:val="none"/>
        </w:rPr>
        <w:br w:type="page"/>
      </w:r>
      <w:r>
        <w:rPr>
          <w:rFonts w:hint="eastAsia" w:ascii="黑体" w:hAnsi="黑体" w:eastAsia="黑体"/>
          <w:color w:val="auto"/>
          <w:sz w:val="40"/>
          <w:szCs w:val="44"/>
          <w:highlight w:val="none"/>
        </w:rPr>
        <w:t>投标人基本情况表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1066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C332984">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单位名称</w:t>
            </w:r>
          </w:p>
        </w:tc>
        <w:tc>
          <w:tcPr>
            <w:tcW w:w="2889" w:type="dxa"/>
            <w:gridSpan w:val="4"/>
            <w:vAlign w:val="center"/>
          </w:tcPr>
          <w:p w14:paraId="51CCA031">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322A5FBA">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地址</w:t>
            </w:r>
          </w:p>
        </w:tc>
        <w:tc>
          <w:tcPr>
            <w:tcW w:w="2049" w:type="dxa"/>
            <w:vAlign w:val="center"/>
          </w:tcPr>
          <w:p w14:paraId="1EA739F0">
            <w:pPr>
              <w:spacing w:line="440" w:lineRule="exact"/>
              <w:jc w:val="center"/>
              <w:rPr>
                <w:rFonts w:ascii="仿宋_GB2312" w:hAnsi="仿宋" w:eastAsia="仿宋_GB2312"/>
                <w:color w:val="auto"/>
                <w:sz w:val="28"/>
                <w:szCs w:val="28"/>
                <w:highlight w:val="none"/>
              </w:rPr>
            </w:pPr>
          </w:p>
        </w:tc>
      </w:tr>
      <w:tr w14:paraId="3C1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6FFD9EC">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办公电话/传真</w:t>
            </w:r>
          </w:p>
        </w:tc>
        <w:tc>
          <w:tcPr>
            <w:tcW w:w="2889" w:type="dxa"/>
            <w:gridSpan w:val="4"/>
            <w:vAlign w:val="center"/>
          </w:tcPr>
          <w:p w14:paraId="60581AF5">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2F0F1C3F">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联系人</w:t>
            </w:r>
          </w:p>
        </w:tc>
        <w:tc>
          <w:tcPr>
            <w:tcW w:w="2049" w:type="dxa"/>
            <w:vAlign w:val="center"/>
          </w:tcPr>
          <w:p w14:paraId="71BB5E4C">
            <w:pPr>
              <w:spacing w:line="440" w:lineRule="exact"/>
              <w:jc w:val="center"/>
              <w:rPr>
                <w:rFonts w:ascii="仿宋_GB2312" w:hAnsi="仿宋" w:eastAsia="仿宋_GB2312"/>
                <w:color w:val="auto"/>
                <w:sz w:val="28"/>
                <w:szCs w:val="28"/>
                <w:highlight w:val="none"/>
              </w:rPr>
            </w:pPr>
          </w:p>
        </w:tc>
      </w:tr>
      <w:tr w14:paraId="1A92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1C73E8E">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所属/主管部门</w:t>
            </w:r>
          </w:p>
        </w:tc>
        <w:tc>
          <w:tcPr>
            <w:tcW w:w="7044" w:type="dxa"/>
            <w:gridSpan w:val="8"/>
            <w:vAlign w:val="center"/>
          </w:tcPr>
          <w:p w14:paraId="63B7BB21">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r>
              <w:rPr>
                <w:rFonts w:ascii="仿宋_GB2312" w:hAnsi="仿宋" w:eastAsia="仿宋_GB2312"/>
                <w:color w:val="auto"/>
                <w:sz w:val="28"/>
                <w:szCs w:val="28"/>
                <w:highlight w:val="none"/>
              </w:rPr>
              <w:t xml:space="preserve"> </w:t>
            </w:r>
          </w:p>
        </w:tc>
      </w:tr>
      <w:tr w14:paraId="6ABD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D4C43B4">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总经理</w:t>
            </w:r>
          </w:p>
        </w:tc>
        <w:tc>
          <w:tcPr>
            <w:tcW w:w="1665" w:type="dxa"/>
            <w:gridSpan w:val="2"/>
            <w:vAlign w:val="center"/>
          </w:tcPr>
          <w:p w14:paraId="41CE0E0F">
            <w:pPr>
              <w:spacing w:line="440" w:lineRule="exact"/>
              <w:jc w:val="center"/>
              <w:rPr>
                <w:rFonts w:ascii="仿宋_GB2312" w:hAnsi="仿宋" w:eastAsia="仿宋_GB2312"/>
                <w:color w:val="auto"/>
                <w:sz w:val="28"/>
                <w:szCs w:val="28"/>
                <w:highlight w:val="none"/>
              </w:rPr>
            </w:pPr>
          </w:p>
        </w:tc>
        <w:tc>
          <w:tcPr>
            <w:tcW w:w="2827" w:type="dxa"/>
            <w:gridSpan w:val="4"/>
            <w:vAlign w:val="center"/>
          </w:tcPr>
          <w:p w14:paraId="18FE1BBC">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固定办公面积（平米）</w:t>
            </w:r>
          </w:p>
        </w:tc>
        <w:tc>
          <w:tcPr>
            <w:tcW w:w="2552" w:type="dxa"/>
            <w:gridSpan w:val="2"/>
            <w:vAlign w:val="center"/>
          </w:tcPr>
          <w:p w14:paraId="677ABD4E">
            <w:pPr>
              <w:spacing w:line="440" w:lineRule="exact"/>
              <w:jc w:val="center"/>
              <w:rPr>
                <w:rFonts w:ascii="仿宋_GB2312" w:hAnsi="仿宋" w:eastAsia="仿宋_GB2312"/>
                <w:color w:val="auto"/>
                <w:sz w:val="28"/>
                <w:szCs w:val="28"/>
                <w:highlight w:val="none"/>
              </w:rPr>
            </w:pPr>
          </w:p>
        </w:tc>
      </w:tr>
      <w:tr w14:paraId="30619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7D46331F">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注册情况</w:t>
            </w:r>
          </w:p>
        </w:tc>
        <w:tc>
          <w:tcPr>
            <w:tcW w:w="2214" w:type="dxa"/>
            <w:gridSpan w:val="2"/>
            <w:vAlign w:val="center"/>
          </w:tcPr>
          <w:p w14:paraId="09241CCF">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工商注册号</w:t>
            </w:r>
          </w:p>
        </w:tc>
        <w:tc>
          <w:tcPr>
            <w:tcW w:w="6477" w:type="dxa"/>
            <w:gridSpan w:val="7"/>
            <w:vAlign w:val="center"/>
          </w:tcPr>
          <w:p w14:paraId="4971DE15">
            <w:pPr>
              <w:spacing w:line="440" w:lineRule="exact"/>
              <w:jc w:val="center"/>
              <w:rPr>
                <w:rFonts w:ascii="仿宋_GB2312" w:hAnsi="仿宋" w:eastAsia="仿宋_GB2312"/>
                <w:color w:val="auto"/>
                <w:sz w:val="28"/>
                <w:szCs w:val="28"/>
                <w:highlight w:val="none"/>
              </w:rPr>
            </w:pPr>
          </w:p>
        </w:tc>
      </w:tr>
      <w:tr w14:paraId="772A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BF36B54">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34694923">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注册资本（万元）</w:t>
            </w:r>
          </w:p>
        </w:tc>
        <w:tc>
          <w:tcPr>
            <w:tcW w:w="6477" w:type="dxa"/>
            <w:gridSpan w:val="7"/>
            <w:vAlign w:val="center"/>
          </w:tcPr>
          <w:p w14:paraId="46279277">
            <w:pPr>
              <w:spacing w:line="440" w:lineRule="exact"/>
              <w:jc w:val="center"/>
              <w:rPr>
                <w:rFonts w:ascii="仿宋_GB2312" w:hAnsi="仿宋" w:eastAsia="仿宋_GB2312"/>
                <w:color w:val="auto"/>
                <w:sz w:val="28"/>
                <w:szCs w:val="28"/>
                <w:highlight w:val="none"/>
              </w:rPr>
            </w:pPr>
          </w:p>
        </w:tc>
      </w:tr>
      <w:tr w14:paraId="7B5F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C7DDF8C">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43F5E170">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法定代表人</w:t>
            </w:r>
          </w:p>
        </w:tc>
        <w:tc>
          <w:tcPr>
            <w:tcW w:w="1665" w:type="dxa"/>
            <w:gridSpan w:val="2"/>
            <w:vAlign w:val="center"/>
          </w:tcPr>
          <w:p w14:paraId="4AD66EE3">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1F68D53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单位类型</w:t>
            </w:r>
          </w:p>
        </w:tc>
        <w:tc>
          <w:tcPr>
            <w:tcW w:w="2598" w:type="dxa"/>
            <w:gridSpan w:val="3"/>
            <w:vAlign w:val="center"/>
          </w:tcPr>
          <w:p w14:paraId="13C80475">
            <w:pPr>
              <w:spacing w:line="440" w:lineRule="exact"/>
              <w:jc w:val="center"/>
              <w:rPr>
                <w:rFonts w:ascii="仿宋_GB2312" w:hAnsi="仿宋" w:eastAsia="仿宋_GB2312"/>
                <w:color w:val="auto"/>
                <w:sz w:val="28"/>
                <w:szCs w:val="28"/>
                <w:highlight w:val="none"/>
              </w:rPr>
            </w:pPr>
          </w:p>
        </w:tc>
      </w:tr>
      <w:tr w14:paraId="0795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4F4138F">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429F1CCE">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成立时间</w:t>
            </w:r>
          </w:p>
        </w:tc>
        <w:tc>
          <w:tcPr>
            <w:tcW w:w="1665" w:type="dxa"/>
            <w:gridSpan w:val="2"/>
            <w:vAlign w:val="center"/>
          </w:tcPr>
          <w:p w14:paraId="6D20EC17">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230E25B8">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营业期限</w:t>
            </w:r>
          </w:p>
        </w:tc>
        <w:tc>
          <w:tcPr>
            <w:tcW w:w="2598" w:type="dxa"/>
            <w:gridSpan w:val="3"/>
            <w:vAlign w:val="center"/>
          </w:tcPr>
          <w:p w14:paraId="70C9C4F4">
            <w:pPr>
              <w:spacing w:line="440" w:lineRule="exact"/>
              <w:jc w:val="center"/>
              <w:rPr>
                <w:rFonts w:ascii="仿宋_GB2312" w:hAnsi="仿宋" w:eastAsia="仿宋_GB2312"/>
                <w:color w:val="auto"/>
                <w:sz w:val="28"/>
                <w:szCs w:val="28"/>
                <w:highlight w:val="none"/>
              </w:rPr>
            </w:pPr>
          </w:p>
        </w:tc>
      </w:tr>
      <w:tr w14:paraId="4F2A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6CA4E5C">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6A2CE51A">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经营范围</w:t>
            </w:r>
          </w:p>
        </w:tc>
        <w:tc>
          <w:tcPr>
            <w:tcW w:w="6477" w:type="dxa"/>
            <w:gridSpan w:val="7"/>
            <w:vAlign w:val="center"/>
          </w:tcPr>
          <w:p w14:paraId="575E13CD">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p>
        </w:tc>
      </w:tr>
      <w:tr w14:paraId="0233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2AD32B5E">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投标人情况简介</w:t>
            </w:r>
          </w:p>
        </w:tc>
      </w:tr>
      <w:tr w14:paraId="23BE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0B219E34">
            <w:pPr>
              <w:spacing w:line="440" w:lineRule="exact"/>
              <w:rPr>
                <w:rFonts w:ascii="仿宋_GB2312" w:hAnsi="仿宋" w:eastAsia="仿宋_GB2312"/>
                <w:color w:val="auto"/>
                <w:sz w:val="28"/>
                <w:szCs w:val="28"/>
                <w:highlight w:val="none"/>
              </w:rPr>
            </w:pPr>
          </w:p>
        </w:tc>
      </w:tr>
    </w:tbl>
    <w:p w14:paraId="6D93AF94">
      <w:pPr>
        <w:jc w:val="center"/>
        <w:rPr>
          <w:rFonts w:ascii="仿宋_GB2312" w:hAnsi="仿宋" w:eastAsia="仿宋_GB2312"/>
          <w:b/>
          <w:color w:val="auto"/>
          <w:sz w:val="44"/>
          <w:szCs w:val="44"/>
          <w:highlight w:val="none"/>
        </w:rPr>
      </w:pPr>
    </w:p>
    <w:p w14:paraId="55C3B444">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投标人单位（盖章）：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4FE781B9">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法定代表人（依法登记的负责人）或授权代表（签字或签章）：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7F687B0F">
      <w:pPr>
        <w:jc w:val="center"/>
        <w:rPr>
          <w:rFonts w:ascii="黑体" w:hAnsi="黑体" w:eastAsia="黑体"/>
          <w:color w:val="auto"/>
          <w:sz w:val="32"/>
          <w:szCs w:val="32"/>
          <w:highlight w:val="none"/>
        </w:rPr>
      </w:pPr>
      <w:r>
        <w:rPr>
          <w:rFonts w:hAnsi="仿宋"/>
          <w:color w:val="auto"/>
          <w:sz w:val="32"/>
          <w:szCs w:val="32"/>
          <w:highlight w:val="none"/>
        </w:rPr>
        <w:br w:type="page"/>
      </w:r>
      <w:r>
        <w:rPr>
          <w:rFonts w:hint="eastAsia" w:ascii="黑体" w:hAnsi="黑体" w:eastAsia="黑体"/>
          <w:color w:val="auto"/>
          <w:sz w:val="32"/>
          <w:szCs w:val="32"/>
          <w:highlight w:val="none"/>
        </w:rPr>
        <w:t>项目负责人及拟派主要人员情况表</w:t>
      </w:r>
    </w:p>
    <w:tbl>
      <w:tblPr>
        <w:tblStyle w:val="31"/>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20F0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6645DB05">
            <w:pPr>
              <w:spacing w:line="460" w:lineRule="exact"/>
              <w:jc w:val="center"/>
              <w:rPr>
                <w:rFonts w:ascii="仿宋_GB2312" w:hAnsi="仿宋" w:eastAsia="仿宋_GB2312"/>
                <w:b/>
                <w:color w:val="auto"/>
                <w:sz w:val="30"/>
                <w:szCs w:val="30"/>
                <w:highlight w:val="none"/>
              </w:rPr>
            </w:pPr>
            <w:r>
              <w:rPr>
                <w:rFonts w:hint="eastAsia" w:ascii="仿宋_GB2312" w:hAnsi="仿宋" w:eastAsia="仿宋_GB2312"/>
                <w:color w:val="auto"/>
                <w:sz w:val="30"/>
                <w:szCs w:val="30"/>
                <w:highlight w:val="none"/>
              </w:rPr>
              <w:t>项目负责人情况</w:t>
            </w:r>
          </w:p>
        </w:tc>
      </w:tr>
      <w:tr w14:paraId="4E6E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3979B98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0DCEB1A2">
            <w:pPr>
              <w:spacing w:line="460" w:lineRule="exact"/>
              <w:jc w:val="center"/>
              <w:rPr>
                <w:rFonts w:ascii="仿宋_GB2312" w:hAnsi="仿宋" w:eastAsia="仿宋_GB2312"/>
                <w:color w:val="auto"/>
                <w:sz w:val="30"/>
                <w:szCs w:val="30"/>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D813B9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71D6E77D">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5C7BA0FE">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DDC1069">
            <w:pPr>
              <w:spacing w:line="460" w:lineRule="exact"/>
              <w:jc w:val="center"/>
              <w:rPr>
                <w:rFonts w:ascii="仿宋_GB2312" w:hAnsi="仿宋" w:eastAsia="仿宋_GB2312"/>
                <w:color w:val="auto"/>
                <w:sz w:val="30"/>
                <w:szCs w:val="30"/>
                <w:highlight w:val="none"/>
              </w:rPr>
            </w:pPr>
          </w:p>
        </w:tc>
      </w:tr>
      <w:tr w14:paraId="0E67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76CDA575">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4A516733">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2FF0E65F">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47C291FE">
            <w:pPr>
              <w:spacing w:line="460" w:lineRule="exact"/>
              <w:jc w:val="center"/>
              <w:rPr>
                <w:rFonts w:ascii="仿宋_GB2312" w:hAnsi="仿宋" w:eastAsia="仿宋_GB2312"/>
                <w:color w:val="auto"/>
                <w:sz w:val="30"/>
                <w:szCs w:val="30"/>
                <w:highlight w:val="none"/>
              </w:rPr>
            </w:pPr>
          </w:p>
        </w:tc>
      </w:tr>
      <w:tr w14:paraId="23444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38C0B254">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385FFAE">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6AE94C5">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28E2C40">
            <w:pPr>
              <w:spacing w:line="460" w:lineRule="exact"/>
              <w:jc w:val="center"/>
              <w:rPr>
                <w:rFonts w:ascii="仿宋_GB2312" w:hAnsi="仿宋" w:eastAsia="仿宋_GB2312"/>
                <w:color w:val="auto"/>
                <w:sz w:val="30"/>
                <w:szCs w:val="30"/>
                <w:highlight w:val="none"/>
              </w:rPr>
            </w:pPr>
          </w:p>
        </w:tc>
      </w:tr>
      <w:tr w14:paraId="5D95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E9EF0A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02823B91">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933CC71">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336EFAF">
            <w:pPr>
              <w:spacing w:line="460" w:lineRule="exact"/>
              <w:jc w:val="center"/>
              <w:rPr>
                <w:rFonts w:ascii="仿宋_GB2312" w:hAnsi="仿宋" w:eastAsia="仿宋_GB2312"/>
                <w:color w:val="auto"/>
                <w:sz w:val="30"/>
                <w:szCs w:val="30"/>
                <w:highlight w:val="none"/>
              </w:rPr>
            </w:pPr>
          </w:p>
        </w:tc>
      </w:tr>
      <w:tr w14:paraId="2A5B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5814A071">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近三年承担的项目情况一览表</w:t>
            </w:r>
          </w:p>
        </w:tc>
      </w:tr>
      <w:tr w14:paraId="6FACF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3BA3C3A">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AA534E4">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EEAF507">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lang w:eastAsia="zh-CN"/>
              </w:rPr>
              <w:t>投资</w:t>
            </w:r>
            <w:r>
              <w:rPr>
                <w:rFonts w:hint="eastAsia" w:ascii="仿宋_GB2312" w:hAnsi="仿宋" w:eastAsia="仿宋_GB2312"/>
                <w:color w:val="auto"/>
                <w:sz w:val="30"/>
                <w:szCs w:val="30"/>
                <w:highlight w:val="none"/>
              </w:rPr>
              <w:t>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6C70474">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5C02BA2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联系人及电话</w:t>
            </w:r>
          </w:p>
        </w:tc>
      </w:tr>
      <w:tr w14:paraId="51EB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88A4914">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C225F27">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DA941AB">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149298B">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2ECB8CF8">
            <w:pPr>
              <w:spacing w:line="460" w:lineRule="exact"/>
              <w:jc w:val="center"/>
              <w:rPr>
                <w:rFonts w:ascii="仿宋_GB2312" w:hAnsi="仿宋" w:eastAsia="仿宋_GB2312"/>
                <w:color w:val="auto"/>
                <w:sz w:val="30"/>
                <w:szCs w:val="30"/>
                <w:highlight w:val="none"/>
              </w:rPr>
            </w:pPr>
          </w:p>
        </w:tc>
      </w:tr>
      <w:tr w14:paraId="07E6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D3A90B0">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ACDAB0C">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27AF8C">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0864C94">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B347E84">
            <w:pPr>
              <w:spacing w:line="460" w:lineRule="exact"/>
              <w:jc w:val="center"/>
              <w:rPr>
                <w:rFonts w:ascii="仿宋_GB2312" w:hAnsi="仿宋" w:eastAsia="仿宋_GB2312"/>
                <w:color w:val="auto"/>
                <w:sz w:val="30"/>
                <w:szCs w:val="30"/>
                <w:highlight w:val="none"/>
              </w:rPr>
            </w:pPr>
          </w:p>
        </w:tc>
      </w:tr>
      <w:tr w14:paraId="10EF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C70B0B2">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A377141">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C00CD97">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5DBE0D1">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F4C65ED">
            <w:pPr>
              <w:spacing w:line="460" w:lineRule="exact"/>
              <w:jc w:val="center"/>
              <w:rPr>
                <w:rFonts w:ascii="仿宋_GB2312" w:hAnsi="仿宋" w:eastAsia="仿宋_GB2312"/>
                <w:color w:val="auto"/>
                <w:sz w:val="30"/>
                <w:szCs w:val="30"/>
                <w:highlight w:val="none"/>
              </w:rPr>
            </w:pPr>
          </w:p>
        </w:tc>
      </w:tr>
      <w:tr w14:paraId="60DE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3E731AF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其他人员情况</w:t>
            </w:r>
          </w:p>
        </w:tc>
      </w:tr>
      <w:tr w14:paraId="5FCE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1456C5E">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F5B4DB5">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CC0E06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E6D025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36FEBACA">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w:t>
            </w:r>
          </w:p>
          <w:p w14:paraId="6550977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时间</w:t>
            </w:r>
          </w:p>
        </w:tc>
      </w:tr>
      <w:tr w14:paraId="70AF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CEF7D3E">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AA473F7">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201864D">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F89FAF6">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3B6D71AF">
            <w:pPr>
              <w:spacing w:line="460" w:lineRule="exact"/>
              <w:jc w:val="center"/>
              <w:rPr>
                <w:rFonts w:ascii="仿宋_GB2312" w:hAnsi="仿宋" w:eastAsia="仿宋_GB2312"/>
                <w:color w:val="auto"/>
                <w:sz w:val="30"/>
                <w:szCs w:val="30"/>
                <w:highlight w:val="none"/>
              </w:rPr>
            </w:pPr>
          </w:p>
        </w:tc>
      </w:tr>
      <w:tr w14:paraId="34AD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5C0FF1F">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807EE8D">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3576A18">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B8DF084">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F50AA9A">
            <w:pPr>
              <w:spacing w:line="460" w:lineRule="exact"/>
              <w:jc w:val="center"/>
              <w:rPr>
                <w:rFonts w:ascii="仿宋_GB2312" w:hAnsi="仿宋" w:eastAsia="仿宋_GB2312"/>
                <w:color w:val="auto"/>
                <w:sz w:val="30"/>
                <w:szCs w:val="30"/>
                <w:highlight w:val="none"/>
              </w:rPr>
            </w:pPr>
          </w:p>
        </w:tc>
      </w:tr>
      <w:tr w14:paraId="2BC8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AC6CF73">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111286">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2004472">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F4E91DF">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743EE449">
            <w:pPr>
              <w:spacing w:line="460" w:lineRule="exact"/>
              <w:jc w:val="center"/>
              <w:rPr>
                <w:rFonts w:ascii="仿宋_GB2312" w:hAnsi="仿宋" w:eastAsia="仿宋_GB2312"/>
                <w:color w:val="auto"/>
                <w:sz w:val="30"/>
                <w:szCs w:val="30"/>
                <w:highlight w:val="none"/>
              </w:rPr>
            </w:pPr>
          </w:p>
        </w:tc>
      </w:tr>
      <w:tr w14:paraId="607FC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FAB84E7">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2167008">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1D49BC7">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468F5F7">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09B0D8F4">
            <w:pPr>
              <w:spacing w:line="460" w:lineRule="exact"/>
              <w:jc w:val="center"/>
              <w:rPr>
                <w:rFonts w:ascii="仿宋_GB2312" w:hAnsi="仿宋" w:eastAsia="仿宋_GB2312"/>
                <w:color w:val="auto"/>
                <w:sz w:val="30"/>
                <w:szCs w:val="30"/>
                <w:highlight w:val="none"/>
              </w:rPr>
            </w:pPr>
          </w:p>
        </w:tc>
      </w:tr>
    </w:tbl>
    <w:p w14:paraId="205211B6">
      <w:pPr>
        <w:spacing w:line="460" w:lineRule="exact"/>
        <w:ind w:firstLine="240" w:firstLineChars="100"/>
        <w:rPr>
          <w:rFonts w:ascii="仿宋_GB2312" w:hAnsi="仿宋" w:eastAsia="仿宋_GB2312"/>
          <w:color w:val="auto"/>
          <w:sz w:val="24"/>
          <w:highlight w:val="none"/>
        </w:rPr>
      </w:pPr>
      <w:r>
        <w:rPr>
          <w:rFonts w:hint="eastAsia" w:ascii="仿宋_GB2312" w:hAnsi="仿宋" w:eastAsia="仿宋_GB2312"/>
          <w:color w:val="auto"/>
          <w:sz w:val="24"/>
          <w:highlight w:val="none"/>
        </w:rPr>
        <w:t>注：1、本表可由投标人根据实际情况自行扩展。</w:t>
      </w:r>
    </w:p>
    <w:p w14:paraId="077E253F">
      <w:pPr>
        <w:spacing w:line="460" w:lineRule="exact"/>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2、表后附拟派人员</w:t>
      </w:r>
      <w:r>
        <w:rPr>
          <w:rFonts w:hint="eastAsia" w:ascii="仿宋_GB2312" w:hAnsi="仿宋" w:eastAsia="仿宋_GB2312"/>
          <w:color w:val="auto"/>
          <w:sz w:val="24"/>
          <w:highlight w:val="none"/>
          <w:lang w:eastAsia="zh-CN"/>
        </w:rPr>
        <w:t>注册证、人员上岗证、</w:t>
      </w:r>
      <w:r>
        <w:rPr>
          <w:rFonts w:hint="eastAsia" w:ascii="仿宋_GB2312" w:hAnsi="仿宋" w:eastAsia="仿宋_GB2312"/>
          <w:color w:val="auto"/>
          <w:sz w:val="24"/>
          <w:highlight w:val="none"/>
        </w:rPr>
        <w:t>职称</w:t>
      </w:r>
      <w:r>
        <w:rPr>
          <w:rFonts w:hint="eastAsia" w:ascii="仿宋_GB2312" w:hAnsi="仿宋" w:eastAsia="仿宋_GB2312"/>
          <w:color w:val="auto"/>
          <w:sz w:val="24"/>
          <w:highlight w:val="none"/>
          <w:lang w:eastAsia="zh-CN"/>
        </w:rPr>
        <w:t>（如有）</w:t>
      </w:r>
      <w:r>
        <w:rPr>
          <w:rFonts w:hint="eastAsia" w:ascii="仿宋_GB2312" w:hAnsi="仿宋" w:eastAsia="仿宋_GB2312"/>
          <w:color w:val="auto"/>
          <w:sz w:val="24"/>
          <w:highlight w:val="none"/>
        </w:rPr>
        <w:t>等相关证书扫描件。</w:t>
      </w:r>
    </w:p>
    <w:p w14:paraId="0D67A939">
      <w:pPr>
        <w:spacing w:line="460" w:lineRule="exact"/>
        <w:ind w:firstLine="420" w:firstLineChars="200"/>
        <w:rPr>
          <w:rFonts w:ascii="仿宋_GB2312" w:hAnsi="宋体" w:eastAsia="仿宋_GB2312"/>
          <w:color w:val="auto"/>
          <w:highlight w:val="none"/>
        </w:rPr>
      </w:pPr>
    </w:p>
    <w:p w14:paraId="5CD3A02F">
      <w:pPr>
        <w:wordWrap w:val="0"/>
        <w:spacing w:line="520" w:lineRule="exact"/>
        <w:ind w:firstLine="3900" w:firstLineChars="130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3DB518EB">
      <w:pPr>
        <w:widowControl/>
        <w:wordWrap w:val="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6789D426">
      <w:pPr>
        <w:wordWrap w:val="0"/>
        <w:spacing w:line="52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 </w:t>
      </w:r>
    </w:p>
    <w:p w14:paraId="2D9C9B69">
      <w:pPr>
        <w:snapToGrid w:val="0"/>
        <w:spacing w:line="560" w:lineRule="exact"/>
        <w:ind w:firstLine="602" w:firstLineChars="201"/>
        <w:jc w:val="center"/>
        <w:rPr>
          <w:rFonts w:ascii="黑体" w:hAnsi="黑体" w:eastAsia="黑体"/>
          <w:color w:val="auto"/>
          <w:sz w:val="32"/>
          <w:szCs w:val="32"/>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32"/>
          <w:szCs w:val="32"/>
          <w:highlight w:val="none"/>
        </w:rPr>
        <w:t>技术部分</w:t>
      </w:r>
    </w:p>
    <w:p w14:paraId="6C02CA4F">
      <w:pPr>
        <w:rPr>
          <w:rFonts w:ascii="仿宋" w:hAnsi="仿宋" w:eastAsia="仿宋"/>
          <w:color w:val="auto"/>
          <w:sz w:val="30"/>
          <w:szCs w:val="30"/>
          <w:highlight w:val="none"/>
        </w:rPr>
      </w:pPr>
    </w:p>
    <w:p w14:paraId="314121CF">
      <w:pPr>
        <w:jc w:val="right"/>
        <w:rPr>
          <w:rFonts w:ascii="仿宋_GB2312" w:hAnsi="宋体" w:eastAsia="仿宋_GB2312"/>
          <w:color w:val="auto"/>
          <w:sz w:val="22"/>
          <w:szCs w:val="28"/>
          <w:highlight w:val="none"/>
        </w:rPr>
      </w:pPr>
      <w:r>
        <w:rPr>
          <w:rFonts w:ascii="仿宋_GB2312" w:hAnsi="仿宋" w:eastAsia="仿宋_GB2312"/>
          <w:bCs/>
          <w:color w:val="auto"/>
          <w:sz w:val="30"/>
          <w:szCs w:val="30"/>
          <w:highlight w:val="none"/>
        </w:rPr>
        <w:br w:type="page"/>
      </w:r>
      <w:r>
        <w:rPr>
          <w:rFonts w:hint="eastAsia" w:ascii="仿宋_GB2312" w:hAnsi="宋体" w:eastAsia="仿宋_GB2312"/>
          <w:color w:val="auto"/>
          <w:sz w:val="22"/>
          <w:szCs w:val="28"/>
          <w:highlight w:val="none"/>
        </w:rPr>
        <w:t>如中标（成交），随中标（成交）公告公示</w:t>
      </w:r>
    </w:p>
    <w:p w14:paraId="2ABACC15">
      <w:pPr>
        <w:widowControl/>
        <w:jc w:val="center"/>
        <w:rPr>
          <w:rFonts w:ascii="仿宋_GB2312" w:hAnsi="仿宋" w:eastAsia="仿宋_GB2312" w:cs="Arial"/>
          <w:color w:val="auto"/>
          <w:sz w:val="32"/>
          <w:szCs w:val="32"/>
          <w:highlight w:val="none"/>
        </w:rPr>
      </w:pPr>
    </w:p>
    <w:p w14:paraId="5B33F8DA">
      <w:pPr>
        <w:widowControl/>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国内类</w:t>
      </w:r>
      <w:r>
        <w:rPr>
          <w:rFonts w:hint="eastAsia" w:ascii="黑体" w:hAnsi="黑体" w:eastAsia="黑体"/>
          <w:color w:val="auto"/>
          <w:sz w:val="44"/>
          <w:szCs w:val="44"/>
          <w:highlight w:val="none"/>
          <w:lang w:eastAsia="zh-CN"/>
        </w:rPr>
        <w:t>似</w:t>
      </w:r>
      <w:r>
        <w:rPr>
          <w:rFonts w:hint="eastAsia" w:ascii="黑体" w:hAnsi="黑体" w:eastAsia="黑体"/>
          <w:color w:val="auto"/>
          <w:sz w:val="44"/>
          <w:szCs w:val="44"/>
          <w:highlight w:val="none"/>
        </w:rPr>
        <w:t>项目业绩表</w:t>
      </w:r>
    </w:p>
    <w:tbl>
      <w:tblPr>
        <w:tblStyle w:val="31"/>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282F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73DE9803">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序号</w:t>
            </w:r>
          </w:p>
        </w:tc>
        <w:tc>
          <w:tcPr>
            <w:tcW w:w="917" w:type="dxa"/>
            <w:vAlign w:val="center"/>
          </w:tcPr>
          <w:p w14:paraId="3D7A9C9B">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用户名称</w:t>
            </w:r>
          </w:p>
        </w:tc>
        <w:tc>
          <w:tcPr>
            <w:tcW w:w="2552" w:type="dxa"/>
            <w:vAlign w:val="center"/>
          </w:tcPr>
          <w:p w14:paraId="23D6C758">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1134" w:type="dxa"/>
            <w:vAlign w:val="center"/>
          </w:tcPr>
          <w:p w14:paraId="01AA3711">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lang w:eastAsia="zh-CN"/>
              </w:rPr>
              <w:t>投资</w:t>
            </w:r>
            <w:r>
              <w:rPr>
                <w:rFonts w:hint="eastAsia" w:ascii="仿宋_GB2312" w:hAnsi="仿宋" w:eastAsia="仿宋_GB2312"/>
                <w:color w:val="auto"/>
                <w:sz w:val="30"/>
                <w:szCs w:val="30"/>
                <w:highlight w:val="none"/>
              </w:rPr>
              <w:t>额</w:t>
            </w:r>
          </w:p>
        </w:tc>
        <w:tc>
          <w:tcPr>
            <w:tcW w:w="1417" w:type="dxa"/>
            <w:vAlign w:val="center"/>
          </w:tcPr>
          <w:p w14:paraId="7A0F2E36">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签订时间</w:t>
            </w:r>
          </w:p>
        </w:tc>
        <w:tc>
          <w:tcPr>
            <w:tcW w:w="1276" w:type="dxa"/>
            <w:vAlign w:val="center"/>
          </w:tcPr>
          <w:p w14:paraId="336CBFCF">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电话/联系人</w:t>
            </w:r>
          </w:p>
        </w:tc>
        <w:tc>
          <w:tcPr>
            <w:tcW w:w="1210" w:type="dxa"/>
            <w:vAlign w:val="center"/>
          </w:tcPr>
          <w:p w14:paraId="6E0746AE">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备注</w:t>
            </w:r>
          </w:p>
        </w:tc>
      </w:tr>
      <w:tr w14:paraId="7E09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1CC6DF2">
            <w:pPr>
              <w:jc w:val="center"/>
              <w:rPr>
                <w:rFonts w:ascii="仿宋_GB2312" w:hAnsi="仿宋" w:eastAsia="仿宋_GB2312"/>
                <w:color w:val="auto"/>
                <w:sz w:val="30"/>
                <w:szCs w:val="30"/>
                <w:highlight w:val="none"/>
              </w:rPr>
            </w:pPr>
          </w:p>
        </w:tc>
        <w:tc>
          <w:tcPr>
            <w:tcW w:w="917" w:type="dxa"/>
            <w:vAlign w:val="center"/>
          </w:tcPr>
          <w:p w14:paraId="5AA2C25E">
            <w:pPr>
              <w:jc w:val="center"/>
              <w:rPr>
                <w:rFonts w:ascii="仿宋_GB2312" w:hAnsi="仿宋" w:eastAsia="仿宋_GB2312"/>
                <w:color w:val="auto"/>
                <w:sz w:val="30"/>
                <w:szCs w:val="30"/>
                <w:highlight w:val="none"/>
              </w:rPr>
            </w:pPr>
          </w:p>
        </w:tc>
        <w:tc>
          <w:tcPr>
            <w:tcW w:w="2552" w:type="dxa"/>
            <w:vAlign w:val="center"/>
          </w:tcPr>
          <w:p w14:paraId="310767BE">
            <w:pPr>
              <w:jc w:val="center"/>
              <w:rPr>
                <w:rFonts w:ascii="仿宋_GB2312" w:hAnsi="仿宋" w:eastAsia="仿宋_GB2312"/>
                <w:color w:val="auto"/>
                <w:sz w:val="30"/>
                <w:szCs w:val="30"/>
                <w:highlight w:val="none"/>
              </w:rPr>
            </w:pPr>
          </w:p>
        </w:tc>
        <w:tc>
          <w:tcPr>
            <w:tcW w:w="1134" w:type="dxa"/>
            <w:vAlign w:val="center"/>
          </w:tcPr>
          <w:p w14:paraId="0423A477">
            <w:pPr>
              <w:jc w:val="center"/>
              <w:rPr>
                <w:rFonts w:ascii="仿宋_GB2312" w:hAnsi="仿宋" w:eastAsia="仿宋_GB2312"/>
                <w:color w:val="auto"/>
                <w:sz w:val="30"/>
                <w:szCs w:val="30"/>
                <w:highlight w:val="none"/>
              </w:rPr>
            </w:pPr>
          </w:p>
        </w:tc>
        <w:tc>
          <w:tcPr>
            <w:tcW w:w="1417" w:type="dxa"/>
            <w:vAlign w:val="center"/>
          </w:tcPr>
          <w:p w14:paraId="666924CC">
            <w:pPr>
              <w:jc w:val="center"/>
              <w:rPr>
                <w:rFonts w:ascii="仿宋_GB2312" w:hAnsi="仿宋" w:eastAsia="仿宋_GB2312"/>
                <w:color w:val="auto"/>
                <w:sz w:val="30"/>
                <w:szCs w:val="30"/>
                <w:highlight w:val="none"/>
              </w:rPr>
            </w:pPr>
          </w:p>
        </w:tc>
        <w:tc>
          <w:tcPr>
            <w:tcW w:w="1276" w:type="dxa"/>
            <w:vAlign w:val="center"/>
          </w:tcPr>
          <w:p w14:paraId="6AB58F75">
            <w:pPr>
              <w:jc w:val="center"/>
              <w:rPr>
                <w:rFonts w:ascii="仿宋_GB2312" w:hAnsi="仿宋" w:eastAsia="仿宋_GB2312"/>
                <w:color w:val="auto"/>
                <w:sz w:val="30"/>
                <w:szCs w:val="30"/>
                <w:highlight w:val="none"/>
              </w:rPr>
            </w:pPr>
          </w:p>
        </w:tc>
        <w:tc>
          <w:tcPr>
            <w:tcW w:w="1210" w:type="dxa"/>
            <w:vAlign w:val="center"/>
          </w:tcPr>
          <w:p w14:paraId="524D642E">
            <w:pPr>
              <w:jc w:val="center"/>
              <w:rPr>
                <w:rFonts w:ascii="仿宋_GB2312" w:hAnsi="仿宋" w:eastAsia="仿宋_GB2312"/>
                <w:color w:val="auto"/>
                <w:sz w:val="30"/>
                <w:szCs w:val="30"/>
                <w:highlight w:val="none"/>
              </w:rPr>
            </w:pPr>
          </w:p>
        </w:tc>
      </w:tr>
      <w:tr w14:paraId="446A2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BAC6D52">
            <w:pPr>
              <w:jc w:val="center"/>
              <w:rPr>
                <w:rFonts w:ascii="仿宋_GB2312" w:hAnsi="仿宋" w:eastAsia="仿宋_GB2312"/>
                <w:color w:val="auto"/>
                <w:sz w:val="30"/>
                <w:szCs w:val="30"/>
                <w:highlight w:val="none"/>
              </w:rPr>
            </w:pPr>
          </w:p>
        </w:tc>
        <w:tc>
          <w:tcPr>
            <w:tcW w:w="917" w:type="dxa"/>
            <w:vAlign w:val="center"/>
          </w:tcPr>
          <w:p w14:paraId="60EAAE8A">
            <w:pPr>
              <w:jc w:val="center"/>
              <w:rPr>
                <w:rFonts w:ascii="仿宋_GB2312" w:hAnsi="仿宋" w:eastAsia="仿宋_GB2312"/>
                <w:color w:val="auto"/>
                <w:sz w:val="30"/>
                <w:szCs w:val="30"/>
                <w:highlight w:val="none"/>
              </w:rPr>
            </w:pPr>
          </w:p>
        </w:tc>
        <w:tc>
          <w:tcPr>
            <w:tcW w:w="2552" w:type="dxa"/>
            <w:vAlign w:val="center"/>
          </w:tcPr>
          <w:p w14:paraId="2636D67A">
            <w:pPr>
              <w:jc w:val="center"/>
              <w:rPr>
                <w:rFonts w:ascii="仿宋_GB2312" w:hAnsi="仿宋" w:eastAsia="仿宋_GB2312"/>
                <w:color w:val="auto"/>
                <w:sz w:val="30"/>
                <w:szCs w:val="30"/>
                <w:highlight w:val="none"/>
              </w:rPr>
            </w:pPr>
          </w:p>
        </w:tc>
        <w:tc>
          <w:tcPr>
            <w:tcW w:w="1134" w:type="dxa"/>
            <w:vAlign w:val="center"/>
          </w:tcPr>
          <w:p w14:paraId="20CEC0D7">
            <w:pPr>
              <w:jc w:val="center"/>
              <w:rPr>
                <w:rFonts w:ascii="仿宋_GB2312" w:hAnsi="仿宋" w:eastAsia="仿宋_GB2312"/>
                <w:color w:val="auto"/>
                <w:sz w:val="30"/>
                <w:szCs w:val="30"/>
                <w:highlight w:val="none"/>
              </w:rPr>
            </w:pPr>
          </w:p>
        </w:tc>
        <w:tc>
          <w:tcPr>
            <w:tcW w:w="1417" w:type="dxa"/>
            <w:vAlign w:val="center"/>
          </w:tcPr>
          <w:p w14:paraId="36C8CCA0">
            <w:pPr>
              <w:jc w:val="center"/>
              <w:rPr>
                <w:rFonts w:ascii="仿宋_GB2312" w:hAnsi="仿宋" w:eastAsia="仿宋_GB2312"/>
                <w:color w:val="auto"/>
                <w:sz w:val="30"/>
                <w:szCs w:val="30"/>
                <w:highlight w:val="none"/>
              </w:rPr>
            </w:pPr>
          </w:p>
        </w:tc>
        <w:tc>
          <w:tcPr>
            <w:tcW w:w="1276" w:type="dxa"/>
            <w:vAlign w:val="center"/>
          </w:tcPr>
          <w:p w14:paraId="505EEBC4">
            <w:pPr>
              <w:jc w:val="center"/>
              <w:rPr>
                <w:rFonts w:ascii="仿宋_GB2312" w:hAnsi="仿宋" w:eastAsia="仿宋_GB2312"/>
                <w:color w:val="auto"/>
                <w:sz w:val="30"/>
                <w:szCs w:val="30"/>
                <w:highlight w:val="none"/>
              </w:rPr>
            </w:pPr>
          </w:p>
        </w:tc>
        <w:tc>
          <w:tcPr>
            <w:tcW w:w="1210" w:type="dxa"/>
            <w:vAlign w:val="center"/>
          </w:tcPr>
          <w:p w14:paraId="6487AFA5">
            <w:pPr>
              <w:jc w:val="center"/>
              <w:rPr>
                <w:rFonts w:ascii="仿宋_GB2312" w:hAnsi="仿宋" w:eastAsia="仿宋_GB2312"/>
                <w:color w:val="auto"/>
                <w:sz w:val="30"/>
                <w:szCs w:val="30"/>
                <w:highlight w:val="none"/>
              </w:rPr>
            </w:pPr>
          </w:p>
        </w:tc>
      </w:tr>
      <w:tr w14:paraId="6D14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7645812">
            <w:pPr>
              <w:jc w:val="center"/>
              <w:rPr>
                <w:rFonts w:ascii="仿宋_GB2312" w:hAnsi="仿宋" w:eastAsia="仿宋_GB2312"/>
                <w:color w:val="auto"/>
                <w:sz w:val="30"/>
                <w:szCs w:val="30"/>
                <w:highlight w:val="none"/>
              </w:rPr>
            </w:pPr>
          </w:p>
        </w:tc>
        <w:tc>
          <w:tcPr>
            <w:tcW w:w="917" w:type="dxa"/>
            <w:vAlign w:val="center"/>
          </w:tcPr>
          <w:p w14:paraId="1F937BB0">
            <w:pPr>
              <w:jc w:val="center"/>
              <w:rPr>
                <w:rFonts w:ascii="仿宋_GB2312" w:hAnsi="仿宋" w:eastAsia="仿宋_GB2312"/>
                <w:color w:val="auto"/>
                <w:sz w:val="30"/>
                <w:szCs w:val="30"/>
                <w:highlight w:val="none"/>
              </w:rPr>
            </w:pPr>
          </w:p>
        </w:tc>
        <w:tc>
          <w:tcPr>
            <w:tcW w:w="2552" w:type="dxa"/>
            <w:vAlign w:val="center"/>
          </w:tcPr>
          <w:p w14:paraId="77FCDDE9">
            <w:pPr>
              <w:jc w:val="center"/>
              <w:rPr>
                <w:rFonts w:ascii="仿宋_GB2312" w:hAnsi="仿宋" w:eastAsia="仿宋_GB2312"/>
                <w:color w:val="auto"/>
                <w:sz w:val="30"/>
                <w:szCs w:val="30"/>
                <w:highlight w:val="none"/>
              </w:rPr>
            </w:pPr>
          </w:p>
        </w:tc>
        <w:tc>
          <w:tcPr>
            <w:tcW w:w="1134" w:type="dxa"/>
            <w:vAlign w:val="center"/>
          </w:tcPr>
          <w:p w14:paraId="3ADA1EB8">
            <w:pPr>
              <w:jc w:val="center"/>
              <w:rPr>
                <w:rFonts w:ascii="仿宋_GB2312" w:hAnsi="仿宋" w:eastAsia="仿宋_GB2312"/>
                <w:color w:val="auto"/>
                <w:sz w:val="30"/>
                <w:szCs w:val="30"/>
                <w:highlight w:val="none"/>
              </w:rPr>
            </w:pPr>
          </w:p>
        </w:tc>
        <w:tc>
          <w:tcPr>
            <w:tcW w:w="1417" w:type="dxa"/>
            <w:vAlign w:val="center"/>
          </w:tcPr>
          <w:p w14:paraId="5CD9420C">
            <w:pPr>
              <w:jc w:val="center"/>
              <w:rPr>
                <w:rFonts w:ascii="仿宋_GB2312" w:hAnsi="仿宋" w:eastAsia="仿宋_GB2312"/>
                <w:color w:val="auto"/>
                <w:sz w:val="30"/>
                <w:szCs w:val="30"/>
                <w:highlight w:val="none"/>
              </w:rPr>
            </w:pPr>
          </w:p>
        </w:tc>
        <w:tc>
          <w:tcPr>
            <w:tcW w:w="1276" w:type="dxa"/>
            <w:vAlign w:val="center"/>
          </w:tcPr>
          <w:p w14:paraId="15C7B1F6">
            <w:pPr>
              <w:jc w:val="center"/>
              <w:rPr>
                <w:rFonts w:ascii="仿宋_GB2312" w:hAnsi="仿宋" w:eastAsia="仿宋_GB2312"/>
                <w:color w:val="auto"/>
                <w:sz w:val="30"/>
                <w:szCs w:val="30"/>
                <w:highlight w:val="none"/>
              </w:rPr>
            </w:pPr>
          </w:p>
        </w:tc>
        <w:tc>
          <w:tcPr>
            <w:tcW w:w="1210" w:type="dxa"/>
            <w:vAlign w:val="center"/>
          </w:tcPr>
          <w:p w14:paraId="2902D78D">
            <w:pPr>
              <w:jc w:val="center"/>
              <w:rPr>
                <w:rFonts w:ascii="仿宋_GB2312" w:hAnsi="仿宋" w:eastAsia="仿宋_GB2312"/>
                <w:color w:val="auto"/>
                <w:sz w:val="30"/>
                <w:szCs w:val="30"/>
                <w:highlight w:val="none"/>
              </w:rPr>
            </w:pPr>
          </w:p>
        </w:tc>
      </w:tr>
      <w:tr w14:paraId="24C6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3EA74A7">
            <w:pPr>
              <w:jc w:val="center"/>
              <w:rPr>
                <w:rFonts w:ascii="仿宋_GB2312" w:hAnsi="仿宋" w:eastAsia="仿宋_GB2312"/>
                <w:color w:val="auto"/>
                <w:sz w:val="30"/>
                <w:szCs w:val="30"/>
                <w:highlight w:val="none"/>
              </w:rPr>
            </w:pPr>
          </w:p>
        </w:tc>
        <w:tc>
          <w:tcPr>
            <w:tcW w:w="917" w:type="dxa"/>
            <w:vAlign w:val="center"/>
          </w:tcPr>
          <w:p w14:paraId="4489FFDD">
            <w:pPr>
              <w:jc w:val="center"/>
              <w:rPr>
                <w:rFonts w:ascii="仿宋_GB2312" w:hAnsi="仿宋" w:eastAsia="仿宋_GB2312"/>
                <w:color w:val="auto"/>
                <w:sz w:val="30"/>
                <w:szCs w:val="30"/>
                <w:highlight w:val="none"/>
              </w:rPr>
            </w:pPr>
          </w:p>
        </w:tc>
        <w:tc>
          <w:tcPr>
            <w:tcW w:w="2552" w:type="dxa"/>
            <w:vAlign w:val="center"/>
          </w:tcPr>
          <w:p w14:paraId="7D2988EA">
            <w:pPr>
              <w:jc w:val="center"/>
              <w:rPr>
                <w:rFonts w:ascii="仿宋_GB2312" w:hAnsi="仿宋" w:eastAsia="仿宋_GB2312"/>
                <w:color w:val="auto"/>
                <w:sz w:val="30"/>
                <w:szCs w:val="30"/>
                <w:highlight w:val="none"/>
              </w:rPr>
            </w:pPr>
          </w:p>
        </w:tc>
        <w:tc>
          <w:tcPr>
            <w:tcW w:w="1134" w:type="dxa"/>
            <w:vAlign w:val="center"/>
          </w:tcPr>
          <w:p w14:paraId="3D766BB9">
            <w:pPr>
              <w:jc w:val="center"/>
              <w:rPr>
                <w:rFonts w:ascii="仿宋_GB2312" w:hAnsi="仿宋" w:eastAsia="仿宋_GB2312"/>
                <w:color w:val="auto"/>
                <w:sz w:val="30"/>
                <w:szCs w:val="30"/>
                <w:highlight w:val="none"/>
              </w:rPr>
            </w:pPr>
          </w:p>
        </w:tc>
        <w:tc>
          <w:tcPr>
            <w:tcW w:w="1417" w:type="dxa"/>
            <w:vAlign w:val="center"/>
          </w:tcPr>
          <w:p w14:paraId="030F75A6">
            <w:pPr>
              <w:jc w:val="center"/>
              <w:rPr>
                <w:rFonts w:ascii="仿宋_GB2312" w:hAnsi="仿宋" w:eastAsia="仿宋_GB2312"/>
                <w:color w:val="auto"/>
                <w:sz w:val="30"/>
                <w:szCs w:val="30"/>
                <w:highlight w:val="none"/>
              </w:rPr>
            </w:pPr>
          </w:p>
        </w:tc>
        <w:tc>
          <w:tcPr>
            <w:tcW w:w="1276" w:type="dxa"/>
            <w:vAlign w:val="center"/>
          </w:tcPr>
          <w:p w14:paraId="032101D4">
            <w:pPr>
              <w:jc w:val="center"/>
              <w:rPr>
                <w:rFonts w:ascii="仿宋_GB2312" w:hAnsi="仿宋" w:eastAsia="仿宋_GB2312"/>
                <w:color w:val="auto"/>
                <w:sz w:val="30"/>
                <w:szCs w:val="30"/>
                <w:highlight w:val="none"/>
              </w:rPr>
            </w:pPr>
          </w:p>
        </w:tc>
        <w:tc>
          <w:tcPr>
            <w:tcW w:w="1210" w:type="dxa"/>
            <w:vAlign w:val="center"/>
          </w:tcPr>
          <w:p w14:paraId="244FCF0D">
            <w:pPr>
              <w:jc w:val="center"/>
              <w:rPr>
                <w:rFonts w:ascii="仿宋_GB2312" w:hAnsi="仿宋" w:eastAsia="仿宋_GB2312"/>
                <w:color w:val="auto"/>
                <w:sz w:val="30"/>
                <w:szCs w:val="30"/>
                <w:highlight w:val="none"/>
              </w:rPr>
            </w:pPr>
          </w:p>
        </w:tc>
      </w:tr>
      <w:tr w14:paraId="036B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FEDEA7E">
            <w:pPr>
              <w:jc w:val="center"/>
              <w:rPr>
                <w:rFonts w:ascii="仿宋_GB2312" w:hAnsi="仿宋" w:eastAsia="仿宋_GB2312"/>
                <w:color w:val="auto"/>
                <w:sz w:val="30"/>
                <w:szCs w:val="30"/>
                <w:highlight w:val="none"/>
              </w:rPr>
            </w:pPr>
          </w:p>
        </w:tc>
        <w:tc>
          <w:tcPr>
            <w:tcW w:w="917" w:type="dxa"/>
            <w:vAlign w:val="center"/>
          </w:tcPr>
          <w:p w14:paraId="6549F176">
            <w:pPr>
              <w:jc w:val="center"/>
              <w:rPr>
                <w:rFonts w:ascii="仿宋_GB2312" w:hAnsi="仿宋" w:eastAsia="仿宋_GB2312"/>
                <w:color w:val="auto"/>
                <w:sz w:val="30"/>
                <w:szCs w:val="30"/>
                <w:highlight w:val="none"/>
              </w:rPr>
            </w:pPr>
          </w:p>
        </w:tc>
        <w:tc>
          <w:tcPr>
            <w:tcW w:w="2552" w:type="dxa"/>
            <w:vAlign w:val="center"/>
          </w:tcPr>
          <w:p w14:paraId="60C12849">
            <w:pPr>
              <w:jc w:val="center"/>
              <w:rPr>
                <w:rFonts w:ascii="仿宋_GB2312" w:hAnsi="仿宋" w:eastAsia="仿宋_GB2312"/>
                <w:color w:val="auto"/>
                <w:sz w:val="30"/>
                <w:szCs w:val="30"/>
                <w:highlight w:val="none"/>
              </w:rPr>
            </w:pPr>
          </w:p>
        </w:tc>
        <w:tc>
          <w:tcPr>
            <w:tcW w:w="1134" w:type="dxa"/>
            <w:vAlign w:val="center"/>
          </w:tcPr>
          <w:p w14:paraId="6D33725A">
            <w:pPr>
              <w:jc w:val="center"/>
              <w:rPr>
                <w:rFonts w:ascii="仿宋_GB2312" w:hAnsi="仿宋" w:eastAsia="仿宋_GB2312"/>
                <w:color w:val="auto"/>
                <w:sz w:val="30"/>
                <w:szCs w:val="30"/>
                <w:highlight w:val="none"/>
              </w:rPr>
            </w:pPr>
          </w:p>
        </w:tc>
        <w:tc>
          <w:tcPr>
            <w:tcW w:w="1417" w:type="dxa"/>
            <w:vAlign w:val="center"/>
          </w:tcPr>
          <w:p w14:paraId="69B6CDDF">
            <w:pPr>
              <w:jc w:val="center"/>
              <w:rPr>
                <w:rFonts w:ascii="仿宋_GB2312" w:hAnsi="仿宋" w:eastAsia="仿宋_GB2312"/>
                <w:color w:val="auto"/>
                <w:sz w:val="30"/>
                <w:szCs w:val="30"/>
                <w:highlight w:val="none"/>
              </w:rPr>
            </w:pPr>
          </w:p>
        </w:tc>
        <w:tc>
          <w:tcPr>
            <w:tcW w:w="1276" w:type="dxa"/>
            <w:vAlign w:val="center"/>
          </w:tcPr>
          <w:p w14:paraId="2504C280">
            <w:pPr>
              <w:jc w:val="center"/>
              <w:rPr>
                <w:rFonts w:ascii="仿宋_GB2312" w:hAnsi="仿宋" w:eastAsia="仿宋_GB2312"/>
                <w:color w:val="auto"/>
                <w:sz w:val="30"/>
                <w:szCs w:val="30"/>
                <w:highlight w:val="none"/>
              </w:rPr>
            </w:pPr>
          </w:p>
        </w:tc>
        <w:tc>
          <w:tcPr>
            <w:tcW w:w="1210" w:type="dxa"/>
            <w:vAlign w:val="center"/>
          </w:tcPr>
          <w:p w14:paraId="42A65DD9">
            <w:pPr>
              <w:jc w:val="center"/>
              <w:rPr>
                <w:rFonts w:ascii="仿宋_GB2312" w:hAnsi="仿宋" w:eastAsia="仿宋_GB2312"/>
                <w:color w:val="auto"/>
                <w:sz w:val="30"/>
                <w:szCs w:val="30"/>
                <w:highlight w:val="none"/>
              </w:rPr>
            </w:pPr>
          </w:p>
        </w:tc>
      </w:tr>
      <w:tr w14:paraId="19AA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2C0AD6E">
            <w:pPr>
              <w:jc w:val="center"/>
              <w:rPr>
                <w:rFonts w:ascii="仿宋_GB2312" w:hAnsi="仿宋" w:eastAsia="仿宋_GB2312"/>
                <w:color w:val="auto"/>
                <w:sz w:val="30"/>
                <w:szCs w:val="30"/>
                <w:highlight w:val="none"/>
              </w:rPr>
            </w:pPr>
          </w:p>
        </w:tc>
        <w:tc>
          <w:tcPr>
            <w:tcW w:w="917" w:type="dxa"/>
            <w:vAlign w:val="center"/>
          </w:tcPr>
          <w:p w14:paraId="74CA2C8D">
            <w:pPr>
              <w:jc w:val="center"/>
              <w:rPr>
                <w:rFonts w:ascii="仿宋_GB2312" w:hAnsi="仿宋" w:eastAsia="仿宋_GB2312"/>
                <w:color w:val="auto"/>
                <w:sz w:val="30"/>
                <w:szCs w:val="30"/>
                <w:highlight w:val="none"/>
              </w:rPr>
            </w:pPr>
          </w:p>
        </w:tc>
        <w:tc>
          <w:tcPr>
            <w:tcW w:w="2552" w:type="dxa"/>
            <w:vAlign w:val="center"/>
          </w:tcPr>
          <w:p w14:paraId="0B1C0407">
            <w:pPr>
              <w:jc w:val="center"/>
              <w:rPr>
                <w:rFonts w:ascii="仿宋_GB2312" w:hAnsi="仿宋" w:eastAsia="仿宋_GB2312"/>
                <w:color w:val="auto"/>
                <w:sz w:val="30"/>
                <w:szCs w:val="30"/>
                <w:highlight w:val="none"/>
              </w:rPr>
            </w:pPr>
          </w:p>
        </w:tc>
        <w:tc>
          <w:tcPr>
            <w:tcW w:w="1134" w:type="dxa"/>
            <w:vAlign w:val="center"/>
          </w:tcPr>
          <w:p w14:paraId="4CD33C1C">
            <w:pPr>
              <w:jc w:val="center"/>
              <w:rPr>
                <w:rFonts w:ascii="仿宋_GB2312" w:hAnsi="仿宋" w:eastAsia="仿宋_GB2312"/>
                <w:color w:val="auto"/>
                <w:sz w:val="30"/>
                <w:szCs w:val="30"/>
                <w:highlight w:val="none"/>
              </w:rPr>
            </w:pPr>
          </w:p>
        </w:tc>
        <w:tc>
          <w:tcPr>
            <w:tcW w:w="1417" w:type="dxa"/>
            <w:vAlign w:val="center"/>
          </w:tcPr>
          <w:p w14:paraId="5EB5E785">
            <w:pPr>
              <w:jc w:val="center"/>
              <w:rPr>
                <w:rFonts w:ascii="仿宋_GB2312" w:hAnsi="仿宋" w:eastAsia="仿宋_GB2312"/>
                <w:color w:val="auto"/>
                <w:sz w:val="30"/>
                <w:szCs w:val="30"/>
                <w:highlight w:val="none"/>
              </w:rPr>
            </w:pPr>
          </w:p>
        </w:tc>
        <w:tc>
          <w:tcPr>
            <w:tcW w:w="1276" w:type="dxa"/>
            <w:vAlign w:val="center"/>
          </w:tcPr>
          <w:p w14:paraId="037FC1FF">
            <w:pPr>
              <w:jc w:val="center"/>
              <w:rPr>
                <w:rFonts w:ascii="仿宋_GB2312" w:hAnsi="仿宋" w:eastAsia="仿宋_GB2312"/>
                <w:color w:val="auto"/>
                <w:sz w:val="30"/>
                <w:szCs w:val="30"/>
                <w:highlight w:val="none"/>
              </w:rPr>
            </w:pPr>
          </w:p>
        </w:tc>
        <w:tc>
          <w:tcPr>
            <w:tcW w:w="1210" w:type="dxa"/>
            <w:vAlign w:val="center"/>
          </w:tcPr>
          <w:p w14:paraId="5741FD98">
            <w:pPr>
              <w:jc w:val="center"/>
              <w:rPr>
                <w:rFonts w:ascii="仿宋_GB2312" w:hAnsi="仿宋" w:eastAsia="仿宋_GB2312"/>
                <w:color w:val="auto"/>
                <w:sz w:val="30"/>
                <w:szCs w:val="30"/>
                <w:highlight w:val="none"/>
              </w:rPr>
            </w:pPr>
          </w:p>
        </w:tc>
      </w:tr>
      <w:tr w14:paraId="4C89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2A10388">
            <w:pPr>
              <w:jc w:val="center"/>
              <w:rPr>
                <w:rFonts w:ascii="仿宋_GB2312" w:hAnsi="仿宋" w:eastAsia="仿宋_GB2312"/>
                <w:color w:val="auto"/>
                <w:sz w:val="30"/>
                <w:szCs w:val="30"/>
                <w:highlight w:val="none"/>
              </w:rPr>
            </w:pPr>
          </w:p>
        </w:tc>
        <w:tc>
          <w:tcPr>
            <w:tcW w:w="917" w:type="dxa"/>
            <w:vAlign w:val="center"/>
          </w:tcPr>
          <w:p w14:paraId="36113D6B">
            <w:pPr>
              <w:jc w:val="center"/>
              <w:rPr>
                <w:rFonts w:ascii="仿宋_GB2312" w:hAnsi="仿宋" w:eastAsia="仿宋_GB2312"/>
                <w:color w:val="auto"/>
                <w:sz w:val="30"/>
                <w:szCs w:val="30"/>
                <w:highlight w:val="none"/>
              </w:rPr>
            </w:pPr>
          </w:p>
        </w:tc>
        <w:tc>
          <w:tcPr>
            <w:tcW w:w="2552" w:type="dxa"/>
            <w:vAlign w:val="center"/>
          </w:tcPr>
          <w:p w14:paraId="4E6DF083">
            <w:pPr>
              <w:jc w:val="center"/>
              <w:rPr>
                <w:rFonts w:ascii="仿宋_GB2312" w:hAnsi="仿宋" w:eastAsia="仿宋_GB2312"/>
                <w:color w:val="auto"/>
                <w:sz w:val="30"/>
                <w:szCs w:val="30"/>
                <w:highlight w:val="none"/>
              </w:rPr>
            </w:pPr>
          </w:p>
        </w:tc>
        <w:tc>
          <w:tcPr>
            <w:tcW w:w="1134" w:type="dxa"/>
            <w:vAlign w:val="center"/>
          </w:tcPr>
          <w:p w14:paraId="6AB0A5BB">
            <w:pPr>
              <w:jc w:val="center"/>
              <w:rPr>
                <w:rFonts w:ascii="仿宋_GB2312" w:hAnsi="仿宋" w:eastAsia="仿宋_GB2312"/>
                <w:color w:val="auto"/>
                <w:sz w:val="30"/>
                <w:szCs w:val="30"/>
                <w:highlight w:val="none"/>
              </w:rPr>
            </w:pPr>
          </w:p>
        </w:tc>
        <w:tc>
          <w:tcPr>
            <w:tcW w:w="1417" w:type="dxa"/>
            <w:vAlign w:val="center"/>
          </w:tcPr>
          <w:p w14:paraId="15D2F677">
            <w:pPr>
              <w:jc w:val="center"/>
              <w:rPr>
                <w:rFonts w:ascii="仿宋_GB2312" w:hAnsi="仿宋" w:eastAsia="仿宋_GB2312"/>
                <w:color w:val="auto"/>
                <w:sz w:val="30"/>
                <w:szCs w:val="30"/>
                <w:highlight w:val="none"/>
              </w:rPr>
            </w:pPr>
          </w:p>
        </w:tc>
        <w:tc>
          <w:tcPr>
            <w:tcW w:w="1276" w:type="dxa"/>
            <w:vAlign w:val="center"/>
          </w:tcPr>
          <w:p w14:paraId="5945EC8D">
            <w:pPr>
              <w:jc w:val="center"/>
              <w:rPr>
                <w:rFonts w:ascii="仿宋_GB2312" w:hAnsi="仿宋" w:eastAsia="仿宋_GB2312"/>
                <w:color w:val="auto"/>
                <w:sz w:val="30"/>
                <w:szCs w:val="30"/>
                <w:highlight w:val="none"/>
              </w:rPr>
            </w:pPr>
          </w:p>
        </w:tc>
        <w:tc>
          <w:tcPr>
            <w:tcW w:w="1210" w:type="dxa"/>
            <w:vAlign w:val="center"/>
          </w:tcPr>
          <w:p w14:paraId="6A90B556">
            <w:pPr>
              <w:jc w:val="center"/>
              <w:rPr>
                <w:rFonts w:ascii="仿宋_GB2312" w:hAnsi="仿宋" w:eastAsia="仿宋_GB2312"/>
                <w:color w:val="auto"/>
                <w:sz w:val="30"/>
                <w:szCs w:val="30"/>
                <w:highlight w:val="none"/>
              </w:rPr>
            </w:pPr>
          </w:p>
        </w:tc>
      </w:tr>
      <w:tr w14:paraId="246C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53794F3">
            <w:pPr>
              <w:jc w:val="center"/>
              <w:rPr>
                <w:rFonts w:ascii="仿宋_GB2312" w:hAnsi="仿宋" w:eastAsia="仿宋_GB2312"/>
                <w:color w:val="auto"/>
                <w:sz w:val="30"/>
                <w:szCs w:val="30"/>
                <w:highlight w:val="none"/>
              </w:rPr>
            </w:pPr>
          </w:p>
        </w:tc>
        <w:tc>
          <w:tcPr>
            <w:tcW w:w="917" w:type="dxa"/>
            <w:vAlign w:val="center"/>
          </w:tcPr>
          <w:p w14:paraId="505A1A40">
            <w:pPr>
              <w:jc w:val="center"/>
              <w:rPr>
                <w:rFonts w:ascii="仿宋_GB2312" w:hAnsi="仿宋" w:eastAsia="仿宋_GB2312"/>
                <w:color w:val="auto"/>
                <w:sz w:val="30"/>
                <w:szCs w:val="30"/>
                <w:highlight w:val="none"/>
              </w:rPr>
            </w:pPr>
          </w:p>
        </w:tc>
        <w:tc>
          <w:tcPr>
            <w:tcW w:w="2552" w:type="dxa"/>
            <w:vAlign w:val="center"/>
          </w:tcPr>
          <w:p w14:paraId="2BADD946">
            <w:pPr>
              <w:jc w:val="center"/>
              <w:rPr>
                <w:rFonts w:ascii="仿宋_GB2312" w:hAnsi="仿宋" w:eastAsia="仿宋_GB2312"/>
                <w:color w:val="auto"/>
                <w:sz w:val="30"/>
                <w:szCs w:val="30"/>
                <w:highlight w:val="none"/>
              </w:rPr>
            </w:pPr>
          </w:p>
        </w:tc>
        <w:tc>
          <w:tcPr>
            <w:tcW w:w="1134" w:type="dxa"/>
            <w:vAlign w:val="center"/>
          </w:tcPr>
          <w:p w14:paraId="47752BF8">
            <w:pPr>
              <w:jc w:val="center"/>
              <w:rPr>
                <w:rFonts w:ascii="仿宋_GB2312" w:hAnsi="仿宋" w:eastAsia="仿宋_GB2312"/>
                <w:color w:val="auto"/>
                <w:sz w:val="30"/>
                <w:szCs w:val="30"/>
                <w:highlight w:val="none"/>
              </w:rPr>
            </w:pPr>
          </w:p>
        </w:tc>
        <w:tc>
          <w:tcPr>
            <w:tcW w:w="1417" w:type="dxa"/>
            <w:vAlign w:val="center"/>
          </w:tcPr>
          <w:p w14:paraId="7524A541">
            <w:pPr>
              <w:jc w:val="center"/>
              <w:rPr>
                <w:rFonts w:ascii="仿宋_GB2312" w:hAnsi="仿宋" w:eastAsia="仿宋_GB2312"/>
                <w:color w:val="auto"/>
                <w:sz w:val="30"/>
                <w:szCs w:val="30"/>
                <w:highlight w:val="none"/>
              </w:rPr>
            </w:pPr>
          </w:p>
        </w:tc>
        <w:tc>
          <w:tcPr>
            <w:tcW w:w="1276" w:type="dxa"/>
            <w:vAlign w:val="center"/>
          </w:tcPr>
          <w:p w14:paraId="19E4987D">
            <w:pPr>
              <w:jc w:val="center"/>
              <w:rPr>
                <w:rFonts w:ascii="仿宋_GB2312" w:hAnsi="仿宋" w:eastAsia="仿宋_GB2312"/>
                <w:color w:val="auto"/>
                <w:sz w:val="30"/>
                <w:szCs w:val="30"/>
                <w:highlight w:val="none"/>
              </w:rPr>
            </w:pPr>
          </w:p>
        </w:tc>
        <w:tc>
          <w:tcPr>
            <w:tcW w:w="1210" w:type="dxa"/>
            <w:vAlign w:val="center"/>
          </w:tcPr>
          <w:p w14:paraId="71BAC035">
            <w:pPr>
              <w:jc w:val="center"/>
              <w:rPr>
                <w:rFonts w:ascii="仿宋_GB2312" w:hAnsi="仿宋" w:eastAsia="仿宋_GB2312"/>
                <w:color w:val="auto"/>
                <w:sz w:val="30"/>
                <w:szCs w:val="30"/>
                <w:highlight w:val="none"/>
              </w:rPr>
            </w:pPr>
          </w:p>
        </w:tc>
      </w:tr>
      <w:tr w14:paraId="59FA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9EBFB25">
            <w:pPr>
              <w:jc w:val="center"/>
              <w:rPr>
                <w:rFonts w:ascii="仿宋_GB2312" w:hAnsi="仿宋" w:eastAsia="仿宋_GB2312"/>
                <w:color w:val="auto"/>
                <w:sz w:val="30"/>
                <w:szCs w:val="30"/>
                <w:highlight w:val="none"/>
              </w:rPr>
            </w:pPr>
          </w:p>
        </w:tc>
        <w:tc>
          <w:tcPr>
            <w:tcW w:w="917" w:type="dxa"/>
            <w:vAlign w:val="center"/>
          </w:tcPr>
          <w:p w14:paraId="6D0EBA91">
            <w:pPr>
              <w:jc w:val="center"/>
              <w:rPr>
                <w:rFonts w:ascii="仿宋_GB2312" w:hAnsi="仿宋" w:eastAsia="仿宋_GB2312"/>
                <w:color w:val="auto"/>
                <w:sz w:val="30"/>
                <w:szCs w:val="30"/>
                <w:highlight w:val="none"/>
              </w:rPr>
            </w:pPr>
          </w:p>
        </w:tc>
        <w:tc>
          <w:tcPr>
            <w:tcW w:w="2552" w:type="dxa"/>
            <w:vAlign w:val="center"/>
          </w:tcPr>
          <w:p w14:paraId="69183DE4">
            <w:pPr>
              <w:jc w:val="center"/>
              <w:rPr>
                <w:rFonts w:ascii="仿宋_GB2312" w:hAnsi="仿宋" w:eastAsia="仿宋_GB2312"/>
                <w:color w:val="auto"/>
                <w:sz w:val="30"/>
                <w:szCs w:val="30"/>
                <w:highlight w:val="none"/>
              </w:rPr>
            </w:pPr>
          </w:p>
        </w:tc>
        <w:tc>
          <w:tcPr>
            <w:tcW w:w="1134" w:type="dxa"/>
            <w:vAlign w:val="center"/>
          </w:tcPr>
          <w:p w14:paraId="620B3F59">
            <w:pPr>
              <w:jc w:val="center"/>
              <w:rPr>
                <w:rFonts w:ascii="仿宋_GB2312" w:hAnsi="仿宋" w:eastAsia="仿宋_GB2312"/>
                <w:color w:val="auto"/>
                <w:sz w:val="30"/>
                <w:szCs w:val="30"/>
                <w:highlight w:val="none"/>
              </w:rPr>
            </w:pPr>
          </w:p>
        </w:tc>
        <w:tc>
          <w:tcPr>
            <w:tcW w:w="1417" w:type="dxa"/>
            <w:vAlign w:val="center"/>
          </w:tcPr>
          <w:p w14:paraId="648A2C45">
            <w:pPr>
              <w:jc w:val="center"/>
              <w:rPr>
                <w:rFonts w:ascii="仿宋_GB2312" w:hAnsi="仿宋" w:eastAsia="仿宋_GB2312"/>
                <w:color w:val="auto"/>
                <w:sz w:val="30"/>
                <w:szCs w:val="30"/>
                <w:highlight w:val="none"/>
              </w:rPr>
            </w:pPr>
          </w:p>
        </w:tc>
        <w:tc>
          <w:tcPr>
            <w:tcW w:w="1276" w:type="dxa"/>
            <w:vAlign w:val="center"/>
          </w:tcPr>
          <w:p w14:paraId="23D14556">
            <w:pPr>
              <w:jc w:val="center"/>
              <w:rPr>
                <w:rFonts w:ascii="仿宋_GB2312" w:hAnsi="仿宋" w:eastAsia="仿宋_GB2312"/>
                <w:color w:val="auto"/>
                <w:sz w:val="30"/>
                <w:szCs w:val="30"/>
                <w:highlight w:val="none"/>
              </w:rPr>
            </w:pPr>
          </w:p>
        </w:tc>
        <w:tc>
          <w:tcPr>
            <w:tcW w:w="1210" w:type="dxa"/>
            <w:vAlign w:val="center"/>
          </w:tcPr>
          <w:p w14:paraId="2E5DA7CB">
            <w:pPr>
              <w:jc w:val="center"/>
              <w:rPr>
                <w:rFonts w:ascii="仿宋_GB2312" w:hAnsi="仿宋" w:eastAsia="仿宋_GB2312"/>
                <w:color w:val="auto"/>
                <w:sz w:val="30"/>
                <w:szCs w:val="30"/>
                <w:highlight w:val="none"/>
              </w:rPr>
            </w:pPr>
          </w:p>
        </w:tc>
      </w:tr>
      <w:tr w14:paraId="08324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ABE7E3D">
            <w:pPr>
              <w:jc w:val="center"/>
              <w:rPr>
                <w:rFonts w:ascii="仿宋_GB2312" w:hAnsi="仿宋" w:eastAsia="仿宋_GB2312"/>
                <w:color w:val="auto"/>
                <w:sz w:val="30"/>
                <w:szCs w:val="30"/>
                <w:highlight w:val="none"/>
              </w:rPr>
            </w:pPr>
          </w:p>
        </w:tc>
        <w:tc>
          <w:tcPr>
            <w:tcW w:w="917" w:type="dxa"/>
            <w:vAlign w:val="center"/>
          </w:tcPr>
          <w:p w14:paraId="48FD9265">
            <w:pPr>
              <w:jc w:val="center"/>
              <w:rPr>
                <w:rFonts w:ascii="仿宋_GB2312" w:hAnsi="仿宋" w:eastAsia="仿宋_GB2312"/>
                <w:color w:val="auto"/>
                <w:sz w:val="30"/>
                <w:szCs w:val="30"/>
                <w:highlight w:val="none"/>
              </w:rPr>
            </w:pPr>
          </w:p>
        </w:tc>
        <w:tc>
          <w:tcPr>
            <w:tcW w:w="2552" w:type="dxa"/>
            <w:vAlign w:val="center"/>
          </w:tcPr>
          <w:p w14:paraId="42E61B49">
            <w:pPr>
              <w:jc w:val="center"/>
              <w:rPr>
                <w:rFonts w:ascii="仿宋_GB2312" w:hAnsi="仿宋" w:eastAsia="仿宋_GB2312"/>
                <w:color w:val="auto"/>
                <w:sz w:val="30"/>
                <w:szCs w:val="30"/>
                <w:highlight w:val="none"/>
              </w:rPr>
            </w:pPr>
          </w:p>
        </w:tc>
        <w:tc>
          <w:tcPr>
            <w:tcW w:w="1134" w:type="dxa"/>
            <w:vAlign w:val="center"/>
          </w:tcPr>
          <w:p w14:paraId="10B19D42">
            <w:pPr>
              <w:jc w:val="center"/>
              <w:rPr>
                <w:rFonts w:ascii="仿宋_GB2312" w:hAnsi="仿宋" w:eastAsia="仿宋_GB2312"/>
                <w:color w:val="auto"/>
                <w:sz w:val="30"/>
                <w:szCs w:val="30"/>
                <w:highlight w:val="none"/>
              </w:rPr>
            </w:pPr>
          </w:p>
        </w:tc>
        <w:tc>
          <w:tcPr>
            <w:tcW w:w="1417" w:type="dxa"/>
            <w:vAlign w:val="center"/>
          </w:tcPr>
          <w:p w14:paraId="08EAA95F">
            <w:pPr>
              <w:jc w:val="center"/>
              <w:rPr>
                <w:rFonts w:ascii="仿宋_GB2312" w:hAnsi="仿宋" w:eastAsia="仿宋_GB2312"/>
                <w:color w:val="auto"/>
                <w:sz w:val="30"/>
                <w:szCs w:val="30"/>
                <w:highlight w:val="none"/>
              </w:rPr>
            </w:pPr>
          </w:p>
        </w:tc>
        <w:tc>
          <w:tcPr>
            <w:tcW w:w="1276" w:type="dxa"/>
            <w:vAlign w:val="center"/>
          </w:tcPr>
          <w:p w14:paraId="2D70646D">
            <w:pPr>
              <w:jc w:val="center"/>
              <w:rPr>
                <w:rFonts w:ascii="仿宋_GB2312" w:hAnsi="仿宋" w:eastAsia="仿宋_GB2312"/>
                <w:color w:val="auto"/>
                <w:sz w:val="30"/>
                <w:szCs w:val="30"/>
                <w:highlight w:val="none"/>
              </w:rPr>
            </w:pPr>
          </w:p>
        </w:tc>
        <w:tc>
          <w:tcPr>
            <w:tcW w:w="1210" w:type="dxa"/>
            <w:vAlign w:val="center"/>
          </w:tcPr>
          <w:p w14:paraId="4BC964F1">
            <w:pPr>
              <w:jc w:val="center"/>
              <w:rPr>
                <w:rFonts w:ascii="仿宋_GB2312" w:hAnsi="仿宋" w:eastAsia="仿宋_GB2312"/>
                <w:color w:val="auto"/>
                <w:sz w:val="30"/>
                <w:szCs w:val="30"/>
                <w:highlight w:val="none"/>
              </w:rPr>
            </w:pPr>
          </w:p>
        </w:tc>
      </w:tr>
      <w:tr w14:paraId="7CEB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BB41651">
            <w:pPr>
              <w:jc w:val="center"/>
              <w:rPr>
                <w:rFonts w:ascii="仿宋_GB2312" w:hAnsi="仿宋" w:eastAsia="仿宋_GB2312"/>
                <w:color w:val="auto"/>
                <w:sz w:val="30"/>
                <w:szCs w:val="30"/>
                <w:highlight w:val="none"/>
              </w:rPr>
            </w:pPr>
          </w:p>
        </w:tc>
        <w:tc>
          <w:tcPr>
            <w:tcW w:w="917" w:type="dxa"/>
            <w:vAlign w:val="center"/>
          </w:tcPr>
          <w:p w14:paraId="16C8CA44">
            <w:pPr>
              <w:jc w:val="center"/>
              <w:rPr>
                <w:rFonts w:ascii="仿宋_GB2312" w:hAnsi="仿宋" w:eastAsia="仿宋_GB2312"/>
                <w:color w:val="auto"/>
                <w:sz w:val="30"/>
                <w:szCs w:val="30"/>
                <w:highlight w:val="none"/>
              </w:rPr>
            </w:pPr>
          </w:p>
        </w:tc>
        <w:tc>
          <w:tcPr>
            <w:tcW w:w="2552" w:type="dxa"/>
            <w:vAlign w:val="center"/>
          </w:tcPr>
          <w:p w14:paraId="300445F5">
            <w:pPr>
              <w:jc w:val="center"/>
              <w:rPr>
                <w:rFonts w:ascii="仿宋_GB2312" w:hAnsi="仿宋" w:eastAsia="仿宋_GB2312"/>
                <w:color w:val="auto"/>
                <w:sz w:val="30"/>
                <w:szCs w:val="30"/>
                <w:highlight w:val="none"/>
              </w:rPr>
            </w:pPr>
          </w:p>
        </w:tc>
        <w:tc>
          <w:tcPr>
            <w:tcW w:w="1134" w:type="dxa"/>
            <w:vAlign w:val="center"/>
          </w:tcPr>
          <w:p w14:paraId="2EFC84C6">
            <w:pPr>
              <w:jc w:val="center"/>
              <w:rPr>
                <w:rFonts w:ascii="仿宋_GB2312" w:hAnsi="仿宋" w:eastAsia="仿宋_GB2312"/>
                <w:color w:val="auto"/>
                <w:sz w:val="30"/>
                <w:szCs w:val="30"/>
                <w:highlight w:val="none"/>
              </w:rPr>
            </w:pPr>
          </w:p>
        </w:tc>
        <w:tc>
          <w:tcPr>
            <w:tcW w:w="1417" w:type="dxa"/>
            <w:vAlign w:val="center"/>
          </w:tcPr>
          <w:p w14:paraId="287E5F52">
            <w:pPr>
              <w:jc w:val="center"/>
              <w:rPr>
                <w:rFonts w:ascii="仿宋_GB2312" w:hAnsi="仿宋" w:eastAsia="仿宋_GB2312"/>
                <w:color w:val="auto"/>
                <w:sz w:val="30"/>
                <w:szCs w:val="30"/>
                <w:highlight w:val="none"/>
              </w:rPr>
            </w:pPr>
          </w:p>
        </w:tc>
        <w:tc>
          <w:tcPr>
            <w:tcW w:w="1276" w:type="dxa"/>
            <w:vAlign w:val="center"/>
          </w:tcPr>
          <w:p w14:paraId="131B99E5">
            <w:pPr>
              <w:jc w:val="center"/>
              <w:rPr>
                <w:rFonts w:ascii="仿宋_GB2312" w:hAnsi="仿宋" w:eastAsia="仿宋_GB2312"/>
                <w:color w:val="auto"/>
                <w:sz w:val="30"/>
                <w:szCs w:val="30"/>
                <w:highlight w:val="none"/>
              </w:rPr>
            </w:pPr>
          </w:p>
        </w:tc>
        <w:tc>
          <w:tcPr>
            <w:tcW w:w="1210" w:type="dxa"/>
            <w:vAlign w:val="center"/>
          </w:tcPr>
          <w:p w14:paraId="24EB9626">
            <w:pPr>
              <w:jc w:val="center"/>
              <w:rPr>
                <w:rFonts w:ascii="仿宋_GB2312" w:hAnsi="仿宋" w:eastAsia="仿宋_GB2312"/>
                <w:color w:val="auto"/>
                <w:sz w:val="30"/>
                <w:szCs w:val="30"/>
                <w:highlight w:val="none"/>
              </w:rPr>
            </w:pPr>
          </w:p>
        </w:tc>
      </w:tr>
      <w:tr w14:paraId="47F6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1EB0247">
            <w:pPr>
              <w:jc w:val="center"/>
              <w:rPr>
                <w:rFonts w:ascii="仿宋_GB2312" w:hAnsi="仿宋" w:eastAsia="仿宋_GB2312"/>
                <w:color w:val="auto"/>
                <w:sz w:val="30"/>
                <w:szCs w:val="30"/>
                <w:highlight w:val="none"/>
              </w:rPr>
            </w:pPr>
          </w:p>
        </w:tc>
        <w:tc>
          <w:tcPr>
            <w:tcW w:w="917" w:type="dxa"/>
            <w:vAlign w:val="center"/>
          </w:tcPr>
          <w:p w14:paraId="2FC31A90">
            <w:pPr>
              <w:jc w:val="center"/>
              <w:rPr>
                <w:rFonts w:ascii="仿宋_GB2312" w:hAnsi="仿宋" w:eastAsia="仿宋_GB2312"/>
                <w:color w:val="auto"/>
                <w:sz w:val="30"/>
                <w:szCs w:val="30"/>
                <w:highlight w:val="none"/>
              </w:rPr>
            </w:pPr>
          </w:p>
        </w:tc>
        <w:tc>
          <w:tcPr>
            <w:tcW w:w="2552" w:type="dxa"/>
            <w:vAlign w:val="center"/>
          </w:tcPr>
          <w:p w14:paraId="6ADEC5B4">
            <w:pPr>
              <w:jc w:val="center"/>
              <w:rPr>
                <w:rFonts w:ascii="仿宋_GB2312" w:hAnsi="仿宋" w:eastAsia="仿宋_GB2312"/>
                <w:color w:val="auto"/>
                <w:sz w:val="30"/>
                <w:szCs w:val="30"/>
                <w:highlight w:val="none"/>
              </w:rPr>
            </w:pPr>
          </w:p>
        </w:tc>
        <w:tc>
          <w:tcPr>
            <w:tcW w:w="1134" w:type="dxa"/>
            <w:vAlign w:val="center"/>
          </w:tcPr>
          <w:p w14:paraId="7F536E7E">
            <w:pPr>
              <w:jc w:val="center"/>
              <w:rPr>
                <w:rFonts w:ascii="仿宋_GB2312" w:hAnsi="仿宋" w:eastAsia="仿宋_GB2312"/>
                <w:color w:val="auto"/>
                <w:sz w:val="30"/>
                <w:szCs w:val="30"/>
                <w:highlight w:val="none"/>
              </w:rPr>
            </w:pPr>
          </w:p>
        </w:tc>
        <w:tc>
          <w:tcPr>
            <w:tcW w:w="1417" w:type="dxa"/>
            <w:vAlign w:val="center"/>
          </w:tcPr>
          <w:p w14:paraId="3EC2CB63">
            <w:pPr>
              <w:jc w:val="center"/>
              <w:rPr>
                <w:rFonts w:ascii="仿宋_GB2312" w:hAnsi="仿宋" w:eastAsia="仿宋_GB2312"/>
                <w:color w:val="auto"/>
                <w:sz w:val="30"/>
                <w:szCs w:val="30"/>
                <w:highlight w:val="none"/>
              </w:rPr>
            </w:pPr>
          </w:p>
        </w:tc>
        <w:tc>
          <w:tcPr>
            <w:tcW w:w="1276" w:type="dxa"/>
            <w:vAlign w:val="center"/>
          </w:tcPr>
          <w:p w14:paraId="5201794B">
            <w:pPr>
              <w:jc w:val="center"/>
              <w:rPr>
                <w:rFonts w:ascii="仿宋_GB2312" w:hAnsi="仿宋" w:eastAsia="仿宋_GB2312"/>
                <w:color w:val="auto"/>
                <w:sz w:val="30"/>
                <w:szCs w:val="30"/>
                <w:highlight w:val="none"/>
              </w:rPr>
            </w:pPr>
          </w:p>
        </w:tc>
        <w:tc>
          <w:tcPr>
            <w:tcW w:w="1210" w:type="dxa"/>
            <w:vAlign w:val="center"/>
          </w:tcPr>
          <w:p w14:paraId="1D971468">
            <w:pPr>
              <w:jc w:val="center"/>
              <w:rPr>
                <w:rFonts w:ascii="仿宋_GB2312" w:hAnsi="仿宋" w:eastAsia="仿宋_GB2312"/>
                <w:color w:val="auto"/>
                <w:sz w:val="30"/>
                <w:szCs w:val="30"/>
                <w:highlight w:val="none"/>
              </w:rPr>
            </w:pPr>
          </w:p>
        </w:tc>
      </w:tr>
    </w:tbl>
    <w:p w14:paraId="584B3202">
      <w:pPr>
        <w:rPr>
          <w:rFonts w:ascii="仿宋_GB2312" w:hAnsi="仿宋" w:eastAsia="仿宋_GB2312"/>
          <w:color w:val="auto"/>
          <w:sz w:val="24"/>
          <w:highlight w:val="none"/>
        </w:rPr>
      </w:pPr>
      <w:r>
        <w:rPr>
          <w:rFonts w:hint="eastAsia" w:ascii="仿宋_GB2312" w:hAnsi="仿宋" w:eastAsia="仿宋_GB2312"/>
          <w:color w:val="auto"/>
          <w:sz w:val="24"/>
          <w:highlight w:val="none"/>
        </w:rPr>
        <w:t>备注：此表应认真填写，不得提供虚假业绩。</w:t>
      </w:r>
    </w:p>
    <w:p w14:paraId="57CA6E89">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后附</w:t>
      </w:r>
      <w:r>
        <w:rPr>
          <w:rFonts w:hint="eastAsia" w:ascii="仿宋_GB2312" w:hAnsi="仿宋" w:eastAsia="仿宋_GB2312"/>
          <w:color w:val="auto"/>
          <w:sz w:val="24"/>
          <w:highlight w:val="none"/>
          <w:lang w:eastAsia="zh-CN"/>
        </w:rPr>
        <w:t>中标书、中标网上公告、</w:t>
      </w:r>
      <w:r>
        <w:rPr>
          <w:rFonts w:hint="eastAsia" w:ascii="仿宋_GB2312" w:hAnsi="仿宋" w:eastAsia="仿宋_GB2312"/>
          <w:color w:val="auto"/>
          <w:sz w:val="24"/>
          <w:highlight w:val="none"/>
        </w:rPr>
        <w:t>合同书的扫描件；</w:t>
      </w:r>
    </w:p>
    <w:p w14:paraId="0BFF689F">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界定日期以合同签订时间为准。</w:t>
      </w:r>
    </w:p>
    <w:p w14:paraId="605D4FFC">
      <w:pPr>
        <w:ind w:firstLine="720" w:firstLineChars="300"/>
        <w:rPr>
          <w:rFonts w:ascii="仿宋_GB2312" w:hAnsi="仿宋" w:eastAsia="仿宋_GB2312"/>
          <w:color w:val="auto"/>
          <w:sz w:val="24"/>
          <w:highlight w:val="none"/>
        </w:rPr>
      </w:pPr>
    </w:p>
    <w:p w14:paraId="76D26789">
      <w:pPr>
        <w:wordWrap w:val="0"/>
        <w:jc w:val="right"/>
        <w:rPr>
          <w:rFonts w:ascii="仿宋_GB2312" w:hAnsi="仿宋" w:eastAsia="仿宋_GB2312"/>
          <w:color w:val="auto"/>
          <w:sz w:val="24"/>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00DAEFAE">
      <w:pPr>
        <w:wordWrap w:val="0"/>
        <w:spacing w:line="56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6A2991E4">
      <w:pPr>
        <w:jc w:val="center"/>
        <w:rPr>
          <w:rFonts w:ascii="黑体" w:hAnsi="黑体" w:eastAsia="黑体"/>
          <w:color w:val="auto"/>
          <w:sz w:val="44"/>
          <w:szCs w:val="44"/>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44"/>
          <w:szCs w:val="44"/>
          <w:highlight w:val="none"/>
        </w:rPr>
        <w:t>需要采购人提供的配合</w:t>
      </w:r>
    </w:p>
    <w:p w14:paraId="57CED40F">
      <w:pPr>
        <w:rPr>
          <w:color w:val="auto"/>
          <w:highlight w:val="none"/>
        </w:rPr>
        <w:sectPr>
          <w:footerReference r:id="rId22" w:type="default"/>
          <w:pgSz w:w="11906" w:h="16838"/>
          <w:pgMar w:top="1440" w:right="1080" w:bottom="1440" w:left="1080" w:header="851" w:footer="992" w:gutter="0"/>
          <w:cols w:space="720" w:num="1"/>
          <w:docGrid w:type="lines" w:linePitch="312" w:charSpace="0"/>
        </w:sectPr>
      </w:pPr>
    </w:p>
    <w:p w14:paraId="34AA2EE6">
      <w:pPr>
        <w:pStyle w:val="29"/>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第六章</w:t>
      </w:r>
      <w:r>
        <w:rPr>
          <w:rFonts w:hint="eastAsia" w:ascii="宋体" w:hAnsi="宋体" w:cs="宋体"/>
          <w:color w:val="auto"/>
          <w:sz w:val="44"/>
          <w:szCs w:val="44"/>
          <w:highlight w:val="none"/>
        </w:rPr>
        <w:t xml:space="preserve"> </w:t>
      </w:r>
      <w:r>
        <w:rPr>
          <w:rFonts w:hint="eastAsia" w:ascii="楷体_GB2312" w:hAnsi="宋体" w:eastAsia="楷体_GB2312" w:cs="宋体"/>
          <w:color w:val="auto"/>
          <w:sz w:val="44"/>
          <w:szCs w:val="44"/>
          <w:highlight w:val="none"/>
        </w:rPr>
        <w:t>采购合同（范本）</w:t>
      </w:r>
    </w:p>
    <w:p w14:paraId="7FD5F329">
      <w:pPr>
        <w:rPr>
          <w:color w:val="auto"/>
          <w:highlight w:val="none"/>
        </w:rPr>
      </w:pPr>
    </w:p>
    <w:p w14:paraId="4DDE6248">
      <w:pPr>
        <w:rPr>
          <w:color w:val="auto"/>
          <w:highlight w:val="none"/>
        </w:r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676D3DB2">
      <w:pPr>
        <w:pStyle w:val="17"/>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auto"/>
          <w:sz w:val="32"/>
          <w:szCs w:val="32"/>
          <w:highlight w:val="none"/>
        </w:rPr>
      </w:pPr>
      <w:r>
        <w:rPr>
          <w:rFonts w:hint="eastAsia" w:ascii="仿宋_GB2312" w:hAnsi="仿宋" w:eastAsia="仿宋_GB2312" w:cs="宋体"/>
          <w:b/>
          <w:bCs/>
          <w:color w:val="auto"/>
          <w:sz w:val="32"/>
          <w:szCs w:val="32"/>
          <w:highlight w:val="none"/>
          <w:shd w:val="solid" w:color="EEECE1" w:fill="FFFFFF"/>
        </w:rPr>
        <w:t>合同编号：SDRS-TPZB-2026-171</w:t>
      </w:r>
    </w:p>
    <w:p w14:paraId="64E4B1D3">
      <w:pPr>
        <w:jc w:val="center"/>
        <w:rPr>
          <w:rFonts w:hint="eastAsia" w:ascii="仿宋_GB2312" w:hAnsi="仿宋" w:eastAsia="仿宋_GB2312"/>
          <w:b/>
          <w:color w:val="auto"/>
          <w:sz w:val="44"/>
          <w:szCs w:val="44"/>
          <w:highlight w:val="none"/>
        </w:rPr>
      </w:pPr>
    </w:p>
    <w:p w14:paraId="3486D587">
      <w:pPr>
        <w:pStyle w:val="30"/>
        <w:ind w:firstLine="880"/>
        <w:rPr>
          <w:rFonts w:ascii="仿宋_GB2312" w:hAnsi="仿宋" w:eastAsia="仿宋_GB2312"/>
          <w:color w:val="auto"/>
          <w:sz w:val="44"/>
          <w:szCs w:val="44"/>
          <w:highlight w:val="none"/>
        </w:rPr>
      </w:pPr>
    </w:p>
    <w:p w14:paraId="33BA68C5">
      <w:pPr>
        <w:pStyle w:val="30"/>
        <w:ind w:firstLine="880"/>
        <w:rPr>
          <w:rFonts w:hint="eastAsia" w:ascii="仿宋_GB2312" w:hAnsi="仿宋" w:eastAsia="仿宋_GB2312"/>
          <w:color w:val="auto"/>
          <w:sz w:val="44"/>
          <w:szCs w:val="44"/>
          <w:highlight w:val="none"/>
        </w:rPr>
      </w:pPr>
    </w:p>
    <w:p w14:paraId="17BE9275">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乳山图曼热力安装有限公司采购</w:t>
      </w:r>
    </w:p>
    <w:p w14:paraId="05054589">
      <w:pPr>
        <w:ind w:firstLine="883" w:firstLineChars="200"/>
        <w:rPr>
          <w:rFonts w:hint="eastAsia" w:ascii="仿宋_GB2312" w:hAnsi="仿宋" w:eastAsia="仿宋_GB2312"/>
          <w:b/>
          <w:color w:val="auto"/>
          <w:sz w:val="44"/>
          <w:szCs w:val="44"/>
          <w:highlight w:val="none"/>
        </w:rPr>
      </w:pPr>
    </w:p>
    <w:p w14:paraId="364940A2">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乳山市非直供小区电力改造监理项目合同</w:t>
      </w:r>
    </w:p>
    <w:p w14:paraId="3341529B">
      <w:pPr>
        <w:ind w:firstLine="3080" w:firstLineChars="700"/>
        <w:rPr>
          <w:rFonts w:hint="eastAsia" w:ascii="仿宋_GB2312" w:hAnsi="仿宋" w:eastAsia="仿宋_GB2312"/>
          <w:color w:val="auto"/>
          <w:sz w:val="44"/>
          <w:szCs w:val="44"/>
          <w:highlight w:val="none"/>
        </w:rPr>
      </w:pPr>
    </w:p>
    <w:p w14:paraId="6F202CC6">
      <w:pPr>
        <w:pStyle w:val="30"/>
        <w:ind w:left="0" w:leftChars="0" w:firstLine="880"/>
        <w:rPr>
          <w:rFonts w:hint="eastAsia" w:ascii="仿宋_GB2312" w:hAnsi="仿宋" w:eastAsia="仿宋_GB2312"/>
          <w:color w:val="auto"/>
          <w:sz w:val="44"/>
          <w:szCs w:val="44"/>
          <w:highlight w:val="none"/>
        </w:rPr>
      </w:pPr>
    </w:p>
    <w:p w14:paraId="40629C4B">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lang w:eastAsia="zh-CN"/>
        </w:rPr>
        <w:t>委托人</w:t>
      </w:r>
      <w:r>
        <w:rPr>
          <w:rFonts w:hint="eastAsia" w:ascii="仿宋_GB2312" w:hAnsi="仿宋" w:eastAsia="仿宋_GB2312"/>
          <w:color w:val="auto"/>
          <w:sz w:val="32"/>
          <w:szCs w:val="32"/>
          <w:highlight w:val="none"/>
        </w:rPr>
        <w:t>: 乳山图曼热力安装有限公司</w:t>
      </w:r>
    </w:p>
    <w:p w14:paraId="2212C689">
      <w:pPr>
        <w:ind w:firstLine="2080" w:firstLineChars="650"/>
        <w:rPr>
          <w:rFonts w:hint="eastAsia" w:ascii="仿宋_GB2312" w:hAnsi="仿宋" w:eastAsia="仿宋_GB2312"/>
          <w:color w:val="auto"/>
          <w:sz w:val="32"/>
          <w:szCs w:val="32"/>
          <w:highlight w:val="none"/>
        </w:rPr>
      </w:pPr>
    </w:p>
    <w:p w14:paraId="45572EB7">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lang w:eastAsia="zh-CN"/>
        </w:rPr>
        <w:t>监理人</w:t>
      </w:r>
      <w:r>
        <w:rPr>
          <w:rFonts w:hint="eastAsia" w:ascii="仿宋_GB2312" w:hAnsi="仿宋" w:eastAsia="仿宋_GB2312"/>
          <w:color w:val="auto"/>
          <w:sz w:val="32"/>
          <w:szCs w:val="32"/>
          <w:highlight w:val="none"/>
        </w:rPr>
        <w:t xml:space="preserve">: </w:t>
      </w:r>
    </w:p>
    <w:p w14:paraId="3CA7FE1E">
      <w:pPr>
        <w:pStyle w:val="19"/>
        <w:ind w:firstLine="2728" w:firstLineChars="620"/>
        <w:rPr>
          <w:rFonts w:hint="eastAsia" w:ascii="仿宋_GB2312" w:hAnsi="仿宋" w:eastAsia="仿宋_GB2312"/>
          <w:color w:val="auto"/>
          <w:sz w:val="44"/>
          <w:szCs w:val="44"/>
          <w:highlight w:val="none"/>
        </w:rPr>
      </w:pPr>
    </w:p>
    <w:p w14:paraId="13CCA45C">
      <w:pPr>
        <w:pStyle w:val="19"/>
        <w:ind w:firstLine="1984" w:firstLineChars="62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签订日期:    年   月  日</w:t>
      </w:r>
    </w:p>
    <w:p w14:paraId="2A628EBE">
      <w:pPr>
        <w:pStyle w:val="4"/>
        <w:jc w:val="center"/>
        <w:rPr>
          <w:rFonts w:ascii="仿宋_GB2312" w:hAnsi="宋体" w:eastAsia="仿宋_GB2312" w:cs="宋体"/>
          <w:color w:val="auto"/>
          <w:highlight w:val="none"/>
        </w:rPr>
      </w:pPr>
      <w:r>
        <w:rPr>
          <w:rFonts w:ascii="宋体" w:hAnsi="宋体"/>
          <w:b/>
          <w:bCs/>
          <w:color w:val="auto"/>
          <w:sz w:val="44"/>
          <w:szCs w:val="44"/>
          <w:highlight w:val="none"/>
        </w:rPr>
        <w:br w:type="page"/>
      </w:r>
      <w:r>
        <w:rPr>
          <w:rFonts w:hint="eastAsia" w:ascii="仿宋_GB2312" w:hAnsi="宋体" w:eastAsia="仿宋_GB2312" w:cs="宋体"/>
          <w:color w:val="auto"/>
          <w:highlight w:val="none"/>
        </w:rPr>
        <w:t>第一部分 合同协议书</w:t>
      </w:r>
    </w:p>
    <w:p w14:paraId="220AE5CB">
      <w:pPr>
        <w:pStyle w:val="65"/>
        <w:ind w:right="-340" w:rightChars="-162" w:firstLine="422"/>
        <w:rPr>
          <w:rFonts w:ascii="仿宋_GB2312" w:eastAsia="仿宋_GB2312"/>
          <w:color w:val="auto"/>
          <w:highlight w:val="none"/>
        </w:rPr>
      </w:pPr>
      <w:r>
        <w:rPr>
          <w:rFonts w:hint="eastAsia" w:ascii="仿宋_GB2312" w:eastAsia="仿宋_GB2312"/>
          <w:b/>
          <w:color w:val="auto"/>
          <w:highlight w:val="none"/>
          <w:lang w:eastAsia="zh-CN"/>
        </w:rPr>
        <w:t>委托</w:t>
      </w:r>
      <w:r>
        <w:rPr>
          <w:rFonts w:hint="eastAsia" w:ascii="仿宋_GB2312" w:eastAsia="仿宋_GB2312"/>
          <w:b/>
          <w:color w:val="auto"/>
          <w:highlight w:val="none"/>
        </w:rPr>
        <w:t>人（全称）：</w:t>
      </w:r>
      <w:r>
        <w:rPr>
          <w:rFonts w:hint="eastAsia" w:ascii="仿宋_GB2312" w:eastAsia="仿宋_GB2312"/>
          <w:color w:val="auto"/>
          <w:highlight w:val="none"/>
          <w:u w:val="single"/>
        </w:rPr>
        <w:t xml:space="preserve">  </w:t>
      </w:r>
      <w:r>
        <w:rPr>
          <w:rFonts w:hint="eastAsia" w:ascii="仿宋_GB2312" w:hAnsi="宋体" w:eastAsia="仿宋_GB2312" w:cs="宋体"/>
          <w:iCs/>
          <w:color w:val="auto"/>
          <w:kern w:val="2"/>
          <w:sz w:val="24"/>
          <w:szCs w:val="22"/>
          <w:highlight w:val="none"/>
          <w:u w:val="single"/>
          <w:lang w:val="en-US" w:eastAsia="zh-CN" w:bidi="ar-SA"/>
        </w:rPr>
        <w:t>乳山图曼热力安装有限公司</w:t>
      </w:r>
      <w:r>
        <w:rPr>
          <w:rFonts w:hint="eastAsia" w:ascii="仿宋_GB2312" w:eastAsia="仿宋_GB2312"/>
          <w:color w:val="auto"/>
          <w:highlight w:val="none"/>
          <w:u w:val="single"/>
        </w:rPr>
        <w:t xml:space="preserve"> </w:t>
      </w:r>
    </w:p>
    <w:p w14:paraId="171E5D43">
      <w:pPr>
        <w:spacing w:line="360" w:lineRule="auto"/>
        <w:ind w:firstLine="424" w:firstLineChars="201"/>
        <w:rPr>
          <w:rFonts w:ascii="仿宋_GB2312" w:hAnsi="宋体" w:eastAsia="仿宋_GB2312" w:cs="宋体"/>
          <w:b/>
          <w:color w:val="auto"/>
          <w:szCs w:val="21"/>
          <w:highlight w:val="none"/>
        </w:rPr>
      </w:pPr>
      <w:r>
        <w:rPr>
          <w:rFonts w:hint="eastAsia" w:ascii="仿宋_GB2312" w:hAnsi="宋体" w:eastAsia="仿宋_GB2312" w:cs="宋体"/>
          <w:b/>
          <w:color w:val="auto"/>
          <w:szCs w:val="21"/>
          <w:highlight w:val="none"/>
          <w:lang w:eastAsia="zh-CN"/>
        </w:rPr>
        <w:t>监理</w:t>
      </w:r>
      <w:r>
        <w:rPr>
          <w:rFonts w:hint="eastAsia" w:ascii="仿宋_GB2312" w:hAnsi="宋体" w:eastAsia="仿宋_GB2312" w:cs="宋体"/>
          <w:b/>
          <w:color w:val="auto"/>
          <w:szCs w:val="21"/>
          <w:highlight w:val="none"/>
        </w:rPr>
        <w:t>人（全称）：</w:t>
      </w:r>
      <w:r>
        <w:rPr>
          <w:rFonts w:hint="eastAsia" w:ascii="仿宋_GB2312" w:hAnsi="宋体" w:eastAsia="仿宋_GB2312" w:cs="宋体"/>
          <w:b/>
          <w:color w:val="auto"/>
          <w:szCs w:val="21"/>
          <w:highlight w:val="none"/>
          <w:u w:val="single"/>
        </w:rPr>
        <w:t xml:space="preserve">                  </w:t>
      </w:r>
      <w:r>
        <w:rPr>
          <w:rFonts w:hint="eastAsia" w:ascii="仿宋_GB2312" w:hAnsi="宋体" w:eastAsia="仿宋_GB2312" w:cs="宋体"/>
          <w:b/>
          <w:color w:val="auto"/>
          <w:szCs w:val="21"/>
          <w:highlight w:val="none"/>
        </w:rPr>
        <w:t xml:space="preserve">   </w:t>
      </w:r>
    </w:p>
    <w:p w14:paraId="02EC95E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根据《</w:t>
      </w:r>
      <w:r>
        <w:rPr>
          <w:rFonts w:hint="eastAsia" w:ascii="仿宋_GB2312" w:hAnsi="宋体" w:eastAsia="仿宋_GB2312" w:cs="宋体"/>
          <w:color w:val="auto"/>
          <w:sz w:val="24"/>
          <w:highlight w:val="none"/>
        </w:rPr>
        <w:t>中华人民共和国民法典</w:t>
      </w:r>
      <w:r>
        <w:rPr>
          <w:rFonts w:hint="eastAsia" w:ascii="仿宋_GB2312" w:hAnsi="宋体" w:eastAsia="仿宋_GB2312"/>
          <w:color w:val="auto"/>
          <w:sz w:val="24"/>
          <w:highlight w:val="none"/>
        </w:rPr>
        <w:t>》、《中华人民共和国建筑法》及其他有关法律、法规，遵循平等、自愿、公平和诚信的原则，双方就下述工程委托监理与相关服务事项协商一致，订立本合同。</w:t>
      </w:r>
    </w:p>
    <w:p w14:paraId="493E979A">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一、工程概况</w:t>
      </w:r>
    </w:p>
    <w:p w14:paraId="014AD800">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1. 工程名称：</w:t>
      </w:r>
      <w:r>
        <w:rPr>
          <w:rFonts w:hint="eastAsia" w:ascii="仿宋_GB2312" w:hAnsi="宋体" w:eastAsia="仿宋_GB2312" w:cs="宋体"/>
          <w:iCs/>
          <w:color w:val="auto"/>
          <w:sz w:val="24"/>
          <w:highlight w:val="none"/>
          <w:u w:val="single"/>
        </w:rPr>
        <w:t xml:space="preserve"> 乳山市非直供小区电力改造监理项目  </w:t>
      </w:r>
    </w:p>
    <w:p w14:paraId="2F4D3571">
      <w:pPr>
        <w:spacing w:line="470" w:lineRule="exact"/>
        <w:ind w:firstLine="480" w:firstLineChars="200"/>
        <w:rPr>
          <w:rFonts w:ascii="仿宋_GB2312" w:hAnsi="宋体" w:eastAsia="仿宋_GB2312" w:cs="宋体"/>
          <w:iCs/>
          <w:color w:val="auto"/>
          <w:sz w:val="24"/>
          <w:highlight w:val="none"/>
          <w:u w:val="single"/>
        </w:rPr>
      </w:pPr>
      <w:r>
        <w:rPr>
          <w:rFonts w:hint="eastAsia" w:ascii="仿宋_GB2312" w:hAnsi="宋体" w:eastAsia="仿宋_GB2312" w:cs="宋体"/>
          <w:iCs/>
          <w:color w:val="auto"/>
          <w:sz w:val="24"/>
          <w:highlight w:val="none"/>
        </w:rPr>
        <w:t>2. 工程地点：</w:t>
      </w:r>
      <w:r>
        <w:rPr>
          <w:rFonts w:hint="eastAsia" w:ascii="仿宋_GB2312" w:hAnsi="宋体" w:eastAsia="仿宋_GB2312" w:cs="宋体"/>
          <w:iCs/>
          <w:color w:val="auto"/>
          <w:sz w:val="24"/>
          <w:highlight w:val="none"/>
          <w:u w:val="single"/>
        </w:rPr>
        <w:t>乳山市</w:t>
      </w:r>
    </w:p>
    <w:p w14:paraId="400807CB">
      <w:pPr>
        <w:spacing w:line="360" w:lineRule="auto"/>
        <w:ind w:firstLine="480" w:firstLineChars="200"/>
        <w:rPr>
          <w:rFonts w:ascii="仿宋_GB2312" w:hAnsi="宋体" w:eastAsia="仿宋_GB2312" w:cs="宋体"/>
          <w:iCs/>
          <w:color w:val="auto"/>
          <w:sz w:val="24"/>
          <w:highlight w:val="none"/>
          <w:u w:val="single"/>
        </w:rPr>
      </w:pPr>
      <w:r>
        <w:rPr>
          <w:rFonts w:hint="eastAsia" w:ascii="仿宋_GB2312" w:hAnsi="宋体" w:eastAsia="仿宋_GB2312" w:cs="宋体"/>
          <w:iCs/>
          <w:color w:val="auto"/>
          <w:sz w:val="24"/>
          <w:highlight w:val="none"/>
        </w:rPr>
        <w:t xml:space="preserve">3. 工程规模： </w:t>
      </w:r>
      <w:r>
        <w:rPr>
          <w:rFonts w:hint="eastAsia" w:ascii="仿宋_GB2312" w:hAnsi="宋体" w:eastAsia="仿宋_GB2312" w:cs="宋体"/>
          <w:iCs/>
          <w:color w:val="auto"/>
          <w:sz w:val="24"/>
          <w:highlight w:val="none"/>
          <w:u w:val="single"/>
        </w:rPr>
        <w:t xml:space="preserve">         </w:t>
      </w:r>
    </w:p>
    <w:p w14:paraId="0F1FD0A0">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4. 工程概算投资额或建筑安装工程费：</w:t>
      </w:r>
      <w:r>
        <w:rPr>
          <w:rFonts w:hint="eastAsia" w:ascii="仿宋_GB2312" w:hAnsi="宋体" w:eastAsia="仿宋_GB2312" w:cs="宋体"/>
          <w:iCs/>
          <w:color w:val="auto"/>
          <w:sz w:val="24"/>
          <w:highlight w:val="none"/>
          <w:u w:val="single"/>
        </w:rPr>
        <w:t xml:space="preserve">      </w:t>
      </w:r>
      <w:r>
        <w:rPr>
          <w:rFonts w:hint="eastAsia" w:ascii="仿宋_GB2312" w:hAnsi="宋体" w:eastAsia="仿宋_GB2312" w:cs="宋体"/>
          <w:iCs/>
          <w:color w:val="auto"/>
          <w:sz w:val="24"/>
          <w:highlight w:val="none"/>
        </w:rPr>
        <w:t xml:space="preserve"> </w:t>
      </w:r>
    </w:p>
    <w:p w14:paraId="52934C10">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二、词语限定</w:t>
      </w:r>
    </w:p>
    <w:p w14:paraId="77D9D5A7">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协议书中相关词语的含义与通用条件中的定义与解释相同。</w:t>
      </w:r>
    </w:p>
    <w:p w14:paraId="7AE671AF">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三、组成本合同的文件</w:t>
      </w:r>
    </w:p>
    <w:p w14:paraId="75A436E4">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1. 协议书；</w:t>
      </w:r>
    </w:p>
    <w:p w14:paraId="37DAAD75">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2. 中标通知书（适用于招标工程）或委托书（适用于非招标工程）；</w:t>
      </w:r>
    </w:p>
    <w:p w14:paraId="5B3D393E">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3. 投标文件（适用于招标工程）或监理与相关服务建议书（适用于非招标工程）；</w:t>
      </w:r>
    </w:p>
    <w:p w14:paraId="56C9F443">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4. 专用条件；</w:t>
      </w:r>
    </w:p>
    <w:p w14:paraId="1CAC8808">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5. 通用条件；</w:t>
      </w:r>
    </w:p>
    <w:p w14:paraId="21EB5EA5">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6. 附录即：</w:t>
      </w:r>
    </w:p>
    <w:p w14:paraId="5D9A9B35">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附录A  相关服务的范围和内容</w:t>
      </w:r>
    </w:p>
    <w:p w14:paraId="0F413419">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附录B  委托人派遣的人员和提供的房屋、资料、设备</w:t>
      </w:r>
    </w:p>
    <w:p w14:paraId="53784F83">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本合同签订后，双方依法签订的补充协议也是本合同文件的组成部分。</w:t>
      </w:r>
    </w:p>
    <w:p w14:paraId="498F49C7">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四、总监理工程师</w:t>
      </w:r>
    </w:p>
    <w:p w14:paraId="190E346E">
      <w:pPr>
        <w:spacing w:line="470" w:lineRule="exact"/>
        <w:ind w:firstLine="480" w:firstLineChars="200"/>
        <w:rPr>
          <w:rFonts w:ascii="仿宋_GB2312" w:hAnsi="宋体" w:eastAsia="仿宋_GB2312"/>
          <w:iCs/>
          <w:color w:val="auto"/>
          <w:highlight w:val="none"/>
        </w:rPr>
      </w:pPr>
      <w:r>
        <w:rPr>
          <w:rFonts w:hint="eastAsia" w:ascii="仿宋_GB2312" w:hAnsi="宋体" w:eastAsia="仿宋_GB2312"/>
          <w:iCs/>
          <w:color w:val="auto"/>
          <w:sz w:val="24"/>
          <w:highlight w:val="none"/>
        </w:rPr>
        <w:t>总监理工程师姓名：</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，身份证号码：</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，注册号：</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0FE3155">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五、签约酬金</w:t>
      </w:r>
    </w:p>
    <w:p w14:paraId="16D5C716">
      <w:pPr>
        <w:spacing w:line="470" w:lineRule="exact"/>
        <w:ind w:firstLine="480" w:firstLineChars="20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签约酬金（大写）：</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11FA8A3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包括：</w:t>
      </w:r>
    </w:p>
    <w:p w14:paraId="53941DB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 监理酬金：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7443E95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相关服务酬金：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6C5C7B5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其中：</w:t>
      </w:r>
    </w:p>
    <w:p w14:paraId="32F56BE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（1）勘察阶段服务酬金：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0C38B9D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（2）设计阶段服务酬金：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773EF0F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（3）保修阶段服务酬金：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44AEBE2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（4）其他相关服务酬金：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7EC174DE">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六、期限</w:t>
      </w:r>
    </w:p>
    <w:p w14:paraId="5EAD6A46">
      <w:pPr>
        <w:spacing w:line="470" w:lineRule="exact"/>
        <w:ind w:firstLine="480" w:firstLineChars="200"/>
        <w:rPr>
          <w:rFonts w:ascii="仿宋_GB2312" w:hAnsi="宋体" w:eastAsia="仿宋_GB2312"/>
          <w:color w:val="auto"/>
          <w:highlight w:val="none"/>
        </w:rPr>
      </w:pPr>
      <w:r>
        <w:rPr>
          <w:rFonts w:hint="eastAsia" w:ascii="仿宋_GB2312" w:hAnsi="宋体" w:eastAsia="仿宋_GB2312"/>
          <w:color w:val="auto"/>
          <w:sz w:val="24"/>
          <w:highlight w:val="none"/>
        </w:rPr>
        <w:t>1. 监理期限：</w:t>
      </w:r>
    </w:p>
    <w:p w14:paraId="3DD2E28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5E4A6DB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相关服务期限：</w:t>
      </w:r>
    </w:p>
    <w:p w14:paraId="685F5F7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（1）勘察阶段服务期限自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2DDF3B1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（2）设计阶段服务期限自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67EAC4C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（3）保修阶段服务期限自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b/>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348C2E4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（4）其他相关服务期限自</w:t>
      </w:r>
      <w:r>
        <w:rPr>
          <w:rFonts w:hint="eastAsia" w:ascii="仿宋_GB2312" w:hAnsi="宋体" w:eastAsia="仿宋_GB2312"/>
          <w:b/>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00D86324">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七、双方承诺</w:t>
      </w:r>
    </w:p>
    <w:p w14:paraId="08600D89">
      <w:pPr>
        <w:spacing w:line="470" w:lineRule="exact"/>
        <w:ind w:firstLine="480" w:firstLineChars="200"/>
        <w:rPr>
          <w:rFonts w:ascii="仿宋_GB2312" w:hAnsi="宋体" w:eastAsia="仿宋_GB2312"/>
          <w:color w:val="auto"/>
          <w:highlight w:val="none"/>
        </w:rPr>
      </w:pPr>
      <w:r>
        <w:rPr>
          <w:rFonts w:hint="eastAsia" w:ascii="仿宋_GB2312" w:hAnsi="宋体" w:eastAsia="仿宋_GB2312"/>
          <w:color w:val="auto"/>
          <w:sz w:val="24"/>
          <w:highlight w:val="none"/>
        </w:rPr>
        <w:t>1. 监理人向委托人承诺，按照本合同约定提供监理与相关服务。</w:t>
      </w:r>
    </w:p>
    <w:p w14:paraId="67F3EFC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委托人向监理人承诺，按照本合同约定派遣相应的人员，提供房屋、资料、设备，并按本合同约定支付酬金。</w:t>
      </w:r>
    </w:p>
    <w:p w14:paraId="144179D3">
      <w:pPr>
        <w:spacing w:line="470" w:lineRule="exact"/>
        <w:ind w:firstLine="420" w:firstLineChars="200"/>
        <w:rPr>
          <w:rFonts w:ascii="仿宋_GB2312" w:hAnsi="宋体" w:eastAsia="仿宋_GB2312"/>
          <w:iCs/>
          <w:color w:val="auto"/>
          <w:highlight w:val="none"/>
        </w:rPr>
      </w:pPr>
      <w:r>
        <w:rPr>
          <w:rFonts w:hint="eastAsia" w:ascii="仿宋_GB2312" w:hAnsi="宋体" w:eastAsia="仿宋_GB2312"/>
          <w:iCs/>
          <w:color w:val="auto"/>
          <w:highlight w:val="none"/>
        </w:rPr>
        <w:t>八、合同订立</w:t>
      </w:r>
    </w:p>
    <w:p w14:paraId="2EEB4003">
      <w:pPr>
        <w:adjustRightInd w:val="0"/>
        <w:snapToGrid w:val="0"/>
        <w:spacing w:line="470" w:lineRule="exact"/>
        <w:ind w:firstLine="475" w:firstLineChars="198"/>
        <w:rPr>
          <w:rFonts w:ascii="仿宋_GB2312" w:hAnsi="宋体" w:eastAsia="仿宋_GB2312"/>
          <w:color w:val="auto"/>
          <w:highlight w:val="none"/>
        </w:rPr>
      </w:pPr>
      <w:r>
        <w:rPr>
          <w:rFonts w:hint="eastAsia" w:ascii="仿宋_GB2312" w:hAnsi="宋体" w:eastAsia="仿宋_GB2312"/>
          <w:color w:val="auto"/>
          <w:sz w:val="24"/>
          <w:highlight w:val="none"/>
        </w:rPr>
        <w:t>1. 订立时间：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w:t>
      </w:r>
    </w:p>
    <w:p w14:paraId="12037AF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2. 订立地点：</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2A90772C">
      <w:pPr>
        <w:adjustRightInd w:val="0"/>
        <w:snapToGrid w:val="0"/>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 本合同一式</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份，具有同等法律效力，双方各执</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份。</w:t>
      </w:r>
    </w:p>
    <w:p w14:paraId="0338A3FC">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委托人：</w:t>
      </w:r>
      <w:r>
        <w:rPr>
          <w:rFonts w:hint="eastAsia" w:ascii="仿宋_GB2312" w:hAnsi="宋体" w:eastAsia="仿宋_GB2312"/>
          <w:color w:val="auto"/>
          <w:sz w:val="24"/>
          <w:highlight w:val="none"/>
          <w:u w:val="single"/>
        </w:rPr>
        <w:t xml:space="preserve">   （盖章）     </w:t>
      </w:r>
      <w:r>
        <w:rPr>
          <w:rFonts w:hint="eastAsia" w:ascii="仿宋_GB2312" w:hAnsi="宋体" w:eastAsia="仿宋_GB2312"/>
          <w:color w:val="auto"/>
          <w:sz w:val="24"/>
          <w:highlight w:val="none"/>
        </w:rPr>
        <w:t xml:space="preserve">      监理人：</w:t>
      </w:r>
      <w:r>
        <w:rPr>
          <w:rFonts w:hint="eastAsia" w:ascii="仿宋_GB2312" w:hAnsi="宋体" w:eastAsia="仿宋_GB2312"/>
          <w:color w:val="auto"/>
          <w:sz w:val="24"/>
          <w:highlight w:val="none"/>
          <w:u w:val="single"/>
        </w:rPr>
        <w:t xml:space="preserve">   （盖章）   </w:t>
      </w:r>
    </w:p>
    <w:p w14:paraId="2EF7BB96">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住所： </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住所： </w:t>
      </w:r>
      <w:r>
        <w:rPr>
          <w:rFonts w:hint="eastAsia" w:ascii="仿宋_GB2312" w:hAnsi="宋体" w:eastAsia="仿宋_GB2312"/>
          <w:color w:val="auto"/>
          <w:sz w:val="24"/>
          <w:highlight w:val="none"/>
          <w:u w:val="single"/>
        </w:rPr>
        <w:t xml:space="preserve">                    </w:t>
      </w:r>
    </w:p>
    <w:p w14:paraId="70E43671">
      <w:pPr>
        <w:adjustRightInd w:val="0"/>
        <w:snapToGrid w:val="0"/>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邮政编码：</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邮政编码：</w:t>
      </w:r>
      <w:r>
        <w:rPr>
          <w:rFonts w:hint="eastAsia" w:ascii="仿宋_GB2312" w:hAnsi="宋体" w:eastAsia="仿宋_GB2312"/>
          <w:color w:val="auto"/>
          <w:sz w:val="24"/>
          <w:highlight w:val="none"/>
          <w:u w:val="single"/>
        </w:rPr>
        <w:t xml:space="preserve">                  </w:t>
      </w:r>
    </w:p>
    <w:p w14:paraId="7E0992CB">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法定代表人或其授权            法定代表人或其授权</w:t>
      </w:r>
    </w:p>
    <w:p w14:paraId="50517ECA">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的代理人：</w:t>
      </w:r>
      <w:r>
        <w:rPr>
          <w:rFonts w:hint="eastAsia" w:ascii="仿宋_GB2312" w:hAnsi="宋体" w:eastAsia="仿宋_GB2312"/>
          <w:color w:val="auto"/>
          <w:sz w:val="24"/>
          <w:highlight w:val="none"/>
          <w:u w:val="single"/>
        </w:rPr>
        <w:t xml:space="preserve">（签字）      </w:t>
      </w:r>
      <w:r>
        <w:rPr>
          <w:rFonts w:hint="eastAsia" w:ascii="仿宋_GB2312" w:hAnsi="宋体" w:eastAsia="仿宋_GB2312"/>
          <w:color w:val="auto"/>
          <w:sz w:val="24"/>
          <w:highlight w:val="none"/>
        </w:rPr>
        <w:t xml:space="preserve">       的代理人：</w:t>
      </w:r>
      <w:r>
        <w:rPr>
          <w:rFonts w:hint="eastAsia" w:ascii="仿宋_GB2312" w:hAnsi="宋体" w:eastAsia="仿宋_GB2312"/>
          <w:color w:val="auto"/>
          <w:sz w:val="24"/>
          <w:highlight w:val="none"/>
          <w:u w:val="single"/>
        </w:rPr>
        <w:t xml:space="preserve">（签字）          </w:t>
      </w:r>
    </w:p>
    <w:p w14:paraId="6179EDC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开户银行：</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开户银行：</w:t>
      </w:r>
      <w:r>
        <w:rPr>
          <w:rFonts w:hint="eastAsia" w:ascii="仿宋_GB2312" w:hAnsi="宋体" w:eastAsia="仿宋_GB2312"/>
          <w:color w:val="auto"/>
          <w:sz w:val="24"/>
          <w:highlight w:val="none"/>
          <w:u w:val="single"/>
        </w:rPr>
        <w:t xml:space="preserve">                  </w:t>
      </w:r>
    </w:p>
    <w:p w14:paraId="1DA33EA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账    号：</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账    号：</w:t>
      </w:r>
      <w:r>
        <w:rPr>
          <w:rFonts w:hint="eastAsia" w:ascii="仿宋_GB2312" w:hAnsi="宋体" w:eastAsia="仿宋_GB2312"/>
          <w:color w:val="auto"/>
          <w:sz w:val="24"/>
          <w:highlight w:val="none"/>
          <w:u w:val="single"/>
        </w:rPr>
        <w:t xml:space="preserve">                  </w:t>
      </w:r>
    </w:p>
    <w:p w14:paraId="1AA6C32A">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电    话：</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电    话：</w:t>
      </w:r>
      <w:r>
        <w:rPr>
          <w:rFonts w:hint="eastAsia" w:ascii="仿宋_GB2312" w:hAnsi="宋体" w:eastAsia="仿宋_GB2312"/>
          <w:color w:val="auto"/>
          <w:sz w:val="24"/>
          <w:highlight w:val="none"/>
          <w:u w:val="single"/>
        </w:rPr>
        <w:t xml:space="preserve">                  </w:t>
      </w:r>
    </w:p>
    <w:p w14:paraId="0A99F4D5">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传    真：</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传    真：</w:t>
      </w:r>
      <w:r>
        <w:rPr>
          <w:rFonts w:hint="eastAsia" w:ascii="仿宋_GB2312" w:hAnsi="宋体" w:eastAsia="仿宋_GB2312"/>
          <w:color w:val="auto"/>
          <w:sz w:val="24"/>
          <w:highlight w:val="none"/>
          <w:u w:val="single"/>
        </w:rPr>
        <w:t xml:space="preserve">                  </w:t>
      </w:r>
    </w:p>
    <w:p w14:paraId="4F52494C">
      <w:pPr>
        <w:adjustRightInd w:val="0"/>
        <w:snapToGrid w:val="0"/>
        <w:spacing w:line="470" w:lineRule="exact"/>
        <w:ind w:firstLine="475" w:firstLineChars="198"/>
        <w:rPr>
          <w:rFonts w:ascii="仿宋_GB2312" w:hAnsi="宋体" w:eastAsia="仿宋_GB2312"/>
          <w:color w:val="auto"/>
          <w:sz w:val="24"/>
          <w:highlight w:val="none"/>
          <w:u w:val="single"/>
        </w:rPr>
      </w:pPr>
      <w:r>
        <w:rPr>
          <w:rFonts w:hint="eastAsia" w:ascii="仿宋_GB2312" w:hAnsi="宋体" w:eastAsia="仿宋_GB2312"/>
          <w:color w:val="auto"/>
          <w:sz w:val="24"/>
          <w:highlight w:val="none"/>
        </w:rPr>
        <w:t>电子邮箱：</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电子邮箱：</w:t>
      </w:r>
      <w:r>
        <w:rPr>
          <w:rFonts w:hint="eastAsia" w:ascii="仿宋_GB2312" w:hAnsi="宋体" w:eastAsia="仿宋_GB2312"/>
          <w:color w:val="auto"/>
          <w:sz w:val="24"/>
          <w:highlight w:val="none"/>
          <w:u w:val="single"/>
        </w:rPr>
        <w:t xml:space="preserve">                  </w:t>
      </w:r>
    </w:p>
    <w:p w14:paraId="22D2D21C">
      <w:pPr>
        <w:spacing w:line="470" w:lineRule="exact"/>
        <w:rPr>
          <w:rStyle w:val="37"/>
          <w:rFonts w:ascii="仿宋_GB2312" w:hAnsi="宋体" w:eastAsia="仿宋_GB2312"/>
          <w:i/>
          <w:color w:val="auto"/>
          <w:highlight w:val="none"/>
        </w:rPr>
      </w:pPr>
    </w:p>
    <w:p w14:paraId="0CD34C6C">
      <w:pPr>
        <w:spacing w:line="470" w:lineRule="exact"/>
        <w:rPr>
          <w:rStyle w:val="37"/>
          <w:rFonts w:ascii="仿宋_GB2312" w:hAnsi="宋体" w:eastAsia="仿宋_GB2312"/>
          <w:i/>
          <w:color w:val="auto"/>
          <w:highlight w:val="none"/>
        </w:rPr>
      </w:pPr>
    </w:p>
    <w:p w14:paraId="21279351">
      <w:pPr>
        <w:spacing w:line="470" w:lineRule="exact"/>
        <w:rPr>
          <w:rStyle w:val="37"/>
          <w:rFonts w:ascii="仿宋_GB2312" w:hAnsi="宋体" w:eastAsia="仿宋_GB2312"/>
          <w:i/>
          <w:color w:val="auto"/>
          <w:highlight w:val="none"/>
        </w:rPr>
      </w:pPr>
    </w:p>
    <w:p w14:paraId="064B5A3A">
      <w:pPr>
        <w:spacing w:line="470" w:lineRule="exact"/>
        <w:rPr>
          <w:rStyle w:val="37"/>
          <w:rFonts w:ascii="仿宋_GB2312" w:hAnsi="宋体" w:eastAsia="仿宋_GB2312"/>
          <w:i/>
          <w:color w:val="auto"/>
          <w:highlight w:val="none"/>
        </w:rPr>
      </w:pPr>
    </w:p>
    <w:p w14:paraId="13D127B5">
      <w:pPr>
        <w:spacing w:line="470" w:lineRule="exact"/>
        <w:rPr>
          <w:rStyle w:val="37"/>
          <w:rFonts w:ascii="仿宋_GB2312" w:hAnsi="宋体" w:eastAsia="仿宋_GB2312"/>
          <w:i/>
          <w:color w:val="auto"/>
          <w:highlight w:val="none"/>
        </w:rPr>
      </w:pPr>
      <w:r>
        <w:rPr>
          <w:rStyle w:val="37"/>
          <w:rFonts w:hint="eastAsia" w:ascii="仿宋_GB2312" w:hAnsi="宋体" w:eastAsia="仿宋_GB2312"/>
          <w:i/>
          <w:color w:val="auto"/>
          <w:highlight w:val="none"/>
        </w:rPr>
        <w:t xml:space="preserve">                                                                                                                                                                                                       </w:t>
      </w:r>
    </w:p>
    <w:p w14:paraId="59ED0CEA">
      <w:pPr>
        <w:pStyle w:val="4"/>
        <w:jc w:val="center"/>
        <w:rPr>
          <w:rFonts w:ascii="仿宋_GB2312" w:eastAsia="仿宋_GB2312"/>
          <w:color w:val="auto"/>
          <w:highlight w:val="none"/>
        </w:rPr>
      </w:pPr>
      <w:r>
        <w:rPr>
          <w:rFonts w:hint="eastAsia" w:ascii="仿宋_GB2312" w:eastAsia="仿宋_GB2312"/>
          <w:color w:val="auto"/>
          <w:highlight w:val="none"/>
        </w:rPr>
        <w:br w:type="page"/>
      </w:r>
      <w:r>
        <w:rPr>
          <w:rFonts w:hint="eastAsia" w:ascii="仿宋_GB2312" w:eastAsia="仿宋_GB2312"/>
          <w:color w:val="auto"/>
          <w:highlight w:val="none"/>
        </w:rPr>
        <w:t>第二节 通用合同条款</w:t>
      </w:r>
    </w:p>
    <w:p w14:paraId="761555C1">
      <w:pPr>
        <w:spacing w:line="470" w:lineRule="exact"/>
        <w:rPr>
          <w:rStyle w:val="37"/>
          <w:rFonts w:ascii="仿宋_GB2312" w:hAnsi="宋体" w:eastAsia="仿宋_GB2312"/>
          <w:i/>
          <w:color w:val="auto"/>
          <w:highlight w:val="none"/>
        </w:rPr>
      </w:pPr>
    </w:p>
    <w:p w14:paraId="2B87CAC5">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1、定义与解释</w:t>
      </w:r>
    </w:p>
    <w:p w14:paraId="137AB293">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1.1 定义</w:t>
      </w:r>
    </w:p>
    <w:p w14:paraId="65215E0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iCs/>
          <w:color w:val="auto"/>
          <w:sz w:val="24"/>
          <w:highlight w:val="none"/>
        </w:rPr>
        <w:t>除根据上下文另有其意义外，组成本合同的全部文件中的下列名词和用语应</w:t>
      </w:r>
      <w:r>
        <w:rPr>
          <w:rFonts w:hint="eastAsia" w:ascii="仿宋_GB2312" w:hAnsi="宋体" w:eastAsia="仿宋_GB2312"/>
          <w:color w:val="auto"/>
          <w:sz w:val="24"/>
          <w:highlight w:val="none"/>
        </w:rPr>
        <w:t>具有本款所赋予的含义：</w:t>
      </w:r>
    </w:p>
    <w:p w14:paraId="4C22492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 “工程”是指按照本合同约定实施监理与相关服务的建设工程。</w:t>
      </w:r>
    </w:p>
    <w:p w14:paraId="5A5E3A7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1.1.2 “委托人”是指本合同中委托监理与相关服务的一方，及其合法的继承人或受让人。</w:t>
      </w:r>
    </w:p>
    <w:p w14:paraId="6BF6798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1.1.3 “监理人”是指本合同中提供监理与相关服务的一方，及其合法的继承人。</w:t>
      </w:r>
    </w:p>
    <w:p w14:paraId="69A1A2C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1.1.4 “承包人”是指在工程范围内与委托人签订勘察、设计、施工等有关合同的当事人，及其合法的继承人。</w:t>
      </w:r>
    </w:p>
    <w:p w14:paraId="78EFCCD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2291642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1.1.6 “相关服务”是指监理人受委托人的委托 ，按照本合同约定，在勘察、设计、保修等阶段提供的服务活动。</w:t>
      </w:r>
    </w:p>
    <w:p w14:paraId="3EBC6B0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1.1.7 “正常工作”指本合同订立时通用条件和专用条件中约定的监理人的工作。</w:t>
      </w:r>
    </w:p>
    <w:p w14:paraId="5D621E1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1.1.8 “附加工作”是指本合同约定的正常工作以外监理人的工作。</w:t>
      </w:r>
    </w:p>
    <w:p w14:paraId="1828531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1.1.9 “项目监理机构”是指监理人派驻工程负责履行本合同的组织机构。</w:t>
      </w:r>
    </w:p>
    <w:p w14:paraId="5E073AF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1.1.10 “总监理工程师”是指由监理人的法定代表人书面授权，全面负责履行本合同、主持项目监理机构工作的注册监理工程师。</w:t>
      </w:r>
    </w:p>
    <w:p w14:paraId="566E11B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1.1.11 “酬金”是指监理人履行本合同义务，委托人按照本合同约定给付监理人的金额。</w:t>
      </w:r>
    </w:p>
    <w:p w14:paraId="57AB4AB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1.1.12 “正常工作酬金”是指监理人完成正常工作，委托人应给付监理人并在协议书中载明的签约酬金额。</w:t>
      </w:r>
    </w:p>
    <w:p w14:paraId="615F0EA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1.1.13 “附加工作酬金”是指监理人完成附加工作，委托人应给付监理人的金额。</w:t>
      </w:r>
    </w:p>
    <w:p w14:paraId="16C1D5E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1.1.14 “一方”是指委托人或监理人；“双方”是指委托人和监理人；“第三方”是指除委托人和监理人以外的有关方。</w:t>
      </w:r>
    </w:p>
    <w:p w14:paraId="2538432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1.1.15 “书面形式”是指合同书、信件和数据电文（包括电报、电传、传真、电子数据交换和电子邮件）等可以有形地表现所载内容的形式。</w:t>
      </w:r>
    </w:p>
    <w:p w14:paraId="7A75248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1.1.16 “天”是指第一天零时至第二天零时的时间。</w:t>
      </w:r>
    </w:p>
    <w:p w14:paraId="7B0653E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1.1.17“月”是指按公历从一个月中任何一天开始的一个公历月时间。</w:t>
      </w:r>
    </w:p>
    <w:p w14:paraId="3CCEE76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688FD2FF">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 解释</w:t>
      </w:r>
    </w:p>
    <w:p w14:paraId="709E818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1.2.1本合同使用中文书写、解释和说明。如专用条件约定使用两种及以上语言文字时，应以中文为准。</w:t>
      </w:r>
    </w:p>
    <w:p w14:paraId="0BDB689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1.2.2 组成本合同的下列文件彼此应能相互解释、互为说明。除专用条件另有约定外，本合同文件的解释顺序如下：</w:t>
      </w:r>
    </w:p>
    <w:p w14:paraId="7B4929C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（1）协议书；</w:t>
      </w:r>
    </w:p>
    <w:p w14:paraId="40D4697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（2）中标通知书（适用于招标工程）或委托书（适用于非招标工程）；</w:t>
      </w:r>
    </w:p>
    <w:p w14:paraId="2FDFFB9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（3）专用条件及附录A、附录B；</w:t>
      </w:r>
    </w:p>
    <w:p w14:paraId="3EC38A2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（4）通用条件；</w:t>
      </w:r>
    </w:p>
    <w:p w14:paraId="6E97B9C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（5）投标文件（适用于招标工程）或监理与相关服务建议书（适用于非招标工程）。</w:t>
      </w:r>
    </w:p>
    <w:p w14:paraId="4DBF0FA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双方签订的补充协议与其他文件发生矛盾或歧义时，属于同一类内容的文件，应以最新签署的为准。</w:t>
      </w:r>
    </w:p>
    <w:p w14:paraId="35C8B6B7">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2. 监理人的义务</w:t>
      </w:r>
    </w:p>
    <w:p w14:paraId="701648A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 监理的范围和工作内容</w:t>
      </w:r>
    </w:p>
    <w:p w14:paraId="21EEBF2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2.1.1 监理范围在专用条件中约定。</w:t>
      </w:r>
    </w:p>
    <w:p w14:paraId="5F2939A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2.1.2 除专用条件另有约定外，监理工作内容包括：</w:t>
      </w:r>
    </w:p>
    <w:p w14:paraId="4B96864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（1）收到工程设计文件后编制监理规划，并在第一次工地会议7天前报委托人。根据有关规定和监理工作需要，编制监理实施细则；</w:t>
      </w:r>
    </w:p>
    <w:p w14:paraId="68A92E5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（2）熟悉工程设计文件，并参加由委托人主持的图纸会审和设计交底会议；</w:t>
      </w:r>
    </w:p>
    <w:p w14:paraId="3D64ECA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（3）参加由委托人主持的第一次工地会议；主持监理例会并根据工程需要主持或参加专题会议；</w:t>
      </w:r>
    </w:p>
    <w:p w14:paraId="63D752A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（4）审查施工承包人提交的施工组织设计，重点审查其中的质量安全技术措施、专项施工方案与工程建设强制性标准的符合性；</w:t>
      </w:r>
    </w:p>
    <w:p w14:paraId="5689B86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（5）检查施工承包人工程质量、安全生产管理制度及组织机构和人员资格； </w:t>
      </w:r>
    </w:p>
    <w:p w14:paraId="7C7490B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（6）检查施工承包人专职安全生产管理人员的配备情况；</w:t>
      </w:r>
    </w:p>
    <w:p w14:paraId="1EE1F23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（7）审查施工承包人提交的施工进度计划，核查承包人对施工进度计划的调整；</w:t>
      </w:r>
    </w:p>
    <w:p w14:paraId="5D15E12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（8）检查施工承包人的试验室；</w:t>
      </w:r>
    </w:p>
    <w:p w14:paraId="2B6B5F5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（9）审核施工分包人资质条件；</w:t>
      </w:r>
    </w:p>
    <w:p w14:paraId="5135AC6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（10）查验施工承包人的施工测量放线成果；</w:t>
      </w:r>
    </w:p>
    <w:p w14:paraId="1324BC4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（11）审查工程开工条件，对条件具备的签发开工令；</w:t>
      </w:r>
    </w:p>
    <w:p w14:paraId="03587C4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（12）审查施工承包人报送的工程材料、构配件、设备质量证明文件的有效性和符合性，并按规定对用于工程的材料采取平行检验或见证取样方式进行抽检；</w:t>
      </w:r>
    </w:p>
    <w:p w14:paraId="74A3E93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（13）审核施工承包人提交的工程款支付申请，签发或出具工程款支付证书，并报委托人审核、批准；</w:t>
      </w:r>
    </w:p>
    <w:p w14:paraId="4F3692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（14）在巡视、旁站和检验过程中，发现工程质量、施工安全存在事故隐患的，要求施工承包人整改并报委托人；</w:t>
      </w:r>
    </w:p>
    <w:p w14:paraId="7B9B9F3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（15）经委托人同意，签发工程暂停令和复工令；</w:t>
      </w:r>
    </w:p>
    <w:p w14:paraId="1C38998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（16）审查施工承包人提交的采用新材料、新工艺、新技术、新设备的论证材料及相关验收标准；</w:t>
      </w:r>
    </w:p>
    <w:p w14:paraId="426612D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（17）验收隐蔽工程、分部分项工程；</w:t>
      </w:r>
    </w:p>
    <w:p w14:paraId="60ED197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（18）审查施工承包人提交的工程变更申请，协调处理施工进度调整、费用索赔、合同争议等事项；</w:t>
      </w:r>
    </w:p>
    <w:p w14:paraId="02F7E5B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（19）审查施工承包人提交的竣工验收申请，编写工程质量评估报告；</w:t>
      </w:r>
    </w:p>
    <w:p w14:paraId="7B35843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（20）参加工程竣工验收，签署竣工验收意见；</w:t>
      </w:r>
    </w:p>
    <w:p w14:paraId="4F1EE65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（21）审查施工承包人提交的竣工结算申请并报委托人；</w:t>
      </w:r>
    </w:p>
    <w:p w14:paraId="6F7666D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（22）编制、整理工程监理归档文件并报委托人。</w:t>
      </w:r>
    </w:p>
    <w:p w14:paraId="2C54803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2.1.3 相关服务的范围和内容在附录A中约定。</w:t>
      </w:r>
    </w:p>
    <w:p w14:paraId="40C8126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 监理与相关服务依据</w:t>
      </w:r>
    </w:p>
    <w:p w14:paraId="5676D16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2.2.1 监理依据包括：</w:t>
      </w:r>
    </w:p>
    <w:p w14:paraId="274B7FE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（1）适用的法律、行政法规及部门规章；</w:t>
      </w:r>
    </w:p>
    <w:p w14:paraId="1675CE6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（2）与工程有关的标准；</w:t>
      </w:r>
    </w:p>
    <w:p w14:paraId="407D16D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（3）工程设计及有关文件；</w:t>
      </w:r>
    </w:p>
    <w:p w14:paraId="19E14D5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（4）本合同及委托人与第三方签订的与实施工程有关的其他合同。</w:t>
      </w:r>
    </w:p>
    <w:p w14:paraId="7361787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双方根据工程的行业和地域特点，在专用条件中具体约定监理依据。</w:t>
      </w:r>
    </w:p>
    <w:p w14:paraId="7D5685D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2.2.2 相关服务依据在专用条件中约定。</w:t>
      </w:r>
    </w:p>
    <w:p w14:paraId="7B58FCB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 项目监理机构和人员</w:t>
      </w:r>
    </w:p>
    <w:p w14:paraId="1FE4E01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2.3.1 监理人应组建满足工作需要的项目监理机构，配备必要的检测设备。项目监理机构的主要人员应具有相应的资格条件。</w:t>
      </w:r>
    </w:p>
    <w:p w14:paraId="2A7493F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2.3.2本合同履行过程中，总监理工程师及重要岗位监理人员应保持相对稳定，以保证监理工作正常进行。</w:t>
      </w:r>
    </w:p>
    <w:p w14:paraId="555D2F8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72F4AB0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2.3.4 监理人应及时更换有下列情形之一的监理人员：</w:t>
      </w:r>
    </w:p>
    <w:p w14:paraId="2F52F23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（1）严重过失行为的；</w:t>
      </w:r>
    </w:p>
    <w:p w14:paraId="1C23997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（2）有违法行为不能履行职责的；</w:t>
      </w:r>
    </w:p>
    <w:p w14:paraId="1CC3A13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（3）涉嫌犯罪的；</w:t>
      </w:r>
    </w:p>
    <w:p w14:paraId="180C377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（4）不能胜任岗位职责的；</w:t>
      </w:r>
    </w:p>
    <w:p w14:paraId="27B86F1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（5）严重违反职业道德的；</w:t>
      </w:r>
    </w:p>
    <w:p w14:paraId="698B0BF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（6）专用条件约定的其他情形。</w:t>
      </w:r>
    </w:p>
    <w:p w14:paraId="1657D70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2.3.5 委托人可要求监理人更换不能胜任本职工作的项目监理机构人员。</w:t>
      </w:r>
    </w:p>
    <w:p w14:paraId="42E20E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 履行职责</w:t>
      </w:r>
    </w:p>
    <w:p w14:paraId="754E4DF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监理人应遵循职业道德准则和行为规范，严格按照法律法规、工程建设有关标准及本合同履行职责。</w:t>
      </w:r>
    </w:p>
    <w:p w14:paraId="5812F04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2.4.1 在监理与相关服务范围内，委托人和承包人提出的意见和要求，监理人应及时提出处置意见。当委托人与承包人之间发生合同争议时，监理人应协助委托人、承包人协商解决。</w:t>
      </w:r>
    </w:p>
    <w:p w14:paraId="69998A8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2.4.2 当委托人与承包人之间的合同争议提交仲裁机构仲裁或人民法院审理时，监理人应提供必要的证明资料。</w:t>
      </w:r>
    </w:p>
    <w:p w14:paraId="4263F44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2.4.3 监理人应在专用条件约定的授权范围内，处理委托人与承包人所签订合同的变更事宜。如果变更超过授权范围，应以书面形式报委托人批准。</w:t>
      </w:r>
    </w:p>
    <w:p w14:paraId="0F9EE0B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在紧急情况下，为了保护财产和人身安全，监理人所发出的指令未能事先报委托人批准时，应在发出指令后的24小时内以书面形式报委托人。</w:t>
      </w:r>
    </w:p>
    <w:p w14:paraId="5D20C58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2.4.4 除专用条件另有约定外，监理人发现承包人的人员不能胜任本职工作的，有权要求承包人予以调换。</w:t>
      </w:r>
    </w:p>
    <w:p w14:paraId="4D4659C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2.5 提交报告</w:t>
      </w:r>
    </w:p>
    <w:p w14:paraId="1EEE242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监理人应按专用条件约定的种类、时间和份数向委托人提交监理与相关服务的报告。</w:t>
      </w:r>
    </w:p>
    <w:p w14:paraId="30EE646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2.6 文件资料</w:t>
      </w:r>
    </w:p>
    <w:p w14:paraId="448EBB0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在本合同履行期内，监理人应在现场保留工作所用的图纸、报告及记录监理工作的相关文件。工程竣工后，应当按照档案管理规定将监理有关文件归档。</w:t>
      </w:r>
    </w:p>
    <w:p w14:paraId="32A8EB4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2.7 使用委托人的财产</w:t>
      </w:r>
    </w:p>
    <w:p w14:paraId="1557F64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6A903E63">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3．委托人的义务</w:t>
      </w:r>
    </w:p>
    <w:p w14:paraId="3AB63D1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3.1 告知</w:t>
      </w:r>
    </w:p>
    <w:p w14:paraId="7C51C4F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委托人应在委托人与承包人签订的合同中明确监理人、总监理工程师理工程师和授予项目监理机构的权限。如有变更，应及时通知承包人。</w:t>
      </w:r>
    </w:p>
    <w:p w14:paraId="67FE010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3.2 提供资料</w:t>
      </w:r>
    </w:p>
    <w:p w14:paraId="16799C7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委托人应按照附录B约定，无偿向监理人提供工程有关的资料。在本合同履行过程中，委托人应及时向监理人提供最新的与工程有关的资料。</w:t>
      </w:r>
    </w:p>
    <w:p w14:paraId="527378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 提供工作条件</w:t>
      </w:r>
    </w:p>
    <w:p w14:paraId="32DF3A6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委托人应为监理人完成监理与相关服务提供必要的条件。</w:t>
      </w:r>
    </w:p>
    <w:p w14:paraId="38D118C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3.3.1 委托人应按照附录B约定，派遣相应的人员，提供房屋、设备，供监理人无偿使用。</w:t>
      </w:r>
    </w:p>
    <w:p w14:paraId="48AF5D9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3.3.2 委托人应负责协调工程建设中所有外部关系，为监理人履行本合同提供必要的外部条件。</w:t>
      </w:r>
    </w:p>
    <w:p w14:paraId="0AA6032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3.4 委托人代表</w:t>
      </w:r>
    </w:p>
    <w:p w14:paraId="1DD4E4B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14:paraId="0B55F9C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3.5 委托人意见或要求</w:t>
      </w:r>
    </w:p>
    <w:p w14:paraId="7C5BDF7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在本合同约定的监理与相关服务工作范围内，委托人对承包人的任何意见或要求应通知监理人，由监理人向承包人发出相应指令。</w:t>
      </w:r>
    </w:p>
    <w:p w14:paraId="6B99D84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3.6 答复</w:t>
      </w:r>
    </w:p>
    <w:p w14:paraId="080C528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委托人应在专用条件约定的时间内，对监理人以书面形式提交并要求做出决定的事宜，给予书面答复。逾期未答复的，视为委托人认可。</w:t>
      </w:r>
    </w:p>
    <w:p w14:paraId="5BC5BF7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3.7 支付</w:t>
      </w:r>
    </w:p>
    <w:p w14:paraId="4C4EC5D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委托人应按本合同约定，向监理人支付酬金。</w:t>
      </w:r>
    </w:p>
    <w:p w14:paraId="0509B1BD">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4. 违约责任</w:t>
      </w:r>
    </w:p>
    <w:p w14:paraId="5FF45C3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 监理人的违约责任</w:t>
      </w:r>
    </w:p>
    <w:p w14:paraId="3C8207B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监理人未履行本合同义务的，应承担相应的责任。</w:t>
      </w:r>
    </w:p>
    <w:p w14:paraId="636FB71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4.1.1 因监理人违反本合同约定给委托人造成损失的，监理人应当赔偿委托人损失。赔偿金额的确定方法在专用条件中约定。监理人承担部分赔偿责任的，其承担赔偿金额由双方协商确定。</w:t>
      </w:r>
    </w:p>
    <w:p w14:paraId="4FD11BD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4.1.2 监理人向委托人的索赔不成立时，监理人应赔偿委托人由此发生的费用。</w:t>
      </w:r>
    </w:p>
    <w:p w14:paraId="24250EE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 委托人的违约责任</w:t>
      </w:r>
    </w:p>
    <w:p w14:paraId="3CBA401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委托人未履行本合同义务的，应承担相应的责任。</w:t>
      </w:r>
    </w:p>
    <w:p w14:paraId="5039695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4.2.1 委托人违反本合同约定造成监理人损失的，委托人应予以赔偿。</w:t>
      </w:r>
    </w:p>
    <w:p w14:paraId="458B87F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4.2.2 委托人向监理人的索赔不成立时，应赔偿监理人由此引起的费用。</w:t>
      </w:r>
    </w:p>
    <w:p w14:paraId="14EC32F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4.2.3 委托人未能按期支付酬金超过28天，应按专用条件约定支付逾期付款利息。</w:t>
      </w:r>
    </w:p>
    <w:p w14:paraId="446C5A4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4.3 除外责任</w:t>
      </w:r>
    </w:p>
    <w:p w14:paraId="0BD0AEF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因非监理人的原因，且监理人无过错，发生工程质量事故、安全事故、工期延误等造成的损失，监理人不承担赔偿责任。</w:t>
      </w:r>
    </w:p>
    <w:p w14:paraId="5FD3EFC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因不可抗力导致本合同全部或部分不能履行时，双方各自承担其因此而造成的损失、损害。</w:t>
      </w:r>
    </w:p>
    <w:p w14:paraId="60A3514E">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5. 支付</w:t>
      </w:r>
    </w:p>
    <w:p w14:paraId="7473024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5.1 支付货币</w:t>
      </w:r>
    </w:p>
    <w:p w14:paraId="7B2AB7E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除专用条件另有约定外，酬金均以人民币支付。涉及外币支付的，所采用的货币种类、比例和汇率在专用条件中约定。</w:t>
      </w:r>
    </w:p>
    <w:p w14:paraId="30DD102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5.2 支付申请</w:t>
      </w:r>
    </w:p>
    <w:p w14:paraId="2BC2554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监理人应在本合同约定的每次应付款时间的7天前，向委托人提交支付申请书。支付申请书应当说明当期应付款总额，并列出当期应支付的款项及其金额。</w:t>
      </w:r>
    </w:p>
    <w:p w14:paraId="594F6BB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5.3 支付酬金</w:t>
      </w:r>
    </w:p>
    <w:p w14:paraId="56E38E1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支付的酬金包括正常工作酬金、附加工作酬金、合理化建议奖励金额及费用。</w:t>
      </w:r>
    </w:p>
    <w:p w14:paraId="72CFD17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5.4 有争议部分的付款</w:t>
      </w:r>
    </w:p>
    <w:p w14:paraId="29A2ACE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60CFCD1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 合同生效、变更、暂停、解除与终止</w:t>
      </w:r>
    </w:p>
    <w:p w14:paraId="1EFBEDE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6.1生效</w:t>
      </w:r>
    </w:p>
    <w:p w14:paraId="41E1BA9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除法律另有规定或者专用条件另有约定外，委托人和监理人的法定代表人或其授权代理人在协议书上签字并盖单位章后本合同生效。</w:t>
      </w:r>
    </w:p>
    <w:p w14:paraId="0BC0E5C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6.2变更</w:t>
      </w:r>
    </w:p>
    <w:p w14:paraId="023B43A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6.2.1 任何一方提出变更请求时，双方经协商一致后可进行变更。</w:t>
      </w:r>
    </w:p>
    <w:p w14:paraId="36A03BE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3C26267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1E9F950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6.2.4合同签订后，遇有与工程相关的法律法规、标准颁布或修订的，双方应遵照执行。由此引起监理与相关服务的范围、时间、酬金变化的，双方应通过协商进行相应调整。</w:t>
      </w:r>
    </w:p>
    <w:p w14:paraId="6B240A0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6.2.5 因非监理人原因造成工程概算投资额或建筑安装工程费增加时，正常工作酬金应作相应调整。调整方法在专用条件中约定。</w:t>
      </w:r>
    </w:p>
    <w:p w14:paraId="60A2618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6.2.6 因工程规模、监理范围的变化导致监理人的正常工作量减少时，正常工作酬金应作相应调整。调整方法在专用条件中约定。</w:t>
      </w:r>
    </w:p>
    <w:p w14:paraId="50843290">
      <w:pPr>
        <w:spacing w:line="470" w:lineRule="exact"/>
        <w:ind w:firstLine="420" w:firstLineChars="200"/>
        <w:rPr>
          <w:rFonts w:ascii="仿宋_GB2312" w:hAnsi="宋体" w:eastAsia="仿宋_GB2312"/>
          <w:iCs/>
          <w:color w:val="auto"/>
          <w:highlight w:val="none"/>
        </w:rPr>
      </w:pPr>
      <w:r>
        <w:rPr>
          <w:rFonts w:hint="eastAsia" w:ascii="仿宋_GB2312" w:hAnsi="宋体" w:eastAsia="仿宋_GB2312"/>
          <w:iCs/>
          <w:color w:val="auto"/>
          <w:highlight w:val="none"/>
        </w:rPr>
        <w:t>6.3 暂停与解除</w:t>
      </w:r>
    </w:p>
    <w:p w14:paraId="7A9492D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除双方协商一致可以解除本合同外，当一方无正当理由未履行本合同约定的义务时，另一方可以根据本合同约定暂停履行本合同直至解除本合同。</w:t>
      </w:r>
    </w:p>
    <w:p w14:paraId="30D1CB0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6.3.1 在本合同有效期内，由于双方无法预见和控制的原因导致本合同全部或部分无法继续履行或继续履行已无意义，经双方协商一致，可以解除本合同或监理人的部分义务。在解除之前，监理人应做出合理安排，使开支减至最小。</w:t>
      </w:r>
    </w:p>
    <w:p w14:paraId="7B66705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因解除本合同或解除监理人的部分义务导致监理人遭受的损失，除依法可以免除责任的情况外，应由委托人予以补偿，补偿金额由双方协商确定。</w:t>
      </w:r>
    </w:p>
    <w:p w14:paraId="23F04DD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解除本合同的协议必须采取书面形式，协议未达成之前，本合同仍然有效。</w:t>
      </w:r>
    </w:p>
    <w:p w14:paraId="54E6E66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3920F6B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40A4F43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133A9F6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4B01103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6.3.5 因不可抗力致使本合同部分或全部不能履行时，一方应立即通知另一方，可暂停或解除本合同。</w:t>
      </w:r>
    </w:p>
    <w:p w14:paraId="02D744B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6.3.6 本合同解除后，本合同约定的有关结算、清理、争议解决方式的条件仍然有效。</w:t>
      </w:r>
    </w:p>
    <w:p w14:paraId="17736E8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6.4 终止</w:t>
      </w:r>
    </w:p>
    <w:p w14:paraId="42631EC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以下条件全部满足时，本合同即告终止：</w:t>
      </w:r>
    </w:p>
    <w:p w14:paraId="6FA0E04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（1）监理人完成本合同约定的全部工作；</w:t>
      </w:r>
    </w:p>
    <w:p w14:paraId="09C90D2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（2）委托人与监理人结清并支付全部酬金。</w:t>
      </w:r>
    </w:p>
    <w:p w14:paraId="0109CF9C">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7 争议解决</w:t>
      </w:r>
    </w:p>
    <w:p w14:paraId="706E499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7.1协商</w:t>
      </w:r>
    </w:p>
    <w:p w14:paraId="520B2A3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双方应本着诚信原则协商解决彼此间的争议。</w:t>
      </w:r>
    </w:p>
    <w:p w14:paraId="115F29B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7.2调解</w:t>
      </w:r>
    </w:p>
    <w:p w14:paraId="0AD031F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如果双方不能在14天内或双方商定的其他时间内解决本合同争议，可以将其提交给专用条件约定的或事后达成协议的调解人进行调解。</w:t>
      </w:r>
    </w:p>
    <w:p w14:paraId="701A8EF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7.3仲裁或诉讼</w:t>
      </w:r>
    </w:p>
    <w:p w14:paraId="45EAEA8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双方均有权不经调解直接向专用条件约定的仲裁机构申请仲裁或向有管辖权的人民法院提起诉讼。</w:t>
      </w:r>
    </w:p>
    <w:p w14:paraId="60340665">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8 其他</w:t>
      </w:r>
    </w:p>
    <w:p w14:paraId="46E64A3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8.1 外出考察费用</w:t>
      </w:r>
    </w:p>
    <w:p w14:paraId="0BBA5E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经委托人同意，监理人员外出考察发生的费用由委托人审核后支付。</w:t>
      </w:r>
    </w:p>
    <w:p w14:paraId="07C351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8.2 检测费用</w:t>
      </w:r>
    </w:p>
    <w:p w14:paraId="6B16D60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委托人要求监理人进行的材料和设备检测所发生的费用，由委托人支付，支付时间在专用条件中约定。</w:t>
      </w:r>
    </w:p>
    <w:p w14:paraId="661D9CD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8.3 咨询费用</w:t>
      </w:r>
    </w:p>
    <w:p w14:paraId="1915C27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经委托人同意，根据工程需要由监理人组织的相关咨询论证会以及聘请相关专家等发生的费用由委托人支付，支付时间在专用条件中约定。</w:t>
      </w:r>
    </w:p>
    <w:p w14:paraId="72D2F09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8.4 奖励</w:t>
      </w:r>
    </w:p>
    <w:p w14:paraId="216530D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监理人在服务过程中提出的合理化建议，使委托人获得经济效益的，双方在专用条件中约定奖励金额的确定方法。奖励金额在合理化建议被采纳后，与最近一期的正常工作酬金同期支付。</w:t>
      </w:r>
    </w:p>
    <w:p w14:paraId="420E98E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8.5 守法诚信</w:t>
      </w:r>
    </w:p>
    <w:p w14:paraId="450D44C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监理人及其工作人员不得从与实施工程有关的第三方处获得任何经济利益。</w:t>
      </w:r>
    </w:p>
    <w:p w14:paraId="2914D5E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8.6 保密</w:t>
      </w:r>
    </w:p>
    <w:p w14:paraId="1F5F7EB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双方不得泄露对方申明的保密资料，亦不得泄露与实施工程有关的第三方所提供的保密资料，保密事项在专用条件中约定。</w:t>
      </w:r>
    </w:p>
    <w:p w14:paraId="2D8D5DB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8.7 通知</w:t>
      </w:r>
    </w:p>
    <w:p w14:paraId="23502B0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本合同涉及的通知均应当采用书面形式，并在送达对方时生效，收件人应书面签收。</w:t>
      </w:r>
    </w:p>
    <w:p w14:paraId="558EF88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8.8 著作权</w:t>
      </w:r>
    </w:p>
    <w:p w14:paraId="68E0C56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监理人对其编制的文件拥有著作权。</w:t>
      </w:r>
    </w:p>
    <w:p w14:paraId="1201FE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71886950">
      <w:pPr>
        <w:spacing w:line="470" w:lineRule="exact"/>
        <w:ind w:firstLine="420" w:firstLineChars="200"/>
        <w:rPr>
          <w:rFonts w:ascii="仿宋_GB2312" w:eastAsia="仿宋_GB2312"/>
          <w:iCs/>
          <w:color w:val="auto"/>
          <w:highlight w:val="none"/>
        </w:rPr>
      </w:pPr>
    </w:p>
    <w:p w14:paraId="193D03FF">
      <w:pPr>
        <w:spacing w:line="470" w:lineRule="exact"/>
        <w:ind w:firstLine="420" w:firstLineChars="200"/>
        <w:rPr>
          <w:rFonts w:ascii="仿宋_GB2312" w:eastAsia="仿宋_GB2312"/>
          <w:iCs/>
          <w:color w:val="auto"/>
          <w:highlight w:val="none"/>
        </w:rPr>
      </w:pPr>
    </w:p>
    <w:p w14:paraId="54CF10B2">
      <w:pPr>
        <w:pStyle w:val="2"/>
        <w:rPr>
          <w:rFonts w:ascii="仿宋_GB2312" w:eastAsia="仿宋_GB2312"/>
          <w:color w:val="auto"/>
          <w:highlight w:val="none"/>
        </w:rPr>
      </w:pPr>
    </w:p>
    <w:p w14:paraId="26C06C4F">
      <w:pPr>
        <w:pStyle w:val="2"/>
        <w:rPr>
          <w:rFonts w:ascii="仿宋_GB2312" w:eastAsia="仿宋_GB2312"/>
          <w:color w:val="auto"/>
          <w:highlight w:val="none"/>
        </w:rPr>
      </w:pPr>
    </w:p>
    <w:p w14:paraId="3F07DEE7">
      <w:pPr>
        <w:pStyle w:val="4"/>
        <w:jc w:val="center"/>
        <w:rPr>
          <w:rStyle w:val="37"/>
          <w:rFonts w:ascii="仿宋_GB2312" w:hAnsi="宋体" w:eastAsia="仿宋_GB2312"/>
          <w:b w:val="0"/>
          <w:iCs w:val="0"/>
          <w:color w:val="auto"/>
          <w:sz w:val="30"/>
          <w:szCs w:val="30"/>
          <w:highlight w:val="none"/>
        </w:rPr>
      </w:pPr>
      <w:r>
        <w:rPr>
          <w:rStyle w:val="37"/>
          <w:rFonts w:ascii="仿宋_GB2312" w:hAnsi="宋体" w:eastAsia="仿宋_GB2312"/>
          <w:color w:val="auto"/>
          <w:sz w:val="30"/>
          <w:szCs w:val="30"/>
          <w:highlight w:val="none"/>
        </w:rPr>
        <w:br w:type="page"/>
      </w:r>
      <w:r>
        <w:rPr>
          <w:rStyle w:val="37"/>
          <w:rFonts w:hint="eastAsia" w:ascii="仿宋_GB2312" w:hAnsi="宋体" w:eastAsia="仿宋_GB2312"/>
          <w:color w:val="auto"/>
          <w:sz w:val="30"/>
          <w:szCs w:val="30"/>
          <w:highlight w:val="none"/>
        </w:rPr>
        <w:t>第三节  专用合同条款</w:t>
      </w:r>
    </w:p>
    <w:p w14:paraId="2BFF135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 定义与解释</w:t>
      </w:r>
    </w:p>
    <w:p w14:paraId="7395DF1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  解释</w:t>
      </w:r>
    </w:p>
    <w:p w14:paraId="579DA564">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1.2.1 本合同文件除使用中文外，还可用</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5DED45B">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1.2.2 约定本合同文件的解释顺序为：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执行通用条款 </w:t>
      </w:r>
      <w:r>
        <w:rPr>
          <w:rFonts w:hint="eastAsia" w:ascii="仿宋_GB2312" w:hAnsi="宋体" w:eastAsia="仿宋_GB2312"/>
          <w:iCs/>
          <w:color w:val="auto"/>
          <w:sz w:val="24"/>
          <w:highlight w:val="none"/>
        </w:rPr>
        <w:t>。</w:t>
      </w:r>
    </w:p>
    <w:p w14:paraId="6085778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监理人义务</w:t>
      </w:r>
    </w:p>
    <w:p w14:paraId="7B477964">
      <w:pPr>
        <w:adjustRightInd w:val="0"/>
        <w:snapToGrid w:val="0"/>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2.1 监理的范围和</w:t>
      </w:r>
      <w:r>
        <w:rPr>
          <w:rFonts w:hint="eastAsia" w:ascii="仿宋_GB2312" w:hAnsi="华文仿宋" w:eastAsia="仿宋_GB2312"/>
          <w:bCs/>
          <w:iCs/>
          <w:color w:val="auto"/>
          <w:sz w:val="24"/>
          <w:highlight w:val="none"/>
        </w:rPr>
        <w:t>内容</w:t>
      </w:r>
    </w:p>
    <w:p w14:paraId="0008DB22">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2.1.1 监理范围包括：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在施工及保修阶段对建设工程质量、进度、造价进行控制，对合同、信息进行管理，对工程建设相关方的关系进行协调，并履行建设工程安全生产管理法定职责  </w:t>
      </w:r>
      <w:r>
        <w:rPr>
          <w:rFonts w:hint="eastAsia" w:ascii="仿宋_GB2312" w:hAnsi="宋体" w:eastAsia="仿宋_GB2312"/>
          <w:iCs/>
          <w:color w:val="auto"/>
          <w:sz w:val="24"/>
          <w:highlight w:val="none"/>
        </w:rPr>
        <w:t xml:space="preserve">。 </w:t>
      </w:r>
    </w:p>
    <w:p w14:paraId="6ECB46BE">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2.1.2 监理工作内容还包括： </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0765EB5A">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2.2 理与相关服务依据</w:t>
      </w:r>
    </w:p>
    <w:p w14:paraId="6C02946A">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2.2.1 监理依据包括：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执行通用条款 </w:t>
      </w:r>
      <w:r>
        <w:rPr>
          <w:rFonts w:hint="eastAsia" w:ascii="仿宋_GB2312" w:hAnsi="宋体" w:eastAsia="仿宋_GB2312"/>
          <w:iCs/>
          <w:color w:val="auto"/>
          <w:sz w:val="24"/>
          <w:highlight w:val="none"/>
        </w:rPr>
        <w:t xml:space="preserve">。  </w:t>
      </w:r>
    </w:p>
    <w:p w14:paraId="3A04939B">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2.2.2 相关服务依据包括：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C9F66C4">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2.3</w:t>
      </w:r>
      <w:r>
        <w:rPr>
          <w:rFonts w:hint="eastAsia" w:ascii="仿宋_GB2312" w:hAnsi="华文仿宋" w:eastAsia="仿宋_GB2312" w:cs="宋体"/>
          <w:iCs/>
          <w:color w:val="auto"/>
          <w:kern w:val="0"/>
          <w:sz w:val="24"/>
          <w:highlight w:val="none"/>
        </w:rPr>
        <w:t>项目监理机构和人员</w:t>
      </w:r>
    </w:p>
    <w:p w14:paraId="6A3655A7">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2.3.4 </w:t>
      </w:r>
      <w:r>
        <w:rPr>
          <w:rFonts w:hint="eastAsia" w:ascii="仿宋_GB2312" w:hAnsi="宋体" w:eastAsia="仿宋_GB2312"/>
          <w:iCs/>
          <w:color w:val="auto"/>
          <w:kern w:val="0"/>
          <w:sz w:val="24"/>
          <w:highlight w:val="none"/>
        </w:rPr>
        <w:t>更换监理人员的其他情形：</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kern w:val="0"/>
          <w:sz w:val="24"/>
          <w:highlight w:val="none"/>
        </w:rPr>
        <w:t>。</w:t>
      </w:r>
    </w:p>
    <w:p w14:paraId="4180C973">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2.4 履行职责</w:t>
      </w:r>
    </w:p>
    <w:p w14:paraId="04BD1C32">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2.4.3 对监理人的授权范围：</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在施工及保修阶段对建设工程质量、进度、造价进行控制，对合同、信息进行管理，对工程建设相关方的关系进行协调，并履行建设工程安全生产管理法定职责；（工程停工令、暂停令的发布、工程延期、工程变更的审批、工程内容的增减需要取得发包人批准才能行使）</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65EF4E5A">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在涉及工程延期</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天内和（或）金额</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万元内的变更，监理人不需请示委托人即可向承包人发布变更通知。</w:t>
      </w:r>
    </w:p>
    <w:p w14:paraId="289DC8A2">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kern w:val="0"/>
          <w:sz w:val="24"/>
          <w:highlight w:val="none"/>
        </w:rPr>
        <w:t>2.4.4 监理人有权要求承包人调换其人员</w:t>
      </w:r>
      <w:r>
        <w:rPr>
          <w:rFonts w:hint="eastAsia" w:ascii="仿宋_GB2312" w:hAnsi="宋体" w:eastAsia="仿宋_GB2312"/>
          <w:iCs/>
          <w:color w:val="auto"/>
          <w:sz w:val="24"/>
          <w:highlight w:val="none"/>
        </w:rPr>
        <w:t>的限制条件：</w:t>
      </w:r>
      <w:r>
        <w:rPr>
          <w:rFonts w:hint="eastAsia" w:ascii="仿宋_GB2312" w:hAnsi="宋体" w:eastAsia="仿宋_GB2312"/>
          <w:b/>
          <w:iCs/>
          <w:color w:val="auto"/>
          <w:sz w:val="24"/>
          <w:highlight w:val="none"/>
          <w:u w:val="single"/>
        </w:rPr>
        <w:t>需要取得</w:t>
      </w:r>
      <w:r>
        <w:rPr>
          <w:rFonts w:hint="eastAsia" w:ascii="仿宋_GB2312" w:hAnsi="宋体" w:eastAsia="仿宋_GB2312"/>
          <w:b/>
          <w:iCs/>
          <w:color w:val="auto"/>
          <w:sz w:val="24"/>
          <w:highlight w:val="none"/>
          <w:u w:val="single"/>
          <w:lang w:eastAsia="zh-CN"/>
        </w:rPr>
        <w:t>委托</w:t>
      </w:r>
      <w:r>
        <w:rPr>
          <w:rFonts w:hint="eastAsia" w:ascii="仿宋_GB2312" w:hAnsi="宋体" w:eastAsia="仿宋_GB2312"/>
          <w:b/>
          <w:iCs/>
          <w:color w:val="auto"/>
          <w:sz w:val="24"/>
          <w:highlight w:val="none"/>
          <w:u w:val="single"/>
        </w:rPr>
        <w:t>人批准</w:t>
      </w:r>
      <w:r>
        <w:rPr>
          <w:rFonts w:hint="eastAsia" w:ascii="仿宋_GB2312" w:hAnsi="宋体" w:eastAsia="仿宋_GB2312"/>
          <w:iCs/>
          <w:color w:val="auto"/>
          <w:sz w:val="24"/>
          <w:highlight w:val="none"/>
        </w:rPr>
        <w:t xml:space="preserve">。  </w:t>
      </w:r>
    </w:p>
    <w:p w14:paraId="4826C4F2">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2.5 提交报告</w:t>
      </w:r>
    </w:p>
    <w:p w14:paraId="125E4671">
      <w:pPr>
        <w:adjustRightInd w:val="0"/>
        <w:snapToGrid w:val="0"/>
        <w:spacing w:line="470" w:lineRule="exact"/>
        <w:ind w:firstLine="525"/>
        <w:rPr>
          <w:rFonts w:ascii="仿宋_GB2312" w:hAnsi="宋体" w:eastAsia="仿宋_GB2312"/>
          <w:iCs/>
          <w:color w:val="auto"/>
          <w:sz w:val="24"/>
          <w:highlight w:val="none"/>
          <w:u w:val="single"/>
        </w:rPr>
      </w:pPr>
      <w:r>
        <w:rPr>
          <w:rFonts w:hint="eastAsia" w:ascii="仿宋_GB2312" w:hAnsi="宋体" w:eastAsia="仿宋_GB2312"/>
          <w:iCs/>
          <w:color w:val="auto"/>
          <w:sz w:val="24"/>
          <w:highlight w:val="none"/>
        </w:rPr>
        <w:t>监理人应提交报告的种类(</w:t>
      </w:r>
      <w:r>
        <w:rPr>
          <w:rFonts w:hint="eastAsia" w:ascii="仿宋_GB2312" w:hAnsi="宋体" w:eastAsia="仿宋_GB2312" w:cs="宋体"/>
          <w:iCs/>
          <w:color w:val="auto"/>
          <w:kern w:val="0"/>
          <w:sz w:val="24"/>
          <w:highlight w:val="none"/>
        </w:rPr>
        <w:t>包括监理规划、监理月报及约定的专项报告)</w:t>
      </w:r>
      <w:r>
        <w:rPr>
          <w:rFonts w:hint="eastAsia" w:ascii="仿宋_GB2312" w:hAnsi="宋体" w:eastAsia="仿宋_GB2312"/>
          <w:iCs/>
          <w:color w:val="auto"/>
          <w:sz w:val="24"/>
          <w:highlight w:val="none"/>
        </w:rPr>
        <w:t>、时间和份数</w:t>
      </w:r>
      <w:r>
        <w:rPr>
          <w:rFonts w:hint="eastAsia" w:ascii="仿宋_GB2312" w:hAnsi="宋体" w:eastAsia="仿宋_GB2312" w:cs="宋体"/>
          <w:iCs/>
          <w:color w:val="auto"/>
          <w:kern w:val="0"/>
          <w:sz w:val="24"/>
          <w:highlight w:val="non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双方协商</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45C11E50">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 xml:space="preserve"> 2.7 使用委托人的财产</w:t>
      </w:r>
    </w:p>
    <w:p w14:paraId="1CB4C4EC">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附录B中由委托人无偿提供的房屋、设备的所有权属于：</w:t>
      </w:r>
      <w:r>
        <w:rPr>
          <w:rFonts w:hint="eastAsia" w:ascii="仿宋_GB2312" w:hAnsi="宋体" w:eastAsia="仿宋_GB2312"/>
          <w:b/>
          <w:iCs/>
          <w:color w:val="auto"/>
          <w:sz w:val="24"/>
          <w:highlight w:val="none"/>
          <w:u w:val="single"/>
        </w:rPr>
        <w:t>委托人</w:t>
      </w:r>
      <w:r>
        <w:rPr>
          <w:rFonts w:hint="eastAsia" w:ascii="仿宋_GB2312" w:hAnsi="宋体" w:eastAsia="仿宋_GB2312"/>
          <w:iCs/>
          <w:color w:val="auto"/>
          <w:sz w:val="24"/>
          <w:highlight w:val="none"/>
        </w:rPr>
        <w:t>。</w:t>
      </w:r>
    </w:p>
    <w:p w14:paraId="5DF34DC0">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监理人应在本合同终止后</w:t>
      </w:r>
      <w:r>
        <w:rPr>
          <w:rFonts w:hint="eastAsia" w:ascii="仿宋_GB2312" w:hAnsi="宋体" w:eastAsia="仿宋_GB2312"/>
          <w:b/>
          <w:iCs/>
          <w:color w:val="auto"/>
          <w:sz w:val="24"/>
          <w:highlight w:val="none"/>
          <w:u w:val="single"/>
        </w:rPr>
        <w:t xml:space="preserve"> 7 </w:t>
      </w:r>
      <w:r>
        <w:rPr>
          <w:rFonts w:hint="eastAsia" w:ascii="仿宋_GB2312" w:hAnsi="宋体" w:eastAsia="仿宋_GB2312"/>
          <w:iCs/>
          <w:color w:val="auto"/>
          <w:sz w:val="24"/>
          <w:highlight w:val="none"/>
        </w:rPr>
        <w:t>天内移交委托人无偿提供的房屋、设备，移交的时间和方式为：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9FAAB8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3. 委托人义务  </w:t>
      </w:r>
    </w:p>
    <w:p w14:paraId="0093E9D0">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3.4 委托人代表</w:t>
      </w:r>
    </w:p>
    <w:p w14:paraId="457D7CC5">
      <w:pPr>
        <w:adjustRightInd w:val="0"/>
        <w:snapToGrid w:val="0"/>
        <w:spacing w:line="470" w:lineRule="exact"/>
        <w:ind w:firstLine="480" w:firstLineChars="200"/>
        <w:rPr>
          <w:rFonts w:ascii="仿宋_GB2312" w:hAnsi="宋体" w:eastAsia="仿宋_GB2312"/>
          <w:iCs/>
          <w:color w:val="auto"/>
          <w:sz w:val="24"/>
          <w:highlight w:val="none"/>
          <w:u w:val="single"/>
        </w:rPr>
      </w:pPr>
      <w:r>
        <w:rPr>
          <w:rFonts w:hint="eastAsia" w:ascii="仿宋_GB2312" w:hAnsi="宋体" w:eastAsia="仿宋_GB2312"/>
          <w:iCs/>
          <w:color w:val="auto"/>
          <w:sz w:val="24"/>
          <w:highlight w:val="none"/>
        </w:rPr>
        <w:t>委托人代表为：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7A2871D9">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3.6 答复</w:t>
      </w:r>
    </w:p>
    <w:p w14:paraId="7CA486CB">
      <w:pPr>
        <w:adjustRightInd w:val="0"/>
        <w:snapToGrid w:val="0"/>
        <w:spacing w:line="470" w:lineRule="exact"/>
        <w:ind w:firstLine="464" w:firstLineChars="200"/>
        <w:rPr>
          <w:rFonts w:ascii="仿宋_GB2312" w:hAnsi="宋体" w:eastAsia="仿宋_GB2312"/>
          <w:iCs/>
          <w:color w:val="auto"/>
          <w:spacing w:val="-4"/>
          <w:sz w:val="24"/>
          <w:highlight w:val="none"/>
        </w:rPr>
      </w:pPr>
      <w:r>
        <w:rPr>
          <w:rFonts w:hint="eastAsia" w:ascii="仿宋_GB2312" w:hAnsi="宋体" w:eastAsia="仿宋_GB2312"/>
          <w:iCs/>
          <w:color w:val="auto"/>
          <w:spacing w:val="-4"/>
          <w:sz w:val="24"/>
          <w:highlight w:val="none"/>
        </w:rPr>
        <w:t>委托人同意在</w:t>
      </w:r>
      <w:r>
        <w:rPr>
          <w:rFonts w:hint="eastAsia" w:ascii="仿宋_GB2312" w:hAnsi="宋体" w:eastAsia="仿宋_GB2312"/>
          <w:b/>
          <w:iCs/>
          <w:color w:val="auto"/>
          <w:spacing w:val="-4"/>
          <w:sz w:val="24"/>
          <w:highlight w:val="none"/>
          <w:u w:val="single"/>
        </w:rPr>
        <w:t xml:space="preserve"> 3 </w:t>
      </w:r>
      <w:r>
        <w:rPr>
          <w:rFonts w:hint="eastAsia" w:ascii="仿宋_GB2312" w:hAnsi="宋体" w:eastAsia="仿宋_GB2312"/>
          <w:iCs/>
          <w:color w:val="auto"/>
          <w:spacing w:val="-4"/>
          <w:sz w:val="24"/>
          <w:highlight w:val="none"/>
        </w:rPr>
        <w:t>天内，对监理人书面提交并要求做出决定的事宜给予书面答复。</w:t>
      </w:r>
    </w:p>
    <w:p w14:paraId="4ED4086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 违约责任</w:t>
      </w:r>
    </w:p>
    <w:p w14:paraId="3753AF4A">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4.1 监理人的违约责任</w:t>
      </w:r>
    </w:p>
    <w:p w14:paraId="20786920">
      <w:pPr>
        <w:adjustRightInd w:val="0"/>
        <w:snapToGrid w:val="0"/>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kern w:val="0"/>
          <w:sz w:val="24"/>
          <w:highlight w:val="none"/>
        </w:rPr>
        <w:t>4.1.1监理人赔偿金额按下列方法确定：</w:t>
      </w:r>
    </w:p>
    <w:p w14:paraId="4665AFCA">
      <w:pPr>
        <w:adjustRightInd w:val="0"/>
        <w:snapToGrid w:val="0"/>
        <w:spacing w:line="470" w:lineRule="exact"/>
        <w:ind w:firstLine="480" w:firstLineChars="200"/>
        <w:rPr>
          <w:rFonts w:ascii="仿宋_GB2312" w:hAnsi="宋体" w:eastAsia="仿宋_GB2312" w:cs="宋体"/>
          <w:iCs/>
          <w:color w:val="auto"/>
          <w:kern w:val="0"/>
          <w:sz w:val="24"/>
          <w:highlight w:val="none"/>
        </w:rPr>
      </w:pPr>
      <w:r>
        <w:rPr>
          <w:rFonts w:hint="eastAsia" w:ascii="仿宋_GB2312" w:hAnsi="宋体" w:eastAsia="仿宋_GB2312"/>
          <w:iCs/>
          <w:color w:val="auto"/>
          <w:sz w:val="24"/>
          <w:highlight w:val="none"/>
        </w:rPr>
        <w:t>赔偿金＝直接经济损失×正常工作酬金÷工程概算</w:t>
      </w:r>
      <w:r>
        <w:rPr>
          <w:rFonts w:hint="eastAsia" w:ascii="仿宋_GB2312" w:hAnsi="宋体" w:eastAsia="仿宋_GB2312" w:cs="宋体"/>
          <w:iCs/>
          <w:color w:val="auto"/>
          <w:kern w:val="0"/>
          <w:sz w:val="24"/>
          <w:highlight w:val="none"/>
        </w:rPr>
        <w:t>投资额（或建筑安装工程费）</w:t>
      </w:r>
    </w:p>
    <w:p w14:paraId="4615B6F1">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4.2 委托人的违约责任</w:t>
      </w:r>
    </w:p>
    <w:p w14:paraId="4A181E3B">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4.2.3 委托人</w:t>
      </w:r>
      <w:r>
        <w:rPr>
          <w:rFonts w:hint="eastAsia" w:ascii="仿宋_GB2312" w:hAnsi="宋体" w:eastAsia="仿宋_GB2312"/>
          <w:iCs/>
          <w:color w:val="auto"/>
          <w:kern w:val="0"/>
          <w:sz w:val="24"/>
          <w:highlight w:val="none"/>
        </w:rPr>
        <w:t>逾期付款利息按下列方法确定：</w:t>
      </w:r>
    </w:p>
    <w:p w14:paraId="1A4C9FBE">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逾期付款利息＝当期应付款总额×银行同期贷款利率×拖延支付天数</w:t>
      </w:r>
    </w:p>
    <w:p w14:paraId="0898FB7E">
      <w:pPr>
        <w:snapToGrid w:val="0"/>
        <w:spacing w:line="470" w:lineRule="exact"/>
        <w:rPr>
          <w:rStyle w:val="37"/>
          <w:rFonts w:ascii="仿宋_GB2312" w:eastAsia="仿宋_GB2312"/>
          <w:i/>
          <w:iCs w:val="0"/>
          <w:color w:val="auto"/>
          <w:highlight w:val="none"/>
        </w:rPr>
      </w:pPr>
      <w:r>
        <w:rPr>
          <w:rStyle w:val="37"/>
          <w:rFonts w:hint="eastAsia" w:ascii="仿宋_GB2312" w:eastAsia="仿宋_GB2312"/>
          <w:i/>
          <w:color w:val="auto"/>
          <w:highlight w:val="none"/>
        </w:rPr>
        <w:t>5. 支付</w:t>
      </w:r>
    </w:p>
    <w:p w14:paraId="6FF4BE7A">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5.1 支付货币</w:t>
      </w:r>
    </w:p>
    <w:p w14:paraId="1B3C46E2">
      <w:pPr>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币种为：</w:t>
      </w:r>
      <w:r>
        <w:rPr>
          <w:rFonts w:hint="eastAsia" w:ascii="仿宋_GB2312" w:hAnsi="宋体" w:eastAsia="仿宋_GB2312"/>
          <w:b/>
          <w:iCs/>
          <w:color w:val="auto"/>
          <w:sz w:val="24"/>
          <w:highlight w:val="none"/>
          <w:u w:val="single"/>
        </w:rPr>
        <w:t>人民币</w:t>
      </w:r>
      <w:r>
        <w:rPr>
          <w:rFonts w:hint="eastAsia" w:ascii="仿宋_GB2312" w:hAnsi="宋体" w:eastAsia="仿宋_GB2312"/>
          <w:iCs/>
          <w:color w:val="auto"/>
          <w:sz w:val="24"/>
          <w:highlight w:val="none"/>
        </w:rPr>
        <w:t>，比例为：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，汇率为：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 xml:space="preserve">。 </w:t>
      </w:r>
    </w:p>
    <w:p w14:paraId="7278099D">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5.2 支付酬金</w:t>
      </w:r>
    </w:p>
    <w:p w14:paraId="0215D11D">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正常工作酬金的支付：</w:t>
      </w:r>
      <w:r>
        <w:rPr>
          <w:rFonts w:hint="eastAsia" w:ascii="仿宋_GB2312" w:hAnsi="宋体" w:eastAsia="仿宋_GB2312"/>
          <w:iCs/>
          <w:color w:val="auto"/>
          <w:sz w:val="24"/>
          <w:highlight w:val="none"/>
          <w:lang w:eastAsia="zh-CN"/>
        </w:rPr>
        <w:t>服务期满第一年支付合同价款的50%，第二、第三、第四年分别支付合同价款的20%、20%、10%。</w:t>
      </w:r>
    </w:p>
    <w:p w14:paraId="1A03E96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 合同生效、变更、暂停、解除与终止</w:t>
      </w:r>
    </w:p>
    <w:p w14:paraId="231ED4AA">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6.1 生效</w:t>
      </w:r>
    </w:p>
    <w:p w14:paraId="70D154F9">
      <w:pPr>
        <w:adjustRightInd w:val="0"/>
        <w:snapToGrid w:val="0"/>
        <w:spacing w:line="470" w:lineRule="exact"/>
        <w:ind w:firstLine="480"/>
        <w:rPr>
          <w:rFonts w:ascii="仿宋_GB2312" w:hAnsi="宋体" w:eastAsia="仿宋_GB2312"/>
          <w:iCs/>
          <w:color w:val="auto"/>
          <w:sz w:val="24"/>
          <w:highlight w:val="none"/>
        </w:rPr>
      </w:pPr>
      <w:r>
        <w:rPr>
          <w:rFonts w:hint="eastAsia" w:ascii="仿宋_GB2312" w:hAnsi="宋体" w:eastAsia="仿宋_GB2312"/>
          <w:iCs/>
          <w:color w:val="auto"/>
          <w:sz w:val="24"/>
          <w:highlight w:val="none"/>
        </w:rPr>
        <w:t>本合同生效条件：</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双方签字盖章后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29B5BEC8">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6.2 变更</w:t>
      </w:r>
    </w:p>
    <w:p w14:paraId="3C64CEE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6.2.2 除不可抗力外， 因非监理人原因导致本合同期限延长时，附加工作酬金按下列方法确定：</w:t>
      </w:r>
    </w:p>
    <w:p w14:paraId="0262625E">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附加工作酬金=本合同期限延长时间（天）×正常工作酬金÷协议书约定的监理与相关服务期限（天）</w:t>
      </w:r>
    </w:p>
    <w:p w14:paraId="13645996">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6.2.3附加工作酬金按下列方法确定：</w:t>
      </w:r>
    </w:p>
    <w:p w14:paraId="0BCD9422">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附加工作酬金=善后工作及恢复服务的准备工作时间（天）×正常工作酬金÷协议书约定的监理与相关服务期限（天）</w:t>
      </w:r>
    </w:p>
    <w:p w14:paraId="68B88F27">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6.2.5 正常工作酬金增加额按下列方法确定： </w:t>
      </w:r>
    </w:p>
    <w:p w14:paraId="0B58AADB">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正常工作酬金增加额=工程投资额或建筑安装工程费增加额×正常工作酬金÷工程概算投资额（或建筑安装工程费）</w:t>
      </w:r>
    </w:p>
    <w:p w14:paraId="639F454F">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6.2.6 因工程规模、监理范围的变化导致监理人的正常工作量减少时，按减少工作量的比例从协议书约定的正常工作酬金中扣减相同比例的酬金。</w:t>
      </w:r>
    </w:p>
    <w:p w14:paraId="7032D8E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 争议解决</w:t>
      </w:r>
    </w:p>
    <w:p w14:paraId="69B87474">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7.1 调解</w:t>
      </w:r>
    </w:p>
    <w:p w14:paraId="64587243">
      <w:pPr>
        <w:spacing w:line="470" w:lineRule="exact"/>
        <w:ind w:firstLine="360" w:firstLineChars="150"/>
        <w:rPr>
          <w:rFonts w:ascii="仿宋_GB2312" w:hAnsi="宋体" w:eastAsia="仿宋_GB2312"/>
          <w:iCs/>
          <w:color w:val="auto"/>
          <w:sz w:val="24"/>
          <w:highlight w:val="none"/>
        </w:rPr>
      </w:pPr>
      <w:r>
        <w:rPr>
          <w:rFonts w:hint="eastAsia" w:ascii="仿宋_GB2312" w:hAnsi="宋体" w:eastAsia="仿宋_GB2312"/>
          <w:iCs/>
          <w:color w:val="auto"/>
          <w:sz w:val="24"/>
          <w:highlight w:val="none"/>
        </w:rPr>
        <w:t>本合同争议进行调解时，可提交</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进行调解。</w:t>
      </w:r>
    </w:p>
    <w:p w14:paraId="3024524D">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7.2 仲裁或诉讼</w:t>
      </w:r>
    </w:p>
    <w:p w14:paraId="7C762544">
      <w:pPr>
        <w:spacing w:line="470" w:lineRule="exact"/>
        <w:ind w:firstLine="360" w:firstLineChars="150"/>
        <w:rPr>
          <w:rFonts w:ascii="仿宋_GB2312" w:hAnsi="宋体" w:eastAsia="仿宋_GB2312"/>
          <w:iCs/>
          <w:color w:val="auto"/>
          <w:sz w:val="24"/>
          <w:highlight w:val="none"/>
        </w:rPr>
      </w:pPr>
      <w:r>
        <w:rPr>
          <w:rFonts w:hint="eastAsia" w:ascii="仿宋_GB2312" w:hAnsi="宋体" w:eastAsia="仿宋_GB2312"/>
          <w:iCs/>
          <w:color w:val="auto"/>
          <w:sz w:val="24"/>
          <w:highlight w:val="none"/>
        </w:rPr>
        <w:t>合同争议的最终解决方式为下列第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（2）</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种方式：</w:t>
      </w:r>
    </w:p>
    <w:p w14:paraId="5B80A4FA">
      <w:pPr>
        <w:spacing w:line="470" w:lineRule="exact"/>
        <w:ind w:firstLine="240" w:firstLineChars="1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（1）提请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 xml:space="preserve">  仲裁委员会进行仲裁。</w:t>
      </w:r>
    </w:p>
    <w:p w14:paraId="7145EDA6">
      <w:pPr>
        <w:spacing w:line="470" w:lineRule="exact"/>
        <w:ind w:firstLine="240" w:firstLineChars="1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（2）向</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乳山市</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人民法院提起诉讼。</w:t>
      </w:r>
    </w:p>
    <w:p w14:paraId="22BAE98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 其他</w:t>
      </w:r>
    </w:p>
    <w:p w14:paraId="779E7D97">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8.1 检测费用</w:t>
      </w:r>
    </w:p>
    <w:p w14:paraId="164512FA">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委托人应在检测工作完成后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天内支付检测费用。</w:t>
      </w:r>
    </w:p>
    <w:p w14:paraId="72F5C3E1">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8.3 咨询费用</w:t>
      </w:r>
    </w:p>
    <w:p w14:paraId="59687E61">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委托人应在咨询工作完成后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天内支付咨询费用。</w:t>
      </w:r>
    </w:p>
    <w:p w14:paraId="18C541F5">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8.4 奖励</w:t>
      </w:r>
    </w:p>
    <w:p w14:paraId="62800B00">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合理化建议的奖励金额按下列方法确定为：</w:t>
      </w:r>
    </w:p>
    <w:p w14:paraId="6532E546">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奖励金额＝工程投资节省额×奖励金额的比率；奖励金额的比率为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6C92AC4F">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8.5 保密</w:t>
      </w:r>
    </w:p>
    <w:p w14:paraId="51E9328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委托人申明的保密事项和期限：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7A44718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监理人申明的保密事项和期限：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2EC45E5A">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第三方申明的保密事项和期限：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3E64648F">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8.8著作权</w:t>
      </w:r>
    </w:p>
    <w:p w14:paraId="2C728ED4">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监理人在本合同履行期间及本合同终止后两年内出版涉及本工程的有关监理与相关服务的资料的限制条件：</w:t>
      </w:r>
      <w:r>
        <w:rPr>
          <w:rFonts w:hint="eastAsia" w:ascii="仿宋_GB2312" w:hAnsi="宋体" w:eastAsia="仿宋_GB2312"/>
          <w:b/>
          <w:iCs/>
          <w:color w:val="auto"/>
          <w:sz w:val="24"/>
          <w:highlight w:val="none"/>
          <w:u w:val="single"/>
        </w:rPr>
        <w:t>须经委托人批准</w:t>
      </w:r>
      <w:r>
        <w:rPr>
          <w:rFonts w:hint="eastAsia" w:ascii="仿宋_GB2312" w:hAnsi="宋体" w:eastAsia="仿宋_GB2312"/>
          <w:iCs/>
          <w:color w:val="auto"/>
          <w:sz w:val="24"/>
          <w:highlight w:val="none"/>
        </w:rPr>
        <w:t>。</w:t>
      </w:r>
    </w:p>
    <w:p w14:paraId="41DE1C6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9. 补充条款</w:t>
      </w:r>
    </w:p>
    <w:p w14:paraId="00F57165">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9.1项目监理机构人员配置表（需同投标文件一致或有合格的人员变更手续）。</w:t>
      </w:r>
    </w:p>
    <w:p w14:paraId="630BE377">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9.2其他需补充内容</w:t>
      </w:r>
    </w:p>
    <w:p w14:paraId="5A2239C7">
      <w:pPr>
        <w:spacing w:line="470" w:lineRule="exact"/>
        <w:ind w:firstLine="482" w:firstLineChars="200"/>
        <w:rPr>
          <w:rFonts w:ascii="仿宋_GB2312" w:hAnsi="宋体" w:eastAsia="仿宋_GB2312"/>
          <w:b/>
          <w:iCs/>
          <w:color w:val="auto"/>
          <w:sz w:val="24"/>
          <w:highlight w:val="none"/>
        </w:rPr>
      </w:pPr>
      <w:r>
        <w:rPr>
          <w:rFonts w:hint="eastAsia" w:ascii="仿宋_GB2312" w:hAnsi="宋体" w:eastAsia="仿宋_GB2312"/>
          <w:b/>
          <w:iCs/>
          <w:color w:val="auto"/>
          <w:sz w:val="24"/>
          <w:highlight w:val="none"/>
        </w:rPr>
        <w:t>附录A  相关服务的范围和内容</w:t>
      </w:r>
    </w:p>
    <w:p w14:paraId="6E0F5BA9">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A-1 勘察阶段：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E3C5076">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A-2 设计阶段：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4AE7B8A0">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A-3 保修阶段：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36A2B255">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A-4 其他（专业技术咨询、外部协调工作等）：</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1AA0496A">
      <w:pPr>
        <w:spacing w:line="470" w:lineRule="exact"/>
        <w:ind w:firstLine="482" w:firstLineChars="200"/>
        <w:rPr>
          <w:rFonts w:ascii="仿宋_GB2312" w:hAnsi="宋体" w:eastAsia="仿宋_GB2312"/>
          <w:b/>
          <w:iCs/>
          <w:color w:val="auto"/>
          <w:sz w:val="24"/>
          <w:highlight w:val="none"/>
        </w:rPr>
      </w:pPr>
      <w:r>
        <w:rPr>
          <w:rFonts w:hint="eastAsia" w:ascii="仿宋_GB2312" w:hAnsi="宋体" w:eastAsia="仿宋_GB2312"/>
          <w:b/>
          <w:iCs/>
          <w:color w:val="auto"/>
          <w:sz w:val="24"/>
          <w:highlight w:val="none"/>
        </w:rPr>
        <w:t>附录B  委托人派遣的人员和提供的房屋、资料、设备</w:t>
      </w:r>
    </w:p>
    <w:p w14:paraId="122D1584">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B-1  委托人派遣的人员</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2430"/>
      </w:tblGrid>
      <w:tr w14:paraId="7F0D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669F30A8">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名称</w:t>
            </w:r>
          </w:p>
        </w:tc>
        <w:tc>
          <w:tcPr>
            <w:tcW w:w="1770" w:type="dxa"/>
          </w:tcPr>
          <w:p w14:paraId="041A96B8">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数量</w:t>
            </w:r>
          </w:p>
        </w:tc>
        <w:tc>
          <w:tcPr>
            <w:tcW w:w="2130" w:type="dxa"/>
          </w:tcPr>
          <w:p w14:paraId="0B14C3B9">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工作要求</w:t>
            </w:r>
          </w:p>
        </w:tc>
        <w:tc>
          <w:tcPr>
            <w:tcW w:w="2430" w:type="dxa"/>
          </w:tcPr>
          <w:p w14:paraId="36A5507F">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提供时间</w:t>
            </w:r>
          </w:p>
        </w:tc>
      </w:tr>
      <w:tr w14:paraId="1DBC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54289F94">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1. 工程技术人员 </w:t>
            </w:r>
          </w:p>
        </w:tc>
        <w:tc>
          <w:tcPr>
            <w:tcW w:w="1770" w:type="dxa"/>
          </w:tcPr>
          <w:p w14:paraId="357ED8B1">
            <w:pPr>
              <w:spacing w:line="470" w:lineRule="exact"/>
              <w:rPr>
                <w:rFonts w:ascii="仿宋_GB2312" w:hAnsi="宋体" w:eastAsia="仿宋_GB2312"/>
                <w:iCs/>
                <w:color w:val="auto"/>
                <w:sz w:val="24"/>
                <w:highlight w:val="none"/>
              </w:rPr>
            </w:pPr>
          </w:p>
        </w:tc>
        <w:tc>
          <w:tcPr>
            <w:tcW w:w="2130" w:type="dxa"/>
          </w:tcPr>
          <w:p w14:paraId="5E4BD5AA">
            <w:pPr>
              <w:spacing w:line="470" w:lineRule="exact"/>
              <w:rPr>
                <w:rFonts w:ascii="仿宋_GB2312" w:hAnsi="宋体" w:eastAsia="仿宋_GB2312"/>
                <w:iCs/>
                <w:color w:val="auto"/>
                <w:sz w:val="24"/>
                <w:highlight w:val="none"/>
              </w:rPr>
            </w:pPr>
          </w:p>
        </w:tc>
        <w:tc>
          <w:tcPr>
            <w:tcW w:w="2430" w:type="dxa"/>
          </w:tcPr>
          <w:p w14:paraId="1E50D305">
            <w:pPr>
              <w:spacing w:line="470" w:lineRule="exact"/>
              <w:rPr>
                <w:rFonts w:ascii="仿宋_GB2312" w:hAnsi="宋体" w:eastAsia="仿宋_GB2312"/>
                <w:iCs/>
                <w:color w:val="auto"/>
                <w:sz w:val="24"/>
                <w:highlight w:val="none"/>
              </w:rPr>
            </w:pPr>
          </w:p>
        </w:tc>
      </w:tr>
      <w:tr w14:paraId="26D6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575A3D9C">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 辅助工作人员</w:t>
            </w:r>
          </w:p>
        </w:tc>
        <w:tc>
          <w:tcPr>
            <w:tcW w:w="1770" w:type="dxa"/>
          </w:tcPr>
          <w:p w14:paraId="3BFA7CEA">
            <w:pPr>
              <w:spacing w:line="470" w:lineRule="exact"/>
              <w:rPr>
                <w:rFonts w:ascii="仿宋_GB2312" w:hAnsi="宋体" w:eastAsia="仿宋_GB2312"/>
                <w:iCs/>
                <w:color w:val="auto"/>
                <w:sz w:val="24"/>
                <w:highlight w:val="none"/>
              </w:rPr>
            </w:pPr>
          </w:p>
        </w:tc>
        <w:tc>
          <w:tcPr>
            <w:tcW w:w="2130" w:type="dxa"/>
          </w:tcPr>
          <w:p w14:paraId="1396DE6C">
            <w:pPr>
              <w:spacing w:line="470" w:lineRule="exact"/>
              <w:rPr>
                <w:rFonts w:ascii="仿宋_GB2312" w:hAnsi="宋体" w:eastAsia="仿宋_GB2312"/>
                <w:iCs/>
                <w:color w:val="auto"/>
                <w:sz w:val="24"/>
                <w:highlight w:val="none"/>
              </w:rPr>
            </w:pPr>
          </w:p>
        </w:tc>
        <w:tc>
          <w:tcPr>
            <w:tcW w:w="2430" w:type="dxa"/>
          </w:tcPr>
          <w:p w14:paraId="1DDF9EAB">
            <w:pPr>
              <w:spacing w:line="470" w:lineRule="exact"/>
              <w:rPr>
                <w:rFonts w:ascii="仿宋_GB2312" w:hAnsi="宋体" w:eastAsia="仿宋_GB2312"/>
                <w:iCs/>
                <w:color w:val="auto"/>
                <w:sz w:val="24"/>
                <w:highlight w:val="none"/>
              </w:rPr>
            </w:pPr>
          </w:p>
        </w:tc>
      </w:tr>
      <w:tr w14:paraId="23092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16A673BD">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3. 其他人员</w:t>
            </w:r>
          </w:p>
        </w:tc>
        <w:tc>
          <w:tcPr>
            <w:tcW w:w="1770" w:type="dxa"/>
          </w:tcPr>
          <w:p w14:paraId="0AB2E292">
            <w:pPr>
              <w:spacing w:line="470" w:lineRule="exact"/>
              <w:rPr>
                <w:rFonts w:ascii="仿宋_GB2312" w:hAnsi="宋体" w:eastAsia="仿宋_GB2312"/>
                <w:iCs/>
                <w:color w:val="auto"/>
                <w:sz w:val="24"/>
                <w:highlight w:val="none"/>
              </w:rPr>
            </w:pPr>
          </w:p>
        </w:tc>
        <w:tc>
          <w:tcPr>
            <w:tcW w:w="2130" w:type="dxa"/>
          </w:tcPr>
          <w:p w14:paraId="0BAAA467">
            <w:pPr>
              <w:spacing w:line="470" w:lineRule="exact"/>
              <w:rPr>
                <w:rFonts w:ascii="仿宋_GB2312" w:hAnsi="宋体" w:eastAsia="仿宋_GB2312"/>
                <w:iCs/>
                <w:color w:val="auto"/>
                <w:sz w:val="24"/>
                <w:highlight w:val="none"/>
              </w:rPr>
            </w:pPr>
          </w:p>
        </w:tc>
        <w:tc>
          <w:tcPr>
            <w:tcW w:w="2430" w:type="dxa"/>
          </w:tcPr>
          <w:p w14:paraId="2C71C116">
            <w:pPr>
              <w:spacing w:line="470" w:lineRule="exact"/>
              <w:rPr>
                <w:rFonts w:ascii="仿宋_GB2312" w:hAnsi="宋体" w:eastAsia="仿宋_GB2312"/>
                <w:iCs/>
                <w:color w:val="auto"/>
                <w:sz w:val="24"/>
                <w:highlight w:val="none"/>
              </w:rPr>
            </w:pPr>
          </w:p>
        </w:tc>
      </w:tr>
      <w:tr w14:paraId="4B87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326778CE">
            <w:pPr>
              <w:spacing w:line="470" w:lineRule="exact"/>
              <w:rPr>
                <w:rFonts w:ascii="仿宋_GB2312" w:hAnsi="宋体" w:eastAsia="仿宋_GB2312"/>
                <w:iCs/>
                <w:color w:val="auto"/>
                <w:sz w:val="24"/>
                <w:highlight w:val="none"/>
              </w:rPr>
            </w:pPr>
          </w:p>
        </w:tc>
        <w:tc>
          <w:tcPr>
            <w:tcW w:w="1770" w:type="dxa"/>
          </w:tcPr>
          <w:p w14:paraId="469251A6">
            <w:pPr>
              <w:spacing w:line="470" w:lineRule="exact"/>
              <w:rPr>
                <w:rFonts w:ascii="仿宋_GB2312" w:hAnsi="宋体" w:eastAsia="仿宋_GB2312"/>
                <w:iCs/>
                <w:color w:val="auto"/>
                <w:sz w:val="24"/>
                <w:highlight w:val="none"/>
              </w:rPr>
            </w:pPr>
          </w:p>
        </w:tc>
        <w:tc>
          <w:tcPr>
            <w:tcW w:w="2130" w:type="dxa"/>
          </w:tcPr>
          <w:p w14:paraId="76532CD6">
            <w:pPr>
              <w:spacing w:line="470" w:lineRule="exact"/>
              <w:rPr>
                <w:rFonts w:ascii="仿宋_GB2312" w:hAnsi="宋体" w:eastAsia="仿宋_GB2312"/>
                <w:iCs/>
                <w:color w:val="auto"/>
                <w:sz w:val="24"/>
                <w:highlight w:val="none"/>
              </w:rPr>
            </w:pPr>
          </w:p>
        </w:tc>
        <w:tc>
          <w:tcPr>
            <w:tcW w:w="2430" w:type="dxa"/>
          </w:tcPr>
          <w:p w14:paraId="6FEBFE48">
            <w:pPr>
              <w:spacing w:line="470" w:lineRule="exact"/>
              <w:rPr>
                <w:rFonts w:ascii="仿宋_GB2312" w:hAnsi="宋体" w:eastAsia="仿宋_GB2312"/>
                <w:iCs/>
                <w:color w:val="auto"/>
                <w:sz w:val="24"/>
                <w:highlight w:val="none"/>
              </w:rPr>
            </w:pPr>
          </w:p>
        </w:tc>
      </w:tr>
    </w:tbl>
    <w:p w14:paraId="168E768D">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B-2  委托人提供的房屋</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2430"/>
      </w:tblGrid>
      <w:tr w14:paraId="00A7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7266CA99">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名称</w:t>
            </w:r>
          </w:p>
        </w:tc>
        <w:tc>
          <w:tcPr>
            <w:tcW w:w="2130" w:type="dxa"/>
          </w:tcPr>
          <w:p w14:paraId="6C774571">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数量</w:t>
            </w:r>
          </w:p>
        </w:tc>
        <w:tc>
          <w:tcPr>
            <w:tcW w:w="2130" w:type="dxa"/>
          </w:tcPr>
          <w:p w14:paraId="36AFF59D">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面积</w:t>
            </w:r>
          </w:p>
        </w:tc>
        <w:tc>
          <w:tcPr>
            <w:tcW w:w="2430" w:type="dxa"/>
          </w:tcPr>
          <w:p w14:paraId="176E61BA">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提供时间</w:t>
            </w:r>
          </w:p>
        </w:tc>
      </w:tr>
      <w:tr w14:paraId="706C6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4354F1F8">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1. 办公用房</w:t>
            </w:r>
          </w:p>
        </w:tc>
        <w:tc>
          <w:tcPr>
            <w:tcW w:w="2130" w:type="dxa"/>
          </w:tcPr>
          <w:p w14:paraId="2CD38493">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w:t>
            </w:r>
          </w:p>
        </w:tc>
        <w:tc>
          <w:tcPr>
            <w:tcW w:w="2130" w:type="dxa"/>
          </w:tcPr>
          <w:p w14:paraId="4991B34C">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w:t>
            </w:r>
          </w:p>
        </w:tc>
        <w:tc>
          <w:tcPr>
            <w:tcW w:w="2430" w:type="dxa"/>
          </w:tcPr>
          <w:p w14:paraId="759857C7">
            <w:pPr>
              <w:spacing w:line="470" w:lineRule="exact"/>
              <w:rPr>
                <w:rFonts w:ascii="仿宋_GB2312" w:hAnsi="宋体" w:eastAsia="仿宋_GB2312"/>
                <w:iCs/>
                <w:color w:val="auto"/>
                <w:sz w:val="24"/>
                <w:highlight w:val="none"/>
              </w:rPr>
            </w:pPr>
          </w:p>
        </w:tc>
      </w:tr>
      <w:tr w14:paraId="2144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08AEE9F6">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 生活用房</w:t>
            </w:r>
          </w:p>
        </w:tc>
        <w:tc>
          <w:tcPr>
            <w:tcW w:w="2130" w:type="dxa"/>
          </w:tcPr>
          <w:p w14:paraId="39523E3C">
            <w:pPr>
              <w:spacing w:line="470" w:lineRule="exact"/>
              <w:rPr>
                <w:rFonts w:ascii="仿宋_GB2312" w:hAnsi="宋体" w:eastAsia="仿宋_GB2312"/>
                <w:iCs/>
                <w:color w:val="auto"/>
                <w:sz w:val="24"/>
                <w:highlight w:val="none"/>
              </w:rPr>
            </w:pPr>
          </w:p>
        </w:tc>
        <w:tc>
          <w:tcPr>
            <w:tcW w:w="2130" w:type="dxa"/>
          </w:tcPr>
          <w:p w14:paraId="232A62A8">
            <w:pPr>
              <w:spacing w:line="470" w:lineRule="exact"/>
              <w:rPr>
                <w:rFonts w:ascii="仿宋_GB2312" w:hAnsi="宋体" w:eastAsia="仿宋_GB2312"/>
                <w:iCs/>
                <w:color w:val="auto"/>
                <w:sz w:val="24"/>
                <w:highlight w:val="none"/>
              </w:rPr>
            </w:pPr>
          </w:p>
        </w:tc>
        <w:tc>
          <w:tcPr>
            <w:tcW w:w="2430" w:type="dxa"/>
          </w:tcPr>
          <w:p w14:paraId="2C179F39">
            <w:pPr>
              <w:spacing w:line="470" w:lineRule="exact"/>
              <w:rPr>
                <w:rFonts w:ascii="仿宋_GB2312" w:hAnsi="宋体" w:eastAsia="仿宋_GB2312"/>
                <w:iCs/>
                <w:color w:val="auto"/>
                <w:sz w:val="24"/>
                <w:highlight w:val="none"/>
              </w:rPr>
            </w:pPr>
          </w:p>
        </w:tc>
      </w:tr>
      <w:tr w14:paraId="60EC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4D7A655E">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3. 试验用房</w:t>
            </w:r>
          </w:p>
        </w:tc>
        <w:tc>
          <w:tcPr>
            <w:tcW w:w="2130" w:type="dxa"/>
          </w:tcPr>
          <w:p w14:paraId="6B8FB37E">
            <w:pPr>
              <w:spacing w:line="470" w:lineRule="exact"/>
              <w:rPr>
                <w:rFonts w:ascii="仿宋_GB2312" w:hAnsi="宋体" w:eastAsia="仿宋_GB2312"/>
                <w:iCs/>
                <w:color w:val="auto"/>
                <w:sz w:val="24"/>
                <w:highlight w:val="none"/>
              </w:rPr>
            </w:pPr>
          </w:p>
        </w:tc>
        <w:tc>
          <w:tcPr>
            <w:tcW w:w="2130" w:type="dxa"/>
          </w:tcPr>
          <w:p w14:paraId="02E5DBA4">
            <w:pPr>
              <w:spacing w:line="470" w:lineRule="exact"/>
              <w:rPr>
                <w:rFonts w:ascii="仿宋_GB2312" w:hAnsi="宋体" w:eastAsia="仿宋_GB2312"/>
                <w:iCs/>
                <w:color w:val="auto"/>
                <w:sz w:val="24"/>
                <w:highlight w:val="none"/>
              </w:rPr>
            </w:pPr>
          </w:p>
        </w:tc>
        <w:tc>
          <w:tcPr>
            <w:tcW w:w="2430" w:type="dxa"/>
          </w:tcPr>
          <w:p w14:paraId="4727E796">
            <w:pPr>
              <w:spacing w:line="470" w:lineRule="exact"/>
              <w:rPr>
                <w:rFonts w:ascii="仿宋_GB2312" w:hAnsi="宋体" w:eastAsia="仿宋_GB2312"/>
                <w:iCs/>
                <w:color w:val="auto"/>
                <w:sz w:val="24"/>
                <w:highlight w:val="none"/>
              </w:rPr>
            </w:pPr>
          </w:p>
        </w:tc>
      </w:tr>
      <w:tr w14:paraId="4DC2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63F2D548">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4. 样品用房</w:t>
            </w:r>
          </w:p>
        </w:tc>
        <w:tc>
          <w:tcPr>
            <w:tcW w:w="2130" w:type="dxa"/>
          </w:tcPr>
          <w:p w14:paraId="75ED219D">
            <w:pPr>
              <w:spacing w:line="470" w:lineRule="exact"/>
              <w:rPr>
                <w:rFonts w:ascii="仿宋_GB2312" w:hAnsi="宋体" w:eastAsia="仿宋_GB2312"/>
                <w:iCs/>
                <w:color w:val="auto"/>
                <w:sz w:val="24"/>
                <w:highlight w:val="none"/>
              </w:rPr>
            </w:pPr>
          </w:p>
        </w:tc>
        <w:tc>
          <w:tcPr>
            <w:tcW w:w="2130" w:type="dxa"/>
          </w:tcPr>
          <w:p w14:paraId="252F8AE8">
            <w:pPr>
              <w:spacing w:line="470" w:lineRule="exact"/>
              <w:rPr>
                <w:rFonts w:ascii="仿宋_GB2312" w:hAnsi="宋体" w:eastAsia="仿宋_GB2312"/>
                <w:iCs/>
                <w:color w:val="auto"/>
                <w:sz w:val="24"/>
                <w:highlight w:val="none"/>
              </w:rPr>
            </w:pPr>
          </w:p>
        </w:tc>
        <w:tc>
          <w:tcPr>
            <w:tcW w:w="2430" w:type="dxa"/>
          </w:tcPr>
          <w:p w14:paraId="2BF0BE53">
            <w:pPr>
              <w:spacing w:line="470" w:lineRule="exact"/>
              <w:rPr>
                <w:rFonts w:ascii="仿宋_GB2312" w:hAnsi="宋体" w:eastAsia="仿宋_GB2312"/>
                <w:iCs/>
                <w:color w:val="auto"/>
                <w:sz w:val="24"/>
                <w:highlight w:val="none"/>
              </w:rPr>
            </w:pPr>
          </w:p>
        </w:tc>
      </w:tr>
      <w:tr w14:paraId="3979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2F395AD7">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用餐及其他生活条件</w:t>
            </w:r>
          </w:p>
        </w:tc>
        <w:tc>
          <w:tcPr>
            <w:tcW w:w="6690" w:type="dxa"/>
            <w:gridSpan w:val="3"/>
          </w:tcPr>
          <w:p w14:paraId="465EAF57">
            <w:pPr>
              <w:spacing w:line="470" w:lineRule="exact"/>
              <w:rPr>
                <w:rFonts w:ascii="仿宋_GB2312" w:hAnsi="宋体" w:eastAsia="仿宋_GB2312"/>
                <w:iCs/>
                <w:color w:val="auto"/>
                <w:sz w:val="24"/>
                <w:highlight w:val="none"/>
              </w:rPr>
            </w:pPr>
          </w:p>
        </w:tc>
      </w:tr>
    </w:tbl>
    <w:p w14:paraId="02D04FF4">
      <w:pPr>
        <w:spacing w:line="470" w:lineRule="exact"/>
        <w:rPr>
          <w:rFonts w:ascii="仿宋_GB2312" w:hAnsi="宋体" w:eastAsia="仿宋_GB2312"/>
          <w:iCs/>
          <w:color w:val="auto"/>
          <w:sz w:val="24"/>
          <w:highlight w:val="none"/>
        </w:rPr>
      </w:pPr>
    </w:p>
    <w:p w14:paraId="0C97F792">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B-3  委托人提供的资料</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698"/>
      </w:tblGrid>
      <w:tr w14:paraId="6112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3D014ACC">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名称</w:t>
            </w:r>
          </w:p>
        </w:tc>
        <w:tc>
          <w:tcPr>
            <w:tcW w:w="1491" w:type="dxa"/>
          </w:tcPr>
          <w:p w14:paraId="759F4BC3">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份数</w:t>
            </w:r>
          </w:p>
        </w:tc>
        <w:tc>
          <w:tcPr>
            <w:tcW w:w="2147" w:type="dxa"/>
          </w:tcPr>
          <w:p w14:paraId="7B2A7CAF">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提供时间</w:t>
            </w:r>
          </w:p>
        </w:tc>
        <w:tc>
          <w:tcPr>
            <w:tcW w:w="2698" w:type="dxa"/>
          </w:tcPr>
          <w:p w14:paraId="27FE47BA">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备注</w:t>
            </w:r>
          </w:p>
        </w:tc>
      </w:tr>
      <w:tr w14:paraId="493E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1B9FE226">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 工程立项文件</w:t>
            </w:r>
          </w:p>
        </w:tc>
        <w:tc>
          <w:tcPr>
            <w:tcW w:w="1491" w:type="dxa"/>
          </w:tcPr>
          <w:p w14:paraId="5FB39FA6">
            <w:pPr>
              <w:spacing w:line="470" w:lineRule="exact"/>
              <w:rPr>
                <w:rFonts w:ascii="仿宋_GB2312" w:hAnsi="宋体" w:eastAsia="仿宋_GB2312"/>
                <w:color w:val="auto"/>
                <w:sz w:val="24"/>
                <w:highlight w:val="none"/>
              </w:rPr>
            </w:pPr>
          </w:p>
        </w:tc>
        <w:tc>
          <w:tcPr>
            <w:tcW w:w="2147" w:type="dxa"/>
          </w:tcPr>
          <w:p w14:paraId="090086F7">
            <w:pPr>
              <w:spacing w:line="470" w:lineRule="exact"/>
              <w:rPr>
                <w:rFonts w:ascii="仿宋_GB2312" w:hAnsi="宋体" w:eastAsia="仿宋_GB2312"/>
                <w:color w:val="auto"/>
                <w:sz w:val="24"/>
                <w:highlight w:val="none"/>
              </w:rPr>
            </w:pPr>
          </w:p>
        </w:tc>
        <w:tc>
          <w:tcPr>
            <w:tcW w:w="2698" w:type="dxa"/>
          </w:tcPr>
          <w:p w14:paraId="7446552B">
            <w:pPr>
              <w:spacing w:line="470" w:lineRule="exact"/>
              <w:rPr>
                <w:rFonts w:ascii="仿宋_GB2312" w:hAnsi="宋体" w:eastAsia="仿宋_GB2312"/>
                <w:color w:val="auto"/>
                <w:sz w:val="24"/>
                <w:highlight w:val="none"/>
              </w:rPr>
            </w:pPr>
          </w:p>
        </w:tc>
      </w:tr>
      <w:tr w14:paraId="02AB2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76809FE2">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2. 工程勘察文件</w:t>
            </w:r>
          </w:p>
        </w:tc>
        <w:tc>
          <w:tcPr>
            <w:tcW w:w="1491" w:type="dxa"/>
          </w:tcPr>
          <w:p w14:paraId="3F82923E">
            <w:pPr>
              <w:spacing w:line="470" w:lineRule="exact"/>
              <w:rPr>
                <w:rFonts w:ascii="仿宋_GB2312" w:hAnsi="宋体" w:eastAsia="仿宋_GB2312"/>
                <w:color w:val="auto"/>
                <w:sz w:val="24"/>
                <w:highlight w:val="none"/>
              </w:rPr>
            </w:pPr>
          </w:p>
        </w:tc>
        <w:tc>
          <w:tcPr>
            <w:tcW w:w="2147" w:type="dxa"/>
          </w:tcPr>
          <w:p w14:paraId="0F313928">
            <w:pPr>
              <w:spacing w:line="470" w:lineRule="exact"/>
              <w:rPr>
                <w:rFonts w:ascii="仿宋_GB2312" w:hAnsi="宋体" w:eastAsia="仿宋_GB2312"/>
                <w:color w:val="auto"/>
                <w:sz w:val="24"/>
                <w:highlight w:val="none"/>
              </w:rPr>
            </w:pPr>
          </w:p>
        </w:tc>
        <w:tc>
          <w:tcPr>
            <w:tcW w:w="2698" w:type="dxa"/>
          </w:tcPr>
          <w:p w14:paraId="6E6A64D5">
            <w:pPr>
              <w:spacing w:line="470" w:lineRule="exact"/>
              <w:rPr>
                <w:rFonts w:ascii="仿宋_GB2312" w:hAnsi="宋体" w:eastAsia="仿宋_GB2312"/>
                <w:color w:val="auto"/>
                <w:sz w:val="24"/>
                <w:highlight w:val="none"/>
              </w:rPr>
            </w:pPr>
          </w:p>
        </w:tc>
      </w:tr>
      <w:tr w14:paraId="45F1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7BEFE8B0">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3. 工程设计及施工图纸</w:t>
            </w:r>
          </w:p>
        </w:tc>
        <w:tc>
          <w:tcPr>
            <w:tcW w:w="1491" w:type="dxa"/>
          </w:tcPr>
          <w:p w14:paraId="3DBE98A2">
            <w:pPr>
              <w:spacing w:line="470" w:lineRule="exact"/>
              <w:rPr>
                <w:rFonts w:ascii="仿宋_GB2312" w:hAnsi="宋体" w:eastAsia="仿宋_GB2312"/>
                <w:color w:val="auto"/>
                <w:sz w:val="24"/>
                <w:highlight w:val="none"/>
              </w:rPr>
            </w:pPr>
          </w:p>
        </w:tc>
        <w:tc>
          <w:tcPr>
            <w:tcW w:w="2147" w:type="dxa"/>
          </w:tcPr>
          <w:p w14:paraId="53F25099">
            <w:pPr>
              <w:spacing w:line="470" w:lineRule="exact"/>
              <w:rPr>
                <w:rFonts w:ascii="仿宋_GB2312" w:hAnsi="宋体" w:eastAsia="仿宋_GB2312"/>
                <w:color w:val="auto"/>
                <w:sz w:val="24"/>
                <w:highlight w:val="none"/>
              </w:rPr>
            </w:pPr>
          </w:p>
        </w:tc>
        <w:tc>
          <w:tcPr>
            <w:tcW w:w="2698" w:type="dxa"/>
          </w:tcPr>
          <w:p w14:paraId="120ADDF1">
            <w:pPr>
              <w:spacing w:line="470" w:lineRule="exact"/>
              <w:rPr>
                <w:rFonts w:ascii="仿宋_GB2312" w:hAnsi="宋体" w:eastAsia="仿宋_GB2312"/>
                <w:color w:val="auto"/>
                <w:sz w:val="24"/>
                <w:highlight w:val="none"/>
              </w:rPr>
            </w:pPr>
          </w:p>
        </w:tc>
      </w:tr>
      <w:tr w14:paraId="0D13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50E46928">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4. 工程承包合同及其他相关合同</w:t>
            </w:r>
          </w:p>
        </w:tc>
        <w:tc>
          <w:tcPr>
            <w:tcW w:w="1491" w:type="dxa"/>
          </w:tcPr>
          <w:p w14:paraId="65A31259">
            <w:pPr>
              <w:spacing w:line="470" w:lineRule="exact"/>
              <w:rPr>
                <w:rFonts w:ascii="仿宋_GB2312" w:hAnsi="宋体" w:eastAsia="仿宋_GB2312"/>
                <w:color w:val="auto"/>
                <w:sz w:val="24"/>
                <w:highlight w:val="none"/>
              </w:rPr>
            </w:pPr>
          </w:p>
        </w:tc>
        <w:tc>
          <w:tcPr>
            <w:tcW w:w="2147" w:type="dxa"/>
          </w:tcPr>
          <w:p w14:paraId="3C03D2F9">
            <w:pPr>
              <w:spacing w:line="470" w:lineRule="exact"/>
              <w:rPr>
                <w:rFonts w:ascii="仿宋_GB2312" w:hAnsi="宋体" w:eastAsia="仿宋_GB2312"/>
                <w:color w:val="auto"/>
                <w:sz w:val="24"/>
                <w:highlight w:val="none"/>
              </w:rPr>
            </w:pPr>
          </w:p>
        </w:tc>
        <w:tc>
          <w:tcPr>
            <w:tcW w:w="2698" w:type="dxa"/>
          </w:tcPr>
          <w:p w14:paraId="79C170D9">
            <w:pPr>
              <w:spacing w:line="470" w:lineRule="exact"/>
              <w:rPr>
                <w:rFonts w:ascii="仿宋_GB2312" w:hAnsi="宋体" w:eastAsia="仿宋_GB2312"/>
                <w:color w:val="auto"/>
                <w:sz w:val="24"/>
                <w:highlight w:val="none"/>
              </w:rPr>
            </w:pPr>
          </w:p>
        </w:tc>
      </w:tr>
      <w:tr w14:paraId="1BF6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31A1F194">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5. 施工许可文件</w:t>
            </w:r>
          </w:p>
        </w:tc>
        <w:tc>
          <w:tcPr>
            <w:tcW w:w="1491" w:type="dxa"/>
          </w:tcPr>
          <w:p w14:paraId="2CBD77C2">
            <w:pPr>
              <w:spacing w:line="470" w:lineRule="exact"/>
              <w:rPr>
                <w:rFonts w:ascii="仿宋_GB2312" w:hAnsi="宋体" w:eastAsia="仿宋_GB2312"/>
                <w:color w:val="auto"/>
                <w:sz w:val="24"/>
                <w:highlight w:val="none"/>
              </w:rPr>
            </w:pPr>
          </w:p>
        </w:tc>
        <w:tc>
          <w:tcPr>
            <w:tcW w:w="2147" w:type="dxa"/>
          </w:tcPr>
          <w:p w14:paraId="7BA821C4">
            <w:pPr>
              <w:spacing w:line="470" w:lineRule="exact"/>
              <w:rPr>
                <w:rFonts w:ascii="仿宋_GB2312" w:hAnsi="宋体" w:eastAsia="仿宋_GB2312"/>
                <w:color w:val="auto"/>
                <w:sz w:val="24"/>
                <w:highlight w:val="none"/>
              </w:rPr>
            </w:pPr>
          </w:p>
        </w:tc>
        <w:tc>
          <w:tcPr>
            <w:tcW w:w="2698" w:type="dxa"/>
          </w:tcPr>
          <w:p w14:paraId="7C2469AA">
            <w:pPr>
              <w:spacing w:line="470" w:lineRule="exact"/>
              <w:rPr>
                <w:rFonts w:ascii="仿宋_GB2312" w:hAnsi="宋体" w:eastAsia="仿宋_GB2312"/>
                <w:color w:val="auto"/>
                <w:sz w:val="24"/>
                <w:highlight w:val="none"/>
              </w:rPr>
            </w:pPr>
          </w:p>
        </w:tc>
      </w:tr>
      <w:tr w14:paraId="5879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5EE11940">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6. 其他文件</w:t>
            </w:r>
          </w:p>
        </w:tc>
        <w:tc>
          <w:tcPr>
            <w:tcW w:w="1491" w:type="dxa"/>
          </w:tcPr>
          <w:p w14:paraId="7C929D63">
            <w:pPr>
              <w:spacing w:line="470" w:lineRule="exact"/>
              <w:rPr>
                <w:rFonts w:ascii="仿宋_GB2312" w:hAnsi="宋体" w:eastAsia="仿宋_GB2312"/>
                <w:color w:val="auto"/>
                <w:sz w:val="24"/>
                <w:highlight w:val="none"/>
              </w:rPr>
            </w:pPr>
          </w:p>
        </w:tc>
        <w:tc>
          <w:tcPr>
            <w:tcW w:w="2147" w:type="dxa"/>
          </w:tcPr>
          <w:p w14:paraId="1FACE9CF">
            <w:pPr>
              <w:spacing w:line="470" w:lineRule="exact"/>
              <w:rPr>
                <w:rFonts w:ascii="仿宋_GB2312" w:hAnsi="宋体" w:eastAsia="仿宋_GB2312"/>
                <w:color w:val="auto"/>
                <w:sz w:val="24"/>
                <w:highlight w:val="none"/>
              </w:rPr>
            </w:pPr>
          </w:p>
        </w:tc>
        <w:tc>
          <w:tcPr>
            <w:tcW w:w="2698" w:type="dxa"/>
          </w:tcPr>
          <w:p w14:paraId="47927401">
            <w:pPr>
              <w:spacing w:line="470" w:lineRule="exact"/>
              <w:rPr>
                <w:rFonts w:ascii="仿宋_GB2312" w:hAnsi="宋体" w:eastAsia="仿宋_GB2312"/>
                <w:color w:val="auto"/>
                <w:sz w:val="24"/>
                <w:highlight w:val="none"/>
              </w:rPr>
            </w:pPr>
          </w:p>
        </w:tc>
      </w:tr>
      <w:tr w14:paraId="6243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39F31620">
            <w:pPr>
              <w:spacing w:line="470" w:lineRule="exact"/>
              <w:rPr>
                <w:rFonts w:ascii="仿宋_GB2312" w:hAnsi="宋体" w:eastAsia="仿宋_GB2312"/>
                <w:color w:val="auto"/>
                <w:sz w:val="24"/>
                <w:highlight w:val="none"/>
              </w:rPr>
            </w:pPr>
          </w:p>
        </w:tc>
        <w:tc>
          <w:tcPr>
            <w:tcW w:w="1491" w:type="dxa"/>
          </w:tcPr>
          <w:p w14:paraId="3DA49467">
            <w:pPr>
              <w:spacing w:line="470" w:lineRule="exact"/>
              <w:rPr>
                <w:rFonts w:ascii="仿宋_GB2312" w:hAnsi="宋体" w:eastAsia="仿宋_GB2312"/>
                <w:color w:val="auto"/>
                <w:sz w:val="24"/>
                <w:highlight w:val="none"/>
              </w:rPr>
            </w:pPr>
          </w:p>
        </w:tc>
        <w:tc>
          <w:tcPr>
            <w:tcW w:w="2147" w:type="dxa"/>
          </w:tcPr>
          <w:p w14:paraId="6DDE17E5">
            <w:pPr>
              <w:spacing w:line="470" w:lineRule="exact"/>
              <w:rPr>
                <w:rFonts w:ascii="仿宋_GB2312" w:hAnsi="宋体" w:eastAsia="仿宋_GB2312"/>
                <w:color w:val="auto"/>
                <w:sz w:val="24"/>
                <w:highlight w:val="none"/>
              </w:rPr>
            </w:pPr>
          </w:p>
        </w:tc>
        <w:tc>
          <w:tcPr>
            <w:tcW w:w="2698" w:type="dxa"/>
          </w:tcPr>
          <w:p w14:paraId="7C479C48">
            <w:pPr>
              <w:spacing w:line="470" w:lineRule="exact"/>
              <w:rPr>
                <w:rFonts w:ascii="仿宋_GB2312" w:hAnsi="宋体" w:eastAsia="仿宋_GB2312"/>
                <w:color w:val="auto"/>
                <w:sz w:val="24"/>
                <w:highlight w:val="none"/>
              </w:rPr>
            </w:pPr>
          </w:p>
        </w:tc>
      </w:tr>
    </w:tbl>
    <w:p w14:paraId="4F998AC2">
      <w:pPr>
        <w:spacing w:line="470" w:lineRule="exact"/>
        <w:rPr>
          <w:rFonts w:ascii="仿宋_GB2312" w:hAnsi="宋体" w:eastAsia="仿宋_GB2312"/>
          <w:color w:val="auto"/>
          <w:sz w:val="24"/>
          <w:highlight w:val="none"/>
        </w:rPr>
      </w:pPr>
    </w:p>
    <w:p w14:paraId="506D05D9">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B-4 委托人提供的设备</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2430"/>
      </w:tblGrid>
      <w:tr w14:paraId="4179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018639B7">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名称</w:t>
            </w:r>
          </w:p>
        </w:tc>
        <w:tc>
          <w:tcPr>
            <w:tcW w:w="1590" w:type="dxa"/>
          </w:tcPr>
          <w:p w14:paraId="1560D9D4">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数量</w:t>
            </w:r>
          </w:p>
        </w:tc>
        <w:tc>
          <w:tcPr>
            <w:tcW w:w="2130" w:type="dxa"/>
          </w:tcPr>
          <w:p w14:paraId="3F916445">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型号与规格</w:t>
            </w:r>
          </w:p>
        </w:tc>
        <w:tc>
          <w:tcPr>
            <w:tcW w:w="2430" w:type="dxa"/>
          </w:tcPr>
          <w:p w14:paraId="47C090A2">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提供时间</w:t>
            </w:r>
          </w:p>
        </w:tc>
      </w:tr>
      <w:tr w14:paraId="2020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693E7AFB">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 通讯设备</w:t>
            </w:r>
          </w:p>
        </w:tc>
        <w:tc>
          <w:tcPr>
            <w:tcW w:w="1590" w:type="dxa"/>
          </w:tcPr>
          <w:p w14:paraId="1D00E6EC">
            <w:pPr>
              <w:spacing w:line="470" w:lineRule="exact"/>
              <w:rPr>
                <w:rFonts w:ascii="仿宋_GB2312" w:hAnsi="宋体" w:eastAsia="仿宋_GB2312"/>
                <w:color w:val="auto"/>
                <w:sz w:val="24"/>
                <w:highlight w:val="none"/>
              </w:rPr>
            </w:pPr>
          </w:p>
        </w:tc>
        <w:tc>
          <w:tcPr>
            <w:tcW w:w="2130" w:type="dxa"/>
          </w:tcPr>
          <w:p w14:paraId="46A7A940">
            <w:pPr>
              <w:spacing w:line="470" w:lineRule="exact"/>
              <w:rPr>
                <w:rFonts w:ascii="仿宋_GB2312" w:hAnsi="宋体" w:eastAsia="仿宋_GB2312"/>
                <w:color w:val="auto"/>
                <w:sz w:val="24"/>
                <w:highlight w:val="none"/>
              </w:rPr>
            </w:pPr>
          </w:p>
        </w:tc>
        <w:tc>
          <w:tcPr>
            <w:tcW w:w="2430" w:type="dxa"/>
          </w:tcPr>
          <w:p w14:paraId="2914DAF6">
            <w:pPr>
              <w:spacing w:line="470" w:lineRule="exact"/>
              <w:rPr>
                <w:rFonts w:ascii="仿宋_GB2312" w:hAnsi="宋体" w:eastAsia="仿宋_GB2312"/>
                <w:color w:val="auto"/>
                <w:sz w:val="24"/>
                <w:highlight w:val="none"/>
              </w:rPr>
            </w:pPr>
          </w:p>
        </w:tc>
      </w:tr>
      <w:tr w14:paraId="6B066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274982D4">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2. 办公设备</w:t>
            </w:r>
          </w:p>
        </w:tc>
        <w:tc>
          <w:tcPr>
            <w:tcW w:w="1590" w:type="dxa"/>
          </w:tcPr>
          <w:p w14:paraId="4A2CBF3B">
            <w:pPr>
              <w:spacing w:line="470" w:lineRule="exact"/>
              <w:rPr>
                <w:rFonts w:ascii="仿宋_GB2312" w:hAnsi="宋体" w:eastAsia="仿宋_GB2312"/>
                <w:color w:val="auto"/>
                <w:sz w:val="24"/>
                <w:highlight w:val="none"/>
              </w:rPr>
            </w:pPr>
          </w:p>
        </w:tc>
        <w:tc>
          <w:tcPr>
            <w:tcW w:w="2130" w:type="dxa"/>
          </w:tcPr>
          <w:p w14:paraId="31B10776">
            <w:pPr>
              <w:spacing w:line="470" w:lineRule="exact"/>
              <w:rPr>
                <w:rFonts w:ascii="仿宋_GB2312" w:hAnsi="宋体" w:eastAsia="仿宋_GB2312"/>
                <w:color w:val="auto"/>
                <w:sz w:val="24"/>
                <w:highlight w:val="none"/>
              </w:rPr>
            </w:pPr>
          </w:p>
        </w:tc>
        <w:tc>
          <w:tcPr>
            <w:tcW w:w="2430" w:type="dxa"/>
          </w:tcPr>
          <w:p w14:paraId="6F780937">
            <w:pPr>
              <w:spacing w:line="470" w:lineRule="exact"/>
              <w:rPr>
                <w:rFonts w:ascii="仿宋_GB2312" w:hAnsi="宋体" w:eastAsia="仿宋_GB2312"/>
                <w:color w:val="auto"/>
                <w:sz w:val="24"/>
                <w:highlight w:val="none"/>
              </w:rPr>
            </w:pPr>
          </w:p>
        </w:tc>
      </w:tr>
      <w:tr w14:paraId="4714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031BE71">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3. 交通工具</w:t>
            </w:r>
          </w:p>
        </w:tc>
        <w:tc>
          <w:tcPr>
            <w:tcW w:w="1590" w:type="dxa"/>
          </w:tcPr>
          <w:p w14:paraId="3F63E991">
            <w:pPr>
              <w:spacing w:line="470" w:lineRule="exact"/>
              <w:rPr>
                <w:rFonts w:ascii="仿宋_GB2312" w:hAnsi="宋体" w:eastAsia="仿宋_GB2312"/>
                <w:color w:val="auto"/>
                <w:sz w:val="24"/>
                <w:highlight w:val="none"/>
              </w:rPr>
            </w:pPr>
          </w:p>
        </w:tc>
        <w:tc>
          <w:tcPr>
            <w:tcW w:w="2130" w:type="dxa"/>
          </w:tcPr>
          <w:p w14:paraId="77042488">
            <w:pPr>
              <w:spacing w:line="470" w:lineRule="exact"/>
              <w:rPr>
                <w:rFonts w:ascii="仿宋_GB2312" w:hAnsi="宋体" w:eastAsia="仿宋_GB2312"/>
                <w:color w:val="auto"/>
                <w:sz w:val="24"/>
                <w:highlight w:val="none"/>
              </w:rPr>
            </w:pPr>
          </w:p>
        </w:tc>
        <w:tc>
          <w:tcPr>
            <w:tcW w:w="2430" w:type="dxa"/>
          </w:tcPr>
          <w:p w14:paraId="74FA72D5">
            <w:pPr>
              <w:spacing w:line="470" w:lineRule="exact"/>
              <w:rPr>
                <w:rFonts w:ascii="仿宋_GB2312" w:hAnsi="宋体" w:eastAsia="仿宋_GB2312"/>
                <w:color w:val="auto"/>
                <w:sz w:val="24"/>
                <w:highlight w:val="none"/>
              </w:rPr>
            </w:pPr>
          </w:p>
        </w:tc>
      </w:tr>
      <w:tr w14:paraId="2BE08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28B8238">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4. 检测和试验设备</w:t>
            </w:r>
          </w:p>
        </w:tc>
        <w:tc>
          <w:tcPr>
            <w:tcW w:w="1590" w:type="dxa"/>
          </w:tcPr>
          <w:p w14:paraId="6D0F83CB">
            <w:pPr>
              <w:spacing w:line="470" w:lineRule="exact"/>
              <w:rPr>
                <w:rFonts w:ascii="仿宋_GB2312" w:hAnsi="宋体" w:eastAsia="仿宋_GB2312"/>
                <w:color w:val="auto"/>
                <w:sz w:val="24"/>
                <w:highlight w:val="none"/>
              </w:rPr>
            </w:pPr>
          </w:p>
        </w:tc>
        <w:tc>
          <w:tcPr>
            <w:tcW w:w="2130" w:type="dxa"/>
          </w:tcPr>
          <w:p w14:paraId="074000DB">
            <w:pPr>
              <w:spacing w:line="470" w:lineRule="exact"/>
              <w:rPr>
                <w:rFonts w:ascii="仿宋_GB2312" w:hAnsi="宋体" w:eastAsia="仿宋_GB2312"/>
                <w:color w:val="auto"/>
                <w:sz w:val="24"/>
                <w:highlight w:val="none"/>
              </w:rPr>
            </w:pPr>
          </w:p>
        </w:tc>
        <w:tc>
          <w:tcPr>
            <w:tcW w:w="2430" w:type="dxa"/>
          </w:tcPr>
          <w:p w14:paraId="3D6D79A5">
            <w:pPr>
              <w:spacing w:line="470" w:lineRule="exact"/>
              <w:rPr>
                <w:rFonts w:ascii="仿宋_GB2312" w:hAnsi="宋体" w:eastAsia="仿宋_GB2312"/>
                <w:color w:val="auto"/>
                <w:sz w:val="24"/>
                <w:highlight w:val="none"/>
              </w:rPr>
            </w:pPr>
          </w:p>
        </w:tc>
      </w:tr>
      <w:tr w14:paraId="5CF7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60F1C68F">
            <w:pPr>
              <w:spacing w:line="470" w:lineRule="exact"/>
              <w:rPr>
                <w:rFonts w:ascii="仿宋_GB2312" w:hAnsi="宋体" w:eastAsia="仿宋_GB2312"/>
                <w:color w:val="auto"/>
                <w:sz w:val="24"/>
                <w:highlight w:val="none"/>
              </w:rPr>
            </w:pPr>
          </w:p>
        </w:tc>
        <w:tc>
          <w:tcPr>
            <w:tcW w:w="1590" w:type="dxa"/>
          </w:tcPr>
          <w:p w14:paraId="365B3DF5">
            <w:pPr>
              <w:spacing w:line="470" w:lineRule="exact"/>
              <w:rPr>
                <w:rFonts w:ascii="仿宋_GB2312" w:hAnsi="宋体" w:eastAsia="仿宋_GB2312"/>
                <w:color w:val="auto"/>
                <w:sz w:val="24"/>
                <w:highlight w:val="none"/>
              </w:rPr>
            </w:pPr>
          </w:p>
        </w:tc>
        <w:tc>
          <w:tcPr>
            <w:tcW w:w="2130" w:type="dxa"/>
          </w:tcPr>
          <w:p w14:paraId="6564A9F5">
            <w:pPr>
              <w:spacing w:line="470" w:lineRule="exact"/>
              <w:rPr>
                <w:rFonts w:ascii="仿宋_GB2312" w:hAnsi="宋体" w:eastAsia="仿宋_GB2312"/>
                <w:color w:val="auto"/>
                <w:sz w:val="24"/>
                <w:highlight w:val="none"/>
              </w:rPr>
            </w:pPr>
          </w:p>
        </w:tc>
        <w:tc>
          <w:tcPr>
            <w:tcW w:w="2430" w:type="dxa"/>
          </w:tcPr>
          <w:p w14:paraId="61D9008E">
            <w:pPr>
              <w:spacing w:line="470" w:lineRule="exact"/>
              <w:rPr>
                <w:rFonts w:ascii="仿宋_GB2312" w:hAnsi="宋体" w:eastAsia="仿宋_GB2312"/>
                <w:color w:val="auto"/>
                <w:sz w:val="24"/>
                <w:highlight w:val="none"/>
              </w:rPr>
            </w:pPr>
          </w:p>
        </w:tc>
      </w:tr>
    </w:tbl>
    <w:p w14:paraId="142B31D6">
      <w:pPr>
        <w:rPr>
          <w:rFonts w:ascii="仿宋_GB2312" w:eastAsia="仿宋_GB2312"/>
          <w:color w:val="auto"/>
          <w:highlight w:val="none"/>
        </w:rPr>
      </w:pPr>
    </w:p>
    <w:p w14:paraId="582395D0">
      <w:pPr>
        <w:jc w:val="center"/>
        <w:rPr>
          <w:rFonts w:ascii="仿宋_GB2312" w:hAnsi="宋体" w:eastAsia="仿宋_GB2312" w:cs="黑体"/>
          <w:b/>
          <w:bCs/>
          <w:color w:val="auto"/>
          <w:sz w:val="28"/>
          <w:szCs w:val="28"/>
          <w:highlight w:val="none"/>
        </w:rPr>
      </w:pPr>
      <w:r>
        <w:rPr>
          <w:rFonts w:hint="eastAsia" w:ascii="仿宋_GB2312" w:hAnsi="宋体" w:eastAsia="仿宋_GB2312" w:cs="黑体"/>
          <w:color w:val="auto"/>
          <w:sz w:val="24"/>
          <w:highlight w:val="none"/>
        </w:rPr>
        <w:br w:type="page"/>
      </w:r>
      <w:r>
        <w:rPr>
          <w:rFonts w:hint="eastAsia" w:ascii="仿宋_GB2312" w:hAnsi="宋体" w:eastAsia="仿宋_GB2312" w:cs="黑体"/>
          <w:b/>
          <w:bCs/>
          <w:color w:val="auto"/>
          <w:sz w:val="28"/>
          <w:szCs w:val="28"/>
          <w:highlight w:val="none"/>
        </w:rPr>
        <w:t>其他监理人员最低要求</w:t>
      </w:r>
    </w:p>
    <w:tbl>
      <w:tblPr>
        <w:tblStyle w:val="31"/>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970"/>
        <w:gridCol w:w="5386"/>
        <w:gridCol w:w="709"/>
        <w:gridCol w:w="709"/>
      </w:tblGrid>
      <w:tr w14:paraId="5915D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683739CE">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序号</w:t>
            </w:r>
          </w:p>
        </w:tc>
        <w:tc>
          <w:tcPr>
            <w:tcW w:w="1970" w:type="dxa"/>
            <w:vAlign w:val="center"/>
          </w:tcPr>
          <w:p w14:paraId="29B18D99">
            <w:pPr>
              <w:spacing w:before="120" w:after="120" w:line="360" w:lineRule="exact"/>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监理岗位</w:t>
            </w:r>
          </w:p>
        </w:tc>
        <w:tc>
          <w:tcPr>
            <w:tcW w:w="5386" w:type="dxa"/>
            <w:vAlign w:val="center"/>
          </w:tcPr>
          <w:p w14:paraId="1B91E06E">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资格要求</w:t>
            </w:r>
          </w:p>
        </w:tc>
        <w:tc>
          <w:tcPr>
            <w:tcW w:w="709" w:type="dxa"/>
            <w:vAlign w:val="center"/>
          </w:tcPr>
          <w:p w14:paraId="465B9821">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数量</w:t>
            </w:r>
          </w:p>
        </w:tc>
        <w:tc>
          <w:tcPr>
            <w:tcW w:w="709" w:type="dxa"/>
            <w:vAlign w:val="center"/>
          </w:tcPr>
          <w:p w14:paraId="42E7FE5C">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备注</w:t>
            </w:r>
          </w:p>
        </w:tc>
      </w:tr>
      <w:tr w14:paraId="66B1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35EAE04F">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0EAC0FF1">
            <w:pPr>
              <w:spacing w:before="120" w:after="120" w:line="360" w:lineRule="exact"/>
              <w:rPr>
                <w:rFonts w:ascii="仿宋_GB2312" w:hAnsi="宋体" w:eastAsia="仿宋_GB2312" w:cs="宋体"/>
                <w:color w:val="auto"/>
                <w:kern w:val="0"/>
                <w:szCs w:val="21"/>
                <w:highlight w:val="none"/>
              </w:rPr>
            </w:pPr>
          </w:p>
        </w:tc>
        <w:tc>
          <w:tcPr>
            <w:tcW w:w="5386" w:type="dxa"/>
            <w:vAlign w:val="center"/>
          </w:tcPr>
          <w:p w14:paraId="79EC50D6">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79E61C19">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0BD0DCC0">
            <w:pPr>
              <w:spacing w:before="120" w:after="120" w:line="360" w:lineRule="exact"/>
              <w:jc w:val="center"/>
              <w:rPr>
                <w:rFonts w:ascii="仿宋_GB2312" w:hAnsi="宋体" w:eastAsia="仿宋_GB2312" w:cs="宋体"/>
                <w:color w:val="auto"/>
                <w:sz w:val="24"/>
                <w:highlight w:val="none"/>
              </w:rPr>
            </w:pPr>
          </w:p>
        </w:tc>
      </w:tr>
      <w:tr w14:paraId="3962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41AFCF46">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10AF7E95">
            <w:pPr>
              <w:spacing w:before="120" w:after="120" w:line="360" w:lineRule="exact"/>
              <w:rPr>
                <w:rFonts w:ascii="仿宋_GB2312" w:eastAsia="仿宋_GB2312"/>
                <w:bCs/>
                <w:color w:val="auto"/>
                <w:kern w:val="0"/>
                <w:szCs w:val="21"/>
                <w:highlight w:val="none"/>
              </w:rPr>
            </w:pPr>
          </w:p>
        </w:tc>
        <w:tc>
          <w:tcPr>
            <w:tcW w:w="5386" w:type="dxa"/>
            <w:vAlign w:val="center"/>
          </w:tcPr>
          <w:p w14:paraId="3797DEEA">
            <w:pPr>
              <w:snapToGrid w:val="0"/>
              <w:spacing w:before="120" w:after="120" w:line="520" w:lineRule="exact"/>
              <w:rPr>
                <w:rFonts w:ascii="仿宋_GB2312" w:hAnsi="宋体" w:eastAsia="仿宋_GB2312" w:cs="宋体"/>
                <w:color w:val="auto"/>
                <w:kern w:val="0"/>
                <w:szCs w:val="21"/>
                <w:highlight w:val="none"/>
              </w:rPr>
            </w:pPr>
          </w:p>
        </w:tc>
        <w:tc>
          <w:tcPr>
            <w:tcW w:w="709" w:type="dxa"/>
            <w:vAlign w:val="center"/>
          </w:tcPr>
          <w:p w14:paraId="584F871B">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7DFEF750">
            <w:pPr>
              <w:spacing w:before="120" w:after="120" w:line="360" w:lineRule="exact"/>
              <w:jc w:val="center"/>
              <w:rPr>
                <w:rFonts w:ascii="仿宋_GB2312" w:hAnsi="宋体" w:eastAsia="仿宋_GB2312" w:cs="宋体"/>
                <w:color w:val="auto"/>
                <w:sz w:val="24"/>
                <w:highlight w:val="none"/>
              </w:rPr>
            </w:pPr>
          </w:p>
        </w:tc>
      </w:tr>
      <w:tr w14:paraId="25F6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19" w:type="dxa"/>
            <w:vAlign w:val="center"/>
          </w:tcPr>
          <w:p w14:paraId="1AFEDD8E">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3E8660C2">
            <w:pPr>
              <w:spacing w:before="120" w:after="120" w:line="360" w:lineRule="exact"/>
              <w:rPr>
                <w:rFonts w:ascii="仿宋_GB2312" w:hAnsi="宋体" w:eastAsia="仿宋_GB2312" w:cs="宋体"/>
                <w:color w:val="auto"/>
                <w:kern w:val="0"/>
                <w:szCs w:val="21"/>
                <w:highlight w:val="none"/>
              </w:rPr>
            </w:pPr>
          </w:p>
        </w:tc>
        <w:tc>
          <w:tcPr>
            <w:tcW w:w="5386" w:type="dxa"/>
            <w:vAlign w:val="center"/>
          </w:tcPr>
          <w:p w14:paraId="443AD9F4">
            <w:pPr>
              <w:pStyle w:val="62"/>
              <w:spacing w:before="120" w:after="120" w:line="360" w:lineRule="exact"/>
              <w:ind w:firstLine="0" w:firstLineChars="0"/>
              <w:rPr>
                <w:rFonts w:ascii="仿宋_GB2312" w:hAnsi="宋体" w:eastAsia="仿宋_GB2312" w:cs="宋体"/>
                <w:color w:val="auto"/>
                <w:kern w:val="0"/>
                <w:szCs w:val="21"/>
                <w:highlight w:val="none"/>
              </w:rPr>
            </w:pPr>
          </w:p>
        </w:tc>
        <w:tc>
          <w:tcPr>
            <w:tcW w:w="709" w:type="dxa"/>
            <w:vAlign w:val="center"/>
          </w:tcPr>
          <w:p w14:paraId="20C83990">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3C550D93">
            <w:pPr>
              <w:spacing w:before="120" w:after="120" w:line="360" w:lineRule="exact"/>
              <w:jc w:val="center"/>
              <w:rPr>
                <w:rFonts w:ascii="仿宋_GB2312" w:hAnsi="宋体" w:eastAsia="仿宋_GB2312" w:cs="宋体"/>
                <w:color w:val="auto"/>
                <w:sz w:val="24"/>
                <w:highlight w:val="none"/>
              </w:rPr>
            </w:pPr>
          </w:p>
        </w:tc>
      </w:tr>
    </w:tbl>
    <w:p w14:paraId="7D82D0FB">
      <w:pPr>
        <w:rPr>
          <w:rFonts w:ascii="仿宋_GB2312" w:hAnsi="宋体" w:eastAsia="仿宋_GB2312" w:cs="黑体"/>
          <w:bCs/>
          <w:color w:val="auto"/>
          <w:sz w:val="22"/>
          <w:szCs w:val="28"/>
          <w:highlight w:val="none"/>
        </w:rPr>
      </w:pPr>
    </w:p>
    <w:p w14:paraId="1E9828F8">
      <w:pPr>
        <w:ind w:left="630" w:hanging="630" w:hangingChars="300"/>
        <w:rPr>
          <w:rFonts w:ascii="仿宋_GB2312" w:hAnsi="宋体" w:eastAsia="仿宋_GB2312" w:cs="宋体"/>
          <w:color w:val="auto"/>
          <w:szCs w:val="21"/>
          <w:highlight w:val="none"/>
        </w:rPr>
      </w:pPr>
      <w:r>
        <w:rPr>
          <w:rFonts w:hint="eastAsia" w:ascii="仿宋_GB2312" w:hAnsi="宋体" w:eastAsia="仿宋_GB2312" w:cs="宋体"/>
          <w:color w:val="auto"/>
          <w:szCs w:val="21"/>
          <w:highlight w:val="none"/>
        </w:rPr>
        <w:t>注：1、本表所列人员为投标人在所投标标段中标后需派驻的其他监理人员。采购人将在与中标人签署监理服务合同协议之前要求中标人按照本表的最低要求填报派驻本标段的其他所有监理人员，在经采购人审批后作为派驻本标段的项目监理机构人员且不允许更换。</w:t>
      </w:r>
    </w:p>
    <w:p w14:paraId="1674DF0F">
      <w:pPr>
        <w:spacing w:line="360" w:lineRule="auto"/>
        <w:ind w:firstLine="420" w:firstLineChars="200"/>
        <w:rPr>
          <w:rFonts w:hint="eastAsia" w:eastAsia="仿宋_GB2312"/>
          <w:color w:val="auto"/>
          <w:highlight w:val="none"/>
          <w:lang w:eastAsia="zh-CN"/>
        </w:rPr>
        <w:sectPr>
          <w:footerReference r:id="rId26" w:type="default"/>
          <w:type w:val="continuous"/>
          <w:pgSz w:w="11906" w:h="16838"/>
          <w:pgMar w:top="1440" w:right="1077" w:bottom="1440" w:left="1077" w:header="851" w:footer="992" w:gutter="0"/>
          <w:cols w:space="425" w:num="1"/>
          <w:docGrid w:type="lines" w:linePitch="312" w:charSpace="0"/>
        </w:sectPr>
      </w:pPr>
      <w:r>
        <w:rPr>
          <w:rFonts w:hint="eastAsia" w:ascii="仿宋_GB2312" w:hAnsi="宋体" w:eastAsia="仿宋_GB2312" w:cs="宋体"/>
          <w:color w:val="auto"/>
          <w:szCs w:val="21"/>
          <w:highlight w:val="none"/>
        </w:rPr>
        <w:t>2、</w:t>
      </w:r>
      <w:r>
        <w:rPr>
          <w:rFonts w:hint="eastAsia" w:ascii="仿宋_GB2312" w:hAnsi="宋体" w:eastAsia="仿宋_GB2312"/>
          <w:color w:val="auto"/>
          <w:szCs w:val="21"/>
          <w:highlight w:val="none"/>
        </w:rPr>
        <w:t>本表所列人员由投标人在签约前经采购人审批同意，否则采购人不予签署合同协</w:t>
      </w:r>
      <w:r>
        <w:rPr>
          <w:rFonts w:hint="eastAsia" w:ascii="仿宋_GB2312" w:hAnsi="宋体" w:eastAsia="仿宋_GB2312"/>
          <w:color w:val="auto"/>
          <w:szCs w:val="21"/>
          <w:highlight w:val="none"/>
          <w:lang w:eastAsia="zh-CN"/>
        </w:rPr>
        <w:t>议。</w:t>
      </w:r>
    </w:p>
    <w:p w14:paraId="02794923">
      <w:pPr>
        <w:rPr>
          <w:color w:val="auto"/>
          <w:highlight w:val="none"/>
        </w:rPr>
      </w:pPr>
    </w:p>
    <w:sectPr>
      <w:footerReference r:id="rId27" w:type="default"/>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96619">
    <w:pPr>
      <w:pStyle w:val="21"/>
      <w:jc w:val="center"/>
    </w:pPr>
    <w:r>
      <w:fldChar w:fldCharType="begin"/>
    </w:r>
    <w:r>
      <w:instrText xml:space="preserve">PAGE   \* MERGEFORMAT</w:instrText>
    </w:r>
    <w:r>
      <w:fldChar w:fldCharType="separate"/>
    </w:r>
    <w:r>
      <w:rPr>
        <w:lang w:val="zh-CN"/>
      </w:rPr>
      <w:t>2</w:t>
    </w:r>
    <w:r>
      <w:fldChar w:fldCharType="end"/>
    </w:r>
  </w:p>
  <w:p w14:paraId="124EC14D">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42EF9">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4E1D">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72F12">
    <w:pPr>
      <w:pStyle w:val="21"/>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4A15AB71">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2E64D">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42080">
    <w:pPr>
      <w:pStyle w:val="21"/>
      <w:jc w:val="center"/>
    </w:pPr>
    <w:r>
      <w:fldChar w:fldCharType="begin"/>
    </w:r>
    <w:r>
      <w:instrText xml:space="preserve">PAGE   \* MERGEFORMAT</w:instrText>
    </w:r>
    <w:r>
      <w:fldChar w:fldCharType="separate"/>
    </w:r>
    <w:r>
      <w:rPr>
        <w:lang w:val="zh-CN"/>
      </w:rPr>
      <w:t>2</w:t>
    </w:r>
    <w:r>
      <w:fldChar w:fldCharType="end"/>
    </w:r>
  </w:p>
  <w:p w14:paraId="578FB3A7">
    <w:pPr>
      <w:pStyle w:val="21"/>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6C785">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02B9A">
    <w:pPr>
      <w:pStyle w:val="21"/>
    </w:pPr>
  </w:p>
  <w:p w14:paraId="1E7590C2">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DB459">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4E42A">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CF7C4">
    <w:pPr>
      <w:pStyle w:val="21"/>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4909F64A">
    <w:pPr>
      <w:pStyle w:val="16"/>
      <w:spacing w:line="14" w:lineRule="auto"/>
      <w:jc w:val="center"/>
      <w:rPr>
        <w:sz w:val="20"/>
        <w:szCs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5A1C5">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6C2BDD87">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A518F">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DBB33">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0A6B">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5F94">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0E56F">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04195">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35DF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69AB">
    <w:pPr>
      <w:pStyle w:val="2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7E9F5">
    <w:pPr>
      <w:pStyle w:val="2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86DFB">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B67E5">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9E022">
    <w:pPr>
      <w:pStyle w:val="22"/>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3ECC1">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CF54F"/>
    <w:multiLevelType w:val="singleLevel"/>
    <w:tmpl w:val="CB2CF54F"/>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6523F"/>
    <w:rsid w:val="001724C5"/>
    <w:rsid w:val="001814D3"/>
    <w:rsid w:val="00181FEE"/>
    <w:rsid w:val="001E18E9"/>
    <w:rsid w:val="00201637"/>
    <w:rsid w:val="00244A18"/>
    <w:rsid w:val="002553DC"/>
    <w:rsid w:val="00296847"/>
    <w:rsid w:val="002D7182"/>
    <w:rsid w:val="002F4D59"/>
    <w:rsid w:val="0034588C"/>
    <w:rsid w:val="00357A30"/>
    <w:rsid w:val="0036708E"/>
    <w:rsid w:val="00375398"/>
    <w:rsid w:val="003B37CE"/>
    <w:rsid w:val="0041532C"/>
    <w:rsid w:val="004624FD"/>
    <w:rsid w:val="004652FC"/>
    <w:rsid w:val="004C0BC9"/>
    <w:rsid w:val="004F620A"/>
    <w:rsid w:val="005605F4"/>
    <w:rsid w:val="005F3253"/>
    <w:rsid w:val="006275E5"/>
    <w:rsid w:val="00635480"/>
    <w:rsid w:val="00686D87"/>
    <w:rsid w:val="00715160"/>
    <w:rsid w:val="0071519A"/>
    <w:rsid w:val="007318A6"/>
    <w:rsid w:val="007522FC"/>
    <w:rsid w:val="00753A17"/>
    <w:rsid w:val="00753F50"/>
    <w:rsid w:val="007C5EC0"/>
    <w:rsid w:val="007F100F"/>
    <w:rsid w:val="00826846"/>
    <w:rsid w:val="00842025"/>
    <w:rsid w:val="008A00E5"/>
    <w:rsid w:val="008A339F"/>
    <w:rsid w:val="008C52F9"/>
    <w:rsid w:val="00966C69"/>
    <w:rsid w:val="00976522"/>
    <w:rsid w:val="009E0B57"/>
    <w:rsid w:val="00A31784"/>
    <w:rsid w:val="00A54CFD"/>
    <w:rsid w:val="00A91B96"/>
    <w:rsid w:val="00AC2868"/>
    <w:rsid w:val="00B107A7"/>
    <w:rsid w:val="00B66CF2"/>
    <w:rsid w:val="00B77255"/>
    <w:rsid w:val="00BB57BD"/>
    <w:rsid w:val="00BD7792"/>
    <w:rsid w:val="00C053F8"/>
    <w:rsid w:val="00C96135"/>
    <w:rsid w:val="00CC77D6"/>
    <w:rsid w:val="00D81921"/>
    <w:rsid w:val="00DA764D"/>
    <w:rsid w:val="00DB6DC5"/>
    <w:rsid w:val="00DE6C1B"/>
    <w:rsid w:val="00E006CA"/>
    <w:rsid w:val="00E13D89"/>
    <w:rsid w:val="00E920DC"/>
    <w:rsid w:val="00EA07A6"/>
    <w:rsid w:val="00EB2A8D"/>
    <w:rsid w:val="00EC27C2"/>
    <w:rsid w:val="00F00356"/>
    <w:rsid w:val="00F24FB2"/>
    <w:rsid w:val="00F32236"/>
    <w:rsid w:val="00F63943"/>
    <w:rsid w:val="00F649F4"/>
    <w:rsid w:val="00F85711"/>
    <w:rsid w:val="00FD4331"/>
    <w:rsid w:val="02F70D3E"/>
    <w:rsid w:val="0ABD286D"/>
    <w:rsid w:val="0E440BB0"/>
    <w:rsid w:val="12527D3F"/>
    <w:rsid w:val="1D036806"/>
    <w:rsid w:val="1E5B722C"/>
    <w:rsid w:val="23447230"/>
    <w:rsid w:val="25FF38E2"/>
    <w:rsid w:val="324A2389"/>
    <w:rsid w:val="33437504"/>
    <w:rsid w:val="365E2204"/>
    <w:rsid w:val="3CD70CBD"/>
    <w:rsid w:val="3CFC24D2"/>
    <w:rsid w:val="44A8366B"/>
    <w:rsid w:val="4B897627"/>
    <w:rsid w:val="500B71A4"/>
    <w:rsid w:val="5455488E"/>
    <w:rsid w:val="59E940B2"/>
    <w:rsid w:val="6BD30839"/>
    <w:rsid w:val="77D948DE"/>
    <w:rsid w:val="784B5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1"/>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2"/>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3"/>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4"/>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5"/>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6"/>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3">
    <w:name w:val="Default Paragraph Font"/>
    <w:unhideWhenUsed/>
    <w:uiPriority w:val="1"/>
  </w:style>
  <w:style w:type="table" w:default="1" w:styleId="31">
    <w:name w:val="Normal Table"/>
    <w:unhideWhenUsed/>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2">
    <w:name w:val="Normal Indent"/>
    <w:basedOn w:val="1"/>
    <w:link w:val="49"/>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0"/>
    <w:qFormat/>
    <w:uiPriority w:val="0"/>
    <w:rPr>
      <w:rFonts w:ascii="宋体"/>
      <w:sz w:val="18"/>
      <w:szCs w:val="18"/>
    </w:rPr>
  </w:style>
  <w:style w:type="paragraph" w:styleId="15">
    <w:name w:val="annotation text"/>
    <w:basedOn w:val="1"/>
    <w:link w:val="51"/>
    <w:qFormat/>
    <w:uiPriority w:val="0"/>
    <w:pPr>
      <w:jc w:val="left"/>
    </w:pPr>
    <w:rPr>
      <w:kern w:val="0"/>
      <w:sz w:val="28"/>
      <w:szCs w:val="28"/>
    </w:rPr>
  </w:style>
  <w:style w:type="paragraph" w:styleId="16">
    <w:name w:val="Body Text"/>
    <w:basedOn w:val="1"/>
    <w:link w:val="52"/>
    <w:qFormat/>
    <w:uiPriority w:val="0"/>
    <w:pPr>
      <w:spacing w:line="420" w:lineRule="auto"/>
    </w:pPr>
    <w:rPr>
      <w:kern w:val="0"/>
      <w:sz w:val="24"/>
      <w:szCs w:val="24"/>
    </w:rPr>
  </w:style>
  <w:style w:type="paragraph" w:styleId="17">
    <w:name w:val="Body Text Indent"/>
    <w:basedOn w:val="1"/>
    <w:link w:val="53"/>
    <w:qFormat/>
    <w:uiPriority w:val="99"/>
    <w:pPr>
      <w:ind w:firstLine="600"/>
    </w:pPr>
    <w:rPr>
      <w:kern w:val="0"/>
      <w:sz w:val="20"/>
      <w:szCs w:val="20"/>
    </w:rPr>
  </w:style>
  <w:style w:type="paragraph" w:styleId="18">
    <w:name w:val="toc 3"/>
    <w:basedOn w:val="1"/>
    <w:next w:val="1"/>
    <w:uiPriority w:val="0"/>
    <w:pPr>
      <w:ind w:left="840" w:leftChars="400"/>
    </w:pPr>
    <w:rPr>
      <w:szCs w:val="21"/>
    </w:rPr>
  </w:style>
  <w:style w:type="paragraph" w:styleId="19">
    <w:name w:val="Plain Text"/>
    <w:basedOn w:val="1"/>
    <w:link w:val="54"/>
    <w:qFormat/>
    <w:uiPriority w:val="0"/>
    <w:rPr>
      <w:rFonts w:ascii="宋体" w:hAnsi="Courier New"/>
      <w:kern w:val="0"/>
      <w:szCs w:val="21"/>
    </w:rPr>
  </w:style>
  <w:style w:type="paragraph" w:styleId="20">
    <w:name w:val="Balloon Text"/>
    <w:basedOn w:val="1"/>
    <w:link w:val="55"/>
    <w:qFormat/>
    <w:uiPriority w:val="0"/>
    <w:rPr>
      <w:kern w:val="0"/>
      <w:sz w:val="18"/>
      <w:szCs w:val="18"/>
    </w:rPr>
  </w:style>
  <w:style w:type="paragraph" w:styleId="21">
    <w:name w:val="footer"/>
    <w:basedOn w:val="1"/>
    <w:link w:val="56"/>
    <w:qFormat/>
    <w:uiPriority w:val="99"/>
    <w:pPr>
      <w:tabs>
        <w:tab w:val="center" w:pos="4153"/>
        <w:tab w:val="right" w:pos="8306"/>
      </w:tabs>
      <w:snapToGrid w:val="0"/>
      <w:jc w:val="left"/>
    </w:pPr>
    <w:rPr>
      <w:kern w:val="0"/>
      <w:sz w:val="18"/>
      <w:szCs w:val="18"/>
    </w:rPr>
  </w:style>
  <w:style w:type="paragraph" w:styleId="22">
    <w:name w:val="header"/>
    <w:basedOn w:val="1"/>
    <w:link w:val="57"/>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qFormat/>
    <w:uiPriority w:val="0"/>
    <w:rPr>
      <w:szCs w:val="21"/>
    </w:rPr>
  </w:style>
  <w:style w:type="paragraph" w:styleId="24">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Indent 3"/>
    <w:basedOn w:val="1"/>
    <w:link w:val="58"/>
    <w:qFormat/>
    <w:uiPriority w:val="0"/>
    <w:pPr>
      <w:spacing w:after="120"/>
      <w:ind w:left="420" w:leftChars="200"/>
    </w:pPr>
    <w:rPr>
      <w:kern w:val="0"/>
      <w:sz w:val="16"/>
      <w:szCs w:val="16"/>
    </w:rPr>
  </w:style>
  <w:style w:type="paragraph" w:styleId="26">
    <w:name w:val="Body Text 2"/>
    <w:basedOn w:val="1"/>
    <w:link w:val="59"/>
    <w:qFormat/>
    <w:uiPriority w:val="0"/>
    <w:pPr>
      <w:spacing w:after="120" w:line="480" w:lineRule="auto"/>
    </w:pPr>
    <w:rPr>
      <w:kern w:val="0"/>
      <w:sz w:val="24"/>
      <w:szCs w:val="24"/>
    </w:rPr>
  </w:style>
  <w:style w:type="paragraph" w:styleId="27">
    <w:name w:val="Normal (Web)"/>
    <w:basedOn w:val="1"/>
    <w:qFormat/>
    <w:uiPriority w:val="0"/>
    <w:rPr>
      <w:sz w:val="24"/>
      <w:szCs w:val="24"/>
    </w:rPr>
  </w:style>
  <w:style w:type="paragraph" w:styleId="28">
    <w:name w:val="index 1"/>
    <w:basedOn w:val="1"/>
    <w:next w:val="1"/>
    <w:qFormat/>
    <w:uiPriority w:val="0"/>
  </w:style>
  <w:style w:type="paragraph" w:styleId="29">
    <w:name w:val="Title"/>
    <w:basedOn w:val="1"/>
    <w:next w:val="1"/>
    <w:link w:val="60"/>
    <w:qFormat/>
    <w:uiPriority w:val="0"/>
    <w:pPr>
      <w:spacing w:before="240" w:after="60"/>
      <w:jc w:val="center"/>
      <w:outlineLvl w:val="0"/>
    </w:pPr>
    <w:rPr>
      <w:rFonts w:ascii="Cambria" w:hAnsi="Cambria"/>
      <w:b/>
      <w:bCs/>
      <w:kern w:val="0"/>
      <w:sz w:val="32"/>
      <w:szCs w:val="32"/>
    </w:rPr>
  </w:style>
  <w:style w:type="paragraph" w:styleId="30">
    <w:name w:val="Body Text First Indent 2"/>
    <w:basedOn w:val="17"/>
    <w:link w:val="61"/>
    <w:unhideWhenUsed/>
    <w:qFormat/>
    <w:uiPriority w:val="99"/>
    <w:pPr>
      <w:spacing w:after="120"/>
      <w:ind w:left="420" w:leftChars="200" w:firstLine="420" w:firstLineChars="200"/>
    </w:pPr>
    <w:rPr>
      <w:kern w:val="2"/>
      <w:sz w:val="21"/>
      <w:szCs w:val="22"/>
    </w:rPr>
  </w:style>
  <w:style w:type="table" w:styleId="32">
    <w:name w:val="Table Grid"/>
    <w:basedOn w:val="31"/>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qFormat/>
    <w:uiPriority w:val="0"/>
    <w:rPr>
      <w:b/>
      <w:bCs/>
    </w:rPr>
  </w:style>
  <w:style w:type="character" w:styleId="35">
    <w:name w:val="page number"/>
    <w:qFormat/>
    <w:uiPriority w:val="0"/>
  </w:style>
  <w:style w:type="character" w:styleId="36">
    <w:name w:val="FollowedHyperlink"/>
    <w:qFormat/>
    <w:uiPriority w:val="0"/>
    <w:rPr>
      <w:color w:val="800080"/>
      <w:u w:val="single"/>
    </w:rPr>
  </w:style>
  <w:style w:type="character" w:styleId="37">
    <w:name w:val="Emphasis"/>
    <w:qFormat/>
    <w:uiPriority w:val="0"/>
    <w:rPr>
      <w:rFonts w:eastAsia="华文仿宋"/>
      <w:iCs/>
      <w:sz w:val="24"/>
    </w:rPr>
  </w:style>
  <w:style w:type="character" w:styleId="38">
    <w:name w:val="Hyperlink"/>
    <w:qFormat/>
    <w:uiPriority w:val="0"/>
    <w:rPr>
      <w:color w:val="0000FF"/>
      <w:u w:val="single"/>
    </w:rPr>
  </w:style>
  <w:style w:type="character" w:styleId="39">
    <w:name w:val="annotation reference"/>
    <w:qFormat/>
    <w:uiPriority w:val="0"/>
    <w:rPr>
      <w:sz w:val="21"/>
      <w:szCs w:val="21"/>
    </w:rPr>
  </w:style>
  <w:style w:type="character" w:customStyle="1" w:styleId="40">
    <w:name w:val="标题 1 字符"/>
    <w:link w:val="3"/>
    <w:uiPriority w:val="0"/>
    <w:rPr>
      <w:rFonts w:ascii="Times New Roman" w:hAnsi="Times New Roman" w:eastAsia="宋体" w:cs="Times New Roman"/>
      <w:b/>
      <w:bCs/>
      <w:kern w:val="44"/>
      <w:sz w:val="44"/>
      <w:szCs w:val="44"/>
    </w:rPr>
  </w:style>
  <w:style w:type="character" w:customStyle="1" w:styleId="41">
    <w:name w:val="标题 2 字符"/>
    <w:link w:val="4"/>
    <w:qFormat/>
    <w:uiPriority w:val="0"/>
    <w:rPr>
      <w:rFonts w:ascii="Cambria" w:hAnsi="Cambria" w:eastAsia="宋体" w:cs="Times New Roman"/>
      <w:b/>
      <w:bCs/>
      <w:kern w:val="0"/>
      <w:sz w:val="28"/>
      <w:szCs w:val="28"/>
    </w:rPr>
  </w:style>
  <w:style w:type="character" w:customStyle="1" w:styleId="42">
    <w:name w:val="标题 3 字符"/>
    <w:link w:val="5"/>
    <w:qFormat/>
    <w:uiPriority w:val="0"/>
    <w:rPr>
      <w:rFonts w:ascii="Times New Roman" w:hAnsi="Times New Roman" w:eastAsia="宋体" w:cs="Times New Roman"/>
      <w:b/>
      <w:bCs/>
      <w:kern w:val="0"/>
      <w:sz w:val="32"/>
      <w:szCs w:val="32"/>
    </w:rPr>
  </w:style>
  <w:style w:type="character" w:customStyle="1" w:styleId="43">
    <w:name w:val="标题 4 字符"/>
    <w:link w:val="6"/>
    <w:qFormat/>
    <w:uiPriority w:val="0"/>
    <w:rPr>
      <w:rFonts w:ascii="Cambria" w:hAnsi="Cambria" w:eastAsia="宋体" w:cs="Times New Roman"/>
      <w:b/>
      <w:bCs/>
      <w:kern w:val="0"/>
      <w:sz w:val="28"/>
      <w:szCs w:val="28"/>
    </w:rPr>
  </w:style>
  <w:style w:type="character" w:customStyle="1" w:styleId="44">
    <w:name w:val="标题 5 字符"/>
    <w:link w:val="7"/>
    <w:qFormat/>
    <w:uiPriority w:val="0"/>
    <w:rPr>
      <w:rFonts w:ascii="Times New Roman" w:hAnsi="Times New Roman" w:eastAsia="宋体" w:cs="Times New Roman"/>
      <w:b/>
      <w:bCs/>
      <w:kern w:val="0"/>
      <w:sz w:val="28"/>
      <w:szCs w:val="28"/>
    </w:rPr>
  </w:style>
  <w:style w:type="character" w:customStyle="1" w:styleId="45">
    <w:name w:val="标题 6 字符"/>
    <w:link w:val="8"/>
    <w:qFormat/>
    <w:uiPriority w:val="0"/>
    <w:rPr>
      <w:rFonts w:ascii="Arial" w:hAnsi="Arial" w:eastAsia="黑体" w:cs="Times New Roman"/>
      <w:b/>
      <w:bCs/>
      <w:kern w:val="0"/>
      <w:sz w:val="24"/>
      <w:szCs w:val="24"/>
    </w:rPr>
  </w:style>
  <w:style w:type="character" w:customStyle="1" w:styleId="46">
    <w:name w:val="标题 7 字符"/>
    <w:link w:val="9"/>
    <w:qFormat/>
    <w:uiPriority w:val="0"/>
    <w:rPr>
      <w:rFonts w:ascii="Times New Roman" w:hAnsi="Times New Roman" w:eastAsia="宋体" w:cs="Times New Roman"/>
      <w:b/>
      <w:bCs/>
      <w:kern w:val="0"/>
      <w:sz w:val="24"/>
      <w:szCs w:val="24"/>
    </w:rPr>
  </w:style>
  <w:style w:type="character" w:customStyle="1" w:styleId="47">
    <w:name w:val="标题 8 字符"/>
    <w:link w:val="10"/>
    <w:uiPriority w:val="0"/>
    <w:rPr>
      <w:rFonts w:ascii="Arial" w:hAnsi="Arial" w:eastAsia="黑体" w:cs="Times New Roman"/>
      <w:kern w:val="0"/>
      <w:sz w:val="24"/>
      <w:szCs w:val="24"/>
    </w:rPr>
  </w:style>
  <w:style w:type="character" w:customStyle="1" w:styleId="48">
    <w:name w:val="标题 9 字符"/>
    <w:link w:val="11"/>
    <w:qFormat/>
    <w:uiPriority w:val="0"/>
    <w:rPr>
      <w:rFonts w:ascii="Arial" w:hAnsi="Arial" w:eastAsia="黑体" w:cs="Times New Roman"/>
      <w:kern w:val="0"/>
      <w:sz w:val="20"/>
      <w:szCs w:val="20"/>
    </w:rPr>
  </w:style>
  <w:style w:type="character" w:customStyle="1" w:styleId="49">
    <w:name w:val="正文缩进 字符"/>
    <w:link w:val="12"/>
    <w:locked/>
    <w:uiPriority w:val="0"/>
    <w:rPr>
      <w:rFonts w:ascii="Times New Roman" w:hAnsi="Times New Roman" w:eastAsia="宋体" w:cs="Times New Roman"/>
      <w:szCs w:val="21"/>
    </w:rPr>
  </w:style>
  <w:style w:type="character" w:customStyle="1" w:styleId="50">
    <w:name w:val="文档结构图 字符"/>
    <w:link w:val="14"/>
    <w:qFormat/>
    <w:uiPriority w:val="0"/>
    <w:rPr>
      <w:rFonts w:ascii="宋体" w:hAnsi="Times New Roman" w:eastAsia="宋体" w:cs="Times New Roman"/>
      <w:sz w:val="18"/>
      <w:szCs w:val="18"/>
    </w:rPr>
  </w:style>
  <w:style w:type="character" w:customStyle="1" w:styleId="51">
    <w:name w:val="批注文字 字符"/>
    <w:link w:val="15"/>
    <w:qFormat/>
    <w:uiPriority w:val="0"/>
    <w:rPr>
      <w:rFonts w:ascii="Times New Roman" w:hAnsi="Times New Roman" w:eastAsia="宋体" w:cs="Times New Roman"/>
      <w:kern w:val="0"/>
      <w:sz w:val="28"/>
      <w:szCs w:val="28"/>
    </w:rPr>
  </w:style>
  <w:style w:type="character" w:customStyle="1" w:styleId="52">
    <w:name w:val="正文文本 字符"/>
    <w:link w:val="16"/>
    <w:qFormat/>
    <w:uiPriority w:val="0"/>
    <w:rPr>
      <w:rFonts w:ascii="Times New Roman" w:hAnsi="Times New Roman" w:eastAsia="宋体" w:cs="Times New Roman"/>
      <w:kern w:val="0"/>
      <w:sz w:val="24"/>
      <w:szCs w:val="24"/>
    </w:rPr>
  </w:style>
  <w:style w:type="character" w:customStyle="1" w:styleId="53">
    <w:name w:val="正文文本缩进 字符"/>
    <w:link w:val="17"/>
    <w:uiPriority w:val="99"/>
    <w:rPr>
      <w:rFonts w:ascii="Times New Roman" w:hAnsi="Times New Roman" w:eastAsia="宋体" w:cs="Times New Roman"/>
      <w:kern w:val="0"/>
      <w:sz w:val="20"/>
      <w:szCs w:val="20"/>
    </w:rPr>
  </w:style>
  <w:style w:type="character" w:customStyle="1" w:styleId="54">
    <w:name w:val="纯文本 字符"/>
    <w:link w:val="19"/>
    <w:qFormat/>
    <w:uiPriority w:val="0"/>
    <w:rPr>
      <w:rFonts w:ascii="宋体" w:hAnsi="Courier New" w:eastAsia="宋体" w:cs="Times New Roman"/>
      <w:kern w:val="0"/>
      <w:szCs w:val="21"/>
    </w:rPr>
  </w:style>
  <w:style w:type="character" w:customStyle="1" w:styleId="55">
    <w:name w:val="批注框文本 字符"/>
    <w:link w:val="20"/>
    <w:uiPriority w:val="0"/>
    <w:rPr>
      <w:rFonts w:ascii="Times New Roman" w:hAnsi="Times New Roman" w:eastAsia="宋体" w:cs="Times New Roman"/>
      <w:kern w:val="0"/>
      <w:sz w:val="18"/>
      <w:szCs w:val="18"/>
    </w:rPr>
  </w:style>
  <w:style w:type="character" w:customStyle="1" w:styleId="56">
    <w:name w:val="页脚 字符"/>
    <w:link w:val="21"/>
    <w:qFormat/>
    <w:uiPriority w:val="99"/>
    <w:rPr>
      <w:rFonts w:ascii="Times New Roman" w:hAnsi="Times New Roman" w:eastAsia="宋体" w:cs="Times New Roman"/>
      <w:kern w:val="0"/>
      <w:sz w:val="18"/>
      <w:szCs w:val="18"/>
    </w:rPr>
  </w:style>
  <w:style w:type="character" w:customStyle="1" w:styleId="57">
    <w:name w:val="页眉 字符"/>
    <w:link w:val="22"/>
    <w:uiPriority w:val="0"/>
    <w:rPr>
      <w:rFonts w:ascii="Times New Roman" w:hAnsi="Times New Roman" w:eastAsia="宋体" w:cs="Times New Roman"/>
      <w:kern w:val="0"/>
      <w:sz w:val="18"/>
      <w:szCs w:val="18"/>
    </w:rPr>
  </w:style>
  <w:style w:type="character" w:customStyle="1" w:styleId="58">
    <w:name w:val="正文文本缩进 3 字符"/>
    <w:link w:val="25"/>
    <w:uiPriority w:val="0"/>
    <w:rPr>
      <w:rFonts w:ascii="Times New Roman" w:hAnsi="Times New Roman" w:eastAsia="宋体" w:cs="Times New Roman"/>
      <w:kern w:val="0"/>
      <w:sz w:val="16"/>
      <w:szCs w:val="16"/>
    </w:rPr>
  </w:style>
  <w:style w:type="character" w:customStyle="1" w:styleId="59">
    <w:name w:val="正文文本 2 字符"/>
    <w:link w:val="26"/>
    <w:uiPriority w:val="0"/>
    <w:rPr>
      <w:rFonts w:ascii="Times New Roman" w:hAnsi="Times New Roman" w:eastAsia="宋体" w:cs="Times New Roman"/>
      <w:kern w:val="0"/>
      <w:sz w:val="24"/>
      <w:szCs w:val="24"/>
    </w:rPr>
  </w:style>
  <w:style w:type="character" w:customStyle="1" w:styleId="60">
    <w:name w:val="标题 字符"/>
    <w:link w:val="29"/>
    <w:qFormat/>
    <w:uiPriority w:val="0"/>
    <w:rPr>
      <w:rFonts w:ascii="Cambria" w:hAnsi="Cambria" w:eastAsia="宋体" w:cs="Times New Roman"/>
      <w:b/>
      <w:bCs/>
      <w:kern w:val="0"/>
      <w:sz w:val="32"/>
      <w:szCs w:val="32"/>
    </w:rPr>
  </w:style>
  <w:style w:type="character" w:customStyle="1" w:styleId="61">
    <w:name w:val="正文文本首行缩进 2 字符"/>
    <w:link w:val="30"/>
    <w:semiHidden/>
    <w:qFormat/>
    <w:uiPriority w:val="99"/>
  </w:style>
  <w:style w:type="paragraph" w:styleId="62">
    <w:name w:val="List Paragraph"/>
    <w:basedOn w:val="1"/>
    <w:qFormat/>
    <w:uiPriority w:val="0"/>
    <w:pPr>
      <w:ind w:firstLine="420" w:firstLineChars="200"/>
    </w:pPr>
    <w:rPr>
      <w:sz w:val="28"/>
      <w:szCs w:val="28"/>
    </w:rPr>
  </w:style>
  <w:style w:type="character" w:customStyle="1" w:styleId="63">
    <w:name w:val="标题 4 Char"/>
    <w:qFormat/>
    <w:uiPriority w:val="0"/>
    <w:rPr>
      <w:rFonts w:ascii="Cambria" w:hAnsi="Cambria" w:eastAsia="宋体" w:cs="Times New Roman"/>
      <w:b/>
      <w:bCs/>
      <w:kern w:val="2"/>
      <w:sz w:val="28"/>
      <w:szCs w:val="28"/>
    </w:rPr>
  </w:style>
  <w:style w:type="table" w:customStyle="1" w:styleId="64">
    <w:name w:val="网格型1"/>
    <w:basedOn w:val="31"/>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5">
    <w:name w:val="列出段落1"/>
    <w:basedOn w:val="1"/>
    <w:uiPriority w:val="0"/>
    <w:pPr>
      <w:ind w:firstLine="420" w:firstLineChars="200"/>
    </w:pPr>
    <w:rPr>
      <w:rFonts w:cs="Calibri"/>
      <w:szCs w:val="21"/>
    </w:rPr>
  </w:style>
  <w:style w:type="paragraph" w:customStyle="1" w:styleId="66">
    <w:name w:val="无间隔1"/>
    <w:uiPriority w:val="0"/>
    <w:pPr>
      <w:widowControl w:val="0"/>
      <w:jc w:val="both"/>
    </w:pPr>
    <w:rPr>
      <w:rFonts w:ascii="Times New Roman" w:hAnsi="Times New Roman" w:eastAsia="宋体" w:cs="Calibri"/>
      <w:kern w:val="2"/>
      <w:sz w:val="21"/>
      <w:szCs w:val="21"/>
      <w:lang w:val="en-US" w:eastAsia="zh-CN" w:bidi="ar-SA"/>
    </w:rPr>
  </w:style>
  <w:style w:type="paragraph" w:customStyle="1" w:styleId="67">
    <w:name w:val="Char Char"/>
    <w:basedOn w:val="1"/>
    <w:qFormat/>
    <w:uiPriority w:val="0"/>
    <w:rPr>
      <w:rFonts w:ascii="Tahoma" w:hAnsi="Tahoma" w:cs="Tahoma"/>
      <w:sz w:val="24"/>
      <w:szCs w:val="24"/>
    </w:rPr>
  </w:style>
  <w:style w:type="paragraph" w:customStyle="1" w:styleId="68">
    <w:name w:val="大汉方案正文"/>
    <w:basedOn w:val="1"/>
    <w:qFormat/>
    <w:uiPriority w:val="0"/>
    <w:pPr>
      <w:spacing w:line="360" w:lineRule="auto"/>
      <w:ind w:firstLine="200" w:firstLineChars="200"/>
    </w:pPr>
    <w:rPr>
      <w:rFonts w:ascii="Arial" w:hAnsi="Arial" w:cs="Arial"/>
      <w:sz w:val="24"/>
      <w:szCs w:val="24"/>
    </w:rPr>
  </w:style>
  <w:style w:type="character" w:customStyle="1" w:styleId="69">
    <w:name w:val="纯文本 Char1"/>
    <w:qFormat/>
    <w:uiPriority w:val="0"/>
    <w:rPr>
      <w:rFonts w:ascii="宋体" w:hAnsi="Courier New" w:cs="宋体"/>
      <w:kern w:val="2"/>
      <w:sz w:val="21"/>
      <w:szCs w:val="21"/>
    </w:rPr>
  </w:style>
  <w:style w:type="character" w:customStyle="1" w:styleId="70">
    <w:name w:val="批注文字 Char1"/>
    <w:qFormat/>
    <w:uiPriority w:val="0"/>
    <w:rPr>
      <w:rFonts w:ascii="Times New Roman" w:hAnsi="Times New Roman" w:eastAsia="宋体" w:cs="Times New Roman"/>
      <w:sz w:val="24"/>
      <w:szCs w:val="24"/>
    </w:rPr>
  </w:style>
  <w:style w:type="paragraph" w:customStyle="1" w:styleId="71">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2">
    <w:name w:val="apple-converted-space"/>
    <w:qFormat/>
    <w:uiPriority w:val="0"/>
  </w:style>
  <w:style w:type="paragraph" w:customStyle="1" w:styleId="73">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4">
    <w:name w:val="列出段落2"/>
    <w:basedOn w:val="1"/>
    <w:qFormat/>
    <w:uiPriority w:val="0"/>
    <w:pPr>
      <w:ind w:firstLine="420" w:firstLineChars="200"/>
    </w:pPr>
    <w:rPr>
      <w:rFonts w:cs="Calibri"/>
      <w:szCs w:val="21"/>
    </w:rPr>
  </w:style>
  <w:style w:type="paragraph" w:customStyle="1" w:styleId="75">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6">
    <w:name w:val="标题 3 Char1"/>
    <w:qFormat/>
    <w:uiPriority w:val="0"/>
    <w:rPr>
      <w:rFonts w:ascii="Times New Roman" w:hAnsi="Times New Roman" w:eastAsia="宋体" w:cs="Times New Roman"/>
      <w:sz w:val="20"/>
      <w:szCs w:val="20"/>
    </w:rPr>
  </w:style>
  <w:style w:type="paragraph" w:customStyle="1" w:styleId="77">
    <w:name w:val="Char Char11 Char Char Char Char"/>
    <w:basedOn w:val="1"/>
    <w:qFormat/>
    <w:uiPriority w:val="0"/>
    <w:pPr>
      <w:tabs>
        <w:tab w:val="left" w:pos="360"/>
      </w:tabs>
    </w:pPr>
    <w:rPr>
      <w:szCs w:val="21"/>
    </w:rPr>
  </w:style>
  <w:style w:type="paragraph" w:customStyle="1" w:styleId="78">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9">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1">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6">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1">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2">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3">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4">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6">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8">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0">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1">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3">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1">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2">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3">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5">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6">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7">
    <w:name w:val="纯文本 Char3"/>
    <w:qFormat/>
    <w:uiPriority w:val="0"/>
    <w:rPr>
      <w:rFonts w:ascii="宋体" w:hAnsi="Courier New"/>
      <w:sz w:val="21"/>
      <w:szCs w:val="21"/>
    </w:rPr>
  </w:style>
  <w:style w:type="paragraph" w:customStyle="1" w:styleId="118">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9">
    <w:name w:val="Unresolved Mention"/>
    <w:unhideWhenUsed/>
    <w:qFormat/>
    <w:uiPriority w:val="99"/>
    <w:rPr>
      <w:color w:val="605E5C"/>
      <w:shd w:val="clear" w:color="auto" w:fill="E1DFDD"/>
    </w:rPr>
  </w:style>
  <w:style w:type="character" w:customStyle="1" w:styleId="120">
    <w:name w:val="flatpickr-day"/>
    <w:basedOn w:val="33"/>
    <w:qFormat/>
    <w:uiPriority w:val="0"/>
  </w:style>
  <w:style w:type="character" w:customStyle="1" w:styleId="121">
    <w:name w:val="flatpickr-weekday2"/>
    <w:basedOn w:val="33"/>
    <w:qFormat/>
    <w:uiPriority w:val="0"/>
    <w:rPr>
      <w:b/>
      <w:bCs/>
      <w:color w:val="004C8C"/>
      <w:spacing w:val="15"/>
      <w:sz w:val="21"/>
      <w:szCs w:val="21"/>
      <w:shd w:val="clear" w:fill="E6EDF5"/>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12.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101</Pages>
  <Words>10995</Words>
  <Characters>12206</Characters>
  <Lines>1117</Lines>
  <Paragraphs>1057</Paragraphs>
  <TotalTime>3</TotalTime>
  <ScaleCrop>false</ScaleCrop>
  <LinksUpToDate>false</LinksUpToDate>
  <CharactersWithSpaces>12283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2026-10-16T07:07:00Z</dcterms:created>
  <dc:creator>耀辉</dc:creator>
  <cp:lastModifiedBy>vicky</cp:lastModifiedBy>
  <dcterms:modified xsi:type="dcterms:W3CDTF">2026-10-26T02:47:05Z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98C75FFABD9A4FD7AD9E9E7A3BBCAAF6_13</vt:lpwstr>
  </property>
  <property fmtid="{D5CDD505-2E9C-101B-9397-08002B2CF9AE}" pid="4" name="KSOTemplateDocerSaveRecord">
    <vt:lpwstr>eyJoZGlkIjoiMjJkOTIyMWU4ZDE4ZTUxNWYwOWM4ZDE5NTc2OTliOTEiLCJ1c2VySWQiOiIxMjY0MjQzNTE3In0=</vt:lpwstr>
  </property>
</Properties>
</file>