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17ED">
      <w:pPr>
        <w:shd w:val="clear"/>
        <w:snapToGrid w:val="0"/>
        <w:jc w:val="center"/>
        <w:rPr>
          <w:rFonts w:hint="eastAsia" w:ascii="方正小标宋简体" w:hAnsi="黑体" w:eastAsia="方正小标宋简体" w:cs="方正小标宋简体"/>
          <w:color w:val="auto"/>
          <w:kern w:val="0"/>
          <w:sz w:val="56"/>
          <w:szCs w:val="56"/>
          <w:highlight w:val="none"/>
        </w:rPr>
      </w:pPr>
      <w:bookmarkStart w:id="18" w:name="_GoBack"/>
      <w:bookmarkEnd w:id="18"/>
    </w:p>
    <w:p w14:paraId="19E087C9">
      <w:pPr>
        <w:shd w:val="clear"/>
        <w:snapToGrid w:val="0"/>
        <w:jc w:val="center"/>
        <w:rPr>
          <w:rFonts w:hint="eastAsia" w:ascii="方正小标宋简体" w:hAnsi="黑体" w:eastAsia="方正小标宋简体" w:cs="方正小标宋简体"/>
          <w:color w:val="auto"/>
          <w:kern w:val="0"/>
          <w:sz w:val="56"/>
          <w:szCs w:val="56"/>
          <w:highlight w:val="none"/>
        </w:rPr>
      </w:pPr>
    </w:p>
    <w:p w14:paraId="420A9EE1">
      <w:pPr>
        <w:shd w:val="clear"/>
        <w:snapToGrid w:val="0"/>
        <w:jc w:val="center"/>
        <w:rPr>
          <w:rFonts w:hint="eastAsia" w:ascii="方正小标宋简体" w:hAnsi="黑体" w:eastAsia="方正小标宋简体" w:cs="方正小标宋简体"/>
          <w:color w:val="auto"/>
          <w:kern w:val="0"/>
          <w:sz w:val="56"/>
          <w:szCs w:val="56"/>
          <w:highlight w:val="none"/>
        </w:rPr>
      </w:pPr>
    </w:p>
    <w:p w14:paraId="16F868A6">
      <w:pPr>
        <w:shd w:val="clear"/>
        <w:snapToGrid w:val="0"/>
        <w:jc w:val="center"/>
        <w:rPr>
          <w:rFonts w:hint="eastAsia" w:ascii="方正小标宋简体" w:hAnsi="黑体" w:eastAsia="方正小标宋简体" w:cs="方正小标宋简体"/>
          <w:color w:val="auto"/>
          <w:kern w:val="0"/>
          <w:sz w:val="72"/>
          <w:szCs w:val="52"/>
          <w:highlight w:val="none"/>
          <w:lang w:eastAsia="zh-CN"/>
        </w:rPr>
      </w:pPr>
      <w:r>
        <w:rPr>
          <w:rFonts w:hint="eastAsia" w:ascii="方正小标宋简体" w:hAnsi="黑体" w:eastAsia="方正小标宋简体" w:cs="方正小标宋简体"/>
          <w:color w:val="auto"/>
          <w:kern w:val="0"/>
          <w:sz w:val="56"/>
          <w:szCs w:val="56"/>
          <w:highlight w:val="none"/>
          <w:lang w:eastAsia="zh-CN"/>
        </w:rPr>
        <w:t>威海粮油发展有限公司</w:t>
      </w:r>
    </w:p>
    <w:p w14:paraId="24F08515">
      <w:pPr>
        <w:shd w:val="clear"/>
        <w:snapToGrid w:val="0"/>
        <w:jc w:val="center"/>
        <w:rPr>
          <w:rFonts w:hint="eastAsia" w:ascii="方正小标宋简体" w:hAnsi="黑体" w:eastAsia="方正小标宋简体" w:cs="方正小标宋简体"/>
          <w:color w:val="auto"/>
          <w:kern w:val="0"/>
          <w:sz w:val="72"/>
          <w:szCs w:val="52"/>
          <w:highlight w:val="none"/>
        </w:rPr>
      </w:pPr>
    </w:p>
    <w:p w14:paraId="30C413D7">
      <w:pPr>
        <w:shd w:val="clear"/>
        <w:snapToGrid w:val="0"/>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72"/>
          <w:highlight w:val="none"/>
        </w:rPr>
        <w:t>公开招标文件</w:t>
      </w:r>
    </w:p>
    <w:p w14:paraId="5B70052A">
      <w:pPr>
        <w:shd w:val="clear"/>
        <w:spacing w:line="360" w:lineRule="auto"/>
        <w:ind w:firstLine="723" w:firstLineChars="201"/>
        <w:jc w:val="left"/>
        <w:rPr>
          <w:rFonts w:hint="eastAsia" w:ascii="仿宋" w:hAnsi="仿宋" w:eastAsia="仿宋" w:cs="仿宋"/>
          <w:color w:val="auto"/>
          <w:sz w:val="36"/>
          <w:szCs w:val="36"/>
          <w:highlight w:val="none"/>
        </w:rPr>
      </w:pPr>
    </w:p>
    <w:p w14:paraId="5456B4CE">
      <w:pPr>
        <w:shd w:val="clear"/>
        <w:spacing w:line="360" w:lineRule="auto"/>
        <w:jc w:val="left"/>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    </w:t>
      </w:r>
    </w:p>
    <w:p w14:paraId="5C4DB04C">
      <w:pPr>
        <w:pStyle w:val="9"/>
        <w:rPr>
          <w:rFonts w:hint="eastAsia"/>
          <w:highlight w:val="none"/>
        </w:rPr>
      </w:pPr>
    </w:p>
    <w:p w14:paraId="62BA5B56">
      <w:pPr>
        <w:shd w:val="clear"/>
        <w:rPr>
          <w:rFonts w:hint="eastAsia" w:ascii="仿宋" w:hAnsi="仿宋" w:eastAsia="仿宋" w:cs="仿宋"/>
          <w:color w:val="auto"/>
          <w:highlight w:val="none"/>
        </w:rPr>
      </w:pPr>
    </w:p>
    <w:p w14:paraId="2F9ED6E3">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lang w:eastAsia="zh-CN"/>
        </w:rPr>
        <w:t>威海粮油发展有限公司常年法律顾问服务单位项目</w:t>
      </w:r>
    </w:p>
    <w:p w14:paraId="6CDB64FC">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WHZCZB2026-096</w:t>
      </w:r>
    </w:p>
    <w:p w14:paraId="1B3F51A2">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采购方式：公开招标</w:t>
      </w:r>
    </w:p>
    <w:p w14:paraId="2AF38D3E">
      <w:pPr>
        <w:shd w:val="clear"/>
        <w:spacing w:line="360" w:lineRule="auto"/>
        <w:rPr>
          <w:rFonts w:hint="eastAsia" w:ascii="仿宋" w:hAnsi="仿宋" w:eastAsia="仿宋" w:cs="仿宋"/>
          <w:b/>
          <w:color w:val="auto"/>
          <w:sz w:val="16"/>
          <w:szCs w:val="36"/>
          <w:highlight w:val="none"/>
        </w:rPr>
      </w:pPr>
    </w:p>
    <w:p w14:paraId="349A9C97">
      <w:pPr>
        <w:shd w:val="clear"/>
        <w:spacing w:line="360" w:lineRule="auto"/>
        <w:ind w:firstLine="363" w:firstLineChars="201"/>
        <w:jc w:val="center"/>
        <w:rPr>
          <w:rFonts w:hint="eastAsia" w:ascii="仿宋" w:hAnsi="仿宋" w:eastAsia="仿宋" w:cs="仿宋"/>
          <w:b/>
          <w:color w:val="auto"/>
          <w:sz w:val="18"/>
          <w:szCs w:val="36"/>
          <w:highlight w:val="none"/>
        </w:rPr>
      </w:pPr>
    </w:p>
    <w:p w14:paraId="0ECE3C85">
      <w:pPr>
        <w:pStyle w:val="9"/>
        <w:shd w:val="clear"/>
        <w:rPr>
          <w:rFonts w:hint="eastAsia" w:ascii="仿宋" w:hAnsi="仿宋" w:eastAsia="仿宋" w:cs="仿宋"/>
          <w:b/>
          <w:color w:val="auto"/>
          <w:sz w:val="18"/>
          <w:szCs w:val="36"/>
          <w:highlight w:val="none"/>
        </w:rPr>
      </w:pPr>
    </w:p>
    <w:p w14:paraId="6D3CC221">
      <w:pPr>
        <w:shd w:val="clear"/>
        <w:rPr>
          <w:rFonts w:hint="eastAsia" w:ascii="仿宋" w:hAnsi="仿宋" w:eastAsia="仿宋" w:cs="仿宋"/>
          <w:color w:val="auto"/>
          <w:highlight w:val="none"/>
        </w:rPr>
      </w:pPr>
    </w:p>
    <w:p w14:paraId="4003CA3E">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山东志诚工程咨询管理有限公司</w:t>
      </w:r>
    </w:p>
    <w:p w14:paraId="5AE742F3">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color w:val="auto"/>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b/>
          <w:color w:val="auto"/>
          <w:sz w:val="36"/>
          <w:szCs w:val="36"/>
          <w:highlight w:val="none"/>
          <w:lang w:val="en-US" w:eastAsia="zh-CN"/>
        </w:rPr>
        <w:t>2026年9</w:t>
      </w:r>
      <w:r>
        <w:rPr>
          <w:rFonts w:hint="eastAsia" w:ascii="仿宋" w:hAnsi="仿宋" w:eastAsia="仿宋" w:cs="仿宋"/>
          <w:b/>
          <w:color w:val="auto"/>
          <w:sz w:val="36"/>
          <w:szCs w:val="36"/>
          <w:highlight w:val="none"/>
        </w:rPr>
        <w:t>月</w:t>
      </w:r>
    </w:p>
    <w:p w14:paraId="57668D05">
      <w:pPr>
        <w:shd w:val="clear"/>
        <w:spacing w:line="360" w:lineRule="auto"/>
        <w:jc w:val="center"/>
        <w:rPr>
          <w:rFonts w:hint="eastAsia" w:ascii="仿宋" w:hAnsi="仿宋" w:eastAsia="仿宋" w:cs="仿宋"/>
          <w:color w:val="auto"/>
          <w:kern w:val="0"/>
          <w:sz w:val="52"/>
          <w:szCs w:val="52"/>
          <w:highlight w:val="none"/>
        </w:rPr>
        <w:sectPr>
          <w:headerReference r:id="rId4" w:type="first"/>
          <w:footerReference r:id="rId6" w:type="first"/>
          <w:headerReference r:id="rId3" w:type="default"/>
          <w:footerReference r:id="rId5" w:type="default"/>
          <w:pgSz w:w="11906" w:h="16838"/>
          <w:pgMar w:top="1440" w:right="1083" w:bottom="1440" w:left="1083" w:header="851" w:footer="992" w:gutter="0"/>
          <w:pgNumType w:fmt="decimal" w:start="0"/>
          <w:cols w:space="0" w:num="1"/>
          <w:rtlGutter w:val="0"/>
          <w:docGrid w:type="lines" w:linePitch="312" w:charSpace="0"/>
        </w:sectPr>
      </w:pPr>
    </w:p>
    <w:p w14:paraId="59AFBC5F">
      <w:pPr>
        <w:shd w:val="clear"/>
        <w:spacing w:line="360" w:lineRule="auto"/>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64CCA07B">
      <w:pPr>
        <w:shd w:val="clear"/>
        <w:spacing w:line="720" w:lineRule="exact"/>
        <w:ind w:firstLine="562" w:firstLineChars="200"/>
        <w:jc w:val="left"/>
        <w:rPr>
          <w:rFonts w:hint="eastAsia" w:ascii="仿宋" w:hAnsi="仿宋" w:eastAsia="仿宋" w:cs="仿宋"/>
          <w:b/>
          <w:bCs/>
          <w:caps/>
          <w:color w:val="auto"/>
          <w:sz w:val="28"/>
          <w:szCs w:val="28"/>
          <w:highlight w:val="none"/>
        </w:rPr>
      </w:pPr>
    </w:p>
    <w:p w14:paraId="66251D64">
      <w:pPr>
        <w:shd w:val="clear"/>
        <w:spacing w:line="720" w:lineRule="exact"/>
        <w:ind w:firstLine="562" w:firstLineChars="200"/>
        <w:jc w:val="left"/>
        <w:rPr>
          <w:rFonts w:hint="eastAsia"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5C3B06A0">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30F63D43">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41E0E4BD">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0B5B2BAB">
      <w:pPr>
        <w:shd w:val="clear"/>
        <w:spacing w:line="720" w:lineRule="exact"/>
        <w:ind w:firstLine="565" w:firstLineChars="201"/>
        <w:jc w:val="left"/>
        <w:rPr>
          <w:rFonts w:hint="eastAsia" w:ascii="仿宋" w:hAnsi="仿宋" w:eastAsia="仿宋" w:cs="仿宋"/>
          <w:b/>
          <w:bCs/>
          <w:caps/>
          <w:color w:val="auto"/>
          <w:sz w:val="28"/>
          <w:szCs w:val="28"/>
          <w:highlight w:val="none"/>
          <w:lang w:eastAsia="zh-CN"/>
        </w:rPr>
      </w:pPr>
      <w:r>
        <w:rPr>
          <w:rFonts w:hint="eastAsia" w:ascii="仿宋" w:hAnsi="仿宋" w:eastAsia="仿宋" w:cs="仿宋"/>
          <w:b/>
          <w:bCs/>
          <w:caps/>
          <w:color w:val="auto"/>
          <w:sz w:val="28"/>
          <w:szCs w:val="28"/>
          <w:highlight w:val="none"/>
        </w:rPr>
        <w:t xml:space="preserve">第五章   </w:t>
      </w:r>
      <w:r>
        <w:rPr>
          <w:rFonts w:hint="eastAsia" w:ascii="仿宋" w:hAnsi="仿宋" w:eastAsia="仿宋" w:cs="仿宋"/>
          <w:b/>
          <w:bCs/>
          <w:caps/>
          <w:color w:val="auto"/>
          <w:sz w:val="28"/>
          <w:szCs w:val="28"/>
          <w:highlight w:val="none"/>
          <w:lang w:eastAsia="zh-CN"/>
        </w:rPr>
        <w:t>投标文件格式</w:t>
      </w:r>
    </w:p>
    <w:p w14:paraId="24E38B67">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625B62ED">
      <w:pPr>
        <w:shd w:val="clear"/>
        <w:spacing w:line="560" w:lineRule="exact"/>
        <w:ind w:firstLine="424" w:firstLineChars="151"/>
        <w:jc w:val="left"/>
        <w:rPr>
          <w:rFonts w:hint="eastAsia" w:ascii="仿宋" w:hAnsi="仿宋" w:eastAsia="仿宋" w:cs="仿宋"/>
          <w:b/>
          <w:bCs/>
          <w:caps/>
          <w:color w:val="auto"/>
          <w:sz w:val="28"/>
          <w:szCs w:val="28"/>
          <w:highlight w:val="none"/>
        </w:rPr>
      </w:pPr>
    </w:p>
    <w:p w14:paraId="5AFF27B4">
      <w:pPr>
        <w:shd w:val="clear"/>
        <w:rPr>
          <w:rFonts w:hint="eastAsia" w:ascii="仿宋" w:hAnsi="仿宋" w:eastAsia="仿宋" w:cs="仿宋"/>
          <w:color w:val="auto"/>
          <w:kern w:val="0"/>
          <w:highlight w:val="none"/>
        </w:rPr>
        <w:sectPr>
          <w:footerReference r:id="rId8" w:type="first"/>
          <w:footerReference r:id="rId7" w:type="default"/>
          <w:pgSz w:w="11906" w:h="16838"/>
          <w:pgMar w:top="1440" w:right="1083" w:bottom="1440" w:left="1083" w:header="851" w:footer="992" w:gutter="0"/>
          <w:pgNumType w:fmt="decimal" w:start="1"/>
          <w:cols w:space="0" w:num="1"/>
          <w:rtlGutter w:val="0"/>
          <w:docGrid w:type="lines" w:linePitch="312" w:charSpace="0"/>
        </w:sectPr>
      </w:pPr>
    </w:p>
    <w:p w14:paraId="34A8E14B">
      <w:pPr>
        <w:pStyle w:val="26"/>
        <w:numPr>
          <w:ilvl w:val="0"/>
          <w:numId w:val="0"/>
        </w:numPr>
        <w:shd w:val="clear"/>
        <w:spacing w:before="100" w:beforeAutospacing="1" w:after="100" w:afterAutospacing="1" w:line="415" w:lineRule="auto"/>
        <w:ind w:left="1440" w:leftChars="0" w:hanging="1440" w:firstLineChars="0"/>
        <w:rPr>
          <w:rFonts w:ascii="宋体" w:hAnsi="宋体" w:eastAsia="宋体" w:cs="宋体"/>
          <w:color w:val="auto"/>
          <w:sz w:val="44"/>
          <w:szCs w:val="44"/>
          <w:highlight w:val="none"/>
        </w:rPr>
      </w:pPr>
      <w:bookmarkStart w:id="0" w:name="_Toc253045125"/>
      <w:bookmarkStart w:id="1" w:name="_Toc266431116"/>
      <w:r>
        <w:rPr>
          <w:rFonts w:hint="eastAsia" w:ascii="楷体_GB2312" w:hAnsi="宋体" w:eastAsia="楷体_GB2312" w:cs="宋体"/>
          <w:b/>
          <w:bCs/>
          <w:color w:val="auto"/>
          <w:kern w:val="2"/>
          <w:sz w:val="44"/>
          <w:szCs w:val="44"/>
          <w:highlight w:val="none"/>
          <w:lang w:val="en-US" w:eastAsia="zh-CN" w:bidi="ar-SA"/>
        </w:rPr>
        <w:t>第一章</w:t>
      </w:r>
      <w:r>
        <w:rPr>
          <w:rFonts w:hint="eastAsia" w:ascii="楷体_GB2312" w:hAnsi="宋体" w:eastAsia="楷体_GB2312" w:cs="宋体"/>
          <w:color w:val="auto"/>
          <w:sz w:val="44"/>
          <w:szCs w:val="44"/>
          <w:highlight w:val="none"/>
        </w:rPr>
        <w:t xml:space="preserve">  招标公告</w:t>
      </w:r>
    </w:p>
    <w:p w14:paraId="41A59B78">
      <w:pPr>
        <w:shd w:val="clear"/>
        <w:rPr>
          <w:color w:val="auto"/>
          <w:highlight w:val="none"/>
        </w:rPr>
      </w:pPr>
    </w:p>
    <w:p w14:paraId="21B10035">
      <w:pPr>
        <w:shd w:val="clear"/>
        <w:rPr>
          <w:color w:val="auto"/>
          <w:highlight w:val="none"/>
        </w:rPr>
        <w:sectPr>
          <w:headerReference r:id="rId10" w:type="first"/>
          <w:footerReference r:id="rId12" w:type="first"/>
          <w:footerReference r:id="rId11" w:type="default"/>
          <w:headerReference r:id="rId9" w:type="even"/>
          <w:pgSz w:w="11906" w:h="16838"/>
          <w:pgMar w:top="1440" w:right="1083" w:bottom="1440" w:left="1083" w:header="851" w:footer="992" w:gutter="0"/>
          <w:pgNumType w:fmt="decimal" w:start="1"/>
          <w:cols w:space="0" w:num="1"/>
          <w:rtlGutter w:val="0"/>
          <w:docGrid w:type="lines" w:linePitch="312" w:charSpace="0"/>
        </w:sectPr>
      </w:pPr>
    </w:p>
    <w:p w14:paraId="5489D330">
      <w:pPr>
        <w:keepNext w:val="0"/>
        <w:keepLines w:val="0"/>
        <w:pageBreakBefore w:val="0"/>
        <w:widowControl w:val="0"/>
        <w:shd w:val="clear"/>
        <w:kinsoku/>
        <w:wordWrap/>
        <w:overflowPunct/>
        <w:topLinePunct w:val="0"/>
        <w:autoSpaceDE/>
        <w:autoSpaceDN/>
        <w:bidi w:val="0"/>
        <w:adjustRightInd/>
        <w:snapToGrid/>
        <w:spacing w:after="313" w:afterLines="100" w:line="360" w:lineRule="auto"/>
        <w:jc w:val="center"/>
        <w:textAlignment w:val="auto"/>
        <w:rPr>
          <w:rFonts w:hint="eastAsia" w:ascii="方正小标宋简体" w:eastAsia="方正小标宋简体"/>
          <w:b/>
          <w:color w:val="auto"/>
          <w:sz w:val="30"/>
          <w:szCs w:val="30"/>
          <w:highlight w:val="none"/>
          <w:lang w:eastAsia="zh-CN"/>
        </w:rPr>
      </w:pPr>
      <w:bookmarkStart w:id="2" w:name="_Toc382129899"/>
      <w:bookmarkStart w:id="3" w:name="_Toc413596381"/>
      <w:r>
        <w:rPr>
          <w:rFonts w:hint="eastAsia" w:ascii="方正小标宋简体" w:eastAsia="方正小标宋简体"/>
          <w:b/>
          <w:color w:val="auto"/>
          <w:sz w:val="30"/>
          <w:szCs w:val="30"/>
          <w:highlight w:val="none"/>
          <w:lang w:eastAsia="zh-CN"/>
        </w:rPr>
        <w:t>威海粮油发展有限公司常年法律顾问服务单位项目</w:t>
      </w:r>
      <w:r>
        <w:rPr>
          <w:rFonts w:hint="eastAsia" w:ascii="方正小标宋简体" w:eastAsia="方正小标宋简体"/>
          <w:b/>
          <w:color w:val="auto"/>
          <w:sz w:val="30"/>
          <w:szCs w:val="30"/>
          <w:highlight w:val="none"/>
        </w:rPr>
        <w:t>公开招标公告</w:t>
      </w:r>
      <w:r>
        <w:rPr>
          <w:rFonts w:hint="eastAsia" w:ascii="方正小标宋简体" w:eastAsia="方正小标宋简体"/>
          <w:b/>
          <w:color w:val="auto"/>
          <w:sz w:val="30"/>
          <w:szCs w:val="30"/>
          <w:highlight w:val="none"/>
          <w:lang w:eastAsia="zh-CN"/>
        </w:rPr>
        <w:t>（</w:t>
      </w:r>
      <w:r>
        <w:rPr>
          <w:rFonts w:hint="eastAsia" w:ascii="方正小标宋简体" w:eastAsia="方正小标宋简体"/>
          <w:b/>
          <w:color w:val="auto"/>
          <w:sz w:val="30"/>
          <w:szCs w:val="30"/>
          <w:highlight w:val="none"/>
          <w:lang w:val="en-US" w:eastAsia="zh-CN"/>
        </w:rPr>
        <w:t>第2轮</w:t>
      </w:r>
      <w:r>
        <w:rPr>
          <w:rFonts w:hint="eastAsia" w:ascii="方正小标宋简体" w:eastAsia="方正小标宋简体"/>
          <w:b/>
          <w:color w:val="auto"/>
          <w:sz w:val="30"/>
          <w:szCs w:val="30"/>
          <w:highlight w:val="none"/>
          <w:lang w:eastAsia="zh-CN"/>
        </w:rPr>
        <w:t>）</w:t>
      </w:r>
    </w:p>
    <w:p w14:paraId="32E5AE1A">
      <w:pPr>
        <w:pBdr>
          <w:top w:val="single" w:color="auto" w:sz="4" w:space="1"/>
          <w:left w:val="single" w:color="auto" w:sz="4" w:space="4"/>
          <w:bottom w:val="single" w:color="auto" w:sz="4" w:space="1"/>
          <w:right w:val="single" w:color="auto" w:sz="4" w:space="4"/>
        </w:pBdr>
        <w:shd w:val="clear"/>
        <w:spacing w:line="560" w:lineRule="exact"/>
        <w:ind w:firstLine="560" w:firstLineChars="200"/>
        <w:rPr>
          <w:rFonts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项目概况</w:t>
      </w:r>
    </w:p>
    <w:p w14:paraId="18BD5416">
      <w:pPr>
        <w:keepNext w:val="0"/>
        <w:keepLines w:val="0"/>
        <w:pageBreakBefore w:val="0"/>
        <w:widowControl/>
        <w:pBdr>
          <w:top w:val="single" w:color="auto" w:sz="4" w:space="1"/>
          <w:left w:val="single" w:color="auto" w:sz="4" w:space="4"/>
          <w:bottom w:val="single" w:color="auto" w:sz="4" w:space="1"/>
          <w:right w:val="single" w:color="auto" w:sz="4" w:space="4"/>
        </w:pBdr>
        <w:shd w:val="clear"/>
        <w:kinsoku/>
        <w:wordWrap/>
        <w:overflowPunct/>
        <w:topLinePunct w:val="0"/>
        <w:autoSpaceDE/>
        <w:autoSpaceDN/>
        <w:bidi w:val="0"/>
        <w:adjustRightInd w:val="0"/>
        <w:snapToGrid/>
        <w:spacing w:line="560" w:lineRule="exact"/>
        <w:ind w:firstLine="592" w:firstLineChars="20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eastAsia="zh-CN"/>
        </w:rPr>
        <w:t>威海粮油发展有限公司常年法律顾问服务单位项目</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“威海市公共资源交易网”首页右侧“交易服务一网通办-（新版）一网通办系统”进行“平台切换”，点击“国企采购”进入国企阳光采购平台</w:t>
      </w:r>
      <w:r>
        <w:rPr>
          <w:rFonts w:hint="eastAsia" w:ascii="仿宋" w:hAnsi="仿宋" w:eastAsia="仿宋" w:cs="仿宋"/>
          <w:color w:val="auto"/>
          <w:spacing w:val="8"/>
          <w:kern w:val="0"/>
          <w:sz w:val="28"/>
          <w:szCs w:val="28"/>
          <w:highlight w:val="none"/>
        </w:rPr>
        <w:t>获取招标文件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并于</w:t>
      </w:r>
      <w:r>
        <w:rPr>
          <w:rFonts w:hint="eastAsia" w:ascii="仿宋" w:hAnsi="仿宋" w:eastAsia="仿宋" w:cs="仿宋"/>
          <w:color w:val="auto"/>
          <w:spacing w:val="8"/>
          <w:kern w:val="0"/>
          <w:sz w:val="28"/>
          <w:szCs w:val="28"/>
          <w:highlight w:val="none"/>
          <w:u w:val="single"/>
          <w:lang w:eastAsia="zh-CN"/>
        </w:rPr>
        <w:t>2026年9月22日14时</w:t>
      </w:r>
      <w:r>
        <w:rPr>
          <w:rFonts w:hint="eastAsia" w:ascii="仿宋" w:hAnsi="仿宋" w:eastAsia="仿宋" w:cs="仿宋"/>
          <w:color w:val="auto"/>
          <w:spacing w:val="8"/>
          <w:kern w:val="0"/>
          <w:sz w:val="28"/>
          <w:szCs w:val="28"/>
          <w:highlight w:val="none"/>
          <w:u w:val="single"/>
          <w:lang w:val="en-US" w:eastAsia="zh-CN"/>
        </w:rPr>
        <w:t>00</w:t>
      </w:r>
      <w:r>
        <w:rPr>
          <w:rFonts w:hint="eastAsia" w:ascii="仿宋" w:hAnsi="仿宋" w:eastAsia="仿宋" w:cs="仿宋"/>
          <w:color w:val="auto"/>
          <w:spacing w:val="8"/>
          <w:kern w:val="0"/>
          <w:sz w:val="28"/>
          <w:szCs w:val="28"/>
          <w:highlight w:val="none"/>
          <w:u w:val="single"/>
          <w:lang w:eastAsia="zh-CN"/>
        </w:rPr>
        <w:t>分</w:t>
      </w:r>
      <w:r>
        <w:rPr>
          <w:rFonts w:hint="eastAsia" w:ascii="仿宋" w:hAnsi="仿宋" w:eastAsia="仿宋" w:cs="仿宋"/>
          <w:color w:val="auto"/>
          <w:spacing w:val="8"/>
          <w:kern w:val="0"/>
          <w:sz w:val="28"/>
          <w:szCs w:val="28"/>
          <w:highlight w:val="none"/>
          <w:u w:val="single"/>
        </w:rPr>
        <w:t>（北京时间）</w:t>
      </w:r>
      <w:r>
        <w:rPr>
          <w:rFonts w:hint="eastAsia" w:ascii="仿宋" w:hAnsi="仿宋" w:eastAsia="仿宋" w:cs="仿宋"/>
          <w:color w:val="auto"/>
          <w:spacing w:val="8"/>
          <w:kern w:val="0"/>
          <w:sz w:val="28"/>
          <w:szCs w:val="28"/>
          <w:highlight w:val="none"/>
        </w:rPr>
        <w:t>前递交投标文件。</w:t>
      </w:r>
    </w:p>
    <w:p w14:paraId="77E279BC">
      <w:pPr>
        <w:rPr>
          <w:rFonts w:hint="eastAsia"/>
        </w:rPr>
      </w:pPr>
    </w:p>
    <w:p w14:paraId="3BD12771">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eastAsia="zh-CN"/>
        </w:rPr>
      </w:pPr>
      <w:r>
        <w:rPr>
          <w:rFonts w:hint="eastAsia" w:ascii="黑体" w:hAnsi="黑体" w:eastAsia="黑体" w:cs="宋体"/>
          <w:color w:val="auto"/>
          <w:kern w:val="0"/>
          <w:sz w:val="28"/>
          <w:szCs w:val="28"/>
          <w:highlight w:val="none"/>
        </w:rPr>
        <w:t>一、项目基本情况</w:t>
      </w:r>
    </w:p>
    <w:p w14:paraId="3B170DCE">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WHZCZB2026-096</w:t>
      </w:r>
    </w:p>
    <w:p w14:paraId="3F8C7137">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威海粮油发展有限公司常年法律顾问服务单位项目</w:t>
      </w:r>
    </w:p>
    <w:p w14:paraId="5E4C3F04">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采购项目分包情况：</w:t>
      </w:r>
    </w:p>
    <w:tbl>
      <w:tblPr>
        <w:tblStyle w:val="3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504"/>
        <w:gridCol w:w="795"/>
        <w:gridCol w:w="1544"/>
        <w:gridCol w:w="1530"/>
        <w:gridCol w:w="1335"/>
        <w:gridCol w:w="1387"/>
      </w:tblGrid>
      <w:tr w14:paraId="0ED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right"/>
        </w:trPr>
        <w:tc>
          <w:tcPr>
            <w:tcW w:w="432" w:type="pct"/>
            <w:tcBorders>
              <w:bottom w:val="single" w:color="auto" w:sz="4" w:space="0"/>
            </w:tcBorders>
            <w:noWrap w:val="0"/>
            <w:vAlign w:val="center"/>
          </w:tcPr>
          <w:p w14:paraId="2A68B574">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标包</w:t>
            </w:r>
          </w:p>
        </w:tc>
        <w:tc>
          <w:tcPr>
            <w:tcW w:w="1257" w:type="pct"/>
            <w:noWrap w:val="0"/>
            <w:vAlign w:val="center"/>
          </w:tcPr>
          <w:p w14:paraId="50ACE6C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项目名称</w:t>
            </w:r>
          </w:p>
        </w:tc>
        <w:tc>
          <w:tcPr>
            <w:tcW w:w="399" w:type="pct"/>
            <w:noWrap w:val="0"/>
            <w:vAlign w:val="center"/>
          </w:tcPr>
          <w:p w14:paraId="60D4D0F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数量</w:t>
            </w:r>
          </w:p>
        </w:tc>
        <w:tc>
          <w:tcPr>
            <w:tcW w:w="775" w:type="pct"/>
            <w:tcBorders>
              <w:right w:val="single" w:color="auto" w:sz="4" w:space="0"/>
            </w:tcBorders>
            <w:noWrap w:val="0"/>
            <w:vAlign w:val="center"/>
          </w:tcPr>
          <w:p w14:paraId="2206DFB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预算金额</w:t>
            </w:r>
          </w:p>
          <w:p w14:paraId="4C45902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768" w:type="pct"/>
            <w:tcBorders>
              <w:right w:val="single" w:color="auto" w:sz="4" w:space="0"/>
            </w:tcBorders>
            <w:noWrap w:val="0"/>
            <w:vAlign w:val="center"/>
          </w:tcPr>
          <w:p w14:paraId="536DBD6B">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最高限价</w:t>
            </w:r>
          </w:p>
          <w:p w14:paraId="4294833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670" w:type="pct"/>
            <w:tcBorders>
              <w:right w:val="single" w:color="auto" w:sz="4" w:space="0"/>
            </w:tcBorders>
            <w:noWrap w:val="0"/>
            <w:vAlign w:val="center"/>
          </w:tcPr>
          <w:p w14:paraId="26F1CF5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采购需求</w:t>
            </w:r>
          </w:p>
        </w:tc>
        <w:tc>
          <w:tcPr>
            <w:tcW w:w="696" w:type="pct"/>
            <w:tcBorders>
              <w:right w:val="single" w:color="auto" w:sz="4" w:space="0"/>
            </w:tcBorders>
            <w:noWrap w:val="0"/>
            <w:vAlign w:val="center"/>
          </w:tcPr>
          <w:p w14:paraId="3203203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合同履行期限</w:t>
            </w:r>
          </w:p>
        </w:tc>
      </w:tr>
      <w:tr w14:paraId="1AC9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right"/>
        </w:trPr>
        <w:tc>
          <w:tcPr>
            <w:tcW w:w="432" w:type="pct"/>
            <w:tcBorders>
              <w:top w:val="single" w:color="auto" w:sz="4" w:space="0"/>
              <w:bottom w:val="single" w:color="auto" w:sz="4" w:space="0"/>
            </w:tcBorders>
            <w:noWrap w:val="0"/>
            <w:vAlign w:val="center"/>
          </w:tcPr>
          <w:p w14:paraId="2E47221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001</w:t>
            </w:r>
          </w:p>
        </w:tc>
        <w:tc>
          <w:tcPr>
            <w:tcW w:w="1257" w:type="pct"/>
            <w:noWrap w:val="0"/>
            <w:vAlign w:val="center"/>
          </w:tcPr>
          <w:p w14:paraId="22FAEAB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威海粮油发展有限公司常年法律顾问服务单位项目</w:t>
            </w:r>
          </w:p>
        </w:tc>
        <w:tc>
          <w:tcPr>
            <w:tcW w:w="399" w:type="pct"/>
            <w:noWrap w:val="0"/>
            <w:vAlign w:val="center"/>
          </w:tcPr>
          <w:p w14:paraId="2542912D">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spacing w:val="8"/>
                <w:kern w:val="0"/>
                <w:sz w:val="24"/>
                <w:szCs w:val="24"/>
                <w:highlight w:val="none"/>
                <w:lang w:eastAsia="zh-CN"/>
              </w:rPr>
            </w:pPr>
            <w:r>
              <w:rPr>
                <w:rFonts w:hint="eastAsia" w:ascii="仿宋" w:hAnsi="仿宋" w:eastAsia="仿宋" w:cs="仿宋"/>
                <w:color w:val="auto"/>
                <w:spacing w:val="8"/>
                <w:kern w:val="0"/>
                <w:sz w:val="24"/>
                <w:szCs w:val="24"/>
                <w:highlight w:val="none"/>
              </w:rPr>
              <w:t>1</w:t>
            </w:r>
            <w:r>
              <w:rPr>
                <w:rFonts w:hint="eastAsia" w:ascii="仿宋" w:hAnsi="仿宋" w:eastAsia="仿宋" w:cs="仿宋"/>
                <w:color w:val="auto"/>
                <w:spacing w:val="8"/>
                <w:kern w:val="0"/>
                <w:sz w:val="24"/>
                <w:szCs w:val="24"/>
                <w:highlight w:val="none"/>
                <w:lang w:val="en-US" w:eastAsia="zh-CN"/>
              </w:rPr>
              <w:t>宗</w:t>
            </w:r>
          </w:p>
        </w:tc>
        <w:tc>
          <w:tcPr>
            <w:tcW w:w="775" w:type="pct"/>
            <w:tcBorders>
              <w:right w:val="single" w:color="auto" w:sz="4" w:space="0"/>
            </w:tcBorders>
            <w:noWrap w:val="0"/>
            <w:vAlign w:val="center"/>
          </w:tcPr>
          <w:p w14:paraId="64B2537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300000.00</w:t>
            </w:r>
          </w:p>
        </w:tc>
        <w:tc>
          <w:tcPr>
            <w:tcW w:w="768" w:type="pct"/>
            <w:tcBorders>
              <w:right w:val="single" w:color="auto" w:sz="4" w:space="0"/>
            </w:tcBorders>
            <w:noWrap w:val="0"/>
            <w:vAlign w:val="center"/>
          </w:tcPr>
          <w:p w14:paraId="74BA337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300000.00</w:t>
            </w:r>
          </w:p>
        </w:tc>
        <w:tc>
          <w:tcPr>
            <w:tcW w:w="670" w:type="pct"/>
            <w:tcBorders>
              <w:right w:val="single" w:color="auto" w:sz="4" w:space="0"/>
            </w:tcBorders>
            <w:noWrap w:val="0"/>
            <w:vAlign w:val="center"/>
          </w:tcPr>
          <w:p w14:paraId="0D98340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c>
          <w:tcPr>
            <w:tcW w:w="696" w:type="pct"/>
            <w:tcBorders>
              <w:right w:val="single" w:color="auto" w:sz="4" w:space="0"/>
            </w:tcBorders>
            <w:noWrap w:val="0"/>
            <w:vAlign w:val="center"/>
          </w:tcPr>
          <w:p w14:paraId="24554888">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r>
    </w:tbl>
    <w:p w14:paraId="443E3D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本项目不接受联合体投标。</w:t>
      </w:r>
    </w:p>
    <w:p w14:paraId="48CE704D">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二、</w:t>
      </w:r>
      <w:r>
        <w:rPr>
          <w:rFonts w:hint="eastAsia" w:ascii="黑体" w:hAnsi="黑体" w:eastAsia="黑体" w:cs="宋体"/>
          <w:color w:val="auto"/>
          <w:kern w:val="0"/>
          <w:sz w:val="28"/>
          <w:szCs w:val="28"/>
          <w:highlight w:val="none"/>
          <w:lang w:val="en-US" w:eastAsia="zh-CN"/>
        </w:rPr>
        <w:t>投标人</w:t>
      </w:r>
      <w:r>
        <w:rPr>
          <w:rFonts w:hint="eastAsia" w:ascii="黑体" w:hAnsi="黑体" w:eastAsia="黑体" w:cs="宋体"/>
          <w:color w:val="auto"/>
          <w:kern w:val="0"/>
          <w:sz w:val="28"/>
          <w:szCs w:val="28"/>
          <w:highlight w:val="none"/>
        </w:rPr>
        <w:t>的资格要求</w:t>
      </w:r>
    </w:p>
    <w:p w14:paraId="35EA0C6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具有独立承担民事责任的能力（</w:t>
      </w:r>
      <w:r>
        <w:rPr>
          <w:rFonts w:hint="eastAsia" w:ascii="仿宋" w:hAnsi="仿宋" w:eastAsia="仿宋" w:cs="仿宋"/>
          <w:color w:val="auto"/>
          <w:sz w:val="28"/>
          <w:szCs w:val="28"/>
          <w:highlight w:val="none"/>
          <w:lang w:val="en-US" w:eastAsia="zh-CN"/>
        </w:rPr>
        <w:t>分所</w:t>
      </w:r>
      <w:r>
        <w:rPr>
          <w:rFonts w:hint="eastAsia" w:ascii="仿宋" w:hAnsi="仿宋" w:eastAsia="仿宋" w:cs="仿宋"/>
          <w:color w:val="auto"/>
          <w:sz w:val="28"/>
          <w:szCs w:val="28"/>
          <w:highlight w:val="none"/>
          <w:lang w:eastAsia="zh-CN"/>
        </w:rPr>
        <w:t>参与投标的，须提供</w:t>
      </w:r>
      <w:r>
        <w:rPr>
          <w:rFonts w:hint="eastAsia" w:ascii="仿宋" w:hAnsi="仿宋" w:eastAsia="仿宋" w:cs="仿宋"/>
          <w:color w:val="auto"/>
          <w:sz w:val="28"/>
          <w:szCs w:val="28"/>
          <w:highlight w:val="none"/>
          <w:lang w:val="en-US" w:eastAsia="zh-CN"/>
        </w:rPr>
        <w:t>总所</w:t>
      </w:r>
      <w:r>
        <w:rPr>
          <w:rFonts w:hint="eastAsia" w:ascii="仿宋" w:hAnsi="仿宋" w:eastAsia="仿宋" w:cs="仿宋"/>
          <w:color w:val="auto"/>
          <w:sz w:val="28"/>
          <w:szCs w:val="28"/>
          <w:highlight w:val="none"/>
          <w:lang w:eastAsia="zh-CN"/>
        </w:rPr>
        <w:t>授权且每个</w:t>
      </w:r>
      <w:r>
        <w:rPr>
          <w:rFonts w:hint="eastAsia" w:ascii="仿宋" w:hAnsi="仿宋" w:eastAsia="仿宋" w:cs="仿宋"/>
          <w:color w:val="auto"/>
          <w:sz w:val="28"/>
          <w:szCs w:val="28"/>
          <w:highlight w:val="none"/>
          <w:lang w:val="en-US" w:eastAsia="zh-CN"/>
        </w:rPr>
        <w:t>总所</w:t>
      </w:r>
      <w:r>
        <w:rPr>
          <w:rFonts w:hint="eastAsia" w:ascii="仿宋" w:hAnsi="仿宋" w:eastAsia="仿宋" w:cs="仿宋"/>
          <w:color w:val="auto"/>
          <w:sz w:val="28"/>
          <w:szCs w:val="28"/>
          <w:highlight w:val="none"/>
          <w:lang w:eastAsia="zh-CN"/>
        </w:rPr>
        <w:t>只能有一个</w:t>
      </w:r>
      <w:r>
        <w:rPr>
          <w:rFonts w:hint="eastAsia" w:ascii="仿宋" w:hAnsi="仿宋" w:eastAsia="仿宋" w:cs="仿宋"/>
          <w:color w:val="auto"/>
          <w:sz w:val="28"/>
          <w:szCs w:val="28"/>
          <w:highlight w:val="none"/>
          <w:lang w:val="en-US" w:eastAsia="zh-CN"/>
        </w:rPr>
        <w:t>分所</w:t>
      </w:r>
      <w:r>
        <w:rPr>
          <w:rFonts w:hint="eastAsia" w:ascii="仿宋" w:hAnsi="仿宋" w:eastAsia="仿宋" w:cs="仿宋"/>
          <w:color w:val="auto"/>
          <w:sz w:val="28"/>
          <w:szCs w:val="28"/>
          <w:highlight w:val="none"/>
          <w:lang w:eastAsia="zh-CN"/>
        </w:rPr>
        <w:t>参与投标），</w:t>
      </w:r>
      <w:r>
        <w:rPr>
          <w:rFonts w:hint="eastAsia" w:ascii="仿宋" w:hAnsi="仿宋" w:eastAsia="仿宋" w:cs="仿宋"/>
          <w:color w:val="auto"/>
          <w:sz w:val="28"/>
          <w:szCs w:val="28"/>
          <w:highlight w:val="none"/>
          <w:lang w:val="en-US" w:eastAsia="zh-CN"/>
        </w:rPr>
        <w:t>且</w:t>
      </w:r>
      <w:r>
        <w:rPr>
          <w:rFonts w:hint="eastAsia" w:ascii="仿宋" w:hAnsi="仿宋" w:eastAsia="仿宋" w:cs="仿宋"/>
          <w:color w:val="auto"/>
          <w:sz w:val="28"/>
          <w:szCs w:val="28"/>
          <w:highlight w:val="none"/>
          <w:lang w:eastAsia="zh-CN"/>
        </w:rPr>
        <w:t>具有年度考核合格的《律师事务所执业许可证》或《律师事务所分所执业许可证》</w:t>
      </w:r>
      <w:r>
        <w:rPr>
          <w:rFonts w:hint="eastAsia" w:ascii="仿宋" w:hAnsi="仿宋" w:eastAsia="仿宋" w:cs="仿宋"/>
          <w:color w:val="auto"/>
          <w:sz w:val="28"/>
          <w:szCs w:val="28"/>
          <w:highlight w:val="none"/>
        </w:rPr>
        <w:t>；</w:t>
      </w:r>
    </w:p>
    <w:p w14:paraId="5CC2E075">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具有良好的商业信誉和健全的财务会计制度</w:t>
      </w:r>
      <w:r>
        <w:rPr>
          <w:rFonts w:hint="eastAsia" w:ascii="仿宋" w:hAnsi="仿宋" w:eastAsia="仿宋" w:cs="仿宋"/>
          <w:color w:val="auto"/>
          <w:sz w:val="28"/>
          <w:szCs w:val="28"/>
          <w:highlight w:val="none"/>
        </w:rPr>
        <w:t>；</w:t>
      </w:r>
    </w:p>
    <w:p w14:paraId="0AA1D74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具有履行合同所必需的设备和专业技术能力</w:t>
      </w:r>
      <w:r>
        <w:rPr>
          <w:rFonts w:hint="eastAsia" w:ascii="仿宋" w:hAnsi="仿宋" w:eastAsia="仿宋" w:cs="仿宋"/>
          <w:color w:val="auto"/>
          <w:sz w:val="28"/>
          <w:szCs w:val="28"/>
          <w:highlight w:val="none"/>
        </w:rPr>
        <w:t>；</w:t>
      </w:r>
    </w:p>
    <w:p w14:paraId="713F042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具有依法缴纳税收和社会保障资金的良好记录</w:t>
      </w:r>
      <w:r>
        <w:rPr>
          <w:rFonts w:hint="eastAsia" w:ascii="仿宋" w:hAnsi="仿宋" w:eastAsia="仿宋" w:cs="仿宋"/>
          <w:color w:val="auto"/>
          <w:sz w:val="28"/>
          <w:szCs w:val="28"/>
          <w:highlight w:val="none"/>
        </w:rPr>
        <w:t>；</w:t>
      </w:r>
    </w:p>
    <w:p w14:paraId="7DB302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参加本次采购活动前三年内，</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在经营活动中没有重大违法记录，且投标人及其法定代表人/单位负责人、项目负责人未受到司法行政机关行政处罚、未遭受律师协会行业处分、无行贿犯罪记录；</w:t>
      </w:r>
    </w:p>
    <w:p w14:paraId="5D4A6AEB">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w:t>
      </w:r>
      <w:r>
        <w:rPr>
          <w:rFonts w:hint="eastAsia" w:ascii="仿宋" w:hAnsi="仿宋" w:eastAsia="仿宋" w:cs="仿宋"/>
          <w:color w:val="auto"/>
          <w:sz w:val="28"/>
          <w:szCs w:val="28"/>
          <w:highlight w:val="none"/>
          <w:lang w:val="en-US" w:eastAsia="zh-CN"/>
        </w:rPr>
        <w:t>及其</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、被授权人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项目负责人</w:t>
      </w:r>
      <w:r>
        <w:rPr>
          <w:rFonts w:hint="eastAsia" w:ascii="仿宋" w:hAnsi="仿宋" w:eastAsia="仿宋" w:cs="仿宋"/>
          <w:color w:val="auto"/>
          <w:sz w:val="28"/>
          <w:szCs w:val="28"/>
          <w:highlight w:val="none"/>
          <w:lang w:eastAsia="zh-CN"/>
        </w:rPr>
        <w:t>未被最高人民法院列为失信被执行人</w:t>
      </w:r>
      <w:r>
        <w:rPr>
          <w:rFonts w:hint="eastAsia" w:ascii="仿宋" w:hAnsi="仿宋" w:eastAsia="仿宋" w:cs="仿宋"/>
          <w:color w:val="auto"/>
          <w:sz w:val="28"/>
          <w:szCs w:val="28"/>
          <w:highlight w:val="none"/>
        </w:rPr>
        <w:t>；</w:t>
      </w:r>
    </w:p>
    <w:p w14:paraId="0487EAB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7.投标人近一年在“信用中国”或“信用中国（山东）”无严重失信记录；</w:t>
      </w:r>
    </w:p>
    <w:p w14:paraId="7BD0776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法律、行政法规及招标文件规定的其他要求。</w:t>
      </w:r>
    </w:p>
    <w:p w14:paraId="78F1E9AA">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三、获取招标文件时间及地点</w:t>
      </w:r>
    </w:p>
    <w:p w14:paraId="53D07FA8">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1.获取时间：</w:t>
      </w:r>
      <w:r>
        <w:rPr>
          <w:rFonts w:hint="eastAsia" w:ascii="仿宋" w:hAnsi="仿宋" w:eastAsia="仿宋" w:cs="仿宋"/>
          <w:color w:val="auto"/>
          <w:sz w:val="28"/>
          <w:szCs w:val="28"/>
          <w:highlight w:val="none"/>
          <w:lang w:eastAsia="zh-CN"/>
        </w:rPr>
        <w:t>2026年9月10日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2026年9月17日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分（北京时间）</w:t>
      </w:r>
      <w:r>
        <w:rPr>
          <w:rFonts w:hint="eastAsia" w:ascii="仿宋" w:hAnsi="仿宋" w:eastAsia="仿宋" w:cs="仿宋"/>
          <w:color w:val="auto"/>
          <w:sz w:val="28"/>
          <w:szCs w:val="28"/>
          <w:highlight w:val="none"/>
          <w:lang w:eastAsia="zh-CN"/>
        </w:rPr>
        <w:t>。</w:t>
      </w:r>
    </w:p>
    <w:p w14:paraId="260CB5D1">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获取地点：登录“威海市公共资源交易网”首页右侧“交易服务一网通办-（新版）一网通办系统”进行“平台切换”，点击“国企采购”进入国企阳光采购平台获取文件（网址：http://ggzyjy.weihai.cn/）。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2026312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7A45331C">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四、投标文件提交</w:t>
      </w:r>
    </w:p>
    <w:p w14:paraId="447EE8F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w:t>
      </w:r>
      <w:r>
        <w:rPr>
          <w:rFonts w:hint="eastAsia" w:ascii="仿宋" w:hAnsi="仿宋" w:eastAsia="仿宋" w:cs="仿宋"/>
          <w:color w:val="auto"/>
          <w:sz w:val="28"/>
          <w:szCs w:val="28"/>
          <w:highlight w:val="none"/>
          <w:lang w:eastAsia="zh-CN"/>
        </w:rPr>
        <w:t>2026年9月10日</w:t>
      </w:r>
      <w:r>
        <w:rPr>
          <w:rFonts w:hint="eastAsia" w:ascii="仿宋" w:hAnsi="仿宋" w:eastAsia="仿宋" w:cs="仿宋"/>
          <w:color w:val="auto"/>
          <w:sz w:val="28"/>
          <w:szCs w:val="28"/>
          <w:highlight w:val="none"/>
          <w:lang w:val="en-US" w:eastAsia="zh-CN"/>
        </w:rPr>
        <w:t>19</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2026年9月22日14时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19724C1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地点：登录“威海市公共资源交易网”首页右侧“交易服务一网通办-（新版）一网通办系统”进行“平台切换”，点击“国企采购”进入国企阳光采购平台进行提交。已在国企阳光采购平台获取文件的投标人在规定时间内提交电子投标文件。</w:t>
      </w:r>
    </w:p>
    <w:p w14:paraId="6F70794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val="en-US" w:eastAsia="zh-CN"/>
        </w:rPr>
      </w:pPr>
      <w:r>
        <w:rPr>
          <w:rFonts w:hint="eastAsia" w:ascii="黑体" w:hAnsi="黑体" w:eastAsia="黑体" w:cs="宋体"/>
          <w:color w:val="auto"/>
          <w:kern w:val="0"/>
          <w:sz w:val="28"/>
          <w:szCs w:val="28"/>
          <w:highlight w:val="none"/>
        </w:rPr>
        <w:t>五、开</w:t>
      </w:r>
      <w:r>
        <w:rPr>
          <w:rFonts w:hint="eastAsia" w:ascii="黑体" w:hAnsi="黑体" w:eastAsia="黑体" w:cs="宋体"/>
          <w:color w:val="auto"/>
          <w:kern w:val="0"/>
          <w:sz w:val="28"/>
          <w:szCs w:val="28"/>
          <w:highlight w:val="none"/>
          <w:lang w:val="en-US" w:eastAsia="zh-CN"/>
        </w:rPr>
        <w:t>标</w:t>
      </w:r>
    </w:p>
    <w:p w14:paraId="19108E5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lang w:eastAsia="zh-CN"/>
        </w:rPr>
        <w:t>2026年9月22日14时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0832065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交易</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lang w:eastAsia="zh-CN"/>
        </w:rPr>
        <w:t>厅（威海市环翠区塔山中路317号威海市政务服务中心四楼）。</w:t>
      </w:r>
    </w:p>
    <w:p w14:paraId="06D42A35">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六、其他补充事宜</w:t>
      </w:r>
    </w:p>
    <w:p w14:paraId="1AD765B0">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投标人提前熟悉交易系统（新版威海市国有企业阳光采购服务平台供应商用户手册网址：</w:t>
      </w:r>
      <w:r>
        <w:rPr>
          <w:rFonts w:hint="eastAsia" w:ascii="仿宋" w:hAnsi="仿宋" w:eastAsia="仿宋" w:cs="仿宋"/>
          <w:color w:val="auto"/>
          <w:sz w:val="28"/>
          <w:szCs w:val="28"/>
          <w:highlight w:val="none"/>
          <w:lang w:eastAsia="zh-CN"/>
        </w:rPr>
        <w:t>https://ggzyjy.weihai.cn/bszn/005005/20260109/eb4ba418-4b35-4f05-aa69-44fd7d8a7ffb.html</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通过交易系统线上参加开标活动。投标人应保持通讯畅通并提前在个人电脑上进行测试确保音频、视频功能、电子签章等功能可正常使用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否则一切后果由投标人自行承担。</w:t>
      </w:r>
    </w:p>
    <w:p w14:paraId="0FB46FF8">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七、对本次招标提出询问</w:t>
      </w:r>
      <w:r>
        <w:rPr>
          <w:rFonts w:hint="eastAsia" w:ascii="黑体" w:hAnsi="黑体" w:eastAsia="黑体" w:cs="宋体"/>
          <w:color w:val="auto"/>
          <w:kern w:val="0"/>
          <w:sz w:val="28"/>
          <w:szCs w:val="28"/>
          <w:highlight w:val="none"/>
          <w:lang w:eastAsia="zh-CN"/>
        </w:rPr>
        <w:t>，</w:t>
      </w:r>
      <w:r>
        <w:rPr>
          <w:rFonts w:hint="eastAsia" w:ascii="黑体" w:hAnsi="黑体" w:eastAsia="黑体" w:cs="宋体"/>
          <w:color w:val="auto"/>
          <w:kern w:val="0"/>
          <w:sz w:val="28"/>
          <w:szCs w:val="28"/>
          <w:highlight w:val="none"/>
        </w:rPr>
        <w:t>请按以下方式联系。</w:t>
      </w:r>
    </w:p>
    <w:p w14:paraId="259A9F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142888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称：威海粮油发展有限公司</w:t>
      </w:r>
    </w:p>
    <w:p w14:paraId="706FD8B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址：山东省威海市临港经济技术开发区汪疃镇威浩路3号</w:t>
      </w:r>
    </w:p>
    <w:p w14:paraId="0DA4D3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联系人：宋贝贝</w:t>
      </w:r>
    </w:p>
    <w:p w14:paraId="689C67ED">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联系方式：0631-8561801</w:t>
      </w:r>
    </w:p>
    <w:p w14:paraId="3D3BB0C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728577F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称：山东志诚工程咨询管理有限公司</w:t>
      </w:r>
    </w:p>
    <w:p w14:paraId="68BD3E7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址：威海经济技术开发区青岛中路-77A号长峰商业广场1211室</w:t>
      </w:r>
    </w:p>
    <w:p w14:paraId="120B07D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联系方式：0631-5188996</w:t>
      </w:r>
    </w:p>
    <w:p w14:paraId="027E653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537922F5">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项目联系人：张佳惠、赵洪斌</w:t>
      </w:r>
    </w:p>
    <w:p w14:paraId="2A334C6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电话：0631-5188996</w:t>
      </w:r>
    </w:p>
    <w:p w14:paraId="61F054A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八、发布公告的媒介</w:t>
      </w:r>
    </w:p>
    <w:p w14:paraId="7EAC995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本次公告在中国招标投标公共服务平台（www.cebpubservice.com）、威海市公共资源交易网（http://ggzyjy.weihai.cn/）同时发布，其它媒介转发无效。</w:t>
      </w:r>
    </w:p>
    <w:p w14:paraId="4CE210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549FAC9B">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山东志诚工程咨询管理有限公司</w:t>
      </w:r>
    </w:p>
    <w:p w14:paraId="6974ACA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w:t>
      </w:r>
      <w:r>
        <w:rPr>
          <w:rFonts w:hint="eastAsia" w:ascii="仿宋" w:hAnsi="仿宋" w:eastAsia="仿宋" w:cs="仿宋"/>
          <w:color w:val="auto"/>
          <w:sz w:val="28"/>
          <w:szCs w:val="28"/>
          <w:highlight w:val="none"/>
          <w:lang w:eastAsia="zh-CN"/>
        </w:rPr>
        <w:t>2026年9月10日</w:t>
      </w:r>
    </w:p>
    <w:p w14:paraId="670ADD4F">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sectPr>
          <w:pgSz w:w="11906" w:h="16838"/>
          <w:pgMar w:top="1440" w:right="1083" w:bottom="1440" w:left="1083" w:header="851" w:footer="992" w:gutter="0"/>
          <w:pgNumType w:fmt="decimal"/>
          <w:cols w:space="0" w:num="1"/>
          <w:rtlGutter w:val="0"/>
          <w:docGrid w:type="lines" w:linePitch="312" w:charSpace="0"/>
        </w:sectPr>
      </w:pPr>
    </w:p>
    <w:p w14:paraId="6EACF88F">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第二章  投标须知</w:t>
      </w:r>
    </w:p>
    <w:p w14:paraId="6429C4E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投标须知前附表</w:t>
      </w:r>
    </w:p>
    <w:p w14:paraId="06B7935A">
      <w:pPr>
        <w:shd w:val="clear"/>
        <w:spacing w:line="500" w:lineRule="exact"/>
        <w:ind w:firstLine="643" w:firstLineChars="201"/>
        <w:jc w:val="center"/>
        <w:rPr>
          <w:rFonts w:ascii="宋体" w:hAnsi="宋体"/>
          <w:color w:val="auto"/>
          <w:sz w:val="32"/>
          <w:szCs w:val="32"/>
          <w:highlight w:val="none"/>
        </w:rPr>
      </w:pPr>
    </w:p>
    <w:tbl>
      <w:tblPr>
        <w:tblStyle w:val="30"/>
        <w:tblW w:w="93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309"/>
      </w:tblGrid>
      <w:tr w14:paraId="75DF4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606C2E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331E44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309" w:type="dxa"/>
            <w:tcBorders>
              <w:top w:val="single" w:color="auto" w:sz="4" w:space="0"/>
              <w:left w:val="single" w:color="auto" w:sz="4" w:space="0"/>
              <w:bottom w:val="single" w:color="auto" w:sz="4" w:space="0"/>
            </w:tcBorders>
            <w:noWrap w:val="0"/>
            <w:vAlign w:val="center"/>
          </w:tcPr>
          <w:p w14:paraId="733BED1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41A3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4CEC06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E24C8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309" w:type="dxa"/>
            <w:tcBorders>
              <w:top w:val="single" w:color="auto" w:sz="4" w:space="0"/>
              <w:left w:val="single" w:color="auto" w:sz="4" w:space="0"/>
              <w:bottom w:val="single" w:color="auto" w:sz="4" w:space="0"/>
            </w:tcBorders>
            <w:noWrap w:val="0"/>
            <w:vAlign w:val="center"/>
          </w:tcPr>
          <w:p w14:paraId="357E62B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威海粮油发展有限公司常年法律顾问服务单位项目</w:t>
            </w:r>
          </w:p>
        </w:tc>
      </w:tr>
      <w:tr w14:paraId="68B5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17CEFED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F84E43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6309" w:type="dxa"/>
            <w:tcBorders>
              <w:top w:val="single" w:color="auto" w:sz="4" w:space="0"/>
              <w:left w:val="single" w:color="auto" w:sz="4" w:space="0"/>
              <w:bottom w:val="single" w:color="auto" w:sz="4" w:space="0"/>
            </w:tcBorders>
            <w:noWrap w:val="0"/>
            <w:vAlign w:val="center"/>
          </w:tcPr>
          <w:p w14:paraId="748FE8E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WHZCZB2026-096</w:t>
            </w:r>
          </w:p>
        </w:tc>
      </w:tr>
      <w:tr w14:paraId="35DAA9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471756F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C1C31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w:t>
            </w:r>
          </w:p>
        </w:tc>
        <w:tc>
          <w:tcPr>
            <w:tcW w:w="6309" w:type="dxa"/>
            <w:tcBorders>
              <w:top w:val="single" w:color="auto" w:sz="4" w:space="0"/>
              <w:left w:val="single" w:color="auto" w:sz="4" w:space="0"/>
              <w:bottom w:val="single" w:color="auto" w:sz="4" w:space="0"/>
            </w:tcBorders>
            <w:noWrap w:val="0"/>
            <w:vAlign w:val="center"/>
          </w:tcPr>
          <w:p w14:paraId="0DBCC78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威海粮油发展有限公司</w:t>
            </w:r>
          </w:p>
          <w:p w14:paraId="0D2332C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z w:val="28"/>
                <w:szCs w:val="28"/>
                <w:highlight w:val="none"/>
                <w:lang w:eastAsia="zh-CN"/>
              </w:rPr>
              <w:t>山东省威海市临港经济技术开发区汪疃镇威浩路3号</w:t>
            </w:r>
          </w:p>
          <w:p w14:paraId="5DB71B1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宋贝贝</w:t>
            </w:r>
          </w:p>
          <w:p w14:paraId="63EB19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电话</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0631-8561801</w:t>
            </w:r>
          </w:p>
        </w:tc>
      </w:tr>
      <w:tr w14:paraId="0937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676550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BC69F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采购代理机构</w:t>
            </w:r>
          </w:p>
        </w:tc>
        <w:tc>
          <w:tcPr>
            <w:tcW w:w="6309" w:type="dxa"/>
            <w:tcBorders>
              <w:top w:val="single" w:color="auto" w:sz="4" w:space="0"/>
              <w:left w:val="single" w:color="auto" w:sz="4" w:space="0"/>
              <w:bottom w:val="single" w:color="auto" w:sz="4" w:space="0"/>
            </w:tcBorders>
            <w:noWrap w:val="0"/>
            <w:vAlign w:val="center"/>
          </w:tcPr>
          <w:p w14:paraId="1E4AE17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山东志诚工程咨询管理有限公司</w:t>
            </w:r>
          </w:p>
          <w:p w14:paraId="48C4D8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pacing w:val="8"/>
                <w:kern w:val="0"/>
                <w:sz w:val="28"/>
                <w:szCs w:val="28"/>
                <w:highlight w:val="none"/>
                <w:lang w:eastAsia="zh-CN"/>
              </w:rPr>
              <w:t>威海经济技术开发区青岛中路-77A号长峰商业广场1211室</w:t>
            </w:r>
          </w:p>
          <w:p w14:paraId="1C93A5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张佳惠、赵洪斌</w:t>
            </w:r>
          </w:p>
          <w:p w14:paraId="52C47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7B94A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CDB37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34D57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24F823B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309" w:type="dxa"/>
            <w:tcBorders>
              <w:top w:val="single" w:color="auto" w:sz="4" w:space="0"/>
              <w:left w:val="single" w:color="auto" w:sz="4" w:space="0"/>
              <w:bottom w:val="single" w:color="auto" w:sz="4" w:space="0"/>
            </w:tcBorders>
            <w:noWrap w:val="0"/>
            <w:vAlign w:val="center"/>
          </w:tcPr>
          <w:p w14:paraId="58C0D04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首页右侧“交易服务一网通办-（新版）一网通办系统”进行注册，取得用户名和密码（已经完成注册无须重复注册）；首次注册投标人应及时办理安全证书（CA锁）及电子签章。本项目必须网上递交投标文件，参与本项目投标人应利用办理好的CA锁登录国企阳光采购平台进行招标文件的获取、文件下载和网上递交投标文件，且安全证书（CA锁）在有效期内。</w:t>
            </w:r>
          </w:p>
          <w:p w14:paraId="5BC19C1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登录“威海市公共资源交易网”首页右侧“交易服务一网通办-（新版）一网通办系统”进行“平台切换”，点击“国企采购”进入国企阳光采购平台，如跳转国企阳光采购平台时，提示用户不存在，可拨打技术支持电话（17863029936）咨询。</w:t>
            </w:r>
          </w:p>
          <w:p w14:paraId="164DFC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BC4CBD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D1BED1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FAEB91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val="en-US"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格式时，都必须对电子投标文件进行电子签章；签章时需要将电子签章签署到相应的位置中。</w:t>
            </w:r>
          </w:p>
          <w:p w14:paraId="7A9931D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74D1EA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8.除网上递交电子投标文件外，如有要求递交相关资质证明文件原件的，还须按其要求独立密封递交（被授权人身份证原件除外）。</w:t>
            </w:r>
          </w:p>
          <w:p w14:paraId="55BD6FB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9.投标人应充分考虑到网上递交投标文件会发生的故障和风险。对发生的任何故障和风险造成投标人报价内容不一致或利益受损或投标失败的，采购人及采购代理机构不承担任何责任。</w:t>
            </w:r>
          </w:p>
        </w:tc>
      </w:tr>
      <w:tr w14:paraId="786F2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4DBE95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ED38B0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309" w:type="dxa"/>
            <w:tcBorders>
              <w:top w:val="single" w:color="auto" w:sz="4" w:space="0"/>
              <w:left w:val="single" w:color="auto" w:sz="4" w:space="0"/>
              <w:bottom w:val="single" w:color="auto" w:sz="4" w:space="0"/>
            </w:tcBorders>
            <w:noWrap w:val="0"/>
            <w:vAlign w:val="center"/>
          </w:tcPr>
          <w:p w14:paraId="5F69F51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76289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4D4C5B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4A5809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309" w:type="dxa"/>
            <w:tcBorders>
              <w:top w:val="single" w:color="auto" w:sz="4" w:space="0"/>
              <w:left w:val="single" w:color="auto" w:sz="4" w:space="0"/>
              <w:bottom w:val="single" w:color="auto" w:sz="4" w:space="0"/>
            </w:tcBorders>
            <w:noWrap w:val="0"/>
            <w:vAlign w:val="center"/>
          </w:tcPr>
          <w:p w14:paraId="6F82FD43">
            <w:pPr>
              <w:keepNext w:val="0"/>
              <w:keepLines w:val="0"/>
              <w:pageBreakBefore w:val="0"/>
              <w:widowControl w:val="0"/>
              <w:shd w:val="clear"/>
              <w:kinsoku/>
              <w:wordWrap/>
              <w:overflowPunct/>
              <w:topLinePunct w:val="0"/>
              <w:autoSpaceDE/>
              <w:autoSpaceDN/>
              <w:bidi w:val="0"/>
              <w:adjustRightInd/>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网上按时递交电子投标文件1份以及纸质投标文件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p>
        </w:tc>
      </w:tr>
      <w:tr w14:paraId="1AB5B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130749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8A7ED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309" w:type="dxa"/>
            <w:tcBorders>
              <w:top w:val="single" w:color="auto" w:sz="4" w:space="0"/>
              <w:left w:val="single" w:color="auto" w:sz="4" w:space="0"/>
              <w:bottom w:val="single" w:color="auto" w:sz="4" w:space="0"/>
            </w:tcBorders>
            <w:noWrap w:val="0"/>
            <w:vAlign w:val="center"/>
          </w:tcPr>
          <w:p w14:paraId="786FC09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67E92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7E722D4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B0E2E3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309" w:type="dxa"/>
            <w:tcBorders>
              <w:top w:val="single" w:color="auto" w:sz="4" w:space="0"/>
              <w:left w:val="single" w:color="auto" w:sz="4" w:space="0"/>
              <w:bottom w:val="single" w:color="auto" w:sz="4" w:space="0"/>
            </w:tcBorders>
            <w:noWrap w:val="0"/>
            <w:vAlign w:val="center"/>
          </w:tcPr>
          <w:p w14:paraId="373AAD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A4D4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50EE9DE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FC2329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6309" w:type="dxa"/>
            <w:tcBorders>
              <w:top w:val="single" w:color="auto" w:sz="4" w:space="0"/>
              <w:left w:val="single" w:color="auto" w:sz="4" w:space="0"/>
              <w:bottom w:val="single" w:color="auto" w:sz="4" w:space="0"/>
            </w:tcBorders>
            <w:noWrap w:val="0"/>
            <w:vAlign w:val="center"/>
          </w:tcPr>
          <w:p w14:paraId="4E0C37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6640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71C69EE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824C6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309" w:type="dxa"/>
            <w:tcBorders>
              <w:top w:val="single" w:color="auto" w:sz="4" w:space="0"/>
              <w:left w:val="single" w:color="auto" w:sz="4" w:space="0"/>
              <w:bottom w:val="single" w:color="auto" w:sz="4" w:space="0"/>
            </w:tcBorders>
            <w:noWrap w:val="0"/>
            <w:vAlign w:val="center"/>
          </w:tcPr>
          <w:p w14:paraId="0E0912C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开标之日起90日</w:t>
            </w:r>
          </w:p>
        </w:tc>
      </w:tr>
      <w:tr w14:paraId="6C180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2B5C8B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900C8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6309" w:type="dxa"/>
            <w:tcBorders>
              <w:top w:val="single" w:color="auto" w:sz="4" w:space="0"/>
              <w:left w:val="single" w:color="auto" w:sz="4" w:space="0"/>
              <w:bottom w:val="single" w:color="auto" w:sz="4" w:space="0"/>
            </w:tcBorders>
            <w:noWrap w:val="0"/>
            <w:vAlign w:val="center"/>
          </w:tcPr>
          <w:p w14:paraId="70802FF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电子投标文件递交时间：</w:t>
            </w:r>
            <w:r>
              <w:rPr>
                <w:rFonts w:hint="eastAsia" w:ascii="仿宋" w:hAnsi="仿宋" w:eastAsia="仿宋" w:cs="仿宋"/>
                <w:color w:val="auto"/>
                <w:spacing w:val="8"/>
                <w:kern w:val="0"/>
                <w:sz w:val="28"/>
                <w:szCs w:val="28"/>
                <w:highlight w:val="none"/>
                <w:lang w:eastAsia="zh-CN"/>
              </w:rPr>
              <w:t>2026年9月10日</w:t>
            </w:r>
            <w:r>
              <w:rPr>
                <w:rFonts w:hint="eastAsia" w:ascii="仿宋" w:hAnsi="仿宋" w:eastAsia="仿宋" w:cs="仿宋"/>
                <w:color w:val="auto"/>
                <w:spacing w:val="8"/>
                <w:kern w:val="0"/>
                <w:sz w:val="28"/>
                <w:szCs w:val="28"/>
                <w:highlight w:val="none"/>
                <w:lang w:val="en-US" w:eastAsia="zh-CN"/>
              </w:rPr>
              <w:t>19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w:t>
            </w:r>
            <w:r>
              <w:rPr>
                <w:rFonts w:hint="eastAsia" w:ascii="仿宋" w:hAnsi="仿宋" w:eastAsia="仿宋" w:cs="仿宋"/>
                <w:color w:val="auto"/>
                <w:spacing w:val="8"/>
                <w:kern w:val="0"/>
                <w:sz w:val="28"/>
                <w:szCs w:val="28"/>
                <w:highlight w:val="none"/>
                <w:lang w:eastAsia="zh-CN"/>
              </w:rPr>
              <w:t>2026年9月22日14时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lang w:eastAsia="zh-CN"/>
              </w:rPr>
              <w:t>分</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具体显示时间为准）</w:t>
            </w:r>
            <w:r>
              <w:rPr>
                <w:rFonts w:hint="eastAsia" w:ascii="仿宋" w:hAnsi="仿宋" w:eastAsia="仿宋" w:cs="仿宋"/>
                <w:color w:val="auto"/>
                <w:sz w:val="28"/>
                <w:szCs w:val="28"/>
                <w:highlight w:val="none"/>
                <w:lang w:eastAsia="zh-CN"/>
              </w:rPr>
              <w:t>。</w:t>
            </w:r>
          </w:p>
          <w:p w14:paraId="5309DC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纸质投标文件递交：</w:t>
            </w:r>
          </w:p>
          <w:p w14:paraId="4C9D0C7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2.1投标人以邮寄的方式进行递交（收件人：</w:t>
            </w:r>
            <w:r>
              <w:rPr>
                <w:rFonts w:hint="eastAsia" w:ascii="仿宋" w:hAnsi="仿宋" w:eastAsia="仿宋" w:cs="仿宋"/>
                <w:color w:val="auto"/>
                <w:sz w:val="28"/>
                <w:szCs w:val="28"/>
                <w:highlight w:val="none"/>
                <w:lang w:eastAsia="zh-CN"/>
              </w:rPr>
              <w:t>张佳惠，</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0631-5188996，</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威海经济技术开发区青岛中路-77A号长峰商业广场1211室，山东志诚工程咨询管理有限公司</w:t>
            </w:r>
            <w:r>
              <w:rPr>
                <w:rFonts w:hint="eastAsia" w:ascii="仿宋" w:hAnsi="仿宋" w:eastAsia="仿宋" w:cs="仿宋"/>
                <w:color w:val="auto"/>
                <w:sz w:val="28"/>
                <w:szCs w:val="28"/>
                <w:highlight w:val="none"/>
              </w:rPr>
              <w:t>）。基于项目资料归档的要求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最迟邮寄到达时间为开标后三个工作日内。</w:t>
            </w:r>
          </w:p>
          <w:p w14:paraId="5C0EC7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2.2纸质投标文件（第一册、第二册</w:t>
            </w:r>
            <w:r>
              <w:rPr>
                <w:rFonts w:hint="eastAsia" w:ascii="仿宋" w:hAnsi="仿宋" w:eastAsia="仿宋" w:cs="仿宋"/>
                <w:color w:val="auto"/>
                <w:sz w:val="28"/>
                <w:szCs w:val="28"/>
                <w:highlight w:val="none"/>
                <w:lang w:val="en-US" w:eastAsia="zh-CN"/>
              </w:rPr>
              <w:t>装订</w:t>
            </w:r>
            <w:r>
              <w:rPr>
                <w:rFonts w:hint="eastAsia" w:ascii="仿宋" w:hAnsi="仿宋" w:eastAsia="仿宋" w:cs="仿宋"/>
                <w:color w:val="auto"/>
                <w:sz w:val="28"/>
                <w:szCs w:val="28"/>
                <w:highlight w:val="none"/>
              </w:rPr>
              <w:t>成一册）共</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将纸质投标文件密封在密封袋中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并在封口处粘贴封条。</w:t>
            </w:r>
          </w:p>
          <w:p w14:paraId="03FB9B8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2.3封套内容：</w:t>
            </w:r>
          </w:p>
          <w:p w14:paraId="0340287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山东志诚工程咨询管理有限公司</w:t>
            </w:r>
          </w:p>
          <w:p w14:paraId="23BB71D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威海粮油发展有限公司常年法律顾问服务单位项目</w:t>
            </w:r>
          </w:p>
          <w:p w14:paraId="1B5DF70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WHZCZB2026-096</w:t>
            </w:r>
          </w:p>
          <w:p w14:paraId="225CF22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投标单位：XXXXXX</w:t>
            </w:r>
          </w:p>
          <w:p w14:paraId="7FF69D9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注明“开标时才能启封”字样。</w:t>
            </w:r>
          </w:p>
        </w:tc>
      </w:tr>
      <w:tr w14:paraId="336F8B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3F834EA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9EFD6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309" w:type="dxa"/>
            <w:tcBorders>
              <w:top w:val="single" w:color="auto" w:sz="4" w:space="0"/>
              <w:left w:val="single" w:color="auto" w:sz="4" w:space="0"/>
              <w:bottom w:val="single" w:color="auto" w:sz="4" w:space="0"/>
            </w:tcBorders>
            <w:noWrap w:val="0"/>
            <w:vAlign w:val="center"/>
          </w:tcPr>
          <w:p w14:paraId="28634EB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2026年9月22日14时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p>
        </w:tc>
      </w:tr>
      <w:tr w14:paraId="6BAD0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3292705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B057DF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309" w:type="dxa"/>
            <w:tcBorders>
              <w:top w:val="single" w:color="auto" w:sz="4" w:space="0"/>
              <w:left w:val="single" w:color="auto" w:sz="4" w:space="0"/>
              <w:bottom w:val="single" w:color="auto" w:sz="4" w:space="0"/>
            </w:tcBorders>
            <w:noWrap w:val="0"/>
            <w:vAlign w:val="center"/>
          </w:tcPr>
          <w:p w14:paraId="14BEC0F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交易</w:t>
            </w:r>
            <w:r>
              <w:rPr>
                <w:rFonts w:hint="eastAsia" w:ascii="仿宋" w:hAnsi="仿宋" w:eastAsia="仿宋" w:cs="仿宋"/>
                <w:color w:val="auto"/>
                <w:spacing w:val="8"/>
                <w:kern w:val="0"/>
                <w:sz w:val="28"/>
                <w:szCs w:val="28"/>
                <w:highlight w:val="none"/>
                <w:lang w:val="en-US" w:eastAsia="zh-CN"/>
              </w:rPr>
              <w:t>七</w:t>
            </w:r>
            <w:r>
              <w:rPr>
                <w:rFonts w:hint="eastAsia" w:ascii="仿宋" w:hAnsi="仿宋" w:eastAsia="仿宋" w:cs="仿宋"/>
                <w:color w:val="auto"/>
                <w:spacing w:val="8"/>
                <w:kern w:val="0"/>
                <w:sz w:val="28"/>
                <w:szCs w:val="28"/>
                <w:highlight w:val="none"/>
                <w:lang w:eastAsia="zh-CN"/>
              </w:rPr>
              <w:t>厅（威海市环翠区塔山中路317号威海市政务服务中心四楼）</w:t>
            </w:r>
          </w:p>
        </w:tc>
      </w:tr>
      <w:tr w14:paraId="132E8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5DECD1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495DF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309" w:type="dxa"/>
            <w:tcBorders>
              <w:top w:val="single" w:color="auto" w:sz="4" w:space="0"/>
              <w:left w:val="single" w:color="auto" w:sz="4" w:space="0"/>
              <w:bottom w:val="single" w:color="auto" w:sz="4" w:space="0"/>
            </w:tcBorders>
            <w:noWrap w:val="0"/>
            <w:vAlign w:val="center"/>
          </w:tcPr>
          <w:p w14:paraId="5875E8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通过交易系统线上参加开标活动。开评标期间需实时关注交易系统相关通知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且被授权人的联络方式应保持畅通。</w:t>
            </w:r>
          </w:p>
        </w:tc>
      </w:tr>
      <w:tr w14:paraId="4453E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4FA466C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8F29F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309" w:type="dxa"/>
            <w:tcBorders>
              <w:top w:val="single" w:color="auto" w:sz="4" w:space="0"/>
              <w:left w:val="single" w:color="auto" w:sz="4" w:space="0"/>
              <w:bottom w:val="single" w:color="auto" w:sz="4" w:space="0"/>
            </w:tcBorders>
            <w:noWrap w:val="0"/>
            <w:vAlign w:val="center"/>
          </w:tcPr>
          <w:p w14:paraId="4AC1A37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签到时间：开标时间前完成</w:t>
            </w:r>
          </w:p>
          <w:p w14:paraId="3D98A9F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48F26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F6A412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241FF9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309" w:type="dxa"/>
            <w:tcBorders>
              <w:top w:val="single" w:color="auto" w:sz="4" w:space="0"/>
              <w:left w:val="single" w:color="auto" w:sz="4" w:space="0"/>
              <w:bottom w:val="single" w:color="auto" w:sz="4" w:space="0"/>
            </w:tcBorders>
            <w:noWrap w:val="0"/>
            <w:vAlign w:val="center"/>
          </w:tcPr>
          <w:p w14:paraId="491942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70C65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CA2C4D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519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309" w:type="dxa"/>
            <w:tcBorders>
              <w:top w:val="single" w:color="auto" w:sz="4" w:space="0"/>
              <w:left w:val="single" w:color="auto" w:sz="4" w:space="0"/>
              <w:bottom w:val="single" w:color="auto" w:sz="4" w:space="0"/>
            </w:tcBorders>
            <w:noWrap w:val="0"/>
            <w:vAlign w:val="center"/>
          </w:tcPr>
          <w:p w14:paraId="0A6365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68891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8C71B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A453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309" w:type="dxa"/>
            <w:tcBorders>
              <w:top w:val="single" w:color="auto" w:sz="4" w:space="0"/>
              <w:left w:val="single" w:color="auto" w:sz="4" w:space="0"/>
              <w:bottom w:val="single" w:color="auto" w:sz="4" w:space="0"/>
            </w:tcBorders>
            <w:noWrap w:val="0"/>
            <w:vAlign w:val="center"/>
          </w:tcPr>
          <w:p w14:paraId="40C8E4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35D75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61A42D0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41AC0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309" w:type="dxa"/>
            <w:tcBorders>
              <w:top w:val="single" w:color="auto" w:sz="4" w:space="0"/>
              <w:left w:val="single" w:color="auto" w:sz="4" w:space="0"/>
              <w:bottom w:val="single" w:color="auto" w:sz="4" w:space="0"/>
            </w:tcBorders>
            <w:noWrap w:val="0"/>
            <w:vAlign w:val="center"/>
          </w:tcPr>
          <w:p w14:paraId="1A0159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5A032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7129926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20F4EC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309" w:type="dxa"/>
            <w:tcBorders>
              <w:top w:val="single" w:color="auto" w:sz="4" w:space="0"/>
              <w:left w:val="single" w:color="auto" w:sz="4" w:space="0"/>
              <w:bottom w:val="single" w:color="auto" w:sz="4" w:space="0"/>
            </w:tcBorders>
            <w:noWrap w:val="0"/>
            <w:vAlign w:val="center"/>
          </w:tcPr>
          <w:p w14:paraId="33CCAD3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3E6BA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54A787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650DE0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309" w:type="dxa"/>
            <w:tcBorders>
              <w:top w:val="single" w:color="auto" w:sz="4" w:space="0"/>
              <w:left w:val="single" w:color="auto" w:sz="4" w:space="0"/>
              <w:bottom w:val="single" w:color="auto" w:sz="4" w:space="0"/>
            </w:tcBorders>
            <w:noWrap w:val="0"/>
            <w:vAlign w:val="center"/>
          </w:tcPr>
          <w:p w14:paraId="4BCF4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按年支付。乙方开具税率为6%的增值税专用发票，甲方在收到合规发票后30个工作日内支付第一年服务费；后续每下一年度服务费于上一年服务期满前30个工作日内支付。</w:t>
            </w:r>
          </w:p>
        </w:tc>
      </w:tr>
      <w:tr w14:paraId="19E27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2756D2E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A8F0E3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服务期</w:t>
            </w:r>
          </w:p>
        </w:tc>
        <w:tc>
          <w:tcPr>
            <w:tcW w:w="6309" w:type="dxa"/>
            <w:tcBorders>
              <w:top w:val="single" w:color="auto" w:sz="4" w:space="0"/>
              <w:left w:val="single" w:color="auto" w:sz="4" w:space="0"/>
              <w:bottom w:val="single" w:color="auto" w:sz="4" w:space="0"/>
            </w:tcBorders>
            <w:noWrap w:val="0"/>
            <w:vAlign w:val="center"/>
          </w:tcPr>
          <w:p w14:paraId="71587BA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3年。双方若无异议，合同期满自动延续1年，总服务期不超过4年。</w:t>
            </w:r>
          </w:p>
        </w:tc>
      </w:tr>
      <w:tr w14:paraId="56311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0"/>
            <w:vAlign w:val="center"/>
          </w:tcPr>
          <w:p w14:paraId="45FA310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DE85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w:t>
            </w:r>
          </w:p>
        </w:tc>
        <w:tc>
          <w:tcPr>
            <w:tcW w:w="6309" w:type="dxa"/>
            <w:tcBorders>
              <w:top w:val="single" w:color="auto" w:sz="4" w:space="0"/>
              <w:left w:val="single" w:color="auto" w:sz="4" w:space="0"/>
              <w:bottom w:val="single" w:color="auto" w:sz="4" w:space="0"/>
            </w:tcBorders>
            <w:noWrap w:val="0"/>
            <w:vAlign w:val="center"/>
          </w:tcPr>
          <w:p w14:paraId="61BAC87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自筹</w:t>
            </w:r>
            <w:r>
              <w:rPr>
                <w:rFonts w:hint="eastAsia" w:ascii="仿宋" w:hAnsi="仿宋" w:eastAsia="仿宋" w:cs="仿宋"/>
                <w:color w:val="auto"/>
                <w:sz w:val="28"/>
                <w:szCs w:val="28"/>
                <w:highlight w:val="none"/>
              </w:rPr>
              <w:t>资金</w:t>
            </w:r>
          </w:p>
        </w:tc>
      </w:tr>
      <w:tr w14:paraId="606EA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0"/>
            <w:vAlign w:val="center"/>
          </w:tcPr>
          <w:p w14:paraId="724B28D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9323D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309" w:type="dxa"/>
            <w:tcBorders>
              <w:top w:val="single" w:color="auto" w:sz="4" w:space="0"/>
              <w:left w:val="single" w:color="auto" w:sz="4" w:space="0"/>
              <w:bottom w:val="single" w:color="auto" w:sz="4" w:space="0"/>
            </w:tcBorders>
            <w:noWrap w:val="0"/>
            <w:vAlign w:val="center"/>
          </w:tcPr>
          <w:p w14:paraId="7950C41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1EB19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272115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1013A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309" w:type="dxa"/>
            <w:tcBorders>
              <w:top w:val="single" w:color="auto" w:sz="4" w:space="0"/>
              <w:left w:val="single" w:color="auto" w:sz="4" w:space="0"/>
              <w:bottom w:val="single" w:color="auto" w:sz="4" w:space="0"/>
            </w:tcBorders>
            <w:noWrap w:val="0"/>
            <w:vAlign w:val="center"/>
          </w:tcPr>
          <w:p w14:paraId="03655F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w:t>
            </w:r>
            <w:r>
              <w:rPr>
                <w:rFonts w:hint="eastAsia" w:ascii="仿宋" w:hAnsi="仿宋" w:eastAsia="仿宋" w:cs="仿宋"/>
                <w:b/>
                <w:bCs/>
                <w:color w:val="auto"/>
                <w:sz w:val="28"/>
                <w:szCs w:val="28"/>
                <w:highlight w:val="none"/>
                <w:lang w:eastAsia="zh-CN"/>
              </w:rPr>
              <w:t>服务类</w:t>
            </w:r>
            <w:r>
              <w:rPr>
                <w:rFonts w:hint="eastAsia" w:ascii="仿宋" w:hAnsi="仿宋" w:eastAsia="仿宋" w:cs="仿宋"/>
                <w:color w:val="auto"/>
                <w:sz w:val="28"/>
                <w:szCs w:val="28"/>
                <w:highlight w:val="none"/>
              </w:rPr>
              <w:t>以公开</w:t>
            </w:r>
            <w:r>
              <w:rPr>
                <w:rFonts w:hint="eastAsia" w:ascii="仿宋" w:hAnsi="仿宋" w:eastAsia="仿宋" w:cs="仿宋"/>
                <w:color w:val="auto"/>
                <w:sz w:val="28"/>
                <w:szCs w:val="28"/>
                <w:highlight w:val="none"/>
                <w:lang w:eastAsia="zh-CN"/>
              </w:rPr>
              <w:t>招标方式</w:t>
            </w:r>
            <w:r>
              <w:rPr>
                <w:rFonts w:hint="eastAsia" w:ascii="仿宋" w:hAnsi="仿宋" w:eastAsia="仿宋" w:cs="仿宋"/>
                <w:color w:val="auto"/>
                <w:sz w:val="28"/>
                <w:szCs w:val="28"/>
                <w:highlight w:val="none"/>
              </w:rPr>
              <w:t>实施采购</w:t>
            </w:r>
          </w:p>
        </w:tc>
      </w:tr>
      <w:tr w14:paraId="75A03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9033E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C4A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309" w:type="dxa"/>
            <w:tcBorders>
              <w:top w:val="single" w:color="auto" w:sz="4" w:space="0"/>
              <w:left w:val="single" w:color="auto" w:sz="4" w:space="0"/>
              <w:bottom w:val="single" w:color="auto" w:sz="4" w:space="0"/>
            </w:tcBorders>
            <w:noWrap w:val="0"/>
            <w:vAlign w:val="center"/>
          </w:tcPr>
          <w:p w14:paraId="14FE101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本项目代理服务费参照原国家发展计划委员会规定标准（《招标代理服务收费管理暂行办法》计价格［2002］1980号）的60%收取，单个项目低于2000元，按2000元收取</w:t>
            </w:r>
            <w:r>
              <w:rPr>
                <w:rFonts w:hint="eastAsia" w:ascii="仿宋" w:hAnsi="仿宋" w:eastAsia="仿宋" w:cs="仿宋"/>
                <w:color w:val="auto"/>
                <w:sz w:val="28"/>
                <w:szCs w:val="28"/>
                <w:highlight w:val="none"/>
              </w:rPr>
              <w:t>。</w:t>
            </w:r>
          </w:p>
          <w:p w14:paraId="56F62E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交费时间及交费方式：</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rPr>
              <w:t>以电汇或现金形式缴纳。</w:t>
            </w:r>
          </w:p>
          <w:p w14:paraId="2F4845D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开户名称：山东志诚工程咨询管理有限公司威海分公司</w:t>
            </w:r>
          </w:p>
          <w:p w14:paraId="71D73D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开户银行：中国建设银行荣成支行</w:t>
            </w:r>
          </w:p>
          <w:p w14:paraId="43872AB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银行账号：37001706608050154211</w:t>
            </w:r>
          </w:p>
          <w:p w14:paraId="4259E2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（备注：项目编号+服务费）</w:t>
            </w:r>
          </w:p>
          <w:p w14:paraId="2764A3A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601647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08E57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62BAC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w:t>
            </w:r>
          </w:p>
        </w:tc>
        <w:tc>
          <w:tcPr>
            <w:tcW w:w="6309" w:type="dxa"/>
            <w:tcBorders>
              <w:top w:val="single" w:color="auto" w:sz="4" w:space="0"/>
              <w:left w:val="single" w:color="auto" w:sz="4" w:space="0"/>
              <w:bottom w:val="single" w:color="auto" w:sz="4" w:space="0"/>
            </w:tcBorders>
            <w:noWrap w:val="0"/>
            <w:vAlign w:val="center"/>
          </w:tcPr>
          <w:p w14:paraId="3366FC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评审劳务费由</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在收到中标通知书前</w:t>
            </w:r>
            <w:r>
              <w:rPr>
                <w:rFonts w:hint="eastAsia" w:ascii="仿宋" w:hAnsi="仿宋" w:eastAsia="仿宋" w:cs="仿宋"/>
                <w:color w:val="auto"/>
                <w:sz w:val="28"/>
                <w:szCs w:val="28"/>
                <w:highlight w:val="none"/>
                <w:lang w:val="en-US" w:eastAsia="zh-CN"/>
              </w:rPr>
              <w:t>按实</w:t>
            </w:r>
            <w:r>
              <w:rPr>
                <w:rFonts w:hint="eastAsia" w:ascii="仿宋" w:hAnsi="仿宋" w:eastAsia="仿宋" w:cs="仿宋"/>
                <w:color w:val="auto"/>
                <w:sz w:val="28"/>
                <w:szCs w:val="28"/>
                <w:highlight w:val="none"/>
              </w:rPr>
              <w:t>缴纳。</w:t>
            </w:r>
          </w:p>
        </w:tc>
      </w:tr>
      <w:tr w14:paraId="15221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B9C65D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8B67C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309" w:type="dxa"/>
            <w:tcBorders>
              <w:top w:val="single" w:color="auto" w:sz="4" w:space="0"/>
              <w:left w:val="single" w:color="auto" w:sz="4" w:space="0"/>
              <w:bottom w:val="single" w:color="auto" w:sz="4" w:space="0"/>
            </w:tcBorders>
            <w:noWrap w:val="0"/>
            <w:vAlign w:val="center"/>
          </w:tcPr>
          <w:p w14:paraId="2387A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4A84A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2E178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41008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失信被执行人查询路径</w:t>
            </w:r>
          </w:p>
        </w:tc>
        <w:tc>
          <w:tcPr>
            <w:tcW w:w="6309" w:type="dxa"/>
            <w:tcBorders>
              <w:top w:val="single" w:color="auto" w:sz="4" w:space="0"/>
              <w:left w:val="single" w:color="auto" w:sz="4" w:space="0"/>
              <w:bottom w:val="single" w:color="auto" w:sz="4" w:space="0"/>
            </w:tcBorders>
            <w:noWrap w:val="0"/>
            <w:vAlign w:val="center"/>
          </w:tcPr>
          <w:p w14:paraId="5AE3704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有反馈结果后，保存。</w:t>
            </w:r>
          </w:p>
          <w:p w14:paraId="1F7EE07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有反馈结果后，保存。</w:t>
            </w:r>
          </w:p>
          <w:p w14:paraId="7B18F7A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注：以上2个查询路径任选其一即可。</w:t>
            </w:r>
          </w:p>
        </w:tc>
      </w:tr>
    </w:tbl>
    <w:p w14:paraId="7B8D4A82">
      <w:pPr>
        <w:shd w:val="clear"/>
        <w:spacing w:line="560" w:lineRule="exact"/>
        <w:ind w:firstLine="643" w:firstLineChars="201"/>
        <w:jc w:val="center"/>
        <w:rPr>
          <w:rFonts w:eastAsia="黑体"/>
          <w:color w:val="auto"/>
          <w:sz w:val="32"/>
          <w:szCs w:val="32"/>
          <w:highlight w:val="none"/>
        </w:rPr>
      </w:pPr>
    </w:p>
    <w:p w14:paraId="172F3724">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eastAsia="黑体"/>
          <w:color w:val="auto"/>
          <w:sz w:val="32"/>
          <w:szCs w:val="32"/>
          <w:highlight w:val="none"/>
        </w:rPr>
      </w:pPr>
      <w:r>
        <w:rPr>
          <w:rFonts w:hint="eastAsia" w:eastAsia="黑体"/>
          <w:color w:val="auto"/>
          <w:sz w:val="32"/>
          <w:szCs w:val="32"/>
          <w:highlight w:val="none"/>
        </w:rPr>
        <w:t>《实质性条款一览表》</w:t>
      </w:r>
    </w:p>
    <w:p w14:paraId="5A483F2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否则投标将被否决。</w:t>
      </w:r>
    </w:p>
    <w:tbl>
      <w:tblPr>
        <w:tblStyle w:val="30"/>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8"/>
        <w:gridCol w:w="2156"/>
        <w:gridCol w:w="6888"/>
      </w:tblGrid>
      <w:tr w14:paraId="4C02D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1F67595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0839CB76">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3459" w:type="pct"/>
            <w:tcBorders>
              <w:top w:val="single" w:color="auto" w:sz="4" w:space="0"/>
              <w:left w:val="single" w:color="auto" w:sz="4" w:space="0"/>
              <w:bottom w:val="single" w:color="auto" w:sz="4" w:space="0"/>
            </w:tcBorders>
            <w:noWrap w:val="0"/>
            <w:vAlign w:val="center"/>
          </w:tcPr>
          <w:p w14:paraId="296FA27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3859F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44F271A7">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37B7BF9">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3459" w:type="pct"/>
            <w:tcBorders>
              <w:top w:val="single" w:color="auto" w:sz="4" w:space="0"/>
              <w:left w:val="single" w:color="auto" w:sz="4" w:space="0"/>
              <w:bottom w:val="single" w:color="auto" w:sz="4" w:space="0"/>
            </w:tcBorders>
            <w:noWrap w:val="0"/>
            <w:vAlign w:val="center"/>
          </w:tcPr>
          <w:p w14:paraId="0CC9771B">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有效的</w:t>
            </w:r>
            <w:r>
              <w:rPr>
                <w:rFonts w:hint="eastAsia" w:ascii="仿宋" w:hAnsi="仿宋" w:eastAsia="仿宋" w:cs="仿宋"/>
                <w:color w:val="auto"/>
                <w:spacing w:val="8"/>
                <w:kern w:val="0"/>
                <w:sz w:val="28"/>
                <w:szCs w:val="28"/>
                <w:highlight w:val="none"/>
                <w:lang w:eastAsia="zh-CN"/>
              </w:rPr>
              <w:t>年度考核合格的《律师事务所执业许可证》或《律师事务所分所执业许可证》</w:t>
            </w:r>
            <w:r>
              <w:rPr>
                <w:rFonts w:hint="eastAsia" w:ascii="仿宋" w:hAnsi="仿宋" w:eastAsia="仿宋" w:cs="仿宋"/>
                <w:color w:val="auto"/>
                <w:spacing w:val="8"/>
                <w:kern w:val="0"/>
                <w:sz w:val="28"/>
                <w:szCs w:val="28"/>
                <w:highlight w:val="none"/>
                <w:lang w:val="en-US" w:eastAsia="zh-CN"/>
              </w:rPr>
              <w:t>扫描件或其他能证明具有独立承担民事责任的能力的证明材料扫描件；分所参与投标的，须提供总所授权且每个总所只能有一个分所参与投标</w:t>
            </w:r>
            <w:r>
              <w:rPr>
                <w:rFonts w:hint="eastAsia" w:ascii="仿宋" w:hAnsi="仿宋" w:eastAsia="仿宋" w:cs="仿宋"/>
                <w:color w:val="auto"/>
                <w:spacing w:val="8"/>
                <w:kern w:val="0"/>
                <w:sz w:val="28"/>
                <w:szCs w:val="28"/>
                <w:highlight w:val="none"/>
              </w:rPr>
              <w:t>；</w:t>
            </w:r>
          </w:p>
          <w:p w14:paraId="3203FEF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2.法定代表人/单位负责人</w:t>
            </w:r>
            <w:r>
              <w:rPr>
                <w:rFonts w:hint="eastAsia" w:ascii="仿宋" w:hAnsi="仿宋" w:eastAsia="仿宋" w:cs="仿宋"/>
                <w:color w:val="auto"/>
                <w:spacing w:val="8"/>
                <w:kern w:val="0"/>
                <w:sz w:val="28"/>
                <w:szCs w:val="28"/>
                <w:highlight w:val="none"/>
                <w:lang w:val="en-US" w:eastAsia="zh-CN"/>
              </w:rPr>
              <w:t>身份证明书（固定格式）；</w:t>
            </w:r>
          </w:p>
          <w:p w14:paraId="3D35963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法人授权委托书</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、被授权人身份证扫描件；若投标单位代表为企业法定代表人/单位负责人的</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则只需提供企业法定代表人/单位负责人身份证扫描件</w:t>
            </w:r>
            <w:r>
              <w:rPr>
                <w:rFonts w:hint="eastAsia" w:ascii="仿宋" w:hAnsi="仿宋" w:eastAsia="仿宋" w:cs="仿宋"/>
                <w:color w:val="auto"/>
                <w:spacing w:val="8"/>
                <w:kern w:val="0"/>
                <w:sz w:val="28"/>
                <w:szCs w:val="28"/>
                <w:highlight w:val="none"/>
                <w:lang w:eastAsia="zh-CN"/>
              </w:rPr>
              <w:t>（加盖投标单位公章）</w:t>
            </w:r>
            <w:r>
              <w:rPr>
                <w:rFonts w:hint="eastAsia" w:ascii="仿宋" w:hAnsi="仿宋" w:eastAsia="仿宋" w:cs="仿宋"/>
                <w:color w:val="auto"/>
                <w:spacing w:val="8"/>
                <w:kern w:val="0"/>
                <w:sz w:val="28"/>
                <w:szCs w:val="28"/>
                <w:highlight w:val="none"/>
              </w:rPr>
              <w:t>；</w:t>
            </w:r>
          </w:p>
          <w:p w14:paraId="2110F9A7">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.投标人具有良好的商业信誉和健全的财务会计制度</w:t>
            </w:r>
            <w:r>
              <w:rPr>
                <w:rFonts w:hint="eastAsia" w:ascii="仿宋" w:hAnsi="仿宋" w:eastAsia="仿宋" w:cs="仿宋"/>
                <w:color w:val="auto"/>
                <w:spacing w:val="8"/>
                <w:kern w:val="0"/>
                <w:sz w:val="28"/>
                <w:szCs w:val="28"/>
                <w:highlight w:val="none"/>
                <w:lang w:val="en-US" w:eastAsia="zh-CN"/>
              </w:rPr>
              <w:t>声明（固定格式）；</w:t>
            </w:r>
          </w:p>
          <w:p w14:paraId="4AEC168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5.投标人具有履行合同所必需的设备和专业技术能力声明（固定格式）；</w:t>
            </w:r>
          </w:p>
          <w:p w14:paraId="1991561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6.投标人的依法缴纳税收和社会保障资金的</w:t>
            </w:r>
            <w:r>
              <w:rPr>
                <w:rFonts w:hint="eastAsia" w:ascii="仿宋" w:hAnsi="仿宋" w:eastAsia="仿宋" w:cs="仿宋"/>
                <w:color w:val="auto"/>
                <w:spacing w:val="8"/>
                <w:kern w:val="0"/>
                <w:sz w:val="28"/>
                <w:szCs w:val="28"/>
                <w:highlight w:val="none"/>
              </w:rPr>
              <w:t>声明（固定格式）及</w:t>
            </w:r>
            <w:r>
              <w:rPr>
                <w:rFonts w:hint="eastAsia" w:ascii="仿宋" w:hAnsi="仿宋" w:eastAsia="仿宋" w:cs="仿宋"/>
                <w:color w:val="auto"/>
                <w:spacing w:val="8"/>
                <w:kern w:val="0"/>
                <w:sz w:val="28"/>
                <w:szCs w:val="28"/>
                <w:highlight w:val="none"/>
                <w:lang w:eastAsia="zh-CN"/>
              </w:rPr>
              <w:t>开标前6个月内任意月份的依法缴纳税收和社会保障资金</w:t>
            </w:r>
            <w:r>
              <w:rPr>
                <w:rFonts w:hint="eastAsia" w:ascii="仿宋" w:hAnsi="仿宋" w:eastAsia="仿宋" w:cs="仿宋"/>
                <w:color w:val="auto"/>
                <w:spacing w:val="8"/>
                <w:kern w:val="0"/>
                <w:sz w:val="28"/>
                <w:szCs w:val="28"/>
                <w:highlight w:val="none"/>
              </w:rPr>
              <w:t>的证明材料</w:t>
            </w:r>
            <w:r>
              <w:rPr>
                <w:rFonts w:hint="eastAsia" w:ascii="仿宋" w:hAnsi="仿宋" w:eastAsia="仿宋" w:cs="仿宋"/>
                <w:color w:val="auto"/>
                <w:spacing w:val="8"/>
                <w:kern w:val="0"/>
                <w:sz w:val="28"/>
                <w:szCs w:val="28"/>
                <w:highlight w:val="none"/>
                <w:lang w:eastAsia="zh-CN"/>
              </w:rPr>
              <w:t>；</w:t>
            </w:r>
          </w:p>
          <w:p w14:paraId="4170E51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.无重大违法记录</w:t>
            </w:r>
            <w:r>
              <w:rPr>
                <w:rFonts w:hint="eastAsia" w:ascii="仿宋" w:hAnsi="仿宋" w:eastAsia="仿宋" w:cs="仿宋"/>
                <w:color w:val="auto"/>
                <w:spacing w:val="8"/>
                <w:kern w:val="0"/>
                <w:sz w:val="28"/>
                <w:szCs w:val="28"/>
                <w:highlight w:val="none"/>
                <w:lang w:val="en-US" w:eastAsia="zh-CN"/>
              </w:rPr>
              <w:t>等</w:t>
            </w:r>
            <w:r>
              <w:rPr>
                <w:rFonts w:hint="eastAsia" w:ascii="仿宋" w:hAnsi="仿宋" w:eastAsia="仿宋" w:cs="仿宋"/>
                <w:color w:val="auto"/>
                <w:spacing w:val="8"/>
                <w:kern w:val="0"/>
                <w:sz w:val="28"/>
                <w:szCs w:val="28"/>
                <w:highlight w:val="none"/>
              </w:rPr>
              <w:t>声明</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w:t>
            </w:r>
          </w:p>
          <w:p w14:paraId="6E6ECD30">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投标人及其法定代表人/单位负责人、被授权人、项目负责人未被最高人民法院列为失信被执行人网站查询结果截图</w:t>
            </w:r>
            <w:r>
              <w:rPr>
                <w:rFonts w:hint="eastAsia" w:ascii="仿宋" w:hAnsi="仿宋" w:eastAsia="仿宋" w:cs="仿宋"/>
                <w:color w:val="auto"/>
                <w:sz w:val="28"/>
                <w:szCs w:val="28"/>
                <w:highlight w:val="none"/>
                <w:lang w:eastAsia="zh-CN"/>
              </w:rPr>
              <w:t>（查询路径</w:t>
            </w:r>
            <w:r>
              <w:rPr>
                <w:rFonts w:hint="eastAsia" w:ascii="仿宋" w:hAnsi="仿宋" w:eastAsia="仿宋" w:cs="仿宋"/>
                <w:color w:val="auto"/>
                <w:sz w:val="28"/>
                <w:szCs w:val="28"/>
                <w:highlight w:val="none"/>
                <w:lang w:val="en-US" w:eastAsia="zh-CN"/>
              </w:rPr>
              <w:t>见投标须知前附表）</w:t>
            </w:r>
            <w:r>
              <w:rPr>
                <w:rFonts w:hint="eastAsia" w:ascii="仿宋" w:hAnsi="仿宋" w:eastAsia="仿宋" w:cs="仿宋"/>
                <w:color w:val="auto"/>
                <w:spacing w:val="8"/>
                <w:kern w:val="0"/>
                <w:sz w:val="28"/>
                <w:szCs w:val="28"/>
                <w:highlight w:val="none"/>
              </w:rPr>
              <w:t>；</w:t>
            </w:r>
          </w:p>
          <w:p w14:paraId="22BD6AC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.投标人近一年在“信用中国”或“信用中国（山东）”无严重失信记录</w:t>
            </w:r>
            <w:r>
              <w:rPr>
                <w:rFonts w:hint="eastAsia" w:ascii="仿宋" w:hAnsi="仿宋" w:eastAsia="仿宋" w:cs="仿宋"/>
                <w:color w:val="auto"/>
                <w:spacing w:val="8"/>
                <w:kern w:val="0"/>
                <w:sz w:val="28"/>
                <w:szCs w:val="28"/>
                <w:highlight w:val="none"/>
                <w:lang w:eastAsia="zh-CN"/>
              </w:rPr>
              <w:t>声明（固定格式）</w:t>
            </w:r>
            <w:r>
              <w:rPr>
                <w:rFonts w:hint="eastAsia" w:ascii="仿宋" w:hAnsi="仿宋" w:eastAsia="仿宋" w:cs="仿宋"/>
                <w:color w:val="auto"/>
                <w:spacing w:val="8"/>
                <w:kern w:val="0"/>
                <w:sz w:val="28"/>
                <w:szCs w:val="28"/>
                <w:highlight w:val="none"/>
              </w:rPr>
              <w:t>；</w:t>
            </w:r>
          </w:p>
          <w:p w14:paraId="5ED70FE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本项目不接受联合体投标；</w:t>
            </w:r>
          </w:p>
          <w:p w14:paraId="5BBEA82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1</w:t>
            </w:r>
            <w:r>
              <w:rPr>
                <w:rFonts w:hint="eastAsia" w:ascii="仿宋" w:hAnsi="仿宋" w:eastAsia="仿宋" w:cs="仿宋"/>
                <w:color w:val="auto"/>
                <w:spacing w:val="8"/>
                <w:kern w:val="0"/>
                <w:sz w:val="28"/>
                <w:szCs w:val="28"/>
                <w:highlight w:val="none"/>
              </w:rPr>
              <w:t>.不存在招标文件24.1条规定的资格审查不通过的情形。</w:t>
            </w:r>
          </w:p>
        </w:tc>
      </w:tr>
      <w:tr w14:paraId="2684C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456" w:type="pct"/>
            <w:tcBorders>
              <w:top w:val="single" w:color="auto" w:sz="4" w:space="0"/>
              <w:bottom w:val="single" w:color="auto" w:sz="4" w:space="0"/>
              <w:right w:val="single" w:color="auto" w:sz="4" w:space="0"/>
            </w:tcBorders>
            <w:noWrap w:val="0"/>
            <w:vAlign w:val="center"/>
          </w:tcPr>
          <w:p w14:paraId="0971CF04">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530DB6D0">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3459" w:type="pct"/>
            <w:tcBorders>
              <w:top w:val="single" w:color="auto" w:sz="4" w:space="0"/>
              <w:left w:val="single" w:color="auto" w:sz="4" w:space="0"/>
              <w:bottom w:val="single" w:color="auto" w:sz="4" w:space="0"/>
            </w:tcBorders>
            <w:noWrap w:val="0"/>
            <w:vAlign w:val="center"/>
          </w:tcPr>
          <w:p w14:paraId="50B84DEF">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1.投标文件按规定签署及盖章；</w:t>
            </w:r>
          </w:p>
          <w:p w14:paraId="356F0A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2.投标报价</w:t>
            </w:r>
            <w:r>
              <w:rPr>
                <w:rFonts w:hint="eastAsia" w:ascii="仿宋" w:hAnsi="仿宋" w:eastAsia="仿宋" w:cs="仿宋"/>
                <w:color w:val="auto"/>
                <w:spacing w:val="8"/>
                <w:kern w:val="0"/>
                <w:sz w:val="28"/>
                <w:szCs w:val="28"/>
                <w:highlight w:val="none"/>
                <w:lang w:val="en-US" w:eastAsia="zh-CN"/>
              </w:rPr>
              <w:t>不超过最高限价</w:t>
            </w:r>
            <w:r>
              <w:rPr>
                <w:rFonts w:hint="eastAsia" w:ascii="仿宋" w:hAnsi="仿宋" w:eastAsia="仿宋" w:cs="仿宋"/>
                <w:color w:val="auto"/>
                <w:spacing w:val="8"/>
                <w:kern w:val="0"/>
                <w:sz w:val="28"/>
                <w:szCs w:val="28"/>
                <w:highlight w:val="none"/>
              </w:rPr>
              <w:t>；</w:t>
            </w:r>
          </w:p>
          <w:p w14:paraId="3CE9AD7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3.投标有效期、</w:t>
            </w:r>
            <w:r>
              <w:rPr>
                <w:rFonts w:hint="eastAsia" w:ascii="仿宋" w:hAnsi="仿宋" w:eastAsia="仿宋" w:cs="仿宋"/>
                <w:color w:val="auto"/>
                <w:spacing w:val="8"/>
                <w:kern w:val="0"/>
                <w:sz w:val="28"/>
                <w:szCs w:val="28"/>
                <w:highlight w:val="none"/>
                <w:lang w:val="en-US" w:eastAsia="zh-CN"/>
              </w:rPr>
              <w:t>服务期、“★”条款、</w:t>
            </w:r>
            <w:r>
              <w:rPr>
                <w:rFonts w:hint="eastAsia" w:ascii="仿宋" w:hAnsi="仿宋" w:eastAsia="仿宋" w:cs="仿宋"/>
                <w:color w:val="auto"/>
                <w:spacing w:val="8"/>
                <w:kern w:val="0"/>
                <w:sz w:val="28"/>
                <w:szCs w:val="28"/>
                <w:highlight w:val="none"/>
              </w:rPr>
              <w:t>付款方式满足招标文件要求；</w:t>
            </w:r>
          </w:p>
          <w:p w14:paraId="1EBBD18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lang w:val="en-US" w:eastAsia="zh-CN"/>
              </w:rPr>
              <w:t>不</w:t>
            </w:r>
            <w:r>
              <w:rPr>
                <w:rFonts w:hint="eastAsia" w:ascii="仿宋" w:hAnsi="仿宋" w:eastAsia="仿宋" w:cs="仿宋"/>
                <w:color w:val="auto"/>
                <w:spacing w:val="8"/>
                <w:kern w:val="0"/>
                <w:sz w:val="28"/>
                <w:szCs w:val="28"/>
                <w:highlight w:val="none"/>
              </w:rPr>
              <w:t>存在招标文件24.3条的关于投标人串通投标的情形及其他投标无效的情形</w:t>
            </w:r>
            <w:r>
              <w:rPr>
                <w:rFonts w:hint="eastAsia" w:ascii="仿宋" w:hAnsi="仿宋" w:eastAsia="仿宋" w:cs="仿宋"/>
                <w:color w:val="auto"/>
                <w:spacing w:val="8"/>
                <w:kern w:val="0"/>
                <w:sz w:val="28"/>
                <w:szCs w:val="28"/>
                <w:highlight w:val="none"/>
                <w:lang w:eastAsia="zh-CN"/>
              </w:rPr>
              <w:t>；</w:t>
            </w:r>
          </w:p>
          <w:p w14:paraId="42E71A9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.评标委员会认为</w:t>
            </w:r>
            <w:r>
              <w:rPr>
                <w:rFonts w:hint="eastAsia" w:ascii="仿宋" w:hAnsi="仿宋" w:eastAsia="仿宋" w:cs="仿宋"/>
                <w:color w:val="auto"/>
                <w:spacing w:val="8"/>
                <w:kern w:val="0"/>
                <w:sz w:val="28"/>
                <w:szCs w:val="28"/>
                <w:highlight w:val="none"/>
                <w:lang w:val="en-US" w:eastAsia="zh-CN"/>
              </w:rPr>
              <w:t>不存在违反</w:t>
            </w:r>
            <w:r>
              <w:rPr>
                <w:rFonts w:hint="eastAsia" w:ascii="仿宋" w:hAnsi="仿宋" w:eastAsia="仿宋" w:cs="仿宋"/>
                <w:color w:val="auto"/>
                <w:spacing w:val="8"/>
                <w:kern w:val="0"/>
                <w:sz w:val="28"/>
                <w:szCs w:val="28"/>
                <w:highlight w:val="none"/>
              </w:rPr>
              <w:t>招标文件其他实质性要求或法律法规规定的其他情形</w:t>
            </w:r>
            <w:r>
              <w:rPr>
                <w:rFonts w:hint="eastAsia" w:ascii="仿宋" w:hAnsi="仿宋" w:eastAsia="仿宋" w:cs="仿宋"/>
                <w:color w:val="auto"/>
                <w:spacing w:val="8"/>
                <w:kern w:val="0"/>
                <w:sz w:val="28"/>
                <w:szCs w:val="28"/>
                <w:highlight w:val="none"/>
                <w:lang w:eastAsia="zh-CN"/>
              </w:rPr>
              <w:t>。</w:t>
            </w:r>
          </w:p>
        </w:tc>
      </w:tr>
    </w:tbl>
    <w:p w14:paraId="5925C93C">
      <w:pPr>
        <w:widowControl/>
        <w:shd w:val="clear"/>
        <w:spacing w:line="360" w:lineRule="auto"/>
        <w:rPr>
          <w:rFonts w:ascii="宋体" w:hAnsi="宋体"/>
          <w:color w:val="auto"/>
          <w:sz w:val="24"/>
          <w:szCs w:val="21"/>
          <w:highlight w:val="none"/>
        </w:rPr>
        <w:sectPr>
          <w:pgSz w:w="11906" w:h="16838"/>
          <w:pgMar w:top="1440" w:right="1083" w:bottom="1440" w:left="1083" w:header="851" w:footer="992" w:gutter="0"/>
          <w:pgNumType w:fmt="decimal"/>
          <w:cols w:space="0" w:num="1"/>
          <w:rtlGutter w:val="0"/>
          <w:docGrid w:type="lines" w:linePitch="312" w:charSpace="0"/>
        </w:sectPr>
      </w:pPr>
    </w:p>
    <w:bookmarkEnd w:id="0"/>
    <w:bookmarkEnd w:id="1"/>
    <w:bookmarkEnd w:id="2"/>
    <w:bookmarkEnd w:id="3"/>
    <w:p w14:paraId="253E08E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一、说明</w:t>
      </w:r>
    </w:p>
    <w:p w14:paraId="3A7B9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参照《国有企业采购操作规范》《国有企业采购管理规范》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193B805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C1631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15C858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1.2本招标文件的解释权属于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以书面解释为准。</w:t>
      </w:r>
    </w:p>
    <w:p w14:paraId="520CA0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1.3招标文件未做须知明示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而又有相关法律、法规规定的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从其规定。</w:t>
      </w:r>
    </w:p>
    <w:p w14:paraId="657ABB7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1843DF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均无义务和责任承担这些费用。</w:t>
      </w:r>
    </w:p>
    <w:p w14:paraId="776E04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2.2本项目若涉及采购货物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则合格的货物及相应服务应满足以下要求：</w:t>
      </w:r>
    </w:p>
    <w:p w14:paraId="0264867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2.2.1必须是全新、未使用过的原装合格正品（包括零部件）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如安装或配置了软件的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须为正版软件。</w:t>
      </w:r>
    </w:p>
    <w:p w14:paraId="3242A0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2.2.2国产货物及其有关服务必须符合中华人民共和国的设计和制造生产标准或行业标准。招标公告有其他要求的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05A374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并通过中华人民共和国商检部门检验。采购公告有其他要求的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4534CD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2.2.4投标人应保证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其所提供的货物在提供给采购单位前具有完全的所有权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采购单位在中华人民共和国使用该货物或货物的任何一部分时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投标人应承担全部责任。</w:t>
      </w:r>
    </w:p>
    <w:p w14:paraId="5C7F0E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投标人应登录“威海市公共资源交易网”首页右侧“交易服务一网通办-（新版）一网通办系统”进行“平台切换”，点击“国企采购”进入国企阳光采购平台获取招标文件，并通过国企阳光采购平台网上上传电子投标文件，未通过国企阳光采购平台上传电子投标文件的，为无效投标。</w:t>
      </w:r>
    </w:p>
    <w:p w14:paraId="32824FE1">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二、招标文件</w:t>
      </w:r>
    </w:p>
    <w:p w14:paraId="5311A3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699788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采用压缩包电子版文件格式提供。</w:t>
      </w:r>
    </w:p>
    <w:p w14:paraId="5C7B16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439BF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9F7E7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1E458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A9F9E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48D8F0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投标文件格式</w:t>
      </w:r>
    </w:p>
    <w:p w14:paraId="5AB930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04157F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发出的修正和补充文件等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w:t>
      </w:r>
    </w:p>
    <w:p w14:paraId="5423CB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格式）由下列文件组成：</w:t>
      </w:r>
    </w:p>
    <w:p w14:paraId="52B0C0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D44F7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FEDA9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77F56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1382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8DBA5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如果投标人没有按照招标文件要求提交全部资料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或者投标人没有对招标文件在各方面都做出实质性响应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其风险应由投标人自行承担并根据有关政策和条款规定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其投标有可能被拒绝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或者被认定为无效投标。</w:t>
      </w:r>
    </w:p>
    <w:p w14:paraId="7835AAB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184C0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对招标文件若有任何疑问或要求澄清招标文件的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应在投标截止前2日内按“投标须知前附表”第四项向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提出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将协助</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组织所有</w:t>
      </w:r>
      <w:r>
        <w:rPr>
          <w:rFonts w:hint="eastAsia" w:ascii="仿宋" w:hAnsi="仿宋" w:eastAsia="仿宋" w:cs="仿宋"/>
          <w:color w:val="auto"/>
          <w:sz w:val="28"/>
          <w:szCs w:val="28"/>
          <w:highlight w:val="none"/>
          <w:lang w:val="en-US" w:eastAsia="zh-CN"/>
        </w:rPr>
        <w:t>获取</w:t>
      </w:r>
      <w:r>
        <w:rPr>
          <w:rFonts w:hint="eastAsia" w:ascii="仿宋" w:hAnsi="仿宋" w:eastAsia="仿宋" w:cs="仿宋"/>
          <w:color w:val="auto"/>
          <w:sz w:val="28"/>
          <w:szCs w:val="28"/>
          <w:highlight w:val="none"/>
        </w:rPr>
        <w:t>招标文件的潜在投标人举行答疑会</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根据需要主动对招标文件进行必要的澄清或根据投标人的要求对招标文件做出澄清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都将以原网站公开发布形式（包括电子交易系统推送）答复或发送给所有投标人。澄清文件作为招标文件的组成部分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对投标人起约束作用。</w:t>
      </w:r>
    </w:p>
    <w:p w14:paraId="746929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w:t>
      </w:r>
      <w:r>
        <w:rPr>
          <w:rFonts w:hint="eastAsia" w:ascii="仿宋" w:hAnsi="仿宋" w:eastAsia="仿宋" w:cs="仿宋"/>
          <w:color w:val="auto"/>
          <w:sz w:val="28"/>
          <w:szCs w:val="28"/>
          <w:highlight w:val="none"/>
          <w:lang w:val="en-US" w:eastAsia="zh-CN"/>
        </w:rPr>
        <w:t>要求</w:t>
      </w:r>
      <w:r>
        <w:rPr>
          <w:rFonts w:hint="eastAsia" w:ascii="仿宋" w:hAnsi="仿宋" w:eastAsia="仿宋" w:cs="仿宋"/>
          <w:color w:val="auto"/>
          <w:sz w:val="28"/>
          <w:szCs w:val="28"/>
          <w:highlight w:val="none"/>
        </w:rPr>
        <w:t>澄清或提出疑问的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将视其为接受招标文件的所有条款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对招标文件没有异议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此后也不再受理对招标文件的相关质疑。</w:t>
      </w:r>
    </w:p>
    <w:p w14:paraId="40BA43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68E9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无论出于何种原因</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可主动或在解答投标人提出的疑问时对招标文件进行修改。</w:t>
      </w:r>
    </w:p>
    <w:p w14:paraId="29EB51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将会通过原发布媒介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以更正公告形式（电子交易系统发送更正提醒通知）一并告知所有潜在投标人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并对潜在投标人具有约束力。潜在投标人在收到上述通知后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应立即以书面形式向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如在24小时内无书面回函则视为同意修改内容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并有义务履行相应的义务。</w:t>
      </w:r>
    </w:p>
    <w:p w14:paraId="1EBBA7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将在投标截止时间2日前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通过原发布媒介发布公告的形式（电子交易系统内发送更正提醒通知）通知所有获取招标文件的潜在投标人（招标文件变更的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投标人必须从电子交易系统中重新下载招标文件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并在新下载文件的基础上编制投标文件）；不足2日的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将顺延提交投标文件的截止时间。</w:t>
      </w:r>
    </w:p>
    <w:p w14:paraId="4A956F63">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三、投标文件的编制</w:t>
      </w:r>
    </w:p>
    <w:p w14:paraId="7B7E6A9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8C063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投标人应将其译成中文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如未翻译该文件为无效文件。</w:t>
      </w:r>
    </w:p>
    <w:p w14:paraId="7C3CEF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FF2831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并接受</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对其中任何资料进一步核实的要求。如果因为投标文件填报的内容不详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或没有提供招标文件中所要求的全部资料及数据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或提供虚假文件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由此造成的后果由投标人自负。</w:t>
      </w:r>
    </w:p>
    <w:p w14:paraId="48673E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6.4投标人应按招标文件中提供的投标文件格式（详见第五章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）按包段编写投标文件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并使用A4规格编制。投标文件应编写目录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具有结构清晰的文档结构图（打开word视图中的“文档结构图”后能看到详细章节）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页码连续。</w:t>
      </w:r>
    </w:p>
    <w:p w14:paraId="7D0400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经扫描后粘贴到投标文件的相关页上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确保清晰度可辨认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评审时由于无法辨认所产生的后果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8900A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6.6投标人应自行确保本文件的内容已充分覆盖了数据文件中《评审对照表》和《评分对照表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》中的各项要求</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并准确将对应的起止页码填写到数据文件《评审对照表》《评分对照表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》表格中每项后的起始页码和终止页码栏位上。对于不涉及或无法填写的评审项（评分项）（例如：报价）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可在页码索引处填写1。</w:t>
      </w:r>
    </w:p>
    <w:p w14:paraId="71A511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系统对所投递的电子文件有大小的限制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投标人应尽可能降低本文件的大小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小尺寸投标文件将使递交更快捷、减少差错发生几率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避免投标截止时间前未能完整上传文件。</w:t>
      </w:r>
    </w:p>
    <w:p w14:paraId="4B0704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任何人的口头协议不影响投标文件的任何条款和内容。</w:t>
      </w:r>
    </w:p>
    <w:p w14:paraId="4E0EFB8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均无义务向投标人解释其中标或未中标的原因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且无论投标人是否中标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投标人所递交的投标文件均不予退还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不提供副本拷贝。</w:t>
      </w:r>
    </w:p>
    <w:p w14:paraId="45E7DFB2">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41AB46F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必须在原文件上严格按照其中要求填写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其内部已约定好固定格式和相关内容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且带有特定的唯一性数字指纹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对采用非该文件基础上编制或对该文件进行任何工作表、表格行、表格列的增减、对工作表先后顺序的变动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都会破坏本文件中的数字指纹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3D0FCF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完整、准确地填写《封面》《投标报价表（含明细）》《需求响应表（如有）》《评审对照表》《评分对照表（如有）》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任何的漏表、漏项及信息不完整、填写数据不规范或不正确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267351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应按照上述2项的要求进行认真检查、确认。因投标人自身原因所导致其投标失败的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须自行承担相关责任。</w:t>
      </w:r>
    </w:p>
    <w:p w14:paraId="5F3FE57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42984C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每个包段的投标文件分两册必须包括：投标文件（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以上内容缺一不可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130EBB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格式）（第一册）应包括但不少于下列内容：</w:t>
      </w:r>
    </w:p>
    <w:p w14:paraId="00BE7B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248BEC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6F5486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（3）投标承诺函</w:t>
      </w:r>
      <w:r>
        <w:rPr>
          <w:rFonts w:hint="eastAsia" w:ascii="仿宋" w:hAnsi="仿宋" w:eastAsia="仿宋" w:cs="仿宋"/>
          <w:color w:val="auto"/>
          <w:sz w:val="28"/>
          <w:szCs w:val="28"/>
          <w:highlight w:val="none"/>
          <w:lang w:eastAsia="zh-CN"/>
        </w:rPr>
        <w:t>（格式见本文件第五章）</w:t>
      </w:r>
    </w:p>
    <w:p w14:paraId="692BA6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报价明细表</w:t>
      </w:r>
      <w:r>
        <w:rPr>
          <w:rFonts w:hint="eastAsia" w:ascii="仿宋" w:hAnsi="仿宋" w:eastAsia="仿宋" w:cs="仿宋"/>
          <w:color w:val="auto"/>
          <w:sz w:val="28"/>
          <w:szCs w:val="28"/>
          <w:highlight w:val="none"/>
          <w:lang w:eastAsia="zh-CN"/>
        </w:rPr>
        <w:t>（格式见本文件第五章）</w:t>
      </w:r>
    </w:p>
    <w:p w14:paraId="79A8B9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w:t>
      </w:r>
    </w:p>
    <w:p w14:paraId="3916C9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有效的年度考核合格的《律师事务所执业许可证》或《律师事务所分所执业许可证》扫描件或其他能证明具有独立承担民事责任的能力的证明材料扫描件；分所参与投标的，须提供总所授权（</w:t>
      </w:r>
      <w:r>
        <w:rPr>
          <w:rFonts w:hint="eastAsia" w:ascii="仿宋" w:hAnsi="仿宋" w:eastAsia="仿宋" w:cs="仿宋"/>
          <w:color w:val="auto"/>
          <w:sz w:val="28"/>
          <w:szCs w:val="28"/>
          <w:highlight w:val="none"/>
          <w:lang w:val="en-US" w:eastAsia="zh-CN"/>
        </w:rPr>
        <w:t>格式自拟）</w:t>
      </w:r>
      <w:r>
        <w:rPr>
          <w:rFonts w:hint="eastAsia" w:ascii="仿宋" w:hAnsi="仿宋" w:eastAsia="仿宋" w:cs="仿宋"/>
          <w:color w:val="auto"/>
          <w:sz w:val="28"/>
          <w:szCs w:val="28"/>
          <w:highlight w:val="none"/>
          <w:lang w:eastAsia="zh-CN"/>
        </w:rPr>
        <w:t>且每个总所只能有一个分所参与投标</w:t>
      </w:r>
      <w:r>
        <w:rPr>
          <w:rFonts w:hint="eastAsia" w:ascii="仿宋" w:hAnsi="仿宋" w:eastAsia="仿宋" w:cs="仿宋"/>
          <w:color w:val="auto"/>
          <w:sz w:val="28"/>
          <w:szCs w:val="28"/>
          <w:highlight w:val="none"/>
        </w:rPr>
        <w:t>；</w:t>
      </w:r>
    </w:p>
    <w:p w14:paraId="333AB9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②法定代表人/单位负责人身份证明书（格式见本文件第五章）</w:t>
      </w:r>
      <w:r>
        <w:rPr>
          <w:rFonts w:hint="eastAsia" w:ascii="仿宋" w:hAnsi="仿宋" w:eastAsia="仿宋" w:cs="仿宋"/>
          <w:color w:val="auto"/>
          <w:sz w:val="28"/>
          <w:szCs w:val="28"/>
          <w:highlight w:val="none"/>
          <w:lang w:eastAsia="zh-CN"/>
        </w:rPr>
        <w:t>；</w:t>
      </w:r>
    </w:p>
    <w:p w14:paraId="2D1B05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③法人授权委托书（格式见本文件第五章）、被授权人身份证扫描件；</w:t>
      </w:r>
    </w:p>
    <w:p w14:paraId="61D3AC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highlight w:val="none"/>
          <w:lang w:eastAsia="zh-CN"/>
        </w:rPr>
        <w:t>；</w:t>
      </w:r>
    </w:p>
    <w:p w14:paraId="0F1909A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④投标人具有良好的商业信誉和健全的财务会计制度声明（格式见本文件第五章）；</w:t>
      </w:r>
    </w:p>
    <w:p w14:paraId="4C2E1E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w:t>
      </w:r>
      <w:r>
        <w:rPr>
          <w:rFonts w:hint="eastAsia" w:ascii="仿宋" w:hAnsi="仿宋" w:eastAsia="仿宋" w:cs="仿宋"/>
          <w:color w:val="auto"/>
          <w:sz w:val="28"/>
          <w:szCs w:val="28"/>
          <w:highlight w:val="none"/>
          <w:lang w:eastAsia="zh-CN"/>
        </w:rPr>
        <w:t>投标人具有履行合同所必需的设备和专业技术能力声明（格式见本文件第五章）</w:t>
      </w:r>
      <w:r>
        <w:rPr>
          <w:rFonts w:hint="eastAsia" w:ascii="仿宋" w:hAnsi="仿宋" w:eastAsia="仿宋" w:cs="仿宋"/>
          <w:color w:val="auto"/>
          <w:sz w:val="28"/>
          <w:szCs w:val="28"/>
          <w:highlight w:val="none"/>
        </w:rPr>
        <w:t>；</w:t>
      </w:r>
    </w:p>
    <w:p w14:paraId="2DD640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⑥投标人的依法缴纳税收和社会保障资金的声明（格式见本文件第五章）及开标前6个月内任意月份的依法缴纳税收和社会保障资金的证明材料；</w:t>
      </w:r>
    </w:p>
    <w:p w14:paraId="646AF9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⑦无重大违法记录等声明（格式见本文件第五章）；</w:t>
      </w:r>
    </w:p>
    <w:p w14:paraId="7CBDF1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⑧投标人及其法定代表人/单位负责人、被授权人、项目负责人未被最高人民法院列为失信被执行人网站查询结果截图（查询路径见投标须知前附表）；</w:t>
      </w:r>
    </w:p>
    <w:p w14:paraId="33065E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⑨投标人近一年在“信用中国”或“信用中国（山东）”无严重失信记录声明（格式见本文件第五章）；</w:t>
      </w:r>
    </w:p>
    <w:p w14:paraId="19991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⑩</w:t>
      </w:r>
      <w:r>
        <w:rPr>
          <w:rFonts w:hint="eastAsia" w:ascii="仿宋" w:hAnsi="仿宋" w:eastAsia="仿宋" w:cs="仿宋"/>
          <w:color w:val="auto"/>
          <w:sz w:val="28"/>
          <w:szCs w:val="28"/>
          <w:highlight w:val="none"/>
        </w:rPr>
        <w:t>投标人认为需要提供的其他资质资格证明文件。</w:t>
      </w:r>
    </w:p>
    <w:p w14:paraId="0F1BDB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3D3DB5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（6）符合性审查表</w:t>
      </w:r>
      <w:r>
        <w:rPr>
          <w:rFonts w:hint="eastAsia" w:ascii="仿宋" w:hAnsi="仿宋" w:eastAsia="仿宋" w:cs="仿宋"/>
          <w:color w:val="auto"/>
          <w:sz w:val="28"/>
          <w:szCs w:val="28"/>
          <w:highlight w:val="none"/>
          <w:lang w:eastAsia="zh-CN"/>
        </w:rPr>
        <w:t>（格式见本文件第五章）</w:t>
      </w:r>
    </w:p>
    <w:p w14:paraId="64AE67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（7）投标人基本情况</w:t>
      </w:r>
      <w:r>
        <w:rPr>
          <w:rFonts w:hint="eastAsia" w:ascii="仿宋" w:hAnsi="仿宋" w:eastAsia="仿宋" w:cs="仿宋"/>
          <w:color w:val="auto"/>
          <w:sz w:val="28"/>
          <w:szCs w:val="28"/>
          <w:highlight w:val="none"/>
          <w:lang w:val="en-US" w:eastAsia="zh-CN"/>
        </w:rPr>
        <w:t>表</w:t>
      </w:r>
      <w:r>
        <w:rPr>
          <w:rFonts w:hint="eastAsia" w:ascii="仿宋" w:hAnsi="仿宋" w:eastAsia="仿宋" w:cs="仿宋"/>
          <w:color w:val="auto"/>
          <w:sz w:val="28"/>
          <w:szCs w:val="28"/>
          <w:highlight w:val="none"/>
        </w:rPr>
        <w:t>（格式见本文件第五章）</w:t>
      </w:r>
    </w:p>
    <w:p w14:paraId="35F1F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同类项目业绩表（格式见本文件第五章）</w:t>
      </w:r>
    </w:p>
    <w:p w14:paraId="78E9EA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）项目负责人及拟派主要人员情况表（格式见本文件第五章）</w:t>
      </w:r>
    </w:p>
    <w:p w14:paraId="373CA2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技术文件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包括但不限于以下内容：</w:t>
      </w:r>
    </w:p>
    <w:p w14:paraId="1B3F88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服务方案；</w:t>
      </w:r>
    </w:p>
    <w:p w14:paraId="3FB2E16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②质量保证措施；</w:t>
      </w:r>
    </w:p>
    <w:p w14:paraId="563746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③服务承诺；</w:t>
      </w:r>
    </w:p>
    <w:p w14:paraId="2D282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④</w:t>
      </w:r>
      <w:r>
        <w:rPr>
          <w:rFonts w:hint="eastAsia" w:ascii="仿宋" w:hAnsi="仿宋" w:eastAsia="仿宋" w:cs="仿宋"/>
          <w:color w:val="auto"/>
          <w:sz w:val="28"/>
          <w:szCs w:val="28"/>
          <w:highlight w:val="none"/>
        </w:rPr>
        <w:t>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20BF6B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）投标偏离表</w:t>
      </w:r>
      <w:r>
        <w:rPr>
          <w:rFonts w:hint="eastAsia" w:ascii="仿宋" w:hAnsi="仿宋" w:eastAsia="仿宋" w:cs="仿宋"/>
          <w:color w:val="auto"/>
          <w:sz w:val="28"/>
          <w:szCs w:val="28"/>
          <w:highlight w:val="none"/>
          <w:lang w:eastAsia="zh-CN"/>
        </w:rPr>
        <w:t>（格式见本文件第五章）</w:t>
      </w:r>
    </w:p>
    <w:p w14:paraId="6EA45F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p>
    <w:p w14:paraId="7E05D7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并严格按照要求填写。填写完成后在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中上传该数据文件（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系统将自动转换为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再加盖投标人电子印章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未按要求填写或盖章为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格式）包含下列内容：</w:t>
      </w:r>
    </w:p>
    <w:p w14:paraId="6BDBB2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1B74C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488412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A425A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47DC6A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AFB68B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185AB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9.1投标人所提供的（产品）货物或服务或工程均以人民币报价，精确到小数点后两位。</w:t>
      </w:r>
    </w:p>
    <w:p w14:paraId="646ED3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w:t>
      </w:r>
    </w:p>
    <w:p w14:paraId="27F4E8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并加盖电子公章。</w:t>
      </w:r>
    </w:p>
    <w:p w14:paraId="12EB8D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33B247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CDF6D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（2）投标人应对本次招标的全部或部分内容以包为单位进行报价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包内缺项报价投标无效。如因投标人自身的原因报价失误而造成的损失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EFCC2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报价明细表中“*”是必填项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任何必填项为空时都可能导致本次投标无效。</w:t>
      </w:r>
    </w:p>
    <w:p w14:paraId="74B34B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（4）《投标报价表（含明细）》中“报价产品的型号”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型号填写的一般规则为：品牌+产品型号。</w:t>
      </w:r>
    </w:p>
    <w:p w14:paraId="38DA56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无需手工录入。</w:t>
      </w:r>
    </w:p>
    <w:p w14:paraId="29BBC5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5E8ECA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有“*”的列是必输项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任何必输项为空都可能导致您的本次投标无效；</w:t>
      </w:r>
    </w:p>
    <w:p w14:paraId="720AD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应采用选择性粘贴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只粘贴文本</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否则单元格填写无效或被锁死；</w:t>
      </w:r>
    </w:p>
    <w:p w14:paraId="266E1E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请点击编辑栏进行查看；</w:t>
      </w:r>
    </w:p>
    <w:p w14:paraId="5BB47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的招标需求的逐一说明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如实填写。“响应需求”中需详细列明所报产品（服务）的明细；若与投标文件中提供的产品检测报告（如有）、生产厂家出具的产品彩页等证明材料的实质性响应情况不一致（如有）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由投标人自行承担不利后果，包括但不限于投标无效，相应评审因素对应的分值为0分。</w:t>
      </w:r>
    </w:p>
    <w:p w14:paraId="5E01B5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211FB7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必须在原表上填写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3FFD9D3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288AC9E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7784D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两个以上的自然人、法人或者其他组织可以组成一个联合体，以一个投标人的身份共同参加采购活动。</w:t>
      </w:r>
    </w:p>
    <w:p w14:paraId="12344A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采购活动的，参加联合体的投标人均应当满足采购公告及采购文件的资质要求，并应当向采购人提交联合体协议，载明联合体各方承担的工作和义务。联合体各方应当共同与采购人签订采购合同，就采购合同约定的事项对采购人承担连带责任。</w:t>
      </w:r>
    </w:p>
    <w:p w14:paraId="127C87C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44546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10.3联合体的各方应当共同推荐一名联合体投标授权代表方，由联合体各方提交一份授权书，证明其有资格代表联合体各方签署投标文件，该授权书作为投标文件的组成部分一并提交给采购代理机构。</w:t>
      </w:r>
    </w:p>
    <w:p w14:paraId="000B60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67194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776113A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7A5D3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6AA72BD6">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3066BC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将组织投标人对项目现场及周围环境进行踏勘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以便投标人获取有关编制投标文件和签署合同所需的所有资料。踏勘现场所发生的费用由投标人自己承担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投标人应按投标须知前附表所约定的时间、地点踏勘现场。</w:t>
      </w:r>
    </w:p>
    <w:p w14:paraId="6D0E15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的允许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可以踏勘目的进入采购单位的项目现场。若本项目招标文件要求投标人于统一时间地点踏勘现场的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投标人应当按时前往。</w:t>
      </w:r>
    </w:p>
    <w:p w14:paraId="51369F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的原因外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投标人自行负责在踏勘现场中所发生的人员伤亡和财产损失。</w:t>
      </w:r>
    </w:p>
    <w:p w14:paraId="6B695F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C4C62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1B8628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0F2745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投标有效期为90天。投标有效期短于90天的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其投标为无效投标。</w:t>
      </w:r>
    </w:p>
    <w:p w14:paraId="0D069F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在投标有效期满之前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可以要求投标人延长投标有效期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投标人可以书面形式拒绝或接受上述要求。同意延长投标有效期的投标人不得修改投标文件的实质性内容。</w:t>
      </w:r>
    </w:p>
    <w:p w14:paraId="367E6730">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C8F40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本项目投标保证金收取情况见《投标须知前附表》。</w:t>
      </w:r>
    </w:p>
    <w:p w14:paraId="6A7E782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2789B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本项目履约保证金收取情况见《投标须知前附表》。</w:t>
      </w:r>
    </w:p>
    <w:p w14:paraId="2024297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7E2DEC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格式）（第一册）1份</w:t>
      </w:r>
    </w:p>
    <w:p w14:paraId="4FC9DD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电子人名章）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电子印章与实物印章具有同等法律效力。</w:t>
      </w:r>
    </w:p>
    <w:p w14:paraId="5A097D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最后通过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格式（或者其他</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转换工具）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之后通过签章功能在</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文件上逐页加盖电子印章并保存到本地计算机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加盖了电子印章的</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文件即为最终的投标文件。</w:t>
      </w:r>
    </w:p>
    <w:p w14:paraId="155112C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16.1.3文件中要求法定代表人/单位负责人签字或签章的须加盖法定代表人/单位负责人电子人名章。</w:t>
      </w:r>
    </w:p>
    <w:p w14:paraId="39EA3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被授权人又无电子章的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在word编制时可将被授权人手写签字扫描后的图片粘贴到投标文件中对应位置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并加盖单位电子公章。</w:t>
      </w:r>
    </w:p>
    <w:p w14:paraId="52D1FE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581303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0EB24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16.2数据文件（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格式）（第二册）1份</w:t>
      </w:r>
    </w:p>
    <w:p w14:paraId="667AAA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加盖电子印章后保存到本地计算机。加盖了电子印章的文件即为最终的数据文件（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格式）用于投标。</w:t>
      </w:r>
    </w:p>
    <w:p w14:paraId="28B2DA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16.2.2文件中要求法定代表人/单位负责人签字或签章的须加盖法定代表人/单位负责人电子人名章。</w:t>
      </w:r>
    </w:p>
    <w:p w14:paraId="660A5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BE3F5C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四、投标文件的递交</w:t>
      </w:r>
    </w:p>
    <w:p w14:paraId="6575E43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3FEED31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E5A73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格式）须在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进行提交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提交前系统会自动在本地进行加密和数字签名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加密和电子签章后的文件除了会上传到系统中之外还会同步保存到本地计算机。</w:t>
      </w:r>
    </w:p>
    <w:p w14:paraId="282EBCA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05653F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投标人应使用密封袋将资质证明文件原件密封（身份证原件除外）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加盖公章并标明投标人（单位）名称、项目名称、项目编号、所投包号以及“资质证明文件原件”字样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粘贴密封条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每一密封条注明“于*年*月*日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*之前不准启封”（</w:t>
      </w:r>
      <w:r>
        <w:rPr>
          <w:rFonts w:hint="eastAsia" w:ascii="仿宋" w:hAnsi="仿宋" w:eastAsia="仿宋" w:cs="仿宋"/>
          <w:b/>
          <w:bCs/>
          <w:color w:val="auto"/>
          <w:sz w:val="28"/>
          <w:szCs w:val="28"/>
          <w:highlight w:val="none"/>
        </w:rPr>
        <w:t>开标时间</w:t>
      </w:r>
      <w:r>
        <w:rPr>
          <w:rFonts w:hint="eastAsia" w:ascii="仿宋" w:hAnsi="仿宋" w:eastAsia="仿宋" w:cs="仿宋"/>
          <w:color w:val="auto"/>
          <w:sz w:val="28"/>
          <w:szCs w:val="28"/>
          <w:highlight w:val="none"/>
        </w:rPr>
        <w:t>）的字样。</w:t>
      </w:r>
    </w:p>
    <w:p w14:paraId="31EE43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按照招标文件的要求送达指定地点。</w:t>
      </w:r>
    </w:p>
    <w:p w14:paraId="50EF1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对误投或提前启封概不负责。</w:t>
      </w:r>
    </w:p>
    <w:p w14:paraId="7A07B3A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2990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17.3.1</w:t>
      </w:r>
      <w:r>
        <w:rPr>
          <w:rFonts w:hint="eastAsia" w:ascii="仿宋" w:hAnsi="仿宋" w:eastAsia="仿宋" w:cs="仿宋"/>
          <w:color w:val="auto"/>
          <w:sz w:val="28"/>
          <w:szCs w:val="28"/>
          <w:highlight w:val="none"/>
        </w:rPr>
        <w:t>投标人应在投标须知前附表规定的时间前在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上递交电子投标文件和数据文件。投标人应充分评估集中投标带来的网络影响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尽量避开投标高峰时间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错峰进行电子投标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系统以收到投标人发出的递交指令的时间作为其投标时间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如该时间超过投标截止时间</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rPr>
        <w:t>其投标将会被判定为无效</w:t>
      </w:r>
      <w:r>
        <w:rPr>
          <w:rFonts w:hint="eastAsia" w:ascii="仿宋" w:hAnsi="仿宋" w:eastAsia="仿宋" w:cs="仿宋"/>
          <w:color w:val="auto"/>
          <w:sz w:val="28"/>
          <w:szCs w:val="28"/>
          <w:highlight w:val="none"/>
        </w:rPr>
        <w:t>。</w:t>
      </w:r>
    </w:p>
    <w:p w14:paraId="101251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17.3.2投标人须牢记投标加密密码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该密码将用于开标时解密其电子投标文件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如忘记密码或输入错误密码超过5次</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其递交的电子投标文件将无法解密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导致无法提取数据和供他人阅读文件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致使其投标失败。</w:t>
      </w:r>
    </w:p>
    <w:p w14:paraId="46B3D1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拒绝接收纸质投标文件。</w:t>
      </w:r>
    </w:p>
    <w:p w14:paraId="47DF1C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17.3.4投标人应将网上递交的已盖章未加密的数据文件和投标文件谨慎保存以便启动应急开标程序时使用。</w:t>
      </w:r>
    </w:p>
    <w:p w14:paraId="7B0FC49C">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141150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本次招标的投标截止期见《投标须知前附表》。</w:t>
      </w:r>
    </w:p>
    <w:p w14:paraId="703FB4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41EAE1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4" w:name="_Toc429313655"/>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无法接收投标截止期后递交的投标文件。</w:t>
      </w:r>
    </w:p>
    <w:p w14:paraId="00F31DA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
      <w:r>
        <w:rPr>
          <w:rFonts w:hint="eastAsia" w:ascii="仿宋" w:hAnsi="仿宋" w:eastAsia="仿宋" w:cs="仿宋"/>
          <w:b/>
          <w:color w:val="auto"/>
          <w:sz w:val="28"/>
          <w:szCs w:val="28"/>
          <w:highlight w:val="none"/>
        </w:rPr>
        <w:t>演示/样品递交</w:t>
      </w:r>
    </w:p>
    <w:p w14:paraId="252FD2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可以要求投标人对其提供的信息化、自动化等相关类别服务进行演示。</w:t>
      </w:r>
    </w:p>
    <w:p w14:paraId="6B5FD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20.2若项目涉及货物时</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可以要求投标人提供样品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样品作为投标文件的一部分。未中标的投标人提供的样品将于评审结束后退还。中标人的样品由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保留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作为验收的依据。</w:t>
      </w:r>
    </w:p>
    <w:p w14:paraId="7ED5FC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详见招标文件《投标须知前附表》的有关规定。</w:t>
      </w:r>
    </w:p>
    <w:p w14:paraId="5E615B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61BEE3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在投标截止期之后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投标人不得对其投标文件做任何修改。</w:t>
      </w:r>
    </w:p>
    <w:p w14:paraId="4E60E8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可以在投标截止期之前撤回其投标。</w:t>
      </w:r>
    </w:p>
    <w:p w14:paraId="4DBAA8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不得撤回投标文件。</w:t>
      </w:r>
    </w:p>
    <w:p w14:paraId="38418BDF">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五、开标与评审</w:t>
      </w:r>
    </w:p>
    <w:p w14:paraId="204BAFD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25476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投标人不足3家的不得开标。</w:t>
      </w:r>
    </w:p>
    <w:p w14:paraId="541D7F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在招标公告规定的时间和地点组织开标。到现场开标的投标人须携带CA锁和笔记本电脑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以便进行开标操作。不到现场开标的投标人需提前准备已配置好环境的电脑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在规定的时间进行远程开标的各项操作。</w:t>
      </w:r>
    </w:p>
    <w:p w14:paraId="18A222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22.3现场开标和远程开标的投标人代表应在签到表格相应位置上加盖CA锁中的法定代表人/单位负责人电子人名章</w:t>
      </w:r>
      <w:r>
        <w:rPr>
          <w:rFonts w:hint="eastAsia" w:ascii="仿宋" w:hAnsi="仿宋" w:eastAsia="仿宋" w:cs="仿宋"/>
          <w:color w:val="auto"/>
          <w:sz w:val="28"/>
          <w:szCs w:val="28"/>
          <w:highlight w:val="none"/>
          <w:lang w:val="en-US" w:eastAsia="zh-CN"/>
        </w:rPr>
        <w:t>或公章</w:t>
      </w:r>
      <w:r>
        <w:rPr>
          <w:rFonts w:hint="eastAsia" w:ascii="仿宋" w:hAnsi="仿宋" w:eastAsia="仿宋" w:cs="仿宋"/>
          <w:color w:val="auto"/>
          <w:sz w:val="28"/>
          <w:szCs w:val="28"/>
          <w:highlight w:val="none"/>
        </w:rPr>
        <w:t>以证明其出席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在开标时间前未完成签到的将会被</w:t>
      </w:r>
      <w:r>
        <w:rPr>
          <w:rFonts w:hint="eastAsia" w:ascii="仿宋" w:hAnsi="仿宋" w:eastAsia="仿宋" w:cs="仿宋"/>
          <w:b/>
          <w:bCs/>
          <w:color w:val="auto"/>
          <w:sz w:val="28"/>
          <w:szCs w:val="28"/>
          <w:highlight w:val="none"/>
        </w:rPr>
        <w:t>视作</w:t>
      </w:r>
      <w:r>
        <w:rPr>
          <w:rFonts w:hint="eastAsia" w:ascii="仿宋" w:hAnsi="仿宋" w:eastAsia="仿宋" w:cs="仿宋"/>
          <w:color w:val="auto"/>
          <w:sz w:val="28"/>
          <w:szCs w:val="28"/>
          <w:highlight w:val="none"/>
        </w:rPr>
        <w:t>认同开标结果。</w:t>
      </w:r>
    </w:p>
    <w:p w14:paraId="37C340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投标人输入密码错误（5次输入机会）、未能按时完成解密、其《数据文件》填写、盖章不规范等导致系统无法解析的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将会被视为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E2D73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最终形成开标一览表并由各投标人代表在表格相应位置上加盖CA锁中的法定代表人/单位负责人电子人名章或公章确认。</w:t>
      </w:r>
    </w:p>
    <w:p w14:paraId="66D063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以及认为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相关工作人员有需要回避的情形的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应当场提出询问或者回避申请。</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对投标人代表提出的询问或者回避申请应当及时处理。</w:t>
      </w:r>
    </w:p>
    <w:p w14:paraId="4F73A5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确保声音清楚、图像清晰、内容无遗漏。</w:t>
      </w:r>
    </w:p>
    <w:p w14:paraId="52E82D5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如遇特殊情况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服从威海市公共资源交易中心场地调配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并遵守相关规章制度。</w:t>
      </w:r>
    </w:p>
    <w:p w14:paraId="7FFB1F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按以下规定修正：</w:t>
      </w:r>
    </w:p>
    <w:p w14:paraId="0B4744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以“投标（报价）一览表”的报价为准；</w:t>
      </w:r>
    </w:p>
    <w:p w14:paraId="03CB75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以大写金额为准；</w:t>
      </w:r>
    </w:p>
    <w:p w14:paraId="3C349E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以投标（报价）一览表的总价为准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并修改单价。</w:t>
      </w:r>
    </w:p>
    <w:p w14:paraId="729034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以单价金额计算结果为准。</w:t>
      </w:r>
    </w:p>
    <w:p w14:paraId="6361E5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按照前款规定的顺序修正。修正后的报价经投标人确认后产生约束力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投标人不确认的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4EDC84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245EED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24DB5E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22B5D1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投标人开始输入解密密码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解密时间到或所有投标人均完成解密后工作人员启动停止解密指令。</w:t>
      </w:r>
    </w:p>
    <w:p w14:paraId="6386AC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22.10.4唱标：停止解密后现场工作人员将根据电子交易平台自动提取各投标人数据文件中的相关数据进行公开唱标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唱标结束系统将自动生成开标一览表。投标人应及时关注开标过程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查看开标结果并在开标一览表上进行电子签署。若投标人在启动唱标后10分钟内不在开标一览表上签字确认，则视为投标人认可开标结果。</w:t>
      </w:r>
    </w:p>
    <w:p w14:paraId="3CF29F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6DA227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249A77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导致系统无法正常运行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或者无法保证开标过程的公平、公正和信息安全时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沟通后可启动应急开标程序。</w:t>
      </w:r>
    </w:p>
    <w:p w14:paraId="08AE62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无法访问或无法使用系统；</w:t>
      </w:r>
    </w:p>
    <w:p w14:paraId="1F0F21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不能进行正常操作；</w:t>
      </w:r>
    </w:p>
    <w:p w14:paraId="2E9E4E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有潜在的泄密危险；</w:t>
      </w:r>
    </w:p>
    <w:p w14:paraId="3A1978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363BEF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3A7DF59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8159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63642E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等待系统恢复正常后再组织进行开标。</w:t>
      </w:r>
    </w:p>
    <w:p w14:paraId="04780B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通过系统的备案功能进行文件上传备案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无效投标处理</w:t>
      </w:r>
      <w:r>
        <w:rPr>
          <w:rFonts w:hint="eastAsia" w:ascii="仿宋" w:hAnsi="仿宋" w:eastAsia="仿宋" w:cs="仿宋"/>
          <w:color w:val="auto"/>
          <w:sz w:val="28"/>
          <w:szCs w:val="28"/>
          <w:highlight w:val="none"/>
        </w:rPr>
        <w:t>。</w:t>
      </w:r>
    </w:p>
    <w:p w14:paraId="2FCEDC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或代理机构的监督下可针对所有在平台中已投标的投标人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启用其电子邮件递交的投标文件进行开标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同时开标由线上转为线下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开标、评标均以电子邮件递交的投标文件为准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投标人必须在获取招标文件时留有本单位详细的邮箱和电话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处理。</w:t>
      </w:r>
    </w:p>
    <w:p w14:paraId="2D4573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43079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whzczb1@163.com</w:t>
      </w:r>
    </w:p>
    <w:p w14:paraId="502019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6239D2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398B2F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44F61B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如果不一致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系统后台会判定为无效投标文件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导致投标无效。</w:t>
      </w:r>
    </w:p>
    <w:p w14:paraId="6C425DF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D12C0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9437A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不接受、不处理任何通过电子邮件提交的投标文件）；</w:t>
      </w:r>
    </w:p>
    <w:p w14:paraId="68E325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工作人员开始下载投标文件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将投标报价形成开标报告并邮件回复各投标人；</w:t>
      </w:r>
    </w:p>
    <w:p w14:paraId="1F1AED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不及时回复的视为对开标报告的内容无异议。</w:t>
      </w:r>
    </w:p>
    <w:p w14:paraId="5D27A5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114064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负责组织评标工作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具体评审事务由依法组建的评标委员会负责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评标委员会成员由</w:t>
      </w:r>
      <w:r>
        <w:rPr>
          <w:rFonts w:hint="eastAsia" w:ascii="仿宋" w:hAnsi="仿宋" w:eastAsia="仿宋" w:cs="仿宋"/>
          <w:color w:val="auto"/>
          <w:sz w:val="28"/>
          <w:szCs w:val="28"/>
          <w:highlight w:val="none"/>
          <w:lang w:val="en-US" w:eastAsia="zh-CN"/>
        </w:rPr>
        <w:t>采购人代表和</w:t>
      </w:r>
      <w:r>
        <w:rPr>
          <w:rFonts w:hint="eastAsia" w:ascii="仿宋" w:hAnsi="仿宋" w:eastAsia="仿宋" w:cs="仿宋"/>
          <w:color w:val="auto"/>
          <w:sz w:val="28"/>
          <w:szCs w:val="28"/>
          <w:highlight w:val="none"/>
        </w:rPr>
        <w:t>评审专家5人以上的单数组成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其中专家人数不得少于评标委员会成员总数的2/3。</w:t>
      </w:r>
    </w:p>
    <w:p w14:paraId="1FB673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员及相关人员与投标人有利害关系的应当回避。曾参与招标</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征询意见或论证的专家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不得再作为评标专家参加评标。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不得以专家身份参与本项目的评标。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工作人员离职或退休不满三年的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不能作为专家参加评标工作。</w:t>
      </w:r>
    </w:p>
    <w:p w14:paraId="4F06F5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37C25D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评标委员会成员应当主动确认与投标人是否有利害关系。如有利害关系应当主动回避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如无利害关系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应当在含有相关内容的《无利害关系声明》上签字；</w:t>
      </w:r>
    </w:p>
    <w:p w14:paraId="1D2B6D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对投标文件的内容进行评审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并对评审结果承担责任；</w:t>
      </w:r>
    </w:p>
    <w:p w14:paraId="2DE6A7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以及投标人的商业秘密进行保密；</w:t>
      </w:r>
    </w:p>
    <w:p w14:paraId="5EBD29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70B819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答复投标人质疑；</w:t>
      </w:r>
    </w:p>
    <w:p w14:paraId="1A9A92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反映评标工作中的问题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提出意见和建议。</w:t>
      </w:r>
    </w:p>
    <w:p w14:paraId="44EC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2E844D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视为同意评标结论。评标委员会应当对此做出书面说明并记录在案；</w:t>
      </w:r>
    </w:p>
    <w:p w14:paraId="1F7DAE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答复投标人的质疑；</w:t>
      </w:r>
    </w:p>
    <w:p w14:paraId="71A112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（3）必要时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向投标人解释评标结果；</w:t>
      </w:r>
    </w:p>
    <w:p w14:paraId="03E7D5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（4）向主管部门或者有关部门报告非法干预评标工作的行为。</w:t>
      </w:r>
    </w:p>
    <w:p w14:paraId="0E824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23.5</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的职责：</w:t>
      </w:r>
    </w:p>
    <w:p w14:paraId="663043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w:t>
      </w:r>
      <w:r>
        <w:rPr>
          <w:rFonts w:hint="eastAsia" w:ascii="仿宋" w:hAnsi="仿宋" w:eastAsia="仿宋" w:cs="仿宋"/>
          <w:color w:val="auto"/>
          <w:sz w:val="28"/>
          <w:szCs w:val="28"/>
          <w:highlight w:val="none"/>
          <w:lang w:eastAsia="zh-CN"/>
        </w:rPr>
        <w:t>采购人代表授权委托书，</w:t>
      </w:r>
      <w:r>
        <w:rPr>
          <w:rFonts w:hint="eastAsia" w:ascii="仿宋" w:hAnsi="仿宋" w:eastAsia="仿宋" w:cs="仿宋"/>
          <w:color w:val="auto"/>
          <w:sz w:val="28"/>
          <w:szCs w:val="28"/>
          <w:highlight w:val="none"/>
        </w:rPr>
        <w:t>对评审专家在采购活动中的职责履行情况予以记录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并及时将有关违法违规行为向主管部门报告；</w:t>
      </w:r>
    </w:p>
    <w:p w14:paraId="5C0A06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5375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告知评审专家应当回避的情形；</w:t>
      </w:r>
    </w:p>
    <w:p w14:paraId="214DD1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（4）评标期间采取必要的通讯管理措施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保证评标活动不受外界干扰；</w:t>
      </w:r>
    </w:p>
    <w:p w14:paraId="4DA1DF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评标委员会的要求介绍采购相关政策法规、招标文件；</w:t>
      </w:r>
    </w:p>
    <w:p w14:paraId="646F28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（6）维护评标秩序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监督评标委员会依照招标文件规定的评标程序、方法和标准进行独立评审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及时制止和纠正</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代表、评审专家的倾向性言论或者违法违规行为；</w:t>
      </w:r>
    </w:p>
    <w:p w14:paraId="4BB6E1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（7）核对评标结果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存在分值汇总计算错误的、分项评分超出评分标准范围的、评标委员会成员对客观评审因素评分不一致的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经评标委员会认定评分畸高畸低的情形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要求评标小组复核或者书面说明理由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评标小组拒绝的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应予记录并向主管部门报告；</w:t>
      </w:r>
    </w:p>
    <w:p w14:paraId="5DE45C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（8）评审工作完成后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按照规定向评审专家支付劳务报酬和异地评审差旅费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4A598E0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（9）处理与评标有关的其他事项。</w:t>
      </w:r>
    </w:p>
    <w:p w14:paraId="13CBBF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可以在评标前说明项目背景和采购需求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说明内容不得含有歧视性、倾向性意见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不得超出招标文件所述范围。说明应当提交书面材料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618F01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工作人员向评标委员会成员宣布评标纪律和工作规则。评标委员会成员签署《无利害关系声明表》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并遵照执行。</w:t>
      </w:r>
    </w:p>
    <w:p w14:paraId="3B5ED1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668E26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589717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7FD9BDC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22BAD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7DAB4C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793F3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以及根据</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委托直接确定中标人；</w:t>
      </w:r>
    </w:p>
    <w:p w14:paraId="0E9177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或者有关部门报告评标中发现的违法行为。</w:t>
      </w:r>
    </w:p>
    <w:p w14:paraId="33FDF8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23.10评标中因评标委员会成员缺席、回避或者健康等特殊原因导致评标委员会组成不符合本办法规定的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应当依法补足后继续评标。被更换的评标委员会成员所作出的评标意见无效。</w:t>
      </w:r>
    </w:p>
    <w:p w14:paraId="3B4EB6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应当停止评标活动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封存所有投标文件和开标、评标资料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依法重新组建评标委员会进行评标。原评标委员会作出的评标意见无效。</w:t>
      </w:r>
    </w:p>
    <w:p w14:paraId="1B7B2C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应当将变更、重新组建评标委员会的情况予以记录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75C8A5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E7136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评标委员会对投标人的资格进行审查。合格投标人不足3家的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不得评标。在资格性检查时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5C38CB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1）单位负责人为同一人或者存在控股、管理关系的不同</w:t>
      </w:r>
      <w:r>
        <w:rPr>
          <w:rFonts w:hint="eastAsia" w:ascii="仿宋" w:hAnsi="仿宋" w:eastAsia="仿宋" w:cs="仿宋"/>
          <w:color w:val="auto"/>
          <w:sz w:val="28"/>
          <w:szCs w:val="28"/>
          <w:highlight w:val="none"/>
          <w:lang w:val="en-US" w:eastAsia="zh-CN"/>
        </w:rPr>
        <w:t>投标人的；</w:t>
      </w:r>
    </w:p>
    <w:p w14:paraId="6DBBC4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2）为采购项目提供整体设计、规范编制或者项目管理、监理、检测等服务的；</w:t>
      </w:r>
    </w:p>
    <w:p w14:paraId="1D1EE7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3）投标人和响应货物资格证明文件不满足招标文件要求和过期失效的。</w:t>
      </w:r>
    </w:p>
    <w:p w14:paraId="1005BB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以确定其是否满足招标文件的实质性要求。评标委员会决定投标的响应性只根据投标文件本身的内容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而不依据外部的证据。在符合性检查时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如有不满足下列情况之一的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146352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049F94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视为投标人串通投标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2065E7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4A9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BD8A9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B0689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4E703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BF5F8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D5FA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（7）不同投标人的投标文件相互混装； </w:t>
      </w:r>
    </w:p>
    <w:p w14:paraId="01A259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（8）不同投标人的投标保证金从同一单位或者个人的账户转出</w:t>
      </w:r>
      <w:r>
        <w:rPr>
          <w:rFonts w:hint="eastAsia" w:ascii="仿宋" w:hAnsi="仿宋" w:eastAsia="仿宋" w:cs="仿宋"/>
          <w:color w:val="auto"/>
          <w:sz w:val="28"/>
          <w:szCs w:val="28"/>
          <w:highlight w:val="none"/>
          <w:lang w:eastAsia="zh-CN"/>
        </w:rPr>
        <w:t>；</w:t>
      </w:r>
    </w:p>
    <w:p w14:paraId="3FB707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）以他人名义投标或者以其他方式弄虚作假，骗取中标的；</w:t>
      </w:r>
    </w:p>
    <w:p w14:paraId="499BC2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10）被交易服务平台列入黑名单的；</w:t>
      </w:r>
    </w:p>
    <w:p w14:paraId="4CCB36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lang w:eastAsia="zh-CN"/>
        </w:rPr>
        <w:t>不同投标人制作的电子投标文件经系统审查存在cpu编码、硬盘编码及MAC地址三项编码均相同的；</w:t>
      </w:r>
    </w:p>
    <w:p w14:paraId="071A8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12）经评标委员会评定认为可以判定无效的其他情况</w:t>
      </w:r>
      <w:r>
        <w:rPr>
          <w:rFonts w:hint="eastAsia" w:ascii="仿宋" w:hAnsi="仿宋" w:eastAsia="仿宋" w:cs="仿宋"/>
          <w:color w:val="auto"/>
          <w:sz w:val="28"/>
          <w:szCs w:val="28"/>
          <w:highlight w:val="none"/>
        </w:rPr>
        <w:t>。</w:t>
      </w:r>
    </w:p>
    <w:p w14:paraId="5F35A7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除采购任务取消情形外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按照以下方式处理：</w:t>
      </w:r>
    </w:p>
    <w:p w14:paraId="74DEE0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改正后依法重新招标；</w:t>
      </w:r>
    </w:p>
    <w:p w14:paraId="397329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需要采用其他</w:t>
      </w:r>
      <w:r>
        <w:rPr>
          <w:rFonts w:hint="eastAsia" w:ascii="仿宋" w:hAnsi="仿宋" w:eastAsia="仿宋" w:cs="仿宋"/>
          <w:color w:val="auto"/>
          <w:sz w:val="28"/>
          <w:szCs w:val="28"/>
          <w:highlight w:val="none"/>
          <w:lang w:eastAsia="zh-CN"/>
        </w:rPr>
        <w:t>招标方式</w:t>
      </w:r>
      <w:r>
        <w:rPr>
          <w:rFonts w:hint="eastAsia" w:ascii="仿宋" w:hAnsi="仿宋" w:eastAsia="仿宋" w:cs="仿宋"/>
          <w:color w:val="auto"/>
          <w:sz w:val="28"/>
          <w:szCs w:val="28"/>
          <w:highlight w:val="none"/>
        </w:rPr>
        <w:t>招标的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应当依法报主管部门批准。</w:t>
      </w:r>
    </w:p>
    <w:p w14:paraId="41083FD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05F738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对于投标文件中含义不明确、同类问题表述不一致或者有明显文字和计算错误的内容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评标委员会应当以书面形式要求投标人作出必要的澄清、说明或者补正。请投标人澄清其投标内容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或其授权人必须接受评标委员会的询标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未在规定的时间内澄清、说明或补正的，由投标人自行承担不利后果，包括但不限于投标无效，相应评审因素对应的分值为0分。</w:t>
      </w:r>
    </w:p>
    <w:p w14:paraId="5AA817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或者由法定代表人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或其授权的代表签字。投标人的澄清、说明或者补正不得超出投标文件的范围或者改变投标文件的实质性内容。此书面文件是投标文件的组成部分。</w:t>
      </w:r>
    </w:p>
    <w:p w14:paraId="5DA6688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65AF72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26.1评审采用百分制。评标委员会各成员分别独立对实质上响应的投标人进行逐项评价打分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对评标委员会各成员每一因素的打分汇总后的得分为投标人的得分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汇总得分保留两位小数。</w:t>
      </w:r>
    </w:p>
    <w:p w14:paraId="48A6DE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132A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价格分值由评审系统根据投标人上传的《投标（报价）一览表》中的投标报价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依据规定公式自动计算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其结果由评标委员会所有成员签字确认。</w:t>
      </w:r>
    </w:p>
    <w:p w14:paraId="5936D9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代理机构工作人员负责复核、统计评标委员会成员的评审情况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发现评审意见有失公正时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提请该评标委员会成员修改评审意见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并形成书面意见备查。</w:t>
      </w:r>
    </w:p>
    <w:p w14:paraId="0AC5560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还将考虑以下因素：</w:t>
      </w:r>
    </w:p>
    <w:p w14:paraId="7E38D9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625888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08545A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有可能影响产品质量或者不能诚信履约的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应当要求其在评标现场合理的时间内提供书面说明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必要时提交相关证明材料；投标人不能证明其报价合理性的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评标委员会应当将其作为无效投标处理。</w:t>
      </w:r>
    </w:p>
    <w:p w14:paraId="6CE113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或者招标文件内容违反国家有关强制性规定的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应当停止评标工作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沟通并作书面记录。</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应当修改招标文件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重新组织采购活动。</w:t>
      </w:r>
    </w:p>
    <w:p w14:paraId="17C473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不得恶意串通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不得妨碍其他投标人的竞争行为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不得损坏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或者其他投标人的合法权益。在评标过程中发现投标人有上述情形的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评标委员会应当认定其投标无效。</w:t>
      </w:r>
    </w:p>
    <w:p w14:paraId="77C0630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055656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应予废标：</w:t>
      </w:r>
    </w:p>
    <w:p w14:paraId="2FE365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554904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3B8A69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（3）所有投标报价均超过招标文件中规定的预算金额</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177FD9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采购任务取消的。</w:t>
      </w:r>
    </w:p>
    <w:p w14:paraId="7B9F8F27">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六、定标</w:t>
      </w:r>
    </w:p>
    <w:p w14:paraId="6AD8FE8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28.确定中标候选人</w:t>
      </w:r>
    </w:p>
    <w:p w14:paraId="761B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对投标文件进行评审。评标结束后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按综合得分由高到低对投标人的评审名次进行排序，确定3名中标候选人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根据全体评标成员签字的原始评标记录和评标结果编写评标报告。</w:t>
      </w:r>
    </w:p>
    <w:p w14:paraId="3BF7312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评标报告的主要内容包括：</w:t>
      </w:r>
    </w:p>
    <w:p w14:paraId="7A14CE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16B10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CE1C8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238A40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无效投标人名单及原因；</w:t>
      </w:r>
    </w:p>
    <w:p w14:paraId="04FF7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确定的中标候选人名单或者经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委托直接确定的中标人；</w:t>
      </w:r>
    </w:p>
    <w:p w14:paraId="322C85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包括评标过程中投标人根据评标委员会要求进行澄清、说明或者补正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评标委员会成员的更换等。</w:t>
      </w:r>
    </w:p>
    <w:p w14:paraId="5C560C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29.确定中标人</w:t>
      </w:r>
    </w:p>
    <w:p w14:paraId="2B590B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可委托评标委员会直接定标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确定排名第一的投标人为中标人；也可以自主定标。自主定标的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应当在收到评审报告后3个工作日内确定中标人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逾期未确定中标人且不提出异议的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视为确定评审报告提出的排名第一的投标人为中标人。</w:t>
      </w:r>
    </w:p>
    <w:p w14:paraId="6094E06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七、结果公示及公告</w:t>
      </w:r>
    </w:p>
    <w:p w14:paraId="0451F6F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30.结果公示</w:t>
      </w:r>
    </w:p>
    <w:p w14:paraId="0026DE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自收到评标报告之日起2日内在原招标公告发布媒介公示中标候选人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公示期3日。由评标委员会直接定标的项目不需要公示中标候选人。</w:t>
      </w:r>
    </w:p>
    <w:p w14:paraId="51126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31.结果公告</w:t>
      </w:r>
    </w:p>
    <w:p w14:paraId="29DFD9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应当自定标结束之日起3日内在原招标公告发布媒介发布中标公告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有效期</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w:t>
      </w:r>
    </w:p>
    <w:p w14:paraId="68B8876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32.签发中标通知书</w:t>
      </w:r>
    </w:p>
    <w:p w14:paraId="76CCC9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和代理机构联合向中标人发出中标通知书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并同时将中标结果通知所有未中标的投标人。对未通过资格</w:t>
      </w:r>
      <w:r>
        <w:rPr>
          <w:rFonts w:hint="eastAsia" w:ascii="仿宋" w:hAnsi="仿宋" w:eastAsia="仿宋" w:cs="仿宋"/>
          <w:color w:val="auto"/>
          <w:sz w:val="28"/>
          <w:szCs w:val="28"/>
          <w:highlight w:val="none"/>
          <w:lang w:val="en-US" w:eastAsia="zh-CN"/>
        </w:rPr>
        <w:t>性、符合性</w:t>
      </w:r>
      <w:r>
        <w:rPr>
          <w:rFonts w:hint="eastAsia" w:ascii="仿宋" w:hAnsi="仿宋" w:eastAsia="仿宋" w:cs="仿宋"/>
          <w:color w:val="auto"/>
          <w:sz w:val="28"/>
          <w:szCs w:val="28"/>
          <w:highlight w:val="none"/>
        </w:rPr>
        <w:t>审查的投标人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应当告知其未通过的原因；《中标通知书》是合同的组成部分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对中标人和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具有同等法律效力。《中标通知书》发出后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不得违法改变中标结果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中标人无正当理由不得放弃中标。</w:t>
      </w:r>
    </w:p>
    <w:p w14:paraId="2C7D0D2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八、质疑</w:t>
      </w:r>
    </w:p>
    <w:p w14:paraId="138E709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33.质疑</w:t>
      </w:r>
    </w:p>
    <w:p w14:paraId="370CCD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33.1投标人认为招标文件、采购过程、中标结果使自己的权益受到损害的，应于10个工作日内以书面形式向采购人或采购代理机构提出质疑，采购人或采购代理机构应当在收到投标人的书面质疑后3个工作日内做出书面答复，但答复内容不得涉及商业秘密。</w:t>
      </w:r>
    </w:p>
    <w:p w14:paraId="130746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33.2提出质疑的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应当是参与所质疑项目采购活动的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。投标人已依法获取其可质疑的采购文件的，可以对该文件提出质疑。</w:t>
      </w:r>
    </w:p>
    <w:p w14:paraId="036099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33.3投标人应在法定质疑期内一次性提出针对同一采购程序环节的质疑。</w:t>
      </w:r>
    </w:p>
    <w:p w14:paraId="24849B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33.4质疑采用实名制，以书面形式提出。为了使提出的质疑事项在规定时间内得到有效答复、处理，提交的质疑函应当包括下列内容：</w:t>
      </w:r>
    </w:p>
    <w:p w14:paraId="1F4D9C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（1）投标人的姓名或者名称、地址（邮箱）、邮编、联系人及联系电话；</w:t>
      </w:r>
    </w:p>
    <w:p w14:paraId="0AC0A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（2）质疑项目的名称、编号；</w:t>
      </w:r>
    </w:p>
    <w:p w14:paraId="2EC49B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（3）具体、明确的质疑事项和与质疑事项相关的请求；</w:t>
      </w:r>
    </w:p>
    <w:p w14:paraId="3708A7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（4）事实依据；</w:t>
      </w:r>
    </w:p>
    <w:p w14:paraId="08B4FA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（5）必要的法律依据；</w:t>
      </w:r>
    </w:p>
    <w:p w14:paraId="627EA8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（6）提出质疑的日期。</w:t>
      </w:r>
    </w:p>
    <w:p w14:paraId="39F63F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6DD6E4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33.5采购人或采购代理机构正式受理后方可生效。否则，为无效质疑。</w:t>
      </w:r>
    </w:p>
    <w:p w14:paraId="4581E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33.6有下列情况之一的质疑不予受理：</w:t>
      </w:r>
    </w:p>
    <w:p w14:paraId="0F6499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6498D5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（2）质疑函件无实质性内容或佐证文件资料，主观臆断及推理得出结论的质疑；</w:t>
      </w:r>
    </w:p>
    <w:p w14:paraId="42F21F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（3）相应证明材料不真实或来源不合法的质疑；</w:t>
      </w:r>
    </w:p>
    <w:p w14:paraId="2676FA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（4）未按规定时间或超过公示期限提出的质疑；</w:t>
      </w:r>
    </w:p>
    <w:p w14:paraId="3E5E79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33.7对捏造事实，提供虚假材料或者以非法手段取得证明材料进行恶意质疑的，一经查实，将列入平台黑名单。</w:t>
      </w:r>
    </w:p>
    <w:p w14:paraId="7208F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34.仲裁或起诉</w:t>
      </w:r>
    </w:p>
    <w:p w14:paraId="357FE6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25EF808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九、签订合同</w:t>
      </w:r>
    </w:p>
    <w:p w14:paraId="10834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5</w:t>
      </w:r>
      <w:r>
        <w:rPr>
          <w:rFonts w:hint="eastAsia" w:ascii="仿宋" w:hAnsi="仿宋" w:eastAsia="仿宋" w:cs="仿宋"/>
          <w:b/>
          <w:color w:val="auto"/>
          <w:sz w:val="28"/>
          <w:szCs w:val="28"/>
          <w:highlight w:val="none"/>
        </w:rPr>
        <w:t>.合同的签订</w:t>
      </w:r>
    </w:p>
    <w:p w14:paraId="455E2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按招标文件、中标人的投标文件签订采购合同。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应当自采购合同签订之日起5日内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将采购合同上传至</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同时在指定的媒介上公告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但采购合同中涉及国家秘密、商业秘密的内容除外。</w:t>
      </w:r>
    </w:p>
    <w:p w14:paraId="25F40B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按照监督部门的要求，本项目合同通过国企阳光采购平台进行签订。</w:t>
      </w:r>
    </w:p>
    <w:p w14:paraId="6FFEE5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应当按照招标文件和中标人投标文件的规定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与中标人签订书面合同。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与中标人所签订的合同不得对招标文件和中标人的投标文件作实质性修改。</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不得向中标人提出任何不合理的要求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作为签订合同的条件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不得与中标人私下订立背离合同实质性内容的协议。合同原则以第六章</w:t>
      </w:r>
      <w:r>
        <w:rPr>
          <w:rFonts w:hint="eastAsia" w:ascii="仿宋" w:hAnsi="仿宋" w:eastAsia="仿宋" w:cs="仿宋"/>
          <w:color w:val="auto"/>
          <w:sz w:val="28"/>
          <w:szCs w:val="28"/>
          <w:highlight w:val="none"/>
          <w:lang w:eastAsia="zh-CN"/>
        </w:rPr>
        <w:t>采购合同（范本）</w:t>
      </w:r>
      <w:r>
        <w:rPr>
          <w:rFonts w:hint="eastAsia" w:ascii="仿宋" w:hAnsi="仿宋" w:eastAsia="仿宋" w:cs="仿宋"/>
          <w:color w:val="auto"/>
          <w:sz w:val="28"/>
          <w:szCs w:val="28"/>
          <w:highlight w:val="none"/>
        </w:rPr>
        <w:t>为基础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并根据响应、答疑情况进行修改补充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自签订之日起生效。</w:t>
      </w:r>
    </w:p>
    <w:p w14:paraId="0A09C0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eastAsia="zh-CN"/>
        </w:rPr>
        <w:t>放弃中标、不能履行合同、不按照采购文件要求提供履约担保、在规定时间内无正当理由拒绝与采购人签订合同，或者被查实存在影响中标结果的违法违规行为等不符合中标条件的情形的，</w:t>
      </w:r>
      <w:r>
        <w:rPr>
          <w:rFonts w:hint="eastAsia" w:ascii="仿宋" w:hAnsi="仿宋" w:eastAsia="仿宋" w:cs="仿宋"/>
          <w:color w:val="auto"/>
          <w:sz w:val="28"/>
          <w:szCs w:val="28"/>
          <w:highlight w:val="none"/>
        </w:rPr>
        <w:t>有效投标人符合法定数量的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可以按照评审报告推荐的中标候选人名单排序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确定下一候选人为中标人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也可以重新开展招标活动。</w:t>
      </w:r>
    </w:p>
    <w:p w14:paraId="52F241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采购合同的履行、违约责任和解决争议的方法适用《中华人民共和国民法典》。</w:t>
      </w:r>
    </w:p>
    <w:p w14:paraId="28D3C5EC">
      <w:pPr>
        <w:pStyle w:val="26"/>
        <w:keepNext w:val="0"/>
        <w:keepLines w:val="0"/>
        <w:pageBreakBefore w:val="0"/>
        <w:widowControl w:val="0"/>
        <w:shd w:val="clear"/>
        <w:kinsoku/>
        <w:wordWrap/>
        <w:overflowPunct/>
        <w:topLinePunct w:val="0"/>
        <w:autoSpaceDE/>
        <w:autoSpaceDN/>
        <w:bidi w:val="0"/>
        <w:adjustRightInd/>
        <w:spacing w:before="0" w:beforeAutospacing="0" w:after="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sectPr>
          <w:footerReference r:id="rId13" w:type="default"/>
          <w:pgSz w:w="11906" w:h="16838"/>
          <w:pgMar w:top="1440" w:right="1083" w:bottom="1440" w:left="1083" w:header="851" w:footer="992" w:gutter="0"/>
          <w:pgNumType w:fmt="decimal"/>
          <w:cols w:space="0" w:num="1"/>
          <w:rtlGutter w:val="0"/>
          <w:docGrid w:type="lines" w:linePitch="312" w:charSpace="0"/>
        </w:sectPr>
      </w:pPr>
    </w:p>
    <w:p w14:paraId="67DAB9F9">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第三章  采购内容与要求</w:t>
      </w:r>
    </w:p>
    <w:p w14:paraId="2C2EF3AE">
      <w:pPr>
        <w:shd w:val="clear"/>
        <w:snapToGrid w:val="0"/>
        <w:spacing w:line="560" w:lineRule="exact"/>
        <w:ind w:firstLine="562" w:firstLineChars="201"/>
        <w:rPr>
          <w:rFonts w:hint="default" w:ascii="仿宋_GB2312" w:hAnsi="宋体" w:eastAsia="仿宋_GB2312" w:cs="Times New Roman"/>
          <w:color w:val="auto"/>
          <w:sz w:val="28"/>
          <w:szCs w:val="28"/>
          <w:highlight w:val="none"/>
          <w:lang w:val="en-US" w:eastAsia="zh-CN"/>
        </w:rPr>
      </w:pPr>
    </w:p>
    <w:p w14:paraId="19B463F3">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56A977CB">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09CD2546">
      <w:pPr>
        <w:pStyle w:val="4"/>
        <w:shd w:val="clear"/>
        <w:rPr>
          <w:color w:val="auto"/>
          <w:highlight w:val="none"/>
        </w:rPr>
      </w:pPr>
    </w:p>
    <w:p w14:paraId="4763F91E">
      <w:pPr>
        <w:shd w:val="clear"/>
        <w:snapToGrid w:val="0"/>
        <w:spacing w:line="560" w:lineRule="exact"/>
        <w:ind w:firstLine="562" w:firstLineChars="201"/>
        <w:rPr>
          <w:rFonts w:ascii="仿宋_GB2312" w:hAnsi="宋体" w:eastAsia="仿宋_GB2312"/>
          <w:color w:val="auto"/>
          <w:sz w:val="28"/>
          <w:szCs w:val="28"/>
          <w:highlight w:val="none"/>
        </w:rPr>
        <w:sectPr>
          <w:footerReference r:id="rId14" w:type="default"/>
          <w:pgSz w:w="11906" w:h="16838"/>
          <w:pgMar w:top="1440" w:right="1083" w:bottom="1440" w:left="1083" w:header="851" w:footer="992" w:gutter="0"/>
          <w:pgNumType w:fmt="decimal"/>
          <w:cols w:space="0" w:num="1"/>
          <w:rtlGutter w:val="0"/>
          <w:docGrid w:type="lines" w:linePitch="312" w:charSpace="0"/>
        </w:sectPr>
      </w:pPr>
    </w:p>
    <w:p w14:paraId="7E621C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本项目拟选定1家法律顾问服务单位，为威海粮油发展有限公司及3家下属全资子公司提供法律方面相关服务。</w:t>
      </w:r>
    </w:p>
    <w:p w14:paraId="3C4D586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一、服务内容及要求</w:t>
      </w:r>
    </w:p>
    <w:p w14:paraId="53FEC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（一）服务内容</w:t>
      </w:r>
    </w:p>
    <w:p w14:paraId="7A21C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法律顾问服务单位应为采购人提供全面、及时、高效的法律顾问服务，包括但不限于下列内容。</w:t>
      </w:r>
    </w:p>
    <w:p w14:paraId="7EC9EA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诉讼与仲裁代理：代表采购人处理诉讼、仲裁等全部应诉事宜，负责系统整理与保管所有庭审资料，并于案件所有法律程序终结后10个工作日内完成归档移交；同时，须每月定期向采购人书面汇报在办案件进展及后续工作计划。</w:t>
      </w:r>
    </w:p>
    <w:p w14:paraId="7263B5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合同文书审查与管理：按照采购人要求起草、拟订、审查合同协议等相关法律文书，常规合同审核应在两个工作日内完成并签署意见及盖章；每季度整理合同常见问题并出具书面改进建议；根据采购人要求制作、修订并更新合同范本。</w:t>
      </w:r>
    </w:p>
    <w:p w14:paraId="4C8BD7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3.日常咨询与项目支持：为采购人生产、经营决策等提供法律咨询服务；参加重大的项目谈判；解答采购人提出的相关法律问题，包括但不限于出具法律意见书，进行法律分析和论证，提供电话咨询服务。</w:t>
      </w:r>
    </w:p>
    <w:p w14:paraId="247B5A2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4.专题法律研究：根据采购人需求，在双方商定合理期限内（一般不超过15个工作日）完成专题研究并出具书面报告，内容应涵盖专题背景、法律法规梳理、法律分析与结论建议；必要时进行实地调研。</w:t>
      </w:r>
    </w:p>
    <w:p w14:paraId="722A89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5.专项非诉业务：处理采购人在经营管理中涉及的各种专项非诉讼业务，包括但不限于公司设立、转制、并购、重组、增资扩股、股权转让、投资项目谈判及相关法律文书起草与审查等。</w:t>
      </w:r>
    </w:p>
    <w:p w14:paraId="5BE9DE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6.案例管理与风险防控：代理期内对采购人诉讼及仲裁案件进行梳理分析，编撰至少一期《典型案例汇编》，对每个案例进行法律评述，并提炼出具体的风险防范建议。</w:t>
      </w:r>
    </w:p>
    <w:p w14:paraId="69F8D23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7.争议纠纷处理：为未进入诉讼阶段的争议纠纷提供法律意见，协助处理重大投诉或上访事件。</w:t>
      </w:r>
    </w:p>
    <w:p w14:paraId="64CE36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8.律师函业务：根据采购人需求出具并发送律师函，法律顾问服务单位应在收到服务需求后24小时内发出，需要送达的应提供有效送达凭证。</w:t>
      </w:r>
    </w:p>
    <w:p w14:paraId="210BF3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9.采购人交办的其他法律事务。</w:t>
      </w:r>
    </w:p>
    <w:p w14:paraId="04E95B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（二）律师代理案件费用</w:t>
      </w:r>
    </w:p>
    <w:p w14:paraId="6C238B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法律顾问服务单位代理采购人诉讼（含一审、二审、执行程序）、仲裁、劳动争议、重大非诉业务案件的，代理费的收取标准届时由双方一案一议。</w:t>
      </w:r>
    </w:p>
    <w:p w14:paraId="5CF4D5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法律顾问服务单位代采购人应诉的，除上述费用外，采购人不再支付其他法律服务费用。对于外地（威海市外）应诉案件，采购人仅承担差旅费与食宿费。</w:t>
      </w:r>
    </w:p>
    <w:p w14:paraId="169E88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本条涉及的服务费按照上述标准约定，不包括在本次报价中。</w:t>
      </w:r>
    </w:p>
    <w:p w14:paraId="4F85D9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（三）服务团队</w:t>
      </w:r>
    </w:p>
    <w:p w14:paraId="7F8182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★要求不少于2名专职律师（具有律师执业证，投标文件中附有效证件扫描件）提供服务，并指派其中一位作为项目负责人。项目负责人需执业满5年。不满足上述要求的，其投标无效。</w:t>
      </w:r>
    </w:p>
    <w:p w14:paraId="67F174E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上述人员在服务期内的任何更换，都必须事先获得采购人的书面批准。</w:t>
      </w:r>
    </w:p>
    <w:p w14:paraId="0ABFA76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（四）服务响应与考核</w:t>
      </w:r>
    </w:p>
    <w:p w14:paraId="143092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★1.响应时效：</w:t>
      </w:r>
    </w:p>
    <w:p w14:paraId="20897A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（1）常规法律咨询应在24小时内回应。</w:t>
      </w:r>
    </w:p>
    <w:p w14:paraId="7BD0FB9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（2）常规合同审查应在2个工作日内完成；法律意见书等综合性书面文件应在3个工作日内交付。</w:t>
      </w:r>
    </w:p>
    <w:p w14:paraId="4B184C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（3）人力资源专项文件（含劳动合同、员工手册、规章制度等）审核应在3个工作日内完成。</w:t>
      </w:r>
    </w:p>
    <w:p w14:paraId="34906D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（4）对于采购人标识为“特殊紧急”的事务，法律顾问服务单位应按其要求时限完成。</w:t>
      </w:r>
    </w:p>
    <w:p w14:paraId="2DF532C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（5）采购人提出现场支持要求的，法律顾问服务单位应按时派员响应。对于诉讼、仲裁（含劳动仲裁）、调解等程序性事务，必须确保律师按时出席。</w:t>
      </w:r>
    </w:p>
    <w:p w14:paraId="5C7E87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投标人应在投标文件中对上述内容作出承诺（格式自拟），不满足上述要求的或未作出承诺的，其投标无效。</w:t>
      </w:r>
    </w:p>
    <w:p w14:paraId="24F5E8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2.服务质量保障：</w:t>
      </w:r>
    </w:p>
    <w:p w14:paraId="328DF8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（1）所有正式法律文件均通过采购人指定方式发送存档；</w:t>
      </w:r>
    </w:p>
    <w:p w14:paraId="7CDDE48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（2）每半年召开工作例会汇报服务情况；</w:t>
      </w:r>
    </w:p>
    <w:p w14:paraId="7648EC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（3）采购人每年对服务质量进行评估，法律顾问服务单位需根据评估结果改进服务；</w:t>
      </w:r>
    </w:p>
    <w:p w14:paraId="604C26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（4）出现重大执业过错的，采购人有权单方解除合同并追究责任。</w:t>
      </w:r>
    </w:p>
    <w:p w14:paraId="500CC5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二、服务期</w:t>
      </w:r>
    </w:p>
    <w:p w14:paraId="41D372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3年。双方若无异议，合同期满自动延续1年，总服务期不超过4年。</w:t>
      </w:r>
    </w:p>
    <w:p w14:paraId="180EE31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三、付款方式</w:t>
      </w:r>
    </w:p>
    <w:p w14:paraId="7264D7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按年支付。乙方开具税率为6%的增值税专用发票，甲方在收到合规发票后30个工作日内支付第一年服务费；后续每下一年度服务费于上一年服务期满前30个工作日内支付。</w:t>
      </w:r>
    </w:p>
    <w:p w14:paraId="7279DD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四、最高限价</w:t>
      </w:r>
    </w:p>
    <w:p w14:paraId="032043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人民币300000.00元。</w:t>
      </w:r>
    </w:p>
    <w:p w14:paraId="273FA8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p>
    <w:p w14:paraId="59FE7408">
      <w:pPr>
        <w:pStyle w:val="26"/>
        <w:numPr>
          <w:ilvl w:val="0"/>
          <w:numId w:val="0"/>
        </w:numPr>
        <w:shd w:val="clear"/>
        <w:spacing w:before="100" w:beforeAutospacing="1" w:after="100" w:afterAutospacing="1" w:line="415" w:lineRule="auto"/>
        <w:ind w:left="1440" w:leftChars="0" w:hanging="1440" w:firstLineChars="0"/>
        <w:rPr>
          <w:rFonts w:ascii="宋体" w:hAnsi="宋体" w:cs="宋体"/>
          <w:b/>
          <w:bCs/>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第四章  评标原则、程序与方法</w:t>
      </w:r>
    </w:p>
    <w:p w14:paraId="392C6DA8">
      <w:pPr>
        <w:shd w:val="clear"/>
        <w:spacing w:line="720" w:lineRule="auto"/>
        <w:ind w:firstLine="562" w:firstLineChars="200"/>
        <w:rPr>
          <w:rFonts w:ascii="楷体_GB2312" w:eastAsia="楷体_GB2312"/>
          <w:b/>
          <w:color w:val="auto"/>
          <w:sz w:val="28"/>
          <w:szCs w:val="28"/>
          <w:highlight w:val="none"/>
        </w:rPr>
      </w:pPr>
    </w:p>
    <w:p w14:paraId="75BBD585">
      <w:pPr>
        <w:shd w:val="clear"/>
        <w:tabs>
          <w:tab w:val="left" w:pos="1507"/>
        </w:tabs>
        <w:spacing w:line="480" w:lineRule="auto"/>
        <w:ind w:firstLine="562" w:firstLineChars="200"/>
        <w:rPr>
          <w:rFonts w:hint="eastAsia" w:ascii="仿宋_GB2312" w:hAnsi="宋体" w:eastAsia="仿宋_GB2312"/>
          <w:b/>
          <w:color w:val="auto"/>
          <w:sz w:val="28"/>
          <w:szCs w:val="21"/>
          <w:highlight w:val="none"/>
        </w:rPr>
        <w:sectPr>
          <w:pgSz w:w="11906" w:h="16838"/>
          <w:pgMar w:top="1440" w:right="1083" w:bottom="1440" w:left="1083" w:header="851" w:footer="992" w:gutter="0"/>
          <w:pgNumType w:fmt="decimal"/>
          <w:cols w:space="0" w:num="1"/>
          <w:rtlGutter w:val="0"/>
          <w:docGrid w:type="lines" w:linePitch="312" w:charSpace="0"/>
        </w:sectPr>
      </w:pPr>
    </w:p>
    <w:p w14:paraId="03C38CA9">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 xml:space="preserve">一、评审原则 </w:t>
      </w:r>
    </w:p>
    <w:p w14:paraId="1078441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评标委员会将按照这一原则的要求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公正、平等地对待各投标人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在评标时恪守以下原则：</w:t>
      </w:r>
    </w:p>
    <w:p w14:paraId="30702B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1.客观性原则：评标委员会将严格按照招标文件的要求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对投标人的投标文件进行认真评审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评标委员会对投标文件的评审仅依据投标文件本身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而不依靠投标文件以外的任何因素。 </w:t>
      </w:r>
    </w:p>
    <w:p w14:paraId="09C367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采用统一标准进行评标。</w:t>
      </w:r>
    </w:p>
    <w:p w14:paraId="77DAC789">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不受外界任何因素的干扰和影响。</w:t>
      </w:r>
    </w:p>
    <w:p w14:paraId="4CE025C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不得外泄。</w:t>
      </w:r>
    </w:p>
    <w:p w14:paraId="3A1077A0">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而不以单项指标的优劣评定出中标人。</w:t>
      </w:r>
    </w:p>
    <w:p w14:paraId="05890B42">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二、评标程序</w:t>
      </w:r>
    </w:p>
    <w:p w14:paraId="410A48A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.核对评审专家身份和采购人代表授权委托书。</w:t>
      </w:r>
    </w:p>
    <w:p w14:paraId="0D30B0F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.宣布评标纪律。</w:t>
      </w:r>
    </w:p>
    <w:p w14:paraId="51846C97">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.公布投标人名单，告知评审专家应当回避的情形。</w:t>
      </w:r>
    </w:p>
    <w:p w14:paraId="4BFE428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.组织评标委员会推选评标组长，采购人代表不得担任组长。</w:t>
      </w:r>
    </w:p>
    <w:p w14:paraId="26767F3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评审专家依法对投标人的资格进行审查。</w:t>
      </w:r>
    </w:p>
    <w:p w14:paraId="2CAC8A8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评标委员会对符合资格的投标人的投标文件进行符合性审查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详见《投标须知》-《实质性条款一览表》中符合性</w:t>
      </w:r>
      <w:r>
        <w:rPr>
          <w:rFonts w:hint="eastAsia" w:ascii="仿宋" w:hAnsi="仿宋" w:eastAsia="仿宋" w:cs="仿宋"/>
          <w:color w:val="auto"/>
          <w:sz w:val="28"/>
          <w:szCs w:val="28"/>
          <w:highlight w:val="none"/>
          <w:lang w:val="en-US" w:eastAsia="zh-CN"/>
        </w:rPr>
        <w:t>审查</w:t>
      </w:r>
      <w:r>
        <w:rPr>
          <w:rFonts w:hint="eastAsia" w:ascii="仿宋" w:hAnsi="仿宋" w:eastAsia="仿宋" w:cs="仿宋"/>
          <w:color w:val="auto"/>
          <w:sz w:val="28"/>
          <w:szCs w:val="28"/>
          <w:highlight w:val="none"/>
        </w:rPr>
        <w:t>条款。</w:t>
      </w:r>
    </w:p>
    <w:p w14:paraId="53201E8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属于无效投标的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投标人不能通过修正或撤销投标文件中不符合之处而成为实质性响应的投标</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lang w:val="en-US" w:eastAsia="zh-CN"/>
        </w:rPr>
        <w:t>机构</w:t>
      </w:r>
      <w:r>
        <w:rPr>
          <w:rFonts w:hint="eastAsia" w:ascii="仿宋" w:hAnsi="仿宋" w:eastAsia="仿宋" w:cs="仿宋"/>
          <w:color w:val="auto"/>
          <w:sz w:val="28"/>
          <w:szCs w:val="28"/>
          <w:highlight w:val="none"/>
        </w:rPr>
        <w:t>将通知投标人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并说明无效投标理由；属于有效投标文件的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将进行下一轮次的询标和澄清、说明或补正。</w:t>
      </w:r>
    </w:p>
    <w:p w14:paraId="5AC95C8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.澄清、说明或者补正</w:t>
      </w:r>
    </w:p>
    <w:p w14:paraId="720F874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对有效投标文件中含义不明确、同类问题前后表述不一致或者有明显文字和计算错误的内容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评标委员会可以书面形式要求投标人在规定的时间内作出必要的澄清、说明或者纠正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投标人应在要求的时间内以书面形式澄清、说明或者补正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w:t>
      </w:r>
      <w:r>
        <w:rPr>
          <w:rFonts w:hint="eastAsia" w:ascii="仿宋" w:hAnsi="仿宋" w:eastAsia="仿宋" w:cs="仿宋"/>
          <w:color w:val="auto"/>
          <w:sz w:val="28"/>
          <w:szCs w:val="28"/>
          <w:highlight w:val="none"/>
          <w:lang w:val="en-US" w:eastAsia="zh-CN"/>
        </w:rPr>
        <w:t>加盖公章，或者</w:t>
      </w:r>
      <w:r>
        <w:rPr>
          <w:rFonts w:hint="eastAsia" w:ascii="仿宋" w:hAnsi="仿宋" w:eastAsia="仿宋" w:cs="仿宋"/>
          <w:color w:val="auto"/>
          <w:sz w:val="28"/>
          <w:szCs w:val="28"/>
          <w:highlight w:val="none"/>
        </w:rPr>
        <w:t>由其法定代表人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或被授权人签字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且不得超出投标文件的范围或者改变投标文件的实质性内容。</w:t>
      </w:r>
    </w:p>
    <w:p w14:paraId="273B4E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投标人依据评审要求进行澄清、说明或者补正的内容构成投标文件的组成部分。</w:t>
      </w:r>
    </w:p>
    <w:p w14:paraId="193F7B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.比较与评价</w:t>
      </w:r>
    </w:p>
    <w:p w14:paraId="5CE1AB7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综合比较和评价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按综合得分高低列出中标候选人排序表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若总分相同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以报价得分高的排前；若总分、报价得分都相同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则以投标技术方面得分高的排前。</w:t>
      </w:r>
    </w:p>
    <w:p w14:paraId="6F9509A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.出现下列情况之一的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均予以废标</w:t>
      </w:r>
    </w:p>
    <w:p w14:paraId="0C4A61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3182474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5211279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9789B3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1238CD98">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66E4AAF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w:t>
      </w:r>
    </w:p>
    <w:p w14:paraId="127B90D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30"/>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944"/>
        <w:gridCol w:w="1215"/>
        <w:gridCol w:w="6113"/>
        <w:gridCol w:w="863"/>
        <w:gridCol w:w="713"/>
      </w:tblGrid>
      <w:tr w14:paraId="7FE6C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shd w:val="clear" w:color="auto" w:fill="D9D9D9"/>
            <w:noWrap w:val="0"/>
            <w:vAlign w:val="center"/>
          </w:tcPr>
          <w:p w14:paraId="09DA949A">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617" w:type="pct"/>
            <w:shd w:val="clear" w:color="auto" w:fill="D9D9D9"/>
            <w:noWrap w:val="0"/>
            <w:vAlign w:val="center"/>
          </w:tcPr>
          <w:p w14:paraId="76A820F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评分标题</w:t>
            </w:r>
          </w:p>
        </w:tc>
        <w:tc>
          <w:tcPr>
            <w:tcW w:w="3103" w:type="pct"/>
            <w:shd w:val="clear" w:color="auto" w:fill="D9D9D9"/>
            <w:noWrap w:val="0"/>
            <w:vAlign w:val="center"/>
          </w:tcPr>
          <w:p w14:paraId="62421B4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438" w:type="pct"/>
            <w:shd w:val="clear" w:color="auto" w:fill="D9D9D9"/>
            <w:noWrap w:val="0"/>
            <w:vAlign w:val="center"/>
          </w:tcPr>
          <w:p w14:paraId="2E94F24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362" w:type="pct"/>
            <w:shd w:val="clear" w:color="auto" w:fill="D9D9D9"/>
            <w:noWrap w:val="0"/>
            <w:vAlign w:val="center"/>
          </w:tcPr>
          <w:p w14:paraId="784343E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121A9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88DDD8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617" w:type="pct"/>
            <w:noWrap w:val="0"/>
            <w:vAlign w:val="center"/>
          </w:tcPr>
          <w:p w14:paraId="030A50E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w:t>
            </w:r>
          </w:p>
        </w:tc>
        <w:tc>
          <w:tcPr>
            <w:tcW w:w="3103" w:type="pct"/>
            <w:noWrap w:val="0"/>
            <w:vAlign w:val="center"/>
          </w:tcPr>
          <w:p w14:paraId="35F20752">
            <w:pPr>
              <w:pStyle w:val="6"/>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标基准价计算方法：当0≤有效投标人个数≤6时，评标基准价=所有有效标书的投标报价的算术平均值；当7≤有效投标人个数≤9时，评标基准价=所有有效标书的投标报价去掉1个最高价、1个最低价后的算术平均值；当10≤有效投标人个数≤∞时，评标基准价=所有有效标书的投标报价去掉2个最高价、2个最低价后的算术平均值。</w:t>
            </w:r>
          </w:p>
          <w:p w14:paraId="75904A85">
            <w:pPr>
              <w:pStyle w:val="6"/>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投标报价与评标基准价进行比较，相同得满分；每高于评标基准价1%，扣减0.5分，扣完为止；每低于评标基准价1%，扣减0.25分，扣完为止；偏离不足1%时，按照插入法计算得分，分数保留两位小数。</w:t>
            </w:r>
          </w:p>
        </w:tc>
        <w:tc>
          <w:tcPr>
            <w:tcW w:w="438" w:type="pct"/>
            <w:noWrap w:val="0"/>
            <w:vAlign w:val="center"/>
          </w:tcPr>
          <w:p w14:paraId="15C4570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价格分</w:t>
            </w:r>
          </w:p>
        </w:tc>
        <w:tc>
          <w:tcPr>
            <w:tcW w:w="362" w:type="pct"/>
            <w:noWrap w:val="0"/>
            <w:vAlign w:val="center"/>
          </w:tcPr>
          <w:p w14:paraId="78F7CD6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w:t>
            </w:r>
          </w:p>
        </w:tc>
      </w:tr>
      <w:tr w14:paraId="0D6F9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B34419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770B224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w:t>
            </w:r>
          </w:p>
        </w:tc>
        <w:tc>
          <w:tcPr>
            <w:tcW w:w="3103" w:type="pct"/>
            <w:noWrap w:val="0"/>
            <w:vAlign w:val="center"/>
          </w:tcPr>
          <w:p w14:paraId="1995713B">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投标人2023年1月1日至今（以合同签订时间为准）承揽的同类项目（指为法人或非法人组织提供法律顾问服务）业绩，每有一个得2分，本项最高得10分。</w:t>
            </w:r>
          </w:p>
          <w:p w14:paraId="2643A0C5">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注：投标文件中附合同主要条款页扫描件，不提供或提供的不满足要求不计分。</w:t>
            </w:r>
          </w:p>
        </w:tc>
        <w:tc>
          <w:tcPr>
            <w:tcW w:w="438" w:type="pct"/>
            <w:noWrap w:val="0"/>
            <w:vAlign w:val="center"/>
          </w:tcPr>
          <w:p w14:paraId="2F5FC492">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4A0AA1CF">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14:paraId="7F1B7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139438A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5B5DE33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项目负责人经验</w:t>
            </w:r>
          </w:p>
        </w:tc>
        <w:tc>
          <w:tcPr>
            <w:tcW w:w="3103" w:type="pct"/>
            <w:noWrap w:val="0"/>
            <w:vAlign w:val="center"/>
          </w:tcPr>
          <w:p w14:paraId="5C0EA0A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拟派项目负责人2023年1月1日至今（以合同签订时间为准）作为项目负责人为法人或非法人组织提供法律顾问服务的，每有一个得2分，本项最高得4分。</w:t>
            </w:r>
          </w:p>
          <w:p w14:paraId="25E4B83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注：投标文件中附合同主要条款页扫描件，合同内容无法体现项目负责人的还应提供其他证明材料，不提供或提供的不满足要求不计分。</w:t>
            </w:r>
          </w:p>
        </w:tc>
        <w:tc>
          <w:tcPr>
            <w:tcW w:w="438" w:type="pct"/>
            <w:noWrap w:val="0"/>
            <w:vAlign w:val="center"/>
          </w:tcPr>
          <w:p w14:paraId="7BC4C910">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2C334394">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r>
      <w:tr w14:paraId="1C600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4584A17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77757B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服务方案</w:t>
            </w:r>
          </w:p>
        </w:tc>
        <w:tc>
          <w:tcPr>
            <w:tcW w:w="3103" w:type="pct"/>
            <w:noWrap w:val="0"/>
            <w:vAlign w:val="center"/>
          </w:tcPr>
          <w:p w14:paraId="797C9E03">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sz w:val="24"/>
                <w:szCs w:val="24"/>
                <w:highlight w:val="none"/>
                <w:lang w:val="en-US" w:eastAsia="zh-CN"/>
              </w:rPr>
              <w:t>服务方案内容全面，对项目理解准确深入，能够紧密结合采购人实际需求，提出具有针对性、可操作性的法律服务措施。（10分）</w:t>
            </w:r>
          </w:p>
          <w:p w14:paraId="212E2B2D">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en-US" w:eastAsia="zh-CN" w:bidi="ar-SA"/>
              </w:rPr>
              <w:t>服务流程清晰合理，工作方法科学高效，能够根据项目特点灵活调整服务策略，确保法律服务响应及时、处置得当。（10分）</w:t>
            </w:r>
          </w:p>
          <w:p w14:paraId="00DCE8C1">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对常见法律风险的预判与处置方案具体可行，能够结合采购人业务特点及过往类似项目经验，针对项目服务过程中所有可能出现的问题考虑周全、阐释清晰，并针对性地提出前置性防控措施和分级响应机制。（10分）</w:t>
            </w:r>
          </w:p>
          <w:p w14:paraId="4143B216">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eastAsia="宋体"/>
                <w:lang w:val="en-US" w:eastAsia="zh-CN"/>
              </w:rPr>
            </w:pPr>
            <w:r>
              <w:rPr>
                <w:rFonts w:hint="eastAsia" w:ascii="仿宋" w:hAnsi="仿宋" w:eastAsia="仿宋" w:cs="仿宋"/>
                <w:b w:val="0"/>
                <w:bCs w:val="0"/>
                <w:color w:val="auto"/>
                <w:kern w:val="2"/>
                <w:sz w:val="24"/>
                <w:szCs w:val="24"/>
                <w:lang w:val="en-US" w:eastAsia="zh-CN" w:bidi="ar-SA"/>
              </w:rPr>
              <w:t>4.突发情况处置预案详细完善，可操作性强，对突发事件能够做到及时应急响应。（6分）</w:t>
            </w:r>
          </w:p>
          <w:p w14:paraId="5A9338E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w:t>
            </w:r>
            <w:r>
              <w:rPr>
                <w:rFonts w:hint="default" w:ascii="仿宋" w:hAnsi="仿宋" w:eastAsia="仿宋" w:cs="仿宋"/>
                <w:b w:val="0"/>
                <w:bCs w:val="0"/>
                <w:color w:val="auto"/>
                <w:sz w:val="24"/>
                <w:szCs w:val="24"/>
                <w:highlight w:val="none"/>
                <w:lang w:val="en-US" w:eastAsia="zh-CN"/>
              </w:rPr>
              <w:t>.与相关部门的协调机制</w:t>
            </w:r>
            <w:r>
              <w:rPr>
                <w:rFonts w:hint="eastAsia" w:ascii="仿宋" w:hAnsi="仿宋" w:eastAsia="仿宋" w:cs="仿宋"/>
                <w:b w:val="0"/>
                <w:bCs w:val="0"/>
                <w:color w:val="auto"/>
                <w:sz w:val="24"/>
                <w:szCs w:val="24"/>
                <w:highlight w:val="none"/>
                <w:lang w:val="en-US" w:eastAsia="zh-CN"/>
              </w:rPr>
              <w:t>健全高效。（6分）</w:t>
            </w:r>
          </w:p>
          <w:p w14:paraId="6727359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以上共计42分。投标人针对上述内容描述详细完善，内容全面，表述思路清晰，能够充分满足要求，该项得满分。无相应内容的该项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2CFAD841">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45029B33">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w:t>
            </w:r>
          </w:p>
        </w:tc>
      </w:tr>
      <w:tr w14:paraId="63249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688CB8F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26FC2AC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质量保证措施</w:t>
            </w:r>
          </w:p>
        </w:tc>
        <w:tc>
          <w:tcPr>
            <w:tcW w:w="3103" w:type="pct"/>
            <w:noWrap w:val="0"/>
            <w:vAlign w:val="center"/>
          </w:tcPr>
          <w:p w14:paraId="3CDE1FA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内控制度完整规范，内部质量管控举措严谨周密，可切实保障法律服务全流程的合规性与专业性，保证各项服务环节权责清晰、过程可控、结果可查。</w:t>
            </w:r>
          </w:p>
          <w:p w14:paraId="76355DA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3E0235CA">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0BA3D17F">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r>
      <w:tr w14:paraId="619A2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0F88EC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617" w:type="pct"/>
            <w:noWrap w:val="0"/>
            <w:vAlign w:val="center"/>
          </w:tcPr>
          <w:p w14:paraId="48BA8DD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服务承诺</w:t>
            </w:r>
          </w:p>
        </w:tc>
        <w:tc>
          <w:tcPr>
            <w:tcW w:w="3103" w:type="pct"/>
            <w:noWrap w:val="0"/>
            <w:vAlign w:val="center"/>
          </w:tcPr>
          <w:p w14:paraId="53A110C2">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服务承诺内容完整全面，针对不同类型法律事务设置差异化响应机制，响应速度快，各类问题的处理解决效率高，解决办法切实可行，能够充分满足采购人需求。</w:t>
            </w:r>
          </w:p>
          <w:p w14:paraId="499E7E04">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04DEEF15">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D68283C">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r>
    </w:tbl>
    <w:p w14:paraId="0069139A">
      <w:pPr>
        <w:shd w:val="clear"/>
        <w:spacing w:before="100" w:beforeAutospacing="1" w:after="100" w:afterAutospacing="1" w:line="415" w:lineRule="auto"/>
        <w:jc w:val="center"/>
        <w:outlineLvl w:val="0"/>
        <w:rPr>
          <w:rFonts w:hint="eastAsia" w:ascii="楷体_GB2312" w:hAnsi="宋体" w:eastAsia="楷体_GB2312" w:cs="宋体"/>
          <w:b/>
          <w:bCs/>
          <w:color w:val="auto"/>
          <w:sz w:val="44"/>
          <w:szCs w:val="44"/>
          <w:highlight w:val="none"/>
        </w:rPr>
      </w:pPr>
    </w:p>
    <w:p w14:paraId="19BE52C0">
      <w:pPr>
        <w:shd w:val="clear"/>
        <w:spacing w:before="100" w:beforeAutospacing="1" w:after="100" w:afterAutospacing="1" w:line="415" w:lineRule="auto"/>
        <w:jc w:val="center"/>
        <w:outlineLvl w:val="0"/>
        <w:rPr>
          <w:rFonts w:ascii="楷体_GB2312" w:hAnsi="宋体" w:eastAsia="楷体_GB2312" w:cs="宋体"/>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5F40E932">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sz w:val="44"/>
          <w:szCs w:val="44"/>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第五章  投标文件格式</w:t>
      </w:r>
    </w:p>
    <w:p w14:paraId="18A64A28">
      <w:pPr>
        <w:shd w:val="clear"/>
        <w:rPr>
          <w:rFonts w:hint="eastAsia"/>
          <w:color w:val="auto"/>
          <w:highlight w:val="none"/>
        </w:rPr>
      </w:pPr>
    </w:p>
    <w:p w14:paraId="7E49C012">
      <w:pPr>
        <w:pStyle w:val="9"/>
        <w:shd w:val="clear"/>
        <w:rPr>
          <w:rFonts w:hint="eastAsia"/>
          <w:color w:val="auto"/>
          <w:highlight w:val="none"/>
        </w:rPr>
      </w:pPr>
    </w:p>
    <w:p w14:paraId="14A2F161">
      <w:pPr>
        <w:shd w:val="clear"/>
        <w:rPr>
          <w:rFonts w:hint="eastAsia"/>
          <w:color w:val="auto"/>
          <w:highlight w:val="none"/>
        </w:rPr>
      </w:pPr>
    </w:p>
    <w:p w14:paraId="7939702F">
      <w:pPr>
        <w:pStyle w:val="9"/>
        <w:shd w:val="clear"/>
        <w:rPr>
          <w:rFonts w:hint="eastAsia"/>
          <w:color w:val="auto"/>
          <w:highlight w:val="none"/>
        </w:rPr>
      </w:pPr>
    </w:p>
    <w:p w14:paraId="5F29A9C2">
      <w:pPr>
        <w:shd w:val="clear"/>
        <w:rPr>
          <w:rFonts w:hint="eastAsia"/>
          <w:color w:val="auto"/>
          <w:highlight w:val="none"/>
        </w:rPr>
      </w:pPr>
    </w:p>
    <w:p w14:paraId="5EE5F81E">
      <w:pPr>
        <w:pStyle w:val="9"/>
        <w:shd w:val="clear"/>
        <w:rPr>
          <w:rFonts w:hint="eastAsia"/>
          <w:color w:val="auto"/>
          <w:highlight w:val="none"/>
        </w:rPr>
      </w:pPr>
    </w:p>
    <w:p w14:paraId="14740490">
      <w:pPr>
        <w:shd w:val="clear"/>
        <w:rPr>
          <w:color w:val="auto"/>
          <w:highlight w:val="none"/>
        </w:rPr>
      </w:pPr>
    </w:p>
    <w:p w14:paraId="0433F6EA">
      <w:pPr>
        <w:shd w:val="clear"/>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投 标 文 件</w:t>
      </w:r>
    </w:p>
    <w:p w14:paraId="13AB8451">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0CC21DB8">
      <w:pPr>
        <w:shd w:val="clear"/>
        <w:jc w:val="center"/>
        <w:rPr>
          <w:rFonts w:hint="eastAsia" w:ascii="仿宋" w:hAnsi="仿宋" w:eastAsia="仿宋" w:cs="仿宋"/>
          <w:color w:val="auto"/>
          <w:sz w:val="72"/>
          <w:highlight w:val="none"/>
        </w:rPr>
      </w:pPr>
    </w:p>
    <w:p w14:paraId="79DA556E">
      <w:pPr>
        <w:shd w:val="clear"/>
        <w:jc w:val="left"/>
        <w:rPr>
          <w:rFonts w:hint="eastAsia" w:ascii="仿宋" w:hAnsi="仿宋" w:eastAsia="仿宋" w:cs="仿宋"/>
          <w:b/>
          <w:color w:val="auto"/>
          <w:sz w:val="36"/>
          <w:szCs w:val="36"/>
          <w:highlight w:val="none"/>
        </w:rPr>
      </w:pPr>
      <w:r>
        <w:rPr>
          <w:rFonts w:hint="eastAsia" w:ascii="仿宋" w:hAnsi="仿宋" w:eastAsia="仿宋" w:cs="仿宋"/>
          <w:b/>
          <w:bCs/>
          <w:color w:val="auto"/>
          <w:sz w:val="36"/>
          <w:szCs w:val="36"/>
          <w:highlight w:val="none"/>
        </w:rPr>
        <w:t>采购项目：</w:t>
      </w:r>
      <w:r>
        <w:rPr>
          <w:rFonts w:hint="eastAsia" w:ascii="仿宋" w:hAnsi="仿宋" w:eastAsia="仿宋" w:cs="仿宋"/>
          <w:b/>
          <w:bCs/>
          <w:color w:val="auto"/>
          <w:sz w:val="36"/>
          <w:szCs w:val="36"/>
          <w:highlight w:val="none"/>
          <w:lang w:eastAsia="zh-CN"/>
        </w:rPr>
        <w:t>威海粮油发展有限公司常年法律顾问服务单位项目</w:t>
      </w:r>
    </w:p>
    <w:p w14:paraId="71F89436">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采购编号：</w:t>
      </w:r>
      <w:r>
        <w:rPr>
          <w:rFonts w:hint="eastAsia" w:ascii="仿宋" w:hAnsi="仿宋" w:eastAsia="仿宋" w:cs="仿宋"/>
          <w:b/>
          <w:bCs/>
          <w:color w:val="auto"/>
          <w:sz w:val="36"/>
          <w:szCs w:val="36"/>
          <w:highlight w:val="none"/>
          <w:lang w:eastAsia="zh-CN"/>
        </w:rPr>
        <w:t>WHZCZB2026-096</w:t>
      </w:r>
    </w:p>
    <w:p w14:paraId="346DFF86">
      <w:pPr>
        <w:shd w:val="clear"/>
        <w:jc w:val="left"/>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rPr>
        <w:t>所投包号：</w:t>
      </w:r>
      <w:r>
        <w:rPr>
          <w:rFonts w:hint="eastAsia" w:ascii="仿宋" w:hAnsi="仿宋" w:eastAsia="仿宋" w:cs="仿宋"/>
          <w:b/>
          <w:bCs/>
          <w:color w:val="auto"/>
          <w:sz w:val="36"/>
          <w:szCs w:val="36"/>
          <w:highlight w:val="none"/>
          <w:lang w:val="en-US" w:eastAsia="zh-CN"/>
        </w:rPr>
        <w:t>001</w:t>
      </w:r>
    </w:p>
    <w:p w14:paraId="430B93D9">
      <w:pPr>
        <w:shd w:val="clear"/>
        <w:jc w:val="left"/>
        <w:rPr>
          <w:rFonts w:hint="eastAsia" w:ascii="仿宋" w:hAnsi="仿宋" w:eastAsia="仿宋" w:cs="仿宋"/>
          <w:color w:val="auto"/>
          <w:sz w:val="36"/>
          <w:highlight w:val="none"/>
        </w:rPr>
      </w:pPr>
    </w:p>
    <w:p w14:paraId="5F00E856">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326E5A95">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5BFAB5F9">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lang w:val="en-US" w:eastAsia="zh-CN"/>
        </w:rPr>
        <w:t>盖章</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rPr>
        <w:t>：</w:t>
      </w:r>
    </w:p>
    <w:p w14:paraId="6BD54B72">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4FA64601">
      <w:pPr>
        <w:widowControl/>
        <w:shd w:val="clear"/>
        <w:jc w:val="center"/>
        <w:rPr>
          <w:rFonts w:ascii="黑体" w:hAnsi="黑体" w:eastAsia="黑体"/>
          <w:color w:val="auto"/>
          <w:sz w:val="44"/>
          <w:szCs w:val="44"/>
          <w:highlight w:val="none"/>
        </w:rPr>
      </w:pPr>
      <w:r>
        <w:rPr>
          <w:rFonts w:hint="eastAsia" w:ascii="仿宋" w:hAnsi="仿宋" w:eastAsia="仿宋" w:cs="仿宋"/>
          <w:color w:val="auto"/>
          <w:sz w:val="36"/>
          <w:szCs w:val="36"/>
          <w:highlight w:val="none"/>
        </w:rPr>
        <w:br w:type="page"/>
      </w:r>
      <w:r>
        <w:rPr>
          <w:rFonts w:hint="eastAsia" w:ascii="黑体" w:hAnsi="黑体" w:eastAsia="黑体"/>
          <w:b/>
          <w:bCs/>
          <w:color w:val="auto"/>
          <w:sz w:val="44"/>
          <w:szCs w:val="44"/>
          <w:highlight w:val="none"/>
        </w:rPr>
        <w:t>目录</w:t>
      </w:r>
    </w:p>
    <w:p w14:paraId="0872029E">
      <w:pPr>
        <w:widowControl/>
        <w:shd w:val="clear"/>
        <w:jc w:val="center"/>
        <w:rPr>
          <w:rFonts w:hint="eastAsia"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723CAD7B">
      <w:pPr>
        <w:widowControl/>
        <w:shd w:val="clear"/>
        <w:ind w:right="-35"/>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sz w:val="36"/>
          <w:szCs w:val="36"/>
          <w:highlight w:val="none"/>
        </w:rPr>
        <w:br w:type="page"/>
      </w:r>
      <w:bookmarkStart w:id="5" w:name="_Toc522526779"/>
      <w:bookmarkStart w:id="6" w:name="_Toc521936040"/>
      <w:r>
        <w:rPr>
          <w:rFonts w:hint="eastAsia" w:ascii="黑体" w:hAnsi="黑体" w:eastAsia="黑体" w:cs="Times New Roman"/>
          <w:b/>
          <w:bCs/>
          <w:color w:val="auto"/>
          <w:sz w:val="44"/>
          <w:szCs w:val="44"/>
          <w:highlight w:val="none"/>
        </w:rPr>
        <w:t>投标承诺函</w:t>
      </w:r>
      <w:bookmarkEnd w:id="5"/>
      <w:bookmarkEnd w:id="6"/>
    </w:p>
    <w:p w14:paraId="73723BAB">
      <w:pPr>
        <w:shd w:val="clear"/>
        <w:spacing w:line="560" w:lineRule="exact"/>
        <w:rPr>
          <w:rFonts w:hint="eastAsia" w:ascii="仿宋" w:hAnsi="仿宋" w:eastAsia="仿宋" w:cs="仿宋"/>
          <w:color w:val="auto"/>
          <w:sz w:val="30"/>
          <w:szCs w:val="30"/>
          <w:highlight w:val="none"/>
        </w:rPr>
      </w:pPr>
    </w:p>
    <w:p w14:paraId="1AC6A676">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7787A7A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我方收到项目编号为</w:t>
      </w:r>
      <w:r>
        <w:rPr>
          <w:rFonts w:hint="eastAsia" w:ascii="仿宋" w:hAnsi="仿宋" w:eastAsia="仿宋" w:cs="仿宋"/>
          <w:color w:val="auto"/>
          <w:kern w:val="0"/>
          <w:sz w:val="30"/>
          <w:szCs w:val="30"/>
          <w:highlight w:val="none"/>
          <w:lang w:eastAsia="zh-CN"/>
        </w:rPr>
        <w:t>WHZCZB2026-096威海粮油发展有限公司常年法律顾问服务单位项目</w:t>
      </w:r>
      <w:r>
        <w:rPr>
          <w:rFonts w:hint="eastAsia" w:ascii="仿宋" w:hAnsi="仿宋" w:eastAsia="仿宋" w:cs="仿宋"/>
          <w:color w:val="auto"/>
          <w:kern w:val="0"/>
          <w:sz w:val="30"/>
          <w:szCs w:val="30"/>
          <w:highlight w:val="none"/>
        </w:rPr>
        <w:t>的招标文件</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经详细研究决定参加投标。</w:t>
      </w:r>
    </w:p>
    <w:p w14:paraId="3165320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1.我方接受本招标文件中关于电子招投标的各项规定</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遵守《中华人民共和国电子签名法》关于电子签名的各项规定。我方愿意按照招标文件的规定和要求提供服务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报价详见《开标一览表》。</w:t>
      </w:r>
    </w:p>
    <w:p w14:paraId="5554D94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严格遵守投标文件的各项承诺。在此期限届满之前</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本投标文件始终对我方具有约束力</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并随时接受中标。我方承诺在投标有效期内不修改、撤销投标文件。</w:t>
      </w:r>
    </w:p>
    <w:p w14:paraId="4CECFE1E">
      <w:pPr>
        <w:shd w:val="clear"/>
        <w:spacing w:line="560" w:lineRule="exact"/>
        <w:ind w:firstLine="600" w:firstLineChars="200"/>
        <w:rPr>
          <w:rFonts w:hint="eastAsia" w:ascii="仿宋" w:hAnsi="仿宋" w:eastAsia="仿宋" w:cs="仿宋"/>
          <w:strike/>
          <w:color w:val="auto"/>
          <w:kern w:val="0"/>
          <w:sz w:val="30"/>
          <w:szCs w:val="30"/>
          <w:highlight w:val="none"/>
        </w:rPr>
      </w:pPr>
      <w:r>
        <w:rPr>
          <w:rFonts w:hint="eastAsia" w:ascii="仿宋" w:hAnsi="仿宋" w:eastAsia="仿宋" w:cs="仿宋"/>
          <w:color w:val="auto"/>
          <w:kern w:val="0"/>
          <w:sz w:val="30"/>
          <w:szCs w:val="30"/>
          <w:highlight w:val="none"/>
        </w:rPr>
        <w:t>3.我方愿意遵守本招标文件的规定和要求并提供招标文件中要求的所有资料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若投标文件中存在虚假资料的</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则视为我方隐瞒真实情况、提供虚假资料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我方愿意接受主管部门做出的行政处罚。</w:t>
      </w:r>
    </w:p>
    <w:p w14:paraId="2479499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4.我方同意最低价是中标的主要选择标准，但不是唯一的选择标准。</w:t>
      </w:r>
    </w:p>
    <w:p w14:paraId="0B75511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rPr>
        <w:t>5.</w:t>
      </w:r>
      <w:r>
        <w:rPr>
          <w:rFonts w:hint="eastAsia" w:ascii="仿宋" w:hAnsi="仿宋" w:eastAsia="仿宋" w:cs="仿宋"/>
          <w:color w:val="auto"/>
          <w:kern w:val="0"/>
          <w:sz w:val="30"/>
          <w:szCs w:val="30"/>
          <w:highlight w:val="none"/>
        </w:rPr>
        <w:t>如果我方中标：</w:t>
      </w:r>
    </w:p>
    <w:p w14:paraId="190B51E4">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在规定期限内与</w:t>
      </w:r>
      <w:r>
        <w:rPr>
          <w:rFonts w:hint="eastAsia" w:ascii="仿宋" w:hAnsi="仿宋" w:eastAsia="仿宋" w:cs="仿宋"/>
          <w:color w:val="auto"/>
          <w:kern w:val="0"/>
          <w:sz w:val="30"/>
          <w:szCs w:val="30"/>
          <w:highlight w:val="none"/>
          <w:lang w:eastAsia="zh-CN"/>
        </w:rPr>
        <w:t>采购人</w:t>
      </w:r>
      <w:r>
        <w:rPr>
          <w:rFonts w:hint="eastAsia" w:ascii="仿宋" w:hAnsi="仿宋" w:eastAsia="仿宋" w:cs="仿宋"/>
          <w:color w:val="auto"/>
          <w:kern w:val="0"/>
          <w:sz w:val="30"/>
          <w:szCs w:val="30"/>
          <w:highlight w:val="none"/>
        </w:rPr>
        <w:t>签订合同；</w:t>
      </w:r>
    </w:p>
    <w:p w14:paraId="789CAB3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（2）我方承诺在合同约定的期限内</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按期、保质、保量完成</w:t>
      </w:r>
      <w:r>
        <w:rPr>
          <w:rFonts w:hint="eastAsia" w:ascii="仿宋" w:hAnsi="仿宋" w:eastAsia="仿宋" w:cs="仿宋"/>
          <w:color w:val="auto"/>
          <w:kern w:val="0"/>
          <w:sz w:val="30"/>
          <w:szCs w:val="30"/>
          <w:highlight w:val="none"/>
          <w:lang w:val="en-US" w:eastAsia="zh-CN"/>
        </w:rPr>
        <w:t>服务</w:t>
      </w:r>
      <w:r>
        <w:rPr>
          <w:rFonts w:hint="eastAsia" w:ascii="仿宋" w:hAnsi="仿宋" w:eastAsia="仿宋" w:cs="仿宋"/>
          <w:color w:val="auto"/>
          <w:kern w:val="0"/>
          <w:sz w:val="30"/>
          <w:szCs w:val="30"/>
          <w:highlight w:val="none"/>
        </w:rPr>
        <w:t>任务；</w:t>
      </w:r>
    </w:p>
    <w:p w14:paraId="5FD09A6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（3）我方承诺将按照招标文件的规定全额交纳代理服务费。</w:t>
      </w:r>
    </w:p>
    <w:p w14:paraId="10E6846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eastAsia="zh-CN"/>
        </w:rPr>
        <w:t>6</w:t>
      </w:r>
      <w:r>
        <w:rPr>
          <w:rFonts w:hint="eastAsia" w:ascii="仿宋" w:hAnsi="仿宋" w:eastAsia="仿宋" w:cs="仿宋"/>
          <w:color w:val="auto"/>
          <w:kern w:val="0"/>
          <w:sz w:val="30"/>
          <w:szCs w:val="30"/>
          <w:highlight w:val="none"/>
        </w:rPr>
        <w:t>.所有有关本投标的函电</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请按下列地址联系：</w:t>
      </w:r>
    </w:p>
    <w:p w14:paraId="12A7B11D">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3A38006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751BB60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628262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22757211">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248AA9F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0FD1123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25ABC9E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/单位负责人</w:t>
      </w:r>
      <w:r>
        <w:rPr>
          <w:rFonts w:hint="eastAsia" w:ascii="仿宋" w:hAnsi="仿宋" w:eastAsia="仿宋" w:cs="仿宋"/>
          <w:color w:val="auto"/>
          <w:kern w:val="0"/>
          <w:sz w:val="30"/>
          <w:szCs w:val="30"/>
          <w:highlight w:val="none"/>
        </w:rPr>
        <w:t>或被授权人（签字或盖章）：</w:t>
      </w:r>
    </w:p>
    <w:p w14:paraId="531C87E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24C5DDEE">
      <w:pPr>
        <w:shd w:val="clear"/>
        <w:spacing w:line="560" w:lineRule="exact"/>
        <w:ind w:firstLine="600" w:firstLineChars="200"/>
        <w:rPr>
          <w:rFonts w:hint="eastAsia"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48569E0B">
      <w:pPr>
        <w:shd w:val="clear"/>
        <w:spacing w:line="560" w:lineRule="exact"/>
        <w:ind w:firstLine="600" w:firstLineChars="200"/>
        <w:rPr>
          <w:rFonts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6399BB19">
      <w:pPr>
        <w:keepNext/>
        <w:keepLines/>
        <w:shd w:val="clear"/>
        <w:spacing w:line="560" w:lineRule="exact"/>
        <w:jc w:val="center"/>
        <w:outlineLvl w:val="1"/>
        <w:rPr>
          <w:rFonts w:ascii="Arial" w:hAnsi="Arial" w:eastAsia="黑体"/>
          <w:bCs/>
          <w:color w:val="auto"/>
          <w:sz w:val="44"/>
          <w:szCs w:val="32"/>
          <w:highlight w:val="none"/>
        </w:rPr>
        <w:sectPr>
          <w:headerReference r:id="rId15" w:type="default"/>
          <w:footerReference r:id="rId16" w:type="default"/>
          <w:pgSz w:w="11906" w:h="16838"/>
          <w:pgMar w:top="1440" w:right="1083" w:bottom="1440" w:left="1083" w:header="851" w:footer="992" w:gutter="0"/>
          <w:pgNumType w:fmt="decimal"/>
          <w:cols w:space="0" w:num="1"/>
          <w:rtlGutter w:val="0"/>
          <w:docGrid w:type="lines" w:linePitch="312" w:charSpace="0"/>
        </w:sectPr>
      </w:pPr>
      <w:bookmarkStart w:id="7" w:name="_Toc522526780"/>
      <w:bookmarkStart w:id="8" w:name="_Toc521936041"/>
    </w:p>
    <w:p w14:paraId="358BBC54">
      <w:pPr>
        <w:widowControl/>
        <w:shd w:val="clear"/>
        <w:jc w:val="center"/>
        <w:rPr>
          <w:rFonts w:hint="eastAsia" w:ascii="黑体" w:hAnsi="黑体" w:eastAsia="黑体" w:cs="Times New Roman"/>
          <w:b/>
          <w:bCs/>
          <w:color w:val="auto"/>
          <w:sz w:val="44"/>
          <w:szCs w:val="44"/>
          <w:highlight w:val="none"/>
          <w:lang w:eastAsia="zh-CN"/>
        </w:rPr>
      </w:pPr>
      <w:r>
        <w:rPr>
          <w:rFonts w:hint="eastAsia" w:ascii="黑体" w:hAnsi="黑体" w:eastAsia="黑体" w:cs="Times New Roman"/>
          <w:b/>
          <w:bCs/>
          <w:color w:val="auto"/>
          <w:sz w:val="44"/>
          <w:szCs w:val="44"/>
          <w:highlight w:val="none"/>
          <w:lang w:eastAsia="zh-CN"/>
        </w:rPr>
        <w:t>报价明细表</w:t>
      </w:r>
    </w:p>
    <w:p w14:paraId="02F92ACB">
      <w:pPr>
        <w:pStyle w:val="176"/>
        <w:keepNext w:val="0"/>
        <w:keepLines w:val="0"/>
        <w:pageBreakBefore w:val="0"/>
        <w:widowControl w:val="0"/>
        <w:shd w:val="clear"/>
        <w:kinsoku/>
        <w:wordWrap/>
        <w:overflowPunct/>
        <w:topLinePunct w:val="0"/>
        <w:bidi w:val="0"/>
        <w:snapToGrid/>
        <w:spacing w:line="480" w:lineRule="exact"/>
        <w:ind w:right="0" w:rightChars="0" w:firstLine="0" w:firstLineChars="0"/>
        <w:jc w:val="right"/>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单位：元</w:t>
      </w:r>
    </w:p>
    <w:tbl>
      <w:tblPr>
        <w:tblStyle w:val="3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2046"/>
        <w:gridCol w:w="2046"/>
        <w:gridCol w:w="1170"/>
        <w:gridCol w:w="1170"/>
        <w:gridCol w:w="1171"/>
        <w:gridCol w:w="1179"/>
      </w:tblGrid>
      <w:tr w14:paraId="7A68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588" w:type="pct"/>
            <w:noWrap w:val="0"/>
            <w:vAlign w:val="center"/>
          </w:tcPr>
          <w:p w14:paraId="017DB7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序号</w:t>
            </w:r>
          </w:p>
        </w:tc>
        <w:tc>
          <w:tcPr>
            <w:tcW w:w="1028" w:type="pct"/>
            <w:noWrap w:val="0"/>
            <w:vAlign w:val="center"/>
          </w:tcPr>
          <w:p w14:paraId="6CA338A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服务内容</w:t>
            </w:r>
          </w:p>
        </w:tc>
        <w:tc>
          <w:tcPr>
            <w:tcW w:w="1028" w:type="pct"/>
            <w:noWrap w:val="0"/>
            <w:vAlign w:val="center"/>
          </w:tcPr>
          <w:p w14:paraId="1A54B3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详细说明</w:t>
            </w:r>
          </w:p>
        </w:tc>
        <w:tc>
          <w:tcPr>
            <w:tcW w:w="588" w:type="pct"/>
            <w:noWrap w:val="0"/>
            <w:vAlign w:val="center"/>
          </w:tcPr>
          <w:p w14:paraId="2CBF99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数量</w:t>
            </w:r>
          </w:p>
        </w:tc>
        <w:tc>
          <w:tcPr>
            <w:tcW w:w="588" w:type="pct"/>
            <w:noWrap w:val="0"/>
            <w:vAlign w:val="center"/>
          </w:tcPr>
          <w:p w14:paraId="44008FC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单位</w:t>
            </w:r>
          </w:p>
        </w:tc>
        <w:tc>
          <w:tcPr>
            <w:tcW w:w="588" w:type="pct"/>
            <w:noWrap w:val="0"/>
            <w:vAlign w:val="center"/>
          </w:tcPr>
          <w:p w14:paraId="30A6534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单价</w:t>
            </w:r>
          </w:p>
        </w:tc>
        <w:tc>
          <w:tcPr>
            <w:tcW w:w="588" w:type="pct"/>
            <w:noWrap w:val="0"/>
            <w:vAlign w:val="center"/>
          </w:tcPr>
          <w:p w14:paraId="126DBB6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合价</w:t>
            </w:r>
          </w:p>
        </w:tc>
      </w:tr>
      <w:tr w14:paraId="293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1BF63FF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3324EE48">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355C742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EEAB12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lang w:val="en-US" w:eastAsia="zh-CN"/>
              </w:rPr>
            </w:pPr>
          </w:p>
        </w:tc>
        <w:tc>
          <w:tcPr>
            <w:tcW w:w="588" w:type="pct"/>
            <w:tcBorders>
              <w:bottom w:val="single" w:color="auto" w:sz="4" w:space="0"/>
            </w:tcBorders>
            <w:noWrap w:val="0"/>
            <w:vAlign w:val="center"/>
          </w:tcPr>
          <w:p w14:paraId="3D108AC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399114D6">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18017B9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17A1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5A3406D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4F8D09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0AEE0251">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498A07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22282ED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B62507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C70FAC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424B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2D3A443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7ED34C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6252862">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03B6B37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E102A6D">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1955C81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C60925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055C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5616CB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166F787A">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3BDF8239">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745A2F9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45D92AE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0072E8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0BAD8BE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2120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3C6F8238">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3D69CF1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1C81DB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5FFFF88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7EB6F3BC">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216AD37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1928B1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58E9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7"/>
            <w:tcBorders>
              <w:bottom w:val="single" w:color="auto" w:sz="4" w:space="0"/>
            </w:tcBorders>
            <w:noWrap w:val="0"/>
            <w:vAlign w:val="center"/>
          </w:tcPr>
          <w:p w14:paraId="33374CE4">
            <w:pPr>
              <w:keepNext w:val="0"/>
              <w:keepLines w:val="0"/>
              <w:pageBreakBefore w:val="0"/>
              <w:widowControl w:val="0"/>
              <w:shd w:val="clear"/>
              <w:kinsoku/>
              <w:wordWrap/>
              <w:overflowPunct/>
              <w:topLinePunct w:val="0"/>
              <w:bidi w:val="0"/>
              <w:snapToGrid/>
              <w:spacing w:line="480" w:lineRule="exact"/>
              <w:ind w:right="0" w:rightChars="0" w:firstLine="0" w:firstLineChars="0"/>
              <w:jc w:val="left"/>
              <w:textAlignment w:val="auto"/>
              <w:rPr>
                <w:rFonts w:hint="eastAsia" w:ascii="仿宋" w:hAnsi="仿宋" w:eastAsia="仿宋" w:cs="仿宋"/>
                <w:sz w:val="32"/>
                <w:szCs w:val="32"/>
                <w:highlight w:val="none"/>
              </w:rPr>
            </w:pPr>
            <w:r>
              <w:rPr>
                <w:rFonts w:hint="eastAsia" w:ascii="仿宋" w:hAnsi="仿宋" w:eastAsia="仿宋" w:cs="仿宋"/>
                <w:b/>
                <w:sz w:val="32"/>
                <w:szCs w:val="32"/>
                <w:highlight w:val="none"/>
              </w:rPr>
              <w:t xml:space="preserve">总报价：人民币 </w:t>
            </w:r>
            <w:r>
              <w:rPr>
                <w:rFonts w:hint="eastAsia" w:ascii="仿宋" w:hAnsi="仿宋" w:eastAsia="仿宋" w:cs="仿宋"/>
                <w:b/>
                <w:sz w:val="32"/>
                <w:szCs w:val="32"/>
                <w:highlight w:val="none"/>
                <w:u w:val="single"/>
              </w:rPr>
              <w:t xml:space="preserve">               </w:t>
            </w:r>
            <w:r>
              <w:rPr>
                <w:rFonts w:hint="eastAsia" w:ascii="仿宋" w:hAnsi="仿宋" w:eastAsia="仿宋" w:cs="仿宋"/>
                <w:b/>
                <w:sz w:val="32"/>
                <w:szCs w:val="32"/>
                <w:highlight w:val="none"/>
              </w:rPr>
              <w:t>元。</w:t>
            </w:r>
          </w:p>
        </w:tc>
      </w:tr>
    </w:tbl>
    <w:p w14:paraId="79FD20AE">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注：此表应详细填写。</w:t>
      </w:r>
    </w:p>
    <w:p w14:paraId="7E159223">
      <w:pPr>
        <w:pStyle w:val="21"/>
        <w:shd w:val="clear"/>
        <w:rPr>
          <w:rFonts w:hint="eastAsia" w:ascii="仿宋" w:hAnsi="仿宋" w:eastAsia="仿宋" w:cs="仿宋"/>
          <w:highlight w:val="none"/>
          <w:lang w:eastAsia="zh-CN"/>
        </w:rPr>
      </w:pPr>
    </w:p>
    <w:p w14:paraId="4DB51FBF">
      <w:pPr>
        <w:shd w:val="clear"/>
        <w:spacing w:line="440" w:lineRule="exact"/>
        <w:rPr>
          <w:rFonts w:hint="eastAsia" w:ascii="仿宋" w:hAnsi="仿宋" w:eastAsia="仿宋" w:cs="仿宋"/>
          <w:color w:val="auto"/>
          <w:sz w:val="24"/>
          <w:highlight w:val="none"/>
          <w:lang w:val="en-US" w:eastAsia="zh-CN"/>
        </w:rPr>
      </w:pPr>
    </w:p>
    <w:p w14:paraId="16639805">
      <w:pPr>
        <w:shd w:val="clear"/>
        <w:jc w:val="center"/>
        <w:rPr>
          <w:rFonts w:hint="eastAsia" w:ascii="仿宋" w:hAnsi="仿宋" w:eastAsia="仿宋" w:cs="仿宋"/>
          <w:color w:val="auto"/>
          <w:highlight w:val="none"/>
        </w:rPr>
      </w:pPr>
    </w:p>
    <w:p w14:paraId="13D0D25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9BEE5BF">
      <w:pPr>
        <w:shd w:val="clear"/>
        <w:rPr>
          <w:rFonts w:hint="eastAsia" w:ascii="仿宋" w:hAnsi="仿宋" w:eastAsia="仿宋" w:cs="仿宋"/>
          <w:color w:val="auto"/>
          <w:highlight w:val="none"/>
        </w:rPr>
      </w:pPr>
    </w:p>
    <w:p w14:paraId="6F35B77E">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7"/>
    <w:bookmarkEnd w:id="8"/>
    <w:p w14:paraId="7E30DD7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投标人资格证明文件</w:t>
      </w:r>
    </w:p>
    <w:p w14:paraId="6A703B3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lang w:eastAsia="zh-CN"/>
        </w:rPr>
      </w:pPr>
      <w:r>
        <w:rPr>
          <w:rFonts w:hint="eastAsia" w:eastAsia="黑体" w:cs="Times New Roman"/>
          <w:bCs/>
          <w:color w:val="auto"/>
          <w:sz w:val="32"/>
          <w:szCs w:val="32"/>
          <w:highlight w:val="none"/>
          <w:lang w:eastAsia="zh-CN"/>
        </w:rPr>
        <w:t>有效的年度考核合格的《律师事务所执业许可证》或《律师事务所分所执业许可证》扫描件或其他能证明具有独立承担民事责任的能力的证明材料扫描件</w:t>
      </w:r>
    </w:p>
    <w:p w14:paraId="58EB9A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2959AC1F">
      <w:pPr>
        <w:shd w:val="clear"/>
        <w:jc w:val="center"/>
        <w:rPr>
          <w:rFonts w:hint="eastAsia" w:ascii="仿宋" w:hAnsi="仿宋" w:eastAsia="仿宋" w:cs="仿宋"/>
          <w:color w:val="auto"/>
          <w:highlight w:val="none"/>
        </w:rPr>
      </w:pPr>
    </w:p>
    <w:p w14:paraId="1B1765AD">
      <w:pPr>
        <w:shd w:val="clear"/>
        <w:jc w:val="center"/>
        <w:rPr>
          <w:rFonts w:hint="eastAsia" w:ascii="仿宋" w:hAnsi="仿宋" w:eastAsia="仿宋" w:cs="仿宋"/>
          <w:color w:val="auto"/>
          <w:highlight w:val="none"/>
        </w:rPr>
      </w:pPr>
    </w:p>
    <w:p w14:paraId="7427F16F">
      <w:pPr>
        <w:shd w:val="clear"/>
        <w:jc w:val="center"/>
        <w:rPr>
          <w:rFonts w:hint="eastAsia" w:ascii="仿宋" w:hAnsi="仿宋" w:eastAsia="仿宋" w:cs="仿宋"/>
          <w:color w:val="auto"/>
          <w:highlight w:val="none"/>
        </w:rPr>
      </w:pPr>
    </w:p>
    <w:p w14:paraId="607C2F0B">
      <w:pPr>
        <w:shd w:val="clear"/>
        <w:jc w:val="center"/>
        <w:rPr>
          <w:rFonts w:hint="eastAsia" w:ascii="仿宋" w:hAnsi="仿宋" w:eastAsia="仿宋" w:cs="仿宋"/>
          <w:color w:val="auto"/>
          <w:highlight w:val="none"/>
        </w:rPr>
      </w:pPr>
    </w:p>
    <w:p w14:paraId="5B56C85C">
      <w:pPr>
        <w:shd w:val="clear"/>
        <w:jc w:val="center"/>
        <w:rPr>
          <w:rFonts w:hint="eastAsia" w:ascii="仿宋" w:hAnsi="仿宋" w:eastAsia="仿宋" w:cs="仿宋"/>
          <w:color w:val="auto"/>
          <w:highlight w:val="none"/>
        </w:rPr>
      </w:pPr>
    </w:p>
    <w:p w14:paraId="67FBCA46">
      <w:pPr>
        <w:shd w:val="clear"/>
        <w:jc w:val="center"/>
        <w:rPr>
          <w:rFonts w:hint="eastAsia" w:ascii="仿宋" w:hAnsi="仿宋" w:eastAsia="仿宋" w:cs="仿宋"/>
          <w:color w:val="auto"/>
          <w:highlight w:val="none"/>
        </w:rPr>
      </w:pPr>
    </w:p>
    <w:p w14:paraId="5BFAE080">
      <w:pPr>
        <w:shd w:val="clear"/>
        <w:jc w:val="center"/>
        <w:rPr>
          <w:rFonts w:hint="eastAsia" w:ascii="仿宋" w:hAnsi="仿宋" w:eastAsia="仿宋" w:cs="仿宋"/>
          <w:color w:val="auto"/>
          <w:highlight w:val="none"/>
        </w:rPr>
      </w:pPr>
    </w:p>
    <w:p w14:paraId="4CB80FAF">
      <w:pPr>
        <w:shd w:val="clear"/>
        <w:jc w:val="center"/>
        <w:rPr>
          <w:rFonts w:hint="eastAsia" w:ascii="仿宋" w:hAnsi="仿宋" w:eastAsia="仿宋" w:cs="仿宋"/>
          <w:color w:val="auto"/>
          <w:highlight w:val="none"/>
        </w:rPr>
      </w:pPr>
    </w:p>
    <w:p w14:paraId="1A95AB6A">
      <w:pPr>
        <w:shd w:val="clear"/>
        <w:jc w:val="center"/>
        <w:rPr>
          <w:rFonts w:hint="eastAsia" w:ascii="仿宋" w:hAnsi="仿宋" w:eastAsia="仿宋" w:cs="仿宋"/>
          <w:color w:val="auto"/>
          <w:highlight w:val="none"/>
        </w:rPr>
      </w:pPr>
    </w:p>
    <w:p w14:paraId="3B12E262">
      <w:pPr>
        <w:shd w:val="clear"/>
        <w:jc w:val="center"/>
        <w:rPr>
          <w:rFonts w:hint="eastAsia" w:ascii="仿宋" w:hAnsi="仿宋" w:eastAsia="仿宋" w:cs="仿宋"/>
          <w:color w:val="auto"/>
          <w:highlight w:val="none"/>
        </w:rPr>
      </w:pPr>
    </w:p>
    <w:p w14:paraId="7D085D88">
      <w:pPr>
        <w:shd w:val="clear"/>
        <w:jc w:val="center"/>
        <w:rPr>
          <w:rFonts w:hint="eastAsia" w:ascii="仿宋" w:hAnsi="仿宋" w:eastAsia="仿宋" w:cs="仿宋"/>
          <w:color w:val="auto"/>
          <w:highlight w:val="none"/>
        </w:rPr>
      </w:pPr>
    </w:p>
    <w:p w14:paraId="6EB753C7">
      <w:pPr>
        <w:shd w:val="clear"/>
        <w:jc w:val="center"/>
        <w:rPr>
          <w:rFonts w:hint="eastAsia" w:ascii="仿宋" w:hAnsi="仿宋" w:eastAsia="仿宋" w:cs="仿宋"/>
          <w:color w:val="auto"/>
          <w:highlight w:val="none"/>
        </w:rPr>
      </w:pPr>
    </w:p>
    <w:p w14:paraId="06470B19">
      <w:pPr>
        <w:shd w:val="clear"/>
        <w:jc w:val="center"/>
        <w:rPr>
          <w:rFonts w:hint="eastAsia" w:ascii="仿宋" w:hAnsi="仿宋" w:eastAsia="仿宋" w:cs="仿宋"/>
          <w:color w:val="auto"/>
          <w:highlight w:val="none"/>
        </w:rPr>
      </w:pPr>
    </w:p>
    <w:p w14:paraId="362C3D91">
      <w:pPr>
        <w:shd w:val="clear"/>
        <w:jc w:val="center"/>
        <w:rPr>
          <w:rFonts w:hint="eastAsia" w:ascii="仿宋" w:hAnsi="仿宋" w:eastAsia="仿宋" w:cs="仿宋"/>
          <w:color w:val="auto"/>
          <w:highlight w:val="none"/>
        </w:rPr>
      </w:pPr>
    </w:p>
    <w:p w14:paraId="5ED480BF">
      <w:pPr>
        <w:shd w:val="clear"/>
        <w:jc w:val="center"/>
        <w:rPr>
          <w:rFonts w:hint="eastAsia" w:ascii="仿宋" w:hAnsi="仿宋" w:eastAsia="仿宋" w:cs="仿宋"/>
          <w:color w:val="auto"/>
          <w:highlight w:val="none"/>
        </w:rPr>
      </w:pPr>
    </w:p>
    <w:p w14:paraId="51D93D92">
      <w:pPr>
        <w:shd w:val="clear"/>
        <w:jc w:val="center"/>
        <w:rPr>
          <w:rFonts w:hint="eastAsia" w:ascii="仿宋" w:hAnsi="仿宋" w:eastAsia="仿宋" w:cs="仿宋"/>
          <w:color w:val="auto"/>
          <w:highlight w:val="none"/>
        </w:rPr>
      </w:pPr>
    </w:p>
    <w:p w14:paraId="4C0938FC">
      <w:pPr>
        <w:shd w:val="clear"/>
        <w:jc w:val="center"/>
        <w:rPr>
          <w:rFonts w:hint="eastAsia" w:ascii="仿宋" w:hAnsi="仿宋" w:eastAsia="仿宋" w:cs="仿宋"/>
          <w:color w:val="auto"/>
          <w:highlight w:val="none"/>
        </w:rPr>
      </w:pPr>
    </w:p>
    <w:p w14:paraId="65DB1D7A">
      <w:pPr>
        <w:shd w:val="clear"/>
        <w:jc w:val="center"/>
        <w:rPr>
          <w:rFonts w:hint="eastAsia" w:ascii="仿宋" w:hAnsi="仿宋" w:eastAsia="仿宋" w:cs="仿宋"/>
          <w:color w:val="auto"/>
          <w:highlight w:val="none"/>
        </w:rPr>
      </w:pPr>
    </w:p>
    <w:p w14:paraId="03316236">
      <w:pPr>
        <w:shd w:val="clear"/>
        <w:jc w:val="center"/>
        <w:rPr>
          <w:rFonts w:hint="eastAsia" w:ascii="仿宋" w:hAnsi="仿宋" w:eastAsia="仿宋" w:cs="仿宋"/>
          <w:color w:val="auto"/>
          <w:highlight w:val="none"/>
        </w:rPr>
      </w:pPr>
    </w:p>
    <w:p w14:paraId="139BD0ED">
      <w:pPr>
        <w:shd w:val="clear"/>
        <w:jc w:val="center"/>
        <w:rPr>
          <w:rFonts w:hint="eastAsia" w:ascii="仿宋" w:hAnsi="仿宋" w:eastAsia="仿宋" w:cs="仿宋"/>
          <w:color w:val="auto"/>
          <w:highlight w:val="none"/>
        </w:rPr>
      </w:pPr>
    </w:p>
    <w:p w14:paraId="70DCAA1F">
      <w:pPr>
        <w:shd w:val="clear"/>
        <w:jc w:val="center"/>
        <w:rPr>
          <w:rFonts w:hint="eastAsia" w:ascii="仿宋" w:hAnsi="仿宋" w:eastAsia="仿宋" w:cs="仿宋"/>
          <w:color w:val="auto"/>
          <w:highlight w:val="none"/>
        </w:rPr>
      </w:pPr>
    </w:p>
    <w:p w14:paraId="24D5C274">
      <w:pPr>
        <w:shd w:val="clear"/>
        <w:jc w:val="center"/>
        <w:rPr>
          <w:rFonts w:hint="eastAsia" w:ascii="仿宋" w:hAnsi="仿宋" w:eastAsia="仿宋" w:cs="仿宋"/>
          <w:color w:val="auto"/>
          <w:highlight w:val="none"/>
        </w:rPr>
      </w:pPr>
    </w:p>
    <w:p w14:paraId="7A4339D3">
      <w:pPr>
        <w:shd w:val="clear"/>
        <w:jc w:val="center"/>
        <w:rPr>
          <w:rFonts w:hint="eastAsia" w:ascii="仿宋" w:hAnsi="仿宋" w:eastAsia="仿宋" w:cs="仿宋"/>
          <w:color w:val="auto"/>
          <w:highlight w:val="none"/>
        </w:rPr>
      </w:pPr>
    </w:p>
    <w:p w14:paraId="025B3EE4">
      <w:pPr>
        <w:shd w:val="clear"/>
        <w:jc w:val="center"/>
        <w:rPr>
          <w:rFonts w:hint="eastAsia" w:ascii="仿宋" w:hAnsi="仿宋" w:eastAsia="仿宋" w:cs="仿宋"/>
          <w:color w:val="auto"/>
          <w:highlight w:val="none"/>
        </w:rPr>
      </w:pPr>
    </w:p>
    <w:p w14:paraId="68F62081">
      <w:pPr>
        <w:shd w:val="clear"/>
        <w:jc w:val="center"/>
        <w:rPr>
          <w:rFonts w:hint="eastAsia" w:ascii="仿宋" w:hAnsi="仿宋" w:eastAsia="仿宋" w:cs="仿宋"/>
          <w:color w:val="auto"/>
          <w:highlight w:val="none"/>
        </w:rPr>
      </w:pPr>
    </w:p>
    <w:p w14:paraId="471C3C8D">
      <w:pPr>
        <w:shd w:val="clear"/>
        <w:jc w:val="center"/>
        <w:rPr>
          <w:rFonts w:hint="eastAsia" w:ascii="仿宋" w:hAnsi="仿宋" w:eastAsia="仿宋" w:cs="仿宋"/>
          <w:color w:val="auto"/>
          <w:highlight w:val="none"/>
        </w:rPr>
      </w:pPr>
    </w:p>
    <w:p w14:paraId="6B8E4103">
      <w:pPr>
        <w:shd w:val="clear"/>
        <w:jc w:val="center"/>
        <w:rPr>
          <w:rFonts w:hint="eastAsia" w:ascii="仿宋" w:hAnsi="仿宋" w:eastAsia="仿宋" w:cs="仿宋"/>
          <w:color w:val="auto"/>
          <w:highlight w:val="none"/>
        </w:rPr>
      </w:pPr>
    </w:p>
    <w:p w14:paraId="60D2269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bookmarkStart w:id="9" w:name="_Toc521936044"/>
      <w:bookmarkStart w:id="10" w:name="_Toc522526782"/>
    </w:p>
    <w:p w14:paraId="2C34D931">
      <w:pPr>
        <w:keepNext/>
        <w:keepLines/>
        <w:shd w:val="clear"/>
        <w:spacing w:line="560" w:lineRule="exact"/>
        <w:jc w:val="center"/>
        <w:outlineLvl w:val="2"/>
        <w:rPr>
          <w:rFonts w:hint="default"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eastAsia="zh-CN"/>
        </w:rPr>
        <w:t>总所授权（</w:t>
      </w:r>
      <w:r>
        <w:rPr>
          <w:rFonts w:hint="eastAsia" w:eastAsia="黑体" w:cs="Times New Roman"/>
          <w:bCs/>
          <w:color w:val="auto"/>
          <w:sz w:val="32"/>
          <w:szCs w:val="32"/>
          <w:highlight w:val="none"/>
          <w:lang w:val="en-US" w:eastAsia="zh-CN"/>
        </w:rPr>
        <w:t>如有）</w:t>
      </w:r>
    </w:p>
    <w:p w14:paraId="1C99590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7A9924E">
      <w:pPr>
        <w:shd w:val="clear"/>
        <w:jc w:val="center"/>
        <w:rPr>
          <w:rFonts w:hint="eastAsia" w:ascii="仿宋" w:hAnsi="仿宋" w:eastAsia="仿宋" w:cs="仿宋"/>
          <w:color w:val="auto"/>
          <w:highlight w:val="none"/>
        </w:rPr>
      </w:pPr>
    </w:p>
    <w:p w14:paraId="63AD1B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highlight w:val="none"/>
        </w:rPr>
      </w:pPr>
      <w:r>
        <w:rPr>
          <w:rFonts w:hint="eastAsia" w:ascii="仿宋" w:hAnsi="仿宋" w:eastAsia="仿宋" w:cs="仿宋"/>
          <w:color w:val="auto"/>
          <w:sz w:val="28"/>
          <w:szCs w:val="28"/>
          <w:highlight w:val="none"/>
          <w:lang w:eastAsia="zh-CN"/>
        </w:rPr>
        <w:t>分所参与投标的，须提供总所授权（</w:t>
      </w:r>
      <w:r>
        <w:rPr>
          <w:rFonts w:hint="eastAsia" w:ascii="仿宋" w:hAnsi="仿宋" w:eastAsia="仿宋" w:cs="仿宋"/>
          <w:color w:val="auto"/>
          <w:sz w:val="28"/>
          <w:szCs w:val="28"/>
          <w:highlight w:val="none"/>
          <w:lang w:val="en-US" w:eastAsia="zh-CN"/>
        </w:rPr>
        <w:t>格式自拟）</w:t>
      </w:r>
      <w:r>
        <w:rPr>
          <w:rFonts w:hint="eastAsia" w:ascii="仿宋" w:hAnsi="仿宋" w:eastAsia="仿宋" w:cs="仿宋"/>
          <w:color w:val="auto"/>
          <w:sz w:val="28"/>
          <w:szCs w:val="28"/>
          <w:highlight w:val="none"/>
          <w:lang w:eastAsia="zh-CN"/>
        </w:rPr>
        <w:t>且每个总所只能有一个分所参与投标</w:t>
      </w:r>
      <w:r>
        <w:rPr>
          <w:rFonts w:hint="eastAsia" w:ascii="仿宋" w:hAnsi="仿宋" w:eastAsia="仿宋" w:cs="仿宋"/>
          <w:color w:val="auto"/>
          <w:sz w:val="28"/>
          <w:szCs w:val="28"/>
          <w:highlight w:val="none"/>
        </w:rPr>
        <w:t>；</w:t>
      </w:r>
    </w:p>
    <w:p w14:paraId="60A28796">
      <w:pPr>
        <w:shd w:val="clear"/>
        <w:jc w:val="center"/>
        <w:rPr>
          <w:rFonts w:hint="eastAsia" w:ascii="仿宋" w:hAnsi="仿宋" w:eastAsia="仿宋" w:cs="仿宋"/>
          <w:color w:val="auto"/>
          <w:highlight w:val="none"/>
        </w:rPr>
      </w:pPr>
    </w:p>
    <w:p w14:paraId="1CC21463">
      <w:pPr>
        <w:shd w:val="clear"/>
        <w:jc w:val="center"/>
        <w:rPr>
          <w:rFonts w:hint="eastAsia" w:ascii="仿宋" w:hAnsi="仿宋" w:eastAsia="仿宋" w:cs="仿宋"/>
          <w:color w:val="auto"/>
          <w:highlight w:val="none"/>
        </w:rPr>
      </w:pPr>
    </w:p>
    <w:p w14:paraId="781BA868">
      <w:pPr>
        <w:shd w:val="clear"/>
        <w:jc w:val="center"/>
        <w:rPr>
          <w:rFonts w:hint="eastAsia" w:ascii="仿宋" w:hAnsi="仿宋" w:eastAsia="仿宋" w:cs="仿宋"/>
          <w:color w:val="auto"/>
          <w:highlight w:val="none"/>
        </w:rPr>
      </w:pPr>
    </w:p>
    <w:p w14:paraId="2F3B6454">
      <w:pPr>
        <w:shd w:val="clear"/>
        <w:jc w:val="center"/>
        <w:rPr>
          <w:rFonts w:hint="eastAsia" w:ascii="仿宋" w:hAnsi="仿宋" w:eastAsia="仿宋" w:cs="仿宋"/>
          <w:color w:val="auto"/>
          <w:highlight w:val="none"/>
        </w:rPr>
      </w:pPr>
    </w:p>
    <w:p w14:paraId="053B11CD">
      <w:pPr>
        <w:shd w:val="clear"/>
        <w:jc w:val="center"/>
        <w:rPr>
          <w:rFonts w:hint="eastAsia" w:ascii="仿宋" w:hAnsi="仿宋" w:eastAsia="仿宋" w:cs="仿宋"/>
          <w:color w:val="auto"/>
          <w:highlight w:val="none"/>
        </w:rPr>
      </w:pPr>
    </w:p>
    <w:p w14:paraId="65C87030">
      <w:pPr>
        <w:shd w:val="clear"/>
        <w:jc w:val="center"/>
        <w:rPr>
          <w:rFonts w:hint="eastAsia" w:ascii="仿宋" w:hAnsi="仿宋" w:eastAsia="仿宋" w:cs="仿宋"/>
          <w:color w:val="auto"/>
          <w:highlight w:val="none"/>
        </w:rPr>
      </w:pPr>
    </w:p>
    <w:p w14:paraId="21DFB15A">
      <w:pPr>
        <w:shd w:val="clear"/>
        <w:jc w:val="center"/>
        <w:rPr>
          <w:rFonts w:hint="eastAsia" w:ascii="仿宋" w:hAnsi="仿宋" w:eastAsia="仿宋" w:cs="仿宋"/>
          <w:color w:val="auto"/>
          <w:highlight w:val="none"/>
        </w:rPr>
      </w:pPr>
    </w:p>
    <w:p w14:paraId="3CAA88E5">
      <w:pPr>
        <w:shd w:val="clear"/>
        <w:jc w:val="center"/>
        <w:rPr>
          <w:rFonts w:hint="eastAsia" w:ascii="仿宋" w:hAnsi="仿宋" w:eastAsia="仿宋" w:cs="仿宋"/>
          <w:color w:val="auto"/>
          <w:highlight w:val="none"/>
        </w:rPr>
      </w:pPr>
    </w:p>
    <w:p w14:paraId="046D7D77">
      <w:pPr>
        <w:shd w:val="clear"/>
        <w:jc w:val="center"/>
        <w:rPr>
          <w:rFonts w:hint="eastAsia" w:ascii="仿宋" w:hAnsi="仿宋" w:eastAsia="仿宋" w:cs="仿宋"/>
          <w:color w:val="auto"/>
          <w:highlight w:val="none"/>
        </w:rPr>
      </w:pPr>
    </w:p>
    <w:p w14:paraId="295A9017">
      <w:pPr>
        <w:shd w:val="clear"/>
        <w:jc w:val="center"/>
        <w:rPr>
          <w:rFonts w:hint="eastAsia" w:ascii="仿宋" w:hAnsi="仿宋" w:eastAsia="仿宋" w:cs="仿宋"/>
          <w:color w:val="auto"/>
          <w:highlight w:val="none"/>
        </w:rPr>
      </w:pPr>
    </w:p>
    <w:p w14:paraId="0C7A51D8">
      <w:pPr>
        <w:shd w:val="clear"/>
        <w:jc w:val="center"/>
        <w:rPr>
          <w:rFonts w:hint="eastAsia" w:ascii="仿宋" w:hAnsi="仿宋" w:eastAsia="仿宋" w:cs="仿宋"/>
          <w:color w:val="auto"/>
          <w:highlight w:val="none"/>
        </w:rPr>
      </w:pPr>
    </w:p>
    <w:p w14:paraId="020533DA">
      <w:pPr>
        <w:shd w:val="clear"/>
        <w:jc w:val="center"/>
        <w:rPr>
          <w:rFonts w:hint="eastAsia" w:ascii="仿宋" w:hAnsi="仿宋" w:eastAsia="仿宋" w:cs="仿宋"/>
          <w:color w:val="auto"/>
          <w:highlight w:val="none"/>
        </w:rPr>
      </w:pPr>
    </w:p>
    <w:p w14:paraId="5731A859">
      <w:pPr>
        <w:shd w:val="clear"/>
        <w:jc w:val="center"/>
        <w:rPr>
          <w:rFonts w:hint="eastAsia" w:ascii="仿宋" w:hAnsi="仿宋" w:eastAsia="仿宋" w:cs="仿宋"/>
          <w:color w:val="auto"/>
          <w:highlight w:val="none"/>
        </w:rPr>
      </w:pPr>
    </w:p>
    <w:p w14:paraId="2F67F3E0">
      <w:pPr>
        <w:shd w:val="clear"/>
        <w:jc w:val="center"/>
        <w:rPr>
          <w:rFonts w:hint="eastAsia" w:ascii="仿宋" w:hAnsi="仿宋" w:eastAsia="仿宋" w:cs="仿宋"/>
          <w:color w:val="auto"/>
          <w:highlight w:val="none"/>
        </w:rPr>
      </w:pPr>
    </w:p>
    <w:p w14:paraId="515DAC94">
      <w:pPr>
        <w:shd w:val="clear"/>
        <w:jc w:val="center"/>
        <w:rPr>
          <w:rFonts w:hint="eastAsia" w:ascii="仿宋" w:hAnsi="仿宋" w:eastAsia="仿宋" w:cs="仿宋"/>
          <w:color w:val="auto"/>
          <w:highlight w:val="none"/>
        </w:rPr>
      </w:pPr>
    </w:p>
    <w:p w14:paraId="25920E87">
      <w:pPr>
        <w:shd w:val="clear"/>
        <w:jc w:val="center"/>
        <w:rPr>
          <w:rFonts w:hint="eastAsia" w:ascii="仿宋" w:hAnsi="仿宋" w:eastAsia="仿宋" w:cs="仿宋"/>
          <w:color w:val="auto"/>
          <w:highlight w:val="none"/>
        </w:rPr>
      </w:pPr>
    </w:p>
    <w:p w14:paraId="1F49604A">
      <w:pPr>
        <w:shd w:val="clear"/>
        <w:jc w:val="center"/>
        <w:rPr>
          <w:rFonts w:hint="eastAsia" w:ascii="仿宋" w:hAnsi="仿宋" w:eastAsia="仿宋" w:cs="仿宋"/>
          <w:color w:val="auto"/>
          <w:highlight w:val="none"/>
        </w:rPr>
      </w:pPr>
    </w:p>
    <w:p w14:paraId="5770AE27">
      <w:pPr>
        <w:shd w:val="clear"/>
        <w:jc w:val="center"/>
        <w:rPr>
          <w:rFonts w:hint="eastAsia" w:ascii="仿宋" w:hAnsi="仿宋" w:eastAsia="仿宋" w:cs="仿宋"/>
          <w:color w:val="auto"/>
          <w:highlight w:val="none"/>
        </w:rPr>
      </w:pPr>
    </w:p>
    <w:p w14:paraId="60F67ADB">
      <w:pPr>
        <w:shd w:val="clear"/>
        <w:jc w:val="center"/>
        <w:rPr>
          <w:rFonts w:hint="eastAsia" w:ascii="仿宋" w:hAnsi="仿宋" w:eastAsia="仿宋" w:cs="仿宋"/>
          <w:color w:val="auto"/>
          <w:highlight w:val="none"/>
        </w:rPr>
      </w:pPr>
    </w:p>
    <w:p w14:paraId="0DDCE34D">
      <w:pPr>
        <w:shd w:val="clear"/>
        <w:jc w:val="center"/>
        <w:rPr>
          <w:rFonts w:hint="eastAsia" w:ascii="仿宋" w:hAnsi="仿宋" w:eastAsia="仿宋" w:cs="仿宋"/>
          <w:color w:val="auto"/>
          <w:highlight w:val="none"/>
        </w:rPr>
      </w:pPr>
    </w:p>
    <w:p w14:paraId="318C5096">
      <w:pPr>
        <w:shd w:val="clear"/>
        <w:jc w:val="center"/>
        <w:rPr>
          <w:rFonts w:hint="eastAsia" w:ascii="仿宋" w:hAnsi="仿宋" w:eastAsia="仿宋" w:cs="仿宋"/>
          <w:color w:val="auto"/>
          <w:highlight w:val="none"/>
        </w:rPr>
      </w:pPr>
    </w:p>
    <w:p w14:paraId="11D1F1EE">
      <w:pPr>
        <w:shd w:val="clear"/>
        <w:jc w:val="center"/>
        <w:rPr>
          <w:rFonts w:hint="eastAsia" w:ascii="仿宋" w:hAnsi="仿宋" w:eastAsia="仿宋" w:cs="仿宋"/>
          <w:color w:val="auto"/>
          <w:highlight w:val="none"/>
        </w:rPr>
      </w:pPr>
    </w:p>
    <w:p w14:paraId="01F03037">
      <w:pPr>
        <w:shd w:val="clear"/>
        <w:jc w:val="center"/>
        <w:rPr>
          <w:rFonts w:hint="eastAsia" w:ascii="仿宋" w:hAnsi="仿宋" w:eastAsia="仿宋" w:cs="仿宋"/>
          <w:color w:val="auto"/>
          <w:highlight w:val="none"/>
        </w:rPr>
      </w:pPr>
    </w:p>
    <w:p w14:paraId="4B341B1B">
      <w:pPr>
        <w:shd w:val="clear"/>
        <w:jc w:val="center"/>
        <w:rPr>
          <w:rFonts w:hint="eastAsia" w:ascii="仿宋" w:hAnsi="仿宋" w:eastAsia="仿宋" w:cs="仿宋"/>
          <w:color w:val="auto"/>
          <w:highlight w:val="none"/>
        </w:rPr>
      </w:pPr>
    </w:p>
    <w:p w14:paraId="55FFFCA5">
      <w:pPr>
        <w:shd w:val="clear"/>
        <w:jc w:val="center"/>
        <w:rPr>
          <w:rFonts w:hint="eastAsia" w:ascii="仿宋" w:hAnsi="仿宋" w:eastAsia="仿宋" w:cs="仿宋"/>
          <w:color w:val="auto"/>
          <w:highlight w:val="none"/>
        </w:rPr>
      </w:pPr>
    </w:p>
    <w:p w14:paraId="0D67441F">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6DB645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法定代表人/单位负责人身份证明书</w:t>
      </w:r>
    </w:p>
    <w:p w14:paraId="4192D133">
      <w:pPr>
        <w:shd w:val="clear"/>
        <w:jc w:val="center"/>
        <w:rPr>
          <w:rFonts w:hint="eastAsia" w:ascii="仿宋" w:hAnsi="仿宋" w:eastAsia="仿宋" w:cs="仿宋"/>
          <w:color w:val="auto"/>
          <w:highlight w:val="none"/>
        </w:rPr>
      </w:pPr>
    </w:p>
    <w:p w14:paraId="57CDDDD5">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致</w:t>
      </w:r>
      <w:r>
        <w:rPr>
          <w:rFonts w:hint="eastAsia" w:ascii="仿宋" w:hAnsi="仿宋" w:eastAsia="仿宋" w:cs="仿宋"/>
          <w:color w:val="auto"/>
          <w:kern w:val="0"/>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3F883803">
      <w:pPr>
        <w:shd w:val="clear"/>
        <w:spacing w:line="560" w:lineRule="exact"/>
        <w:ind w:firstLine="600" w:firstLineChars="200"/>
        <w:rPr>
          <w:rFonts w:hint="eastAsia" w:ascii="仿宋" w:hAnsi="仿宋" w:eastAsia="仿宋" w:cs="仿宋"/>
          <w:color w:val="auto"/>
          <w:kern w:val="0"/>
          <w:sz w:val="30"/>
          <w:szCs w:val="30"/>
          <w:highlight w:val="none"/>
        </w:rPr>
      </w:pPr>
    </w:p>
    <w:p w14:paraId="52C7B4F9">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u w:val="single"/>
        </w:rPr>
        <w:t>（姓名、性别、年龄、身份证号码）</w:t>
      </w:r>
      <w:r>
        <w:rPr>
          <w:rFonts w:hint="eastAsia" w:ascii="仿宋" w:hAnsi="仿宋" w:eastAsia="仿宋" w:cs="仿宋"/>
          <w:color w:val="auto"/>
          <w:kern w:val="0"/>
          <w:sz w:val="30"/>
          <w:szCs w:val="30"/>
          <w:highlight w:val="none"/>
        </w:rPr>
        <w:t>在我单位任</w:t>
      </w:r>
      <w:r>
        <w:rPr>
          <w:rFonts w:hint="eastAsia" w:ascii="仿宋" w:hAnsi="仿宋" w:eastAsia="仿宋" w:cs="仿宋"/>
          <w:color w:val="auto"/>
          <w:kern w:val="0"/>
          <w:sz w:val="30"/>
          <w:szCs w:val="30"/>
          <w:highlight w:val="none"/>
          <w:u w:val="single"/>
        </w:rPr>
        <w:t>（董事长、总经理等）</w:t>
      </w:r>
      <w:r>
        <w:rPr>
          <w:rFonts w:hint="eastAsia" w:ascii="仿宋" w:hAnsi="仿宋" w:eastAsia="仿宋" w:cs="仿宋"/>
          <w:color w:val="auto"/>
          <w:kern w:val="0"/>
          <w:sz w:val="30"/>
          <w:szCs w:val="30"/>
          <w:highlight w:val="none"/>
        </w:rPr>
        <w:t>职务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是我单位的法定代表人/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w:t>
      </w:r>
    </w:p>
    <w:p w14:paraId="1607EC30">
      <w:pPr>
        <w:shd w:val="clear"/>
        <w:spacing w:line="560" w:lineRule="exact"/>
        <w:ind w:firstLine="600" w:firstLineChars="200"/>
        <w:rPr>
          <w:rFonts w:hint="eastAsia" w:ascii="仿宋" w:hAnsi="仿宋" w:eastAsia="仿宋" w:cs="仿宋"/>
          <w:color w:val="auto"/>
          <w:kern w:val="0"/>
          <w:sz w:val="30"/>
          <w:szCs w:val="30"/>
          <w:highlight w:val="none"/>
        </w:rPr>
      </w:pPr>
    </w:p>
    <w:p w14:paraId="6530E8E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特此证明。</w:t>
      </w:r>
    </w:p>
    <w:p w14:paraId="37E43D76">
      <w:pPr>
        <w:shd w:val="clear"/>
        <w:spacing w:line="560" w:lineRule="exact"/>
        <w:ind w:firstLine="600" w:firstLineChars="200"/>
        <w:rPr>
          <w:rFonts w:hint="eastAsia" w:ascii="仿宋" w:hAnsi="仿宋" w:eastAsia="仿宋" w:cs="仿宋"/>
          <w:color w:val="auto"/>
          <w:kern w:val="0"/>
          <w:sz w:val="30"/>
          <w:szCs w:val="30"/>
          <w:highlight w:val="none"/>
        </w:rPr>
      </w:pPr>
    </w:p>
    <w:p w14:paraId="36162A81">
      <w:pPr>
        <w:shd w:val="clear"/>
        <w:spacing w:line="560" w:lineRule="exact"/>
        <w:ind w:firstLine="600" w:firstLineChars="200"/>
        <w:rPr>
          <w:rFonts w:hint="eastAsia" w:ascii="仿宋" w:hAnsi="仿宋" w:eastAsia="仿宋" w:cs="仿宋"/>
          <w:color w:val="auto"/>
          <w:kern w:val="0"/>
          <w:sz w:val="30"/>
          <w:szCs w:val="30"/>
          <w:highlight w:val="none"/>
        </w:rPr>
      </w:pPr>
    </w:p>
    <w:p w14:paraId="08458653">
      <w:pPr>
        <w:shd w:val="clear"/>
        <w:jc w:val="center"/>
        <w:rPr>
          <w:rFonts w:hint="eastAsia" w:ascii="仿宋" w:hAnsi="仿宋" w:eastAsia="仿宋" w:cs="仿宋"/>
          <w:color w:val="auto"/>
          <w:highlight w:val="none"/>
        </w:rPr>
      </w:pPr>
    </w:p>
    <w:p w14:paraId="38EE8EBD">
      <w:pPr>
        <w:shd w:val="clear"/>
        <w:jc w:val="center"/>
        <w:rPr>
          <w:rFonts w:hint="eastAsia" w:ascii="仿宋" w:hAnsi="仿宋" w:eastAsia="仿宋" w:cs="仿宋"/>
          <w:color w:val="auto"/>
          <w:highlight w:val="none"/>
        </w:rPr>
      </w:pPr>
    </w:p>
    <w:p w14:paraId="43C50262">
      <w:pPr>
        <w:shd w:val="clear"/>
        <w:jc w:val="center"/>
        <w:rPr>
          <w:rFonts w:hint="eastAsia" w:ascii="仿宋" w:hAnsi="仿宋" w:eastAsia="仿宋" w:cs="仿宋"/>
          <w:color w:val="auto"/>
          <w:highlight w:val="none"/>
        </w:rPr>
      </w:pPr>
    </w:p>
    <w:p w14:paraId="66304B65">
      <w:pPr>
        <w:shd w:val="clear"/>
        <w:jc w:val="center"/>
        <w:rPr>
          <w:rFonts w:hint="eastAsia" w:ascii="仿宋" w:hAnsi="仿宋" w:eastAsia="仿宋" w:cs="仿宋"/>
          <w:color w:val="auto"/>
          <w:highlight w:val="none"/>
        </w:rPr>
      </w:pPr>
    </w:p>
    <w:p w14:paraId="32890510">
      <w:pPr>
        <w:shd w:val="clear"/>
        <w:jc w:val="center"/>
        <w:rPr>
          <w:rFonts w:hint="eastAsia" w:ascii="仿宋" w:hAnsi="仿宋" w:eastAsia="仿宋" w:cs="仿宋"/>
          <w:color w:val="auto"/>
          <w:highlight w:val="none"/>
        </w:rPr>
      </w:pPr>
    </w:p>
    <w:p w14:paraId="0E4B0542">
      <w:pPr>
        <w:shd w:val="clear"/>
        <w:jc w:val="center"/>
        <w:rPr>
          <w:rFonts w:hint="eastAsia" w:ascii="仿宋" w:hAnsi="仿宋" w:eastAsia="仿宋" w:cs="仿宋"/>
          <w:color w:val="auto"/>
          <w:highlight w:val="none"/>
        </w:rPr>
      </w:pPr>
    </w:p>
    <w:p w14:paraId="2CCFE326">
      <w:pPr>
        <w:shd w:val="clear"/>
        <w:jc w:val="center"/>
        <w:rPr>
          <w:rFonts w:hint="eastAsia" w:ascii="仿宋" w:hAnsi="仿宋" w:eastAsia="仿宋" w:cs="仿宋"/>
          <w:color w:val="auto"/>
          <w:highlight w:val="none"/>
        </w:rPr>
      </w:pPr>
    </w:p>
    <w:p w14:paraId="721FEE21">
      <w:pPr>
        <w:shd w:val="clear"/>
        <w:jc w:val="center"/>
        <w:rPr>
          <w:rFonts w:hint="eastAsia" w:ascii="仿宋" w:hAnsi="仿宋" w:eastAsia="仿宋" w:cs="仿宋"/>
          <w:color w:val="auto"/>
          <w:highlight w:val="none"/>
        </w:rPr>
      </w:pPr>
    </w:p>
    <w:p w14:paraId="740CFA53">
      <w:pPr>
        <w:shd w:val="clear"/>
        <w:jc w:val="center"/>
        <w:rPr>
          <w:rFonts w:hint="eastAsia" w:ascii="仿宋" w:hAnsi="仿宋" w:eastAsia="仿宋" w:cs="仿宋"/>
          <w:color w:val="auto"/>
          <w:highlight w:val="none"/>
        </w:rPr>
      </w:pPr>
    </w:p>
    <w:p w14:paraId="52590D22">
      <w:pPr>
        <w:shd w:val="clear"/>
        <w:spacing w:line="520" w:lineRule="exact"/>
        <w:ind w:firstLine="3900" w:firstLineChars="1300"/>
        <w:jc w:val="right"/>
        <w:rPr>
          <w:rFonts w:hint="eastAsia" w:ascii="仿宋" w:hAnsi="仿宋" w:eastAsia="仿宋" w:cs="仿宋"/>
          <w:color w:val="auto"/>
          <w:sz w:val="30"/>
          <w:szCs w:val="30"/>
          <w:highlight w:val="none"/>
        </w:rPr>
      </w:pPr>
    </w:p>
    <w:p w14:paraId="2E3EB9EE">
      <w:pPr>
        <w:shd w:val="clear"/>
        <w:rPr>
          <w:rFonts w:hint="eastAsia" w:ascii="仿宋" w:hAnsi="仿宋" w:eastAsia="仿宋" w:cs="仿宋"/>
          <w:color w:val="auto"/>
          <w:highlight w:val="none"/>
        </w:rPr>
      </w:pPr>
    </w:p>
    <w:p w14:paraId="2E4C68B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5E8E41C">
      <w:pPr>
        <w:shd w:val="clear"/>
        <w:jc w:val="center"/>
        <w:rPr>
          <w:rFonts w:hint="eastAsia" w:ascii="仿宋" w:hAnsi="仿宋" w:eastAsia="仿宋" w:cs="仿宋"/>
          <w:color w:val="auto"/>
          <w:highlight w:val="none"/>
        </w:rPr>
      </w:pPr>
    </w:p>
    <w:p w14:paraId="32CF9F29">
      <w:pPr>
        <w:shd w:val="clear"/>
        <w:jc w:val="center"/>
        <w:rPr>
          <w:rFonts w:hint="eastAsia" w:ascii="仿宋" w:hAnsi="仿宋" w:eastAsia="仿宋" w:cs="仿宋"/>
          <w:color w:val="auto"/>
          <w:highlight w:val="none"/>
        </w:rPr>
      </w:pPr>
    </w:p>
    <w:p w14:paraId="0844F967">
      <w:pPr>
        <w:shd w:val="clear"/>
        <w:jc w:val="center"/>
        <w:rPr>
          <w:rFonts w:hint="eastAsia" w:ascii="仿宋" w:hAnsi="仿宋" w:eastAsia="仿宋" w:cs="仿宋"/>
          <w:color w:val="auto"/>
          <w:highlight w:val="none"/>
        </w:rPr>
      </w:pPr>
    </w:p>
    <w:p w14:paraId="043BCFFF">
      <w:pPr>
        <w:shd w:val="clear"/>
        <w:jc w:val="center"/>
        <w:rPr>
          <w:rFonts w:hint="eastAsia" w:ascii="仿宋" w:hAnsi="仿宋" w:eastAsia="仿宋" w:cs="仿宋"/>
          <w:bCs/>
          <w:color w:val="auto"/>
          <w:sz w:val="32"/>
          <w:szCs w:val="32"/>
          <w:highlight w:val="none"/>
        </w:rPr>
        <w:sectPr>
          <w:headerReference r:id="rId17" w:type="default"/>
          <w:footerReference r:id="rId18" w:type="default"/>
          <w:pgSz w:w="11906" w:h="16838"/>
          <w:pgMar w:top="1440" w:right="1083" w:bottom="1440" w:left="1083" w:header="851" w:footer="992" w:gutter="0"/>
          <w:pgNumType w:fmt="decimal"/>
          <w:cols w:space="0" w:num="1"/>
          <w:rtlGutter w:val="0"/>
          <w:docGrid w:type="lines" w:linePitch="312" w:charSpace="0"/>
        </w:sectPr>
      </w:pPr>
    </w:p>
    <w:bookmarkEnd w:id="9"/>
    <w:bookmarkEnd w:id="10"/>
    <w:p w14:paraId="2D99FC1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法人授权委托书</w:t>
      </w:r>
    </w:p>
    <w:p w14:paraId="6A634B2D">
      <w:pPr>
        <w:shd w:val="clear"/>
        <w:rPr>
          <w:color w:val="auto"/>
          <w:highlight w:val="none"/>
        </w:rPr>
      </w:pPr>
    </w:p>
    <w:p w14:paraId="0614E851">
      <w:pPr>
        <w:shd w:val="clear"/>
        <w:spacing w:line="480" w:lineRule="exact"/>
        <w:ind w:firstLine="640" w:firstLineChars="200"/>
        <w:rPr>
          <w:rFonts w:hint="eastAsia" w:ascii="仿宋" w:hAnsi="仿宋" w:eastAsia="仿宋" w:cs="仿宋"/>
          <w:color w:val="auto"/>
          <w:highlight w:val="none"/>
        </w:rPr>
      </w:pPr>
      <w:r>
        <w:rPr>
          <w:rFonts w:hint="eastAsia" w:ascii="仿宋" w:hAnsi="仿宋" w:eastAsia="仿宋" w:cs="仿宋"/>
          <w:color w:val="auto"/>
          <w:sz w:val="32"/>
          <w:szCs w:val="32"/>
          <w:highlight w:val="none"/>
        </w:rPr>
        <w:t>本授权书声明：注册于</w:t>
      </w:r>
      <w:r>
        <w:rPr>
          <w:rFonts w:hint="eastAsia" w:ascii="仿宋" w:hAnsi="仿宋" w:eastAsia="仿宋" w:cs="仿宋"/>
          <w:color w:val="auto"/>
          <w:sz w:val="32"/>
          <w:szCs w:val="32"/>
          <w:highlight w:val="none"/>
          <w:u w:val="single"/>
        </w:rPr>
        <w:t xml:space="preserve">   （国家或地区的名称）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单位</w:t>
      </w:r>
      <w:r>
        <w:rPr>
          <w:rFonts w:hint="eastAsia" w:ascii="仿宋" w:hAnsi="仿宋" w:eastAsia="仿宋" w:cs="仿宋"/>
          <w:color w:val="auto"/>
          <w:sz w:val="32"/>
          <w:szCs w:val="32"/>
          <w:highlight w:val="none"/>
          <w:u w:val="single"/>
        </w:rPr>
        <w:t xml:space="preserve">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法定代表人/单位负责人</w:t>
      </w:r>
      <w:r>
        <w:rPr>
          <w:rFonts w:hint="eastAsia" w:ascii="仿宋" w:hAnsi="仿宋" w:eastAsia="仿宋" w:cs="仿宋"/>
          <w:color w:val="auto"/>
          <w:sz w:val="32"/>
          <w:szCs w:val="32"/>
          <w:highlight w:val="none"/>
          <w:u w:val="single"/>
        </w:rPr>
        <w:t xml:space="preserve">姓名、职务）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代表本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授权</w:t>
      </w:r>
      <w:r>
        <w:rPr>
          <w:rFonts w:hint="eastAsia" w:ascii="仿宋" w:hAnsi="仿宋" w:eastAsia="仿宋" w:cs="仿宋"/>
          <w:color w:val="auto"/>
          <w:sz w:val="32"/>
          <w:szCs w:val="32"/>
          <w:highlight w:val="none"/>
          <w:u w:val="single"/>
        </w:rPr>
        <w:t xml:space="preserve">  （被授权单位名称）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（被授权人的姓名、职务）</w:t>
      </w:r>
      <w:r>
        <w:rPr>
          <w:rFonts w:hint="eastAsia" w:ascii="仿宋" w:hAnsi="仿宋" w:eastAsia="仿宋" w:cs="仿宋"/>
          <w:color w:val="auto"/>
          <w:sz w:val="32"/>
          <w:szCs w:val="32"/>
          <w:highlight w:val="none"/>
        </w:rPr>
        <w:t>为本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的合法代理人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参加编号为</w:t>
      </w:r>
      <w:r>
        <w:rPr>
          <w:rFonts w:hint="eastAsia" w:ascii="仿宋" w:hAnsi="仿宋" w:eastAsia="仿宋" w:cs="仿宋"/>
          <w:color w:val="auto"/>
          <w:kern w:val="0"/>
          <w:sz w:val="30"/>
          <w:szCs w:val="30"/>
          <w:highlight w:val="none"/>
          <w:lang w:eastAsia="zh-CN"/>
        </w:rPr>
        <w:t>WHZCZB2026-096</w:t>
      </w:r>
      <w:r>
        <w:rPr>
          <w:rFonts w:hint="eastAsia" w:ascii="仿宋" w:hAnsi="仿宋" w:eastAsia="仿宋" w:cs="仿宋"/>
          <w:color w:val="auto"/>
          <w:sz w:val="32"/>
          <w:szCs w:val="32"/>
          <w:highlight w:val="none"/>
        </w:rPr>
        <w:t>号的公开招标采购活动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以本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名义处理一切与之有关的事宜。</w:t>
      </w:r>
    </w:p>
    <w:p w14:paraId="7C1530BA">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如果本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在此次采购活动中中标</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被授权人有权代表本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签署采购合同。</w:t>
      </w:r>
    </w:p>
    <w:p w14:paraId="2B95AFC4">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本授权书于</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日法定代表人/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负责人签章并由被授权人签字、单位盖章生效</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特此声明。</w:t>
      </w:r>
    </w:p>
    <w:p w14:paraId="0FAAF55D">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被授权人无转委托权。</w:t>
      </w:r>
    </w:p>
    <w:p w14:paraId="324DF221">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w:t>
      </w:r>
    </w:p>
    <w:p w14:paraId="2D18E31E">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 授 权人签字：</w:t>
      </w:r>
    </w:p>
    <w:p w14:paraId="56F4DC55">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11DC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noWrap w:val="0"/>
            <w:vAlign w:val="center"/>
          </w:tcPr>
          <w:p w14:paraId="3D3C3B42">
            <w:pPr>
              <w:widowControl/>
              <w:shd w:val="clear"/>
              <w:spacing w:beforeAutospacing="1" w:afterAutospacing="1" w:line="360" w:lineRule="auto"/>
              <w:ind w:firstLine="160" w:firstLineChars="5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正面</w:t>
            </w:r>
          </w:p>
        </w:tc>
      </w:tr>
    </w:tbl>
    <w:p w14:paraId="7C813737">
      <w:pPr>
        <w:shd w:val="clear"/>
        <w:spacing w:line="480" w:lineRule="exact"/>
        <w:ind w:firstLine="640" w:firstLineChars="200"/>
        <w:jc w:val="left"/>
        <w:rPr>
          <w:rFonts w:hint="eastAsia" w:ascii="仿宋" w:hAnsi="仿宋" w:eastAsia="仿宋" w:cs="仿宋"/>
          <w:color w:val="auto"/>
          <w:kern w:val="0"/>
          <w:sz w:val="32"/>
          <w:szCs w:val="32"/>
          <w:highlight w:val="none"/>
        </w:rPr>
      </w:pPr>
    </w:p>
    <w:p w14:paraId="5642675D">
      <w:pPr>
        <w:shd w:val="clear"/>
        <w:rPr>
          <w:rFonts w:hint="eastAsia" w:ascii="仿宋" w:hAnsi="仿宋" w:eastAsia="仿宋" w:cs="仿宋"/>
          <w:vanish/>
          <w:color w:val="auto"/>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3E9A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noWrap w:val="0"/>
            <w:vAlign w:val="center"/>
          </w:tcPr>
          <w:p w14:paraId="42052C85">
            <w:pPr>
              <w:widowControl/>
              <w:shd w:val="clear"/>
              <w:spacing w:beforeAutospacing="1" w:afterAutospacing="1" w:line="360" w:lineRule="auto"/>
              <w:jc w:val="center"/>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反面</w:t>
            </w:r>
          </w:p>
        </w:tc>
      </w:tr>
    </w:tbl>
    <w:p w14:paraId="4D537B21">
      <w:pPr>
        <w:shd w:val="clear"/>
        <w:rPr>
          <w:rFonts w:hint="eastAsia" w:ascii="仿宋" w:hAnsi="仿宋" w:eastAsia="仿宋" w:cs="仿宋"/>
          <w:color w:val="auto"/>
          <w:highlight w:val="none"/>
        </w:rPr>
      </w:pPr>
    </w:p>
    <w:p w14:paraId="017F49D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24059C24">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C1E7E45">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48CF338">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50C854B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0BB403A0">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10FC09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br w:type="page"/>
      </w:r>
      <w:r>
        <w:rPr>
          <w:rFonts w:hint="eastAsia" w:ascii="Times New Roman" w:hAnsi="Times New Roman" w:eastAsia="黑体" w:cs="Times New Roman"/>
          <w:bCs/>
          <w:color w:val="auto"/>
          <w:sz w:val="32"/>
          <w:szCs w:val="32"/>
          <w:highlight w:val="none"/>
        </w:rPr>
        <w:t>具有良好的商业信誉和健全的财务会计制度声明</w:t>
      </w:r>
    </w:p>
    <w:p w14:paraId="4699D005">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37DAF9B7">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我单位自愿参加本项目采购活动，现郑重声明：具有良好的商业信誉和健全的财务会计制度。</w:t>
      </w:r>
    </w:p>
    <w:p w14:paraId="22B32AE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7D113EF9">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3479CC90">
      <w:pPr>
        <w:shd w:val="clear"/>
        <w:jc w:val="center"/>
        <w:rPr>
          <w:rFonts w:hint="eastAsia" w:ascii="仿宋" w:hAnsi="仿宋" w:eastAsia="仿宋" w:cs="仿宋"/>
          <w:color w:val="auto"/>
          <w:sz w:val="28"/>
          <w:szCs w:val="28"/>
          <w:highlight w:val="none"/>
        </w:rPr>
      </w:pPr>
    </w:p>
    <w:p w14:paraId="039FF17B">
      <w:pPr>
        <w:shd w:val="clear"/>
        <w:jc w:val="center"/>
        <w:rPr>
          <w:rFonts w:hint="eastAsia" w:ascii="仿宋" w:hAnsi="仿宋" w:eastAsia="仿宋" w:cs="仿宋"/>
          <w:color w:val="auto"/>
          <w:sz w:val="28"/>
          <w:szCs w:val="28"/>
          <w:highlight w:val="none"/>
        </w:rPr>
      </w:pPr>
    </w:p>
    <w:p w14:paraId="67625EF7">
      <w:pPr>
        <w:shd w:val="clear"/>
        <w:jc w:val="center"/>
        <w:rPr>
          <w:rFonts w:hint="eastAsia" w:ascii="仿宋" w:hAnsi="仿宋" w:eastAsia="仿宋" w:cs="仿宋"/>
          <w:color w:val="auto"/>
          <w:sz w:val="28"/>
          <w:szCs w:val="28"/>
          <w:highlight w:val="none"/>
        </w:rPr>
      </w:pPr>
    </w:p>
    <w:p w14:paraId="1204B892">
      <w:pPr>
        <w:shd w:val="clear"/>
        <w:spacing w:line="520" w:lineRule="exact"/>
        <w:ind w:firstLine="3900" w:firstLineChars="1300"/>
        <w:jc w:val="right"/>
        <w:rPr>
          <w:rFonts w:hint="eastAsia" w:ascii="仿宋" w:hAnsi="仿宋" w:eastAsia="仿宋" w:cs="仿宋"/>
          <w:color w:val="auto"/>
          <w:sz w:val="30"/>
          <w:szCs w:val="30"/>
          <w:highlight w:val="none"/>
        </w:rPr>
      </w:pPr>
    </w:p>
    <w:p w14:paraId="70693076">
      <w:pPr>
        <w:shd w:val="clear"/>
        <w:rPr>
          <w:rFonts w:hint="eastAsia" w:ascii="仿宋" w:hAnsi="仿宋" w:eastAsia="仿宋" w:cs="仿宋"/>
          <w:color w:val="auto"/>
          <w:highlight w:val="none"/>
        </w:rPr>
      </w:pPr>
    </w:p>
    <w:p w14:paraId="705B10E8">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4720DA0">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3C3BC001">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具有履行合同所必需的设备和专业技术能力声明</w:t>
      </w:r>
    </w:p>
    <w:p w14:paraId="646ECF5E">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86F96FF">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我单位自愿参加本项目采购活动，现郑重声明：具有履行合同所必需的设备和专业技术能力。</w:t>
      </w:r>
    </w:p>
    <w:p w14:paraId="17C740D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EB39842">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48D0C294">
      <w:pPr>
        <w:shd w:val="clear"/>
        <w:jc w:val="center"/>
        <w:rPr>
          <w:rFonts w:hint="eastAsia" w:ascii="仿宋" w:hAnsi="仿宋" w:eastAsia="仿宋" w:cs="仿宋"/>
          <w:color w:val="auto"/>
          <w:sz w:val="28"/>
          <w:szCs w:val="28"/>
          <w:highlight w:val="none"/>
        </w:rPr>
      </w:pPr>
    </w:p>
    <w:p w14:paraId="5DDBFD5E">
      <w:pPr>
        <w:shd w:val="clear"/>
        <w:jc w:val="center"/>
        <w:rPr>
          <w:rFonts w:hint="eastAsia" w:ascii="仿宋" w:hAnsi="仿宋" w:eastAsia="仿宋" w:cs="仿宋"/>
          <w:color w:val="auto"/>
          <w:sz w:val="28"/>
          <w:szCs w:val="28"/>
          <w:highlight w:val="none"/>
        </w:rPr>
      </w:pPr>
    </w:p>
    <w:p w14:paraId="29A3A7AB">
      <w:pPr>
        <w:shd w:val="clear"/>
        <w:jc w:val="center"/>
        <w:rPr>
          <w:rFonts w:hint="eastAsia" w:ascii="仿宋" w:hAnsi="仿宋" w:eastAsia="仿宋" w:cs="仿宋"/>
          <w:color w:val="auto"/>
          <w:sz w:val="28"/>
          <w:szCs w:val="28"/>
          <w:highlight w:val="none"/>
        </w:rPr>
      </w:pPr>
    </w:p>
    <w:p w14:paraId="4EDD99EE">
      <w:pPr>
        <w:shd w:val="clear"/>
        <w:spacing w:line="520" w:lineRule="exact"/>
        <w:ind w:firstLine="3900" w:firstLineChars="1300"/>
        <w:jc w:val="right"/>
        <w:rPr>
          <w:rFonts w:hint="eastAsia" w:ascii="仿宋" w:hAnsi="仿宋" w:eastAsia="仿宋" w:cs="仿宋"/>
          <w:color w:val="auto"/>
          <w:sz w:val="30"/>
          <w:szCs w:val="30"/>
          <w:highlight w:val="none"/>
        </w:rPr>
      </w:pPr>
    </w:p>
    <w:p w14:paraId="156F07B9">
      <w:pPr>
        <w:shd w:val="clear"/>
        <w:rPr>
          <w:rFonts w:hint="eastAsia" w:ascii="仿宋" w:hAnsi="仿宋" w:eastAsia="仿宋" w:cs="仿宋"/>
          <w:color w:val="auto"/>
          <w:highlight w:val="none"/>
        </w:rPr>
      </w:pPr>
    </w:p>
    <w:p w14:paraId="74C943AD">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D3DB0E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2DF415B4">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依法缴纳税收和社会保障资金的声明</w:t>
      </w:r>
    </w:p>
    <w:p w14:paraId="477EBFF7">
      <w:pPr>
        <w:shd w:val="clear"/>
        <w:spacing w:line="560" w:lineRule="exact"/>
        <w:ind w:firstLine="600" w:firstLineChars="200"/>
        <w:rPr>
          <w:rFonts w:hint="eastAsia" w:ascii="仿宋" w:hAnsi="仿宋" w:eastAsia="仿宋" w:cs="仿宋"/>
          <w:color w:val="auto"/>
          <w:kern w:val="0"/>
          <w:sz w:val="30"/>
          <w:szCs w:val="30"/>
          <w:highlight w:val="none"/>
          <w:u w:val="none"/>
        </w:rPr>
      </w:pPr>
      <w:bookmarkStart w:id="11" w:name="_Toc522526785"/>
    </w:p>
    <w:p w14:paraId="7E2C7C96">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已依法缴纳税收和社会保障资金</w:t>
      </w:r>
      <w:r>
        <w:rPr>
          <w:rFonts w:hint="eastAsia" w:ascii="仿宋" w:hAnsi="仿宋" w:eastAsia="仿宋" w:cs="仿宋"/>
          <w:color w:val="auto"/>
          <w:kern w:val="0"/>
          <w:sz w:val="30"/>
          <w:szCs w:val="30"/>
          <w:highlight w:val="none"/>
          <w:u w:val="none"/>
        </w:rPr>
        <w:t>。</w:t>
      </w:r>
    </w:p>
    <w:p w14:paraId="5B1F8F3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9E89B0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7232C49F">
      <w:pPr>
        <w:shd w:val="clear"/>
        <w:jc w:val="center"/>
        <w:rPr>
          <w:rFonts w:hint="eastAsia" w:ascii="仿宋" w:hAnsi="仿宋" w:eastAsia="仿宋" w:cs="仿宋"/>
          <w:color w:val="auto"/>
          <w:sz w:val="28"/>
          <w:szCs w:val="28"/>
          <w:highlight w:val="none"/>
        </w:rPr>
      </w:pPr>
    </w:p>
    <w:p w14:paraId="1CCB6983">
      <w:pPr>
        <w:shd w:val="clear"/>
        <w:jc w:val="center"/>
        <w:rPr>
          <w:rFonts w:hint="eastAsia" w:ascii="仿宋" w:hAnsi="仿宋" w:eastAsia="仿宋" w:cs="仿宋"/>
          <w:color w:val="auto"/>
          <w:sz w:val="28"/>
          <w:szCs w:val="28"/>
          <w:highlight w:val="none"/>
        </w:rPr>
      </w:pPr>
    </w:p>
    <w:p w14:paraId="1CDD76B0">
      <w:pPr>
        <w:shd w:val="clear"/>
        <w:jc w:val="center"/>
        <w:rPr>
          <w:rFonts w:hint="eastAsia" w:ascii="仿宋" w:hAnsi="仿宋" w:eastAsia="仿宋" w:cs="仿宋"/>
          <w:color w:val="auto"/>
          <w:sz w:val="28"/>
          <w:szCs w:val="28"/>
          <w:highlight w:val="none"/>
        </w:rPr>
      </w:pPr>
    </w:p>
    <w:p w14:paraId="149C0173">
      <w:pPr>
        <w:shd w:val="clear"/>
        <w:spacing w:line="520" w:lineRule="exact"/>
        <w:ind w:firstLine="3900" w:firstLineChars="1300"/>
        <w:jc w:val="right"/>
        <w:rPr>
          <w:rFonts w:hint="eastAsia" w:ascii="仿宋" w:hAnsi="仿宋" w:eastAsia="仿宋" w:cs="仿宋"/>
          <w:color w:val="auto"/>
          <w:sz w:val="30"/>
          <w:szCs w:val="30"/>
          <w:highlight w:val="none"/>
        </w:rPr>
      </w:pPr>
    </w:p>
    <w:p w14:paraId="6D30BCE5">
      <w:pPr>
        <w:shd w:val="clear"/>
        <w:rPr>
          <w:rFonts w:hint="eastAsia" w:ascii="仿宋" w:hAnsi="仿宋" w:eastAsia="仿宋" w:cs="仿宋"/>
          <w:color w:val="auto"/>
          <w:highlight w:val="none"/>
        </w:rPr>
      </w:pPr>
    </w:p>
    <w:p w14:paraId="2D3A4D00">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7B7B8202">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0CDAA9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eastAsia="黑体" w:cs="Times New Roman"/>
          <w:bCs/>
          <w:color w:val="auto"/>
          <w:sz w:val="32"/>
          <w:szCs w:val="32"/>
          <w:highlight w:val="none"/>
          <w:lang w:eastAsia="zh-CN"/>
        </w:rPr>
        <w:t>开标前6个月内任意月份的依法缴纳税收和社会保障资金的证明材料</w:t>
      </w:r>
    </w:p>
    <w:p w14:paraId="2D03BC2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4D0A9FF7">
      <w:pPr>
        <w:shd w:val="clear"/>
        <w:jc w:val="center"/>
        <w:rPr>
          <w:rFonts w:hint="eastAsia" w:ascii="仿宋" w:hAnsi="仿宋" w:eastAsia="仿宋" w:cs="仿宋"/>
          <w:color w:val="auto"/>
          <w:highlight w:val="none"/>
        </w:rPr>
      </w:pPr>
    </w:p>
    <w:p w14:paraId="6EF632B4">
      <w:pPr>
        <w:shd w:val="clear"/>
        <w:jc w:val="center"/>
        <w:rPr>
          <w:rFonts w:hint="eastAsia" w:ascii="仿宋" w:hAnsi="仿宋" w:eastAsia="仿宋" w:cs="仿宋"/>
          <w:color w:val="auto"/>
          <w:highlight w:val="none"/>
        </w:rPr>
      </w:pPr>
    </w:p>
    <w:p w14:paraId="3F771707">
      <w:pPr>
        <w:shd w:val="clear"/>
        <w:jc w:val="center"/>
        <w:rPr>
          <w:rFonts w:hint="eastAsia" w:ascii="仿宋" w:hAnsi="仿宋" w:eastAsia="仿宋" w:cs="仿宋"/>
          <w:color w:val="auto"/>
          <w:highlight w:val="none"/>
        </w:rPr>
      </w:pPr>
    </w:p>
    <w:p w14:paraId="6ACE5820">
      <w:pPr>
        <w:shd w:val="clear"/>
        <w:jc w:val="center"/>
        <w:rPr>
          <w:rFonts w:hint="eastAsia" w:ascii="仿宋" w:hAnsi="仿宋" w:eastAsia="仿宋" w:cs="仿宋"/>
          <w:color w:val="auto"/>
          <w:highlight w:val="none"/>
        </w:rPr>
      </w:pPr>
    </w:p>
    <w:p w14:paraId="1AE337B8">
      <w:pPr>
        <w:shd w:val="clear"/>
        <w:jc w:val="center"/>
        <w:rPr>
          <w:rFonts w:hint="eastAsia" w:ascii="仿宋" w:hAnsi="仿宋" w:eastAsia="仿宋" w:cs="仿宋"/>
          <w:color w:val="auto"/>
          <w:highlight w:val="none"/>
        </w:rPr>
      </w:pPr>
    </w:p>
    <w:p w14:paraId="193482AF">
      <w:pPr>
        <w:shd w:val="clear"/>
        <w:jc w:val="center"/>
        <w:rPr>
          <w:rFonts w:hint="eastAsia" w:ascii="仿宋" w:hAnsi="仿宋" w:eastAsia="仿宋" w:cs="仿宋"/>
          <w:color w:val="auto"/>
          <w:highlight w:val="none"/>
        </w:rPr>
      </w:pPr>
    </w:p>
    <w:p w14:paraId="5BBD0574">
      <w:pPr>
        <w:shd w:val="clear"/>
        <w:jc w:val="center"/>
        <w:rPr>
          <w:rFonts w:hint="eastAsia" w:ascii="仿宋" w:hAnsi="仿宋" w:eastAsia="仿宋" w:cs="仿宋"/>
          <w:color w:val="auto"/>
          <w:highlight w:val="none"/>
        </w:rPr>
      </w:pPr>
    </w:p>
    <w:p w14:paraId="5BF9372A">
      <w:pPr>
        <w:shd w:val="clear"/>
        <w:jc w:val="center"/>
        <w:rPr>
          <w:rFonts w:hint="eastAsia" w:ascii="仿宋" w:hAnsi="仿宋" w:eastAsia="仿宋" w:cs="仿宋"/>
          <w:color w:val="auto"/>
          <w:highlight w:val="none"/>
        </w:rPr>
      </w:pPr>
    </w:p>
    <w:p w14:paraId="3DC2E685">
      <w:pPr>
        <w:shd w:val="clear"/>
        <w:jc w:val="center"/>
        <w:rPr>
          <w:rFonts w:hint="eastAsia" w:ascii="仿宋" w:hAnsi="仿宋" w:eastAsia="仿宋" w:cs="仿宋"/>
          <w:color w:val="auto"/>
          <w:highlight w:val="none"/>
        </w:rPr>
      </w:pPr>
    </w:p>
    <w:p w14:paraId="4ED159E3">
      <w:pPr>
        <w:shd w:val="clear"/>
        <w:jc w:val="center"/>
        <w:rPr>
          <w:rFonts w:hint="eastAsia" w:ascii="仿宋" w:hAnsi="仿宋" w:eastAsia="仿宋" w:cs="仿宋"/>
          <w:color w:val="auto"/>
          <w:highlight w:val="none"/>
        </w:rPr>
      </w:pPr>
    </w:p>
    <w:p w14:paraId="53047B88">
      <w:pPr>
        <w:shd w:val="clear"/>
        <w:jc w:val="center"/>
        <w:rPr>
          <w:rFonts w:hint="eastAsia" w:ascii="仿宋" w:hAnsi="仿宋" w:eastAsia="仿宋" w:cs="仿宋"/>
          <w:color w:val="auto"/>
          <w:highlight w:val="none"/>
        </w:rPr>
      </w:pPr>
    </w:p>
    <w:p w14:paraId="72F824B0">
      <w:pPr>
        <w:shd w:val="clear"/>
        <w:jc w:val="center"/>
        <w:rPr>
          <w:rFonts w:hint="eastAsia" w:ascii="仿宋" w:hAnsi="仿宋" w:eastAsia="仿宋" w:cs="仿宋"/>
          <w:color w:val="auto"/>
          <w:highlight w:val="none"/>
        </w:rPr>
      </w:pPr>
    </w:p>
    <w:p w14:paraId="1817279B">
      <w:pPr>
        <w:shd w:val="clear"/>
        <w:jc w:val="center"/>
        <w:rPr>
          <w:rFonts w:hint="eastAsia" w:ascii="仿宋" w:hAnsi="仿宋" w:eastAsia="仿宋" w:cs="仿宋"/>
          <w:color w:val="auto"/>
          <w:highlight w:val="none"/>
        </w:rPr>
      </w:pPr>
    </w:p>
    <w:p w14:paraId="0D30158D">
      <w:pPr>
        <w:shd w:val="clear"/>
        <w:jc w:val="center"/>
        <w:rPr>
          <w:rFonts w:hint="eastAsia" w:ascii="仿宋" w:hAnsi="仿宋" w:eastAsia="仿宋" w:cs="仿宋"/>
          <w:color w:val="auto"/>
          <w:highlight w:val="none"/>
        </w:rPr>
      </w:pPr>
    </w:p>
    <w:p w14:paraId="1209C81F">
      <w:pPr>
        <w:shd w:val="clear"/>
        <w:jc w:val="center"/>
        <w:rPr>
          <w:rFonts w:hint="eastAsia" w:ascii="仿宋" w:hAnsi="仿宋" w:eastAsia="仿宋" w:cs="仿宋"/>
          <w:color w:val="auto"/>
          <w:highlight w:val="none"/>
        </w:rPr>
      </w:pPr>
    </w:p>
    <w:p w14:paraId="6B557E33">
      <w:pPr>
        <w:shd w:val="clear"/>
        <w:jc w:val="center"/>
        <w:rPr>
          <w:rFonts w:hint="eastAsia" w:ascii="仿宋" w:hAnsi="仿宋" w:eastAsia="仿宋" w:cs="仿宋"/>
          <w:color w:val="auto"/>
          <w:highlight w:val="none"/>
        </w:rPr>
      </w:pPr>
    </w:p>
    <w:p w14:paraId="31320672">
      <w:pPr>
        <w:shd w:val="clear"/>
        <w:jc w:val="center"/>
        <w:rPr>
          <w:rFonts w:hint="eastAsia" w:ascii="仿宋" w:hAnsi="仿宋" w:eastAsia="仿宋" w:cs="仿宋"/>
          <w:color w:val="auto"/>
          <w:highlight w:val="none"/>
        </w:rPr>
      </w:pPr>
    </w:p>
    <w:p w14:paraId="0408FDBF">
      <w:pPr>
        <w:shd w:val="clear"/>
        <w:jc w:val="center"/>
        <w:rPr>
          <w:rFonts w:hint="eastAsia" w:ascii="仿宋" w:hAnsi="仿宋" w:eastAsia="仿宋" w:cs="仿宋"/>
          <w:color w:val="auto"/>
          <w:highlight w:val="none"/>
        </w:rPr>
      </w:pPr>
    </w:p>
    <w:p w14:paraId="5D44A2C4">
      <w:pPr>
        <w:shd w:val="clear"/>
        <w:jc w:val="center"/>
        <w:rPr>
          <w:rFonts w:hint="eastAsia" w:ascii="仿宋" w:hAnsi="仿宋" w:eastAsia="仿宋" w:cs="仿宋"/>
          <w:color w:val="auto"/>
          <w:highlight w:val="none"/>
        </w:rPr>
      </w:pPr>
    </w:p>
    <w:p w14:paraId="139E77E9">
      <w:pPr>
        <w:shd w:val="clear"/>
        <w:jc w:val="center"/>
        <w:rPr>
          <w:rFonts w:hint="eastAsia" w:ascii="仿宋" w:hAnsi="仿宋" w:eastAsia="仿宋" w:cs="仿宋"/>
          <w:color w:val="auto"/>
          <w:highlight w:val="none"/>
        </w:rPr>
      </w:pPr>
    </w:p>
    <w:p w14:paraId="6C2102B4">
      <w:pPr>
        <w:shd w:val="clear"/>
        <w:jc w:val="center"/>
        <w:rPr>
          <w:rFonts w:hint="eastAsia" w:ascii="仿宋" w:hAnsi="仿宋" w:eastAsia="仿宋" w:cs="仿宋"/>
          <w:color w:val="auto"/>
          <w:highlight w:val="none"/>
        </w:rPr>
      </w:pPr>
    </w:p>
    <w:p w14:paraId="176CECEF">
      <w:pPr>
        <w:shd w:val="clear"/>
        <w:jc w:val="center"/>
        <w:rPr>
          <w:rFonts w:hint="eastAsia" w:ascii="仿宋" w:hAnsi="仿宋" w:eastAsia="仿宋" w:cs="仿宋"/>
          <w:color w:val="auto"/>
          <w:highlight w:val="none"/>
        </w:rPr>
      </w:pPr>
    </w:p>
    <w:p w14:paraId="47EA3CDD">
      <w:pPr>
        <w:shd w:val="clear"/>
        <w:jc w:val="center"/>
        <w:rPr>
          <w:rFonts w:hint="eastAsia" w:ascii="仿宋" w:hAnsi="仿宋" w:eastAsia="仿宋" w:cs="仿宋"/>
          <w:color w:val="auto"/>
          <w:highlight w:val="none"/>
        </w:rPr>
      </w:pPr>
    </w:p>
    <w:p w14:paraId="16E83D27">
      <w:pPr>
        <w:shd w:val="clear"/>
        <w:jc w:val="center"/>
        <w:rPr>
          <w:rFonts w:hint="eastAsia" w:ascii="仿宋" w:hAnsi="仿宋" w:eastAsia="仿宋" w:cs="仿宋"/>
          <w:color w:val="auto"/>
          <w:highlight w:val="none"/>
        </w:rPr>
      </w:pPr>
    </w:p>
    <w:p w14:paraId="5B4137F5">
      <w:pPr>
        <w:shd w:val="clear"/>
        <w:jc w:val="center"/>
        <w:rPr>
          <w:rFonts w:hint="eastAsia" w:ascii="仿宋" w:hAnsi="仿宋" w:eastAsia="仿宋" w:cs="仿宋"/>
          <w:color w:val="auto"/>
          <w:highlight w:val="none"/>
        </w:rPr>
      </w:pPr>
    </w:p>
    <w:p w14:paraId="3A3FB028">
      <w:pPr>
        <w:shd w:val="clear"/>
        <w:jc w:val="center"/>
        <w:rPr>
          <w:rFonts w:hint="eastAsia" w:ascii="仿宋" w:hAnsi="仿宋" w:eastAsia="仿宋" w:cs="仿宋"/>
          <w:color w:val="auto"/>
          <w:highlight w:val="none"/>
        </w:rPr>
      </w:pPr>
    </w:p>
    <w:p w14:paraId="20A7D5B7">
      <w:pPr>
        <w:shd w:val="clear"/>
        <w:jc w:val="center"/>
        <w:rPr>
          <w:rFonts w:hint="eastAsia" w:ascii="仿宋" w:hAnsi="仿宋" w:eastAsia="仿宋" w:cs="仿宋"/>
          <w:color w:val="auto"/>
          <w:highlight w:val="none"/>
        </w:rPr>
      </w:pPr>
    </w:p>
    <w:p w14:paraId="48B8DFA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51C49953">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无重大违法记录等声明</w:t>
      </w:r>
    </w:p>
    <w:p w14:paraId="358AF443">
      <w:pPr>
        <w:shd w:val="clear"/>
        <w:spacing w:line="480" w:lineRule="auto"/>
        <w:rPr>
          <w:rFonts w:hint="eastAsia" w:ascii="仿宋" w:hAnsi="仿宋" w:eastAsia="仿宋" w:cs="仿宋"/>
          <w:bCs/>
          <w:color w:val="auto"/>
          <w:sz w:val="28"/>
          <w:szCs w:val="28"/>
          <w:highlight w:val="none"/>
        </w:rPr>
      </w:pPr>
    </w:p>
    <w:p w14:paraId="00B036E0">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51700C8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名称）现郑重声明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自参加本项目（编号为</w:t>
      </w:r>
      <w:r>
        <w:rPr>
          <w:rFonts w:hint="eastAsia" w:ascii="仿宋" w:hAnsi="仿宋" w:eastAsia="仿宋" w:cs="仿宋"/>
          <w:bCs/>
          <w:color w:val="auto"/>
          <w:sz w:val="28"/>
          <w:szCs w:val="28"/>
          <w:highlight w:val="none"/>
          <w:lang w:val="en-US" w:eastAsia="zh-CN"/>
        </w:rPr>
        <w:t>WHZCZB2026-096</w:t>
      </w:r>
      <w:r>
        <w:rPr>
          <w:rFonts w:hint="eastAsia" w:ascii="仿宋" w:hAnsi="仿宋" w:eastAsia="仿宋" w:cs="仿宋"/>
          <w:bCs/>
          <w:color w:val="auto"/>
          <w:sz w:val="28"/>
          <w:szCs w:val="28"/>
          <w:highlight w:val="none"/>
        </w:rPr>
        <w:t>）采购活动前三年内</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无因违法经营受到刑事处罚或者责令停产停业的、吊销许可证或者执照的、较大数额罚款等行政处罚</w:t>
      </w:r>
      <w:r>
        <w:rPr>
          <w:rFonts w:hint="eastAsia" w:ascii="仿宋" w:hAnsi="仿宋" w:eastAsia="仿宋" w:cs="仿宋"/>
          <w:bCs/>
          <w:color w:val="auto"/>
          <w:sz w:val="28"/>
          <w:szCs w:val="28"/>
          <w:highlight w:val="none"/>
          <w:lang w:eastAsia="zh-CN"/>
        </w:rPr>
        <w:t>，且</w:t>
      </w:r>
      <w:r>
        <w:rPr>
          <w:rFonts w:hint="eastAsia" w:ascii="仿宋" w:hAnsi="仿宋" w:eastAsia="仿宋" w:cs="仿宋"/>
          <w:bCs/>
          <w:color w:val="auto"/>
          <w:sz w:val="28"/>
          <w:szCs w:val="28"/>
          <w:highlight w:val="none"/>
          <w:lang w:val="en-US" w:eastAsia="zh-CN"/>
        </w:rPr>
        <w:t>我单位</w:t>
      </w:r>
      <w:r>
        <w:rPr>
          <w:rFonts w:hint="eastAsia" w:ascii="仿宋" w:hAnsi="仿宋" w:eastAsia="仿宋" w:cs="仿宋"/>
          <w:bCs/>
          <w:color w:val="auto"/>
          <w:sz w:val="28"/>
          <w:szCs w:val="28"/>
          <w:highlight w:val="none"/>
          <w:lang w:eastAsia="zh-CN"/>
        </w:rPr>
        <w:t>及法定代表人/单位负责人、项目负责人未受到司法行政机关行政处罚、未遭受律师协会行业处分、无行贿犯罪记录</w:t>
      </w:r>
      <w:r>
        <w:rPr>
          <w:rFonts w:hint="eastAsia" w:ascii="仿宋" w:hAnsi="仿宋" w:eastAsia="仿宋" w:cs="仿宋"/>
          <w:bCs/>
          <w:color w:val="auto"/>
          <w:sz w:val="28"/>
          <w:szCs w:val="28"/>
          <w:highlight w:val="none"/>
        </w:rPr>
        <w:t xml:space="preserve">。  </w:t>
      </w:r>
    </w:p>
    <w:p w14:paraId="4692796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自行承担因此产生的所有法律责任。</w:t>
      </w:r>
    </w:p>
    <w:p w14:paraId="2FAD8728">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447A24DE">
      <w:pPr>
        <w:shd w:val="clear"/>
        <w:spacing w:line="480" w:lineRule="auto"/>
        <w:ind w:left="1747" w:leftChars="832"/>
        <w:rPr>
          <w:rFonts w:hint="eastAsia" w:ascii="仿宋" w:hAnsi="仿宋" w:eastAsia="仿宋" w:cs="仿宋"/>
          <w:bCs/>
          <w:color w:val="auto"/>
          <w:sz w:val="28"/>
          <w:szCs w:val="28"/>
          <w:highlight w:val="none"/>
        </w:rPr>
      </w:pPr>
    </w:p>
    <w:p w14:paraId="7CE9D1C5">
      <w:pPr>
        <w:shd w:val="clear"/>
        <w:spacing w:line="480" w:lineRule="auto"/>
        <w:ind w:left="1747" w:leftChars="832"/>
        <w:rPr>
          <w:rFonts w:hint="eastAsia" w:ascii="仿宋" w:hAnsi="仿宋" w:eastAsia="仿宋" w:cs="仿宋"/>
          <w:bCs/>
          <w:color w:val="auto"/>
          <w:sz w:val="28"/>
          <w:szCs w:val="28"/>
          <w:highlight w:val="none"/>
        </w:rPr>
      </w:pPr>
    </w:p>
    <w:p w14:paraId="0AD4F1FA">
      <w:pPr>
        <w:shd w:val="clear"/>
        <w:spacing w:line="480" w:lineRule="auto"/>
        <w:ind w:left="1747" w:leftChars="832"/>
        <w:rPr>
          <w:rFonts w:hint="eastAsia" w:ascii="仿宋" w:hAnsi="仿宋" w:eastAsia="仿宋" w:cs="仿宋"/>
          <w:bCs/>
          <w:color w:val="auto"/>
          <w:sz w:val="28"/>
          <w:szCs w:val="28"/>
          <w:highlight w:val="none"/>
        </w:rPr>
      </w:pPr>
    </w:p>
    <w:p w14:paraId="7ECCFEEA">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1896D679">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bCs/>
          <w:color w:val="auto"/>
          <w:kern w:val="0"/>
          <w:sz w:val="28"/>
          <w:szCs w:val="28"/>
          <w:highlight w:val="none"/>
        </w:rPr>
        <w:t>法定代表人</w:t>
      </w:r>
      <w:r>
        <w:rPr>
          <w:rFonts w:hint="eastAsia" w:ascii="仿宋" w:hAnsi="仿宋" w:eastAsia="仿宋" w:cs="仿宋"/>
          <w:bCs/>
          <w:color w:val="auto"/>
          <w:kern w:val="0"/>
          <w:sz w:val="28"/>
          <w:szCs w:val="28"/>
          <w:highlight w:val="none"/>
          <w:lang w:val="en-US" w:eastAsia="zh-CN"/>
        </w:rPr>
        <w:t>/单位负责人</w:t>
      </w:r>
      <w:r>
        <w:rPr>
          <w:rFonts w:hint="eastAsia" w:ascii="仿宋" w:hAnsi="仿宋" w:eastAsia="仿宋" w:cs="仿宋"/>
          <w:bCs/>
          <w:color w:val="auto"/>
          <w:kern w:val="0"/>
          <w:sz w:val="28"/>
          <w:szCs w:val="28"/>
          <w:highlight w:val="none"/>
        </w:rPr>
        <w:t>签章</w:t>
      </w:r>
      <w:r>
        <w:rPr>
          <w:rFonts w:hint="eastAsia" w:ascii="仿宋" w:hAnsi="仿宋" w:eastAsia="仿宋" w:cs="仿宋"/>
          <w:color w:val="auto"/>
          <w:kern w:val="0"/>
          <w:sz w:val="28"/>
          <w:szCs w:val="28"/>
          <w:highlight w:val="none"/>
        </w:rPr>
        <w:t xml:space="preserve">：      </w:t>
      </w:r>
    </w:p>
    <w:p w14:paraId="484E1154">
      <w:pPr>
        <w:widowControl/>
        <w:shd w:val="clear"/>
        <w:wordWrap w:val="0"/>
        <w:ind w:right="560" w:firstLine="4760" w:firstLineChars="1700"/>
        <w:jc w:val="right"/>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年   月   日</w:t>
      </w:r>
    </w:p>
    <w:p w14:paraId="7FC62A20">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color w:val="auto"/>
          <w:sz w:val="28"/>
          <w:szCs w:val="28"/>
          <w:highlight w:val="none"/>
        </w:rPr>
        <w:br w:type="page"/>
      </w:r>
      <w:bookmarkEnd w:id="11"/>
      <w:bookmarkStart w:id="12" w:name="_Toc522526789"/>
      <w:bookmarkStart w:id="13" w:name="_Toc521936050"/>
      <w:r>
        <w:rPr>
          <w:rFonts w:hint="eastAsia" w:ascii="Times New Roman" w:hAnsi="Times New Roman" w:eastAsia="黑体" w:cs="Times New Roman"/>
          <w:bCs/>
          <w:color w:val="auto"/>
          <w:sz w:val="32"/>
          <w:szCs w:val="32"/>
          <w:highlight w:val="none"/>
        </w:rPr>
        <w:t>投标人及其法定代表人/单位负责人、被授权人、项目负责人未被最高人民法院列为失信被执行人网站查询结果截图</w:t>
      </w:r>
    </w:p>
    <w:p w14:paraId="287B6E4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F8208A2">
      <w:pPr>
        <w:shd w:val="clear"/>
        <w:snapToGrid w:val="0"/>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4CF29271">
      <w:pPr>
        <w:shd w:val="clear"/>
        <w:snapToGrid w:val="0"/>
        <w:spacing w:line="560" w:lineRule="exact"/>
        <w:ind w:firstLine="562" w:firstLineChars="201"/>
        <w:rPr>
          <w:rFonts w:hint="eastAsia" w:ascii="仿宋" w:hAnsi="仿宋" w:eastAsia="仿宋" w:cs="仿宋"/>
          <w:color w:val="auto"/>
          <w:sz w:val="28"/>
          <w:szCs w:val="28"/>
          <w:highlight w:val="none"/>
        </w:rPr>
      </w:pPr>
    </w:p>
    <w:p w14:paraId="7B295FF5">
      <w:pPr>
        <w:pStyle w:val="9"/>
        <w:shd w:val="clear"/>
        <w:rPr>
          <w:rFonts w:hint="eastAsia" w:ascii="仿宋" w:hAnsi="仿宋" w:eastAsia="仿宋" w:cs="仿宋"/>
          <w:color w:val="auto"/>
          <w:highlight w:val="none"/>
        </w:rPr>
      </w:pPr>
    </w:p>
    <w:p w14:paraId="7065D2E2">
      <w:pPr>
        <w:shd w:val="clear"/>
        <w:snapToGrid w:val="0"/>
        <w:spacing w:line="560" w:lineRule="exact"/>
        <w:ind w:firstLine="562" w:firstLineChars="201"/>
        <w:rPr>
          <w:rFonts w:hint="eastAsia" w:ascii="仿宋" w:hAnsi="仿宋" w:eastAsia="仿宋" w:cs="仿宋"/>
          <w:color w:val="auto"/>
          <w:sz w:val="28"/>
          <w:szCs w:val="28"/>
          <w:highlight w:val="none"/>
        </w:rPr>
      </w:pPr>
    </w:p>
    <w:p w14:paraId="48F06331">
      <w:pPr>
        <w:shd w:val="clear"/>
        <w:snapToGrid w:val="0"/>
        <w:spacing w:line="560" w:lineRule="exact"/>
        <w:ind w:firstLine="562" w:firstLineChars="201"/>
        <w:rPr>
          <w:rFonts w:hint="eastAsia" w:ascii="仿宋" w:hAnsi="仿宋" w:eastAsia="仿宋" w:cs="仿宋"/>
          <w:color w:val="auto"/>
          <w:sz w:val="28"/>
          <w:szCs w:val="28"/>
          <w:highlight w:val="none"/>
        </w:rPr>
      </w:pPr>
    </w:p>
    <w:p w14:paraId="2CDB4A0F">
      <w:pPr>
        <w:shd w:val="clear"/>
        <w:jc w:val="center"/>
        <w:rPr>
          <w:rFonts w:hint="eastAsia" w:ascii="仿宋" w:hAnsi="仿宋" w:eastAsia="仿宋" w:cs="仿宋"/>
          <w:b/>
          <w:color w:val="auto"/>
          <w:sz w:val="28"/>
          <w:szCs w:val="28"/>
          <w:highlight w:val="none"/>
        </w:rPr>
      </w:pPr>
    </w:p>
    <w:p w14:paraId="72B250E8">
      <w:pPr>
        <w:shd w:val="clear"/>
        <w:jc w:val="center"/>
        <w:rPr>
          <w:rFonts w:hint="eastAsia" w:ascii="仿宋" w:hAnsi="仿宋" w:eastAsia="仿宋" w:cs="仿宋"/>
          <w:b/>
          <w:color w:val="auto"/>
          <w:sz w:val="28"/>
          <w:szCs w:val="28"/>
          <w:highlight w:val="none"/>
        </w:rPr>
      </w:pPr>
    </w:p>
    <w:p w14:paraId="54193184">
      <w:pPr>
        <w:shd w:val="clear"/>
        <w:jc w:val="center"/>
        <w:rPr>
          <w:rFonts w:hint="eastAsia" w:ascii="仿宋" w:hAnsi="仿宋" w:eastAsia="仿宋" w:cs="仿宋"/>
          <w:b/>
          <w:color w:val="auto"/>
          <w:sz w:val="28"/>
          <w:szCs w:val="28"/>
          <w:highlight w:val="none"/>
        </w:rPr>
      </w:pPr>
    </w:p>
    <w:p w14:paraId="4871CB68">
      <w:pPr>
        <w:shd w:val="clear"/>
        <w:jc w:val="center"/>
        <w:rPr>
          <w:rFonts w:hint="eastAsia" w:ascii="仿宋" w:hAnsi="仿宋" w:eastAsia="仿宋" w:cs="仿宋"/>
          <w:b/>
          <w:color w:val="auto"/>
          <w:sz w:val="28"/>
          <w:szCs w:val="28"/>
          <w:highlight w:val="none"/>
        </w:rPr>
      </w:pPr>
    </w:p>
    <w:p w14:paraId="176C4AD0">
      <w:pPr>
        <w:shd w:val="clear"/>
        <w:jc w:val="center"/>
        <w:rPr>
          <w:rFonts w:hint="eastAsia" w:ascii="仿宋" w:hAnsi="仿宋" w:eastAsia="仿宋" w:cs="仿宋"/>
          <w:b/>
          <w:color w:val="auto"/>
          <w:sz w:val="28"/>
          <w:szCs w:val="28"/>
          <w:highlight w:val="none"/>
        </w:rPr>
      </w:pPr>
    </w:p>
    <w:p w14:paraId="4FAEC067">
      <w:pPr>
        <w:shd w:val="clear"/>
        <w:snapToGrid w:val="0"/>
        <w:spacing w:line="560" w:lineRule="exact"/>
        <w:ind w:firstLine="643" w:firstLineChars="201"/>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bookmarkEnd w:id="12"/>
    <w:bookmarkEnd w:id="13"/>
    <w:p w14:paraId="21ED7F2C">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投标人近一年在“信用中国”或“信用中国（山东）”无严重失信记录声明</w:t>
      </w:r>
    </w:p>
    <w:p w14:paraId="1291068F">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3B45AA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近一年在“信用中国”或“信用中国（山东）”无严重失信记录</w:t>
      </w:r>
      <w:r>
        <w:rPr>
          <w:rFonts w:hint="eastAsia" w:ascii="仿宋" w:hAnsi="仿宋" w:eastAsia="仿宋" w:cs="仿宋"/>
          <w:color w:val="auto"/>
          <w:kern w:val="0"/>
          <w:sz w:val="30"/>
          <w:szCs w:val="30"/>
          <w:highlight w:val="none"/>
          <w:u w:val="none"/>
        </w:rPr>
        <w:t>。</w:t>
      </w:r>
    </w:p>
    <w:p w14:paraId="5DC56C7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15ECAAB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54CBB936">
      <w:pPr>
        <w:shd w:val="clear"/>
        <w:jc w:val="center"/>
        <w:rPr>
          <w:rFonts w:hint="eastAsia" w:ascii="仿宋" w:hAnsi="仿宋" w:eastAsia="仿宋" w:cs="仿宋"/>
          <w:color w:val="auto"/>
          <w:sz w:val="28"/>
          <w:szCs w:val="28"/>
          <w:highlight w:val="none"/>
        </w:rPr>
      </w:pPr>
    </w:p>
    <w:p w14:paraId="773B8C1F">
      <w:pPr>
        <w:shd w:val="clear"/>
        <w:jc w:val="center"/>
        <w:rPr>
          <w:rFonts w:hint="eastAsia" w:ascii="仿宋" w:hAnsi="仿宋" w:eastAsia="仿宋" w:cs="仿宋"/>
          <w:color w:val="auto"/>
          <w:sz w:val="28"/>
          <w:szCs w:val="28"/>
          <w:highlight w:val="none"/>
        </w:rPr>
      </w:pPr>
    </w:p>
    <w:p w14:paraId="22A4CCBC">
      <w:pPr>
        <w:shd w:val="clear"/>
        <w:jc w:val="center"/>
        <w:rPr>
          <w:rFonts w:hint="eastAsia" w:ascii="仿宋" w:hAnsi="仿宋" w:eastAsia="仿宋" w:cs="仿宋"/>
          <w:color w:val="auto"/>
          <w:sz w:val="28"/>
          <w:szCs w:val="28"/>
          <w:highlight w:val="none"/>
        </w:rPr>
      </w:pPr>
    </w:p>
    <w:p w14:paraId="2892E6BF">
      <w:pPr>
        <w:shd w:val="clear"/>
        <w:spacing w:line="520" w:lineRule="exact"/>
        <w:ind w:firstLine="3900" w:firstLineChars="1300"/>
        <w:jc w:val="right"/>
        <w:rPr>
          <w:rFonts w:hint="eastAsia" w:ascii="仿宋" w:hAnsi="仿宋" w:eastAsia="仿宋" w:cs="仿宋"/>
          <w:color w:val="auto"/>
          <w:sz w:val="30"/>
          <w:szCs w:val="30"/>
          <w:highlight w:val="none"/>
        </w:rPr>
      </w:pPr>
    </w:p>
    <w:p w14:paraId="226F13F3">
      <w:pPr>
        <w:shd w:val="clear"/>
        <w:rPr>
          <w:rFonts w:hint="eastAsia" w:ascii="仿宋" w:hAnsi="仿宋" w:eastAsia="仿宋" w:cs="仿宋"/>
          <w:color w:val="auto"/>
          <w:highlight w:val="none"/>
        </w:rPr>
      </w:pPr>
    </w:p>
    <w:p w14:paraId="70E0BA82">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3D748B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7969FB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其他资质资格证明文件</w:t>
      </w:r>
    </w:p>
    <w:p w14:paraId="79EF4B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D446294">
      <w:pPr>
        <w:shd w:val="clear"/>
        <w:rPr>
          <w:rFonts w:hint="eastAsia" w:ascii="仿宋" w:hAnsi="仿宋" w:eastAsia="仿宋" w:cs="仿宋"/>
          <w:color w:val="auto"/>
          <w:highlight w:val="none"/>
        </w:rPr>
      </w:pPr>
    </w:p>
    <w:p w14:paraId="709D1E81">
      <w:pPr>
        <w:shd w:val="clear"/>
        <w:jc w:val="center"/>
        <w:rPr>
          <w:rFonts w:hint="eastAsia" w:ascii="仿宋" w:hAnsi="仿宋" w:eastAsia="仿宋" w:cs="仿宋"/>
          <w:color w:val="auto"/>
          <w:highlight w:val="none"/>
        </w:rPr>
      </w:pPr>
    </w:p>
    <w:p w14:paraId="06786767">
      <w:pPr>
        <w:shd w:val="clear"/>
        <w:jc w:val="center"/>
        <w:rPr>
          <w:rFonts w:hint="eastAsia" w:ascii="仿宋" w:hAnsi="仿宋" w:eastAsia="仿宋" w:cs="仿宋"/>
          <w:color w:val="auto"/>
          <w:highlight w:val="none"/>
        </w:rPr>
      </w:pPr>
    </w:p>
    <w:p w14:paraId="3F42AD44">
      <w:pPr>
        <w:shd w:val="clear"/>
        <w:jc w:val="center"/>
        <w:rPr>
          <w:rFonts w:hint="eastAsia" w:ascii="仿宋" w:hAnsi="仿宋" w:eastAsia="仿宋" w:cs="仿宋"/>
          <w:color w:val="auto"/>
          <w:highlight w:val="none"/>
        </w:rPr>
      </w:pPr>
    </w:p>
    <w:p w14:paraId="4CAEB7D6">
      <w:pPr>
        <w:shd w:val="clear"/>
        <w:jc w:val="center"/>
        <w:rPr>
          <w:rFonts w:hint="eastAsia" w:ascii="仿宋" w:hAnsi="仿宋" w:eastAsia="仿宋" w:cs="仿宋"/>
          <w:color w:val="auto"/>
          <w:highlight w:val="none"/>
        </w:rPr>
      </w:pPr>
    </w:p>
    <w:p w14:paraId="1698C1FD">
      <w:pPr>
        <w:shd w:val="clear"/>
        <w:jc w:val="center"/>
        <w:rPr>
          <w:rFonts w:hint="eastAsia" w:ascii="仿宋" w:hAnsi="仿宋" w:eastAsia="仿宋" w:cs="仿宋"/>
          <w:color w:val="auto"/>
          <w:highlight w:val="none"/>
        </w:rPr>
      </w:pPr>
    </w:p>
    <w:p w14:paraId="003FFA6D">
      <w:pPr>
        <w:shd w:val="clear"/>
        <w:jc w:val="center"/>
        <w:rPr>
          <w:rFonts w:hint="eastAsia" w:ascii="仿宋" w:hAnsi="仿宋" w:eastAsia="仿宋" w:cs="仿宋"/>
          <w:color w:val="auto"/>
          <w:highlight w:val="none"/>
        </w:rPr>
      </w:pPr>
    </w:p>
    <w:p w14:paraId="091D57FE">
      <w:pPr>
        <w:shd w:val="clear"/>
        <w:jc w:val="center"/>
        <w:rPr>
          <w:rFonts w:hint="eastAsia" w:ascii="仿宋" w:hAnsi="仿宋" w:eastAsia="仿宋" w:cs="仿宋"/>
          <w:color w:val="auto"/>
          <w:highlight w:val="none"/>
        </w:rPr>
      </w:pPr>
    </w:p>
    <w:p w14:paraId="57862241">
      <w:pPr>
        <w:shd w:val="clear"/>
        <w:jc w:val="center"/>
        <w:rPr>
          <w:rFonts w:hint="eastAsia" w:ascii="仿宋" w:hAnsi="仿宋" w:eastAsia="仿宋" w:cs="仿宋"/>
          <w:color w:val="auto"/>
          <w:highlight w:val="none"/>
        </w:rPr>
      </w:pPr>
    </w:p>
    <w:p w14:paraId="0C5F5FD5">
      <w:pPr>
        <w:shd w:val="clear"/>
        <w:jc w:val="center"/>
        <w:rPr>
          <w:rFonts w:hint="eastAsia" w:ascii="仿宋" w:hAnsi="仿宋" w:eastAsia="仿宋" w:cs="仿宋"/>
          <w:color w:val="auto"/>
          <w:highlight w:val="none"/>
        </w:rPr>
      </w:pPr>
    </w:p>
    <w:p w14:paraId="0D71A54A">
      <w:pPr>
        <w:shd w:val="clear"/>
        <w:jc w:val="center"/>
        <w:rPr>
          <w:rFonts w:hint="eastAsia" w:ascii="仿宋" w:hAnsi="仿宋" w:eastAsia="仿宋" w:cs="仿宋"/>
          <w:color w:val="auto"/>
          <w:highlight w:val="none"/>
        </w:rPr>
      </w:pPr>
    </w:p>
    <w:p w14:paraId="799D6DAD">
      <w:pPr>
        <w:shd w:val="clear"/>
        <w:jc w:val="center"/>
        <w:rPr>
          <w:rFonts w:hint="eastAsia" w:ascii="仿宋" w:hAnsi="仿宋" w:eastAsia="仿宋" w:cs="仿宋"/>
          <w:color w:val="auto"/>
          <w:highlight w:val="none"/>
        </w:rPr>
      </w:pPr>
    </w:p>
    <w:p w14:paraId="48A309FE">
      <w:pPr>
        <w:shd w:val="clear"/>
        <w:jc w:val="center"/>
        <w:rPr>
          <w:rFonts w:hint="eastAsia" w:ascii="仿宋" w:hAnsi="仿宋" w:eastAsia="仿宋" w:cs="仿宋"/>
          <w:color w:val="auto"/>
          <w:highlight w:val="none"/>
        </w:rPr>
      </w:pPr>
    </w:p>
    <w:p w14:paraId="59D6AF43">
      <w:pPr>
        <w:shd w:val="clear"/>
        <w:jc w:val="center"/>
        <w:rPr>
          <w:rFonts w:hint="eastAsia" w:ascii="仿宋" w:hAnsi="仿宋" w:eastAsia="仿宋" w:cs="仿宋"/>
          <w:color w:val="auto"/>
          <w:highlight w:val="none"/>
        </w:rPr>
      </w:pPr>
    </w:p>
    <w:p w14:paraId="72AF74F5">
      <w:pPr>
        <w:shd w:val="clear"/>
        <w:jc w:val="center"/>
        <w:rPr>
          <w:rFonts w:hint="eastAsia" w:ascii="仿宋" w:hAnsi="仿宋" w:eastAsia="仿宋" w:cs="仿宋"/>
          <w:color w:val="auto"/>
          <w:highlight w:val="none"/>
        </w:rPr>
      </w:pPr>
    </w:p>
    <w:p w14:paraId="3BCD2492">
      <w:pPr>
        <w:shd w:val="clear"/>
        <w:jc w:val="center"/>
        <w:rPr>
          <w:rFonts w:hint="eastAsia" w:ascii="仿宋" w:hAnsi="仿宋" w:eastAsia="仿宋" w:cs="仿宋"/>
          <w:color w:val="auto"/>
          <w:highlight w:val="none"/>
        </w:rPr>
      </w:pPr>
    </w:p>
    <w:p w14:paraId="7BBAB7BF">
      <w:pPr>
        <w:shd w:val="clear"/>
        <w:jc w:val="center"/>
        <w:rPr>
          <w:rFonts w:hint="eastAsia" w:ascii="仿宋" w:hAnsi="仿宋" w:eastAsia="仿宋" w:cs="仿宋"/>
          <w:color w:val="auto"/>
          <w:highlight w:val="none"/>
        </w:rPr>
      </w:pPr>
    </w:p>
    <w:p w14:paraId="416E02FF">
      <w:pPr>
        <w:shd w:val="clear"/>
        <w:jc w:val="center"/>
        <w:rPr>
          <w:rFonts w:hint="eastAsia" w:ascii="仿宋" w:hAnsi="仿宋" w:eastAsia="仿宋" w:cs="仿宋"/>
          <w:color w:val="auto"/>
          <w:highlight w:val="none"/>
        </w:rPr>
      </w:pPr>
    </w:p>
    <w:p w14:paraId="640F2997">
      <w:pPr>
        <w:shd w:val="clear"/>
        <w:jc w:val="center"/>
        <w:rPr>
          <w:rFonts w:hint="eastAsia" w:ascii="仿宋" w:hAnsi="仿宋" w:eastAsia="仿宋" w:cs="仿宋"/>
          <w:color w:val="auto"/>
          <w:highlight w:val="none"/>
        </w:rPr>
      </w:pPr>
    </w:p>
    <w:p w14:paraId="54259544">
      <w:pPr>
        <w:shd w:val="clear"/>
        <w:jc w:val="center"/>
        <w:rPr>
          <w:rFonts w:hint="eastAsia" w:ascii="仿宋" w:hAnsi="仿宋" w:eastAsia="仿宋" w:cs="仿宋"/>
          <w:color w:val="auto"/>
          <w:highlight w:val="none"/>
        </w:rPr>
      </w:pPr>
    </w:p>
    <w:p w14:paraId="0CAE8469">
      <w:pPr>
        <w:shd w:val="clear"/>
        <w:jc w:val="center"/>
        <w:rPr>
          <w:rFonts w:hint="eastAsia" w:ascii="仿宋" w:hAnsi="仿宋" w:eastAsia="仿宋" w:cs="仿宋"/>
          <w:color w:val="auto"/>
          <w:highlight w:val="none"/>
        </w:rPr>
      </w:pPr>
    </w:p>
    <w:p w14:paraId="2098A977">
      <w:pPr>
        <w:shd w:val="clear"/>
        <w:jc w:val="center"/>
        <w:rPr>
          <w:rFonts w:hint="eastAsia" w:ascii="仿宋" w:hAnsi="仿宋" w:eastAsia="仿宋" w:cs="仿宋"/>
          <w:color w:val="auto"/>
          <w:highlight w:val="none"/>
        </w:rPr>
      </w:pPr>
    </w:p>
    <w:p w14:paraId="5500C8DD">
      <w:pPr>
        <w:shd w:val="clear"/>
        <w:jc w:val="center"/>
        <w:rPr>
          <w:rFonts w:hint="eastAsia" w:ascii="仿宋" w:hAnsi="仿宋" w:eastAsia="仿宋" w:cs="仿宋"/>
          <w:color w:val="auto"/>
          <w:highlight w:val="none"/>
        </w:rPr>
      </w:pPr>
    </w:p>
    <w:p w14:paraId="37184F9D">
      <w:pPr>
        <w:shd w:val="clear"/>
        <w:jc w:val="center"/>
        <w:rPr>
          <w:rFonts w:hint="eastAsia" w:ascii="仿宋" w:hAnsi="仿宋" w:eastAsia="仿宋" w:cs="仿宋"/>
          <w:color w:val="auto"/>
          <w:highlight w:val="none"/>
        </w:rPr>
      </w:pPr>
    </w:p>
    <w:p w14:paraId="7356B103">
      <w:pPr>
        <w:shd w:val="clear"/>
        <w:jc w:val="center"/>
        <w:rPr>
          <w:rFonts w:hint="eastAsia" w:ascii="仿宋" w:hAnsi="仿宋" w:eastAsia="仿宋" w:cs="仿宋"/>
          <w:color w:val="auto"/>
          <w:highlight w:val="none"/>
        </w:rPr>
      </w:pPr>
    </w:p>
    <w:p w14:paraId="234DA0BC">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B54F2C1">
      <w:pPr>
        <w:shd w:val="clear"/>
        <w:jc w:val="center"/>
        <w:rPr>
          <w:rFonts w:hint="eastAsia" w:ascii="仿宋" w:hAnsi="仿宋" w:eastAsia="仿宋" w:cs="仿宋"/>
          <w:color w:val="auto"/>
          <w:highlight w:val="none"/>
        </w:rPr>
      </w:pPr>
    </w:p>
    <w:p w14:paraId="200F3021">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bookmarkStart w:id="14" w:name="_Toc521936051"/>
      <w:bookmarkStart w:id="15" w:name="_Toc522526790"/>
      <w:r>
        <w:rPr>
          <w:rFonts w:hint="eastAsia" w:ascii="黑体" w:hAnsi="黑体" w:eastAsia="黑体" w:cs="Times New Roman"/>
          <w:b/>
          <w:bCs/>
          <w:color w:val="auto"/>
          <w:sz w:val="44"/>
          <w:szCs w:val="44"/>
          <w:highlight w:val="none"/>
        </w:rPr>
        <w:t>符合性审查表</w:t>
      </w:r>
    </w:p>
    <w:p w14:paraId="4C5C60C7">
      <w:pPr>
        <w:shd w:val="clear"/>
        <w:rPr>
          <w:rFonts w:hint="eastAsia" w:ascii="仿宋" w:hAnsi="仿宋" w:eastAsia="仿宋" w:cs="仿宋"/>
          <w:highlight w:val="none"/>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4708"/>
        <w:gridCol w:w="4708"/>
      </w:tblGrid>
      <w:tr w14:paraId="2233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0ACEC8FC">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364" w:type="pct"/>
            <w:tcBorders>
              <w:top w:val="single" w:color="auto" w:sz="4" w:space="0"/>
              <w:left w:val="nil"/>
              <w:bottom w:val="single" w:color="auto" w:sz="4" w:space="0"/>
              <w:right w:val="single" w:color="auto" w:sz="4" w:space="0"/>
            </w:tcBorders>
            <w:noWrap w:val="0"/>
            <w:vAlign w:val="center"/>
          </w:tcPr>
          <w:p w14:paraId="67748A02">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审查内容</w:t>
            </w:r>
          </w:p>
        </w:tc>
        <w:tc>
          <w:tcPr>
            <w:tcW w:w="2364" w:type="pct"/>
            <w:tcBorders>
              <w:top w:val="single" w:color="auto" w:sz="4" w:space="0"/>
              <w:left w:val="nil"/>
              <w:bottom w:val="single" w:color="auto" w:sz="4" w:space="0"/>
              <w:right w:val="single" w:color="auto" w:sz="4" w:space="0"/>
            </w:tcBorders>
            <w:noWrap w:val="0"/>
            <w:vAlign w:val="center"/>
          </w:tcPr>
          <w:p w14:paraId="28E5F359">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响应内容</w:t>
            </w:r>
          </w:p>
        </w:tc>
      </w:tr>
      <w:tr w14:paraId="4FDF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FBC0C66">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364" w:type="pct"/>
            <w:tcBorders>
              <w:top w:val="single" w:color="auto" w:sz="4" w:space="0"/>
              <w:left w:val="nil"/>
              <w:bottom w:val="single" w:color="auto" w:sz="4" w:space="0"/>
              <w:right w:val="single" w:color="auto" w:sz="4" w:space="0"/>
            </w:tcBorders>
            <w:noWrap w:val="0"/>
            <w:vAlign w:val="center"/>
          </w:tcPr>
          <w:p w14:paraId="16B88FE7">
            <w:pPr>
              <w:shd w:val="clear"/>
              <w:snapToGrid w:val="0"/>
              <w:spacing w:line="44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投标有效期：开标之日起90日。</w:t>
            </w:r>
          </w:p>
        </w:tc>
        <w:tc>
          <w:tcPr>
            <w:tcW w:w="2364" w:type="pct"/>
            <w:tcBorders>
              <w:top w:val="single" w:color="auto" w:sz="4" w:space="0"/>
              <w:left w:val="nil"/>
              <w:bottom w:val="single" w:color="auto" w:sz="4" w:space="0"/>
              <w:right w:val="single" w:color="auto" w:sz="4" w:space="0"/>
            </w:tcBorders>
            <w:noWrap w:val="0"/>
            <w:vAlign w:val="center"/>
          </w:tcPr>
          <w:p w14:paraId="4C94A1AF">
            <w:pPr>
              <w:shd w:val="clear"/>
              <w:snapToGrid w:val="0"/>
              <w:spacing w:line="440" w:lineRule="exact"/>
              <w:jc w:val="both"/>
              <w:rPr>
                <w:rFonts w:hint="eastAsia" w:ascii="仿宋" w:hAnsi="仿宋" w:eastAsia="仿宋" w:cs="仿宋"/>
                <w:color w:val="auto"/>
                <w:sz w:val="28"/>
                <w:szCs w:val="28"/>
                <w:highlight w:val="none"/>
              </w:rPr>
            </w:pPr>
          </w:p>
        </w:tc>
      </w:tr>
      <w:tr w14:paraId="2FEB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547506E7">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p>
        </w:tc>
        <w:tc>
          <w:tcPr>
            <w:tcW w:w="2364" w:type="pct"/>
            <w:tcBorders>
              <w:top w:val="single" w:color="auto" w:sz="4" w:space="0"/>
              <w:left w:val="nil"/>
              <w:bottom w:val="single" w:color="auto" w:sz="4" w:space="0"/>
              <w:right w:val="single" w:color="auto" w:sz="4" w:space="0"/>
            </w:tcBorders>
            <w:noWrap w:val="0"/>
            <w:vAlign w:val="center"/>
          </w:tcPr>
          <w:p w14:paraId="766C72BE">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服务期：3年。双方若无异议，合同期满自动延续1年，总服务期不超过4年。</w:t>
            </w:r>
          </w:p>
        </w:tc>
        <w:tc>
          <w:tcPr>
            <w:tcW w:w="2364" w:type="pct"/>
            <w:tcBorders>
              <w:top w:val="single" w:color="auto" w:sz="4" w:space="0"/>
              <w:left w:val="nil"/>
              <w:bottom w:val="single" w:color="auto" w:sz="4" w:space="0"/>
              <w:right w:val="single" w:color="auto" w:sz="4" w:space="0"/>
            </w:tcBorders>
            <w:noWrap w:val="0"/>
            <w:vAlign w:val="center"/>
          </w:tcPr>
          <w:p w14:paraId="50EC1640">
            <w:pPr>
              <w:shd w:val="clear"/>
              <w:snapToGrid w:val="0"/>
              <w:spacing w:line="440" w:lineRule="exact"/>
              <w:jc w:val="both"/>
              <w:rPr>
                <w:rFonts w:hint="eastAsia" w:ascii="仿宋" w:hAnsi="仿宋" w:eastAsia="仿宋" w:cs="仿宋"/>
                <w:color w:val="auto"/>
                <w:sz w:val="28"/>
                <w:szCs w:val="28"/>
                <w:highlight w:val="none"/>
              </w:rPr>
            </w:pPr>
          </w:p>
        </w:tc>
      </w:tr>
      <w:tr w14:paraId="0A15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7227BA9">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p>
        </w:tc>
        <w:tc>
          <w:tcPr>
            <w:tcW w:w="2364" w:type="pct"/>
            <w:tcBorders>
              <w:top w:val="single" w:color="auto" w:sz="4" w:space="0"/>
              <w:left w:val="nil"/>
              <w:bottom w:val="single" w:color="auto" w:sz="4" w:space="0"/>
              <w:right w:val="single" w:color="auto" w:sz="4" w:space="0"/>
            </w:tcBorders>
            <w:noWrap w:val="0"/>
            <w:vAlign w:val="center"/>
          </w:tcPr>
          <w:p w14:paraId="7745B09D">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付款方式：按年支付。乙方开具税率为6%的增值税专用发票，甲方在收到合规发票后30个工作日内支付第一年服务费；后续每下一年度服务费于上一年服务期满前30个工作日内支付。</w:t>
            </w:r>
          </w:p>
        </w:tc>
        <w:tc>
          <w:tcPr>
            <w:tcW w:w="2364" w:type="pct"/>
            <w:tcBorders>
              <w:top w:val="single" w:color="auto" w:sz="4" w:space="0"/>
              <w:left w:val="nil"/>
              <w:bottom w:val="single" w:color="auto" w:sz="4" w:space="0"/>
              <w:right w:val="single" w:color="auto" w:sz="4" w:space="0"/>
            </w:tcBorders>
            <w:noWrap w:val="0"/>
            <w:vAlign w:val="center"/>
          </w:tcPr>
          <w:p w14:paraId="3E6CCE80">
            <w:pPr>
              <w:shd w:val="clear"/>
              <w:snapToGrid w:val="0"/>
              <w:spacing w:line="440" w:lineRule="exact"/>
              <w:jc w:val="both"/>
              <w:rPr>
                <w:rFonts w:hint="eastAsia" w:ascii="仿宋" w:hAnsi="仿宋" w:eastAsia="仿宋" w:cs="仿宋"/>
                <w:color w:val="auto"/>
                <w:sz w:val="28"/>
                <w:szCs w:val="28"/>
                <w:highlight w:val="none"/>
              </w:rPr>
            </w:pPr>
          </w:p>
        </w:tc>
      </w:tr>
    </w:tbl>
    <w:p w14:paraId="51E022C0">
      <w:pPr>
        <w:shd w:val="clear"/>
        <w:jc w:val="center"/>
        <w:rPr>
          <w:rFonts w:hint="eastAsia" w:ascii="仿宋" w:hAnsi="仿宋" w:eastAsia="仿宋" w:cs="仿宋"/>
          <w:color w:val="auto"/>
          <w:sz w:val="28"/>
          <w:szCs w:val="28"/>
          <w:highlight w:val="none"/>
        </w:rPr>
      </w:pPr>
    </w:p>
    <w:p w14:paraId="37BAB37B">
      <w:pPr>
        <w:shd w:val="clear"/>
        <w:jc w:val="both"/>
        <w:rPr>
          <w:rFonts w:hint="eastAsia" w:ascii="仿宋" w:hAnsi="仿宋" w:eastAsia="仿宋" w:cs="仿宋"/>
          <w:color w:val="auto"/>
          <w:sz w:val="28"/>
          <w:szCs w:val="28"/>
          <w:highlight w:val="none"/>
        </w:rPr>
      </w:pPr>
    </w:p>
    <w:p w14:paraId="709AA7AC">
      <w:pPr>
        <w:shd w:val="clear"/>
        <w:jc w:val="center"/>
        <w:rPr>
          <w:rFonts w:hint="eastAsia" w:ascii="仿宋" w:hAnsi="仿宋" w:eastAsia="仿宋" w:cs="仿宋"/>
          <w:color w:val="auto"/>
          <w:sz w:val="28"/>
          <w:szCs w:val="28"/>
          <w:highlight w:val="none"/>
        </w:rPr>
      </w:pPr>
    </w:p>
    <w:p w14:paraId="7447E265">
      <w:pPr>
        <w:shd w:val="clear"/>
        <w:spacing w:line="520" w:lineRule="exact"/>
        <w:ind w:firstLine="3900" w:firstLineChars="1300"/>
        <w:jc w:val="right"/>
        <w:rPr>
          <w:rFonts w:hint="eastAsia" w:ascii="仿宋" w:hAnsi="仿宋" w:eastAsia="仿宋" w:cs="仿宋"/>
          <w:color w:val="auto"/>
          <w:sz w:val="30"/>
          <w:szCs w:val="30"/>
          <w:highlight w:val="none"/>
        </w:rPr>
      </w:pPr>
    </w:p>
    <w:p w14:paraId="41204B11">
      <w:pPr>
        <w:shd w:val="clear"/>
        <w:rPr>
          <w:rFonts w:hint="eastAsia" w:ascii="仿宋" w:hAnsi="仿宋" w:eastAsia="仿宋" w:cs="仿宋"/>
          <w:color w:val="auto"/>
          <w:highlight w:val="none"/>
        </w:rPr>
      </w:pPr>
    </w:p>
    <w:p w14:paraId="66A612FB">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2EE5A96">
      <w:pPr>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b/>
          <w:bCs/>
          <w:color w:val="auto"/>
          <w:sz w:val="32"/>
          <w:szCs w:val="32"/>
          <w:highlight w:val="none"/>
        </w:rPr>
        <w:br w:type="page"/>
      </w:r>
      <w:r>
        <w:rPr>
          <w:rFonts w:hint="eastAsia" w:ascii="黑体" w:hAnsi="黑体" w:eastAsia="黑体" w:cs="Times New Roman"/>
          <w:b/>
          <w:bCs/>
          <w:color w:val="auto"/>
          <w:sz w:val="44"/>
          <w:szCs w:val="44"/>
          <w:highlight w:val="none"/>
        </w:rPr>
        <w:t>投标人基本情况表</w:t>
      </w:r>
    </w:p>
    <w:p w14:paraId="445E28F5">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771"/>
        <w:gridCol w:w="886"/>
        <w:gridCol w:w="1176"/>
        <w:gridCol w:w="1043"/>
        <w:gridCol w:w="237"/>
        <w:gridCol w:w="1560"/>
        <w:gridCol w:w="175"/>
        <w:gridCol w:w="291"/>
        <w:gridCol w:w="2206"/>
      </w:tblGrid>
      <w:tr w14:paraId="37DA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9747B6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1560" w:type="pct"/>
            <w:gridSpan w:val="3"/>
            <w:noWrap w:val="0"/>
            <w:vAlign w:val="center"/>
          </w:tcPr>
          <w:p w14:paraId="1905E04E">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0FFD20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106" w:type="pct"/>
            <w:noWrap w:val="0"/>
            <w:vAlign w:val="center"/>
          </w:tcPr>
          <w:p w14:paraId="3CDD02E4">
            <w:pPr>
              <w:shd w:val="clear"/>
              <w:spacing w:line="440" w:lineRule="exact"/>
              <w:jc w:val="center"/>
              <w:rPr>
                <w:rFonts w:hint="eastAsia" w:ascii="仿宋" w:hAnsi="仿宋" w:eastAsia="仿宋" w:cs="仿宋"/>
                <w:color w:val="auto"/>
                <w:sz w:val="28"/>
                <w:szCs w:val="28"/>
                <w:highlight w:val="none"/>
              </w:rPr>
            </w:pPr>
          </w:p>
        </w:tc>
      </w:tr>
      <w:tr w14:paraId="324A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2E3419E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1560" w:type="pct"/>
            <w:gridSpan w:val="3"/>
            <w:noWrap w:val="0"/>
            <w:vAlign w:val="center"/>
          </w:tcPr>
          <w:p w14:paraId="08047A93">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313781C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106" w:type="pct"/>
            <w:noWrap w:val="0"/>
            <w:vAlign w:val="center"/>
          </w:tcPr>
          <w:p w14:paraId="671916FB">
            <w:pPr>
              <w:shd w:val="clear"/>
              <w:spacing w:line="440" w:lineRule="exact"/>
              <w:jc w:val="center"/>
              <w:rPr>
                <w:rFonts w:hint="eastAsia" w:ascii="仿宋" w:hAnsi="仿宋" w:eastAsia="仿宋" w:cs="仿宋"/>
                <w:color w:val="auto"/>
                <w:sz w:val="28"/>
                <w:szCs w:val="28"/>
                <w:highlight w:val="none"/>
              </w:rPr>
            </w:pPr>
          </w:p>
        </w:tc>
      </w:tr>
      <w:tr w14:paraId="4395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0684FA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3804" w:type="pct"/>
            <w:gridSpan w:val="8"/>
            <w:noWrap w:val="0"/>
            <w:vAlign w:val="center"/>
          </w:tcPr>
          <w:p w14:paraId="72E5454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7F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03A9A5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036" w:type="pct"/>
            <w:gridSpan w:val="2"/>
            <w:noWrap w:val="0"/>
            <w:vAlign w:val="center"/>
          </w:tcPr>
          <w:p w14:paraId="48E53C84">
            <w:pPr>
              <w:shd w:val="clear"/>
              <w:spacing w:line="440" w:lineRule="exact"/>
              <w:jc w:val="center"/>
              <w:rPr>
                <w:rFonts w:hint="eastAsia" w:ascii="仿宋" w:hAnsi="仿宋" w:eastAsia="仿宋" w:cs="仿宋"/>
                <w:color w:val="auto"/>
                <w:sz w:val="28"/>
                <w:szCs w:val="28"/>
                <w:highlight w:val="none"/>
              </w:rPr>
            </w:pPr>
          </w:p>
        </w:tc>
        <w:tc>
          <w:tcPr>
            <w:tcW w:w="1515" w:type="pct"/>
            <w:gridSpan w:val="4"/>
            <w:noWrap w:val="0"/>
            <w:vAlign w:val="center"/>
          </w:tcPr>
          <w:p w14:paraId="67BC82D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固定办公面积（平米）</w:t>
            </w:r>
          </w:p>
        </w:tc>
        <w:tc>
          <w:tcPr>
            <w:tcW w:w="1252" w:type="pct"/>
            <w:gridSpan w:val="2"/>
            <w:noWrap w:val="0"/>
            <w:vAlign w:val="center"/>
          </w:tcPr>
          <w:p w14:paraId="137263E3">
            <w:pPr>
              <w:shd w:val="clear"/>
              <w:spacing w:line="440" w:lineRule="exact"/>
              <w:jc w:val="center"/>
              <w:rPr>
                <w:rFonts w:hint="eastAsia" w:ascii="仿宋" w:hAnsi="仿宋" w:eastAsia="仿宋" w:cs="仿宋"/>
                <w:color w:val="auto"/>
                <w:sz w:val="28"/>
                <w:szCs w:val="28"/>
                <w:highlight w:val="none"/>
              </w:rPr>
            </w:pPr>
          </w:p>
        </w:tc>
      </w:tr>
      <w:tr w14:paraId="46DC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restart"/>
            <w:noWrap w:val="0"/>
            <w:vAlign w:val="center"/>
          </w:tcPr>
          <w:p w14:paraId="42E877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1335" w:type="pct"/>
            <w:gridSpan w:val="2"/>
            <w:noWrap w:val="0"/>
            <w:vAlign w:val="center"/>
          </w:tcPr>
          <w:p w14:paraId="5EBC760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3358" w:type="pct"/>
            <w:gridSpan w:val="7"/>
            <w:noWrap w:val="0"/>
            <w:vAlign w:val="center"/>
          </w:tcPr>
          <w:p w14:paraId="0865FA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DD7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35144A2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D8741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3358" w:type="pct"/>
            <w:gridSpan w:val="7"/>
            <w:noWrap w:val="0"/>
            <w:vAlign w:val="center"/>
          </w:tcPr>
          <w:p w14:paraId="78333C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0D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135D28E8">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608FAD4C">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p>
        </w:tc>
        <w:tc>
          <w:tcPr>
            <w:tcW w:w="1234" w:type="pct"/>
            <w:gridSpan w:val="3"/>
            <w:noWrap w:val="0"/>
            <w:vAlign w:val="center"/>
          </w:tcPr>
          <w:p w14:paraId="43BE5C8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4CD588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1339" w:type="pct"/>
            <w:gridSpan w:val="3"/>
            <w:noWrap w:val="0"/>
            <w:vAlign w:val="center"/>
          </w:tcPr>
          <w:p w14:paraId="0D9EA63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FF0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04CB3022">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47EFCD7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234" w:type="pct"/>
            <w:gridSpan w:val="3"/>
            <w:noWrap w:val="0"/>
            <w:vAlign w:val="center"/>
          </w:tcPr>
          <w:p w14:paraId="3C8ED4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0292EB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1339" w:type="pct"/>
            <w:gridSpan w:val="3"/>
            <w:noWrap w:val="0"/>
            <w:vAlign w:val="center"/>
          </w:tcPr>
          <w:p w14:paraId="268DD9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9A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697449B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C8FFA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3358" w:type="pct"/>
            <w:gridSpan w:val="7"/>
            <w:noWrap w:val="0"/>
            <w:vAlign w:val="center"/>
          </w:tcPr>
          <w:p w14:paraId="447BF5FA">
            <w:pPr>
              <w:shd w:val="clear"/>
              <w:spacing w:line="440" w:lineRule="exact"/>
              <w:jc w:val="center"/>
              <w:rPr>
                <w:rFonts w:hint="eastAsia" w:ascii="仿宋" w:hAnsi="仿宋" w:eastAsia="仿宋" w:cs="仿宋"/>
                <w:color w:val="auto"/>
                <w:sz w:val="28"/>
                <w:szCs w:val="28"/>
                <w:highlight w:val="none"/>
              </w:rPr>
            </w:pPr>
          </w:p>
        </w:tc>
      </w:tr>
      <w:tr w14:paraId="4BFD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732CF9BC">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1.与我单位</w:t>
            </w:r>
            <w:r>
              <w:rPr>
                <w:rFonts w:hint="eastAsia" w:ascii="仿宋" w:hAnsi="仿宋" w:eastAsia="仿宋" w:cs="仿宋"/>
                <w:color w:val="auto"/>
                <w:sz w:val="28"/>
                <w:szCs w:val="28"/>
                <w:highlight w:val="none"/>
              </w:rPr>
              <w:t>单位负责人为同一人</w:t>
            </w:r>
            <w:r>
              <w:rPr>
                <w:rFonts w:hint="eastAsia" w:ascii="仿宋" w:hAnsi="仿宋" w:eastAsia="仿宋" w:cs="仿宋"/>
                <w:color w:val="auto"/>
                <w:sz w:val="28"/>
                <w:szCs w:val="28"/>
                <w:highlight w:val="none"/>
                <w:lang w:val="en-US" w:eastAsia="zh-CN"/>
              </w:rPr>
              <w:t>的其他单位为：</w:t>
            </w:r>
          </w:p>
          <w:p w14:paraId="2AFCAC37">
            <w:pPr>
              <w:shd w:val="clear"/>
              <w:spacing w:line="440" w:lineRule="exact"/>
              <w:jc w:val="both"/>
              <w:rPr>
                <w:rFonts w:hint="eastAsia" w:ascii="仿宋" w:hAnsi="仿宋" w:eastAsia="仿宋" w:cs="仿宋"/>
                <w:color w:val="auto"/>
                <w:sz w:val="28"/>
                <w:szCs w:val="28"/>
                <w:highlight w:val="none"/>
                <w:lang w:val="en-US" w:eastAsia="zh-CN"/>
              </w:rPr>
            </w:pPr>
          </w:p>
          <w:p w14:paraId="28F11047">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2.与我单位</w:t>
            </w:r>
            <w:r>
              <w:rPr>
                <w:rFonts w:hint="eastAsia" w:ascii="仿宋" w:hAnsi="仿宋" w:eastAsia="仿宋" w:cs="仿宋"/>
                <w:color w:val="auto"/>
                <w:sz w:val="28"/>
                <w:szCs w:val="28"/>
                <w:highlight w:val="none"/>
              </w:rPr>
              <w:t>存在控股、管理关系的</w:t>
            </w:r>
            <w:r>
              <w:rPr>
                <w:rFonts w:hint="eastAsia" w:ascii="仿宋" w:hAnsi="仿宋" w:eastAsia="仿宋" w:cs="仿宋"/>
                <w:color w:val="auto"/>
                <w:sz w:val="28"/>
                <w:szCs w:val="28"/>
                <w:highlight w:val="none"/>
                <w:lang w:val="en-US" w:eastAsia="zh-CN"/>
              </w:rPr>
              <w:t>其他单位为：</w:t>
            </w:r>
          </w:p>
          <w:p w14:paraId="6050C965">
            <w:pPr>
              <w:shd w:val="clear"/>
              <w:spacing w:line="440" w:lineRule="exact"/>
              <w:jc w:val="both"/>
              <w:rPr>
                <w:rFonts w:hint="eastAsia" w:ascii="仿宋" w:hAnsi="仿宋" w:eastAsia="仿宋" w:cs="仿宋"/>
                <w:color w:val="auto"/>
                <w:sz w:val="28"/>
                <w:szCs w:val="28"/>
                <w:highlight w:val="none"/>
              </w:rPr>
            </w:pPr>
          </w:p>
        </w:tc>
      </w:tr>
      <w:tr w14:paraId="11F8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05919F4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4AFB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5000" w:type="pct"/>
            <w:gridSpan w:val="10"/>
            <w:noWrap w:val="0"/>
            <w:vAlign w:val="top"/>
          </w:tcPr>
          <w:p w14:paraId="2FFC6233">
            <w:pPr>
              <w:shd w:val="clear"/>
              <w:spacing w:line="44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bl>
    <w:p w14:paraId="2DDF69E8">
      <w:pPr>
        <w:shd w:val="clear"/>
        <w:jc w:val="center"/>
        <w:rPr>
          <w:rFonts w:hint="eastAsia" w:ascii="仿宋" w:hAnsi="仿宋" w:eastAsia="仿宋" w:cs="仿宋"/>
          <w:b/>
          <w:color w:val="auto"/>
          <w:sz w:val="44"/>
          <w:szCs w:val="44"/>
          <w:highlight w:val="none"/>
        </w:rPr>
      </w:pPr>
    </w:p>
    <w:p w14:paraId="20026C31">
      <w:pPr>
        <w:shd w:val="clear"/>
        <w:spacing w:line="520" w:lineRule="exact"/>
        <w:ind w:firstLine="3900" w:firstLineChars="1300"/>
        <w:jc w:val="right"/>
        <w:rPr>
          <w:rFonts w:hint="eastAsia" w:ascii="仿宋" w:hAnsi="仿宋" w:eastAsia="仿宋" w:cs="仿宋"/>
          <w:color w:val="auto"/>
          <w:sz w:val="30"/>
          <w:szCs w:val="30"/>
          <w:highlight w:val="none"/>
        </w:rPr>
      </w:pPr>
    </w:p>
    <w:p w14:paraId="17535285">
      <w:pPr>
        <w:shd w:val="clear"/>
        <w:rPr>
          <w:rFonts w:hint="eastAsia" w:ascii="仿宋" w:hAnsi="仿宋" w:eastAsia="仿宋" w:cs="仿宋"/>
          <w:color w:val="auto"/>
          <w:highlight w:val="none"/>
        </w:rPr>
      </w:pPr>
    </w:p>
    <w:p w14:paraId="1613E5F7">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0AFE9D45">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42A49FD9">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r>
        <w:rPr>
          <w:rFonts w:hint="eastAsia" w:ascii="黑体" w:hAnsi="黑体" w:eastAsia="黑体" w:cs="Times New Roman"/>
          <w:b/>
          <w:bCs/>
          <w:color w:val="auto"/>
          <w:sz w:val="44"/>
          <w:szCs w:val="44"/>
          <w:highlight w:val="none"/>
        </w:rPr>
        <w:t>同类项目业绩表</w:t>
      </w:r>
    </w:p>
    <w:p w14:paraId="26B3CCF1">
      <w:pPr>
        <w:shd w:val="clear"/>
        <w:rPr>
          <w:rFonts w:hint="eastAsia" w:ascii="仿宋" w:hAnsi="仿宋" w:eastAsia="仿宋" w:cs="仿宋"/>
          <w:highlight w:val="none"/>
        </w:rPr>
      </w:pP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1489"/>
        <w:gridCol w:w="1489"/>
        <w:gridCol w:w="864"/>
        <w:gridCol w:w="1176"/>
        <w:gridCol w:w="2112"/>
        <w:gridCol w:w="1957"/>
      </w:tblGrid>
      <w:tr w14:paraId="252E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4" w:type="pct"/>
            <w:noWrap/>
            <w:vAlign w:val="center"/>
          </w:tcPr>
          <w:p w14:paraId="1E50084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748" w:type="pct"/>
            <w:noWrap/>
            <w:vAlign w:val="center"/>
          </w:tcPr>
          <w:p w14:paraId="6BC864F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48" w:type="pct"/>
            <w:noWrap/>
            <w:vAlign w:val="center"/>
          </w:tcPr>
          <w:p w14:paraId="0C1C83E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434" w:type="pct"/>
            <w:noWrap/>
            <w:vAlign w:val="center"/>
          </w:tcPr>
          <w:p w14:paraId="3672B8A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标的</w:t>
            </w:r>
          </w:p>
        </w:tc>
        <w:tc>
          <w:tcPr>
            <w:tcW w:w="591" w:type="pct"/>
            <w:noWrap/>
            <w:vAlign w:val="center"/>
          </w:tcPr>
          <w:p w14:paraId="65E60C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061" w:type="pct"/>
            <w:noWrap/>
            <w:vAlign w:val="center"/>
          </w:tcPr>
          <w:p w14:paraId="67A5E32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合同签订时间</w:t>
            </w:r>
          </w:p>
        </w:tc>
        <w:tc>
          <w:tcPr>
            <w:tcW w:w="983" w:type="pct"/>
            <w:noWrap/>
            <w:vAlign w:val="center"/>
          </w:tcPr>
          <w:p w14:paraId="5E9B15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7EF1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951E95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0CB1E79">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C7CE344">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131AADB">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8C54CF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47D228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2DBB135D">
            <w:pPr>
              <w:shd w:val="clear"/>
              <w:spacing w:line="440" w:lineRule="exact"/>
              <w:jc w:val="center"/>
              <w:rPr>
                <w:rFonts w:hint="eastAsia" w:ascii="仿宋" w:hAnsi="仿宋" w:eastAsia="仿宋" w:cs="仿宋"/>
                <w:color w:val="auto"/>
                <w:sz w:val="28"/>
                <w:szCs w:val="28"/>
                <w:highlight w:val="none"/>
              </w:rPr>
            </w:pPr>
          </w:p>
        </w:tc>
      </w:tr>
      <w:tr w14:paraId="653A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0E74387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28156F2">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F4B5C52">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6B11F66">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972272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3FA3FABF">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D706F5">
            <w:pPr>
              <w:shd w:val="clear"/>
              <w:spacing w:line="440" w:lineRule="exact"/>
              <w:jc w:val="center"/>
              <w:rPr>
                <w:rFonts w:hint="eastAsia" w:ascii="仿宋" w:hAnsi="仿宋" w:eastAsia="仿宋" w:cs="仿宋"/>
                <w:color w:val="auto"/>
                <w:sz w:val="28"/>
                <w:szCs w:val="28"/>
                <w:highlight w:val="none"/>
              </w:rPr>
            </w:pPr>
          </w:p>
        </w:tc>
      </w:tr>
      <w:tr w14:paraId="4568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37962CD4">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3FDFA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67F4A1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AC59769">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C04FA09">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E27BF6E">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23596F3">
            <w:pPr>
              <w:shd w:val="clear"/>
              <w:spacing w:line="440" w:lineRule="exact"/>
              <w:jc w:val="center"/>
              <w:rPr>
                <w:rFonts w:hint="eastAsia" w:ascii="仿宋" w:hAnsi="仿宋" w:eastAsia="仿宋" w:cs="仿宋"/>
                <w:color w:val="auto"/>
                <w:sz w:val="28"/>
                <w:szCs w:val="28"/>
                <w:highlight w:val="none"/>
              </w:rPr>
            </w:pPr>
          </w:p>
        </w:tc>
      </w:tr>
      <w:tr w14:paraId="7339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11C18CE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A9271C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79E84B1C">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1712C53">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5F0EA8A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5B521B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F4E3134">
            <w:pPr>
              <w:shd w:val="clear"/>
              <w:spacing w:line="440" w:lineRule="exact"/>
              <w:jc w:val="center"/>
              <w:rPr>
                <w:rFonts w:hint="eastAsia" w:ascii="仿宋" w:hAnsi="仿宋" w:eastAsia="仿宋" w:cs="仿宋"/>
                <w:color w:val="auto"/>
                <w:sz w:val="28"/>
                <w:szCs w:val="28"/>
                <w:highlight w:val="none"/>
              </w:rPr>
            </w:pPr>
          </w:p>
        </w:tc>
      </w:tr>
      <w:tr w14:paraId="64B9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DCCB82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D02E98">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BA0A4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E4345F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5627F4F">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765F1C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0E19427">
            <w:pPr>
              <w:shd w:val="clear"/>
              <w:spacing w:line="440" w:lineRule="exact"/>
              <w:jc w:val="center"/>
              <w:rPr>
                <w:rFonts w:hint="eastAsia" w:ascii="仿宋" w:hAnsi="仿宋" w:eastAsia="仿宋" w:cs="仿宋"/>
                <w:color w:val="auto"/>
                <w:sz w:val="28"/>
                <w:szCs w:val="28"/>
                <w:highlight w:val="none"/>
              </w:rPr>
            </w:pPr>
          </w:p>
        </w:tc>
      </w:tr>
      <w:tr w14:paraId="605E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9A627F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B5B8B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54E46A">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54C88482">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576D6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2BCF5A8C">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15C05D3E">
            <w:pPr>
              <w:shd w:val="clear"/>
              <w:spacing w:line="440" w:lineRule="exact"/>
              <w:jc w:val="center"/>
              <w:rPr>
                <w:rFonts w:hint="eastAsia" w:ascii="仿宋" w:hAnsi="仿宋" w:eastAsia="仿宋" w:cs="仿宋"/>
                <w:color w:val="auto"/>
                <w:sz w:val="28"/>
                <w:szCs w:val="28"/>
                <w:highlight w:val="none"/>
              </w:rPr>
            </w:pPr>
          </w:p>
        </w:tc>
      </w:tr>
      <w:tr w14:paraId="587F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24D9E9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9F9940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2A336A7">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CFAC9C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3EDC2D4">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D798F2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E761D4A">
            <w:pPr>
              <w:shd w:val="clear"/>
              <w:spacing w:line="440" w:lineRule="exact"/>
              <w:jc w:val="center"/>
              <w:rPr>
                <w:rFonts w:hint="eastAsia" w:ascii="仿宋" w:hAnsi="仿宋" w:eastAsia="仿宋" w:cs="仿宋"/>
                <w:color w:val="auto"/>
                <w:sz w:val="28"/>
                <w:szCs w:val="28"/>
                <w:highlight w:val="none"/>
              </w:rPr>
            </w:pPr>
          </w:p>
        </w:tc>
      </w:tr>
      <w:tr w14:paraId="04CA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6623A1C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5C52B2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6682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F2B29D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0328CB88">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7A7FA2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4F76303">
            <w:pPr>
              <w:shd w:val="clear"/>
              <w:spacing w:line="440" w:lineRule="exact"/>
              <w:jc w:val="center"/>
              <w:rPr>
                <w:rFonts w:hint="eastAsia" w:ascii="仿宋" w:hAnsi="仿宋" w:eastAsia="仿宋" w:cs="仿宋"/>
                <w:color w:val="auto"/>
                <w:sz w:val="28"/>
                <w:szCs w:val="28"/>
                <w:highlight w:val="none"/>
              </w:rPr>
            </w:pPr>
          </w:p>
        </w:tc>
      </w:tr>
      <w:tr w14:paraId="475F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8A2CFC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F902A1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1218DAB">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DC0751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FB12E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1D5549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1BA3BB8">
            <w:pPr>
              <w:shd w:val="clear"/>
              <w:spacing w:line="440" w:lineRule="exact"/>
              <w:jc w:val="center"/>
              <w:rPr>
                <w:rFonts w:hint="eastAsia" w:ascii="仿宋" w:hAnsi="仿宋" w:eastAsia="仿宋" w:cs="仿宋"/>
                <w:color w:val="auto"/>
                <w:sz w:val="28"/>
                <w:szCs w:val="28"/>
                <w:highlight w:val="none"/>
              </w:rPr>
            </w:pPr>
          </w:p>
        </w:tc>
      </w:tr>
      <w:tr w14:paraId="42D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450C04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BCF2EA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4783D6">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2EE6DF5">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1E7148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ADADE3B">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3C3B71">
            <w:pPr>
              <w:shd w:val="clear"/>
              <w:spacing w:line="440" w:lineRule="exact"/>
              <w:jc w:val="center"/>
              <w:rPr>
                <w:rFonts w:hint="eastAsia" w:ascii="仿宋" w:hAnsi="仿宋" w:eastAsia="仿宋" w:cs="仿宋"/>
                <w:color w:val="auto"/>
                <w:sz w:val="28"/>
                <w:szCs w:val="28"/>
                <w:highlight w:val="none"/>
              </w:rPr>
            </w:pPr>
          </w:p>
        </w:tc>
      </w:tr>
      <w:tr w14:paraId="020C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33E50F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03A033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1D017FB8">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5CF0A0C">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FD9F587">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D6A0EE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EE7A5C0">
            <w:pPr>
              <w:shd w:val="clear"/>
              <w:spacing w:line="440" w:lineRule="exact"/>
              <w:jc w:val="center"/>
              <w:rPr>
                <w:rFonts w:hint="eastAsia" w:ascii="仿宋" w:hAnsi="仿宋" w:eastAsia="仿宋" w:cs="仿宋"/>
                <w:color w:val="auto"/>
                <w:sz w:val="28"/>
                <w:szCs w:val="28"/>
                <w:highlight w:val="none"/>
              </w:rPr>
            </w:pPr>
          </w:p>
        </w:tc>
      </w:tr>
    </w:tbl>
    <w:p w14:paraId="6B8FBD5D">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备注：此表应认真填写，不得提供虚假业绩。后附证明材料扫描件。</w:t>
      </w:r>
    </w:p>
    <w:p w14:paraId="73719163">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7311E446">
      <w:pPr>
        <w:shd w:val="clear"/>
        <w:rPr>
          <w:rFonts w:hint="eastAsia" w:ascii="仿宋" w:hAnsi="仿宋" w:eastAsia="仿宋" w:cs="仿宋"/>
          <w:color w:val="auto"/>
          <w:highlight w:val="none"/>
        </w:rPr>
      </w:pPr>
    </w:p>
    <w:p w14:paraId="2D73811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645D7B88">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0C1E8455">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项目负责人及拟派主要人员情况表</w:t>
      </w:r>
    </w:p>
    <w:tbl>
      <w:tblPr>
        <w:tblStyle w:val="30"/>
        <w:tblpPr w:leftFromText="180" w:rightFromText="180" w:vertAnchor="text" w:horzAnchor="margin" w:tblpXSpec="center" w:tblpY="26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81"/>
        <w:gridCol w:w="103"/>
        <w:gridCol w:w="914"/>
        <w:gridCol w:w="265"/>
        <w:gridCol w:w="451"/>
        <w:gridCol w:w="902"/>
        <w:gridCol w:w="420"/>
        <w:gridCol w:w="933"/>
        <w:gridCol w:w="724"/>
        <w:gridCol w:w="835"/>
        <w:gridCol w:w="638"/>
        <w:gridCol w:w="910"/>
        <w:gridCol w:w="1384"/>
      </w:tblGrid>
      <w:tr w14:paraId="3893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top"/>
          </w:tcPr>
          <w:p w14:paraId="438AC3B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项目负责人情况</w:t>
            </w:r>
          </w:p>
        </w:tc>
      </w:tr>
      <w:tr w14:paraId="6F4C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709" w:type="pct"/>
            <w:gridSpan w:val="2"/>
            <w:tcBorders>
              <w:top w:val="single" w:color="auto" w:sz="4" w:space="0"/>
              <w:left w:val="single" w:color="auto" w:sz="4" w:space="0"/>
              <w:bottom w:val="single" w:color="auto" w:sz="4" w:space="0"/>
              <w:right w:val="single" w:color="auto" w:sz="4" w:space="0"/>
            </w:tcBorders>
            <w:noWrap w:val="0"/>
            <w:vAlign w:val="center"/>
          </w:tcPr>
          <w:p w14:paraId="4268273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835" w:type="pct"/>
            <w:gridSpan w:val="3"/>
            <w:tcBorders>
              <w:top w:val="single" w:color="auto" w:sz="4" w:space="0"/>
              <w:left w:val="single" w:color="auto" w:sz="4" w:space="0"/>
              <w:bottom w:val="single" w:color="auto" w:sz="4" w:space="0"/>
              <w:right w:val="single" w:color="auto" w:sz="4" w:space="0"/>
            </w:tcBorders>
            <w:noWrap w:val="0"/>
            <w:vAlign w:val="center"/>
          </w:tcPr>
          <w:p w14:paraId="45B5DB2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677" w:type="pct"/>
            <w:gridSpan w:val="2"/>
            <w:tcBorders>
              <w:top w:val="single" w:color="auto" w:sz="4" w:space="0"/>
              <w:left w:val="single" w:color="auto" w:sz="4" w:space="0"/>
              <w:bottom w:val="single" w:color="auto" w:sz="4" w:space="0"/>
              <w:right w:val="single" w:color="auto" w:sz="4" w:space="0"/>
            </w:tcBorders>
            <w:noWrap w:val="0"/>
            <w:vAlign w:val="center"/>
          </w:tcPr>
          <w:p w14:paraId="7C34E9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性别</w:t>
            </w:r>
          </w:p>
        </w:tc>
        <w:tc>
          <w:tcPr>
            <w:tcW w:w="848" w:type="pct"/>
            <w:gridSpan w:val="2"/>
            <w:tcBorders>
              <w:top w:val="single" w:color="auto" w:sz="4" w:space="0"/>
              <w:left w:val="single" w:color="auto" w:sz="4" w:space="0"/>
              <w:bottom w:val="single" w:color="auto" w:sz="4" w:space="0"/>
              <w:right w:val="single" w:color="auto" w:sz="4" w:space="0"/>
            </w:tcBorders>
            <w:noWrap w:val="0"/>
            <w:vAlign w:val="center"/>
          </w:tcPr>
          <w:p w14:paraId="7587D32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55" w:type="pct"/>
            <w:gridSpan w:val="2"/>
            <w:tcBorders>
              <w:top w:val="single" w:color="auto" w:sz="4" w:space="0"/>
              <w:left w:val="single" w:color="auto" w:sz="4" w:space="0"/>
              <w:bottom w:val="single" w:color="auto" w:sz="4" w:space="0"/>
              <w:right w:val="single" w:color="auto" w:sz="4" w:space="0"/>
            </w:tcBorders>
            <w:noWrap w:val="0"/>
            <w:vAlign w:val="center"/>
          </w:tcPr>
          <w:p w14:paraId="602425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年龄</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6145FC3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79CE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709" w:type="pct"/>
            <w:gridSpan w:val="2"/>
            <w:tcBorders>
              <w:top w:val="single" w:color="auto" w:sz="4" w:space="0"/>
              <w:left w:val="single" w:color="auto" w:sz="4" w:space="0"/>
              <w:bottom w:val="single" w:color="auto" w:sz="4" w:space="0"/>
              <w:right w:val="single" w:color="auto" w:sz="4" w:space="0"/>
            </w:tcBorders>
            <w:noWrap w:val="0"/>
            <w:vAlign w:val="center"/>
          </w:tcPr>
          <w:p w14:paraId="5715941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361" w:type="pct"/>
            <w:gridSpan w:val="7"/>
            <w:tcBorders>
              <w:top w:val="single" w:color="auto" w:sz="4" w:space="0"/>
              <w:left w:val="single" w:color="auto" w:sz="4" w:space="0"/>
              <w:bottom w:val="single" w:color="auto" w:sz="4" w:space="0"/>
              <w:right w:val="single" w:color="auto" w:sz="4" w:space="0"/>
            </w:tcBorders>
            <w:noWrap w:val="0"/>
            <w:vAlign w:val="center"/>
          </w:tcPr>
          <w:p w14:paraId="4C9509F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55" w:type="pct"/>
            <w:gridSpan w:val="2"/>
            <w:tcBorders>
              <w:top w:val="single" w:color="auto" w:sz="4" w:space="0"/>
              <w:left w:val="single" w:color="auto" w:sz="4" w:space="0"/>
              <w:bottom w:val="single" w:color="auto" w:sz="4" w:space="0"/>
              <w:right w:val="single" w:color="auto" w:sz="4" w:space="0"/>
            </w:tcBorders>
            <w:noWrap w:val="0"/>
            <w:vAlign w:val="center"/>
          </w:tcPr>
          <w:p w14:paraId="1480E30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54E2B92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639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177" w:type="pct"/>
            <w:gridSpan w:val="3"/>
            <w:tcBorders>
              <w:top w:val="single" w:color="auto" w:sz="4" w:space="0"/>
              <w:left w:val="single" w:color="auto" w:sz="4" w:space="0"/>
              <w:bottom w:val="single" w:color="auto" w:sz="4" w:space="0"/>
              <w:right w:val="single" w:color="auto" w:sz="4" w:space="0"/>
            </w:tcBorders>
            <w:noWrap w:val="0"/>
            <w:vAlign w:val="center"/>
          </w:tcPr>
          <w:p w14:paraId="6D77C04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参加工作时间</w:t>
            </w:r>
          </w:p>
        </w:tc>
        <w:tc>
          <w:tcPr>
            <w:tcW w:w="1044" w:type="pct"/>
            <w:gridSpan w:val="4"/>
            <w:tcBorders>
              <w:top w:val="single" w:color="auto" w:sz="4" w:space="0"/>
              <w:left w:val="single" w:color="auto" w:sz="4" w:space="0"/>
              <w:bottom w:val="single" w:color="auto" w:sz="4" w:space="0"/>
              <w:right w:val="single" w:color="auto" w:sz="4" w:space="0"/>
            </w:tcBorders>
            <w:noWrap w:val="0"/>
            <w:vAlign w:val="center"/>
          </w:tcPr>
          <w:p w14:paraId="56AD3DB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604" w:type="pct"/>
            <w:gridSpan w:val="4"/>
            <w:tcBorders>
              <w:top w:val="single" w:color="auto" w:sz="4" w:space="0"/>
              <w:left w:val="single" w:color="auto" w:sz="4" w:space="0"/>
              <w:bottom w:val="single" w:color="auto" w:sz="4" w:space="0"/>
              <w:right w:val="single" w:color="auto" w:sz="4" w:space="0"/>
            </w:tcBorders>
            <w:noWrap w:val="0"/>
            <w:vAlign w:val="center"/>
          </w:tcPr>
          <w:p w14:paraId="4E1D27A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执业</w:t>
            </w:r>
            <w:r>
              <w:rPr>
                <w:rFonts w:hint="eastAsia" w:ascii="仿宋" w:hAnsi="仿宋" w:eastAsia="仿宋" w:cs="仿宋"/>
                <w:color w:val="auto"/>
                <w:sz w:val="28"/>
                <w:szCs w:val="28"/>
                <w:highlight w:val="none"/>
              </w:rPr>
              <w:t>时间</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5CB0E67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4BCC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177" w:type="pct"/>
            <w:gridSpan w:val="3"/>
            <w:tcBorders>
              <w:top w:val="single" w:color="auto" w:sz="4" w:space="0"/>
              <w:left w:val="single" w:color="auto" w:sz="4" w:space="0"/>
              <w:bottom w:val="single" w:color="auto" w:sz="4" w:space="0"/>
              <w:right w:val="single" w:color="auto" w:sz="4" w:space="0"/>
            </w:tcBorders>
            <w:noWrap w:val="0"/>
            <w:vAlign w:val="center"/>
          </w:tcPr>
          <w:p w14:paraId="7E067F03">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常驻地</w:t>
            </w:r>
          </w:p>
        </w:tc>
        <w:tc>
          <w:tcPr>
            <w:tcW w:w="1044" w:type="pct"/>
            <w:gridSpan w:val="4"/>
            <w:tcBorders>
              <w:top w:val="single" w:color="auto" w:sz="4" w:space="0"/>
              <w:left w:val="single" w:color="auto" w:sz="4" w:space="0"/>
              <w:bottom w:val="single" w:color="auto" w:sz="4" w:space="0"/>
              <w:right w:val="single" w:color="auto" w:sz="4" w:space="0"/>
            </w:tcBorders>
            <w:noWrap w:val="0"/>
            <w:vAlign w:val="center"/>
          </w:tcPr>
          <w:p w14:paraId="74E5CE0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604" w:type="pct"/>
            <w:gridSpan w:val="4"/>
            <w:tcBorders>
              <w:top w:val="single" w:color="auto" w:sz="4" w:space="0"/>
              <w:left w:val="single" w:color="auto" w:sz="4" w:space="0"/>
              <w:bottom w:val="single" w:color="auto" w:sz="4" w:space="0"/>
              <w:right w:val="single" w:color="auto" w:sz="4" w:space="0"/>
            </w:tcBorders>
            <w:noWrap w:val="0"/>
            <w:vAlign w:val="center"/>
          </w:tcPr>
          <w:p w14:paraId="05CD1C9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律师执业证证书编号</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3EF891E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07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14:paraId="428AD0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项目负责人</w:t>
            </w:r>
            <w:r>
              <w:rPr>
                <w:rFonts w:hint="eastAsia" w:ascii="仿宋" w:hAnsi="仿宋" w:eastAsia="仿宋" w:cs="仿宋"/>
                <w:color w:val="auto"/>
                <w:sz w:val="28"/>
                <w:szCs w:val="28"/>
                <w:highlight w:val="none"/>
              </w:rPr>
              <w:t>承担的项目情况一览表</w:t>
            </w:r>
          </w:p>
        </w:tc>
      </w:tr>
      <w:tr w14:paraId="7CEB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62F464F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4F0E9C6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委托单位</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6F55C61D">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签订时间</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A20067B">
            <w:pPr>
              <w:shd w:val="clear"/>
              <w:spacing w:line="44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在本项目中承担的职务</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6F08369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联系人及电话</w:t>
            </w:r>
          </w:p>
        </w:tc>
      </w:tr>
      <w:tr w14:paraId="0C7E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73BDF5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79649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6340789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32B617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4294AF7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183E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3722969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233E945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4310863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4D974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12B280E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4EE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13FAB70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4C1ADE4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0AA8851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585CED9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5DE84E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0FB5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14:paraId="2FA1D4D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其他人员情况</w:t>
            </w:r>
          </w:p>
        </w:tc>
      </w:tr>
      <w:tr w14:paraId="0486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306BA7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2412486C">
            <w:pPr>
              <w:shd w:val="clear"/>
              <w:spacing w:line="44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职务</w:t>
            </w: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7B5F8EE">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常驻地</w:t>
            </w: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1C9AEF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29C2872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律师执业证证书编号</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959B83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执业时间</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0FE3748B">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备注</w:t>
            </w:r>
          </w:p>
        </w:tc>
      </w:tr>
      <w:tr w14:paraId="1389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7B37CDAD">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2B80ECC5">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929DA0D">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206ED35">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0CDF624C">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954418A">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02DFE2F4">
            <w:pPr>
              <w:shd w:val="clear"/>
              <w:spacing w:line="440" w:lineRule="exact"/>
              <w:jc w:val="center"/>
              <w:rPr>
                <w:rFonts w:hint="eastAsia" w:ascii="仿宋" w:hAnsi="仿宋" w:eastAsia="仿宋" w:cs="仿宋"/>
                <w:color w:val="auto"/>
                <w:sz w:val="28"/>
                <w:szCs w:val="28"/>
                <w:highlight w:val="none"/>
              </w:rPr>
            </w:pPr>
          </w:p>
        </w:tc>
      </w:tr>
      <w:tr w14:paraId="111B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59CE8268">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359329F5">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71ED9308">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42BDE708">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598A133B">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5151C52">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50C5EA15">
            <w:pPr>
              <w:shd w:val="clear"/>
              <w:spacing w:line="440" w:lineRule="exact"/>
              <w:jc w:val="center"/>
              <w:rPr>
                <w:rFonts w:hint="eastAsia" w:ascii="仿宋" w:hAnsi="仿宋" w:eastAsia="仿宋" w:cs="仿宋"/>
                <w:color w:val="auto"/>
                <w:sz w:val="28"/>
                <w:szCs w:val="28"/>
                <w:highlight w:val="none"/>
              </w:rPr>
            </w:pPr>
          </w:p>
        </w:tc>
      </w:tr>
      <w:tr w14:paraId="53E4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54EF003E">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46770640">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3D6CA47">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7D9F7CCD">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4A5C1C2E">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28DA8C43">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15DD39EE">
            <w:pPr>
              <w:shd w:val="clear"/>
              <w:spacing w:line="440" w:lineRule="exact"/>
              <w:jc w:val="center"/>
              <w:rPr>
                <w:rFonts w:hint="eastAsia" w:ascii="仿宋" w:hAnsi="仿宋" w:eastAsia="仿宋" w:cs="仿宋"/>
                <w:color w:val="auto"/>
                <w:sz w:val="28"/>
                <w:szCs w:val="28"/>
                <w:highlight w:val="none"/>
              </w:rPr>
            </w:pPr>
          </w:p>
        </w:tc>
      </w:tr>
      <w:tr w14:paraId="3A92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75DC7264">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7E1D0C1B">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25DA7B3">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0AAA0D14">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35CE15DD">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78B1283">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524533B9">
            <w:pPr>
              <w:shd w:val="clear"/>
              <w:spacing w:line="440" w:lineRule="exact"/>
              <w:jc w:val="center"/>
              <w:rPr>
                <w:rFonts w:hint="eastAsia" w:ascii="仿宋" w:hAnsi="仿宋" w:eastAsia="仿宋" w:cs="仿宋"/>
                <w:color w:val="auto"/>
                <w:sz w:val="28"/>
                <w:szCs w:val="28"/>
                <w:highlight w:val="none"/>
              </w:rPr>
            </w:pPr>
          </w:p>
        </w:tc>
      </w:tr>
    </w:tbl>
    <w:p w14:paraId="0239351E">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注：后附拟派人员相关</w:t>
      </w:r>
      <w:r>
        <w:rPr>
          <w:rFonts w:hint="eastAsia" w:ascii="仿宋" w:hAnsi="仿宋" w:eastAsia="仿宋" w:cs="仿宋"/>
          <w:color w:val="auto"/>
          <w:sz w:val="24"/>
          <w:highlight w:val="none"/>
          <w:lang w:val="en-US" w:eastAsia="zh-CN"/>
        </w:rPr>
        <w:t>证明材料</w:t>
      </w:r>
      <w:r>
        <w:rPr>
          <w:rFonts w:hint="eastAsia" w:ascii="仿宋" w:hAnsi="仿宋" w:eastAsia="仿宋" w:cs="仿宋"/>
          <w:color w:val="auto"/>
          <w:sz w:val="24"/>
          <w:highlight w:val="none"/>
        </w:rPr>
        <w:t>扫描件。</w:t>
      </w:r>
    </w:p>
    <w:p w14:paraId="7178F0AC">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045327BF">
      <w:pPr>
        <w:shd w:val="clear"/>
        <w:rPr>
          <w:rFonts w:hint="eastAsia" w:ascii="仿宋" w:hAnsi="仿宋" w:eastAsia="仿宋" w:cs="仿宋"/>
          <w:color w:val="auto"/>
          <w:highlight w:val="none"/>
        </w:rPr>
      </w:pPr>
    </w:p>
    <w:p w14:paraId="03C8ACB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649B9A9">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7FDFF9C8">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技术文件</w:t>
      </w:r>
    </w:p>
    <w:bookmarkEnd w:id="14"/>
    <w:bookmarkEnd w:id="15"/>
    <w:p w14:paraId="26590FD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16" w:name="_Toc521936062"/>
      <w:bookmarkStart w:id="17" w:name="_Toc522526800"/>
      <w:r>
        <w:rPr>
          <w:rFonts w:hint="eastAsia" w:ascii="仿宋" w:hAnsi="仿宋" w:eastAsia="仿宋" w:cs="仿宋"/>
          <w:color w:val="auto"/>
          <w:sz w:val="28"/>
          <w:szCs w:val="28"/>
          <w:highlight w:val="none"/>
        </w:rPr>
        <w:t>包括但不限于以下内容：</w:t>
      </w:r>
    </w:p>
    <w:p w14:paraId="47EF2C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①服务方案；</w:t>
      </w:r>
    </w:p>
    <w:p w14:paraId="336022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②质量保证措施；</w:t>
      </w:r>
    </w:p>
    <w:p w14:paraId="2337E3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③服务承诺；</w:t>
      </w:r>
    </w:p>
    <w:p w14:paraId="3C5C6F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④投标人认为需要提交的其他相关技术文件（根据评分标准及项目要求格式自拟）。</w:t>
      </w:r>
    </w:p>
    <w:p w14:paraId="54160787">
      <w:pPr>
        <w:pStyle w:val="9"/>
        <w:rPr>
          <w:rFonts w:hint="eastAsia" w:ascii="仿宋" w:hAnsi="仿宋" w:eastAsia="仿宋" w:cs="仿宋"/>
          <w:color w:val="auto"/>
          <w:sz w:val="28"/>
          <w:szCs w:val="28"/>
          <w:highlight w:val="none"/>
        </w:rPr>
      </w:pPr>
    </w:p>
    <w:p w14:paraId="5B529426">
      <w:pPr>
        <w:rPr>
          <w:rFonts w:hint="eastAsia" w:ascii="仿宋" w:hAnsi="仿宋" w:eastAsia="仿宋" w:cs="仿宋"/>
          <w:color w:val="auto"/>
          <w:sz w:val="28"/>
          <w:szCs w:val="28"/>
          <w:highlight w:val="none"/>
        </w:rPr>
      </w:pPr>
    </w:p>
    <w:p w14:paraId="0F2E7D0C">
      <w:pPr>
        <w:pStyle w:val="9"/>
        <w:rPr>
          <w:rFonts w:hint="eastAsia" w:ascii="仿宋" w:hAnsi="仿宋" w:eastAsia="仿宋" w:cs="仿宋"/>
          <w:color w:val="auto"/>
          <w:sz w:val="28"/>
          <w:szCs w:val="28"/>
          <w:highlight w:val="none"/>
        </w:rPr>
      </w:pPr>
    </w:p>
    <w:p w14:paraId="116BF2DE">
      <w:pPr>
        <w:rPr>
          <w:rFonts w:hint="eastAsia" w:ascii="仿宋" w:hAnsi="仿宋" w:eastAsia="仿宋" w:cs="仿宋"/>
          <w:color w:val="auto"/>
          <w:sz w:val="28"/>
          <w:szCs w:val="28"/>
          <w:highlight w:val="none"/>
        </w:rPr>
      </w:pPr>
    </w:p>
    <w:p w14:paraId="664D1785">
      <w:pPr>
        <w:pStyle w:val="9"/>
        <w:rPr>
          <w:rFonts w:hint="eastAsia" w:ascii="仿宋" w:hAnsi="仿宋" w:eastAsia="仿宋" w:cs="仿宋"/>
        </w:rPr>
      </w:pPr>
    </w:p>
    <w:p w14:paraId="5BA8868A">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B8D2C03">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3E72442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投标偏离表</w:t>
      </w:r>
    </w:p>
    <w:p w14:paraId="423DFC3C">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（包括技术规格、参数和商务条款偏离）</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776"/>
        <w:gridCol w:w="2776"/>
        <w:gridCol w:w="1705"/>
        <w:gridCol w:w="1705"/>
      </w:tblGrid>
      <w:tr w14:paraId="3A59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497" w:type="pct"/>
            <w:noWrap w:val="0"/>
            <w:vAlign w:val="center"/>
          </w:tcPr>
          <w:p w14:paraId="066BD820">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1394" w:type="pct"/>
            <w:noWrap w:val="0"/>
            <w:vAlign w:val="center"/>
          </w:tcPr>
          <w:p w14:paraId="60C67E69">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招标文件的内容</w:t>
            </w:r>
          </w:p>
        </w:tc>
        <w:tc>
          <w:tcPr>
            <w:tcW w:w="1394" w:type="pct"/>
            <w:noWrap w:val="0"/>
            <w:vAlign w:val="center"/>
          </w:tcPr>
          <w:p w14:paraId="5A9675AD">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投标文件</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内容</w:t>
            </w:r>
          </w:p>
        </w:tc>
        <w:tc>
          <w:tcPr>
            <w:tcW w:w="856" w:type="pct"/>
            <w:noWrap w:val="0"/>
            <w:vAlign w:val="center"/>
          </w:tcPr>
          <w:p w14:paraId="676006D4">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偏离情况</w:t>
            </w:r>
          </w:p>
        </w:tc>
        <w:tc>
          <w:tcPr>
            <w:tcW w:w="856" w:type="pct"/>
            <w:noWrap w:val="0"/>
            <w:vAlign w:val="center"/>
          </w:tcPr>
          <w:p w14:paraId="41A7E0AC">
            <w:pPr>
              <w:pStyle w:val="13"/>
              <w:shd w:val="clear"/>
              <w:spacing w:line="400" w:lineRule="exact"/>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对应页码</w:t>
            </w:r>
          </w:p>
        </w:tc>
      </w:tr>
      <w:tr w14:paraId="0199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0BCE03C">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51B8DBB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1616BC3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F9B945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26E3236">
            <w:pPr>
              <w:pStyle w:val="13"/>
              <w:shd w:val="clear"/>
              <w:spacing w:line="400" w:lineRule="exact"/>
              <w:jc w:val="center"/>
              <w:rPr>
                <w:rFonts w:hint="eastAsia" w:ascii="仿宋" w:hAnsi="仿宋" w:eastAsia="仿宋" w:cs="仿宋"/>
                <w:color w:val="auto"/>
                <w:sz w:val="28"/>
                <w:szCs w:val="28"/>
                <w:highlight w:val="none"/>
              </w:rPr>
            </w:pPr>
          </w:p>
        </w:tc>
      </w:tr>
      <w:tr w14:paraId="5A95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2914379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56E9AB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DCA2DCA">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7B557EF">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442A646">
            <w:pPr>
              <w:pStyle w:val="13"/>
              <w:shd w:val="clear"/>
              <w:spacing w:line="400" w:lineRule="exact"/>
              <w:jc w:val="center"/>
              <w:rPr>
                <w:rFonts w:hint="eastAsia" w:ascii="仿宋" w:hAnsi="仿宋" w:eastAsia="仿宋" w:cs="仿宋"/>
                <w:color w:val="auto"/>
                <w:sz w:val="28"/>
                <w:szCs w:val="28"/>
                <w:highlight w:val="none"/>
              </w:rPr>
            </w:pPr>
          </w:p>
        </w:tc>
      </w:tr>
      <w:tr w14:paraId="6CFB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16BFC0A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8D8164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424F7F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391963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5BFC598">
            <w:pPr>
              <w:pStyle w:val="13"/>
              <w:shd w:val="clear"/>
              <w:spacing w:line="400" w:lineRule="exact"/>
              <w:jc w:val="center"/>
              <w:rPr>
                <w:rFonts w:hint="eastAsia" w:ascii="仿宋" w:hAnsi="仿宋" w:eastAsia="仿宋" w:cs="仿宋"/>
                <w:color w:val="auto"/>
                <w:sz w:val="28"/>
                <w:szCs w:val="28"/>
                <w:highlight w:val="none"/>
              </w:rPr>
            </w:pPr>
          </w:p>
        </w:tc>
      </w:tr>
      <w:tr w14:paraId="0F04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4C0E7EA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D598E42">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9A52B6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57C65A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436C65F">
            <w:pPr>
              <w:pStyle w:val="13"/>
              <w:shd w:val="clear"/>
              <w:spacing w:line="400" w:lineRule="exact"/>
              <w:jc w:val="center"/>
              <w:rPr>
                <w:rFonts w:hint="eastAsia" w:ascii="仿宋" w:hAnsi="仿宋" w:eastAsia="仿宋" w:cs="仿宋"/>
                <w:color w:val="auto"/>
                <w:sz w:val="28"/>
                <w:szCs w:val="28"/>
                <w:highlight w:val="none"/>
              </w:rPr>
            </w:pPr>
          </w:p>
        </w:tc>
      </w:tr>
      <w:tr w14:paraId="24F0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06DBFEE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46F1096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ECE0179">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540E5D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EDB76F6">
            <w:pPr>
              <w:pStyle w:val="13"/>
              <w:shd w:val="clear"/>
              <w:spacing w:line="400" w:lineRule="exact"/>
              <w:jc w:val="center"/>
              <w:rPr>
                <w:rFonts w:hint="eastAsia" w:ascii="仿宋" w:hAnsi="仿宋" w:eastAsia="仿宋" w:cs="仿宋"/>
                <w:color w:val="auto"/>
                <w:sz w:val="28"/>
                <w:szCs w:val="28"/>
                <w:highlight w:val="none"/>
              </w:rPr>
            </w:pPr>
          </w:p>
        </w:tc>
      </w:tr>
      <w:tr w14:paraId="21B1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142B94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828F89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C964AC3">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E136B51">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B522A35">
            <w:pPr>
              <w:pStyle w:val="13"/>
              <w:shd w:val="clear"/>
              <w:spacing w:line="400" w:lineRule="exact"/>
              <w:jc w:val="center"/>
              <w:rPr>
                <w:rFonts w:hint="eastAsia" w:ascii="仿宋" w:hAnsi="仿宋" w:eastAsia="仿宋" w:cs="仿宋"/>
                <w:color w:val="auto"/>
                <w:sz w:val="28"/>
                <w:szCs w:val="28"/>
                <w:highlight w:val="none"/>
              </w:rPr>
            </w:pPr>
          </w:p>
        </w:tc>
      </w:tr>
      <w:tr w14:paraId="6F51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73D66E41">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B9EA92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B395DF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3E0DABC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6D8FB47">
            <w:pPr>
              <w:pStyle w:val="13"/>
              <w:shd w:val="clear"/>
              <w:spacing w:line="400" w:lineRule="exact"/>
              <w:jc w:val="center"/>
              <w:rPr>
                <w:rFonts w:hint="eastAsia" w:ascii="仿宋" w:hAnsi="仿宋" w:eastAsia="仿宋" w:cs="仿宋"/>
                <w:color w:val="auto"/>
                <w:sz w:val="28"/>
                <w:szCs w:val="28"/>
                <w:highlight w:val="none"/>
              </w:rPr>
            </w:pPr>
          </w:p>
        </w:tc>
      </w:tr>
    </w:tbl>
    <w:p w14:paraId="2029731F">
      <w:pPr>
        <w:shd w:val="clear"/>
        <w:ind w:right="-309" w:rightChars="-14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注：无偏离可填写“无”字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有偏离必须在本表列明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实际存在负偏离而在本表内没有列明的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视为虚假报价。</w:t>
      </w:r>
    </w:p>
    <w:p w14:paraId="2E2E3401">
      <w:pPr>
        <w:shd w:val="clear"/>
        <w:jc w:val="center"/>
        <w:rPr>
          <w:rFonts w:hint="eastAsia" w:ascii="仿宋" w:hAnsi="仿宋" w:eastAsia="仿宋" w:cs="仿宋"/>
          <w:color w:val="auto"/>
          <w:highlight w:val="none"/>
        </w:rPr>
      </w:pPr>
    </w:p>
    <w:p w14:paraId="50195469">
      <w:pPr>
        <w:shd w:val="clear"/>
        <w:rPr>
          <w:rFonts w:hint="eastAsia" w:ascii="仿宋" w:hAnsi="仿宋" w:eastAsia="仿宋" w:cs="仿宋"/>
          <w:color w:val="auto"/>
          <w:highlight w:val="none"/>
        </w:rPr>
      </w:pPr>
    </w:p>
    <w:p w14:paraId="50467986">
      <w:pPr>
        <w:shd w:val="clear"/>
        <w:spacing w:line="520" w:lineRule="exact"/>
        <w:ind w:firstLine="3900" w:firstLineChars="1300"/>
        <w:jc w:val="right"/>
        <w:rPr>
          <w:rFonts w:hint="eastAsia" w:ascii="仿宋" w:hAnsi="仿宋" w:eastAsia="仿宋" w:cs="仿宋"/>
          <w:color w:val="auto"/>
          <w:sz w:val="30"/>
          <w:szCs w:val="30"/>
          <w:highlight w:val="none"/>
        </w:rPr>
      </w:pPr>
    </w:p>
    <w:p w14:paraId="2280F9C1">
      <w:pPr>
        <w:shd w:val="clear"/>
        <w:rPr>
          <w:rFonts w:hint="eastAsia" w:ascii="仿宋" w:hAnsi="仿宋" w:eastAsia="仿宋" w:cs="仿宋"/>
          <w:color w:val="auto"/>
          <w:highlight w:val="none"/>
        </w:rPr>
      </w:pPr>
    </w:p>
    <w:p w14:paraId="22242603">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B95C46C">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3D0C294">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90D6E50">
      <w:pPr>
        <w:shd w:val="clear"/>
        <w:wordWrap w:val="0"/>
        <w:spacing w:line="560" w:lineRule="exact"/>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5989BA0C">
      <w:pPr>
        <w:shd w:val="clear"/>
        <w:rPr>
          <w:rFonts w:hint="eastAsia" w:ascii="仿宋" w:hAnsi="仿宋" w:eastAsia="仿宋" w:cs="仿宋"/>
          <w:color w:val="auto"/>
          <w:highlight w:val="none"/>
        </w:rPr>
      </w:pPr>
    </w:p>
    <w:p w14:paraId="51E094AA">
      <w:pPr>
        <w:pStyle w:val="26"/>
        <w:shd w:val="clear"/>
        <w:spacing w:before="100" w:beforeAutospacing="1" w:after="100" w:afterAutospacing="1" w:line="415" w:lineRule="auto"/>
        <w:rPr>
          <w:rFonts w:hint="eastAsia" w:ascii="仿宋" w:hAnsi="仿宋" w:eastAsia="仿宋" w:cs="仿宋"/>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16"/>
    <w:bookmarkEnd w:id="17"/>
    <w:p w14:paraId="272AF3A1">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kern w:val="2"/>
          <w:sz w:val="44"/>
          <w:szCs w:val="44"/>
          <w:highlight w:val="none"/>
          <w:lang w:val="en-US" w:eastAsia="zh-CN" w:bidi="ar-SA"/>
        </w:rPr>
        <w:sectPr>
          <w:pgSz w:w="11906" w:h="16838"/>
          <w:pgMar w:top="1440" w:right="1083" w:bottom="1440" w:left="1083" w:header="851" w:footer="992" w:gutter="0"/>
          <w:pgNumType w:fmt="decimal"/>
          <w:cols w:space="0" w:num="1"/>
          <w:rtlGutter w:val="0"/>
          <w:docGrid w:type="lines" w:linePitch="317" w:charSpace="0"/>
        </w:sectPr>
      </w:pPr>
      <w:r>
        <w:rPr>
          <w:rFonts w:hint="eastAsia" w:ascii="楷体_GB2312" w:hAnsi="宋体" w:eastAsia="楷体_GB2312" w:cs="宋体"/>
          <w:b/>
          <w:bCs/>
          <w:color w:val="auto"/>
          <w:kern w:val="2"/>
          <w:sz w:val="44"/>
          <w:szCs w:val="44"/>
          <w:highlight w:val="none"/>
          <w:lang w:val="en-US" w:eastAsia="zh-CN" w:bidi="ar-SA"/>
        </w:rPr>
        <w:t>第六章  采购合同（范本）</w:t>
      </w:r>
    </w:p>
    <w:p w14:paraId="54AA0E7F">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5DEF4CC">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37848B77">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CA1B499">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138997B2">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4B840655">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3F4D6747">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287E49E0">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9F5C452">
      <w:pPr>
        <w:keepNext w:val="0"/>
        <w:keepLines w:val="0"/>
        <w:pageBreakBefore w:val="0"/>
        <w:widowControl/>
        <w:kinsoku/>
        <w:wordWrap w:val="0"/>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val="0"/>
          <w:bCs w:val="0"/>
          <w:sz w:val="60"/>
          <w:szCs w:val="60"/>
          <w:u w:val="none"/>
        </w:rPr>
      </w:pPr>
      <w:r>
        <w:rPr>
          <w:rFonts w:hint="eastAsia" w:ascii="仿宋" w:hAnsi="仿宋" w:eastAsia="仿宋" w:cs="仿宋"/>
          <w:b w:val="0"/>
          <w:bCs w:val="0"/>
          <w:sz w:val="60"/>
          <w:szCs w:val="60"/>
          <w:u w:val="none"/>
        </w:rPr>
        <w:t>常年法律顾问合同</w:t>
      </w:r>
    </w:p>
    <w:p w14:paraId="0D3C8334">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47F8DD12">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741EE840">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7731ECFB">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1E8764AF">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19BE32F8">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4E5BA86B">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389F2C93">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38550E1D">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6C0C8288">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29C13492">
      <w:pPr>
        <w:keepNext w:val="0"/>
        <w:keepLines w:val="0"/>
        <w:pageBreakBefore w:val="0"/>
        <w:widowControl/>
        <w:kinsoku/>
        <w:wordWrap w:val="0"/>
        <w:overflowPunct/>
        <w:topLinePunct w:val="0"/>
        <w:autoSpaceDE w:val="0"/>
        <w:autoSpaceDN w:val="0"/>
        <w:bidi w:val="0"/>
        <w:adjustRightInd w:val="0"/>
        <w:snapToGrid w:val="0"/>
        <w:spacing w:line="560" w:lineRule="exact"/>
        <w:ind w:left="1680" w:leftChars="800" w:firstLine="0" w:firstLineChars="0"/>
        <w:jc w:val="both"/>
        <w:textAlignment w:val="baseline"/>
        <w:rPr>
          <w:rFonts w:hint="eastAsia" w:ascii="仿宋" w:hAnsi="仿宋" w:eastAsia="仿宋" w:cs="仿宋"/>
          <w:b w:val="0"/>
          <w:bCs w:val="0"/>
          <w:sz w:val="32"/>
          <w:szCs w:val="32"/>
          <w:u w:val="none"/>
        </w:rPr>
      </w:pPr>
      <w:r>
        <w:rPr>
          <w:rFonts w:hint="eastAsia" w:ascii="仿宋" w:hAnsi="仿宋" w:eastAsia="仿宋" w:cs="仿宋"/>
          <w:b w:val="0"/>
          <w:bCs w:val="0"/>
          <w:sz w:val="32"/>
          <w:szCs w:val="32"/>
          <w:u w:val="none"/>
        </w:rPr>
        <w:t>甲方：威海粮油发展有限公司</w:t>
      </w:r>
    </w:p>
    <w:p w14:paraId="0E49068A">
      <w:pPr>
        <w:keepNext w:val="0"/>
        <w:keepLines w:val="0"/>
        <w:pageBreakBefore w:val="0"/>
        <w:widowControl/>
        <w:kinsoku/>
        <w:wordWrap w:val="0"/>
        <w:overflowPunct/>
        <w:topLinePunct w:val="0"/>
        <w:autoSpaceDE w:val="0"/>
        <w:autoSpaceDN w:val="0"/>
        <w:bidi w:val="0"/>
        <w:adjustRightInd w:val="0"/>
        <w:snapToGrid w:val="0"/>
        <w:spacing w:line="560" w:lineRule="exact"/>
        <w:ind w:left="1680" w:leftChars="800" w:firstLine="0" w:firstLineChars="0"/>
        <w:jc w:val="both"/>
        <w:textAlignment w:val="baseline"/>
        <w:rPr>
          <w:rFonts w:hint="eastAsia" w:ascii="仿宋" w:hAnsi="仿宋" w:eastAsia="仿宋" w:cs="仿宋"/>
          <w:b w:val="0"/>
          <w:bCs w:val="0"/>
          <w:sz w:val="32"/>
          <w:szCs w:val="32"/>
          <w:u w:val="none"/>
        </w:rPr>
        <w:sectPr>
          <w:footerReference r:id="rId19" w:type="default"/>
          <w:pgSz w:w="11900" w:h="16820"/>
          <w:pgMar w:top="1440" w:right="1080" w:bottom="1440" w:left="1080" w:header="850" w:footer="992" w:gutter="0"/>
          <w:pgNumType w:fmt="decimal"/>
          <w:cols w:space="720" w:num="1"/>
        </w:sectPr>
      </w:pPr>
      <w:r>
        <w:rPr>
          <w:rFonts w:hint="eastAsia" w:ascii="仿宋" w:hAnsi="仿宋" w:eastAsia="仿宋" w:cs="仿宋"/>
          <w:b w:val="0"/>
          <w:bCs w:val="0"/>
          <w:sz w:val="32"/>
          <w:szCs w:val="32"/>
          <w:u w:val="none"/>
        </w:rPr>
        <w:t>乙方：</w:t>
      </w:r>
    </w:p>
    <w:p w14:paraId="6E26CF12">
      <w:pPr>
        <w:keepNext w:val="0"/>
        <w:keepLines w:val="0"/>
        <w:pageBreakBefore w:val="0"/>
        <w:widowControl/>
        <w:kinsoku/>
        <w:wordWrap w:val="0"/>
        <w:overflowPunct/>
        <w:topLinePunct w:val="0"/>
        <w:autoSpaceDE w:val="0"/>
        <w:autoSpaceDN w:val="0"/>
        <w:bidi w:val="0"/>
        <w:adjustRightInd w:val="0"/>
        <w:snapToGrid w:val="0"/>
        <w:spacing w:line="560" w:lineRule="exact"/>
        <w:ind w:firstLine="0" w:firstLineChars="0"/>
        <w:jc w:val="center"/>
        <w:textAlignment w:val="baseline"/>
        <w:rPr>
          <w:rFonts w:hint="eastAsia" w:ascii="仿宋" w:hAnsi="仿宋" w:eastAsia="仿宋" w:cs="仿宋"/>
          <w:b/>
          <w:bCs/>
          <w:sz w:val="36"/>
          <w:szCs w:val="36"/>
          <w:u w:val="none"/>
        </w:rPr>
      </w:pPr>
      <w:r>
        <w:rPr>
          <w:rFonts w:hint="eastAsia" w:ascii="仿宋" w:hAnsi="仿宋" w:eastAsia="仿宋" w:cs="仿宋"/>
          <w:b/>
          <w:bCs/>
          <w:sz w:val="36"/>
          <w:szCs w:val="36"/>
          <w:u w:val="none"/>
        </w:rPr>
        <w:t>常年法律顾问合同</w:t>
      </w:r>
    </w:p>
    <w:p w14:paraId="3D1CA474">
      <w:pPr>
        <w:rPr>
          <w:rFonts w:hint="eastAsia"/>
        </w:rPr>
      </w:pPr>
    </w:p>
    <w:p w14:paraId="5FE2465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甲方：威海粮油发展有限公司</w:t>
      </w:r>
    </w:p>
    <w:p w14:paraId="2C8E69B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法定代表人/单位</w:t>
      </w:r>
      <w:r>
        <w:rPr>
          <w:rFonts w:hint="eastAsia" w:ascii="仿宋" w:hAnsi="仿宋" w:eastAsia="仿宋" w:cs="仿宋"/>
          <w:b w:val="0"/>
          <w:bCs w:val="0"/>
          <w:sz w:val="28"/>
          <w:szCs w:val="28"/>
          <w:u w:val="none"/>
        </w:rPr>
        <w:t>负责人：卢志刚</w:t>
      </w:r>
    </w:p>
    <w:p w14:paraId="5596192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地址：山东省威海市临港经济技术开发区汪疃镇威浩路3号</w:t>
      </w:r>
    </w:p>
    <w:p w14:paraId="7D40FB2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联系电话：0631-8561801</w:t>
      </w:r>
    </w:p>
    <w:p w14:paraId="3FA7B67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w:t>
      </w:r>
    </w:p>
    <w:p w14:paraId="1B90BA0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法定代表人/单位负责人：</w:t>
      </w:r>
    </w:p>
    <w:p w14:paraId="4782A82D">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地址：</w:t>
      </w:r>
    </w:p>
    <w:p w14:paraId="77FAE7D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联系电话：</w:t>
      </w:r>
    </w:p>
    <w:p w14:paraId="26344CB6">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根据《中华人民共和国律师法》及相关法律、法规，乙方接受甲方的聘请，指派</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rPr>
        <w:t>律师</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上述人员在服务期内的任何更换，都必须事先获得</w:t>
      </w:r>
      <w:r>
        <w:rPr>
          <w:rFonts w:hint="eastAsia" w:ascii="仿宋" w:hAnsi="仿宋" w:eastAsia="仿宋" w:cs="仿宋"/>
          <w:b w:val="0"/>
          <w:bCs w:val="0"/>
          <w:sz w:val="28"/>
          <w:szCs w:val="28"/>
          <w:u w:val="none"/>
          <w:lang w:val="en-US" w:eastAsia="zh-CN"/>
        </w:rPr>
        <w:t>甲方</w:t>
      </w:r>
      <w:r>
        <w:rPr>
          <w:rFonts w:hint="eastAsia" w:ascii="仿宋" w:hAnsi="仿宋" w:eastAsia="仿宋" w:cs="仿宋"/>
          <w:b w:val="0"/>
          <w:bCs w:val="0"/>
          <w:sz w:val="28"/>
          <w:szCs w:val="28"/>
          <w:u w:val="none"/>
        </w:rPr>
        <w:t>的书面批准。</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担任甲方常年法律顾问，经双方协商一致，订立本合同。乙方担任甲方法律顾问，应以事实为根据，以法律为准绳，维护甲方的合法权益。</w:t>
      </w:r>
    </w:p>
    <w:p w14:paraId="769D4D1C">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default" w:ascii="仿宋" w:hAnsi="仿宋" w:eastAsia="仿宋" w:cs="仿宋"/>
          <w:b/>
          <w:bCs/>
          <w:sz w:val="28"/>
          <w:szCs w:val="28"/>
          <w:u w:val="none"/>
          <w:lang w:val="en-US" w:eastAsia="zh-CN"/>
        </w:rPr>
      </w:pPr>
      <w:r>
        <w:rPr>
          <w:rFonts w:hint="eastAsia" w:ascii="仿宋" w:hAnsi="仿宋" w:eastAsia="仿宋" w:cs="仿宋"/>
          <w:b/>
          <w:bCs/>
          <w:sz w:val="28"/>
          <w:szCs w:val="28"/>
          <w:u w:val="none"/>
        </w:rPr>
        <w:t>一、</w:t>
      </w:r>
      <w:r>
        <w:rPr>
          <w:rFonts w:hint="eastAsia" w:ascii="仿宋" w:hAnsi="仿宋" w:eastAsia="仿宋" w:cs="仿宋"/>
          <w:b/>
          <w:bCs/>
          <w:sz w:val="28"/>
          <w:szCs w:val="28"/>
          <w:u w:val="none"/>
          <w:lang w:val="en-US" w:eastAsia="zh-CN"/>
        </w:rPr>
        <w:t>服务期</w:t>
      </w:r>
    </w:p>
    <w:p w14:paraId="7C66657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3年</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2026年 月 日至2029年 月 日</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。双方若无异议，合同期满自动延续1年，总服务期不超过4年。</w:t>
      </w:r>
    </w:p>
    <w:p w14:paraId="5A12BB93">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二、服务内容</w:t>
      </w:r>
    </w:p>
    <w:p w14:paraId="48E7425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为</w:t>
      </w:r>
      <w:r>
        <w:rPr>
          <w:rFonts w:hint="eastAsia" w:ascii="仿宋" w:hAnsi="仿宋" w:eastAsia="仿宋" w:cs="仿宋"/>
          <w:b w:val="0"/>
          <w:bCs w:val="0"/>
          <w:sz w:val="28"/>
          <w:szCs w:val="28"/>
          <w:u w:val="none"/>
          <w:lang w:val="en-US" w:eastAsia="zh-CN"/>
        </w:rPr>
        <w:t>甲方</w:t>
      </w:r>
      <w:r>
        <w:rPr>
          <w:rFonts w:hint="eastAsia" w:ascii="仿宋" w:hAnsi="仿宋" w:eastAsia="仿宋" w:cs="仿宋"/>
          <w:b w:val="0"/>
          <w:bCs w:val="0"/>
          <w:sz w:val="28"/>
          <w:szCs w:val="28"/>
          <w:u w:val="none"/>
        </w:rPr>
        <w:t>及3家下属全资子公司</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本合同中统称甲方）</w:t>
      </w:r>
      <w:r>
        <w:rPr>
          <w:rFonts w:hint="eastAsia" w:ascii="仿宋" w:hAnsi="仿宋" w:eastAsia="仿宋" w:cs="仿宋"/>
          <w:b w:val="0"/>
          <w:bCs w:val="0"/>
          <w:sz w:val="28"/>
          <w:szCs w:val="28"/>
          <w:u w:val="none"/>
        </w:rPr>
        <w:t>提供法律方面相关服务。</w:t>
      </w:r>
    </w:p>
    <w:p w14:paraId="4E156E7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乙方应为甲方提供全面、及时、高效的法律顾问服务，包括但不限于下列内容。</w:t>
      </w:r>
    </w:p>
    <w:p w14:paraId="41D93BD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1.诉讼与仲裁代理：代表甲方处理诉讼、仲裁等全部应诉事宜，负责系统整理与保管所有庭审资料，并于案件所有法律程序终结后10个工作日内完成归档移交；同时，须每月定期向甲方书面汇报在办案件进展及后续工作计划。</w:t>
      </w:r>
    </w:p>
    <w:p w14:paraId="3E111F6D">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2.合同文书审查与管理：按照甲方要求起草、拟订、审查合同协议等相关法律文书，常规合同审核应在两个工作日内完成并签署意见及盖章；每季度整理合同常见问题并出具书面改进建议；根据甲方要求制作、修订并更新合同范本。</w:t>
      </w:r>
    </w:p>
    <w:p w14:paraId="224CE08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3.日常咨询与项目支持：为甲方生产、经营决策等提供法律咨询服务；参加重大的项目谈判；解答甲方提出的相关法律问题，包括但不限于出具法律意见书，进行法律分析和论证，提供电话咨询服务。</w:t>
      </w:r>
    </w:p>
    <w:p w14:paraId="7C25252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4.专题法律研究：根据甲方需求，在双方商定合理期限内（一般不超过15个工作日）完成专题研究并出具书面报告，内容应涵盖专题背景、法律法规梳理、法律分析与结论建议；必要时进行实地调研。</w:t>
      </w:r>
    </w:p>
    <w:p w14:paraId="59BB1DF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5.专项非诉业务：处理甲方在经营管理中涉及的各种专项非诉讼业务，包括但不限于公司设立、转制、并购、重组、增资扩股、股权转让、投资项目谈判及相关法律文书起草与审查等。</w:t>
      </w:r>
    </w:p>
    <w:p w14:paraId="13A8BC0B">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6.案例管理与风险防控：代理期内对甲方诉讼及仲裁案件进行梳理分析，编撰至少一期《典型案例汇编》，对每个案例进行法律评述，并提炼出具体的风险防范建议。</w:t>
      </w:r>
    </w:p>
    <w:p w14:paraId="7875136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7.争议纠纷处理：为未进入诉讼阶段的争议纠纷提供法律意见，协助处理重大投诉或上访事件。</w:t>
      </w:r>
    </w:p>
    <w:p w14:paraId="4DFC2C3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8.律师函业务：根据甲方需求出具并发送律师函，乙方应在收到服务需求后24小时内发出，需要送达的应提供有效送达凭证。</w:t>
      </w:r>
    </w:p>
    <w:p w14:paraId="472FD18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9.甲方交办的其他法律事务。</w:t>
      </w:r>
    </w:p>
    <w:p w14:paraId="42679492">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三、甲方的职责</w:t>
      </w:r>
    </w:p>
    <w:p w14:paraId="4EC47C3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甲方应就乙方需要提供与法律顾问工作有关的信息、资料和文件</w:t>
      </w:r>
      <w:r>
        <w:rPr>
          <w:rFonts w:hint="eastAsia" w:ascii="仿宋" w:hAnsi="仿宋" w:eastAsia="仿宋" w:cs="仿宋"/>
          <w:b w:val="0"/>
          <w:bCs w:val="0"/>
          <w:sz w:val="28"/>
          <w:szCs w:val="28"/>
          <w:u w:val="none"/>
          <w:lang w:eastAsia="zh-CN"/>
        </w:rPr>
        <w:t>。</w:t>
      </w:r>
    </w:p>
    <w:p w14:paraId="2A5E2833">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根据工作需要，指定专门联系人</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联系人：    ；联系电话：    。</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，进行联络工作</w:t>
      </w:r>
      <w:r>
        <w:rPr>
          <w:rFonts w:hint="eastAsia" w:ascii="仿宋" w:hAnsi="仿宋" w:eastAsia="仿宋" w:cs="仿宋"/>
          <w:b w:val="0"/>
          <w:bCs w:val="0"/>
          <w:sz w:val="28"/>
          <w:szCs w:val="28"/>
          <w:u w:val="none"/>
          <w:lang w:eastAsia="zh-CN"/>
        </w:rPr>
        <w:t>。</w:t>
      </w:r>
    </w:p>
    <w:p w14:paraId="7D5C59A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3</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积极协助法律顾问办理其他事务</w:t>
      </w:r>
      <w:r>
        <w:rPr>
          <w:rFonts w:hint="eastAsia" w:ascii="仿宋" w:hAnsi="仿宋" w:eastAsia="仿宋" w:cs="仿宋"/>
          <w:b w:val="0"/>
          <w:bCs w:val="0"/>
          <w:sz w:val="28"/>
          <w:szCs w:val="28"/>
          <w:u w:val="none"/>
          <w:lang w:eastAsia="zh-CN"/>
        </w:rPr>
        <w:t>。</w:t>
      </w:r>
    </w:p>
    <w:p w14:paraId="011E39F6">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四、法律顾问费用</w:t>
      </w:r>
    </w:p>
    <w:p w14:paraId="5444ADF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val="en-US" w:eastAsia="zh-CN"/>
        </w:rPr>
        <w:t>.年度</w:t>
      </w:r>
      <w:r>
        <w:rPr>
          <w:rFonts w:hint="eastAsia" w:ascii="仿宋" w:hAnsi="仿宋" w:eastAsia="仿宋" w:cs="仿宋"/>
          <w:b w:val="0"/>
          <w:bCs w:val="0"/>
          <w:sz w:val="28"/>
          <w:szCs w:val="28"/>
          <w:u w:val="none"/>
        </w:rPr>
        <w:t>法律顾问费用</w:t>
      </w:r>
      <w:r>
        <w:rPr>
          <w:rFonts w:hint="eastAsia" w:ascii="仿宋" w:hAnsi="仿宋" w:eastAsia="仿宋" w:cs="仿宋"/>
          <w:b w:val="0"/>
          <w:bCs w:val="0"/>
          <w:sz w:val="28"/>
          <w:szCs w:val="28"/>
          <w:u w:val="none"/>
          <w:lang w:val="en-US" w:eastAsia="zh-CN"/>
        </w:rPr>
        <w:t>为人民币     （小写：￥     元）。</w:t>
      </w:r>
    </w:p>
    <w:p w14:paraId="4CFF62E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2.付款方式：</w:t>
      </w:r>
      <w:r>
        <w:rPr>
          <w:rFonts w:hint="eastAsia" w:ascii="仿宋" w:hAnsi="仿宋" w:eastAsia="仿宋" w:cs="仿宋"/>
          <w:b w:val="0"/>
          <w:bCs w:val="0"/>
          <w:sz w:val="28"/>
          <w:szCs w:val="28"/>
          <w:u w:val="none"/>
        </w:rPr>
        <w:t>按年支付。乙方开具税率为6%的增值税专用发票，甲方在收到合规发票后30个工作日内支付第一年服务费；后续每下一年度服务费于上一年服务期满前30个工作日内支付。</w:t>
      </w:r>
    </w:p>
    <w:p w14:paraId="71ACE1E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3.</w:t>
      </w:r>
      <w:r>
        <w:rPr>
          <w:rFonts w:hint="eastAsia" w:ascii="仿宋" w:hAnsi="仿宋" w:eastAsia="仿宋" w:cs="仿宋"/>
          <w:b w:val="0"/>
          <w:bCs w:val="0"/>
          <w:sz w:val="28"/>
          <w:szCs w:val="28"/>
          <w:u w:val="none"/>
        </w:rPr>
        <w:t>乙方代理甲方诉讼（含一审、二审、执行程序）、仲裁、劳动争议、重大非诉业务案件的，代理费的收取标准届时由双方一案一议。</w:t>
      </w:r>
    </w:p>
    <w:p w14:paraId="0E47ECE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乙方代甲方应诉的，除上述费用外，甲方不再支付其他法律服务费用。对于外地（威海市外）应诉案件，甲方仅承担差旅费与食宿费。</w:t>
      </w:r>
    </w:p>
    <w:p w14:paraId="19256D2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本条涉及的服务费按照上述标准约定，不包括在本</w:t>
      </w:r>
      <w:r>
        <w:rPr>
          <w:rFonts w:hint="eastAsia" w:ascii="仿宋" w:hAnsi="仿宋" w:eastAsia="仿宋" w:cs="仿宋"/>
          <w:b w:val="0"/>
          <w:bCs w:val="0"/>
          <w:sz w:val="28"/>
          <w:szCs w:val="28"/>
          <w:u w:val="none"/>
          <w:lang w:val="en-US" w:eastAsia="zh-CN"/>
        </w:rPr>
        <w:t>合同法律顾问费用</w:t>
      </w:r>
      <w:r>
        <w:rPr>
          <w:rFonts w:hint="eastAsia" w:ascii="仿宋" w:hAnsi="仿宋" w:eastAsia="仿宋" w:cs="仿宋"/>
          <w:b w:val="0"/>
          <w:bCs w:val="0"/>
          <w:sz w:val="28"/>
          <w:szCs w:val="28"/>
          <w:u w:val="none"/>
        </w:rPr>
        <w:t>中。</w:t>
      </w:r>
    </w:p>
    <w:p w14:paraId="2F0CF9A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4.</w:t>
      </w:r>
      <w:r>
        <w:rPr>
          <w:rFonts w:hint="eastAsia" w:ascii="仿宋" w:hAnsi="仿宋" w:eastAsia="仿宋" w:cs="仿宋"/>
          <w:b w:val="0"/>
          <w:bCs w:val="0"/>
          <w:sz w:val="28"/>
          <w:szCs w:val="28"/>
          <w:u w:val="none"/>
        </w:rPr>
        <w:t>乙方律师办理甲方委托事项所发生的下列费用，应由甲方承担：</w:t>
      </w:r>
    </w:p>
    <w:p w14:paraId="3C805B5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行政、司法、鉴定、公证等部门收取的费用；</w:t>
      </w:r>
    </w:p>
    <w:p w14:paraId="1A0DF69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乙方律师为甲方到外地</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威海市外</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工作时，所需差旅费与食宿费；</w:t>
      </w:r>
    </w:p>
    <w:p w14:paraId="3D04919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3</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征得甲方同意后支出的其他费用。</w:t>
      </w:r>
    </w:p>
    <w:p w14:paraId="6E817284">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五、合同的解除</w:t>
      </w:r>
    </w:p>
    <w:p w14:paraId="529EAB4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甲方有下列情形之一的，乙方有权拒绝代理或解除合同：</w:t>
      </w:r>
    </w:p>
    <w:p w14:paraId="5E76837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rPr>
        <w:t>甲方的委托事项违反法律或者违反律师执业规范的；</w:t>
      </w:r>
    </w:p>
    <w:p w14:paraId="466250A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rPr>
        <w:t>甲方有捏造事实、伪造证据或者隐瞒重要情节等情形，致使乙方律师不能提供合法有效的法律服务的。</w:t>
      </w:r>
    </w:p>
    <w:p w14:paraId="65269FF8">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bCs/>
          <w:sz w:val="28"/>
          <w:szCs w:val="28"/>
          <w:u w:val="none"/>
        </w:rPr>
        <w:t>六、</w:t>
      </w:r>
      <w:r>
        <w:rPr>
          <w:rFonts w:hint="eastAsia" w:ascii="仿宋" w:hAnsi="仿宋" w:eastAsia="仿宋" w:cs="仿宋"/>
          <w:b w:val="0"/>
          <w:bCs w:val="0"/>
          <w:sz w:val="28"/>
          <w:szCs w:val="28"/>
          <w:u w:val="none"/>
        </w:rPr>
        <w:t>双方在履行本合同的法律事务中，应保守商业、技术、信息等秘密，法律有规定除外。</w:t>
      </w:r>
    </w:p>
    <w:p w14:paraId="77A76C31">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七、违约责任</w:t>
      </w:r>
    </w:p>
    <w:p w14:paraId="5A091EA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合同期内，因甲方原因终止合同，乙方收取的法律顾问费用不予退还；因不可归责于乙方的事由导致合同不能履行或者因其他原因双方协商终止合同时，可以根据乙方的工作时间或工作量按比例退还部分法律顾问费用。</w:t>
      </w:r>
    </w:p>
    <w:p w14:paraId="623A38EC">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lang w:eastAsia="zh-CN"/>
        </w:rPr>
      </w:pPr>
      <w:r>
        <w:rPr>
          <w:rFonts w:hint="eastAsia" w:ascii="仿宋" w:hAnsi="仿宋" w:eastAsia="仿宋" w:cs="仿宋"/>
          <w:b/>
          <w:bCs/>
          <w:sz w:val="28"/>
          <w:szCs w:val="28"/>
          <w:u w:val="none"/>
        </w:rPr>
        <w:t>八、双方约定的其他补充事项</w:t>
      </w:r>
    </w:p>
    <w:p w14:paraId="023D18B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1.响应时效：</w:t>
      </w:r>
    </w:p>
    <w:p w14:paraId="1EEC04D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（1）常规法律咨询应在24小时内回应。</w:t>
      </w:r>
    </w:p>
    <w:p w14:paraId="23F910F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（2）常规合同审查应在2个工作日内完成；法律意见书等综合性书面文件应在3个工作日内交付。</w:t>
      </w:r>
    </w:p>
    <w:p w14:paraId="54A454B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（3）人力资源专项文件（含劳动合同、员工手册、规章制度等）审核应在3个工作日内完成。</w:t>
      </w:r>
    </w:p>
    <w:p w14:paraId="4E0EA96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（4）对于甲方标识为“特殊紧急”的事务，乙方应按其要求时限完成。</w:t>
      </w:r>
    </w:p>
    <w:p w14:paraId="2C73278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（5）甲方提出现场支持要求的，乙方应按时派员响应。对于诉讼、仲裁（含劳动仲裁）、调解等程序性事务，必须确保律师按时出席。</w:t>
      </w:r>
    </w:p>
    <w:p w14:paraId="769C205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2.服务质量保障：</w:t>
      </w:r>
    </w:p>
    <w:p w14:paraId="487548A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（1）所有正式法律文件均通过甲方指定方式发送存档；</w:t>
      </w:r>
    </w:p>
    <w:p w14:paraId="402D2DE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（2）每半年召开工作例会汇报服务情况；</w:t>
      </w:r>
    </w:p>
    <w:p w14:paraId="773F608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（3）甲方每年对服务质量进行评估，乙方需根据评估结果改进服务；</w:t>
      </w:r>
    </w:p>
    <w:p w14:paraId="1DFB40BB">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（4）出现重大执业过错的，甲方有权单方解除合同并追究责任。</w:t>
      </w:r>
    </w:p>
    <w:p w14:paraId="0454A4C9">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九、合同的生效</w:t>
      </w:r>
    </w:p>
    <w:p w14:paraId="447489D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本合同自双方法定代表人/单位负责人盖章或签字</w:t>
      </w:r>
      <w:r>
        <w:rPr>
          <w:rFonts w:hint="eastAsia" w:ascii="仿宋" w:hAnsi="仿宋" w:eastAsia="仿宋" w:cs="仿宋"/>
          <w:b w:val="0"/>
          <w:bCs w:val="0"/>
          <w:sz w:val="28"/>
          <w:szCs w:val="28"/>
          <w:u w:val="none"/>
          <w:lang w:val="en-US" w:eastAsia="zh-CN"/>
        </w:rPr>
        <w:t>并加</w:t>
      </w:r>
      <w:r>
        <w:rPr>
          <w:rFonts w:hint="eastAsia" w:ascii="仿宋" w:hAnsi="仿宋" w:eastAsia="仿宋" w:cs="仿宋"/>
          <w:b w:val="0"/>
          <w:bCs w:val="0"/>
          <w:sz w:val="28"/>
          <w:szCs w:val="28"/>
          <w:u w:val="none"/>
        </w:rPr>
        <w:t>盖</w:t>
      </w:r>
      <w:r>
        <w:rPr>
          <w:rFonts w:hint="eastAsia" w:ascii="仿宋" w:hAnsi="仿宋" w:eastAsia="仿宋" w:cs="仿宋"/>
          <w:b w:val="0"/>
          <w:bCs w:val="0"/>
          <w:sz w:val="28"/>
          <w:szCs w:val="28"/>
          <w:u w:val="none"/>
          <w:lang w:val="en-US" w:eastAsia="zh-CN"/>
        </w:rPr>
        <w:t>公</w:t>
      </w:r>
      <w:r>
        <w:rPr>
          <w:rFonts w:hint="eastAsia" w:ascii="仿宋" w:hAnsi="仿宋" w:eastAsia="仿宋" w:cs="仿宋"/>
          <w:b w:val="0"/>
          <w:bCs w:val="0"/>
          <w:sz w:val="28"/>
          <w:szCs w:val="28"/>
          <w:u w:val="none"/>
        </w:rPr>
        <w:t>章之日起生效。</w:t>
      </w:r>
    </w:p>
    <w:p w14:paraId="41A36D1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p>
    <w:p w14:paraId="7D86000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rPr>
        <w:t>甲方</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盖章）</w:t>
      </w:r>
      <w:r>
        <w:rPr>
          <w:rFonts w:hint="eastAsia" w:ascii="仿宋" w:hAnsi="仿宋" w:eastAsia="仿宋" w:cs="仿宋"/>
          <w:b w:val="0"/>
          <w:bCs w:val="0"/>
          <w:sz w:val="28"/>
          <w:szCs w:val="28"/>
          <w:u w:val="none"/>
        </w:rPr>
        <w:t>：</w:t>
      </w:r>
      <w:r>
        <w:rPr>
          <w:rFonts w:hint="eastAsia" w:ascii="仿宋" w:hAnsi="仿宋" w:eastAsia="仿宋" w:cs="仿宋"/>
          <w:b w:val="0"/>
          <w:bCs w:val="0"/>
          <w:sz w:val="28"/>
          <w:szCs w:val="28"/>
          <w:u w:val="none"/>
          <w:lang w:val="en-US" w:eastAsia="zh-CN"/>
        </w:rPr>
        <w:t xml:space="preserve">                   乙方</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盖章）：</w:t>
      </w:r>
    </w:p>
    <w:p w14:paraId="343C22D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法定代表人/单位负责人：          法定代表人/单位负责人：</w:t>
      </w:r>
    </w:p>
    <w:p w14:paraId="2A3508D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（盖章</w:t>
      </w:r>
      <w:r>
        <w:rPr>
          <w:rFonts w:hint="eastAsia" w:ascii="仿宋" w:hAnsi="仿宋" w:eastAsia="仿宋" w:cs="仿宋"/>
          <w:b w:val="0"/>
          <w:bCs w:val="0"/>
          <w:sz w:val="28"/>
          <w:szCs w:val="28"/>
          <w:u w:val="none"/>
          <w:lang w:val="en-US" w:eastAsia="zh-CN"/>
        </w:rPr>
        <w:t>或签字</w:t>
      </w:r>
      <w:r>
        <w:rPr>
          <w:rFonts w:hint="default"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lang w:val="en-US" w:eastAsia="zh-CN"/>
        </w:rPr>
        <w:t xml:space="preserve">                   （盖章或签字）</w:t>
      </w:r>
    </w:p>
    <w:p w14:paraId="7E1E9556">
      <w:pPr>
        <w:keepNext w:val="0"/>
        <w:keepLines w:val="0"/>
        <w:pageBreakBefore w:val="0"/>
        <w:widowControl/>
        <w:kinsoku/>
        <w:wordWrap w:val="0"/>
        <w:overflowPunct/>
        <w:topLinePunct w:val="0"/>
        <w:autoSpaceDE w:val="0"/>
        <w:autoSpaceDN w:val="0"/>
        <w:bidi w:val="0"/>
        <w:adjustRightInd w:val="0"/>
        <w:snapToGrid w:val="0"/>
        <w:spacing w:line="540" w:lineRule="exact"/>
        <w:ind w:firstLine="0" w:firstLineChars="0"/>
        <w:jc w:val="right"/>
        <w:textAlignment w:val="baseline"/>
        <w:rPr>
          <w:rFonts w:hint="eastAsia"/>
        </w:rPr>
      </w:pPr>
      <w:r>
        <w:rPr>
          <w:rFonts w:hint="eastAsia" w:ascii="仿宋" w:hAnsi="仿宋" w:eastAsia="仿宋" w:cs="仿宋"/>
          <w:b w:val="0"/>
          <w:bCs w:val="0"/>
          <w:sz w:val="28"/>
          <w:szCs w:val="28"/>
          <w:u w:val="none"/>
          <w:lang w:val="en-US" w:eastAsia="zh-CN"/>
        </w:rPr>
        <w:t>2026年 月 日</w:t>
      </w:r>
    </w:p>
    <w:sectPr>
      <w:pgSz w:w="11900" w:h="16820"/>
      <w:pgMar w:top="1440" w:right="1080" w:bottom="1440" w:left="1080" w:header="850" w:footer="99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8A149CD-74D1-467A-8DDA-256D3BC57069}"/>
  </w:font>
  <w:font w:name="黑体">
    <w:panose1 w:val="02010609060101010101"/>
    <w:charset w:val="86"/>
    <w:family w:val="auto"/>
    <w:pitch w:val="default"/>
    <w:sig w:usb0="800002BF" w:usb1="38CF7CFA" w:usb2="00000016" w:usb3="00000000" w:csb0="00040001" w:csb1="00000000"/>
    <w:embedRegular r:id="rId2" w:fontKey="{26E154C9-4452-4596-B286-F8B32845AD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404FB0C0-94D8-455D-AE4E-B322E6BB1401}"/>
  </w:font>
  <w:font w:name="仿宋">
    <w:panose1 w:val="02010609060101010101"/>
    <w:charset w:val="86"/>
    <w:family w:val="auto"/>
    <w:pitch w:val="default"/>
    <w:sig w:usb0="800002BF" w:usb1="38CF7CFA" w:usb2="00000016" w:usb3="00000000" w:csb0="00040001" w:csb1="00000000"/>
    <w:embedRegular r:id="rId4" w:fontKey="{BFF60227-B295-4886-8539-16DECFCCE81C}"/>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5" w:fontKey="{8BEEE808-FA1B-45AC-A7DD-BA2F594DED4A}"/>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embedRegular r:id="rId6" w:fontKey="{8E89C2AF-D06D-432B-B5E6-236F1B07DBF3}"/>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KSOFF9CC612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5524B">
    <w:pPr>
      <w:pStyle w:val="17"/>
      <w:jc w:val="center"/>
    </w:pPr>
  </w:p>
  <w:p w14:paraId="42E92BC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F6ACA">
    <w:pPr>
      <w:pStyle w:val="17"/>
    </w:pPr>
    <w:r>
      <w:rPr>
        <w:sz w:val="18"/>
      </w:rPr>
      <w:pict>
        <v:shape id="_x0000_s4110" o:spid="_x0000_s4110"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4A0271BC">
                <w:pPr>
                  <w:pStyle w:val="17"/>
                </w:pPr>
                <w:r>
                  <w:fldChar w:fldCharType="begin"/>
                </w:r>
                <w:r>
                  <w:instrText xml:space="preserve"> PAGE  \* MERGEFORMAT </w:instrText>
                </w:r>
                <w:r>
                  <w:fldChar w:fldCharType="separate"/>
                </w:r>
                <w:r>
                  <w:t>57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23C68">
    <w:pPr>
      <w:pStyle w:val="17"/>
      <w:rPr>
        <w:rFonts w:hint="eastAsia"/>
        <w:lang w:eastAsia="zh-CN"/>
      </w:rPr>
    </w:pPr>
    <w:r>
      <w:rPr>
        <w:sz w:val="18"/>
      </w:rPr>
      <w:pict>
        <v:shape id="_x0000_s4112" o:spid="_x0000_s4112"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03ED6E0F">
                <w:pPr>
                  <w:pStyle w:val="17"/>
                </w:pPr>
                <w:r>
                  <w:fldChar w:fldCharType="begin"/>
                </w:r>
                <w:r>
                  <w:instrText xml:space="preserve"> PAGE  \* MERGEFORMAT </w:instrText>
                </w:r>
                <w:r>
                  <w:fldChar w:fldCharType="separate"/>
                </w:r>
                <w:r>
                  <w:t>78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35B7">
    <w:pPr>
      <w:pStyle w:val="17"/>
    </w:pPr>
    <w:r>
      <w:rPr>
        <w:sz w:val="18"/>
      </w:rPr>
      <w:pict>
        <v:shape id="_x0000_s4104" o:spid="_x0000_s410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11C8F02">
                <w:pPr>
                  <w:pStyle w:val="17"/>
                </w:pPr>
                <w:r>
                  <w:fldChar w:fldCharType="begin"/>
                </w:r>
                <w:r>
                  <w:instrText xml:space="preserve"> PAGE  \* MERGEFORMAT </w:instrText>
                </w:r>
                <w:r>
                  <w:fldChar w:fldCharType="separate"/>
                </w:r>
                <w:r>
                  <w:t>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8ADAE">
    <w:pPr>
      <w:pStyle w:val="17"/>
      <w:jc w:val="center"/>
    </w:pPr>
  </w:p>
  <w:p w14:paraId="09650370">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8FE4">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B914">
    <w:pPr>
      <w:pStyle w:val="17"/>
    </w:pPr>
    <w:r>
      <w:rPr>
        <w:sz w:val="18"/>
      </w:rPr>
      <w:pict>
        <v:shape id="_x0000_s4105" o:spid="_x0000_s410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9C6C0AE">
                <w:pPr>
                  <w:pStyle w:val="17"/>
                </w:pPr>
                <w:r>
                  <w:fldChar w:fldCharType="begin"/>
                </w:r>
                <w:r>
                  <w:instrText xml:space="preserve"> PAGE  \* MERGEFORMAT </w:instrText>
                </w:r>
                <w:r>
                  <w:fldChar w:fldCharType="separate"/>
                </w:r>
                <w:r>
                  <w:t>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44076">
    <w:pPr>
      <w:pStyle w:val="17"/>
    </w:pPr>
    <w:r>
      <w:rPr>
        <w:sz w:val="18"/>
      </w:rPr>
      <w:pict>
        <v:shape id="_x0000_s4106" o:spid="_x0000_s4106"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06553AB">
                <w:pPr>
                  <w:pStyle w:val="17"/>
                </w:pPr>
                <w:r>
                  <w:fldChar w:fldCharType="begin"/>
                </w:r>
                <w:r>
                  <w:instrText xml:space="preserve"> PAGE  \* MERGEFORMAT </w:instrText>
                </w:r>
                <w:r>
                  <w:fldChar w:fldCharType="separate"/>
                </w:r>
                <w:r>
                  <w:t>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B182">
    <w:pPr>
      <w:pStyle w:val="17"/>
    </w:pPr>
    <w:r>
      <w:rPr>
        <w:sz w:val="18"/>
      </w:rPr>
      <w:pict>
        <v:shape id="_x0000_s4107" o:spid="_x0000_s410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B2930F6">
                <w:pPr>
                  <w:pStyle w:val="17"/>
                </w:pPr>
                <w:r>
                  <w:fldChar w:fldCharType="begin"/>
                </w:r>
                <w:r>
                  <w:instrText xml:space="preserve"> PAGE  \* MERGEFORMAT </w:instrText>
                </w:r>
                <w:r>
                  <w:fldChar w:fldCharType="separate"/>
                </w:r>
                <w:r>
                  <w:t>17</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0E76">
    <w:pPr>
      <w:pStyle w:val="17"/>
    </w:pPr>
    <w:r>
      <w:rPr>
        <w:sz w:val="18"/>
      </w:rPr>
      <w:pict>
        <v:shape id="_x0000_s4108" o:spid="_x0000_s4108"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60C69082">
                <w:pPr>
                  <w:pStyle w:val="17"/>
                </w:pPr>
                <w:r>
                  <w:fldChar w:fldCharType="begin"/>
                </w:r>
                <w:r>
                  <w:instrText xml:space="preserve"> PAGE  \* MERGEFORMAT </w:instrText>
                </w:r>
                <w:r>
                  <w:fldChar w:fldCharType="separate"/>
                </w:r>
                <w:r>
                  <w:t>46</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1BA9">
    <w:pPr>
      <w:pStyle w:val="17"/>
    </w:pPr>
    <w:r>
      <w:rPr>
        <w:sz w:val="18"/>
      </w:rPr>
      <w:pict>
        <v:shape id="_x0000_s4109" o:spid="_x0000_s4109"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50EFAC3D">
                <w:pPr>
                  <w:pStyle w:val="17"/>
                </w:pPr>
                <w:r>
                  <w:fldChar w:fldCharType="begin"/>
                </w:r>
                <w:r>
                  <w:instrText xml:space="preserve"> PAGE  \* MERGEFORMAT </w:instrText>
                </w:r>
                <w:r>
                  <w:fldChar w:fldCharType="separate"/>
                </w:r>
                <w:r>
                  <w:t>50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9850">
    <w:pPr>
      <w:pStyle w:val="18"/>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F7F6">
    <w:pPr>
      <w:pStyle w:val="18"/>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B9B39">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7905">
    <w:pPr>
      <w:pStyle w:val="18"/>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210F6">
    <w:pPr>
      <w:pStyle w:val="18"/>
      <w:pBdr>
        <w:top w:val="none" w:color="auto" w:sz="0" w:space="0"/>
        <w:left w:val="none" w:color="auto" w:sz="0" w:space="0"/>
        <w:bottom w:val="none" w:color="auto" w:sz="0" w:space="1"/>
        <w:right w:val="none" w:color="auto" w:sz="0" w:space="0"/>
        <w:between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58F3">
    <w:pPr>
      <w:pStyle w:val="18"/>
      <w:pBdr>
        <w:top w:val="none" w:color="auto" w:sz="0" w:space="0"/>
        <w:left w:val="none" w:color="auto" w:sz="0" w:space="0"/>
        <w:bottom w:val="none" w:color="auto" w:sz="0" w:space="1"/>
        <w:right w:val="none" w:color="auto" w:sz="0" w:space="0"/>
        <w:between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49488C"/>
    <w:rsid w:val="015526F6"/>
    <w:rsid w:val="01583B17"/>
    <w:rsid w:val="015D11CD"/>
    <w:rsid w:val="017A004D"/>
    <w:rsid w:val="018A171A"/>
    <w:rsid w:val="01AA467D"/>
    <w:rsid w:val="01AA7F44"/>
    <w:rsid w:val="01C37F52"/>
    <w:rsid w:val="01E43A29"/>
    <w:rsid w:val="01F86AA7"/>
    <w:rsid w:val="02137583"/>
    <w:rsid w:val="023467D6"/>
    <w:rsid w:val="029E5780"/>
    <w:rsid w:val="02A26D68"/>
    <w:rsid w:val="02E1657F"/>
    <w:rsid w:val="03317A82"/>
    <w:rsid w:val="03953A1F"/>
    <w:rsid w:val="03C43FC1"/>
    <w:rsid w:val="03C47473"/>
    <w:rsid w:val="03EE5F86"/>
    <w:rsid w:val="03F540DB"/>
    <w:rsid w:val="03FA6D38"/>
    <w:rsid w:val="040E62F2"/>
    <w:rsid w:val="049D062F"/>
    <w:rsid w:val="04B67568"/>
    <w:rsid w:val="04BE225E"/>
    <w:rsid w:val="04CB69C2"/>
    <w:rsid w:val="04D37C42"/>
    <w:rsid w:val="04E02E3C"/>
    <w:rsid w:val="0502540D"/>
    <w:rsid w:val="05AA5499"/>
    <w:rsid w:val="05B02190"/>
    <w:rsid w:val="05E735C9"/>
    <w:rsid w:val="05EB65B6"/>
    <w:rsid w:val="06A11014"/>
    <w:rsid w:val="06AC335E"/>
    <w:rsid w:val="06C70DC5"/>
    <w:rsid w:val="06E06EB9"/>
    <w:rsid w:val="06E74B4A"/>
    <w:rsid w:val="06F038FC"/>
    <w:rsid w:val="0790271A"/>
    <w:rsid w:val="07AD09D8"/>
    <w:rsid w:val="07D9365B"/>
    <w:rsid w:val="07DE1CC2"/>
    <w:rsid w:val="07F13DD2"/>
    <w:rsid w:val="08147475"/>
    <w:rsid w:val="08375362"/>
    <w:rsid w:val="08393EE6"/>
    <w:rsid w:val="084B5F6D"/>
    <w:rsid w:val="08523C23"/>
    <w:rsid w:val="087578E8"/>
    <w:rsid w:val="087D58E7"/>
    <w:rsid w:val="088E0183"/>
    <w:rsid w:val="089C7DAA"/>
    <w:rsid w:val="08CA465E"/>
    <w:rsid w:val="08EC2547"/>
    <w:rsid w:val="08FC63B0"/>
    <w:rsid w:val="090754E0"/>
    <w:rsid w:val="0915338B"/>
    <w:rsid w:val="0943482A"/>
    <w:rsid w:val="095476B1"/>
    <w:rsid w:val="09587AD8"/>
    <w:rsid w:val="0975004C"/>
    <w:rsid w:val="097D0FA6"/>
    <w:rsid w:val="099B2330"/>
    <w:rsid w:val="09B9389A"/>
    <w:rsid w:val="09E54AF3"/>
    <w:rsid w:val="09F909CC"/>
    <w:rsid w:val="0A6A7873"/>
    <w:rsid w:val="0A9E1C57"/>
    <w:rsid w:val="0AAD1CF8"/>
    <w:rsid w:val="0AC262AF"/>
    <w:rsid w:val="0AF01F15"/>
    <w:rsid w:val="0B0D707C"/>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DE7230"/>
    <w:rsid w:val="0D3E7BD1"/>
    <w:rsid w:val="0D7E57B7"/>
    <w:rsid w:val="0D83430F"/>
    <w:rsid w:val="0DF6797D"/>
    <w:rsid w:val="0E1A3B33"/>
    <w:rsid w:val="0E551719"/>
    <w:rsid w:val="0E656F40"/>
    <w:rsid w:val="0E732E9D"/>
    <w:rsid w:val="0E8025FB"/>
    <w:rsid w:val="0EAD7A30"/>
    <w:rsid w:val="0EB7321C"/>
    <w:rsid w:val="0EC3668B"/>
    <w:rsid w:val="0ED9130A"/>
    <w:rsid w:val="0EEE37B4"/>
    <w:rsid w:val="0EEE72F6"/>
    <w:rsid w:val="0EEF3B6D"/>
    <w:rsid w:val="0F18454D"/>
    <w:rsid w:val="0F563250"/>
    <w:rsid w:val="0F757274"/>
    <w:rsid w:val="0F7B6D86"/>
    <w:rsid w:val="0FA049C5"/>
    <w:rsid w:val="100A56E5"/>
    <w:rsid w:val="1015296A"/>
    <w:rsid w:val="10290F0A"/>
    <w:rsid w:val="10873214"/>
    <w:rsid w:val="10996E23"/>
    <w:rsid w:val="10CD53CD"/>
    <w:rsid w:val="10D910AC"/>
    <w:rsid w:val="10DB2049"/>
    <w:rsid w:val="117008EA"/>
    <w:rsid w:val="119E784A"/>
    <w:rsid w:val="11CF58CD"/>
    <w:rsid w:val="11E93E30"/>
    <w:rsid w:val="120C5428"/>
    <w:rsid w:val="1215334A"/>
    <w:rsid w:val="1223540C"/>
    <w:rsid w:val="12306275"/>
    <w:rsid w:val="12470A0B"/>
    <w:rsid w:val="12541379"/>
    <w:rsid w:val="1280341C"/>
    <w:rsid w:val="12D84FD5"/>
    <w:rsid w:val="12E4664C"/>
    <w:rsid w:val="13323FAC"/>
    <w:rsid w:val="13C3798B"/>
    <w:rsid w:val="13F14325"/>
    <w:rsid w:val="13F32CA8"/>
    <w:rsid w:val="13FC430A"/>
    <w:rsid w:val="14AC25DE"/>
    <w:rsid w:val="14B35714"/>
    <w:rsid w:val="14EF355C"/>
    <w:rsid w:val="152768D8"/>
    <w:rsid w:val="15356A64"/>
    <w:rsid w:val="162B62E9"/>
    <w:rsid w:val="16844339"/>
    <w:rsid w:val="16933C4A"/>
    <w:rsid w:val="169E0698"/>
    <w:rsid w:val="16EB7FA4"/>
    <w:rsid w:val="16FC2501"/>
    <w:rsid w:val="177D3A9B"/>
    <w:rsid w:val="179B7A23"/>
    <w:rsid w:val="17AF6944"/>
    <w:rsid w:val="17BC13D2"/>
    <w:rsid w:val="17C42F60"/>
    <w:rsid w:val="17D10464"/>
    <w:rsid w:val="17EB2972"/>
    <w:rsid w:val="17FC5942"/>
    <w:rsid w:val="18014676"/>
    <w:rsid w:val="180A4EFC"/>
    <w:rsid w:val="18153111"/>
    <w:rsid w:val="18293A62"/>
    <w:rsid w:val="1831127B"/>
    <w:rsid w:val="183F3BEF"/>
    <w:rsid w:val="186F6EC0"/>
    <w:rsid w:val="187D5EF8"/>
    <w:rsid w:val="189F488C"/>
    <w:rsid w:val="190E24E6"/>
    <w:rsid w:val="19134BD1"/>
    <w:rsid w:val="192C39DF"/>
    <w:rsid w:val="193E60EE"/>
    <w:rsid w:val="1996299E"/>
    <w:rsid w:val="19A228BF"/>
    <w:rsid w:val="19B619E8"/>
    <w:rsid w:val="19C95B31"/>
    <w:rsid w:val="19D61A27"/>
    <w:rsid w:val="19D91860"/>
    <w:rsid w:val="19E70A3A"/>
    <w:rsid w:val="19E814BD"/>
    <w:rsid w:val="19EC5BA4"/>
    <w:rsid w:val="1A171DEC"/>
    <w:rsid w:val="1A34329B"/>
    <w:rsid w:val="1A3D688E"/>
    <w:rsid w:val="1A427461"/>
    <w:rsid w:val="1A4D58E6"/>
    <w:rsid w:val="1A90553B"/>
    <w:rsid w:val="1A9411A5"/>
    <w:rsid w:val="1A9D6100"/>
    <w:rsid w:val="1AB34E0F"/>
    <w:rsid w:val="1AC3220D"/>
    <w:rsid w:val="1AD67BC3"/>
    <w:rsid w:val="1AFD01FC"/>
    <w:rsid w:val="1AFD6AB0"/>
    <w:rsid w:val="1B0D38DF"/>
    <w:rsid w:val="1B20550F"/>
    <w:rsid w:val="1B40753A"/>
    <w:rsid w:val="1B660387"/>
    <w:rsid w:val="1B684210"/>
    <w:rsid w:val="1B795F34"/>
    <w:rsid w:val="1BAB7CB5"/>
    <w:rsid w:val="1BC94A3F"/>
    <w:rsid w:val="1BF508C5"/>
    <w:rsid w:val="1C227730"/>
    <w:rsid w:val="1C48610B"/>
    <w:rsid w:val="1C5A3C93"/>
    <w:rsid w:val="1C9D611F"/>
    <w:rsid w:val="1CE32A6B"/>
    <w:rsid w:val="1D18397A"/>
    <w:rsid w:val="1D1C1C5D"/>
    <w:rsid w:val="1D99336A"/>
    <w:rsid w:val="1DA557B9"/>
    <w:rsid w:val="1DC00260"/>
    <w:rsid w:val="1DC30D26"/>
    <w:rsid w:val="1DEE0128"/>
    <w:rsid w:val="1DF467B3"/>
    <w:rsid w:val="1DFA1AA6"/>
    <w:rsid w:val="1E6B1F65"/>
    <w:rsid w:val="1E6F248C"/>
    <w:rsid w:val="1E755389"/>
    <w:rsid w:val="1E782CFA"/>
    <w:rsid w:val="1E9A29BD"/>
    <w:rsid w:val="1EB7451C"/>
    <w:rsid w:val="1EDF7F79"/>
    <w:rsid w:val="1EE3240C"/>
    <w:rsid w:val="1EE3418D"/>
    <w:rsid w:val="1F012A08"/>
    <w:rsid w:val="1F3244CE"/>
    <w:rsid w:val="1F422D48"/>
    <w:rsid w:val="1F456D0F"/>
    <w:rsid w:val="1F4758F7"/>
    <w:rsid w:val="1F495180"/>
    <w:rsid w:val="1F4B120E"/>
    <w:rsid w:val="1F656B41"/>
    <w:rsid w:val="1F6A589A"/>
    <w:rsid w:val="1FB217EE"/>
    <w:rsid w:val="1FE725CB"/>
    <w:rsid w:val="201F309C"/>
    <w:rsid w:val="204A197D"/>
    <w:rsid w:val="206C4619"/>
    <w:rsid w:val="2080074D"/>
    <w:rsid w:val="20C67CE1"/>
    <w:rsid w:val="20CC7340"/>
    <w:rsid w:val="21020DD9"/>
    <w:rsid w:val="211C5AA8"/>
    <w:rsid w:val="21287AAE"/>
    <w:rsid w:val="21717559"/>
    <w:rsid w:val="2174661B"/>
    <w:rsid w:val="21BC7FE7"/>
    <w:rsid w:val="21C2460D"/>
    <w:rsid w:val="21F641C8"/>
    <w:rsid w:val="21FC3F25"/>
    <w:rsid w:val="220F0817"/>
    <w:rsid w:val="2216545C"/>
    <w:rsid w:val="22187A10"/>
    <w:rsid w:val="22463E3C"/>
    <w:rsid w:val="227B6E4F"/>
    <w:rsid w:val="23541D84"/>
    <w:rsid w:val="23701CFE"/>
    <w:rsid w:val="238F1B3F"/>
    <w:rsid w:val="23AE0AFD"/>
    <w:rsid w:val="23BC6016"/>
    <w:rsid w:val="23D9227D"/>
    <w:rsid w:val="2406396D"/>
    <w:rsid w:val="247A3B89"/>
    <w:rsid w:val="24A46CB3"/>
    <w:rsid w:val="24A829AF"/>
    <w:rsid w:val="24FD0384"/>
    <w:rsid w:val="25412BD2"/>
    <w:rsid w:val="25526E66"/>
    <w:rsid w:val="2561687F"/>
    <w:rsid w:val="258D1553"/>
    <w:rsid w:val="25994BCF"/>
    <w:rsid w:val="25DA3152"/>
    <w:rsid w:val="25E8386E"/>
    <w:rsid w:val="26000C3A"/>
    <w:rsid w:val="26024A18"/>
    <w:rsid w:val="26025DBB"/>
    <w:rsid w:val="26107CFC"/>
    <w:rsid w:val="263F51FE"/>
    <w:rsid w:val="26A111BC"/>
    <w:rsid w:val="26AD7626"/>
    <w:rsid w:val="27112091"/>
    <w:rsid w:val="27133AC9"/>
    <w:rsid w:val="276510B9"/>
    <w:rsid w:val="277749BC"/>
    <w:rsid w:val="27822B04"/>
    <w:rsid w:val="2784604A"/>
    <w:rsid w:val="27AC65DA"/>
    <w:rsid w:val="27B31333"/>
    <w:rsid w:val="27BD6278"/>
    <w:rsid w:val="28490AE1"/>
    <w:rsid w:val="284B0AFF"/>
    <w:rsid w:val="2850422B"/>
    <w:rsid w:val="288D78CB"/>
    <w:rsid w:val="28947F43"/>
    <w:rsid w:val="289E757B"/>
    <w:rsid w:val="28C66BE0"/>
    <w:rsid w:val="28C94F85"/>
    <w:rsid w:val="293E174E"/>
    <w:rsid w:val="294D65ED"/>
    <w:rsid w:val="294E39EE"/>
    <w:rsid w:val="29955175"/>
    <w:rsid w:val="29B6075C"/>
    <w:rsid w:val="29EC6114"/>
    <w:rsid w:val="2A233EC4"/>
    <w:rsid w:val="2A42504E"/>
    <w:rsid w:val="2A5F09D2"/>
    <w:rsid w:val="2A81520E"/>
    <w:rsid w:val="2A950CB9"/>
    <w:rsid w:val="2AE40825"/>
    <w:rsid w:val="2AE64F3B"/>
    <w:rsid w:val="2AE96D79"/>
    <w:rsid w:val="2B5F5D6D"/>
    <w:rsid w:val="2B8726F6"/>
    <w:rsid w:val="2BA467DB"/>
    <w:rsid w:val="2BAC0E1B"/>
    <w:rsid w:val="2BCD7688"/>
    <w:rsid w:val="2C2D32DE"/>
    <w:rsid w:val="2C546594"/>
    <w:rsid w:val="2CC15093"/>
    <w:rsid w:val="2CDD6D23"/>
    <w:rsid w:val="2CE439C5"/>
    <w:rsid w:val="2D074F37"/>
    <w:rsid w:val="2D473EB8"/>
    <w:rsid w:val="2D4D421D"/>
    <w:rsid w:val="2D4E11B8"/>
    <w:rsid w:val="2D4E1BC0"/>
    <w:rsid w:val="2D89591F"/>
    <w:rsid w:val="2D946C86"/>
    <w:rsid w:val="2DDE6D73"/>
    <w:rsid w:val="2DFB5192"/>
    <w:rsid w:val="2E395342"/>
    <w:rsid w:val="2E6840C9"/>
    <w:rsid w:val="2E712B0A"/>
    <w:rsid w:val="2EB26BE3"/>
    <w:rsid w:val="2EE63B48"/>
    <w:rsid w:val="2EF85E2C"/>
    <w:rsid w:val="2F0A2219"/>
    <w:rsid w:val="2F233DFC"/>
    <w:rsid w:val="2F2A1FB0"/>
    <w:rsid w:val="2F4879D2"/>
    <w:rsid w:val="2F666874"/>
    <w:rsid w:val="2F6C04E8"/>
    <w:rsid w:val="2F917C50"/>
    <w:rsid w:val="2FB03E01"/>
    <w:rsid w:val="2FD85612"/>
    <w:rsid w:val="2FDF308B"/>
    <w:rsid w:val="2FED31A4"/>
    <w:rsid w:val="2FED4C3D"/>
    <w:rsid w:val="30007555"/>
    <w:rsid w:val="30624425"/>
    <w:rsid w:val="30696528"/>
    <w:rsid w:val="307D33BC"/>
    <w:rsid w:val="309C4EE6"/>
    <w:rsid w:val="30A24262"/>
    <w:rsid w:val="31011CAB"/>
    <w:rsid w:val="3105069B"/>
    <w:rsid w:val="311C61EF"/>
    <w:rsid w:val="31330D53"/>
    <w:rsid w:val="31440242"/>
    <w:rsid w:val="31540F86"/>
    <w:rsid w:val="31621E34"/>
    <w:rsid w:val="31703FE9"/>
    <w:rsid w:val="318D2525"/>
    <w:rsid w:val="318D57EA"/>
    <w:rsid w:val="31F302A2"/>
    <w:rsid w:val="320D4BA0"/>
    <w:rsid w:val="320F08D7"/>
    <w:rsid w:val="322341A3"/>
    <w:rsid w:val="32674EDB"/>
    <w:rsid w:val="32906254"/>
    <w:rsid w:val="329D3B01"/>
    <w:rsid w:val="32CB093C"/>
    <w:rsid w:val="32D01C91"/>
    <w:rsid w:val="32F73068"/>
    <w:rsid w:val="331337DF"/>
    <w:rsid w:val="33402AB1"/>
    <w:rsid w:val="33900270"/>
    <w:rsid w:val="33CC0E26"/>
    <w:rsid w:val="33E36CF5"/>
    <w:rsid w:val="33F44BB3"/>
    <w:rsid w:val="340371D5"/>
    <w:rsid w:val="34C038D0"/>
    <w:rsid w:val="34D25CCA"/>
    <w:rsid w:val="34D96007"/>
    <w:rsid w:val="34DD74E5"/>
    <w:rsid w:val="34ED14DC"/>
    <w:rsid w:val="34FE2A23"/>
    <w:rsid w:val="35065DD6"/>
    <w:rsid w:val="35086ADC"/>
    <w:rsid w:val="350C25E8"/>
    <w:rsid w:val="352D6AB2"/>
    <w:rsid w:val="35333CB4"/>
    <w:rsid w:val="353B4710"/>
    <w:rsid w:val="3544158D"/>
    <w:rsid w:val="354F4233"/>
    <w:rsid w:val="35592AAC"/>
    <w:rsid w:val="35724FEB"/>
    <w:rsid w:val="359D4998"/>
    <w:rsid w:val="36315381"/>
    <w:rsid w:val="367B7B47"/>
    <w:rsid w:val="36AD1BC9"/>
    <w:rsid w:val="36C844EB"/>
    <w:rsid w:val="37170C10"/>
    <w:rsid w:val="371E13E2"/>
    <w:rsid w:val="37537346"/>
    <w:rsid w:val="375A0ADE"/>
    <w:rsid w:val="375D770A"/>
    <w:rsid w:val="375F25F9"/>
    <w:rsid w:val="37832D60"/>
    <w:rsid w:val="378D66A4"/>
    <w:rsid w:val="379B43B2"/>
    <w:rsid w:val="37AF5D39"/>
    <w:rsid w:val="37DD403B"/>
    <w:rsid w:val="380D6774"/>
    <w:rsid w:val="38283FC0"/>
    <w:rsid w:val="38684E44"/>
    <w:rsid w:val="38904518"/>
    <w:rsid w:val="38C04B0D"/>
    <w:rsid w:val="38E23656"/>
    <w:rsid w:val="39110A0C"/>
    <w:rsid w:val="3922119F"/>
    <w:rsid w:val="39674A58"/>
    <w:rsid w:val="39846C86"/>
    <w:rsid w:val="398A7FB7"/>
    <w:rsid w:val="39A042F7"/>
    <w:rsid w:val="39CF4DFD"/>
    <w:rsid w:val="39CF7234"/>
    <w:rsid w:val="3A166C37"/>
    <w:rsid w:val="3A533760"/>
    <w:rsid w:val="3A561958"/>
    <w:rsid w:val="3A5D6F69"/>
    <w:rsid w:val="3A6D2950"/>
    <w:rsid w:val="3AC74096"/>
    <w:rsid w:val="3ACC5038"/>
    <w:rsid w:val="3AFB08F6"/>
    <w:rsid w:val="3B4E3471"/>
    <w:rsid w:val="3B9D6CB7"/>
    <w:rsid w:val="3BA72A7E"/>
    <w:rsid w:val="3BBC6705"/>
    <w:rsid w:val="3BC32214"/>
    <w:rsid w:val="3BF33A92"/>
    <w:rsid w:val="3C082A5D"/>
    <w:rsid w:val="3C0B267B"/>
    <w:rsid w:val="3C340E6D"/>
    <w:rsid w:val="3C36282A"/>
    <w:rsid w:val="3C3F0A85"/>
    <w:rsid w:val="3C4A07B2"/>
    <w:rsid w:val="3C5617CC"/>
    <w:rsid w:val="3C766B03"/>
    <w:rsid w:val="3C817DC7"/>
    <w:rsid w:val="3C97266F"/>
    <w:rsid w:val="3D076F2B"/>
    <w:rsid w:val="3D3C2AD6"/>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6018C4"/>
    <w:rsid w:val="3F677693"/>
    <w:rsid w:val="3F677A31"/>
    <w:rsid w:val="3F880A18"/>
    <w:rsid w:val="3F9D7A12"/>
    <w:rsid w:val="3FA21671"/>
    <w:rsid w:val="3FA246A1"/>
    <w:rsid w:val="3FB35A12"/>
    <w:rsid w:val="3FB632C7"/>
    <w:rsid w:val="3FC764F7"/>
    <w:rsid w:val="3FCE09AB"/>
    <w:rsid w:val="3FDF03F4"/>
    <w:rsid w:val="3FE659CA"/>
    <w:rsid w:val="3FE9035D"/>
    <w:rsid w:val="3FEEA4CB"/>
    <w:rsid w:val="3FF81933"/>
    <w:rsid w:val="40425B82"/>
    <w:rsid w:val="40460AEF"/>
    <w:rsid w:val="405269E6"/>
    <w:rsid w:val="40760CD9"/>
    <w:rsid w:val="4099611D"/>
    <w:rsid w:val="40D43E92"/>
    <w:rsid w:val="40FD3EC4"/>
    <w:rsid w:val="41005A89"/>
    <w:rsid w:val="4106443B"/>
    <w:rsid w:val="410E76D9"/>
    <w:rsid w:val="410F79D5"/>
    <w:rsid w:val="412B09CA"/>
    <w:rsid w:val="414035F3"/>
    <w:rsid w:val="41582EBC"/>
    <w:rsid w:val="41C9034C"/>
    <w:rsid w:val="41D573D6"/>
    <w:rsid w:val="42511A0D"/>
    <w:rsid w:val="4289725D"/>
    <w:rsid w:val="428A44BD"/>
    <w:rsid w:val="428C6C4F"/>
    <w:rsid w:val="42AD334B"/>
    <w:rsid w:val="42D276C6"/>
    <w:rsid w:val="42ED271E"/>
    <w:rsid w:val="43057965"/>
    <w:rsid w:val="431B7BEF"/>
    <w:rsid w:val="433D7244"/>
    <w:rsid w:val="43522735"/>
    <w:rsid w:val="436704BF"/>
    <w:rsid w:val="437368C4"/>
    <w:rsid w:val="438F2FC3"/>
    <w:rsid w:val="43D76424"/>
    <w:rsid w:val="443B052A"/>
    <w:rsid w:val="443C3663"/>
    <w:rsid w:val="4452236A"/>
    <w:rsid w:val="44534092"/>
    <w:rsid w:val="44BB1EB4"/>
    <w:rsid w:val="44C20EA0"/>
    <w:rsid w:val="44CE4904"/>
    <w:rsid w:val="4534794B"/>
    <w:rsid w:val="457311A6"/>
    <w:rsid w:val="45B04CCB"/>
    <w:rsid w:val="46184820"/>
    <w:rsid w:val="4689334F"/>
    <w:rsid w:val="46983BAD"/>
    <w:rsid w:val="46BD1075"/>
    <w:rsid w:val="46D863A6"/>
    <w:rsid w:val="46DF0E9A"/>
    <w:rsid w:val="46EF46F6"/>
    <w:rsid w:val="470F0555"/>
    <w:rsid w:val="47140C94"/>
    <w:rsid w:val="47264254"/>
    <w:rsid w:val="47641572"/>
    <w:rsid w:val="47711830"/>
    <w:rsid w:val="477737C9"/>
    <w:rsid w:val="47947ED7"/>
    <w:rsid w:val="47D6507A"/>
    <w:rsid w:val="47EE0FE4"/>
    <w:rsid w:val="48333868"/>
    <w:rsid w:val="48377D91"/>
    <w:rsid w:val="4844740A"/>
    <w:rsid w:val="48480BDD"/>
    <w:rsid w:val="48BA4E3B"/>
    <w:rsid w:val="491D125E"/>
    <w:rsid w:val="492B0A3B"/>
    <w:rsid w:val="49374FBE"/>
    <w:rsid w:val="4938092B"/>
    <w:rsid w:val="495F103C"/>
    <w:rsid w:val="495F31B8"/>
    <w:rsid w:val="49685C25"/>
    <w:rsid w:val="49864A59"/>
    <w:rsid w:val="4991236B"/>
    <w:rsid w:val="49C3733F"/>
    <w:rsid w:val="49CB139A"/>
    <w:rsid w:val="4A3B218B"/>
    <w:rsid w:val="4A7C7F8F"/>
    <w:rsid w:val="4B2F2836"/>
    <w:rsid w:val="4B5D77FE"/>
    <w:rsid w:val="4B662180"/>
    <w:rsid w:val="4B68502C"/>
    <w:rsid w:val="4B904744"/>
    <w:rsid w:val="4B976800"/>
    <w:rsid w:val="4BC85129"/>
    <w:rsid w:val="4BCF2E1C"/>
    <w:rsid w:val="4BDE0AD1"/>
    <w:rsid w:val="4BDF0D6C"/>
    <w:rsid w:val="4BE202E2"/>
    <w:rsid w:val="4BF8070C"/>
    <w:rsid w:val="4C2A312F"/>
    <w:rsid w:val="4C3C5DE2"/>
    <w:rsid w:val="4C525195"/>
    <w:rsid w:val="4C7376AB"/>
    <w:rsid w:val="4CB22D83"/>
    <w:rsid w:val="4CB410BA"/>
    <w:rsid w:val="4CC97324"/>
    <w:rsid w:val="4CCC75F4"/>
    <w:rsid w:val="4CDB5999"/>
    <w:rsid w:val="4CE70BAF"/>
    <w:rsid w:val="4CF642CA"/>
    <w:rsid w:val="4D32625D"/>
    <w:rsid w:val="4D9012EC"/>
    <w:rsid w:val="4D9466DF"/>
    <w:rsid w:val="4DBF477E"/>
    <w:rsid w:val="4DC04257"/>
    <w:rsid w:val="4DEF107C"/>
    <w:rsid w:val="4E1C0791"/>
    <w:rsid w:val="4E7611DE"/>
    <w:rsid w:val="4E85660D"/>
    <w:rsid w:val="4E8A0CBC"/>
    <w:rsid w:val="4EC11CFF"/>
    <w:rsid w:val="4EDF59AF"/>
    <w:rsid w:val="4EE40DDC"/>
    <w:rsid w:val="4EE81FF4"/>
    <w:rsid w:val="4F192B25"/>
    <w:rsid w:val="4F3F4BCC"/>
    <w:rsid w:val="4F40001A"/>
    <w:rsid w:val="4F47427C"/>
    <w:rsid w:val="4F4A54F8"/>
    <w:rsid w:val="4F6500C3"/>
    <w:rsid w:val="4F661F7E"/>
    <w:rsid w:val="4F9C3DCC"/>
    <w:rsid w:val="4FD1635E"/>
    <w:rsid w:val="4FDF52D5"/>
    <w:rsid w:val="4FE96ADF"/>
    <w:rsid w:val="4FED68DC"/>
    <w:rsid w:val="500C5946"/>
    <w:rsid w:val="501C6439"/>
    <w:rsid w:val="50611F26"/>
    <w:rsid w:val="50664FBE"/>
    <w:rsid w:val="50742907"/>
    <w:rsid w:val="508B403A"/>
    <w:rsid w:val="50A414E4"/>
    <w:rsid w:val="50B150AA"/>
    <w:rsid w:val="50DD1205"/>
    <w:rsid w:val="50F15D58"/>
    <w:rsid w:val="51093BB7"/>
    <w:rsid w:val="5146430B"/>
    <w:rsid w:val="516B5AFB"/>
    <w:rsid w:val="516D15EF"/>
    <w:rsid w:val="516F7A6A"/>
    <w:rsid w:val="51C274C6"/>
    <w:rsid w:val="526470E2"/>
    <w:rsid w:val="527F6064"/>
    <w:rsid w:val="52861EB7"/>
    <w:rsid w:val="528F2678"/>
    <w:rsid w:val="52C052D1"/>
    <w:rsid w:val="52D21236"/>
    <w:rsid w:val="52D95BAA"/>
    <w:rsid w:val="52FD45C2"/>
    <w:rsid w:val="53052749"/>
    <w:rsid w:val="5344299E"/>
    <w:rsid w:val="53567FA9"/>
    <w:rsid w:val="537A4878"/>
    <w:rsid w:val="53884D49"/>
    <w:rsid w:val="53893EEA"/>
    <w:rsid w:val="539C626A"/>
    <w:rsid w:val="53CE00B8"/>
    <w:rsid w:val="5454568C"/>
    <w:rsid w:val="5473068E"/>
    <w:rsid w:val="54856274"/>
    <w:rsid w:val="54A9517E"/>
    <w:rsid w:val="54D54DCE"/>
    <w:rsid w:val="54E86B55"/>
    <w:rsid w:val="553116DC"/>
    <w:rsid w:val="553B3C48"/>
    <w:rsid w:val="554D3CEE"/>
    <w:rsid w:val="55772025"/>
    <w:rsid w:val="559E4E2C"/>
    <w:rsid w:val="55C51201"/>
    <w:rsid w:val="56085A32"/>
    <w:rsid w:val="56815ACA"/>
    <w:rsid w:val="56851442"/>
    <w:rsid w:val="56891F7D"/>
    <w:rsid w:val="56DD102C"/>
    <w:rsid w:val="57036D60"/>
    <w:rsid w:val="573E7448"/>
    <w:rsid w:val="576A4745"/>
    <w:rsid w:val="57766F2B"/>
    <w:rsid w:val="5782249F"/>
    <w:rsid w:val="57BD5E4D"/>
    <w:rsid w:val="57E835A4"/>
    <w:rsid w:val="57ED3B31"/>
    <w:rsid w:val="584118DE"/>
    <w:rsid w:val="58550366"/>
    <w:rsid w:val="58693E66"/>
    <w:rsid w:val="588C1193"/>
    <w:rsid w:val="58A322AF"/>
    <w:rsid w:val="59405516"/>
    <w:rsid w:val="594B0060"/>
    <w:rsid w:val="594B715D"/>
    <w:rsid w:val="598B4EA5"/>
    <w:rsid w:val="59D94150"/>
    <w:rsid w:val="59DD3B06"/>
    <w:rsid w:val="59FB24F3"/>
    <w:rsid w:val="5A504690"/>
    <w:rsid w:val="5A8F542C"/>
    <w:rsid w:val="5A9A7B7F"/>
    <w:rsid w:val="5AA020E9"/>
    <w:rsid w:val="5B051E5B"/>
    <w:rsid w:val="5B095BF3"/>
    <w:rsid w:val="5B2F1989"/>
    <w:rsid w:val="5B6921A3"/>
    <w:rsid w:val="5B865977"/>
    <w:rsid w:val="5B9B5A43"/>
    <w:rsid w:val="5BA03029"/>
    <w:rsid w:val="5BA2180E"/>
    <w:rsid w:val="5BBC43EF"/>
    <w:rsid w:val="5C130DBF"/>
    <w:rsid w:val="5C185B49"/>
    <w:rsid w:val="5C3133C9"/>
    <w:rsid w:val="5C4F1667"/>
    <w:rsid w:val="5C5D752A"/>
    <w:rsid w:val="5C9D1A2D"/>
    <w:rsid w:val="5CBC4164"/>
    <w:rsid w:val="5D0224F7"/>
    <w:rsid w:val="5D0653C7"/>
    <w:rsid w:val="5D4D125B"/>
    <w:rsid w:val="5D773E9C"/>
    <w:rsid w:val="5D9F728B"/>
    <w:rsid w:val="5DB652C3"/>
    <w:rsid w:val="5DBE4DB2"/>
    <w:rsid w:val="5DC30428"/>
    <w:rsid w:val="5DEA69EF"/>
    <w:rsid w:val="5E032983"/>
    <w:rsid w:val="5E07476C"/>
    <w:rsid w:val="5E536126"/>
    <w:rsid w:val="5E6815AA"/>
    <w:rsid w:val="5EAB75F6"/>
    <w:rsid w:val="5ECF7E48"/>
    <w:rsid w:val="5F1078D8"/>
    <w:rsid w:val="5F534870"/>
    <w:rsid w:val="5F5F147F"/>
    <w:rsid w:val="5F6B21B9"/>
    <w:rsid w:val="5F6E04A9"/>
    <w:rsid w:val="5F7B4BF2"/>
    <w:rsid w:val="5F8140E8"/>
    <w:rsid w:val="5FA111C0"/>
    <w:rsid w:val="5FA840C8"/>
    <w:rsid w:val="5FC1274C"/>
    <w:rsid w:val="5FD17D97"/>
    <w:rsid w:val="5FEC7770"/>
    <w:rsid w:val="5FEE44DB"/>
    <w:rsid w:val="5FF3306A"/>
    <w:rsid w:val="600953A1"/>
    <w:rsid w:val="60226E2F"/>
    <w:rsid w:val="60796F62"/>
    <w:rsid w:val="60AB52CC"/>
    <w:rsid w:val="60E51090"/>
    <w:rsid w:val="610721DF"/>
    <w:rsid w:val="61226F84"/>
    <w:rsid w:val="612F5D3F"/>
    <w:rsid w:val="61373E01"/>
    <w:rsid w:val="614B7400"/>
    <w:rsid w:val="616E25C0"/>
    <w:rsid w:val="61756C9F"/>
    <w:rsid w:val="617E675E"/>
    <w:rsid w:val="618D52F4"/>
    <w:rsid w:val="61BF21CE"/>
    <w:rsid w:val="61FE23EC"/>
    <w:rsid w:val="62006664"/>
    <w:rsid w:val="620C6DA4"/>
    <w:rsid w:val="625857EF"/>
    <w:rsid w:val="6269217D"/>
    <w:rsid w:val="6269725C"/>
    <w:rsid w:val="62AC30A7"/>
    <w:rsid w:val="62B9556C"/>
    <w:rsid w:val="62E21FE6"/>
    <w:rsid w:val="63477CBA"/>
    <w:rsid w:val="63562B36"/>
    <w:rsid w:val="63640AD8"/>
    <w:rsid w:val="63953886"/>
    <w:rsid w:val="639C3F43"/>
    <w:rsid w:val="63A95D0A"/>
    <w:rsid w:val="63CA64C2"/>
    <w:rsid w:val="63F51382"/>
    <w:rsid w:val="64006EFB"/>
    <w:rsid w:val="641E320A"/>
    <w:rsid w:val="642A296C"/>
    <w:rsid w:val="644F008D"/>
    <w:rsid w:val="646E681E"/>
    <w:rsid w:val="64925CF4"/>
    <w:rsid w:val="64AE1506"/>
    <w:rsid w:val="64CB5CBA"/>
    <w:rsid w:val="64CC0858"/>
    <w:rsid w:val="64FC55D6"/>
    <w:rsid w:val="65030064"/>
    <w:rsid w:val="65AF6083"/>
    <w:rsid w:val="65F45A9C"/>
    <w:rsid w:val="65F52ED8"/>
    <w:rsid w:val="65F732C9"/>
    <w:rsid w:val="660410DC"/>
    <w:rsid w:val="6607729F"/>
    <w:rsid w:val="66107929"/>
    <w:rsid w:val="66144219"/>
    <w:rsid w:val="6627269B"/>
    <w:rsid w:val="66761E23"/>
    <w:rsid w:val="669E2EA4"/>
    <w:rsid w:val="66C8490B"/>
    <w:rsid w:val="66D94778"/>
    <w:rsid w:val="66E97B34"/>
    <w:rsid w:val="66ED6DB5"/>
    <w:rsid w:val="675F5D34"/>
    <w:rsid w:val="67623F7F"/>
    <w:rsid w:val="678C48DD"/>
    <w:rsid w:val="678D547D"/>
    <w:rsid w:val="67937917"/>
    <w:rsid w:val="67C357CB"/>
    <w:rsid w:val="680D6AB9"/>
    <w:rsid w:val="68173E42"/>
    <w:rsid w:val="68322A9D"/>
    <w:rsid w:val="68585F9D"/>
    <w:rsid w:val="68880AC0"/>
    <w:rsid w:val="688B0C3F"/>
    <w:rsid w:val="68954EE6"/>
    <w:rsid w:val="68BC5EE6"/>
    <w:rsid w:val="68CB6066"/>
    <w:rsid w:val="68D1235C"/>
    <w:rsid w:val="68EB00F5"/>
    <w:rsid w:val="692939E8"/>
    <w:rsid w:val="69341CD7"/>
    <w:rsid w:val="693C3C42"/>
    <w:rsid w:val="695C789E"/>
    <w:rsid w:val="69974E79"/>
    <w:rsid w:val="69BB2F33"/>
    <w:rsid w:val="6A0F7DFB"/>
    <w:rsid w:val="6A125B38"/>
    <w:rsid w:val="6A2F781E"/>
    <w:rsid w:val="6A33746E"/>
    <w:rsid w:val="6A674144"/>
    <w:rsid w:val="6AA742DA"/>
    <w:rsid w:val="6AB6668F"/>
    <w:rsid w:val="6AE67343"/>
    <w:rsid w:val="6AE706D4"/>
    <w:rsid w:val="6AEA3B9E"/>
    <w:rsid w:val="6B6A7798"/>
    <w:rsid w:val="6B6E083F"/>
    <w:rsid w:val="6BC164C3"/>
    <w:rsid w:val="6BD630B3"/>
    <w:rsid w:val="6C147AB8"/>
    <w:rsid w:val="6C1C4DCD"/>
    <w:rsid w:val="6C5601CC"/>
    <w:rsid w:val="6C847DFC"/>
    <w:rsid w:val="6CBE2051"/>
    <w:rsid w:val="6D104378"/>
    <w:rsid w:val="6D331048"/>
    <w:rsid w:val="6D486EEA"/>
    <w:rsid w:val="6D7856B9"/>
    <w:rsid w:val="6D933DFA"/>
    <w:rsid w:val="6DAA35A7"/>
    <w:rsid w:val="6DD72EB8"/>
    <w:rsid w:val="6DDB19AD"/>
    <w:rsid w:val="6DDF4468"/>
    <w:rsid w:val="6E6602AD"/>
    <w:rsid w:val="6E694D63"/>
    <w:rsid w:val="6EF563BF"/>
    <w:rsid w:val="6F010B22"/>
    <w:rsid w:val="6F076466"/>
    <w:rsid w:val="6F1352D6"/>
    <w:rsid w:val="6F337B84"/>
    <w:rsid w:val="6F5608CC"/>
    <w:rsid w:val="6F6C19FB"/>
    <w:rsid w:val="6F900364"/>
    <w:rsid w:val="6FA44543"/>
    <w:rsid w:val="6FB4066F"/>
    <w:rsid w:val="7048119C"/>
    <w:rsid w:val="70794EF2"/>
    <w:rsid w:val="70AB017A"/>
    <w:rsid w:val="70B749E1"/>
    <w:rsid w:val="70D35108"/>
    <w:rsid w:val="71041C36"/>
    <w:rsid w:val="710737E0"/>
    <w:rsid w:val="71341F63"/>
    <w:rsid w:val="714006FF"/>
    <w:rsid w:val="714A3765"/>
    <w:rsid w:val="71654F43"/>
    <w:rsid w:val="71BE3339"/>
    <w:rsid w:val="72094297"/>
    <w:rsid w:val="721A5B61"/>
    <w:rsid w:val="726C70BA"/>
    <w:rsid w:val="727E2F3E"/>
    <w:rsid w:val="72824D48"/>
    <w:rsid w:val="72872E0A"/>
    <w:rsid w:val="729563D8"/>
    <w:rsid w:val="729F75AC"/>
    <w:rsid w:val="72A5200B"/>
    <w:rsid w:val="72A970AA"/>
    <w:rsid w:val="72BF19FC"/>
    <w:rsid w:val="72C45383"/>
    <w:rsid w:val="72E06788"/>
    <w:rsid w:val="72FC2DE6"/>
    <w:rsid w:val="730333BC"/>
    <w:rsid w:val="73323036"/>
    <w:rsid w:val="73393104"/>
    <w:rsid w:val="735F4A70"/>
    <w:rsid w:val="737D38DB"/>
    <w:rsid w:val="73907D5F"/>
    <w:rsid w:val="739F4420"/>
    <w:rsid w:val="73CD4AC9"/>
    <w:rsid w:val="73F50ACA"/>
    <w:rsid w:val="73F62DEB"/>
    <w:rsid w:val="744D0491"/>
    <w:rsid w:val="74657E71"/>
    <w:rsid w:val="74714B88"/>
    <w:rsid w:val="747B09FF"/>
    <w:rsid w:val="74BF1B57"/>
    <w:rsid w:val="74CA47ED"/>
    <w:rsid w:val="74F4070E"/>
    <w:rsid w:val="756E3B68"/>
    <w:rsid w:val="75A66501"/>
    <w:rsid w:val="7601345D"/>
    <w:rsid w:val="76F4202E"/>
    <w:rsid w:val="772422D8"/>
    <w:rsid w:val="776D739B"/>
    <w:rsid w:val="777F42E9"/>
    <w:rsid w:val="778133BE"/>
    <w:rsid w:val="77967596"/>
    <w:rsid w:val="779D6F26"/>
    <w:rsid w:val="77AE2B60"/>
    <w:rsid w:val="77E208EC"/>
    <w:rsid w:val="77F0506C"/>
    <w:rsid w:val="781A6671"/>
    <w:rsid w:val="781E5E50"/>
    <w:rsid w:val="783F77B7"/>
    <w:rsid w:val="78484242"/>
    <w:rsid w:val="784B00C7"/>
    <w:rsid w:val="785334EE"/>
    <w:rsid w:val="78603AA7"/>
    <w:rsid w:val="7874451D"/>
    <w:rsid w:val="78991756"/>
    <w:rsid w:val="789F07E0"/>
    <w:rsid w:val="78BB1314"/>
    <w:rsid w:val="78D5554C"/>
    <w:rsid w:val="78F30E2A"/>
    <w:rsid w:val="7919561A"/>
    <w:rsid w:val="793470AA"/>
    <w:rsid w:val="794013BD"/>
    <w:rsid w:val="799A2454"/>
    <w:rsid w:val="7A1112B2"/>
    <w:rsid w:val="7A6B1F56"/>
    <w:rsid w:val="7AAB443C"/>
    <w:rsid w:val="7AC8338F"/>
    <w:rsid w:val="7AE34912"/>
    <w:rsid w:val="7AED6944"/>
    <w:rsid w:val="7AF1296F"/>
    <w:rsid w:val="7B1810B3"/>
    <w:rsid w:val="7B1B54D9"/>
    <w:rsid w:val="7B330D36"/>
    <w:rsid w:val="7B493D2C"/>
    <w:rsid w:val="7B4D3C76"/>
    <w:rsid w:val="7B9B5387"/>
    <w:rsid w:val="7BA65801"/>
    <w:rsid w:val="7BB3324B"/>
    <w:rsid w:val="7BBB3A66"/>
    <w:rsid w:val="7BCA11E7"/>
    <w:rsid w:val="7C0B4190"/>
    <w:rsid w:val="7C160B8E"/>
    <w:rsid w:val="7C3B2AB5"/>
    <w:rsid w:val="7C43213F"/>
    <w:rsid w:val="7C681E92"/>
    <w:rsid w:val="7C935623"/>
    <w:rsid w:val="7CA222FE"/>
    <w:rsid w:val="7CDF55E4"/>
    <w:rsid w:val="7D06498F"/>
    <w:rsid w:val="7D2F0C7A"/>
    <w:rsid w:val="7D3F7E6F"/>
    <w:rsid w:val="7D41260A"/>
    <w:rsid w:val="7D8C3B75"/>
    <w:rsid w:val="7D9B48E2"/>
    <w:rsid w:val="7DF75930"/>
    <w:rsid w:val="7E043B3E"/>
    <w:rsid w:val="7E3C4FE2"/>
    <w:rsid w:val="7E740106"/>
    <w:rsid w:val="7E7F51B3"/>
    <w:rsid w:val="7ED10348"/>
    <w:rsid w:val="7F5F4A1B"/>
    <w:rsid w:val="7F9A7B42"/>
    <w:rsid w:val="7FF333E4"/>
    <w:rsid w:val="7FF444C6"/>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4">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6">
    <w:name w:val="Normal Indent"/>
    <w:basedOn w:val="1"/>
    <w:link w:val="52"/>
    <w:autoRedefine/>
    <w:qFormat/>
    <w:uiPriority w:val="0"/>
    <w:pPr>
      <w:ind w:firstLine="420"/>
    </w:pPr>
    <w:rPr>
      <w:szCs w:val="21"/>
    </w:rPr>
  </w:style>
  <w:style w:type="paragraph" w:styleId="7">
    <w:name w:val="Document Map"/>
    <w:basedOn w:val="1"/>
    <w:link w:val="53"/>
    <w:autoRedefine/>
    <w:qFormat/>
    <w:uiPriority w:val="0"/>
    <w:pPr>
      <w:shd w:val="clear" w:color="auto" w:fill="000080"/>
    </w:pPr>
  </w:style>
  <w:style w:type="paragraph" w:styleId="8">
    <w:name w:val="annotation text"/>
    <w:basedOn w:val="1"/>
    <w:link w:val="54"/>
    <w:autoRedefine/>
    <w:qFormat/>
    <w:uiPriority w:val="0"/>
    <w:pPr>
      <w:jc w:val="left"/>
    </w:pPr>
  </w:style>
  <w:style w:type="paragraph" w:styleId="9">
    <w:name w:val="Body Text"/>
    <w:basedOn w:val="1"/>
    <w:link w:val="55"/>
    <w:autoRedefine/>
    <w:qFormat/>
    <w:uiPriority w:val="0"/>
    <w:pPr>
      <w:spacing w:after="120"/>
    </w:pPr>
    <w:rPr>
      <w:kern w:val="0"/>
      <w:sz w:val="24"/>
    </w:rPr>
  </w:style>
  <w:style w:type="paragraph" w:styleId="10">
    <w:name w:val="Body Text Indent"/>
    <w:basedOn w:val="1"/>
    <w:link w:val="56"/>
    <w:autoRedefine/>
    <w:qFormat/>
    <w:uiPriority w:val="0"/>
    <w:pPr>
      <w:ind w:firstLine="830" w:firstLineChars="352"/>
    </w:pPr>
    <w:rPr>
      <w:rFonts w:ascii="仿宋_GB2312" w:eastAsia="仿宋_GB2312"/>
      <w:kern w:val="0"/>
      <w:sz w:val="32"/>
      <w:szCs w:val="32"/>
    </w:rPr>
  </w:style>
  <w:style w:type="paragraph" w:styleId="11">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2">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3">
    <w:name w:val="Plain Text"/>
    <w:basedOn w:val="1"/>
    <w:link w:val="57"/>
    <w:autoRedefine/>
    <w:qFormat/>
    <w:uiPriority w:val="0"/>
    <w:rPr>
      <w:rFonts w:ascii="宋体" w:hAnsi="Courier New"/>
      <w:kern w:val="0"/>
      <w:szCs w:val="21"/>
    </w:rPr>
  </w:style>
  <w:style w:type="paragraph" w:styleId="14">
    <w:name w:val="Date"/>
    <w:basedOn w:val="1"/>
    <w:next w:val="1"/>
    <w:link w:val="58"/>
    <w:autoRedefine/>
    <w:qFormat/>
    <w:uiPriority w:val="0"/>
    <w:pPr>
      <w:ind w:left="100" w:leftChars="2500"/>
    </w:pPr>
    <w:rPr>
      <w:rFonts w:ascii="宋体" w:hAnsi="Courier New"/>
      <w:kern w:val="0"/>
      <w:szCs w:val="21"/>
    </w:rPr>
  </w:style>
  <w:style w:type="paragraph" w:styleId="15">
    <w:name w:val="Body Text Indent 2"/>
    <w:basedOn w:val="1"/>
    <w:link w:val="59"/>
    <w:autoRedefine/>
    <w:qFormat/>
    <w:uiPriority w:val="0"/>
    <w:pPr>
      <w:spacing w:after="120" w:line="480" w:lineRule="auto"/>
      <w:ind w:left="420" w:leftChars="200"/>
    </w:pPr>
    <w:rPr>
      <w:kern w:val="0"/>
      <w:sz w:val="24"/>
    </w:rPr>
  </w:style>
  <w:style w:type="paragraph" w:styleId="16">
    <w:name w:val="Balloon Text"/>
    <w:basedOn w:val="1"/>
    <w:link w:val="60"/>
    <w:autoRedefine/>
    <w:qFormat/>
    <w:uiPriority w:val="0"/>
    <w:rPr>
      <w:sz w:val="18"/>
      <w:szCs w:val="18"/>
    </w:rPr>
  </w:style>
  <w:style w:type="paragraph" w:styleId="17">
    <w:name w:val="footer"/>
    <w:basedOn w:val="1"/>
    <w:link w:val="61"/>
    <w:autoRedefine/>
    <w:qFormat/>
    <w:uiPriority w:val="99"/>
    <w:pPr>
      <w:tabs>
        <w:tab w:val="center" w:pos="4153"/>
        <w:tab w:val="right" w:pos="8306"/>
      </w:tabs>
      <w:snapToGrid w:val="0"/>
      <w:jc w:val="left"/>
    </w:pPr>
    <w:rPr>
      <w:sz w:val="18"/>
      <w:szCs w:val="18"/>
    </w:rPr>
  </w:style>
  <w:style w:type="paragraph" w:styleId="18">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0"/>
    <w:pPr>
      <w:tabs>
        <w:tab w:val="right" w:leader="dot" w:pos="8834"/>
      </w:tabs>
      <w:spacing w:before="120" w:after="120"/>
      <w:jc w:val="left"/>
    </w:pPr>
    <w:rPr>
      <w:b/>
      <w:bCs/>
      <w:caps/>
      <w:sz w:val="28"/>
      <w:szCs w:val="28"/>
    </w:rPr>
  </w:style>
  <w:style w:type="paragraph" w:styleId="20">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1">
    <w:name w:val="footnote text"/>
    <w:basedOn w:val="1"/>
    <w:autoRedefine/>
    <w:qFormat/>
    <w:uiPriority w:val="0"/>
    <w:rPr>
      <w:sz w:val="18"/>
    </w:rPr>
  </w:style>
  <w:style w:type="paragraph" w:styleId="22">
    <w:name w:val="Body Text Indent 3"/>
    <w:basedOn w:val="1"/>
    <w:link w:val="64"/>
    <w:autoRedefine/>
    <w:qFormat/>
    <w:uiPriority w:val="0"/>
    <w:pPr>
      <w:spacing w:after="120"/>
      <w:ind w:left="420" w:leftChars="200"/>
    </w:pPr>
    <w:rPr>
      <w:kern w:val="0"/>
      <w:sz w:val="16"/>
      <w:szCs w:val="16"/>
    </w:rPr>
  </w:style>
  <w:style w:type="paragraph" w:styleId="23">
    <w:name w:val="toc 2"/>
    <w:basedOn w:val="1"/>
    <w:next w:val="1"/>
    <w:autoRedefine/>
    <w:qFormat/>
    <w:uiPriority w:val="0"/>
    <w:pPr>
      <w:ind w:left="420" w:leftChars="200"/>
    </w:pPr>
    <w:rPr>
      <w:szCs w:val="21"/>
    </w:rPr>
  </w:style>
  <w:style w:type="paragraph" w:styleId="24">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25">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7">
    <w:name w:val="annotation subject"/>
    <w:basedOn w:val="8"/>
    <w:next w:val="8"/>
    <w:link w:val="68"/>
    <w:autoRedefine/>
    <w:qFormat/>
    <w:uiPriority w:val="0"/>
    <w:rPr>
      <w:b/>
      <w:bCs/>
      <w:szCs w:val="21"/>
    </w:rPr>
  </w:style>
  <w:style w:type="paragraph" w:styleId="28">
    <w:name w:val="Body Text First Indent"/>
    <w:basedOn w:val="9"/>
    <w:link w:val="69"/>
    <w:autoRedefine/>
    <w:qFormat/>
    <w:uiPriority w:val="0"/>
    <w:pPr>
      <w:spacing w:line="560" w:lineRule="exact"/>
      <w:ind w:firstLine="420" w:firstLineChars="100"/>
    </w:pPr>
    <w:rPr>
      <w:kern w:val="2"/>
      <w:sz w:val="21"/>
      <w:szCs w:val="22"/>
    </w:rPr>
  </w:style>
  <w:style w:type="paragraph" w:styleId="29">
    <w:name w:val="Body Text First Indent 2"/>
    <w:basedOn w:val="10"/>
    <w:autoRedefine/>
    <w:qFormat/>
    <w:uiPriority w:val="0"/>
    <w:pPr>
      <w:spacing w:after="120" w:line="360" w:lineRule="auto"/>
      <w:ind w:left="420" w:leftChars="200" w:firstLine="210" w:firstLineChars="200"/>
    </w:pPr>
    <w:rPr>
      <w:sz w:val="21"/>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next w:val="1"/>
    <w:link w:val="102"/>
    <w:autoRedefine/>
    <w:qFormat/>
    <w:uiPriority w:val="0"/>
    <w:pPr>
      <w:ind w:firstLine="420" w:firstLineChars="200"/>
    </w:pPr>
    <w:rPr>
      <w:szCs w:val="21"/>
    </w:rPr>
  </w:style>
  <w:style w:type="character" w:customStyle="1" w:styleId="48">
    <w:name w:val="标题 1 Char"/>
    <w:link w:val="2"/>
    <w:autoRedefine/>
    <w:qFormat/>
    <w:uiPriority w:val="0"/>
    <w:rPr>
      <w:b/>
      <w:bCs/>
      <w:kern w:val="44"/>
      <w:sz w:val="44"/>
      <w:szCs w:val="44"/>
    </w:rPr>
  </w:style>
  <w:style w:type="character" w:customStyle="1" w:styleId="49">
    <w:name w:val="标题 2 Char"/>
    <w:link w:val="3"/>
    <w:autoRedefine/>
    <w:qFormat/>
    <w:uiPriority w:val="0"/>
    <w:rPr>
      <w:rFonts w:ascii="Arial" w:hAnsi="Arial" w:eastAsia="宋体"/>
      <w:b/>
      <w:bCs/>
      <w:kern w:val="2"/>
      <w:sz w:val="32"/>
      <w:szCs w:val="32"/>
      <w:lang w:val="en-US" w:eastAsia="zh-CN" w:bidi="ar-SA"/>
    </w:rPr>
  </w:style>
  <w:style w:type="character" w:customStyle="1" w:styleId="50">
    <w:name w:val="标题 3 Char"/>
    <w:link w:val="4"/>
    <w:autoRedefine/>
    <w:qFormat/>
    <w:uiPriority w:val="0"/>
    <w:rPr>
      <w:b/>
      <w:bCs/>
      <w:kern w:val="2"/>
      <w:sz w:val="32"/>
      <w:szCs w:val="32"/>
    </w:rPr>
  </w:style>
  <w:style w:type="character" w:customStyle="1" w:styleId="51">
    <w:name w:val="标题 4 Char"/>
    <w:link w:val="5"/>
    <w:autoRedefine/>
    <w:qFormat/>
    <w:uiPriority w:val="0"/>
    <w:rPr>
      <w:rFonts w:ascii="仿宋_GB2312" w:eastAsia="仿宋_GB2312" w:cs="仿宋_GB2312"/>
      <w:kern w:val="2"/>
      <w:sz w:val="28"/>
      <w:szCs w:val="28"/>
    </w:rPr>
  </w:style>
  <w:style w:type="character" w:customStyle="1" w:styleId="52">
    <w:name w:val="正文缩进 Char"/>
    <w:link w:val="6"/>
    <w:autoRedefine/>
    <w:qFormat/>
    <w:uiPriority w:val="0"/>
    <w:rPr>
      <w:kern w:val="2"/>
      <w:sz w:val="21"/>
      <w:szCs w:val="21"/>
    </w:rPr>
  </w:style>
  <w:style w:type="character" w:customStyle="1" w:styleId="53">
    <w:name w:val="文档结构图 Char"/>
    <w:link w:val="7"/>
    <w:autoRedefine/>
    <w:qFormat/>
    <w:uiPriority w:val="0"/>
    <w:rPr>
      <w:kern w:val="2"/>
      <w:sz w:val="21"/>
      <w:szCs w:val="24"/>
      <w:shd w:val="clear" w:color="auto" w:fill="000080"/>
    </w:rPr>
  </w:style>
  <w:style w:type="character" w:customStyle="1" w:styleId="54">
    <w:name w:val="批注文字 Char"/>
    <w:link w:val="8"/>
    <w:autoRedefine/>
    <w:qFormat/>
    <w:uiPriority w:val="0"/>
    <w:rPr>
      <w:kern w:val="2"/>
      <w:sz w:val="21"/>
      <w:szCs w:val="24"/>
    </w:rPr>
  </w:style>
  <w:style w:type="character" w:customStyle="1" w:styleId="55">
    <w:name w:val="正文文本 Char"/>
    <w:link w:val="9"/>
    <w:autoRedefine/>
    <w:qFormat/>
    <w:uiPriority w:val="0"/>
    <w:rPr>
      <w:sz w:val="24"/>
      <w:szCs w:val="24"/>
    </w:rPr>
  </w:style>
  <w:style w:type="character" w:customStyle="1" w:styleId="56">
    <w:name w:val="正文文本缩进 Char"/>
    <w:link w:val="10"/>
    <w:autoRedefine/>
    <w:qFormat/>
    <w:uiPriority w:val="0"/>
    <w:rPr>
      <w:rFonts w:ascii="仿宋_GB2312" w:eastAsia="仿宋_GB2312"/>
      <w:sz w:val="32"/>
      <w:szCs w:val="32"/>
    </w:rPr>
  </w:style>
  <w:style w:type="character" w:customStyle="1" w:styleId="57">
    <w:name w:val="纯文本 Char"/>
    <w:link w:val="13"/>
    <w:autoRedefine/>
    <w:qFormat/>
    <w:uiPriority w:val="0"/>
    <w:rPr>
      <w:rFonts w:ascii="宋体" w:hAnsi="Courier New"/>
      <w:sz w:val="21"/>
      <w:szCs w:val="21"/>
    </w:rPr>
  </w:style>
  <w:style w:type="character" w:customStyle="1" w:styleId="58">
    <w:name w:val="日期 Char"/>
    <w:link w:val="14"/>
    <w:autoRedefine/>
    <w:qFormat/>
    <w:uiPriority w:val="0"/>
    <w:rPr>
      <w:rFonts w:ascii="宋体" w:hAnsi="Courier New"/>
      <w:sz w:val="21"/>
      <w:szCs w:val="21"/>
    </w:rPr>
  </w:style>
  <w:style w:type="character" w:customStyle="1" w:styleId="59">
    <w:name w:val="正文文本缩进 2 Char"/>
    <w:link w:val="15"/>
    <w:autoRedefine/>
    <w:qFormat/>
    <w:uiPriority w:val="0"/>
    <w:rPr>
      <w:sz w:val="24"/>
      <w:szCs w:val="24"/>
    </w:rPr>
  </w:style>
  <w:style w:type="character" w:customStyle="1" w:styleId="60">
    <w:name w:val="批注框文本 Char"/>
    <w:link w:val="16"/>
    <w:autoRedefine/>
    <w:qFormat/>
    <w:uiPriority w:val="0"/>
    <w:rPr>
      <w:kern w:val="2"/>
      <w:sz w:val="18"/>
      <w:szCs w:val="18"/>
    </w:rPr>
  </w:style>
  <w:style w:type="character" w:customStyle="1" w:styleId="61">
    <w:name w:val="页脚 Char1"/>
    <w:link w:val="17"/>
    <w:autoRedefine/>
    <w:qFormat/>
    <w:uiPriority w:val="99"/>
    <w:rPr>
      <w:kern w:val="2"/>
      <w:sz w:val="18"/>
      <w:szCs w:val="18"/>
    </w:rPr>
  </w:style>
  <w:style w:type="character" w:customStyle="1" w:styleId="62">
    <w:name w:val="页眉 Char"/>
    <w:link w:val="18"/>
    <w:autoRedefine/>
    <w:qFormat/>
    <w:uiPriority w:val="0"/>
    <w:rPr>
      <w:kern w:val="2"/>
      <w:sz w:val="18"/>
      <w:szCs w:val="18"/>
    </w:rPr>
  </w:style>
  <w:style w:type="character" w:customStyle="1" w:styleId="63">
    <w:name w:val="副标题 Char"/>
    <w:link w:val="20"/>
    <w:autoRedefine/>
    <w:qFormat/>
    <w:uiPriority w:val="0"/>
    <w:rPr>
      <w:rFonts w:ascii="Cambria" w:hAnsi="Cambria" w:eastAsia="方正楷体简体"/>
      <w:kern w:val="28"/>
      <w:sz w:val="32"/>
      <w:szCs w:val="32"/>
    </w:rPr>
  </w:style>
  <w:style w:type="character" w:customStyle="1" w:styleId="64">
    <w:name w:val="正文文本缩进 3 Char"/>
    <w:link w:val="22"/>
    <w:autoRedefine/>
    <w:qFormat/>
    <w:uiPriority w:val="0"/>
    <w:rPr>
      <w:sz w:val="16"/>
      <w:szCs w:val="16"/>
    </w:rPr>
  </w:style>
  <w:style w:type="character" w:customStyle="1" w:styleId="65">
    <w:name w:val="HTML 预设格式 Char"/>
    <w:link w:val="24"/>
    <w:autoRedefine/>
    <w:qFormat/>
    <w:uiPriority w:val="0"/>
    <w:rPr>
      <w:rFonts w:ascii="Courier New" w:hAnsi="Courier New" w:cs="Courier New"/>
      <w:lang w:eastAsia="en-US"/>
    </w:rPr>
  </w:style>
  <w:style w:type="character" w:customStyle="1" w:styleId="66">
    <w:name w:val="普通(网站) Char"/>
    <w:link w:val="25"/>
    <w:autoRedefine/>
    <w:qFormat/>
    <w:uiPriority w:val="99"/>
    <w:rPr>
      <w:rFonts w:ascii="宋体" w:hAnsi="宋体" w:cs="宋体"/>
      <w:sz w:val="24"/>
      <w:szCs w:val="24"/>
    </w:rPr>
  </w:style>
  <w:style w:type="character" w:customStyle="1" w:styleId="67">
    <w:name w:val="标题 Char"/>
    <w:link w:val="26"/>
    <w:autoRedefine/>
    <w:qFormat/>
    <w:uiPriority w:val="0"/>
    <w:rPr>
      <w:rFonts w:ascii="Cambria" w:hAnsi="Cambria" w:eastAsia="方正小标宋简体"/>
      <w:b/>
      <w:bCs/>
      <w:kern w:val="2"/>
      <w:sz w:val="32"/>
      <w:szCs w:val="32"/>
    </w:rPr>
  </w:style>
  <w:style w:type="character" w:customStyle="1" w:styleId="68">
    <w:name w:val="批注主题 Char"/>
    <w:link w:val="27"/>
    <w:autoRedefine/>
    <w:qFormat/>
    <w:uiPriority w:val="0"/>
    <w:rPr>
      <w:b/>
      <w:bCs/>
      <w:kern w:val="2"/>
      <w:sz w:val="21"/>
      <w:szCs w:val="21"/>
    </w:rPr>
  </w:style>
  <w:style w:type="character" w:customStyle="1" w:styleId="69">
    <w:name w:val="正文首行缩进 Char"/>
    <w:link w:val="28"/>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4"/>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8"/>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4"/>
    <w:autoRedefine/>
    <w:qFormat/>
    <w:locked/>
    <w:uiPriority w:val="99"/>
    <w:rPr>
      <w:rFonts w:cs="Times New Roman"/>
      <w:b/>
      <w:sz w:val="32"/>
    </w:rPr>
  </w:style>
  <w:style w:type="paragraph" w:customStyle="1" w:styleId="176">
    <w:name w:val="列表段落1"/>
    <w:basedOn w:val="1"/>
    <w:next w:val="1"/>
    <w:qFormat/>
    <w:uiPriority w:val="0"/>
    <w:pPr>
      <w:ind w:firstLine="420" w:firstLineChars="200"/>
    </w:pPr>
    <w:rPr>
      <w:szCs w:val="22"/>
    </w:rPr>
  </w:style>
  <w:style w:type="paragraph" w:customStyle="1" w:styleId="177">
    <w:name w:val="Table Text"/>
    <w:basedOn w:val="1"/>
    <w:semiHidden/>
    <w:qFormat/>
    <w:uiPriority w:val="0"/>
    <w:pPr>
      <w:widowControl/>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28"/>
      <w:szCs w:val="28"/>
      <w:lang w:eastAsia="en-US"/>
    </w:rPr>
  </w:style>
  <w:style w:type="paragraph" w:customStyle="1" w:styleId="178">
    <w:name w:val="Char Char 字元 字元 字元 Char Char Char Char"/>
    <w:basedOn w:val="1"/>
    <w:next w:val="179"/>
    <w:qFormat/>
    <w:uiPriority w:val="0"/>
    <w:pPr>
      <w:spacing w:line="360" w:lineRule="auto"/>
    </w:pPr>
    <w:rPr>
      <w:sz w:val="24"/>
    </w:rPr>
  </w:style>
  <w:style w:type="paragraph" w:customStyle="1" w:styleId="179">
    <w:name w:val="_Style 3"/>
    <w:next w:val="1"/>
    <w:qFormat/>
    <w:uiPriority w:val="39"/>
    <w:pPr>
      <w:wordWrap w:val="0"/>
    </w:pPr>
    <w:rPr>
      <w:rFonts w:ascii="宋体" w:hAnsi="宋体" w:eastAsia="宋体" w:cs="Times New Roman"/>
      <w:sz w:val="32"/>
      <w:lang w:val="en-US" w:eastAsia="zh-CN" w:bidi="ar-SA"/>
    </w:rPr>
  </w:style>
  <w:style w:type="paragraph" w:customStyle="1" w:styleId="180">
    <w:name w:val="Table Paragraph"/>
    <w:basedOn w:val="1"/>
    <w:qFormat/>
    <w:uiPriority w:val="0"/>
    <w:pPr>
      <w:widowControl w:val="0"/>
      <w:spacing w:line="360" w:lineRule="auto"/>
      <w:jc w:val="both"/>
    </w:pPr>
    <w:rPr>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4" textRotate="1"/>
    <customShpInfo spid="_x0000_s4105" textRotate="1"/>
    <customShpInfo spid="_x0000_s4106" textRotate="1"/>
    <customShpInfo spid="_x0000_s4107" textRotate="1"/>
    <customShpInfo spid="_x0000_s4108" textRotate="1"/>
    <customShpInfo spid="_x0000_s4109" textRotate="1"/>
    <customShpInfo spid="_x0000_s4110" textRotate="1"/>
    <customShpInfo spid="_x0000_s411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83</Pages>
  <Words>4684</Words>
  <Characters>5530</Characters>
  <Lines>257</Lines>
  <Paragraphs>72</Paragraphs>
  <TotalTime>10</TotalTime>
  <ScaleCrop>false</ScaleCrop>
  <LinksUpToDate>false</LinksUpToDate>
  <CharactersWithSpaces>5590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2026-09-10T07:24:56Z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68E8CCAB267344C9A8C96987D8FCAC23</vt:lpwstr>
  </property>
  <property fmtid="{D5CDD505-2E9C-101B-9397-08002B2CF9AE}" pid="4" name="KSOTemplateDocerSaveRecord">
    <vt:lpwstr>eyJoZGlkIjoiMGNiMmMyOTA3NDRjMjdlMGEwOTRiYzNlMTJjM2RkOWYiLCJ1c2VySWQiOiI2NjcxMzg3NjUifQ==</vt:lpwstr>
  </property>
</Properties>
</file>